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FE05F" w14:textId="77777777" w:rsidR="003F412E" w:rsidRDefault="003F412E">
      <w:pPr>
        <w:pStyle w:val="Footer"/>
        <w:tabs>
          <w:tab w:val="clear" w:pos="4153"/>
          <w:tab w:val="clear" w:pos="8306"/>
        </w:tabs>
        <w:rPr>
          <w:noProof/>
          <w:sz w:val="16"/>
          <w:lang w:val="en-AU"/>
        </w:rPr>
      </w:pPr>
    </w:p>
    <w:p w14:paraId="7AAF8D93" w14:textId="77777777" w:rsidR="00EA0ACB" w:rsidRPr="00212261" w:rsidRDefault="00AF3ACB">
      <w:pPr>
        <w:pStyle w:val="Footer"/>
        <w:tabs>
          <w:tab w:val="clear" w:pos="4153"/>
          <w:tab w:val="clear" w:pos="8306"/>
        </w:tabs>
        <w:rPr>
          <w:noProof/>
          <w:sz w:val="16"/>
          <w:lang w:val="en-AU"/>
        </w:rPr>
      </w:pPr>
      <w:r>
        <w:rPr>
          <w:noProof/>
          <w:lang w:val="en-AU" w:eastAsia="en-AU"/>
        </w:rPr>
        <w:drawing>
          <wp:anchor distT="0" distB="0" distL="114300" distR="114300" simplePos="0" relativeHeight="251656192" behindDoc="0" locked="0" layoutInCell="0" allowOverlap="1" wp14:anchorId="5DDDA33B" wp14:editId="1ACBFE01">
            <wp:simplePos x="0" y="0"/>
            <wp:positionH relativeFrom="page">
              <wp:posOffset>274320</wp:posOffset>
            </wp:positionH>
            <wp:positionV relativeFrom="page">
              <wp:posOffset>274320</wp:posOffset>
            </wp:positionV>
            <wp:extent cx="427355" cy="3788410"/>
            <wp:effectExtent l="0" t="0" r="0" b="2540"/>
            <wp:wrapSquare wrapText="largest"/>
            <wp:docPr id="6" name="Picture 6" descr="Disco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cov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355" cy="3788410"/>
                    </a:xfrm>
                    <a:prstGeom prst="rect">
                      <a:avLst/>
                    </a:prstGeom>
                    <a:noFill/>
                  </pic:spPr>
                </pic:pic>
              </a:graphicData>
            </a:graphic>
            <wp14:sizeRelH relativeFrom="page">
              <wp14:pctWidth>0</wp14:pctWidth>
            </wp14:sizeRelH>
            <wp14:sizeRelV relativeFrom="page">
              <wp14:pctHeight>0</wp14:pctHeight>
            </wp14:sizeRelV>
          </wp:anchor>
        </w:drawing>
      </w:r>
    </w:p>
    <w:p w14:paraId="3BD7445A" w14:textId="77777777" w:rsidR="00EA0ACB" w:rsidRPr="00FE4D3F" w:rsidRDefault="00F95FF4" w:rsidP="00FE4D3F">
      <w:pPr>
        <w:jc w:val="center"/>
        <w:rPr>
          <w:b/>
          <w:sz w:val="36"/>
          <w:lang w:val="en-AU"/>
        </w:rPr>
      </w:pPr>
      <w:bookmarkStart w:id="0" w:name="ReportTitle"/>
      <w:bookmarkEnd w:id="0"/>
      <w:r>
        <w:rPr>
          <w:b/>
          <w:sz w:val="36"/>
          <w:lang w:val="en-AU"/>
        </w:rPr>
        <w:t>VICTORIAN UTILITY CONSUMPTION HOUSEHOLD SURVEY</w:t>
      </w:r>
      <w:r w:rsidR="00EA0ACB" w:rsidRPr="00FE4D3F">
        <w:rPr>
          <w:b/>
          <w:sz w:val="36"/>
          <w:lang w:val="en-AU"/>
        </w:rPr>
        <w:t xml:space="preserve"> 20</w:t>
      </w:r>
      <w:r w:rsidR="00260126" w:rsidRPr="00FE4D3F">
        <w:rPr>
          <w:b/>
          <w:sz w:val="36"/>
          <w:lang w:val="en-AU"/>
        </w:rPr>
        <w:t>1</w:t>
      </w:r>
      <w:r>
        <w:rPr>
          <w:b/>
          <w:sz w:val="36"/>
          <w:lang w:val="en-AU"/>
        </w:rPr>
        <w:t>5</w:t>
      </w:r>
    </w:p>
    <w:p w14:paraId="4C660597" w14:textId="77777777" w:rsidR="00EA0ACB" w:rsidRPr="00212261" w:rsidRDefault="00EA0ACB">
      <w:pPr>
        <w:jc w:val="center"/>
        <w:rPr>
          <w:lang w:val="en-AU"/>
        </w:rPr>
      </w:pPr>
    </w:p>
    <w:p w14:paraId="00F143FB" w14:textId="7222BBA0" w:rsidR="00EA0ACB" w:rsidRPr="00212261" w:rsidRDefault="00656199">
      <w:pPr>
        <w:jc w:val="center"/>
        <w:rPr>
          <w:b/>
          <w:sz w:val="36"/>
          <w:lang w:val="en-AU"/>
        </w:rPr>
      </w:pPr>
      <w:r>
        <w:rPr>
          <w:b/>
          <w:sz w:val="36"/>
          <w:lang w:val="en-AU"/>
        </w:rPr>
        <w:t>FINAL</w:t>
      </w:r>
      <w:r w:rsidRPr="00212261">
        <w:rPr>
          <w:b/>
          <w:sz w:val="36"/>
          <w:lang w:val="en-AU"/>
        </w:rPr>
        <w:t xml:space="preserve"> </w:t>
      </w:r>
      <w:r w:rsidR="00EA0ACB" w:rsidRPr="00212261">
        <w:rPr>
          <w:b/>
          <w:sz w:val="36"/>
          <w:lang w:val="en-AU"/>
        </w:rPr>
        <w:t>REPORT</w:t>
      </w:r>
    </w:p>
    <w:p w14:paraId="0DB4EB67" w14:textId="77777777" w:rsidR="002D4616" w:rsidRDefault="002D4616">
      <w:pPr>
        <w:jc w:val="center"/>
        <w:rPr>
          <w:lang w:val="en-AU"/>
        </w:rPr>
      </w:pPr>
      <w:bookmarkStart w:id="1" w:name="date"/>
      <w:bookmarkEnd w:id="1"/>
    </w:p>
    <w:p w14:paraId="42C9AAA8" w14:textId="63CD9BD7" w:rsidR="00EA0ACB" w:rsidRPr="00212261" w:rsidRDefault="004113B2">
      <w:pPr>
        <w:jc w:val="center"/>
        <w:rPr>
          <w:lang w:val="en-AU"/>
        </w:rPr>
      </w:pPr>
      <w:r>
        <w:rPr>
          <w:lang w:val="en-AU"/>
        </w:rPr>
        <w:t>March</w:t>
      </w:r>
      <w:r w:rsidR="00656199">
        <w:rPr>
          <w:lang w:val="en-AU"/>
        </w:rPr>
        <w:t xml:space="preserve"> 2016</w:t>
      </w:r>
    </w:p>
    <w:p w14:paraId="2619D5FF" w14:textId="77777777" w:rsidR="00A035B2" w:rsidRPr="00212261" w:rsidRDefault="00A035B2" w:rsidP="00A035B2">
      <w:pPr>
        <w:jc w:val="center"/>
        <w:rPr>
          <w:lang w:val="en-AU"/>
        </w:rPr>
      </w:pPr>
      <w:r w:rsidRPr="00A035B2">
        <w:rPr>
          <w:lang w:val="en-AU"/>
        </w:rPr>
        <w:t>(Incorporating errata September 2016)</w:t>
      </w:r>
    </w:p>
    <w:p w14:paraId="46088CA8" w14:textId="77777777" w:rsidR="00EA0ACB" w:rsidRPr="00212261" w:rsidRDefault="00EA0ACB">
      <w:pPr>
        <w:spacing w:before="0" w:after="0"/>
        <w:jc w:val="center"/>
        <w:rPr>
          <w:i/>
          <w:lang w:val="en-AU"/>
        </w:rPr>
      </w:pPr>
    </w:p>
    <w:p w14:paraId="5108DE39" w14:textId="77777777" w:rsidR="00EA0ACB" w:rsidRPr="00212261" w:rsidRDefault="00EA0ACB">
      <w:pPr>
        <w:spacing w:before="0" w:after="0"/>
        <w:jc w:val="center"/>
        <w:rPr>
          <w:i/>
          <w:lang w:val="en-AU"/>
        </w:rPr>
      </w:pPr>
    </w:p>
    <w:p w14:paraId="5C421EB3" w14:textId="77777777" w:rsidR="00EA0ACB" w:rsidRPr="00212261" w:rsidRDefault="00EA0ACB">
      <w:pPr>
        <w:numPr>
          <w:ilvl w:val="0"/>
          <w:numId w:val="1"/>
        </w:numPr>
        <w:spacing w:before="0" w:after="0"/>
        <w:jc w:val="center"/>
        <w:rPr>
          <w:i/>
          <w:lang w:val="en-AU"/>
        </w:rPr>
      </w:pPr>
      <w:r w:rsidRPr="00212261">
        <w:rPr>
          <w:i/>
          <w:lang w:val="en-AU"/>
        </w:rPr>
        <w:t xml:space="preserve">Prepared for – </w:t>
      </w:r>
    </w:p>
    <w:p w14:paraId="6FA0ABBD" w14:textId="77777777" w:rsidR="00EA0ACB" w:rsidRPr="00212261" w:rsidRDefault="00EA0ACB">
      <w:pPr>
        <w:spacing w:before="0" w:after="0"/>
        <w:jc w:val="center"/>
        <w:rPr>
          <w:lang w:val="en-AU"/>
        </w:rPr>
      </w:pPr>
      <w:bookmarkStart w:id="2" w:name="Clientname"/>
      <w:bookmarkEnd w:id="2"/>
      <w:r w:rsidRPr="00212261">
        <w:rPr>
          <w:lang w:val="en-AU"/>
        </w:rPr>
        <w:t xml:space="preserve">Department of </w:t>
      </w:r>
      <w:r w:rsidR="00260126">
        <w:rPr>
          <w:lang w:val="en-AU"/>
        </w:rPr>
        <w:t xml:space="preserve">Health and </w:t>
      </w:r>
      <w:r w:rsidR="00FE4D3F">
        <w:rPr>
          <w:lang w:val="en-AU"/>
        </w:rPr>
        <w:t xml:space="preserve">Human </w:t>
      </w:r>
      <w:r w:rsidRPr="00212261">
        <w:rPr>
          <w:lang w:val="en-AU"/>
        </w:rPr>
        <w:t>Services</w:t>
      </w:r>
    </w:p>
    <w:p w14:paraId="01E97563" w14:textId="77777777" w:rsidR="00EA0ACB" w:rsidRPr="00212261" w:rsidRDefault="007D58AD">
      <w:pPr>
        <w:spacing w:before="0" w:after="0"/>
        <w:jc w:val="center"/>
        <w:outlineLvl w:val="0"/>
        <w:rPr>
          <w:lang w:val="en-AU"/>
        </w:rPr>
      </w:pPr>
      <w:bookmarkStart w:id="3" w:name="ClientAddress1"/>
      <w:bookmarkEnd w:id="3"/>
      <w:smartTag w:uri="urn:schemas-microsoft-com:office:smarttags" w:element="address">
        <w:smartTag w:uri="urn:schemas-microsoft-com:office:smarttags" w:element="Street">
          <w:r w:rsidRPr="00212261">
            <w:rPr>
              <w:lang w:val="en-AU"/>
            </w:rPr>
            <w:t>50</w:t>
          </w:r>
          <w:r w:rsidR="00EA0ACB" w:rsidRPr="00212261">
            <w:rPr>
              <w:lang w:val="en-AU"/>
            </w:rPr>
            <w:t xml:space="preserve"> </w:t>
          </w:r>
          <w:r w:rsidRPr="00212261">
            <w:rPr>
              <w:lang w:val="en-AU"/>
            </w:rPr>
            <w:t>Lonsdale</w:t>
          </w:r>
          <w:r w:rsidR="00EA0ACB" w:rsidRPr="00212261">
            <w:rPr>
              <w:lang w:val="en-AU"/>
            </w:rPr>
            <w:t xml:space="preserve"> Street</w:t>
          </w:r>
        </w:smartTag>
      </w:smartTag>
    </w:p>
    <w:p w14:paraId="74491707" w14:textId="77777777" w:rsidR="00EA0ACB" w:rsidRPr="00212261" w:rsidRDefault="00EA0ACB">
      <w:pPr>
        <w:spacing w:before="0" w:after="0"/>
        <w:jc w:val="center"/>
        <w:rPr>
          <w:lang w:val="en-AU"/>
        </w:rPr>
      </w:pPr>
      <w:bookmarkStart w:id="4" w:name="ClientAddress2"/>
      <w:bookmarkEnd w:id="4"/>
      <w:smartTag w:uri="urn:schemas-microsoft-com:office:smarttags" w:element="place">
        <w:smartTag w:uri="urn:schemas-microsoft-com:office:smarttags" w:element="City">
          <w:r w:rsidRPr="00212261">
            <w:rPr>
              <w:lang w:val="en-AU"/>
            </w:rPr>
            <w:t>Melbourne</w:t>
          </w:r>
        </w:smartTag>
        <w:r w:rsidRPr="00212261">
          <w:rPr>
            <w:lang w:val="en-AU"/>
          </w:rPr>
          <w:t xml:space="preserve">, </w:t>
        </w:r>
        <w:smartTag w:uri="urn:schemas-microsoft-com:office:smarttags" w:element="State">
          <w:r w:rsidRPr="00212261">
            <w:rPr>
              <w:lang w:val="en-AU"/>
            </w:rPr>
            <w:t>Victoria</w:t>
          </w:r>
        </w:smartTag>
      </w:smartTag>
      <w:r w:rsidRPr="00212261">
        <w:rPr>
          <w:lang w:val="en-AU"/>
        </w:rPr>
        <w:t xml:space="preserve"> 3000</w:t>
      </w:r>
    </w:p>
    <w:p w14:paraId="33054D00" w14:textId="77777777" w:rsidR="00EA0ACB" w:rsidRPr="00212261" w:rsidRDefault="00EA0ACB">
      <w:pPr>
        <w:spacing w:before="0" w:after="0"/>
        <w:jc w:val="center"/>
        <w:rPr>
          <w:i/>
          <w:lang w:val="en-AU"/>
        </w:rPr>
      </w:pPr>
    </w:p>
    <w:p w14:paraId="6D67C14E" w14:textId="77777777" w:rsidR="00EA0ACB" w:rsidRPr="00212261" w:rsidRDefault="00EA0ACB">
      <w:pPr>
        <w:spacing w:before="0" w:after="0"/>
        <w:jc w:val="center"/>
        <w:rPr>
          <w:i/>
          <w:lang w:val="en-AU"/>
        </w:rPr>
      </w:pPr>
    </w:p>
    <w:p w14:paraId="406FB20A" w14:textId="77777777" w:rsidR="00EA0ACB" w:rsidRPr="00212261" w:rsidRDefault="00EA0ACB">
      <w:pPr>
        <w:spacing w:before="0" w:after="0"/>
        <w:jc w:val="center"/>
        <w:rPr>
          <w:i/>
          <w:lang w:val="en-AU"/>
        </w:rPr>
      </w:pPr>
    </w:p>
    <w:p w14:paraId="180E0845" w14:textId="77777777" w:rsidR="00EA0ACB" w:rsidRPr="00212261" w:rsidRDefault="00EA0ACB">
      <w:pPr>
        <w:spacing w:before="0" w:after="0"/>
        <w:jc w:val="center"/>
        <w:rPr>
          <w:i/>
          <w:lang w:val="en-AU"/>
        </w:rPr>
      </w:pPr>
      <w:r w:rsidRPr="00212261">
        <w:rPr>
          <w:i/>
          <w:lang w:val="en-AU"/>
        </w:rPr>
        <w:t>- Prepared by -</w:t>
      </w:r>
    </w:p>
    <w:p w14:paraId="6D600259" w14:textId="77777777" w:rsidR="00EA0ACB" w:rsidRPr="00212261" w:rsidRDefault="00EA0ACB">
      <w:pPr>
        <w:spacing w:before="0" w:after="0"/>
        <w:jc w:val="center"/>
        <w:rPr>
          <w:lang w:val="en-AU"/>
        </w:rPr>
      </w:pPr>
    </w:p>
    <w:p w14:paraId="174714E2" w14:textId="77777777" w:rsidR="00EA0ACB" w:rsidRPr="00212261" w:rsidRDefault="00EA0ACB">
      <w:pPr>
        <w:spacing w:before="0" w:after="0"/>
        <w:jc w:val="center"/>
        <w:outlineLvl w:val="0"/>
        <w:rPr>
          <w:b/>
          <w:lang w:val="en-AU"/>
        </w:rPr>
      </w:pPr>
      <w:r w:rsidRPr="00212261">
        <w:rPr>
          <w:b/>
          <w:lang w:val="en-AU"/>
        </w:rPr>
        <w:t>Roy Morgan Research</w:t>
      </w:r>
    </w:p>
    <w:p w14:paraId="1CF8E205" w14:textId="77777777" w:rsidR="00EA0ACB" w:rsidRPr="00212261" w:rsidRDefault="00EA0ACB">
      <w:pPr>
        <w:spacing w:before="0" w:after="0"/>
        <w:jc w:val="center"/>
        <w:rPr>
          <w:b/>
          <w:lang w:val="en-AU"/>
        </w:rPr>
      </w:pPr>
    </w:p>
    <w:p w14:paraId="13038AF9" w14:textId="77777777" w:rsidR="00EA0ACB" w:rsidRPr="00212261" w:rsidRDefault="00A11DE5">
      <w:pPr>
        <w:spacing w:before="0" w:after="0"/>
        <w:jc w:val="center"/>
        <w:rPr>
          <w:lang w:val="en-AU"/>
        </w:rPr>
      </w:pPr>
      <w:smartTag w:uri="urn:schemas-microsoft-com:office:smarttags" w:element="address">
        <w:smartTag w:uri="urn:schemas-microsoft-com:office:smarttags" w:element="Street">
          <w:r w:rsidRPr="00212261">
            <w:rPr>
              <w:lang w:val="en-AU"/>
            </w:rPr>
            <w:t>401 Collins Street</w:t>
          </w:r>
        </w:smartTag>
      </w:smartTag>
    </w:p>
    <w:p w14:paraId="09F72BEE" w14:textId="77777777" w:rsidR="00EA0ACB" w:rsidRPr="00212261" w:rsidRDefault="006C0C05">
      <w:pPr>
        <w:spacing w:before="0" w:after="0"/>
        <w:jc w:val="center"/>
        <w:rPr>
          <w:lang w:val="en-AU"/>
        </w:rPr>
      </w:pPr>
      <w:r w:rsidRPr="00212261">
        <w:rPr>
          <w:lang w:val="en-AU"/>
        </w:rPr>
        <w:fldChar w:fldCharType="begin">
          <w:ffData>
            <w:name w:val="Dropdown2"/>
            <w:enabled/>
            <w:calcOnExit w:val="0"/>
            <w:entryMacro w:val="fillin.MAIN"/>
            <w:ddList>
              <w:result w:val="1"/>
              <w:listEntry w:val="2nd RMR Address Field"/>
              <w:listEntry w:val="Melbourne,  Victoria  3000"/>
              <w:listEntry w:val="Sydney,  NSW  2000"/>
              <w:listEntry w:val="Perth,  Western Australia  6000"/>
              <w:listEntry w:val="Auckland Central,  New Zealand"/>
              <w:listEntry w:val="East Brisbane,  Queensland  4169"/>
              <w:listEntry w:val="Unley,  South Australia  5061"/>
              <w:listEntry w:val="Deakin, A.C.T  2600"/>
            </w:ddList>
          </w:ffData>
        </w:fldChar>
      </w:r>
      <w:bookmarkStart w:id="5" w:name="Dropdown2"/>
      <w:r w:rsidR="00EA0ACB" w:rsidRPr="00212261">
        <w:rPr>
          <w:lang w:val="en-AU"/>
        </w:rPr>
        <w:instrText xml:space="preserve"> FORMDROPDOWN </w:instrText>
      </w:r>
      <w:r w:rsidR="00C32523">
        <w:rPr>
          <w:lang w:val="en-AU"/>
        </w:rPr>
      </w:r>
      <w:r w:rsidR="00C32523">
        <w:rPr>
          <w:lang w:val="en-AU"/>
        </w:rPr>
        <w:fldChar w:fldCharType="separate"/>
      </w:r>
      <w:r w:rsidRPr="00212261">
        <w:rPr>
          <w:lang w:val="en-AU"/>
        </w:rPr>
        <w:fldChar w:fldCharType="end"/>
      </w:r>
      <w:bookmarkEnd w:id="5"/>
    </w:p>
    <w:p w14:paraId="6A5D0926" w14:textId="77777777" w:rsidR="00EA0ACB" w:rsidRPr="00212261" w:rsidRDefault="00EA0ACB">
      <w:pPr>
        <w:spacing w:before="0" w:after="0"/>
        <w:jc w:val="center"/>
        <w:rPr>
          <w:lang w:val="en-AU"/>
        </w:rPr>
      </w:pPr>
    </w:p>
    <w:p w14:paraId="0E34DFC8" w14:textId="77777777" w:rsidR="00EA0ACB" w:rsidRPr="00212261" w:rsidRDefault="00EA0ACB">
      <w:pPr>
        <w:spacing w:before="0" w:after="0"/>
        <w:jc w:val="center"/>
        <w:rPr>
          <w:lang w:val="en-AU"/>
        </w:rPr>
      </w:pPr>
    </w:p>
    <w:p w14:paraId="1D79C17E" w14:textId="77777777" w:rsidR="00EA0ACB" w:rsidRPr="00212261" w:rsidRDefault="00AF3ACB">
      <w:pPr>
        <w:pBdr>
          <w:top w:val="single" w:sz="12" w:space="1" w:color="auto" w:shadow="1"/>
          <w:left w:val="single" w:sz="12" w:space="1" w:color="auto" w:shadow="1"/>
          <w:bottom w:val="single" w:sz="12" w:space="1" w:color="auto" w:shadow="1"/>
          <w:right w:val="single" w:sz="12" w:space="1" w:color="auto" w:shadow="1"/>
        </w:pBdr>
        <w:jc w:val="center"/>
        <w:rPr>
          <w:lang w:val="en-AU"/>
        </w:rPr>
        <w:sectPr w:rsidR="00EA0ACB" w:rsidRPr="00212261" w:rsidSect="003B68D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6840" w:h="11907" w:orient="landscape" w:code="9"/>
          <w:pgMar w:top="1701" w:right="1701" w:bottom="1701" w:left="1701" w:header="1247" w:footer="454" w:gutter="0"/>
          <w:pgNumType w:start="2"/>
          <w:cols w:space="720"/>
          <w:formProt w:val="0"/>
          <w:titlePg/>
        </w:sectPr>
      </w:pPr>
      <w:r>
        <w:rPr>
          <w:noProof/>
          <w:lang w:val="en-AU" w:eastAsia="en-AU"/>
        </w:rPr>
        <w:drawing>
          <wp:anchor distT="0" distB="0" distL="114300" distR="114300" simplePos="0" relativeHeight="251657216" behindDoc="0" locked="0" layoutInCell="0" allowOverlap="1" wp14:anchorId="1EDC3199" wp14:editId="00678E22">
            <wp:simplePos x="0" y="0"/>
            <wp:positionH relativeFrom="page">
              <wp:posOffset>5669280</wp:posOffset>
            </wp:positionH>
            <wp:positionV relativeFrom="page">
              <wp:posOffset>9509760</wp:posOffset>
            </wp:positionV>
            <wp:extent cx="1463040" cy="640080"/>
            <wp:effectExtent l="0" t="0" r="3810" b="762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3040" cy="640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90E38F" w14:textId="77777777" w:rsidR="00B06518" w:rsidRDefault="00B06518" w:rsidP="00B06518">
      <w:pPr>
        <w:pStyle w:val="TOC1"/>
        <w:widowControl w:val="0"/>
        <w:tabs>
          <w:tab w:val="clear" w:pos="8788"/>
          <w:tab w:val="left" w:pos="1560"/>
          <w:tab w:val="right" w:leader="dot" w:pos="12616"/>
        </w:tabs>
        <w:spacing w:before="0" w:line="120" w:lineRule="exact"/>
        <w:jc w:val="center"/>
        <w:rPr>
          <w:sz w:val="32"/>
          <w:szCs w:val="32"/>
          <w:lang w:val="en-AU"/>
        </w:rPr>
      </w:pPr>
    </w:p>
    <w:p w14:paraId="11B7DEBE" w14:textId="77777777" w:rsidR="007C2080" w:rsidRDefault="007C2080" w:rsidP="007C2080">
      <w:pPr>
        <w:rPr>
          <w:lang w:val="en-AU"/>
        </w:rPr>
      </w:pPr>
    </w:p>
    <w:p w14:paraId="62E592E2" w14:textId="77777777" w:rsidR="007C2080" w:rsidRPr="00722401" w:rsidRDefault="007C2080" w:rsidP="007C2080">
      <w:pPr>
        <w:pStyle w:val="DHHSbody"/>
        <w:rPr>
          <w:rFonts w:ascii="Times New Roman" w:hAnsi="Times New Roman"/>
          <w:sz w:val="24"/>
          <w:szCs w:val="24"/>
        </w:rPr>
      </w:pPr>
      <w:r w:rsidRPr="00722401">
        <w:rPr>
          <w:rFonts w:ascii="Times New Roman" w:hAnsi="Times New Roman"/>
          <w:sz w:val="24"/>
          <w:szCs w:val="24"/>
        </w:rPr>
        <w:t>To receive this publication</w:t>
      </w:r>
      <w:r>
        <w:rPr>
          <w:rFonts w:ascii="Times New Roman" w:hAnsi="Times New Roman"/>
          <w:sz w:val="24"/>
          <w:szCs w:val="24"/>
        </w:rPr>
        <w:t xml:space="preserve"> in an accessible format phone  1800 658 521</w:t>
      </w:r>
      <w:r w:rsidRPr="00722401">
        <w:rPr>
          <w:rFonts w:ascii="Times New Roman" w:hAnsi="Times New Roman"/>
          <w:sz w:val="24"/>
          <w:szCs w:val="24"/>
        </w:rPr>
        <w:t>, using the National Relay Service 13 36 77 if required</w:t>
      </w:r>
      <w:r>
        <w:rPr>
          <w:rFonts w:ascii="Times New Roman" w:hAnsi="Times New Roman"/>
          <w:sz w:val="24"/>
          <w:szCs w:val="24"/>
        </w:rPr>
        <w:t>.</w:t>
      </w:r>
    </w:p>
    <w:p w14:paraId="1C40D427" w14:textId="77777777" w:rsidR="007C2080" w:rsidRDefault="007C2080" w:rsidP="007C2080">
      <w:pPr>
        <w:pStyle w:val="DHHSbody"/>
        <w:rPr>
          <w:rFonts w:ascii="Times New Roman" w:hAnsi="Times New Roman"/>
        </w:rPr>
      </w:pPr>
      <w:r w:rsidRPr="00D87972">
        <w:rPr>
          <w:rFonts w:ascii="Times New Roman" w:hAnsi="Times New Roman"/>
        </w:rPr>
        <w:t>Authorised and published by the Victorian Government, 1 Treasury Place, Melbourne.</w:t>
      </w:r>
    </w:p>
    <w:p w14:paraId="7E178CCB" w14:textId="77777777" w:rsidR="007C2080" w:rsidRPr="00DC4666" w:rsidRDefault="007C2080" w:rsidP="007C2080">
      <w:pPr>
        <w:pStyle w:val="DHHSbody"/>
        <w:rPr>
          <w:rFonts w:ascii="Times New Roman" w:hAnsi="Times New Roman"/>
        </w:rPr>
      </w:pPr>
      <w:r w:rsidRPr="00DC4666">
        <w:rPr>
          <w:rFonts w:ascii="Times New Roman" w:hAnsi="Times New Roman"/>
        </w:rPr>
        <w:t xml:space="preserve">© State of Victoria, Australia (Department of Health and Human Services) </w:t>
      </w:r>
      <w:r>
        <w:rPr>
          <w:rFonts w:ascii="Times New Roman" w:hAnsi="Times New Roman"/>
        </w:rPr>
        <w:t>2016</w:t>
      </w:r>
    </w:p>
    <w:p w14:paraId="68814387" w14:textId="77777777" w:rsidR="007C2080" w:rsidRPr="00DC4666" w:rsidRDefault="007C2080" w:rsidP="007C2080">
      <w:pPr>
        <w:pStyle w:val="DHHSbody"/>
        <w:rPr>
          <w:rFonts w:ascii="Times New Roman" w:hAnsi="Times New Roman"/>
        </w:rPr>
      </w:pPr>
      <w:r>
        <w:rPr>
          <w:rFonts w:ascii="Times New Roman" w:hAnsi="Times New Roman"/>
          <w:noProof/>
          <w:lang w:eastAsia="en-AU"/>
        </w:rPr>
        <w:drawing>
          <wp:inline distT="0" distB="0" distL="0" distR="0" wp14:anchorId="0F20162E" wp14:editId="5CFF9E47">
            <wp:extent cx="1224915" cy="431165"/>
            <wp:effectExtent l="0" t="0" r="0" b="6985"/>
            <wp:docPr id="2" name="Picture 2" descr="Description: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reative commons_b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4915" cy="431165"/>
                    </a:xfrm>
                    <a:prstGeom prst="rect">
                      <a:avLst/>
                    </a:prstGeom>
                    <a:noFill/>
                    <a:ln>
                      <a:noFill/>
                    </a:ln>
                  </pic:spPr>
                </pic:pic>
              </a:graphicData>
            </a:graphic>
          </wp:inline>
        </w:drawing>
      </w:r>
    </w:p>
    <w:p w14:paraId="42086E94" w14:textId="77777777" w:rsidR="007C2080" w:rsidRPr="00D87972" w:rsidRDefault="007C2080" w:rsidP="007C2080">
      <w:pPr>
        <w:pStyle w:val="DHHSbody"/>
        <w:rPr>
          <w:rFonts w:ascii="Times New Roman" w:hAnsi="Times New Roman"/>
        </w:rPr>
      </w:pPr>
      <w:r w:rsidRPr="00DC4666">
        <w:rPr>
          <w:rFonts w:ascii="Times New Roman" w:hAnsi="Times New Roman"/>
        </w:rPr>
        <w:t xml:space="preserve">With the exception of any images, photographs or </w:t>
      </w:r>
      <w:r w:rsidRPr="00D87972">
        <w:rPr>
          <w:rFonts w:ascii="Times New Roman" w:hAnsi="Times New Roman"/>
        </w:rPr>
        <w:t>branding (including, but not limited to the Victorian Coat of Arms, the Victorian Government logo or the Department of Health and Human Services logo), this work, Victorian Utility Consumption Household Survey 2015, is licensed under a Creative Commons Attribution 4.0 licence.</w:t>
      </w:r>
    </w:p>
    <w:p w14:paraId="58870A1E" w14:textId="77777777" w:rsidR="007C2080" w:rsidRPr="00D87972" w:rsidRDefault="007C2080" w:rsidP="007C2080">
      <w:pPr>
        <w:pStyle w:val="DHHSbody"/>
        <w:rPr>
          <w:rFonts w:ascii="Times New Roman" w:hAnsi="Times New Roman"/>
        </w:rPr>
      </w:pPr>
      <w:r w:rsidRPr="00D87972">
        <w:rPr>
          <w:rFonts w:ascii="Times New Roman" w:hAnsi="Times New Roman"/>
        </w:rPr>
        <w:t>The terms and conditions of this licence, including disclaimer of warranties and limitation of liability are available at (</w:t>
      </w:r>
      <w:hyperlink r:id="rId18" w:history="1">
        <w:r w:rsidRPr="00D87972">
          <w:rPr>
            <w:rFonts w:ascii="Times New Roman" w:hAnsi="Times New Roman"/>
          </w:rPr>
          <w:t>https://creativecommons.org/licenses/by/4.0/legalcode</w:t>
        </w:r>
      </w:hyperlink>
      <w:r w:rsidRPr="00D87972">
        <w:rPr>
          <w:rFonts w:ascii="Times New Roman" w:hAnsi="Times New Roman"/>
        </w:rPr>
        <w:t>).</w:t>
      </w:r>
    </w:p>
    <w:p w14:paraId="4F9BFF62" w14:textId="77777777" w:rsidR="007C2080" w:rsidRPr="00DC4666" w:rsidRDefault="007C2080" w:rsidP="007C2080">
      <w:pPr>
        <w:pStyle w:val="DHHSbody"/>
        <w:rPr>
          <w:rFonts w:ascii="Times New Roman" w:hAnsi="Times New Roman"/>
        </w:rPr>
      </w:pPr>
      <w:r w:rsidRPr="00D87972">
        <w:rPr>
          <w:rFonts w:ascii="Times New Roman" w:hAnsi="Times New Roman"/>
        </w:rPr>
        <w:t>You are free to re-use the work under that licence, on the condition that you credit the State of Victoria, Australia (Department of Health and Human Services) as the owner of the copyright in the work, indicate if any changes have been made to the work and comply</w:t>
      </w:r>
      <w:r w:rsidRPr="00DC4666">
        <w:rPr>
          <w:rFonts w:ascii="Times New Roman" w:hAnsi="Times New Roman"/>
        </w:rPr>
        <w:t xml:space="preserve"> with the other licence terms.</w:t>
      </w:r>
    </w:p>
    <w:p w14:paraId="2EA12E51" w14:textId="77777777" w:rsidR="007C2080" w:rsidRDefault="007C2080" w:rsidP="007C2080">
      <w:pPr>
        <w:pStyle w:val="DHHSbody"/>
        <w:rPr>
          <w:rFonts w:ascii="Times New Roman" w:hAnsi="Times New Roman"/>
        </w:rPr>
      </w:pPr>
    </w:p>
    <w:p w14:paraId="787A997D" w14:textId="77777777" w:rsidR="007C2080" w:rsidRPr="002B44C0" w:rsidRDefault="007C2080" w:rsidP="007C2080">
      <w:pPr>
        <w:pStyle w:val="DHHSbody"/>
        <w:rPr>
          <w:rFonts w:ascii="Times New Roman" w:hAnsi="Times New Roman"/>
        </w:rPr>
      </w:pPr>
      <w:r w:rsidRPr="00722401">
        <w:rPr>
          <w:rFonts w:ascii="Times New Roman" w:hAnsi="Times New Roman"/>
        </w:rPr>
        <w:t>Available at</w:t>
      </w:r>
      <w:r>
        <w:rPr>
          <w:rFonts w:ascii="Times New Roman" w:hAnsi="Times New Roman"/>
        </w:rPr>
        <w:t>:</w:t>
      </w:r>
      <w:r w:rsidRPr="00722401">
        <w:rPr>
          <w:rFonts w:ascii="Times New Roman" w:hAnsi="Times New Roman"/>
        </w:rPr>
        <w:t xml:space="preserve"> </w:t>
      </w:r>
      <w:r w:rsidRPr="002B44C0">
        <w:rPr>
          <w:rFonts w:ascii="Times New Roman" w:hAnsi="Times New Roman"/>
        </w:rPr>
        <w:t>http://www.dhs.vic.gov.au/about-the-department/documents-and-resources/reports-publications/victorian-utility-consumption-household-survey-2015</w:t>
      </w:r>
    </w:p>
    <w:p w14:paraId="125F35DE" w14:textId="77777777" w:rsidR="007C2080" w:rsidRPr="003F4BFB" w:rsidRDefault="007C2080" w:rsidP="007C2080">
      <w:pPr>
        <w:spacing w:after="120"/>
        <w:rPr>
          <w:color w:val="4F81BD"/>
          <w:sz w:val="20"/>
        </w:rPr>
      </w:pPr>
      <w:r w:rsidRPr="003F4BFB">
        <w:rPr>
          <w:color w:val="4F81BD"/>
          <w:sz w:val="20"/>
        </w:rPr>
        <w:t>An appropriate citation for this report is:</w:t>
      </w:r>
    </w:p>
    <w:p w14:paraId="69A236E0" w14:textId="77777777" w:rsidR="007C2080" w:rsidRPr="00722401" w:rsidRDefault="007C2080" w:rsidP="007C2080">
      <w:pPr>
        <w:rPr>
          <w:sz w:val="20"/>
        </w:rPr>
      </w:pPr>
      <w:r w:rsidRPr="00722401">
        <w:rPr>
          <w:sz w:val="20"/>
        </w:rPr>
        <w:t xml:space="preserve">Department of Health and Human Services 2016, </w:t>
      </w:r>
      <w:r w:rsidRPr="00722401">
        <w:rPr>
          <w:i/>
          <w:sz w:val="20"/>
        </w:rPr>
        <w:t>Victorian Utility Consumption Household Survey 2015</w:t>
      </w:r>
      <w:r w:rsidRPr="00722401">
        <w:rPr>
          <w:sz w:val="20"/>
        </w:rPr>
        <w:t>, Roy Morgan Research Ltd, State Government of Victoria, Melbourne</w:t>
      </w:r>
    </w:p>
    <w:p w14:paraId="55E8E6A8" w14:textId="77777777" w:rsidR="007C2080" w:rsidRPr="007C2080" w:rsidRDefault="007C2080" w:rsidP="007C2080">
      <w:pPr>
        <w:rPr>
          <w:lang w:val="en-AU"/>
        </w:rPr>
      </w:pPr>
    </w:p>
    <w:p w14:paraId="63293575" w14:textId="3EF4C4E9" w:rsidR="00B06518" w:rsidRPr="00B06518" w:rsidRDefault="00B06518" w:rsidP="00B06518">
      <w:pPr>
        <w:pStyle w:val="TOC1"/>
        <w:widowControl w:val="0"/>
        <w:tabs>
          <w:tab w:val="clear" w:pos="8788"/>
          <w:tab w:val="left" w:pos="1560"/>
          <w:tab w:val="right" w:leader="dot" w:pos="12616"/>
        </w:tabs>
        <w:jc w:val="center"/>
        <w:rPr>
          <w:sz w:val="32"/>
          <w:szCs w:val="32"/>
          <w:lang w:val="en-AU"/>
        </w:rPr>
      </w:pPr>
      <w:r w:rsidRPr="00B06518">
        <w:rPr>
          <w:sz w:val="32"/>
          <w:szCs w:val="32"/>
          <w:lang w:val="en-AU"/>
        </w:rPr>
        <w:lastRenderedPageBreak/>
        <w:t>INDEX</w:t>
      </w:r>
    </w:p>
    <w:p w14:paraId="1A8F291B" w14:textId="7A066A4E" w:rsidR="00801327" w:rsidRDefault="008F56BA" w:rsidP="00DA13DA">
      <w:pPr>
        <w:pStyle w:val="TOC1"/>
        <w:widowControl w:val="0"/>
        <w:tabs>
          <w:tab w:val="clear" w:pos="8788"/>
          <w:tab w:val="left" w:pos="1560"/>
          <w:tab w:val="right" w:leader="dot" w:pos="12616"/>
        </w:tabs>
        <w:rPr>
          <w:rFonts w:asciiTheme="minorHAnsi" w:eastAsiaTheme="minorEastAsia" w:hAnsiTheme="minorHAnsi" w:cstheme="minorBidi"/>
          <w:b w:val="0"/>
          <w:noProof/>
          <w:kern w:val="0"/>
          <w:sz w:val="22"/>
          <w:szCs w:val="22"/>
          <w:lang w:val="en-AU" w:eastAsia="en-AU"/>
        </w:rPr>
      </w:pPr>
      <w:r>
        <w:rPr>
          <w:b w:val="0"/>
          <w:lang w:val="en-AU"/>
        </w:rPr>
        <w:fldChar w:fldCharType="begin"/>
      </w:r>
      <w:r>
        <w:rPr>
          <w:b w:val="0"/>
          <w:lang w:val="en-AU"/>
        </w:rPr>
        <w:instrText xml:space="preserve"> TOC \o \h \z </w:instrText>
      </w:r>
      <w:r>
        <w:rPr>
          <w:b w:val="0"/>
          <w:lang w:val="en-AU"/>
        </w:rPr>
        <w:fldChar w:fldCharType="separate"/>
      </w:r>
      <w:hyperlink w:anchor="_Toc445571628" w:history="1">
        <w:r w:rsidR="00801327" w:rsidRPr="0060612E">
          <w:rPr>
            <w:rStyle w:val="Hyperlink"/>
            <w:noProof/>
            <w:lang w:val="en-AU"/>
          </w:rPr>
          <w:t>EXECUTIVE SUMMARY</w:t>
        </w:r>
        <w:r w:rsidR="00801327">
          <w:rPr>
            <w:noProof/>
            <w:webHidden/>
          </w:rPr>
          <w:tab/>
        </w:r>
        <w:r w:rsidR="00801327">
          <w:rPr>
            <w:noProof/>
            <w:webHidden/>
          </w:rPr>
          <w:fldChar w:fldCharType="begin"/>
        </w:r>
        <w:r w:rsidR="00801327">
          <w:rPr>
            <w:noProof/>
            <w:webHidden/>
          </w:rPr>
          <w:instrText xml:space="preserve"> PAGEREF _Toc445571628 \h </w:instrText>
        </w:r>
        <w:r w:rsidR="00801327">
          <w:rPr>
            <w:noProof/>
            <w:webHidden/>
          </w:rPr>
        </w:r>
        <w:r w:rsidR="00801327">
          <w:rPr>
            <w:noProof/>
            <w:webHidden/>
          </w:rPr>
          <w:fldChar w:fldCharType="separate"/>
        </w:r>
        <w:r w:rsidR="00796CAC">
          <w:rPr>
            <w:noProof/>
            <w:webHidden/>
          </w:rPr>
          <w:t>i</w:t>
        </w:r>
        <w:r w:rsidR="00801327">
          <w:rPr>
            <w:noProof/>
            <w:webHidden/>
          </w:rPr>
          <w:fldChar w:fldCharType="end"/>
        </w:r>
      </w:hyperlink>
    </w:p>
    <w:p w14:paraId="0128A39D" w14:textId="77777777" w:rsidR="00801327" w:rsidRDefault="00C32523" w:rsidP="00B06518">
      <w:pPr>
        <w:pStyle w:val="TOC4"/>
        <w:keepNext/>
        <w:widowControl w:val="0"/>
        <w:numPr>
          <w:ilvl w:val="0"/>
          <w:numId w:val="0"/>
        </w:numPr>
        <w:tabs>
          <w:tab w:val="clear" w:pos="8788"/>
          <w:tab w:val="left" w:pos="1560"/>
          <w:tab w:val="right" w:leader="dot" w:pos="12616"/>
        </w:tabs>
        <w:ind w:left="1004"/>
        <w:rPr>
          <w:rFonts w:asciiTheme="minorHAnsi" w:eastAsiaTheme="minorEastAsia" w:hAnsiTheme="minorHAnsi" w:cstheme="minorBidi"/>
          <w:noProof/>
          <w:sz w:val="22"/>
          <w:szCs w:val="22"/>
          <w:lang w:val="en-AU" w:eastAsia="en-AU"/>
        </w:rPr>
      </w:pPr>
      <w:hyperlink w:anchor="_Toc445571629" w:history="1">
        <w:r w:rsidR="00801327" w:rsidRPr="0060612E">
          <w:rPr>
            <w:rStyle w:val="Hyperlink"/>
            <w:noProof/>
            <w:lang w:val="en-AU"/>
          </w:rPr>
          <w:t>Background</w:t>
        </w:r>
        <w:r w:rsidR="00801327">
          <w:rPr>
            <w:noProof/>
            <w:webHidden/>
          </w:rPr>
          <w:tab/>
        </w:r>
        <w:r w:rsidR="00801327">
          <w:rPr>
            <w:noProof/>
            <w:webHidden/>
          </w:rPr>
          <w:fldChar w:fldCharType="begin"/>
        </w:r>
        <w:r w:rsidR="00801327">
          <w:rPr>
            <w:noProof/>
            <w:webHidden/>
          </w:rPr>
          <w:instrText xml:space="preserve"> PAGEREF _Toc445571629 \h </w:instrText>
        </w:r>
        <w:r w:rsidR="00801327">
          <w:rPr>
            <w:noProof/>
            <w:webHidden/>
          </w:rPr>
        </w:r>
        <w:r w:rsidR="00801327">
          <w:rPr>
            <w:noProof/>
            <w:webHidden/>
          </w:rPr>
          <w:fldChar w:fldCharType="separate"/>
        </w:r>
        <w:r w:rsidR="00796CAC">
          <w:rPr>
            <w:noProof/>
            <w:webHidden/>
          </w:rPr>
          <w:t>i</w:t>
        </w:r>
        <w:r w:rsidR="00801327">
          <w:rPr>
            <w:noProof/>
            <w:webHidden/>
          </w:rPr>
          <w:fldChar w:fldCharType="end"/>
        </w:r>
      </w:hyperlink>
    </w:p>
    <w:p w14:paraId="0F19775C" w14:textId="77777777" w:rsidR="00801327" w:rsidRDefault="00C32523" w:rsidP="00B06518">
      <w:pPr>
        <w:pStyle w:val="TOC4"/>
        <w:keepNext/>
        <w:widowControl w:val="0"/>
        <w:numPr>
          <w:ilvl w:val="0"/>
          <w:numId w:val="0"/>
        </w:numPr>
        <w:tabs>
          <w:tab w:val="clear" w:pos="8788"/>
          <w:tab w:val="left" w:pos="1560"/>
          <w:tab w:val="right" w:leader="dot" w:pos="12616"/>
        </w:tabs>
        <w:ind w:left="1004"/>
        <w:rPr>
          <w:rFonts w:asciiTheme="minorHAnsi" w:eastAsiaTheme="minorEastAsia" w:hAnsiTheme="minorHAnsi" w:cstheme="minorBidi"/>
          <w:noProof/>
          <w:sz w:val="22"/>
          <w:szCs w:val="22"/>
          <w:lang w:val="en-AU" w:eastAsia="en-AU"/>
        </w:rPr>
      </w:pPr>
      <w:hyperlink w:anchor="_Toc445571630" w:history="1">
        <w:r w:rsidR="00801327" w:rsidRPr="0060612E">
          <w:rPr>
            <w:rStyle w:val="Hyperlink"/>
            <w:noProof/>
            <w:lang w:val="en-AU"/>
          </w:rPr>
          <w:t>Approach</w:t>
        </w:r>
        <w:r w:rsidR="00801327">
          <w:rPr>
            <w:noProof/>
            <w:webHidden/>
          </w:rPr>
          <w:tab/>
        </w:r>
        <w:r w:rsidR="00801327">
          <w:rPr>
            <w:noProof/>
            <w:webHidden/>
          </w:rPr>
          <w:fldChar w:fldCharType="begin"/>
        </w:r>
        <w:r w:rsidR="00801327">
          <w:rPr>
            <w:noProof/>
            <w:webHidden/>
          </w:rPr>
          <w:instrText xml:space="preserve"> PAGEREF _Toc445571630 \h </w:instrText>
        </w:r>
        <w:r w:rsidR="00801327">
          <w:rPr>
            <w:noProof/>
            <w:webHidden/>
          </w:rPr>
        </w:r>
        <w:r w:rsidR="00801327">
          <w:rPr>
            <w:noProof/>
            <w:webHidden/>
          </w:rPr>
          <w:fldChar w:fldCharType="separate"/>
        </w:r>
        <w:r w:rsidR="00796CAC">
          <w:rPr>
            <w:noProof/>
            <w:webHidden/>
          </w:rPr>
          <w:t>i</w:t>
        </w:r>
        <w:r w:rsidR="00801327">
          <w:rPr>
            <w:noProof/>
            <w:webHidden/>
          </w:rPr>
          <w:fldChar w:fldCharType="end"/>
        </w:r>
      </w:hyperlink>
    </w:p>
    <w:p w14:paraId="5F04B62D" w14:textId="77777777" w:rsidR="00801327" w:rsidRDefault="00C32523" w:rsidP="00B06518">
      <w:pPr>
        <w:pStyle w:val="TOC4"/>
        <w:keepNext/>
        <w:widowControl w:val="0"/>
        <w:numPr>
          <w:ilvl w:val="0"/>
          <w:numId w:val="0"/>
        </w:numPr>
        <w:tabs>
          <w:tab w:val="clear" w:pos="8788"/>
          <w:tab w:val="left" w:pos="1560"/>
          <w:tab w:val="right" w:leader="dot" w:pos="12616"/>
        </w:tabs>
        <w:ind w:left="1004"/>
        <w:rPr>
          <w:rFonts w:asciiTheme="minorHAnsi" w:eastAsiaTheme="minorEastAsia" w:hAnsiTheme="minorHAnsi" w:cstheme="minorBidi"/>
          <w:noProof/>
          <w:sz w:val="22"/>
          <w:szCs w:val="22"/>
          <w:lang w:val="en-AU" w:eastAsia="en-AU"/>
        </w:rPr>
      </w:pPr>
      <w:hyperlink w:anchor="_Toc445571631" w:history="1">
        <w:r w:rsidR="00801327" w:rsidRPr="0060612E">
          <w:rPr>
            <w:rStyle w:val="Hyperlink"/>
            <w:noProof/>
            <w:lang w:val="en-AU"/>
          </w:rPr>
          <w:t>Sample Characteristics</w:t>
        </w:r>
        <w:r w:rsidR="00801327">
          <w:rPr>
            <w:noProof/>
            <w:webHidden/>
          </w:rPr>
          <w:tab/>
        </w:r>
        <w:r w:rsidR="00801327">
          <w:rPr>
            <w:noProof/>
            <w:webHidden/>
          </w:rPr>
          <w:fldChar w:fldCharType="begin"/>
        </w:r>
        <w:r w:rsidR="00801327">
          <w:rPr>
            <w:noProof/>
            <w:webHidden/>
          </w:rPr>
          <w:instrText xml:space="preserve"> PAGEREF _Toc445571631 \h </w:instrText>
        </w:r>
        <w:r w:rsidR="00801327">
          <w:rPr>
            <w:noProof/>
            <w:webHidden/>
          </w:rPr>
        </w:r>
        <w:r w:rsidR="00801327">
          <w:rPr>
            <w:noProof/>
            <w:webHidden/>
          </w:rPr>
          <w:fldChar w:fldCharType="separate"/>
        </w:r>
        <w:r w:rsidR="00796CAC">
          <w:rPr>
            <w:noProof/>
            <w:webHidden/>
          </w:rPr>
          <w:t>iii</w:t>
        </w:r>
        <w:r w:rsidR="00801327">
          <w:rPr>
            <w:noProof/>
            <w:webHidden/>
          </w:rPr>
          <w:fldChar w:fldCharType="end"/>
        </w:r>
      </w:hyperlink>
    </w:p>
    <w:p w14:paraId="52CDB2B4" w14:textId="77777777" w:rsidR="00801327" w:rsidRDefault="00C32523" w:rsidP="00B06518">
      <w:pPr>
        <w:pStyle w:val="TOC4"/>
        <w:keepNext/>
        <w:widowControl w:val="0"/>
        <w:numPr>
          <w:ilvl w:val="0"/>
          <w:numId w:val="0"/>
        </w:numPr>
        <w:tabs>
          <w:tab w:val="clear" w:pos="8788"/>
          <w:tab w:val="left" w:pos="1560"/>
          <w:tab w:val="right" w:leader="dot" w:pos="12616"/>
        </w:tabs>
        <w:ind w:left="1004"/>
        <w:rPr>
          <w:rFonts w:asciiTheme="minorHAnsi" w:eastAsiaTheme="minorEastAsia" w:hAnsiTheme="minorHAnsi" w:cstheme="minorBidi"/>
          <w:noProof/>
          <w:sz w:val="22"/>
          <w:szCs w:val="22"/>
          <w:lang w:val="en-AU" w:eastAsia="en-AU"/>
        </w:rPr>
      </w:pPr>
      <w:hyperlink w:anchor="_Toc445571632" w:history="1">
        <w:r w:rsidR="00801327" w:rsidRPr="0060612E">
          <w:rPr>
            <w:rStyle w:val="Hyperlink"/>
            <w:noProof/>
            <w:lang w:val="en-AU"/>
          </w:rPr>
          <w:t>Energy Usage, Consumption and Expenditure</w:t>
        </w:r>
        <w:r w:rsidR="00801327">
          <w:rPr>
            <w:noProof/>
            <w:webHidden/>
          </w:rPr>
          <w:tab/>
        </w:r>
        <w:r w:rsidR="00801327">
          <w:rPr>
            <w:noProof/>
            <w:webHidden/>
          </w:rPr>
          <w:fldChar w:fldCharType="begin"/>
        </w:r>
        <w:r w:rsidR="00801327">
          <w:rPr>
            <w:noProof/>
            <w:webHidden/>
          </w:rPr>
          <w:instrText xml:space="preserve"> PAGEREF _Toc445571632 \h </w:instrText>
        </w:r>
        <w:r w:rsidR="00801327">
          <w:rPr>
            <w:noProof/>
            <w:webHidden/>
          </w:rPr>
        </w:r>
        <w:r w:rsidR="00801327">
          <w:rPr>
            <w:noProof/>
            <w:webHidden/>
          </w:rPr>
          <w:fldChar w:fldCharType="separate"/>
        </w:r>
        <w:r w:rsidR="00796CAC">
          <w:rPr>
            <w:noProof/>
            <w:webHidden/>
          </w:rPr>
          <w:t>vi</w:t>
        </w:r>
        <w:r w:rsidR="00801327">
          <w:rPr>
            <w:noProof/>
            <w:webHidden/>
          </w:rPr>
          <w:fldChar w:fldCharType="end"/>
        </w:r>
      </w:hyperlink>
    </w:p>
    <w:p w14:paraId="384D7729" w14:textId="77777777" w:rsidR="00801327" w:rsidRDefault="00C32523" w:rsidP="00B06518">
      <w:pPr>
        <w:pStyle w:val="TOC4"/>
        <w:keepNext/>
        <w:widowControl w:val="0"/>
        <w:numPr>
          <w:ilvl w:val="0"/>
          <w:numId w:val="0"/>
        </w:numPr>
        <w:tabs>
          <w:tab w:val="clear" w:pos="8788"/>
          <w:tab w:val="left" w:pos="1560"/>
          <w:tab w:val="right" w:leader="dot" w:pos="12616"/>
        </w:tabs>
        <w:ind w:left="1004"/>
        <w:rPr>
          <w:rFonts w:asciiTheme="minorHAnsi" w:eastAsiaTheme="minorEastAsia" w:hAnsiTheme="minorHAnsi" w:cstheme="minorBidi"/>
          <w:noProof/>
          <w:sz w:val="22"/>
          <w:szCs w:val="22"/>
          <w:lang w:val="en-AU" w:eastAsia="en-AU"/>
        </w:rPr>
      </w:pPr>
      <w:hyperlink w:anchor="_Toc445571633" w:history="1">
        <w:r w:rsidR="00801327" w:rsidRPr="0060612E">
          <w:rPr>
            <w:rStyle w:val="Hyperlink"/>
            <w:noProof/>
            <w:lang w:val="en-AU"/>
          </w:rPr>
          <w:t>Water Usage, Consumption and Expenditure</w:t>
        </w:r>
        <w:r w:rsidR="00801327">
          <w:rPr>
            <w:noProof/>
            <w:webHidden/>
          </w:rPr>
          <w:tab/>
        </w:r>
        <w:r w:rsidR="00801327">
          <w:rPr>
            <w:noProof/>
            <w:webHidden/>
          </w:rPr>
          <w:fldChar w:fldCharType="begin"/>
        </w:r>
        <w:r w:rsidR="00801327">
          <w:rPr>
            <w:noProof/>
            <w:webHidden/>
          </w:rPr>
          <w:instrText xml:space="preserve"> PAGEREF _Toc445571633 \h </w:instrText>
        </w:r>
        <w:r w:rsidR="00801327">
          <w:rPr>
            <w:noProof/>
            <w:webHidden/>
          </w:rPr>
        </w:r>
        <w:r w:rsidR="00801327">
          <w:rPr>
            <w:noProof/>
            <w:webHidden/>
          </w:rPr>
          <w:fldChar w:fldCharType="separate"/>
        </w:r>
        <w:r w:rsidR="00796CAC">
          <w:rPr>
            <w:noProof/>
            <w:webHidden/>
          </w:rPr>
          <w:t>x</w:t>
        </w:r>
        <w:r w:rsidR="00801327">
          <w:rPr>
            <w:noProof/>
            <w:webHidden/>
          </w:rPr>
          <w:fldChar w:fldCharType="end"/>
        </w:r>
      </w:hyperlink>
    </w:p>
    <w:p w14:paraId="0EE13C96" w14:textId="77777777" w:rsidR="00801327" w:rsidRDefault="00C32523" w:rsidP="00B06518">
      <w:pPr>
        <w:pStyle w:val="TOC4"/>
        <w:keepNext/>
        <w:widowControl w:val="0"/>
        <w:numPr>
          <w:ilvl w:val="0"/>
          <w:numId w:val="0"/>
        </w:numPr>
        <w:tabs>
          <w:tab w:val="clear" w:pos="8788"/>
          <w:tab w:val="left" w:pos="1560"/>
          <w:tab w:val="right" w:leader="dot" w:pos="12616"/>
        </w:tabs>
        <w:ind w:left="1004"/>
        <w:rPr>
          <w:rFonts w:asciiTheme="minorHAnsi" w:eastAsiaTheme="minorEastAsia" w:hAnsiTheme="minorHAnsi" w:cstheme="minorBidi"/>
          <w:noProof/>
          <w:sz w:val="22"/>
          <w:szCs w:val="22"/>
          <w:lang w:val="en-AU" w:eastAsia="en-AU"/>
        </w:rPr>
      </w:pPr>
      <w:hyperlink w:anchor="_Toc445571634" w:history="1">
        <w:r w:rsidR="00801327" w:rsidRPr="0060612E">
          <w:rPr>
            <w:rStyle w:val="Hyperlink"/>
            <w:noProof/>
            <w:lang w:val="en-AU"/>
          </w:rPr>
          <w:t>Council Rates and Expenditure</w:t>
        </w:r>
        <w:r w:rsidR="00801327">
          <w:rPr>
            <w:noProof/>
            <w:webHidden/>
          </w:rPr>
          <w:tab/>
        </w:r>
        <w:r w:rsidR="00801327">
          <w:rPr>
            <w:noProof/>
            <w:webHidden/>
          </w:rPr>
          <w:fldChar w:fldCharType="begin"/>
        </w:r>
        <w:r w:rsidR="00801327">
          <w:rPr>
            <w:noProof/>
            <w:webHidden/>
          </w:rPr>
          <w:instrText xml:space="preserve"> PAGEREF _Toc445571634 \h </w:instrText>
        </w:r>
        <w:r w:rsidR="00801327">
          <w:rPr>
            <w:noProof/>
            <w:webHidden/>
          </w:rPr>
        </w:r>
        <w:r w:rsidR="00801327">
          <w:rPr>
            <w:noProof/>
            <w:webHidden/>
          </w:rPr>
          <w:fldChar w:fldCharType="separate"/>
        </w:r>
        <w:r w:rsidR="00796CAC">
          <w:rPr>
            <w:noProof/>
            <w:webHidden/>
          </w:rPr>
          <w:t>xiii</w:t>
        </w:r>
        <w:r w:rsidR="00801327">
          <w:rPr>
            <w:noProof/>
            <w:webHidden/>
          </w:rPr>
          <w:fldChar w:fldCharType="end"/>
        </w:r>
      </w:hyperlink>
    </w:p>
    <w:p w14:paraId="71DDEE0D" w14:textId="77777777" w:rsidR="00801327" w:rsidRDefault="00C32523" w:rsidP="00B06518">
      <w:pPr>
        <w:pStyle w:val="TOC4"/>
        <w:keepNext/>
        <w:widowControl w:val="0"/>
        <w:numPr>
          <w:ilvl w:val="0"/>
          <w:numId w:val="0"/>
        </w:numPr>
        <w:tabs>
          <w:tab w:val="clear" w:pos="8788"/>
          <w:tab w:val="left" w:pos="1560"/>
          <w:tab w:val="right" w:leader="dot" w:pos="12616"/>
        </w:tabs>
        <w:ind w:left="1004"/>
        <w:rPr>
          <w:rFonts w:asciiTheme="minorHAnsi" w:eastAsiaTheme="minorEastAsia" w:hAnsiTheme="minorHAnsi" w:cstheme="minorBidi"/>
          <w:noProof/>
          <w:sz w:val="22"/>
          <w:szCs w:val="22"/>
          <w:lang w:val="en-AU" w:eastAsia="en-AU"/>
        </w:rPr>
      </w:pPr>
      <w:hyperlink w:anchor="_Toc445571635" w:history="1">
        <w:r w:rsidR="00801327" w:rsidRPr="0060612E">
          <w:rPr>
            <w:rStyle w:val="Hyperlink"/>
            <w:noProof/>
            <w:lang w:val="en-AU"/>
          </w:rPr>
          <w:t>Knowledge and Take-up of Concessions</w:t>
        </w:r>
        <w:r w:rsidR="00801327">
          <w:rPr>
            <w:noProof/>
            <w:webHidden/>
          </w:rPr>
          <w:tab/>
        </w:r>
        <w:r w:rsidR="00801327">
          <w:rPr>
            <w:noProof/>
            <w:webHidden/>
          </w:rPr>
          <w:fldChar w:fldCharType="begin"/>
        </w:r>
        <w:r w:rsidR="00801327">
          <w:rPr>
            <w:noProof/>
            <w:webHidden/>
          </w:rPr>
          <w:instrText xml:space="preserve"> PAGEREF _Toc445571635 \h </w:instrText>
        </w:r>
        <w:r w:rsidR="00801327">
          <w:rPr>
            <w:noProof/>
            <w:webHidden/>
          </w:rPr>
        </w:r>
        <w:r w:rsidR="00801327">
          <w:rPr>
            <w:noProof/>
            <w:webHidden/>
          </w:rPr>
          <w:fldChar w:fldCharType="separate"/>
        </w:r>
        <w:r w:rsidR="00796CAC">
          <w:rPr>
            <w:noProof/>
            <w:webHidden/>
          </w:rPr>
          <w:t>xiv</w:t>
        </w:r>
        <w:r w:rsidR="00801327">
          <w:rPr>
            <w:noProof/>
            <w:webHidden/>
          </w:rPr>
          <w:fldChar w:fldCharType="end"/>
        </w:r>
      </w:hyperlink>
    </w:p>
    <w:p w14:paraId="6A026553" w14:textId="77777777" w:rsidR="00801327" w:rsidRDefault="00C32523" w:rsidP="00B06518">
      <w:pPr>
        <w:pStyle w:val="TOC4"/>
        <w:keepNext/>
        <w:widowControl w:val="0"/>
        <w:numPr>
          <w:ilvl w:val="0"/>
          <w:numId w:val="0"/>
        </w:numPr>
        <w:tabs>
          <w:tab w:val="clear" w:pos="8788"/>
          <w:tab w:val="left" w:pos="1560"/>
          <w:tab w:val="right" w:leader="dot" w:pos="12616"/>
        </w:tabs>
        <w:ind w:left="1004"/>
        <w:rPr>
          <w:rFonts w:asciiTheme="minorHAnsi" w:eastAsiaTheme="minorEastAsia" w:hAnsiTheme="minorHAnsi" w:cstheme="minorBidi"/>
          <w:noProof/>
          <w:sz w:val="22"/>
          <w:szCs w:val="22"/>
          <w:lang w:val="en-AU" w:eastAsia="en-AU"/>
        </w:rPr>
      </w:pPr>
      <w:hyperlink w:anchor="_Toc445571636" w:history="1">
        <w:r w:rsidR="00801327" w:rsidRPr="0060612E">
          <w:rPr>
            <w:rStyle w:val="Hyperlink"/>
            <w:noProof/>
            <w:lang w:val="en-AU"/>
          </w:rPr>
          <w:t>Difficulties in Meeting Bill Payments</w:t>
        </w:r>
        <w:r w:rsidR="00801327">
          <w:rPr>
            <w:noProof/>
            <w:webHidden/>
          </w:rPr>
          <w:tab/>
        </w:r>
        <w:r w:rsidR="00801327">
          <w:rPr>
            <w:noProof/>
            <w:webHidden/>
          </w:rPr>
          <w:fldChar w:fldCharType="begin"/>
        </w:r>
        <w:r w:rsidR="00801327">
          <w:rPr>
            <w:noProof/>
            <w:webHidden/>
          </w:rPr>
          <w:instrText xml:space="preserve"> PAGEREF _Toc445571636 \h </w:instrText>
        </w:r>
        <w:r w:rsidR="00801327">
          <w:rPr>
            <w:noProof/>
            <w:webHidden/>
          </w:rPr>
        </w:r>
        <w:r w:rsidR="00801327">
          <w:rPr>
            <w:noProof/>
            <w:webHidden/>
          </w:rPr>
          <w:fldChar w:fldCharType="separate"/>
        </w:r>
        <w:r w:rsidR="00796CAC">
          <w:rPr>
            <w:noProof/>
            <w:webHidden/>
          </w:rPr>
          <w:t>xv</w:t>
        </w:r>
        <w:r w:rsidR="00801327">
          <w:rPr>
            <w:noProof/>
            <w:webHidden/>
          </w:rPr>
          <w:fldChar w:fldCharType="end"/>
        </w:r>
      </w:hyperlink>
    </w:p>
    <w:p w14:paraId="78F6240D" w14:textId="77777777" w:rsidR="00801327" w:rsidRDefault="00C32523" w:rsidP="005D2694">
      <w:pPr>
        <w:pStyle w:val="TOC1"/>
        <w:tabs>
          <w:tab w:val="clear" w:pos="8788"/>
          <w:tab w:val="left" w:pos="567"/>
          <w:tab w:val="right" w:leader="dot" w:pos="12616"/>
        </w:tabs>
        <w:rPr>
          <w:rFonts w:asciiTheme="minorHAnsi" w:eastAsiaTheme="minorEastAsia" w:hAnsiTheme="minorHAnsi" w:cstheme="minorBidi"/>
          <w:b w:val="0"/>
          <w:noProof/>
          <w:kern w:val="0"/>
          <w:sz w:val="22"/>
          <w:szCs w:val="22"/>
          <w:lang w:val="en-AU" w:eastAsia="en-AU"/>
        </w:rPr>
      </w:pPr>
      <w:hyperlink w:anchor="_Toc445571637" w:history="1">
        <w:r w:rsidR="00801327" w:rsidRPr="0060612E">
          <w:rPr>
            <w:rStyle w:val="Hyperlink"/>
            <w:noProof/>
            <w:lang w:val="en-AU"/>
          </w:rPr>
          <w:t>1</w:t>
        </w:r>
        <w:r w:rsidR="00801327">
          <w:rPr>
            <w:rFonts w:asciiTheme="minorHAnsi" w:eastAsiaTheme="minorEastAsia" w:hAnsiTheme="minorHAnsi" w:cstheme="minorBidi"/>
            <w:b w:val="0"/>
            <w:noProof/>
            <w:kern w:val="0"/>
            <w:sz w:val="22"/>
            <w:szCs w:val="22"/>
            <w:lang w:val="en-AU" w:eastAsia="en-AU"/>
          </w:rPr>
          <w:tab/>
        </w:r>
        <w:r w:rsidR="00801327" w:rsidRPr="0060612E">
          <w:rPr>
            <w:rStyle w:val="Hyperlink"/>
            <w:noProof/>
            <w:lang w:val="en-AU"/>
          </w:rPr>
          <w:t>INTRODUCTION</w:t>
        </w:r>
        <w:r w:rsidR="00801327">
          <w:rPr>
            <w:noProof/>
            <w:webHidden/>
          </w:rPr>
          <w:tab/>
        </w:r>
        <w:r w:rsidR="00801327">
          <w:rPr>
            <w:noProof/>
            <w:webHidden/>
          </w:rPr>
          <w:fldChar w:fldCharType="begin"/>
        </w:r>
        <w:r w:rsidR="00801327">
          <w:rPr>
            <w:noProof/>
            <w:webHidden/>
          </w:rPr>
          <w:instrText xml:space="preserve"> PAGEREF _Toc445571637 \h </w:instrText>
        </w:r>
        <w:r w:rsidR="00801327">
          <w:rPr>
            <w:noProof/>
            <w:webHidden/>
          </w:rPr>
        </w:r>
        <w:r w:rsidR="00801327">
          <w:rPr>
            <w:noProof/>
            <w:webHidden/>
          </w:rPr>
          <w:fldChar w:fldCharType="separate"/>
        </w:r>
        <w:r w:rsidR="00796CAC">
          <w:rPr>
            <w:noProof/>
            <w:webHidden/>
          </w:rPr>
          <w:t>1</w:t>
        </w:r>
        <w:r w:rsidR="00801327">
          <w:rPr>
            <w:noProof/>
            <w:webHidden/>
          </w:rPr>
          <w:fldChar w:fldCharType="end"/>
        </w:r>
      </w:hyperlink>
    </w:p>
    <w:p w14:paraId="15D1ED14"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38" w:history="1">
        <w:r w:rsidR="00801327" w:rsidRPr="00DA13DA">
          <w:rPr>
            <w:rStyle w:val="Hyperlink"/>
            <w:b w:val="0"/>
            <w:noProof/>
            <w:lang w:val="en-AU"/>
          </w:rPr>
          <w:t>1.1</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BACKGROUND</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_Toc445571638 \h </w:instrText>
        </w:r>
        <w:r w:rsidR="00801327" w:rsidRPr="00DA13DA">
          <w:rPr>
            <w:b w:val="0"/>
            <w:noProof/>
            <w:webHidden/>
          </w:rPr>
        </w:r>
        <w:r w:rsidR="00801327" w:rsidRPr="00DA13DA">
          <w:rPr>
            <w:b w:val="0"/>
            <w:noProof/>
            <w:webHidden/>
          </w:rPr>
          <w:fldChar w:fldCharType="separate"/>
        </w:r>
        <w:r w:rsidR="00796CAC">
          <w:rPr>
            <w:b w:val="0"/>
            <w:noProof/>
            <w:webHidden/>
          </w:rPr>
          <w:t>1</w:t>
        </w:r>
        <w:r w:rsidR="00801327" w:rsidRPr="00DA13DA">
          <w:rPr>
            <w:b w:val="0"/>
            <w:noProof/>
            <w:webHidden/>
          </w:rPr>
          <w:fldChar w:fldCharType="end"/>
        </w:r>
      </w:hyperlink>
    </w:p>
    <w:p w14:paraId="3180D08A"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39" w:history="1">
        <w:r w:rsidR="00801327" w:rsidRPr="00DA13DA">
          <w:rPr>
            <w:rStyle w:val="Hyperlink"/>
            <w:b w:val="0"/>
            <w:noProof/>
            <w:lang w:val="en-AU"/>
          </w:rPr>
          <w:t>1.2</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RESEARCH OBJECTIVES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_Toc445571639 \h </w:instrText>
        </w:r>
        <w:r w:rsidR="00801327" w:rsidRPr="00DA13DA">
          <w:rPr>
            <w:b w:val="0"/>
            <w:noProof/>
            <w:webHidden/>
          </w:rPr>
        </w:r>
        <w:r w:rsidR="00801327" w:rsidRPr="00DA13DA">
          <w:rPr>
            <w:b w:val="0"/>
            <w:noProof/>
            <w:webHidden/>
          </w:rPr>
          <w:fldChar w:fldCharType="separate"/>
        </w:r>
        <w:r w:rsidR="00796CAC">
          <w:rPr>
            <w:b w:val="0"/>
            <w:noProof/>
            <w:webHidden/>
          </w:rPr>
          <w:t>1</w:t>
        </w:r>
        <w:r w:rsidR="00801327" w:rsidRPr="00DA13DA">
          <w:rPr>
            <w:b w:val="0"/>
            <w:noProof/>
            <w:webHidden/>
          </w:rPr>
          <w:fldChar w:fldCharType="end"/>
        </w:r>
      </w:hyperlink>
    </w:p>
    <w:p w14:paraId="35CD016B"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40" w:history="1">
        <w:r w:rsidR="00801327" w:rsidRPr="00DA13DA">
          <w:rPr>
            <w:rStyle w:val="Hyperlink"/>
            <w:b w:val="0"/>
            <w:noProof/>
            <w:lang w:val="en-AU"/>
          </w:rPr>
          <w:t>1.3</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SCOPE OF THE RESEARCH</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_Toc445571640 \h </w:instrText>
        </w:r>
        <w:r w:rsidR="00801327" w:rsidRPr="00DA13DA">
          <w:rPr>
            <w:b w:val="0"/>
            <w:noProof/>
            <w:webHidden/>
          </w:rPr>
        </w:r>
        <w:r w:rsidR="00801327" w:rsidRPr="00DA13DA">
          <w:rPr>
            <w:b w:val="0"/>
            <w:noProof/>
            <w:webHidden/>
          </w:rPr>
          <w:fldChar w:fldCharType="separate"/>
        </w:r>
        <w:r w:rsidR="00796CAC">
          <w:rPr>
            <w:b w:val="0"/>
            <w:noProof/>
            <w:webHidden/>
          </w:rPr>
          <w:t>2</w:t>
        </w:r>
        <w:r w:rsidR="00801327" w:rsidRPr="00DA13DA">
          <w:rPr>
            <w:b w:val="0"/>
            <w:noProof/>
            <w:webHidden/>
          </w:rPr>
          <w:fldChar w:fldCharType="end"/>
        </w:r>
      </w:hyperlink>
    </w:p>
    <w:p w14:paraId="14BC440F" w14:textId="77777777" w:rsidR="00801327" w:rsidRPr="00DA13DA" w:rsidRDefault="00C32523" w:rsidP="00DA13DA">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41" w:history="1">
        <w:r w:rsidR="00801327" w:rsidRPr="00DA13DA">
          <w:rPr>
            <w:rStyle w:val="Hyperlink"/>
            <w:noProof/>
            <w:lang w:val="en-AU"/>
          </w:rPr>
          <w:t>1.3.1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Collection of Survey Data</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_Toc445571641 \h </w:instrText>
        </w:r>
        <w:r w:rsidR="00801327" w:rsidRPr="00DA13DA">
          <w:rPr>
            <w:noProof/>
            <w:webHidden/>
          </w:rPr>
        </w:r>
        <w:r w:rsidR="00801327" w:rsidRPr="00DA13DA">
          <w:rPr>
            <w:noProof/>
            <w:webHidden/>
          </w:rPr>
          <w:fldChar w:fldCharType="separate"/>
        </w:r>
        <w:r w:rsidR="00796CAC">
          <w:rPr>
            <w:noProof/>
            <w:webHidden/>
          </w:rPr>
          <w:t>3</w:t>
        </w:r>
        <w:r w:rsidR="00801327" w:rsidRPr="00DA13DA">
          <w:rPr>
            <w:noProof/>
            <w:webHidden/>
          </w:rPr>
          <w:fldChar w:fldCharType="end"/>
        </w:r>
      </w:hyperlink>
    </w:p>
    <w:p w14:paraId="158BB34B"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42" w:history="1">
        <w:r w:rsidR="00801327" w:rsidRPr="00DA13DA">
          <w:rPr>
            <w:rStyle w:val="Hyperlink"/>
            <w:b w:val="0"/>
            <w:noProof/>
            <w:lang w:val="en-AU"/>
          </w:rPr>
          <w:t>1.4</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LIMITATIONS OF SURVEY AND BILLING DATA</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_Toc445571642 \h </w:instrText>
        </w:r>
        <w:r w:rsidR="00801327" w:rsidRPr="00DA13DA">
          <w:rPr>
            <w:b w:val="0"/>
            <w:noProof/>
            <w:webHidden/>
          </w:rPr>
        </w:r>
        <w:r w:rsidR="00801327" w:rsidRPr="00DA13DA">
          <w:rPr>
            <w:b w:val="0"/>
            <w:noProof/>
            <w:webHidden/>
          </w:rPr>
          <w:fldChar w:fldCharType="separate"/>
        </w:r>
        <w:r w:rsidR="00796CAC">
          <w:rPr>
            <w:b w:val="0"/>
            <w:noProof/>
            <w:webHidden/>
          </w:rPr>
          <w:t>6</w:t>
        </w:r>
        <w:r w:rsidR="00801327" w:rsidRPr="00DA13DA">
          <w:rPr>
            <w:b w:val="0"/>
            <w:noProof/>
            <w:webHidden/>
          </w:rPr>
          <w:fldChar w:fldCharType="end"/>
        </w:r>
      </w:hyperlink>
    </w:p>
    <w:p w14:paraId="2B69EE6F" w14:textId="77777777" w:rsidR="00801327" w:rsidRPr="00DA13DA" w:rsidRDefault="00C32523" w:rsidP="005D2694">
      <w:pPr>
        <w:pStyle w:val="TOC1"/>
        <w:tabs>
          <w:tab w:val="clear" w:pos="8788"/>
          <w:tab w:val="left" w:pos="567"/>
          <w:tab w:val="right" w:leader="dot" w:pos="12616"/>
        </w:tabs>
        <w:rPr>
          <w:rFonts w:asciiTheme="minorHAnsi" w:eastAsiaTheme="minorEastAsia" w:hAnsiTheme="minorHAnsi" w:cstheme="minorBidi"/>
          <w:noProof/>
          <w:kern w:val="0"/>
          <w:sz w:val="22"/>
          <w:szCs w:val="22"/>
          <w:lang w:val="en-AU" w:eastAsia="en-AU"/>
        </w:rPr>
      </w:pPr>
      <w:hyperlink w:anchor="_Toc445571643" w:history="1">
        <w:r w:rsidR="00801327" w:rsidRPr="00DA13DA">
          <w:rPr>
            <w:rStyle w:val="Hyperlink"/>
            <w:noProof/>
            <w:lang w:val="en-AU"/>
          </w:rPr>
          <w:t>2</w:t>
        </w:r>
        <w:r w:rsidR="00801327" w:rsidRPr="00DA13DA">
          <w:rPr>
            <w:rFonts w:asciiTheme="minorHAnsi" w:eastAsiaTheme="minorEastAsia" w:hAnsiTheme="minorHAnsi" w:cstheme="minorBidi"/>
            <w:noProof/>
            <w:kern w:val="0"/>
            <w:sz w:val="22"/>
            <w:szCs w:val="22"/>
            <w:lang w:val="en-AU" w:eastAsia="en-AU"/>
          </w:rPr>
          <w:tab/>
        </w:r>
        <w:r w:rsidR="00801327" w:rsidRPr="00DA13DA">
          <w:rPr>
            <w:rStyle w:val="Hyperlink"/>
            <w:noProof/>
            <w:lang w:val="en-AU"/>
          </w:rPr>
          <w:t>RESEARCH METHODOLOGY</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_Toc445571643 \h </w:instrText>
        </w:r>
        <w:r w:rsidR="00801327" w:rsidRPr="00DA13DA">
          <w:rPr>
            <w:noProof/>
            <w:webHidden/>
          </w:rPr>
        </w:r>
        <w:r w:rsidR="00801327" w:rsidRPr="00DA13DA">
          <w:rPr>
            <w:noProof/>
            <w:webHidden/>
          </w:rPr>
          <w:fldChar w:fldCharType="separate"/>
        </w:r>
        <w:r w:rsidR="00796CAC">
          <w:rPr>
            <w:noProof/>
            <w:webHidden/>
          </w:rPr>
          <w:t>9</w:t>
        </w:r>
        <w:r w:rsidR="00801327" w:rsidRPr="00DA13DA">
          <w:rPr>
            <w:noProof/>
            <w:webHidden/>
          </w:rPr>
          <w:fldChar w:fldCharType="end"/>
        </w:r>
      </w:hyperlink>
    </w:p>
    <w:p w14:paraId="19ECD5EB"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44" w:history="1">
        <w:r w:rsidR="00801327" w:rsidRPr="00DA13DA">
          <w:rPr>
            <w:rStyle w:val="Hyperlink"/>
            <w:b w:val="0"/>
            <w:noProof/>
            <w:lang w:val="en-AU"/>
          </w:rPr>
          <w:t>2.1</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SUB-GROUP DEFINITIONS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_Toc445571644 \h </w:instrText>
        </w:r>
        <w:r w:rsidR="00801327" w:rsidRPr="00DA13DA">
          <w:rPr>
            <w:b w:val="0"/>
            <w:noProof/>
            <w:webHidden/>
          </w:rPr>
        </w:r>
        <w:r w:rsidR="00801327" w:rsidRPr="00DA13DA">
          <w:rPr>
            <w:b w:val="0"/>
            <w:noProof/>
            <w:webHidden/>
          </w:rPr>
          <w:fldChar w:fldCharType="separate"/>
        </w:r>
        <w:r w:rsidR="00796CAC">
          <w:rPr>
            <w:b w:val="0"/>
            <w:noProof/>
            <w:webHidden/>
          </w:rPr>
          <w:t>9</w:t>
        </w:r>
        <w:r w:rsidR="00801327" w:rsidRPr="00DA13DA">
          <w:rPr>
            <w:b w:val="0"/>
            <w:noProof/>
            <w:webHidden/>
          </w:rPr>
          <w:fldChar w:fldCharType="end"/>
        </w:r>
      </w:hyperlink>
    </w:p>
    <w:p w14:paraId="2DD757B0"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45" w:history="1">
        <w:r w:rsidR="00801327" w:rsidRPr="00DA13DA">
          <w:rPr>
            <w:rStyle w:val="Hyperlink"/>
            <w:b w:val="0"/>
            <w:noProof/>
            <w:lang w:val="en-AU"/>
          </w:rPr>
          <w:t>2.2</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SAMPLING</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_Toc445571645 \h </w:instrText>
        </w:r>
        <w:r w:rsidR="00801327" w:rsidRPr="00DA13DA">
          <w:rPr>
            <w:b w:val="0"/>
            <w:noProof/>
            <w:webHidden/>
          </w:rPr>
        </w:r>
        <w:r w:rsidR="00801327" w:rsidRPr="00DA13DA">
          <w:rPr>
            <w:b w:val="0"/>
            <w:noProof/>
            <w:webHidden/>
          </w:rPr>
          <w:fldChar w:fldCharType="separate"/>
        </w:r>
        <w:r w:rsidR="00796CAC">
          <w:rPr>
            <w:b w:val="0"/>
            <w:noProof/>
            <w:webHidden/>
          </w:rPr>
          <w:t>10</w:t>
        </w:r>
        <w:r w:rsidR="00801327" w:rsidRPr="00DA13DA">
          <w:rPr>
            <w:b w:val="0"/>
            <w:noProof/>
            <w:webHidden/>
          </w:rPr>
          <w:fldChar w:fldCharType="end"/>
        </w:r>
      </w:hyperlink>
    </w:p>
    <w:p w14:paraId="394BC112" w14:textId="77777777" w:rsidR="00801327" w:rsidRPr="00DA13DA" w:rsidRDefault="00C32523" w:rsidP="00DA13DA">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46" w:history="1">
        <w:r w:rsidR="00801327" w:rsidRPr="00DA13DA">
          <w:rPr>
            <w:rStyle w:val="Hyperlink"/>
            <w:bCs/>
            <w:noProof/>
            <w:lang w:val="en-AU"/>
          </w:rPr>
          <w:t>2.2.1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bCs/>
            <w:noProof/>
            <w:lang w:val="en-AU"/>
          </w:rPr>
          <w:t>Sample Frame</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_Toc445571646 \h </w:instrText>
        </w:r>
        <w:r w:rsidR="00801327" w:rsidRPr="00DA13DA">
          <w:rPr>
            <w:noProof/>
            <w:webHidden/>
          </w:rPr>
        </w:r>
        <w:r w:rsidR="00801327" w:rsidRPr="00DA13DA">
          <w:rPr>
            <w:noProof/>
            <w:webHidden/>
          </w:rPr>
          <w:fldChar w:fldCharType="separate"/>
        </w:r>
        <w:r w:rsidR="00796CAC">
          <w:rPr>
            <w:noProof/>
            <w:webHidden/>
          </w:rPr>
          <w:t>10</w:t>
        </w:r>
        <w:r w:rsidR="00801327" w:rsidRPr="00DA13DA">
          <w:rPr>
            <w:noProof/>
            <w:webHidden/>
          </w:rPr>
          <w:fldChar w:fldCharType="end"/>
        </w:r>
      </w:hyperlink>
    </w:p>
    <w:p w14:paraId="2A3AA9FB" w14:textId="77777777" w:rsidR="00801327" w:rsidRPr="00DA13DA" w:rsidRDefault="00C32523" w:rsidP="00DA13DA">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47" w:history="1">
        <w:r w:rsidR="00801327" w:rsidRPr="00DA13DA">
          <w:rPr>
            <w:rStyle w:val="Hyperlink"/>
            <w:bCs/>
            <w:noProof/>
            <w:lang w:val="en-AU"/>
          </w:rPr>
          <w:t>2.2.2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bCs/>
            <w:noProof/>
            <w:lang w:val="en-AU"/>
          </w:rPr>
          <w:t>Sample Stratification and Selection</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_Toc445571647 \h </w:instrText>
        </w:r>
        <w:r w:rsidR="00801327" w:rsidRPr="00DA13DA">
          <w:rPr>
            <w:noProof/>
            <w:webHidden/>
          </w:rPr>
        </w:r>
        <w:r w:rsidR="00801327" w:rsidRPr="00DA13DA">
          <w:rPr>
            <w:noProof/>
            <w:webHidden/>
          </w:rPr>
          <w:fldChar w:fldCharType="separate"/>
        </w:r>
        <w:r w:rsidR="00796CAC">
          <w:rPr>
            <w:noProof/>
            <w:webHidden/>
          </w:rPr>
          <w:t>11</w:t>
        </w:r>
        <w:r w:rsidR="00801327" w:rsidRPr="00DA13DA">
          <w:rPr>
            <w:noProof/>
            <w:webHidden/>
          </w:rPr>
          <w:fldChar w:fldCharType="end"/>
        </w:r>
      </w:hyperlink>
    </w:p>
    <w:p w14:paraId="2797BEE1" w14:textId="77777777" w:rsidR="00801327" w:rsidRPr="00DA13DA" w:rsidRDefault="00C32523" w:rsidP="00DA13DA">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48" w:history="1">
        <w:r w:rsidR="00801327" w:rsidRPr="00DA13DA">
          <w:rPr>
            <w:rStyle w:val="Hyperlink"/>
            <w:bCs/>
            <w:noProof/>
            <w:lang w:val="en-AU"/>
          </w:rPr>
          <w:t>2.2.3</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bCs/>
            <w:noProof/>
            <w:lang w:val="en-AU"/>
          </w:rPr>
          <w:t>Survey Respondent</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_Toc445571648 \h </w:instrText>
        </w:r>
        <w:r w:rsidR="00801327" w:rsidRPr="00DA13DA">
          <w:rPr>
            <w:noProof/>
            <w:webHidden/>
          </w:rPr>
        </w:r>
        <w:r w:rsidR="00801327" w:rsidRPr="00DA13DA">
          <w:rPr>
            <w:noProof/>
            <w:webHidden/>
          </w:rPr>
          <w:fldChar w:fldCharType="separate"/>
        </w:r>
        <w:r w:rsidR="00796CAC">
          <w:rPr>
            <w:noProof/>
            <w:webHidden/>
          </w:rPr>
          <w:t>14</w:t>
        </w:r>
        <w:r w:rsidR="00801327" w:rsidRPr="00DA13DA">
          <w:rPr>
            <w:noProof/>
            <w:webHidden/>
          </w:rPr>
          <w:fldChar w:fldCharType="end"/>
        </w:r>
      </w:hyperlink>
    </w:p>
    <w:p w14:paraId="0382762A" w14:textId="77777777" w:rsidR="00801327" w:rsidRPr="00DA13DA" w:rsidRDefault="00C32523" w:rsidP="00DA13DA">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49" w:history="1">
        <w:r w:rsidR="00801327" w:rsidRPr="00DA13DA">
          <w:rPr>
            <w:rStyle w:val="Hyperlink"/>
            <w:bCs/>
            <w:noProof/>
            <w:lang w:val="en-AU"/>
          </w:rPr>
          <w:t>2.2.4</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bCs/>
            <w:noProof/>
            <w:lang w:val="en-AU"/>
          </w:rPr>
          <w:t>Sample Interviewed</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_Toc445571649 \h </w:instrText>
        </w:r>
        <w:r w:rsidR="00801327" w:rsidRPr="00DA13DA">
          <w:rPr>
            <w:noProof/>
            <w:webHidden/>
          </w:rPr>
        </w:r>
        <w:r w:rsidR="00801327" w:rsidRPr="00DA13DA">
          <w:rPr>
            <w:noProof/>
            <w:webHidden/>
          </w:rPr>
          <w:fldChar w:fldCharType="separate"/>
        </w:r>
        <w:r w:rsidR="00796CAC">
          <w:rPr>
            <w:noProof/>
            <w:webHidden/>
          </w:rPr>
          <w:t>15</w:t>
        </w:r>
        <w:r w:rsidR="00801327" w:rsidRPr="00DA13DA">
          <w:rPr>
            <w:noProof/>
            <w:webHidden/>
          </w:rPr>
          <w:fldChar w:fldCharType="end"/>
        </w:r>
      </w:hyperlink>
    </w:p>
    <w:p w14:paraId="3EFBD41E" w14:textId="77777777" w:rsidR="00801327" w:rsidRPr="00DA13DA" w:rsidRDefault="00C32523" w:rsidP="00DA13DA">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50" w:history="1">
        <w:r w:rsidR="00801327" w:rsidRPr="00DA13DA">
          <w:rPr>
            <w:rStyle w:val="Hyperlink"/>
            <w:bCs/>
            <w:noProof/>
            <w:lang w:val="en-AU"/>
          </w:rPr>
          <w:t>2.2.5</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bCs/>
            <w:noProof/>
            <w:lang w:val="en-AU"/>
          </w:rPr>
          <w:t>Sample Returning Consent Forms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_Toc445571650 \h </w:instrText>
        </w:r>
        <w:r w:rsidR="00801327" w:rsidRPr="00DA13DA">
          <w:rPr>
            <w:noProof/>
            <w:webHidden/>
          </w:rPr>
        </w:r>
        <w:r w:rsidR="00801327" w:rsidRPr="00DA13DA">
          <w:rPr>
            <w:noProof/>
            <w:webHidden/>
          </w:rPr>
          <w:fldChar w:fldCharType="separate"/>
        </w:r>
        <w:r w:rsidR="00796CAC">
          <w:rPr>
            <w:noProof/>
            <w:webHidden/>
          </w:rPr>
          <w:t>16</w:t>
        </w:r>
        <w:r w:rsidR="00801327" w:rsidRPr="00DA13DA">
          <w:rPr>
            <w:noProof/>
            <w:webHidden/>
          </w:rPr>
          <w:fldChar w:fldCharType="end"/>
        </w:r>
      </w:hyperlink>
    </w:p>
    <w:p w14:paraId="5E0558D7"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51" w:history="1">
        <w:r w:rsidR="00801327" w:rsidRPr="00DA13DA">
          <w:rPr>
            <w:rStyle w:val="Hyperlink"/>
            <w:b w:val="0"/>
            <w:noProof/>
            <w:lang w:val="en-AU"/>
          </w:rPr>
          <w:t>2.3</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TELEPHONE INTERVIEW STAGE</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_Toc445571651 \h </w:instrText>
        </w:r>
        <w:r w:rsidR="00801327" w:rsidRPr="00DA13DA">
          <w:rPr>
            <w:b w:val="0"/>
            <w:noProof/>
            <w:webHidden/>
          </w:rPr>
        </w:r>
        <w:r w:rsidR="00801327" w:rsidRPr="00DA13DA">
          <w:rPr>
            <w:b w:val="0"/>
            <w:noProof/>
            <w:webHidden/>
          </w:rPr>
          <w:fldChar w:fldCharType="separate"/>
        </w:r>
        <w:r w:rsidR="00796CAC">
          <w:rPr>
            <w:b w:val="0"/>
            <w:noProof/>
            <w:webHidden/>
          </w:rPr>
          <w:t>18</w:t>
        </w:r>
        <w:r w:rsidR="00801327" w:rsidRPr="00DA13DA">
          <w:rPr>
            <w:b w:val="0"/>
            <w:noProof/>
            <w:webHidden/>
          </w:rPr>
          <w:fldChar w:fldCharType="end"/>
        </w:r>
      </w:hyperlink>
    </w:p>
    <w:p w14:paraId="0E2E170F" w14:textId="77777777" w:rsidR="00801327" w:rsidRPr="00DA13DA" w:rsidRDefault="00C32523" w:rsidP="00DA13DA">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52" w:history="1">
        <w:r w:rsidR="00801327" w:rsidRPr="00DA13DA">
          <w:rPr>
            <w:rStyle w:val="Hyperlink"/>
            <w:bCs/>
            <w:noProof/>
            <w:lang w:val="en-AU"/>
          </w:rPr>
          <w:t>2.3.1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bCs/>
            <w:noProof/>
            <w:lang w:val="en-AU"/>
          </w:rPr>
          <w:t>Pre-interview mail-out</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_Toc445571652 \h </w:instrText>
        </w:r>
        <w:r w:rsidR="00801327" w:rsidRPr="00DA13DA">
          <w:rPr>
            <w:noProof/>
            <w:webHidden/>
          </w:rPr>
        </w:r>
        <w:r w:rsidR="00801327" w:rsidRPr="00DA13DA">
          <w:rPr>
            <w:noProof/>
            <w:webHidden/>
          </w:rPr>
          <w:fldChar w:fldCharType="separate"/>
        </w:r>
        <w:r w:rsidR="00796CAC">
          <w:rPr>
            <w:noProof/>
            <w:webHidden/>
          </w:rPr>
          <w:t>18</w:t>
        </w:r>
        <w:r w:rsidR="00801327" w:rsidRPr="00DA13DA">
          <w:rPr>
            <w:noProof/>
            <w:webHidden/>
          </w:rPr>
          <w:fldChar w:fldCharType="end"/>
        </w:r>
      </w:hyperlink>
    </w:p>
    <w:p w14:paraId="193763F5" w14:textId="77777777" w:rsidR="00801327" w:rsidRPr="00DA13DA" w:rsidRDefault="00C32523" w:rsidP="00DA13DA">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53" w:history="1">
        <w:r w:rsidR="00801327" w:rsidRPr="00DA13DA">
          <w:rPr>
            <w:rStyle w:val="Hyperlink"/>
            <w:bCs/>
            <w:noProof/>
            <w:lang w:val="en-AU"/>
          </w:rPr>
          <w:t>2.3.2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bCs/>
            <w:noProof/>
            <w:lang w:val="en-AU"/>
          </w:rPr>
          <w:t>CATI interviewing</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_Toc445571653 \h </w:instrText>
        </w:r>
        <w:r w:rsidR="00801327" w:rsidRPr="00DA13DA">
          <w:rPr>
            <w:noProof/>
            <w:webHidden/>
          </w:rPr>
        </w:r>
        <w:r w:rsidR="00801327" w:rsidRPr="00DA13DA">
          <w:rPr>
            <w:noProof/>
            <w:webHidden/>
          </w:rPr>
          <w:fldChar w:fldCharType="separate"/>
        </w:r>
        <w:r w:rsidR="00796CAC">
          <w:rPr>
            <w:noProof/>
            <w:webHidden/>
          </w:rPr>
          <w:t>18</w:t>
        </w:r>
        <w:r w:rsidR="00801327" w:rsidRPr="00DA13DA">
          <w:rPr>
            <w:noProof/>
            <w:webHidden/>
          </w:rPr>
          <w:fldChar w:fldCharType="end"/>
        </w:r>
      </w:hyperlink>
    </w:p>
    <w:p w14:paraId="7D0268BF" w14:textId="77777777" w:rsidR="00801327" w:rsidRPr="00DA13DA" w:rsidRDefault="00C32523" w:rsidP="00DA13DA">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54" w:history="1">
        <w:r w:rsidR="00801327" w:rsidRPr="00DA13DA">
          <w:rPr>
            <w:rStyle w:val="Hyperlink"/>
            <w:bCs/>
            <w:noProof/>
            <w:lang w:val="en-AU"/>
          </w:rPr>
          <w:t>2.3.3</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bCs/>
            <w:noProof/>
            <w:lang w:val="en-AU"/>
          </w:rPr>
          <w:t>Follow-up of consent forms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_Toc445571654 \h </w:instrText>
        </w:r>
        <w:r w:rsidR="00801327" w:rsidRPr="00DA13DA">
          <w:rPr>
            <w:noProof/>
            <w:webHidden/>
          </w:rPr>
        </w:r>
        <w:r w:rsidR="00801327" w:rsidRPr="00DA13DA">
          <w:rPr>
            <w:noProof/>
            <w:webHidden/>
          </w:rPr>
          <w:fldChar w:fldCharType="separate"/>
        </w:r>
        <w:r w:rsidR="00796CAC">
          <w:rPr>
            <w:noProof/>
            <w:webHidden/>
          </w:rPr>
          <w:t>19</w:t>
        </w:r>
        <w:r w:rsidR="00801327" w:rsidRPr="00DA13DA">
          <w:rPr>
            <w:noProof/>
            <w:webHidden/>
          </w:rPr>
          <w:fldChar w:fldCharType="end"/>
        </w:r>
      </w:hyperlink>
    </w:p>
    <w:p w14:paraId="607950CF"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55" w:history="1">
        <w:r w:rsidR="00801327" w:rsidRPr="00DA13DA">
          <w:rPr>
            <w:rStyle w:val="Hyperlink"/>
            <w:b w:val="0"/>
            <w:noProof/>
            <w:lang w:val="en-AU"/>
          </w:rPr>
          <w:t>2.4</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OBTAINING BILLING AND CONSUMPTION DATA FROM SUPPLIERS AND COUNCILS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_Toc445571655 \h </w:instrText>
        </w:r>
        <w:r w:rsidR="00801327" w:rsidRPr="00DA13DA">
          <w:rPr>
            <w:b w:val="0"/>
            <w:noProof/>
            <w:webHidden/>
          </w:rPr>
        </w:r>
        <w:r w:rsidR="00801327" w:rsidRPr="00DA13DA">
          <w:rPr>
            <w:b w:val="0"/>
            <w:noProof/>
            <w:webHidden/>
          </w:rPr>
          <w:fldChar w:fldCharType="separate"/>
        </w:r>
        <w:r w:rsidR="00796CAC">
          <w:rPr>
            <w:b w:val="0"/>
            <w:noProof/>
            <w:webHidden/>
          </w:rPr>
          <w:t>20</w:t>
        </w:r>
        <w:r w:rsidR="00801327" w:rsidRPr="00DA13DA">
          <w:rPr>
            <w:b w:val="0"/>
            <w:noProof/>
            <w:webHidden/>
          </w:rPr>
          <w:fldChar w:fldCharType="end"/>
        </w:r>
      </w:hyperlink>
    </w:p>
    <w:p w14:paraId="291E04EB"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56" w:history="1">
        <w:r w:rsidR="00801327" w:rsidRPr="00DA13DA">
          <w:rPr>
            <w:rStyle w:val="Hyperlink"/>
            <w:b w:val="0"/>
            <w:noProof/>
            <w:lang w:val="en-AU"/>
          </w:rPr>
          <w:t>2.5</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DATA IMPUTATION FOR BILLING AND CONSUMPTION ITEMS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_Toc445571656 \h </w:instrText>
        </w:r>
        <w:r w:rsidR="00801327" w:rsidRPr="00DA13DA">
          <w:rPr>
            <w:b w:val="0"/>
            <w:noProof/>
            <w:webHidden/>
          </w:rPr>
        </w:r>
        <w:r w:rsidR="00801327" w:rsidRPr="00DA13DA">
          <w:rPr>
            <w:b w:val="0"/>
            <w:noProof/>
            <w:webHidden/>
          </w:rPr>
          <w:fldChar w:fldCharType="separate"/>
        </w:r>
        <w:r w:rsidR="00796CAC">
          <w:rPr>
            <w:b w:val="0"/>
            <w:noProof/>
            <w:webHidden/>
          </w:rPr>
          <w:t>21</w:t>
        </w:r>
        <w:r w:rsidR="00801327" w:rsidRPr="00DA13DA">
          <w:rPr>
            <w:b w:val="0"/>
            <w:noProof/>
            <w:webHidden/>
          </w:rPr>
          <w:fldChar w:fldCharType="end"/>
        </w:r>
      </w:hyperlink>
    </w:p>
    <w:p w14:paraId="7FAF7E8A"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57" w:history="1">
        <w:r w:rsidR="00801327" w:rsidRPr="00DA13DA">
          <w:rPr>
            <w:rStyle w:val="Hyperlink"/>
            <w:b w:val="0"/>
            <w:noProof/>
            <w:lang w:val="en-AU"/>
          </w:rPr>
          <w:t>2.6</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SAMPLE WEIGHTING</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_Toc445571657 \h </w:instrText>
        </w:r>
        <w:r w:rsidR="00801327" w:rsidRPr="00DA13DA">
          <w:rPr>
            <w:b w:val="0"/>
            <w:noProof/>
            <w:webHidden/>
          </w:rPr>
        </w:r>
        <w:r w:rsidR="00801327" w:rsidRPr="00DA13DA">
          <w:rPr>
            <w:b w:val="0"/>
            <w:noProof/>
            <w:webHidden/>
          </w:rPr>
          <w:fldChar w:fldCharType="separate"/>
        </w:r>
        <w:r w:rsidR="00796CAC">
          <w:rPr>
            <w:b w:val="0"/>
            <w:noProof/>
            <w:webHidden/>
          </w:rPr>
          <w:t>24</w:t>
        </w:r>
        <w:r w:rsidR="00801327" w:rsidRPr="00DA13DA">
          <w:rPr>
            <w:b w:val="0"/>
            <w:noProof/>
            <w:webHidden/>
          </w:rPr>
          <w:fldChar w:fldCharType="end"/>
        </w:r>
      </w:hyperlink>
    </w:p>
    <w:p w14:paraId="0A9665CD"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58" w:history="1">
        <w:r w:rsidR="00801327" w:rsidRPr="00DA13DA">
          <w:rPr>
            <w:rStyle w:val="Hyperlink"/>
            <w:b w:val="0"/>
            <w:noProof/>
            <w:lang w:val="en-AU"/>
          </w:rPr>
          <w:t>2.7</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RESPONSE RATES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_Toc445571658 \h </w:instrText>
        </w:r>
        <w:r w:rsidR="00801327" w:rsidRPr="00DA13DA">
          <w:rPr>
            <w:b w:val="0"/>
            <w:noProof/>
            <w:webHidden/>
          </w:rPr>
        </w:r>
        <w:r w:rsidR="00801327" w:rsidRPr="00DA13DA">
          <w:rPr>
            <w:b w:val="0"/>
            <w:noProof/>
            <w:webHidden/>
          </w:rPr>
          <w:fldChar w:fldCharType="separate"/>
        </w:r>
        <w:r w:rsidR="00796CAC">
          <w:rPr>
            <w:b w:val="0"/>
            <w:noProof/>
            <w:webHidden/>
          </w:rPr>
          <w:t>30</w:t>
        </w:r>
        <w:r w:rsidR="00801327" w:rsidRPr="00DA13DA">
          <w:rPr>
            <w:b w:val="0"/>
            <w:noProof/>
            <w:webHidden/>
          </w:rPr>
          <w:fldChar w:fldCharType="end"/>
        </w:r>
      </w:hyperlink>
    </w:p>
    <w:p w14:paraId="46CC3214"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59" w:history="1">
        <w:r w:rsidR="00801327" w:rsidRPr="00DA13DA">
          <w:rPr>
            <w:rStyle w:val="Hyperlink"/>
            <w:b w:val="0"/>
            <w:noProof/>
            <w:lang w:val="en-AU"/>
          </w:rPr>
          <w:t>2.8</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THIS REPORT</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_Toc445571659 \h </w:instrText>
        </w:r>
        <w:r w:rsidR="00801327" w:rsidRPr="00DA13DA">
          <w:rPr>
            <w:b w:val="0"/>
            <w:noProof/>
            <w:webHidden/>
          </w:rPr>
        </w:r>
        <w:r w:rsidR="00801327" w:rsidRPr="00DA13DA">
          <w:rPr>
            <w:b w:val="0"/>
            <w:noProof/>
            <w:webHidden/>
          </w:rPr>
          <w:fldChar w:fldCharType="separate"/>
        </w:r>
        <w:r w:rsidR="00796CAC">
          <w:rPr>
            <w:b w:val="0"/>
            <w:noProof/>
            <w:webHidden/>
          </w:rPr>
          <w:t>33</w:t>
        </w:r>
        <w:r w:rsidR="00801327" w:rsidRPr="00DA13DA">
          <w:rPr>
            <w:b w:val="0"/>
            <w:noProof/>
            <w:webHidden/>
          </w:rPr>
          <w:fldChar w:fldCharType="end"/>
        </w:r>
      </w:hyperlink>
    </w:p>
    <w:p w14:paraId="22AA037B"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60" w:history="1">
        <w:r w:rsidR="00801327" w:rsidRPr="00DA13DA">
          <w:rPr>
            <w:rStyle w:val="Hyperlink"/>
            <w:bCs/>
            <w:noProof/>
            <w:lang w:val="en-AU"/>
          </w:rPr>
          <w:t>2.8.1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bCs/>
            <w:noProof/>
            <w:lang w:val="en-AU"/>
          </w:rPr>
          <w:t>Notations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_Toc445571660 \h </w:instrText>
        </w:r>
        <w:r w:rsidR="00801327" w:rsidRPr="00DA13DA">
          <w:rPr>
            <w:noProof/>
            <w:webHidden/>
          </w:rPr>
        </w:r>
        <w:r w:rsidR="00801327" w:rsidRPr="00DA13DA">
          <w:rPr>
            <w:noProof/>
            <w:webHidden/>
          </w:rPr>
          <w:fldChar w:fldCharType="separate"/>
        </w:r>
        <w:r w:rsidR="00796CAC">
          <w:rPr>
            <w:noProof/>
            <w:webHidden/>
          </w:rPr>
          <w:t>33</w:t>
        </w:r>
        <w:r w:rsidR="00801327" w:rsidRPr="00DA13DA">
          <w:rPr>
            <w:noProof/>
            <w:webHidden/>
          </w:rPr>
          <w:fldChar w:fldCharType="end"/>
        </w:r>
      </w:hyperlink>
    </w:p>
    <w:p w14:paraId="6F5453D5"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61" w:history="1">
        <w:r w:rsidR="00801327" w:rsidRPr="00DA13DA">
          <w:rPr>
            <w:rStyle w:val="Hyperlink"/>
            <w:bCs/>
            <w:noProof/>
            <w:lang w:val="en-AU"/>
          </w:rPr>
          <w:t>2.8.2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bCs/>
            <w:noProof/>
            <w:lang w:val="en-AU"/>
          </w:rPr>
          <w:t>Comparisons with past reports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_Toc445571661 \h </w:instrText>
        </w:r>
        <w:r w:rsidR="00801327" w:rsidRPr="00DA13DA">
          <w:rPr>
            <w:noProof/>
            <w:webHidden/>
          </w:rPr>
        </w:r>
        <w:r w:rsidR="00801327" w:rsidRPr="00DA13DA">
          <w:rPr>
            <w:noProof/>
            <w:webHidden/>
          </w:rPr>
          <w:fldChar w:fldCharType="separate"/>
        </w:r>
        <w:r w:rsidR="00796CAC">
          <w:rPr>
            <w:noProof/>
            <w:webHidden/>
          </w:rPr>
          <w:t>33</w:t>
        </w:r>
        <w:r w:rsidR="00801327" w:rsidRPr="00DA13DA">
          <w:rPr>
            <w:noProof/>
            <w:webHidden/>
          </w:rPr>
          <w:fldChar w:fldCharType="end"/>
        </w:r>
      </w:hyperlink>
    </w:p>
    <w:p w14:paraId="1120FD88" w14:textId="77777777" w:rsidR="00801327" w:rsidRPr="00B06518" w:rsidRDefault="00C32523" w:rsidP="005D2694">
      <w:pPr>
        <w:pStyle w:val="TOC1"/>
        <w:tabs>
          <w:tab w:val="clear" w:pos="8788"/>
          <w:tab w:val="left" w:pos="567"/>
          <w:tab w:val="right" w:leader="dot" w:pos="12616"/>
        </w:tabs>
        <w:rPr>
          <w:rFonts w:asciiTheme="minorHAnsi" w:eastAsiaTheme="minorEastAsia" w:hAnsiTheme="minorHAnsi" w:cstheme="minorBidi"/>
          <w:noProof/>
          <w:kern w:val="0"/>
          <w:sz w:val="22"/>
          <w:szCs w:val="22"/>
          <w:lang w:val="en-AU" w:eastAsia="en-AU"/>
        </w:rPr>
      </w:pPr>
      <w:hyperlink w:anchor="_Toc445571662" w:history="1">
        <w:r w:rsidR="00801327" w:rsidRPr="00B06518">
          <w:rPr>
            <w:rStyle w:val="Hyperlink"/>
            <w:noProof/>
            <w:lang w:val="en-AU"/>
          </w:rPr>
          <w:t>3</w:t>
        </w:r>
        <w:r w:rsidR="00801327" w:rsidRPr="00B06518">
          <w:rPr>
            <w:rFonts w:asciiTheme="minorHAnsi" w:eastAsiaTheme="minorEastAsia" w:hAnsiTheme="minorHAnsi" w:cstheme="minorBidi"/>
            <w:noProof/>
            <w:kern w:val="0"/>
            <w:sz w:val="22"/>
            <w:szCs w:val="22"/>
            <w:lang w:val="en-AU" w:eastAsia="en-AU"/>
          </w:rPr>
          <w:tab/>
        </w:r>
        <w:r w:rsidR="00801327" w:rsidRPr="00B06518">
          <w:rPr>
            <w:rStyle w:val="Hyperlink"/>
            <w:noProof/>
            <w:lang w:val="en-AU"/>
          </w:rPr>
          <w:t>SAMPLE CHARACTERISTICS</w:t>
        </w:r>
        <w:r w:rsidR="00801327" w:rsidRPr="00B06518">
          <w:rPr>
            <w:noProof/>
            <w:webHidden/>
          </w:rPr>
          <w:tab/>
        </w:r>
        <w:r w:rsidR="00801327" w:rsidRPr="00B06518">
          <w:rPr>
            <w:noProof/>
            <w:webHidden/>
          </w:rPr>
          <w:fldChar w:fldCharType="begin"/>
        </w:r>
        <w:r w:rsidR="00801327" w:rsidRPr="00B06518">
          <w:rPr>
            <w:noProof/>
            <w:webHidden/>
          </w:rPr>
          <w:instrText xml:space="preserve"> PAGEREF _Toc445571662 \h </w:instrText>
        </w:r>
        <w:r w:rsidR="00801327" w:rsidRPr="00B06518">
          <w:rPr>
            <w:noProof/>
            <w:webHidden/>
          </w:rPr>
        </w:r>
        <w:r w:rsidR="00801327" w:rsidRPr="00B06518">
          <w:rPr>
            <w:noProof/>
            <w:webHidden/>
          </w:rPr>
          <w:fldChar w:fldCharType="separate"/>
        </w:r>
        <w:r w:rsidR="00796CAC">
          <w:rPr>
            <w:noProof/>
            <w:webHidden/>
          </w:rPr>
          <w:t>35</w:t>
        </w:r>
        <w:r w:rsidR="00801327" w:rsidRPr="00B06518">
          <w:rPr>
            <w:noProof/>
            <w:webHidden/>
          </w:rPr>
          <w:fldChar w:fldCharType="end"/>
        </w:r>
      </w:hyperlink>
    </w:p>
    <w:p w14:paraId="39AAF44B"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63" w:history="1">
        <w:r w:rsidR="00801327" w:rsidRPr="00DA13DA">
          <w:rPr>
            <w:rStyle w:val="Hyperlink"/>
            <w:b w:val="0"/>
            <w:noProof/>
            <w:lang w:val="en-AU"/>
          </w:rPr>
          <w:t>3.1</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SAMPLE OVERVIEW</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_Toc445571663 \h </w:instrText>
        </w:r>
        <w:r w:rsidR="00801327" w:rsidRPr="00DA13DA">
          <w:rPr>
            <w:b w:val="0"/>
            <w:noProof/>
            <w:webHidden/>
          </w:rPr>
        </w:r>
        <w:r w:rsidR="00801327" w:rsidRPr="00DA13DA">
          <w:rPr>
            <w:b w:val="0"/>
            <w:noProof/>
            <w:webHidden/>
          </w:rPr>
          <w:fldChar w:fldCharType="separate"/>
        </w:r>
        <w:r w:rsidR="00796CAC">
          <w:rPr>
            <w:b w:val="0"/>
            <w:noProof/>
            <w:webHidden/>
          </w:rPr>
          <w:t>35</w:t>
        </w:r>
        <w:r w:rsidR="00801327" w:rsidRPr="00DA13DA">
          <w:rPr>
            <w:b w:val="0"/>
            <w:noProof/>
            <w:webHidden/>
          </w:rPr>
          <w:fldChar w:fldCharType="end"/>
        </w:r>
      </w:hyperlink>
    </w:p>
    <w:p w14:paraId="6E6AA953"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64" w:history="1">
        <w:r w:rsidR="00801327" w:rsidRPr="00DA13DA">
          <w:rPr>
            <w:rStyle w:val="Hyperlink"/>
            <w:b w:val="0"/>
            <w:noProof/>
            <w:lang w:val="en-AU"/>
          </w:rPr>
          <w:t>3.2</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SAMPLE GROUPS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_Toc445571664 \h </w:instrText>
        </w:r>
        <w:r w:rsidR="00801327" w:rsidRPr="00DA13DA">
          <w:rPr>
            <w:b w:val="0"/>
            <w:noProof/>
            <w:webHidden/>
          </w:rPr>
        </w:r>
        <w:r w:rsidR="00801327" w:rsidRPr="00DA13DA">
          <w:rPr>
            <w:b w:val="0"/>
            <w:noProof/>
            <w:webHidden/>
          </w:rPr>
          <w:fldChar w:fldCharType="separate"/>
        </w:r>
        <w:r w:rsidR="00796CAC">
          <w:rPr>
            <w:b w:val="0"/>
            <w:noProof/>
            <w:webHidden/>
          </w:rPr>
          <w:t>37</w:t>
        </w:r>
        <w:r w:rsidR="00801327" w:rsidRPr="00DA13DA">
          <w:rPr>
            <w:b w:val="0"/>
            <w:noProof/>
            <w:webHidden/>
          </w:rPr>
          <w:fldChar w:fldCharType="end"/>
        </w:r>
      </w:hyperlink>
    </w:p>
    <w:p w14:paraId="0CEECB51"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65" w:history="1">
        <w:r w:rsidR="00801327" w:rsidRPr="00DA13DA">
          <w:rPr>
            <w:rStyle w:val="Hyperlink"/>
            <w:noProof/>
            <w:lang w:val="en-AU"/>
          </w:rPr>
          <w:t>3.2.1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Concession Status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_Toc445571665 \h </w:instrText>
        </w:r>
        <w:r w:rsidR="00801327" w:rsidRPr="00DA13DA">
          <w:rPr>
            <w:noProof/>
            <w:webHidden/>
          </w:rPr>
        </w:r>
        <w:r w:rsidR="00801327" w:rsidRPr="00DA13DA">
          <w:rPr>
            <w:noProof/>
            <w:webHidden/>
          </w:rPr>
          <w:fldChar w:fldCharType="separate"/>
        </w:r>
        <w:r w:rsidR="00796CAC">
          <w:rPr>
            <w:noProof/>
            <w:webHidden/>
          </w:rPr>
          <w:t>37</w:t>
        </w:r>
        <w:r w:rsidR="00801327" w:rsidRPr="00DA13DA">
          <w:rPr>
            <w:noProof/>
            <w:webHidden/>
          </w:rPr>
          <w:fldChar w:fldCharType="end"/>
        </w:r>
      </w:hyperlink>
    </w:p>
    <w:p w14:paraId="3FFAA723"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66" w:history="1">
        <w:r w:rsidR="00801327" w:rsidRPr="00DA13DA">
          <w:rPr>
            <w:rStyle w:val="Hyperlink"/>
            <w:noProof/>
            <w:lang w:val="en-AU"/>
          </w:rPr>
          <w:t>3.2.2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Age and Gender of the Selected Respondent</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_Toc445571666 \h </w:instrText>
        </w:r>
        <w:r w:rsidR="00801327" w:rsidRPr="00DA13DA">
          <w:rPr>
            <w:noProof/>
            <w:webHidden/>
          </w:rPr>
        </w:r>
        <w:r w:rsidR="00801327" w:rsidRPr="00DA13DA">
          <w:rPr>
            <w:noProof/>
            <w:webHidden/>
          </w:rPr>
          <w:fldChar w:fldCharType="separate"/>
        </w:r>
        <w:r w:rsidR="00796CAC">
          <w:rPr>
            <w:noProof/>
            <w:webHidden/>
          </w:rPr>
          <w:t>39</w:t>
        </w:r>
        <w:r w:rsidR="00801327" w:rsidRPr="00DA13DA">
          <w:rPr>
            <w:noProof/>
            <w:webHidden/>
          </w:rPr>
          <w:fldChar w:fldCharType="end"/>
        </w:r>
      </w:hyperlink>
    </w:p>
    <w:p w14:paraId="0DEAB2D9"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67" w:history="1">
        <w:r w:rsidR="00801327" w:rsidRPr="00DA13DA">
          <w:rPr>
            <w:rStyle w:val="Hyperlink"/>
            <w:b w:val="0"/>
            <w:noProof/>
            <w:lang w:val="en-AU"/>
          </w:rPr>
          <w:t>3.3</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HOUSEHOLD PROFILE</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_Toc445571667 \h </w:instrText>
        </w:r>
        <w:r w:rsidR="00801327" w:rsidRPr="00DA13DA">
          <w:rPr>
            <w:b w:val="0"/>
            <w:noProof/>
            <w:webHidden/>
          </w:rPr>
        </w:r>
        <w:r w:rsidR="00801327" w:rsidRPr="00DA13DA">
          <w:rPr>
            <w:b w:val="0"/>
            <w:noProof/>
            <w:webHidden/>
          </w:rPr>
          <w:fldChar w:fldCharType="separate"/>
        </w:r>
        <w:r w:rsidR="00796CAC">
          <w:rPr>
            <w:b w:val="0"/>
            <w:noProof/>
            <w:webHidden/>
          </w:rPr>
          <w:t>41</w:t>
        </w:r>
        <w:r w:rsidR="00801327" w:rsidRPr="00DA13DA">
          <w:rPr>
            <w:b w:val="0"/>
            <w:noProof/>
            <w:webHidden/>
          </w:rPr>
          <w:fldChar w:fldCharType="end"/>
        </w:r>
      </w:hyperlink>
    </w:p>
    <w:p w14:paraId="7FDBED18"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68" w:history="1">
        <w:r w:rsidR="00801327" w:rsidRPr="00DA13DA">
          <w:rPr>
            <w:rStyle w:val="Hyperlink"/>
            <w:noProof/>
            <w:lang w:val="en-AU"/>
          </w:rPr>
          <w:t>3.3.1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Length of Time Living at Current Address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_Toc445571668 \h </w:instrText>
        </w:r>
        <w:r w:rsidR="00801327" w:rsidRPr="00DA13DA">
          <w:rPr>
            <w:noProof/>
            <w:webHidden/>
          </w:rPr>
        </w:r>
        <w:r w:rsidR="00801327" w:rsidRPr="00DA13DA">
          <w:rPr>
            <w:noProof/>
            <w:webHidden/>
          </w:rPr>
          <w:fldChar w:fldCharType="separate"/>
        </w:r>
        <w:r w:rsidR="00796CAC">
          <w:rPr>
            <w:noProof/>
            <w:webHidden/>
          </w:rPr>
          <w:t>41</w:t>
        </w:r>
        <w:r w:rsidR="00801327" w:rsidRPr="00DA13DA">
          <w:rPr>
            <w:noProof/>
            <w:webHidden/>
          </w:rPr>
          <w:fldChar w:fldCharType="end"/>
        </w:r>
      </w:hyperlink>
    </w:p>
    <w:p w14:paraId="3323AFC0"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69" w:history="1">
        <w:r w:rsidR="00801327" w:rsidRPr="00DA13DA">
          <w:rPr>
            <w:rStyle w:val="Hyperlink"/>
            <w:noProof/>
            <w:lang w:val="en-AU"/>
          </w:rPr>
          <w:t>3.3.2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Household Size</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_Toc445571669 \h </w:instrText>
        </w:r>
        <w:r w:rsidR="00801327" w:rsidRPr="00DA13DA">
          <w:rPr>
            <w:noProof/>
            <w:webHidden/>
          </w:rPr>
        </w:r>
        <w:r w:rsidR="00801327" w:rsidRPr="00DA13DA">
          <w:rPr>
            <w:noProof/>
            <w:webHidden/>
          </w:rPr>
          <w:fldChar w:fldCharType="separate"/>
        </w:r>
        <w:r w:rsidR="00796CAC">
          <w:rPr>
            <w:noProof/>
            <w:webHidden/>
          </w:rPr>
          <w:t>42</w:t>
        </w:r>
        <w:r w:rsidR="00801327" w:rsidRPr="00DA13DA">
          <w:rPr>
            <w:noProof/>
            <w:webHidden/>
          </w:rPr>
          <w:fldChar w:fldCharType="end"/>
        </w:r>
      </w:hyperlink>
    </w:p>
    <w:p w14:paraId="7B1A204E"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70" w:history="1">
        <w:r w:rsidR="00801327" w:rsidRPr="00DA13DA">
          <w:rPr>
            <w:rStyle w:val="Hyperlink"/>
            <w:noProof/>
            <w:lang w:val="en-AU"/>
          </w:rPr>
          <w:t>3.3.3</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Incidence of Children under 15 in Household</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_Toc445571670 \h </w:instrText>
        </w:r>
        <w:r w:rsidR="00801327" w:rsidRPr="00DA13DA">
          <w:rPr>
            <w:noProof/>
            <w:webHidden/>
          </w:rPr>
        </w:r>
        <w:r w:rsidR="00801327" w:rsidRPr="00DA13DA">
          <w:rPr>
            <w:noProof/>
            <w:webHidden/>
          </w:rPr>
          <w:fldChar w:fldCharType="separate"/>
        </w:r>
        <w:r w:rsidR="00796CAC">
          <w:rPr>
            <w:noProof/>
            <w:webHidden/>
          </w:rPr>
          <w:t>43</w:t>
        </w:r>
        <w:r w:rsidR="00801327" w:rsidRPr="00DA13DA">
          <w:rPr>
            <w:noProof/>
            <w:webHidden/>
          </w:rPr>
          <w:fldChar w:fldCharType="end"/>
        </w:r>
      </w:hyperlink>
    </w:p>
    <w:p w14:paraId="34563C15"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71" w:history="1">
        <w:r w:rsidR="00801327" w:rsidRPr="00DA13DA">
          <w:rPr>
            <w:rStyle w:val="Hyperlink"/>
            <w:noProof/>
            <w:lang w:val="en-AU"/>
          </w:rPr>
          <w:t>3.3.4</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Derived Total Household Income</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_Toc445571671 \h </w:instrText>
        </w:r>
        <w:r w:rsidR="00801327" w:rsidRPr="00DA13DA">
          <w:rPr>
            <w:noProof/>
            <w:webHidden/>
          </w:rPr>
        </w:r>
        <w:r w:rsidR="00801327" w:rsidRPr="00DA13DA">
          <w:rPr>
            <w:noProof/>
            <w:webHidden/>
          </w:rPr>
          <w:fldChar w:fldCharType="separate"/>
        </w:r>
        <w:r w:rsidR="00796CAC">
          <w:rPr>
            <w:noProof/>
            <w:webHidden/>
          </w:rPr>
          <w:t>44</w:t>
        </w:r>
        <w:r w:rsidR="00801327" w:rsidRPr="00DA13DA">
          <w:rPr>
            <w:noProof/>
            <w:webHidden/>
          </w:rPr>
          <w:fldChar w:fldCharType="end"/>
        </w:r>
      </w:hyperlink>
    </w:p>
    <w:p w14:paraId="6B4BD342"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72" w:history="1">
        <w:r w:rsidR="00801327" w:rsidRPr="00DA13DA">
          <w:rPr>
            <w:rStyle w:val="Hyperlink"/>
            <w:noProof/>
            <w:lang w:val="en-AU"/>
          </w:rPr>
          <w:t>3.3.5</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Main Language Spoken in the Household</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_Toc445571672 \h </w:instrText>
        </w:r>
        <w:r w:rsidR="00801327" w:rsidRPr="00DA13DA">
          <w:rPr>
            <w:noProof/>
            <w:webHidden/>
          </w:rPr>
        </w:r>
        <w:r w:rsidR="00801327" w:rsidRPr="00DA13DA">
          <w:rPr>
            <w:noProof/>
            <w:webHidden/>
          </w:rPr>
          <w:fldChar w:fldCharType="separate"/>
        </w:r>
        <w:r w:rsidR="00796CAC">
          <w:rPr>
            <w:noProof/>
            <w:webHidden/>
          </w:rPr>
          <w:t>46</w:t>
        </w:r>
        <w:r w:rsidR="00801327" w:rsidRPr="00DA13DA">
          <w:rPr>
            <w:noProof/>
            <w:webHidden/>
          </w:rPr>
          <w:fldChar w:fldCharType="end"/>
        </w:r>
      </w:hyperlink>
    </w:p>
    <w:p w14:paraId="56F47ED1"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73" w:history="1">
        <w:r w:rsidR="00801327" w:rsidRPr="00DA13DA">
          <w:rPr>
            <w:rStyle w:val="Hyperlink"/>
            <w:noProof/>
            <w:lang w:val="en-AU"/>
          </w:rPr>
          <w:t>3.3.6</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Home Ownership Status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_Toc445571673 \h </w:instrText>
        </w:r>
        <w:r w:rsidR="00801327" w:rsidRPr="00DA13DA">
          <w:rPr>
            <w:noProof/>
            <w:webHidden/>
          </w:rPr>
        </w:r>
        <w:r w:rsidR="00801327" w:rsidRPr="00DA13DA">
          <w:rPr>
            <w:noProof/>
            <w:webHidden/>
          </w:rPr>
          <w:fldChar w:fldCharType="separate"/>
        </w:r>
        <w:r w:rsidR="00796CAC">
          <w:rPr>
            <w:noProof/>
            <w:webHidden/>
          </w:rPr>
          <w:t>47</w:t>
        </w:r>
        <w:r w:rsidR="00801327" w:rsidRPr="00DA13DA">
          <w:rPr>
            <w:noProof/>
            <w:webHidden/>
          </w:rPr>
          <w:fldChar w:fldCharType="end"/>
        </w:r>
      </w:hyperlink>
    </w:p>
    <w:p w14:paraId="7CB1EADE"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74" w:history="1">
        <w:r w:rsidR="00801327" w:rsidRPr="00DA13DA">
          <w:rPr>
            <w:rStyle w:val="Hyperlink"/>
            <w:noProof/>
            <w:lang w:val="en-AU"/>
          </w:rPr>
          <w:t>3.3.7</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Incidence of Other Household Members Holding Concession Cards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_Toc445571674 \h </w:instrText>
        </w:r>
        <w:r w:rsidR="00801327" w:rsidRPr="00DA13DA">
          <w:rPr>
            <w:noProof/>
            <w:webHidden/>
          </w:rPr>
        </w:r>
        <w:r w:rsidR="00801327" w:rsidRPr="00DA13DA">
          <w:rPr>
            <w:noProof/>
            <w:webHidden/>
          </w:rPr>
          <w:fldChar w:fldCharType="separate"/>
        </w:r>
        <w:r w:rsidR="00796CAC">
          <w:rPr>
            <w:noProof/>
            <w:webHidden/>
          </w:rPr>
          <w:t>48</w:t>
        </w:r>
        <w:r w:rsidR="00801327" w:rsidRPr="00DA13DA">
          <w:rPr>
            <w:noProof/>
            <w:webHidden/>
          </w:rPr>
          <w:fldChar w:fldCharType="end"/>
        </w:r>
      </w:hyperlink>
    </w:p>
    <w:p w14:paraId="508C49C6"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75" w:history="1">
        <w:r w:rsidR="00801327" w:rsidRPr="00DA13DA">
          <w:rPr>
            <w:rStyle w:val="Hyperlink"/>
            <w:noProof/>
            <w:lang w:val="en-AU"/>
          </w:rPr>
          <w:t>3.3.8</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Registered Motor Vehicles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_Toc445571675 \h </w:instrText>
        </w:r>
        <w:r w:rsidR="00801327" w:rsidRPr="00DA13DA">
          <w:rPr>
            <w:noProof/>
            <w:webHidden/>
          </w:rPr>
        </w:r>
        <w:r w:rsidR="00801327" w:rsidRPr="00DA13DA">
          <w:rPr>
            <w:noProof/>
            <w:webHidden/>
          </w:rPr>
          <w:fldChar w:fldCharType="separate"/>
        </w:r>
        <w:r w:rsidR="00796CAC">
          <w:rPr>
            <w:noProof/>
            <w:webHidden/>
          </w:rPr>
          <w:t>50</w:t>
        </w:r>
        <w:r w:rsidR="00801327" w:rsidRPr="00DA13DA">
          <w:rPr>
            <w:noProof/>
            <w:webHidden/>
          </w:rPr>
          <w:fldChar w:fldCharType="end"/>
        </w:r>
      </w:hyperlink>
    </w:p>
    <w:p w14:paraId="30F705F9"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76" w:history="1">
        <w:r w:rsidR="00801327" w:rsidRPr="00DA13DA">
          <w:rPr>
            <w:rStyle w:val="Hyperlink"/>
            <w:noProof/>
            <w:lang w:val="en-AU"/>
          </w:rPr>
          <w:t>3.3.9</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Date when Home was Built</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_Toc445571676 \h </w:instrText>
        </w:r>
        <w:r w:rsidR="00801327" w:rsidRPr="00DA13DA">
          <w:rPr>
            <w:noProof/>
            <w:webHidden/>
          </w:rPr>
        </w:r>
        <w:r w:rsidR="00801327" w:rsidRPr="00DA13DA">
          <w:rPr>
            <w:noProof/>
            <w:webHidden/>
          </w:rPr>
          <w:fldChar w:fldCharType="separate"/>
        </w:r>
        <w:r w:rsidR="00796CAC">
          <w:rPr>
            <w:noProof/>
            <w:webHidden/>
          </w:rPr>
          <w:t>52</w:t>
        </w:r>
        <w:r w:rsidR="00801327" w:rsidRPr="00DA13DA">
          <w:rPr>
            <w:noProof/>
            <w:webHidden/>
          </w:rPr>
          <w:fldChar w:fldCharType="end"/>
        </w:r>
      </w:hyperlink>
    </w:p>
    <w:p w14:paraId="0FAD0185"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77" w:history="1">
        <w:r w:rsidR="00801327" w:rsidRPr="00DA13DA">
          <w:rPr>
            <w:rStyle w:val="Hyperlink"/>
            <w:noProof/>
            <w:lang w:val="en-AU"/>
          </w:rPr>
          <w:t>3.3.10</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Number of Bedrooms in the Home</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_Toc445571677 \h </w:instrText>
        </w:r>
        <w:r w:rsidR="00801327" w:rsidRPr="00DA13DA">
          <w:rPr>
            <w:noProof/>
            <w:webHidden/>
          </w:rPr>
        </w:r>
        <w:r w:rsidR="00801327" w:rsidRPr="00DA13DA">
          <w:rPr>
            <w:noProof/>
            <w:webHidden/>
          </w:rPr>
          <w:fldChar w:fldCharType="separate"/>
        </w:r>
        <w:r w:rsidR="00796CAC">
          <w:rPr>
            <w:noProof/>
            <w:webHidden/>
          </w:rPr>
          <w:t>54</w:t>
        </w:r>
        <w:r w:rsidR="00801327" w:rsidRPr="00DA13DA">
          <w:rPr>
            <w:noProof/>
            <w:webHidden/>
          </w:rPr>
          <w:fldChar w:fldCharType="end"/>
        </w:r>
      </w:hyperlink>
    </w:p>
    <w:p w14:paraId="7B1FF98B"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78" w:history="1">
        <w:r w:rsidR="00801327" w:rsidRPr="00DA13DA">
          <w:rPr>
            <w:rStyle w:val="Hyperlink"/>
            <w:noProof/>
            <w:lang w:val="en-AU"/>
          </w:rPr>
          <w:t>3.3.11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Material from which Home is Built</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_Toc445571678 \h </w:instrText>
        </w:r>
        <w:r w:rsidR="00801327" w:rsidRPr="00DA13DA">
          <w:rPr>
            <w:noProof/>
            <w:webHidden/>
          </w:rPr>
        </w:r>
        <w:r w:rsidR="00801327" w:rsidRPr="00DA13DA">
          <w:rPr>
            <w:noProof/>
            <w:webHidden/>
          </w:rPr>
          <w:fldChar w:fldCharType="separate"/>
        </w:r>
        <w:r w:rsidR="00796CAC">
          <w:rPr>
            <w:noProof/>
            <w:webHidden/>
          </w:rPr>
          <w:t>56</w:t>
        </w:r>
        <w:r w:rsidR="00801327" w:rsidRPr="00DA13DA">
          <w:rPr>
            <w:noProof/>
            <w:webHidden/>
          </w:rPr>
          <w:fldChar w:fldCharType="end"/>
        </w:r>
      </w:hyperlink>
    </w:p>
    <w:p w14:paraId="14B54C79"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79" w:history="1">
        <w:r w:rsidR="00801327" w:rsidRPr="00DA13DA">
          <w:rPr>
            <w:rStyle w:val="Hyperlink"/>
            <w:noProof/>
            <w:lang w:val="en-AU"/>
          </w:rPr>
          <w:t>3.3.12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Dwelling Type</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_Toc445571679 \h </w:instrText>
        </w:r>
        <w:r w:rsidR="00801327" w:rsidRPr="00DA13DA">
          <w:rPr>
            <w:noProof/>
            <w:webHidden/>
          </w:rPr>
        </w:r>
        <w:r w:rsidR="00801327" w:rsidRPr="00DA13DA">
          <w:rPr>
            <w:noProof/>
            <w:webHidden/>
          </w:rPr>
          <w:fldChar w:fldCharType="separate"/>
        </w:r>
        <w:r w:rsidR="00796CAC">
          <w:rPr>
            <w:noProof/>
            <w:webHidden/>
          </w:rPr>
          <w:t>58</w:t>
        </w:r>
        <w:r w:rsidR="00801327" w:rsidRPr="00DA13DA">
          <w:rPr>
            <w:noProof/>
            <w:webHidden/>
          </w:rPr>
          <w:fldChar w:fldCharType="end"/>
        </w:r>
      </w:hyperlink>
    </w:p>
    <w:p w14:paraId="0A4384EB"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80" w:history="1">
        <w:r w:rsidR="00801327" w:rsidRPr="00DA13DA">
          <w:rPr>
            <w:rStyle w:val="Hyperlink"/>
            <w:noProof/>
            <w:lang w:val="en-AU"/>
          </w:rPr>
          <w:t>3.3.13</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Incidence of Ceiling Insulation</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_Toc445571680 \h </w:instrText>
        </w:r>
        <w:r w:rsidR="00801327" w:rsidRPr="00DA13DA">
          <w:rPr>
            <w:noProof/>
            <w:webHidden/>
          </w:rPr>
        </w:r>
        <w:r w:rsidR="00801327" w:rsidRPr="00DA13DA">
          <w:rPr>
            <w:noProof/>
            <w:webHidden/>
          </w:rPr>
          <w:fldChar w:fldCharType="separate"/>
        </w:r>
        <w:r w:rsidR="00796CAC">
          <w:rPr>
            <w:noProof/>
            <w:webHidden/>
          </w:rPr>
          <w:t>60</w:t>
        </w:r>
        <w:r w:rsidR="00801327" w:rsidRPr="00DA13DA">
          <w:rPr>
            <w:noProof/>
            <w:webHidden/>
          </w:rPr>
          <w:fldChar w:fldCharType="end"/>
        </w:r>
      </w:hyperlink>
    </w:p>
    <w:p w14:paraId="5B4EDF5F"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81" w:history="1">
        <w:r w:rsidR="00801327" w:rsidRPr="00DA13DA">
          <w:rPr>
            <w:rStyle w:val="Hyperlink"/>
            <w:b w:val="0"/>
            <w:noProof/>
            <w:lang w:val="en-AU"/>
          </w:rPr>
          <w:t>3.4</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RESPONDENT PROFILE</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_Toc445571681 \h </w:instrText>
        </w:r>
        <w:r w:rsidR="00801327" w:rsidRPr="00DA13DA">
          <w:rPr>
            <w:b w:val="0"/>
            <w:noProof/>
            <w:webHidden/>
          </w:rPr>
        </w:r>
        <w:r w:rsidR="00801327" w:rsidRPr="00DA13DA">
          <w:rPr>
            <w:b w:val="0"/>
            <w:noProof/>
            <w:webHidden/>
          </w:rPr>
          <w:fldChar w:fldCharType="separate"/>
        </w:r>
        <w:r w:rsidR="00796CAC">
          <w:rPr>
            <w:b w:val="0"/>
            <w:noProof/>
            <w:webHidden/>
          </w:rPr>
          <w:t>62</w:t>
        </w:r>
        <w:r w:rsidR="00801327" w:rsidRPr="00DA13DA">
          <w:rPr>
            <w:b w:val="0"/>
            <w:noProof/>
            <w:webHidden/>
          </w:rPr>
          <w:fldChar w:fldCharType="end"/>
        </w:r>
      </w:hyperlink>
    </w:p>
    <w:p w14:paraId="7BDC1B98"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82" w:history="1">
        <w:r w:rsidR="00801327" w:rsidRPr="00DA13DA">
          <w:rPr>
            <w:rStyle w:val="Hyperlink"/>
            <w:noProof/>
            <w:lang w:val="en-AU"/>
          </w:rPr>
          <w:t>3.4.1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Length of Time Holding a Concession Card</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_Toc445571682 \h </w:instrText>
        </w:r>
        <w:r w:rsidR="00801327" w:rsidRPr="00DA13DA">
          <w:rPr>
            <w:noProof/>
            <w:webHidden/>
          </w:rPr>
        </w:r>
        <w:r w:rsidR="00801327" w:rsidRPr="00DA13DA">
          <w:rPr>
            <w:noProof/>
            <w:webHidden/>
          </w:rPr>
          <w:fldChar w:fldCharType="separate"/>
        </w:r>
        <w:r w:rsidR="00796CAC">
          <w:rPr>
            <w:noProof/>
            <w:webHidden/>
          </w:rPr>
          <w:t>62</w:t>
        </w:r>
        <w:r w:rsidR="00801327" w:rsidRPr="00DA13DA">
          <w:rPr>
            <w:noProof/>
            <w:webHidden/>
          </w:rPr>
          <w:fldChar w:fldCharType="end"/>
        </w:r>
      </w:hyperlink>
    </w:p>
    <w:p w14:paraId="461B9F7D"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83" w:history="1">
        <w:r w:rsidR="00801327" w:rsidRPr="00DA13DA">
          <w:rPr>
            <w:rStyle w:val="Hyperlink"/>
            <w:noProof/>
            <w:lang w:val="en-AU"/>
          </w:rPr>
          <w:t>3.4.2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Employment Status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_Toc445571683 \h </w:instrText>
        </w:r>
        <w:r w:rsidR="00801327" w:rsidRPr="00DA13DA">
          <w:rPr>
            <w:noProof/>
            <w:webHidden/>
          </w:rPr>
        </w:r>
        <w:r w:rsidR="00801327" w:rsidRPr="00DA13DA">
          <w:rPr>
            <w:noProof/>
            <w:webHidden/>
          </w:rPr>
          <w:fldChar w:fldCharType="separate"/>
        </w:r>
        <w:r w:rsidR="00796CAC">
          <w:rPr>
            <w:noProof/>
            <w:webHidden/>
          </w:rPr>
          <w:t>63</w:t>
        </w:r>
        <w:r w:rsidR="00801327" w:rsidRPr="00DA13DA">
          <w:rPr>
            <w:noProof/>
            <w:webHidden/>
          </w:rPr>
          <w:fldChar w:fldCharType="end"/>
        </w:r>
      </w:hyperlink>
    </w:p>
    <w:p w14:paraId="2CC24F42"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84" w:history="1">
        <w:r w:rsidR="00801327" w:rsidRPr="00DA13DA">
          <w:rPr>
            <w:rStyle w:val="Hyperlink"/>
            <w:noProof/>
            <w:lang w:val="en-AU"/>
          </w:rPr>
          <w:t>3.4.3</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Income Sources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_Toc445571684 \h </w:instrText>
        </w:r>
        <w:r w:rsidR="00801327" w:rsidRPr="00DA13DA">
          <w:rPr>
            <w:noProof/>
            <w:webHidden/>
          </w:rPr>
        </w:r>
        <w:r w:rsidR="00801327" w:rsidRPr="00DA13DA">
          <w:rPr>
            <w:noProof/>
            <w:webHidden/>
          </w:rPr>
          <w:fldChar w:fldCharType="separate"/>
        </w:r>
        <w:r w:rsidR="00796CAC">
          <w:rPr>
            <w:noProof/>
            <w:webHidden/>
          </w:rPr>
          <w:t>65</w:t>
        </w:r>
        <w:r w:rsidR="00801327" w:rsidRPr="00DA13DA">
          <w:rPr>
            <w:noProof/>
            <w:webHidden/>
          </w:rPr>
          <w:fldChar w:fldCharType="end"/>
        </w:r>
      </w:hyperlink>
    </w:p>
    <w:p w14:paraId="35677071"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85" w:history="1">
        <w:r w:rsidR="00801327" w:rsidRPr="00DA13DA">
          <w:rPr>
            <w:rStyle w:val="Hyperlink"/>
            <w:noProof/>
            <w:lang w:val="en-AU"/>
          </w:rPr>
          <w:t>3.4.4</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Personal Income</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_Toc445571685 \h </w:instrText>
        </w:r>
        <w:r w:rsidR="00801327" w:rsidRPr="00DA13DA">
          <w:rPr>
            <w:noProof/>
            <w:webHidden/>
          </w:rPr>
        </w:r>
        <w:r w:rsidR="00801327" w:rsidRPr="00DA13DA">
          <w:rPr>
            <w:noProof/>
            <w:webHidden/>
          </w:rPr>
          <w:fldChar w:fldCharType="separate"/>
        </w:r>
        <w:r w:rsidR="00796CAC">
          <w:rPr>
            <w:noProof/>
            <w:webHidden/>
          </w:rPr>
          <w:t>66</w:t>
        </w:r>
        <w:r w:rsidR="00801327" w:rsidRPr="00DA13DA">
          <w:rPr>
            <w:noProof/>
            <w:webHidden/>
          </w:rPr>
          <w:fldChar w:fldCharType="end"/>
        </w:r>
      </w:hyperlink>
    </w:p>
    <w:p w14:paraId="5C51743E"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86" w:history="1">
        <w:r w:rsidR="00801327" w:rsidRPr="00DA13DA">
          <w:rPr>
            <w:rStyle w:val="Hyperlink"/>
            <w:noProof/>
            <w:lang w:val="en-AU"/>
          </w:rPr>
          <w:t>3.4.5</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Derived Personal Income</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_Toc445571686 \h </w:instrText>
        </w:r>
        <w:r w:rsidR="00801327" w:rsidRPr="00DA13DA">
          <w:rPr>
            <w:noProof/>
            <w:webHidden/>
          </w:rPr>
        </w:r>
        <w:r w:rsidR="00801327" w:rsidRPr="00DA13DA">
          <w:rPr>
            <w:noProof/>
            <w:webHidden/>
          </w:rPr>
          <w:fldChar w:fldCharType="separate"/>
        </w:r>
        <w:r w:rsidR="00796CAC">
          <w:rPr>
            <w:noProof/>
            <w:webHidden/>
          </w:rPr>
          <w:t>67</w:t>
        </w:r>
        <w:r w:rsidR="00801327" w:rsidRPr="00DA13DA">
          <w:rPr>
            <w:noProof/>
            <w:webHidden/>
          </w:rPr>
          <w:fldChar w:fldCharType="end"/>
        </w:r>
      </w:hyperlink>
    </w:p>
    <w:p w14:paraId="3BE55C85" w14:textId="77777777" w:rsidR="00801327" w:rsidRPr="00B06518" w:rsidRDefault="00C32523" w:rsidP="005D2694">
      <w:pPr>
        <w:pStyle w:val="TOC1"/>
        <w:tabs>
          <w:tab w:val="clear" w:pos="8788"/>
          <w:tab w:val="left" w:pos="567"/>
          <w:tab w:val="right" w:leader="dot" w:pos="12616"/>
        </w:tabs>
        <w:rPr>
          <w:rFonts w:asciiTheme="minorHAnsi" w:eastAsiaTheme="minorEastAsia" w:hAnsiTheme="minorHAnsi" w:cstheme="minorBidi"/>
          <w:noProof/>
          <w:kern w:val="0"/>
          <w:sz w:val="22"/>
          <w:szCs w:val="22"/>
          <w:lang w:val="en-AU" w:eastAsia="en-AU"/>
        </w:rPr>
      </w:pPr>
      <w:hyperlink w:anchor="_Toc445571687" w:history="1">
        <w:r w:rsidR="00801327" w:rsidRPr="00B06518">
          <w:rPr>
            <w:rStyle w:val="Hyperlink"/>
            <w:noProof/>
            <w:lang w:val="en-AU"/>
          </w:rPr>
          <w:t>4</w:t>
        </w:r>
        <w:r w:rsidR="00801327" w:rsidRPr="00B06518">
          <w:rPr>
            <w:rFonts w:asciiTheme="minorHAnsi" w:eastAsiaTheme="minorEastAsia" w:hAnsiTheme="minorHAnsi" w:cstheme="minorBidi"/>
            <w:noProof/>
            <w:kern w:val="0"/>
            <w:sz w:val="22"/>
            <w:szCs w:val="22"/>
            <w:lang w:val="en-AU" w:eastAsia="en-AU"/>
          </w:rPr>
          <w:tab/>
        </w:r>
        <w:r w:rsidR="00801327" w:rsidRPr="00B06518">
          <w:rPr>
            <w:rStyle w:val="Hyperlink"/>
            <w:noProof/>
            <w:lang w:val="en-AU"/>
          </w:rPr>
          <w:t>ENERGY CONSUMPTION AND EXPENDITURE</w:t>
        </w:r>
        <w:r w:rsidR="00801327" w:rsidRPr="00B06518">
          <w:rPr>
            <w:noProof/>
            <w:webHidden/>
          </w:rPr>
          <w:tab/>
        </w:r>
        <w:r w:rsidR="00801327" w:rsidRPr="00B06518">
          <w:rPr>
            <w:noProof/>
            <w:webHidden/>
          </w:rPr>
          <w:fldChar w:fldCharType="begin"/>
        </w:r>
        <w:r w:rsidR="00801327" w:rsidRPr="00B06518">
          <w:rPr>
            <w:noProof/>
            <w:webHidden/>
          </w:rPr>
          <w:instrText xml:space="preserve"> PAGEREF _Toc445571687 \h </w:instrText>
        </w:r>
        <w:r w:rsidR="00801327" w:rsidRPr="00B06518">
          <w:rPr>
            <w:noProof/>
            <w:webHidden/>
          </w:rPr>
        </w:r>
        <w:r w:rsidR="00801327" w:rsidRPr="00B06518">
          <w:rPr>
            <w:noProof/>
            <w:webHidden/>
          </w:rPr>
          <w:fldChar w:fldCharType="separate"/>
        </w:r>
        <w:r w:rsidR="00796CAC">
          <w:rPr>
            <w:noProof/>
            <w:webHidden/>
          </w:rPr>
          <w:t>69</w:t>
        </w:r>
        <w:r w:rsidR="00801327" w:rsidRPr="00B06518">
          <w:rPr>
            <w:noProof/>
            <w:webHidden/>
          </w:rPr>
          <w:fldChar w:fldCharType="end"/>
        </w:r>
      </w:hyperlink>
    </w:p>
    <w:p w14:paraId="691B26AB"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88" w:history="1">
        <w:r w:rsidR="00801327" w:rsidRPr="00DA13DA">
          <w:rPr>
            <w:rStyle w:val="Hyperlink"/>
            <w:b w:val="0"/>
            <w:noProof/>
            <w:lang w:val="en-AU"/>
          </w:rPr>
          <w:t>4.1</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USE OF ELECTRICITY AND GAS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_Toc445571688 \h </w:instrText>
        </w:r>
        <w:r w:rsidR="00801327" w:rsidRPr="00DA13DA">
          <w:rPr>
            <w:b w:val="0"/>
            <w:noProof/>
            <w:webHidden/>
          </w:rPr>
        </w:r>
        <w:r w:rsidR="00801327" w:rsidRPr="00DA13DA">
          <w:rPr>
            <w:b w:val="0"/>
            <w:noProof/>
            <w:webHidden/>
          </w:rPr>
          <w:fldChar w:fldCharType="separate"/>
        </w:r>
        <w:r w:rsidR="00796CAC">
          <w:rPr>
            <w:b w:val="0"/>
            <w:noProof/>
            <w:webHidden/>
          </w:rPr>
          <w:t>69</w:t>
        </w:r>
        <w:r w:rsidR="00801327" w:rsidRPr="00DA13DA">
          <w:rPr>
            <w:b w:val="0"/>
            <w:noProof/>
            <w:webHidden/>
          </w:rPr>
          <w:fldChar w:fldCharType="end"/>
        </w:r>
      </w:hyperlink>
    </w:p>
    <w:p w14:paraId="51A74B7B"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89" w:history="1">
        <w:r w:rsidR="00801327" w:rsidRPr="00DA13DA">
          <w:rPr>
            <w:rStyle w:val="Hyperlink"/>
            <w:noProof/>
            <w:lang w:val="en-AU"/>
          </w:rPr>
          <w:t>4.1.1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Incidence of Electricity Use</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_Toc445571689 \h </w:instrText>
        </w:r>
        <w:r w:rsidR="00801327" w:rsidRPr="00DA13DA">
          <w:rPr>
            <w:noProof/>
            <w:webHidden/>
          </w:rPr>
        </w:r>
        <w:r w:rsidR="00801327" w:rsidRPr="00DA13DA">
          <w:rPr>
            <w:noProof/>
            <w:webHidden/>
          </w:rPr>
          <w:fldChar w:fldCharType="separate"/>
        </w:r>
        <w:r w:rsidR="00796CAC">
          <w:rPr>
            <w:noProof/>
            <w:webHidden/>
          </w:rPr>
          <w:t>69</w:t>
        </w:r>
        <w:r w:rsidR="00801327" w:rsidRPr="00DA13DA">
          <w:rPr>
            <w:noProof/>
            <w:webHidden/>
          </w:rPr>
          <w:fldChar w:fldCharType="end"/>
        </w:r>
      </w:hyperlink>
    </w:p>
    <w:p w14:paraId="1A0793F7"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90" w:history="1">
        <w:r w:rsidR="00801327" w:rsidRPr="00DA13DA">
          <w:rPr>
            <w:rStyle w:val="Hyperlink"/>
            <w:noProof/>
            <w:lang w:val="en-AU"/>
          </w:rPr>
          <w:t>4.1.2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Incidence of Gas Use</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_Toc445571690 \h </w:instrText>
        </w:r>
        <w:r w:rsidR="00801327" w:rsidRPr="00DA13DA">
          <w:rPr>
            <w:noProof/>
            <w:webHidden/>
          </w:rPr>
        </w:r>
        <w:r w:rsidR="00801327" w:rsidRPr="00DA13DA">
          <w:rPr>
            <w:noProof/>
            <w:webHidden/>
          </w:rPr>
          <w:fldChar w:fldCharType="separate"/>
        </w:r>
        <w:r w:rsidR="00796CAC">
          <w:rPr>
            <w:noProof/>
            <w:webHidden/>
          </w:rPr>
          <w:t>69</w:t>
        </w:r>
        <w:r w:rsidR="00801327" w:rsidRPr="00DA13DA">
          <w:rPr>
            <w:noProof/>
            <w:webHidden/>
          </w:rPr>
          <w:fldChar w:fldCharType="end"/>
        </w:r>
      </w:hyperlink>
    </w:p>
    <w:p w14:paraId="2FC41BE2"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91" w:history="1">
        <w:r w:rsidR="00801327" w:rsidRPr="00DA13DA">
          <w:rPr>
            <w:rStyle w:val="Hyperlink"/>
            <w:b w:val="0"/>
            <w:noProof/>
            <w:lang w:val="en-AU"/>
          </w:rPr>
          <w:t>4.2</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ELECTRICITY COSTS AND CONSUMPTION</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_Toc445571691 \h </w:instrText>
        </w:r>
        <w:r w:rsidR="00801327" w:rsidRPr="00DA13DA">
          <w:rPr>
            <w:b w:val="0"/>
            <w:noProof/>
            <w:webHidden/>
          </w:rPr>
        </w:r>
        <w:r w:rsidR="00801327" w:rsidRPr="00DA13DA">
          <w:rPr>
            <w:b w:val="0"/>
            <w:noProof/>
            <w:webHidden/>
          </w:rPr>
          <w:fldChar w:fldCharType="separate"/>
        </w:r>
        <w:r w:rsidR="00796CAC">
          <w:rPr>
            <w:b w:val="0"/>
            <w:noProof/>
            <w:webHidden/>
          </w:rPr>
          <w:t>73</w:t>
        </w:r>
        <w:r w:rsidR="00801327" w:rsidRPr="00DA13DA">
          <w:rPr>
            <w:b w:val="0"/>
            <w:noProof/>
            <w:webHidden/>
          </w:rPr>
          <w:fldChar w:fldCharType="end"/>
        </w:r>
      </w:hyperlink>
    </w:p>
    <w:p w14:paraId="116E8CF0"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92" w:history="1">
        <w:r w:rsidR="00801327" w:rsidRPr="00DA13DA">
          <w:rPr>
            <w:rStyle w:val="Hyperlink"/>
            <w:noProof/>
            <w:lang w:val="en-AU"/>
          </w:rPr>
          <w:t>4.2.1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Electricity Consumption</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_Toc445571692 \h </w:instrText>
        </w:r>
        <w:r w:rsidR="00801327" w:rsidRPr="00DA13DA">
          <w:rPr>
            <w:noProof/>
            <w:webHidden/>
          </w:rPr>
        </w:r>
        <w:r w:rsidR="00801327" w:rsidRPr="00DA13DA">
          <w:rPr>
            <w:noProof/>
            <w:webHidden/>
          </w:rPr>
          <w:fldChar w:fldCharType="separate"/>
        </w:r>
        <w:r w:rsidR="00796CAC">
          <w:rPr>
            <w:noProof/>
            <w:webHidden/>
          </w:rPr>
          <w:t>73</w:t>
        </w:r>
        <w:r w:rsidR="00801327" w:rsidRPr="00DA13DA">
          <w:rPr>
            <w:noProof/>
            <w:webHidden/>
          </w:rPr>
          <w:fldChar w:fldCharType="end"/>
        </w:r>
      </w:hyperlink>
    </w:p>
    <w:p w14:paraId="592192E0"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93" w:history="1">
        <w:r w:rsidR="00801327" w:rsidRPr="00DA13DA">
          <w:rPr>
            <w:rStyle w:val="Hyperlink"/>
            <w:noProof/>
            <w:lang w:val="en-AU"/>
          </w:rPr>
          <w:t>4.2.2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Electricity Costs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_Toc445571693 \h </w:instrText>
        </w:r>
        <w:r w:rsidR="00801327" w:rsidRPr="00DA13DA">
          <w:rPr>
            <w:noProof/>
            <w:webHidden/>
          </w:rPr>
        </w:r>
        <w:r w:rsidR="00801327" w:rsidRPr="00DA13DA">
          <w:rPr>
            <w:noProof/>
            <w:webHidden/>
          </w:rPr>
          <w:fldChar w:fldCharType="separate"/>
        </w:r>
        <w:r w:rsidR="00796CAC">
          <w:rPr>
            <w:noProof/>
            <w:webHidden/>
          </w:rPr>
          <w:t>84</w:t>
        </w:r>
        <w:r w:rsidR="00801327" w:rsidRPr="00DA13DA">
          <w:rPr>
            <w:noProof/>
            <w:webHidden/>
          </w:rPr>
          <w:fldChar w:fldCharType="end"/>
        </w:r>
      </w:hyperlink>
    </w:p>
    <w:p w14:paraId="780C8459"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94" w:history="1">
        <w:r w:rsidR="00801327" w:rsidRPr="00DA13DA">
          <w:rPr>
            <w:rStyle w:val="Hyperlink"/>
            <w:b w:val="0"/>
            <w:noProof/>
            <w:lang w:val="en-AU"/>
          </w:rPr>
          <w:t>4.3</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GAS COSTS AND CONSUMPTION</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_Toc445571694 \h </w:instrText>
        </w:r>
        <w:r w:rsidR="00801327" w:rsidRPr="00DA13DA">
          <w:rPr>
            <w:b w:val="0"/>
            <w:noProof/>
            <w:webHidden/>
          </w:rPr>
        </w:r>
        <w:r w:rsidR="00801327" w:rsidRPr="00DA13DA">
          <w:rPr>
            <w:b w:val="0"/>
            <w:noProof/>
            <w:webHidden/>
          </w:rPr>
          <w:fldChar w:fldCharType="separate"/>
        </w:r>
        <w:r w:rsidR="00796CAC">
          <w:rPr>
            <w:b w:val="0"/>
            <w:noProof/>
            <w:webHidden/>
          </w:rPr>
          <w:t>100</w:t>
        </w:r>
        <w:r w:rsidR="00801327" w:rsidRPr="00DA13DA">
          <w:rPr>
            <w:b w:val="0"/>
            <w:noProof/>
            <w:webHidden/>
          </w:rPr>
          <w:fldChar w:fldCharType="end"/>
        </w:r>
      </w:hyperlink>
    </w:p>
    <w:p w14:paraId="133E3688"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95" w:history="1">
        <w:r w:rsidR="00801327" w:rsidRPr="00DA13DA">
          <w:rPr>
            <w:rStyle w:val="Hyperlink"/>
            <w:noProof/>
            <w:lang w:val="en-AU"/>
          </w:rPr>
          <w:t>4.3.1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Gas Consumption</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_Toc445571695 \h </w:instrText>
        </w:r>
        <w:r w:rsidR="00801327" w:rsidRPr="00DA13DA">
          <w:rPr>
            <w:noProof/>
            <w:webHidden/>
          </w:rPr>
        </w:r>
        <w:r w:rsidR="00801327" w:rsidRPr="00DA13DA">
          <w:rPr>
            <w:noProof/>
            <w:webHidden/>
          </w:rPr>
          <w:fldChar w:fldCharType="separate"/>
        </w:r>
        <w:r w:rsidR="00796CAC">
          <w:rPr>
            <w:noProof/>
            <w:webHidden/>
          </w:rPr>
          <w:t>100</w:t>
        </w:r>
        <w:r w:rsidR="00801327" w:rsidRPr="00DA13DA">
          <w:rPr>
            <w:noProof/>
            <w:webHidden/>
          </w:rPr>
          <w:fldChar w:fldCharType="end"/>
        </w:r>
      </w:hyperlink>
    </w:p>
    <w:p w14:paraId="54BEBDF8"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96" w:history="1">
        <w:r w:rsidR="00801327" w:rsidRPr="00DA13DA">
          <w:rPr>
            <w:rStyle w:val="Hyperlink"/>
            <w:noProof/>
          </w:rPr>
          <w:t>4.3.2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rPr>
          <w:t>Gas Charges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_Toc445571696 \h </w:instrText>
        </w:r>
        <w:r w:rsidR="00801327" w:rsidRPr="00DA13DA">
          <w:rPr>
            <w:noProof/>
            <w:webHidden/>
          </w:rPr>
        </w:r>
        <w:r w:rsidR="00801327" w:rsidRPr="00DA13DA">
          <w:rPr>
            <w:noProof/>
            <w:webHidden/>
          </w:rPr>
          <w:fldChar w:fldCharType="separate"/>
        </w:r>
        <w:r w:rsidR="00796CAC">
          <w:rPr>
            <w:noProof/>
            <w:webHidden/>
          </w:rPr>
          <w:t>106</w:t>
        </w:r>
        <w:r w:rsidR="00801327" w:rsidRPr="00DA13DA">
          <w:rPr>
            <w:noProof/>
            <w:webHidden/>
          </w:rPr>
          <w:fldChar w:fldCharType="end"/>
        </w:r>
      </w:hyperlink>
    </w:p>
    <w:p w14:paraId="348AC6A2" w14:textId="77777777" w:rsidR="00801327" w:rsidRPr="00B06518" w:rsidRDefault="00C32523" w:rsidP="005D2694">
      <w:pPr>
        <w:pStyle w:val="TOC1"/>
        <w:tabs>
          <w:tab w:val="clear" w:pos="8788"/>
          <w:tab w:val="left" w:pos="567"/>
          <w:tab w:val="right" w:leader="dot" w:pos="12616"/>
        </w:tabs>
        <w:rPr>
          <w:rFonts w:asciiTheme="minorHAnsi" w:eastAsiaTheme="minorEastAsia" w:hAnsiTheme="minorHAnsi" w:cstheme="minorBidi"/>
          <w:noProof/>
          <w:kern w:val="0"/>
          <w:sz w:val="22"/>
          <w:szCs w:val="22"/>
          <w:lang w:val="en-AU" w:eastAsia="en-AU"/>
        </w:rPr>
      </w:pPr>
      <w:hyperlink w:anchor="_Toc445571697" w:history="1">
        <w:r w:rsidR="00801327" w:rsidRPr="00B06518">
          <w:rPr>
            <w:rStyle w:val="Hyperlink"/>
            <w:noProof/>
            <w:lang w:val="en-AU"/>
          </w:rPr>
          <w:t>5</w:t>
        </w:r>
        <w:r w:rsidR="00801327" w:rsidRPr="00B06518">
          <w:rPr>
            <w:rFonts w:asciiTheme="minorHAnsi" w:eastAsiaTheme="minorEastAsia" w:hAnsiTheme="minorHAnsi" w:cstheme="minorBidi"/>
            <w:noProof/>
            <w:kern w:val="0"/>
            <w:sz w:val="22"/>
            <w:szCs w:val="22"/>
            <w:lang w:val="en-AU" w:eastAsia="en-AU"/>
          </w:rPr>
          <w:tab/>
        </w:r>
        <w:r w:rsidR="00801327" w:rsidRPr="00B06518">
          <w:rPr>
            <w:rStyle w:val="Hyperlink"/>
            <w:noProof/>
            <w:lang w:val="en-AU"/>
          </w:rPr>
          <w:t>WATER CONSUMPTION AND EXPENDITURE</w:t>
        </w:r>
        <w:r w:rsidR="00801327" w:rsidRPr="00B06518">
          <w:rPr>
            <w:noProof/>
            <w:webHidden/>
          </w:rPr>
          <w:tab/>
        </w:r>
        <w:r w:rsidR="00801327" w:rsidRPr="00B06518">
          <w:rPr>
            <w:noProof/>
            <w:webHidden/>
          </w:rPr>
          <w:fldChar w:fldCharType="begin"/>
        </w:r>
        <w:r w:rsidR="00801327" w:rsidRPr="00B06518">
          <w:rPr>
            <w:noProof/>
            <w:webHidden/>
          </w:rPr>
          <w:instrText xml:space="preserve"> PAGEREF _Toc445571697 \h </w:instrText>
        </w:r>
        <w:r w:rsidR="00801327" w:rsidRPr="00B06518">
          <w:rPr>
            <w:noProof/>
            <w:webHidden/>
          </w:rPr>
        </w:r>
        <w:r w:rsidR="00801327" w:rsidRPr="00B06518">
          <w:rPr>
            <w:noProof/>
            <w:webHidden/>
          </w:rPr>
          <w:fldChar w:fldCharType="separate"/>
        </w:r>
        <w:r w:rsidR="00796CAC">
          <w:rPr>
            <w:noProof/>
            <w:webHidden/>
          </w:rPr>
          <w:t>117</w:t>
        </w:r>
        <w:r w:rsidR="00801327" w:rsidRPr="00B06518">
          <w:rPr>
            <w:noProof/>
            <w:webHidden/>
          </w:rPr>
          <w:fldChar w:fldCharType="end"/>
        </w:r>
      </w:hyperlink>
    </w:p>
    <w:p w14:paraId="4AF31223"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698" w:history="1">
        <w:r w:rsidR="00801327" w:rsidRPr="00DA13DA">
          <w:rPr>
            <w:rStyle w:val="Hyperlink"/>
            <w:b w:val="0"/>
            <w:noProof/>
            <w:lang w:val="en-AU"/>
          </w:rPr>
          <w:t>5.1</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INCIDENCE OF BILLING FOR WATER CONSUMPTION</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_Toc445571698 \h </w:instrText>
        </w:r>
        <w:r w:rsidR="00801327" w:rsidRPr="00DA13DA">
          <w:rPr>
            <w:b w:val="0"/>
            <w:noProof/>
            <w:webHidden/>
          </w:rPr>
        </w:r>
        <w:r w:rsidR="00801327" w:rsidRPr="00DA13DA">
          <w:rPr>
            <w:b w:val="0"/>
            <w:noProof/>
            <w:webHidden/>
          </w:rPr>
          <w:fldChar w:fldCharType="separate"/>
        </w:r>
        <w:r w:rsidR="00796CAC">
          <w:rPr>
            <w:b w:val="0"/>
            <w:noProof/>
            <w:webHidden/>
          </w:rPr>
          <w:t>117</w:t>
        </w:r>
        <w:r w:rsidR="00801327" w:rsidRPr="00DA13DA">
          <w:rPr>
            <w:b w:val="0"/>
            <w:noProof/>
            <w:webHidden/>
          </w:rPr>
          <w:fldChar w:fldCharType="end"/>
        </w:r>
      </w:hyperlink>
    </w:p>
    <w:p w14:paraId="6A0BA805"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699" w:history="1">
        <w:r w:rsidR="00801327" w:rsidRPr="00DA13DA">
          <w:rPr>
            <w:rStyle w:val="Hyperlink"/>
            <w:noProof/>
            <w:lang w:val="en-AU"/>
          </w:rPr>
          <w:t>5.1.1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Incidence of Claiming to Receive a Water Bill</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_Toc445571699 \h </w:instrText>
        </w:r>
        <w:r w:rsidR="00801327" w:rsidRPr="00DA13DA">
          <w:rPr>
            <w:noProof/>
            <w:webHidden/>
          </w:rPr>
        </w:r>
        <w:r w:rsidR="00801327" w:rsidRPr="00DA13DA">
          <w:rPr>
            <w:noProof/>
            <w:webHidden/>
          </w:rPr>
          <w:fldChar w:fldCharType="separate"/>
        </w:r>
        <w:r w:rsidR="00796CAC">
          <w:rPr>
            <w:noProof/>
            <w:webHidden/>
          </w:rPr>
          <w:t>117</w:t>
        </w:r>
        <w:r w:rsidR="00801327" w:rsidRPr="00DA13DA">
          <w:rPr>
            <w:noProof/>
            <w:webHidden/>
          </w:rPr>
          <w:fldChar w:fldCharType="end"/>
        </w:r>
      </w:hyperlink>
    </w:p>
    <w:p w14:paraId="5C39C9D1"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00" w:history="1">
        <w:r w:rsidR="00801327" w:rsidRPr="00DA13DA">
          <w:rPr>
            <w:rStyle w:val="Hyperlink"/>
            <w:noProof/>
            <w:lang w:val="en-AU"/>
          </w:rPr>
          <w:t>5.1.2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Type of Water Bill Claimed to Receive</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_Toc445571700 \h </w:instrText>
        </w:r>
        <w:r w:rsidR="00801327" w:rsidRPr="00DA13DA">
          <w:rPr>
            <w:noProof/>
            <w:webHidden/>
          </w:rPr>
        </w:r>
        <w:r w:rsidR="00801327" w:rsidRPr="00DA13DA">
          <w:rPr>
            <w:noProof/>
            <w:webHidden/>
          </w:rPr>
          <w:fldChar w:fldCharType="separate"/>
        </w:r>
        <w:r w:rsidR="00796CAC">
          <w:rPr>
            <w:noProof/>
            <w:webHidden/>
          </w:rPr>
          <w:t>118</w:t>
        </w:r>
        <w:r w:rsidR="00801327" w:rsidRPr="00DA13DA">
          <w:rPr>
            <w:noProof/>
            <w:webHidden/>
          </w:rPr>
          <w:fldChar w:fldCharType="end"/>
        </w:r>
      </w:hyperlink>
    </w:p>
    <w:p w14:paraId="30003663"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701" w:history="1">
        <w:r w:rsidR="00801327" w:rsidRPr="00DA13DA">
          <w:rPr>
            <w:rStyle w:val="Hyperlink"/>
            <w:b w:val="0"/>
            <w:noProof/>
            <w:lang w:val="en-AU"/>
          </w:rPr>
          <w:t>5.2</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WATER COSTS AND CONSUMPTION</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_Toc445571701 \h </w:instrText>
        </w:r>
        <w:r w:rsidR="00801327" w:rsidRPr="00DA13DA">
          <w:rPr>
            <w:b w:val="0"/>
            <w:noProof/>
            <w:webHidden/>
          </w:rPr>
        </w:r>
        <w:r w:rsidR="00801327" w:rsidRPr="00DA13DA">
          <w:rPr>
            <w:b w:val="0"/>
            <w:noProof/>
            <w:webHidden/>
          </w:rPr>
          <w:fldChar w:fldCharType="separate"/>
        </w:r>
        <w:r w:rsidR="00796CAC">
          <w:rPr>
            <w:b w:val="0"/>
            <w:noProof/>
            <w:webHidden/>
          </w:rPr>
          <w:t>120</w:t>
        </w:r>
        <w:r w:rsidR="00801327" w:rsidRPr="00DA13DA">
          <w:rPr>
            <w:b w:val="0"/>
            <w:noProof/>
            <w:webHidden/>
          </w:rPr>
          <w:fldChar w:fldCharType="end"/>
        </w:r>
      </w:hyperlink>
    </w:p>
    <w:p w14:paraId="1333372E"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02" w:history="1">
        <w:r w:rsidR="00801327" w:rsidRPr="00DA13DA">
          <w:rPr>
            <w:rStyle w:val="Hyperlink"/>
            <w:noProof/>
            <w:lang w:val="en-AU"/>
          </w:rPr>
          <w:t>5.2.1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Water Consumption</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_Toc445571702 \h </w:instrText>
        </w:r>
        <w:r w:rsidR="00801327" w:rsidRPr="00DA13DA">
          <w:rPr>
            <w:noProof/>
            <w:webHidden/>
          </w:rPr>
        </w:r>
        <w:r w:rsidR="00801327" w:rsidRPr="00DA13DA">
          <w:rPr>
            <w:noProof/>
            <w:webHidden/>
          </w:rPr>
          <w:fldChar w:fldCharType="separate"/>
        </w:r>
        <w:r w:rsidR="00796CAC">
          <w:rPr>
            <w:noProof/>
            <w:webHidden/>
          </w:rPr>
          <w:t>120</w:t>
        </w:r>
        <w:r w:rsidR="00801327" w:rsidRPr="00DA13DA">
          <w:rPr>
            <w:noProof/>
            <w:webHidden/>
          </w:rPr>
          <w:fldChar w:fldCharType="end"/>
        </w:r>
      </w:hyperlink>
    </w:p>
    <w:p w14:paraId="2ED89091"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03" w:history="1">
        <w:r w:rsidR="00801327" w:rsidRPr="00DA13DA">
          <w:rPr>
            <w:rStyle w:val="Hyperlink"/>
            <w:bCs/>
            <w:noProof/>
            <w:lang w:val="en-AU"/>
          </w:rPr>
          <w:t>5.2.2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bCs/>
            <w:noProof/>
            <w:lang w:val="en-AU"/>
          </w:rPr>
          <w:t>Water Charges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_Toc445571703 \h </w:instrText>
        </w:r>
        <w:r w:rsidR="00801327" w:rsidRPr="00DA13DA">
          <w:rPr>
            <w:noProof/>
            <w:webHidden/>
          </w:rPr>
        </w:r>
        <w:r w:rsidR="00801327" w:rsidRPr="00DA13DA">
          <w:rPr>
            <w:noProof/>
            <w:webHidden/>
          </w:rPr>
          <w:fldChar w:fldCharType="separate"/>
        </w:r>
        <w:r w:rsidR="00796CAC">
          <w:rPr>
            <w:noProof/>
            <w:webHidden/>
          </w:rPr>
          <w:t>126</w:t>
        </w:r>
        <w:r w:rsidR="00801327" w:rsidRPr="00DA13DA">
          <w:rPr>
            <w:noProof/>
            <w:webHidden/>
          </w:rPr>
          <w:fldChar w:fldCharType="end"/>
        </w:r>
      </w:hyperlink>
    </w:p>
    <w:p w14:paraId="452ECEA3" w14:textId="77777777" w:rsidR="00801327" w:rsidRPr="00B06518" w:rsidRDefault="00C32523" w:rsidP="005D2694">
      <w:pPr>
        <w:pStyle w:val="TOC1"/>
        <w:tabs>
          <w:tab w:val="clear" w:pos="8788"/>
          <w:tab w:val="left" w:pos="567"/>
          <w:tab w:val="right" w:leader="dot" w:pos="12616"/>
        </w:tabs>
        <w:rPr>
          <w:rFonts w:asciiTheme="minorHAnsi" w:eastAsiaTheme="minorEastAsia" w:hAnsiTheme="minorHAnsi" w:cstheme="minorBidi"/>
          <w:noProof/>
          <w:kern w:val="0"/>
          <w:sz w:val="22"/>
          <w:szCs w:val="22"/>
          <w:lang w:val="en-AU" w:eastAsia="en-AU"/>
        </w:rPr>
      </w:pPr>
      <w:hyperlink w:anchor="_Toc445571704" w:history="1">
        <w:r w:rsidR="00801327" w:rsidRPr="00B06518">
          <w:rPr>
            <w:rStyle w:val="Hyperlink"/>
            <w:noProof/>
            <w:lang w:val="en-AU"/>
          </w:rPr>
          <w:t>6</w:t>
        </w:r>
        <w:r w:rsidR="00801327" w:rsidRPr="00B06518">
          <w:rPr>
            <w:rFonts w:asciiTheme="minorHAnsi" w:eastAsiaTheme="minorEastAsia" w:hAnsiTheme="minorHAnsi" w:cstheme="minorBidi"/>
            <w:noProof/>
            <w:kern w:val="0"/>
            <w:sz w:val="22"/>
            <w:szCs w:val="22"/>
            <w:lang w:val="en-AU" w:eastAsia="en-AU"/>
          </w:rPr>
          <w:tab/>
        </w:r>
        <w:r w:rsidR="00801327" w:rsidRPr="00B06518">
          <w:rPr>
            <w:rStyle w:val="Hyperlink"/>
            <w:noProof/>
            <w:lang w:val="en-AU"/>
          </w:rPr>
          <w:t>COUNCIL RATES AND EXPENDITURE</w:t>
        </w:r>
        <w:r w:rsidR="00801327" w:rsidRPr="00B06518">
          <w:rPr>
            <w:noProof/>
            <w:webHidden/>
          </w:rPr>
          <w:tab/>
        </w:r>
        <w:r w:rsidR="00801327" w:rsidRPr="00B06518">
          <w:rPr>
            <w:noProof/>
            <w:webHidden/>
          </w:rPr>
          <w:fldChar w:fldCharType="begin"/>
        </w:r>
        <w:r w:rsidR="00801327" w:rsidRPr="00B06518">
          <w:rPr>
            <w:noProof/>
            <w:webHidden/>
          </w:rPr>
          <w:instrText xml:space="preserve"> PAGEREF _Toc445571704 \h </w:instrText>
        </w:r>
        <w:r w:rsidR="00801327" w:rsidRPr="00B06518">
          <w:rPr>
            <w:noProof/>
            <w:webHidden/>
          </w:rPr>
        </w:r>
        <w:r w:rsidR="00801327" w:rsidRPr="00B06518">
          <w:rPr>
            <w:noProof/>
            <w:webHidden/>
          </w:rPr>
          <w:fldChar w:fldCharType="separate"/>
        </w:r>
        <w:r w:rsidR="00796CAC">
          <w:rPr>
            <w:noProof/>
            <w:webHidden/>
          </w:rPr>
          <w:t>138</w:t>
        </w:r>
        <w:r w:rsidR="00801327" w:rsidRPr="00B06518">
          <w:rPr>
            <w:noProof/>
            <w:webHidden/>
          </w:rPr>
          <w:fldChar w:fldCharType="end"/>
        </w:r>
      </w:hyperlink>
    </w:p>
    <w:p w14:paraId="2FBA1364"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705" w:history="1">
        <w:r w:rsidR="00801327" w:rsidRPr="00DA13DA">
          <w:rPr>
            <w:rStyle w:val="Hyperlink"/>
            <w:b w:val="0"/>
            <w:noProof/>
            <w:lang w:val="en-AU"/>
          </w:rPr>
          <w:t>6.1</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BILLING FOR COUNCIL RATES AND ASSOCIATED CONCESSIONS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_Toc445571705 \h </w:instrText>
        </w:r>
        <w:r w:rsidR="00801327" w:rsidRPr="00DA13DA">
          <w:rPr>
            <w:b w:val="0"/>
            <w:noProof/>
            <w:webHidden/>
          </w:rPr>
        </w:r>
        <w:r w:rsidR="00801327" w:rsidRPr="00DA13DA">
          <w:rPr>
            <w:b w:val="0"/>
            <w:noProof/>
            <w:webHidden/>
          </w:rPr>
          <w:fldChar w:fldCharType="separate"/>
        </w:r>
        <w:r w:rsidR="00796CAC">
          <w:rPr>
            <w:b w:val="0"/>
            <w:noProof/>
            <w:webHidden/>
          </w:rPr>
          <w:t>138</w:t>
        </w:r>
        <w:r w:rsidR="00801327" w:rsidRPr="00DA13DA">
          <w:rPr>
            <w:b w:val="0"/>
            <w:noProof/>
            <w:webHidden/>
          </w:rPr>
          <w:fldChar w:fldCharType="end"/>
        </w:r>
      </w:hyperlink>
    </w:p>
    <w:p w14:paraId="1086A472"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06" w:history="1">
        <w:r w:rsidR="00801327" w:rsidRPr="00DA13DA">
          <w:rPr>
            <w:rStyle w:val="Hyperlink"/>
            <w:noProof/>
            <w:lang w:val="en-AU"/>
          </w:rPr>
          <w:t>6.1.1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Incidence of Being Billed for Council Rates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_Toc445571706 \h </w:instrText>
        </w:r>
        <w:r w:rsidR="00801327" w:rsidRPr="00DA13DA">
          <w:rPr>
            <w:noProof/>
            <w:webHidden/>
          </w:rPr>
        </w:r>
        <w:r w:rsidR="00801327" w:rsidRPr="00DA13DA">
          <w:rPr>
            <w:noProof/>
            <w:webHidden/>
          </w:rPr>
          <w:fldChar w:fldCharType="separate"/>
        </w:r>
        <w:r w:rsidR="00796CAC">
          <w:rPr>
            <w:noProof/>
            <w:webHidden/>
          </w:rPr>
          <w:t>138</w:t>
        </w:r>
        <w:r w:rsidR="00801327" w:rsidRPr="00DA13DA">
          <w:rPr>
            <w:noProof/>
            <w:webHidden/>
          </w:rPr>
          <w:fldChar w:fldCharType="end"/>
        </w:r>
      </w:hyperlink>
    </w:p>
    <w:p w14:paraId="185F56F9"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07" w:history="1">
        <w:r w:rsidR="00801327" w:rsidRPr="00DA13DA">
          <w:rPr>
            <w:rStyle w:val="Hyperlink"/>
            <w:noProof/>
            <w:lang w:val="en-AU"/>
          </w:rPr>
          <w:t>6.1.2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Incidence of Receiving a DHHS Concession on Council Rates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_Toc445571707 \h </w:instrText>
        </w:r>
        <w:r w:rsidR="00801327" w:rsidRPr="00DA13DA">
          <w:rPr>
            <w:noProof/>
            <w:webHidden/>
          </w:rPr>
        </w:r>
        <w:r w:rsidR="00801327" w:rsidRPr="00DA13DA">
          <w:rPr>
            <w:noProof/>
            <w:webHidden/>
          </w:rPr>
          <w:fldChar w:fldCharType="separate"/>
        </w:r>
        <w:r w:rsidR="00796CAC">
          <w:rPr>
            <w:noProof/>
            <w:webHidden/>
          </w:rPr>
          <w:t>141</w:t>
        </w:r>
        <w:r w:rsidR="00801327" w:rsidRPr="00DA13DA">
          <w:rPr>
            <w:noProof/>
            <w:webHidden/>
          </w:rPr>
          <w:fldChar w:fldCharType="end"/>
        </w:r>
      </w:hyperlink>
    </w:p>
    <w:p w14:paraId="1C9852B8"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708" w:history="1">
        <w:r w:rsidR="00801327" w:rsidRPr="00DA13DA">
          <w:rPr>
            <w:rStyle w:val="Hyperlink"/>
            <w:b w:val="0"/>
            <w:noProof/>
            <w:lang w:val="en-AU"/>
          </w:rPr>
          <w:t>6.2</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COUNCIL RATES CHARGES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_Toc445571708 \h </w:instrText>
        </w:r>
        <w:r w:rsidR="00801327" w:rsidRPr="00DA13DA">
          <w:rPr>
            <w:b w:val="0"/>
            <w:noProof/>
            <w:webHidden/>
          </w:rPr>
        </w:r>
        <w:r w:rsidR="00801327" w:rsidRPr="00DA13DA">
          <w:rPr>
            <w:b w:val="0"/>
            <w:noProof/>
            <w:webHidden/>
          </w:rPr>
          <w:fldChar w:fldCharType="separate"/>
        </w:r>
        <w:r w:rsidR="00796CAC">
          <w:rPr>
            <w:b w:val="0"/>
            <w:noProof/>
            <w:webHidden/>
          </w:rPr>
          <w:t>142</w:t>
        </w:r>
        <w:r w:rsidR="00801327" w:rsidRPr="00DA13DA">
          <w:rPr>
            <w:b w:val="0"/>
            <w:noProof/>
            <w:webHidden/>
          </w:rPr>
          <w:fldChar w:fldCharType="end"/>
        </w:r>
      </w:hyperlink>
    </w:p>
    <w:p w14:paraId="1AAA2288" w14:textId="77777777" w:rsidR="00801327" w:rsidRPr="00B06518" w:rsidRDefault="00C32523" w:rsidP="005D2694">
      <w:pPr>
        <w:pStyle w:val="TOC1"/>
        <w:tabs>
          <w:tab w:val="clear" w:pos="8788"/>
          <w:tab w:val="left" w:pos="567"/>
          <w:tab w:val="right" w:leader="dot" w:pos="12616"/>
        </w:tabs>
        <w:rPr>
          <w:rFonts w:asciiTheme="minorHAnsi" w:eastAsiaTheme="minorEastAsia" w:hAnsiTheme="minorHAnsi" w:cstheme="minorBidi"/>
          <w:noProof/>
          <w:kern w:val="0"/>
          <w:sz w:val="22"/>
          <w:szCs w:val="22"/>
          <w:lang w:val="en-AU" w:eastAsia="en-AU"/>
        </w:rPr>
      </w:pPr>
      <w:hyperlink w:anchor="_Toc445571709" w:history="1">
        <w:r w:rsidR="00801327" w:rsidRPr="00B06518">
          <w:rPr>
            <w:rStyle w:val="Hyperlink"/>
            <w:noProof/>
          </w:rPr>
          <w:t>7</w:t>
        </w:r>
        <w:r w:rsidR="00801327" w:rsidRPr="00B06518">
          <w:rPr>
            <w:rFonts w:asciiTheme="minorHAnsi" w:eastAsiaTheme="minorEastAsia" w:hAnsiTheme="minorHAnsi" w:cstheme="minorBidi"/>
            <w:noProof/>
            <w:kern w:val="0"/>
            <w:sz w:val="22"/>
            <w:szCs w:val="22"/>
            <w:lang w:val="en-AU" w:eastAsia="en-AU"/>
          </w:rPr>
          <w:tab/>
        </w:r>
        <w:r w:rsidR="00801327" w:rsidRPr="00B06518">
          <w:rPr>
            <w:rStyle w:val="Hyperlink"/>
            <w:noProof/>
          </w:rPr>
          <w:t>KNOWLEDGE AND TAKE UP OF CONCESSIONS</w:t>
        </w:r>
        <w:r w:rsidR="00801327" w:rsidRPr="00B06518">
          <w:rPr>
            <w:noProof/>
            <w:webHidden/>
          </w:rPr>
          <w:tab/>
        </w:r>
        <w:r w:rsidR="00801327" w:rsidRPr="00B06518">
          <w:rPr>
            <w:noProof/>
            <w:webHidden/>
          </w:rPr>
          <w:fldChar w:fldCharType="begin"/>
        </w:r>
        <w:r w:rsidR="00801327" w:rsidRPr="00B06518">
          <w:rPr>
            <w:noProof/>
            <w:webHidden/>
          </w:rPr>
          <w:instrText xml:space="preserve"> PAGEREF _Toc445571709 \h </w:instrText>
        </w:r>
        <w:r w:rsidR="00801327" w:rsidRPr="00B06518">
          <w:rPr>
            <w:noProof/>
            <w:webHidden/>
          </w:rPr>
        </w:r>
        <w:r w:rsidR="00801327" w:rsidRPr="00B06518">
          <w:rPr>
            <w:noProof/>
            <w:webHidden/>
          </w:rPr>
          <w:fldChar w:fldCharType="separate"/>
        </w:r>
        <w:r w:rsidR="00796CAC">
          <w:rPr>
            <w:noProof/>
            <w:webHidden/>
          </w:rPr>
          <w:t>151</w:t>
        </w:r>
        <w:r w:rsidR="00801327" w:rsidRPr="00B06518">
          <w:rPr>
            <w:noProof/>
            <w:webHidden/>
          </w:rPr>
          <w:fldChar w:fldCharType="end"/>
        </w:r>
      </w:hyperlink>
    </w:p>
    <w:p w14:paraId="0BFB6C0A"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710" w:history="1">
        <w:r w:rsidR="00801327" w:rsidRPr="00DA13DA">
          <w:rPr>
            <w:rStyle w:val="Hyperlink"/>
            <w:b w:val="0"/>
            <w:noProof/>
            <w:lang w:val="en-AU"/>
          </w:rPr>
          <w:t>7.1</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REPORTED Incidence of Claiming Concessions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_Toc445571710 \h </w:instrText>
        </w:r>
        <w:r w:rsidR="00801327" w:rsidRPr="00DA13DA">
          <w:rPr>
            <w:b w:val="0"/>
            <w:noProof/>
            <w:webHidden/>
          </w:rPr>
        </w:r>
        <w:r w:rsidR="00801327" w:rsidRPr="00DA13DA">
          <w:rPr>
            <w:b w:val="0"/>
            <w:noProof/>
            <w:webHidden/>
          </w:rPr>
          <w:fldChar w:fldCharType="separate"/>
        </w:r>
        <w:r w:rsidR="00796CAC">
          <w:rPr>
            <w:b w:val="0"/>
            <w:noProof/>
            <w:webHidden/>
          </w:rPr>
          <w:t>151</w:t>
        </w:r>
        <w:r w:rsidR="00801327" w:rsidRPr="00DA13DA">
          <w:rPr>
            <w:b w:val="0"/>
            <w:noProof/>
            <w:webHidden/>
          </w:rPr>
          <w:fldChar w:fldCharType="end"/>
        </w:r>
      </w:hyperlink>
    </w:p>
    <w:p w14:paraId="476C6AB0" w14:textId="77777777" w:rsidR="00801327" w:rsidRPr="00B06518" w:rsidRDefault="00C32523" w:rsidP="005D2694">
      <w:pPr>
        <w:pStyle w:val="TOC1"/>
        <w:tabs>
          <w:tab w:val="clear" w:pos="8788"/>
          <w:tab w:val="left" w:pos="567"/>
          <w:tab w:val="right" w:leader="dot" w:pos="12616"/>
        </w:tabs>
        <w:rPr>
          <w:rFonts w:asciiTheme="minorHAnsi" w:eastAsiaTheme="minorEastAsia" w:hAnsiTheme="minorHAnsi" w:cstheme="minorBidi"/>
          <w:noProof/>
          <w:kern w:val="0"/>
          <w:sz w:val="22"/>
          <w:szCs w:val="22"/>
          <w:lang w:val="en-AU" w:eastAsia="en-AU"/>
        </w:rPr>
      </w:pPr>
      <w:hyperlink w:anchor="_Toc445571711" w:history="1">
        <w:r w:rsidR="00801327" w:rsidRPr="00B06518">
          <w:rPr>
            <w:rStyle w:val="Hyperlink"/>
            <w:noProof/>
          </w:rPr>
          <w:t>8</w:t>
        </w:r>
        <w:r w:rsidR="00801327" w:rsidRPr="00B06518">
          <w:rPr>
            <w:rFonts w:asciiTheme="minorHAnsi" w:eastAsiaTheme="minorEastAsia" w:hAnsiTheme="minorHAnsi" w:cstheme="minorBidi"/>
            <w:noProof/>
            <w:kern w:val="0"/>
            <w:sz w:val="22"/>
            <w:szCs w:val="22"/>
            <w:lang w:val="en-AU" w:eastAsia="en-AU"/>
          </w:rPr>
          <w:tab/>
        </w:r>
        <w:r w:rsidR="00801327" w:rsidRPr="00B06518">
          <w:rPr>
            <w:rStyle w:val="Hyperlink"/>
            <w:noProof/>
          </w:rPr>
          <w:t>DIFFICULTIES IN MEETING BILL PAYMENTS</w:t>
        </w:r>
        <w:r w:rsidR="00801327" w:rsidRPr="00B06518">
          <w:rPr>
            <w:noProof/>
            <w:webHidden/>
          </w:rPr>
          <w:tab/>
        </w:r>
        <w:r w:rsidR="00801327" w:rsidRPr="00B06518">
          <w:rPr>
            <w:noProof/>
            <w:webHidden/>
          </w:rPr>
          <w:fldChar w:fldCharType="begin"/>
        </w:r>
        <w:r w:rsidR="00801327" w:rsidRPr="00B06518">
          <w:rPr>
            <w:noProof/>
            <w:webHidden/>
          </w:rPr>
          <w:instrText xml:space="preserve"> PAGEREF _Toc445571711 \h </w:instrText>
        </w:r>
        <w:r w:rsidR="00801327" w:rsidRPr="00B06518">
          <w:rPr>
            <w:noProof/>
            <w:webHidden/>
          </w:rPr>
        </w:r>
        <w:r w:rsidR="00801327" w:rsidRPr="00B06518">
          <w:rPr>
            <w:noProof/>
            <w:webHidden/>
          </w:rPr>
          <w:fldChar w:fldCharType="separate"/>
        </w:r>
        <w:r w:rsidR="00796CAC">
          <w:rPr>
            <w:noProof/>
            <w:webHidden/>
          </w:rPr>
          <w:t>156</w:t>
        </w:r>
        <w:r w:rsidR="00801327" w:rsidRPr="00B06518">
          <w:rPr>
            <w:noProof/>
            <w:webHidden/>
          </w:rPr>
          <w:fldChar w:fldCharType="end"/>
        </w:r>
      </w:hyperlink>
    </w:p>
    <w:p w14:paraId="2545BE7A"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712" w:history="1">
        <w:r w:rsidR="00801327" w:rsidRPr="00DA13DA">
          <w:rPr>
            <w:rStyle w:val="Hyperlink"/>
            <w:b w:val="0"/>
            <w:noProof/>
            <w:lang w:val="en-AU"/>
          </w:rPr>
          <w:t>8.1</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INCIDENCE AND FREQUENCY OF DIFFICULTIES MEETING BILL PAYMENTS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_Toc445571712 \h </w:instrText>
        </w:r>
        <w:r w:rsidR="00801327" w:rsidRPr="00DA13DA">
          <w:rPr>
            <w:b w:val="0"/>
            <w:noProof/>
            <w:webHidden/>
          </w:rPr>
        </w:r>
        <w:r w:rsidR="00801327" w:rsidRPr="00DA13DA">
          <w:rPr>
            <w:b w:val="0"/>
            <w:noProof/>
            <w:webHidden/>
          </w:rPr>
          <w:fldChar w:fldCharType="separate"/>
        </w:r>
        <w:r w:rsidR="00796CAC">
          <w:rPr>
            <w:b w:val="0"/>
            <w:noProof/>
            <w:webHidden/>
          </w:rPr>
          <w:t>156</w:t>
        </w:r>
        <w:r w:rsidR="00801327" w:rsidRPr="00DA13DA">
          <w:rPr>
            <w:b w:val="0"/>
            <w:noProof/>
            <w:webHidden/>
          </w:rPr>
          <w:fldChar w:fldCharType="end"/>
        </w:r>
      </w:hyperlink>
    </w:p>
    <w:p w14:paraId="7FA90E4E"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13" w:history="1">
        <w:r w:rsidR="00801327" w:rsidRPr="00DA13DA">
          <w:rPr>
            <w:rStyle w:val="Hyperlink"/>
            <w:noProof/>
            <w:lang w:val="en-AU"/>
          </w:rPr>
          <w:t>8.1.1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Electricity Payment Difficulties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_Toc445571713 \h </w:instrText>
        </w:r>
        <w:r w:rsidR="00801327" w:rsidRPr="00DA13DA">
          <w:rPr>
            <w:noProof/>
            <w:webHidden/>
          </w:rPr>
        </w:r>
        <w:r w:rsidR="00801327" w:rsidRPr="00DA13DA">
          <w:rPr>
            <w:noProof/>
            <w:webHidden/>
          </w:rPr>
          <w:fldChar w:fldCharType="separate"/>
        </w:r>
        <w:r w:rsidR="00796CAC">
          <w:rPr>
            <w:noProof/>
            <w:webHidden/>
          </w:rPr>
          <w:t>156</w:t>
        </w:r>
        <w:r w:rsidR="00801327" w:rsidRPr="00DA13DA">
          <w:rPr>
            <w:noProof/>
            <w:webHidden/>
          </w:rPr>
          <w:fldChar w:fldCharType="end"/>
        </w:r>
      </w:hyperlink>
    </w:p>
    <w:p w14:paraId="1396CB30"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14" w:history="1">
        <w:r w:rsidR="00801327" w:rsidRPr="00DA13DA">
          <w:rPr>
            <w:rStyle w:val="Hyperlink"/>
            <w:noProof/>
            <w:lang w:val="en-AU"/>
          </w:rPr>
          <w:t>8.1.2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Gas Payment Difficulties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_Toc445571714 \h </w:instrText>
        </w:r>
        <w:r w:rsidR="00801327" w:rsidRPr="00DA13DA">
          <w:rPr>
            <w:noProof/>
            <w:webHidden/>
          </w:rPr>
        </w:r>
        <w:r w:rsidR="00801327" w:rsidRPr="00DA13DA">
          <w:rPr>
            <w:noProof/>
            <w:webHidden/>
          </w:rPr>
          <w:fldChar w:fldCharType="separate"/>
        </w:r>
        <w:r w:rsidR="00796CAC">
          <w:rPr>
            <w:noProof/>
            <w:webHidden/>
          </w:rPr>
          <w:t>158</w:t>
        </w:r>
        <w:r w:rsidR="00801327" w:rsidRPr="00DA13DA">
          <w:rPr>
            <w:noProof/>
            <w:webHidden/>
          </w:rPr>
          <w:fldChar w:fldCharType="end"/>
        </w:r>
      </w:hyperlink>
    </w:p>
    <w:p w14:paraId="1AFDA5DD"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15" w:history="1">
        <w:r w:rsidR="00801327" w:rsidRPr="00DA13DA">
          <w:rPr>
            <w:rStyle w:val="Hyperlink"/>
            <w:noProof/>
            <w:lang w:val="en-AU"/>
          </w:rPr>
          <w:t>8.1.3</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Water Payment Difficulties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_Toc445571715 \h </w:instrText>
        </w:r>
        <w:r w:rsidR="00801327" w:rsidRPr="00DA13DA">
          <w:rPr>
            <w:noProof/>
            <w:webHidden/>
          </w:rPr>
        </w:r>
        <w:r w:rsidR="00801327" w:rsidRPr="00DA13DA">
          <w:rPr>
            <w:noProof/>
            <w:webHidden/>
          </w:rPr>
          <w:fldChar w:fldCharType="separate"/>
        </w:r>
        <w:r w:rsidR="00796CAC">
          <w:rPr>
            <w:noProof/>
            <w:webHidden/>
          </w:rPr>
          <w:t>159</w:t>
        </w:r>
        <w:r w:rsidR="00801327" w:rsidRPr="00DA13DA">
          <w:rPr>
            <w:noProof/>
            <w:webHidden/>
          </w:rPr>
          <w:fldChar w:fldCharType="end"/>
        </w:r>
      </w:hyperlink>
    </w:p>
    <w:p w14:paraId="0FD0D652"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16" w:history="1">
        <w:r w:rsidR="00801327" w:rsidRPr="00DA13DA">
          <w:rPr>
            <w:rStyle w:val="Hyperlink"/>
            <w:noProof/>
            <w:lang w:val="en-AU"/>
          </w:rPr>
          <w:t>8.1.4</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Council Rates Payment Difficulties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_Toc445571716 \h </w:instrText>
        </w:r>
        <w:r w:rsidR="00801327" w:rsidRPr="00DA13DA">
          <w:rPr>
            <w:noProof/>
            <w:webHidden/>
          </w:rPr>
        </w:r>
        <w:r w:rsidR="00801327" w:rsidRPr="00DA13DA">
          <w:rPr>
            <w:noProof/>
            <w:webHidden/>
          </w:rPr>
          <w:fldChar w:fldCharType="separate"/>
        </w:r>
        <w:r w:rsidR="00796CAC">
          <w:rPr>
            <w:noProof/>
            <w:webHidden/>
          </w:rPr>
          <w:t>161</w:t>
        </w:r>
        <w:r w:rsidR="00801327" w:rsidRPr="00DA13DA">
          <w:rPr>
            <w:noProof/>
            <w:webHidden/>
          </w:rPr>
          <w:fldChar w:fldCharType="end"/>
        </w:r>
      </w:hyperlink>
    </w:p>
    <w:p w14:paraId="59BAC2C2"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717" w:history="1">
        <w:r w:rsidR="00801327" w:rsidRPr="00DA13DA">
          <w:rPr>
            <w:rStyle w:val="Hyperlink"/>
            <w:b w:val="0"/>
            <w:noProof/>
            <w:lang w:val="en-AU"/>
          </w:rPr>
          <w:t>8.2</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ASSISTANCE WITH MEETING PAYMENTS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_Toc445571717 \h </w:instrText>
        </w:r>
        <w:r w:rsidR="00801327" w:rsidRPr="00DA13DA">
          <w:rPr>
            <w:b w:val="0"/>
            <w:noProof/>
            <w:webHidden/>
          </w:rPr>
        </w:r>
        <w:r w:rsidR="00801327" w:rsidRPr="00DA13DA">
          <w:rPr>
            <w:b w:val="0"/>
            <w:noProof/>
            <w:webHidden/>
          </w:rPr>
          <w:fldChar w:fldCharType="separate"/>
        </w:r>
        <w:r w:rsidR="00796CAC">
          <w:rPr>
            <w:b w:val="0"/>
            <w:noProof/>
            <w:webHidden/>
          </w:rPr>
          <w:t>163</w:t>
        </w:r>
        <w:r w:rsidR="00801327" w:rsidRPr="00DA13DA">
          <w:rPr>
            <w:b w:val="0"/>
            <w:noProof/>
            <w:webHidden/>
          </w:rPr>
          <w:fldChar w:fldCharType="end"/>
        </w:r>
      </w:hyperlink>
    </w:p>
    <w:p w14:paraId="6CCE6471"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718" w:history="1">
        <w:r w:rsidR="00801327" w:rsidRPr="00DA13DA">
          <w:rPr>
            <w:rStyle w:val="Hyperlink"/>
            <w:b w:val="0"/>
            <w:noProof/>
            <w:lang w:val="en-AU"/>
          </w:rPr>
          <w:t>8.3</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DISCONNECTION AND RECONNECTION</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_Toc445571718 \h </w:instrText>
        </w:r>
        <w:r w:rsidR="00801327" w:rsidRPr="00DA13DA">
          <w:rPr>
            <w:b w:val="0"/>
            <w:noProof/>
            <w:webHidden/>
          </w:rPr>
        </w:r>
        <w:r w:rsidR="00801327" w:rsidRPr="00DA13DA">
          <w:rPr>
            <w:b w:val="0"/>
            <w:noProof/>
            <w:webHidden/>
          </w:rPr>
          <w:fldChar w:fldCharType="separate"/>
        </w:r>
        <w:r w:rsidR="00796CAC">
          <w:rPr>
            <w:b w:val="0"/>
            <w:noProof/>
            <w:webHidden/>
          </w:rPr>
          <w:t>167</w:t>
        </w:r>
        <w:r w:rsidR="00801327" w:rsidRPr="00DA13DA">
          <w:rPr>
            <w:b w:val="0"/>
            <w:noProof/>
            <w:webHidden/>
          </w:rPr>
          <w:fldChar w:fldCharType="end"/>
        </w:r>
      </w:hyperlink>
    </w:p>
    <w:p w14:paraId="44F02655" w14:textId="77777777" w:rsidR="00801327" w:rsidRPr="00DA13DA" w:rsidRDefault="00C32523" w:rsidP="005D2694">
      <w:pPr>
        <w:pStyle w:val="TOC2"/>
        <w:tabs>
          <w:tab w:val="clear" w:pos="8788"/>
          <w:tab w:val="left" w:pos="851"/>
          <w:tab w:val="right" w:leader="dot" w:pos="12616"/>
        </w:tabs>
        <w:rPr>
          <w:rFonts w:asciiTheme="minorHAnsi" w:eastAsiaTheme="minorEastAsia" w:hAnsiTheme="minorHAnsi" w:cstheme="minorBidi"/>
          <w:b w:val="0"/>
          <w:caps w:val="0"/>
          <w:smallCaps w:val="0"/>
          <w:noProof/>
          <w:kern w:val="0"/>
          <w:sz w:val="22"/>
          <w:szCs w:val="22"/>
          <w:lang w:val="en-AU" w:eastAsia="en-AU"/>
        </w:rPr>
      </w:pPr>
      <w:hyperlink w:anchor="_Toc445571719" w:history="1">
        <w:r w:rsidR="00801327" w:rsidRPr="00DA13DA">
          <w:rPr>
            <w:rStyle w:val="Hyperlink"/>
            <w:b w:val="0"/>
            <w:noProof/>
            <w:lang w:val="en-AU"/>
          </w:rPr>
          <w:t>8.4</w:t>
        </w:r>
        <w:r w:rsidR="00801327" w:rsidRPr="00DA13DA">
          <w:rPr>
            <w:rFonts w:asciiTheme="minorHAnsi" w:eastAsiaTheme="minorEastAsia" w:hAnsiTheme="minorHAnsi" w:cstheme="minorBidi"/>
            <w:b w:val="0"/>
            <w:caps w:val="0"/>
            <w:smallCaps w:val="0"/>
            <w:noProof/>
            <w:kern w:val="0"/>
            <w:sz w:val="22"/>
            <w:szCs w:val="22"/>
            <w:lang w:val="en-AU" w:eastAsia="en-AU"/>
          </w:rPr>
          <w:tab/>
        </w:r>
        <w:r w:rsidR="00801327" w:rsidRPr="00DA13DA">
          <w:rPr>
            <w:rStyle w:val="Hyperlink"/>
            <w:b w:val="0"/>
            <w:noProof/>
            <w:lang w:val="en-AU"/>
          </w:rPr>
          <w:t>THE UTILITY RELIEF GRANTS SCHEME (URGS)</w:t>
        </w:r>
        <w:r w:rsidR="00801327" w:rsidRPr="00DA13DA">
          <w:rPr>
            <w:b w:val="0"/>
            <w:noProof/>
            <w:webHidden/>
          </w:rPr>
          <w:tab/>
        </w:r>
        <w:r w:rsidR="00801327" w:rsidRPr="00DA13DA">
          <w:rPr>
            <w:b w:val="0"/>
            <w:noProof/>
            <w:webHidden/>
          </w:rPr>
          <w:fldChar w:fldCharType="begin"/>
        </w:r>
        <w:r w:rsidR="00801327" w:rsidRPr="00DA13DA">
          <w:rPr>
            <w:b w:val="0"/>
            <w:noProof/>
            <w:webHidden/>
          </w:rPr>
          <w:instrText xml:space="preserve"> PAGEREF _Toc445571719 \h </w:instrText>
        </w:r>
        <w:r w:rsidR="00801327" w:rsidRPr="00DA13DA">
          <w:rPr>
            <w:b w:val="0"/>
            <w:noProof/>
            <w:webHidden/>
          </w:rPr>
        </w:r>
        <w:r w:rsidR="00801327" w:rsidRPr="00DA13DA">
          <w:rPr>
            <w:b w:val="0"/>
            <w:noProof/>
            <w:webHidden/>
          </w:rPr>
          <w:fldChar w:fldCharType="separate"/>
        </w:r>
        <w:r w:rsidR="00796CAC">
          <w:rPr>
            <w:b w:val="0"/>
            <w:noProof/>
            <w:webHidden/>
          </w:rPr>
          <w:t>170</w:t>
        </w:r>
        <w:r w:rsidR="00801327" w:rsidRPr="00DA13DA">
          <w:rPr>
            <w:b w:val="0"/>
            <w:noProof/>
            <w:webHidden/>
          </w:rPr>
          <w:fldChar w:fldCharType="end"/>
        </w:r>
      </w:hyperlink>
    </w:p>
    <w:p w14:paraId="4BFB5848"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20" w:history="1">
        <w:r w:rsidR="00801327" w:rsidRPr="00DA13DA">
          <w:rPr>
            <w:rStyle w:val="Hyperlink"/>
            <w:noProof/>
            <w:lang w:val="en-AU"/>
          </w:rPr>
          <w:t>8.4.1</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Awareness of the Utility Relief Grants Scheme (URGS)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_Toc445571720 \h </w:instrText>
        </w:r>
        <w:r w:rsidR="00801327" w:rsidRPr="00DA13DA">
          <w:rPr>
            <w:noProof/>
            <w:webHidden/>
          </w:rPr>
        </w:r>
        <w:r w:rsidR="00801327" w:rsidRPr="00DA13DA">
          <w:rPr>
            <w:noProof/>
            <w:webHidden/>
          </w:rPr>
          <w:fldChar w:fldCharType="separate"/>
        </w:r>
        <w:r w:rsidR="00796CAC">
          <w:rPr>
            <w:noProof/>
            <w:webHidden/>
          </w:rPr>
          <w:t>170</w:t>
        </w:r>
        <w:r w:rsidR="00801327" w:rsidRPr="00DA13DA">
          <w:rPr>
            <w:noProof/>
            <w:webHidden/>
          </w:rPr>
          <w:fldChar w:fldCharType="end"/>
        </w:r>
      </w:hyperlink>
    </w:p>
    <w:p w14:paraId="04768DFD"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21" w:history="1">
        <w:r w:rsidR="00801327" w:rsidRPr="00DA13DA">
          <w:rPr>
            <w:rStyle w:val="Hyperlink"/>
            <w:noProof/>
            <w:lang w:val="en-AU"/>
          </w:rPr>
          <w:t>8.4.2</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Advice about the Utility Relief Grants Scheme (URGS)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_Toc445571721 \h </w:instrText>
        </w:r>
        <w:r w:rsidR="00801327" w:rsidRPr="00DA13DA">
          <w:rPr>
            <w:noProof/>
            <w:webHidden/>
          </w:rPr>
        </w:r>
        <w:r w:rsidR="00801327" w:rsidRPr="00DA13DA">
          <w:rPr>
            <w:noProof/>
            <w:webHidden/>
          </w:rPr>
          <w:fldChar w:fldCharType="separate"/>
        </w:r>
        <w:r w:rsidR="00796CAC">
          <w:rPr>
            <w:noProof/>
            <w:webHidden/>
          </w:rPr>
          <w:t>171</w:t>
        </w:r>
        <w:r w:rsidR="00801327" w:rsidRPr="00DA13DA">
          <w:rPr>
            <w:noProof/>
            <w:webHidden/>
          </w:rPr>
          <w:fldChar w:fldCharType="end"/>
        </w:r>
      </w:hyperlink>
    </w:p>
    <w:p w14:paraId="5331CF7E" w14:textId="77777777" w:rsidR="00801327" w:rsidRPr="00DA13DA" w:rsidRDefault="00C32523" w:rsidP="00B06518">
      <w:pPr>
        <w:pStyle w:val="TOC3"/>
        <w:tabs>
          <w:tab w:val="clear" w:pos="8788"/>
          <w:tab w:val="left" w:pos="1985"/>
          <w:tab w:val="right" w:leader="dot" w:pos="12616"/>
        </w:tabs>
        <w:ind w:firstLine="993"/>
        <w:rPr>
          <w:rFonts w:asciiTheme="minorHAnsi" w:eastAsiaTheme="minorEastAsia" w:hAnsiTheme="minorHAnsi" w:cstheme="minorBidi"/>
          <w:noProof/>
          <w:sz w:val="22"/>
          <w:szCs w:val="22"/>
          <w:lang w:val="en-AU" w:eastAsia="en-AU"/>
        </w:rPr>
      </w:pPr>
      <w:hyperlink w:anchor="_Toc445571722" w:history="1">
        <w:r w:rsidR="00801327" w:rsidRPr="00DA13DA">
          <w:rPr>
            <w:rStyle w:val="Hyperlink"/>
            <w:noProof/>
            <w:lang w:val="en-AU"/>
          </w:rPr>
          <w:t>8.4.3</w:t>
        </w:r>
        <w:r w:rsidR="00801327" w:rsidRPr="00DA13DA">
          <w:rPr>
            <w:rFonts w:asciiTheme="minorHAnsi" w:eastAsiaTheme="minorEastAsia" w:hAnsiTheme="minorHAnsi" w:cstheme="minorBidi"/>
            <w:noProof/>
            <w:sz w:val="22"/>
            <w:szCs w:val="22"/>
            <w:lang w:val="en-AU" w:eastAsia="en-AU"/>
          </w:rPr>
          <w:tab/>
        </w:r>
        <w:r w:rsidR="00801327" w:rsidRPr="00DA13DA">
          <w:rPr>
            <w:rStyle w:val="Hyperlink"/>
            <w:noProof/>
            <w:lang w:val="en-AU"/>
          </w:rPr>
          <w:t>Assistance through Utility Relief Grants Scheme (URGS)</w:t>
        </w:r>
        <w:r w:rsidR="00801327" w:rsidRPr="00DA13DA">
          <w:rPr>
            <w:noProof/>
            <w:webHidden/>
          </w:rPr>
          <w:tab/>
        </w:r>
        <w:r w:rsidR="00801327" w:rsidRPr="00DA13DA">
          <w:rPr>
            <w:noProof/>
            <w:webHidden/>
          </w:rPr>
          <w:fldChar w:fldCharType="begin"/>
        </w:r>
        <w:r w:rsidR="00801327" w:rsidRPr="00DA13DA">
          <w:rPr>
            <w:noProof/>
            <w:webHidden/>
          </w:rPr>
          <w:instrText xml:space="preserve"> PAGEREF _Toc445571722 \h </w:instrText>
        </w:r>
        <w:r w:rsidR="00801327" w:rsidRPr="00DA13DA">
          <w:rPr>
            <w:noProof/>
            <w:webHidden/>
          </w:rPr>
        </w:r>
        <w:r w:rsidR="00801327" w:rsidRPr="00DA13DA">
          <w:rPr>
            <w:noProof/>
            <w:webHidden/>
          </w:rPr>
          <w:fldChar w:fldCharType="separate"/>
        </w:r>
        <w:r w:rsidR="00796CAC">
          <w:rPr>
            <w:noProof/>
            <w:webHidden/>
          </w:rPr>
          <w:t>171</w:t>
        </w:r>
        <w:r w:rsidR="00801327" w:rsidRPr="00DA13DA">
          <w:rPr>
            <w:noProof/>
            <w:webHidden/>
          </w:rPr>
          <w:fldChar w:fldCharType="end"/>
        </w:r>
      </w:hyperlink>
    </w:p>
    <w:p w14:paraId="38F1F189" w14:textId="77777777" w:rsidR="00801327" w:rsidRDefault="00C32523" w:rsidP="005D2694">
      <w:pPr>
        <w:pStyle w:val="TOC1"/>
        <w:tabs>
          <w:tab w:val="clear" w:pos="8788"/>
          <w:tab w:val="left" w:pos="567"/>
          <w:tab w:val="right" w:leader="dot" w:pos="12616"/>
        </w:tabs>
        <w:rPr>
          <w:rFonts w:asciiTheme="minorHAnsi" w:eastAsiaTheme="minorEastAsia" w:hAnsiTheme="minorHAnsi" w:cstheme="minorBidi"/>
          <w:b w:val="0"/>
          <w:noProof/>
          <w:kern w:val="0"/>
          <w:sz w:val="22"/>
          <w:szCs w:val="22"/>
          <w:lang w:val="en-AU" w:eastAsia="en-AU"/>
        </w:rPr>
      </w:pPr>
      <w:hyperlink w:anchor="_Toc445571723" w:history="1">
        <w:r w:rsidR="00801327" w:rsidRPr="0060612E">
          <w:rPr>
            <w:rStyle w:val="Hyperlink"/>
            <w:noProof/>
          </w:rPr>
          <w:t>9</w:t>
        </w:r>
        <w:r w:rsidR="00801327">
          <w:rPr>
            <w:rFonts w:asciiTheme="minorHAnsi" w:eastAsiaTheme="minorEastAsia" w:hAnsiTheme="minorHAnsi" w:cstheme="minorBidi"/>
            <w:b w:val="0"/>
            <w:noProof/>
            <w:kern w:val="0"/>
            <w:sz w:val="22"/>
            <w:szCs w:val="22"/>
            <w:lang w:val="en-AU" w:eastAsia="en-AU"/>
          </w:rPr>
          <w:tab/>
        </w:r>
        <w:r w:rsidR="00801327" w:rsidRPr="0060612E">
          <w:rPr>
            <w:rStyle w:val="Hyperlink"/>
            <w:noProof/>
          </w:rPr>
          <w:t>GLOSSARY</w:t>
        </w:r>
        <w:r w:rsidR="00801327">
          <w:rPr>
            <w:noProof/>
            <w:webHidden/>
          </w:rPr>
          <w:tab/>
        </w:r>
        <w:r w:rsidR="00801327">
          <w:rPr>
            <w:noProof/>
            <w:webHidden/>
          </w:rPr>
          <w:fldChar w:fldCharType="begin"/>
        </w:r>
        <w:r w:rsidR="00801327">
          <w:rPr>
            <w:noProof/>
            <w:webHidden/>
          </w:rPr>
          <w:instrText xml:space="preserve"> PAGEREF _Toc445571723 \h </w:instrText>
        </w:r>
        <w:r w:rsidR="00801327">
          <w:rPr>
            <w:noProof/>
            <w:webHidden/>
          </w:rPr>
        </w:r>
        <w:r w:rsidR="00801327">
          <w:rPr>
            <w:noProof/>
            <w:webHidden/>
          </w:rPr>
          <w:fldChar w:fldCharType="separate"/>
        </w:r>
        <w:r w:rsidR="00796CAC">
          <w:rPr>
            <w:noProof/>
            <w:webHidden/>
          </w:rPr>
          <w:t>173</w:t>
        </w:r>
        <w:r w:rsidR="00801327">
          <w:rPr>
            <w:noProof/>
            <w:webHidden/>
          </w:rPr>
          <w:fldChar w:fldCharType="end"/>
        </w:r>
      </w:hyperlink>
    </w:p>
    <w:p w14:paraId="72B28C66" w14:textId="77777777" w:rsidR="00691DC6" w:rsidRDefault="008F56BA" w:rsidP="00DA13DA">
      <w:pPr>
        <w:pStyle w:val="Para"/>
        <w:tabs>
          <w:tab w:val="left" w:pos="1560"/>
          <w:tab w:val="right" w:leader="dot" w:pos="12049"/>
          <w:tab w:val="right" w:leader="dot" w:pos="12616"/>
          <w:tab w:val="right" w:leader="dot" w:pos="14175"/>
          <w:tab w:val="right" w:leader="dot" w:pos="14459"/>
        </w:tabs>
        <w:rPr>
          <w:b/>
          <w:kern w:val="28"/>
          <w:lang w:val="en-AU"/>
        </w:rPr>
      </w:pPr>
      <w:r>
        <w:rPr>
          <w:b/>
          <w:kern w:val="28"/>
          <w:lang w:val="en-AU"/>
        </w:rPr>
        <w:fldChar w:fldCharType="end"/>
      </w:r>
    </w:p>
    <w:p w14:paraId="0BC6325F" w14:textId="21ACF40E" w:rsidR="00E62702" w:rsidRDefault="00691DC6">
      <w:pPr>
        <w:pStyle w:val="Para"/>
        <w:rPr>
          <w:lang w:val="en-AU"/>
        </w:rPr>
      </w:pPr>
      <w:r>
        <w:rPr>
          <w:lang w:val="en-AU"/>
        </w:rPr>
        <w:t xml:space="preserve">     </w:t>
      </w:r>
      <w:r w:rsidR="00BE2A24">
        <w:rPr>
          <w:lang w:val="en-AU"/>
        </w:rPr>
        <w:t xml:space="preserve">  </w:t>
      </w:r>
      <w:r>
        <w:rPr>
          <w:lang w:val="en-AU"/>
        </w:rPr>
        <w:t xml:space="preserve"> </w:t>
      </w:r>
      <w:r w:rsidR="00E62702" w:rsidRPr="00691DC6">
        <w:rPr>
          <w:b/>
          <w:lang w:val="en-AU"/>
        </w:rPr>
        <w:t>Appendices</w:t>
      </w:r>
      <w:r w:rsidR="00BE2A24" w:rsidRPr="00BE2A24">
        <w:rPr>
          <w:lang w:val="en-AU"/>
        </w:rPr>
        <w:t>………..P</w:t>
      </w:r>
      <w:r w:rsidR="00E62702" w:rsidRPr="00BE2A24">
        <w:rPr>
          <w:lang w:val="en-AU"/>
        </w:rPr>
        <w:t>rovided</w:t>
      </w:r>
      <w:r w:rsidR="00E62702">
        <w:rPr>
          <w:lang w:val="en-AU"/>
        </w:rPr>
        <w:t xml:space="preserve"> separately.</w:t>
      </w:r>
    </w:p>
    <w:p w14:paraId="560AAD68" w14:textId="77777777" w:rsidR="00E62702" w:rsidRDefault="00E62702">
      <w:pPr>
        <w:pStyle w:val="Para"/>
        <w:rPr>
          <w:lang w:val="en-AU"/>
        </w:rPr>
      </w:pPr>
    </w:p>
    <w:p w14:paraId="2EBA9CB2" w14:textId="77777777" w:rsidR="00E62702" w:rsidRPr="00212261" w:rsidRDefault="00E62702">
      <w:pPr>
        <w:pStyle w:val="Para"/>
        <w:rPr>
          <w:lang w:val="en-AU"/>
        </w:rPr>
      </w:pPr>
    </w:p>
    <w:p w14:paraId="31AA0848" w14:textId="77777777" w:rsidR="00EA0ACB" w:rsidRPr="00212261" w:rsidRDefault="00EA0ACB">
      <w:pPr>
        <w:spacing w:before="20" w:after="20"/>
        <w:rPr>
          <w:sz w:val="20"/>
          <w:lang w:val="en-AU"/>
        </w:rPr>
        <w:sectPr w:rsidR="00EA0ACB" w:rsidRPr="00212261" w:rsidSect="003B68D0">
          <w:footerReference w:type="default" r:id="rId19"/>
          <w:headerReference w:type="first" r:id="rId20"/>
          <w:footerReference w:type="first" r:id="rId21"/>
          <w:footnotePr>
            <w:numRestart w:val="eachPage"/>
          </w:footnotePr>
          <w:pgSz w:w="16840" w:h="11907" w:orient="landscape" w:code="9"/>
          <w:pgMar w:top="1701" w:right="1418" w:bottom="1418" w:left="992" w:header="851" w:footer="448" w:gutter="0"/>
          <w:pgNumType w:start="0"/>
          <w:cols w:space="720"/>
          <w:formProt w:val="0"/>
        </w:sectPr>
      </w:pPr>
    </w:p>
    <w:p w14:paraId="630C7E82" w14:textId="526596C2" w:rsidR="00EA0ACB" w:rsidRPr="00D63156" w:rsidRDefault="008F56BA" w:rsidP="00A72DEE">
      <w:pPr>
        <w:pStyle w:val="Heading1"/>
        <w:numPr>
          <w:ilvl w:val="0"/>
          <w:numId w:val="0"/>
        </w:numPr>
        <w:rPr>
          <w:lang w:val="en-AU"/>
        </w:rPr>
      </w:pPr>
      <w:bookmarkStart w:id="6" w:name="_Toc532628075"/>
      <w:bookmarkStart w:id="7" w:name="_Toc439198243"/>
      <w:bookmarkStart w:id="8" w:name="_Toc445571628"/>
      <w:bookmarkStart w:id="9" w:name="_Toc388241956"/>
      <w:bookmarkStart w:id="10" w:name="_Toc388243697"/>
      <w:bookmarkStart w:id="11" w:name="_Toc388244034"/>
      <w:bookmarkStart w:id="12" w:name="_Toc388244326"/>
      <w:bookmarkStart w:id="13" w:name="_Toc388246842"/>
      <w:bookmarkStart w:id="14" w:name="_Toc388259230"/>
      <w:r>
        <w:rPr>
          <w:lang w:val="en-AU"/>
        </w:rPr>
        <w:lastRenderedPageBreak/>
        <w:t>EXECUTIVE SUMMARY</w:t>
      </w:r>
      <w:bookmarkEnd w:id="6"/>
      <w:bookmarkEnd w:id="7"/>
      <w:bookmarkEnd w:id="8"/>
    </w:p>
    <w:p w14:paraId="715E1E96" w14:textId="77777777" w:rsidR="00B857E3" w:rsidRPr="00BD3838" w:rsidRDefault="00B857E3">
      <w:pPr>
        <w:pStyle w:val="Para"/>
        <w:spacing w:line="300" w:lineRule="exact"/>
        <w:rPr>
          <w:highlight w:val="yellow"/>
          <w:lang w:val="en-AU"/>
        </w:rPr>
      </w:pPr>
    </w:p>
    <w:p w14:paraId="55BFD29A" w14:textId="77777777" w:rsidR="00D63156" w:rsidRPr="002A4559" w:rsidRDefault="00D63156" w:rsidP="008F56BA">
      <w:pPr>
        <w:pStyle w:val="Heading4"/>
        <w:rPr>
          <w:lang w:val="en-AU"/>
        </w:rPr>
      </w:pPr>
      <w:bookmarkStart w:id="15" w:name="_Toc439198244"/>
      <w:bookmarkStart w:id="16" w:name="_Toc445571629"/>
      <w:r w:rsidRPr="002A4559">
        <w:rPr>
          <w:lang w:val="en-AU"/>
        </w:rPr>
        <w:t>Background</w:t>
      </w:r>
      <w:bookmarkEnd w:id="15"/>
      <w:bookmarkEnd w:id="16"/>
    </w:p>
    <w:p w14:paraId="3AFF46EC" w14:textId="77777777" w:rsidR="00D63156" w:rsidRPr="002A4559" w:rsidRDefault="00D63156" w:rsidP="00D63156">
      <w:pPr>
        <w:pStyle w:val="Para"/>
        <w:rPr>
          <w:lang w:val="en-AU"/>
        </w:rPr>
      </w:pPr>
      <w:r w:rsidRPr="002A4559">
        <w:rPr>
          <w:lang w:val="en-AU"/>
        </w:rPr>
        <w:t>The Victorian Utility Consumption Household Survey 2015 is a follow-on from the Victorian Utility Consumption Household Survey conducted in 2007, 2001 and 1996.  Telephone interviews were conducted amongst concession and non-concession households throughout Victoria.</w:t>
      </w:r>
    </w:p>
    <w:p w14:paraId="6E509191" w14:textId="77777777" w:rsidR="00D63156" w:rsidRPr="002A4559" w:rsidRDefault="00D63156" w:rsidP="00D63156">
      <w:pPr>
        <w:pStyle w:val="Para"/>
        <w:rPr>
          <w:lang w:val="en-AU"/>
        </w:rPr>
      </w:pPr>
    </w:p>
    <w:p w14:paraId="23ED4C9B" w14:textId="77777777" w:rsidR="00D63156" w:rsidRPr="002A4559" w:rsidRDefault="00D63156" w:rsidP="00D63156">
      <w:pPr>
        <w:pStyle w:val="Para"/>
        <w:rPr>
          <w:szCs w:val="24"/>
          <w:lang w:val="en-AU"/>
        </w:rPr>
      </w:pPr>
      <w:r w:rsidRPr="002A4559">
        <w:rPr>
          <w:szCs w:val="24"/>
          <w:lang w:val="en-AU"/>
        </w:rPr>
        <w:t xml:space="preserve">The Department of Health and Human Services commissioned Roy Morgan Research to conduct this survey in 2015 to identify patterns of household utility consumption amongst Victorian households in 2014, and to make comparisons with data collected and developed in 2007, 2001 and 1996.  Furthermore, the Department sought to examine the impact of utility pricing changes and concession availability on consumption patterns and use the information collected as inputs into modelling exercises for policy development.  </w:t>
      </w:r>
    </w:p>
    <w:p w14:paraId="61A0A38F" w14:textId="77777777" w:rsidR="00D63156" w:rsidRPr="002A4559" w:rsidRDefault="00D63156" w:rsidP="00D63156">
      <w:pPr>
        <w:pStyle w:val="Para"/>
        <w:rPr>
          <w:color w:val="000000"/>
          <w:szCs w:val="24"/>
        </w:rPr>
      </w:pPr>
    </w:p>
    <w:p w14:paraId="6AAF8933" w14:textId="77777777" w:rsidR="00D63156" w:rsidRPr="002A4559" w:rsidRDefault="00D63156" w:rsidP="008F56BA">
      <w:pPr>
        <w:pStyle w:val="Heading4"/>
        <w:rPr>
          <w:lang w:val="en-AU"/>
        </w:rPr>
      </w:pPr>
      <w:bookmarkStart w:id="17" w:name="_Toc439198245"/>
      <w:bookmarkStart w:id="18" w:name="_Toc445571630"/>
      <w:r w:rsidRPr="002A4559">
        <w:rPr>
          <w:lang w:val="en-AU"/>
        </w:rPr>
        <w:t>Approach</w:t>
      </w:r>
      <w:bookmarkEnd w:id="17"/>
      <w:bookmarkEnd w:id="18"/>
    </w:p>
    <w:p w14:paraId="6B2F6B13" w14:textId="77777777" w:rsidR="00D63156" w:rsidRPr="002A4559" w:rsidRDefault="00D63156" w:rsidP="00D63156">
      <w:pPr>
        <w:pStyle w:val="Para"/>
        <w:rPr>
          <w:szCs w:val="24"/>
        </w:rPr>
      </w:pPr>
      <w:r w:rsidRPr="002A4559">
        <w:rPr>
          <w:color w:val="000000"/>
          <w:szCs w:val="24"/>
        </w:rPr>
        <w:t>For the 2014 survey Roy Morgan Research selected Victorian households from its Single Source database,</w:t>
      </w:r>
      <w:r w:rsidRPr="002A4559">
        <w:rPr>
          <w:szCs w:val="24"/>
        </w:rPr>
        <w:t xml:space="preserve"> stratified and selected on the presence or absence of government benefits received in </w:t>
      </w:r>
      <w:smartTag w:uri="urn:schemas-microsoft-com:office:smarttags" w:element="State">
        <w:smartTag w:uri="urn:schemas-microsoft-com:office:smarttags" w:element="place">
          <w:r w:rsidRPr="002A4559">
            <w:rPr>
              <w:szCs w:val="24"/>
            </w:rPr>
            <w:t>Victoria</w:t>
          </w:r>
        </w:smartTag>
      </w:smartTag>
      <w:r w:rsidRPr="002A4559">
        <w:rPr>
          <w:szCs w:val="24"/>
        </w:rPr>
        <w:t>.  This initial sample was then mailed out an information pack for the survey, following which the household was contacted to complete a short telephone survey.  At the end of the telephone survey, respondents were asked to complete and return a set of consent forms which allowed Roy Morgan Research to contact energy suppliers, water suppliers and councils in order to obtain billing and consumption information for each household providing consent.</w:t>
      </w:r>
    </w:p>
    <w:p w14:paraId="152BBA48" w14:textId="77777777" w:rsidR="00D63156" w:rsidRPr="002A4559" w:rsidRDefault="00D63156" w:rsidP="00D63156">
      <w:pPr>
        <w:pStyle w:val="Para"/>
        <w:rPr>
          <w:szCs w:val="24"/>
          <w:lang w:val="en-AU"/>
        </w:rPr>
      </w:pPr>
    </w:p>
    <w:p w14:paraId="499611BB" w14:textId="77777777" w:rsidR="00D63156" w:rsidRPr="002A4559" w:rsidRDefault="00D63156" w:rsidP="00D63156">
      <w:pPr>
        <w:pStyle w:val="Para"/>
        <w:rPr>
          <w:szCs w:val="24"/>
          <w:lang w:val="en-AU"/>
        </w:rPr>
      </w:pPr>
      <w:r w:rsidRPr="002A4559">
        <w:rPr>
          <w:szCs w:val="24"/>
          <w:lang w:val="en-AU"/>
        </w:rPr>
        <w:t>The sampling and data collection approach for the Victorian Utility Consumption Household Survey 2015 differed somewhat from the approaches taken in 2007, 2001 and 1996.  Past Victorian Utility Consumption Household Surveys had employed a face-to-face survey methodology and had only covered selected regions of Victoria, whereas for the Victorian Utility Consumption Household Survey 2015 almost the entire state of Victoria was in scope.</w:t>
      </w:r>
    </w:p>
    <w:p w14:paraId="1D3307E8" w14:textId="77777777" w:rsidR="00D63156" w:rsidRPr="002A4559" w:rsidRDefault="00D63156" w:rsidP="00D63156">
      <w:pPr>
        <w:pStyle w:val="Para"/>
        <w:rPr>
          <w:szCs w:val="24"/>
          <w:lang w:val="en-AU"/>
        </w:rPr>
      </w:pPr>
    </w:p>
    <w:p w14:paraId="49C30202" w14:textId="77777777" w:rsidR="00D63156" w:rsidRPr="002A4559" w:rsidRDefault="00D63156" w:rsidP="00D63156">
      <w:pPr>
        <w:pStyle w:val="Para"/>
        <w:rPr>
          <w:szCs w:val="24"/>
          <w:lang w:val="en-AU"/>
        </w:rPr>
      </w:pPr>
      <w:r w:rsidRPr="002A4559">
        <w:rPr>
          <w:szCs w:val="24"/>
          <w:lang w:val="en-AU"/>
        </w:rPr>
        <w:t xml:space="preserve">The research methodology is discussed in detail in the body of the report. Telephone interviews were conducted with 2,204 respondents who agreed to send consent forms that would enable their billing data to be obtained from their relevant suppliers.  Overall 1,861 households provided one or more consent forms. </w:t>
      </w:r>
    </w:p>
    <w:p w14:paraId="5930DF71" w14:textId="77777777" w:rsidR="00D63156" w:rsidRPr="002A4559" w:rsidRDefault="00D63156" w:rsidP="00D63156">
      <w:pPr>
        <w:pStyle w:val="Para"/>
        <w:rPr>
          <w:szCs w:val="24"/>
          <w:lang w:val="en-AU"/>
        </w:rPr>
      </w:pPr>
    </w:p>
    <w:p w14:paraId="42F8CE4A" w14:textId="77777777" w:rsidR="00D63156" w:rsidRPr="002A4559" w:rsidRDefault="00D63156" w:rsidP="00D63156">
      <w:pPr>
        <w:pStyle w:val="Para"/>
        <w:rPr>
          <w:szCs w:val="24"/>
          <w:lang w:val="en-AU"/>
        </w:rPr>
      </w:pPr>
      <w:r w:rsidRPr="002A4559">
        <w:rPr>
          <w:szCs w:val="24"/>
          <w:lang w:val="en-AU"/>
        </w:rPr>
        <w:t xml:space="preserve">The collection of reliable billing data from utilities and councils was a critical and integral component of the project.  While the majority of councils and utilities provided the required data within the required timeframes, several, including one of the largest energy suppliers, provided the data much later than requested.  </w:t>
      </w:r>
    </w:p>
    <w:p w14:paraId="5E0EB75C" w14:textId="77777777" w:rsidR="00D63156" w:rsidRPr="002A4559" w:rsidRDefault="00D63156" w:rsidP="00D63156">
      <w:pPr>
        <w:pStyle w:val="Para"/>
        <w:rPr>
          <w:szCs w:val="24"/>
          <w:lang w:val="en-AU"/>
        </w:rPr>
      </w:pPr>
    </w:p>
    <w:p w14:paraId="759D3363" w14:textId="7F5DAF5E" w:rsidR="00D63156" w:rsidRPr="00BF001E" w:rsidRDefault="00D63156" w:rsidP="00D63156">
      <w:pPr>
        <w:pStyle w:val="Para"/>
      </w:pPr>
      <w:r w:rsidRPr="00BF001E">
        <w:t xml:space="preserve">At the time of preparing the draft report (mid December 2015) final data had still not been received from one major gas and electricity supplier and a related (more minor) electricity supplier.  This missing data has now been received and processed (the final component being provided in early February 2016), and overall figures have since been updated. The data in this </w:t>
      </w:r>
      <w:r w:rsidR="00390355" w:rsidRPr="00BF001E">
        <w:t>report</w:t>
      </w:r>
      <w:r w:rsidRPr="00BF001E">
        <w:t xml:space="preserve"> therefore differs in some respects from the draft report.  </w:t>
      </w:r>
    </w:p>
    <w:p w14:paraId="2AC95D8B" w14:textId="77777777" w:rsidR="00D63156" w:rsidRPr="002A4559" w:rsidRDefault="00D63156" w:rsidP="00D63156">
      <w:pPr>
        <w:spacing w:before="0" w:after="0" w:line="340" w:lineRule="exact"/>
        <w:jc w:val="both"/>
        <w:rPr>
          <w:szCs w:val="24"/>
          <w:lang w:val="en-AU"/>
        </w:rPr>
      </w:pPr>
    </w:p>
    <w:p w14:paraId="0A166BA6" w14:textId="77777777" w:rsidR="00D63156" w:rsidRPr="002A4559" w:rsidRDefault="00D63156" w:rsidP="00D63156">
      <w:pPr>
        <w:pStyle w:val="Para"/>
        <w:rPr>
          <w:szCs w:val="24"/>
          <w:lang w:val="en-AU"/>
        </w:rPr>
      </w:pPr>
      <w:r w:rsidRPr="002A4559">
        <w:rPr>
          <w:szCs w:val="24"/>
          <w:lang w:val="en-AU"/>
        </w:rPr>
        <w:t xml:space="preserve">In past surveys, the geographic scope has been limited to the Melbourne metropolitan area and to a small number of major regional cities.  For this survey, however, almost all of </w:t>
      </w:r>
      <w:smartTag w:uri="urn:schemas-microsoft-com:office:smarttags" w:element="State">
        <w:smartTag w:uri="urn:schemas-microsoft-com:office:smarttags" w:element="place">
          <w:r w:rsidRPr="002A4559">
            <w:rPr>
              <w:szCs w:val="24"/>
              <w:lang w:val="en-AU"/>
            </w:rPr>
            <w:t>Victoria</w:t>
          </w:r>
        </w:smartTag>
      </w:smartTag>
      <w:r w:rsidRPr="002A4559">
        <w:rPr>
          <w:szCs w:val="24"/>
          <w:lang w:val="en-AU"/>
        </w:rPr>
        <w:t xml:space="preserve"> was covered.  This clearly improves the confidence with which the results can be generalised to the whole population of </w:t>
      </w:r>
      <w:smartTag w:uri="urn:schemas-microsoft-com:office:smarttags" w:element="State">
        <w:smartTag w:uri="urn:schemas-microsoft-com:office:smarttags" w:element="place">
          <w:r w:rsidRPr="002A4559">
            <w:rPr>
              <w:szCs w:val="24"/>
              <w:lang w:val="en-AU"/>
            </w:rPr>
            <w:t>Victoria</w:t>
          </w:r>
        </w:smartTag>
      </w:smartTag>
      <w:r w:rsidRPr="002A4559">
        <w:rPr>
          <w:szCs w:val="24"/>
          <w:lang w:val="en-AU"/>
        </w:rPr>
        <w:t>, but means that most comparisons with past surveys’ results need to be conducted with care.</w:t>
      </w:r>
    </w:p>
    <w:p w14:paraId="192C8417" w14:textId="77777777" w:rsidR="00D63156" w:rsidRPr="002A4559" w:rsidRDefault="00D63156" w:rsidP="00D63156">
      <w:pPr>
        <w:pStyle w:val="Para"/>
        <w:rPr>
          <w:lang w:val="en-AU"/>
        </w:rPr>
      </w:pPr>
    </w:p>
    <w:p w14:paraId="5BD43674" w14:textId="77777777" w:rsidR="00D63156" w:rsidRPr="00BF001E" w:rsidRDefault="00D63156" w:rsidP="00D63156">
      <w:pPr>
        <w:pStyle w:val="Para"/>
      </w:pPr>
      <w:r w:rsidRPr="00BF001E">
        <w:t>In previous surveys a small component of the sample was defined as “LPG area”, which was geographically defined based on limited available information, and was thus geographically distinct from the Melbourne and Country VIC strata in those past surveys.  In 2014, no specific “LPG area” has been defined: rather households that both reported in the telephone interview that they use LPG for heating/cooking/hot water and did not provide a consent form for a gas supplier have been defined as “LPG households” but are not a separate stratum for sampling purposes.  This change in approach should allow for a much more representative sample of LPG households.  It should be noted that</w:t>
      </w:r>
      <w:r w:rsidRPr="00BF001E">
        <w:rPr>
          <w:lang w:val="en-AU"/>
        </w:rPr>
        <w:t xml:space="preserve"> initial results suggested that the responses provided by telephone showed a degree of possible misunderstanding of “LPG” usage by mains gas users may have occurred</w:t>
      </w:r>
      <w:r w:rsidRPr="00BF001E">
        <w:t xml:space="preserve">.  For this final report it has been </w:t>
      </w:r>
      <w:r w:rsidRPr="00BF001E">
        <w:lastRenderedPageBreak/>
        <w:t>decided that to qualify as an “LPG household” for analysis purposes, the household had to meet two criteria: firstly, indicating that they use LPG for heating/cooking/hot water and secondly, not providing a consent form for a mains gas supplier.</w:t>
      </w:r>
    </w:p>
    <w:p w14:paraId="7739E0A5" w14:textId="77777777" w:rsidR="00D63156" w:rsidRPr="002A4559" w:rsidRDefault="00D63156" w:rsidP="00D63156">
      <w:pPr>
        <w:pStyle w:val="Para"/>
        <w:rPr>
          <w:lang w:val="en-AU"/>
        </w:rPr>
      </w:pPr>
    </w:p>
    <w:p w14:paraId="026C1859" w14:textId="77777777" w:rsidR="00D63156" w:rsidRPr="002A4559" w:rsidRDefault="00D63156" w:rsidP="00D63156">
      <w:pPr>
        <w:pStyle w:val="Para"/>
        <w:rPr>
          <w:lang w:val="en-AU"/>
        </w:rPr>
      </w:pPr>
      <w:r w:rsidRPr="002A4559">
        <w:rPr>
          <w:lang w:val="en-AU"/>
        </w:rPr>
        <w:t xml:space="preserve">Throughout this report primary analysis has been conducted amongst three main sub-groups – aged concession households, other concession households and non-concession households. Whilst this report refers to a survey that was conducted in 2015, associated billing and consumption data was collected for the 2014 calendar year for electricity, gas and water and for the 2013-14 financial year for council rates. However, all survey results refer to the year 2014 for simplicity. </w:t>
      </w:r>
    </w:p>
    <w:p w14:paraId="07EED24C" w14:textId="77777777" w:rsidR="00D63156" w:rsidRPr="002A4559" w:rsidRDefault="00D63156" w:rsidP="00D63156">
      <w:pPr>
        <w:pStyle w:val="Para"/>
        <w:rPr>
          <w:lang w:val="en-AU"/>
        </w:rPr>
      </w:pPr>
    </w:p>
    <w:p w14:paraId="7006576B" w14:textId="77777777" w:rsidR="00D63156" w:rsidRPr="002A4559" w:rsidRDefault="00D63156" w:rsidP="008F56BA">
      <w:pPr>
        <w:pStyle w:val="Heading4"/>
        <w:rPr>
          <w:lang w:val="en-AU"/>
        </w:rPr>
      </w:pPr>
      <w:bookmarkStart w:id="19" w:name="_Toc184087750"/>
      <w:bookmarkStart w:id="20" w:name="_Toc439198246"/>
      <w:bookmarkStart w:id="21" w:name="_Toc445571631"/>
      <w:r w:rsidRPr="002A4559">
        <w:rPr>
          <w:lang w:val="en-AU"/>
        </w:rPr>
        <w:t>Sample Characteristics</w:t>
      </w:r>
      <w:bookmarkEnd w:id="19"/>
      <w:bookmarkEnd w:id="20"/>
      <w:bookmarkEnd w:id="21"/>
    </w:p>
    <w:p w14:paraId="3E54A257" w14:textId="77777777" w:rsidR="00D63156" w:rsidRPr="002A4559" w:rsidRDefault="00D63156" w:rsidP="00D63156">
      <w:pPr>
        <w:pStyle w:val="Para"/>
        <w:rPr>
          <w:lang w:val="en-AU"/>
        </w:rPr>
      </w:pPr>
      <w:r w:rsidRPr="002A4559">
        <w:rPr>
          <w:lang w:val="en-AU"/>
        </w:rPr>
        <w:t>A total of 1,861 households both completed the telephone interview and provided consent form(s) so that billing and consumption data could be obtained from suppliers and councils.  Of these, 61% were from Melbourne and 39% from country Victoria.</w:t>
      </w:r>
    </w:p>
    <w:p w14:paraId="4FE4C5B0" w14:textId="77777777" w:rsidR="00D63156" w:rsidRPr="002A4559" w:rsidRDefault="00D63156" w:rsidP="00D63156">
      <w:pPr>
        <w:pStyle w:val="Para"/>
        <w:rPr>
          <w:lang w:val="en-AU"/>
        </w:rPr>
      </w:pPr>
    </w:p>
    <w:p w14:paraId="1680C1DD" w14:textId="77777777" w:rsidR="00D63156" w:rsidRPr="002A4559" w:rsidRDefault="00D63156" w:rsidP="00D63156">
      <w:pPr>
        <w:pStyle w:val="Para"/>
        <w:rPr>
          <w:lang w:val="en-AU"/>
        </w:rPr>
      </w:pPr>
      <w:r w:rsidRPr="002A4559">
        <w:rPr>
          <w:lang w:val="en-AU"/>
        </w:rPr>
        <w:t xml:space="preserve">Just under half (45%) of households were defined as concession households, </w:t>
      </w:r>
      <w:r w:rsidRPr="00BF001E">
        <w:rPr>
          <w:lang w:val="en-AU"/>
        </w:rPr>
        <w:t xml:space="preserve">with aged and non-aged concession households representing 23% </w:t>
      </w:r>
      <w:r w:rsidRPr="00326026">
        <w:rPr>
          <w:lang w:val="en-AU"/>
        </w:rPr>
        <w:t>and 22% respectively of the total sample</w:t>
      </w:r>
      <w:r w:rsidRPr="002A4559">
        <w:rPr>
          <w:lang w:val="en-AU"/>
        </w:rPr>
        <w:t xml:space="preserve">.  The proportion of non-concession households in 2014 (55%) was slightly lower than in previous years of the study.  </w:t>
      </w:r>
    </w:p>
    <w:p w14:paraId="6499F55A" w14:textId="77777777" w:rsidR="00D63156" w:rsidRPr="002A4559" w:rsidRDefault="00D63156" w:rsidP="00D63156">
      <w:pPr>
        <w:pStyle w:val="Para"/>
        <w:rPr>
          <w:lang w:val="en-AU"/>
        </w:rPr>
      </w:pPr>
    </w:p>
    <w:p w14:paraId="01667523" w14:textId="77777777" w:rsidR="00D63156" w:rsidRPr="002A4559" w:rsidRDefault="00D63156" w:rsidP="00D63156">
      <w:pPr>
        <w:pStyle w:val="Para"/>
        <w:rPr>
          <w:lang w:val="en-AU"/>
        </w:rPr>
      </w:pPr>
      <w:r w:rsidRPr="002A4559">
        <w:rPr>
          <w:lang w:val="en-AU"/>
        </w:rPr>
        <w:t xml:space="preserve">As with all past surveys, the sample has been weighted to households, rather than to individuals.  Nevertheless, it is instructive to consider some characteristics of the selected respondent/main bill-payer.  Overall, the 2014 sample comprises proportionately more females (63%) than males (37%).  Similar gender distributions are evident across household types.  A similar gender distribution was evident when the sample was analysed by region, with the proportion of females in country areas (67%) being slightly higher than in </w:t>
      </w:r>
      <w:smartTag w:uri="urn:schemas-microsoft-com:office:smarttags" w:element="City">
        <w:smartTag w:uri="urn:schemas-microsoft-com:office:smarttags" w:element="place">
          <w:r w:rsidRPr="002A4559">
            <w:rPr>
              <w:lang w:val="en-AU"/>
            </w:rPr>
            <w:t>Melbourne</w:t>
          </w:r>
        </w:smartTag>
      </w:smartTag>
      <w:r w:rsidRPr="002A4559">
        <w:rPr>
          <w:lang w:val="en-AU"/>
        </w:rPr>
        <w:t xml:space="preserve"> (61%).</w:t>
      </w:r>
    </w:p>
    <w:p w14:paraId="52A8615B" w14:textId="77777777" w:rsidR="00D63156" w:rsidRPr="002A4559" w:rsidRDefault="00D63156" w:rsidP="00D63156">
      <w:pPr>
        <w:pStyle w:val="Para"/>
        <w:rPr>
          <w:lang w:val="en-AU"/>
        </w:rPr>
      </w:pPr>
    </w:p>
    <w:p w14:paraId="494F1D10" w14:textId="77777777" w:rsidR="00162EF6" w:rsidRDefault="00162EF6">
      <w:pPr>
        <w:spacing w:before="0" w:after="0"/>
        <w:rPr>
          <w:lang w:val="en-AU"/>
        </w:rPr>
      </w:pPr>
      <w:r>
        <w:rPr>
          <w:lang w:val="en-AU"/>
        </w:rPr>
        <w:br w:type="page"/>
      </w:r>
    </w:p>
    <w:p w14:paraId="20ABCF41" w14:textId="23C9C15E" w:rsidR="00D63156" w:rsidRPr="002A4559" w:rsidRDefault="00D63156" w:rsidP="00D63156">
      <w:pPr>
        <w:pStyle w:val="Para"/>
        <w:rPr>
          <w:lang w:val="en-AU"/>
        </w:rPr>
      </w:pPr>
      <w:r w:rsidRPr="002A4559">
        <w:rPr>
          <w:lang w:val="en-AU"/>
        </w:rPr>
        <w:lastRenderedPageBreak/>
        <w:t xml:space="preserve">As would be expected, the great majority (98%) of aged concession </w:t>
      </w:r>
      <w:r w:rsidR="00B942AA">
        <w:rPr>
          <w:lang w:val="en-AU"/>
        </w:rPr>
        <w:t xml:space="preserve">card </w:t>
      </w:r>
      <w:r w:rsidRPr="002A4559">
        <w:rPr>
          <w:lang w:val="en-AU"/>
        </w:rPr>
        <w:t xml:space="preserve">holders were aged 65 years or over, while the other concession sample included higher proportions (95%) aged 25-64.  The age profile of the selected respondent/main bill-payer from non-concession households is relatively similar to that of other concession households. The mean age amongst aged concession </w:t>
      </w:r>
      <w:r w:rsidR="00B942AA">
        <w:rPr>
          <w:lang w:val="en-AU"/>
        </w:rPr>
        <w:t xml:space="preserve">card </w:t>
      </w:r>
      <w:r w:rsidRPr="002A4559">
        <w:rPr>
          <w:lang w:val="en-AU"/>
        </w:rPr>
        <w:t>holders was 72.7 years, substantially higher than that for the selected respondents from other concession households (52.2 years).  Within the total concession household sample the selected respondent/main bill-payer had a mean age of 62.6 years compared with 50.5 years for non-concession households.  Little difference was evident when examined by region, with respondents from country Victoria having a mean age of 57.0 years, compared with 55.7 years for those from Melbourne.</w:t>
      </w:r>
    </w:p>
    <w:p w14:paraId="7A3AC4D4" w14:textId="77777777" w:rsidR="00D63156" w:rsidRPr="002A4559" w:rsidRDefault="00D63156" w:rsidP="00D63156">
      <w:pPr>
        <w:pStyle w:val="Para"/>
        <w:rPr>
          <w:lang w:val="en-AU"/>
        </w:rPr>
      </w:pPr>
    </w:p>
    <w:p w14:paraId="3B9DFF83" w14:textId="481D9964" w:rsidR="00D63156" w:rsidRPr="002A4559" w:rsidRDefault="00B942AA" w:rsidP="00D63156">
      <w:pPr>
        <w:pStyle w:val="Para"/>
        <w:rPr>
          <w:lang w:val="en-AU"/>
        </w:rPr>
      </w:pPr>
      <w:r>
        <w:rPr>
          <w:lang w:val="en-AU"/>
        </w:rPr>
        <w:t>Over</w:t>
      </w:r>
      <w:r w:rsidRPr="002A4559">
        <w:rPr>
          <w:lang w:val="en-AU"/>
        </w:rPr>
        <w:t xml:space="preserve"> </w:t>
      </w:r>
      <w:r w:rsidR="00D63156" w:rsidRPr="002A4559">
        <w:rPr>
          <w:lang w:val="en-AU"/>
        </w:rPr>
        <w:t xml:space="preserve">three-quarters of respondents (78%) had lived at their current address for more than 5 years, 21% for between 2 and 5 years, and 1% for less than 2 years.  Half (49%) of aged concession households had lived at their current address for over 20 years, which was roughly twice the proportion for other concession (26%) and non-concession (27%) households. </w:t>
      </w:r>
    </w:p>
    <w:p w14:paraId="3760203A" w14:textId="77777777" w:rsidR="00D63156" w:rsidRPr="002A4559" w:rsidRDefault="00D63156" w:rsidP="00D63156">
      <w:pPr>
        <w:pStyle w:val="Para"/>
        <w:rPr>
          <w:lang w:val="en-AU"/>
        </w:rPr>
      </w:pPr>
    </w:p>
    <w:p w14:paraId="7DC13087" w14:textId="32991750" w:rsidR="00D63156" w:rsidRPr="002A4559" w:rsidRDefault="00D63156" w:rsidP="00D63156">
      <w:pPr>
        <w:pStyle w:val="Para"/>
        <w:rPr>
          <w:lang w:val="en-AU"/>
        </w:rPr>
      </w:pPr>
      <w:r w:rsidRPr="002A4559">
        <w:rPr>
          <w:lang w:val="en-AU"/>
        </w:rPr>
        <w:t xml:space="preserve">One-quarter (24%) of all respondents lived by themselves, while one-third (33%) lived with one other person.  Not surprisingly, aged concession households were much more likely to comprise smaller households, with 88% of selected respondents/main bill-payers living either by themselves or with one other person.  In contrast, non-concession respondents were more likely to live in larger households, with 36% living in households of four or more persons. The prevalence of aged concession </w:t>
      </w:r>
      <w:r w:rsidR="00B942AA">
        <w:rPr>
          <w:lang w:val="en-AU"/>
        </w:rPr>
        <w:t xml:space="preserve">card </w:t>
      </w:r>
      <w:r w:rsidRPr="002A4559">
        <w:rPr>
          <w:lang w:val="en-AU"/>
        </w:rPr>
        <w:t xml:space="preserve">holders living alone has been on the decline since 1996, while the proportion of non-concession respondents living alone has slowly increased over this period.  The proportion of other concession </w:t>
      </w:r>
      <w:r w:rsidR="00B942AA">
        <w:rPr>
          <w:lang w:val="en-AU"/>
        </w:rPr>
        <w:t xml:space="preserve">card </w:t>
      </w:r>
      <w:r w:rsidRPr="002A4559">
        <w:rPr>
          <w:lang w:val="en-AU"/>
        </w:rPr>
        <w:t>holders living alone rose substantially (from 19% to 31%) compared with 2007.</w:t>
      </w:r>
    </w:p>
    <w:p w14:paraId="776F949D" w14:textId="77777777" w:rsidR="00D63156" w:rsidRPr="002A4559" w:rsidRDefault="00D63156" w:rsidP="00D63156">
      <w:pPr>
        <w:pStyle w:val="Para"/>
        <w:rPr>
          <w:lang w:val="en-AU"/>
        </w:rPr>
      </w:pPr>
    </w:p>
    <w:p w14:paraId="0EA548B1" w14:textId="77777777" w:rsidR="00D63156" w:rsidRPr="002A4559" w:rsidRDefault="00D63156" w:rsidP="00D63156">
      <w:pPr>
        <w:pStyle w:val="Para"/>
        <w:rPr>
          <w:lang w:val="en-AU"/>
        </w:rPr>
      </w:pPr>
      <w:r w:rsidRPr="002A4559">
        <w:rPr>
          <w:lang w:val="en-AU"/>
        </w:rPr>
        <w:t>Seventy five per cent of all participating households had no children under 15 years living in them.  Almost all aged concession households (98%) had no children under 15 living in them, compared with 71% of other concession households and 67% of non-concession households.</w:t>
      </w:r>
    </w:p>
    <w:p w14:paraId="4C710D46" w14:textId="3BEE51E2" w:rsidR="00162EF6" w:rsidRDefault="00162EF6">
      <w:pPr>
        <w:spacing w:before="0" w:after="0"/>
        <w:rPr>
          <w:lang w:val="en-AU"/>
        </w:rPr>
      </w:pPr>
    </w:p>
    <w:p w14:paraId="0C54785C" w14:textId="32926F11" w:rsidR="00D63156" w:rsidRPr="002A4559" w:rsidRDefault="00D63156" w:rsidP="00D63156">
      <w:pPr>
        <w:pStyle w:val="Para"/>
        <w:rPr>
          <w:lang w:val="en-AU"/>
        </w:rPr>
      </w:pPr>
      <w:r w:rsidRPr="002A4559">
        <w:rPr>
          <w:lang w:val="en-AU"/>
        </w:rPr>
        <w:t xml:space="preserve">Average estimated household income was much higher for non-concession ($120,022 per annum) than concession households ($57,270 per annum).  Thirteen </w:t>
      </w:r>
      <w:r w:rsidR="00B942AA">
        <w:rPr>
          <w:lang w:val="en-AU"/>
        </w:rPr>
        <w:t>per cent</w:t>
      </w:r>
      <w:r w:rsidRPr="002A4559">
        <w:rPr>
          <w:lang w:val="en-AU"/>
        </w:rPr>
        <w:t xml:space="preserve"> of concession households had a total estimated income of less than $20,000 annually, compared with just 2% of non-concession households.  Households in Melbourne had higher estimated average annual household income ($96,103) than households in country Victoria ($77,869).</w:t>
      </w:r>
    </w:p>
    <w:p w14:paraId="1F9A1ECA" w14:textId="77777777" w:rsidR="00D63156" w:rsidRPr="002A4559" w:rsidRDefault="00D63156" w:rsidP="00D63156">
      <w:pPr>
        <w:pStyle w:val="Para"/>
        <w:rPr>
          <w:lang w:val="en-AU"/>
        </w:rPr>
      </w:pPr>
    </w:p>
    <w:p w14:paraId="769BFC27" w14:textId="36BB9B92" w:rsidR="00D63156" w:rsidRPr="002A4559" w:rsidRDefault="00D63156" w:rsidP="00D63156">
      <w:pPr>
        <w:pStyle w:val="Para"/>
        <w:rPr>
          <w:lang w:val="en-AU"/>
        </w:rPr>
      </w:pPr>
      <w:r w:rsidRPr="002A4559">
        <w:rPr>
          <w:lang w:val="en-AU"/>
        </w:rPr>
        <w:t xml:space="preserve">Eighty </w:t>
      </w:r>
      <w:r w:rsidR="00B942AA">
        <w:rPr>
          <w:lang w:val="en-AU"/>
        </w:rPr>
        <w:t>per cent</w:t>
      </w:r>
      <w:r w:rsidRPr="002A4559">
        <w:rPr>
          <w:lang w:val="en-AU"/>
        </w:rPr>
        <w:t xml:space="preserve"> of households were currently buying or already owned their own home, while 20% were renting.  Owning or paying off a home was more prevalent amongst non-concession households (87%) than concession households (71%), though 84% of aged concession households were home owners, including 79% who owned their house outright.  Renting was far more prevalent among other concession households (43%) compared with aged concession (15%) and non-concession households (13%). </w:t>
      </w:r>
    </w:p>
    <w:p w14:paraId="59255D07" w14:textId="77777777" w:rsidR="00D63156" w:rsidRPr="002A4559" w:rsidRDefault="00D63156" w:rsidP="00D63156">
      <w:pPr>
        <w:pStyle w:val="Para"/>
        <w:rPr>
          <w:lang w:val="en-AU"/>
        </w:rPr>
      </w:pPr>
    </w:p>
    <w:p w14:paraId="096EAEF0" w14:textId="77777777" w:rsidR="00D63156" w:rsidRPr="002A4559" w:rsidRDefault="00D63156" w:rsidP="00D63156">
      <w:pPr>
        <w:pStyle w:val="Para"/>
        <w:rPr>
          <w:lang w:val="en-AU"/>
        </w:rPr>
      </w:pPr>
      <w:r w:rsidRPr="002A4559">
        <w:rPr>
          <w:lang w:val="en-AU"/>
        </w:rPr>
        <w:t xml:space="preserve">Forty two per cent of concession households had another member of the household holding a concession card of some type.  In contrast, only 11% of non-concession households included members with a concession card, with the majority of these holding a Health Care Card (7%).  Results were broadly consistent with those of 2007 and 2001, however the proportion of other concession households with other members holding a Health Care Card almost halved between 2001 (33%) and 2014 (17%), while remaining fairly steady among aged concession and non-concession households. </w:t>
      </w:r>
    </w:p>
    <w:p w14:paraId="7639D50C" w14:textId="77777777" w:rsidR="00D63156" w:rsidRPr="002A4559" w:rsidRDefault="00D63156" w:rsidP="00D63156">
      <w:pPr>
        <w:pStyle w:val="Para"/>
        <w:rPr>
          <w:lang w:val="en-AU"/>
        </w:rPr>
      </w:pPr>
    </w:p>
    <w:p w14:paraId="23AF1F7A" w14:textId="77777777" w:rsidR="00D63156" w:rsidRPr="002A4559" w:rsidRDefault="00D63156" w:rsidP="00D63156">
      <w:pPr>
        <w:pStyle w:val="Para"/>
        <w:rPr>
          <w:lang w:val="en-AU"/>
        </w:rPr>
      </w:pPr>
      <w:r w:rsidRPr="002A4559">
        <w:rPr>
          <w:lang w:val="en-AU"/>
        </w:rPr>
        <w:t xml:space="preserve">Overall, an average of 1.42 persons per household had a vehicle registered in their name, which was marginally higher than in 2007.  Non-concession households had the highest average number of persons with a vehicle registered in their name (1.56, compared with 1.26 for concession households).  </w:t>
      </w:r>
    </w:p>
    <w:p w14:paraId="10575760" w14:textId="77777777" w:rsidR="00D63156" w:rsidRPr="002A4559" w:rsidRDefault="00D63156" w:rsidP="00D63156">
      <w:pPr>
        <w:pStyle w:val="Para"/>
        <w:rPr>
          <w:lang w:val="en-AU"/>
        </w:rPr>
      </w:pPr>
    </w:p>
    <w:p w14:paraId="01BFBF5E" w14:textId="77777777" w:rsidR="00D63156" w:rsidRPr="002A4559" w:rsidRDefault="00D63156" w:rsidP="00D63156">
      <w:pPr>
        <w:pStyle w:val="Para"/>
        <w:rPr>
          <w:lang w:val="en-AU"/>
        </w:rPr>
      </w:pPr>
      <w:r w:rsidRPr="002A4559">
        <w:rPr>
          <w:lang w:val="en-AU"/>
        </w:rPr>
        <w:t xml:space="preserve">Overall, the majority of homes were built before 1991 (66%), and this was generally consistent across sub-groups.  Non-concession households were almost twice as likely (15%) as concession households (8%) to live in a home built after 2004.  </w:t>
      </w:r>
    </w:p>
    <w:p w14:paraId="341D232F" w14:textId="77777777" w:rsidR="00D63156" w:rsidRPr="002A4559" w:rsidRDefault="00D63156" w:rsidP="00D63156">
      <w:pPr>
        <w:pStyle w:val="Para"/>
        <w:rPr>
          <w:lang w:val="en-AU"/>
        </w:rPr>
      </w:pPr>
    </w:p>
    <w:p w14:paraId="5CDB9818" w14:textId="77777777" w:rsidR="00D63156" w:rsidRDefault="00D63156" w:rsidP="00D63156">
      <w:pPr>
        <w:pStyle w:val="Para"/>
        <w:rPr>
          <w:lang w:val="en-AU"/>
        </w:rPr>
      </w:pPr>
      <w:r w:rsidRPr="002A4559">
        <w:rPr>
          <w:lang w:val="en-AU"/>
        </w:rPr>
        <w:t>Overall, brick veneer was the most common material from which homes were built (65%).  Brick veneer homes were more common in Melbourne (68%) than in country Victoria (58%).  In contrast, weatherboard/timber homes were more common in country Victoria (24%) than in Melbourne (17%). The great majority of homes had 3 or more bedrooms.</w:t>
      </w:r>
    </w:p>
    <w:p w14:paraId="40C81368" w14:textId="77777777" w:rsidR="00AD63FC" w:rsidRPr="002A4559" w:rsidRDefault="00AD63FC" w:rsidP="00D63156">
      <w:pPr>
        <w:pStyle w:val="Para"/>
        <w:rPr>
          <w:lang w:val="en-AU"/>
        </w:rPr>
      </w:pPr>
    </w:p>
    <w:p w14:paraId="515F1979" w14:textId="564BF2F3" w:rsidR="00D63156" w:rsidRPr="002A4559" w:rsidRDefault="00D63156" w:rsidP="00D63156">
      <w:pPr>
        <w:pStyle w:val="Para"/>
        <w:rPr>
          <w:lang w:val="en-AU"/>
        </w:rPr>
      </w:pPr>
      <w:r w:rsidRPr="002A4559">
        <w:rPr>
          <w:lang w:val="en-AU"/>
        </w:rPr>
        <w:t xml:space="preserve">The great majority of respondents lived in separate houses (80%).  Not surprisingly, separate houses were more common amongst country </w:t>
      </w:r>
      <w:smartTag w:uri="urn:schemas-microsoft-com:office:smarttags" w:element="State">
        <w:r w:rsidRPr="002A4559">
          <w:rPr>
            <w:lang w:val="en-AU"/>
          </w:rPr>
          <w:t>Victoria</w:t>
        </w:r>
      </w:smartTag>
      <w:r w:rsidRPr="002A4559">
        <w:rPr>
          <w:lang w:val="en-AU"/>
        </w:rPr>
        <w:t xml:space="preserve"> (90%) than </w:t>
      </w:r>
      <w:smartTag w:uri="urn:schemas-microsoft-com:office:smarttags" w:element="City">
        <w:r w:rsidRPr="002A4559">
          <w:rPr>
            <w:lang w:val="en-AU"/>
          </w:rPr>
          <w:t>Melbourne</w:t>
        </w:r>
      </w:smartTag>
      <w:r w:rsidRPr="002A4559">
        <w:rPr>
          <w:lang w:val="en-AU"/>
        </w:rPr>
        <w:t xml:space="preserve"> (76%) residents.  Renters were considerably less likely to live in separate houses than were home owners/buyers (84%).  About </w:t>
      </w:r>
      <w:r w:rsidRPr="002A4559">
        <w:rPr>
          <w:lang w:val="en-AU"/>
        </w:rPr>
        <w:lastRenderedPageBreak/>
        <w:t xml:space="preserve">one-quarter (25%) of public renters lived in low rise flats/units, compared with </w:t>
      </w:r>
      <w:r w:rsidR="001B079D">
        <w:rPr>
          <w:lang w:val="en-AU"/>
        </w:rPr>
        <w:t>19%</w:t>
      </w:r>
      <w:r w:rsidR="001B079D" w:rsidRPr="002A4559">
        <w:rPr>
          <w:lang w:val="en-AU"/>
        </w:rPr>
        <w:t xml:space="preserve"> </w:t>
      </w:r>
      <w:r w:rsidRPr="002A4559">
        <w:rPr>
          <w:lang w:val="en-AU"/>
        </w:rPr>
        <w:t>of private renters and 5% of home owners/buyers.  Homes built before 1991 were less likely to be semi-detached (6%) than those built between 1991 and 2004 (10%) or after 2004 (13%).</w:t>
      </w:r>
    </w:p>
    <w:p w14:paraId="48611956" w14:textId="77777777" w:rsidR="00D63156" w:rsidRPr="002A4559" w:rsidRDefault="00D63156" w:rsidP="00D63156">
      <w:pPr>
        <w:pStyle w:val="Para"/>
        <w:rPr>
          <w:lang w:val="en-AU"/>
        </w:rPr>
      </w:pPr>
    </w:p>
    <w:p w14:paraId="5015E50A" w14:textId="77777777" w:rsidR="00D63156" w:rsidRPr="002A4559" w:rsidRDefault="00D63156" w:rsidP="00D63156">
      <w:pPr>
        <w:pStyle w:val="Para"/>
        <w:rPr>
          <w:lang w:val="en-AU"/>
        </w:rPr>
      </w:pPr>
      <w:r w:rsidRPr="002A4559">
        <w:rPr>
          <w:lang w:val="en-AU"/>
        </w:rPr>
        <w:t>The great majority of households (87%) had some ceiling insulation, an increase of 10 percentage points over 2007.  Non-concession households (90%) were more likely than concession households (85%) to have some insulation.  Home owners/buyers (95%) were much more likely than private renters (58%) or public renters (55%) to have some insulation.  Homes built before 1991 were slightly less likely to have any insulation (87%) than those built between 1991 and 2004 (93%) or after 2004 (94%).</w:t>
      </w:r>
    </w:p>
    <w:p w14:paraId="73008094" w14:textId="77777777" w:rsidR="00D63156" w:rsidRPr="002A4559" w:rsidRDefault="00D63156" w:rsidP="00D63156">
      <w:pPr>
        <w:pStyle w:val="Para"/>
        <w:rPr>
          <w:lang w:val="en-AU"/>
        </w:rPr>
      </w:pPr>
    </w:p>
    <w:p w14:paraId="7551A6B2" w14:textId="77777777" w:rsidR="00D63156" w:rsidRPr="002A4559" w:rsidRDefault="00D63156" w:rsidP="00D63156">
      <w:pPr>
        <w:pStyle w:val="Para"/>
        <w:rPr>
          <w:lang w:val="en-AU"/>
        </w:rPr>
      </w:pPr>
      <w:r w:rsidRPr="002A4559">
        <w:rPr>
          <w:lang w:val="en-AU"/>
        </w:rPr>
        <w:t>Half (50%) of all respondents reported employment as one of their income sources, and 45% reported government benefits as one of their income sources.  Not surprisingly, the great majority of respondents in concession households derived income from government benefits (89%) while most respondents in non-concession households derived income from employment (74%).  The proportion of respondents in aged concession households reporting self-funded income has risen in every survey since 1996, and substantially since the last survey (47% in 2014, compared with 21% in 2007).</w:t>
      </w:r>
    </w:p>
    <w:p w14:paraId="58750175" w14:textId="77777777" w:rsidR="00D63156" w:rsidRPr="002A4559" w:rsidRDefault="00D63156" w:rsidP="00D63156">
      <w:pPr>
        <w:pStyle w:val="Para"/>
        <w:rPr>
          <w:lang w:val="en-AU"/>
        </w:rPr>
      </w:pPr>
    </w:p>
    <w:p w14:paraId="1BC5DD04" w14:textId="77777777" w:rsidR="00D63156" w:rsidRPr="002A4559" w:rsidRDefault="00D63156" w:rsidP="008F56BA">
      <w:pPr>
        <w:pStyle w:val="Heading4"/>
        <w:rPr>
          <w:lang w:val="en-AU"/>
        </w:rPr>
      </w:pPr>
      <w:bookmarkStart w:id="22" w:name="_Toc184087751"/>
      <w:bookmarkStart w:id="23" w:name="_Toc439198247"/>
      <w:bookmarkStart w:id="24" w:name="_Toc445571632"/>
      <w:r w:rsidRPr="002A4559">
        <w:rPr>
          <w:lang w:val="en-AU"/>
        </w:rPr>
        <w:t>Energy Usage, Consumption and Expenditure</w:t>
      </w:r>
      <w:bookmarkEnd w:id="22"/>
      <w:bookmarkEnd w:id="23"/>
      <w:bookmarkEnd w:id="24"/>
    </w:p>
    <w:p w14:paraId="415C10A7" w14:textId="77777777" w:rsidR="00B942AA" w:rsidRDefault="00D63156">
      <w:pPr>
        <w:pStyle w:val="Para"/>
        <w:rPr>
          <w:lang w:val="en-AU"/>
        </w:rPr>
      </w:pPr>
      <w:r w:rsidRPr="002A4559">
        <w:rPr>
          <w:lang w:val="en-AU"/>
        </w:rPr>
        <w:t xml:space="preserve">Well over 99% of households in 2014 </w:t>
      </w:r>
      <w:r w:rsidRPr="009748AD">
        <w:rPr>
          <w:lang w:val="en-AU"/>
        </w:rPr>
        <w:t>paid electricity bills</w:t>
      </w:r>
      <w:r w:rsidRPr="002A4559">
        <w:rPr>
          <w:lang w:val="en-AU"/>
        </w:rPr>
        <w:t xml:space="preserve">, almost identical results to those observed in past surveys.  On average, 2014 electricity bill-payers received 5.2 bills per year, compared with an average of 4.6 bills per year in 2007.  Almost all electricity bill-payers (99.2%) received all bills based on an actual reading of the meter. </w:t>
      </w:r>
      <w:r w:rsidR="00F5061A">
        <w:rPr>
          <w:lang w:val="en-AU"/>
        </w:rPr>
        <w:t xml:space="preserve"> </w:t>
      </w:r>
    </w:p>
    <w:p w14:paraId="50779A2F" w14:textId="77777777" w:rsidR="00B942AA" w:rsidRDefault="00B942AA" w:rsidP="00F5061A">
      <w:pPr>
        <w:pStyle w:val="Para"/>
        <w:rPr>
          <w:lang w:val="en-AU"/>
        </w:rPr>
      </w:pPr>
    </w:p>
    <w:p w14:paraId="4E1AC89D" w14:textId="486B873E" w:rsidR="00D63156" w:rsidRPr="00BD3838" w:rsidRDefault="00F5061A" w:rsidP="00F5061A">
      <w:pPr>
        <w:pStyle w:val="Para"/>
        <w:rPr>
          <w:highlight w:val="yellow"/>
          <w:lang w:val="en-AU"/>
        </w:rPr>
      </w:pPr>
      <w:r w:rsidRPr="00953185">
        <w:rPr>
          <w:lang w:val="en-AU"/>
        </w:rPr>
        <w:t>In 2014, 96% of households paid their electricity bill in full</w:t>
      </w:r>
      <w:r w:rsidRPr="00953185">
        <w:rPr>
          <w:rStyle w:val="FootnoteReference"/>
          <w:lang w:val="en-AU"/>
        </w:rPr>
        <w:footnoteReference w:id="1"/>
      </w:r>
      <w:r w:rsidRPr="00953185">
        <w:rPr>
          <w:lang w:val="en-AU"/>
        </w:rPr>
        <w:t xml:space="preserve">, with little difference between Melbourne (96%) </w:t>
      </w:r>
      <w:r w:rsidR="001B079D">
        <w:rPr>
          <w:lang w:val="en-AU"/>
        </w:rPr>
        <w:t xml:space="preserve">and </w:t>
      </w:r>
      <w:r w:rsidRPr="00953185">
        <w:rPr>
          <w:lang w:val="en-AU"/>
        </w:rPr>
        <w:t>country Victoria (97%)</w:t>
      </w:r>
      <w:r>
        <w:rPr>
          <w:lang w:val="en-AU"/>
        </w:rPr>
        <w:t>.</w:t>
      </w:r>
      <w:r w:rsidRPr="00953185">
        <w:rPr>
          <w:lang w:val="en-AU"/>
        </w:rPr>
        <w:t xml:space="preserve"> </w:t>
      </w:r>
      <w:r>
        <w:rPr>
          <w:lang w:val="en-AU"/>
        </w:rPr>
        <w:t xml:space="preserve"> </w:t>
      </w:r>
      <w:r w:rsidRPr="00953185">
        <w:rPr>
          <w:lang w:val="en-AU"/>
        </w:rPr>
        <w:t>Public renters (80%) were less likely than home owners (98%), home buyers (97%) or private renters (96%) to have fully paid their electricity bill.  Concession households (92%) were less likely than non-concession households (98%) to have paid their electricity bill in full.</w:t>
      </w:r>
    </w:p>
    <w:p w14:paraId="748F13A9" w14:textId="77777777" w:rsidR="00D63156" w:rsidRPr="00BD3838" w:rsidRDefault="00D63156" w:rsidP="00D63156">
      <w:pPr>
        <w:pStyle w:val="Para"/>
        <w:rPr>
          <w:highlight w:val="yellow"/>
          <w:lang w:val="en-AU"/>
        </w:rPr>
      </w:pPr>
    </w:p>
    <w:p w14:paraId="2FF2386D" w14:textId="603030C9" w:rsidR="00D63156" w:rsidRPr="002A4559" w:rsidRDefault="00D63156" w:rsidP="00D63156">
      <w:pPr>
        <w:pStyle w:val="Para"/>
        <w:rPr>
          <w:lang w:val="en-AU"/>
        </w:rPr>
      </w:pPr>
      <w:r w:rsidRPr="002A4559">
        <w:rPr>
          <w:lang w:val="en-AU"/>
        </w:rPr>
        <w:t xml:space="preserve">The results indicate that average annual </w:t>
      </w:r>
      <w:r w:rsidRPr="002A4559">
        <w:rPr>
          <w:b/>
          <w:lang w:val="en-AU"/>
        </w:rPr>
        <w:t xml:space="preserve">electricity consumption </w:t>
      </w:r>
      <w:r w:rsidRPr="002A4559">
        <w:rPr>
          <w:lang w:val="en-AU"/>
        </w:rPr>
        <w:t xml:space="preserve">per household has decreased by 19.6% since 2007. There are likely to be many factors behind this result.  In particular, the steady increase in the proportion of households that generate some of their own power by means of solar panels is likely to have a considerable impact on </w:t>
      </w:r>
      <w:r w:rsidRPr="002A4559">
        <w:rPr>
          <w:i/>
          <w:lang w:val="en-AU"/>
        </w:rPr>
        <w:t>mean</w:t>
      </w:r>
      <w:r w:rsidRPr="002A4559">
        <w:rPr>
          <w:lang w:val="en-AU"/>
        </w:rPr>
        <w:t xml:space="preserve"> consumption, though of course this particular impact only applies in a minority of households (approximately one in five).  Factors that would affect a large proportion of households would include an increase in energy saving appliances and light bulbs.  Further, media and community awareness of climate change and the impetus to reduce the carbon footprint may have encouraged energy saving behaviour.  Finally, the impact of significantly higher unit electricity prices may have also acted as a curb on consumption.  </w:t>
      </w:r>
    </w:p>
    <w:p w14:paraId="7A6B7527" w14:textId="77777777" w:rsidR="00D63156" w:rsidRPr="002A4559" w:rsidRDefault="00D63156" w:rsidP="00D63156">
      <w:pPr>
        <w:pStyle w:val="Para"/>
        <w:rPr>
          <w:lang w:val="en-AU"/>
        </w:rPr>
      </w:pPr>
    </w:p>
    <w:p w14:paraId="077A44EB" w14:textId="77777777" w:rsidR="00D63156" w:rsidRPr="002A4559" w:rsidRDefault="00D63156" w:rsidP="00D63156">
      <w:pPr>
        <w:pStyle w:val="Para"/>
        <w:rPr>
          <w:lang w:val="en-AU"/>
        </w:rPr>
      </w:pPr>
      <w:r w:rsidRPr="002A4559">
        <w:rPr>
          <w:lang w:val="en-AU"/>
        </w:rPr>
        <w:t xml:space="preserve">In 2014, 44% of all households with electricity bills received the Annual Electricity Concession, up from the 36% recorded in 2007 (when it was known as the Winter Energy Concession).  Incidence of receiving the Annual Electricity Concession was highest amongst aged concession households (93%) and other concession households (86%).  The average Annual Electricity Concession amount received was $165.  </w:t>
      </w:r>
    </w:p>
    <w:p w14:paraId="78B2A6A3" w14:textId="77777777" w:rsidR="00D63156" w:rsidRPr="002A4559" w:rsidRDefault="00D63156" w:rsidP="00D63156">
      <w:pPr>
        <w:pStyle w:val="Para"/>
        <w:rPr>
          <w:lang w:val="en-AU"/>
        </w:rPr>
      </w:pPr>
    </w:p>
    <w:p w14:paraId="78AFAF0D" w14:textId="77777777" w:rsidR="00D63156" w:rsidRPr="002A4559" w:rsidRDefault="00D63156" w:rsidP="00D63156">
      <w:pPr>
        <w:pStyle w:val="Para"/>
        <w:rPr>
          <w:lang w:val="en-AU"/>
        </w:rPr>
      </w:pPr>
      <w:r w:rsidRPr="002A4559">
        <w:rPr>
          <w:lang w:val="en-AU"/>
        </w:rPr>
        <w:t>One in ten households received the Controlled Load Electricity Concession in 2014.  The average concession amount was $34.</w:t>
      </w:r>
    </w:p>
    <w:p w14:paraId="07AAD960" w14:textId="33CC7200" w:rsidR="00162EF6" w:rsidRDefault="00162EF6">
      <w:pPr>
        <w:spacing w:before="0" w:after="0"/>
        <w:rPr>
          <w:lang w:val="en-AU"/>
        </w:rPr>
      </w:pPr>
    </w:p>
    <w:p w14:paraId="2DA532BE" w14:textId="3E0602EB" w:rsidR="00D63156" w:rsidRPr="002A4559" w:rsidRDefault="00D63156" w:rsidP="00D63156">
      <w:pPr>
        <w:pStyle w:val="Para"/>
        <w:rPr>
          <w:lang w:val="en-AU"/>
        </w:rPr>
      </w:pPr>
      <w:r w:rsidRPr="002A4559">
        <w:rPr>
          <w:lang w:val="en-AU"/>
        </w:rPr>
        <w:t xml:space="preserve">Overall some type of DHHS funded concession was received in 2014 by 44% of households with electricity bills (38% in 2007), although the incidence was far higher amongst concession households (89%, up from 77% in 2007) and public rental households (80%, up from 74% in 2007). The survey does not indicate the concession status of each person whose name is on each bill, but defines the concession status of the household according to the concession status of the respondent, who is the main bill-payer. Therefore it is not possible to calculate a precise estimate of the proportion of </w:t>
      </w:r>
      <w:r w:rsidRPr="002A4559">
        <w:rPr>
          <w:i/>
          <w:lang w:val="en-AU"/>
        </w:rPr>
        <w:t>eligible</w:t>
      </w:r>
      <w:r w:rsidRPr="002A4559">
        <w:rPr>
          <w:lang w:val="en-AU"/>
        </w:rPr>
        <w:t xml:space="preserve"> households that actually received an electricity concession.  Nevertheless, a very close approximation is the proportion of ‘concession households’ that received the concession.</w:t>
      </w:r>
    </w:p>
    <w:p w14:paraId="35987EE3" w14:textId="77777777" w:rsidR="00D63156" w:rsidRPr="002A4559" w:rsidRDefault="00D63156" w:rsidP="00D63156">
      <w:pPr>
        <w:pStyle w:val="Para"/>
        <w:rPr>
          <w:lang w:val="en-AU"/>
        </w:rPr>
      </w:pPr>
    </w:p>
    <w:p w14:paraId="36489877" w14:textId="77777777" w:rsidR="00D63156" w:rsidRPr="002A4559" w:rsidRDefault="00D63156" w:rsidP="00D63156">
      <w:pPr>
        <w:pStyle w:val="Para"/>
        <w:rPr>
          <w:lang w:val="en-AU"/>
        </w:rPr>
      </w:pPr>
      <w:r w:rsidRPr="002A4559">
        <w:rPr>
          <w:lang w:val="en-AU"/>
        </w:rPr>
        <w:t xml:space="preserve">The average DHHS concession amount received by households in 2014 was $186, representing an 82% increase since the $100 recorded in 2007 and following the 64% increase between 2001 and 2007 (1996 data is not strictly comparable with the other survey results).  </w:t>
      </w:r>
    </w:p>
    <w:p w14:paraId="1A0DEA72" w14:textId="77777777" w:rsidR="00D63156" w:rsidRPr="002A4559" w:rsidRDefault="00D63156" w:rsidP="00D63156">
      <w:pPr>
        <w:pStyle w:val="Para"/>
        <w:rPr>
          <w:lang w:val="en-AU"/>
        </w:rPr>
      </w:pPr>
    </w:p>
    <w:p w14:paraId="22E7C965" w14:textId="43E364DD" w:rsidR="00D63156" w:rsidRPr="002A4559" w:rsidRDefault="00D63156" w:rsidP="00D63156">
      <w:pPr>
        <w:pStyle w:val="Para"/>
        <w:rPr>
          <w:lang w:val="en-AU"/>
        </w:rPr>
      </w:pPr>
      <w:r w:rsidRPr="002A4559">
        <w:rPr>
          <w:lang w:val="en-AU"/>
        </w:rPr>
        <w:lastRenderedPageBreak/>
        <w:t>One in five households (19%) received generation or solar credits, with an average annual value of $596.  Households in Melbourne were less likely than those in country Victoria to receive these credits (17% and 24% respectively) and the credits earned tended to be lower (average of $563 , compared with $662).  Aged concession households (2</w:t>
      </w:r>
      <w:r w:rsidR="001B079D">
        <w:rPr>
          <w:lang w:val="en-AU"/>
        </w:rPr>
        <w:t>2</w:t>
      </w:r>
      <w:r w:rsidRPr="002A4559">
        <w:rPr>
          <w:lang w:val="en-AU"/>
        </w:rPr>
        <w:t>%) were more likely to receive generation or solar credits than non-concession (</w:t>
      </w:r>
      <w:r w:rsidR="001B079D">
        <w:rPr>
          <w:lang w:val="en-AU"/>
        </w:rPr>
        <w:t>19</w:t>
      </w:r>
      <w:r w:rsidRPr="002A4559">
        <w:rPr>
          <w:lang w:val="en-AU"/>
        </w:rPr>
        <w:t xml:space="preserve">%) or other concession (16%) households.  The average </w:t>
      </w:r>
      <w:r w:rsidR="001B079D">
        <w:rPr>
          <w:lang w:val="en-AU"/>
        </w:rPr>
        <w:t>generation or solar credit</w:t>
      </w:r>
      <w:r w:rsidRPr="002A4559">
        <w:rPr>
          <w:lang w:val="en-AU"/>
        </w:rPr>
        <w:t xml:space="preserve"> was highest among non-concession households ($7</w:t>
      </w:r>
      <w:r w:rsidR="001B079D">
        <w:rPr>
          <w:lang w:val="en-AU"/>
        </w:rPr>
        <w:t>15</w:t>
      </w:r>
      <w:r w:rsidRPr="002A4559">
        <w:rPr>
          <w:lang w:val="en-AU"/>
        </w:rPr>
        <w:t>), compared with $</w:t>
      </w:r>
      <w:r w:rsidR="001B079D">
        <w:rPr>
          <w:lang w:val="en-AU"/>
        </w:rPr>
        <w:t>497</w:t>
      </w:r>
      <w:r w:rsidR="001B079D" w:rsidRPr="002A4559">
        <w:rPr>
          <w:lang w:val="en-AU"/>
        </w:rPr>
        <w:t xml:space="preserve"> </w:t>
      </w:r>
      <w:r w:rsidRPr="002A4559">
        <w:rPr>
          <w:lang w:val="en-AU"/>
        </w:rPr>
        <w:t>for aged concession households and $</w:t>
      </w:r>
      <w:r w:rsidR="001B079D" w:rsidRPr="002A4559">
        <w:rPr>
          <w:lang w:val="en-AU"/>
        </w:rPr>
        <w:t>3</w:t>
      </w:r>
      <w:r w:rsidR="001B079D">
        <w:rPr>
          <w:lang w:val="en-AU"/>
        </w:rPr>
        <w:t>79</w:t>
      </w:r>
      <w:r w:rsidR="001B079D" w:rsidRPr="002A4559">
        <w:rPr>
          <w:lang w:val="en-AU"/>
        </w:rPr>
        <w:t xml:space="preserve"> </w:t>
      </w:r>
      <w:r w:rsidRPr="002A4559">
        <w:rPr>
          <w:lang w:val="en-AU"/>
        </w:rPr>
        <w:t xml:space="preserve">among non-concession households. </w:t>
      </w:r>
    </w:p>
    <w:p w14:paraId="3125E116" w14:textId="77777777" w:rsidR="00D63156" w:rsidRPr="002A4559" w:rsidRDefault="00D63156" w:rsidP="00D63156">
      <w:pPr>
        <w:pStyle w:val="Para"/>
        <w:rPr>
          <w:lang w:val="en-AU"/>
        </w:rPr>
      </w:pPr>
    </w:p>
    <w:p w14:paraId="1538E814" w14:textId="4451D266" w:rsidR="00D63156" w:rsidRPr="002A4559" w:rsidRDefault="00D63156" w:rsidP="00D63156">
      <w:pPr>
        <w:pStyle w:val="Para"/>
        <w:rPr>
          <w:lang w:val="en-AU"/>
        </w:rPr>
      </w:pPr>
      <w:r w:rsidRPr="002A4559">
        <w:rPr>
          <w:lang w:val="en-AU"/>
        </w:rPr>
        <w:t xml:space="preserve">As in 2007, less than 1% of households received a Utility Relief Grant Scheme (URGS) grant </w:t>
      </w:r>
      <w:r w:rsidR="00B942AA">
        <w:rPr>
          <w:lang w:val="en-AU"/>
        </w:rPr>
        <w:t xml:space="preserve">for electricity </w:t>
      </w:r>
      <w:r w:rsidRPr="002A4559">
        <w:rPr>
          <w:lang w:val="en-AU"/>
        </w:rPr>
        <w:t>in 2014.  The average URGS payment was $452, compared with $429 in 2007.</w:t>
      </w:r>
    </w:p>
    <w:p w14:paraId="432C0E00" w14:textId="77777777" w:rsidR="00D63156" w:rsidRPr="002A4559" w:rsidRDefault="00D63156" w:rsidP="00D63156">
      <w:pPr>
        <w:pStyle w:val="Para"/>
        <w:rPr>
          <w:lang w:val="en-AU"/>
        </w:rPr>
      </w:pPr>
    </w:p>
    <w:p w14:paraId="0C21DB76" w14:textId="77777777" w:rsidR="00D63156" w:rsidRPr="002A4559" w:rsidRDefault="00D63156" w:rsidP="00D63156">
      <w:pPr>
        <w:spacing w:line="340" w:lineRule="exact"/>
        <w:rPr>
          <w:lang w:val="en-AU"/>
        </w:rPr>
      </w:pPr>
      <w:r w:rsidRPr="002A4559">
        <w:rPr>
          <w:lang w:val="en-AU"/>
        </w:rPr>
        <w:t>In 2014, 80% of households with electricity bills received some other form of supplier funded discount, with an average annual value of $142 ($48 in 2007).  Only a minority of electricity suppliers provided explanatory notes on the nature of other discounts.  To the extent this information was provided, the discounts were usually said to be guaranteed discounts and/or pay on time discounts.</w:t>
      </w:r>
    </w:p>
    <w:p w14:paraId="09ECFFF5" w14:textId="77777777" w:rsidR="00D63156" w:rsidRPr="002A4559" w:rsidRDefault="00D63156" w:rsidP="00D63156">
      <w:pPr>
        <w:pStyle w:val="Para"/>
        <w:rPr>
          <w:lang w:val="en-AU"/>
        </w:rPr>
      </w:pPr>
    </w:p>
    <w:p w14:paraId="5756ABA5" w14:textId="77777777" w:rsidR="00D63156" w:rsidRDefault="00D63156" w:rsidP="00D63156">
      <w:pPr>
        <w:pStyle w:val="Para"/>
        <w:rPr>
          <w:lang w:val="en-AU"/>
        </w:rPr>
      </w:pPr>
      <w:r w:rsidRPr="00D443E0">
        <w:rPr>
          <w:lang w:val="en-AU"/>
        </w:rPr>
        <w:t>Overall, almost all households (99%) received some sort of discount</w:t>
      </w:r>
      <w:r w:rsidRPr="008D0A92">
        <w:rPr>
          <w:lang w:val="en-AU"/>
        </w:rPr>
        <w:t xml:space="preserve"> or concession off their electricity bill.  This was up from the 79%</w:t>
      </w:r>
      <w:r w:rsidRPr="009F6FDD">
        <w:rPr>
          <w:lang w:val="en-AU"/>
        </w:rPr>
        <w:t xml:space="preserve"> </w:t>
      </w:r>
      <w:r w:rsidRPr="00D73970">
        <w:rPr>
          <w:lang w:val="en-AU"/>
        </w:rPr>
        <w:t>reported in 2007, but a return to the 100% figure of 2001</w:t>
      </w:r>
      <w:r w:rsidRPr="00D443E0">
        <w:rPr>
          <w:lang w:val="en-AU"/>
        </w:rPr>
        <w:t>.  The average amount received in 2014 was $327, which was almost four times the average amount received in 2007 ($86).</w:t>
      </w:r>
    </w:p>
    <w:p w14:paraId="12016195" w14:textId="77777777" w:rsidR="00B942AA" w:rsidRDefault="00B942AA" w:rsidP="00D63156">
      <w:pPr>
        <w:pStyle w:val="Para"/>
        <w:rPr>
          <w:lang w:val="en-AU"/>
        </w:rPr>
      </w:pPr>
    </w:p>
    <w:p w14:paraId="71D82D1B" w14:textId="1D1655FA" w:rsidR="00AD63FC" w:rsidRPr="00C641F8" w:rsidRDefault="00AD63FC" w:rsidP="00AD63FC">
      <w:pPr>
        <w:pStyle w:val="Para"/>
        <w:rPr>
          <w:lang w:val="en-AU"/>
        </w:rPr>
      </w:pPr>
      <w:r w:rsidRPr="00C641F8">
        <w:rPr>
          <w:lang w:val="en-AU"/>
        </w:rPr>
        <w:t xml:space="preserve">The average </w:t>
      </w:r>
      <w:r>
        <w:rPr>
          <w:lang w:val="en-AU"/>
        </w:rPr>
        <w:t xml:space="preserve">total </w:t>
      </w:r>
      <w:r w:rsidRPr="00C641F8">
        <w:rPr>
          <w:lang w:val="en-AU"/>
        </w:rPr>
        <w:t xml:space="preserve">electricity charge applicable (i.e. the amount that could be charged if concessions and discounts were </w:t>
      </w:r>
      <w:r w:rsidRPr="009B4EB7">
        <w:rPr>
          <w:i/>
          <w:lang w:val="en-AU"/>
        </w:rPr>
        <w:t>not</w:t>
      </w:r>
      <w:r w:rsidRPr="00C641F8">
        <w:rPr>
          <w:lang w:val="en-AU"/>
        </w:rPr>
        <w:t xml:space="preserve"> applied) in 2014 was $1,</w:t>
      </w:r>
      <w:r w:rsidR="004D177A">
        <w:rPr>
          <w:lang w:val="en-AU"/>
        </w:rPr>
        <w:t>455</w:t>
      </w:r>
      <w:r w:rsidR="004D177A" w:rsidRPr="00C641F8">
        <w:rPr>
          <w:lang w:val="en-AU"/>
        </w:rPr>
        <w:t xml:space="preserve"> </w:t>
      </w:r>
      <w:r w:rsidRPr="00C641F8">
        <w:rPr>
          <w:lang w:val="en-AU"/>
        </w:rPr>
        <w:t xml:space="preserve">(excluding GST), up </w:t>
      </w:r>
      <w:r w:rsidR="004D177A">
        <w:rPr>
          <w:lang w:val="en-AU"/>
        </w:rPr>
        <w:t>54</w:t>
      </w:r>
      <w:r w:rsidRPr="00C641F8">
        <w:rPr>
          <w:lang w:val="en-AU"/>
        </w:rPr>
        <w:t xml:space="preserve">% from $946 in 2007.  </w:t>
      </w:r>
      <w:r>
        <w:rPr>
          <w:lang w:val="en-AU"/>
        </w:rPr>
        <w:t>After taking concessions and discounts</w:t>
      </w:r>
      <w:r w:rsidR="009B4EB7">
        <w:rPr>
          <w:lang w:val="en-AU"/>
        </w:rPr>
        <w:t xml:space="preserve"> into account</w:t>
      </w:r>
      <w:r>
        <w:rPr>
          <w:lang w:val="en-AU"/>
        </w:rPr>
        <w:t>, t</w:t>
      </w:r>
      <w:r w:rsidRPr="00C641F8">
        <w:rPr>
          <w:lang w:val="en-AU"/>
        </w:rPr>
        <w:t xml:space="preserve">he average annual electricity bill paid by households in 2014 was $1,247 </w:t>
      </w:r>
      <w:r>
        <w:rPr>
          <w:lang w:val="en-AU"/>
        </w:rPr>
        <w:t>(</w:t>
      </w:r>
      <w:r w:rsidRPr="00C641F8">
        <w:rPr>
          <w:lang w:val="en-AU"/>
        </w:rPr>
        <w:t>including GST</w:t>
      </w:r>
      <w:r>
        <w:rPr>
          <w:lang w:val="en-AU"/>
        </w:rPr>
        <w:t>)</w:t>
      </w:r>
      <w:r w:rsidRPr="00C641F8">
        <w:rPr>
          <w:lang w:val="en-AU"/>
        </w:rPr>
        <w:t xml:space="preserve">, up 28% from </w:t>
      </w:r>
      <w:r>
        <w:rPr>
          <w:lang w:val="en-AU"/>
        </w:rPr>
        <w:t xml:space="preserve">$973 in </w:t>
      </w:r>
      <w:r w:rsidRPr="00C641F8">
        <w:rPr>
          <w:lang w:val="en-AU"/>
        </w:rPr>
        <w:t>2007.</w:t>
      </w:r>
    </w:p>
    <w:p w14:paraId="46A98ECD" w14:textId="77777777" w:rsidR="00AD63FC" w:rsidRPr="00D443E0" w:rsidRDefault="00AD63FC" w:rsidP="00D63156">
      <w:pPr>
        <w:pStyle w:val="Para"/>
        <w:rPr>
          <w:lang w:val="en-AU"/>
        </w:rPr>
      </w:pPr>
    </w:p>
    <w:p w14:paraId="182FFE59" w14:textId="77777777" w:rsidR="00B942AA" w:rsidRPr="002A4559" w:rsidRDefault="00B942AA" w:rsidP="00B942AA">
      <w:pPr>
        <w:pStyle w:val="Para"/>
        <w:rPr>
          <w:lang w:val="en-AU"/>
        </w:rPr>
      </w:pPr>
      <w:r w:rsidRPr="002A4559">
        <w:rPr>
          <w:lang w:val="en-AU"/>
        </w:rPr>
        <w:t xml:space="preserve">The majority of households </w:t>
      </w:r>
      <w:r w:rsidRPr="0091438B">
        <w:rPr>
          <w:b/>
          <w:lang w:val="en-AU"/>
        </w:rPr>
        <w:t>u</w:t>
      </w:r>
      <w:r w:rsidRPr="002A4559">
        <w:rPr>
          <w:b/>
          <w:lang w:val="en-AU"/>
        </w:rPr>
        <w:t>sed mains gas</w:t>
      </w:r>
      <w:r w:rsidRPr="002A4559">
        <w:rPr>
          <w:lang w:val="en-AU"/>
        </w:rPr>
        <w:t xml:space="preserve"> (88%), consistent with the findings of the 2007 survey.  Households in Melbourne (94%) were more likely to use mains gas than those in country Victoria (72%) again consistent with 2007’s results. Using the adjusted LPG definition already referred to</w:t>
      </w:r>
      <w:r>
        <w:rPr>
          <w:lang w:val="en-AU"/>
        </w:rPr>
        <w:t>,</w:t>
      </w:r>
      <w:r w:rsidRPr="002A4559">
        <w:rPr>
          <w:lang w:val="en-AU"/>
        </w:rPr>
        <w:t xml:space="preserve"> cylinder gas (LPG) was estimated to be used </w:t>
      </w:r>
      <w:r w:rsidRPr="00BF001E">
        <w:rPr>
          <w:lang w:val="en-AU"/>
        </w:rPr>
        <w:t xml:space="preserve">in 11% of households in country Victoria, and in just 1% of households in Melbourne. </w:t>
      </w:r>
    </w:p>
    <w:p w14:paraId="3303C9DC" w14:textId="77777777" w:rsidR="00D63156" w:rsidRPr="002A4559" w:rsidRDefault="00D63156" w:rsidP="00D63156">
      <w:pPr>
        <w:pStyle w:val="Para"/>
        <w:rPr>
          <w:lang w:val="en-AU"/>
        </w:rPr>
      </w:pPr>
    </w:p>
    <w:p w14:paraId="16A8FA3B" w14:textId="05A13D38" w:rsidR="00D63156" w:rsidRPr="00D443E0" w:rsidRDefault="00D63156" w:rsidP="00D63156">
      <w:pPr>
        <w:pStyle w:val="Para"/>
        <w:rPr>
          <w:lang w:val="en-AU"/>
        </w:rPr>
      </w:pPr>
      <w:r w:rsidRPr="00D443E0">
        <w:rPr>
          <w:lang w:val="en-AU"/>
        </w:rPr>
        <w:t xml:space="preserve">In 2014, each </w:t>
      </w:r>
      <w:r w:rsidR="001B079D">
        <w:rPr>
          <w:lang w:val="en-AU"/>
        </w:rPr>
        <w:t xml:space="preserve">mains gas-using </w:t>
      </w:r>
      <w:r w:rsidRPr="00D443E0">
        <w:rPr>
          <w:lang w:val="en-AU"/>
        </w:rPr>
        <w:t xml:space="preserve">household on average consumed 46,845 </w:t>
      </w:r>
      <w:r w:rsidR="009007DD">
        <w:rPr>
          <w:lang w:val="en-AU"/>
        </w:rPr>
        <w:t>megajoules of gas</w:t>
      </w:r>
      <w:r w:rsidRPr="00D443E0">
        <w:rPr>
          <w:lang w:val="en-AU"/>
        </w:rPr>
        <w:t xml:space="preserve">, compared with 62,529 </w:t>
      </w:r>
      <w:r w:rsidR="009007DD">
        <w:rPr>
          <w:lang w:val="en-AU"/>
        </w:rPr>
        <w:t xml:space="preserve">MJ </w:t>
      </w:r>
      <w:r w:rsidRPr="008D0A92">
        <w:rPr>
          <w:lang w:val="en-AU"/>
        </w:rPr>
        <w:t>in 2007, 59,415 MJ in 2001 and 54,851 MJ</w:t>
      </w:r>
      <w:r w:rsidRPr="009F6FDD">
        <w:rPr>
          <w:lang w:val="en-AU"/>
        </w:rPr>
        <w:t xml:space="preserve"> in 1996.  This represents an average </w:t>
      </w:r>
      <w:r w:rsidRPr="00D443E0">
        <w:rPr>
          <w:lang w:val="en-AU"/>
        </w:rPr>
        <w:t>decrease in gas consumption per household of 25.1% since the 2007 survey.  This decrease in consumption was consistent across the various sub groups, with the only one differing substantially being single person households (down 20.0%).</w:t>
      </w:r>
    </w:p>
    <w:p w14:paraId="6B9477F5" w14:textId="77777777" w:rsidR="00D63156" w:rsidRPr="002A4559" w:rsidRDefault="00D63156" w:rsidP="00D63156">
      <w:pPr>
        <w:pStyle w:val="Para"/>
        <w:rPr>
          <w:lang w:val="en-AU"/>
        </w:rPr>
      </w:pPr>
    </w:p>
    <w:p w14:paraId="39CAD9A1" w14:textId="15B63309" w:rsidR="00D63156" w:rsidRPr="002A4559" w:rsidRDefault="00D63156" w:rsidP="00D63156">
      <w:pPr>
        <w:pStyle w:val="Para"/>
        <w:rPr>
          <w:lang w:val="en-AU"/>
        </w:rPr>
      </w:pPr>
      <w:r w:rsidRPr="002A4559">
        <w:rPr>
          <w:lang w:val="en-AU"/>
        </w:rPr>
        <w:t xml:space="preserve">Possible explanations for the decline in gas consumption could include weather differences between the years, an increase in solar hot water systems, an increase in the use of gas-efficient appliances, increased media focus on climate change having an impact, an increase in households that generate their own electricity switching some of their energy usage from gas to solar electricity, and the impact of significantly higher per unit gas prices (an increase of approximately 90% between 2007 and 2014).  </w:t>
      </w:r>
    </w:p>
    <w:p w14:paraId="360BD76C" w14:textId="77777777" w:rsidR="00D63156" w:rsidRPr="002A4559" w:rsidRDefault="00D63156" w:rsidP="00D63156">
      <w:pPr>
        <w:pStyle w:val="Para"/>
        <w:rPr>
          <w:lang w:val="en-AU"/>
        </w:rPr>
      </w:pPr>
    </w:p>
    <w:p w14:paraId="54CFBE37" w14:textId="77777777" w:rsidR="00D63156" w:rsidRDefault="00D63156" w:rsidP="00D63156">
      <w:pPr>
        <w:pStyle w:val="Para"/>
        <w:rPr>
          <w:lang w:val="en-AU"/>
        </w:rPr>
      </w:pPr>
      <w:r w:rsidRPr="002A4559">
        <w:rPr>
          <w:lang w:val="en-AU"/>
        </w:rPr>
        <w:t>Gas consumers on average received 6.2 bills per year in 2014, which was consistent with 2007 (6.3 bills).  The vast majority (94.4%) of gas bill-payers received bills based on actual meter readings only.</w:t>
      </w:r>
    </w:p>
    <w:p w14:paraId="59D4C8E7" w14:textId="77777777" w:rsidR="00F5061A" w:rsidRDefault="00F5061A" w:rsidP="00F5061A">
      <w:pPr>
        <w:pStyle w:val="Para"/>
        <w:rPr>
          <w:lang w:val="en-AU"/>
        </w:rPr>
      </w:pPr>
    </w:p>
    <w:p w14:paraId="5CC70341" w14:textId="25EC18A3" w:rsidR="00F5061A" w:rsidRDefault="00F5061A" w:rsidP="00F5061A">
      <w:pPr>
        <w:pStyle w:val="Para"/>
        <w:rPr>
          <w:lang w:val="en-AU"/>
        </w:rPr>
      </w:pPr>
      <w:r w:rsidRPr="00953185">
        <w:rPr>
          <w:lang w:val="en-AU"/>
        </w:rPr>
        <w:t xml:space="preserve">In 2014, 97% of gas using households paid their annual gas bill in full, with </w:t>
      </w:r>
      <w:r>
        <w:rPr>
          <w:lang w:val="en-AU"/>
        </w:rPr>
        <w:t xml:space="preserve">little difference </w:t>
      </w:r>
      <w:r w:rsidRPr="00953185">
        <w:rPr>
          <w:lang w:val="en-AU"/>
        </w:rPr>
        <w:t xml:space="preserve">in incidence </w:t>
      </w:r>
      <w:r>
        <w:rPr>
          <w:lang w:val="en-AU"/>
        </w:rPr>
        <w:t xml:space="preserve">across the various sample </w:t>
      </w:r>
      <w:r w:rsidRPr="00D52A6A">
        <w:rPr>
          <w:lang w:val="en-AU"/>
        </w:rPr>
        <w:t xml:space="preserve">types. </w:t>
      </w:r>
      <w:r w:rsidR="00D52A6A" w:rsidRPr="00D52A6A">
        <w:rPr>
          <w:lang w:val="en-AU"/>
        </w:rPr>
        <w:t xml:space="preserve"> Seven </w:t>
      </w:r>
      <w:r w:rsidR="00B942AA">
        <w:rPr>
          <w:lang w:val="en-AU"/>
        </w:rPr>
        <w:t>per cent</w:t>
      </w:r>
      <w:r w:rsidR="00D52A6A" w:rsidRPr="00D52A6A">
        <w:rPr>
          <w:lang w:val="en-AU"/>
        </w:rPr>
        <w:t xml:space="preserve"> </w:t>
      </w:r>
      <w:r w:rsidRPr="00D52A6A">
        <w:rPr>
          <w:lang w:val="en-AU"/>
        </w:rPr>
        <w:t>of households paid their gas bills by compulsory instalment, down from 13% in 2007.  Public renters (18%) w</w:t>
      </w:r>
      <w:r w:rsidRPr="00BB1B8E">
        <w:rPr>
          <w:lang w:val="en-AU"/>
        </w:rPr>
        <w:t>ere by far the most likely to be paying by compulsory instalments, compared with 9% of private renters, 9% of home buyers and 6% of home owners.  Similarly, other concession households (14%) were much more likely than non-concession (6%) or aged concession (2%) households to be paying by compulsory instalments. Households in Melbourne (6%) were less likely than those in country Victoria (9%) to be paying by compulsory instalments.</w:t>
      </w:r>
    </w:p>
    <w:p w14:paraId="0169DCB6" w14:textId="77777777" w:rsidR="00B942AA" w:rsidRPr="00BB1B8E" w:rsidRDefault="00B942AA" w:rsidP="00F5061A">
      <w:pPr>
        <w:pStyle w:val="Para"/>
        <w:rPr>
          <w:lang w:val="en-AU"/>
        </w:rPr>
      </w:pPr>
    </w:p>
    <w:p w14:paraId="26083310" w14:textId="28325C96" w:rsidR="00D52A6A" w:rsidRDefault="00D52A6A" w:rsidP="00D52A6A">
      <w:pPr>
        <w:pStyle w:val="Para"/>
        <w:rPr>
          <w:lang w:val="en-AU"/>
        </w:rPr>
      </w:pPr>
      <w:r w:rsidRPr="00AE3DB4">
        <w:rPr>
          <w:lang w:val="en-AU"/>
        </w:rPr>
        <w:t xml:space="preserve">In 2014, 42% of gas paying households received the DHHS concession on their gas bill, up from 27% in 2007.  Respondents in Melbourne (41%) were less likely than those in country Victoria (46%) to receive a DHHS concession on their gas bill in 2014.  The DHHS concession was obtained by 82% of public renters, compared with 49% of home owners, 47% of private renters and 21% of those paying off their home.   The average size of the DHHS concession in 2014 was $85, virtually unchanged from 2007 ($86).  </w:t>
      </w:r>
    </w:p>
    <w:p w14:paraId="37E149E0" w14:textId="77777777" w:rsidR="00D63156" w:rsidRPr="002A4559" w:rsidRDefault="00D63156" w:rsidP="00D63156">
      <w:pPr>
        <w:pStyle w:val="Para"/>
        <w:rPr>
          <w:lang w:val="en-AU"/>
        </w:rPr>
      </w:pPr>
    </w:p>
    <w:p w14:paraId="58DBFA8E" w14:textId="31C9156B" w:rsidR="00D63156" w:rsidRPr="008D0A92" w:rsidRDefault="00642D12" w:rsidP="00642D12">
      <w:pPr>
        <w:pStyle w:val="Para"/>
        <w:rPr>
          <w:lang w:val="en-AU"/>
        </w:rPr>
      </w:pPr>
      <w:r w:rsidRPr="00642D12">
        <w:rPr>
          <w:lang w:val="en-AU"/>
        </w:rPr>
        <w:lastRenderedPageBreak/>
        <w:t>The average total gas charge applicable (</w:t>
      </w:r>
      <w:r w:rsidRPr="00C641F8">
        <w:rPr>
          <w:lang w:val="en-AU"/>
        </w:rPr>
        <w:t xml:space="preserve">i.e. the amount that could be charged if concessions and discounts were </w:t>
      </w:r>
      <w:r w:rsidRPr="009B4EB7">
        <w:rPr>
          <w:i/>
          <w:lang w:val="en-AU"/>
        </w:rPr>
        <w:t>not</w:t>
      </w:r>
      <w:r w:rsidRPr="00C641F8">
        <w:rPr>
          <w:lang w:val="en-AU"/>
        </w:rPr>
        <w:t xml:space="preserve"> applied) in 2014 was $</w:t>
      </w:r>
      <w:r w:rsidRPr="00642D12">
        <w:rPr>
          <w:lang w:val="en-AU"/>
        </w:rPr>
        <w:t>993</w:t>
      </w:r>
      <w:r w:rsidRPr="00C641F8">
        <w:rPr>
          <w:lang w:val="en-AU"/>
        </w:rPr>
        <w:t xml:space="preserve"> (excluding GST), up </w:t>
      </w:r>
      <w:r w:rsidRPr="00642D12">
        <w:rPr>
          <w:lang w:val="en-AU"/>
        </w:rPr>
        <w:t>47</w:t>
      </w:r>
      <w:r w:rsidRPr="00C641F8">
        <w:rPr>
          <w:lang w:val="en-AU"/>
        </w:rPr>
        <w:t>% from $</w:t>
      </w:r>
      <w:r w:rsidRPr="00642D12">
        <w:rPr>
          <w:lang w:val="en-AU"/>
        </w:rPr>
        <w:t>675</w:t>
      </w:r>
      <w:r w:rsidRPr="00C641F8">
        <w:rPr>
          <w:lang w:val="en-AU"/>
        </w:rPr>
        <w:t xml:space="preserve"> in 2007.  </w:t>
      </w:r>
      <w:r>
        <w:rPr>
          <w:lang w:val="en-AU"/>
        </w:rPr>
        <w:t>After taking concessions and discounts</w:t>
      </w:r>
      <w:r w:rsidR="009B4EB7">
        <w:rPr>
          <w:lang w:val="en-AU"/>
        </w:rPr>
        <w:t xml:space="preserve"> into account</w:t>
      </w:r>
      <w:r>
        <w:rPr>
          <w:lang w:val="en-AU"/>
        </w:rPr>
        <w:t>, h</w:t>
      </w:r>
      <w:r w:rsidR="00D63156" w:rsidRPr="008D0A92">
        <w:rPr>
          <w:lang w:val="en-AU"/>
        </w:rPr>
        <w:t>ouseholds that received gas bills in 2014 spent an average of $</w:t>
      </w:r>
      <w:r w:rsidR="00D63156" w:rsidRPr="009F6FDD">
        <w:rPr>
          <w:lang w:val="en-AU"/>
        </w:rPr>
        <w:t xml:space="preserve">980 </w:t>
      </w:r>
      <w:r>
        <w:rPr>
          <w:lang w:val="en-AU"/>
        </w:rPr>
        <w:t xml:space="preserve">(including GST) </w:t>
      </w:r>
      <w:r w:rsidR="00D63156" w:rsidRPr="009F6FDD">
        <w:rPr>
          <w:lang w:val="en-AU"/>
        </w:rPr>
        <w:t>per year</w:t>
      </w:r>
      <w:r w:rsidR="00D63156" w:rsidRPr="00D73970">
        <w:rPr>
          <w:lang w:val="en-AU"/>
        </w:rPr>
        <w:t xml:space="preserve"> on gas consumption compared with $700 in 2007, </w:t>
      </w:r>
      <w:r w:rsidR="00D63156" w:rsidRPr="00EF304A">
        <w:rPr>
          <w:lang w:val="en-AU"/>
        </w:rPr>
        <w:t>$500 in 2001 and $415 in 1996</w:t>
      </w:r>
      <w:r w:rsidR="00D63156" w:rsidRPr="008D0A92">
        <w:rPr>
          <w:lang w:val="en-AU"/>
        </w:rPr>
        <w:t>. This represents an increase in outlays of 40.0% since 2007, despite a reduction in gas consumption over the same period.  This continues the trend since 1996 of gas bills increasing at a rate well above the inflation rate.</w:t>
      </w:r>
    </w:p>
    <w:p w14:paraId="0A27EDCF" w14:textId="77777777" w:rsidR="00D63156" w:rsidRPr="002A4559" w:rsidRDefault="00D63156" w:rsidP="00D63156">
      <w:pPr>
        <w:pStyle w:val="Para"/>
        <w:rPr>
          <w:lang w:val="en-AU"/>
        </w:rPr>
      </w:pPr>
    </w:p>
    <w:p w14:paraId="38DAD7F8" w14:textId="77777777" w:rsidR="00D63156" w:rsidRPr="008D0A92" w:rsidRDefault="00D63156" w:rsidP="00D63156">
      <w:pPr>
        <w:pStyle w:val="Para"/>
        <w:rPr>
          <w:lang w:val="en-AU"/>
        </w:rPr>
      </w:pPr>
      <w:r w:rsidRPr="008D0A92">
        <w:rPr>
          <w:lang w:val="en-AU"/>
        </w:rPr>
        <w:t>The average annual gas bill was higher in Melbourne ($994) than in country Victoria ($</w:t>
      </w:r>
      <w:r w:rsidRPr="009F6FDD">
        <w:rPr>
          <w:lang w:val="en-AU"/>
        </w:rPr>
        <w:t>926), and higher for non-concession households ($1,050</w:t>
      </w:r>
      <w:r w:rsidRPr="00D73970">
        <w:rPr>
          <w:lang w:val="en-AU"/>
        </w:rPr>
        <w:t>) than concession households ($8</w:t>
      </w:r>
      <w:r w:rsidRPr="008D0A92">
        <w:rPr>
          <w:lang w:val="en-AU"/>
        </w:rPr>
        <w:t xml:space="preserve">92).  The average amount paid by aged concession households ($885) represented an increase of 48.5% since 2007, compared with 42.4%% for non-concession households and 30.6% for other concession households.  As expected, the average amount paid rose with household size, though the rate of increase since 2007 for one or two person households (both 45.5%) was higher than for three (38.4%) or four (37.9%) person households.  </w:t>
      </w:r>
    </w:p>
    <w:p w14:paraId="3E9C20A8" w14:textId="77777777" w:rsidR="00D63156" w:rsidRPr="002A4559" w:rsidRDefault="00D63156" w:rsidP="00D63156">
      <w:pPr>
        <w:pStyle w:val="Para"/>
        <w:rPr>
          <w:lang w:val="en-AU"/>
        </w:rPr>
      </w:pPr>
    </w:p>
    <w:p w14:paraId="069DA587" w14:textId="77777777" w:rsidR="00D63156" w:rsidRPr="002A4559" w:rsidRDefault="00D63156" w:rsidP="008F56BA">
      <w:pPr>
        <w:pStyle w:val="Heading4"/>
        <w:rPr>
          <w:lang w:val="en-AU"/>
        </w:rPr>
      </w:pPr>
      <w:bookmarkStart w:id="25" w:name="_Toc184087753"/>
      <w:bookmarkStart w:id="26" w:name="_Toc439198248"/>
      <w:bookmarkStart w:id="27" w:name="_Toc445571633"/>
      <w:r w:rsidRPr="002A4559">
        <w:rPr>
          <w:lang w:val="en-AU"/>
        </w:rPr>
        <w:t>Water Usage, Consumption and Expenditure</w:t>
      </w:r>
      <w:bookmarkEnd w:id="25"/>
      <w:bookmarkEnd w:id="26"/>
      <w:bookmarkEnd w:id="27"/>
    </w:p>
    <w:p w14:paraId="68E3CD02" w14:textId="77777777" w:rsidR="00D63156" w:rsidRPr="002A4559" w:rsidRDefault="00D63156" w:rsidP="00D63156">
      <w:pPr>
        <w:pStyle w:val="Para"/>
        <w:rPr>
          <w:lang w:val="en-AU"/>
        </w:rPr>
      </w:pPr>
      <w:r w:rsidRPr="002A4559">
        <w:rPr>
          <w:lang w:val="en-AU"/>
        </w:rPr>
        <w:t xml:space="preserve">Overall, 92% of households claimed to have </w:t>
      </w:r>
      <w:r w:rsidRPr="002A4559">
        <w:rPr>
          <w:b/>
          <w:lang w:val="en-AU"/>
        </w:rPr>
        <w:t>received a water bill</w:t>
      </w:r>
      <w:r w:rsidRPr="002A4559">
        <w:rPr>
          <w:lang w:val="en-AU"/>
        </w:rPr>
        <w:t xml:space="preserve"> in 2014, virtually unchanged from previous surveys. A higher proportion of concession than non-concession households claimed to receive water consumption only bills (22% and 14% respectively). </w:t>
      </w:r>
    </w:p>
    <w:p w14:paraId="063CC2F0" w14:textId="77777777" w:rsidR="00D63156" w:rsidRPr="002A4559" w:rsidRDefault="00D63156" w:rsidP="00D63156">
      <w:pPr>
        <w:pStyle w:val="Para"/>
        <w:rPr>
          <w:lang w:val="en-AU"/>
        </w:rPr>
      </w:pPr>
    </w:p>
    <w:p w14:paraId="2D9AA8AE" w14:textId="6D79E055" w:rsidR="00D52A6A" w:rsidRDefault="00D63156" w:rsidP="00D52A6A">
      <w:pPr>
        <w:spacing w:before="0" w:after="0" w:line="340" w:lineRule="exact"/>
        <w:jc w:val="both"/>
        <w:rPr>
          <w:lang w:val="en-AU"/>
        </w:rPr>
      </w:pPr>
      <w:r w:rsidRPr="002A4559">
        <w:rPr>
          <w:lang w:val="en-AU"/>
        </w:rPr>
        <w:t xml:space="preserve">On average, households received four water bills per year (3.8).  </w:t>
      </w:r>
      <w:r w:rsidR="00D52A6A" w:rsidRPr="007D2696">
        <w:rPr>
          <w:lang w:val="en-AU"/>
        </w:rPr>
        <w:t>In 2014, 98% of households paid their total 2014 amount owing for water in full, with very little difference in incidence across the various sample groups.</w:t>
      </w:r>
      <w:r w:rsidR="00D52A6A">
        <w:rPr>
          <w:lang w:val="en-AU"/>
        </w:rPr>
        <w:t xml:space="preserve">  Seven </w:t>
      </w:r>
      <w:r w:rsidR="00B942AA">
        <w:rPr>
          <w:lang w:val="en-AU"/>
        </w:rPr>
        <w:t>per cent</w:t>
      </w:r>
      <w:r w:rsidR="00D52A6A">
        <w:rPr>
          <w:lang w:val="en-AU"/>
        </w:rPr>
        <w:t xml:space="preserve"> </w:t>
      </w:r>
      <w:r w:rsidR="00D52A6A" w:rsidRPr="00164551">
        <w:rPr>
          <w:lang w:val="en-AU"/>
        </w:rPr>
        <w:t>of households made payments by compulsory instalment, with little difference in incidence between households in Melbourne (7%) and country Victoria (6%).   Public renters (19%) were more likely than private renters (11%), home buyers (10%) or home owners (3%) to have paid by compulsory instalment.  Other concession households (13%) were more likely to have paid by compulsory instalment than aged concession (6%) or non-concession (5%) households.</w:t>
      </w:r>
    </w:p>
    <w:p w14:paraId="5544D3D5" w14:textId="77777777" w:rsidR="00B942AA" w:rsidRPr="00164551" w:rsidRDefault="00B942AA" w:rsidP="00D52A6A">
      <w:pPr>
        <w:spacing w:before="0" w:after="0" w:line="340" w:lineRule="exact"/>
        <w:jc w:val="both"/>
        <w:rPr>
          <w:lang w:val="en-AU"/>
        </w:rPr>
      </w:pPr>
    </w:p>
    <w:p w14:paraId="373C8124" w14:textId="50978DB2" w:rsidR="00D63156" w:rsidRPr="002A4559" w:rsidRDefault="00D63156" w:rsidP="00D63156">
      <w:pPr>
        <w:spacing w:before="0" w:after="0" w:line="340" w:lineRule="exact"/>
        <w:jc w:val="both"/>
      </w:pPr>
      <w:r w:rsidRPr="002A4559">
        <w:rPr>
          <w:lang w:val="en-AU"/>
        </w:rPr>
        <w:t xml:space="preserve">Average annual </w:t>
      </w:r>
      <w:r w:rsidRPr="002A4559">
        <w:rPr>
          <w:b/>
          <w:lang w:val="en-AU"/>
        </w:rPr>
        <w:t>water consumption</w:t>
      </w:r>
      <w:r w:rsidRPr="002A4559">
        <w:rPr>
          <w:lang w:val="en-AU"/>
        </w:rPr>
        <w:t xml:space="preserve"> per household has fallen by 25% since 2007, from 216 </w:t>
      </w:r>
      <w:r w:rsidR="00AC56B5">
        <w:rPr>
          <w:lang w:val="en-AU"/>
        </w:rPr>
        <w:t>kilolitre</w:t>
      </w:r>
      <w:r w:rsidRPr="002A4559">
        <w:rPr>
          <w:lang w:val="en-AU"/>
        </w:rPr>
        <w:t xml:space="preserve">s to 162 </w:t>
      </w:r>
      <w:r w:rsidR="00AC56B5">
        <w:rPr>
          <w:lang w:val="en-AU"/>
        </w:rPr>
        <w:t>kilolitre</w:t>
      </w:r>
      <w:r w:rsidRPr="002A4559">
        <w:rPr>
          <w:lang w:val="en-AU"/>
        </w:rPr>
        <w:t xml:space="preserve">s in 2014. This follows the 22% reduction between the 2007 and 2001 surveys.   This fall in water consumption is possibly a result of water restrictions across Victoria leading to </w:t>
      </w:r>
      <w:r w:rsidRPr="002A4559">
        <w:rPr>
          <w:lang w:val="en-AU"/>
        </w:rPr>
        <w:lastRenderedPageBreak/>
        <w:t>households modifying their water consumption habits, and suggests that some of these habits have been maintained after the partial easing of these restrictions.  Other factors could include</w:t>
      </w:r>
      <w:r w:rsidRPr="002A4559">
        <w:t xml:space="preserve"> increased use of water-efficient or water-saving fittings and water efficient appliances.  An increase in the installation and use of water tanks may also be a factor.  Related factors would also include the extent of media focus on climate change and water-shortage issues, which could certainly have played a part in changing water usage behaviour.  Sensitivity of demand to increasing unit prices could also be a factor.</w:t>
      </w:r>
    </w:p>
    <w:p w14:paraId="2733013F" w14:textId="77777777" w:rsidR="00D63156" w:rsidRPr="002A4559" w:rsidRDefault="00D63156" w:rsidP="00D63156">
      <w:pPr>
        <w:spacing w:before="0" w:after="0" w:line="280" w:lineRule="exact"/>
        <w:jc w:val="both"/>
        <w:rPr>
          <w:lang w:val="en-AU"/>
        </w:rPr>
      </w:pPr>
    </w:p>
    <w:p w14:paraId="6AC38615" w14:textId="6123B3D0" w:rsidR="00D63156" w:rsidRPr="002A4559" w:rsidRDefault="00D63156" w:rsidP="00D63156">
      <w:pPr>
        <w:spacing w:before="0" w:after="0" w:line="340" w:lineRule="exact"/>
        <w:jc w:val="both"/>
        <w:rPr>
          <w:lang w:val="en-AU"/>
        </w:rPr>
      </w:pPr>
      <w:r w:rsidRPr="002A4559">
        <w:rPr>
          <w:lang w:val="en-AU"/>
        </w:rPr>
        <w:t xml:space="preserve">Aged concession households had the lowest average water consumption rates of all sample types (138 </w:t>
      </w:r>
      <w:r w:rsidR="00DD19AA">
        <w:rPr>
          <w:lang w:val="en-AU"/>
        </w:rPr>
        <w:t>kL</w:t>
      </w:r>
      <w:r w:rsidRPr="002A4559">
        <w:rPr>
          <w:lang w:val="en-AU"/>
        </w:rPr>
        <w:t xml:space="preserve">), but the percentage fall in consumption between 2007 and 2014 (-24%) is similar to both other concession households (-28%) and non-concession households (-23%) over the same period.    </w:t>
      </w:r>
    </w:p>
    <w:p w14:paraId="69FBB64F" w14:textId="77777777" w:rsidR="00D63156" w:rsidRPr="002A4559" w:rsidRDefault="00D63156" w:rsidP="00D63156">
      <w:pPr>
        <w:spacing w:before="0" w:after="0" w:line="280" w:lineRule="exact"/>
        <w:jc w:val="both"/>
        <w:rPr>
          <w:szCs w:val="24"/>
          <w:lang w:val="en-AU"/>
        </w:rPr>
      </w:pPr>
    </w:p>
    <w:p w14:paraId="788DD701" w14:textId="329E9F37" w:rsidR="00D63156" w:rsidRPr="002A4559" w:rsidRDefault="00D63156" w:rsidP="00D63156">
      <w:pPr>
        <w:tabs>
          <w:tab w:val="left" w:leader="underscore" w:pos="2835"/>
        </w:tabs>
        <w:spacing w:before="0" w:after="0" w:line="340" w:lineRule="exact"/>
        <w:jc w:val="both"/>
        <w:rPr>
          <w:szCs w:val="24"/>
          <w:lang w:val="en-AU"/>
        </w:rPr>
      </w:pPr>
      <w:r w:rsidRPr="002A4559">
        <w:rPr>
          <w:szCs w:val="24"/>
          <w:lang w:val="en-AU"/>
        </w:rPr>
        <w:t xml:space="preserve">Not surprisingly, water consumption increases with household size, ranging from an average of 91 </w:t>
      </w:r>
      <w:r w:rsidR="00AC56B5">
        <w:rPr>
          <w:szCs w:val="24"/>
          <w:lang w:val="en-AU"/>
        </w:rPr>
        <w:t>kilolitre</w:t>
      </w:r>
      <w:r w:rsidRPr="002A4559">
        <w:rPr>
          <w:szCs w:val="24"/>
          <w:lang w:val="en-AU"/>
        </w:rPr>
        <w:t xml:space="preserve">s per annum for single person households up to 227 </w:t>
      </w:r>
      <w:r w:rsidR="00AC56B5">
        <w:rPr>
          <w:szCs w:val="24"/>
          <w:lang w:val="en-AU"/>
        </w:rPr>
        <w:t>kilolitre</w:t>
      </w:r>
      <w:r w:rsidRPr="002A4559">
        <w:rPr>
          <w:szCs w:val="24"/>
          <w:lang w:val="en-AU"/>
        </w:rPr>
        <w:t xml:space="preserve">s per annum for households of four or more persons.  On average, single person households reduced their annual consumption by 29% since the 2007 survey, which was a proportionally greater reduction than that observed for the other household sizes (2 persons: 23%; 3 persons: 23%; 4 or more persons: 21%.)  Average monthly water consumption in summer months has fallen marginally less than in winter months (-24% compared with -26%). </w:t>
      </w:r>
    </w:p>
    <w:p w14:paraId="747E2730" w14:textId="77777777" w:rsidR="00D63156" w:rsidRPr="002A4559" w:rsidRDefault="00D63156" w:rsidP="00D63156">
      <w:pPr>
        <w:pStyle w:val="Para"/>
        <w:rPr>
          <w:lang w:val="en-AU"/>
        </w:rPr>
      </w:pPr>
    </w:p>
    <w:p w14:paraId="5F55C168" w14:textId="52F79544" w:rsidR="00D52A6A" w:rsidRPr="00642D12" w:rsidRDefault="00642D12" w:rsidP="00642D12">
      <w:pPr>
        <w:tabs>
          <w:tab w:val="left" w:leader="underscore" w:pos="2835"/>
        </w:tabs>
        <w:spacing w:before="0" w:after="0" w:line="340" w:lineRule="exact"/>
        <w:jc w:val="both"/>
        <w:rPr>
          <w:szCs w:val="24"/>
          <w:lang w:val="en-AU"/>
        </w:rPr>
      </w:pPr>
      <w:r w:rsidRPr="00642D12">
        <w:rPr>
          <w:szCs w:val="24"/>
          <w:lang w:val="en-AU"/>
        </w:rPr>
        <w:t xml:space="preserve">The average total water charge applicable (i.e. the amount that could be charged if concessions and discounts were </w:t>
      </w:r>
      <w:r w:rsidRPr="00642D12">
        <w:rPr>
          <w:i/>
          <w:szCs w:val="24"/>
          <w:lang w:val="en-AU"/>
        </w:rPr>
        <w:t>not</w:t>
      </w:r>
      <w:r w:rsidRPr="00642D12">
        <w:rPr>
          <w:szCs w:val="24"/>
          <w:lang w:val="en-AU"/>
        </w:rPr>
        <w:t xml:space="preserve"> applied) in 2014 was $1,072, up 89% from $567 in 2007.  After taking into account concessions and discounts, t</w:t>
      </w:r>
      <w:r w:rsidR="00D63156" w:rsidRPr="00642D12">
        <w:rPr>
          <w:szCs w:val="24"/>
          <w:lang w:val="en-AU"/>
        </w:rPr>
        <w:t>he average annual bill paid for water by households in 2014 was $</w:t>
      </w:r>
      <w:r w:rsidR="00D52A6A" w:rsidRPr="00642D12">
        <w:rPr>
          <w:szCs w:val="24"/>
          <w:lang w:val="en-AU"/>
        </w:rPr>
        <w:t>801</w:t>
      </w:r>
      <w:r w:rsidR="00D63156" w:rsidRPr="00642D12">
        <w:rPr>
          <w:szCs w:val="24"/>
          <w:lang w:val="en-AU"/>
        </w:rPr>
        <w:t xml:space="preserve">.  This compares with an average outlay of $516 in 2007, $442 in 2001 and $444 in 1996.  This represents a 55% increase in the water bill amount since 2007, while average annual household consumption has fallen by 25%.  </w:t>
      </w:r>
      <w:r w:rsidR="00D52A6A" w:rsidRPr="00642D12">
        <w:rPr>
          <w:szCs w:val="24"/>
          <w:lang w:val="en-AU"/>
        </w:rPr>
        <w:t>The average annual water bill for non-concession households ($977) was substantially higher than the average bill for other concession ($579) or aged concession ($575) households.</w:t>
      </w:r>
    </w:p>
    <w:p w14:paraId="26B256F2" w14:textId="135C0DA7" w:rsidR="00D63156" w:rsidRPr="00642D12" w:rsidRDefault="00D63156" w:rsidP="00642D12">
      <w:pPr>
        <w:tabs>
          <w:tab w:val="left" w:leader="underscore" w:pos="2835"/>
        </w:tabs>
        <w:spacing w:before="0" w:after="0" w:line="340" w:lineRule="exact"/>
        <w:jc w:val="both"/>
        <w:rPr>
          <w:szCs w:val="24"/>
          <w:lang w:val="en-AU"/>
        </w:rPr>
      </w:pPr>
    </w:p>
    <w:p w14:paraId="7BBBCDD1" w14:textId="77777777" w:rsidR="00D63156" w:rsidRDefault="00D63156" w:rsidP="00D63156">
      <w:pPr>
        <w:pStyle w:val="Para"/>
        <w:rPr>
          <w:lang w:val="en-AU"/>
        </w:rPr>
      </w:pPr>
      <w:r w:rsidRPr="002A4559">
        <w:rPr>
          <w:lang w:val="en-AU"/>
        </w:rPr>
        <w:t xml:space="preserve">The only group to experience a decrease in average water bills since 2007 were public renters (-33%).  The greatest increase in average water bills since 2007 was observed amongst non-concession households (71%), despite average water usage declining by 23% over this same period.  Four or more person households also recorded significant growth in water bills since 2007 (+64%), while reducing consumption by 21%.  </w:t>
      </w:r>
    </w:p>
    <w:p w14:paraId="4C7F888B" w14:textId="77777777" w:rsidR="00B942AA" w:rsidRPr="002A4559" w:rsidRDefault="00B942AA" w:rsidP="00D63156">
      <w:pPr>
        <w:pStyle w:val="Para"/>
        <w:rPr>
          <w:lang w:val="en-AU"/>
        </w:rPr>
      </w:pPr>
    </w:p>
    <w:p w14:paraId="4D444CD2" w14:textId="77777777" w:rsidR="00D63156" w:rsidRPr="002A4559" w:rsidRDefault="00D63156" w:rsidP="00D63156">
      <w:pPr>
        <w:pStyle w:val="Para"/>
        <w:rPr>
          <w:lang w:val="en-AU"/>
        </w:rPr>
      </w:pPr>
      <w:r w:rsidRPr="002A4559">
        <w:rPr>
          <w:lang w:val="en-AU"/>
        </w:rPr>
        <w:lastRenderedPageBreak/>
        <w:t>Since 2007, the average water consumption charge has increased 104%, with the average water and sewerage service charges increasing 125% and 114% respectively.  Average increases since 2007 in sewerage disposal, drainage &amp; waterways service and parks charges were substantially less dramatic (49%, 41% and 21% respectively).</w:t>
      </w:r>
    </w:p>
    <w:p w14:paraId="50440342" w14:textId="77777777" w:rsidR="00D63156" w:rsidRPr="002A4559" w:rsidRDefault="00D63156" w:rsidP="00D63156">
      <w:pPr>
        <w:pStyle w:val="Para"/>
        <w:rPr>
          <w:lang w:val="en-AU"/>
        </w:rPr>
      </w:pPr>
    </w:p>
    <w:p w14:paraId="5C3DD530" w14:textId="77777777" w:rsidR="00D63156" w:rsidRPr="002A4559" w:rsidRDefault="00D63156" w:rsidP="00D63156">
      <w:pPr>
        <w:pStyle w:val="Para"/>
        <w:rPr>
          <w:sz w:val="20"/>
          <w:lang w:val="en-AU"/>
        </w:rPr>
      </w:pPr>
      <w:r w:rsidRPr="002A4559">
        <w:rPr>
          <w:lang w:val="en-AU"/>
        </w:rPr>
        <w:t xml:space="preserve">Eight in ten households paying water bills received a sewerage service charge in 2014.   The average sewerage service charge amount in 2014 was $391, compared with $183 in 2007 and $122 in 2001.  Sewerage service charges were far higher in country areas, averaging $554 in 2014, compared with $343 for Melbourne households.  </w:t>
      </w:r>
    </w:p>
    <w:p w14:paraId="4B2886F3" w14:textId="77777777" w:rsidR="00D63156" w:rsidRPr="002A4559" w:rsidRDefault="00D63156" w:rsidP="00D63156">
      <w:pPr>
        <w:pStyle w:val="Para"/>
        <w:rPr>
          <w:sz w:val="20"/>
          <w:lang w:val="en-AU"/>
        </w:rPr>
      </w:pPr>
    </w:p>
    <w:p w14:paraId="6CCE036C" w14:textId="77777777" w:rsidR="00D63156" w:rsidRPr="002A4559" w:rsidRDefault="00D63156" w:rsidP="00D63156">
      <w:pPr>
        <w:pStyle w:val="Para"/>
        <w:rPr>
          <w:lang w:val="en-AU"/>
        </w:rPr>
      </w:pPr>
      <w:r w:rsidRPr="002A4559">
        <w:rPr>
          <w:lang w:val="en-AU"/>
        </w:rPr>
        <w:t xml:space="preserve">Just under three quarters of all Victorian water using households were charged the sewerage disposal charge (71%, down from 76% in 2007), though this overwhelmingly occurred in Melbourne (93%) rather than country Victorian (3%) households   The annual average sewerage disposal charge amount was $207, up from $139 in 2007 and $96 in 2001.  The drainage service charge was applied to 64% of Victorian households receiving water bills, up from the 55% recorded in the 2007 survey.  Again, this was far more likely to apply to </w:t>
      </w:r>
      <w:smartTag w:uri="urn:schemas-microsoft-com:office:smarttags" w:element="City">
        <w:r w:rsidRPr="002A4559">
          <w:rPr>
            <w:lang w:val="en-AU"/>
          </w:rPr>
          <w:t>Melbourne</w:t>
        </w:r>
      </w:smartTag>
      <w:r w:rsidRPr="002A4559">
        <w:rPr>
          <w:lang w:val="en-AU"/>
        </w:rPr>
        <w:t xml:space="preserve"> households (83%) than those in country </w:t>
      </w:r>
      <w:smartTag w:uri="urn:schemas-microsoft-com:office:smarttags" w:element="State">
        <w:smartTag w:uri="urn:schemas-microsoft-com:office:smarttags" w:element="place">
          <w:r w:rsidRPr="002A4559">
            <w:rPr>
              <w:lang w:val="en-AU"/>
            </w:rPr>
            <w:t>Victoria</w:t>
          </w:r>
        </w:smartTag>
      </w:smartTag>
      <w:r w:rsidRPr="002A4559">
        <w:rPr>
          <w:lang w:val="en-AU"/>
        </w:rPr>
        <w:t xml:space="preserve"> (5%).  The average drainage service charge was $91 per annum in 2014, compared with $64 in 2007 and $56 in 2001.</w:t>
      </w:r>
    </w:p>
    <w:p w14:paraId="36663CB2" w14:textId="77777777" w:rsidR="00D63156" w:rsidRPr="002A4559" w:rsidRDefault="00D63156" w:rsidP="00D63156">
      <w:pPr>
        <w:pStyle w:val="Para"/>
        <w:rPr>
          <w:lang w:val="en-AU"/>
        </w:rPr>
      </w:pPr>
    </w:p>
    <w:p w14:paraId="0B335940" w14:textId="77777777" w:rsidR="00D63156" w:rsidRPr="002A4559" w:rsidRDefault="00D63156" w:rsidP="00D63156">
      <w:pPr>
        <w:pStyle w:val="Para"/>
        <w:rPr>
          <w:lang w:val="en-AU"/>
        </w:rPr>
      </w:pPr>
      <w:r w:rsidRPr="002A4559">
        <w:rPr>
          <w:lang w:val="en-AU"/>
        </w:rPr>
        <w:t xml:space="preserve">In 2014, 61% of households receiving water bills paid a parks charge (see glossary), up slightly from 2007 (57%), with the charge being applied to 79% of Melbourne households and just 3% of households in country Victoria. </w:t>
      </w:r>
    </w:p>
    <w:p w14:paraId="4BF3A4E5" w14:textId="77777777" w:rsidR="00D63156" w:rsidRPr="002A4559" w:rsidRDefault="00D63156" w:rsidP="00D63156">
      <w:pPr>
        <w:pStyle w:val="Para"/>
        <w:rPr>
          <w:lang w:val="en-AU"/>
        </w:rPr>
      </w:pPr>
    </w:p>
    <w:p w14:paraId="5D09CB51" w14:textId="77777777" w:rsidR="00D63156" w:rsidRPr="002A4559" w:rsidRDefault="00D63156" w:rsidP="00D63156">
      <w:pPr>
        <w:pStyle w:val="Para"/>
        <w:rPr>
          <w:lang w:val="en-AU"/>
        </w:rPr>
      </w:pPr>
      <w:r w:rsidRPr="002A4559">
        <w:rPr>
          <w:lang w:val="en-AU"/>
        </w:rPr>
        <w:t xml:space="preserve">The proportion of households receiving any </w:t>
      </w:r>
      <w:r w:rsidRPr="002A4559">
        <w:rPr>
          <w:b/>
          <w:lang w:val="en-AU"/>
        </w:rPr>
        <w:t>DHHS concessions on their water bills</w:t>
      </w:r>
      <w:r w:rsidRPr="002A4559">
        <w:rPr>
          <w:lang w:val="en-AU"/>
        </w:rPr>
        <w:t xml:space="preserve"> in 2014 was 44%, compared with 43% in 2007 and 35% in 2001.   </w:t>
      </w:r>
    </w:p>
    <w:p w14:paraId="5BC9D25E" w14:textId="77777777" w:rsidR="00D63156" w:rsidRPr="002A4559" w:rsidRDefault="00D63156" w:rsidP="00D63156">
      <w:pPr>
        <w:pStyle w:val="Para"/>
        <w:rPr>
          <w:lang w:val="en-AU"/>
        </w:rPr>
      </w:pPr>
      <w:r w:rsidRPr="002A4559">
        <w:rPr>
          <w:lang w:val="en-AU"/>
        </w:rPr>
        <w:t xml:space="preserve">The average amount of DHHS concession in 2014 was $253 per annum, representing a 92% increase since the 2007 survey.  </w:t>
      </w:r>
    </w:p>
    <w:p w14:paraId="68984839" w14:textId="77777777" w:rsidR="00D63156" w:rsidRPr="002A4559" w:rsidRDefault="00D63156" w:rsidP="00D63156">
      <w:pPr>
        <w:pStyle w:val="Para"/>
        <w:rPr>
          <w:lang w:val="en-AU"/>
        </w:rPr>
      </w:pPr>
    </w:p>
    <w:p w14:paraId="35179803" w14:textId="77777777" w:rsidR="00D63156" w:rsidRPr="002A4559" w:rsidRDefault="00D63156" w:rsidP="00D63156">
      <w:pPr>
        <w:pStyle w:val="Para"/>
        <w:rPr>
          <w:lang w:val="en-AU"/>
        </w:rPr>
      </w:pPr>
      <w:r w:rsidRPr="002A4559">
        <w:rPr>
          <w:lang w:val="en-AU"/>
        </w:rPr>
        <w:t xml:space="preserve">The Fairer Water Bills Saving (introduced in July 2014) was obtained by 86% of households receiving a water bill, at an average amount of $94. </w:t>
      </w:r>
    </w:p>
    <w:p w14:paraId="4061EFD9" w14:textId="77777777" w:rsidR="00162EF6" w:rsidRDefault="00162EF6" w:rsidP="00D63156">
      <w:pPr>
        <w:spacing w:before="0" w:after="0" w:line="340" w:lineRule="exact"/>
        <w:jc w:val="both"/>
        <w:rPr>
          <w:szCs w:val="24"/>
          <w:lang w:val="en-AU"/>
        </w:rPr>
      </w:pPr>
    </w:p>
    <w:p w14:paraId="689E8C11" w14:textId="58743606" w:rsidR="00D63156" w:rsidRPr="002A4559" w:rsidRDefault="00D63156" w:rsidP="00D63156">
      <w:pPr>
        <w:spacing w:before="0" w:after="0" w:line="340" w:lineRule="exact"/>
        <w:jc w:val="both"/>
        <w:rPr>
          <w:szCs w:val="24"/>
          <w:lang w:val="en-AU"/>
        </w:rPr>
      </w:pPr>
      <w:r w:rsidRPr="002A4559">
        <w:rPr>
          <w:szCs w:val="24"/>
          <w:lang w:val="en-AU"/>
        </w:rPr>
        <w:t xml:space="preserve">Twenty </w:t>
      </w:r>
      <w:r w:rsidR="00B942AA">
        <w:rPr>
          <w:szCs w:val="24"/>
          <w:lang w:val="en-AU"/>
        </w:rPr>
        <w:t>per cent</w:t>
      </w:r>
      <w:r w:rsidRPr="002A4559">
        <w:rPr>
          <w:szCs w:val="24"/>
          <w:lang w:val="en-AU"/>
        </w:rPr>
        <w:t xml:space="preserve"> of households that received a water bill received some other discount from the water supplier, at an average amount of $</w:t>
      </w:r>
      <w:r w:rsidR="00390355" w:rsidRPr="002A4559">
        <w:rPr>
          <w:szCs w:val="24"/>
          <w:lang w:val="en-AU"/>
        </w:rPr>
        <w:t>8 per</w:t>
      </w:r>
      <w:r w:rsidRPr="002A4559">
        <w:rPr>
          <w:szCs w:val="24"/>
          <w:lang w:val="en-AU"/>
        </w:rPr>
        <w:t xml:space="preserve"> annum.  In contrast, in 2007 only 1% of households received another form of discount off their water bills in 2007, but the average amount was higher ($40).  </w:t>
      </w:r>
    </w:p>
    <w:p w14:paraId="2570495C" w14:textId="77777777" w:rsidR="00D63156" w:rsidRPr="00BD3838" w:rsidRDefault="00D63156" w:rsidP="00D63156">
      <w:pPr>
        <w:pStyle w:val="Para"/>
        <w:rPr>
          <w:highlight w:val="yellow"/>
          <w:lang w:val="en-AU"/>
        </w:rPr>
      </w:pPr>
    </w:p>
    <w:p w14:paraId="5FBB1873" w14:textId="77777777" w:rsidR="00D63156" w:rsidRPr="002A4559" w:rsidRDefault="00D63156" w:rsidP="008F56BA">
      <w:pPr>
        <w:pStyle w:val="Heading4"/>
        <w:rPr>
          <w:lang w:val="en-AU"/>
        </w:rPr>
      </w:pPr>
      <w:bookmarkStart w:id="28" w:name="_Toc439198249"/>
      <w:bookmarkStart w:id="29" w:name="_Toc445571634"/>
      <w:r w:rsidRPr="002A4559">
        <w:rPr>
          <w:lang w:val="en-AU"/>
        </w:rPr>
        <w:t>Council Rates and Expenditure</w:t>
      </w:r>
      <w:bookmarkEnd w:id="28"/>
      <w:bookmarkEnd w:id="29"/>
    </w:p>
    <w:p w14:paraId="27A5DF4D" w14:textId="77777777" w:rsidR="00D63156" w:rsidRPr="002A4559" w:rsidRDefault="00D63156" w:rsidP="00D63156">
      <w:pPr>
        <w:spacing w:before="0" w:after="0" w:line="340" w:lineRule="exact"/>
        <w:jc w:val="both"/>
        <w:rPr>
          <w:lang w:val="en-AU"/>
        </w:rPr>
      </w:pPr>
      <w:r w:rsidRPr="002A4559">
        <w:rPr>
          <w:lang w:val="en-AU"/>
        </w:rPr>
        <w:t>In 2014, 80% of all households received Council rates bills, similar to past surveys. A greater proportion of non-concession households paid Council rates than concession households in 2014 (87% compared with 71%), as was the case in 2007 and 2001.  Aged concession households, being predominantly home owners, had a high proportion paying Council bills (85%), while the high proportion of renters among other concession households meant that only 57% of that group received a council bill.</w:t>
      </w:r>
    </w:p>
    <w:p w14:paraId="2174598D" w14:textId="77777777" w:rsidR="00D63156" w:rsidRPr="00BD3838" w:rsidRDefault="00D63156" w:rsidP="00D63156">
      <w:pPr>
        <w:pStyle w:val="Para"/>
        <w:rPr>
          <w:highlight w:val="yellow"/>
          <w:lang w:val="en-AU"/>
        </w:rPr>
      </w:pPr>
    </w:p>
    <w:p w14:paraId="78CBD5BA" w14:textId="77777777" w:rsidR="00D52A6A" w:rsidRPr="00164551" w:rsidRDefault="00D52A6A" w:rsidP="00D52A6A">
      <w:pPr>
        <w:pStyle w:val="Para"/>
        <w:rPr>
          <w:lang w:val="en-AU"/>
        </w:rPr>
      </w:pPr>
      <w:r>
        <w:rPr>
          <w:lang w:val="en-AU"/>
        </w:rPr>
        <w:t xml:space="preserve">In 2014, 96% of all households paid their annual rates bill in full.  Households in Melbourne (97%) were more likely than those in country Victoria (94%) to have paid their rates bill in full.   </w:t>
      </w:r>
      <w:r w:rsidRPr="00164551">
        <w:rPr>
          <w:lang w:val="en-AU"/>
        </w:rPr>
        <w:t xml:space="preserve">The incidence of paying Council rate by compulsory instalment was only 1%.  </w:t>
      </w:r>
    </w:p>
    <w:p w14:paraId="72850632" w14:textId="77777777" w:rsidR="00D63156" w:rsidRPr="009B4EB7" w:rsidRDefault="00D63156" w:rsidP="00D63156">
      <w:pPr>
        <w:pStyle w:val="Para"/>
        <w:rPr>
          <w:lang w:val="en-AU"/>
        </w:rPr>
      </w:pPr>
    </w:p>
    <w:p w14:paraId="56631D06" w14:textId="047F4ED0" w:rsidR="00D63156" w:rsidRPr="002A4559" w:rsidRDefault="009B4EB7" w:rsidP="009B4EB7">
      <w:pPr>
        <w:pStyle w:val="Para"/>
        <w:rPr>
          <w:lang w:val="en-AU"/>
        </w:rPr>
      </w:pPr>
      <w:r w:rsidRPr="009B4EB7">
        <w:rPr>
          <w:lang w:val="en-AU"/>
        </w:rPr>
        <w:t>The average total council rates charge applicable (</w:t>
      </w:r>
      <w:r w:rsidRPr="00C641F8">
        <w:rPr>
          <w:lang w:val="en-AU"/>
        </w:rPr>
        <w:t xml:space="preserve">i.e. the amount that could be charged if concessions and discounts were </w:t>
      </w:r>
      <w:r w:rsidRPr="009B4EB7">
        <w:rPr>
          <w:i/>
          <w:lang w:val="en-AU"/>
        </w:rPr>
        <w:t>not</w:t>
      </w:r>
      <w:r w:rsidRPr="00C641F8">
        <w:rPr>
          <w:lang w:val="en-AU"/>
        </w:rPr>
        <w:t xml:space="preserve"> applied) in 2014 was $</w:t>
      </w:r>
      <w:r w:rsidRPr="009B4EB7">
        <w:rPr>
          <w:lang w:val="en-AU"/>
        </w:rPr>
        <w:t>1,685</w:t>
      </w:r>
      <w:r w:rsidRPr="00C641F8">
        <w:rPr>
          <w:lang w:val="en-AU"/>
        </w:rPr>
        <w:t xml:space="preserve">, up </w:t>
      </w:r>
      <w:r w:rsidRPr="009B4EB7">
        <w:rPr>
          <w:lang w:val="en-AU"/>
        </w:rPr>
        <w:t>67</w:t>
      </w:r>
      <w:r w:rsidRPr="00C641F8">
        <w:rPr>
          <w:lang w:val="en-AU"/>
        </w:rPr>
        <w:t>% from $</w:t>
      </w:r>
      <w:r w:rsidRPr="009B4EB7">
        <w:rPr>
          <w:lang w:val="en-AU"/>
        </w:rPr>
        <w:t>1,006</w:t>
      </w:r>
      <w:r w:rsidRPr="00C641F8">
        <w:rPr>
          <w:lang w:val="en-AU"/>
        </w:rPr>
        <w:t xml:space="preserve"> in 2007.  </w:t>
      </w:r>
      <w:r>
        <w:rPr>
          <w:lang w:val="en-AU"/>
        </w:rPr>
        <w:t>Taking concessions and discounts into account, total c</w:t>
      </w:r>
      <w:r w:rsidR="00D63156" w:rsidRPr="002A4559">
        <w:rPr>
          <w:lang w:val="en-AU"/>
        </w:rPr>
        <w:t xml:space="preserve">ouncil rates </w:t>
      </w:r>
      <w:r>
        <w:rPr>
          <w:lang w:val="en-AU"/>
        </w:rPr>
        <w:t xml:space="preserve">bills </w:t>
      </w:r>
      <w:r w:rsidR="00D63156" w:rsidRPr="002A4559">
        <w:rPr>
          <w:lang w:val="en-AU"/>
        </w:rPr>
        <w:t>averaged $</w:t>
      </w:r>
      <w:r>
        <w:rPr>
          <w:lang w:val="en-AU"/>
        </w:rPr>
        <w:t>1,593</w:t>
      </w:r>
      <w:r w:rsidR="001A1DCD" w:rsidRPr="002A4559">
        <w:rPr>
          <w:lang w:val="en-AU"/>
        </w:rPr>
        <w:t xml:space="preserve"> </w:t>
      </w:r>
      <w:r w:rsidR="00D63156" w:rsidRPr="002A4559">
        <w:rPr>
          <w:lang w:val="en-AU"/>
        </w:rPr>
        <w:t>in 2014, an increase of 68% from 2007 ($948).  This was well above the inflation rate over the corresponding period (20.4%), and is also somewhat above the increase in property prices over the same period (approximately 40%). Interestingly, the rate of increase in the total rates paid was higher among households in country Victoria (89%) than in Melbourne (60%), despite house price rises being greater in the capital city. Total council rate bill amounts had also increased markedly for aged concession households (8</w:t>
      </w:r>
      <w:r w:rsidR="001A1DCD">
        <w:rPr>
          <w:lang w:val="en-AU"/>
        </w:rPr>
        <w:t>2</w:t>
      </w:r>
      <w:r w:rsidR="00D63156" w:rsidRPr="002A4559">
        <w:rPr>
          <w:lang w:val="en-AU"/>
        </w:rPr>
        <w:t>% - from $752 to $1,</w:t>
      </w:r>
      <w:r w:rsidR="001A1DCD" w:rsidRPr="002A4559">
        <w:rPr>
          <w:lang w:val="en-AU"/>
        </w:rPr>
        <w:t>3</w:t>
      </w:r>
      <w:r w:rsidR="001A1DCD">
        <w:rPr>
          <w:lang w:val="en-AU"/>
        </w:rPr>
        <w:t>6</w:t>
      </w:r>
      <w:r w:rsidR="001A1DCD" w:rsidRPr="002A4559">
        <w:rPr>
          <w:lang w:val="en-AU"/>
        </w:rPr>
        <w:t>8</w:t>
      </w:r>
      <w:r w:rsidR="00D63156" w:rsidRPr="002A4559">
        <w:rPr>
          <w:lang w:val="en-AU"/>
        </w:rPr>
        <w:t xml:space="preserve">), compared with </w:t>
      </w:r>
      <w:r w:rsidR="001A1DCD" w:rsidRPr="002A4559">
        <w:rPr>
          <w:lang w:val="en-AU"/>
        </w:rPr>
        <w:t>7</w:t>
      </w:r>
      <w:r w:rsidR="001A1DCD">
        <w:rPr>
          <w:lang w:val="en-AU"/>
        </w:rPr>
        <w:t>0</w:t>
      </w:r>
      <w:r w:rsidR="00D63156" w:rsidRPr="002A4559">
        <w:rPr>
          <w:lang w:val="en-AU"/>
        </w:rPr>
        <w:t>% for other concession households and 67% for non-concession households.</w:t>
      </w:r>
    </w:p>
    <w:p w14:paraId="335D54C9" w14:textId="77777777" w:rsidR="00D63156" w:rsidRPr="002A4559" w:rsidRDefault="00D63156" w:rsidP="00D63156">
      <w:pPr>
        <w:pStyle w:val="Para"/>
        <w:rPr>
          <w:lang w:val="en-AU"/>
        </w:rPr>
      </w:pPr>
    </w:p>
    <w:p w14:paraId="1E8A6230" w14:textId="0E8A8E2B" w:rsidR="00D63156" w:rsidRPr="002A4559" w:rsidRDefault="00D63156" w:rsidP="00D63156">
      <w:pPr>
        <w:pStyle w:val="Para"/>
        <w:rPr>
          <w:lang w:val="en-AU"/>
        </w:rPr>
      </w:pPr>
      <w:r w:rsidRPr="002A4559">
        <w:rPr>
          <w:lang w:val="en-AU"/>
        </w:rPr>
        <w:t>The average annual municipal rates charge allocated to properties in 2014 was $1,</w:t>
      </w:r>
      <w:r w:rsidR="001A1DCD" w:rsidRPr="002A4559">
        <w:rPr>
          <w:lang w:val="en-AU"/>
        </w:rPr>
        <w:t>3</w:t>
      </w:r>
      <w:r w:rsidR="001A1DCD">
        <w:rPr>
          <w:lang w:val="en-AU"/>
        </w:rPr>
        <w:t>25</w:t>
      </w:r>
      <w:r w:rsidRPr="002A4559">
        <w:rPr>
          <w:lang w:val="en-AU"/>
        </w:rPr>
        <w:t>, compared with $863 in 2007, an increase of 54%.  The proportional increase in the average annual municipal rate charge was higher in country Victoria (73%, to an average of $1,295) than in Melbourne (</w:t>
      </w:r>
      <w:r w:rsidR="001A1DCD" w:rsidRPr="002A4559">
        <w:rPr>
          <w:lang w:val="en-AU"/>
        </w:rPr>
        <w:t>4</w:t>
      </w:r>
      <w:r w:rsidR="001A1DCD">
        <w:rPr>
          <w:lang w:val="en-AU"/>
        </w:rPr>
        <w:t>6</w:t>
      </w:r>
      <w:r w:rsidRPr="002A4559">
        <w:rPr>
          <w:lang w:val="en-AU"/>
        </w:rPr>
        <w:t>%, to an average of $1,</w:t>
      </w:r>
      <w:r w:rsidR="001A1DCD" w:rsidRPr="002A4559">
        <w:rPr>
          <w:lang w:val="en-AU"/>
        </w:rPr>
        <w:t>3</w:t>
      </w:r>
      <w:r w:rsidR="001A1DCD">
        <w:rPr>
          <w:lang w:val="en-AU"/>
        </w:rPr>
        <w:t>36</w:t>
      </w:r>
      <w:r w:rsidRPr="002A4559">
        <w:rPr>
          <w:lang w:val="en-AU"/>
        </w:rPr>
        <w:t>).  The proportional increase was higher among aged (</w:t>
      </w:r>
      <w:r w:rsidR="001A1DCD" w:rsidRPr="002A4559">
        <w:rPr>
          <w:lang w:val="en-AU"/>
        </w:rPr>
        <w:t>6</w:t>
      </w:r>
      <w:r w:rsidR="001A1DCD">
        <w:rPr>
          <w:lang w:val="en-AU"/>
        </w:rPr>
        <w:t>3</w:t>
      </w:r>
      <w:r w:rsidRPr="002A4559">
        <w:rPr>
          <w:lang w:val="en-AU"/>
        </w:rPr>
        <w:t>%) and other concession (6</w:t>
      </w:r>
      <w:r w:rsidR="001A1DCD">
        <w:rPr>
          <w:lang w:val="en-AU"/>
        </w:rPr>
        <w:t>0</w:t>
      </w:r>
      <w:r w:rsidRPr="002A4559">
        <w:rPr>
          <w:lang w:val="en-AU"/>
        </w:rPr>
        <w:t xml:space="preserve">%) households than among non-concession households (52%).  </w:t>
      </w:r>
    </w:p>
    <w:p w14:paraId="3DE583A2" w14:textId="77777777" w:rsidR="00D63156" w:rsidRPr="002A4559" w:rsidRDefault="00D63156" w:rsidP="00D63156">
      <w:pPr>
        <w:pStyle w:val="Para"/>
        <w:rPr>
          <w:lang w:val="en-AU"/>
        </w:rPr>
      </w:pPr>
    </w:p>
    <w:p w14:paraId="28F7C089" w14:textId="747CB27A" w:rsidR="00D63156" w:rsidRPr="002A4559" w:rsidRDefault="00D63156" w:rsidP="00D63156">
      <w:pPr>
        <w:pStyle w:val="Para"/>
        <w:rPr>
          <w:lang w:val="en-AU"/>
        </w:rPr>
      </w:pPr>
      <w:r w:rsidRPr="002A4559">
        <w:rPr>
          <w:lang w:val="en-AU"/>
        </w:rPr>
        <w:lastRenderedPageBreak/>
        <w:t xml:space="preserve">The Fire Services Property Levy (introduced in 2012) was reported by councils as being charged to </w:t>
      </w:r>
      <w:r w:rsidR="001A1DCD" w:rsidRPr="002A4559">
        <w:rPr>
          <w:lang w:val="en-AU"/>
        </w:rPr>
        <w:t>9</w:t>
      </w:r>
      <w:r w:rsidR="001A1DCD">
        <w:rPr>
          <w:lang w:val="en-AU"/>
        </w:rPr>
        <w:t>9</w:t>
      </w:r>
      <w:r w:rsidRPr="002A4559">
        <w:rPr>
          <w:lang w:val="en-AU"/>
        </w:rPr>
        <w:t>% of all rate paying households, at an average of $147.</w:t>
      </w:r>
    </w:p>
    <w:p w14:paraId="43A203B6" w14:textId="77777777" w:rsidR="00D63156" w:rsidRPr="002A4559" w:rsidRDefault="00D63156" w:rsidP="00D63156">
      <w:pPr>
        <w:pStyle w:val="Para"/>
        <w:rPr>
          <w:lang w:val="en-AU"/>
        </w:rPr>
      </w:pPr>
    </w:p>
    <w:p w14:paraId="397542F2" w14:textId="751E43B7" w:rsidR="00D63156" w:rsidRPr="002A4559" w:rsidRDefault="00D63156" w:rsidP="00D63156">
      <w:pPr>
        <w:pStyle w:val="Para"/>
        <w:rPr>
          <w:lang w:val="en-AU"/>
        </w:rPr>
      </w:pPr>
      <w:r w:rsidRPr="002A4559">
        <w:rPr>
          <w:lang w:val="en-AU"/>
        </w:rPr>
        <w:t xml:space="preserve">The proportion of rate paying households levied a waste management charge was </w:t>
      </w:r>
      <w:r w:rsidR="001A1DCD" w:rsidRPr="002A4559">
        <w:rPr>
          <w:lang w:val="en-AU"/>
        </w:rPr>
        <w:t>7</w:t>
      </w:r>
      <w:r w:rsidR="001A1DCD">
        <w:rPr>
          <w:lang w:val="en-AU"/>
        </w:rPr>
        <w:t>7</w:t>
      </w:r>
      <w:r w:rsidRPr="002A4559">
        <w:rPr>
          <w:lang w:val="en-AU"/>
        </w:rPr>
        <w:t xml:space="preserve">% in 2014, down from 80% in 2007.  Virtually all households in country Victoria (94%) had this charge imposed, but only </w:t>
      </w:r>
      <w:r w:rsidR="001A1DCD">
        <w:rPr>
          <w:lang w:val="en-AU"/>
        </w:rPr>
        <w:t>71</w:t>
      </w:r>
      <w:r w:rsidRPr="002A4559">
        <w:rPr>
          <w:lang w:val="en-AU"/>
        </w:rPr>
        <w:t>% of Melbourne households did so.  The average amount levied for waste management was $241, up 66% from $145 in 2007. The average increase in this levy was higher in Melbourne (</w:t>
      </w:r>
      <w:r w:rsidR="001A1DCD" w:rsidRPr="002A4559">
        <w:rPr>
          <w:lang w:val="en-AU"/>
        </w:rPr>
        <w:t>7</w:t>
      </w:r>
      <w:r w:rsidR="001A1DCD">
        <w:rPr>
          <w:lang w:val="en-AU"/>
        </w:rPr>
        <w:t>6</w:t>
      </w:r>
      <w:r w:rsidRPr="002A4559">
        <w:rPr>
          <w:lang w:val="en-AU"/>
        </w:rPr>
        <w:t>%) than in country Victoria (61%).</w:t>
      </w:r>
    </w:p>
    <w:p w14:paraId="629611FB" w14:textId="77777777" w:rsidR="00D63156" w:rsidRPr="002A4559" w:rsidRDefault="00D63156" w:rsidP="00D63156">
      <w:pPr>
        <w:pStyle w:val="Para"/>
        <w:rPr>
          <w:lang w:val="en-AU"/>
        </w:rPr>
      </w:pPr>
    </w:p>
    <w:p w14:paraId="323CC2BF" w14:textId="31E6BD42" w:rsidR="00D63156" w:rsidRPr="002A4559" w:rsidRDefault="00D63156" w:rsidP="00D63156">
      <w:pPr>
        <w:pStyle w:val="Para"/>
        <w:rPr>
          <w:lang w:val="en-AU"/>
        </w:rPr>
      </w:pPr>
      <w:r w:rsidRPr="002A4559">
        <w:rPr>
          <w:lang w:val="en-AU"/>
        </w:rPr>
        <w:t>The average DHHS concession amount received by eligible households in 2014 was $203, an increase of 21% from the $168 recorded in the 2007 survey.   Thirty-</w:t>
      </w:r>
      <w:r w:rsidR="001A1DCD">
        <w:rPr>
          <w:lang w:val="en-AU"/>
        </w:rPr>
        <w:t>eight</w:t>
      </w:r>
      <w:r w:rsidR="001A1DCD" w:rsidRPr="002A4559">
        <w:rPr>
          <w:lang w:val="en-AU"/>
        </w:rPr>
        <w:t xml:space="preserve"> </w:t>
      </w:r>
      <w:r w:rsidR="00B942AA">
        <w:rPr>
          <w:lang w:val="en-AU"/>
        </w:rPr>
        <w:t>per cent</w:t>
      </w:r>
      <w:r w:rsidRPr="002A4559">
        <w:rPr>
          <w:lang w:val="en-AU"/>
        </w:rPr>
        <w:t xml:space="preserve"> of all rates paying households received the DHHS concession, with the proportion higher in country Victoria (42%) than in Melbourne (</w:t>
      </w:r>
      <w:r w:rsidR="001A1DCD" w:rsidRPr="002A4559">
        <w:rPr>
          <w:lang w:val="en-AU"/>
        </w:rPr>
        <w:t>3</w:t>
      </w:r>
      <w:r w:rsidR="001A1DCD">
        <w:rPr>
          <w:lang w:val="en-AU"/>
        </w:rPr>
        <w:t>6</w:t>
      </w:r>
      <w:r w:rsidRPr="002A4559">
        <w:rPr>
          <w:lang w:val="en-AU"/>
        </w:rPr>
        <w:t xml:space="preserve">%).  </w:t>
      </w:r>
    </w:p>
    <w:p w14:paraId="6007D6D4" w14:textId="77777777" w:rsidR="00D63156" w:rsidRPr="002A4559" w:rsidRDefault="00D63156" w:rsidP="00D63156">
      <w:pPr>
        <w:pStyle w:val="Para"/>
        <w:rPr>
          <w:lang w:val="en-AU"/>
        </w:rPr>
      </w:pPr>
    </w:p>
    <w:p w14:paraId="27C95AC2" w14:textId="77777777" w:rsidR="00D63156" w:rsidRPr="008C257B" w:rsidRDefault="00D63156" w:rsidP="008C257B">
      <w:pPr>
        <w:pStyle w:val="Para"/>
        <w:rPr>
          <w:lang w:val="en-AU"/>
        </w:rPr>
      </w:pPr>
      <w:r w:rsidRPr="002A4559">
        <w:rPr>
          <w:lang w:val="en-AU"/>
        </w:rPr>
        <w:t xml:space="preserve">Just over one in ten households paying Council rates also received other discounts off their 2014 rates bill (13%, compared with 9% in 2007). The average discount applicable in 2014 was $67, compared with $61 in 2007.  </w:t>
      </w:r>
      <w:r w:rsidRPr="008C257B">
        <w:rPr>
          <w:lang w:val="en-AU"/>
        </w:rPr>
        <w:t>Only a minority of councils provided explanatory notes on the nature of other discounts.  To the extent this information was provided, the discounts were usually said to be council-funded rates rebates offered to pensioners.</w:t>
      </w:r>
    </w:p>
    <w:p w14:paraId="601E99FA" w14:textId="7BF763AA" w:rsidR="00162EF6" w:rsidRDefault="00162EF6">
      <w:pPr>
        <w:spacing w:before="0" w:after="0"/>
        <w:rPr>
          <w:b/>
          <w:lang w:val="en-AU"/>
        </w:rPr>
      </w:pPr>
      <w:bookmarkStart w:id="30" w:name="_Toc184087757"/>
      <w:bookmarkStart w:id="31" w:name="_Toc439198250"/>
    </w:p>
    <w:p w14:paraId="3B2D8EE3" w14:textId="73A681A2" w:rsidR="00D63156" w:rsidRPr="002A4559" w:rsidRDefault="00D63156" w:rsidP="008F56BA">
      <w:pPr>
        <w:pStyle w:val="Heading4"/>
        <w:rPr>
          <w:lang w:val="en-AU"/>
        </w:rPr>
      </w:pPr>
      <w:bookmarkStart w:id="32" w:name="_Toc445571635"/>
      <w:r w:rsidRPr="002A4559">
        <w:rPr>
          <w:lang w:val="en-AU"/>
        </w:rPr>
        <w:t>Knowledge and Take-up of Concessions</w:t>
      </w:r>
      <w:bookmarkEnd w:id="30"/>
      <w:bookmarkEnd w:id="31"/>
      <w:bookmarkEnd w:id="32"/>
    </w:p>
    <w:p w14:paraId="5DCF5E46" w14:textId="77777777" w:rsidR="00D63156" w:rsidRPr="002A4559" w:rsidRDefault="00D63156" w:rsidP="00D63156">
      <w:pPr>
        <w:pStyle w:val="Para"/>
        <w:rPr>
          <w:lang w:val="en-AU"/>
        </w:rPr>
      </w:pPr>
      <w:r w:rsidRPr="002A4559">
        <w:rPr>
          <w:lang w:val="en-AU"/>
        </w:rPr>
        <w:t xml:space="preserve">Overall, the reported incidence of claiming concessions for utility bills has trended slightly upwards since 1996.  In 2014, one-third (36%) of households claimed concessions on gas bills (compared with 34% in 2007; 32% in 2001; 33% in 1996), 42% claimed concessions on electricity bills (compared with 38% in 2007; 35% in 2001; 38% in 1996) and 37% claimed concessions on water bills (compared with 34% in 2007; 31% in 2001; 30% in 1996).  </w:t>
      </w:r>
    </w:p>
    <w:p w14:paraId="77608C07" w14:textId="77777777" w:rsidR="00D63156" w:rsidRPr="002A4559" w:rsidRDefault="00D63156" w:rsidP="00D63156">
      <w:pPr>
        <w:pStyle w:val="Para"/>
        <w:rPr>
          <w:lang w:val="en-AU"/>
        </w:rPr>
      </w:pPr>
    </w:p>
    <w:p w14:paraId="4DE8D843" w14:textId="5CB77707" w:rsidR="00D63156" w:rsidRPr="002A4559" w:rsidRDefault="00D63156" w:rsidP="00D63156">
      <w:pPr>
        <w:pStyle w:val="Para"/>
        <w:rPr>
          <w:lang w:val="en-AU"/>
        </w:rPr>
      </w:pPr>
      <w:r w:rsidRPr="002A4559">
        <w:rPr>
          <w:lang w:val="en-AU"/>
        </w:rPr>
        <w:t xml:space="preserve">As would be expected, concession households were far more likely than non-concession households to claim concessions on their bills. Public renters were far more likely than private renters or home owners/buyers to claim a concession on their gas, electricity or water bill.  As would be expected, home owners/buyers (33%) were far more likely than private renters (1%) or public renters (2%) to claim a concession on their council rates. Please </w:t>
      </w:r>
      <w:r w:rsidRPr="002A4559">
        <w:rPr>
          <w:lang w:val="en-AU"/>
        </w:rPr>
        <w:lastRenderedPageBreak/>
        <w:t xml:space="preserve">note that whilst other members of the household may hold concessions cards, these persons were not defined as being the person responsible for payment of the household bills.  Therefore in some instances a </w:t>
      </w:r>
      <w:r w:rsidR="001F4692">
        <w:rPr>
          <w:lang w:val="en-AU"/>
        </w:rPr>
        <w:t>n</w:t>
      </w:r>
      <w:r w:rsidRPr="002A4559">
        <w:rPr>
          <w:lang w:val="en-AU"/>
        </w:rPr>
        <w:t xml:space="preserve">on-concession household may in fact receive concessions on some bills because another member in their household may hold a concession card. </w:t>
      </w:r>
    </w:p>
    <w:p w14:paraId="78BD5595" w14:textId="77777777" w:rsidR="00D63156" w:rsidRPr="002A4559" w:rsidRDefault="00D63156" w:rsidP="00D63156">
      <w:pPr>
        <w:pStyle w:val="Para"/>
        <w:outlineLvl w:val="0"/>
        <w:rPr>
          <w:lang w:val="en-AU"/>
        </w:rPr>
      </w:pPr>
    </w:p>
    <w:p w14:paraId="12892DC4" w14:textId="77777777" w:rsidR="00D63156" w:rsidRPr="002A4559" w:rsidRDefault="00D63156" w:rsidP="00D63156">
      <w:pPr>
        <w:pStyle w:val="Para"/>
        <w:rPr>
          <w:lang w:val="en-AU"/>
        </w:rPr>
      </w:pPr>
      <w:r w:rsidRPr="002A4559">
        <w:rPr>
          <w:lang w:val="en-AU"/>
        </w:rPr>
        <w:t xml:space="preserve">Keeping in mind the time differences involved, discrepancies between those claiming to have received a concession and those that actually did receive a concession were substantially less prevalent than in the 2007 survey.  In 2014, 97% of those reporting receiving a concession on their water bill actually received this concession (compared with 82% in 2007).  For council rates the proportion ‘correctly’ reporting receiving a concession was 92% (76% in 2007), for electricity 90% (78% in 2007) and gas 88% (58% in 2007).   </w:t>
      </w:r>
    </w:p>
    <w:p w14:paraId="2BE92351" w14:textId="055E3491" w:rsidR="00162EF6" w:rsidRDefault="00162EF6">
      <w:pPr>
        <w:spacing w:before="0" w:after="0"/>
        <w:rPr>
          <w:b/>
          <w:lang w:val="en-AU"/>
        </w:rPr>
      </w:pPr>
      <w:bookmarkStart w:id="33" w:name="_Toc184087758"/>
      <w:bookmarkStart w:id="34" w:name="_Toc439198251"/>
    </w:p>
    <w:p w14:paraId="6505DD8F" w14:textId="05565524" w:rsidR="00D63156" w:rsidRPr="002A4559" w:rsidRDefault="00D63156" w:rsidP="008F56BA">
      <w:pPr>
        <w:pStyle w:val="Heading4"/>
        <w:rPr>
          <w:lang w:val="en-AU"/>
        </w:rPr>
      </w:pPr>
      <w:bookmarkStart w:id="35" w:name="_Toc445571636"/>
      <w:r w:rsidRPr="002A4559">
        <w:rPr>
          <w:lang w:val="en-AU"/>
        </w:rPr>
        <w:t>Difficulties in Meeting Bill Payments</w:t>
      </w:r>
      <w:bookmarkEnd w:id="33"/>
      <w:bookmarkEnd w:id="34"/>
      <w:bookmarkEnd w:id="35"/>
    </w:p>
    <w:p w14:paraId="2D11B43B" w14:textId="77777777" w:rsidR="00D63156" w:rsidRPr="002A4559" w:rsidRDefault="00D63156" w:rsidP="00D63156">
      <w:pPr>
        <w:spacing w:line="340" w:lineRule="exact"/>
        <w:jc w:val="both"/>
        <w:rPr>
          <w:lang w:val="en-AU"/>
        </w:rPr>
      </w:pPr>
      <w:r w:rsidRPr="002A4559">
        <w:rPr>
          <w:lang w:val="en-AU"/>
        </w:rPr>
        <w:t>The questions about difficulties in paying bills reverted to the 2001 approach, dropping 2007’s reference to “the last 5 years”. The proportion of households experiencing difficulty paying electricity, gas and/or water bills decreased in 2014 relative to 2007, and reflected a consistent downward trend since the initial survey.  The proportion of households having trouble paying council rates bills rose marginally in 2014 (to 7% from 6% in 2007), but remained lower than the 9% recorded when the question was first asked in 2001.  This is an interesting result, given that utility and council rate bills have been increasing over and above the inflation rate over time.  The trend towards paying bills by electronic funds transfer, credit/debit card and direct debit may possibly be allowing households to more readily clear these sorts of bills.</w:t>
      </w:r>
    </w:p>
    <w:p w14:paraId="1B3C09E3" w14:textId="77777777" w:rsidR="00D63156" w:rsidRDefault="00D63156" w:rsidP="00D63156">
      <w:pPr>
        <w:pStyle w:val="Para"/>
        <w:rPr>
          <w:highlight w:val="yellow"/>
          <w:lang w:val="en-AU"/>
        </w:rPr>
      </w:pPr>
    </w:p>
    <w:p w14:paraId="6B415A01" w14:textId="77777777" w:rsidR="00570515" w:rsidRDefault="00570515" w:rsidP="00D63156">
      <w:pPr>
        <w:pStyle w:val="Para"/>
        <w:rPr>
          <w:highlight w:val="yellow"/>
          <w:lang w:val="en-AU"/>
        </w:rPr>
      </w:pPr>
    </w:p>
    <w:p w14:paraId="21823365" w14:textId="77777777" w:rsidR="00801327" w:rsidRDefault="00801327" w:rsidP="00D63156">
      <w:pPr>
        <w:pStyle w:val="Para"/>
        <w:rPr>
          <w:highlight w:val="yellow"/>
          <w:lang w:val="en-AU"/>
        </w:rPr>
      </w:pPr>
    </w:p>
    <w:p w14:paraId="4526D558" w14:textId="77777777" w:rsidR="00570515" w:rsidRDefault="00570515" w:rsidP="00D63156">
      <w:pPr>
        <w:pStyle w:val="Para"/>
        <w:rPr>
          <w:highlight w:val="yellow"/>
          <w:lang w:val="en-AU"/>
        </w:rPr>
      </w:pPr>
    </w:p>
    <w:p w14:paraId="7DD369E8" w14:textId="77777777" w:rsidR="00570515" w:rsidRPr="00BD3838" w:rsidRDefault="00570515" w:rsidP="00D63156">
      <w:pPr>
        <w:pStyle w:val="Para"/>
        <w:rPr>
          <w:highlight w:val="yellow"/>
          <w:lang w:val="en-AU"/>
        </w:rPr>
      </w:pPr>
    </w:p>
    <w:p w14:paraId="59ED2AA2" w14:textId="77777777" w:rsidR="00F253D1" w:rsidRPr="00BD3838" w:rsidRDefault="00F253D1" w:rsidP="000E608D">
      <w:pPr>
        <w:pStyle w:val="Para"/>
        <w:rPr>
          <w:highlight w:val="yellow"/>
          <w:lang w:val="en-AU"/>
        </w:rPr>
      </w:pPr>
    </w:p>
    <w:p w14:paraId="7A897485" w14:textId="77777777" w:rsidR="00EA0ACB" w:rsidRPr="00BD3838" w:rsidRDefault="00EA0ACB">
      <w:pPr>
        <w:pStyle w:val="Heading1"/>
        <w:rPr>
          <w:highlight w:val="yellow"/>
          <w:lang w:val="en-AU"/>
        </w:rPr>
        <w:sectPr w:rsidR="00EA0ACB" w:rsidRPr="00BD3838" w:rsidSect="003B68D0">
          <w:headerReference w:type="default" r:id="rId22"/>
          <w:footerReference w:type="first" r:id="rId23"/>
          <w:footnotePr>
            <w:numRestart w:val="eachPage"/>
          </w:footnotePr>
          <w:pgSz w:w="16840" w:h="11907" w:orient="landscape" w:code="9"/>
          <w:pgMar w:top="1701" w:right="1418" w:bottom="1418" w:left="851" w:header="851" w:footer="170" w:gutter="0"/>
          <w:pgNumType w:fmt="lowerRoman" w:start="1"/>
          <w:cols w:space="720"/>
          <w:formProt w:val="0"/>
        </w:sectPr>
      </w:pPr>
    </w:p>
    <w:p w14:paraId="06481332" w14:textId="3C7EE5C4" w:rsidR="00AE6445" w:rsidRPr="00A72DEE" w:rsidRDefault="00AE6445" w:rsidP="00A72DEE">
      <w:pPr>
        <w:pStyle w:val="Heading1"/>
        <w:rPr>
          <w:color w:val="FFFFFF" w:themeColor="background1"/>
          <w:lang w:val="en-AU"/>
        </w:rPr>
      </w:pPr>
      <w:bookmarkStart w:id="36" w:name="_Toc439198252"/>
      <w:bookmarkStart w:id="37" w:name="_Toc445571637"/>
      <w:bookmarkEnd w:id="9"/>
      <w:bookmarkEnd w:id="10"/>
      <w:bookmarkEnd w:id="11"/>
      <w:bookmarkEnd w:id="12"/>
      <w:bookmarkEnd w:id="13"/>
      <w:bookmarkEnd w:id="14"/>
      <w:r w:rsidRPr="00A72DEE">
        <w:rPr>
          <w:color w:val="FFFFFF" w:themeColor="background1"/>
          <w:lang w:val="en-AU"/>
        </w:rPr>
        <w:lastRenderedPageBreak/>
        <w:t>INTRODUCTION</w:t>
      </w:r>
      <w:bookmarkEnd w:id="36"/>
      <w:bookmarkEnd w:id="37"/>
    </w:p>
    <w:p w14:paraId="5F705AB4" w14:textId="77777777" w:rsidR="00A72DEE" w:rsidRDefault="00A72DEE" w:rsidP="00A72DEE">
      <w:pPr>
        <w:pStyle w:val="Heading1"/>
        <w:rPr>
          <w:lang w:val="en-AU"/>
        </w:rPr>
      </w:pPr>
      <w:r w:rsidRPr="00162EF6">
        <w:rPr>
          <w:lang w:val="en-AU"/>
        </w:rPr>
        <w:t>INTRODUCTION</w:t>
      </w:r>
    </w:p>
    <w:p w14:paraId="6D4F8096" w14:textId="77777777" w:rsidR="00801327" w:rsidRPr="00801327" w:rsidRDefault="00801327" w:rsidP="00801327">
      <w:pPr>
        <w:pStyle w:val="Para"/>
        <w:rPr>
          <w:lang w:val="en-AU"/>
        </w:rPr>
      </w:pPr>
    </w:p>
    <w:p w14:paraId="161528D4" w14:textId="77777777" w:rsidR="00AE6445" w:rsidRPr="00162EF6" w:rsidRDefault="00AE6445" w:rsidP="00AE6445">
      <w:pPr>
        <w:pStyle w:val="Heading2"/>
        <w:rPr>
          <w:szCs w:val="24"/>
          <w:lang w:val="en-AU"/>
        </w:rPr>
      </w:pPr>
      <w:bookmarkStart w:id="38" w:name="_Toc439198253"/>
      <w:bookmarkStart w:id="39" w:name="_Toc445571638"/>
      <w:r w:rsidRPr="00162EF6">
        <w:rPr>
          <w:szCs w:val="24"/>
          <w:lang w:val="en-AU"/>
        </w:rPr>
        <w:t>BACKGROUND</w:t>
      </w:r>
      <w:bookmarkStart w:id="40" w:name="_Toc388241958"/>
      <w:bookmarkStart w:id="41" w:name="_Toc388243699"/>
      <w:bookmarkStart w:id="42" w:name="_Toc388244036"/>
      <w:bookmarkStart w:id="43" w:name="_Toc388244328"/>
      <w:bookmarkStart w:id="44" w:name="_Toc388246844"/>
      <w:bookmarkStart w:id="45" w:name="_Toc388259232"/>
      <w:bookmarkEnd w:id="38"/>
      <w:bookmarkEnd w:id="39"/>
    </w:p>
    <w:p w14:paraId="44CC0151" w14:textId="04761D45" w:rsidR="00AE6445" w:rsidRPr="00162EF6" w:rsidRDefault="00AE6445" w:rsidP="00AE6445">
      <w:pPr>
        <w:pStyle w:val="Para"/>
        <w:rPr>
          <w:szCs w:val="24"/>
          <w:lang w:val="en-AU"/>
        </w:rPr>
      </w:pPr>
      <w:r w:rsidRPr="00162EF6">
        <w:rPr>
          <w:szCs w:val="24"/>
          <w:lang w:val="en-AU"/>
        </w:rPr>
        <w:t xml:space="preserve">The Department of </w:t>
      </w:r>
      <w:r w:rsidR="00C52EF6" w:rsidRPr="00162EF6">
        <w:rPr>
          <w:szCs w:val="24"/>
          <w:lang w:val="en-AU"/>
        </w:rPr>
        <w:t xml:space="preserve">Health and </w:t>
      </w:r>
      <w:r w:rsidRPr="00162EF6">
        <w:rPr>
          <w:szCs w:val="24"/>
          <w:lang w:val="en-AU"/>
        </w:rPr>
        <w:t xml:space="preserve">Human Services commissioned Roy Morgan Research to conduct this survey </w:t>
      </w:r>
      <w:r w:rsidR="00656199" w:rsidRPr="00162EF6">
        <w:rPr>
          <w:szCs w:val="24"/>
          <w:lang w:val="en-AU"/>
        </w:rPr>
        <w:t xml:space="preserve">during </w:t>
      </w:r>
      <w:r w:rsidRPr="00162EF6">
        <w:rPr>
          <w:szCs w:val="24"/>
          <w:lang w:val="en-AU"/>
        </w:rPr>
        <w:t xml:space="preserve">2015 to identify patterns of household utility consumption amongst Victorian households in 2014, and to make comparisons with baseline data developed in 2007, 2001 and 1996.  Furthermore, the Department sought to examine the impact of utility pricing changes and concession availability on consumption patterns and use the information collected as inputs into a micro-modelling exercise for policy development.  </w:t>
      </w:r>
    </w:p>
    <w:p w14:paraId="615B5205" w14:textId="77777777" w:rsidR="00AE6445" w:rsidRPr="00162EF6" w:rsidRDefault="00AE6445" w:rsidP="00AE6445">
      <w:pPr>
        <w:pStyle w:val="Para"/>
        <w:rPr>
          <w:szCs w:val="24"/>
          <w:lang w:val="en-AU"/>
        </w:rPr>
      </w:pPr>
    </w:p>
    <w:p w14:paraId="0766829B" w14:textId="77777777" w:rsidR="00AE6445" w:rsidRPr="00162EF6" w:rsidRDefault="00AE6445" w:rsidP="00AE6445">
      <w:pPr>
        <w:pStyle w:val="Heading2"/>
        <w:rPr>
          <w:szCs w:val="24"/>
          <w:lang w:val="en-AU"/>
        </w:rPr>
      </w:pPr>
      <w:bookmarkStart w:id="46" w:name="_Toc439198254"/>
      <w:bookmarkStart w:id="47" w:name="_Toc445571639"/>
      <w:r w:rsidRPr="00162EF6">
        <w:rPr>
          <w:szCs w:val="24"/>
          <w:lang w:val="en-AU"/>
        </w:rPr>
        <w:t>RESEARCH OBJECTIVES</w:t>
      </w:r>
      <w:bookmarkEnd w:id="46"/>
      <w:bookmarkEnd w:id="47"/>
    </w:p>
    <w:p w14:paraId="02AD204C" w14:textId="77777777" w:rsidR="00AE6445" w:rsidRPr="00162EF6" w:rsidRDefault="00AE6445" w:rsidP="00AE6445">
      <w:pPr>
        <w:pStyle w:val="Para"/>
        <w:rPr>
          <w:szCs w:val="24"/>
          <w:lang w:val="en-AU"/>
        </w:rPr>
      </w:pPr>
      <w:r w:rsidRPr="00162EF6">
        <w:rPr>
          <w:szCs w:val="24"/>
          <w:lang w:val="en-AU"/>
        </w:rPr>
        <w:t xml:space="preserve">The objective of this study </w:t>
      </w:r>
      <w:r w:rsidRPr="00162EF6">
        <w:rPr>
          <w:szCs w:val="24"/>
        </w:rPr>
        <w:t xml:space="preserve">is to collect and report on current, detailed data about concession and non-concession households, in order to provide an update to the 2007 </w:t>
      </w:r>
      <w:r w:rsidR="00AB06D8" w:rsidRPr="00162EF6">
        <w:rPr>
          <w:szCs w:val="24"/>
        </w:rPr>
        <w:t xml:space="preserve">Victorian Utility Consumption Household </w:t>
      </w:r>
      <w:r w:rsidRPr="00162EF6">
        <w:rPr>
          <w:szCs w:val="24"/>
        </w:rPr>
        <w:t>Survey.</w:t>
      </w:r>
    </w:p>
    <w:p w14:paraId="46BCA8A0" w14:textId="77777777" w:rsidR="00AE6445" w:rsidRPr="00162EF6" w:rsidRDefault="00AE6445" w:rsidP="00AE6445">
      <w:pPr>
        <w:pStyle w:val="Para"/>
        <w:rPr>
          <w:szCs w:val="24"/>
          <w:lang w:val="en-AU"/>
        </w:rPr>
      </w:pPr>
    </w:p>
    <w:p w14:paraId="4E9DD1A0" w14:textId="77777777" w:rsidR="00AE6445" w:rsidRPr="00162EF6" w:rsidRDefault="00AE6445" w:rsidP="00AE6445">
      <w:pPr>
        <w:pStyle w:val="Para"/>
        <w:rPr>
          <w:szCs w:val="24"/>
          <w:lang w:val="en-AU"/>
        </w:rPr>
      </w:pPr>
      <w:r w:rsidRPr="00162EF6">
        <w:rPr>
          <w:szCs w:val="24"/>
          <w:lang w:val="en-AU"/>
        </w:rPr>
        <w:t>The information obtained from the survey would then be used:</w:t>
      </w:r>
    </w:p>
    <w:p w14:paraId="177FCD41" w14:textId="77777777" w:rsidR="00AE6445" w:rsidRPr="00162EF6" w:rsidRDefault="00AE6445" w:rsidP="00AE6445">
      <w:pPr>
        <w:pStyle w:val="Para"/>
        <w:numPr>
          <w:ilvl w:val="0"/>
          <w:numId w:val="2"/>
        </w:numPr>
        <w:tabs>
          <w:tab w:val="clear" w:pos="927"/>
          <w:tab w:val="num" w:pos="851"/>
        </w:tabs>
        <w:spacing w:before="60"/>
        <w:rPr>
          <w:szCs w:val="24"/>
          <w:lang w:val="en-AU"/>
        </w:rPr>
      </w:pPr>
      <w:r w:rsidRPr="00162EF6">
        <w:rPr>
          <w:szCs w:val="24"/>
          <w:lang w:val="en-AU"/>
        </w:rPr>
        <w:t>To examine the distributional impact of current utility tariff rates and structures;</w:t>
      </w:r>
    </w:p>
    <w:p w14:paraId="1CF20032" w14:textId="77777777" w:rsidR="00AE6445" w:rsidRPr="00162EF6" w:rsidRDefault="00AE6445" w:rsidP="00AE6445">
      <w:pPr>
        <w:pStyle w:val="Para"/>
        <w:numPr>
          <w:ilvl w:val="0"/>
          <w:numId w:val="2"/>
        </w:numPr>
        <w:tabs>
          <w:tab w:val="clear" w:pos="927"/>
          <w:tab w:val="num" w:pos="851"/>
        </w:tabs>
        <w:spacing w:before="60"/>
        <w:rPr>
          <w:szCs w:val="24"/>
          <w:lang w:val="en-AU"/>
        </w:rPr>
      </w:pPr>
      <w:r w:rsidRPr="00162EF6">
        <w:rPr>
          <w:szCs w:val="24"/>
          <w:lang w:val="en-AU"/>
        </w:rPr>
        <w:t>To inform the evaluation of the adequacy, equity and effectiveness of concessions in meeting their objectives; and</w:t>
      </w:r>
    </w:p>
    <w:p w14:paraId="0AFE3FE1" w14:textId="77777777" w:rsidR="00AE6445" w:rsidRPr="00162EF6" w:rsidRDefault="00AE6445" w:rsidP="00AE6445">
      <w:pPr>
        <w:pStyle w:val="Para"/>
        <w:numPr>
          <w:ilvl w:val="0"/>
          <w:numId w:val="2"/>
        </w:numPr>
        <w:tabs>
          <w:tab w:val="clear" w:pos="927"/>
          <w:tab w:val="num" w:pos="851"/>
        </w:tabs>
        <w:spacing w:before="60"/>
        <w:rPr>
          <w:szCs w:val="24"/>
          <w:lang w:val="en-AU"/>
        </w:rPr>
      </w:pPr>
      <w:r w:rsidRPr="00162EF6">
        <w:rPr>
          <w:szCs w:val="24"/>
          <w:lang w:val="en-AU"/>
        </w:rPr>
        <w:t>To identify other opportunities for improving the affordability of utility charges for low income households.</w:t>
      </w:r>
    </w:p>
    <w:p w14:paraId="56E559AD" w14:textId="77777777" w:rsidR="00AE6445" w:rsidRPr="00162EF6" w:rsidRDefault="00AE6445" w:rsidP="00AE6445">
      <w:pPr>
        <w:pStyle w:val="Para"/>
        <w:rPr>
          <w:szCs w:val="24"/>
          <w:lang w:val="en-AU"/>
        </w:rPr>
      </w:pPr>
    </w:p>
    <w:p w14:paraId="5B3B2D4D" w14:textId="77777777" w:rsidR="00162EF6" w:rsidRDefault="00162EF6">
      <w:pPr>
        <w:spacing w:before="0" w:after="0"/>
        <w:rPr>
          <w:b/>
          <w:szCs w:val="24"/>
          <w:lang w:val="en-AU"/>
        </w:rPr>
      </w:pPr>
      <w:bookmarkStart w:id="48" w:name="_Toc439198255"/>
      <w:r>
        <w:rPr>
          <w:szCs w:val="24"/>
          <w:lang w:val="en-AU"/>
        </w:rPr>
        <w:br w:type="page"/>
      </w:r>
    </w:p>
    <w:p w14:paraId="37AE31DE" w14:textId="29FC9DB7" w:rsidR="00AE6445" w:rsidRPr="00162EF6" w:rsidRDefault="00AE6445" w:rsidP="00AE6445">
      <w:pPr>
        <w:pStyle w:val="Heading2"/>
        <w:rPr>
          <w:szCs w:val="24"/>
          <w:lang w:val="en-AU"/>
        </w:rPr>
      </w:pPr>
      <w:bookmarkStart w:id="49" w:name="_Toc445571640"/>
      <w:r w:rsidRPr="00162EF6">
        <w:rPr>
          <w:szCs w:val="24"/>
          <w:lang w:val="en-AU"/>
        </w:rPr>
        <w:lastRenderedPageBreak/>
        <w:t>SCOPE OF THE RESEARCH</w:t>
      </w:r>
      <w:bookmarkEnd w:id="48"/>
      <w:bookmarkEnd w:id="49"/>
    </w:p>
    <w:p w14:paraId="30BBDA55" w14:textId="424D8096" w:rsidR="00AE6445" w:rsidRPr="00162EF6" w:rsidRDefault="00AE6445" w:rsidP="00AE6445">
      <w:pPr>
        <w:pStyle w:val="Para"/>
        <w:rPr>
          <w:szCs w:val="24"/>
        </w:rPr>
      </w:pPr>
      <w:r w:rsidRPr="00162EF6">
        <w:rPr>
          <w:color w:val="000000"/>
          <w:szCs w:val="24"/>
        </w:rPr>
        <w:t xml:space="preserve">For the </w:t>
      </w:r>
      <w:r w:rsidR="00656199" w:rsidRPr="00162EF6">
        <w:rPr>
          <w:color w:val="000000"/>
          <w:szCs w:val="24"/>
        </w:rPr>
        <w:t>Victorian Utility Consumption Household Survey 2015</w:t>
      </w:r>
      <w:r w:rsidRPr="00162EF6">
        <w:rPr>
          <w:color w:val="000000"/>
          <w:szCs w:val="24"/>
        </w:rPr>
        <w:t xml:space="preserve"> Roy Morgan Research selected Victorian households from its Single Source database, which has been built up </w:t>
      </w:r>
      <w:r w:rsidRPr="00162EF6">
        <w:rPr>
          <w:szCs w:val="24"/>
        </w:rPr>
        <w:t xml:space="preserve">from annual survey samples of over 50,000 interviews with Australians aged 14 years and over, the vast majority of which were originally conducted face to face. Among the major benefits of re-contacting Single Source respondents is that the Single Source database identifies whether a respondent receives government benefits, including age pensions, non-aged pensions and Veterans’ Affairs Gold Card users. The initial sample for the </w:t>
      </w:r>
      <w:r w:rsidR="00AB06D8" w:rsidRPr="00162EF6">
        <w:rPr>
          <w:szCs w:val="24"/>
          <w:lang w:val="en-AU"/>
        </w:rPr>
        <w:t xml:space="preserve">Victorian Utility Consumption Household </w:t>
      </w:r>
      <w:r w:rsidR="00F95FF4" w:rsidRPr="00162EF6">
        <w:rPr>
          <w:szCs w:val="24"/>
          <w:lang w:val="en-AU"/>
        </w:rPr>
        <w:t>Survey 2015</w:t>
      </w:r>
      <w:r w:rsidR="00512223" w:rsidRPr="00162EF6">
        <w:rPr>
          <w:szCs w:val="24"/>
          <w:lang w:val="en-AU"/>
        </w:rPr>
        <w:t xml:space="preserve"> </w:t>
      </w:r>
      <w:r w:rsidRPr="00162EF6">
        <w:rPr>
          <w:szCs w:val="24"/>
        </w:rPr>
        <w:t>was stratified and selected on the presence or absence of government benefits received in Victoria.  The initial sample was then mailed out an information pack for the survey, following which the household was contacted to complete a short telephone survey.  At the end of the telephone survey, respondents were asked to complete and return a set of consent forms which allowed Roy Morgan Research to contact energy suppliers, water suppliers and councils in order to obtain billing and consumption information for each household providing consent.</w:t>
      </w:r>
    </w:p>
    <w:p w14:paraId="31B3A9B3" w14:textId="77777777" w:rsidR="00AE6445" w:rsidRPr="00162EF6" w:rsidRDefault="00AE6445" w:rsidP="00AE6445">
      <w:pPr>
        <w:pStyle w:val="Para"/>
        <w:rPr>
          <w:szCs w:val="24"/>
          <w:lang w:val="en-AU"/>
        </w:rPr>
      </w:pPr>
    </w:p>
    <w:p w14:paraId="5482020E" w14:textId="77777777" w:rsidR="00AE6445" w:rsidRPr="00162EF6" w:rsidRDefault="00AE6445" w:rsidP="00AE6445">
      <w:pPr>
        <w:pStyle w:val="Para"/>
        <w:rPr>
          <w:szCs w:val="24"/>
          <w:lang w:val="en-AU"/>
        </w:rPr>
      </w:pPr>
      <w:r w:rsidRPr="00162EF6">
        <w:rPr>
          <w:szCs w:val="24"/>
          <w:lang w:val="en-AU"/>
        </w:rPr>
        <w:t xml:space="preserve">The sampling and data collection approach for the </w:t>
      </w:r>
      <w:r w:rsidR="00AB06D8" w:rsidRPr="00162EF6">
        <w:rPr>
          <w:szCs w:val="24"/>
          <w:lang w:val="en-AU"/>
        </w:rPr>
        <w:t xml:space="preserve">Victorian Utility Consumption Household </w:t>
      </w:r>
      <w:r w:rsidR="00F95FF4" w:rsidRPr="00162EF6">
        <w:rPr>
          <w:szCs w:val="24"/>
          <w:lang w:val="en-AU"/>
        </w:rPr>
        <w:t>Survey 2015</w:t>
      </w:r>
      <w:r w:rsidR="00512223" w:rsidRPr="00162EF6">
        <w:rPr>
          <w:szCs w:val="24"/>
          <w:lang w:val="en-AU"/>
        </w:rPr>
        <w:t xml:space="preserve"> </w:t>
      </w:r>
      <w:r w:rsidRPr="00162EF6">
        <w:rPr>
          <w:szCs w:val="24"/>
          <w:lang w:val="en-AU"/>
        </w:rPr>
        <w:t xml:space="preserve">differed somewhat from the approaches taken in 2007, 2001 and 1996 for the Victorian Utility Consumption Household Survey.  Past Victorian Utility Consumption Household Surveys had employed a face-to-face survey methodology of approximately 2,000 households, stratified according to location and presence or absence of concession cards.  These past surveys only covered selected regions of Victoria, whereas for the </w:t>
      </w:r>
      <w:r w:rsidR="00F95FF4" w:rsidRPr="00162EF6">
        <w:rPr>
          <w:szCs w:val="24"/>
          <w:lang w:val="en-AU"/>
        </w:rPr>
        <w:t xml:space="preserve">Victorian Utility </w:t>
      </w:r>
      <w:r w:rsidR="00AB06D8" w:rsidRPr="00162EF6">
        <w:rPr>
          <w:szCs w:val="24"/>
          <w:lang w:val="en-AU"/>
        </w:rPr>
        <w:t xml:space="preserve">Consumption </w:t>
      </w:r>
      <w:r w:rsidR="00F95FF4" w:rsidRPr="00162EF6">
        <w:rPr>
          <w:szCs w:val="24"/>
          <w:lang w:val="en-AU"/>
        </w:rPr>
        <w:t>Household Survey 2015</w:t>
      </w:r>
      <w:r w:rsidR="00AB06D8" w:rsidRPr="00162EF6">
        <w:rPr>
          <w:szCs w:val="24"/>
          <w:lang w:val="en-AU"/>
        </w:rPr>
        <w:t xml:space="preserve"> </w:t>
      </w:r>
      <w:r w:rsidRPr="00162EF6">
        <w:rPr>
          <w:szCs w:val="24"/>
          <w:lang w:val="en-AU"/>
        </w:rPr>
        <w:t>almost the entire state of Victoria was in scope.</w:t>
      </w:r>
    </w:p>
    <w:p w14:paraId="1A95BE9C" w14:textId="77777777" w:rsidR="00AE6445" w:rsidRPr="00162EF6" w:rsidRDefault="00AE6445" w:rsidP="00AE6445">
      <w:pPr>
        <w:pStyle w:val="Para"/>
        <w:rPr>
          <w:szCs w:val="24"/>
          <w:lang w:val="en-AU"/>
        </w:rPr>
      </w:pPr>
    </w:p>
    <w:p w14:paraId="7DBE333F" w14:textId="77777777" w:rsidR="00AE6445" w:rsidRPr="00162EF6" w:rsidRDefault="00AE6445" w:rsidP="00AE6445">
      <w:pPr>
        <w:pStyle w:val="Para"/>
        <w:rPr>
          <w:szCs w:val="24"/>
          <w:lang w:val="en-AU"/>
        </w:rPr>
      </w:pPr>
      <w:r w:rsidRPr="00162EF6">
        <w:rPr>
          <w:szCs w:val="24"/>
          <w:lang w:val="en-AU"/>
        </w:rPr>
        <w:t xml:space="preserve">For both the current and past surveys information was collected both from the household and from the utility companies supplying that household with water, gas and electricity, plus municipal councils.  In order to obtain information from utility suppliers and councils, permission from </w:t>
      </w:r>
      <w:r w:rsidRPr="00162EF6">
        <w:rPr>
          <w:i/>
          <w:szCs w:val="24"/>
          <w:lang w:val="en-AU"/>
        </w:rPr>
        <w:t>account holders</w:t>
      </w:r>
      <w:r w:rsidRPr="00162EF6">
        <w:rPr>
          <w:szCs w:val="24"/>
          <w:lang w:val="en-AU"/>
        </w:rPr>
        <w:t xml:space="preserve"> within each household was obtained in writing beforehand.  Data obtained from utilities and councils contained consumption and billing information for the property associated with each respondent household for a 12-month period.</w:t>
      </w:r>
    </w:p>
    <w:p w14:paraId="04C0EA28" w14:textId="77777777" w:rsidR="00AE6445" w:rsidRPr="00162EF6" w:rsidRDefault="00AE6445" w:rsidP="00AE6445">
      <w:pPr>
        <w:pStyle w:val="Para"/>
        <w:rPr>
          <w:szCs w:val="24"/>
          <w:lang w:val="en-AU"/>
        </w:rPr>
      </w:pPr>
    </w:p>
    <w:p w14:paraId="77E3B427" w14:textId="700D6CFA" w:rsidR="00AE6445" w:rsidRPr="00162EF6" w:rsidRDefault="00AE6445" w:rsidP="00AE6445">
      <w:pPr>
        <w:pStyle w:val="Para"/>
        <w:rPr>
          <w:szCs w:val="24"/>
          <w:lang w:val="en-AU"/>
        </w:rPr>
      </w:pPr>
      <w:r w:rsidRPr="00162EF6">
        <w:rPr>
          <w:szCs w:val="24"/>
          <w:lang w:val="en-AU"/>
        </w:rPr>
        <w:lastRenderedPageBreak/>
        <w:t xml:space="preserve">The questionnaire was designed as a collaborative process between Roy Morgan Research and the Department.  Some topics included in past surveys were not included for the </w:t>
      </w:r>
      <w:r w:rsidR="00F95FF4" w:rsidRPr="00162EF6">
        <w:rPr>
          <w:szCs w:val="24"/>
          <w:lang w:val="en-AU"/>
        </w:rPr>
        <w:t>Victorian Utility Consumption Household Survey 2015</w:t>
      </w:r>
      <w:r w:rsidRPr="00162EF6">
        <w:rPr>
          <w:szCs w:val="24"/>
          <w:lang w:val="en-AU"/>
        </w:rPr>
        <w:t>.  Copies of the questionnaire and billing information sought from utilities and councils are included in the Appendices</w:t>
      </w:r>
      <w:r w:rsidR="00E62702">
        <w:rPr>
          <w:szCs w:val="24"/>
          <w:lang w:val="en-AU"/>
        </w:rPr>
        <w:t>, provided separately to</w:t>
      </w:r>
      <w:r w:rsidRPr="00162EF6">
        <w:rPr>
          <w:szCs w:val="24"/>
          <w:lang w:val="en-AU"/>
        </w:rPr>
        <w:t xml:space="preserve"> this report.</w:t>
      </w:r>
    </w:p>
    <w:p w14:paraId="75834223" w14:textId="77777777" w:rsidR="00AE6445" w:rsidRPr="00162EF6" w:rsidRDefault="00AE6445" w:rsidP="00AE6445">
      <w:pPr>
        <w:pStyle w:val="Para"/>
        <w:rPr>
          <w:szCs w:val="24"/>
          <w:lang w:val="en-AU"/>
        </w:rPr>
      </w:pPr>
    </w:p>
    <w:p w14:paraId="478D303A" w14:textId="7515B745" w:rsidR="00AE6445" w:rsidRPr="00162EF6" w:rsidRDefault="00AE6445" w:rsidP="00AE6445">
      <w:pPr>
        <w:pStyle w:val="Para"/>
        <w:outlineLvl w:val="0"/>
        <w:rPr>
          <w:szCs w:val="24"/>
          <w:lang w:val="en-AU"/>
        </w:rPr>
      </w:pPr>
      <w:r w:rsidRPr="00162EF6">
        <w:rPr>
          <w:szCs w:val="24"/>
          <w:lang w:val="en-AU"/>
        </w:rPr>
        <w:t xml:space="preserve">The research methodology </w:t>
      </w:r>
      <w:r w:rsidR="001F4692">
        <w:rPr>
          <w:szCs w:val="24"/>
          <w:lang w:val="en-AU"/>
        </w:rPr>
        <w:t xml:space="preserve">is </w:t>
      </w:r>
      <w:r w:rsidRPr="00162EF6">
        <w:rPr>
          <w:szCs w:val="24"/>
          <w:lang w:val="en-AU"/>
        </w:rPr>
        <w:t>outlined briefly below and is discussed in more detail in the following section.</w:t>
      </w:r>
    </w:p>
    <w:p w14:paraId="37EBB423" w14:textId="77777777" w:rsidR="00162EF6" w:rsidRDefault="00162EF6" w:rsidP="00AE6445">
      <w:pPr>
        <w:pStyle w:val="Para"/>
        <w:rPr>
          <w:szCs w:val="24"/>
          <w:lang w:val="en-AU"/>
        </w:rPr>
      </w:pPr>
    </w:p>
    <w:p w14:paraId="5D2BA0F0" w14:textId="77777777" w:rsidR="003920D8" w:rsidRPr="00162EF6" w:rsidRDefault="00AE6445">
      <w:pPr>
        <w:pStyle w:val="Heading3"/>
        <w:tabs>
          <w:tab w:val="num" w:pos="851"/>
        </w:tabs>
        <w:ind w:hanging="8517"/>
        <w:rPr>
          <w:szCs w:val="24"/>
          <w:lang w:val="en-AU"/>
        </w:rPr>
      </w:pPr>
      <w:bookmarkStart w:id="50" w:name="_Toc439198256"/>
      <w:bookmarkStart w:id="51" w:name="_Toc445571641"/>
      <w:bookmarkStart w:id="52" w:name="_Toc388243700"/>
      <w:bookmarkStart w:id="53" w:name="_Toc388244037"/>
      <w:bookmarkStart w:id="54" w:name="_Toc388246845"/>
      <w:bookmarkStart w:id="55" w:name="_Toc388259233"/>
      <w:bookmarkEnd w:id="40"/>
      <w:bookmarkEnd w:id="41"/>
      <w:bookmarkEnd w:id="42"/>
      <w:bookmarkEnd w:id="43"/>
      <w:bookmarkEnd w:id="44"/>
      <w:bookmarkEnd w:id="45"/>
      <w:r w:rsidRPr="00162EF6">
        <w:rPr>
          <w:szCs w:val="24"/>
          <w:lang w:val="en-AU"/>
        </w:rPr>
        <w:t>Collection of Survey Data</w:t>
      </w:r>
      <w:bookmarkEnd w:id="50"/>
      <w:bookmarkEnd w:id="51"/>
    </w:p>
    <w:bookmarkEnd w:id="52"/>
    <w:bookmarkEnd w:id="53"/>
    <w:bookmarkEnd w:id="54"/>
    <w:bookmarkEnd w:id="55"/>
    <w:p w14:paraId="6DCA028F" w14:textId="77777777" w:rsidR="00AE6445" w:rsidRPr="00162EF6" w:rsidRDefault="00AE6445" w:rsidP="00AE6445">
      <w:pPr>
        <w:pStyle w:val="Para"/>
        <w:rPr>
          <w:szCs w:val="24"/>
          <w:lang w:val="en-AU"/>
        </w:rPr>
      </w:pPr>
      <w:r w:rsidRPr="00162EF6">
        <w:rPr>
          <w:szCs w:val="24"/>
          <w:lang w:val="en-AU"/>
        </w:rPr>
        <w:t>The first step in the fieldwork process was sending a letter and brochure to all households selected for the survey. A sample of 12,135 households was drawn, stratified by region and apparent concession status (based on the existing Single Source data).</w:t>
      </w:r>
    </w:p>
    <w:p w14:paraId="79D10CF3" w14:textId="77777777" w:rsidR="00AE6445" w:rsidRPr="00162EF6" w:rsidRDefault="00AE6445" w:rsidP="00AE6445">
      <w:pPr>
        <w:pStyle w:val="Para"/>
        <w:rPr>
          <w:szCs w:val="24"/>
          <w:lang w:val="en-AU"/>
        </w:rPr>
      </w:pPr>
    </w:p>
    <w:p w14:paraId="63EAC0C9" w14:textId="77777777" w:rsidR="00AE6445" w:rsidRPr="00162EF6" w:rsidRDefault="00AE6445" w:rsidP="00AE6445">
      <w:pPr>
        <w:pStyle w:val="Para"/>
        <w:rPr>
          <w:szCs w:val="24"/>
          <w:lang w:val="en-AU"/>
        </w:rPr>
      </w:pPr>
      <w:r w:rsidRPr="00162EF6">
        <w:rPr>
          <w:szCs w:val="24"/>
          <w:lang w:val="en-AU"/>
        </w:rPr>
        <w:t>Interviewer briefings commenced on 10 June 2015, with telephone interviewing commencing thereafter.  Over the subsequent weeks:</w:t>
      </w:r>
    </w:p>
    <w:p w14:paraId="3FF2B842" w14:textId="77777777" w:rsidR="00AE6445" w:rsidRPr="00162EF6" w:rsidRDefault="00AE6445" w:rsidP="00AE6445">
      <w:pPr>
        <w:pStyle w:val="Para"/>
        <w:numPr>
          <w:ilvl w:val="0"/>
          <w:numId w:val="16"/>
        </w:numPr>
        <w:rPr>
          <w:szCs w:val="24"/>
          <w:lang w:val="en-AU"/>
        </w:rPr>
      </w:pPr>
      <w:r w:rsidRPr="00162EF6">
        <w:rPr>
          <w:szCs w:val="24"/>
          <w:lang w:val="en-AU"/>
        </w:rPr>
        <w:t>C</w:t>
      </w:r>
      <w:r w:rsidR="00FB2023" w:rsidRPr="00162EF6">
        <w:rPr>
          <w:szCs w:val="24"/>
          <w:lang w:val="en-AU"/>
        </w:rPr>
        <w:t xml:space="preserve">omputer </w:t>
      </w:r>
      <w:r w:rsidRPr="00162EF6">
        <w:rPr>
          <w:szCs w:val="24"/>
          <w:lang w:val="en-AU"/>
        </w:rPr>
        <w:t>A</w:t>
      </w:r>
      <w:r w:rsidR="00FB2023" w:rsidRPr="00162EF6">
        <w:rPr>
          <w:szCs w:val="24"/>
          <w:lang w:val="en-AU"/>
        </w:rPr>
        <w:t xml:space="preserve">ssisted </w:t>
      </w:r>
      <w:r w:rsidRPr="00162EF6">
        <w:rPr>
          <w:szCs w:val="24"/>
          <w:lang w:val="en-AU"/>
        </w:rPr>
        <w:t>T</w:t>
      </w:r>
      <w:r w:rsidR="00FB2023" w:rsidRPr="00162EF6">
        <w:rPr>
          <w:szCs w:val="24"/>
          <w:lang w:val="en-AU"/>
        </w:rPr>
        <w:t>elephone Interviewing (CATI) was</w:t>
      </w:r>
      <w:r w:rsidRPr="00162EF6">
        <w:rPr>
          <w:szCs w:val="24"/>
          <w:lang w:val="en-AU"/>
        </w:rPr>
        <w:t xml:space="preserve"> conducted with 2,204 respondents who agreed to send consent forms that would enable </w:t>
      </w:r>
      <w:r w:rsidR="00FB2023" w:rsidRPr="00162EF6">
        <w:rPr>
          <w:szCs w:val="24"/>
          <w:lang w:val="en-AU"/>
        </w:rPr>
        <w:t>Roy Morgan</w:t>
      </w:r>
      <w:r w:rsidR="00AD0EA6" w:rsidRPr="00162EF6">
        <w:rPr>
          <w:szCs w:val="24"/>
          <w:lang w:val="en-AU"/>
        </w:rPr>
        <w:t xml:space="preserve"> Research</w:t>
      </w:r>
      <w:r w:rsidR="00FB2023" w:rsidRPr="00162EF6">
        <w:rPr>
          <w:szCs w:val="24"/>
          <w:lang w:val="en-AU"/>
        </w:rPr>
        <w:t xml:space="preserve"> </w:t>
      </w:r>
      <w:r w:rsidRPr="00162EF6">
        <w:rPr>
          <w:szCs w:val="24"/>
          <w:lang w:val="en-AU"/>
        </w:rPr>
        <w:t>to obtain their billing data from their relevant suppliers;</w:t>
      </w:r>
    </w:p>
    <w:p w14:paraId="5D93A2A0" w14:textId="77777777" w:rsidR="00AE6445" w:rsidRPr="00162EF6" w:rsidRDefault="00AE6445" w:rsidP="00AE6445">
      <w:pPr>
        <w:pStyle w:val="Para"/>
        <w:numPr>
          <w:ilvl w:val="0"/>
          <w:numId w:val="16"/>
        </w:numPr>
        <w:rPr>
          <w:szCs w:val="24"/>
          <w:lang w:val="en-AU"/>
        </w:rPr>
      </w:pPr>
      <w:r w:rsidRPr="00162EF6">
        <w:rPr>
          <w:szCs w:val="24"/>
          <w:lang w:val="en-AU"/>
        </w:rPr>
        <w:t>Those who either did not send their consent forms, or sent incomplete forms, were re-contacted as far as possible in order to maximise the number of usable forms received;</w:t>
      </w:r>
    </w:p>
    <w:p w14:paraId="03D2CE7D" w14:textId="77777777" w:rsidR="00AE6445" w:rsidRPr="00162EF6" w:rsidRDefault="00AE6445" w:rsidP="00AE6445">
      <w:pPr>
        <w:pStyle w:val="Para"/>
        <w:numPr>
          <w:ilvl w:val="0"/>
          <w:numId w:val="16"/>
        </w:numPr>
        <w:rPr>
          <w:szCs w:val="24"/>
          <w:lang w:val="en-AU"/>
        </w:rPr>
      </w:pPr>
      <w:r w:rsidRPr="00162EF6">
        <w:rPr>
          <w:szCs w:val="24"/>
          <w:lang w:val="en-AU"/>
        </w:rPr>
        <w:t xml:space="preserve">Interviewing ceased on 6 July and re-contacting was largely completed by 21 July. A few late consent forms were accepted until 25 August.  Overall 1,861 households provided one or more consent forms. </w:t>
      </w:r>
    </w:p>
    <w:p w14:paraId="49483646" w14:textId="77777777" w:rsidR="00AE6445" w:rsidRPr="00162EF6" w:rsidRDefault="00AE6445" w:rsidP="00AE6445">
      <w:pPr>
        <w:pStyle w:val="Para"/>
        <w:rPr>
          <w:szCs w:val="24"/>
          <w:lang w:val="en-AU"/>
        </w:rPr>
      </w:pPr>
    </w:p>
    <w:p w14:paraId="7257035A" w14:textId="77777777" w:rsidR="00AE6445" w:rsidRPr="00162EF6" w:rsidRDefault="00AE6445" w:rsidP="00AE6445">
      <w:pPr>
        <w:pStyle w:val="Para"/>
        <w:rPr>
          <w:szCs w:val="24"/>
          <w:lang w:val="en-AU"/>
        </w:rPr>
      </w:pPr>
      <w:r w:rsidRPr="00162EF6">
        <w:rPr>
          <w:szCs w:val="24"/>
          <w:lang w:val="en-AU"/>
        </w:rPr>
        <w:t xml:space="preserve">Fieldwork took slightly longer than expected.  Respondents were offered an incentive of a $30 shopping voucher if they completed the CATI survey and returned their forms.  </w:t>
      </w:r>
    </w:p>
    <w:p w14:paraId="0F28916E" w14:textId="77777777" w:rsidR="00AE6445" w:rsidRPr="00162EF6" w:rsidRDefault="00AE6445" w:rsidP="00AE6445">
      <w:pPr>
        <w:pStyle w:val="Para"/>
        <w:rPr>
          <w:szCs w:val="24"/>
          <w:lang w:val="en-AU"/>
        </w:rPr>
      </w:pPr>
    </w:p>
    <w:p w14:paraId="225FD4A5" w14:textId="77777777" w:rsidR="00AE6445" w:rsidRPr="00162EF6" w:rsidRDefault="00AE6445" w:rsidP="00AE6445">
      <w:pPr>
        <w:pStyle w:val="Para"/>
        <w:rPr>
          <w:szCs w:val="24"/>
          <w:lang w:val="en-AU"/>
        </w:rPr>
      </w:pPr>
      <w:r w:rsidRPr="00162EF6">
        <w:rPr>
          <w:szCs w:val="24"/>
          <w:lang w:val="en-AU"/>
        </w:rPr>
        <w:t>The CATI data obtained from respondents was relatively ‘clean’.  As such, little data editing or imputation was required for CATI survey results.</w:t>
      </w:r>
    </w:p>
    <w:p w14:paraId="516D93CF" w14:textId="77777777" w:rsidR="00AE6445" w:rsidRPr="00162EF6" w:rsidRDefault="00AE6445" w:rsidP="00AE6445">
      <w:pPr>
        <w:pStyle w:val="Para"/>
        <w:rPr>
          <w:szCs w:val="24"/>
          <w:lang w:val="en-AU"/>
        </w:rPr>
      </w:pPr>
    </w:p>
    <w:p w14:paraId="73CC4C2E" w14:textId="7AC95DAB" w:rsidR="00AE6445" w:rsidRPr="00162EF6" w:rsidRDefault="00AE6445" w:rsidP="00AE6445">
      <w:pPr>
        <w:pStyle w:val="Para"/>
        <w:rPr>
          <w:szCs w:val="24"/>
          <w:lang w:val="en-AU"/>
        </w:rPr>
      </w:pPr>
      <w:r w:rsidRPr="00162EF6">
        <w:rPr>
          <w:szCs w:val="24"/>
          <w:lang w:val="en-AU"/>
        </w:rPr>
        <w:lastRenderedPageBreak/>
        <w:t>The collection of reliable billing data from utilities and councils was a critical and integral component of the project.  While the majority of councils and utilities provided the required data within the required timeframes, several</w:t>
      </w:r>
      <w:r w:rsidR="00AB06D8" w:rsidRPr="00162EF6">
        <w:rPr>
          <w:szCs w:val="24"/>
          <w:lang w:val="en-AU"/>
        </w:rPr>
        <w:t xml:space="preserve"> failed to meet the requested deadlines for data return by various margins</w:t>
      </w:r>
      <w:r w:rsidRPr="00162EF6">
        <w:rPr>
          <w:szCs w:val="24"/>
          <w:lang w:val="en-AU"/>
        </w:rPr>
        <w:t xml:space="preserve">.  </w:t>
      </w:r>
    </w:p>
    <w:p w14:paraId="7F9374B2" w14:textId="77777777" w:rsidR="00AE6445" w:rsidRPr="00162EF6" w:rsidRDefault="00AE6445" w:rsidP="00AE6445">
      <w:pPr>
        <w:pStyle w:val="Para"/>
        <w:rPr>
          <w:szCs w:val="24"/>
          <w:lang w:val="en-AU"/>
        </w:rPr>
      </w:pPr>
    </w:p>
    <w:p w14:paraId="56F0D7C2" w14:textId="77777777" w:rsidR="00AE6445" w:rsidRPr="00162EF6" w:rsidRDefault="00AE6445" w:rsidP="00AE6445">
      <w:pPr>
        <w:pStyle w:val="Para"/>
        <w:rPr>
          <w:szCs w:val="24"/>
          <w:lang w:val="en-AU"/>
        </w:rPr>
      </w:pPr>
      <w:r w:rsidRPr="00162EF6">
        <w:rPr>
          <w:szCs w:val="24"/>
          <w:lang w:val="en-AU"/>
        </w:rPr>
        <w:t>In March and April 2015, suppliers and councils were contacted and sent information in relation to the requirements of the survey and the responsibilities that suppliers would need to undertake in relation to these requirements.  Feedback was also sought from suppliers and councils using an electronic feedback form, and reminders. Overall, feedback was received from 37 councils, 5 electricity suppliers, 3 gas suppliers and 12 water suppliers, representing the great majority of water suppliers and councils invited, but fewer than half of electricity and gas suppliers. Briefing sessions for utilities and councils were conducted on 29 and 30 April in order to inform them of the data requirements for the project and to identify any difficulties suppliers may have in providing such data.  Approximately 21% of councils, 46% of energy suppliers and 25% of water suppliers attended the briefing sessions.</w:t>
      </w:r>
    </w:p>
    <w:p w14:paraId="70921A7F" w14:textId="77777777" w:rsidR="00AE6445" w:rsidRPr="00162EF6" w:rsidRDefault="00AE6445" w:rsidP="00AE6445">
      <w:pPr>
        <w:pStyle w:val="Para"/>
        <w:rPr>
          <w:szCs w:val="24"/>
          <w:lang w:val="en-AU"/>
        </w:rPr>
      </w:pPr>
    </w:p>
    <w:p w14:paraId="300F5EFE" w14:textId="77777777" w:rsidR="00AE6445" w:rsidRPr="00162EF6" w:rsidRDefault="00AE6445" w:rsidP="00AE6445">
      <w:pPr>
        <w:pStyle w:val="Para"/>
        <w:rPr>
          <w:szCs w:val="24"/>
          <w:lang w:val="en-AU"/>
        </w:rPr>
      </w:pPr>
      <w:r w:rsidRPr="00162EF6">
        <w:rPr>
          <w:szCs w:val="24"/>
          <w:lang w:val="en-AU"/>
        </w:rPr>
        <w:t>A secure web-site was designed to allow suppliers to download billing pro formas and upload them when completed.  This website and the data communication process in general took into account all feedback provided by suppliers and councils over the previous weeks and months.</w:t>
      </w:r>
    </w:p>
    <w:p w14:paraId="58BBFCA1" w14:textId="77777777" w:rsidR="00AE6445" w:rsidRPr="00162EF6" w:rsidRDefault="00AE6445" w:rsidP="00AE6445">
      <w:pPr>
        <w:pStyle w:val="Para"/>
        <w:rPr>
          <w:szCs w:val="24"/>
          <w:lang w:val="en-AU"/>
        </w:rPr>
      </w:pPr>
    </w:p>
    <w:p w14:paraId="3ED79BD5" w14:textId="47A95F84" w:rsidR="00AE6445" w:rsidRPr="00162EF6" w:rsidRDefault="00AE6445" w:rsidP="00AE6445">
      <w:pPr>
        <w:pStyle w:val="Para"/>
        <w:rPr>
          <w:szCs w:val="24"/>
          <w:lang w:val="en-AU"/>
        </w:rPr>
      </w:pPr>
      <w:r w:rsidRPr="00162EF6">
        <w:rPr>
          <w:szCs w:val="24"/>
          <w:lang w:val="en-AU"/>
        </w:rPr>
        <w:t xml:space="preserve">In order to ensure that the entire process was working smoothly, an initial data request was sent to suppliers and councils in </w:t>
      </w:r>
      <w:r w:rsidR="00BC6314" w:rsidRPr="00BC6314">
        <w:rPr>
          <w:szCs w:val="24"/>
          <w:lang w:val="en-AU"/>
        </w:rPr>
        <w:t>mid-July</w:t>
      </w:r>
      <w:r w:rsidRPr="00162EF6">
        <w:rPr>
          <w:szCs w:val="24"/>
          <w:lang w:val="en-AU"/>
        </w:rPr>
        <w:t xml:space="preserve">, containing the consent information for a sub-sample of respondents. All suppliers and councils were provided with the procedures for uploading and downloading, how to complete the data files and providing them with a user-id and password to access the web-site.  </w:t>
      </w:r>
    </w:p>
    <w:p w14:paraId="70821111" w14:textId="77777777" w:rsidR="00AE6445" w:rsidRPr="00162EF6" w:rsidRDefault="00AE6445" w:rsidP="00AE6445">
      <w:pPr>
        <w:pStyle w:val="Para"/>
        <w:rPr>
          <w:szCs w:val="24"/>
          <w:lang w:val="en-AU"/>
        </w:rPr>
      </w:pPr>
    </w:p>
    <w:p w14:paraId="48D5BF72" w14:textId="77777777" w:rsidR="00AE6445" w:rsidRPr="00162EF6" w:rsidRDefault="00AE6445" w:rsidP="00AE6445">
      <w:pPr>
        <w:pStyle w:val="Para"/>
        <w:rPr>
          <w:szCs w:val="24"/>
          <w:lang w:val="en-AU"/>
        </w:rPr>
      </w:pPr>
      <w:r w:rsidRPr="00162EF6">
        <w:rPr>
          <w:szCs w:val="24"/>
          <w:lang w:val="en-AU"/>
        </w:rPr>
        <w:t>Taking into account some additional fine-tuning required based on the response to the preliminary data request, the main data requests were then prepared.  The main data requests were sent to councils on 12 August, to water suppliers on 20 August, and to gas and electricity suppliers on 24 August.</w:t>
      </w:r>
    </w:p>
    <w:p w14:paraId="4B1E656F" w14:textId="77777777" w:rsidR="00AE6445" w:rsidRPr="00162EF6" w:rsidRDefault="00AE6445" w:rsidP="00AE6445">
      <w:pPr>
        <w:pStyle w:val="Para"/>
        <w:rPr>
          <w:szCs w:val="24"/>
          <w:lang w:val="en-AU"/>
        </w:rPr>
      </w:pPr>
    </w:p>
    <w:p w14:paraId="6826382D" w14:textId="77777777" w:rsidR="00AE6445" w:rsidRPr="00162EF6" w:rsidRDefault="00AE6445" w:rsidP="00AE6445">
      <w:pPr>
        <w:pStyle w:val="Para"/>
        <w:rPr>
          <w:szCs w:val="24"/>
          <w:lang w:val="en-AU"/>
        </w:rPr>
      </w:pPr>
      <w:r w:rsidRPr="00162EF6">
        <w:rPr>
          <w:szCs w:val="24"/>
          <w:lang w:val="en-AU"/>
        </w:rPr>
        <w:lastRenderedPageBreak/>
        <w:t>In most instances suppliers responded swiftly to data requests.  For the initial batch and the main batch data returns, several suppliers were contacted to clarify the data provided.  The main problems encountered with the data initially provided included:</w:t>
      </w:r>
    </w:p>
    <w:p w14:paraId="1D4602EC" w14:textId="77777777" w:rsidR="00AE6445" w:rsidRPr="00162EF6" w:rsidRDefault="00AE6445" w:rsidP="00AE6445">
      <w:pPr>
        <w:pStyle w:val="Para"/>
        <w:numPr>
          <w:ilvl w:val="0"/>
          <w:numId w:val="18"/>
        </w:numPr>
      </w:pPr>
      <w:r w:rsidRPr="00162EF6">
        <w:t>Several councils – failure to split the annual rates payment into the individual payments that had been made;</w:t>
      </w:r>
    </w:p>
    <w:p w14:paraId="21EAD2C8" w14:textId="77777777" w:rsidR="00AE6445" w:rsidRPr="00162EF6" w:rsidRDefault="00AE6445" w:rsidP="00AE6445">
      <w:pPr>
        <w:pStyle w:val="Para"/>
        <w:numPr>
          <w:ilvl w:val="0"/>
          <w:numId w:val="18"/>
        </w:numPr>
      </w:pPr>
      <w:r w:rsidRPr="00162EF6">
        <w:t>For several councils and suppliers – instances where the sum of charges less the sum of discounts did not equal the amount payable; and</w:t>
      </w:r>
    </w:p>
    <w:p w14:paraId="48A4FB3A" w14:textId="77777777" w:rsidR="00AE6445" w:rsidRPr="00162EF6" w:rsidRDefault="00AE6445" w:rsidP="00AE6445">
      <w:pPr>
        <w:pStyle w:val="Para"/>
        <w:numPr>
          <w:ilvl w:val="0"/>
          <w:numId w:val="18"/>
        </w:numPr>
        <w:rPr>
          <w:szCs w:val="24"/>
          <w:lang w:val="en-AU"/>
        </w:rPr>
      </w:pPr>
      <w:r w:rsidRPr="00162EF6">
        <w:t>For several water and energy suppliers - billing data provided that did not cover the entire calendar year.</w:t>
      </w:r>
      <w:r w:rsidRPr="00162EF6">
        <w:rPr>
          <w:szCs w:val="24"/>
          <w:lang w:val="en-AU"/>
        </w:rPr>
        <w:t xml:space="preserve">  </w:t>
      </w:r>
    </w:p>
    <w:p w14:paraId="7C46BF3A" w14:textId="77777777" w:rsidR="00AE6445" w:rsidRPr="00162EF6" w:rsidRDefault="00AE6445" w:rsidP="00AE6445">
      <w:pPr>
        <w:pStyle w:val="Para"/>
        <w:rPr>
          <w:szCs w:val="24"/>
          <w:lang w:val="en-AU"/>
        </w:rPr>
      </w:pPr>
    </w:p>
    <w:p w14:paraId="3D9BBB31" w14:textId="7E498E92" w:rsidR="0054131D" w:rsidRPr="001D042C" w:rsidRDefault="0054131D" w:rsidP="0054131D">
      <w:pPr>
        <w:pStyle w:val="Para"/>
      </w:pPr>
      <w:r w:rsidRPr="001D042C">
        <w:t xml:space="preserve">All suppliers were co-operative in re-issuing revised data sets, although some delays were experienced in their return.  At the time of preparing the draft report (mid December 2015) final data had still not been received from one major gas and electricity supplier and a related (more minor) electricity supplier.  This missing data has now been received and processed (the final component being provided in early February 2016), and overall figures have since been updated. </w:t>
      </w:r>
      <w:r w:rsidR="00BC6314" w:rsidRPr="001D042C">
        <w:t xml:space="preserve">The data in this report therefore differs in some respects from the draft report.  </w:t>
      </w:r>
    </w:p>
    <w:p w14:paraId="5960FA02" w14:textId="77777777" w:rsidR="00AE6445" w:rsidRPr="00162EF6" w:rsidRDefault="00AE6445" w:rsidP="00AE6445">
      <w:pPr>
        <w:spacing w:before="0" w:after="0" w:line="340" w:lineRule="exact"/>
        <w:jc w:val="both"/>
        <w:rPr>
          <w:szCs w:val="24"/>
          <w:lang w:val="en-AU"/>
        </w:rPr>
      </w:pPr>
    </w:p>
    <w:p w14:paraId="78640C45" w14:textId="77777777" w:rsidR="00AE6445" w:rsidRPr="00162EF6" w:rsidRDefault="00AE6445" w:rsidP="00AE6445">
      <w:pPr>
        <w:spacing w:before="0" w:after="0" w:line="340" w:lineRule="exact"/>
        <w:jc w:val="both"/>
        <w:rPr>
          <w:szCs w:val="24"/>
          <w:lang w:val="en-AU"/>
        </w:rPr>
      </w:pPr>
      <w:r w:rsidRPr="00162EF6">
        <w:rPr>
          <w:szCs w:val="24"/>
          <w:lang w:val="en-AU"/>
        </w:rPr>
        <w:t>As in past waves of this survey, it was anticipated that a proportion of supplier records could not be matched with the respondent data obtained from consent forms, resulting in completely blank billing records for a number of respondents.  In other cases the data provided by suppliers was missing certain fields for some respondents.  In these cases billing data has been imputed (fully or partially as may be required).  The imputation process is discussed in more detail later in this report.</w:t>
      </w:r>
    </w:p>
    <w:p w14:paraId="53184003" w14:textId="77777777" w:rsidR="006F2BE2" w:rsidRPr="00162EF6" w:rsidRDefault="006F2BE2" w:rsidP="00AE6445">
      <w:pPr>
        <w:pStyle w:val="Para"/>
        <w:rPr>
          <w:szCs w:val="24"/>
          <w:lang w:val="en-AU"/>
        </w:rPr>
      </w:pPr>
    </w:p>
    <w:p w14:paraId="0FD5D14E" w14:textId="77777777" w:rsidR="00162EF6" w:rsidRDefault="00162EF6">
      <w:pPr>
        <w:spacing w:before="0" w:after="0"/>
        <w:rPr>
          <w:b/>
          <w:szCs w:val="24"/>
          <w:lang w:val="en-AU"/>
        </w:rPr>
      </w:pPr>
      <w:bookmarkStart w:id="56" w:name="_Toc439198257"/>
      <w:r>
        <w:rPr>
          <w:szCs w:val="24"/>
          <w:lang w:val="en-AU"/>
        </w:rPr>
        <w:br w:type="page"/>
      </w:r>
    </w:p>
    <w:p w14:paraId="645C9BD6" w14:textId="5719B230" w:rsidR="00AE6445" w:rsidRPr="00162EF6" w:rsidRDefault="00AE6445" w:rsidP="00AE6445">
      <w:pPr>
        <w:pStyle w:val="Heading2"/>
        <w:rPr>
          <w:szCs w:val="24"/>
          <w:lang w:val="en-AU"/>
        </w:rPr>
      </w:pPr>
      <w:bookmarkStart w:id="57" w:name="_Toc445571642"/>
      <w:r w:rsidRPr="00162EF6">
        <w:rPr>
          <w:szCs w:val="24"/>
          <w:lang w:val="en-AU"/>
        </w:rPr>
        <w:lastRenderedPageBreak/>
        <w:t>L</w:t>
      </w:r>
      <w:r w:rsidR="004D41D9" w:rsidRPr="00162EF6">
        <w:rPr>
          <w:szCs w:val="24"/>
          <w:lang w:val="en-AU"/>
        </w:rPr>
        <w:t>IMITATIONS OF SURVEY AND BILLING DATA</w:t>
      </w:r>
      <w:bookmarkEnd w:id="56"/>
      <w:bookmarkEnd w:id="57"/>
    </w:p>
    <w:p w14:paraId="4FD35E65" w14:textId="77777777" w:rsidR="00AE6445" w:rsidRPr="00162EF6" w:rsidRDefault="00AE6445" w:rsidP="00AE6445">
      <w:pPr>
        <w:pStyle w:val="Para"/>
        <w:rPr>
          <w:szCs w:val="24"/>
          <w:lang w:val="en-AU"/>
        </w:rPr>
      </w:pPr>
      <w:r w:rsidRPr="00162EF6">
        <w:rPr>
          <w:szCs w:val="24"/>
          <w:lang w:val="en-AU"/>
        </w:rPr>
        <w:t>Please note that “Survey Data” refers to all data collected via the CATI household survey, while “Billing Data” refers to consumption and billing information provided by utilities and councils that was linked to each household in the respondent survey.  This “Billing Data” covers a 12-month period of consumption and billing information for each household surveyed.</w:t>
      </w:r>
    </w:p>
    <w:p w14:paraId="7AD939FB" w14:textId="77777777" w:rsidR="00AE6445" w:rsidRPr="00162EF6" w:rsidRDefault="00AE6445" w:rsidP="00AE6445">
      <w:pPr>
        <w:pStyle w:val="Para"/>
        <w:spacing w:line="240" w:lineRule="exact"/>
        <w:rPr>
          <w:szCs w:val="24"/>
          <w:lang w:val="en-AU"/>
        </w:rPr>
      </w:pPr>
    </w:p>
    <w:p w14:paraId="7A924499" w14:textId="77777777" w:rsidR="00AE6445" w:rsidRPr="00162EF6" w:rsidRDefault="00AE6445" w:rsidP="00AE6445">
      <w:pPr>
        <w:pStyle w:val="Para"/>
        <w:rPr>
          <w:i/>
          <w:szCs w:val="24"/>
          <w:lang w:val="en-AU"/>
        </w:rPr>
      </w:pPr>
      <w:r w:rsidRPr="00162EF6">
        <w:rPr>
          <w:i/>
          <w:szCs w:val="24"/>
          <w:lang w:val="en-AU"/>
        </w:rPr>
        <w:t>Survey Scope</w:t>
      </w:r>
    </w:p>
    <w:p w14:paraId="585E8982" w14:textId="77777777" w:rsidR="00AE6445" w:rsidRPr="00162EF6" w:rsidRDefault="00AE6445" w:rsidP="00AE6445">
      <w:pPr>
        <w:pStyle w:val="Para"/>
        <w:rPr>
          <w:szCs w:val="24"/>
          <w:lang w:val="en-AU"/>
        </w:rPr>
      </w:pPr>
      <w:r w:rsidRPr="00162EF6">
        <w:rPr>
          <w:szCs w:val="24"/>
          <w:lang w:val="en-AU"/>
        </w:rPr>
        <w:t xml:space="preserve">In past surveys, the survey’s scope has been limited to the </w:t>
      </w:r>
      <w:smartTag w:uri="urn:schemas-microsoft-com:office:smarttags" w:element="City">
        <w:smartTag w:uri="urn:schemas-microsoft-com:office:smarttags" w:element="place">
          <w:r w:rsidRPr="00162EF6">
            <w:rPr>
              <w:szCs w:val="24"/>
              <w:lang w:val="en-AU"/>
            </w:rPr>
            <w:t>Melbourne</w:t>
          </w:r>
        </w:smartTag>
      </w:smartTag>
      <w:r w:rsidRPr="00162EF6">
        <w:rPr>
          <w:szCs w:val="24"/>
          <w:lang w:val="en-AU"/>
        </w:rPr>
        <w:t xml:space="preserve"> metropolitan area and to a small number of major regional cities.  For this survey, however, almost all of </w:t>
      </w:r>
      <w:smartTag w:uri="urn:schemas-microsoft-com:office:smarttags" w:element="State">
        <w:smartTag w:uri="urn:schemas-microsoft-com:office:smarttags" w:element="place">
          <w:r w:rsidRPr="00162EF6">
            <w:rPr>
              <w:szCs w:val="24"/>
              <w:lang w:val="en-AU"/>
            </w:rPr>
            <w:t>Victoria</w:t>
          </w:r>
        </w:smartTag>
      </w:smartTag>
      <w:r w:rsidRPr="00162EF6">
        <w:rPr>
          <w:szCs w:val="24"/>
          <w:lang w:val="en-AU"/>
        </w:rPr>
        <w:t xml:space="preserve"> was covered.  This clearly improves the confidence with which the results can be generalised to the whole population of </w:t>
      </w:r>
      <w:smartTag w:uri="urn:schemas-microsoft-com:office:smarttags" w:element="State">
        <w:smartTag w:uri="urn:schemas-microsoft-com:office:smarttags" w:element="place">
          <w:r w:rsidRPr="00162EF6">
            <w:rPr>
              <w:szCs w:val="24"/>
              <w:lang w:val="en-AU"/>
            </w:rPr>
            <w:t>Victoria</w:t>
          </w:r>
        </w:smartTag>
      </w:smartTag>
      <w:r w:rsidRPr="00162EF6">
        <w:rPr>
          <w:szCs w:val="24"/>
          <w:lang w:val="en-AU"/>
        </w:rPr>
        <w:t>, but means that most comparisons with past surveys’ results need to be conducted with care.</w:t>
      </w:r>
    </w:p>
    <w:p w14:paraId="3DCE17AB" w14:textId="77777777" w:rsidR="00AE6445" w:rsidRPr="00162EF6" w:rsidRDefault="00AE6445" w:rsidP="00AE6445">
      <w:pPr>
        <w:pStyle w:val="Para"/>
        <w:rPr>
          <w:szCs w:val="24"/>
          <w:lang w:val="en-AU"/>
        </w:rPr>
      </w:pPr>
    </w:p>
    <w:p w14:paraId="266ED3FD" w14:textId="6968699C" w:rsidR="00AE6445" w:rsidRPr="00162EF6" w:rsidRDefault="00AE6445" w:rsidP="00AE6445">
      <w:pPr>
        <w:pStyle w:val="Para"/>
        <w:rPr>
          <w:lang w:val="en-AU"/>
        </w:rPr>
      </w:pPr>
      <w:r w:rsidRPr="00162EF6">
        <w:t>In previous surveys a small component of the sample was defined as “LPG area”, which was geographically defined based on limited available information, and was thus geographically distinct from the Melbourne and Country VIC strata in those past surveys.  In 2014, no specific “LPG area” has been defined: rather households that reported in the telephone interview that they use LPG for heating/cooking/hot water have been defined as “LPG households” but are not a separate stratum for sampling purposes.  This change in approach should allow for a much more representative sample of LPG households, and for Victorian households in general.  It should be noted, however, that as it is based on respondents’ perceptions of “LPG” it may not be entirely accurate, i.e. some respondents may use mains gas but may incorrectly think of it as “LPG”.</w:t>
      </w:r>
      <w:r w:rsidR="0091303E" w:rsidRPr="00162EF6">
        <w:t xml:space="preserve"> (</w:t>
      </w:r>
      <w:r w:rsidR="006F2BE2" w:rsidRPr="00162EF6">
        <w:rPr>
          <w:lang w:val="en-AU"/>
        </w:rPr>
        <w:t>The telephone questionnaire sought to minimise any such misunderstanding of the term “LPG” by incorporating detailed question wording, including clarifications and interviewer notes.  However, the results obtained suggest that a degree of over-reporting of “LPG” usage by mains gas users may have occurred.</w:t>
      </w:r>
      <w:r w:rsidR="0091303E" w:rsidRPr="00162EF6">
        <w:rPr>
          <w:lang w:val="en-AU"/>
        </w:rPr>
        <w:t>)</w:t>
      </w:r>
      <w:r w:rsidR="001F4692">
        <w:rPr>
          <w:lang w:val="en-AU"/>
        </w:rPr>
        <w:t xml:space="preserve"> </w:t>
      </w:r>
      <w:r w:rsidR="001F4692" w:rsidRPr="00705E2B">
        <w:t xml:space="preserve">As a result, it was decided that to qualify as an “LPG household” for analysis purposes, the household had to </w:t>
      </w:r>
      <w:r w:rsidR="001F4692" w:rsidRPr="00600395">
        <w:t>meet two criteria: firstly</w:t>
      </w:r>
      <w:r w:rsidR="001F4692">
        <w:t>, indicating that they use LPG for heating/cooking/hot water and secondly, not providing a consent form for a mains gas supplier.</w:t>
      </w:r>
    </w:p>
    <w:p w14:paraId="04C754B9" w14:textId="77777777" w:rsidR="0091303E" w:rsidRPr="00162EF6" w:rsidRDefault="0091303E" w:rsidP="00AE6445">
      <w:pPr>
        <w:pStyle w:val="Para"/>
        <w:rPr>
          <w:szCs w:val="24"/>
          <w:lang w:val="en-AU"/>
        </w:rPr>
      </w:pPr>
    </w:p>
    <w:p w14:paraId="6E09FF71" w14:textId="77777777" w:rsidR="00AE6445" w:rsidRPr="00162EF6" w:rsidRDefault="00AE6445" w:rsidP="00AE6445">
      <w:pPr>
        <w:pStyle w:val="Para"/>
        <w:rPr>
          <w:szCs w:val="24"/>
          <w:lang w:val="en-AU"/>
        </w:rPr>
      </w:pPr>
      <w:r w:rsidRPr="00162EF6">
        <w:rPr>
          <w:szCs w:val="24"/>
          <w:lang w:val="en-AU"/>
        </w:rPr>
        <w:t xml:space="preserve">While </w:t>
      </w:r>
      <w:r w:rsidRPr="00162EF6">
        <w:rPr>
          <w:i/>
          <w:szCs w:val="24"/>
          <w:lang w:val="en-AU"/>
        </w:rPr>
        <w:t>all</w:t>
      </w:r>
      <w:r w:rsidRPr="00162EF6">
        <w:rPr>
          <w:szCs w:val="24"/>
          <w:lang w:val="en-AU"/>
        </w:rPr>
        <w:t xml:space="preserve"> 17 DHHS regions of Victoria </w:t>
      </w:r>
      <w:r w:rsidRPr="00162EF6">
        <w:rPr>
          <w:i/>
          <w:szCs w:val="24"/>
          <w:lang w:val="en-AU"/>
        </w:rPr>
        <w:t>are</w:t>
      </w:r>
      <w:r w:rsidRPr="00162EF6">
        <w:rPr>
          <w:szCs w:val="24"/>
          <w:lang w:val="en-AU"/>
        </w:rPr>
        <w:t xml:space="preserve"> represented in the survey, 23 local government areas with very low populations (representing about 5% of the total Victorian population) were deliberately not included in the sample as there would have been far too few respondents for meaningful separate analysis, and a considerable burden would have been imposed on some small councils in setting up data extraction and matching systems for just a handful of households.  </w:t>
      </w:r>
    </w:p>
    <w:p w14:paraId="494CFFBA" w14:textId="0A135D2B" w:rsidR="00162EF6" w:rsidRDefault="00162EF6">
      <w:pPr>
        <w:spacing w:before="0" w:after="0"/>
        <w:rPr>
          <w:i/>
          <w:szCs w:val="24"/>
          <w:lang w:val="en-AU"/>
        </w:rPr>
      </w:pPr>
    </w:p>
    <w:p w14:paraId="6C1435CF" w14:textId="18CB461A" w:rsidR="00AE6445" w:rsidRPr="00162EF6" w:rsidRDefault="00AE6445" w:rsidP="00AE6445">
      <w:pPr>
        <w:pStyle w:val="Para"/>
        <w:rPr>
          <w:i/>
          <w:szCs w:val="24"/>
          <w:lang w:val="en-AU"/>
        </w:rPr>
      </w:pPr>
      <w:r w:rsidRPr="00162EF6">
        <w:rPr>
          <w:i/>
          <w:szCs w:val="24"/>
          <w:lang w:val="en-AU"/>
        </w:rPr>
        <w:t>Survey Data</w:t>
      </w:r>
    </w:p>
    <w:p w14:paraId="5E613ED5" w14:textId="77777777" w:rsidR="00AE6445" w:rsidRPr="00162EF6" w:rsidRDefault="00AE6445" w:rsidP="00AE6445">
      <w:pPr>
        <w:pStyle w:val="Para"/>
        <w:rPr>
          <w:szCs w:val="24"/>
          <w:lang w:val="en-AU"/>
        </w:rPr>
      </w:pPr>
      <w:r w:rsidRPr="00162EF6">
        <w:rPr>
          <w:szCs w:val="24"/>
          <w:lang w:val="en-AU"/>
        </w:rPr>
        <w:t>Survey data is limited by the fact that it is people’s perceptions of what actually is or has occurred in the household.  As such, there are likely to be some logical discrepancies in some survey data, based on people’s perceptions.  Some examples are provided below:</w:t>
      </w:r>
    </w:p>
    <w:p w14:paraId="53B45C4D" w14:textId="77777777" w:rsidR="00AE6445" w:rsidRPr="00162EF6" w:rsidRDefault="006B60C8" w:rsidP="00AE6445">
      <w:pPr>
        <w:pStyle w:val="Para"/>
        <w:numPr>
          <w:ilvl w:val="0"/>
          <w:numId w:val="14"/>
        </w:numPr>
        <w:spacing w:before="60"/>
        <w:ind w:left="714" w:hanging="357"/>
        <w:rPr>
          <w:szCs w:val="24"/>
          <w:lang w:val="en-AU"/>
        </w:rPr>
      </w:pPr>
      <w:r w:rsidRPr="00162EF6">
        <w:rPr>
          <w:szCs w:val="24"/>
          <w:lang w:val="en-AU"/>
        </w:rPr>
        <w:t>C</w:t>
      </w:r>
      <w:r w:rsidR="00AE6445" w:rsidRPr="00162EF6">
        <w:rPr>
          <w:szCs w:val="24"/>
          <w:lang w:val="en-AU"/>
        </w:rPr>
        <w:t>oncession status is determined by what concession card the respondent reports.  Some households may be mis-defined in terms of sample type based on the respondent’s perception;</w:t>
      </w:r>
    </w:p>
    <w:p w14:paraId="4945D787" w14:textId="77777777" w:rsidR="00AE6445" w:rsidRPr="00162EF6" w:rsidRDefault="006B60C8" w:rsidP="00AE6445">
      <w:pPr>
        <w:pStyle w:val="Para"/>
        <w:numPr>
          <w:ilvl w:val="0"/>
          <w:numId w:val="14"/>
        </w:numPr>
        <w:spacing w:before="60"/>
        <w:ind w:left="714" w:hanging="357"/>
        <w:rPr>
          <w:szCs w:val="24"/>
          <w:lang w:val="en-AU"/>
        </w:rPr>
      </w:pPr>
      <w:r w:rsidRPr="00162EF6">
        <w:rPr>
          <w:szCs w:val="24"/>
          <w:lang w:val="en-AU"/>
        </w:rPr>
        <w:t>Concession status</w:t>
      </w:r>
      <w:r w:rsidR="00AE6445" w:rsidRPr="00162EF6">
        <w:rPr>
          <w:szCs w:val="24"/>
          <w:lang w:val="en-AU"/>
        </w:rPr>
        <w:t xml:space="preserve"> for each household is determined by whether the respondent (i.e. the person mainly responsible for payment of household bills) holds or does not hold a concession card.  As other members of the household can hold concession cards and they can be the account holder for specific household bills, it is possible that a household defined as a non-concession household (i.e. the respondent does not hold a concession card) can receive a concession on a certain bill (i.e. as it is in another household member’s name and they hold a concession card). As a consequence, certain households may be mis-defined in terms of sample type based on the fact that another member of the household obtained concessions on specific household bills;</w:t>
      </w:r>
    </w:p>
    <w:p w14:paraId="176A42EB" w14:textId="77777777" w:rsidR="00AE6445" w:rsidRPr="00162EF6" w:rsidRDefault="00AE6445" w:rsidP="00AE6445">
      <w:pPr>
        <w:pStyle w:val="Para"/>
        <w:numPr>
          <w:ilvl w:val="0"/>
          <w:numId w:val="14"/>
        </w:numPr>
        <w:spacing w:before="60"/>
        <w:ind w:left="714" w:hanging="357"/>
        <w:rPr>
          <w:szCs w:val="24"/>
          <w:lang w:val="en-AU"/>
        </w:rPr>
      </w:pPr>
      <w:r w:rsidRPr="00162EF6">
        <w:rPr>
          <w:szCs w:val="24"/>
          <w:lang w:val="en-AU"/>
        </w:rPr>
        <w:t>Respondents do not necessarily have an accurate perception of which concession cards other members of the household hold; and</w:t>
      </w:r>
    </w:p>
    <w:p w14:paraId="6295E1EC" w14:textId="77777777" w:rsidR="00AE6445" w:rsidRPr="00162EF6" w:rsidRDefault="00AE6445" w:rsidP="00AE6445">
      <w:pPr>
        <w:pStyle w:val="Para"/>
        <w:numPr>
          <w:ilvl w:val="0"/>
          <w:numId w:val="14"/>
        </w:numPr>
        <w:spacing w:before="60"/>
        <w:ind w:left="714" w:hanging="357"/>
        <w:rPr>
          <w:szCs w:val="24"/>
          <w:lang w:val="en-AU"/>
        </w:rPr>
      </w:pPr>
      <w:r w:rsidRPr="00162EF6">
        <w:rPr>
          <w:szCs w:val="24"/>
          <w:lang w:val="en-AU"/>
        </w:rPr>
        <w:t>While respondents are responsible for paying the majority of household bills, they may not be the account holder of all bills.  Therefore their perceptions of whether their household received or does not receive a concession on a specific bill may be inaccurate.</w:t>
      </w:r>
    </w:p>
    <w:p w14:paraId="2B090F8D" w14:textId="77777777" w:rsidR="00AE6445" w:rsidRPr="00162EF6" w:rsidRDefault="00AE6445" w:rsidP="00AE6445">
      <w:pPr>
        <w:pStyle w:val="Para"/>
        <w:spacing w:before="120"/>
        <w:rPr>
          <w:szCs w:val="24"/>
          <w:lang w:val="en-AU"/>
        </w:rPr>
      </w:pPr>
      <w:r w:rsidRPr="00162EF6">
        <w:rPr>
          <w:szCs w:val="24"/>
          <w:lang w:val="en-AU"/>
        </w:rPr>
        <w:t xml:space="preserve">It is therefore wise to interpret survey data as being </w:t>
      </w:r>
      <w:r w:rsidRPr="00162EF6">
        <w:rPr>
          <w:i/>
          <w:szCs w:val="24"/>
          <w:lang w:val="en-AU"/>
        </w:rPr>
        <w:t>perceptions</w:t>
      </w:r>
      <w:r w:rsidRPr="00162EF6">
        <w:rPr>
          <w:szCs w:val="24"/>
          <w:lang w:val="en-AU"/>
        </w:rPr>
        <w:t xml:space="preserve"> of one member of the household and not always an accurate assessment of that household.</w:t>
      </w:r>
    </w:p>
    <w:p w14:paraId="2D1782AB" w14:textId="23EA00D5" w:rsidR="00162EF6" w:rsidRDefault="00162EF6">
      <w:pPr>
        <w:spacing w:before="0" w:after="0"/>
        <w:rPr>
          <w:i/>
          <w:szCs w:val="24"/>
          <w:lang w:val="en-AU"/>
        </w:rPr>
      </w:pPr>
    </w:p>
    <w:p w14:paraId="281F03EF" w14:textId="29FB69D3" w:rsidR="00AE6445" w:rsidRPr="00162EF6" w:rsidRDefault="00AE6445" w:rsidP="00AE6445">
      <w:pPr>
        <w:pStyle w:val="Para"/>
        <w:spacing w:before="120"/>
        <w:rPr>
          <w:i/>
          <w:szCs w:val="24"/>
          <w:lang w:val="en-AU"/>
        </w:rPr>
      </w:pPr>
      <w:r w:rsidRPr="00162EF6">
        <w:rPr>
          <w:i/>
          <w:szCs w:val="24"/>
          <w:lang w:val="en-AU"/>
        </w:rPr>
        <w:t>Billing Data</w:t>
      </w:r>
    </w:p>
    <w:p w14:paraId="48E6A378" w14:textId="0996701B" w:rsidR="00AE6445" w:rsidRPr="00162EF6" w:rsidRDefault="00AE6445" w:rsidP="00AE6445">
      <w:pPr>
        <w:pStyle w:val="Para"/>
        <w:numPr>
          <w:ilvl w:val="0"/>
          <w:numId w:val="15"/>
        </w:numPr>
        <w:spacing w:before="60"/>
        <w:ind w:left="714" w:hanging="357"/>
        <w:rPr>
          <w:szCs w:val="24"/>
          <w:lang w:val="en-AU"/>
        </w:rPr>
      </w:pPr>
      <w:r w:rsidRPr="00162EF6">
        <w:rPr>
          <w:szCs w:val="24"/>
          <w:lang w:val="en-AU"/>
        </w:rPr>
        <w:t xml:space="preserve">Whilst survey data was collected in </w:t>
      </w:r>
      <w:r w:rsidR="00BC6314" w:rsidRPr="00BC6314">
        <w:rPr>
          <w:szCs w:val="24"/>
          <w:lang w:val="en-AU"/>
        </w:rPr>
        <w:t>mid-2015</w:t>
      </w:r>
      <w:r w:rsidRPr="00162EF6">
        <w:rPr>
          <w:szCs w:val="24"/>
          <w:lang w:val="en-AU"/>
        </w:rPr>
        <w:t>, billing data from utilities was obtained for each household for the 2014 calendar year and for councils for the 2013-2014 financial year.  As such, there is a time lag between survey data and billing data.  This has some consequences –</w:t>
      </w:r>
    </w:p>
    <w:p w14:paraId="5319FC8C" w14:textId="632EA66C" w:rsidR="00AE6445" w:rsidRPr="00162EF6" w:rsidRDefault="00AE6445" w:rsidP="00AE6445">
      <w:pPr>
        <w:pStyle w:val="Para"/>
        <w:numPr>
          <w:ilvl w:val="1"/>
          <w:numId w:val="15"/>
        </w:numPr>
        <w:spacing w:before="60"/>
        <w:rPr>
          <w:szCs w:val="24"/>
          <w:lang w:val="en-AU"/>
        </w:rPr>
      </w:pPr>
      <w:r w:rsidRPr="00162EF6">
        <w:rPr>
          <w:szCs w:val="24"/>
          <w:lang w:val="en-AU"/>
        </w:rPr>
        <w:t xml:space="preserve">Whilst a household may hold a concession card in 2015, they may not have held it in 2014.  Therefore it is possible that billing data does not reflect a concession amount for that household in that year, even though that household is defined as being a concession </w:t>
      </w:r>
      <w:r w:rsidRPr="00162EF6">
        <w:rPr>
          <w:szCs w:val="24"/>
          <w:lang w:val="en-AU"/>
        </w:rPr>
        <w:lastRenderedPageBreak/>
        <w:t xml:space="preserve">household.  Of course, the opposite can also be true (i.e. a household received a concession amount in 2014, but is defined as a non-concession household in 2015).  On average, one would expect that results should be quite accurate in terms of overall levels of concessions in Victoria, even though there may be some occasional mis-allocation between respondents; </w:t>
      </w:r>
    </w:p>
    <w:p w14:paraId="26FA6B6A" w14:textId="77777777" w:rsidR="00AE6445" w:rsidRPr="00162EF6" w:rsidRDefault="00AE6445" w:rsidP="00AE6445">
      <w:pPr>
        <w:pStyle w:val="Para"/>
        <w:numPr>
          <w:ilvl w:val="1"/>
          <w:numId w:val="15"/>
        </w:numPr>
        <w:spacing w:before="60"/>
        <w:rPr>
          <w:szCs w:val="24"/>
          <w:lang w:val="en-AU"/>
        </w:rPr>
      </w:pPr>
      <w:r w:rsidRPr="00162EF6">
        <w:rPr>
          <w:szCs w:val="24"/>
          <w:lang w:val="en-AU"/>
        </w:rPr>
        <w:t xml:space="preserve">Utility billing and consumption data is collected from each bill sent to the household over the 2014 calendar year.  It is possible that a household was eligible for a concession for </w:t>
      </w:r>
      <w:r w:rsidRPr="00162EF6">
        <w:rPr>
          <w:i/>
          <w:szCs w:val="24"/>
          <w:lang w:val="en-AU"/>
        </w:rPr>
        <w:t>part</w:t>
      </w:r>
      <w:r w:rsidRPr="00162EF6">
        <w:rPr>
          <w:szCs w:val="24"/>
          <w:lang w:val="en-AU"/>
        </w:rPr>
        <w:t xml:space="preserve"> of the 12-month period surveyed.  If a concession amount was received by that household on at least one bill, then it was deemed that that household received concessions in that year.  As a consequence, it is likely that the proportion of households obtaining concessions based on billing data will be overstated in each year.</w:t>
      </w:r>
    </w:p>
    <w:p w14:paraId="6FF79234" w14:textId="77777777" w:rsidR="00AE6445" w:rsidRPr="00162EF6" w:rsidRDefault="00AE6445" w:rsidP="00AE6445">
      <w:pPr>
        <w:pStyle w:val="Para"/>
        <w:numPr>
          <w:ilvl w:val="0"/>
          <w:numId w:val="15"/>
        </w:numPr>
        <w:spacing w:before="60"/>
        <w:ind w:left="714" w:hanging="357"/>
        <w:rPr>
          <w:szCs w:val="24"/>
          <w:lang w:val="en-AU"/>
        </w:rPr>
      </w:pPr>
      <w:r w:rsidRPr="00162EF6">
        <w:rPr>
          <w:szCs w:val="24"/>
          <w:lang w:val="en-AU"/>
        </w:rPr>
        <w:t>Data provided by utilities and councils was thoroughly checked to ensure that data was provided for each item collected (in particular, consumption items, charges, retailer discounts and concessions).  The agencies were instructed on how to complete these data files.  Where data files provided had gaps, suppliers were contacted directly to ascertain whether that data item was in fact blank or not for their agency.  In some cases, Roy Morgan Research needed to edit the billing data provided to make it consistent with the formats and definitions required. It is also possible that some errors may have occurred in suppliers’ data-matching and extraction processes, errors which are not evident by such checking.</w:t>
      </w:r>
    </w:p>
    <w:p w14:paraId="07B0C6C9" w14:textId="77777777" w:rsidR="00AE6445" w:rsidRPr="00162EF6" w:rsidRDefault="00AE6445" w:rsidP="00AE6445">
      <w:pPr>
        <w:pStyle w:val="Para"/>
        <w:numPr>
          <w:ilvl w:val="0"/>
          <w:numId w:val="15"/>
        </w:numPr>
        <w:spacing w:before="60"/>
        <w:ind w:left="714" w:hanging="357"/>
        <w:rPr>
          <w:szCs w:val="24"/>
          <w:lang w:val="en-AU"/>
        </w:rPr>
      </w:pPr>
      <w:r w:rsidRPr="00162EF6">
        <w:rPr>
          <w:szCs w:val="24"/>
          <w:lang w:val="en-AU"/>
        </w:rPr>
        <w:t xml:space="preserve">Missing data, either for an entire record (e.g. for a household’s entire electricity billing) or for just a small component of a record, was imputed by Roy Morgan Research following a set of imputation rules (detailed later in this report).  The imputation process is likely to have slightly reduced the variation in the data, as imputation is based on applying the </w:t>
      </w:r>
      <w:r w:rsidRPr="00162EF6">
        <w:rPr>
          <w:i/>
          <w:szCs w:val="24"/>
          <w:lang w:val="en-AU"/>
        </w:rPr>
        <w:t>mean</w:t>
      </w:r>
      <w:r w:rsidRPr="00162EF6">
        <w:rPr>
          <w:szCs w:val="24"/>
          <w:lang w:val="en-AU"/>
        </w:rPr>
        <w:t xml:space="preserve"> result for similar sized households in similar areas.  </w:t>
      </w:r>
    </w:p>
    <w:p w14:paraId="23C6C418" w14:textId="77777777" w:rsidR="00AE6445" w:rsidRPr="00162EF6" w:rsidRDefault="00AE6445" w:rsidP="00AE6445">
      <w:pPr>
        <w:pStyle w:val="Para"/>
        <w:spacing w:before="60"/>
        <w:rPr>
          <w:lang w:val="en-AU"/>
        </w:rPr>
      </w:pPr>
    </w:p>
    <w:p w14:paraId="1B5D939A" w14:textId="77777777" w:rsidR="00AE6445" w:rsidRPr="001D042C" w:rsidRDefault="00AE6445" w:rsidP="00AE6445">
      <w:pPr>
        <w:pStyle w:val="Heading1"/>
        <w:spacing w:before="0"/>
        <w:rPr>
          <w:lang w:val="en-AU"/>
        </w:rPr>
      </w:pPr>
      <w:r w:rsidRPr="001D042C">
        <w:rPr>
          <w:lang w:val="en-AU"/>
        </w:rPr>
        <w:br w:type="page"/>
      </w:r>
      <w:bookmarkStart w:id="58" w:name="_Toc439198258"/>
      <w:bookmarkStart w:id="59" w:name="_Toc445571643"/>
      <w:r w:rsidRPr="001D042C">
        <w:rPr>
          <w:lang w:val="en-AU"/>
        </w:rPr>
        <w:lastRenderedPageBreak/>
        <w:t>RESEARCH METHODOLOGY</w:t>
      </w:r>
      <w:bookmarkEnd w:id="58"/>
      <w:bookmarkEnd w:id="59"/>
    </w:p>
    <w:p w14:paraId="6FF44E57" w14:textId="77777777" w:rsidR="00AE6445" w:rsidRPr="001D042C" w:rsidRDefault="00AE6445" w:rsidP="00AE6445">
      <w:pPr>
        <w:pStyle w:val="Para"/>
        <w:rPr>
          <w:lang w:val="en-AU"/>
        </w:rPr>
      </w:pPr>
    </w:p>
    <w:p w14:paraId="0A6E3FD1" w14:textId="75233B3C" w:rsidR="00AE6445" w:rsidRPr="001D042C" w:rsidRDefault="00AE6445" w:rsidP="00AE6445">
      <w:pPr>
        <w:pStyle w:val="Para"/>
        <w:rPr>
          <w:lang w:val="en-AU"/>
        </w:rPr>
      </w:pPr>
      <w:r w:rsidRPr="001D042C">
        <w:rPr>
          <w:lang w:val="en-AU"/>
        </w:rPr>
        <w:t>The research methodology was designed to ensure that the aims and objectives of the study were adequately addressed and to ensure that comparison with 2007, 2001 and 1996 results, where possible, could be reliably conducted.</w:t>
      </w:r>
    </w:p>
    <w:p w14:paraId="4292F118" w14:textId="77777777" w:rsidR="00AE6445" w:rsidRPr="001D042C" w:rsidRDefault="00AE6445" w:rsidP="00AE6445">
      <w:pPr>
        <w:pStyle w:val="Para"/>
        <w:rPr>
          <w:lang w:val="en-AU"/>
        </w:rPr>
      </w:pPr>
    </w:p>
    <w:p w14:paraId="1A37FA17" w14:textId="77777777" w:rsidR="00AE6445" w:rsidRPr="001D042C" w:rsidRDefault="00AE6445" w:rsidP="00AE6445">
      <w:pPr>
        <w:pStyle w:val="Heading2"/>
        <w:rPr>
          <w:lang w:val="en-AU"/>
        </w:rPr>
      </w:pPr>
      <w:bookmarkStart w:id="60" w:name="_Toc439198259"/>
      <w:bookmarkStart w:id="61" w:name="_Toc445571644"/>
      <w:r w:rsidRPr="001D042C">
        <w:rPr>
          <w:lang w:val="en-AU"/>
        </w:rPr>
        <w:t>SUB-GROUP DEFINITIONS</w:t>
      </w:r>
      <w:bookmarkEnd w:id="60"/>
      <w:bookmarkEnd w:id="61"/>
    </w:p>
    <w:p w14:paraId="70820C0F" w14:textId="6EE3BCC7" w:rsidR="00AE6445" w:rsidRPr="001D042C" w:rsidRDefault="00AE6445" w:rsidP="00AE6445">
      <w:pPr>
        <w:pStyle w:val="Para"/>
        <w:rPr>
          <w:lang w:val="en-AU"/>
        </w:rPr>
      </w:pPr>
      <w:r w:rsidRPr="001D042C">
        <w:rPr>
          <w:lang w:val="en-AU"/>
        </w:rPr>
        <w:t xml:space="preserve">Throughout this report detailed analysis of survey results has been conducted by ‘sample type’. This comprises two main sub-groups, </w:t>
      </w:r>
      <w:r w:rsidRPr="001D042C">
        <w:rPr>
          <w:b/>
          <w:lang w:val="en-AU"/>
        </w:rPr>
        <w:t>concession households</w:t>
      </w:r>
      <w:r w:rsidRPr="001D042C">
        <w:rPr>
          <w:lang w:val="en-AU"/>
        </w:rPr>
        <w:t xml:space="preserve"> and </w:t>
      </w:r>
      <w:r w:rsidRPr="001D042C">
        <w:rPr>
          <w:b/>
          <w:lang w:val="en-AU"/>
        </w:rPr>
        <w:t>non-concession households</w:t>
      </w:r>
      <w:r w:rsidRPr="001D042C">
        <w:rPr>
          <w:lang w:val="en-AU"/>
        </w:rPr>
        <w:t xml:space="preserve">.  Concession households were further segmented into </w:t>
      </w:r>
      <w:r w:rsidRPr="001D042C">
        <w:rPr>
          <w:b/>
          <w:i/>
          <w:lang w:val="en-AU"/>
        </w:rPr>
        <w:t>aged concession households</w:t>
      </w:r>
      <w:r w:rsidRPr="001D042C">
        <w:rPr>
          <w:lang w:val="en-AU"/>
        </w:rPr>
        <w:t xml:space="preserve"> and </w:t>
      </w:r>
      <w:r w:rsidRPr="001D042C">
        <w:rPr>
          <w:b/>
          <w:i/>
          <w:lang w:val="en-AU"/>
        </w:rPr>
        <w:t>other concession households</w:t>
      </w:r>
      <w:r w:rsidRPr="001D042C">
        <w:rPr>
          <w:lang w:val="en-AU"/>
        </w:rPr>
        <w:t>.  The definitions for each of these sub-groups are provided below:</w:t>
      </w:r>
    </w:p>
    <w:p w14:paraId="48159522" w14:textId="77777777" w:rsidR="00AE6445" w:rsidRPr="001D042C" w:rsidRDefault="00AE6445" w:rsidP="00AE6445">
      <w:pPr>
        <w:pStyle w:val="Para"/>
        <w:rPr>
          <w:lang w:val="en-AU"/>
        </w:rPr>
      </w:pPr>
    </w:p>
    <w:p w14:paraId="7F071296" w14:textId="77777777" w:rsidR="00AE6445" w:rsidRPr="001D042C" w:rsidRDefault="00AE6445" w:rsidP="00AE6445">
      <w:pPr>
        <w:pStyle w:val="Para"/>
        <w:rPr>
          <w:lang w:val="en-AU"/>
        </w:rPr>
      </w:pPr>
      <w:r w:rsidRPr="001D042C">
        <w:rPr>
          <w:b/>
          <w:lang w:val="en-AU"/>
        </w:rPr>
        <w:t>Concession households -</w:t>
      </w:r>
      <w:r w:rsidRPr="001D042C">
        <w:rPr>
          <w:lang w:val="en-AU"/>
        </w:rPr>
        <w:t xml:space="preserve"> The adult member of the household who is normally responsible for payment of the household bills </w:t>
      </w:r>
      <w:r w:rsidRPr="001D042C">
        <w:rPr>
          <w:i/>
          <w:lang w:val="en-AU"/>
        </w:rPr>
        <w:t>must currently hold</w:t>
      </w:r>
      <w:r w:rsidRPr="001D042C">
        <w:rPr>
          <w:lang w:val="en-AU"/>
        </w:rPr>
        <w:t xml:space="preserve"> one or more of the following – a Pensioner Concession Card (aged or non-aged), a Health Care Card or a Department of Veterans’ Affairs (DVA) Gold Card (except those stamped ‘Dependent’).</w:t>
      </w:r>
    </w:p>
    <w:p w14:paraId="4D611182" w14:textId="77777777" w:rsidR="00AE6445" w:rsidRPr="001D042C" w:rsidRDefault="00AE6445" w:rsidP="00AE6445">
      <w:pPr>
        <w:pStyle w:val="Para"/>
        <w:rPr>
          <w:lang w:val="en-AU"/>
        </w:rPr>
      </w:pPr>
    </w:p>
    <w:p w14:paraId="1FE97C60" w14:textId="31CE125C" w:rsidR="00AE6445" w:rsidRPr="001D042C" w:rsidRDefault="00AE6445" w:rsidP="00AE6445">
      <w:pPr>
        <w:pStyle w:val="Para"/>
        <w:rPr>
          <w:lang w:val="en-AU"/>
        </w:rPr>
      </w:pPr>
      <w:r w:rsidRPr="001D042C">
        <w:rPr>
          <w:lang w:val="en-AU"/>
        </w:rPr>
        <w:t xml:space="preserve">Within </w:t>
      </w:r>
      <w:r w:rsidR="001F4692">
        <w:rPr>
          <w:lang w:val="en-AU"/>
        </w:rPr>
        <w:t>c</w:t>
      </w:r>
      <w:r w:rsidRPr="001D042C">
        <w:rPr>
          <w:lang w:val="en-AU"/>
        </w:rPr>
        <w:t>oncession households the sample is divided into –</w:t>
      </w:r>
    </w:p>
    <w:p w14:paraId="5B5521AD" w14:textId="10631F2D" w:rsidR="00AE6445" w:rsidRPr="001D042C" w:rsidRDefault="00AE6445" w:rsidP="00AE6445">
      <w:pPr>
        <w:pStyle w:val="Para"/>
        <w:spacing w:before="120"/>
        <w:ind w:left="720"/>
        <w:rPr>
          <w:lang w:val="en-AU"/>
        </w:rPr>
      </w:pPr>
      <w:r w:rsidRPr="001D042C">
        <w:rPr>
          <w:b/>
          <w:i/>
          <w:lang w:val="en-AU"/>
        </w:rPr>
        <w:t xml:space="preserve">Aged </w:t>
      </w:r>
      <w:r w:rsidR="001F4692">
        <w:rPr>
          <w:b/>
          <w:i/>
          <w:lang w:val="en-AU"/>
        </w:rPr>
        <w:t>c</w:t>
      </w:r>
      <w:r w:rsidRPr="001D042C">
        <w:rPr>
          <w:b/>
          <w:i/>
          <w:lang w:val="en-AU"/>
        </w:rPr>
        <w:t xml:space="preserve">oncession </w:t>
      </w:r>
      <w:r w:rsidR="001F4692">
        <w:rPr>
          <w:b/>
          <w:i/>
          <w:lang w:val="en-AU"/>
        </w:rPr>
        <w:t>h</w:t>
      </w:r>
      <w:r w:rsidRPr="001D042C">
        <w:rPr>
          <w:b/>
          <w:i/>
          <w:lang w:val="en-AU"/>
        </w:rPr>
        <w:t>ouseholds</w:t>
      </w:r>
      <w:r w:rsidRPr="001D042C">
        <w:rPr>
          <w:lang w:val="en-AU"/>
        </w:rPr>
        <w:t xml:space="preserve"> - The adult member of the household who is normally responsible for payment of the household bills </w:t>
      </w:r>
      <w:r w:rsidRPr="001D042C">
        <w:rPr>
          <w:i/>
          <w:lang w:val="en-AU"/>
        </w:rPr>
        <w:t>must currently hold</w:t>
      </w:r>
      <w:r w:rsidRPr="001D042C">
        <w:rPr>
          <w:lang w:val="en-AU"/>
        </w:rPr>
        <w:t xml:space="preserve"> one or more of the following – an Aged Pensioner Concession Card or a DVA Gold card (except those stamped ‘Dependent’);</w:t>
      </w:r>
    </w:p>
    <w:p w14:paraId="6BF9C987" w14:textId="00C453D0" w:rsidR="00AE6445" w:rsidRPr="001D042C" w:rsidRDefault="00AE6445" w:rsidP="00AE6445">
      <w:pPr>
        <w:pStyle w:val="Para"/>
        <w:spacing w:before="120"/>
        <w:ind w:left="720"/>
        <w:rPr>
          <w:lang w:val="en-AU"/>
        </w:rPr>
      </w:pPr>
      <w:r w:rsidRPr="001D042C">
        <w:rPr>
          <w:b/>
          <w:i/>
          <w:lang w:val="en-AU"/>
        </w:rPr>
        <w:t xml:space="preserve">Other </w:t>
      </w:r>
      <w:r w:rsidR="001F4692">
        <w:rPr>
          <w:b/>
          <w:i/>
          <w:lang w:val="en-AU"/>
        </w:rPr>
        <w:t>c</w:t>
      </w:r>
      <w:r w:rsidRPr="001D042C">
        <w:rPr>
          <w:b/>
          <w:i/>
          <w:lang w:val="en-AU"/>
        </w:rPr>
        <w:t xml:space="preserve">oncession </w:t>
      </w:r>
      <w:r w:rsidR="001F4692">
        <w:rPr>
          <w:b/>
          <w:i/>
          <w:lang w:val="en-AU"/>
        </w:rPr>
        <w:t>h</w:t>
      </w:r>
      <w:r w:rsidRPr="001D042C">
        <w:rPr>
          <w:b/>
          <w:i/>
          <w:lang w:val="en-AU"/>
        </w:rPr>
        <w:t xml:space="preserve">ouseholds </w:t>
      </w:r>
      <w:r w:rsidRPr="001D042C">
        <w:rPr>
          <w:lang w:val="en-AU"/>
        </w:rPr>
        <w:t xml:space="preserve">- The adult member of the household who is normally responsible for payment of the household bills </w:t>
      </w:r>
      <w:r w:rsidRPr="001D042C">
        <w:rPr>
          <w:i/>
          <w:lang w:val="en-AU"/>
        </w:rPr>
        <w:t>must currently hold</w:t>
      </w:r>
      <w:r w:rsidRPr="001D042C">
        <w:rPr>
          <w:lang w:val="en-AU"/>
        </w:rPr>
        <w:t xml:space="preserve"> one or more of the following – a Non-aged Pensioner Concession Card or a Health Care Card.</w:t>
      </w:r>
    </w:p>
    <w:p w14:paraId="68B53E85" w14:textId="77777777" w:rsidR="00AE6445" w:rsidRPr="001D042C" w:rsidRDefault="00AE6445" w:rsidP="00AE6445">
      <w:pPr>
        <w:pStyle w:val="Para"/>
        <w:rPr>
          <w:lang w:val="en-AU"/>
        </w:rPr>
      </w:pPr>
    </w:p>
    <w:p w14:paraId="0C2C6589" w14:textId="72FADC88" w:rsidR="00AE6445" w:rsidRPr="001D042C" w:rsidRDefault="00AE6445" w:rsidP="00AE6445">
      <w:pPr>
        <w:pStyle w:val="Para"/>
        <w:rPr>
          <w:lang w:val="en-AU"/>
        </w:rPr>
      </w:pPr>
      <w:r w:rsidRPr="001D042C">
        <w:rPr>
          <w:b/>
          <w:lang w:val="en-AU"/>
        </w:rPr>
        <w:t>Non-</w:t>
      </w:r>
      <w:r w:rsidR="001F4692">
        <w:rPr>
          <w:b/>
          <w:lang w:val="en-AU"/>
        </w:rPr>
        <w:t>c</w:t>
      </w:r>
      <w:r w:rsidRPr="001D042C">
        <w:rPr>
          <w:b/>
          <w:lang w:val="en-AU"/>
        </w:rPr>
        <w:t xml:space="preserve">oncession </w:t>
      </w:r>
      <w:r w:rsidR="001F4692">
        <w:rPr>
          <w:b/>
          <w:lang w:val="en-AU"/>
        </w:rPr>
        <w:t>h</w:t>
      </w:r>
      <w:r w:rsidRPr="001D042C">
        <w:rPr>
          <w:b/>
          <w:lang w:val="en-AU"/>
        </w:rPr>
        <w:t>ouseholds -</w:t>
      </w:r>
      <w:r w:rsidRPr="001D042C">
        <w:rPr>
          <w:lang w:val="en-AU"/>
        </w:rPr>
        <w:t xml:space="preserve"> The adult member of the household who is normally responsible for payment of the household bills </w:t>
      </w:r>
      <w:r w:rsidRPr="001D042C">
        <w:rPr>
          <w:i/>
          <w:lang w:val="en-AU"/>
        </w:rPr>
        <w:t xml:space="preserve">must </w:t>
      </w:r>
      <w:r w:rsidRPr="001D042C">
        <w:rPr>
          <w:i/>
          <w:u w:val="single"/>
          <w:lang w:val="en-AU"/>
        </w:rPr>
        <w:t>not</w:t>
      </w:r>
      <w:r w:rsidRPr="001D042C">
        <w:rPr>
          <w:i/>
          <w:lang w:val="en-AU"/>
        </w:rPr>
        <w:t xml:space="preserve"> currently hold</w:t>
      </w:r>
      <w:r w:rsidRPr="001D042C">
        <w:rPr>
          <w:lang w:val="en-AU"/>
        </w:rPr>
        <w:t xml:space="preserve"> any of the Concession cards listed above.</w:t>
      </w:r>
    </w:p>
    <w:p w14:paraId="1E3FFDDB" w14:textId="77777777" w:rsidR="00AE6445" w:rsidRPr="001D042C" w:rsidRDefault="00AE6445" w:rsidP="00AE6445">
      <w:pPr>
        <w:pStyle w:val="Para"/>
        <w:rPr>
          <w:lang w:val="en-AU"/>
        </w:rPr>
      </w:pPr>
    </w:p>
    <w:p w14:paraId="17FA802B" w14:textId="1CEB3CF1" w:rsidR="00AE6445" w:rsidRPr="001D042C" w:rsidRDefault="00AE6445" w:rsidP="00AE6445">
      <w:pPr>
        <w:pStyle w:val="Para"/>
        <w:rPr>
          <w:color w:val="000000"/>
          <w:szCs w:val="24"/>
        </w:rPr>
      </w:pPr>
      <w:r w:rsidRPr="001D042C">
        <w:rPr>
          <w:color w:val="000000"/>
          <w:szCs w:val="24"/>
        </w:rPr>
        <w:lastRenderedPageBreak/>
        <w:t xml:space="preserve">Please note that in some circumstances other members of the household being surveyed may hold concession cards; however, these persons were not identified as the person responsible for payment of the household bills.  Therefore in some instances a </w:t>
      </w:r>
      <w:r w:rsidR="001F4692">
        <w:rPr>
          <w:color w:val="000000"/>
          <w:szCs w:val="24"/>
        </w:rPr>
        <w:t>n</w:t>
      </w:r>
      <w:r w:rsidRPr="001D042C">
        <w:rPr>
          <w:color w:val="000000"/>
          <w:szCs w:val="24"/>
        </w:rPr>
        <w:t xml:space="preserve">on-concession household may in fact receive concessions on some bills because another member of the household may hold a concession card.  This also means that a household defined as an ‘other’ concession household may also have another household member who holds aged concession cards, or vice versa.  </w:t>
      </w:r>
    </w:p>
    <w:p w14:paraId="0013C1A6" w14:textId="77777777" w:rsidR="00AE6445" w:rsidRPr="001D042C" w:rsidRDefault="00AE6445" w:rsidP="00AE6445">
      <w:pPr>
        <w:pStyle w:val="Para"/>
        <w:spacing w:after="240"/>
        <w:rPr>
          <w:lang w:val="en-AU"/>
        </w:rPr>
      </w:pPr>
    </w:p>
    <w:p w14:paraId="10F8B07C" w14:textId="77777777" w:rsidR="00AE6445" w:rsidRPr="001D042C" w:rsidRDefault="00AE6445" w:rsidP="00AE6445">
      <w:pPr>
        <w:pStyle w:val="Heading2"/>
        <w:spacing w:before="0"/>
        <w:rPr>
          <w:lang w:val="en-AU"/>
        </w:rPr>
      </w:pPr>
      <w:bookmarkStart w:id="62" w:name="_Toc439198260"/>
      <w:bookmarkStart w:id="63" w:name="_Toc445571645"/>
      <w:r w:rsidRPr="001D042C">
        <w:rPr>
          <w:lang w:val="en-AU"/>
        </w:rPr>
        <w:t>SAMPLING</w:t>
      </w:r>
      <w:bookmarkEnd w:id="62"/>
      <w:bookmarkEnd w:id="63"/>
    </w:p>
    <w:p w14:paraId="2F973AD9" w14:textId="184661E4" w:rsidR="00AE6445" w:rsidRPr="001D042C" w:rsidRDefault="00AE6445" w:rsidP="00AE6445">
      <w:pPr>
        <w:pStyle w:val="Para"/>
        <w:rPr>
          <w:color w:val="000000"/>
          <w:szCs w:val="24"/>
        </w:rPr>
      </w:pPr>
      <w:r w:rsidRPr="001D042C">
        <w:rPr>
          <w:color w:val="000000"/>
          <w:szCs w:val="24"/>
        </w:rPr>
        <w:t xml:space="preserve">For the </w:t>
      </w:r>
      <w:r w:rsidR="000457E6">
        <w:rPr>
          <w:color w:val="000000"/>
          <w:szCs w:val="24"/>
        </w:rPr>
        <w:t>2015 Victorian Utility Consumption Household Survey</w:t>
      </w:r>
      <w:r w:rsidRPr="001D042C">
        <w:rPr>
          <w:color w:val="000000"/>
          <w:szCs w:val="24"/>
        </w:rPr>
        <w:t xml:space="preserve">, the sampling </w:t>
      </w:r>
      <w:r w:rsidR="000457E6">
        <w:rPr>
          <w:color w:val="000000"/>
          <w:szCs w:val="24"/>
        </w:rPr>
        <w:t>differed from</w:t>
      </w:r>
      <w:r w:rsidRPr="001D042C">
        <w:rPr>
          <w:color w:val="000000"/>
          <w:szCs w:val="24"/>
        </w:rPr>
        <w:t xml:space="preserve"> previous surveys in this series.  The key differences were:</w:t>
      </w:r>
    </w:p>
    <w:p w14:paraId="57B967FF" w14:textId="77777777" w:rsidR="00AE6445" w:rsidRPr="001D042C" w:rsidRDefault="00AE6445" w:rsidP="00AE6445">
      <w:pPr>
        <w:pStyle w:val="Para"/>
        <w:numPr>
          <w:ilvl w:val="0"/>
          <w:numId w:val="17"/>
        </w:numPr>
        <w:rPr>
          <w:color w:val="000000"/>
          <w:szCs w:val="24"/>
        </w:rPr>
      </w:pPr>
      <w:r w:rsidRPr="001D042C">
        <w:rPr>
          <w:color w:val="000000"/>
          <w:szCs w:val="24"/>
        </w:rPr>
        <w:t xml:space="preserve">For the 2014 survey, effectively most of </w:t>
      </w:r>
      <w:smartTag w:uri="urn:schemas-microsoft-com:office:smarttags" w:element="State">
        <w:smartTag w:uri="urn:schemas-microsoft-com:office:smarttags" w:element="place">
          <w:r w:rsidRPr="001D042C">
            <w:rPr>
              <w:color w:val="000000"/>
              <w:szCs w:val="24"/>
            </w:rPr>
            <w:t>Victoria</w:t>
          </w:r>
        </w:smartTag>
      </w:smartTag>
      <w:r w:rsidRPr="001D042C">
        <w:rPr>
          <w:color w:val="000000"/>
          <w:szCs w:val="24"/>
        </w:rPr>
        <w:t xml:space="preserve"> was in-scope.  In past waves, the survey has generally been limited to just </w:t>
      </w:r>
      <w:smartTag w:uri="urn:schemas-microsoft-com:office:smarttags" w:element="City">
        <w:smartTag w:uri="urn:schemas-microsoft-com:office:smarttags" w:element="place">
          <w:r w:rsidRPr="001D042C">
            <w:rPr>
              <w:color w:val="000000"/>
              <w:szCs w:val="24"/>
            </w:rPr>
            <w:t>Melbourne</w:t>
          </w:r>
        </w:smartTag>
      </w:smartTag>
      <w:r w:rsidRPr="001D042C">
        <w:rPr>
          <w:color w:val="000000"/>
          <w:szCs w:val="24"/>
        </w:rPr>
        <w:t xml:space="preserve"> and four major regional cities.</w:t>
      </w:r>
    </w:p>
    <w:p w14:paraId="7ED78F1A" w14:textId="77777777" w:rsidR="00AE6445" w:rsidRPr="001D042C" w:rsidRDefault="00AE6445" w:rsidP="00AE6445">
      <w:pPr>
        <w:pStyle w:val="Para"/>
        <w:numPr>
          <w:ilvl w:val="0"/>
          <w:numId w:val="17"/>
        </w:numPr>
        <w:rPr>
          <w:color w:val="000000"/>
          <w:szCs w:val="24"/>
        </w:rPr>
      </w:pPr>
      <w:r w:rsidRPr="001D042C">
        <w:rPr>
          <w:color w:val="000000"/>
          <w:szCs w:val="24"/>
        </w:rPr>
        <w:t>For the 2007 survey a specific LPG geographic stratum had been included.  For the 2014 survey, LPG households were identified based on their responses, and therefore were not limited to any particular geographic strata.</w:t>
      </w:r>
    </w:p>
    <w:p w14:paraId="2E99E71C" w14:textId="77777777" w:rsidR="00AE6445" w:rsidRPr="001D042C" w:rsidRDefault="00AE6445" w:rsidP="00AE6445">
      <w:pPr>
        <w:pStyle w:val="Para"/>
        <w:numPr>
          <w:ilvl w:val="0"/>
          <w:numId w:val="17"/>
        </w:numPr>
        <w:rPr>
          <w:color w:val="000000"/>
          <w:szCs w:val="24"/>
        </w:rPr>
      </w:pPr>
      <w:r w:rsidRPr="001D042C">
        <w:rPr>
          <w:color w:val="000000"/>
          <w:szCs w:val="24"/>
        </w:rPr>
        <w:t>The 2014 survey used a telephone methodology, drawing a random stratified sample from a sample frame of past respondents to a major, ongoing syndicated survey (Roy Morgan Single Source).  Previous waves used a face-to-face door-to-door approach, with a multi-stage stratified sample, employing CCDs (Census Collector’s Districts) in the stratified design.</w:t>
      </w:r>
    </w:p>
    <w:p w14:paraId="6143F104" w14:textId="77777777" w:rsidR="00AE6445" w:rsidRPr="001D042C" w:rsidRDefault="00AE6445" w:rsidP="00AE6445">
      <w:pPr>
        <w:pStyle w:val="Para"/>
        <w:numPr>
          <w:ilvl w:val="0"/>
          <w:numId w:val="17"/>
        </w:numPr>
        <w:rPr>
          <w:color w:val="000000"/>
          <w:szCs w:val="24"/>
        </w:rPr>
      </w:pPr>
      <w:r w:rsidRPr="001D042C">
        <w:rPr>
          <w:color w:val="000000"/>
          <w:szCs w:val="24"/>
        </w:rPr>
        <w:t>For the 2014 survey, respondents were sent an explanatory letter and consent forms by mail prior to the telephone interview.  Respondents completed and returned these forms by mail after their telephone interview.  In previous waves, these forms were provided and collected by face to face interviewers.</w:t>
      </w:r>
    </w:p>
    <w:p w14:paraId="06820A1D" w14:textId="77777777" w:rsidR="00AE6445" w:rsidRPr="001D042C" w:rsidRDefault="00AE6445" w:rsidP="00AE6445">
      <w:pPr>
        <w:pStyle w:val="Para"/>
        <w:rPr>
          <w:color w:val="000000"/>
          <w:szCs w:val="24"/>
        </w:rPr>
      </w:pPr>
    </w:p>
    <w:p w14:paraId="45CA9DFA" w14:textId="77777777" w:rsidR="003920D8" w:rsidRPr="001D042C" w:rsidRDefault="00AE6445">
      <w:pPr>
        <w:pStyle w:val="Heading3"/>
        <w:tabs>
          <w:tab w:val="num" w:pos="851"/>
        </w:tabs>
        <w:spacing w:before="0"/>
        <w:ind w:hanging="8517"/>
        <w:rPr>
          <w:bCs/>
          <w:lang w:val="en-AU"/>
        </w:rPr>
      </w:pPr>
      <w:bookmarkStart w:id="64" w:name="_Toc439198261"/>
      <w:bookmarkStart w:id="65" w:name="_Toc445571646"/>
      <w:r w:rsidRPr="001D042C">
        <w:rPr>
          <w:bCs/>
          <w:lang w:val="en-AU"/>
        </w:rPr>
        <w:t>Sample Frame</w:t>
      </w:r>
      <w:bookmarkEnd w:id="64"/>
      <w:bookmarkEnd w:id="65"/>
    </w:p>
    <w:p w14:paraId="091B5671" w14:textId="77777777" w:rsidR="00AE6445" w:rsidRPr="001D042C" w:rsidRDefault="00AE6445" w:rsidP="00AE6445">
      <w:pPr>
        <w:pStyle w:val="Para"/>
        <w:rPr>
          <w:szCs w:val="24"/>
        </w:rPr>
      </w:pPr>
      <w:r w:rsidRPr="001D042C">
        <w:rPr>
          <w:color w:val="000000"/>
          <w:szCs w:val="24"/>
        </w:rPr>
        <w:t xml:space="preserve">The sample frame employed for the 2014 survey comprised past respondents (from </w:t>
      </w:r>
      <w:smartTag w:uri="urn:schemas-microsoft-com:office:smarttags" w:element="State">
        <w:smartTag w:uri="urn:schemas-microsoft-com:office:smarttags" w:element="place">
          <w:r w:rsidRPr="001D042C">
            <w:rPr>
              <w:color w:val="000000"/>
              <w:szCs w:val="24"/>
            </w:rPr>
            <w:t>Victoria</w:t>
          </w:r>
        </w:smartTag>
      </w:smartTag>
      <w:r w:rsidRPr="001D042C">
        <w:rPr>
          <w:color w:val="000000"/>
          <w:szCs w:val="24"/>
        </w:rPr>
        <w:t xml:space="preserve"> only) to Roy Morgan Research’s Single Source surveys.  This database of respondents has been built up </w:t>
      </w:r>
      <w:r w:rsidRPr="001D042C">
        <w:rPr>
          <w:szCs w:val="24"/>
        </w:rPr>
        <w:t xml:space="preserve">from annual national survey samples of over 50,000 interviews with Australians aged 14 years and over, the vast majority of which were originally conducted face to face. In a typical year, approximately 11,700 respondents from </w:t>
      </w:r>
      <w:smartTag w:uri="urn:schemas-microsoft-com:office:smarttags" w:element="State">
        <w:smartTag w:uri="urn:schemas-microsoft-com:office:smarttags" w:element="place">
          <w:r w:rsidRPr="001D042C">
            <w:rPr>
              <w:szCs w:val="24"/>
            </w:rPr>
            <w:t>Victoria</w:t>
          </w:r>
        </w:smartTag>
      </w:smartTag>
      <w:r w:rsidRPr="001D042C">
        <w:rPr>
          <w:szCs w:val="24"/>
        </w:rPr>
        <w:t xml:space="preserve"> are interviewed for the Single Source survey and added to its cumulative database.</w:t>
      </w:r>
    </w:p>
    <w:p w14:paraId="59C2EE44" w14:textId="77777777" w:rsidR="00AE6445" w:rsidRPr="001D042C" w:rsidRDefault="00AE6445" w:rsidP="00AE6445">
      <w:pPr>
        <w:pStyle w:val="Para"/>
        <w:rPr>
          <w:szCs w:val="24"/>
        </w:rPr>
      </w:pPr>
      <w:r w:rsidRPr="001D042C">
        <w:rPr>
          <w:szCs w:val="24"/>
        </w:rPr>
        <w:lastRenderedPageBreak/>
        <w:t>The benefits of using this sample frame included:</w:t>
      </w:r>
    </w:p>
    <w:p w14:paraId="263B8B55" w14:textId="77777777" w:rsidR="00AE6445" w:rsidRPr="001D042C" w:rsidRDefault="00AE6445" w:rsidP="00AE6445">
      <w:pPr>
        <w:pStyle w:val="Para"/>
        <w:numPr>
          <w:ilvl w:val="0"/>
          <w:numId w:val="19"/>
        </w:numPr>
        <w:rPr>
          <w:szCs w:val="24"/>
        </w:rPr>
      </w:pPr>
      <w:r w:rsidRPr="001D042C">
        <w:rPr>
          <w:szCs w:val="24"/>
        </w:rPr>
        <w:t>It covers the whole of the state.</w:t>
      </w:r>
    </w:p>
    <w:p w14:paraId="555D138B" w14:textId="77777777" w:rsidR="00AE6445" w:rsidRPr="001D042C" w:rsidRDefault="00AE6445" w:rsidP="00AE6445">
      <w:pPr>
        <w:pStyle w:val="Para"/>
        <w:numPr>
          <w:ilvl w:val="0"/>
          <w:numId w:val="19"/>
        </w:numPr>
        <w:rPr>
          <w:szCs w:val="24"/>
        </w:rPr>
      </w:pPr>
      <w:r w:rsidRPr="001D042C">
        <w:rPr>
          <w:szCs w:val="24"/>
        </w:rPr>
        <w:t xml:space="preserve">The survey from which it has been accumulated employs a random, geographically representative stratified sample design rather than a self-selected panel. </w:t>
      </w:r>
    </w:p>
    <w:p w14:paraId="6EC3A943" w14:textId="078D983C" w:rsidR="00AE6445" w:rsidRPr="001D042C" w:rsidRDefault="00AE6445" w:rsidP="00AE6445">
      <w:pPr>
        <w:pStyle w:val="Para"/>
        <w:numPr>
          <w:ilvl w:val="0"/>
          <w:numId w:val="19"/>
        </w:numPr>
        <w:rPr>
          <w:szCs w:val="24"/>
        </w:rPr>
      </w:pPr>
      <w:r w:rsidRPr="001D042C">
        <w:rPr>
          <w:szCs w:val="24"/>
        </w:rPr>
        <w:t xml:space="preserve">It identifies whether a respondent receives particular government benefits, including age pensions, non-aged pensions and Veterans’ Affairs Gold Card users, thus enabling the initial sample for </w:t>
      </w:r>
      <w:r w:rsidR="001F4692">
        <w:rPr>
          <w:szCs w:val="24"/>
        </w:rPr>
        <w:t>this survey</w:t>
      </w:r>
      <w:r w:rsidRPr="001D042C">
        <w:rPr>
          <w:szCs w:val="24"/>
        </w:rPr>
        <w:t xml:space="preserve"> to be pre-stratified and selected with regard to probable concession status, thus cost-effectively enabling the over-sampling of concession households that is a feature of this survey series.</w:t>
      </w:r>
    </w:p>
    <w:p w14:paraId="63417383" w14:textId="77777777" w:rsidR="00AE6445" w:rsidRPr="001D042C" w:rsidRDefault="00AE6445" w:rsidP="00AE6445">
      <w:pPr>
        <w:pStyle w:val="Para"/>
        <w:numPr>
          <w:ilvl w:val="0"/>
          <w:numId w:val="19"/>
        </w:numPr>
        <w:rPr>
          <w:szCs w:val="24"/>
        </w:rPr>
      </w:pPr>
      <w:r w:rsidRPr="001D042C">
        <w:rPr>
          <w:szCs w:val="24"/>
        </w:rPr>
        <w:t>For most records in the sample frame, both telephone numbers and mailing addresses are available.</w:t>
      </w:r>
    </w:p>
    <w:p w14:paraId="60F95250" w14:textId="77777777" w:rsidR="00AE6445" w:rsidRPr="001D042C" w:rsidRDefault="00AE6445" w:rsidP="00AE6445">
      <w:pPr>
        <w:pStyle w:val="Para"/>
        <w:rPr>
          <w:szCs w:val="24"/>
        </w:rPr>
      </w:pPr>
    </w:p>
    <w:p w14:paraId="57D7AC37" w14:textId="77777777" w:rsidR="00AE6445" w:rsidRPr="001D042C" w:rsidRDefault="00AE6445" w:rsidP="00AE6445">
      <w:pPr>
        <w:pStyle w:val="Para"/>
        <w:rPr>
          <w:szCs w:val="24"/>
        </w:rPr>
      </w:pPr>
      <w:r w:rsidRPr="001D042C">
        <w:rPr>
          <w:szCs w:val="24"/>
        </w:rPr>
        <w:t>It was agreed with the Department during the planning stages that the sample should not include people living in very low population councils, as the burden that would be imposed upon such councils setting up the procedures to match and extract billing data for a tiny number of respondents would not be justified, since the sample size in all these council areas would be too small for any analysis.  It was possible to stratify the sample such that all of the 17 DHHS regions were reasonably represented without including the 23 lowest population councils.  The population of the council areas excluded together total about 5% of the State’s population.</w:t>
      </w:r>
    </w:p>
    <w:p w14:paraId="07F69C11" w14:textId="77777777" w:rsidR="00AE6445" w:rsidRPr="001D042C" w:rsidRDefault="00AE6445" w:rsidP="00AE6445">
      <w:pPr>
        <w:pStyle w:val="Para"/>
        <w:rPr>
          <w:szCs w:val="24"/>
        </w:rPr>
      </w:pPr>
    </w:p>
    <w:p w14:paraId="1ACDE2BD" w14:textId="77777777" w:rsidR="003920D8" w:rsidRPr="001D042C" w:rsidRDefault="00AE6445">
      <w:pPr>
        <w:pStyle w:val="Heading3"/>
        <w:tabs>
          <w:tab w:val="num" w:pos="851"/>
        </w:tabs>
        <w:spacing w:before="0"/>
        <w:ind w:hanging="8517"/>
        <w:rPr>
          <w:bCs/>
          <w:lang w:val="en-AU"/>
        </w:rPr>
      </w:pPr>
      <w:bookmarkStart w:id="66" w:name="_Toc439198262"/>
      <w:bookmarkStart w:id="67" w:name="_Toc445571647"/>
      <w:r w:rsidRPr="001D042C">
        <w:rPr>
          <w:bCs/>
          <w:lang w:val="en-AU"/>
        </w:rPr>
        <w:t>Sample Stratification and Selection</w:t>
      </w:r>
      <w:bookmarkEnd w:id="66"/>
      <w:bookmarkEnd w:id="67"/>
    </w:p>
    <w:p w14:paraId="678026BA" w14:textId="77777777" w:rsidR="00AE6445" w:rsidRDefault="00AE6445" w:rsidP="00AE6445">
      <w:pPr>
        <w:pStyle w:val="Para"/>
      </w:pPr>
      <w:r w:rsidRPr="001D042C">
        <w:rPr>
          <w:szCs w:val="24"/>
        </w:rPr>
        <w:t xml:space="preserve">The final sample needed to include sufficient sample for reliable analysis across a number of dimensions, including regions, concession status and household size.  Apart from any stratification necessary to achieve minimum sample sizes along any of these dimensions, the aim was that the sample should be broadly representative.  The aim was that the overall final sample should be at least 1,500, and that at least 375 aged concession households and at least 375 non-aged concession households be included in the final sample. </w:t>
      </w:r>
      <w:r w:rsidRPr="001D042C">
        <w:t>This involved a deliberate, moderate over-sampling of concession households in order to ensure that a sufficiently large sample was available in order to undertaken detailed and reliable sub-group analysis.</w:t>
      </w:r>
    </w:p>
    <w:p w14:paraId="4FCFDDED" w14:textId="77777777" w:rsidR="000457E6" w:rsidRPr="001D042C" w:rsidRDefault="000457E6" w:rsidP="00AE6445">
      <w:pPr>
        <w:pStyle w:val="Para"/>
        <w:rPr>
          <w:szCs w:val="24"/>
        </w:rPr>
      </w:pPr>
    </w:p>
    <w:p w14:paraId="3A5AA502" w14:textId="77777777" w:rsidR="00C03777" w:rsidRPr="001D042C" w:rsidRDefault="00AE6445" w:rsidP="00162EF6">
      <w:pPr>
        <w:pStyle w:val="Para"/>
        <w:rPr>
          <w:szCs w:val="24"/>
        </w:rPr>
      </w:pPr>
      <w:r w:rsidRPr="001D042C">
        <w:rPr>
          <w:szCs w:val="24"/>
        </w:rPr>
        <w:t>The size and distribution of the initial sample selected in order to achieve these targets took into account the likely contact rates, co-operation rates and qualifying rates to the CATI survey as well as the likely completion rate of usable consent forms</w:t>
      </w:r>
      <w:r w:rsidR="00C03777" w:rsidRPr="001D042C">
        <w:rPr>
          <w:szCs w:val="24"/>
        </w:rPr>
        <w:t xml:space="preserve"> (see Table 2.1</w:t>
      </w:r>
      <w:r w:rsidR="00255B34" w:rsidRPr="001D042C">
        <w:rPr>
          <w:szCs w:val="24"/>
        </w:rPr>
        <w:t xml:space="preserve">, </w:t>
      </w:r>
      <w:r w:rsidR="00C03777" w:rsidRPr="001D042C">
        <w:rPr>
          <w:szCs w:val="24"/>
        </w:rPr>
        <w:t>Table 2.2</w:t>
      </w:r>
      <w:r w:rsidR="00255B34" w:rsidRPr="001D042C">
        <w:rPr>
          <w:szCs w:val="24"/>
        </w:rPr>
        <w:t xml:space="preserve"> and T</w:t>
      </w:r>
      <w:r w:rsidR="00C03777" w:rsidRPr="001D042C">
        <w:rPr>
          <w:szCs w:val="24"/>
        </w:rPr>
        <w:t>able 2.3</w:t>
      </w:r>
      <w:r w:rsidR="00255B34" w:rsidRPr="00162EF6">
        <w:rPr>
          <w:szCs w:val="24"/>
        </w:rPr>
        <w:t xml:space="preserve"> </w:t>
      </w:r>
      <w:r w:rsidR="00255B34" w:rsidRPr="001D042C">
        <w:rPr>
          <w:szCs w:val="24"/>
        </w:rPr>
        <w:t>following)</w:t>
      </w:r>
      <w:r w:rsidRPr="001D042C">
        <w:rPr>
          <w:szCs w:val="24"/>
        </w:rPr>
        <w:t xml:space="preserve">. </w:t>
      </w:r>
    </w:p>
    <w:p w14:paraId="427905BC" w14:textId="5F262172" w:rsidR="00AE6445" w:rsidRPr="001D042C" w:rsidRDefault="00AE6445" w:rsidP="00162EF6">
      <w:pPr>
        <w:pStyle w:val="Para"/>
        <w:rPr>
          <w:szCs w:val="24"/>
        </w:rPr>
      </w:pPr>
      <w:r w:rsidRPr="001D042C">
        <w:rPr>
          <w:szCs w:val="24"/>
        </w:rPr>
        <w:lastRenderedPageBreak/>
        <w:t xml:space="preserve">It was recognised that it would be preferable to pilot the entire survey process, partly to gain a clearer guide as to these </w:t>
      </w:r>
      <w:r w:rsidR="00B5775E" w:rsidRPr="001D042C">
        <w:rPr>
          <w:szCs w:val="24"/>
        </w:rPr>
        <w:t>rates;</w:t>
      </w:r>
      <w:r w:rsidRPr="001D042C">
        <w:rPr>
          <w:szCs w:val="24"/>
        </w:rPr>
        <w:t xml:space="preserve"> however the Department advised that the timeline and budget available did not allow for a pilot in this case. The initial sample drawn comprised 12,135 cases, distributed as shown in the following tables.</w:t>
      </w:r>
    </w:p>
    <w:p w14:paraId="37DDC621" w14:textId="77777777" w:rsidR="00AE6445" w:rsidRPr="001D042C" w:rsidRDefault="00AE6445" w:rsidP="00425948">
      <w:pPr>
        <w:pStyle w:val="Para"/>
        <w:keepNext/>
        <w:keepLines/>
        <w:spacing w:after="120"/>
        <w:jc w:val="center"/>
        <w:rPr>
          <w:b/>
          <w:szCs w:val="24"/>
        </w:rPr>
      </w:pPr>
      <w:r w:rsidRPr="001D042C">
        <w:rPr>
          <w:b/>
          <w:szCs w:val="24"/>
        </w:rPr>
        <w:t xml:space="preserve">Table </w:t>
      </w:r>
      <w:r w:rsidR="0091303E" w:rsidRPr="001D042C">
        <w:rPr>
          <w:b/>
          <w:szCs w:val="24"/>
        </w:rPr>
        <w:t>2.1</w:t>
      </w:r>
      <w:r w:rsidRPr="001D042C">
        <w:rPr>
          <w:b/>
          <w:szCs w:val="24"/>
        </w:rPr>
        <w:t xml:space="preserve"> – </w:t>
      </w:r>
      <w:r w:rsidRPr="001D042C">
        <w:rPr>
          <w:b/>
          <w:szCs w:val="24"/>
          <w:u w:val="single"/>
        </w:rPr>
        <w:t>Initial sample drawn – by likely concession status and DHHS region</w:t>
      </w:r>
    </w:p>
    <w:tbl>
      <w:tblPr>
        <w:tblW w:w="80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20"/>
        <w:gridCol w:w="1360"/>
        <w:gridCol w:w="1360"/>
        <w:gridCol w:w="1360"/>
        <w:gridCol w:w="1360"/>
      </w:tblGrid>
      <w:tr w:rsidR="00AE6445" w:rsidRPr="001D042C" w14:paraId="6512179A" w14:textId="77777777" w:rsidTr="00425948">
        <w:trPr>
          <w:trHeight w:val="900"/>
          <w:jc w:val="center"/>
        </w:trPr>
        <w:tc>
          <w:tcPr>
            <w:tcW w:w="2620" w:type="dxa"/>
            <w:shd w:val="clear" w:color="auto" w:fill="auto"/>
            <w:noWrap/>
            <w:vAlign w:val="bottom"/>
          </w:tcPr>
          <w:p w14:paraId="5206A8BE" w14:textId="77777777" w:rsidR="00AE6445" w:rsidRPr="001D042C" w:rsidRDefault="00AE6445" w:rsidP="00AE6445">
            <w:pPr>
              <w:keepNext/>
              <w:keepLines/>
              <w:spacing w:before="0" w:after="0"/>
              <w:rPr>
                <w:rFonts w:ascii="Arial" w:hAnsi="Arial" w:cs="Arial"/>
                <w:b/>
                <w:color w:val="000000"/>
                <w:sz w:val="20"/>
                <w:lang w:val="en-AU" w:eastAsia="en-AU"/>
              </w:rPr>
            </w:pPr>
            <w:r w:rsidRPr="001D042C">
              <w:rPr>
                <w:rFonts w:ascii="Arial" w:hAnsi="Arial" w:cs="Arial"/>
                <w:b/>
                <w:color w:val="000000"/>
                <w:sz w:val="20"/>
                <w:lang w:val="en-AU" w:eastAsia="en-AU"/>
              </w:rPr>
              <w:t>DHHS Region</w:t>
            </w:r>
          </w:p>
        </w:tc>
        <w:tc>
          <w:tcPr>
            <w:tcW w:w="1360" w:type="dxa"/>
            <w:shd w:val="clear" w:color="auto" w:fill="auto"/>
            <w:vAlign w:val="bottom"/>
          </w:tcPr>
          <w:p w14:paraId="6484692C"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Likely Aged Concession</w:t>
            </w:r>
          </w:p>
        </w:tc>
        <w:tc>
          <w:tcPr>
            <w:tcW w:w="1360" w:type="dxa"/>
            <w:shd w:val="clear" w:color="auto" w:fill="auto"/>
            <w:vAlign w:val="bottom"/>
          </w:tcPr>
          <w:p w14:paraId="46C3A941"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Likely Non Aged Concession</w:t>
            </w:r>
          </w:p>
        </w:tc>
        <w:tc>
          <w:tcPr>
            <w:tcW w:w="1360" w:type="dxa"/>
            <w:shd w:val="clear" w:color="auto" w:fill="auto"/>
            <w:vAlign w:val="bottom"/>
          </w:tcPr>
          <w:p w14:paraId="5B410E82"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Likely Non Concession</w:t>
            </w:r>
          </w:p>
        </w:tc>
        <w:tc>
          <w:tcPr>
            <w:tcW w:w="1360" w:type="dxa"/>
            <w:shd w:val="clear" w:color="auto" w:fill="auto"/>
            <w:vAlign w:val="bottom"/>
          </w:tcPr>
          <w:p w14:paraId="69D680A5"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Total</w:t>
            </w:r>
          </w:p>
        </w:tc>
      </w:tr>
      <w:tr w:rsidR="00AE6445" w:rsidRPr="001D042C" w14:paraId="2524BB17" w14:textId="77777777" w:rsidTr="00425948">
        <w:trPr>
          <w:trHeight w:val="300"/>
          <w:jc w:val="center"/>
        </w:trPr>
        <w:tc>
          <w:tcPr>
            <w:tcW w:w="2620" w:type="dxa"/>
            <w:shd w:val="clear" w:color="auto" w:fill="auto"/>
            <w:noWrap/>
            <w:vAlign w:val="bottom"/>
          </w:tcPr>
          <w:p w14:paraId="02204ABD"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Barwon</w:t>
            </w:r>
          </w:p>
        </w:tc>
        <w:tc>
          <w:tcPr>
            <w:tcW w:w="1360" w:type="dxa"/>
            <w:shd w:val="clear" w:color="auto" w:fill="auto"/>
            <w:noWrap/>
            <w:vAlign w:val="bottom"/>
          </w:tcPr>
          <w:p w14:paraId="2BDFD555"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165</w:t>
            </w:r>
          </w:p>
        </w:tc>
        <w:tc>
          <w:tcPr>
            <w:tcW w:w="1360" w:type="dxa"/>
            <w:shd w:val="clear" w:color="auto" w:fill="auto"/>
            <w:noWrap/>
            <w:vAlign w:val="bottom"/>
          </w:tcPr>
          <w:p w14:paraId="4507D8DA"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194</w:t>
            </w:r>
          </w:p>
        </w:tc>
        <w:tc>
          <w:tcPr>
            <w:tcW w:w="1360" w:type="dxa"/>
            <w:shd w:val="clear" w:color="auto" w:fill="auto"/>
            <w:noWrap/>
            <w:vAlign w:val="bottom"/>
          </w:tcPr>
          <w:p w14:paraId="5916EBCD"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308</w:t>
            </w:r>
          </w:p>
        </w:tc>
        <w:tc>
          <w:tcPr>
            <w:tcW w:w="1360" w:type="dxa"/>
            <w:shd w:val="clear" w:color="auto" w:fill="auto"/>
            <w:noWrap/>
            <w:vAlign w:val="bottom"/>
          </w:tcPr>
          <w:p w14:paraId="5F60F1AF"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667</w:t>
            </w:r>
          </w:p>
        </w:tc>
      </w:tr>
      <w:tr w:rsidR="00AE6445" w:rsidRPr="001D042C" w14:paraId="06ACE975" w14:textId="77777777" w:rsidTr="00425948">
        <w:trPr>
          <w:trHeight w:val="300"/>
          <w:jc w:val="center"/>
        </w:trPr>
        <w:tc>
          <w:tcPr>
            <w:tcW w:w="2620" w:type="dxa"/>
            <w:shd w:val="clear" w:color="auto" w:fill="auto"/>
            <w:noWrap/>
            <w:vAlign w:val="bottom"/>
          </w:tcPr>
          <w:p w14:paraId="0D2A2625"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Bayside </w:t>
            </w:r>
            <w:smartTag w:uri="urn:schemas-microsoft-com:office:smarttags" w:element="place">
              <w:r w:rsidRPr="001D042C">
                <w:rPr>
                  <w:rFonts w:ascii="Arial" w:hAnsi="Arial" w:cs="Arial"/>
                  <w:color w:val="000000"/>
                  <w:sz w:val="20"/>
                  <w:lang w:val="en-AU" w:eastAsia="en-AU"/>
                </w:rPr>
                <w:t>Peninsula</w:t>
              </w:r>
            </w:smartTag>
          </w:p>
        </w:tc>
        <w:tc>
          <w:tcPr>
            <w:tcW w:w="1360" w:type="dxa"/>
            <w:shd w:val="clear" w:color="auto" w:fill="auto"/>
            <w:noWrap/>
            <w:vAlign w:val="bottom"/>
          </w:tcPr>
          <w:p w14:paraId="2506032E"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527</w:t>
            </w:r>
          </w:p>
        </w:tc>
        <w:tc>
          <w:tcPr>
            <w:tcW w:w="1360" w:type="dxa"/>
            <w:shd w:val="clear" w:color="auto" w:fill="auto"/>
            <w:noWrap/>
            <w:vAlign w:val="bottom"/>
          </w:tcPr>
          <w:p w14:paraId="72B4B5DA"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369</w:t>
            </w:r>
          </w:p>
        </w:tc>
        <w:tc>
          <w:tcPr>
            <w:tcW w:w="1360" w:type="dxa"/>
            <w:shd w:val="clear" w:color="auto" w:fill="auto"/>
            <w:noWrap/>
            <w:vAlign w:val="bottom"/>
          </w:tcPr>
          <w:p w14:paraId="19B16A9A"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847</w:t>
            </w:r>
          </w:p>
        </w:tc>
        <w:tc>
          <w:tcPr>
            <w:tcW w:w="1360" w:type="dxa"/>
            <w:shd w:val="clear" w:color="auto" w:fill="auto"/>
            <w:noWrap/>
            <w:vAlign w:val="bottom"/>
          </w:tcPr>
          <w:p w14:paraId="465359E8"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1,743</w:t>
            </w:r>
          </w:p>
        </w:tc>
      </w:tr>
      <w:tr w:rsidR="00AE6445" w:rsidRPr="001D042C" w14:paraId="55E62259" w14:textId="77777777" w:rsidTr="00425948">
        <w:trPr>
          <w:trHeight w:val="300"/>
          <w:jc w:val="center"/>
        </w:trPr>
        <w:tc>
          <w:tcPr>
            <w:tcW w:w="2620" w:type="dxa"/>
            <w:shd w:val="clear" w:color="auto" w:fill="auto"/>
            <w:noWrap/>
            <w:vAlign w:val="bottom"/>
          </w:tcPr>
          <w:p w14:paraId="3284EE9E"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Brimbank Melton</w:t>
            </w:r>
          </w:p>
        </w:tc>
        <w:tc>
          <w:tcPr>
            <w:tcW w:w="1360" w:type="dxa"/>
            <w:shd w:val="clear" w:color="auto" w:fill="auto"/>
            <w:noWrap/>
            <w:vAlign w:val="bottom"/>
          </w:tcPr>
          <w:p w14:paraId="30C2F752"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94</w:t>
            </w:r>
          </w:p>
        </w:tc>
        <w:tc>
          <w:tcPr>
            <w:tcW w:w="1360" w:type="dxa"/>
            <w:shd w:val="clear" w:color="auto" w:fill="auto"/>
            <w:noWrap/>
            <w:vAlign w:val="bottom"/>
          </w:tcPr>
          <w:p w14:paraId="4296C90D"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155</w:t>
            </w:r>
          </w:p>
        </w:tc>
        <w:tc>
          <w:tcPr>
            <w:tcW w:w="1360" w:type="dxa"/>
            <w:shd w:val="clear" w:color="auto" w:fill="auto"/>
            <w:noWrap/>
            <w:vAlign w:val="bottom"/>
          </w:tcPr>
          <w:p w14:paraId="2DABBD68"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183</w:t>
            </w:r>
          </w:p>
        </w:tc>
        <w:tc>
          <w:tcPr>
            <w:tcW w:w="1360" w:type="dxa"/>
            <w:shd w:val="clear" w:color="auto" w:fill="auto"/>
            <w:noWrap/>
            <w:vAlign w:val="bottom"/>
          </w:tcPr>
          <w:p w14:paraId="308E15C6"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432</w:t>
            </w:r>
          </w:p>
        </w:tc>
      </w:tr>
      <w:tr w:rsidR="00AE6445" w:rsidRPr="001D042C" w14:paraId="57F638C6" w14:textId="77777777" w:rsidTr="00425948">
        <w:trPr>
          <w:trHeight w:val="300"/>
          <w:jc w:val="center"/>
        </w:trPr>
        <w:tc>
          <w:tcPr>
            <w:tcW w:w="2620" w:type="dxa"/>
            <w:shd w:val="clear" w:color="auto" w:fill="auto"/>
            <w:noWrap/>
            <w:vAlign w:val="bottom"/>
          </w:tcPr>
          <w:p w14:paraId="78C08CDE"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Central Highlands</w:t>
            </w:r>
          </w:p>
        </w:tc>
        <w:tc>
          <w:tcPr>
            <w:tcW w:w="1360" w:type="dxa"/>
            <w:shd w:val="clear" w:color="auto" w:fill="auto"/>
            <w:noWrap/>
            <w:vAlign w:val="bottom"/>
          </w:tcPr>
          <w:p w14:paraId="0DE90701"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121</w:t>
            </w:r>
          </w:p>
        </w:tc>
        <w:tc>
          <w:tcPr>
            <w:tcW w:w="1360" w:type="dxa"/>
            <w:shd w:val="clear" w:color="auto" w:fill="auto"/>
            <w:noWrap/>
            <w:vAlign w:val="bottom"/>
          </w:tcPr>
          <w:p w14:paraId="3FBE69A3"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148</w:t>
            </w:r>
          </w:p>
        </w:tc>
        <w:tc>
          <w:tcPr>
            <w:tcW w:w="1360" w:type="dxa"/>
            <w:shd w:val="clear" w:color="auto" w:fill="auto"/>
            <w:noWrap/>
            <w:vAlign w:val="bottom"/>
          </w:tcPr>
          <w:p w14:paraId="06E75581"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251</w:t>
            </w:r>
          </w:p>
        </w:tc>
        <w:tc>
          <w:tcPr>
            <w:tcW w:w="1360" w:type="dxa"/>
            <w:shd w:val="clear" w:color="auto" w:fill="auto"/>
            <w:noWrap/>
            <w:vAlign w:val="bottom"/>
          </w:tcPr>
          <w:p w14:paraId="73C7EDAF"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520</w:t>
            </w:r>
          </w:p>
        </w:tc>
      </w:tr>
      <w:tr w:rsidR="00AE6445" w:rsidRPr="001D042C" w14:paraId="14ABC1FA" w14:textId="77777777" w:rsidTr="00425948">
        <w:trPr>
          <w:trHeight w:val="300"/>
          <w:jc w:val="center"/>
        </w:trPr>
        <w:tc>
          <w:tcPr>
            <w:tcW w:w="2620" w:type="dxa"/>
            <w:shd w:val="clear" w:color="auto" w:fill="auto"/>
            <w:noWrap/>
            <w:vAlign w:val="bottom"/>
          </w:tcPr>
          <w:p w14:paraId="1BECFAD8"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Goulburn</w:t>
            </w:r>
          </w:p>
        </w:tc>
        <w:tc>
          <w:tcPr>
            <w:tcW w:w="1360" w:type="dxa"/>
            <w:shd w:val="clear" w:color="auto" w:fill="auto"/>
            <w:noWrap/>
            <w:vAlign w:val="bottom"/>
          </w:tcPr>
          <w:p w14:paraId="6D5FEE0F"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107</w:t>
            </w:r>
          </w:p>
        </w:tc>
        <w:tc>
          <w:tcPr>
            <w:tcW w:w="1360" w:type="dxa"/>
            <w:shd w:val="clear" w:color="auto" w:fill="auto"/>
            <w:noWrap/>
            <w:vAlign w:val="bottom"/>
          </w:tcPr>
          <w:p w14:paraId="143C9B21"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85</w:t>
            </w:r>
          </w:p>
        </w:tc>
        <w:tc>
          <w:tcPr>
            <w:tcW w:w="1360" w:type="dxa"/>
            <w:shd w:val="clear" w:color="auto" w:fill="auto"/>
            <w:noWrap/>
            <w:vAlign w:val="bottom"/>
          </w:tcPr>
          <w:p w14:paraId="74180731"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200</w:t>
            </w:r>
          </w:p>
        </w:tc>
        <w:tc>
          <w:tcPr>
            <w:tcW w:w="1360" w:type="dxa"/>
            <w:shd w:val="clear" w:color="auto" w:fill="auto"/>
            <w:noWrap/>
            <w:vAlign w:val="bottom"/>
          </w:tcPr>
          <w:p w14:paraId="58D8EA92"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392</w:t>
            </w:r>
          </w:p>
        </w:tc>
      </w:tr>
      <w:tr w:rsidR="00AE6445" w:rsidRPr="001D042C" w14:paraId="58776BB8" w14:textId="77777777" w:rsidTr="00425948">
        <w:trPr>
          <w:trHeight w:val="300"/>
          <w:jc w:val="center"/>
        </w:trPr>
        <w:tc>
          <w:tcPr>
            <w:tcW w:w="2620" w:type="dxa"/>
            <w:shd w:val="clear" w:color="auto" w:fill="auto"/>
            <w:noWrap/>
            <w:vAlign w:val="bottom"/>
          </w:tcPr>
          <w:p w14:paraId="1C3D4C9E"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Hume Moreland</w:t>
            </w:r>
          </w:p>
        </w:tc>
        <w:tc>
          <w:tcPr>
            <w:tcW w:w="1360" w:type="dxa"/>
            <w:shd w:val="clear" w:color="auto" w:fill="auto"/>
            <w:noWrap/>
            <w:vAlign w:val="bottom"/>
          </w:tcPr>
          <w:p w14:paraId="76B11719"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115</w:t>
            </w:r>
          </w:p>
        </w:tc>
        <w:tc>
          <w:tcPr>
            <w:tcW w:w="1360" w:type="dxa"/>
            <w:shd w:val="clear" w:color="auto" w:fill="auto"/>
            <w:noWrap/>
            <w:vAlign w:val="bottom"/>
          </w:tcPr>
          <w:p w14:paraId="02D001C9"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147</w:t>
            </w:r>
          </w:p>
        </w:tc>
        <w:tc>
          <w:tcPr>
            <w:tcW w:w="1360" w:type="dxa"/>
            <w:shd w:val="clear" w:color="auto" w:fill="auto"/>
            <w:noWrap/>
            <w:vAlign w:val="bottom"/>
          </w:tcPr>
          <w:p w14:paraId="00E13E7C"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206</w:t>
            </w:r>
          </w:p>
        </w:tc>
        <w:tc>
          <w:tcPr>
            <w:tcW w:w="1360" w:type="dxa"/>
            <w:shd w:val="clear" w:color="auto" w:fill="auto"/>
            <w:noWrap/>
            <w:vAlign w:val="bottom"/>
          </w:tcPr>
          <w:p w14:paraId="5C26D2F2"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468</w:t>
            </w:r>
          </w:p>
        </w:tc>
      </w:tr>
      <w:tr w:rsidR="00AE6445" w:rsidRPr="001D042C" w14:paraId="098A0723" w14:textId="77777777" w:rsidTr="00425948">
        <w:trPr>
          <w:trHeight w:val="300"/>
          <w:jc w:val="center"/>
        </w:trPr>
        <w:tc>
          <w:tcPr>
            <w:tcW w:w="2620" w:type="dxa"/>
            <w:shd w:val="clear" w:color="auto" w:fill="auto"/>
            <w:noWrap/>
            <w:vAlign w:val="bottom"/>
          </w:tcPr>
          <w:p w14:paraId="786C4875"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Inner </w:t>
            </w:r>
            <w:smartTag w:uri="urn:schemas-microsoft-com:office:smarttags" w:element="place">
              <w:r w:rsidRPr="001D042C">
                <w:rPr>
                  <w:rFonts w:ascii="Arial" w:hAnsi="Arial" w:cs="Arial"/>
                  <w:color w:val="000000"/>
                  <w:sz w:val="20"/>
                  <w:lang w:val="en-AU" w:eastAsia="en-AU"/>
                </w:rPr>
                <w:t>Eastern Melbourne</w:t>
              </w:r>
            </w:smartTag>
          </w:p>
        </w:tc>
        <w:tc>
          <w:tcPr>
            <w:tcW w:w="1360" w:type="dxa"/>
            <w:shd w:val="clear" w:color="auto" w:fill="auto"/>
            <w:noWrap/>
            <w:vAlign w:val="bottom"/>
          </w:tcPr>
          <w:p w14:paraId="6D24AFCE"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342</w:t>
            </w:r>
          </w:p>
        </w:tc>
        <w:tc>
          <w:tcPr>
            <w:tcW w:w="1360" w:type="dxa"/>
            <w:shd w:val="clear" w:color="auto" w:fill="auto"/>
            <w:noWrap/>
            <w:vAlign w:val="bottom"/>
          </w:tcPr>
          <w:p w14:paraId="3379630E"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211</w:t>
            </w:r>
          </w:p>
        </w:tc>
        <w:tc>
          <w:tcPr>
            <w:tcW w:w="1360" w:type="dxa"/>
            <w:shd w:val="clear" w:color="auto" w:fill="auto"/>
            <w:noWrap/>
            <w:vAlign w:val="bottom"/>
          </w:tcPr>
          <w:p w14:paraId="52D9D53E"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673</w:t>
            </w:r>
          </w:p>
        </w:tc>
        <w:tc>
          <w:tcPr>
            <w:tcW w:w="1360" w:type="dxa"/>
            <w:shd w:val="clear" w:color="auto" w:fill="auto"/>
            <w:noWrap/>
            <w:vAlign w:val="bottom"/>
          </w:tcPr>
          <w:p w14:paraId="09D69E78"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1,226</w:t>
            </w:r>
          </w:p>
        </w:tc>
      </w:tr>
      <w:tr w:rsidR="00AE6445" w:rsidRPr="001D042C" w14:paraId="28B41A47" w14:textId="77777777" w:rsidTr="00425948">
        <w:trPr>
          <w:trHeight w:val="300"/>
          <w:jc w:val="center"/>
        </w:trPr>
        <w:tc>
          <w:tcPr>
            <w:tcW w:w="2620" w:type="dxa"/>
            <w:shd w:val="clear" w:color="auto" w:fill="auto"/>
            <w:noWrap/>
            <w:vAlign w:val="bottom"/>
          </w:tcPr>
          <w:p w14:paraId="0F407D45"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Inner Gippsland</w:t>
            </w:r>
          </w:p>
        </w:tc>
        <w:tc>
          <w:tcPr>
            <w:tcW w:w="1360" w:type="dxa"/>
            <w:shd w:val="clear" w:color="auto" w:fill="auto"/>
            <w:noWrap/>
            <w:vAlign w:val="bottom"/>
          </w:tcPr>
          <w:p w14:paraId="38127258"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176</w:t>
            </w:r>
          </w:p>
        </w:tc>
        <w:tc>
          <w:tcPr>
            <w:tcW w:w="1360" w:type="dxa"/>
            <w:shd w:val="clear" w:color="auto" w:fill="auto"/>
            <w:noWrap/>
            <w:vAlign w:val="bottom"/>
          </w:tcPr>
          <w:p w14:paraId="36B96F3D"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154</w:t>
            </w:r>
          </w:p>
        </w:tc>
        <w:tc>
          <w:tcPr>
            <w:tcW w:w="1360" w:type="dxa"/>
            <w:shd w:val="clear" w:color="auto" w:fill="auto"/>
            <w:noWrap/>
            <w:vAlign w:val="bottom"/>
          </w:tcPr>
          <w:p w14:paraId="02ED45C4"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242</w:t>
            </w:r>
          </w:p>
        </w:tc>
        <w:tc>
          <w:tcPr>
            <w:tcW w:w="1360" w:type="dxa"/>
            <w:shd w:val="clear" w:color="auto" w:fill="auto"/>
            <w:noWrap/>
            <w:vAlign w:val="bottom"/>
          </w:tcPr>
          <w:p w14:paraId="639A1212"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572</w:t>
            </w:r>
          </w:p>
        </w:tc>
      </w:tr>
      <w:tr w:rsidR="00AE6445" w:rsidRPr="001D042C" w14:paraId="36D64C07" w14:textId="77777777" w:rsidTr="00425948">
        <w:trPr>
          <w:trHeight w:val="300"/>
          <w:jc w:val="center"/>
        </w:trPr>
        <w:tc>
          <w:tcPr>
            <w:tcW w:w="2620" w:type="dxa"/>
            <w:shd w:val="clear" w:color="auto" w:fill="auto"/>
            <w:noWrap/>
            <w:vAlign w:val="bottom"/>
          </w:tcPr>
          <w:p w14:paraId="2060E931"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Loddon</w:t>
            </w:r>
          </w:p>
        </w:tc>
        <w:tc>
          <w:tcPr>
            <w:tcW w:w="1360" w:type="dxa"/>
            <w:shd w:val="clear" w:color="auto" w:fill="auto"/>
            <w:noWrap/>
            <w:vAlign w:val="bottom"/>
          </w:tcPr>
          <w:p w14:paraId="40DEB6A5"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180</w:t>
            </w:r>
          </w:p>
        </w:tc>
        <w:tc>
          <w:tcPr>
            <w:tcW w:w="1360" w:type="dxa"/>
            <w:shd w:val="clear" w:color="auto" w:fill="auto"/>
            <w:noWrap/>
            <w:vAlign w:val="bottom"/>
          </w:tcPr>
          <w:p w14:paraId="3B11BA79"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184</w:t>
            </w:r>
          </w:p>
        </w:tc>
        <w:tc>
          <w:tcPr>
            <w:tcW w:w="1360" w:type="dxa"/>
            <w:shd w:val="clear" w:color="auto" w:fill="auto"/>
            <w:noWrap/>
            <w:vAlign w:val="bottom"/>
          </w:tcPr>
          <w:p w14:paraId="322B8854"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286</w:t>
            </w:r>
          </w:p>
        </w:tc>
        <w:tc>
          <w:tcPr>
            <w:tcW w:w="1360" w:type="dxa"/>
            <w:shd w:val="clear" w:color="auto" w:fill="auto"/>
            <w:noWrap/>
            <w:vAlign w:val="bottom"/>
          </w:tcPr>
          <w:p w14:paraId="4B19C639"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650</w:t>
            </w:r>
          </w:p>
        </w:tc>
      </w:tr>
      <w:tr w:rsidR="00AE6445" w:rsidRPr="001D042C" w14:paraId="36C7F45F" w14:textId="77777777" w:rsidTr="00425948">
        <w:trPr>
          <w:trHeight w:val="300"/>
          <w:jc w:val="center"/>
        </w:trPr>
        <w:tc>
          <w:tcPr>
            <w:tcW w:w="2620" w:type="dxa"/>
            <w:shd w:val="clear" w:color="auto" w:fill="auto"/>
            <w:noWrap/>
            <w:vAlign w:val="bottom"/>
          </w:tcPr>
          <w:p w14:paraId="562F81C8"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Mallee</w:t>
            </w:r>
          </w:p>
        </w:tc>
        <w:tc>
          <w:tcPr>
            <w:tcW w:w="1360" w:type="dxa"/>
            <w:shd w:val="clear" w:color="auto" w:fill="auto"/>
            <w:noWrap/>
            <w:vAlign w:val="bottom"/>
          </w:tcPr>
          <w:p w14:paraId="7792BC4E"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145</w:t>
            </w:r>
          </w:p>
        </w:tc>
        <w:tc>
          <w:tcPr>
            <w:tcW w:w="1360" w:type="dxa"/>
            <w:shd w:val="clear" w:color="auto" w:fill="auto"/>
            <w:noWrap/>
            <w:vAlign w:val="bottom"/>
          </w:tcPr>
          <w:p w14:paraId="534EF6B1"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98</w:t>
            </w:r>
          </w:p>
        </w:tc>
        <w:tc>
          <w:tcPr>
            <w:tcW w:w="1360" w:type="dxa"/>
            <w:shd w:val="clear" w:color="auto" w:fill="auto"/>
            <w:noWrap/>
            <w:vAlign w:val="bottom"/>
          </w:tcPr>
          <w:p w14:paraId="175AD5F8"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222</w:t>
            </w:r>
          </w:p>
        </w:tc>
        <w:tc>
          <w:tcPr>
            <w:tcW w:w="1360" w:type="dxa"/>
            <w:shd w:val="clear" w:color="auto" w:fill="auto"/>
            <w:noWrap/>
            <w:vAlign w:val="bottom"/>
          </w:tcPr>
          <w:p w14:paraId="12CF53A1"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465</w:t>
            </w:r>
          </w:p>
        </w:tc>
      </w:tr>
      <w:tr w:rsidR="00AE6445" w:rsidRPr="001D042C" w14:paraId="68770CA5" w14:textId="77777777" w:rsidTr="00425948">
        <w:trPr>
          <w:trHeight w:val="300"/>
          <w:jc w:val="center"/>
        </w:trPr>
        <w:tc>
          <w:tcPr>
            <w:tcW w:w="2620" w:type="dxa"/>
            <w:shd w:val="clear" w:color="auto" w:fill="auto"/>
            <w:noWrap/>
            <w:vAlign w:val="bottom"/>
          </w:tcPr>
          <w:p w14:paraId="2FF6B2C9"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North Eastern Melbourne</w:t>
            </w:r>
          </w:p>
        </w:tc>
        <w:tc>
          <w:tcPr>
            <w:tcW w:w="1360" w:type="dxa"/>
            <w:shd w:val="clear" w:color="auto" w:fill="auto"/>
            <w:noWrap/>
            <w:vAlign w:val="bottom"/>
          </w:tcPr>
          <w:p w14:paraId="26358D6E"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217</w:t>
            </w:r>
          </w:p>
        </w:tc>
        <w:tc>
          <w:tcPr>
            <w:tcW w:w="1360" w:type="dxa"/>
            <w:shd w:val="clear" w:color="auto" w:fill="auto"/>
            <w:noWrap/>
            <w:vAlign w:val="bottom"/>
          </w:tcPr>
          <w:p w14:paraId="6F7F8894"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252</w:t>
            </w:r>
          </w:p>
        </w:tc>
        <w:tc>
          <w:tcPr>
            <w:tcW w:w="1360" w:type="dxa"/>
            <w:shd w:val="clear" w:color="auto" w:fill="auto"/>
            <w:noWrap/>
            <w:vAlign w:val="bottom"/>
          </w:tcPr>
          <w:p w14:paraId="0AA78AE2"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609</w:t>
            </w:r>
          </w:p>
        </w:tc>
        <w:tc>
          <w:tcPr>
            <w:tcW w:w="1360" w:type="dxa"/>
            <w:shd w:val="clear" w:color="auto" w:fill="auto"/>
            <w:noWrap/>
            <w:vAlign w:val="bottom"/>
          </w:tcPr>
          <w:p w14:paraId="5887AFFB"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1,078</w:t>
            </w:r>
          </w:p>
        </w:tc>
      </w:tr>
      <w:tr w:rsidR="00AE6445" w:rsidRPr="001D042C" w14:paraId="688C283C" w14:textId="77777777" w:rsidTr="00425948">
        <w:trPr>
          <w:trHeight w:val="300"/>
          <w:jc w:val="center"/>
        </w:trPr>
        <w:tc>
          <w:tcPr>
            <w:tcW w:w="2620" w:type="dxa"/>
            <w:shd w:val="clear" w:color="auto" w:fill="auto"/>
            <w:noWrap/>
            <w:vAlign w:val="bottom"/>
          </w:tcPr>
          <w:p w14:paraId="3A2CF553"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Outer </w:t>
            </w:r>
            <w:smartTag w:uri="urn:schemas-microsoft-com:office:smarttags" w:element="place">
              <w:r w:rsidRPr="001D042C">
                <w:rPr>
                  <w:rFonts w:ascii="Arial" w:hAnsi="Arial" w:cs="Arial"/>
                  <w:color w:val="000000"/>
                  <w:sz w:val="20"/>
                  <w:lang w:val="en-AU" w:eastAsia="en-AU"/>
                </w:rPr>
                <w:t>Eastern Melbourne</w:t>
              </w:r>
            </w:smartTag>
          </w:p>
        </w:tc>
        <w:tc>
          <w:tcPr>
            <w:tcW w:w="1360" w:type="dxa"/>
            <w:shd w:val="clear" w:color="auto" w:fill="auto"/>
            <w:noWrap/>
            <w:vAlign w:val="bottom"/>
          </w:tcPr>
          <w:p w14:paraId="69CC53C1"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259</w:t>
            </w:r>
          </w:p>
        </w:tc>
        <w:tc>
          <w:tcPr>
            <w:tcW w:w="1360" w:type="dxa"/>
            <w:shd w:val="clear" w:color="auto" w:fill="auto"/>
            <w:noWrap/>
            <w:vAlign w:val="bottom"/>
          </w:tcPr>
          <w:p w14:paraId="5EB614D0"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229</w:t>
            </w:r>
          </w:p>
        </w:tc>
        <w:tc>
          <w:tcPr>
            <w:tcW w:w="1360" w:type="dxa"/>
            <w:shd w:val="clear" w:color="auto" w:fill="auto"/>
            <w:noWrap/>
            <w:vAlign w:val="bottom"/>
          </w:tcPr>
          <w:p w14:paraId="0A495984"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378</w:t>
            </w:r>
          </w:p>
        </w:tc>
        <w:tc>
          <w:tcPr>
            <w:tcW w:w="1360" w:type="dxa"/>
            <w:shd w:val="clear" w:color="auto" w:fill="auto"/>
            <w:noWrap/>
            <w:vAlign w:val="bottom"/>
          </w:tcPr>
          <w:p w14:paraId="3AFBCA49"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866</w:t>
            </w:r>
          </w:p>
        </w:tc>
      </w:tr>
      <w:tr w:rsidR="00AE6445" w:rsidRPr="001D042C" w14:paraId="2FE4D4BC" w14:textId="77777777" w:rsidTr="00425948">
        <w:trPr>
          <w:trHeight w:val="300"/>
          <w:jc w:val="center"/>
        </w:trPr>
        <w:tc>
          <w:tcPr>
            <w:tcW w:w="2620" w:type="dxa"/>
            <w:shd w:val="clear" w:color="auto" w:fill="auto"/>
            <w:noWrap/>
            <w:vAlign w:val="bottom"/>
          </w:tcPr>
          <w:p w14:paraId="63F07E34"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Outer Gippsland</w:t>
            </w:r>
          </w:p>
        </w:tc>
        <w:tc>
          <w:tcPr>
            <w:tcW w:w="1360" w:type="dxa"/>
            <w:shd w:val="clear" w:color="auto" w:fill="auto"/>
            <w:noWrap/>
            <w:vAlign w:val="bottom"/>
          </w:tcPr>
          <w:p w14:paraId="1C268D20"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177</w:t>
            </w:r>
          </w:p>
        </w:tc>
        <w:tc>
          <w:tcPr>
            <w:tcW w:w="1360" w:type="dxa"/>
            <w:shd w:val="clear" w:color="auto" w:fill="auto"/>
            <w:noWrap/>
            <w:vAlign w:val="bottom"/>
          </w:tcPr>
          <w:p w14:paraId="0E00BE40"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157</w:t>
            </w:r>
          </w:p>
        </w:tc>
        <w:tc>
          <w:tcPr>
            <w:tcW w:w="1360" w:type="dxa"/>
            <w:shd w:val="clear" w:color="auto" w:fill="auto"/>
            <w:noWrap/>
            <w:vAlign w:val="bottom"/>
          </w:tcPr>
          <w:p w14:paraId="4D8F4483"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310</w:t>
            </w:r>
          </w:p>
        </w:tc>
        <w:tc>
          <w:tcPr>
            <w:tcW w:w="1360" w:type="dxa"/>
            <w:shd w:val="clear" w:color="auto" w:fill="auto"/>
            <w:noWrap/>
            <w:vAlign w:val="bottom"/>
          </w:tcPr>
          <w:p w14:paraId="0C443653"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644</w:t>
            </w:r>
          </w:p>
        </w:tc>
      </w:tr>
      <w:tr w:rsidR="00AE6445" w:rsidRPr="001D042C" w14:paraId="34CD286E" w14:textId="77777777" w:rsidTr="00425948">
        <w:trPr>
          <w:trHeight w:val="300"/>
          <w:jc w:val="center"/>
        </w:trPr>
        <w:tc>
          <w:tcPr>
            <w:tcW w:w="2620" w:type="dxa"/>
            <w:shd w:val="clear" w:color="auto" w:fill="auto"/>
            <w:noWrap/>
            <w:vAlign w:val="bottom"/>
          </w:tcPr>
          <w:p w14:paraId="78C20E2E"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Ovens </w:t>
            </w:r>
            <w:smartTag w:uri="urn:schemas-microsoft-com:office:smarttags" w:element="City">
              <w:smartTag w:uri="urn:schemas-microsoft-com:office:smarttags" w:element="place">
                <w:r w:rsidRPr="001D042C">
                  <w:rPr>
                    <w:rFonts w:ascii="Arial" w:hAnsi="Arial" w:cs="Arial"/>
                    <w:color w:val="000000"/>
                    <w:sz w:val="20"/>
                    <w:lang w:val="en-AU" w:eastAsia="en-AU"/>
                  </w:rPr>
                  <w:t>Murray</w:t>
                </w:r>
              </w:smartTag>
            </w:smartTag>
          </w:p>
        </w:tc>
        <w:tc>
          <w:tcPr>
            <w:tcW w:w="1360" w:type="dxa"/>
            <w:shd w:val="clear" w:color="auto" w:fill="auto"/>
            <w:noWrap/>
            <w:vAlign w:val="bottom"/>
          </w:tcPr>
          <w:p w14:paraId="47A6EB67"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73</w:t>
            </w:r>
          </w:p>
        </w:tc>
        <w:tc>
          <w:tcPr>
            <w:tcW w:w="1360" w:type="dxa"/>
            <w:shd w:val="clear" w:color="auto" w:fill="auto"/>
            <w:noWrap/>
            <w:vAlign w:val="bottom"/>
          </w:tcPr>
          <w:p w14:paraId="69A1AF73"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86</w:t>
            </w:r>
          </w:p>
        </w:tc>
        <w:tc>
          <w:tcPr>
            <w:tcW w:w="1360" w:type="dxa"/>
            <w:shd w:val="clear" w:color="auto" w:fill="auto"/>
            <w:noWrap/>
            <w:vAlign w:val="bottom"/>
          </w:tcPr>
          <w:p w14:paraId="7AD4B13B"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153</w:t>
            </w:r>
          </w:p>
        </w:tc>
        <w:tc>
          <w:tcPr>
            <w:tcW w:w="1360" w:type="dxa"/>
            <w:shd w:val="clear" w:color="auto" w:fill="auto"/>
            <w:noWrap/>
            <w:vAlign w:val="bottom"/>
          </w:tcPr>
          <w:p w14:paraId="4CA01833"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312</w:t>
            </w:r>
          </w:p>
        </w:tc>
      </w:tr>
      <w:tr w:rsidR="00AE6445" w:rsidRPr="001D042C" w14:paraId="49CC31B3" w14:textId="77777777" w:rsidTr="00425948">
        <w:trPr>
          <w:trHeight w:val="300"/>
          <w:jc w:val="center"/>
        </w:trPr>
        <w:tc>
          <w:tcPr>
            <w:tcW w:w="2620" w:type="dxa"/>
            <w:shd w:val="clear" w:color="auto" w:fill="auto"/>
            <w:noWrap/>
            <w:vAlign w:val="bottom"/>
          </w:tcPr>
          <w:p w14:paraId="3D94DDE0" w14:textId="77777777" w:rsidR="00AE6445" w:rsidRPr="001D042C" w:rsidRDefault="00AE6445" w:rsidP="00AE6445">
            <w:pPr>
              <w:keepNext/>
              <w:keepLines/>
              <w:spacing w:before="0" w:after="0"/>
              <w:rPr>
                <w:rFonts w:ascii="Arial" w:hAnsi="Arial" w:cs="Arial"/>
                <w:color w:val="000000"/>
                <w:sz w:val="20"/>
                <w:lang w:val="en-AU" w:eastAsia="en-AU"/>
              </w:rPr>
            </w:pPr>
            <w:smartTag w:uri="urn:schemas-microsoft-com:office:smarttags" w:element="place">
              <w:r w:rsidRPr="001D042C">
                <w:rPr>
                  <w:rFonts w:ascii="Arial" w:hAnsi="Arial" w:cs="Arial"/>
                  <w:color w:val="000000"/>
                  <w:sz w:val="20"/>
                  <w:lang w:val="en-AU" w:eastAsia="en-AU"/>
                </w:rPr>
                <w:t>Southern Melbourne</w:t>
              </w:r>
            </w:smartTag>
          </w:p>
        </w:tc>
        <w:tc>
          <w:tcPr>
            <w:tcW w:w="1360" w:type="dxa"/>
            <w:shd w:val="clear" w:color="auto" w:fill="auto"/>
            <w:noWrap/>
            <w:vAlign w:val="bottom"/>
          </w:tcPr>
          <w:p w14:paraId="1310B305"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205</w:t>
            </w:r>
          </w:p>
        </w:tc>
        <w:tc>
          <w:tcPr>
            <w:tcW w:w="1360" w:type="dxa"/>
            <w:shd w:val="clear" w:color="auto" w:fill="auto"/>
            <w:noWrap/>
            <w:vAlign w:val="bottom"/>
          </w:tcPr>
          <w:p w14:paraId="02B075BA"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280</w:t>
            </w:r>
          </w:p>
        </w:tc>
        <w:tc>
          <w:tcPr>
            <w:tcW w:w="1360" w:type="dxa"/>
            <w:shd w:val="clear" w:color="auto" w:fill="auto"/>
            <w:noWrap/>
            <w:vAlign w:val="bottom"/>
          </w:tcPr>
          <w:p w14:paraId="46A108CF"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444</w:t>
            </w:r>
          </w:p>
        </w:tc>
        <w:tc>
          <w:tcPr>
            <w:tcW w:w="1360" w:type="dxa"/>
            <w:shd w:val="clear" w:color="auto" w:fill="auto"/>
            <w:noWrap/>
            <w:vAlign w:val="bottom"/>
          </w:tcPr>
          <w:p w14:paraId="2ADBB56F"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929</w:t>
            </w:r>
          </w:p>
        </w:tc>
      </w:tr>
      <w:tr w:rsidR="00AE6445" w:rsidRPr="001D042C" w14:paraId="01E249B8" w14:textId="77777777" w:rsidTr="00425948">
        <w:trPr>
          <w:trHeight w:val="300"/>
          <w:jc w:val="center"/>
        </w:trPr>
        <w:tc>
          <w:tcPr>
            <w:tcW w:w="2620" w:type="dxa"/>
            <w:shd w:val="clear" w:color="auto" w:fill="auto"/>
            <w:noWrap/>
            <w:vAlign w:val="bottom"/>
          </w:tcPr>
          <w:p w14:paraId="399B79B8"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Western District</w:t>
            </w:r>
          </w:p>
        </w:tc>
        <w:tc>
          <w:tcPr>
            <w:tcW w:w="1360" w:type="dxa"/>
            <w:shd w:val="clear" w:color="auto" w:fill="auto"/>
            <w:noWrap/>
            <w:vAlign w:val="bottom"/>
          </w:tcPr>
          <w:p w14:paraId="1C994B95"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51</w:t>
            </w:r>
          </w:p>
        </w:tc>
        <w:tc>
          <w:tcPr>
            <w:tcW w:w="1360" w:type="dxa"/>
            <w:shd w:val="clear" w:color="auto" w:fill="auto"/>
            <w:noWrap/>
            <w:vAlign w:val="bottom"/>
          </w:tcPr>
          <w:p w14:paraId="3FF54E66"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67</w:t>
            </w:r>
          </w:p>
        </w:tc>
        <w:tc>
          <w:tcPr>
            <w:tcW w:w="1360" w:type="dxa"/>
            <w:shd w:val="clear" w:color="auto" w:fill="auto"/>
            <w:noWrap/>
            <w:vAlign w:val="bottom"/>
          </w:tcPr>
          <w:p w14:paraId="40CD6C88"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89</w:t>
            </w:r>
          </w:p>
        </w:tc>
        <w:tc>
          <w:tcPr>
            <w:tcW w:w="1360" w:type="dxa"/>
            <w:shd w:val="clear" w:color="auto" w:fill="auto"/>
            <w:noWrap/>
            <w:vAlign w:val="bottom"/>
          </w:tcPr>
          <w:p w14:paraId="23C97034"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207</w:t>
            </w:r>
          </w:p>
        </w:tc>
      </w:tr>
      <w:tr w:rsidR="00AE6445" w:rsidRPr="001D042C" w14:paraId="10861634" w14:textId="77777777" w:rsidTr="00425948">
        <w:trPr>
          <w:trHeight w:val="300"/>
          <w:jc w:val="center"/>
        </w:trPr>
        <w:tc>
          <w:tcPr>
            <w:tcW w:w="2620" w:type="dxa"/>
            <w:shd w:val="clear" w:color="auto" w:fill="auto"/>
            <w:noWrap/>
            <w:vAlign w:val="bottom"/>
          </w:tcPr>
          <w:p w14:paraId="6132CE9D" w14:textId="77777777" w:rsidR="00AE6445" w:rsidRPr="001D042C" w:rsidRDefault="00AE6445" w:rsidP="00AE6445">
            <w:pPr>
              <w:keepNext/>
              <w:keepLines/>
              <w:spacing w:before="0" w:after="0"/>
              <w:rPr>
                <w:rFonts w:ascii="Arial" w:hAnsi="Arial" w:cs="Arial"/>
                <w:color w:val="000000"/>
                <w:sz w:val="20"/>
                <w:lang w:val="en-AU" w:eastAsia="en-AU"/>
              </w:rPr>
            </w:pPr>
            <w:smartTag w:uri="urn:schemas-microsoft-com:office:smarttags" w:element="place">
              <w:r w:rsidRPr="001D042C">
                <w:rPr>
                  <w:rFonts w:ascii="Arial" w:hAnsi="Arial" w:cs="Arial"/>
                  <w:color w:val="000000"/>
                  <w:sz w:val="20"/>
                  <w:lang w:val="en-AU" w:eastAsia="en-AU"/>
                </w:rPr>
                <w:t>Western Melbourne</w:t>
              </w:r>
            </w:smartTag>
          </w:p>
        </w:tc>
        <w:tc>
          <w:tcPr>
            <w:tcW w:w="1360" w:type="dxa"/>
            <w:shd w:val="clear" w:color="auto" w:fill="auto"/>
            <w:noWrap/>
            <w:vAlign w:val="bottom"/>
          </w:tcPr>
          <w:p w14:paraId="752D54C5"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159</w:t>
            </w:r>
          </w:p>
        </w:tc>
        <w:tc>
          <w:tcPr>
            <w:tcW w:w="1360" w:type="dxa"/>
            <w:shd w:val="clear" w:color="auto" w:fill="auto"/>
            <w:noWrap/>
            <w:vAlign w:val="bottom"/>
          </w:tcPr>
          <w:p w14:paraId="671A0472"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217</w:t>
            </w:r>
          </w:p>
        </w:tc>
        <w:tc>
          <w:tcPr>
            <w:tcW w:w="1360" w:type="dxa"/>
            <w:shd w:val="clear" w:color="auto" w:fill="auto"/>
            <w:noWrap/>
            <w:vAlign w:val="bottom"/>
          </w:tcPr>
          <w:p w14:paraId="6C29856B"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588</w:t>
            </w:r>
          </w:p>
        </w:tc>
        <w:tc>
          <w:tcPr>
            <w:tcW w:w="1360" w:type="dxa"/>
            <w:shd w:val="clear" w:color="auto" w:fill="auto"/>
            <w:noWrap/>
            <w:vAlign w:val="bottom"/>
          </w:tcPr>
          <w:p w14:paraId="0FF04B51"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964</w:t>
            </w:r>
          </w:p>
        </w:tc>
      </w:tr>
      <w:tr w:rsidR="00AE6445" w:rsidRPr="001D042C" w14:paraId="5A7DD8DB" w14:textId="77777777" w:rsidTr="00425948">
        <w:trPr>
          <w:trHeight w:val="300"/>
          <w:jc w:val="center"/>
        </w:trPr>
        <w:tc>
          <w:tcPr>
            <w:tcW w:w="2620" w:type="dxa"/>
            <w:shd w:val="clear" w:color="auto" w:fill="auto"/>
            <w:noWrap/>
            <w:vAlign w:val="bottom"/>
          </w:tcPr>
          <w:p w14:paraId="030E9014" w14:textId="77777777" w:rsidR="00AE6445" w:rsidRPr="001D042C" w:rsidRDefault="00AE6445" w:rsidP="00AE6445">
            <w:pPr>
              <w:keepNext/>
              <w:keepLines/>
              <w:spacing w:before="0" w:after="0"/>
              <w:rPr>
                <w:rFonts w:ascii="Arial" w:hAnsi="Arial" w:cs="Arial"/>
                <w:b/>
                <w:color w:val="000000"/>
                <w:sz w:val="20"/>
                <w:lang w:val="en-AU" w:eastAsia="en-AU"/>
              </w:rPr>
            </w:pPr>
            <w:r w:rsidRPr="001D042C">
              <w:rPr>
                <w:rFonts w:ascii="Arial" w:hAnsi="Arial" w:cs="Arial"/>
                <w:b/>
                <w:color w:val="000000"/>
                <w:sz w:val="20"/>
                <w:lang w:val="en-AU" w:eastAsia="en-AU"/>
              </w:rPr>
              <w:t>Total</w:t>
            </w:r>
          </w:p>
        </w:tc>
        <w:tc>
          <w:tcPr>
            <w:tcW w:w="1360" w:type="dxa"/>
            <w:shd w:val="clear" w:color="auto" w:fill="auto"/>
            <w:noWrap/>
            <w:vAlign w:val="bottom"/>
          </w:tcPr>
          <w:p w14:paraId="60B9F1CE"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3,113</w:t>
            </w:r>
          </w:p>
        </w:tc>
        <w:tc>
          <w:tcPr>
            <w:tcW w:w="1360" w:type="dxa"/>
            <w:shd w:val="clear" w:color="auto" w:fill="auto"/>
            <w:noWrap/>
            <w:vAlign w:val="bottom"/>
          </w:tcPr>
          <w:p w14:paraId="587E61ED"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3,033</w:t>
            </w:r>
          </w:p>
        </w:tc>
        <w:tc>
          <w:tcPr>
            <w:tcW w:w="1360" w:type="dxa"/>
            <w:shd w:val="clear" w:color="auto" w:fill="auto"/>
            <w:noWrap/>
            <w:vAlign w:val="bottom"/>
          </w:tcPr>
          <w:p w14:paraId="037F95C5"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5,989</w:t>
            </w:r>
          </w:p>
        </w:tc>
        <w:tc>
          <w:tcPr>
            <w:tcW w:w="1360" w:type="dxa"/>
            <w:shd w:val="clear" w:color="auto" w:fill="auto"/>
            <w:noWrap/>
            <w:vAlign w:val="bottom"/>
          </w:tcPr>
          <w:p w14:paraId="50A163C8"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12,135</w:t>
            </w:r>
          </w:p>
        </w:tc>
      </w:tr>
    </w:tbl>
    <w:p w14:paraId="28F5244C" w14:textId="77777777" w:rsidR="00AE6445" w:rsidRPr="001D042C" w:rsidRDefault="00AE6445" w:rsidP="00AE6445">
      <w:pPr>
        <w:pStyle w:val="Para"/>
        <w:rPr>
          <w:szCs w:val="24"/>
        </w:rPr>
      </w:pPr>
    </w:p>
    <w:p w14:paraId="5F7E502C" w14:textId="77777777" w:rsidR="00AE6445" w:rsidRPr="001D042C" w:rsidRDefault="00AE6445" w:rsidP="00425948">
      <w:pPr>
        <w:pStyle w:val="Para"/>
        <w:keepNext/>
        <w:keepLines/>
        <w:spacing w:after="120"/>
        <w:jc w:val="center"/>
        <w:rPr>
          <w:b/>
          <w:szCs w:val="24"/>
        </w:rPr>
      </w:pPr>
      <w:r w:rsidRPr="001D042C">
        <w:rPr>
          <w:b/>
          <w:szCs w:val="24"/>
        </w:rPr>
        <w:lastRenderedPageBreak/>
        <w:t xml:space="preserve">Table </w:t>
      </w:r>
      <w:r w:rsidR="0091303E" w:rsidRPr="001D042C">
        <w:rPr>
          <w:b/>
          <w:szCs w:val="24"/>
        </w:rPr>
        <w:t>2.2</w:t>
      </w:r>
      <w:r w:rsidRPr="001D042C">
        <w:rPr>
          <w:b/>
          <w:szCs w:val="24"/>
        </w:rPr>
        <w:t xml:space="preserve"> – </w:t>
      </w:r>
      <w:r w:rsidRPr="001D042C">
        <w:rPr>
          <w:b/>
          <w:szCs w:val="24"/>
          <w:u w:val="single"/>
        </w:rPr>
        <w:t>Initial sample drawn – by likely concession status and overall region</w:t>
      </w:r>
    </w:p>
    <w:tbl>
      <w:tblPr>
        <w:tblW w:w="79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20"/>
        <w:gridCol w:w="1350"/>
        <w:gridCol w:w="1350"/>
        <w:gridCol w:w="1350"/>
        <w:gridCol w:w="1340"/>
      </w:tblGrid>
      <w:tr w:rsidR="00AE6445" w:rsidRPr="001D042C" w14:paraId="69B4A9D9" w14:textId="77777777" w:rsidTr="00425948">
        <w:trPr>
          <w:trHeight w:val="900"/>
          <w:jc w:val="center"/>
        </w:trPr>
        <w:tc>
          <w:tcPr>
            <w:tcW w:w="2620" w:type="dxa"/>
            <w:shd w:val="clear" w:color="auto" w:fill="auto"/>
            <w:noWrap/>
            <w:vAlign w:val="bottom"/>
          </w:tcPr>
          <w:p w14:paraId="0BD69CA7" w14:textId="77777777" w:rsidR="00AE6445" w:rsidRPr="001D042C" w:rsidRDefault="00AE6445" w:rsidP="00AE6445">
            <w:pPr>
              <w:keepNext/>
              <w:keepLines/>
              <w:spacing w:before="0" w:after="0"/>
              <w:rPr>
                <w:rFonts w:ascii="Arial" w:hAnsi="Arial" w:cs="Arial"/>
                <w:b/>
                <w:color w:val="000000"/>
                <w:sz w:val="20"/>
                <w:lang w:val="en-AU" w:eastAsia="en-AU"/>
              </w:rPr>
            </w:pPr>
            <w:r w:rsidRPr="001D042C">
              <w:rPr>
                <w:rFonts w:ascii="Arial" w:hAnsi="Arial" w:cs="Arial"/>
                <w:b/>
                <w:color w:val="000000"/>
                <w:sz w:val="20"/>
                <w:lang w:val="en-AU" w:eastAsia="en-AU"/>
              </w:rPr>
              <w:t>Region</w:t>
            </w:r>
          </w:p>
        </w:tc>
        <w:tc>
          <w:tcPr>
            <w:tcW w:w="1340" w:type="dxa"/>
            <w:shd w:val="clear" w:color="auto" w:fill="auto"/>
            <w:vAlign w:val="bottom"/>
          </w:tcPr>
          <w:p w14:paraId="43445F07"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Likely Aged Concession</w:t>
            </w:r>
          </w:p>
        </w:tc>
        <w:tc>
          <w:tcPr>
            <w:tcW w:w="1340" w:type="dxa"/>
            <w:shd w:val="clear" w:color="auto" w:fill="auto"/>
            <w:vAlign w:val="bottom"/>
          </w:tcPr>
          <w:p w14:paraId="30FE5767"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Likely Non Aged Concession</w:t>
            </w:r>
          </w:p>
        </w:tc>
        <w:tc>
          <w:tcPr>
            <w:tcW w:w="1340" w:type="dxa"/>
            <w:shd w:val="clear" w:color="auto" w:fill="auto"/>
            <w:vAlign w:val="bottom"/>
          </w:tcPr>
          <w:p w14:paraId="286BC550"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Likely Non Concession</w:t>
            </w:r>
          </w:p>
        </w:tc>
        <w:tc>
          <w:tcPr>
            <w:tcW w:w="1340" w:type="dxa"/>
            <w:shd w:val="clear" w:color="auto" w:fill="auto"/>
            <w:vAlign w:val="bottom"/>
          </w:tcPr>
          <w:p w14:paraId="497D5F0F"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Total</w:t>
            </w:r>
          </w:p>
        </w:tc>
      </w:tr>
      <w:tr w:rsidR="00AE6445" w:rsidRPr="001D042C" w14:paraId="6D90476D" w14:textId="77777777" w:rsidTr="00425948">
        <w:trPr>
          <w:trHeight w:val="300"/>
          <w:jc w:val="center"/>
        </w:trPr>
        <w:tc>
          <w:tcPr>
            <w:tcW w:w="2620" w:type="dxa"/>
            <w:shd w:val="clear" w:color="auto" w:fill="auto"/>
            <w:noWrap/>
            <w:vAlign w:val="bottom"/>
          </w:tcPr>
          <w:p w14:paraId="52E4DD25"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Metropolitan</w:t>
            </w:r>
          </w:p>
        </w:tc>
        <w:tc>
          <w:tcPr>
            <w:tcW w:w="1340" w:type="dxa"/>
            <w:shd w:val="clear" w:color="auto" w:fill="auto"/>
            <w:noWrap/>
            <w:vAlign w:val="bottom"/>
          </w:tcPr>
          <w:p w14:paraId="3104C330"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1,918</w:t>
            </w:r>
          </w:p>
        </w:tc>
        <w:tc>
          <w:tcPr>
            <w:tcW w:w="1340" w:type="dxa"/>
            <w:shd w:val="clear" w:color="auto" w:fill="auto"/>
            <w:noWrap/>
            <w:vAlign w:val="bottom"/>
          </w:tcPr>
          <w:p w14:paraId="1EC0CDC0"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1,860</w:t>
            </w:r>
          </w:p>
        </w:tc>
        <w:tc>
          <w:tcPr>
            <w:tcW w:w="1340" w:type="dxa"/>
            <w:shd w:val="clear" w:color="auto" w:fill="auto"/>
            <w:noWrap/>
            <w:vAlign w:val="bottom"/>
          </w:tcPr>
          <w:p w14:paraId="65A1F2E6"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3,928</w:t>
            </w:r>
          </w:p>
        </w:tc>
        <w:tc>
          <w:tcPr>
            <w:tcW w:w="1340" w:type="dxa"/>
            <w:shd w:val="clear" w:color="auto" w:fill="auto"/>
            <w:noWrap/>
            <w:vAlign w:val="bottom"/>
          </w:tcPr>
          <w:p w14:paraId="10F04B95"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7,706</w:t>
            </w:r>
          </w:p>
        </w:tc>
      </w:tr>
      <w:tr w:rsidR="00AE6445" w:rsidRPr="001D042C" w14:paraId="1B53F69A" w14:textId="77777777" w:rsidTr="00425948">
        <w:trPr>
          <w:trHeight w:val="300"/>
          <w:jc w:val="center"/>
        </w:trPr>
        <w:tc>
          <w:tcPr>
            <w:tcW w:w="2620" w:type="dxa"/>
            <w:shd w:val="clear" w:color="auto" w:fill="auto"/>
            <w:noWrap/>
            <w:vAlign w:val="bottom"/>
          </w:tcPr>
          <w:p w14:paraId="5311188F"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Regional</w:t>
            </w:r>
          </w:p>
        </w:tc>
        <w:tc>
          <w:tcPr>
            <w:tcW w:w="1340" w:type="dxa"/>
            <w:shd w:val="clear" w:color="auto" w:fill="auto"/>
            <w:noWrap/>
            <w:vAlign w:val="bottom"/>
          </w:tcPr>
          <w:p w14:paraId="51E7F872"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1,195</w:t>
            </w:r>
          </w:p>
        </w:tc>
        <w:tc>
          <w:tcPr>
            <w:tcW w:w="1340" w:type="dxa"/>
            <w:shd w:val="clear" w:color="auto" w:fill="auto"/>
            <w:noWrap/>
            <w:vAlign w:val="bottom"/>
          </w:tcPr>
          <w:p w14:paraId="4B3306BA"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1,173</w:t>
            </w:r>
          </w:p>
        </w:tc>
        <w:tc>
          <w:tcPr>
            <w:tcW w:w="1340" w:type="dxa"/>
            <w:shd w:val="clear" w:color="auto" w:fill="auto"/>
            <w:noWrap/>
            <w:vAlign w:val="bottom"/>
          </w:tcPr>
          <w:p w14:paraId="7F95FB30"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2,061</w:t>
            </w:r>
          </w:p>
        </w:tc>
        <w:tc>
          <w:tcPr>
            <w:tcW w:w="1340" w:type="dxa"/>
            <w:shd w:val="clear" w:color="auto" w:fill="auto"/>
            <w:noWrap/>
            <w:vAlign w:val="bottom"/>
          </w:tcPr>
          <w:p w14:paraId="37D256AD"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4,429</w:t>
            </w:r>
          </w:p>
        </w:tc>
      </w:tr>
      <w:tr w:rsidR="00AE6445" w:rsidRPr="001D042C" w14:paraId="6A55B098" w14:textId="77777777" w:rsidTr="00425948">
        <w:trPr>
          <w:trHeight w:val="300"/>
          <w:jc w:val="center"/>
        </w:trPr>
        <w:tc>
          <w:tcPr>
            <w:tcW w:w="2620" w:type="dxa"/>
            <w:shd w:val="clear" w:color="auto" w:fill="auto"/>
            <w:noWrap/>
            <w:vAlign w:val="bottom"/>
          </w:tcPr>
          <w:p w14:paraId="7F283DEB" w14:textId="77777777" w:rsidR="00AE6445" w:rsidRPr="001D042C" w:rsidRDefault="00AE6445" w:rsidP="00AE6445">
            <w:pPr>
              <w:keepNext/>
              <w:keepLines/>
              <w:spacing w:before="0" w:after="0"/>
              <w:rPr>
                <w:rFonts w:ascii="Arial" w:hAnsi="Arial" w:cs="Arial"/>
                <w:b/>
                <w:color w:val="000000"/>
                <w:sz w:val="20"/>
                <w:lang w:val="en-AU" w:eastAsia="en-AU"/>
              </w:rPr>
            </w:pPr>
            <w:r w:rsidRPr="001D042C">
              <w:rPr>
                <w:rFonts w:ascii="Arial" w:hAnsi="Arial" w:cs="Arial"/>
                <w:b/>
                <w:color w:val="000000"/>
                <w:sz w:val="20"/>
                <w:lang w:val="en-AU" w:eastAsia="en-AU"/>
              </w:rPr>
              <w:t xml:space="preserve">Total </w:t>
            </w:r>
          </w:p>
        </w:tc>
        <w:tc>
          <w:tcPr>
            <w:tcW w:w="1340" w:type="dxa"/>
            <w:shd w:val="clear" w:color="auto" w:fill="auto"/>
            <w:noWrap/>
            <w:vAlign w:val="bottom"/>
          </w:tcPr>
          <w:p w14:paraId="45DC679E"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3,113</w:t>
            </w:r>
          </w:p>
        </w:tc>
        <w:tc>
          <w:tcPr>
            <w:tcW w:w="1340" w:type="dxa"/>
            <w:shd w:val="clear" w:color="auto" w:fill="auto"/>
            <w:noWrap/>
            <w:vAlign w:val="bottom"/>
          </w:tcPr>
          <w:p w14:paraId="337FECFE"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3,033</w:t>
            </w:r>
          </w:p>
        </w:tc>
        <w:tc>
          <w:tcPr>
            <w:tcW w:w="1340" w:type="dxa"/>
            <w:shd w:val="clear" w:color="auto" w:fill="auto"/>
            <w:noWrap/>
            <w:vAlign w:val="bottom"/>
          </w:tcPr>
          <w:p w14:paraId="4DB3A8E2"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5,989</w:t>
            </w:r>
          </w:p>
        </w:tc>
        <w:tc>
          <w:tcPr>
            <w:tcW w:w="1340" w:type="dxa"/>
            <w:shd w:val="clear" w:color="auto" w:fill="auto"/>
            <w:noWrap/>
            <w:vAlign w:val="bottom"/>
          </w:tcPr>
          <w:p w14:paraId="0062D36D"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12,135</w:t>
            </w:r>
          </w:p>
        </w:tc>
      </w:tr>
    </w:tbl>
    <w:p w14:paraId="7464B9AB" w14:textId="77777777" w:rsidR="00AE6445" w:rsidRPr="001D042C" w:rsidRDefault="00AE6445" w:rsidP="00AE6445">
      <w:pPr>
        <w:pStyle w:val="Para"/>
        <w:rPr>
          <w:szCs w:val="24"/>
        </w:rPr>
      </w:pPr>
    </w:p>
    <w:p w14:paraId="5733C669" w14:textId="77777777" w:rsidR="00AE6445" w:rsidRPr="001D042C" w:rsidRDefault="00AE6445" w:rsidP="00AE6445">
      <w:pPr>
        <w:pStyle w:val="Para"/>
        <w:rPr>
          <w:szCs w:val="24"/>
        </w:rPr>
      </w:pPr>
    </w:p>
    <w:p w14:paraId="784F9C8F" w14:textId="77777777" w:rsidR="00AE6445" w:rsidRPr="001D042C" w:rsidRDefault="00AE6445" w:rsidP="00425948">
      <w:pPr>
        <w:pStyle w:val="Para"/>
        <w:keepNext/>
        <w:keepLines/>
        <w:spacing w:after="120"/>
        <w:jc w:val="center"/>
        <w:rPr>
          <w:b/>
          <w:szCs w:val="24"/>
        </w:rPr>
      </w:pPr>
      <w:r w:rsidRPr="001D042C">
        <w:rPr>
          <w:b/>
          <w:szCs w:val="24"/>
        </w:rPr>
        <w:t xml:space="preserve">Table </w:t>
      </w:r>
      <w:r w:rsidR="0091303E" w:rsidRPr="001D042C">
        <w:rPr>
          <w:b/>
          <w:szCs w:val="24"/>
        </w:rPr>
        <w:t>2.3</w:t>
      </w:r>
      <w:r w:rsidRPr="001D042C">
        <w:rPr>
          <w:b/>
          <w:szCs w:val="24"/>
        </w:rPr>
        <w:t xml:space="preserve"> – </w:t>
      </w:r>
      <w:r w:rsidRPr="001D042C">
        <w:rPr>
          <w:b/>
          <w:szCs w:val="24"/>
          <w:u w:val="single"/>
        </w:rPr>
        <w:t>Initial sample drawn – by likely household size and overall region</w:t>
      </w:r>
    </w:p>
    <w:tbl>
      <w:tblPr>
        <w:tblW w:w="81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08"/>
        <w:gridCol w:w="1327"/>
        <w:gridCol w:w="1327"/>
        <w:gridCol w:w="1360"/>
        <w:gridCol w:w="1360"/>
        <w:gridCol w:w="1339"/>
      </w:tblGrid>
      <w:tr w:rsidR="00AE6445" w:rsidRPr="001D042C" w14:paraId="5912D9AB" w14:textId="77777777" w:rsidTr="00425948">
        <w:trPr>
          <w:trHeight w:val="900"/>
          <w:jc w:val="center"/>
        </w:trPr>
        <w:tc>
          <w:tcPr>
            <w:tcW w:w="1408" w:type="dxa"/>
            <w:shd w:val="clear" w:color="auto" w:fill="auto"/>
            <w:noWrap/>
            <w:vAlign w:val="bottom"/>
          </w:tcPr>
          <w:p w14:paraId="213601CD" w14:textId="77777777" w:rsidR="00AE6445" w:rsidRPr="001D042C" w:rsidRDefault="00AE6445" w:rsidP="00AE6445">
            <w:pPr>
              <w:keepNext/>
              <w:keepLines/>
              <w:spacing w:before="0" w:after="0"/>
              <w:rPr>
                <w:rFonts w:ascii="Arial" w:hAnsi="Arial" w:cs="Arial"/>
                <w:b/>
                <w:color w:val="000000"/>
                <w:sz w:val="20"/>
                <w:lang w:val="en-AU" w:eastAsia="en-AU"/>
              </w:rPr>
            </w:pPr>
            <w:r w:rsidRPr="001D042C">
              <w:rPr>
                <w:rFonts w:ascii="Arial" w:hAnsi="Arial" w:cs="Arial"/>
                <w:b/>
                <w:color w:val="000000"/>
                <w:sz w:val="20"/>
                <w:lang w:val="en-AU" w:eastAsia="en-AU"/>
              </w:rPr>
              <w:t>Region</w:t>
            </w:r>
          </w:p>
        </w:tc>
        <w:tc>
          <w:tcPr>
            <w:tcW w:w="1327" w:type="dxa"/>
            <w:shd w:val="clear" w:color="auto" w:fill="auto"/>
            <w:vAlign w:val="bottom"/>
          </w:tcPr>
          <w:p w14:paraId="2FEFE606"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1 person in household</w:t>
            </w:r>
          </w:p>
        </w:tc>
        <w:tc>
          <w:tcPr>
            <w:tcW w:w="1327" w:type="dxa"/>
            <w:shd w:val="clear" w:color="auto" w:fill="auto"/>
            <w:vAlign w:val="bottom"/>
          </w:tcPr>
          <w:p w14:paraId="215831C6"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2 people in household</w:t>
            </w:r>
          </w:p>
        </w:tc>
        <w:tc>
          <w:tcPr>
            <w:tcW w:w="1360" w:type="dxa"/>
            <w:shd w:val="clear" w:color="auto" w:fill="auto"/>
            <w:vAlign w:val="bottom"/>
          </w:tcPr>
          <w:p w14:paraId="4F7A383E"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3 people in household</w:t>
            </w:r>
          </w:p>
        </w:tc>
        <w:tc>
          <w:tcPr>
            <w:tcW w:w="1360" w:type="dxa"/>
            <w:shd w:val="clear" w:color="auto" w:fill="auto"/>
            <w:vAlign w:val="bottom"/>
          </w:tcPr>
          <w:p w14:paraId="1ECC8F06"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4 plus people in household</w:t>
            </w:r>
          </w:p>
        </w:tc>
        <w:tc>
          <w:tcPr>
            <w:tcW w:w="1339" w:type="dxa"/>
            <w:shd w:val="clear" w:color="auto" w:fill="auto"/>
            <w:vAlign w:val="bottom"/>
          </w:tcPr>
          <w:p w14:paraId="28978D42"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Total</w:t>
            </w:r>
          </w:p>
        </w:tc>
      </w:tr>
      <w:tr w:rsidR="00AE6445" w:rsidRPr="001D042C" w14:paraId="58A378AA" w14:textId="77777777" w:rsidTr="00425948">
        <w:trPr>
          <w:trHeight w:val="300"/>
          <w:jc w:val="center"/>
        </w:trPr>
        <w:tc>
          <w:tcPr>
            <w:tcW w:w="1408" w:type="dxa"/>
            <w:shd w:val="clear" w:color="auto" w:fill="auto"/>
            <w:noWrap/>
            <w:vAlign w:val="bottom"/>
          </w:tcPr>
          <w:p w14:paraId="433553E8"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 Metropolitan </w:t>
            </w:r>
          </w:p>
        </w:tc>
        <w:tc>
          <w:tcPr>
            <w:tcW w:w="1327" w:type="dxa"/>
            <w:shd w:val="clear" w:color="auto" w:fill="auto"/>
            <w:noWrap/>
            <w:vAlign w:val="bottom"/>
          </w:tcPr>
          <w:p w14:paraId="6FE0BC80"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1,760</w:t>
            </w:r>
          </w:p>
        </w:tc>
        <w:tc>
          <w:tcPr>
            <w:tcW w:w="1327" w:type="dxa"/>
            <w:shd w:val="clear" w:color="auto" w:fill="auto"/>
            <w:noWrap/>
            <w:vAlign w:val="bottom"/>
          </w:tcPr>
          <w:p w14:paraId="1BAC76CF"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2,896</w:t>
            </w:r>
          </w:p>
        </w:tc>
        <w:tc>
          <w:tcPr>
            <w:tcW w:w="1360" w:type="dxa"/>
            <w:shd w:val="clear" w:color="auto" w:fill="auto"/>
            <w:noWrap/>
            <w:vAlign w:val="bottom"/>
          </w:tcPr>
          <w:p w14:paraId="4256A3DD"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1,201</w:t>
            </w:r>
          </w:p>
        </w:tc>
        <w:tc>
          <w:tcPr>
            <w:tcW w:w="1360" w:type="dxa"/>
            <w:shd w:val="clear" w:color="auto" w:fill="auto"/>
            <w:noWrap/>
            <w:vAlign w:val="bottom"/>
          </w:tcPr>
          <w:p w14:paraId="10D925C3"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1,849</w:t>
            </w:r>
          </w:p>
        </w:tc>
        <w:tc>
          <w:tcPr>
            <w:tcW w:w="1339" w:type="dxa"/>
            <w:shd w:val="clear" w:color="auto" w:fill="auto"/>
            <w:noWrap/>
            <w:vAlign w:val="bottom"/>
          </w:tcPr>
          <w:p w14:paraId="758A6076"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7,706</w:t>
            </w:r>
          </w:p>
        </w:tc>
      </w:tr>
      <w:tr w:rsidR="00AE6445" w:rsidRPr="001D042C" w14:paraId="5B7ED013" w14:textId="77777777" w:rsidTr="00425948">
        <w:trPr>
          <w:trHeight w:val="300"/>
          <w:jc w:val="center"/>
        </w:trPr>
        <w:tc>
          <w:tcPr>
            <w:tcW w:w="1408" w:type="dxa"/>
            <w:shd w:val="clear" w:color="auto" w:fill="auto"/>
            <w:noWrap/>
            <w:vAlign w:val="bottom"/>
          </w:tcPr>
          <w:p w14:paraId="1258FDE2" w14:textId="77777777" w:rsidR="00AE6445" w:rsidRPr="001D042C" w:rsidRDefault="00AE6445"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 Regional </w:t>
            </w:r>
          </w:p>
        </w:tc>
        <w:tc>
          <w:tcPr>
            <w:tcW w:w="1327" w:type="dxa"/>
            <w:shd w:val="clear" w:color="auto" w:fill="auto"/>
            <w:noWrap/>
            <w:vAlign w:val="bottom"/>
          </w:tcPr>
          <w:p w14:paraId="7B107EB2"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1,204</w:t>
            </w:r>
          </w:p>
        </w:tc>
        <w:tc>
          <w:tcPr>
            <w:tcW w:w="1327" w:type="dxa"/>
            <w:shd w:val="clear" w:color="auto" w:fill="auto"/>
            <w:noWrap/>
            <w:vAlign w:val="bottom"/>
          </w:tcPr>
          <w:p w14:paraId="42D96A53"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1,988</w:t>
            </w:r>
          </w:p>
        </w:tc>
        <w:tc>
          <w:tcPr>
            <w:tcW w:w="1360" w:type="dxa"/>
            <w:shd w:val="clear" w:color="auto" w:fill="auto"/>
            <w:noWrap/>
            <w:vAlign w:val="bottom"/>
          </w:tcPr>
          <w:p w14:paraId="29D0CF24"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503</w:t>
            </w:r>
          </w:p>
        </w:tc>
        <w:tc>
          <w:tcPr>
            <w:tcW w:w="1360" w:type="dxa"/>
            <w:shd w:val="clear" w:color="auto" w:fill="auto"/>
            <w:noWrap/>
            <w:vAlign w:val="bottom"/>
          </w:tcPr>
          <w:p w14:paraId="4AA75B83"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734</w:t>
            </w:r>
          </w:p>
        </w:tc>
        <w:tc>
          <w:tcPr>
            <w:tcW w:w="1339" w:type="dxa"/>
            <w:shd w:val="clear" w:color="auto" w:fill="auto"/>
            <w:noWrap/>
            <w:vAlign w:val="bottom"/>
          </w:tcPr>
          <w:p w14:paraId="116E9CB7" w14:textId="77777777" w:rsidR="00AE6445" w:rsidRPr="001D042C" w:rsidRDefault="00AE6445"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4,429</w:t>
            </w:r>
          </w:p>
        </w:tc>
      </w:tr>
      <w:tr w:rsidR="00AE6445" w:rsidRPr="001D042C" w14:paraId="45B8645E" w14:textId="77777777" w:rsidTr="00425948">
        <w:trPr>
          <w:trHeight w:val="300"/>
          <w:jc w:val="center"/>
        </w:trPr>
        <w:tc>
          <w:tcPr>
            <w:tcW w:w="1408" w:type="dxa"/>
            <w:shd w:val="clear" w:color="auto" w:fill="auto"/>
            <w:noWrap/>
            <w:vAlign w:val="bottom"/>
          </w:tcPr>
          <w:p w14:paraId="2B016090" w14:textId="77777777" w:rsidR="00AE6445" w:rsidRPr="001D042C" w:rsidRDefault="00AE6445" w:rsidP="00AE6445">
            <w:pPr>
              <w:keepNext/>
              <w:keepLines/>
              <w:spacing w:before="0" w:after="0"/>
              <w:rPr>
                <w:rFonts w:ascii="Arial" w:hAnsi="Arial" w:cs="Arial"/>
                <w:b/>
                <w:color w:val="000000"/>
                <w:sz w:val="20"/>
                <w:lang w:val="en-AU" w:eastAsia="en-AU"/>
              </w:rPr>
            </w:pPr>
            <w:r w:rsidRPr="001D042C">
              <w:rPr>
                <w:rFonts w:ascii="Arial" w:hAnsi="Arial" w:cs="Arial"/>
                <w:b/>
                <w:color w:val="000000"/>
                <w:sz w:val="20"/>
                <w:lang w:val="en-AU" w:eastAsia="en-AU"/>
              </w:rPr>
              <w:t xml:space="preserve"> Total  </w:t>
            </w:r>
          </w:p>
        </w:tc>
        <w:tc>
          <w:tcPr>
            <w:tcW w:w="1327" w:type="dxa"/>
            <w:shd w:val="clear" w:color="auto" w:fill="auto"/>
            <w:noWrap/>
            <w:vAlign w:val="bottom"/>
          </w:tcPr>
          <w:p w14:paraId="6EE25139"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2,964</w:t>
            </w:r>
          </w:p>
        </w:tc>
        <w:tc>
          <w:tcPr>
            <w:tcW w:w="1327" w:type="dxa"/>
            <w:shd w:val="clear" w:color="auto" w:fill="auto"/>
            <w:noWrap/>
            <w:vAlign w:val="bottom"/>
          </w:tcPr>
          <w:p w14:paraId="7B52DA89"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4,884</w:t>
            </w:r>
          </w:p>
        </w:tc>
        <w:tc>
          <w:tcPr>
            <w:tcW w:w="1360" w:type="dxa"/>
            <w:shd w:val="clear" w:color="auto" w:fill="auto"/>
            <w:noWrap/>
            <w:vAlign w:val="bottom"/>
          </w:tcPr>
          <w:p w14:paraId="3496AA17"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1,704</w:t>
            </w:r>
          </w:p>
        </w:tc>
        <w:tc>
          <w:tcPr>
            <w:tcW w:w="1360" w:type="dxa"/>
            <w:shd w:val="clear" w:color="auto" w:fill="auto"/>
            <w:noWrap/>
            <w:vAlign w:val="bottom"/>
          </w:tcPr>
          <w:p w14:paraId="1307F2A0"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2,583</w:t>
            </w:r>
          </w:p>
        </w:tc>
        <w:tc>
          <w:tcPr>
            <w:tcW w:w="1339" w:type="dxa"/>
            <w:shd w:val="clear" w:color="auto" w:fill="auto"/>
            <w:noWrap/>
            <w:vAlign w:val="bottom"/>
          </w:tcPr>
          <w:p w14:paraId="32F3956E"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12,135</w:t>
            </w:r>
          </w:p>
        </w:tc>
      </w:tr>
    </w:tbl>
    <w:p w14:paraId="4DEF47F5" w14:textId="77777777" w:rsidR="00AE6445" w:rsidRPr="001D042C" w:rsidRDefault="00AE6445" w:rsidP="00AE6445">
      <w:pPr>
        <w:pStyle w:val="Para"/>
        <w:rPr>
          <w:szCs w:val="24"/>
        </w:rPr>
      </w:pPr>
    </w:p>
    <w:p w14:paraId="6FA86BBA" w14:textId="77777777" w:rsidR="00AE6445" w:rsidRPr="001D042C" w:rsidRDefault="00AE6445" w:rsidP="00AE6445">
      <w:pPr>
        <w:pStyle w:val="Para"/>
        <w:rPr>
          <w:szCs w:val="24"/>
        </w:rPr>
      </w:pPr>
      <w:r w:rsidRPr="001D042C">
        <w:rPr>
          <w:szCs w:val="24"/>
        </w:rPr>
        <w:t xml:space="preserve">The initial sample was then mailed out an information pack for the survey, including a letter, a brochure and set of blank consent forms. Following the mail-out, telephone contact was attempted with the households, in order to complete a short telephone survey.  At the end of the telephone survey, willing respondents were asked to complete and return a set of consent forms which allowed Roy Morgan Research to contact energy suppliers, water suppliers and councils in order to obtain billing and consumption information for each household providing consent. </w:t>
      </w:r>
    </w:p>
    <w:p w14:paraId="2B39A3BA" w14:textId="77777777" w:rsidR="00AE6445" w:rsidRPr="001D042C" w:rsidRDefault="00AE6445" w:rsidP="00AE6445">
      <w:pPr>
        <w:pStyle w:val="Para"/>
        <w:rPr>
          <w:szCs w:val="24"/>
        </w:rPr>
      </w:pPr>
    </w:p>
    <w:p w14:paraId="5D4AD270" w14:textId="77777777" w:rsidR="00AE6445" w:rsidRPr="001D042C" w:rsidRDefault="00AE6445" w:rsidP="00AE6445">
      <w:pPr>
        <w:pStyle w:val="Para"/>
        <w:rPr>
          <w:szCs w:val="24"/>
        </w:rPr>
      </w:pPr>
      <w:r w:rsidRPr="001D042C">
        <w:rPr>
          <w:szCs w:val="24"/>
        </w:rPr>
        <w:t>As expected, the CATI interview resulted in a number of households being allocated to a different concession status than the one that they had when initially selected. Partly reflecting this and partly reflecting the different response rates experienced, stratum by stratum, during fieldwork some adjustments to target quotas were implemented to ensure that the overall sampling requirements of the project were achieved.</w:t>
      </w:r>
    </w:p>
    <w:p w14:paraId="067A600E" w14:textId="77777777" w:rsidR="003920D8" w:rsidRPr="001D042C" w:rsidRDefault="00AE6445">
      <w:pPr>
        <w:pStyle w:val="Heading3"/>
        <w:tabs>
          <w:tab w:val="num" w:pos="851"/>
        </w:tabs>
        <w:spacing w:before="0"/>
        <w:ind w:hanging="8517"/>
        <w:rPr>
          <w:bCs/>
          <w:lang w:val="en-AU"/>
        </w:rPr>
      </w:pPr>
      <w:bookmarkStart w:id="68" w:name="_Toc439198263"/>
      <w:bookmarkStart w:id="69" w:name="_Toc445571648"/>
      <w:r w:rsidRPr="001D042C">
        <w:rPr>
          <w:bCs/>
          <w:lang w:val="en-AU"/>
        </w:rPr>
        <w:lastRenderedPageBreak/>
        <w:t>Survey Respondent</w:t>
      </w:r>
      <w:bookmarkEnd w:id="68"/>
      <w:bookmarkEnd w:id="69"/>
    </w:p>
    <w:p w14:paraId="1FC3A48C" w14:textId="77777777" w:rsidR="00AE6445" w:rsidRPr="001D042C" w:rsidRDefault="00AE6445" w:rsidP="00AE6445">
      <w:pPr>
        <w:jc w:val="both"/>
        <w:rPr>
          <w:lang w:val="en-AU"/>
        </w:rPr>
      </w:pPr>
    </w:p>
    <w:p w14:paraId="2F8C4FD3" w14:textId="77777777" w:rsidR="00AE6445" w:rsidRPr="001D042C" w:rsidRDefault="00AE6445" w:rsidP="00AE6445">
      <w:pPr>
        <w:spacing w:before="0" w:after="0" w:line="340" w:lineRule="exact"/>
        <w:jc w:val="both"/>
        <w:rPr>
          <w:lang w:val="en-AU"/>
        </w:rPr>
      </w:pPr>
      <w:r w:rsidRPr="001D042C">
        <w:rPr>
          <w:lang w:val="en-AU"/>
        </w:rPr>
        <w:t>The eligible respondent for this survey was defined as:</w:t>
      </w:r>
    </w:p>
    <w:p w14:paraId="34DF17A3" w14:textId="77777777" w:rsidR="00AE6445" w:rsidRPr="001D042C" w:rsidRDefault="00AE6445" w:rsidP="00AE6445">
      <w:pPr>
        <w:spacing w:before="120" w:after="0" w:line="340" w:lineRule="exact"/>
        <w:ind w:left="720"/>
        <w:jc w:val="both"/>
        <w:rPr>
          <w:b/>
          <w:i/>
          <w:lang w:val="en-AU"/>
        </w:rPr>
      </w:pPr>
      <w:r w:rsidRPr="001D042C">
        <w:rPr>
          <w:b/>
          <w:i/>
          <w:lang w:val="en-AU"/>
        </w:rPr>
        <w:t xml:space="preserve">The adult member of the household who is normally responsible for payment of the household bills </w:t>
      </w:r>
      <w:r w:rsidRPr="001D042C">
        <w:rPr>
          <w:b/>
          <w:i/>
          <w:u w:val="single"/>
          <w:lang w:val="en-AU"/>
        </w:rPr>
        <w:t>or</w:t>
      </w:r>
      <w:r w:rsidRPr="001D042C">
        <w:rPr>
          <w:b/>
          <w:i/>
          <w:lang w:val="en-AU"/>
        </w:rPr>
        <w:t xml:space="preserve"> the adult member of the household who could provide details about bills paid by the household.</w:t>
      </w:r>
    </w:p>
    <w:p w14:paraId="6D9A94B7" w14:textId="77777777" w:rsidR="00AE6445" w:rsidRPr="001D042C" w:rsidRDefault="00AE6445" w:rsidP="00AE6445">
      <w:pPr>
        <w:pStyle w:val="BodyTextIndent"/>
        <w:spacing w:before="0" w:after="0" w:line="340" w:lineRule="exact"/>
        <w:ind w:left="0"/>
        <w:jc w:val="both"/>
        <w:rPr>
          <w:lang w:val="en-AU"/>
        </w:rPr>
      </w:pPr>
    </w:p>
    <w:p w14:paraId="5E481BC7" w14:textId="77777777" w:rsidR="00AE6445" w:rsidRPr="001D042C" w:rsidRDefault="00AE6445" w:rsidP="00AE6445">
      <w:pPr>
        <w:pStyle w:val="BodyTextIndent"/>
        <w:spacing w:before="0" w:after="0" w:line="340" w:lineRule="exact"/>
        <w:ind w:left="0"/>
        <w:jc w:val="both"/>
        <w:rPr>
          <w:lang w:val="en-AU"/>
        </w:rPr>
      </w:pPr>
      <w:r w:rsidRPr="001D042C">
        <w:rPr>
          <w:lang w:val="en-AU"/>
        </w:rPr>
        <w:t>This was usually the person whose name appears on the bill, but it may have been another member of the household who was responsible for the financial management of the household.</w:t>
      </w:r>
    </w:p>
    <w:p w14:paraId="0F5E7F55" w14:textId="77777777" w:rsidR="00AE6445" w:rsidRPr="001D042C" w:rsidRDefault="00AE6445" w:rsidP="00AE6445">
      <w:pPr>
        <w:spacing w:before="0" w:after="0" w:line="340" w:lineRule="exact"/>
        <w:jc w:val="both"/>
        <w:rPr>
          <w:lang w:val="en-AU"/>
        </w:rPr>
      </w:pPr>
    </w:p>
    <w:p w14:paraId="374791C8" w14:textId="77777777" w:rsidR="00AE6445" w:rsidRPr="001D042C" w:rsidRDefault="00AE6445" w:rsidP="00AE6445">
      <w:pPr>
        <w:spacing w:before="0" w:after="0" w:line="340" w:lineRule="exact"/>
        <w:jc w:val="both"/>
        <w:rPr>
          <w:lang w:val="en-AU"/>
        </w:rPr>
      </w:pPr>
      <w:r w:rsidRPr="001D042C">
        <w:rPr>
          <w:lang w:val="en-AU"/>
        </w:rPr>
        <w:t>In some circumstances there were households where different utility and rate bills were in different names.  We interviewed the person who could properly answer on behalf of the other residents, in respect of all utility and rate bills.</w:t>
      </w:r>
    </w:p>
    <w:p w14:paraId="4FB07E72" w14:textId="77777777" w:rsidR="00AE6445" w:rsidRPr="001D042C" w:rsidRDefault="00AE6445" w:rsidP="00AE6445">
      <w:pPr>
        <w:spacing w:before="0" w:after="0" w:line="340" w:lineRule="exact"/>
        <w:jc w:val="both"/>
        <w:rPr>
          <w:lang w:val="en-AU"/>
        </w:rPr>
      </w:pPr>
    </w:p>
    <w:p w14:paraId="40EFBE9F" w14:textId="77777777" w:rsidR="00AE6445" w:rsidRPr="001D042C" w:rsidRDefault="00AE6445" w:rsidP="00AE6445">
      <w:pPr>
        <w:pStyle w:val="BodyTextIndent2"/>
        <w:spacing w:line="340" w:lineRule="exact"/>
        <w:ind w:left="0"/>
        <w:jc w:val="both"/>
      </w:pPr>
      <w:r w:rsidRPr="001D042C">
        <w:t>In households where two or more people were equally responsible for payment of bills, then either (or any) of these people were interviewed.</w:t>
      </w:r>
    </w:p>
    <w:p w14:paraId="4870A01F" w14:textId="77777777" w:rsidR="00AE6445" w:rsidRPr="001D042C" w:rsidRDefault="00AE6445" w:rsidP="00AE6445">
      <w:pPr>
        <w:spacing w:before="0" w:after="0" w:line="340" w:lineRule="exact"/>
        <w:jc w:val="both"/>
        <w:rPr>
          <w:lang w:val="en-AU"/>
        </w:rPr>
      </w:pPr>
    </w:p>
    <w:p w14:paraId="23BB8E3E" w14:textId="77777777" w:rsidR="00AE6445" w:rsidRPr="001D042C" w:rsidRDefault="00AE6445" w:rsidP="00AE6445">
      <w:pPr>
        <w:spacing w:before="0" w:after="0" w:line="340" w:lineRule="exact"/>
        <w:jc w:val="both"/>
        <w:rPr>
          <w:lang w:val="en-AU"/>
        </w:rPr>
      </w:pPr>
      <w:r w:rsidRPr="001D042C">
        <w:rPr>
          <w:lang w:val="en-AU"/>
        </w:rPr>
        <w:t xml:space="preserve">The account holder, joint account holder or authorised person on behalf of the householder needed to </w:t>
      </w:r>
      <w:r w:rsidRPr="001D042C">
        <w:rPr>
          <w:b/>
          <w:i/>
          <w:lang w:val="en-AU"/>
        </w:rPr>
        <w:t>sign consent forms</w:t>
      </w:r>
      <w:r w:rsidRPr="001D042C">
        <w:rPr>
          <w:lang w:val="en-AU"/>
        </w:rPr>
        <w:t xml:space="preserve"> on behalf of the household so that Roy Morgan Research could obtain billing information from each applicable utility and council.  In some instances, the respondent was not the account holder for one or more of the household bills.  In these instances the respondent was asked to arrange for the actual account holder to sign the form.  </w:t>
      </w:r>
    </w:p>
    <w:p w14:paraId="6D4CB737" w14:textId="77777777" w:rsidR="00AE6445" w:rsidRPr="001D042C" w:rsidRDefault="00AE6445" w:rsidP="00AE6445">
      <w:pPr>
        <w:spacing w:before="0" w:after="0" w:line="340" w:lineRule="exact"/>
        <w:jc w:val="both"/>
        <w:rPr>
          <w:lang w:val="en-AU"/>
        </w:rPr>
      </w:pPr>
    </w:p>
    <w:p w14:paraId="331D98E4" w14:textId="77777777" w:rsidR="00AE6445" w:rsidRPr="001D042C" w:rsidRDefault="00AE6445" w:rsidP="00AE6445">
      <w:pPr>
        <w:spacing w:before="0" w:after="0" w:line="340" w:lineRule="exact"/>
        <w:jc w:val="both"/>
        <w:rPr>
          <w:b/>
          <w:lang w:val="en-AU"/>
        </w:rPr>
      </w:pPr>
      <w:r w:rsidRPr="001D042C">
        <w:rPr>
          <w:lang w:val="en-AU"/>
        </w:rPr>
        <w:t>Only information about the household and dwelling approached for interview was gathered.  If the respondent had other properties they were to limit their responses only to the dwelling approached and exclude any information about other properties for which they had responsibility.</w:t>
      </w:r>
    </w:p>
    <w:p w14:paraId="117F297D" w14:textId="77777777" w:rsidR="00AE6445" w:rsidRPr="001D042C" w:rsidRDefault="00AE6445" w:rsidP="00AE6445">
      <w:pPr>
        <w:spacing w:before="0" w:after="0" w:line="340" w:lineRule="exact"/>
        <w:jc w:val="both"/>
        <w:rPr>
          <w:lang w:val="en-AU"/>
        </w:rPr>
      </w:pPr>
    </w:p>
    <w:p w14:paraId="56675EE6" w14:textId="77777777" w:rsidR="00AE6445" w:rsidRPr="001D042C" w:rsidRDefault="00AE6445" w:rsidP="00AE6445">
      <w:pPr>
        <w:pStyle w:val="BodyTextIndent"/>
        <w:spacing w:line="340" w:lineRule="exact"/>
        <w:ind w:left="66"/>
        <w:jc w:val="both"/>
        <w:rPr>
          <w:lang w:val="en-AU"/>
        </w:rPr>
      </w:pPr>
      <w:r w:rsidRPr="001D042C">
        <w:rPr>
          <w:lang w:val="en-AU"/>
        </w:rPr>
        <w:t xml:space="preserve">For a household to be eligible for the survey </w:t>
      </w:r>
      <w:r w:rsidRPr="001D042C">
        <w:rPr>
          <w:b/>
          <w:i/>
          <w:lang w:val="en-AU"/>
        </w:rPr>
        <w:t xml:space="preserve">current residents must have lived at the address approached </w:t>
      </w:r>
      <w:r w:rsidRPr="001D042C">
        <w:rPr>
          <w:b/>
          <w:i/>
        </w:rPr>
        <w:t>since at least 1 July 2013</w:t>
      </w:r>
      <w:r w:rsidRPr="001D042C">
        <w:rPr>
          <w:lang w:val="en-AU"/>
        </w:rPr>
        <w:t xml:space="preserve">.  If not, the household was not eligible for the survey. </w:t>
      </w:r>
    </w:p>
    <w:p w14:paraId="4DAFCF08" w14:textId="77777777" w:rsidR="003920D8" w:rsidRPr="001D042C" w:rsidRDefault="00AE6445">
      <w:pPr>
        <w:pStyle w:val="Heading3"/>
        <w:tabs>
          <w:tab w:val="num" w:pos="851"/>
        </w:tabs>
        <w:spacing w:before="0"/>
        <w:ind w:hanging="8517"/>
        <w:rPr>
          <w:bCs/>
          <w:lang w:val="en-AU"/>
        </w:rPr>
      </w:pPr>
      <w:bookmarkStart w:id="70" w:name="_Toc439198264"/>
      <w:bookmarkStart w:id="71" w:name="_Toc445571649"/>
      <w:r w:rsidRPr="001D042C">
        <w:rPr>
          <w:bCs/>
          <w:lang w:val="en-AU"/>
        </w:rPr>
        <w:lastRenderedPageBreak/>
        <w:t>Sample Interviewed</w:t>
      </w:r>
      <w:bookmarkEnd w:id="70"/>
      <w:bookmarkEnd w:id="71"/>
    </w:p>
    <w:p w14:paraId="6CA644D7" w14:textId="54DE0667" w:rsidR="00AE6445" w:rsidRPr="001D042C" w:rsidRDefault="00AE6445" w:rsidP="00AE6445">
      <w:pPr>
        <w:pStyle w:val="Para"/>
        <w:rPr>
          <w:lang w:val="en-AU"/>
        </w:rPr>
      </w:pPr>
      <w:r w:rsidRPr="001D042C">
        <w:rPr>
          <w:lang w:val="en-AU"/>
        </w:rPr>
        <w:t xml:space="preserve">A total of 2,204 telephone interviews were successfully completed.  </w:t>
      </w:r>
      <w:r w:rsidR="00C03777" w:rsidRPr="001D042C">
        <w:rPr>
          <w:lang w:val="en-AU"/>
        </w:rPr>
        <w:t>Table 2.4</w:t>
      </w:r>
      <w:r w:rsidR="00C03777" w:rsidRPr="001D042C">
        <w:rPr>
          <w:b/>
          <w:lang w:val="en-AU"/>
        </w:rPr>
        <w:t xml:space="preserve"> </w:t>
      </w:r>
      <w:r w:rsidRPr="001D042C">
        <w:rPr>
          <w:lang w:val="en-AU"/>
        </w:rPr>
        <w:t xml:space="preserve">shows the distribution of these respondents by DHHS region and by concession status. </w:t>
      </w:r>
      <w:r w:rsidR="006F6665" w:rsidRPr="001D042C">
        <w:rPr>
          <w:lang w:val="en-AU"/>
        </w:rPr>
        <w:t xml:space="preserve"> Table 2.5 shows the distribution of respondents by household size and metropolitan/regional split.</w:t>
      </w:r>
      <w:r w:rsidRPr="001D042C">
        <w:rPr>
          <w:lang w:val="en-AU"/>
        </w:rPr>
        <w:t xml:space="preserve"> (Note that the household’s final concession status may have changed from the status that the household was originally assigned when drawing the sample.)</w:t>
      </w:r>
    </w:p>
    <w:p w14:paraId="76A1BD8D" w14:textId="77777777" w:rsidR="00AE6445" w:rsidRDefault="00AE6445" w:rsidP="00AE6445">
      <w:pPr>
        <w:pStyle w:val="Para"/>
        <w:rPr>
          <w:lang w:val="en-AU"/>
        </w:rPr>
      </w:pPr>
    </w:p>
    <w:p w14:paraId="35F1BFDC" w14:textId="77777777" w:rsidR="00AE6445" w:rsidRPr="001D042C" w:rsidRDefault="00AE6445" w:rsidP="00425948">
      <w:pPr>
        <w:pStyle w:val="Para"/>
        <w:keepNext/>
        <w:keepLines/>
        <w:spacing w:after="120"/>
        <w:jc w:val="center"/>
        <w:rPr>
          <w:b/>
          <w:szCs w:val="24"/>
        </w:rPr>
      </w:pPr>
      <w:r w:rsidRPr="001D042C">
        <w:rPr>
          <w:b/>
          <w:szCs w:val="24"/>
        </w:rPr>
        <w:t xml:space="preserve">Table </w:t>
      </w:r>
      <w:r w:rsidR="0091303E" w:rsidRPr="001D042C">
        <w:rPr>
          <w:b/>
          <w:szCs w:val="24"/>
        </w:rPr>
        <w:t>2.4</w:t>
      </w:r>
      <w:r w:rsidRPr="001D042C">
        <w:rPr>
          <w:b/>
          <w:szCs w:val="24"/>
        </w:rPr>
        <w:t xml:space="preserve"> – </w:t>
      </w:r>
      <w:r w:rsidRPr="001D042C">
        <w:rPr>
          <w:b/>
          <w:szCs w:val="24"/>
          <w:u w:val="single"/>
        </w:rPr>
        <w:t>CATI interviews – by concession status and DHHS region</w:t>
      </w:r>
    </w:p>
    <w:tbl>
      <w:tblPr>
        <w:tblW w:w="80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20"/>
        <w:gridCol w:w="1360"/>
        <w:gridCol w:w="1360"/>
        <w:gridCol w:w="1360"/>
        <w:gridCol w:w="1360"/>
      </w:tblGrid>
      <w:tr w:rsidR="00AE6445" w:rsidRPr="001D042C" w14:paraId="31E80CED" w14:textId="77777777" w:rsidTr="00425948">
        <w:trPr>
          <w:trHeight w:val="600"/>
          <w:jc w:val="center"/>
        </w:trPr>
        <w:tc>
          <w:tcPr>
            <w:tcW w:w="2620" w:type="dxa"/>
            <w:shd w:val="clear" w:color="auto" w:fill="auto"/>
            <w:noWrap/>
            <w:vAlign w:val="bottom"/>
          </w:tcPr>
          <w:p w14:paraId="165A3BA8" w14:textId="77777777" w:rsidR="00AE6445" w:rsidRPr="001D042C" w:rsidRDefault="00AE6445" w:rsidP="00AE6445">
            <w:pPr>
              <w:keepNext/>
              <w:spacing w:before="0" w:after="0"/>
              <w:rPr>
                <w:rFonts w:ascii="Arial" w:hAnsi="Arial" w:cs="Arial"/>
                <w:b/>
                <w:color w:val="000000"/>
                <w:sz w:val="20"/>
                <w:lang w:val="en-AU" w:eastAsia="en-AU"/>
              </w:rPr>
            </w:pPr>
            <w:r w:rsidRPr="001D042C">
              <w:rPr>
                <w:rFonts w:ascii="Arial" w:hAnsi="Arial" w:cs="Arial"/>
                <w:b/>
                <w:color w:val="000000"/>
                <w:sz w:val="20"/>
                <w:lang w:val="en-AU" w:eastAsia="en-AU"/>
              </w:rPr>
              <w:t>DHHS Region</w:t>
            </w:r>
          </w:p>
        </w:tc>
        <w:tc>
          <w:tcPr>
            <w:tcW w:w="1360" w:type="dxa"/>
            <w:shd w:val="clear" w:color="auto" w:fill="auto"/>
            <w:vAlign w:val="bottom"/>
          </w:tcPr>
          <w:p w14:paraId="1EAF629E" w14:textId="77777777" w:rsidR="00AE6445" w:rsidRPr="001D042C" w:rsidRDefault="00AE6445" w:rsidP="00AE6445">
            <w:pPr>
              <w:keepNext/>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Aged Concession</w:t>
            </w:r>
          </w:p>
        </w:tc>
        <w:tc>
          <w:tcPr>
            <w:tcW w:w="1360" w:type="dxa"/>
            <w:shd w:val="clear" w:color="auto" w:fill="auto"/>
            <w:vAlign w:val="bottom"/>
          </w:tcPr>
          <w:p w14:paraId="4966FEEC" w14:textId="77777777" w:rsidR="00AE6445" w:rsidRPr="001D042C" w:rsidRDefault="00AE6445" w:rsidP="00AE6445">
            <w:pPr>
              <w:keepNext/>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Other Concession</w:t>
            </w:r>
          </w:p>
        </w:tc>
        <w:tc>
          <w:tcPr>
            <w:tcW w:w="1360" w:type="dxa"/>
            <w:shd w:val="clear" w:color="auto" w:fill="auto"/>
            <w:vAlign w:val="bottom"/>
          </w:tcPr>
          <w:p w14:paraId="0F4E6E11" w14:textId="77777777" w:rsidR="00AE6445" w:rsidRPr="001D042C" w:rsidRDefault="00AE6445" w:rsidP="00AE6445">
            <w:pPr>
              <w:keepNext/>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Non-concession</w:t>
            </w:r>
          </w:p>
        </w:tc>
        <w:tc>
          <w:tcPr>
            <w:tcW w:w="1360" w:type="dxa"/>
            <w:shd w:val="clear" w:color="auto" w:fill="auto"/>
            <w:vAlign w:val="bottom"/>
          </w:tcPr>
          <w:p w14:paraId="4EE13CD8" w14:textId="77777777" w:rsidR="00AE6445" w:rsidRPr="001D042C" w:rsidRDefault="00AE6445" w:rsidP="00AE6445">
            <w:pPr>
              <w:keepNext/>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Total</w:t>
            </w:r>
          </w:p>
        </w:tc>
      </w:tr>
      <w:tr w:rsidR="00AE6445" w:rsidRPr="001D042C" w14:paraId="0A58F5BA" w14:textId="77777777" w:rsidTr="00425948">
        <w:trPr>
          <w:trHeight w:val="300"/>
          <w:jc w:val="center"/>
        </w:trPr>
        <w:tc>
          <w:tcPr>
            <w:tcW w:w="2620" w:type="dxa"/>
            <w:shd w:val="clear" w:color="auto" w:fill="auto"/>
            <w:noWrap/>
            <w:vAlign w:val="bottom"/>
          </w:tcPr>
          <w:p w14:paraId="2E44AD80"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Barwon</w:t>
            </w:r>
          </w:p>
        </w:tc>
        <w:tc>
          <w:tcPr>
            <w:tcW w:w="1360" w:type="dxa"/>
            <w:shd w:val="clear" w:color="auto" w:fill="auto"/>
            <w:noWrap/>
            <w:vAlign w:val="bottom"/>
          </w:tcPr>
          <w:p w14:paraId="1BC0D354"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43</w:t>
            </w:r>
          </w:p>
        </w:tc>
        <w:tc>
          <w:tcPr>
            <w:tcW w:w="1360" w:type="dxa"/>
            <w:shd w:val="clear" w:color="auto" w:fill="auto"/>
            <w:noWrap/>
            <w:vAlign w:val="bottom"/>
          </w:tcPr>
          <w:p w14:paraId="4F781076"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33</w:t>
            </w:r>
          </w:p>
        </w:tc>
        <w:tc>
          <w:tcPr>
            <w:tcW w:w="1360" w:type="dxa"/>
            <w:shd w:val="clear" w:color="auto" w:fill="auto"/>
            <w:noWrap/>
            <w:vAlign w:val="bottom"/>
          </w:tcPr>
          <w:p w14:paraId="4C1C5BA1"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50</w:t>
            </w:r>
          </w:p>
        </w:tc>
        <w:tc>
          <w:tcPr>
            <w:tcW w:w="1360" w:type="dxa"/>
            <w:shd w:val="clear" w:color="auto" w:fill="auto"/>
            <w:noWrap/>
            <w:vAlign w:val="bottom"/>
          </w:tcPr>
          <w:p w14:paraId="76F40461"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126</w:t>
            </w:r>
          </w:p>
        </w:tc>
      </w:tr>
      <w:tr w:rsidR="00AE6445" w:rsidRPr="001D042C" w14:paraId="2ECB485F" w14:textId="77777777" w:rsidTr="00425948">
        <w:trPr>
          <w:trHeight w:val="300"/>
          <w:jc w:val="center"/>
        </w:trPr>
        <w:tc>
          <w:tcPr>
            <w:tcW w:w="2620" w:type="dxa"/>
            <w:shd w:val="clear" w:color="auto" w:fill="auto"/>
            <w:noWrap/>
            <w:vAlign w:val="bottom"/>
          </w:tcPr>
          <w:p w14:paraId="11D7970C"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Bayside </w:t>
            </w:r>
            <w:smartTag w:uri="urn:schemas-microsoft-com:office:smarttags" w:element="place">
              <w:r w:rsidRPr="001D042C">
                <w:rPr>
                  <w:rFonts w:ascii="Arial" w:hAnsi="Arial" w:cs="Arial"/>
                  <w:color w:val="000000"/>
                  <w:sz w:val="20"/>
                  <w:lang w:val="en-AU" w:eastAsia="en-AU"/>
                </w:rPr>
                <w:t>Peninsula</w:t>
              </w:r>
            </w:smartTag>
          </w:p>
        </w:tc>
        <w:tc>
          <w:tcPr>
            <w:tcW w:w="1360" w:type="dxa"/>
            <w:shd w:val="clear" w:color="auto" w:fill="auto"/>
            <w:noWrap/>
            <w:vAlign w:val="bottom"/>
          </w:tcPr>
          <w:p w14:paraId="16CA5CDC"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103</w:t>
            </w:r>
          </w:p>
        </w:tc>
        <w:tc>
          <w:tcPr>
            <w:tcW w:w="1360" w:type="dxa"/>
            <w:shd w:val="clear" w:color="auto" w:fill="auto"/>
            <w:noWrap/>
            <w:vAlign w:val="bottom"/>
          </w:tcPr>
          <w:p w14:paraId="6C5931EB"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55</w:t>
            </w:r>
          </w:p>
        </w:tc>
        <w:tc>
          <w:tcPr>
            <w:tcW w:w="1360" w:type="dxa"/>
            <w:shd w:val="clear" w:color="auto" w:fill="auto"/>
            <w:noWrap/>
            <w:vAlign w:val="bottom"/>
          </w:tcPr>
          <w:p w14:paraId="34DD07F2"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155</w:t>
            </w:r>
          </w:p>
        </w:tc>
        <w:tc>
          <w:tcPr>
            <w:tcW w:w="1360" w:type="dxa"/>
            <w:shd w:val="clear" w:color="auto" w:fill="auto"/>
            <w:noWrap/>
            <w:vAlign w:val="bottom"/>
          </w:tcPr>
          <w:p w14:paraId="1E86A742"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313</w:t>
            </w:r>
          </w:p>
        </w:tc>
      </w:tr>
      <w:tr w:rsidR="00AE6445" w:rsidRPr="001D042C" w14:paraId="555611C6" w14:textId="77777777" w:rsidTr="00425948">
        <w:trPr>
          <w:trHeight w:val="300"/>
          <w:jc w:val="center"/>
        </w:trPr>
        <w:tc>
          <w:tcPr>
            <w:tcW w:w="2620" w:type="dxa"/>
            <w:shd w:val="clear" w:color="auto" w:fill="auto"/>
            <w:noWrap/>
            <w:vAlign w:val="bottom"/>
          </w:tcPr>
          <w:p w14:paraId="47A44398"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Brimbank Melton</w:t>
            </w:r>
          </w:p>
        </w:tc>
        <w:tc>
          <w:tcPr>
            <w:tcW w:w="1360" w:type="dxa"/>
            <w:shd w:val="clear" w:color="auto" w:fill="auto"/>
            <w:noWrap/>
            <w:vAlign w:val="bottom"/>
          </w:tcPr>
          <w:p w14:paraId="03C20B51"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22</w:t>
            </w:r>
          </w:p>
        </w:tc>
        <w:tc>
          <w:tcPr>
            <w:tcW w:w="1360" w:type="dxa"/>
            <w:shd w:val="clear" w:color="auto" w:fill="auto"/>
            <w:noWrap/>
            <w:vAlign w:val="bottom"/>
          </w:tcPr>
          <w:p w14:paraId="4638E7E2"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22</w:t>
            </w:r>
          </w:p>
        </w:tc>
        <w:tc>
          <w:tcPr>
            <w:tcW w:w="1360" w:type="dxa"/>
            <w:shd w:val="clear" w:color="auto" w:fill="auto"/>
            <w:noWrap/>
            <w:vAlign w:val="bottom"/>
          </w:tcPr>
          <w:p w14:paraId="1024B18E"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28</w:t>
            </w:r>
          </w:p>
        </w:tc>
        <w:tc>
          <w:tcPr>
            <w:tcW w:w="1360" w:type="dxa"/>
            <w:shd w:val="clear" w:color="auto" w:fill="auto"/>
            <w:noWrap/>
            <w:vAlign w:val="bottom"/>
          </w:tcPr>
          <w:p w14:paraId="6ABC5000"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72</w:t>
            </w:r>
          </w:p>
        </w:tc>
      </w:tr>
      <w:tr w:rsidR="00AE6445" w:rsidRPr="001D042C" w14:paraId="621CA0A4" w14:textId="77777777" w:rsidTr="00425948">
        <w:trPr>
          <w:trHeight w:val="300"/>
          <w:jc w:val="center"/>
        </w:trPr>
        <w:tc>
          <w:tcPr>
            <w:tcW w:w="2620" w:type="dxa"/>
            <w:shd w:val="clear" w:color="auto" w:fill="auto"/>
            <w:noWrap/>
            <w:vAlign w:val="bottom"/>
          </w:tcPr>
          <w:p w14:paraId="61F4C9D8"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Central Highlands</w:t>
            </w:r>
          </w:p>
        </w:tc>
        <w:tc>
          <w:tcPr>
            <w:tcW w:w="1360" w:type="dxa"/>
            <w:shd w:val="clear" w:color="auto" w:fill="auto"/>
            <w:noWrap/>
            <w:vAlign w:val="bottom"/>
          </w:tcPr>
          <w:p w14:paraId="06F05969"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33</w:t>
            </w:r>
          </w:p>
        </w:tc>
        <w:tc>
          <w:tcPr>
            <w:tcW w:w="1360" w:type="dxa"/>
            <w:shd w:val="clear" w:color="auto" w:fill="auto"/>
            <w:noWrap/>
            <w:vAlign w:val="bottom"/>
          </w:tcPr>
          <w:p w14:paraId="4DA2C0E0"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38</w:t>
            </w:r>
          </w:p>
        </w:tc>
        <w:tc>
          <w:tcPr>
            <w:tcW w:w="1360" w:type="dxa"/>
            <w:shd w:val="clear" w:color="auto" w:fill="auto"/>
            <w:noWrap/>
            <w:vAlign w:val="bottom"/>
          </w:tcPr>
          <w:p w14:paraId="77CE1FE6"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38</w:t>
            </w:r>
          </w:p>
        </w:tc>
        <w:tc>
          <w:tcPr>
            <w:tcW w:w="1360" w:type="dxa"/>
            <w:shd w:val="clear" w:color="auto" w:fill="auto"/>
            <w:noWrap/>
            <w:vAlign w:val="bottom"/>
          </w:tcPr>
          <w:p w14:paraId="39AAA22E"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109</w:t>
            </w:r>
          </w:p>
        </w:tc>
      </w:tr>
      <w:tr w:rsidR="00AE6445" w:rsidRPr="001D042C" w14:paraId="09DEDEE7" w14:textId="77777777" w:rsidTr="00425948">
        <w:trPr>
          <w:trHeight w:val="300"/>
          <w:jc w:val="center"/>
        </w:trPr>
        <w:tc>
          <w:tcPr>
            <w:tcW w:w="2620" w:type="dxa"/>
            <w:shd w:val="clear" w:color="auto" w:fill="auto"/>
            <w:noWrap/>
            <w:vAlign w:val="bottom"/>
          </w:tcPr>
          <w:p w14:paraId="7F4B9CEC"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Goulburn</w:t>
            </w:r>
          </w:p>
        </w:tc>
        <w:tc>
          <w:tcPr>
            <w:tcW w:w="1360" w:type="dxa"/>
            <w:shd w:val="clear" w:color="auto" w:fill="auto"/>
            <w:noWrap/>
            <w:vAlign w:val="bottom"/>
          </w:tcPr>
          <w:p w14:paraId="12D018C7"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25</w:t>
            </w:r>
          </w:p>
        </w:tc>
        <w:tc>
          <w:tcPr>
            <w:tcW w:w="1360" w:type="dxa"/>
            <w:shd w:val="clear" w:color="auto" w:fill="auto"/>
            <w:noWrap/>
            <w:vAlign w:val="bottom"/>
          </w:tcPr>
          <w:p w14:paraId="54533454"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16</w:t>
            </w:r>
          </w:p>
        </w:tc>
        <w:tc>
          <w:tcPr>
            <w:tcW w:w="1360" w:type="dxa"/>
            <w:shd w:val="clear" w:color="auto" w:fill="auto"/>
            <w:noWrap/>
            <w:vAlign w:val="bottom"/>
          </w:tcPr>
          <w:p w14:paraId="170B5089"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39</w:t>
            </w:r>
          </w:p>
        </w:tc>
        <w:tc>
          <w:tcPr>
            <w:tcW w:w="1360" w:type="dxa"/>
            <w:shd w:val="clear" w:color="auto" w:fill="auto"/>
            <w:noWrap/>
            <w:vAlign w:val="bottom"/>
          </w:tcPr>
          <w:p w14:paraId="281D5F54"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80</w:t>
            </w:r>
          </w:p>
        </w:tc>
      </w:tr>
      <w:tr w:rsidR="00AE6445" w:rsidRPr="001D042C" w14:paraId="67BF3C01" w14:textId="77777777" w:rsidTr="00425948">
        <w:trPr>
          <w:trHeight w:val="300"/>
          <w:jc w:val="center"/>
        </w:trPr>
        <w:tc>
          <w:tcPr>
            <w:tcW w:w="2620" w:type="dxa"/>
            <w:shd w:val="clear" w:color="auto" w:fill="auto"/>
            <w:noWrap/>
            <w:vAlign w:val="bottom"/>
          </w:tcPr>
          <w:p w14:paraId="4619FF09"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Hume Moreland</w:t>
            </w:r>
          </w:p>
        </w:tc>
        <w:tc>
          <w:tcPr>
            <w:tcW w:w="1360" w:type="dxa"/>
            <w:shd w:val="clear" w:color="auto" w:fill="auto"/>
            <w:noWrap/>
            <w:vAlign w:val="bottom"/>
          </w:tcPr>
          <w:p w14:paraId="6E59E22B"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21</w:t>
            </w:r>
          </w:p>
        </w:tc>
        <w:tc>
          <w:tcPr>
            <w:tcW w:w="1360" w:type="dxa"/>
            <w:shd w:val="clear" w:color="auto" w:fill="auto"/>
            <w:noWrap/>
            <w:vAlign w:val="bottom"/>
          </w:tcPr>
          <w:p w14:paraId="09468D07"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w:t>
            </w:r>
          </w:p>
        </w:tc>
        <w:tc>
          <w:tcPr>
            <w:tcW w:w="1360" w:type="dxa"/>
            <w:shd w:val="clear" w:color="auto" w:fill="auto"/>
            <w:noWrap/>
            <w:vAlign w:val="bottom"/>
          </w:tcPr>
          <w:p w14:paraId="729CED54"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32</w:t>
            </w:r>
          </w:p>
        </w:tc>
        <w:tc>
          <w:tcPr>
            <w:tcW w:w="1360" w:type="dxa"/>
            <w:shd w:val="clear" w:color="auto" w:fill="auto"/>
            <w:noWrap/>
            <w:vAlign w:val="bottom"/>
          </w:tcPr>
          <w:p w14:paraId="09499AAB"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73</w:t>
            </w:r>
          </w:p>
        </w:tc>
      </w:tr>
      <w:tr w:rsidR="00AE6445" w:rsidRPr="001D042C" w14:paraId="402A106B" w14:textId="77777777" w:rsidTr="00425948">
        <w:trPr>
          <w:trHeight w:val="300"/>
          <w:jc w:val="center"/>
        </w:trPr>
        <w:tc>
          <w:tcPr>
            <w:tcW w:w="2620" w:type="dxa"/>
            <w:shd w:val="clear" w:color="auto" w:fill="auto"/>
            <w:noWrap/>
            <w:vAlign w:val="bottom"/>
          </w:tcPr>
          <w:p w14:paraId="2E6DE0CF"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Inner </w:t>
            </w:r>
            <w:smartTag w:uri="urn:schemas-microsoft-com:office:smarttags" w:element="place">
              <w:r w:rsidRPr="001D042C">
                <w:rPr>
                  <w:rFonts w:ascii="Arial" w:hAnsi="Arial" w:cs="Arial"/>
                  <w:color w:val="000000"/>
                  <w:sz w:val="20"/>
                  <w:lang w:val="en-AU" w:eastAsia="en-AU"/>
                </w:rPr>
                <w:t>Eastern Melbourne</w:t>
              </w:r>
            </w:smartTag>
          </w:p>
        </w:tc>
        <w:tc>
          <w:tcPr>
            <w:tcW w:w="1360" w:type="dxa"/>
            <w:shd w:val="clear" w:color="auto" w:fill="auto"/>
            <w:noWrap/>
            <w:vAlign w:val="bottom"/>
          </w:tcPr>
          <w:p w14:paraId="485634FF"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77</w:t>
            </w:r>
          </w:p>
        </w:tc>
        <w:tc>
          <w:tcPr>
            <w:tcW w:w="1360" w:type="dxa"/>
            <w:shd w:val="clear" w:color="auto" w:fill="auto"/>
            <w:noWrap/>
            <w:vAlign w:val="bottom"/>
          </w:tcPr>
          <w:p w14:paraId="2E3C05A3"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33</w:t>
            </w:r>
          </w:p>
        </w:tc>
        <w:tc>
          <w:tcPr>
            <w:tcW w:w="1360" w:type="dxa"/>
            <w:shd w:val="clear" w:color="auto" w:fill="auto"/>
            <w:noWrap/>
            <w:vAlign w:val="bottom"/>
          </w:tcPr>
          <w:p w14:paraId="4FB10060"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109</w:t>
            </w:r>
          </w:p>
        </w:tc>
        <w:tc>
          <w:tcPr>
            <w:tcW w:w="1360" w:type="dxa"/>
            <w:shd w:val="clear" w:color="auto" w:fill="auto"/>
            <w:noWrap/>
            <w:vAlign w:val="bottom"/>
          </w:tcPr>
          <w:p w14:paraId="54684BA0"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219</w:t>
            </w:r>
          </w:p>
        </w:tc>
      </w:tr>
      <w:tr w:rsidR="00AE6445" w:rsidRPr="001D042C" w14:paraId="74E90D1D" w14:textId="77777777" w:rsidTr="00425948">
        <w:trPr>
          <w:trHeight w:val="300"/>
          <w:jc w:val="center"/>
        </w:trPr>
        <w:tc>
          <w:tcPr>
            <w:tcW w:w="2620" w:type="dxa"/>
            <w:shd w:val="clear" w:color="auto" w:fill="auto"/>
            <w:noWrap/>
            <w:vAlign w:val="bottom"/>
          </w:tcPr>
          <w:p w14:paraId="28C4A3CD"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Inner Gippsland</w:t>
            </w:r>
          </w:p>
        </w:tc>
        <w:tc>
          <w:tcPr>
            <w:tcW w:w="1360" w:type="dxa"/>
            <w:shd w:val="clear" w:color="auto" w:fill="auto"/>
            <w:noWrap/>
            <w:vAlign w:val="bottom"/>
          </w:tcPr>
          <w:p w14:paraId="1ACCBB87"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38</w:t>
            </w:r>
          </w:p>
        </w:tc>
        <w:tc>
          <w:tcPr>
            <w:tcW w:w="1360" w:type="dxa"/>
            <w:shd w:val="clear" w:color="auto" w:fill="auto"/>
            <w:noWrap/>
            <w:vAlign w:val="bottom"/>
          </w:tcPr>
          <w:p w14:paraId="3B42EB88"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24</w:t>
            </w:r>
          </w:p>
        </w:tc>
        <w:tc>
          <w:tcPr>
            <w:tcW w:w="1360" w:type="dxa"/>
            <w:shd w:val="clear" w:color="auto" w:fill="auto"/>
            <w:noWrap/>
            <w:vAlign w:val="bottom"/>
          </w:tcPr>
          <w:p w14:paraId="115290CF"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46</w:t>
            </w:r>
          </w:p>
        </w:tc>
        <w:tc>
          <w:tcPr>
            <w:tcW w:w="1360" w:type="dxa"/>
            <w:shd w:val="clear" w:color="auto" w:fill="auto"/>
            <w:noWrap/>
            <w:vAlign w:val="bottom"/>
          </w:tcPr>
          <w:p w14:paraId="278A04DB"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108</w:t>
            </w:r>
          </w:p>
        </w:tc>
      </w:tr>
      <w:tr w:rsidR="00AE6445" w:rsidRPr="001D042C" w14:paraId="55928242" w14:textId="77777777" w:rsidTr="00425948">
        <w:trPr>
          <w:trHeight w:val="300"/>
          <w:jc w:val="center"/>
        </w:trPr>
        <w:tc>
          <w:tcPr>
            <w:tcW w:w="2620" w:type="dxa"/>
            <w:shd w:val="clear" w:color="auto" w:fill="auto"/>
            <w:noWrap/>
            <w:vAlign w:val="bottom"/>
          </w:tcPr>
          <w:p w14:paraId="2BA8FD49"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Loddon</w:t>
            </w:r>
          </w:p>
        </w:tc>
        <w:tc>
          <w:tcPr>
            <w:tcW w:w="1360" w:type="dxa"/>
            <w:shd w:val="clear" w:color="auto" w:fill="auto"/>
            <w:noWrap/>
            <w:vAlign w:val="bottom"/>
          </w:tcPr>
          <w:p w14:paraId="0D0994CB"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53</w:t>
            </w:r>
          </w:p>
        </w:tc>
        <w:tc>
          <w:tcPr>
            <w:tcW w:w="1360" w:type="dxa"/>
            <w:shd w:val="clear" w:color="auto" w:fill="auto"/>
            <w:noWrap/>
            <w:vAlign w:val="bottom"/>
          </w:tcPr>
          <w:p w14:paraId="439DD6DC"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40</w:t>
            </w:r>
          </w:p>
        </w:tc>
        <w:tc>
          <w:tcPr>
            <w:tcW w:w="1360" w:type="dxa"/>
            <w:shd w:val="clear" w:color="auto" w:fill="auto"/>
            <w:noWrap/>
            <w:vAlign w:val="bottom"/>
          </w:tcPr>
          <w:p w14:paraId="194888B8"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51</w:t>
            </w:r>
          </w:p>
        </w:tc>
        <w:tc>
          <w:tcPr>
            <w:tcW w:w="1360" w:type="dxa"/>
            <w:shd w:val="clear" w:color="auto" w:fill="auto"/>
            <w:noWrap/>
            <w:vAlign w:val="bottom"/>
          </w:tcPr>
          <w:p w14:paraId="0EB1C9AC"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144</w:t>
            </w:r>
          </w:p>
        </w:tc>
      </w:tr>
      <w:tr w:rsidR="00AE6445" w:rsidRPr="001D042C" w14:paraId="36F4A558" w14:textId="77777777" w:rsidTr="00425948">
        <w:trPr>
          <w:trHeight w:val="300"/>
          <w:jc w:val="center"/>
        </w:trPr>
        <w:tc>
          <w:tcPr>
            <w:tcW w:w="2620" w:type="dxa"/>
            <w:shd w:val="clear" w:color="auto" w:fill="auto"/>
            <w:noWrap/>
            <w:vAlign w:val="bottom"/>
          </w:tcPr>
          <w:p w14:paraId="709BEF59"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Mallee</w:t>
            </w:r>
          </w:p>
        </w:tc>
        <w:tc>
          <w:tcPr>
            <w:tcW w:w="1360" w:type="dxa"/>
            <w:shd w:val="clear" w:color="auto" w:fill="auto"/>
            <w:noWrap/>
            <w:vAlign w:val="bottom"/>
          </w:tcPr>
          <w:p w14:paraId="293A0D37"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30</w:t>
            </w:r>
          </w:p>
        </w:tc>
        <w:tc>
          <w:tcPr>
            <w:tcW w:w="1360" w:type="dxa"/>
            <w:shd w:val="clear" w:color="auto" w:fill="auto"/>
            <w:noWrap/>
            <w:vAlign w:val="bottom"/>
          </w:tcPr>
          <w:p w14:paraId="3319AF67"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11</w:t>
            </w:r>
          </w:p>
        </w:tc>
        <w:tc>
          <w:tcPr>
            <w:tcW w:w="1360" w:type="dxa"/>
            <w:shd w:val="clear" w:color="auto" w:fill="auto"/>
            <w:noWrap/>
            <w:vAlign w:val="bottom"/>
          </w:tcPr>
          <w:p w14:paraId="7B6AD3A3"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26</w:t>
            </w:r>
          </w:p>
        </w:tc>
        <w:tc>
          <w:tcPr>
            <w:tcW w:w="1360" w:type="dxa"/>
            <w:shd w:val="clear" w:color="auto" w:fill="auto"/>
            <w:noWrap/>
            <w:vAlign w:val="bottom"/>
          </w:tcPr>
          <w:p w14:paraId="4C461085"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67</w:t>
            </w:r>
          </w:p>
        </w:tc>
      </w:tr>
      <w:tr w:rsidR="00AE6445" w:rsidRPr="001D042C" w14:paraId="50627F56" w14:textId="77777777" w:rsidTr="00425948">
        <w:trPr>
          <w:trHeight w:val="300"/>
          <w:jc w:val="center"/>
        </w:trPr>
        <w:tc>
          <w:tcPr>
            <w:tcW w:w="2620" w:type="dxa"/>
            <w:shd w:val="clear" w:color="auto" w:fill="auto"/>
            <w:noWrap/>
            <w:vAlign w:val="bottom"/>
          </w:tcPr>
          <w:p w14:paraId="6277F171"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North Eastern Melbourne</w:t>
            </w:r>
          </w:p>
        </w:tc>
        <w:tc>
          <w:tcPr>
            <w:tcW w:w="1360" w:type="dxa"/>
            <w:shd w:val="clear" w:color="auto" w:fill="auto"/>
            <w:noWrap/>
            <w:vAlign w:val="bottom"/>
          </w:tcPr>
          <w:p w14:paraId="2E76590A"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37</w:t>
            </w:r>
          </w:p>
        </w:tc>
        <w:tc>
          <w:tcPr>
            <w:tcW w:w="1360" w:type="dxa"/>
            <w:shd w:val="clear" w:color="auto" w:fill="auto"/>
            <w:noWrap/>
            <w:vAlign w:val="bottom"/>
          </w:tcPr>
          <w:p w14:paraId="0D429812"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42</w:t>
            </w:r>
          </w:p>
        </w:tc>
        <w:tc>
          <w:tcPr>
            <w:tcW w:w="1360" w:type="dxa"/>
            <w:shd w:val="clear" w:color="auto" w:fill="auto"/>
            <w:noWrap/>
            <w:vAlign w:val="bottom"/>
          </w:tcPr>
          <w:p w14:paraId="4ED0B04C"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103</w:t>
            </w:r>
          </w:p>
        </w:tc>
        <w:tc>
          <w:tcPr>
            <w:tcW w:w="1360" w:type="dxa"/>
            <w:shd w:val="clear" w:color="auto" w:fill="auto"/>
            <w:noWrap/>
            <w:vAlign w:val="bottom"/>
          </w:tcPr>
          <w:p w14:paraId="37083192"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182</w:t>
            </w:r>
          </w:p>
        </w:tc>
      </w:tr>
      <w:tr w:rsidR="00AE6445" w:rsidRPr="001D042C" w14:paraId="2BD29BA1" w14:textId="77777777" w:rsidTr="00425948">
        <w:trPr>
          <w:trHeight w:val="300"/>
          <w:jc w:val="center"/>
        </w:trPr>
        <w:tc>
          <w:tcPr>
            <w:tcW w:w="2620" w:type="dxa"/>
            <w:shd w:val="clear" w:color="auto" w:fill="auto"/>
            <w:noWrap/>
            <w:vAlign w:val="bottom"/>
          </w:tcPr>
          <w:p w14:paraId="6DBBE327"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Outer </w:t>
            </w:r>
            <w:smartTag w:uri="urn:schemas-microsoft-com:office:smarttags" w:element="place">
              <w:r w:rsidRPr="001D042C">
                <w:rPr>
                  <w:rFonts w:ascii="Arial" w:hAnsi="Arial" w:cs="Arial"/>
                  <w:color w:val="000000"/>
                  <w:sz w:val="20"/>
                  <w:lang w:val="en-AU" w:eastAsia="en-AU"/>
                </w:rPr>
                <w:t>Eastern Melbourne</w:t>
              </w:r>
            </w:smartTag>
          </w:p>
        </w:tc>
        <w:tc>
          <w:tcPr>
            <w:tcW w:w="1360" w:type="dxa"/>
            <w:shd w:val="clear" w:color="auto" w:fill="auto"/>
            <w:noWrap/>
            <w:vAlign w:val="bottom"/>
          </w:tcPr>
          <w:p w14:paraId="5C0631FF"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56</w:t>
            </w:r>
          </w:p>
        </w:tc>
        <w:tc>
          <w:tcPr>
            <w:tcW w:w="1360" w:type="dxa"/>
            <w:shd w:val="clear" w:color="auto" w:fill="auto"/>
            <w:noWrap/>
            <w:vAlign w:val="bottom"/>
          </w:tcPr>
          <w:p w14:paraId="74B8F3F4"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36</w:t>
            </w:r>
          </w:p>
        </w:tc>
        <w:tc>
          <w:tcPr>
            <w:tcW w:w="1360" w:type="dxa"/>
            <w:shd w:val="clear" w:color="auto" w:fill="auto"/>
            <w:noWrap/>
            <w:vAlign w:val="bottom"/>
          </w:tcPr>
          <w:p w14:paraId="7673BC31"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72</w:t>
            </w:r>
          </w:p>
        </w:tc>
        <w:tc>
          <w:tcPr>
            <w:tcW w:w="1360" w:type="dxa"/>
            <w:shd w:val="clear" w:color="auto" w:fill="auto"/>
            <w:noWrap/>
            <w:vAlign w:val="bottom"/>
          </w:tcPr>
          <w:p w14:paraId="51079B03"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164</w:t>
            </w:r>
          </w:p>
        </w:tc>
      </w:tr>
      <w:tr w:rsidR="00AE6445" w:rsidRPr="001D042C" w14:paraId="5068A1DF" w14:textId="77777777" w:rsidTr="00425948">
        <w:trPr>
          <w:trHeight w:val="300"/>
          <w:jc w:val="center"/>
        </w:trPr>
        <w:tc>
          <w:tcPr>
            <w:tcW w:w="2620" w:type="dxa"/>
            <w:shd w:val="clear" w:color="auto" w:fill="auto"/>
            <w:noWrap/>
            <w:vAlign w:val="bottom"/>
          </w:tcPr>
          <w:p w14:paraId="49A94BA6"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Outer Gippsland</w:t>
            </w:r>
          </w:p>
        </w:tc>
        <w:tc>
          <w:tcPr>
            <w:tcW w:w="1360" w:type="dxa"/>
            <w:shd w:val="clear" w:color="auto" w:fill="auto"/>
            <w:noWrap/>
            <w:vAlign w:val="bottom"/>
          </w:tcPr>
          <w:p w14:paraId="7EC8092D"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40</w:t>
            </w:r>
          </w:p>
        </w:tc>
        <w:tc>
          <w:tcPr>
            <w:tcW w:w="1360" w:type="dxa"/>
            <w:shd w:val="clear" w:color="auto" w:fill="auto"/>
            <w:noWrap/>
            <w:vAlign w:val="bottom"/>
          </w:tcPr>
          <w:p w14:paraId="5B14F670"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29</w:t>
            </w:r>
          </w:p>
        </w:tc>
        <w:tc>
          <w:tcPr>
            <w:tcW w:w="1360" w:type="dxa"/>
            <w:shd w:val="clear" w:color="auto" w:fill="auto"/>
            <w:noWrap/>
            <w:vAlign w:val="bottom"/>
          </w:tcPr>
          <w:p w14:paraId="4E3F0087"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39</w:t>
            </w:r>
          </w:p>
        </w:tc>
        <w:tc>
          <w:tcPr>
            <w:tcW w:w="1360" w:type="dxa"/>
            <w:shd w:val="clear" w:color="auto" w:fill="auto"/>
            <w:noWrap/>
            <w:vAlign w:val="bottom"/>
          </w:tcPr>
          <w:p w14:paraId="62040CB7"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108</w:t>
            </w:r>
          </w:p>
        </w:tc>
      </w:tr>
      <w:tr w:rsidR="00AE6445" w:rsidRPr="001D042C" w14:paraId="540B0153" w14:textId="77777777" w:rsidTr="00425948">
        <w:trPr>
          <w:trHeight w:val="300"/>
          <w:jc w:val="center"/>
        </w:trPr>
        <w:tc>
          <w:tcPr>
            <w:tcW w:w="2620" w:type="dxa"/>
            <w:shd w:val="clear" w:color="auto" w:fill="auto"/>
            <w:noWrap/>
            <w:vAlign w:val="bottom"/>
          </w:tcPr>
          <w:p w14:paraId="5916B63C"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Ovens </w:t>
            </w:r>
            <w:smartTag w:uri="urn:schemas-microsoft-com:office:smarttags" w:element="City">
              <w:smartTag w:uri="urn:schemas-microsoft-com:office:smarttags" w:element="place">
                <w:r w:rsidRPr="001D042C">
                  <w:rPr>
                    <w:rFonts w:ascii="Arial" w:hAnsi="Arial" w:cs="Arial"/>
                    <w:color w:val="000000"/>
                    <w:sz w:val="20"/>
                    <w:lang w:val="en-AU" w:eastAsia="en-AU"/>
                  </w:rPr>
                  <w:t>Murray</w:t>
                </w:r>
              </w:smartTag>
            </w:smartTag>
          </w:p>
        </w:tc>
        <w:tc>
          <w:tcPr>
            <w:tcW w:w="1360" w:type="dxa"/>
            <w:shd w:val="clear" w:color="auto" w:fill="auto"/>
            <w:noWrap/>
            <w:vAlign w:val="bottom"/>
          </w:tcPr>
          <w:p w14:paraId="575A0DE9"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19</w:t>
            </w:r>
          </w:p>
        </w:tc>
        <w:tc>
          <w:tcPr>
            <w:tcW w:w="1360" w:type="dxa"/>
            <w:shd w:val="clear" w:color="auto" w:fill="auto"/>
            <w:noWrap/>
            <w:vAlign w:val="bottom"/>
          </w:tcPr>
          <w:p w14:paraId="34D495FC"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w:t>
            </w:r>
          </w:p>
        </w:tc>
        <w:tc>
          <w:tcPr>
            <w:tcW w:w="1360" w:type="dxa"/>
            <w:shd w:val="clear" w:color="auto" w:fill="auto"/>
            <w:noWrap/>
            <w:vAlign w:val="bottom"/>
          </w:tcPr>
          <w:p w14:paraId="5A8AC56E"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31</w:t>
            </w:r>
          </w:p>
        </w:tc>
        <w:tc>
          <w:tcPr>
            <w:tcW w:w="1360" w:type="dxa"/>
            <w:shd w:val="clear" w:color="auto" w:fill="auto"/>
            <w:noWrap/>
            <w:vAlign w:val="bottom"/>
          </w:tcPr>
          <w:p w14:paraId="18C4E17C"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65</w:t>
            </w:r>
          </w:p>
        </w:tc>
      </w:tr>
      <w:tr w:rsidR="00AE6445" w:rsidRPr="001D042C" w14:paraId="0F7769AF" w14:textId="77777777" w:rsidTr="00425948">
        <w:trPr>
          <w:trHeight w:val="300"/>
          <w:jc w:val="center"/>
        </w:trPr>
        <w:tc>
          <w:tcPr>
            <w:tcW w:w="2620" w:type="dxa"/>
            <w:shd w:val="clear" w:color="auto" w:fill="auto"/>
            <w:noWrap/>
            <w:vAlign w:val="bottom"/>
          </w:tcPr>
          <w:p w14:paraId="453EBE98" w14:textId="77777777" w:rsidR="00AE6445" w:rsidRPr="001D042C" w:rsidRDefault="00AE6445" w:rsidP="00AE6445">
            <w:pPr>
              <w:keepNext/>
              <w:spacing w:before="0" w:after="0"/>
              <w:rPr>
                <w:rFonts w:ascii="Arial" w:hAnsi="Arial" w:cs="Arial"/>
                <w:color w:val="000000"/>
                <w:sz w:val="20"/>
                <w:lang w:val="en-AU" w:eastAsia="en-AU"/>
              </w:rPr>
            </w:pPr>
            <w:smartTag w:uri="urn:schemas-microsoft-com:office:smarttags" w:element="place">
              <w:r w:rsidRPr="001D042C">
                <w:rPr>
                  <w:rFonts w:ascii="Arial" w:hAnsi="Arial" w:cs="Arial"/>
                  <w:color w:val="000000"/>
                  <w:sz w:val="20"/>
                  <w:lang w:val="en-AU" w:eastAsia="en-AU"/>
                </w:rPr>
                <w:t>Southern Melbourne</w:t>
              </w:r>
            </w:smartTag>
          </w:p>
        </w:tc>
        <w:tc>
          <w:tcPr>
            <w:tcW w:w="1360" w:type="dxa"/>
            <w:shd w:val="clear" w:color="auto" w:fill="auto"/>
            <w:noWrap/>
            <w:vAlign w:val="bottom"/>
          </w:tcPr>
          <w:p w14:paraId="1322A736"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41</w:t>
            </w:r>
          </w:p>
        </w:tc>
        <w:tc>
          <w:tcPr>
            <w:tcW w:w="1360" w:type="dxa"/>
            <w:shd w:val="clear" w:color="auto" w:fill="auto"/>
            <w:noWrap/>
            <w:vAlign w:val="bottom"/>
          </w:tcPr>
          <w:p w14:paraId="33757BDD"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45</w:t>
            </w:r>
          </w:p>
        </w:tc>
        <w:tc>
          <w:tcPr>
            <w:tcW w:w="1360" w:type="dxa"/>
            <w:shd w:val="clear" w:color="auto" w:fill="auto"/>
            <w:noWrap/>
            <w:vAlign w:val="bottom"/>
          </w:tcPr>
          <w:p w14:paraId="3D1D9E6F"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79</w:t>
            </w:r>
          </w:p>
        </w:tc>
        <w:tc>
          <w:tcPr>
            <w:tcW w:w="1360" w:type="dxa"/>
            <w:shd w:val="clear" w:color="auto" w:fill="auto"/>
            <w:noWrap/>
            <w:vAlign w:val="bottom"/>
          </w:tcPr>
          <w:p w14:paraId="3453D74D"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165</w:t>
            </w:r>
          </w:p>
        </w:tc>
      </w:tr>
      <w:tr w:rsidR="00AE6445" w:rsidRPr="001D042C" w14:paraId="56080F34" w14:textId="77777777" w:rsidTr="00425948">
        <w:trPr>
          <w:trHeight w:val="300"/>
          <w:jc w:val="center"/>
        </w:trPr>
        <w:tc>
          <w:tcPr>
            <w:tcW w:w="2620" w:type="dxa"/>
            <w:shd w:val="clear" w:color="auto" w:fill="auto"/>
            <w:noWrap/>
            <w:vAlign w:val="bottom"/>
          </w:tcPr>
          <w:p w14:paraId="731E27B4" w14:textId="77777777" w:rsidR="00AE6445" w:rsidRPr="001D042C" w:rsidRDefault="00AE6445"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Western District</w:t>
            </w:r>
          </w:p>
        </w:tc>
        <w:tc>
          <w:tcPr>
            <w:tcW w:w="1360" w:type="dxa"/>
            <w:shd w:val="clear" w:color="auto" w:fill="auto"/>
            <w:noWrap/>
            <w:vAlign w:val="bottom"/>
          </w:tcPr>
          <w:p w14:paraId="66E60904"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13</w:t>
            </w:r>
          </w:p>
        </w:tc>
        <w:tc>
          <w:tcPr>
            <w:tcW w:w="1360" w:type="dxa"/>
            <w:shd w:val="clear" w:color="auto" w:fill="auto"/>
            <w:noWrap/>
            <w:vAlign w:val="bottom"/>
          </w:tcPr>
          <w:p w14:paraId="21F4DC8F"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w:t>
            </w:r>
          </w:p>
        </w:tc>
        <w:tc>
          <w:tcPr>
            <w:tcW w:w="1360" w:type="dxa"/>
            <w:shd w:val="clear" w:color="auto" w:fill="auto"/>
            <w:noWrap/>
            <w:vAlign w:val="bottom"/>
          </w:tcPr>
          <w:p w14:paraId="49BE2853"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w:t>
            </w:r>
          </w:p>
        </w:tc>
        <w:tc>
          <w:tcPr>
            <w:tcW w:w="1360" w:type="dxa"/>
            <w:shd w:val="clear" w:color="auto" w:fill="auto"/>
            <w:noWrap/>
            <w:vAlign w:val="bottom"/>
          </w:tcPr>
          <w:p w14:paraId="1F1DD1D8"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43</w:t>
            </w:r>
          </w:p>
        </w:tc>
      </w:tr>
      <w:tr w:rsidR="00AE6445" w:rsidRPr="001D042C" w14:paraId="32106F66" w14:textId="77777777" w:rsidTr="00425948">
        <w:trPr>
          <w:trHeight w:val="300"/>
          <w:jc w:val="center"/>
        </w:trPr>
        <w:tc>
          <w:tcPr>
            <w:tcW w:w="2620" w:type="dxa"/>
            <w:shd w:val="clear" w:color="auto" w:fill="auto"/>
            <w:noWrap/>
            <w:vAlign w:val="bottom"/>
          </w:tcPr>
          <w:p w14:paraId="0E3C1F87" w14:textId="77777777" w:rsidR="00AE6445" w:rsidRPr="001D042C" w:rsidRDefault="00AE6445" w:rsidP="00AE6445">
            <w:pPr>
              <w:keepNext/>
              <w:spacing w:before="0" w:after="0"/>
              <w:rPr>
                <w:rFonts w:ascii="Arial" w:hAnsi="Arial" w:cs="Arial"/>
                <w:color w:val="000000"/>
                <w:sz w:val="20"/>
                <w:lang w:val="en-AU" w:eastAsia="en-AU"/>
              </w:rPr>
            </w:pPr>
            <w:smartTag w:uri="urn:schemas-microsoft-com:office:smarttags" w:element="place">
              <w:r w:rsidRPr="001D042C">
                <w:rPr>
                  <w:rFonts w:ascii="Arial" w:hAnsi="Arial" w:cs="Arial"/>
                  <w:color w:val="000000"/>
                  <w:sz w:val="20"/>
                  <w:lang w:val="en-AU" w:eastAsia="en-AU"/>
                </w:rPr>
                <w:t>Western Melbourne</w:t>
              </w:r>
            </w:smartTag>
          </w:p>
        </w:tc>
        <w:tc>
          <w:tcPr>
            <w:tcW w:w="1360" w:type="dxa"/>
            <w:shd w:val="clear" w:color="auto" w:fill="auto"/>
            <w:noWrap/>
            <w:vAlign w:val="bottom"/>
          </w:tcPr>
          <w:p w14:paraId="33922528"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30</w:t>
            </w:r>
          </w:p>
        </w:tc>
        <w:tc>
          <w:tcPr>
            <w:tcW w:w="1360" w:type="dxa"/>
            <w:shd w:val="clear" w:color="auto" w:fill="auto"/>
            <w:noWrap/>
            <w:vAlign w:val="bottom"/>
          </w:tcPr>
          <w:p w14:paraId="08A84255"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32</w:t>
            </w:r>
          </w:p>
        </w:tc>
        <w:tc>
          <w:tcPr>
            <w:tcW w:w="1360" w:type="dxa"/>
            <w:shd w:val="clear" w:color="auto" w:fill="auto"/>
            <w:noWrap/>
            <w:vAlign w:val="bottom"/>
          </w:tcPr>
          <w:p w14:paraId="3A055F57"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104</w:t>
            </w:r>
          </w:p>
        </w:tc>
        <w:tc>
          <w:tcPr>
            <w:tcW w:w="1360" w:type="dxa"/>
            <w:shd w:val="clear" w:color="auto" w:fill="auto"/>
            <w:noWrap/>
            <w:vAlign w:val="bottom"/>
          </w:tcPr>
          <w:p w14:paraId="7B2769BD" w14:textId="77777777" w:rsidR="00AE6445" w:rsidRPr="001D042C" w:rsidRDefault="00AE6445"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166</w:t>
            </w:r>
          </w:p>
        </w:tc>
      </w:tr>
      <w:tr w:rsidR="00AE6445" w:rsidRPr="001D042C" w14:paraId="0F470131" w14:textId="77777777" w:rsidTr="00425948">
        <w:trPr>
          <w:trHeight w:val="300"/>
          <w:jc w:val="center"/>
        </w:trPr>
        <w:tc>
          <w:tcPr>
            <w:tcW w:w="2620" w:type="dxa"/>
            <w:shd w:val="clear" w:color="auto" w:fill="auto"/>
            <w:noWrap/>
            <w:vAlign w:val="bottom"/>
          </w:tcPr>
          <w:p w14:paraId="3B8E59B9" w14:textId="77777777" w:rsidR="00AE6445" w:rsidRPr="001D042C" w:rsidRDefault="00AE6445" w:rsidP="00AE6445">
            <w:pPr>
              <w:spacing w:before="0" w:after="0"/>
              <w:rPr>
                <w:rFonts w:ascii="Arial" w:hAnsi="Arial" w:cs="Arial"/>
                <w:b/>
                <w:color w:val="000000"/>
                <w:sz w:val="20"/>
                <w:lang w:val="en-AU" w:eastAsia="en-AU"/>
              </w:rPr>
            </w:pPr>
            <w:r w:rsidRPr="001D042C">
              <w:rPr>
                <w:rFonts w:ascii="Arial" w:hAnsi="Arial" w:cs="Arial"/>
                <w:b/>
                <w:color w:val="000000"/>
                <w:sz w:val="20"/>
                <w:lang w:val="en-AU" w:eastAsia="en-AU"/>
              </w:rPr>
              <w:t>Grand Total</w:t>
            </w:r>
          </w:p>
        </w:tc>
        <w:tc>
          <w:tcPr>
            <w:tcW w:w="1360" w:type="dxa"/>
            <w:shd w:val="clear" w:color="auto" w:fill="auto"/>
            <w:noWrap/>
            <w:vAlign w:val="bottom"/>
          </w:tcPr>
          <w:p w14:paraId="5F14D47D"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681</w:t>
            </w:r>
          </w:p>
        </w:tc>
        <w:tc>
          <w:tcPr>
            <w:tcW w:w="1360" w:type="dxa"/>
            <w:shd w:val="clear" w:color="auto" w:fill="auto"/>
            <w:noWrap/>
            <w:vAlign w:val="bottom"/>
          </w:tcPr>
          <w:p w14:paraId="3D28A7C9"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506</w:t>
            </w:r>
          </w:p>
        </w:tc>
        <w:tc>
          <w:tcPr>
            <w:tcW w:w="1360" w:type="dxa"/>
            <w:shd w:val="clear" w:color="auto" w:fill="auto"/>
            <w:noWrap/>
            <w:vAlign w:val="bottom"/>
          </w:tcPr>
          <w:p w14:paraId="5BB9A4D5"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1,017</w:t>
            </w:r>
          </w:p>
        </w:tc>
        <w:tc>
          <w:tcPr>
            <w:tcW w:w="1360" w:type="dxa"/>
            <w:shd w:val="clear" w:color="auto" w:fill="auto"/>
            <w:noWrap/>
            <w:vAlign w:val="bottom"/>
          </w:tcPr>
          <w:p w14:paraId="7BF55EE9"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2,204</w:t>
            </w:r>
          </w:p>
        </w:tc>
      </w:tr>
    </w:tbl>
    <w:p w14:paraId="320561AF" w14:textId="77777777" w:rsidR="00AE6445" w:rsidRPr="001D042C" w:rsidRDefault="00AE6445" w:rsidP="00AE6445">
      <w:pPr>
        <w:pStyle w:val="Para"/>
        <w:rPr>
          <w:lang w:val="en-AU"/>
        </w:rPr>
      </w:pPr>
    </w:p>
    <w:p w14:paraId="138148D9" w14:textId="77777777" w:rsidR="00AE6445" w:rsidRPr="001D042C" w:rsidRDefault="00AE6445" w:rsidP="00AE6445">
      <w:pPr>
        <w:pStyle w:val="Para"/>
        <w:rPr>
          <w:lang w:val="en-AU"/>
        </w:rPr>
      </w:pPr>
    </w:p>
    <w:p w14:paraId="61D4713D" w14:textId="77777777" w:rsidR="00AE6445" w:rsidRPr="001D042C" w:rsidRDefault="00AE6445" w:rsidP="003F412E">
      <w:pPr>
        <w:pStyle w:val="Para"/>
        <w:keepNext/>
        <w:keepLines/>
        <w:spacing w:after="120"/>
        <w:jc w:val="center"/>
        <w:rPr>
          <w:b/>
          <w:szCs w:val="24"/>
        </w:rPr>
      </w:pPr>
      <w:r w:rsidRPr="001D042C">
        <w:rPr>
          <w:b/>
          <w:szCs w:val="24"/>
        </w:rPr>
        <w:t xml:space="preserve">Table </w:t>
      </w:r>
      <w:r w:rsidR="0091303E" w:rsidRPr="001D042C">
        <w:rPr>
          <w:b/>
          <w:szCs w:val="24"/>
        </w:rPr>
        <w:t>2.5</w:t>
      </w:r>
      <w:r w:rsidRPr="001D042C">
        <w:rPr>
          <w:b/>
          <w:szCs w:val="24"/>
        </w:rPr>
        <w:t xml:space="preserve"> – </w:t>
      </w:r>
      <w:r w:rsidRPr="001D042C">
        <w:rPr>
          <w:b/>
          <w:szCs w:val="24"/>
          <w:u w:val="single"/>
        </w:rPr>
        <w:t>CATI Interviews – by household size and overall region</w:t>
      </w:r>
    </w:p>
    <w:tbl>
      <w:tblPr>
        <w:tblW w:w="86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43"/>
        <w:gridCol w:w="1444"/>
        <w:gridCol w:w="1444"/>
        <w:gridCol w:w="1444"/>
        <w:gridCol w:w="1444"/>
        <w:gridCol w:w="1444"/>
      </w:tblGrid>
      <w:tr w:rsidR="00AE6445" w:rsidRPr="001D042C" w14:paraId="7C6B1D81" w14:textId="77777777" w:rsidTr="003F412E">
        <w:trPr>
          <w:trHeight w:val="300"/>
          <w:jc w:val="center"/>
        </w:trPr>
        <w:tc>
          <w:tcPr>
            <w:tcW w:w="1443" w:type="dxa"/>
            <w:shd w:val="clear" w:color="auto" w:fill="auto"/>
            <w:noWrap/>
            <w:vAlign w:val="bottom"/>
          </w:tcPr>
          <w:p w14:paraId="2E092B25" w14:textId="77777777" w:rsidR="00AE6445" w:rsidRPr="001D042C" w:rsidRDefault="00AE6445" w:rsidP="00AE6445">
            <w:pPr>
              <w:keepNext/>
              <w:keepLines/>
              <w:spacing w:before="0" w:after="0"/>
              <w:rPr>
                <w:rFonts w:ascii="Arial" w:hAnsi="Arial" w:cs="Arial"/>
                <w:b/>
                <w:color w:val="000000"/>
                <w:sz w:val="20"/>
                <w:lang w:val="en-AU" w:eastAsia="en-AU"/>
              </w:rPr>
            </w:pPr>
            <w:r w:rsidRPr="001D042C">
              <w:rPr>
                <w:rFonts w:ascii="Arial" w:hAnsi="Arial" w:cs="Arial"/>
                <w:b/>
                <w:color w:val="000000"/>
                <w:sz w:val="20"/>
                <w:lang w:val="en-AU" w:eastAsia="en-AU"/>
              </w:rPr>
              <w:t>Region</w:t>
            </w:r>
          </w:p>
        </w:tc>
        <w:tc>
          <w:tcPr>
            <w:tcW w:w="1444" w:type="dxa"/>
            <w:shd w:val="clear" w:color="auto" w:fill="auto"/>
            <w:noWrap/>
            <w:vAlign w:val="bottom"/>
          </w:tcPr>
          <w:p w14:paraId="30C8F931"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1 person in household</w:t>
            </w:r>
          </w:p>
        </w:tc>
        <w:tc>
          <w:tcPr>
            <w:tcW w:w="1444" w:type="dxa"/>
            <w:shd w:val="clear" w:color="auto" w:fill="auto"/>
            <w:noWrap/>
            <w:vAlign w:val="bottom"/>
          </w:tcPr>
          <w:p w14:paraId="290CA2F8"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2 people in household</w:t>
            </w:r>
          </w:p>
        </w:tc>
        <w:tc>
          <w:tcPr>
            <w:tcW w:w="1444" w:type="dxa"/>
            <w:shd w:val="clear" w:color="auto" w:fill="auto"/>
            <w:noWrap/>
            <w:vAlign w:val="bottom"/>
          </w:tcPr>
          <w:p w14:paraId="64D4D996"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3 people in household</w:t>
            </w:r>
          </w:p>
        </w:tc>
        <w:tc>
          <w:tcPr>
            <w:tcW w:w="1444" w:type="dxa"/>
            <w:shd w:val="clear" w:color="auto" w:fill="auto"/>
            <w:noWrap/>
            <w:vAlign w:val="bottom"/>
          </w:tcPr>
          <w:p w14:paraId="54AC32FF"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4 plus people in household</w:t>
            </w:r>
          </w:p>
        </w:tc>
        <w:tc>
          <w:tcPr>
            <w:tcW w:w="1444" w:type="dxa"/>
            <w:shd w:val="clear" w:color="auto" w:fill="auto"/>
            <w:noWrap/>
            <w:vAlign w:val="bottom"/>
          </w:tcPr>
          <w:p w14:paraId="6D2D42DE"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Total</w:t>
            </w:r>
          </w:p>
        </w:tc>
      </w:tr>
      <w:tr w:rsidR="00AE6445" w:rsidRPr="001D042C" w14:paraId="4271DEBA" w14:textId="77777777" w:rsidTr="003F412E">
        <w:trPr>
          <w:trHeight w:val="300"/>
          <w:jc w:val="center"/>
        </w:trPr>
        <w:tc>
          <w:tcPr>
            <w:tcW w:w="1443" w:type="dxa"/>
            <w:shd w:val="clear" w:color="auto" w:fill="auto"/>
            <w:noWrap/>
            <w:vAlign w:val="bottom"/>
          </w:tcPr>
          <w:p w14:paraId="3457DC91"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Metropolitan</w:t>
            </w:r>
          </w:p>
        </w:tc>
        <w:tc>
          <w:tcPr>
            <w:tcW w:w="1444" w:type="dxa"/>
            <w:shd w:val="clear" w:color="auto" w:fill="auto"/>
            <w:noWrap/>
            <w:vAlign w:val="bottom"/>
          </w:tcPr>
          <w:p w14:paraId="29B5868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336</w:t>
            </w:r>
          </w:p>
        </w:tc>
        <w:tc>
          <w:tcPr>
            <w:tcW w:w="1444" w:type="dxa"/>
            <w:shd w:val="clear" w:color="auto" w:fill="auto"/>
            <w:noWrap/>
            <w:vAlign w:val="bottom"/>
          </w:tcPr>
          <w:p w14:paraId="33F60F48"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558</w:t>
            </w:r>
          </w:p>
        </w:tc>
        <w:tc>
          <w:tcPr>
            <w:tcW w:w="1444" w:type="dxa"/>
            <w:shd w:val="clear" w:color="auto" w:fill="auto"/>
            <w:noWrap/>
            <w:vAlign w:val="bottom"/>
          </w:tcPr>
          <w:p w14:paraId="01B4FFC6"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193</w:t>
            </w:r>
          </w:p>
        </w:tc>
        <w:tc>
          <w:tcPr>
            <w:tcW w:w="1444" w:type="dxa"/>
            <w:shd w:val="clear" w:color="auto" w:fill="auto"/>
            <w:noWrap/>
            <w:vAlign w:val="bottom"/>
          </w:tcPr>
          <w:p w14:paraId="17C4EE67"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267</w:t>
            </w:r>
          </w:p>
        </w:tc>
        <w:tc>
          <w:tcPr>
            <w:tcW w:w="1444" w:type="dxa"/>
            <w:shd w:val="clear" w:color="auto" w:fill="auto"/>
            <w:noWrap/>
            <w:vAlign w:val="bottom"/>
          </w:tcPr>
          <w:p w14:paraId="78FAA3F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1,354</w:t>
            </w:r>
          </w:p>
        </w:tc>
      </w:tr>
      <w:tr w:rsidR="00AE6445" w:rsidRPr="001D042C" w14:paraId="4865F1DA" w14:textId="77777777" w:rsidTr="003F412E">
        <w:trPr>
          <w:trHeight w:val="300"/>
          <w:jc w:val="center"/>
        </w:trPr>
        <w:tc>
          <w:tcPr>
            <w:tcW w:w="1443" w:type="dxa"/>
            <w:shd w:val="clear" w:color="auto" w:fill="auto"/>
            <w:noWrap/>
            <w:vAlign w:val="bottom"/>
          </w:tcPr>
          <w:p w14:paraId="257A59DE"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Regional</w:t>
            </w:r>
          </w:p>
        </w:tc>
        <w:tc>
          <w:tcPr>
            <w:tcW w:w="1444" w:type="dxa"/>
            <w:shd w:val="clear" w:color="auto" w:fill="auto"/>
            <w:noWrap/>
            <w:vAlign w:val="bottom"/>
          </w:tcPr>
          <w:p w14:paraId="61D65A6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242</w:t>
            </w:r>
          </w:p>
        </w:tc>
        <w:tc>
          <w:tcPr>
            <w:tcW w:w="1444" w:type="dxa"/>
            <w:shd w:val="clear" w:color="auto" w:fill="auto"/>
            <w:noWrap/>
            <w:vAlign w:val="bottom"/>
          </w:tcPr>
          <w:p w14:paraId="77565F67"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419</w:t>
            </w:r>
          </w:p>
        </w:tc>
        <w:tc>
          <w:tcPr>
            <w:tcW w:w="1444" w:type="dxa"/>
            <w:shd w:val="clear" w:color="auto" w:fill="auto"/>
            <w:noWrap/>
            <w:vAlign w:val="bottom"/>
          </w:tcPr>
          <w:p w14:paraId="4796F1A5"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90</w:t>
            </w:r>
          </w:p>
        </w:tc>
        <w:tc>
          <w:tcPr>
            <w:tcW w:w="1444" w:type="dxa"/>
            <w:shd w:val="clear" w:color="auto" w:fill="auto"/>
            <w:noWrap/>
            <w:vAlign w:val="bottom"/>
          </w:tcPr>
          <w:p w14:paraId="04C13145"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99</w:t>
            </w:r>
          </w:p>
        </w:tc>
        <w:tc>
          <w:tcPr>
            <w:tcW w:w="1444" w:type="dxa"/>
            <w:shd w:val="clear" w:color="auto" w:fill="auto"/>
            <w:noWrap/>
            <w:vAlign w:val="bottom"/>
          </w:tcPr>
          <w:p w14:paraId="028BCDE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850</w:t>
            </w:r>
          </w:p>
        </w:tc>
      </w:tr>
      <w:tr w:rsidR="00AE6445" w:rsidRPr="001D042C" w14:paraId="5602EB12" w14:textId="77777777" w:rsidTr="003F412E">
        <w:trPr>
          <w:trHeight w:val="300"/>
          <w:jc w:val="center"/>
        </w:trPr>
        <w:tc>
          <w:tcPr>
            <w:tcW w:w="1443" w:type="dxa"/>
            <w:shd w:val="clear" w:color="auto" w:fill="auto"/>
            <w:noWrap/>
            <w:vAlign w:val="bottom"/>
          </w:tcPr>
          <w:p w14:paraId="09FC0C1F"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Total</w:t>
            </w:r>
          </w:p>
        </w:tc>
        <w:tc>
          <w:tcPr>
            <w:tcW w:w="1444" w:type="dxa"/>
            <w:shd w:val="clear" w:color="auto" w:fill="auto"/>
            <w:noWrap/>
            <w:vAlign w:val="bottom"/>
          </w:tcPr>
          <w:p w14:paraId="2569B62A"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578</w:t>
            </w:r>
          </w:p>
        </w:tc>
        <w:tc>
          <w:tcPr>
            <w:tcW w:w="1444" w:type="dxa"/>
            <w:shd w:val="clear" w:color="auto" w:fill="auto"/>
            <w:noWrap/>
            <w:vAlign w:val="bottom"/>
          </w:tcPr>
          <w:p w14:paraId="637E25D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977</w:t>
            </w:r>
          </w:p>
        </w:tc>
        <w:tc>
          <w:tcPr>
            <w:tcW w:w="1444" w:type="dxa"/>
            <w:shd w:val="clear" w:color="auto" w:fill="auto"/>
            <w:noWrap/>
            <w:vAlign w:val="bottom"/>
          </w:tcPr>
          <w:p w14:paraId="797FDA30"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283</w:t>
            </w:r>
          </w:p>
        </w:tc>
        <w:tc>
          <w:tcPr>
            <w:tcW w:w="1444" w:type="dxa"/>
            <w:shd w:val="clear" w:color="auto" w:fill="auto"/>
            <w:noWrap/>
            <w:vAlign w:val="bottom"/>
          </w:tcPr>
          <w:p w14:paraId="38E25F25"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366</w:t>
            </w:r>
          </w:p>
        </w:tc>
        <w:tc>
          <w:tcPr>
            <w:tcW w:w="1444" w:type="dxa"/>
            <w:shd w:val="clear" w:color="auto" w:fill="auto"/>
            <w:noWrap/>
            <w:vAlign w:val="bottom"/>
          </w:tcPr>
          <w:p w14:paraId="5F68E415"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2,204</w:t>
            </w:r>
          </w:p>
        </w:tc>
      </w:tr>
    </w:tbl>
    <w:p w14:paraId="4900EB87" w14:textId="77777777" w:rsidR="00AE6445" w:rsidRPr="001D042C" w:rsidRDefault="00AE6445" w:rsidP="00AE6445">
      <w:pPr>
        <w:pStyle w:val="Para"/>
        <w:rPr>
          <w:lang w:val="en-AU"/>
        </w:rPr>
      </w:pPr>
    </w:p>
    <w:p w14:paraId="435879A7" w14:textId="77777777" w:rsidR="00AE6445" w:rsidRPr="001D042C" w:rsidRDefault="00AE6445" w:rsidP="00AE6445">
      <w:pPr>
        <w:pStyle w:val="Para"/>
        <w:rPr>
          <w:lang w:val="en-AU"/>
        </w:rPr>
      </w:pPr>
    </w:p>
    <w:p w14:paraId="343FCCD1" w14:textId="77777777" w:rsidR="003920D8" w:rsidRPr="001D042C" w:rsidRDefault="00AE6445">
      <w:pPr>
        <w:pStyle w:val="Heading3"/>
        <w:tabs>
          <w:tab w:val="num" w:pos="851"/>
        </w:tabs>
        <w:spacing w:before="0"/>
        <w:ind w:hanging="8517"/>
        <w:rPr>
          <w:bCs/>
          <w:lang w:val="en-AU"/>
        </w:rPr>
      </w:pPr>
      <w:bookmarkStart w:id="72" w:name="_Toc439198265"/>
      <w:bookmarkStart w:id="73" w:name="_Toc445571650"/>
      <w:r w:rsidRPr="001D042C">
        <w:rPr>
          <w:bCs/>
          <w:lang w:val="en-AU"/>
        </w:rPr>
        <w:t>Sample Returning Consent Forms</w:t>
      </w:r>
      <w:bookmarkEnd w:id="72"/>
      <w:bookmarkEnd w:id="73"/>
    </w:p>
    <w:p w14:paraId="0EA13CE7" w14:textId="7BECA13F" w:rsidR="00AE6445" w:rsidRPr="001D042C" w:rsidRDefault="00AE6445" w:rsidP="00AE6445">
      <w:pPr>
        <w:pStyle w:val="Para"/>
        <w:rPr>
          <w:i/>
          <w:lang w:val="en-AU"/>
        </w:rPr>
      </w:pPr>
      <w:r w:rsidRPr="001D042C">
        <w:rPr>
          <w:lang w:val="en-AU"/>
        </w:rPr>
        <w:t xml:space="preserve">Not all of those who were interviewed provided completed consent forms. An extensive follow-up process was undertaken, involving re-contacting those who had either not provided completed forms, or whose forms required further information or clarification. After the follow-up processes were completed, a total of 1,861 respondents had returned some or all of the necessary consent forms, and had their details passed on the relevant suppliers and councils.  </w:t>
      </w:r>
      <w:r w:rsidR="006F6665" w:rsidRPr="001D042C">
        <w:rPr>
          <w:lang w:val="en-AU"/>
        </w:rPr>
        <w:t>Table 2.6</w:t>
      </w:r>
      <w:r w:rsidRPr="001D042C">
        <w:rPr>
          <w:lang w:val="en-AU"/>
        </w:rPr>
        <w:t xml:space="preserve"> below provide</w:t>
      </w:r>
      <w:r w:rsidR="006F6665" w:rsidRPr="001D042C">
        <w:rPr>
          <w:lang w:val="en-AU"/>
        </w:rPr>
        <w:t>s</w:t>
      </w:r>
      <w:r w:rsidRPr="001D042C">
        <w:rPr>
          <w:lang w:val="en-AU"/>
        </w:rPr>
        <w:t xml:space="preserve"> a breakdown of these 1,861 respondents</w:t>
      </w:r>
      <w:r w:rsidR="006F6665" w:rsidRPr="001D042C">
        <w:rPr>
          <w:lang w:val="en-AU"/>
        </w:rPr>
        <w:t xml:space="preserve"> by concession status and DHHS region</w:t>
      </w:r>
      <w:r w:rsidR="00255B34" w:rsidRPr="001D042C">
        <w:rPr>
          <w:lang w:val="en-AU"/>
        </w:rPr>
        <w:t>, and Table 2.7 breaks the sample down by households size and overall region</w:t>
      </w:r>
      <w:r w:rsidRPr="001D042C">
        <w:rPr>
          <w:lang w:val="en-AU"/>
        </w:rPr>
        <w:t xml:space="preserve">  Respondents classified as aged concession </w:t>
      </w:r>
      <w:r w:rsidR="001F4692">
        <w:rPr>
          <w:lang w:val="en-AU"/>
        </w:rPr>
        <w:t xml:space="preserve">card </w:t>
      </w:r>
      <w:r w:rsidRPr="001D042C">
        <w:rPr>
          <w:lang w:val="en-AU"/>
        </w:rPr>
        <w:t>holders were the most likely to provide consent forms: 91% did so.  Of the other two categories, approximately 81% of those interviewed by telephone provided consent forms.</w:t>
      </w:r>
    </w:p>
    <w:p w14:paraId="5AAA2EA0" w14:textId="77777777" w:rsidR="00AE6445" w:rsidRPr="001D042C" w:rsidRDefault="00AE6445" w:rsidP="00AE6445">
      <w:pPr>
        <w:pStyle w:val="Para"/>
        <w:rPr>
          <w:lang w:val="en-AU"/>
        </w:rPr>
      </w:pPr>
    </w:p>
    <w:p w14:paraId="4DCB9F9E" w14:textId="77777777" w:rsidR="00AE6445" w:rsidRPr="001D042C" w:rsidRDefault="00AE6445" w:rsidP="00AE6445">
      <w:pPr>
        <w:pStyle w:val="Para"/>
        <w:rPr>
          <w:lang w:val="en-AU"/>
        </w:rPr>
      </w:pPr>
      <w:r w:rsidRPr="001D042C">
        <w:rPr>
          <w:lang w:val="en-AU"/>
        </w:rPr>
        <w:t>As requested, weights have been calculated so that survey results can be obtained either for the 1,861 who provided completed consent forms, or for the 2,204 who completed the telephone survey.  For this report, the results have been based to the 1,861 who provided completed consent forms.</w:t>
      </w:r>
    </w:p>
    <w:p w14:paraId="17B75508" w14:textId="77777777" w:rsidR="00AE6445" w:rsidRPr="001D042C" w:rsidRDefault="00AE6445" w:rsidP="00AE6445">
      <w:pPr>
        <w:pStyle w:val="Para"/>
        <w:rPr>
          <w:lang w:val="en-AU"/>
        </w:rPr>
      </w:pPr>
      <w:r w:rsidRPr="001D042C">
        <w:rPr>
          <w:lang w:val="en-AU"/>
        </w:rPr>
        <w:br w:type="page"/>
      </w:r>
    </w:p>
    <w:p w14:paraId="6F45C535" w14:textId="77777777" w:rsidR="00AE6445" w:rsidRPr="001D042C" w:rsidRDefault="00AE6445" w:rsidP="003F412E">
      <w:pPr>
        <w:pStyle w:val="Para"/>
        <w:keepNext/>
        <w:keepLines/>
        <w:spacing w:after="120"/>
        <w:jc w:val="center"/>
        <w:rPr>
          <w:b/>
          <w:szCs w:val="24"/>
        </w:rPr>
      </w:pPr>
      <w:r w:rsidRPr="001D042C">
        <w:rPr>
          <w:b/>
          <w:szCs w:val="24"/>
        </w:rPr>
        <w:lastRenderedPageBreak/>
        <w:t xml:space="preserve">Table </w:t>
      </w:r>
      <w:r w:rsidR="0091303E" w:rsidRPr="001D042C">
        <w:rPr>
          <w:b/>
          <w:szCs w:val="24"/>
        </w:rPr>
        <w:t>2.6</w:t>
      </w:r>
      <w:r w:rsidRPr="001D042C">
        <w:rPr>
          <w:b/>
          <w:szCs w:val="24"/>
        </w:rPr>
        <w:t xml:space="preserve"> – </w:t>
      </w:r>
      <w:r w:rsidRPr="001D042C">
        <w:rPr>
          <w:b/>
          <w:szCs w:val="24"/>
          <w:u w:val="single"/>
        </w:rPr>
        <w:t>Final sample returning consent forms – by concession status and DHHS region</w:t>
      </w:r>
    </w:p>
    <w:tbl>
      <w:tblPr>
        <w:tblW w:w="804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620"/>
        <w:gridCol w:w="1356"/>
        <w:gridCol w:w="1356"/>
        <w:gridCol w:w="1356"/>
        <w:gridCol w:w="1356"/>
      </w:tblGrid>
      <w:tr w:rsidR="00AE6445" w:rsidRPr="001D042C" w14:paraId="7ED433B4" w14:textId="77777777" w:rsidTr="003F412E">
        <w:trPr>
          <w:trHeight w:val="600"/>
          <w:jc w:val="center"/>
        </w:trPr>
        <w:tc>
          <w:tcPr>
            <w:tcW w:w="2620" w:type="dxa"/>
            <w:shd w:val="clear" w:color="auto" w:fill="auto"/>
            <w:noWrap/>
            <w:vAlign w:val="bottom"/>
          </w:tcPr>
          <w:p w14:paraId="62AB7006" w14:textId="77777777" w:rsidR="00AE6445" w:rsidRPr="001D042C" w:rsidRDefault="00AE6445" w:rsidP="00AE6445">
            <w:pPr>
              <w:spacing w:before="0" w:after="0"/>
              <w:rPr>
                <w:rFonts w:ascii="Arial" w:hAnsi="Arial" w:cs="Arial"/>
                <w:b/>
                <w:color w:val="000000"/>
                <w:sz w:val="20"/>
                <w:lang w:val="en-AU" w:eastAsia="en-AU"/>
              </w:rPr>
            </w:pPr>
            <w:r w:rsidRPr="001D042C">
              <w:rPr>
                <w:rFonts w:ascii="Arial" w:hAnsi="Arial" w:cs="Arial"/>
                <w:b/>
                <w:color w:val="000000"/>
                <w:sz w:val="20"/>
                <w:lang w:val="en-AU" w:eastAsia="en-AU"/>
              </w:rPr>
              <w:t>DHHS Region</w:t>
            </w:r>
          </w:p>
        </w:tc>
        <w:tc>
          <w:tcPr>
            <w:tcW w:w="1356" w:type="dxa"/>
            <w:shd w:val="clear" w:color="auto" w:fill="auto"/>
            <w:vAlign w:val="bottom"/>
          </w:tcPr>
          <w:p w14:paraId="65F57410"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Aged Concession</w:t>
            </w:r>
          </w:p>
        </w:tc>
        <w:tc>
          <w:tcPr>
            <w:tcW w:w="1356" w:type="dxa"/>
            <w:shd w:val="clear" w:color="auto" w:fill="auto"/>
            <w:vAlign w:val="bottom"/>
          </w:tcPr>
          <w:p w14:paraId="14727A82"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Other Concession</w:t>
            </w:r>
          </w:p>
        </w:tc>
        <w:tc>
          <w:tcPr>
            <w:tcW w:w="1356" w:type="dxa"/>
            <w:shd w:val="clear" w:color="auto" w:fill="auto"/>
            <w:vAlign w:val="bottom"/>
          </w:tcPr>
          <w:p w14:paraId="06D287E6"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Non-concession</w:t>
            </w:r>
          </w:p>
        </w:tc>
        <w:tc>
          <w:tcPr>
            <w:tcW w:w="1356" w:type="dxa"/>
            <w:shd w:val="clear" w:color="auto" w:fill="auto"/>
            <w:vAlign w:val="bottom"/>
          </w:tcPr>
          <w:p w14:paraId="55B43EA5"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Total</w:t>
            </w:r>
          </w:p>
        </w:tc>
      </w:tr>
      <w:tr w:rsidR="00AE6445" w:rsidRPr="001D042C" w14:paraId="026FC239" w14:textId="77777777" w:rsidTr="003F412E">
        <w:trPr>
          <w:trHeight w:val="300"/>
          <w:jc w:val="center"/>
        </w:trPr>
        <w:tc>
          <w:tcPr>
            <w:tcW w:w="2620" w:type="dxa"/>
            <w:shd w:val="clear" w:color="auto" w:fill="auto"/>
            <w:noWrap/>
            <w:vAlign w:val="bottom"/>
          </w:tcPr>
          <w:p w14:paraId="2DD07295"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Barwon</w:t>
            </w:r>
          </w:p>
        </w:tc>
        <w:tc>
          <w:tcPr>
            <w:tcW w:w="1356" w:type="dxa"/>
            <w:shd w:val="clear" w:color="auto" w:fill="auto"/>
            <w:noWrap/>
            <w:vAlign w:val="bottom"/>
          </w:tcPr>
          <w:p w14:paraId="30C8911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42</w:t>
            </w:r>
          </w:p>
        </w:tc>
        <w:tc>
          <w:tcPr>
            <w:tcW w:w="1356" w:type="dxa"/>
            <w:shd w:val="clear" w:color="auto" w:fill="auto"/>
            <w:noWrap/>
            <w:vAlign w:val="bottom"/>
          </w:tcPr>
          <w:p w14:paraId="197262A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28</w:t>
            </w:r>
          </w:p>
        </w:tc>
        <w:tc>
          <w:tcPr>
            <w:tcW w:w="1356" w:type="dxa"/>
            <w:shd w:val="clear" w:color="auto" w:fill="auto"/>
            <w:noWrap/>
            <w:vAlign w:val="bottom"/>
          </w:tcPr>
          <w:p w14:paraId="543FE8A7"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45</w:t>
            </w:r>
          </w:p>
        </w:tc>
        <w:tc>
          <w:tcPr>
            <w:tcW w:w="1356" w:type="dxa"/>
            <w:shd w:val="clear" w:color="auto" w:fill="auto"/>
            <w:noWrap/>
            <w:vAlign w:val="bottom"/>
          </w:tcPr>
          <w:p w14:paraId="32CD20CA"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115</w:t>
            </w:r>
          </w:p>
        </w:tc>
      </w:tr>
      <w:tr w:rsidR="00AE6445" w:rsidRPr="001D042C" w14:paraId="287FF90F" w14:textId="77777777" w:rsidTr="003F412E">
        <w:trPr>
          <w:trHeight w:val="300"/>
          <w:jc w:val="center"/>
        </w:trPr>
        <w:tc>
          <w:tcPr>
            <w:tcW w:w="2620" w:type="dxa"/>
            <w:shd w:val="clear" w:color="auto" w:fill="auto"/>
            <w:noWrap/>
            <w:vAlign w:val="bottom"/>
          </w:tcPr>
          <w:p w14:paraId="147ABA35"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Bayside</w:t>
            </w:r>
          </w:p>
        </w:tc>
        <w:tc>
          <w:tcPr>
            <w:tcW w:w="1356" w:type="dxa"/>
            <w:shd w:val="clear" w:color="auto" w:fill="auto"/>
            <w:noWrap/>
            <w:vAlign w:val="bottom"/>
          </w:tcPr>
          <w:p w14:paraId="4346514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95</w:t>
            </w:r>
          </w:p>
        </w:tc>
        <w:tc>
          <w:tcPr>
            <w:tcW w:w="1356" w:type="dxa"/>
            <w:shd w:val="clear" w:color="auto" w:fill="auto"/>
            <w:noWrap/>
            <w:vAlign w:val="bottom"/>
          </w:tcPr>
          <w:p w14:paraId="7BA81ED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45</w:t>
            </w:r>
          </w:p>
        </w:tc>
        <w:tc>
          <w:tcPr>
            <w:tcW w:w="1356" w:type="dxa"/>
            <w:shd w:val="clear" w:color="auto" w:fill="auto"/>
            <w:noWrap/>
            <w:vAlign w:val="bottom"/>
          </w:tcPr>
          <w:p w14:paraId="7BB37A4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129</w:t>
            </w:r>
          </w:p>
        </w:tc>
        <w:tc>
          <w:tcPr>
            <w:tcW w:w="1356" w:type="dxa"/>
            <w:shd w:val="clear" w:color="auto" w:fill="auto"/>
            <w:noWrap/>
            <w:vAlign w:val="bottom"/>
          </w:tcPr>
          <w:p w14:paraId="2F67499E"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269</w:t>
            </w:r>
          </w:p>
        </w:tc>
      </w:tr>
      <w:tr w:rsidR="00AE6445" w:rsidRPr="001D042C" w14:paraId="0D36A2D1" w14:textId="77777777" w:rsidTr="003F412E">
        <w:trPr>
          <w:trHeight w:val="300"/>
          <w:jc w:val="center"/>
        </w:trPr>
        <w:tc>
          <w:tcPr>
            <w:tcW w:w="2620" w:type="dxa"/>
            <w:shd w:val="clear" w:color="auto" w:fill="auto"/>
            <w:noWrap/>
            <w:vAlign w:val="bottom"/>
          </w:tcPr>
          <w:p w14:paraId="508272F0"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Brimbank Melton</w:t>
            </w:r>
          </w:p>
        </w:tc>
        <w:tc>
          <w:tcPr>
            <w:tcW w:w="1356" w:type="dxa"/>
            <w:shd w:val="clear" w:color="auto" w:fill="auto"/>
            <w:noWrap/>
            <w:vAlign w:val="bottom"/>
          </w:tcPr>
          <w:p w14:paraId="37804DC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w:t>
            </w:r>
          </w:p>
        </w:tc>
        <w:tc>
          <w:tcPr>
            <w:tcW w:w="1356" w:type="dxa"/>
            <w:shd w:val="clear" w:color="auto" w:fill="auto"/>
            <w:noWrap/>
            <w:vAlign w:val="bottom"/>
          </w:tcPr>
          <w:p w14:paraId="5033ECE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w:t>
            </w:r>
          </w:p>
        </w:tc>
        <w:tc>
          <w:tcPr>
            <w:tcW w:w="1356" w:type="dxa"/>
            <w:shd w:val="clear" w:color="auto" w:fill="auto"/>
            <w:noWrap/>
            <w:vAlign w:val="bottom"/>
          </w:tcPr>
          <w:p w14:paraId="73137908"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25</w:t>
            </w:r>
          </w:p>
        </w:tc>
        <w:tc>
          <w:tcPr>
            <w:tcW w:w="1356" w:type="dxa"/>
            <w:shd w:val="clear" w:color="auto" w:fill="auto"/>
            <w:noWrap/>
            <w:vAlign w:val="bottom"/>
          </w:tcPr>
          <w:p w14:paraId="4D172D6E"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62</w:t>
            </w:r>
          </w:p>
        </w:tc>
      </w:tr>
      <w:tr w:rsidR="00AE6445" w:rsidRPr="001D042C" w14:paraId="23BC716D" w14:textId="77777777" w:rsidTr="003F412E">
        <w:trPr>
          <w:trHeight w:val="300"/>
          <w:jc w:val="center"/>
        </w:trPr>
        <w:tc>
          <w:tcPr>
            <w:tcW w:w="2620" w:type="dxa"/>
            <w:shd w:val="clear" w:color="auto" w:fill="auto"/>
            <w:noWrap/>
            <w:vAlign w:val="bottom"/>
          </w:tcPr>
          <w:p w14:paraId="0410D4D7"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Central Highlands</w:t>
            </w:r>
          </w:p>
        </w:tc>
        <w:tc>
          <w:tcPr>
            <w:tcW w:w="1356" w:type="dxa"/>
            <w:shd w:val="clear" w:color="auto" w:fill="auto"/>
            <w:noWrap/>
            <w:vAlign w:val="bottom"/>
          </w:tcPr>
          <w:p w14:paraId="14C1F654"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32</w:t>
            </w:r>
          </w:p>
        </w:tc>
        <w:tc>
          <w:tcPr>
            <w:tcW w:w="1356" w:type="dxa"/>
            <w:shd w:val="clear" w:color="auto" w:fill="auto"/>
            <w:noWrap/>
            <w:vAlign w:val="bottom"/>
          </w:tcPr>
          <w:p w14:paraId="7013AD2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34</w:t>
            </w:r>
          </w:p>
        </w:tc>
        <w:tc>
          <w:tcPr>
            <w:tcW w:w="1356" w:type="dxa"/>
            <w:shd w:val="clear" w:color="auto" w:fill="auto"/>
            <w:noWrap/>
            <w:vAlign w:val="bottom"/>
          </w:tcPr>
          <w:p w14:paraId="3DE6E406"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31</w:t>
            </w:r>
          </w:p>
        </w:tc>
        <w:tc>
          <w:tcPr>
            <w:tcW w:w="1356" w:type="dxa"/>
            <w:shd w:val="clear" w:color="auto" w:fill="auto"/>
            <w:noWrap/>
            <w:vAlign w:val="bottom"/>
          </w:tcPr>
          <w:p w14:paraId="5DC683D5"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97</w:t>
            </w:r>
          </w:p>
        </w:tc>
      </w:tr>
      <w:tr w:rsidR="00AE6445" w:rsidRPr="001D042C" w14:paraId="4D33B52B" w14:textId="77777777" w:rsidTr="003F412E">
        <w:trPr>
          <w:trHeight w:val="300"/>
          <w:jc w:val="center"/>
        </w:trPr>
        <w:tc>
          <w:tcPr>
            <w:tcW w:w="2620" w:type="dxa"/>
            <w:shd w:val="clear" w:color="auto" w:fill="auto"/>
            <w:noWrap/>
            <w:vAlign w:val="bottom"/>
          </w:tcPr>
          <w:p w14:paraId="0F581D6B"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Goulburn</w:t>
            </w:r>
          </w:p>
        </w:tc>
        <w:tc>
          <w:tcPr>
            <w:tcW w:w="1356" w:type="dxa"/>
            <w:shd w:val="clear" w:color="auto" w:fill="auto"/>
            <w:noWrap/>
            <w:vAlign w:val="bottom"/>
          </w:tcPr>
          <w:p w14:paraId="426D5BE7"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23</w:t>
            </w:r>
          </w:p>
        </w:tc>
        <w:tc>
          <w:tcPr>
            <w:tcW w:w="1356" w:type="dxa"/>
            <w:shd w:val="clear" w:color="auto" w:fill="auto"/>
            <w:noWrap/>
            <w:vAlign w:val="bottom"/>
          </w:tcPr>
          <w:p w14:paraId="786B721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w:t>
            </w:r>
          </w:p>
        </w:tc>
        <w:tc>
          <w:tcPr>
            <w:tcW w:w="1356" w:type="dxa"/>
            <w:shd w:val="clear" w:color="auto" w:fill="auto"/>
            <w:noWrap/>
            <w:vAlign w:val="bottom"/>
          </w:tcPr>
          <w:p w14:paraId="4D0435D8"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33</w:t>
            </w:r>
          </w:p>
        </w:tc>
        <w:tc>
          <w:tcPr>
            <w:tcW w:w="1356" w:type="dxa"/>
            <w:shd w:val="clear" w:color="auto" w:fill="auto"/>
            <w:noWrap/>
            <w:vAlign w:val="bottom"/>
          </w:tcPr>
          <w:p w14:paraId="35926B86"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71</w:t>
            </w:r>
          </w:p>
        </w:tc>
      </w:tr>
      <w:tr w:rsidR="00AE6445" w:rsidRPr="001D042C" w14:paraId="4D9F3809" w14:textId="77777777" w:rsidTr="003F412E">
        <w:trPr>
          <w:trHeight w:val="300"/>
          <w:jc w:val="center"/>
        </w:trPr>
        <w:tc>
          <w:tcPr>
            <w:tcW w:w="2620" w:type="dxa"/>
            <w:shd w:val="clear" w:color="auto" w:fill="auto"/>
            <w:noWrap/>
            <w:vAlign w:val="bottom"/>
          </w:tcPr>
          <w:p w14:paraId="53BA0305"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Hume Moreland</w:t>
            </w:r>
          </w:p>
        </w:tc>
        <w:tc>
          <w:tcPr>
            <w:tcW w:w="1356" w:type="dxa"/>
            <w:shd w:val="clear" w:color="auto" w:fill="auto"/>
            <w:noWrap/>
            <w:vAlign w:val="bottom"/>
          </w:tcPr>
          <w:p w14:paraId="2212ACD6"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21</w:t>
            </w:r>
          </w:p>
        </w:tc>
        <w:tc>
          <w:tcPr>
            <w:tcW w:w="1356" w:type="dxa"/>
            <w:shd w:val="clear" w:color="auto" w:fill="auto"/>
            <w:noWrap/>
            <w:vAlign w:val="bottom"/>
          </w:tcPr>
          <w:p w14:paraId="417D554D"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w:t>
            </w:r>
          </w:p>
        </w:tc>
        <w:tc>
          <w:tcPr>
            <w:tcW w:w="1356" w:type="dxa"/>
            <w:shd w:val="clear" w:color="auto" w:fill="auto"/>
            <w:noWrap/>
            <w:vAlign w:val="bottom"/>
          </w:tcPr>
          <w:p w14:paraId="003E305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w:t>
            </w:r>
          </w:p>
        </w:tc>
        <w:tc>
          <w:tcPr>
            <w:tcW w:w="1356" w:type="dxa"/>
            <w:shd w:val="clear" w:color="auto" w:fill="auto"/>
            <w:noWrap/>
            <w:vAlign w:val="bottom"/>
          </w:tcPr>
          <w:p w14:paraId="6CD1F48A"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58</w:t>
            </w:r>
          </w:p>
        </w:tc>
      </w:tr>
      <w:tr w:rsidR="00AE6445" w:rsidRPr="001D042C" w14:paraId="13CD4AE1" w14:textId="77777777" w:rsidTr="003F412E">
        <w:trPr>
          <w:trHeight w:val="300"/>
          <w:jc w:val="center"/>
        </w:trPr>
        <w:tc>
          <w:tcPr>
            <w:tcW w:w="2620" w:type="dxa"/>
            <w:shd w:val="clear" w:color="auto" w:fill="auto"/>
            <w:noWrap/>
            <w:vAlign w:val="bottom"/>
          </w:tcPr>
          <w:p w14:paraId="70359AB1"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Inner </w:t>
            </w:r>
            <w:smartTag w:uri="urn:schemas-microsoft-com:office:smarttags" w:element="place">
              <w:r w:rsidRPr="001D042C">
                <w:rPr>
                  <w:rFonts w:ascii="Arial" w:hAnsi="Arial" w:cs="Arial"/>
                  <w:color w:val="000000"/>
                  <w:sz w:val="20"/>
                  <w:lang w:val="en-AU" w:eastAsia="en-AU"/>
                </w:rPr>
                <w:t>Eastern Melbourne</w:t>
              </w:r>
            </w:smartTag>
          </w:p>
        </w:tc>
        <w:tc>
          <w:tcPr>
            <w:tcW w:w="1356" w:type="dxa"/>
            <w:shd w:val="clear" w:color="auto" w:fill="auto"/>
            <w:noWrap/>
            <w:vAlign w:val="bottom"/>
          </w:tcPr>
          <w:p w14:paraId="537C67F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72</w:t>
            </w:r>
          </w:p>
        </w:tc>
        <w:tc>
          <w:tcPr>
            <w:tcW w:w="1356" w:type="dxa"/>
            <w:shd w:val="clear" w:color="auto" w:fill="auto"/>
            <w:noWrap/>
            <w:vAlign w:val="bottom"/>
          </w:tcPr>
          <w:p w14:paraId="66AC7B44"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23</w:t>
            </w:r>
          </w:p>
        </w:tc>
        <w:tc>
          <w:tcPr>
            <w:tcW w:w="1356" w:type="dxa"/>
            <w:shd w:val="clear" w:color="auto" w:fill="auto"/>
            <w:noWrap/>
            <w:vAlign w:val="bottom"/>
          </w:tcPr>
          <w:p w14:paraId="0201BD1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90</w:t>
            </w:r>
          </w:p>
        </w:tc>
        <w:tc>
          <w:tcPr>
            <w:tcW w:w="1356" w:type="dxa"/>
            <w:shd w:val="clear" w:color="auto" w:fill="auto"/>
            <w:noWrap/>
            <w:vAlign w:val="bottom"/>
          </w:tcPr>
          <w:p w14:paraId="17BEF518"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185</w:t>
            </w:r>
          </w:p>
        </w:tc>
      </w:tr>
      <w:tr w:rsidR="00AE6445" w:rsidRPr="001D042C" w14:paraId="47B40990" w14:textId="77777777" w:rsidTr="003F412E">
        <w:trPr>
          <w:trHeight w:val="300"/>
          <w:jc w:val="center"/>
        </w:trPr>
        <w:tc>
          <w:tcPr>
            <w:tcW w:w="2620" w:type="dxa"/>
            <w:shd w:val="clear" w:color="auto" w:fill="auto"/>
            <w:noWrap/>
            <w:vAlign w:val="bottom"/>
          </w:tcPr>
          <w:p w14:paraId="45BE43D9"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Inner Gippsland</w:t>
            </w:r>
          </w:p>
        </w:tc>
        <w:tc>
          <w:tcPr>
            <w:tcW w:w="1356" w:type="dxa"/>
            <w:shd w:val="clear" w:color="auto" w:fill="auto"/>
            <w:noWrap/>
            <w:vAlign w:val="bottom"/>
          </w:tcPr>
          <w:p w14:paraId="2F3DB8D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31</w:t>
            </w:r>
          </w:p>
        </w:tc>
        <w:tc>
          <w:tcPr>
            <w:tcW w:w="1356" w:type="dxa"/>
            <w:shd w:val="clear" w:color="auto" w:fill="auto"/>
            <w:noWrap/>
            <w:vAlign w:val="bottom"/>
          </w:tcPr>
          <w:p w14:paraId="6DE813B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19</w:t>
            </w:r>
          </w:p>
        </w:tc>
        <w:tc>
          <w:tcPr>
            <w:tcW w:w="1356" w:type="dxa"/>
            <w:shd w:val="clear" w:color="auto" w:fill="auto"/>
            <w:noWrap/>
            <w:vAlign w:val="bottom"/>
          </w:tcPr>
          <w:p w14:paraId="7B498C5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33</w:t>
            </w:r>
          </w:p>
        </w:tc>
        <w:tc>
          <w:tcPr>
            <w:tcW w:w="1356" w:type="dxa"/>
            <w:shd w:val="clear" w:color="auto" w:fill="auto"/>
            <w:noWrap/>
            <w:vAlign w:val="bottom"/>
          </w:tcPr>
          <w:p w14:paraId="4F99508D"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83</w:t>
            </w:r>
          </w:p>
        </w:tc>
      </w:tr>
      <w:tr w:rsidR="00AE6445" w:rsidRPr="001D042C" w14:paraId="5A885887" w14:textId="77777777" w:rsidTr="003F412E">
        <w:trPr>
          <w:trHeight w:val="300"/>
          <w:jc w:val="center"/>
        </w:trPr>
        <w:tc>
          <w:tcPr>
            <w:tcW w:w="2620" w:type="dxa"/>
            <w:shd w:val="clear" w:color="auto" w:fill="auto"/>
            <w:noWrap/>
            <w:vAlign w:val="bottom"/>
          </w:tcPr>
          <w:p w14:paraId="60DFB912"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Loddon</w:t>
            </w:r>
          </w:p>
        </w:tc>
        <w:tc>
          <w:tcPr>
            <w:tcW w:w="1356" w:type="dxa"/>
            <w:shd w:val="clear" w:color="auto" w:fill="auto"/>
            <w:noWrap/>
            <w:vAlign w:val="bottom"/>
          </w:tcPr>
          <w:p w14:paraId="01CBC6A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50</w:t>
            </w:r>
          </w:p>
        </w:tc>
        <w:tc>
          <w:tcPr>
            <w:tcW w:w="1356" w:type="dxa"/>
            <w:shd w:val="clear" w:color="auto" w:fill="auto"/>
            <w:noWrap/>
            <w:vAlign w:val="bottom"/>
          </w:tcPr>
          <w:p w14:paraId="018FAEDD"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35</w:t>
            </w:r>
          </w:p>
        </w:tc>
        <w:tc>
          <w:tcPr>
            <w:tcW w:w="1356" w:type="dxa"/>
            <w:shd w:val="clear" w:color="auto" w:fill="auto"/>
            <w:noWrap/>
            <w:vAlign w:val="bottom"/>
          </w:tcPr>
          <w:p w14:paraId="0033F36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42</w:t>
            </w:r>
          </w:p>
        </w:tc>
        <w:tc>
          <w:tcPr>
            <w:tcW w:w="1356" w:type="dxa"/>
            <w:shd w:val="clear" w:color="auto" w:fill="auto"/>
            <w:noWrap/>
            <w:vAlign w:val="bottom"/>
          </w:tcPr>
          <w:p w14:paraId="640CCFA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127</w:t>
            </w:r>
          </w:p>
        </w:tc>
      </w:tr>
      <w:tr w:rsidR="00AE6445" w:rsidRPr="001D042C" w14:paraId="1589FD30" w14:textId="77777777" w:rsidTr="003F412E">
        <w:trPr>
          <w:trHeight w:val="300"/>
          <w:jc w:val="center"/>
        </w:trPr>
        <w:tc>
          <w:tcPr>
            <w:tcW w:w="2620" w:type="dxa"/>
            <w:shd w:val="clear" w:color="auto" w:fill="auto"/>
            <w:noWrap/>
            <w:vAlign w:val="bottom"/>
          </w:tcPr>
          <w:p w14:paraId="3BB90DC8"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Mallee</w:t>
            </w:r>
          </w:p>
        </w:tc>
        <w:tc>
          <w:tcPr>
            <w:tcW w:w="1356" w:type="dxa"/>
            <w:shd w:val="clear" w:color="auto" w:fill="auto"/>
            <w:noWrap/>
            <w:vAlign w:val="bottom"/>
          </w:tcPr>
          <w:p w14:paraId="45528A3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26</w:t>
            </w:r>
          </w:p>
        </w:tc>
        <w:tc>
          <w:tcPr>
            <w:tcW w:w="1356" w:type="dxa"/>
            <w:shd w:val="clear" w:color="auto" w:fill="auto"/>
            <w:noWrap/>
            <w:vAlign w:val="bottom"/>
          </w:tcPr>
          <w:p w14:paraId="0A8D7B0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w:t>
            </w:r>
          </w:p>
        </w:tc>
        <w:tc>
          <w:tcPr>
            <w:tcW w:w="1356" w:type="dxa"/>
            <w:shd w:val="clear" w:color="auto" w:fill="auto"/>
            <w:noWrap/>
            <w:vAlign w:val="bottom"/>
          </w:tcPr>
          <w:p w14:paraId="70B4CE7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w:t>
            </w:r>
          </w:p>
        </w:tc>
        <w:tc>
          <w:tcPr>
            <w:tcW w:w="1356" w:type="dxa"/>
            <w:shd w:val="clear" w:color="auto" w:fill="auto"/>
            <w:noWrap/>
            <w:vAlign w:val="bottom"/>
          </w:tcPr>
          <w:p w14:paraId="6360D9A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56</w:t>
            </w:r>
          </w:p>
        </w:tc>
      </w:tr>
      <w:tr w:rsidR="00AE6445" w:rsidRPr="001D042C" w14:paraId="22FBE621" w14:textId="77777777" w:rsidTr="003F412E">
        <w:trPr>
          <w:trHeight w:val="300"/>
          <w:jc w:val="center"/>
        </w:trPr>
        <w:tc>
          <w:tcPr>
            <w:tcW w:w="2620" w:type="dxa"/>
            <w:shd w:val="clear" w:color="auto" w:fill="auto"/>
            <w:noWrap/>
            <w:vAlign w:val="bottom"/>
          </w:tcPr>
          <w:p w14:paraId="69C2CC0A"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North Eastern Melbourne</w:t>
            </w:r>
          </w:p>
        </w:tc>
        <w:tc>
          <w:tcPr>
            <w:tcW w:w="1356" w:type="dxa"/>
            <w:shd w:val="clear" w:color="auto" w:fill="auto"/>
            <w:noWrap/>
            <w:vAlign w:val="bottom"/>
          </w:tcPr>
          <w:p w14:paraId="711A7EE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34</w:t>
            </w:r>
          </w:p>
        </w:tc>
        <w:tc>
          <w:tcPr>
            <w:tcW w:w="1356" w:type="dxa"/>
            <w:shd w:val="clear" w:color="auto" w:fill="auto"/>
            <w:noWrap/>
            <w:vAlign w:val="bottom"/>
          </w:tcPr>
          <w:p w14:paraId="2083A456"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35</w:t>
            </w:r>
          </w:p>
        </w:tc>
        <w:tc>
          <w:tcPr>
            <w:tcW w:w="1356" w:type="dxa"/>
            <w:shd w:val="clear" w:color="auto" w:fill="auto"/>
            <w:noWrap/>
            <w:vAlign w:val="bottom"/>
          </w:tcPr>
          <w:p w14:paraId="75443C1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80</w:t>
            </w:r>
          </w:p>
        </w:tc>
        <w:tc>
          <w:tcPr>
            <w:tcW w:w="1356" w:type="dxa"/>
            <w:shd w:val="clear" w:color="auto" w:fill="auto"/>
            <w:noWrap/>
            <w:vAlign w:val="bottom"/>
          </w:tcPr>
          <w:p w14:paraId="55C2888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149</w:t>
            </w:r>
          </w:p>
        </w:tc>
      </w:tr>
      <w:tr w:rsidR="00AE6445" w:rsidRPr="001D042C" w14:paraId="5E46A3B2" w14:textId="77777777" w:rsidTr="003F412E">
        <w:trPr>
          <w:trHeight w:val="300"/>
          <w:jc w:val="center"/>
        </w:trPr>
        <w:tc>
          <w:tcPr>
            <w:tcW w:w="2620" w:type="dxa"/>
            <w:shd w:val="clear" w:color="auto" w:fill="auto"/>
            <w:noWrap/>
            <w:vAlign w:val="bottom"/>
          </w:tcPr>
          <w:p w14:paraId="34B83FFA"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Outer </w:t>
            </w:r>
            <w:smartTag w:uri="urn:schemas-microsoft-com:office:smarttags" w:element="place">
              <w:r w:rsidRPr="001D042C">
                <w:rPr>
                  <w:rFonts w:ascii="Arial" w:hAnsi="Arial" w:cs="Arial"/>
                  <w:color w:val="000000"/>
                  <w:sz w:val="20"/>
                  <w:lang w:val="en-AU" w:eastAsia="en-AU"/>
                </w:rPr>
                <w:t>Eastern Melbourne</w:t>
              </w:r>
            </w:smartTag>
          </w:p>
        </w:tc>
        <w:tc>
          <w:tcPr>
            <w:tcW w:w="1356" w:type="dxa"/>
            <w:shd w:val="clear" w:color="auto" w:fill="auto"/>
            <w:noWrap/>
            <w:vAlign w:val="bottom"/>
          </w:tcPr>
          <w:p w14:paraId="1B7B384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50</w:t>
            </w:r>
          </w:p>
        </w:tc>
        <w:tc>
          <w:tcPr>
            <w:tcW w:w="1356" w:type="dxa"/>
            <w:shd w:val="clear" w:color="auto" w:fill="auto"/>
            <w:noWrap/>
            <w:vAlign w:val="bottom"/>
          </w:tcPr>
          <w:p w14:paraId="612BE40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33</w:t>
            </w:r>
          </w:p>
        </w:tc>
        <w:tc>
          <w:tcPr>
            <w:tcW w:w="1356" w:type="dxa"/>
            <w:shd w:val="clear" w:color="auto" w:fill="auto"/>
            <w:noWrap/>
            <w:vAlign w:val="bottom"/>
          </w:tcPr>
          <w:p w14:paraId="6BD886C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56</w:t>
            </w:r>
          </w:p>
        </w:tc>
        <w:tc>
          <w:tcPr>
            <w:tcW w:w="1356" w:type="dxa"/>
            <w:shd w:val="clear" w:color="auto" w:fill="auto"/>
            <w:noWrap/>
            <w:vAlign w:val="bottom"/>
          </w:tcPr>
          <w:p w14:paraId="6CB7B278"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139</w:t>
            </w:r>
          </w:p>
        </w:tc>
      </w:tr>
      <w:tr w:rsidR="00AE6445" w:rsidRPr="001D042C" w14:paraId="4C8C37C0" w14:textId="77777777" w:rsidTr="003F412E">
        <w:trPr>
          <w:trHeight w:val="300"/>
          <w:jc w:val="center"/>
        </w:trPr>
        <w:tc>
          <w:tcPr>
            <w:tcW w:w="2620" w:type="dxa"/>
            <w:shd w:val="clear" w:color="auto" w:fill="auto"/>
            <w:noWrap/>
            <w:vAlign w:val="bottom"/>
          </w:tcPr>
          <w:p w14:paraId="5702D87A"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Outer Gippsland</w:t>
            </w:r>
          </w:p>
        </w:tc>
        <w:tc>
          <w:tcPr>
            <w:tcW w:w="1356" w:type="dxa"/>
            <w:shd w:val="clear" w:color="auto" w:fill="auto"/>
            <w:noWrap/>
            <w:vAlign w:val="bottom"/>
          </w:tcPr>
          <w:p w14:paraId="2337A0F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34</w:t>
            </w:r>
          </w:p>
        </w:tc>
        <w:tc>
          <w:tcPr>
            <w:tcW w:w="1356" w:type="dxa"/>
            <w:shd w:val="clear" w:color="auto" w:fill="auto"/>
            <w:noWrap/>
            <w:vAlign w:val="bottom"/>
          </w:tcPr>
          <w:p w14:paraId="28277CCD"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w:t>
            </w:r>
          </w:p>
        </w:tc>
        <w:tc>
          <w:tcPr>
            <w:tcW w:w="1356" w:type="dxa"/>
            <w:shd w:val="clear" w:color="auto" w:fill="auto"/>
            <w:noWrap/>
            <w:vAlign w:val="bottom"/>
          </w:tcPr>
          <w:p w14:paraId="0DEB801E"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35</w:t>
            </w:r>
          </w:p>
        </w:tc>
        <w:tc>
          <w:tcPr>
            <w:tcW w:w="1356" w:type="dxa"/>
            <w:shd w:val="clear" w:color="auto" w:fill="auto"/>
            <w:noWrap/>
            <w:vAlign w:val="bottom"/>
          </w:tcPr>
          <w:p w14:paraId="1E9EC8D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89</w:t>
            </w:r>
          </w:p>
        </w:tc>
      </w:tr>
      <w:tr w:rsidR="00AE6445" w:rsidRPr="001D042C" w14:paraId="5C5F1436" w14:textId="77777777" w:rsidTr="003F412E">
        <w:trPr>
          <w:trHeight w:val="300"/>
          <w:jc w:val="center"/>
        </w:trPr>
        <w:tc>
          <w:tcPr>
            <w:tcW w:w="2620" w:type="dxa"/>
            <w:shd w:val="clear" w:color="auto" w:fill="auto"/>
            <w:noWrap/>
            <w:vAlign w:val="bottom"/>
          </w:tcPr>
          <w:p w14:paraId="3A439173"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Ovens </w:t>
            </w:r>
            <w:smartTag w:uri="urn:schemas-microsoft-com:office:smarttags" w:element="City">
              <w:smartTag w:uri="urn:schemas-microsoft-com:office:smarttags" w:element="place">
                <w:r w:rsidRPr="001D042C">
                  <w:rPr>
                    <w:rFonts w:ascii="Arial" w:hAnsi="Arial" w:cs="Arial"/>
                    <w:color w:val="000000"/>
                    <w:sz w:val="20"/>
                    <w:lang w:val="en-AU" w:eastAsia="en-AU"/>
                  </w:rPr>
                  <w:t>Murray</w:t>
                </w:r>
              </w:smartTag>
            </w:smartTag>
          </w:p>
        </w:tc>
        <w:tc>
          <w:tcPr>
            <w:tcW w:w="1356" w:type="dxa"/>
            <w:shd w:val="clear" w:color="auto" w:fill="auto"/>
            <w:noWrap/>
            <w:vAlign w:val="bottom"/>
          </w:tcPr>
          <w:p w14:paraId="4D2FB44E"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w:t>
            </w:r>
          </w:p>
        </w:tc>
        <w:tc>
          <w:tcPr>
            <w:tcW w:w="1356" w:type="dxa"/>
            <w:shd w:val="clear" w:color="auto" w:fill="auto"/>
            <w:noWrap/>
            <w:vAlign w:val="bottom"/>
          </w:tcPr>
          <w:p w14:paraId="3A24F1C6"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13</w:t>
            </w:r>
          </w:p>
        </w:tc>
        <w:tc>
          <w:tcPr>
            <w:tcW w:w="1356" w:type="dxa"/>
            <w:shd w:val="clear" w:color="auto" w:fill="auto"/>
            <w:noWrap/>
            <w:vAlign w:val="bottom"/>
          </w:tcPr>
          <w:p w14:paraId="365BFFD0"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22</w:t>
            </w:r>
          </w:p>
        </w:tc>
        <w:tc>
          <w:tcPr>
            <w:tcW w:w="1356" w:type="dxa"/>
            <w:shd w:val="clear" w:color="auto" w:fill="auto"/>
            <w:noWrap/>
            <w:vAlign w:val="bottom"/>
          </w:tcPr>
          <w:p w14:paraId="0271A1F6"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52</w:t>
            </w:r>
          </w:p>
        </w:tc>
      </w:tr>
      <w:tr w:rsidR="00AE6445" w:rsidRPr="001D042C" w14:paraId="0E58F5C1" w14:textId="77777777" w:rsidTr="003F412E">
        <w:trPr>
          <w:trHeight w:val="300"/>
          <w:jc w:val="center"/>
        </w:trPr>
        <w:tc>
          <w:tcPr>
            <w:tcW w:w="2620" w:type="dxa"/>
            <w:shd w:val="clear" w:color="auto" w:fill="auto"/>
            <w:noWrap/>
            <w:vAlign w:val="bottom"/>
          </w:tcPr>
          <w:p w14:paraId="46973E26" w14:textId="77777777" w:rsidR="00AE6445" w:rsidRPr="001D042C" w:rsidRDefault="00AE6445" w:rsidP="00AE6445">
            <w:pPr>
              <w:spacing w:before="0" w:after="0"/>
              <w:rPr>
                <w:rFonts w:ascii="Arial" w:hAnsi="Arial" w:cs="Arial"/>
                <w:color w:val="000000"/>
                <w:sz w:val="20"/>
                <w:lang w:val="en-AU" w:eastAsia="en-AU"/>
              </w:rPr>
            </w:pPr>
            <w:smartTag w:uri="urn:schemas-microsoft-com:office:smarttags" w:element="place">
              <w:r w:rsidRPr="001D042C">
                <w:rPr>
                  <w:rFonts w:ascii="Arial" w:hAnsi="Arial" w:cs="Arial"/>
                  <w:color w:val="000000"/>
                  <w:sz w:val="20"/>
                  <w:lang w:val="en-AU" w:eastAsia="en-AU"/>
                </w:rPr>
                <w:t>Southern Melbourne</w:t>
              </w:r>
            </w:smartTag>
          </w:p>
        </w:tc>
        <w:tc>
          <w:tcPr>
            <w:tcW w:w="1356" w:type="dxa"/>
            <w:shd w:val="clear" w:color="auto" w:fill="auto"/>
            <w:noWrap/>
            <w:vAlign w:val="bottom"/>
          </w:tcPr>
          <w:p w14:paraId="3338232E"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39</w:t>
            </w:r>
          </w:p>
        </w:tc>
        <w:tc>
          <w:tcPr>
            <w:tcW w:w="1356" w:type="dxa"/>
            <w:shd w:val="clear" w:color="auto" w:fill="auto"/>
            <w:noWrap/>
            <w:vAlign w:val="bottom"/>
          </w:tcPr>
          <w:p w14:paraId="0BAA5A5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31</w:t>
            </w:r>
          </w:p>
        </w:tc>
        <w:tc>
          <w:tcPr>
            <w:tcW w:w="1356" w:type="dxa"/>
            <w:shd w:val="clear" w:color="auto" w:fill="auto"/>
            <w:noWrap/>
            <w:vAlign w:val="bottom"/>
          </w:tcPr>
          <w:p w14:paraId="215902D8"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66</w:t>
            </w:r>
          </w:p>
        </w:tc>
        <w:tc>
          <w:tcPr>
            <w:tcW w:w="1356" w:type="dxa"/>
            <w:shd w:val="clear" w:color="auto" w:fill="auto"/>
            <w:noWrap/>
            <w:vAlign w:val="bottom"/>
          </w:tcPr>
          <w:p w14:paraId="6ECECB45"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136</w:t>
            </w:r>
          </w:p>
        </w:tc>
      </w:tr>
      <w:tr w:rsidR="00AE6445" w:rsidRPr="001D042C" w14:paraId="21AFC4DC" w14:textId="77777777" w:rsidTr="003F412E">
        <w:trPr>
          <w:trHeight w:val="300"/>
          <w:jc w:val="center"/>
        </w:trPr>
        <w:tc>
          <w:tcPr>
            <w:tcW w:w="2620" w:type="dxa"/>
            <w:shd w:val="clear" w:color="auto" w:fill="auto"/>
            <w:noWrap/>
            <w:vAlign w:val="bottom"/>
          </w:tcPr>
          <w:p w14:paraId="05D89EF2"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Western District</w:t>
            </w:r>
          </w:p>
        </w:tc>
        <w:tc>
          <w:tcPr>
            <w:tcW w:w="1356" w:type="dxa"/>
            <w:shd w:val="clear" w:color="auto" w:fill="auto"/>
            <w:noWrap/>
            <w:vAlign w:val="bottom"/>
          </w:tcPr>
          <w:p w14:paraId="6256555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w:t>
            </w:r>
          </w:p>
        </w:tc>
        <w:tc>
          <w:tcPr>
            <w:tcW w:w="1356" w:type="dxa"/>
            <w:shd w:val="clear" w:color="auto" w:fill="auto"/>
            <w:noWrap/>
            <w:vAlign w:val="bottom"/>
          </w:tcPr>
          <w:p w14:paraId="251604D7"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14</w:t>
            </w:r>
          </w:p>
        </w:tc>
        <w:tc>
          <w:tcPr>
            <w:tcW w:w="1356" w:type="dxa"/>
            <w:shd w:val="clear" w:color="auto" w:fill="auto"/>
            <w:noWrap/>
            <w:vAlign w:val="bottom"/>
          </w:tcPr>
          <w:p w14:paraId="58C47216"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w:t>
            </w:r>
          </w:p>
        </w:tc>
        <w:tc>
          <w:tcPr>
            <w:tcW w:w="1356" w:type="dxa"/>
            <w:shd w:val="clear" w:color="auto" w:fill="auto"/>
            <w:noWrap/>
            <w:vAlign w:val="bottom"/>
          </w:tcPr>
          <w:p w14:paraId="0359A8D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38</w:t>
            </w:r>
          </w:p>
        </w:tc>
      </w:tr>
      <w:tr w:rsidR="00AE6445" w:rsidRPr="001D042C" w14:paraId="4037F19A" w14:textId="77777777" w:rsidTr="003F412E">
        <w:trPr>
          <w:trHeight w:val="300"/>
          <w:jc w:val="center"/>
        </w:trPr>
        <w:tc>
          <w:tcPr>
            <w:tcW w:w="2620" w:type="dxa"/>
            <w:shd w:val="clear" w:color="auto" w:fill="auto"/>
            <w:noWrap/>
            <w:vAlign w:val="bottom"/>
          </w:tcPr>
          <w:p w14:paraId="6F1FE397" w14:textId="77777777" w:rsidR="00AE6445" w:rsidRPr="001D042C" w:rsidRDefault="00AE6445" w:rsidP="00AE6445">
            <w:pPr>
              <w:spacing w:before="0" w:after="0"/>
              <w:rPr>
                <w:rFonts w:ascii="Arial" w:hAnsi="Arial" w:cs="Arial"/>
                <w:color w:val="000000"/>
                <w:sz w:val="20"/>
                <w:lang w:val="en-AU" w:eastAsia="en-AU"/>
              </w:rPr>
            </w:pPr>
            <w:smartTag w:uri="urn:schemas-microsoft-com:office:smarttags" w:element="place">
              <w:r w:rsidRPr="001D042C">
                <w:rPr>
                  <w:rFonts w:ascii="Arial" w:hAnsi="Arial" w:cs="Arial"/>
                  <w:color w:val="000000"/>
                  <w:sz w:val="20"/>
                  <w:lang w:val="en-AU" w:eastAsia="en-AU"/>
                </w:rPr>
                <w:t>Western Melbourne</w:t>
              </w:r>
            </w:smartTag>
          </w:p>
        </w:tc>
        <w:tc>
          <w:tcPr>
            <w:tcW w:w="1356" w:type="dxa"/>
            <w:shd w:val="clear" w:color="auto" w:fill="auto"/>
            <w:noWrap/>
            <w:vAlign w:val="bottom"/>
          </w:tcPr>
          <w:p w14:paraId="356B167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25</w:t>
            </w:r>
          </w:p>
        </w:tc>
        <w:tc>
          <w:tcPr>
            <w:tcW w:w="1356" w:type="dxa"/>
            <w:shd w:val="clear" w:color="auto" w:fill="auto"/>
            <w:noWrap/>
            <w:vAlign w:val="bottom"/>
          </w:tcPr>
          <w:p w14:paraId="684A6BF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26</w:t>
            </w:r>
          </w:p>
        </w:tc>
        <w:tc>
          <w:tcPr>
            <w:tcW w:w="1356" w:type="dxa"/>
            <w:shd w:val="clear" w:color="auto" w:fill="auto"/>
            <w:noWrap/>
            <w:vAlign w:val="bottom"/>
          </w:tcPr>
          <w:p w14:paraId="0A1D93B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84</w:t>
            </w:r>
          </w:p>
        </w:tc>
        <w:tc>
          <w:tcPr>
            <w:tcW w:w="1356" w:type="dxa"/>
            <w:shd w:val="clear" w:color="auto" w:fill="auto"/>
            <w:noWrap/>
            <w:vAlign w:val="bottom"/>
          </w:tcPr>
          <w:p w14:paraId="2BB7AB6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135</w:t>
            </w:r>
          </w:p>
        </w:tc>
      </w:tr>
      <w:tr w:rsidR="00AE6445" w:rsidRPr="001D042C" w14:paraId="7FCFB1CF" w14:textId="77777777" w:rsidTr="003F412E">
        <w:trPr>
          <w:trHeight w:val="300"/>
          <w:jc w:val="center"/>
        </w:trPr>
        <w:tc>
          <w:tcPr>
            <w:tcW w:w="2620" w:type="dxa"/>
            <w:shd w:val="clear" w:color="auto" w:fill="auto"/>
            <w:noWrap/>
            <w:vAlign w:val="bottom"/>
          </w:tcPr>
          <w:p w14:paraId="3D3C7098" w14:textId="77777777" w:rsidR="00AE6445" w:rsidRPr="001D042C" w:rsidRDefault="00AE6445" w:rsidP="00AE6445">
            <w:pPr>
              <w:spacing w:before="0" w:after="0"/>
              <w:rPr>
                <w:rFonts w:ascii="Arial" w:hAnsi="Arial" w:cs="Arial"/>
                <w:b/>
                <w:color w:val="000000"/>
                <w:sz w:val="20"/>
                <w:lang w:val="en-AU" w:eastAsia="en-AU"/>
              </w:rPr>
            </w:pPr>
            <w:r w:rsidRPr="001D042C">
              <w:rPr>
                <w:rFonts w:ascii="Arial" w:hAnsi="Arial" w:cs="Arial"/>
                <w:b/>
                <w:color w:val="000000"/>
                <w:sz w:val="20"/>
                <w:lang w:val="en-AU" w:eastAsia="en-AU"/>
              </w:rPr>
              <w:t>Total</w:t>
            </w:r>
          </w:p>
        </w:tc>
        <w:tc>
          <w:tcPr>
            <w:tcW w:w="1356" w:type="dxa"/>
            <w:shd w:val="clear" w:color="auto" w:fill="auto"/>
            <w:noWrap/>
            <w:vAlign w:val="bottom"/>
          </w:tcPr>
          <w:p w14:paraId="52B85447"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623</w:t>
            </w:r>
          </w:p>
        </w:tc>
        <w:tc>
          <w:tcPr>
            <w:tcW w:w="1356" w:type="dxa"/>
            <w:shd w:val="clear" w:color="auto" w:fill="auto"/>
            <w:noWrap/>
            <w:vAlign w:val="bottom"/>
          </w:tcPr>
          <w:p w14:paraId="04861890"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415</w:t>
            </w:r>
          </w:p>
        </w:tc>
        <w:tc>
          <w:tcPr>
            <w:tcW w:w="1356" w:type="dxa"/>
            <w:shd w:val="clear" w:color="auto" w:fill="auto"/>
            <w:noWrap/>
            <w:vAlign w:val="bottom"/>
          </w:tcPr>
          <w:p w14:paraId="27690DF4"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823</w:t>
            </w:r>
          </w:p>
        </w:tc>
        <w:tc>
          <w:tcPr>
            <w:tcW w:w="1356" w:type="dxa"/>
            <w:shd w:val="clear" w:color="auto" w:fill="auto"/>
            <w:noWrap/>
            <w:vAlign w:val="bottom"/>
          </w:tcPr>
          <w:p w14:paraId="0449019E"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1,861</w:t>
            </w:r>
          </w:p>
        </w:tc>
      </w:tr>
    </w:tbl>
    <w:p w14:paraId="5DE540DE" w14:textId="77777777" w:rsidR="00AE6445" w:rsidRPr="001D042C" w:rsidRDefault="00AE6445" w:rsidP="00AE6445">
      <w:pPr>
        <w:pStyle w:val="Para"/>
        <w:rPr>
          <w:lang w:val="en-AU"/>
        </w:rPr>
      </w:pPr>
    </w:p>
    <w:p w14:paraId="3EF6696D" w14:textId="77777777" w:rsidR="00AE6445" w:rsidRPr="001D042C" w:rsidRDefault="00AE6445" w:rsidP="00AE6445">
      <w:pPr>
        <w:pStyle w:val="Para"/>
        <w:rPr>
          <w:lang w:val="en-AU"/>
        </w:rPr>
      </w:pPr>
    </w:p>
    <w:p w14:paraId="0E376034" w14:textId="77777777" w:rsidR="00AE6445" w:rsidRPr="001D042C" w:rsidRDefault="00AE6445" w:rsidP="003F412E">
      <w:pPr>
        <w:pStyle w:val="Para"/>
        <w:keepNext/>
        <w:keepLines/>
        <w:spacing w:after="120"/>
        <w:jc w:val="center"/>
        <w:rPr>
          <w:b/>
          <w:szCs w:val="24"/>
        </w:rPr>
      </w:pPr>
      <w:r w:rsidRPr="001D042C">
        <w:rPr>
          <w:b/>
          <w:szCs w:val="24"/>
        </w:rPr>
        <w:lastRenderedPageBreak/>
        <w:t xml:space="preserve">Table </w:t>
      </w:r>
      <w:r w:rsidR="0091303E" w:rsidRPr="001D042C">
        <w:rPr>
          <w:b/>
          <w:szCs w:val="24"/>
        </w:rPr>
        <w:t>2.7</w:t>
      </w:r>
      <w:r w:rsidRPr="001D042C">
        <w:rPr>
          <w:b/>
          <w:szCs w:val="24"/>
        </w:rPr>
        <w:t xml:space="preserve"> – </w:t>
      </w:r>
      <w:r w:rsidRPr="001D042C">
        <w:rPr>
          <w:b/>
          <w:szCs w:val="24"/>
          <w:u w:val="single"/>
        </w:rPr>
        <w:t>Final sample returning consent forms – by household size and overall region</w:t>
      </w:r>
    </w:p>
    <w:tbl>
      <w:tblPr>
        <w:tblW w:w="89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570"/>
        <w:gridCol w:w="1482"/>
        <w:gridCol w:w="1482"/>
        <w:gridCol w:w="1482"/>
        <w:gridCol w:w="1482"/>
        <w:gridCol w:w="1442"/>
      </w:tblGrid>
      <w:tr w:rsidR="00AE6445" w:rsidRPr="001D042C" w14:paraId="55676642" w14:textId="77777777" w:rsidTr="003F412E">
        <w:trPr>
          <w:trHeight w:val="300"/>
          <w:jc w:val="center"/>
        </w:trPr>
        <w:tc>
          <w:tcPr>
            <w:tcW w:w="1570" w:type="dxa"/>
            <w:shd w:val="clear" w:color="auto" w:fill="auto"/>
            <w:noWrap/>
            <w:vAlign w:val="bottom"/>
          </w:tcPr>
          <w:p w14:paraId="7D726A0D" w14:textId="77777777" w:rsidR="00AE6445" w:rsidRPr="001D042C" w:rsidRDefault="00AE6445" w:rsidP="00AE6445">
            <w:pPr>
              <w:keepNext/>
              <w:keepLines/>
              <w:spacing w:before="0" w:after="0"/>
              <w:rPr>
                <w:rFonts w:ascii="Arial" w:hAnsi="Arial" w:cs="Arial"/>
                <w:b/>
                <w:color w:val="000000"/>
                <w:sz w:val="20"/>
                <w:lang w:val="en-AU" w:eastAsia="en-AU"/>
              </w:rPr>
            </w:pPr>
            <w:r w:rsidRPr="001D042C">
              <w:rPr>
                <w:rFonts w:ascii="Arial" w:hAnsi="Arial" w:cs="Arial"/>
                <w:b/>
                <w:color w:val="000000"/>
                <w:sz w:val="20"/>
                <w:lang w:val="en-AU" w:eastAsia="en-AU"/>
              </w:rPr>
              <w:t>Region</w:t>
            </w:r>
          </w:p>
        </w:tc>
        <w:tc>
          <w:tcPr>
            <w:tcW w:w="1482" w:type="dxa"/>
            <w:shd w:val="clear" w:color="auto" w:fill="auto"/>
            <w:noWrap/>
            <w:vAlign w:val="bottom"/>
          </w:tcPr>
          <w:p w14:paraId="295B79A6"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1 person in household</w:t>
            </w:r>
          </w:p>
        </w:tc>
        <w:tc>
          <w:tcPr>
            <w:tcW w:w="1482" w:type="dxa"/>
            <w:shd w:val="clear" w:color="auto" w:fill="auto"/>
            <w:noWrap/>
            <w:vAlign w:val="bottom"/>
          </w:tcPr>
          <w:p w14:paraId="355691C6"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2 people in household</w:t>
            </w:r>
          </w:p>
        </w:tc>
        <w:tc>
          <w:tcPr>
            <w:tcW w:w="1482" w:type="dxa"/>
            <w:shd w:val="clear" w:color="auto" w:fill="auto"/>
            <w:noWrap/>
            <w:vAlign w:val="bottom"/>
          </w:tcPr>
          <w:p w14:paraId="552322CF"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3 people in household</w:t>
            </w:r>
          </w:p>
        </w:tc>
        <w:tc>
          <w:tcPr>
            <w:tcW w:w="1482" w:type="dxa"/>
            <w:shd w:val="clear" w:color="auto" w:fill="auto"/>
            <w:noWrap/>
            <w:vAlign w:val="bottom"/>
          </w:tcPr>
          <w:p w14:paraId="3FFB3CC9"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4 plus people in household</w:t>
            </w:r>
          </w:p>
        </w:tc>
        <w:tc>
          <w:tcPr>
            <w:tcW w:w="1442" w:type="dxa"/>
            <w:shd w:val="clear" w:color="auto" w:fill="auto"/>
            <w:noWrap/>
            <w:vAlign w:val="bottom"/>
          </w:tcPr>
          <w:p w14:paraId="2457BFD7" w14:textId="77777777" w:rsidR="00AE6445" w:rsidRPr="001D042C" w:rsidRDefault="00AE6445" w:rsidP="00AE6445">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Total</w:t>
            </w:r>
          </w:p>
        </w:tc>
      </w:tr>
      <w:tr w:rsidR="00AE6445" w:rsidRPr="001D042C" w14:paraId="1223E5B4" w14:textId="77777777" w:rsidTr="003F412E">
        <w:trPr>
          <w:trHeight w:val="300"/>
          <w:jc w:val="center"/>
        </w:trPr>
        <w:tc>
          <w:tcPr>
            <w:tcW w:w="1570" w:type="dxa"/>
            <w:shd w:val="clear" w:color="auto" w:fill="auto"/>
            <w:noWrap/>
            <w:vAlign w:val="bottom"/>
          </w:tcPr>
          <w:p w14:paraId="7ACAD2EE"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Metropolitan</w:t>
            </w:r>
          </w:p>
        </w:tc>
        <w:tc>
          <w:tcPr>
            <w:tcW w:w="1482" w:type="dxa"/>
            <w:shd w:val="clear" w:color="auto" w:fill="auto"/>
            <w:noWrap/>
            <w:vAlign w:val="bottom"/>
          </w:tcPr>
          <w:p w14:paraId="520AF650"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292</w:t>
            </w:r>
          </w:p>
        </w:tc>
        <w:tc>
          <w:tcPr>
            <w:tcW w:w="1482" w:type="dxa"/>
            <w:shd w:val="clear" w:color="auto" w:fill="auto"/>
            <w:noWrap/>
            <w:vAlign w:val="bottom"/>
          </w:tcPr>
          <w:p w14:paraId="09982CAA"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488</w:t>
            </w:r>
          </w:p>
        </w:tc>
        <w:tc>
          <w:tcPr>
            <w:tcW w:w="1482" w:type="dxa"/>
            <w:shd w:val="clear" w:color="auto" w:fill="auto"/>
            <w:noWrap/>
            <w:vAlign w:val="bottom"/>
          </w:tcPr>
          <w:p w14:paraId="2DF621D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160</w:t>
            </w:r>
          </w:p>
        </w:tc>
        <w:tc>
          <w:tcPr>
            <w:tcW w:w="1482" w:type="dxa"/>
            <w:shd w:val="clear" w:color="auto" w:fill="auto"/>
            <w:noWrap/>
            <w:vAlign w:val="bottom"/>
          </w:tcPr>
          <w:p w14:paraId="567C2145"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193</w:t>
            </w:r>
          </w:p>
        </w:tc>
        <w:tc>
          <w:tcPr>
            <w:tcW w:w="1442" w:type="dxa"/>
            <w:shd w:val="clear" w:color="auto" w:fill="auto"/>
            <w:noWrap/>
            <w:vAlign w:val="bottom"/>
          </w:tcPr>
          <w:p w14:paraId="731545CE"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1,133</w:t>
            </w:r>
          </w:p>
        </w:tc>
      </w:tr>
      <w:tr w:rsidR="00AE6445" w:rsidRPr="001D042C" w14:paraId="14E3CD33" w14:textId="77777777" w:rsidTr="003F412E">
        <w:trPr>
          <w:trHeight w:val="300"/>
          <w:jc w:val="center"/>
        </w:trPr>
        <w:tc>
          <w:tcPr>
            <w:tcW w:w="1570" w:type="dxa"/>
            <w:shd w:val="clear" w:color="auto" w:fill="auto"/>
            <w:noWrap/>
            <w:vAlign w:val="bottom"/>
          </w:tcPr>
          <w:p w14:paraId="062FD33B"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Regional</w:t>
            </w:r>
          </w:p>
        </w:tc>
        <w:tc>
          <w:tcPr>
            <w:tcW w:w="1482" w:type="dxa"/>
            <w:shd w:val="clear" w:color="auto" w:fill="auto"/>
            <w:noWrap/>
            <w:vAlign w:val="bottom"/>
          </w:tcPr>
          <w:p w14:paraId="73C731A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212</w:t>
            </w:r>
          </w:p>
        </w:tc>
        <w:tc>
          <w:tcPr>
            <w:tcW w:w="1482" w:type="dxa"/>
            <w:shd w:val="clear" w:color="auto" w:fill="auto"/>
            <w:noWrap/>
            <w:vAlign w:val="bottom"/>
          </w:tcPr>
          <w:p w14:paraId="3BC9E9B4"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368</w:t>
            </w:r>
          </w:p>
        </w:tc>
        <w:tc>
          <w:tcPr>
            <w:tcW w:w="1482" w:type="dxa"/>
            <w:shd w:val="clear" w:color="auto" w:fill="auto"/>
            <w:noWrap/>
            <w:vAlign w:val="bottom"/>
          </w:tcPr>
          <w:p w14:paraId="4C178438"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72</w:t>
            </w:r>
          </w:p>
        </w:tc>
        <w:tc>
          <w:tcPr>
            <w:tcW w:w="1482" w:type="dxa"/>
            <w:shd w:val="clear" w:color="auto" w:fill="auto"/>
            <w:noWrap/>
            <w:vAlign w:val="bottom"/>
          </w:tcPr>
          <w:p w14:paraId="3D382C6A"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76</w:t>
            </w:r>
          </w:p>
        </w:tc>
        <w:tc>
          <w:tcPr>
            <w:tcW w:w="1442" w:type="dxa"/>
            <w:shd w:val="clear" w:color="auto" w:fill="auto"/>
            <w:noWrap/>
            <w:vAlign w:val="bottom"/>
          </w:tcPr>
          <w:p w14:paraId="2F0CB0B5"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728</w:t>
            </w:r>
          </w:p>
        </w:tc>
      </w:tr>
      <w:tr w:rsidR="00AE6445" w:rsidRPr="001D042C" w14:paraId="5E076B44" w14:textId="77777777" w:rsidTr="003F412E">
        <w:trPr>
          <w:trHeight w:val="300"/>
          <w:jc w:val="center"/>
        </w:trPr>
        <w:tc>
          <w:tcPr>
            <w:tcW w:w="1570" w:type="dxa"/>
            <w:shd w:val="clear" w:color="auto" w:fill="auto"/>
            <w:noWrap/>
            <w:vAlign w:val="bottom"/>
          </w:tcPr>
          <w:p w14:paraId="0243CEE9" w14:textId="77777777" w:rsidR="00AE6445" w:rsidRPr="001D042C" w:rsidRDefault="00AE6445" w:rsidP="00AE6445">
            <w:pPr>
              <w:spacing w:before="0" w:after="0"/>
              <w:rPr>
                <w:rFonts w:ascii="Arial" w:hAnsi="Arial" w:cs="Arial"/>
                <w:b/>
                <w:color w:val="000000"/>
                <w:sz w:val="20"/>
                <w:lang w:val="en-AU" w:eastAsia="en-AU"/>
              </w:rPr>
            </w:pPr>
            <w:r w:rsidRPr="001D042C">
              <w:rPr>
                <w:rFonts w:ascii="Arial" w:hAnsi="Arial" w:cs="Arial"/>
                <w:b/>
                <w:color w:val="000000"/>
                <w:sz w:val="20"/>
                <w:lang w:val="en-AU" w:eastAsia="en-AU"/>
              </w:rPr>
              <w:t>Total</w:t>
            </w:r>
          </w:p>
        </w:tc>
        <w:tc>
          <w:tcPr>
            <w:tcW w:w="1482" w:type="dxa"/>
            <w:shd w:val="clear" w:color="auto" w:fill="auto"/>
            <w:noWrap/>
            <w:vAlign w:val="bottom"/>
          </w:tcPr>
          <w:p w14:paraId="7E6568A7"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504</w:t>
            </w:r>
          </w:p>
        </w:tc>
        <w:tc>
          <w:tcPr>
            <w:tcW w:w="1482" w:type="dxa"/>
            <w:shd w:val="clear" w:color="auto" w:fill="auto"/>
            <w:noWrap/>
            <w:vAlign w:val="bottom"/>
          </w:tcPr>
          <w:p w14:paraId="136CCEBA"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856</w:t>
            </w:r>
          </w:p>
        </w:tc>
        <w:tc>
          <w:tcPr>
            <w:tcW w:w="1482" w:type="dxa"/>
            <w:shd w:val="clear" w:color="auto" w:fill="auto"/>
            <w:noWrap/>
            <w:vAlign w:val="bottom"/>
          </w:tcPr>
          <w:p w14:paraId="504369F2"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232</w:t>
            </w:r>
          </w:p>
        </w:tc>
        <w:tc>
          <w:tcPr>
            <w:tcW w:w="1482" w:type="dxa"/>
            <w:shd w:val="clear" w:color="auto" w:fill="auto"/>
            <w:noWrap/>
            <w:vAlign w:val="bottom"/>
          </w:tcPr>
          <w:p w14:paraId="4544417B"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269</w:t>
            </w:r>
          </w:p>
        </w:tc>
        <w:tc>
          <w:tcPr>
            <w:tcW w:w="1442" w:type="dxa"/>
            <w:shd w:val="clear" w:color="auto" w:fill="auto"/>
            <w:noWrap/>
            <w:vAlign w:val="bottom"/>
          </w:tcPr>
          <w:p w14:paraId="6690D9FB" w14:textId="77777777" w:rsidR="00AE6445" w:rsidRPr="001D042C" w:rsidRDefault="00AE6445" w:rsidP="00AE6445">
            <w:pPr>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1,861</w:t>
            </w:r>
          </w:p>
        </w:tc>
      </w:tr>
    </w:tbl>
    <w:p w14:paraId="5DAAFDEC" w14:textId="77777777" w:rsidR="00AE6445" w:rsidRPr="001D042C" w:rsidRDefault="00AE6445" w:rsidP="00AE6445">
      <w:pPr>
        <w:pStyle w:val="Para"/>
        <w:rPr>
          <w:lang w:val="en-AU"/>
        </w:rPr>
      </w:pPr>
    </w:p>
    <w:p w14:paraId="03DC27FF" w14:textId="77777777" w:rsidR="00AE6445" w:rsidRPr="001D042C" w:rsidRDefault="00AE6445" w:rsidP="00AE6445">
      <w:pPr>
        <w:pStyle w:val="Para"/>
        <w:rPr>
          <w:lang w:val="en-AU"/>
        </w:rPr>
      </w:pPr>
    </w:p>
    <w:p w14:paraId="339E9A78" w14:textId="77777777" w:rsidR="00AE6445" w:rsidRPr="001D042C" w:rsidRDefault="00AE6445" w:rsidP="00AE6445">
      <w:pPr>
        <w:pStyle w:val="Heading2"/>
        <w:rPr>
          <w:lang w:val="en-AU"/>
        </w:rPr>
      </w:pPr>
      <w:bookmarkStart w:id="74" w:name="_Toc439198266"/>
      <w:bookmarkStart w:id="75" w:name="_Toc445571651"/>
      <w:r w:rsidRPr="001D042C">
        <w:rPr>
          <w:lang w:val="en-AU"/>
        </w:rPr>
        <w:t>TELEPHONE INTERVIEW STAGE</w:t>
      </w:r>
      <w:bookmarkEnd w:id="74"/>
      <w:bookmarkEnd w:id="75"/>
    </w:p>
    <w:p w14:paraId="6698BA8B" w14:textId="77777777" w:rsidR="00AE6445" w:rsidRPr="001D042C" w:rsidRDefault="00AE6445" w:rsidP="00AE6445">
      <w:pPr>
        <w:pStyle w:val="Para"/>
        <w:rPr>
          <w:lang w:val="en-AU"/>
        </w:rPr>
      </w:pPr>
    </w:p>
    <w:p w14:paraId="0C39553E" w14:textId="77777777" w:rsidR="003920D8" w:rsidRPr="001D042C" w:rsidRDefault="00AE6445">
      <w:pPr>
        <w:pStyle w:val="Heading3"/>
        <w:tabs>
          <w:tab w:val="num" w:pos="851"/>
        </w:tabs>
        <w:spacing w:before="0"/>
        <w:ind w:hanging="8517"/>
        <w:rPr>
          <w:bCs/>
          <w:lang w:val="en-AU"/>
        </w:rPr>
      </w:pPr>
      <w:bookmarkStart w:id="76" w:name="_Toc439198267"/>
      <w:bookmarkStart w:id="77" w:name="_Toc445571652"/>
      <w:r w:rsidRPr="001D042C">
        <w:rPr>
          <w:bCs/>
          <w:lang w:val="en-AU"/>
        </w:rPr>
        <w:t>Pre-interview mail-out</w:t>
      </w:r>
      <w:bookmarkEnd w:id="76"/>
      <w:bookmarkEnd w:id="77"/>
    </w:p>
    <w:p w14:paraId="0E87F0D6" w14:textId="22DCB1E4" w:rsidR="00AE6445" w:rsidRPr="001D042C" w:rsidRDefault="00AE6445" w:rsidP="00AE6445">
      <w:pPr>
        <w:pStyle w:val="Para"/>
        <w:rPr>
          <w:szCs w:val="24"/>
          <w:lang w:val="en-AU"/>
        </w:rPr>
      </w:pPr>
      <w:r w:rsidRPr="001D042C">
        <w:rPr>
          <w:szCs w:val="24"/>
          <w:lang w:val="en-AU"/>
        </w:rPr>
        <w:t xml:space="preserve">The first step in the fieldwork process was sending a letter and brochure and blank consent forms to all 12,135 households selected for the survey.  Copies of the materials mailed out are included in the </w:t>
      </w:r>
      <w:r w:rsidR="00E62702">
        <w:rPr>
          <w:szCs w:val="24"/>
          <w:lang w:val="en-AU"/>
        </w:rPr>
        <w:t xml:space="preserve">Appendices, which are provided separately </w:t>
      </w:r>
      <w:r w:rsidRPr="001D042C">
        <w:rPr>
          <w:szCs w:val="24"/>
          <w:lang w:val="en-AU"/>
        </w:rPr>
        <w:t>to this report.</w:t>
      </w:r>
    </w:p>
    <w:p w14:paraId="102EF5E5" w14:textId="77777777" w:rsidR="00AE6445" w:rsidRPr="001D042C" w:rsidRDefault="00AE6445" w:rsidP="00AE6445">
      <w:pPr>
        <w:pStyle w:val="Para"/>
        <w:rPr>
          <w:szCs w:val="24"/>
          <w:lang w:val="en-AU"/>
        </w:rPr>
      </w:pPr>
    </w:p>
    <w:p w14:paraId="749C15D9" w14:textId="77777777" w:rsidR="003920D8" w:rsidRPr="001D042C" w:rsidRDefault="00AE6445">
      <w:pPr>
        <w:pStyle w:val="Heading3"/>
        <w:tabs>
          <w:tab w:val="num" w:pos="851"/>
        </w:tabs>
        <w:spacing w:before="0"/>
        <w:ind w:hanging="8517"/>
        <w:rPr>
          <w:bCs/>
          <w:lang w:val="en-AU"/>
        </w:rPr>
      </w:pPr>
      <w:bookmarkStart w:id="78" w:name="_Toc439198268"/>
      <w:bookmarkStart w:id="79" w:name="_Toc445571653"/>
      <w:r w:rsidRPr="001D042C">
        <w:rPr>
          <w:bCs/>
          <w:lang w:val="en-AU"/>
        </w:rPr>
        <w:t>CATI interviewing</w:t>
      </w:r>
      <w:bookmarkEnd w:id="78"/>
      <w:bookmarkEnd w:id="79"/>
    </w:p>
    <w:p w14:paraId="22FF26DC" w14:textId="77777777" w:rsidR="00AE6445" w:rsidRPr="001D042C" w:rsidRDefault="00AE6445" w:rsidP="00AE6445">
      <w:pPr>
        <w:pStyle w:val="Para"/>
        <w:rPr>
          <w:szCs w:val="24"/>
          <w:lang w:val="en-AU"/>
        </w:rPr>
      </w:pPr>
      <w:r w:rsidRPr="001D042C">
        <w:rPr>
          <w:szCs w:val="24"/>
          <w:lang w:val="en-AU"/>
        </w:rPr>
        <w:t xml:space="preserve">Briefing of telephone interviewers commenced on 10 June 2015, with telephone interviewing commencing the same day.  Over the subsequent weeks CATI interviews were conducted with 2,204 respondents, with interviewing ceasing on 6 July.  Respondents were offered an incentive of a $30 shopping voucher if they completed the CATI survey and returned their forms.  </w:t>
      </w:r>
    </w:p>
    <w:p w14:paraId="318297AB" w14:textId="77777777" w:rsidR="00AE6445" w:rsidRPr="001D042C" w:rsidRDefault="00AE6445" w:rsidP="00AE6445">
      <w:pPr>
        <w:pStyle w:val="Para"/>
        <w:rPr>
          <w:szCs w:val="24"/>
          <w:lang w:val="en-AU"/>
        </w:rPr>
      </w:pPr>
    </w:p>
    <w:p w14:paraId="7A015B7A" w14:textId="77777777" w:rsidR="00AE6445" w:rsidRPr="001D042C" w:rsidRDefault="00AE6445" w:rsidP="00AE6445">
      <w:pPr>
        <w:pStyle w:val="Para"/>
        <w:rPr>
          <w:lang w:val="en-AU"/>
        </w:rPr>
      </w:pPr>
      <w:r w:rsidRPr="001D042C">
        <w:rPr>
          <w:lang w:val="en-AU"/>
        </w:rPr>
        <w:t>The telephone interview, on average was 15.14 minutes in length, very much in line with expectations.  On average, approximately two thirds of the interview time was spent asking and answering the survey questions, and approximately one third was spent on explaining the consent form process, and helping respondents understand how to accurately complete and return the forms.</w:t>
      </w:r>
    </w:p>
    <w:p w14:paraId="211F47CA" w14:textId="77777777" w:rsidR="00AE6445" w:rsidRPr="001D042C" w:rsidRDefault="00AE6445" w:rsidP="00AE6445">
      <w:pPr>
        <w:pStyle w:val="Para"/>
        <w:rPr>
          <w:lang w:val="en-AU"/>
        </w:rPr>
      </w:pPr>
    </w:p>
    <w:p w14:paraId="4811DC96" w14:textId="77777777" w:rsidR="00AE6445" w:rsidRPr="001D042C" w:rsidRDefault="00AE6445" w:rsidP="00AE6445">
      <w:pPr>
        <w:pStyle w:val="Para"/>
        <w:rPr>
          <w:lang w:val="en-AU"/>
        </w:rPr>
      </w:pPr>
      <w:r w:rsidRPr="001D042C">
        <w:rPr>
          <w:lang w:val="en-AU"/>
        </w:rPr>
        <w:lastRenderedPageBreak/>
        <w:t>The questionnaire covered considerably fewer topics than in previous surveys within this series.  Average interview lengths in past surveys were:</w:t>
      </w:r>
    </w:p>
    <w:p w14:paraId="704835EA" w14:textId="77777777" w:rsidR="00AE6445" w:rsidRPr="001D042C" w:rsidRDefault="00AE6445" w:rsidP="00AE6445">
      <w:pPr>
        <w:pStyle w:val="Para"/>
        <w:numPr>
          <w:ilvl w:val="0"/>
          <w:numId w:val="21"/>
        </w:numPr>
        <w:rPr>
          <w:lang w:val="en-AU"/>
        </w:rPr>
      </w:pPr>
      <w:r w:rsidRPr="001D042C">
        <w:rPr>
          <w:lang w:val="en-AU"/>
        </w:rPr>
        <w:t xml:space="preserve">35.7 minutes in 1996 </w:t>
      </w:r>
    </w:p>
    <w:p w14:paraId="1D494088" w14:textId="77777777" w:rsidR="00AE6445" w:rsidRPr="001D042C" w:rsidRDefault="00AE6445" w:rsidP="00AE6445">
      <w:pPr>
        <w:pStyle w:val="Para"/>
        <w:numPr>
          <w:ilvl w:val="0"/>
          <w:numId w:val="21"/>
        </w:numPr>
        <w:rPr>
          <w:lang w:val="en-AU"/>
        </w:rPr>
      </w:pPr>
      <w:r w:rsidRPr="001D042C">
        <w:rPr>
          <w:lang w:val="en-AU"/>
        </w:rPr>
        <w:t>39.0 minutes in 2001</w:t>
      </w:r>
    </w:p>
    <w:p w14:paraId="1E3D51E3" w14:textId="77777777" w:rsidR="00AE6445" w:rsidRPr="001D042C" w:rsidRDefault="00AE6445" w:rsidP="00AE6445">
      <w:pPr>
        <w:pStyle w:val="Para"/>
        <w:numPr>
          <w:ilvl w:val="0"/>
          <w:numId w:val="21"/>
        </w:numPr>
        <w:rPr>
          <w:lang w:val="en-AU"/>
        </w:rPr>
      </w:pPr>
      <w:r w:rsidRPr="001D042C">
        <w:rPr>
          <w:lang w:val="en-AU"/>
        </w:rPr>
        <w:t>51.3 minutes in 2007</w:t>
      </w:r>
    </w:p>
    <w:p w14:paraId="317B38F3" w14:textId="77777777" w:rsidR="00AE6445" w:rsidRPr="001D042C" w:rsidRDefault="00AE6445" w:rsidP="00AE6445">
      <w:pPr>
        <w:pStyle w:val="Para"/>
        <w:rPr>
          <w:lang w:val="en-AU"/>
        </w:rPr>
      </w:pPr>
    </w:p>
    <w:p w14:paraId="5F4480B1" w14:textId="77777777" w:rsidR="00AE6445" w:rsidRPr="001D042C" w:rsidRDefault="00AE6445" w:rsidP="00AE6445">
      <w:pPr>
        <w:pStyle w:val="Para"/>
        <w:rPr>
          <w:lang w:val="en-AU"/>
        </w:rPr>
      </w:pPr>
      <w:r w:rsidRPr="001D042C">
        <w:rPr>
          <w:lang w:val="en-AU"/>
        </w:rPr>
        <w:t>The length of the average interview varied slightly by sample type, as in past years. The average interview length was slightly longer amongst concession households than amongst non-concession households, reflecting some additional questions that would have been asked in concession households.</w:t>
      </w:r>
    </w:p>
    <w:p w14:paraId="6209EBE7" w14:textId="77777777" w:rsidR="00AE6445" w:rsidRPr="001D042C" w:rsidRDefault="00AE6445" w:rsidP="00AE6445">
      <w:pPr>
        <w:pStyle w:val="Para"/>
        <w:rPr>
          <w:szCs w:val="24"/>
          <w:lang w:val="en-AU"/>
        </w:rPr>
      </w:pPr>
    </w:p>
    <w:p w14:paraId="31ABE272" w14:textId="77777777" w:rsidR="00AE6445" w:rsidRPr="001D042C" w:rsidRDefault="00AE6445" w:rsidP="00AE6445">
      <w:pPr>
        <w:pStyle w:val="Para"/>
        <w:rPr>
          <w:szCs w:val="24"/>
          <w:lang w:val="en-AU"/>
        </w:rPr>
      </w:pPr>
      <w:r w:rsidRPr="001D042C">
        <w:rPr>
          <w:szCs w:val="24"/>
          <w:lang w:val="en-AU"/>
        </w:rPr>
        <w:t>The topics covered in the interview included</w:t>
      </w:r>
    </w:p>
    <w:p w14:paraId="2A1B0DFA" w14:textId="77777777" w:rsidR="00AE6445" w:rsidRPr="001D042C" w:rsidRDefault="00AE6445" w:rsidP="00AE6445">
      <w:pPr>
        <w:pStyle w:val="Para"/>
        <w:numPr>
          <w:ilvl w:val="0"/>
          <w:numId w:val="20"/>
        </w:numPr>
        <w:rPr>
          <w:szCs w:val="24"/>
          <w:lang w:val="en-AU"/>
        </w:rPr>
      </w:pPr>
      <w:r w:rsidRPr="001D042C">
        <w:rPr>
          <w:szCs w:val="24"/>
          <w:lang w:val="en-AU"/>
        </w:rPr>
        <w:t>detailed information about each member of the household, including their concession status;</w:t>
      </w:r>
    </w:p>
    <w:p w14:paraId="6AF3EC23" w14:textId="77777777" w:rsidR="00AE6445" w:rsidRPr="001D042C" w:rsidRDefault="00AE6445" w:rsidP="00AE6445">
      <w:pPr>
        <w:pStyle w:val="Para"/>
        <w:numPr>
          <w:ilvl w:val="0"/>
          <w:numId w:val="20"/>
        </w:numPr>
        <w:rPr>
          <w:szCs w:val="24"/>
          <w:lang w:val="en-AU"/>
        </w:rPr>
      </w:pPr>
      <w:r w:rsidRPr="001D042C">
        <w:rPr>
          <w:szCs w:val="24"/>
          <w:lang w:val="en-AU"/>
        </w:rPr>
        <w:t>information about the size and location of the household and utilities usage of the household;</w:t>
      </w:r>
    </w:p>
    <w:p w14:paraId="2AB6DD06" w14:textId="77777777" w:rsidR="00AE6445" w:rsidRPr="001D042C" w:rsidRDefault="00AE6445" w:rsidP="00AE6445">
      <w:pPr>
        <w:pStyle w:val="Para"/>
        <w:numPr>
          <w:ilvl w:val="0"/>
          <w:numId w:val="20"/>
        </w:numPr>
        <w:rPr>
          <w:szCs w:val="24"/>
          <w:lang w:val="en-AU"/>
        </w:rPr>
      </w:pPr>
      <w:r w:rsidRPr="001D042C">
        <w:rPr>
          <w:szCs w:val="24"/>
          <w:lang w:val="en-AU"/>
        </w:rPr>
        <w:t>whether or not the household used LPG;</w:t>
      </w:r>
    </w:p>
    <w:p w14:paraId="4449EEA5" w14:textId="77777777" w:rsidR="00AE6445" w:rsidRPr="001D042C" w:rsidRDefault="00AE6445" w:rsidP="00AE6445">
      <w:pPr>
        <w:pStyle w:val="Para"/>
        <w:numPr>
          <w:ilvl w:val="0"/>
          <w:numId w:val="20"/>
        </w:numPr>
        <w:rPr>
          <w:szCs w:val="24"/>
          <w:lang w:val="en-AU"/>
        </w:rPr>
      </w:pPr>
      <w:r w:rsidRPr="001D042C">
        <w:rPr>
          <w:szCs w:val="24"/>
          <w:lang w:val="en-AU"/>
        </w:rPr>
        <w:t>whether or not the household claimed concessions for any of its utility bills or council rates;</w:t>
      </w:r>
    </w:p>
    <w:p w14:paraId="63550402" w14:textId="77777777" w:rsidR="00AE6445" w:rsidRPr="001D042C" w:rsidRDefault="00AE6445" w:rsidP="00AE6445">
      <w:pPr>
        <w:pStyle w:val="Para"/>
        <w:numPr>
          <w:ilvl w:val="0"/>
          <w:numId w:val="20"/>
        </w:numPr>
        <w:rPr>
          <w:szCs w:val="24"/>
          <w:lang w:val="en-AU"/>
        </w:rPr>
      </w:pPr>
      <w:r w:rsidRPr="001D042C">
        <w:rPr>
          <w:szCs w:val="24"/>
          <w:lang w:val="en-AU"/>
        </w:rPr>
        <w:t>the household’s experience (if any) with difficulties in paying bills;</w:t>
      </w:r>
    </w:p>
    <w:p w14:paraId="4F87B949" w14:textId="77777777" w:rsidR="00AE6445" w:rsidRPr="001D042C" w:rsidRDefault="00AE6445" w:rsidP="00AE6445">
      <w:pPr>
        <w:pStyle w:val="Para"/>
        <w:numPr>
          <w:ilvl w:val="0"/>
          <w:numId w:val="20"/>
        </w:numPr>
        <w:rPr>
          <w:szCs w:val="24"/>
          <w:lang w:val="en-AU"/>
        </w:rPr>
      </w:pPr>
      <w:r w:rsidRPr="001D042C">
        <w:rPr>
          <w:szCs w:val="24"/>
          <w:lang w:val="en-AU"/>
        </w:rPr>
        <w:t>awareness and usage of the Utilit</w:t>
      </w:r>
      <w:r w:rsidR="008C611E" w:rsidRPr="001D042C">
        <w:rPr>
          <w:szCs w:val="24"/>
          <w:lang w:val="en-AU"/>
        </w:rPr>
        <w:t>y</w:t>
      </w:r>
      <w:r w:rsidRPr="001D042C">
        <w:rPr>
          <w:szCs w:val="24"/>
          <w:lang w:val="en-AU"/>
        </w:rPr>
        <w:t xml:space="preserve"> Relief Grant Scheme;</w:t>
      </w:r>
    </w:p>
    <w:p w14:paraId="24DC0953" w14:textId="77777777" w:rsidR="00AE6445" w:rsidRPr="001D042C" w:rsidRDefault="00AE6445" w:rsidP="00AE6445">
      <w:pPr>
        <w:pStyle w:val="Para"/>
        <w:numPr>
          <w:ilvl w:val="0"/>
          <w:numId w:val="20"/>
        </w:numPr>
        <w:rPr>
          <w:szCs w:val="24"/>
          <w:lang w:val="en-AU"/>
        </w:rPr>
      </w:pPr>
      <w:r w:rsidRPr="001D042C">
        <w:rPr>
          <w:szCs w:val="24"/>
          <w:lang w:val="en-AU"/>
        </w:rPr>
        <w:t>explanation of the consent forms and how to complete and return them.</w:t>
      </w:r>
    </w:p>
    <w:p w14:paraId="285E8CE5" w14:textId="77777777" w:rsidR="00AE6445" w:rsidRPr="001D042C" w:rsidRDefault="00AE6445" w:rsidP="00AE6445">
      <w:pPr>
        <w:pStyle w:val="Para"/>
        <w:rPr>
          <w:szCs w:val="24"/>
          <w:lang w:val="en-AU"/>
        </w:rPr>
      </w:pPr>
    </w:p>
    <w:p w14:paraId="4E4FFB91" w14:textId="77777777" w:rsidR="003920D8" w:rsidRPr="001D042C" w:rsidRDefault="00AE6445">
      <w:pPr>
        <w:pStyle w:val="Heading3"/>
        <w:tabs>
          <w:tab w:val="num" w:pos="851"/>
        </w:tabs>
        <w:spacing w:before="0"/>
        <w:ind w:hanging="8517"/>
        <w:rPr>
          <w:bCs/>
          <w:lang w:val="en-AU"/>
        </w:rPr>
      </w:pPr>
      <w:bookmarkStart w:id="80" w:name="_Toc439198269"/>
      <w:bookmarkStart w:id="81" w:name="_Toc445571654"/>
      <w:r w:rsidRPr="001D042C">
        <w:rPr>
          <w:bCs/>
          <w:lang w:val="en-AU"/>
        </w:rPr>
        <w:t>Follow-up of consent forms</w:t>
      </w:r>
      <w:bookmarkEnd w:id="80"/>
      <w:bookmarkEnd w:id="81"/>
    </w:p>
    <w:p w14:paraId="6D72C35D" w14:textId="77777777" w:rsidR="00AE6445" w:rsidRPr="001D042C" w:rsidRDefault="00AE6445" w:rsidP="00AE6445">
      <w:pPr>
        <w:pStyle w:val="Para"/>
        <w:rPr>
          <w:szCs w:val="24"/>
          <w:lang w:val="en-AU"/>
        </w:rPr>
      </w:pPr>
      <w:r w:rsidRPr="001D042C">
        <w:rPr>
          <w:szCs w:val="24"/>
          <w:lang w:val="en-AU"/>
        </w:rPr>
        <w:t>Those respondents who completed the telephone interview but did not send their consent forms, or sent incomplete forms, were re-contacted as far as possible in order to maximise the number of usable forms received. The re-contacting process, which involved phone calls, emails, text messages and mail as appropriate, was largely completed by 21 July. A few late consent forms were accepted until 25 August.  Fieldwork and follow-up took slightly longer than expected.  Overall, by the end of the follow-up stage a total of 1,861 households had provided one or more apparently usable consent forms.</w:t>
      </w:r>
    </w:p>
    <w:p w14:paraId="715D8CC5" w14:textId="77777777" w:rsidR="00AE6445" w:rsidRPr="001D042C" w:rsidRDefault="00AE6445" w:rsidP="00AE6445">
      <w:pPr>
        <w:pStyle w:val="Heading2"/>
        <w:rPr>
          <w:lang w:val="en-AU"/>
        </w:rPr>
      </w:pPr>
      <w:bookmarkStart w:id="82" w:name="_Toc439198270"/>
      <w:bookmarkStart w:id="83" w:name="_Toc445571655"/>
      <w:r w:rsidRPr="001D042C">
        <w:rPr>
          <w:lang w:val="en-AU"/>
        </w:rPr>
        <w:lastRenderedPageBreak/>
        <w:t>OBTAINING BILLING AND CONSUMPTION DATA FROM SUPPLIERS AND COUNCILS</w:t>
      </w:r>
      <w:bookmarkEnd w:id="82"/>
      <w:bookmarkEnd w:id="83"/>
    </w:p>
    <w:p w14:paraId="2CEE5ABA" w14:textId="77777777" w:rsidR="00AE6445" w:rsidRPr="001D042C" w:rsidRDefault="00AE6445" w:rsidP="00AE6445">
      <w:pPr>
        <w:pStyle w:val="Para"/>
        <w:rPr>
          <w:szCs w:val="24"/>
          <w:lang w:val="en-AU"/>
        </w:rPr>
      </w:pPr>
      <w:r w:rsidRPr="001D042C">
        <w:rPr>
          <w:szCs w:val="24"/>
          <w:lang w:val="en-AU"/>
        </w:rPr>
        <w:t>The collection of reliable billing data from utilities and councils was a critical and integral component of the project.  It was recognised that early and detailed communication with councils and suppliers would be essential. The initial start of the entire study was delayed as a result of the Victorian State Election and the subsequent restructuring of the Department.  Only once this was fully resolved was it considered appropriate to commence communications with suppliers and councils.</w:t>
      </w:r>
    </w:p>
    <w:p w14:paraId="4F1B6078" w14:textId="77777777" w:rsidR="00AE6445" w:rsidRPr="001D042C" w:rsidRDefault="00AE6445" w:rsidP="00AE6445">
      <w:pPr>
        <w:pStyle w:val="Para"/>
        <w:rPr>
          <w:szCs w:val="24"/>
          <w:lang w:val="en-AU"/>
        </w:rPr>
      </w:pPr>
    </w:p>
    <w:p w14:paraId="6850BFB2" w14:textId="77777777" w:rsidR="00AE6445" w:rsidRPr="001D042C" w:rsidRDefault="00AE6445" w:rsidP="00AE6445">
      <w:pPr>
        <w:pStyle w:val="Para"/>
        <w:rPr>
          <w:szCs w:val="24"/>
          <w:lang w:val="en-AU"/>
        </w:rPr>
      </w:pPr>
      <w:r w:rsidRPr="001D042C">
        <w:rPr>
          <w:szCs w:val="24"/>
          <w:lang w:val="en-AU"/>
        </w:rPr>
        <w:t xml:space="preserve">In March and April 2015, suppliers and councils were contacted both by the Department and by Roy Morgan Research and were sent information in relation to the requirements of the survey and the responsibilities that they would need to undertake in relation to these requirements.  Feedback on the proposed process was sought by Roy Morgan Research from suppliers and councils using an electronic feedback form.  Following reminders, feedback was received from 37 councils, 5 electricity suppliers, 3 gas suppliers and 12 water suppliers, representing the great majority of water suppliers and councils invited, but fewer than half of electricity and gas suppliers. </w:t>
      </w:r>
    </w:p>
    <w:p w14:paraId="7CD70346" w14:textId="77777777" w:rsidR="00AE6445" w:rsidRPr="001D042C" w:rsidRDefault="00AE6445" w:rsidP="00AE6445">
      <w:pPr>
        <w:pStyle w:val="Para"/>
        <w:rPr>
          <w:szCs w:val="24"/>
          <w:lang w:val="en-AU"/>
        </w:rPr>
      </w:pPr>
    </w:p>
    <w:p w14:paraId="5FA59F0C" w14:textId="77777777" w:rsidR="00AE6445" w:rsidRPr="001D042C" w:rsidRDefault="00AE6445" w:rsidP="00AE6445">
      <w:pPr>
        <w:pStyle w:val="Para"/>
        <w:rPr>
          <w:szCs w:val="24"/>
          <w:lang w:val="en-AU"/>
        </w:rPr>
      </w:pPr>
      <w:r w:rsidRPr="001D042C">
        <w:rPr>
          <w:szCs w:val="24"/>
          <w:lang w:val="en-AU"/>
        </w:rPr>
        <w:t xml:space="preserve">Briefing sessions were conducted in </w:t>
      </w:r>
      <w:smartTag w:uri="urn:schemas-microsoft-com:office:smarttags" w:element="City">
        <w:smartTag w:uri="urn:schemas-microsoft-com:office:smarttags" w:element="place">
          <w:r w:rsidRPr="001D042C">
            <w:rPr>
              <w:szCs w:val="24"/>
              <w:lang w:val="en-AU"/>
            </w:rPr>
            <w:t>Melbourne</w:t>
          </w:r>
        </w:smartTag>
      </w:smartTag>
      <w:r w:rsidRPr="001D042C">
        <w:rPr>
          <w:szCs w:val="24"/>
          <w:lang w:val="en-AU"/>
        </w:rPr>
        <w:t xml:space="preserve"> by Roy Morgan Research for utilities and councils on 29 and 30 April in order to inform them of the data requirements for the project and to identify any difficulties suppliers may have in providing such data.  Representatives of approximately 21% of councils, 46% of energy suppliers and 25% of water suppliers attended the briefing sessions.</w:t>
      </w:r>
    </w:p>
    <w:p w14:paraId="6FD36AB2" w14:textId="77777777" w:rsidR="00AE6445" w:rsidRPr="001D042C" w:rsidRDefault="00AE6445" w:rsidP="00AE6445">
      <w:pPr>
        <w:pStyle w:val="Para"/>
        <w:rPr>
          <w:szCs w:val="24"/>
          <w:lang w:val="en-AU"/>
        </w:rPr>
      </w:pPr>
    </w:p>
    <w:p w14:paraId="1CB1189D" w14:textId="77777777" w:rsidR="00AE6445" w:rsidRPr="001D042C" w:rsidRDefault="00AE6445" w:rsidP="00AE6445">
      <w:pPr>
        <w:pStyle w:val="Para"/>
        <w:rPr>
          <w:szCs w:val="24"/>
          <w:lang w:val="en-AU"/>
        </w:rPr>
      </w:pPr>
      <w:r w:rsidRPr="001D042C">
        <w:rPr>
          <w:szCs w:val="24"/>
          <w:lang w:val="en-AU"/>
        </w:rPr>
        <w:t>A secure web-site was designed and implemented by Roy Morgan Research to allow suppliers to download billing pro formas and upload them when completed.  This website and the data communication processes in general were based on the processes used in 2007 and also took into account all feedback provided by suppliers and councils over the previous weeks and months.</w:t>
      </w:r>
    </w:p>
    <w:p w14:paraId="510A12E1" w14:textId="77777777" w:rsidR="00AE6445" w:rsidRPr="001D042C" w:rsidRDefault="00AE6445" w:rsidP="00AE6445">
      <w:pPr>
        <w:pStyle w:val="Para"/>
        <w:rPr>
          <w:szCs w:val="24"/>
          <w:lang w:val="en-AU"/>
        </w:rPr>
      </w:pPr>
    </w:p>
    <w:p w14:paraId="0A832566" w14:textId="132742C6" w:rsidR="00AE6445" w:rsidRPr="001D042C" w:rsidRDefault="00AE6445" w:rsidP="00AE6445">
      <w:pPr>
        <w:pStyle w:val="Para"/>
        <w:rPr>
          <w:szCs w:val="24"/>
          <w:lang w:val="en-AU"/>
        </w:rPr>
      </w:pPr>
      <w:r w:rsidRPr="001D042C">
        <w:rPr>
          <w:szCs w:val="24"/>
          <w:lang w:val="en-AU"/>
        </w:rPr>
        <w:t xml:space="preserve">In order to ensure that the entire process was working smoothly, an initial data request was sent to suppliers and councils in </w:t>
      </w:r>
      <w:r w:rsidR="00BC6314" w:rsidRPr="001D042C">
        <w:rPr>
          <w:szCs w:val="24"/>
          <w:lang w:val="en-AU"/>
        </w:rPr>
        <w:t>mid-July</w:t>
      </w:r>
      <w:r w:rsidRPr="001D042C">
        <w:rPr>
          <w:szCs w:val="24"/>
          <w:lang w:val="en-AU"/>
        </w:rPr>
        <w:t xml:space="preserve">, containing the consent information for a sub-sample of respondents. All suppliers and councils were provided with the procedures for uploading and downloading, how to complete the data files and providing them with a user-ID and password to access the web-site.  </w:t>
      </w:r>
    </w:p>
    <w:p w14:paraId="643E5D7E" w14:textId="77777777" w:rsidR="00AE6445" w:rsidRPr="001D042C" w:rsidRDefault="00AE6445" w:rsidP="00AE6445">
      <w:pPr>
        <w:pStyle w:val="Para"/>
        <w:rPr>
          <w:szCs w:val="24"/>
          <w:lang w:val="en-AU"/>
        </w:rPr>
      </w:pPr>
    </w:p>
    <w:p w14:paraId="4795A7C1" w14:textId="77777777" w:rsidR="00AE6445" w:rsidRPr="001D042C" w:rsidRDefault="00AE6445" w:rsidP="00AE6445">
      <w:pPr>
        <w:pStyle w:val="Para"/>
        <w:rPr>
          <w:szCs w:val="24"/>
          <w:lang w:val="en-AU"/>
        </w:rPr>
      </w:pPr>
      <w:r w:rsidRPr="001D042C">
        <w:rPr>
          <w:szCs w:val="24"/>
          <w:lang w:val="en-AU"/>
        </w:rPr>
        <w:lastRenderedPageBreak/>
        <w:t>Taking into account some additional fine-tuning required based on the response to the preliminary data request, the main data requests were then prepared.  The main data requests were sent to councils on 12 August, to water suppliers on 20 August, and to gas and electricity suppliers on 24 August.</w:t>
      </w:r>
    </w:p>
    <w:p w14:paraId="5351700D" w14:textId="77777777" w:rsidR="00AE6445" w:rsidRPr="001D042C" w:rsidRDefault="00AE6445" w:rsidP="00AE6445">
      <w:pPr>
        <w:pStyle w:val="Para"/>
        <w:rPr>
          <w:szCs w:val="24"/>
          <w:lang w:val="en-AU"/>
        </w:rPr>
      </w:pPr>
    </w:p>
    <w:p w14:paraId="764493DD" w14:textId="77777777" w:rsidR="00AE6445" w:rsidRPr="001D042C" w:rsidRDefault="00AE6445" w:rsidP="00AE6445">
      <w:pPr>
        <w:pStyle w:val="Para"/>
        <w:rPr>
          <w:szCs w:val="24"/>
          <w:lang w:val="en-AU"/>
        </w:rPr>
      </w:pPr>
      <w:r w:rsidRPr="001D042C">
        <w:rPr>
          <w:szCs w:val="24"/>
          <w:lang w:val="en-AU"/>
        </w:rPr>
        <w:t>In most instances suppliers responded swiftly to data requests.  For the initial batch and the main batch data returns, several suppliers were contacted to clarify the data provided.  The main problems encountered with the data initially provided included:</w:t>
      </w:r>
    </w:p>
    <w:p w14:paraId="3FE969C4" w14:textId="77777777" w:rsidR="00AE6445" w:rsidRPr="001D042C" w:rsidRDefault="00AE6445" w:rsidP="00AE6445">
      <w:pPr>
        <w:pStyle w:val="Para"/>
        <w:numPr>
          <w:ilvl w:val="0"/>
          <w:numId w:val="18"/>
        </w:numPr>
      </w:pPr>
      <w:r w:rsidRPr="001D042C">
        <w:t>Several councils – failure to split the annual rates payment into the individual payments that had been made</w:t>
      </w:r>
    </w:p>
    <w:p w14:paraId="788B4E01" w14:textId="77777777" w:rsidR="00AE6445" w:rsidRPr="001D042C" w:rsidRDefault="00AE6445" w:rsidP="00AE6445">
      <w:pPr>
        <w:pStyle w:val="Para"/>
        <w:numPr>
          <w:ilvl w:val="0"/>
          <w:numId w:val="18"/>
        </w:numPr>
      </w:pPr>
      <w:r w:rsidRPr="001D042C">
        <w:t>For several councils and suppliers – instances where the sum of charges less the sum of discounts did not equal the amount payable</w:t>
      </w:r>
    </w:p>
    <w:p w14:paraId="133C7959" w14:textId="77777777" w:rsidR="00AE6445" w:rsidRPr="001D042C" w:rsidRDefault="00AE6445" w:rsidP="00AE6445">
      <w:pPr>
        <w:pStyle w:val="Para"/>
        <w:numPr>
          <w:ilvl w:val="0"/>
          <w:numId w:val="18"/>
        </w:numPr>
        <w:rPr>
          <w:szCs w:val="24"/>
          <w:lang w:val="en-AU"/>
        </w:rPr>
      </w:pPr>
      <w:r w:rsidRPr="001D042C">
        <w:t>For several water and energy suppliers - billing data provided that did not cover the entire calendar year.</w:t>
      </w:r>
      <w:r w:rsidRPr="001D042C">
        <w:rPr>
          <w:szCs w:val="24"/>
          <w:lang w:val="en-AU"/>
        </w:rPr>
        <w:t xml:space="preserve">  </w:t>
      </w:r>
    </w:p>
    <w:p w14:paraId="1207FDE9" w14:textId="77777777" w:rsidR="00AE6445" w:rsidRPr="001D042C" w:rsidRDefault="00AE6445" w:rsidP="00AE6445">
      <w:pPr>
        <w:pStyle w:val="Para"/>
        <w:rPr>
          <w:szCs w:val="24"/>
          <w:lang w:val="en-AU"/>
        </w:rPr>
      </w:pPr>
    </w:p>
    <w:p w14:paraId="00702B37" w14:textId="6348E5EC" w:rsidR="001D042C" w:rsidRPr="001D042C" w:rsidRDefault="001D042C" w:rsidP="001D042C">
      <w:pPr>
        <w:pStyle w:val="Para"/>
      </w:pPr>
      <w:r w:rsidRPr="001D042C">
        <w:t xml:space="preserve">All suppliers were co-operative in re-issuing revised data sets, although some delays were experienced in their return.  At the time of preparing the draft report (mid December 2015) final data had still not been received from one major gas and electricity supplier and a related (more minor) electricity supplier.  This missing data has now been received and processed (the final component being provided in early February 2016), and overall figures have since been updated. The data in this </w:t>
      </w:r>
      <w:r w:rsidR="00390355" w:rsidRPr="001D042C">
        <w:t>report</w:t>
      </w:r>
      <w:r w:rsidRPr="001D042C">
        <w:t xml:space="preserve"> therefore differs in some respects from the draft report.  </w:t>
      </w:r>
    </w:p>
    <w:p w14:paraId="6A368644" w14:textId="77777777" w:rsidR="00AE6445" w:rsidRPr="001D042C" w:rsidRDefault="00AE6445" w:rsidP="00AE6445">
      <w:pPr>
        <w:pStyle w:val="Para"/>
        <w:rPr>
          <w:lang w:val="en-AU"/>
        </w:rPr>
      </w:pPr>
    </w:p>
    <w:p w14:paraId="48C9BBC4" w14:textId="77777777" w:rsidR="00AE6445" w:rsidRPr="001D042C" w:rsidRDefault="00AE6445" w:rsidP="00AE6445">
      <w:pPr>
        <w:pStyle w:val="Heading2"/>
        <w:rPr>
          <w:lang w:val="en-AU"/>
        </w:rPr>
      </w:pPr>
      <w:bookmarkStart w:id="84" w:name="_Toc439198271"/>
      <w:bookmarkStart w:id="85" w:name="_Toc445571656"/>
      <w:r w:rsidRPr="001D042C">
        <w:rPr>
          <w:lang w:val="en-AU"/>
        </w:rPr>
        <w:t>DATA IMPUTATION FOR BILLING AND CONSUMPTION ITEMS</w:t>
      </w:r>
      <w:bookmarkEnd w:id="84"/>
      <w:bookmarkEnd w:id="85"/>
    </w:p>
    <w:p w14:paraId="7E352411" w14:textId="77777777" w:rsidR="00AE6445" w:rsidRPr="001D042C" w:rsidRDefault="00AE6445" w:rsidP="00AE6445">
      <w:pPr>
        <w:pStyle w:val="Para"/>
        <w:rPr>
          <w:szCs w:val="24"/>
          <w:lang w:val="en-AU"/>
        </w:rPr>
      </w:pPr>
      <w:r w:rsidRPr="001D042C">
        <w:rPr>
          <w:szCs w:val="24"/>
          <w:lang w:val="en-AU"/>
        </w:rPr>
        <w:t>The CATI data obtained from respondents was relatively ‘clean’.  As such, little data editing or imputation was required for CATI survey results. Imputation and editing largely related to the data provided by councils and suppliers.</w:t>
      </w:r>
    </w:p>
    <w:p w14:paraId="57B5A685" w14:textId="77777777" w:rsidR="00AE6445" w:rsidRPr="001D042C" w:rsidRDefault="00AE6445" w:rsidP="00AE6445">
      <w:pPr>
        <w:spacing w:before="0" w:after="0" w:line="340" w:lineRule="exact"/>
        <w:jc w:val="both"/>
        <w:rPr>
          <w:lang w:val="en-AU"/>
        </w:rPr>
      </w:pPr>
    </w:p>
    <w:p w14:paraId="6EC23061" w14:textId="77777777" w:rsidR="00AE6445" w:rsidRPr="001D042C" w:rsidRDefault="00AE6445" w:rsidP="00AE6445">
      <w:pPr>
        <w:spacing w:before="0" w:after="0" w:line="340" w:lineRule="exact"/>
        <w:jc w:val="both"/>
        <w:rPr>
          <w:szCs w:val="24"/>
          <w:lang w:val="en-AU" w:eastAsia="en-AU"/>
        </w:rPr>
      </w:pPr>
      <w:r w:rsidRPr="001D042C">
        <w:rPr>
          <w:lang w:val="en-AU"/>
        </w:rPr>
        <w:t xml:space="preserve">In some instances, respondents who had provided consent for collection of billing information could not be identified by utilities or councils.  For these respondents, consumption and billing information was imputed.  In addition, for some respondents, councils and suppliers only provided partial information.  In these cases the remaining data was imputed.  The following paragraphs describe this imputation process. </w:t>
      </w:r>
      <w:r w:rsidRPr="001D042C">
        <w:rPr>
          <w:szCs w:val="24"/>
          <w:lang w:val="en-AU" w:eastAsia="en-AU"/>
        </w:rPr>
        <w:t>Reflecting the benefits of the detailed consultation and testing process undertaken, the provision of data by most suppliers and councils was, in most instances, entirely complete, with very few data items excluded (if any). </w:t>
      </w:r>
    </w:p>
    <w:p w14:paraId="2AB04004" w14:textId="77777777" w:rsidR="00AE6445" w:rsidRPr="001D042C" w:rsidRDefault="00AE6445" w:rsidP="00AE6445">
      <w:pPr>
        <w:spacing w:before="0" w:after="0" w:line="340" w:lineRule="exact"/>
        <w:jc w:val="both"/>
        <w:rPr>
          <w:szCs w:val="24"/>
          <w:lang w:val="en-AU" w:eastAsia="en-AU"/>
        </w:rPr>
      </w:pPr>
      <w:r w:rsidRPr="001D042C">
        <w:rPr>
          <w:szCs w:val="24"/>
          <w:lang w:val="en-AU" w:eastAsia="en-AU"/>
        </w:rPr>
        <w:lastRenderedPageBreak/>
        <w:t>For energy and water suppliers the following process was used to impute data:</w:t>
      </w:r>
    </w:p>
    <w:p w14:paraId="46949159" w14:textId="77777777" w:rsidR="00AE6445" w:rsidRPr="001D042C" w:rsidRDefault="00AE6445" w:rsidP="00AE6445">
      <w:pPr>
        <w:numPr>
          <w:ilvl w:val="0"/>
          <w:numId w:val="8"/>
        </w:numPr>
        <w:spacing w:before="120" w:after="0" w:line="340" w:lineRule="exact"/>
        <w:ind w:left="714" w:hanging="357"/>
        <w:jc w:val="both"/>
        <w:rPr>
          <w:szCs w:val="24"/>
          <w:lang w:val="en-AU" w:eastAsia="en-AU"/>
        </w:rPr>
      </w:pPr>
      <w:r w:rsidRPr="001D042C">
        <w:rPr>
          <w:szCs w:val="24"/>
          <w:lang w:val="en-AU" w:eastAsia="en-AU"/>
        </w:rPr>
        <w:t xml:space="preserve">The number of bills each supplier normally issues in a 12-month period was calculated; </w:t>
      </w:r>
    </w:p>
    <w:p w14:paraId="4C98F081" w14:textId="77777777" w:rsidR="00AE6445" w:rsidRPr="001D042C" w:rsidRDefault="00AE6445" w:rsidP="00AE6445">
      <w:pPr>
        <w:numPr>
          <w:ilvl w:val="0"/>
          <w:numId w:val="8"/>
        </w:numPr>
        <w:spacing w:before="80" w:after="0" w:line="340" w:lineRule="exact"/>
        <w:ind w:left="714" w:hanging="357"/>
        <w:jc w:val="both"/>
        <w:rPr>
          <w:szCs w:val="24"/>
          <w:lang w:val="en-AU" w:eastAsia="en-AU"/>
        </w:rPr>
      </w:pPr>
      <w:r w:rsidRPr="001D042C">
        <w:rPr>
          <w:szCs w:val="24"/>
          <w:lang w:val="en-AU" w:eastAsia="en-AU"/>
        </w:rPr>
        <w:t xml:space="preserve">For each respondent household, the number of bills was calculated to determine if one or more were missing.  Bill issue dates or meter reading dates were used to determine whether the entire 12- month period had been covered and for which period a bill was missing; </w:t>
      </w:r>
    </w:p>
    <w:p w14:paraId="224F514B" w14:textId="77777777" w:rsidR="00AE6445" w:rsidRPr="001D042C" w:rsidRDefault="00AE6445" w:rsidP="00AE6445">
      <w:pPr>
        <w:numPr>
          <w:ilvl w:val="0"/>
          <w:numId w:val="8"/>
        </w:numPr>
        <w:spacing w:before="80" w:after="0" w:line="340" w:lineRule="exact"/>
        <w:ind w:left="714" w:hanging="357"/>
        <w:jc w:val="both"/>
        <w:rPr>
          <w:szCs w:val="24"/>
          <w:lang w:val="en-AU" w:eastAsia="en-AU"/>
        </w:rPr>
      </w:pPr>
      <w:r w:rsidRPr="001D042C">
        <w:rPr>
          <w:szCs w:val="24"/>
          <w:lang w:val="en-AU" w:eastAsia="en-AU"/>
        </w:rPr>
        <w:t>Billing data for the missing bill was initially sought from existing billing data for that respondent. An existing bill record was ‘cloned’ (i.e. copied) if it was determined that the existing data would be a suitable replacement for the missing data.  Suitability was determined by time of the year in which the billing related.  For example a summer bill would be cloned to fill a bill gap that also related to summer – a winter bill for a winter bill gap etc.  Bills from adjacent or most recent time periods were preferred over non-adjacent or non-recent time</w:t>
      </w:r>
      <w:r w:rsidR="00DB41CB" w:rsidRPr="001D042C">
        <w:rPr>
          <w:szCs w:val="24"/>
          <w:lang w:val="en-AU" w:eastAsia="en-AU"/>
        </w:rPr>
        <w:t xml:space="preserve"> periods</w:t>
      </w:r>
      <w:r w:rsidRPr="001D042C">
        <w:rPr>
          <w:szCs w:val="24"/>
          <w:lang w:val="en-AU" w:eastAsia="en-AU"/>
        </w:rPr>
        <w:t xml:space="preserve">; </w:t>
      </w:r>
    </w:p>
    <w:p w14:paraId="57EE6836" w14:textId="77777777" w:rsidR="00AE6445" w:rsidRPr="001D042C" w:rsidRDefault="00AE6445" w:rsidP="00AE6445">
      <w:pPr>
        <w:numPr>
          <w:ilvl w:val="0"/>
          <w:numId w:val="8"/>
        </w:numPr>
        <w:spacing w:before="80" w:after="0" w:line="340" w:lineRule="exact"/>
        <w:ind w:left="714" w:hanging="357"/>
        <w:jc w:val="both"/>
        <w:rPr>
          <w:szCs w:val="24"/>
          <w:lang w:val="en-AU" w:eastAsia="en-AU"/>
        </w:rPr>
      </w:pPr>
      <w:r w:rsidRPr="001D042C">
        <w:rPr>
          <w:szCs w:val="24"/>
          <w:lang w:val="en-AU" w:eastAsia="en-AU"/>
        </w:rPr>
        <w:t xml:space="preserve">If there were insufficient numbers of existing bills for that respondent household to clone a bill to fill a gap, bills were imputed – </w:t>
      </w:r>
    </w:p>
    <w:p w14:paraId="7020C1C5" w14:textId="77777777" w:rsidR="00AE6445" w:rsidRPr="001D042C" w:rsidRDefault="00AE6445" w:rsidP="00AE6445">
      <w:pPr>
        <w:numPr>
          <w:ilvl w:val="1"/>
          <w:numId w:val="8"/>
        </w:numPr>
        <w:spacing w:after="0" w:line="340" w:lineRule="exact"/>
        <w:ind w:left="1434" w:hanging="357"/>
        <w:jc w:val="both"/>
        <w:rPr>
          <w:szCs w:val="24"/>
          <w:lang w:val="en-AU" w:eastAsia="en-AU"/>
        </w:rPr>
      </w:pPr>
      <w:r w:rsidRPr="001D042C">
        <w:rPr>
          <w:szCs w:val="24"/>
          <w:lang w:val="en-AU" w:eastAsia="en-AU"/>
        </w:rPr>
        <w:t xml:space="preserve">From information provided by the respondent in the CATI survey it was determined whether the household was a concession or non-concession household.  If the household was a concession household, data was imputed from similar concession households.  A similar process applied for non-concession households where like households were used for imputation; </w:t>
      </w:r>
    </w:p>
    <w:p w14:paraId="33B6A0D2" w14:textId="77777777" w:rsidR="00AE6445" w:rsidRPr="001D042C" w:rsidRDefault="00AE6445" w:rsidP="00AE6445">
      <w:pPr>
        <w:numPr>
          <w:ilvl w:val="1"/>
          <w:numId w:val="8"/>
        </w:numPr>
        <w:spacing w:after="0" w:line="340" w:lineRule="exact"/>
        <w:ind w:left="1434" w:hanging="357"/>
        <w:jc w:val="both"/>
        <w:rPr>
          <w:szCs w:val="24"/>
          <w:lang w:val="en-AU" w:eastAsia="en-AU"/>
        </w:rPr>
      </w:pPr>
      <w:r w:rsidRPr="001D042C">
        <w:rPr>
          <w:szCs w:val="24"/>
          <w:lang w:val="en-AU" w:eastAsia="en-AU"/>
        </w:rPr>
        <w:t xml:space="preserve">Based on concession status imputation was based on – </w:t>
      </w:r>
    </w:p>
    <w:p w14:paraId="004474AE" w14:textId="77777777" w:rsidR="00AE6445" w:rsidRPr="001D042C" w:rsidRDefault="00AE6445" w:rsidP="00AE6445">
      <w:pPr>
        <w:numPr>
          <w:ilvl w:val="2"/>
          <w:numId w:val="9"/>
        </w:numPr>
        <w:spacing w:before="40" w:after="0" w:line="340" w:lineRule="exact"/>
        <w:ind w:left="2154" w:hanging="357"/>
        <w:jc w:val="both"/>
        <w:rPr>
          <w:szCs w:val="24"/>
          <w:lang w:val="en-AU" w:eastAsia="en-AU"/>
        </w:rPr>
      </w:pPr>
      <w:r w:rsidRPr="001D042C">
        <w:rPr>
          <w:szCs w:val="24"/>
          <w:lang w:val="en-AU" w:eastAsia="en-AU"/>
        </w:rPr>
        <w:t xml:space="preserve">The average for that sized household for that supplier in the region it was located; </w:t>
      </w:r>
    </w:p>
    <w:p w14:paraId="5D3CE943" w14:textId="77777777" w:rsidR="00AE6445" w:rsidRPr="001D042C" w:rsidRDefault="00AE6445" w:rsidP="00AE6445">
      <w:pPr>
        <w:numPr>
          <w:ilvl w:val="2"/>
          <w:numId w:val="9"/>
        </w:numPr>
        <w:spacing w:before="40" w:after="0" w:line="340" w:lineRule="exact"/>
        <w:ind w:left="2154" w:hanging="357"/>
        <w:jc w:val="both"/>
        <w:rPr>
          <w:szCs w:val="24"/>
          <w:lang w:val="en-AU" w:eastAsia="en-AU"/>
        </w:rPr>
      </w:pPr>
      <w:r w:rsidRPr="001D042C">
        <w:rPr>
          <w:szCs w:val="24"/>
          <w:lang w:val="en-AU" w:eastAsia="en-AU"/>
        </w:rPr>
        <w:t xml:space="preserve">If region data was too sparse, the average was taken for that sized household for that supplier across all regions that supplier serviced; </w:t>
      </w:r>
    </w:p>
    <w:p w14:paraId="04CD9612" w14:textId="77777777" w:rsidR="00AE6445" w:rsidRPr="001D042C" w:rsidRDefault="00AE6445" w:rsidP="00AE6445">
      <w:pPr>
        <w:numPr>
          <w:ilvl w:val="2"/>
          <w:numId w:val="9"/>
        </w:numPr>
        <w:spacing w:before="40" w:after="0" w:line="340" w:lineRule="exact"/>
        <w:ind w:left="2154" w:hanging="357"/>
        <w:jc w:val="both"/>
        <w:rPr>
          <w:szCs w:val="24"/>
          <w:lang w:val="en-AU" w:eastAsia="en-AU"/>
        </w:rPr>
      </w:pPr>
      <w:r w:rsidRPr="001D042C">
        <w:rPr>
          <w:szCs w:val="24"/>
          <w:lang w:val="en-AU" w:eastAsia="en-AU"/>
        </w:rPr>
        <w:t xml:space="preserve">If household size data was too sparse, the average was taken for that supplier in the region the household was located; </w:t>
      </w:r>
    </w:p>
    <w:p w14:paraId="5E02F386" w14:textId="77777777" w:rsidR="00AE6445" w:rsidRPr="001D042C" w:rsidRDefault="00AE6445" w:rsidP="00AE6445">
      <w:pPr>
        <w:numPr>
          <w:ilvl w:val="2"/>
          <w:numId w:val="9"/>
        </w:numPr>
        <w:spacing w:before="40" w:after="0" w:line="340" w:lineRule="exact"/>
        <w:ind w:left="2154" w:hanging="357"/>
        <w:jc w:val="both"/>
        <w:rPr>
          <w:szCs w:val="24"/>
          <w:lang w:val="en-AU" w:eastAsia="en-AU"/>
        </w:rPr>
      </w:pPr>
      <w:r w:rsidRPr="001D042C">
        <w:rPr>
          <w:szCs w:val="24"/>
          <w:lang w:val="en-AU" w:eastAsia="en-AU"/>
        </w:rPr>
        <w:t xml:space="preserve">If supplier data was too sparse, the average was taken for that household size for all suppliers servicing that specific region;  </w:t>
      </w:r>
    </w:p>
    <w:p w14:paraId="3245445B" w14:textId="77777777" w:rsidR="00AE6445" w:rsidRPr="001D042C" w:rsidRDefault="00AE6445" w:rsidP="00AE6445">
      <w:pPr>
        <w:numPr>
          <w:ilvl w:val="2"/>
          <w:numId w:val="9"/>
        </w:numPr>
        <w:spacing w:before="40" w:after="0" w:line="340" w:lineRule="exact"/>
        <w:ind w:left="2154" w:hanging="357"/>
        <w:jc w:val="both"/>
        <w:rPr>
          <w:szCs w:val="24"/>
          <w:lang w:val="en-AU" w:eastAsia="en-AU"/>
        </w:rPr>
      </w:pPr>
      <w:r w:rsidRPr="001D042C">
        <w:rPr>
          <w:szCs w:val="24"/>
          <w:lang w:val="en-AU" w:eastAsia="en-AU"/>
        </w:rPr>
        <w:t xml:space="preserve">A specific order of imputation was undertaken if more than one variable (i.e. household size, concession status, supplier or region) was too sparse to create averages. </w:t>
      </w:r>
    </w:p>
    <w:p w14:paraId="265C2762" w14:textId="77777777" w:rsidR="00AE6445" w:rsidRPr="001D042C" w:rsidRDefault="00AE6445" w:rsidP="00AE6445">
      <w:pPr>
        <w:numPr>
          <w:ilvl w:val="1"/>
          <w:numId w:val="9"/>
        </w:numPr>
        <w:spacing w:after="0" w:line="340" w:lineRule="exact"/>
        <w:ind w:left="1434" w:hanging="357"/>
        <w:jc w:val="both"/>
        <w:rPr>
          <w:szCs w:val="24"/>
          <w:lang w:val="en-AU" w:eastAsia="en-AU"/>
        </w:rPr>
      </w:pPr>
      <w:r w:rsidRPr="001D042C">
        <w:rPr>
          <w:szCs w:val="24"/>
          <w:lang w:val="en-AU" w:eastAsia="en-AU"/>
        </w:rPr>
        <w:t>In some circumstances a specific fixed charge or discount was applicable for each supplier.  In these instances the average amount was not used, but the fixed amount to be charged/discounted</w:t>
      </w:r>
      <w:r w:rsidR="00DB41CB" w:rsidRPr="001D042C">
        <w:rPr>
          <w:szCs w:val="24"/>
          <w:lang w:val="en-AU" w:eastAsia="en-AU"/>
        </w:rPr>
        <w:t>.</w:t>
      </w:r>
      <w:r w:rsidRPr="001D042C">
        <w:rPr>
          <w:szCs w:val="24"/>
          <w:lang w:val="en-AU" w:eastAsia="en-AU"/>
        </w:rPr>
        <w:t xml:space="preserve"> </w:t>
      </w:r>
    </w:p>
    <w:p w14:paraId="48FC3758" w14:textId="77777777" w:rsidR="00AE6445" w:rsidRPr="001D042C" w:rsidRDefault="00AE6445" w:rsidP="00AE6445">
      <w:pPr>
        <w:spacing w:before="0" w:after="0" w:line="340" w:lineRule="exact"/>
        <w:jc w:val="both"/>
        <w:rPr>
          <w:szCs w:val="24"/>
          <w:lang w:val="en-AU" w:eastAsia="en-AU"/>
        </w:rPr>
      </w:pPr>
      <w:r w:rsidRPr="001D042C">
        <w:rPr>
          <w:szCs w:val="24"/>
          <w:lang w:val="en-AU" w:eastAsia="en-AU"/>
        </w:rPr>
        <w:lastRenderedPageBreak/>
        <w:t>For council data, imputation was undertaken as follows:</w:t>
      </w:r>
    </w:p>
    <w:p w14:paraId="0EE41658" w14:textId="77777777" w:rsidR="00AE6445" w:rsidRPr="001D042C" w:rsidRDefault="00AE6445" w:rsidP="00AE6445">
      <w:pPr>
        <w:numPr>
          <w:ilvl w:val="0"/>
          <w:numId w:val="10"/>
        </w:numPr>
        <w:spacing w:before="120" w:after="0" w:line="340" w:lineRule="exact"/>
        <w:ind w:left="714" w:hanging="357"/>
        <w:jc w:val="both"/>
        <w:rPr>
          <w:szCs w:val="24"/>
          <w:lang w:val="en-AU" w:eastAsia="en-AU"/>
        </w:rPr>
      </w:pPr>
      <w:r w:rsidRPr="001D042C">
        <w:rPr>
          <w:szCs w:val="24"/>
          <w:lang w:val="en-AU" w:eastAsia="en-AU"/>
        </w:rPr>
        <w:t xml:space="preserve">Only one annual bill was required to be imputed for each respondent household; </w:t>
      </w:r>
    </w:p>
    <w:p w14:paraId="5F39EC9B" w14:textId="77777777" w:rsidR="00AE6445" w:rsidRPr="001D042C" w:rsidRDefault="00AE6445" w:rsidP="00AE6445">
      <w:pPr>
        <w:numPr>
          <w:ilvl w:val="0"/>
          <w:numId w:val="10"/>
        </w:numPr>
        <w:spacing w:before="80" w:after="0" w:line="340" w:lineRule="exact"/>
        <w:ind w:left="714" w:hanging="357"/>
        <w:jc w:val="both"/>
        <w:rPr>
          <w:szCs w:val="24"/>
          <w:lang w:val="en-AU" w:eastAsia="en-AU"/>
        </w:rPr>
      </w:pPr>
      <w:r w:rsidRPr="001D042C">
        <w:rPr>
          <w:szCs w:val="24"/>
          <w:lang w:val="en-AU" w:eastAsia="en-AU"/>
        </w:rPr>
        <w:t xml:space="preserve">The respondent household was categorised as being either a concession or non-concession household; </w:t>
      </w:r>
    </w:p>
    <w:p w14:paraId="4C36F0D1" w14:textId="77777777" w:rsidR="00AE6445" w:rsidRPr="001D042C" w:rsidRDefault="00AE6445" w:rsidP="00AE6445">
      <w:pPr>
        <w:numPr>
          <w:ilvl w:val="0"/>
          <w:numId w:val="10"/>
        </w:numPr>
        <w:spacing w:before="80" w:after="0" w:line="340" w:lineRule="exact"/>
        <w:ind w:left="714" w:hanging="357"/>
        <w:jc w:val="both"/>
        <w:rPr>
          <w:szCs w:val="24"/>
          <w:lang w:val="en-AU" w:eastAsia="en-AU"/>
        </w:rPr>
      </w:pPr>
      <w:r w:rsidRPr="001D042C">
        <w:rPr>
          <w:szCs w:val="24"/>
          <w:lang w:val="en-AU" w:eastAsia="en-AU"/>
        </w:rPr>
        <w:t xml:space="preserve">Cloning could not occur as no other billing data was collected for each household for council rate billing data; </w:t>
      </w:r>
    </w:p>
    <w:p w14:paraId="72C15B16" w14:textId="77777777" w:rsidR="00AE6445" w:rsidRPr="001D042C" w:rsidRDefault="00AE6445" w:rsidP="00AE6445">
      <w:pPr>
        <w:numPr>
          <w:ilvl w:val="0"/>
          <w:numId w:val="11"/>
        </w:numPr>
        <w:spacing w:before="80" w:after="0" w:line="340" w:lineRule="exact"/>
        <w:ind w:left="714" w:hanging="357"/>
        <w:jc w:val="both"/>
        <w:rPr>
          <w:szCs w:val="24"/>
          <w:lang w:val="en-AU" w:eastAsia="en-AU"/>
        </w:rPr>
      </w:pPr>
      <w:r w:rsidRPr="001D042C">
        <w:rPr>
          <w:szCs w:val="24"/>
          <w:lang w:val="en-AU" w:eastAsia="en-AU"/>
        </w:rPr>
        <w:t xml:space="preserve">Based on concession status imputation was based on – </w:t>
      </w:r>
    </w:p>
    <w:p w14:paraId="7ED06109" w14:textId="77777777" w:rsidR="00AE6445" w:rsidRPr="001D042C" w:rsidRDefault="00AE6445" w:rsidP="00AE6445">
      <w:pPr>
        <w:numPr>
          <w:ilvl w:val="2"/>
          <w:numId w:val="11"/>
        </w:numPr>
        <w:spacing w:after="0" w:line="340" w:lineRule="exact"/>
        <w:jc w:val="both"/>
        <w:rPr>
          <w:szCs w:val="24"/>
          <w:lang w:val="en-AU" w:eastAsia="en-AU"/>
        </w:rPr>
      </w:pPr>
      <w:r w:rsidRPr="001D042C">
        <w:rPr>
          <w:szCs w:val="24"/>
          <w:lang w:val="en-AU" w:eastAsia="en-AU"/>
        </w:rPr>
        <w:t>The average for that council;</w:t>
      </w:r>
    </w:p>
    <w:p w14:paraId="1B2794D3" w14:textId="77777777" w:rsidR="00AE6445" w:rsidRPr="001D042C" w:rsidRDefault="00AE6445" w:rsidP="00AE6445">
      <w:pPr>
        <w:numPr>
          <w:ilvl w:val="2"/>
          <w:numId w:val="11"/>
        </w:numPr>
        <w:spacing w:after="0" w:line="340" w:lineRule="exact"/>
        <w:jc w:val="both"/>
        <w:rPr>
          <w:szCs w:val="24"/>
          <w:lang w:val="en-AU" w:eastAsia="en-AU"/>
        </w:rPr>
      </w:pPr>
      <w:r w:rsidRPr="001D042C">
        <w:rPr>
          <w:szCs w:val="24"/>
          <w:lang w:val="en-AU" w:eastAsia="en-AU"/>
        </w:rPr>
        <w:t>If council data was too sparse, the average for all councils in that region;</w:t>
      </w:r>
    </w:p>
    <w:p w14:paraId="5885348C" w14:textId="77777777" w:rsidR="00AE6445" w:rsidRPr="001D042C" w:rsidRDefault="00AE6445" w:rsidP="00AE6445">
      <w:pPr>
        <w:numPr>
          <w:ilvl w:val="2"/>
          <w:numId w:val="11"/>
        </w:numPr>
        <w:spacing w:after="0" w:line="340" w:lineRule="exact"/>
        <w:jc w:val="both"/>
        <w:rPr>
          <w:szCs w:val="24"/>
          <w:lang w:val="en-AU" w:eastAsia="en-AU"/>
        </w:rPr>
      </w:pPr>
      <w:r w:rsidRPr="001D042C">
        <w:rPr>
          <w:szCs w:val="24"/>
          <w:lang w:val="en-AU" w:eastAsia="en-AU"/>
        </w:rPr>
        <w:t>A specific order of imputation was undertaken if more than one variable (i.e. concession status, council or region) was too sparse to create averages</w:t>
      </w:r>
      <w:r w:rsidR="00DB41CB" w:rsidRPr="001D042C">
        <w:rPr>
          <w:szCs w:val="24"/>
          <w:lang w:val="en-AU" w:eastAsia="en-AU"/>
        </w:rPr>
        <w:t>.</w:t>
      </w:r>
      <w:r w:rsidRPr="001D042C">
        <w:rPr>
          <w:szCs w:val="24"/>
          <w:lang w:val="en-AU" w:eastAsia="en-AU"/>
        </w:rPr>
        <w:t> </w:t>
      </w:r>
    </w:p>
    <w:p w14:paraId="093DCD28" w14:textId="77777777" w:rsidR="00AE6445" w:rsidRPr="001D042C" w:rsidRDefault="00AE6445" w:rsidP="00AE6445">
      <w:pPr>
        <w:numPr>
          <w:ilvl w:val="0"/>
          <w:numId w:val="12"/>
        </w:numPr>
        <w:spacing w:before="80" w:after="0" w:line="340" w:lineRule="exact"/>
        <w:ind w:left="714" w:hanging="357"/>
        <w:jc w:val="both"/>
        <w:rPr>
          <w:szCs w:val="24"/>
          <w:lang w:val="en-AU" w:eastAsia="en-AU"/>
        </w:rPr>
      </w:pPr>
      <w:r w:rsidRPr="001D042C">
        <w:rPr>
          <w:szCs w:val="24"/>
          <w:lang w:val="en-AU" w:eastAsia="en-AU"/>
        </w:rPr>
        <w:t xml:space="preserve">In some circumstances a specific fixed charge or discount was applicable for each council.  In these instances the average amount was not used, but the fixed amount to be charged/discounted. </w:t>
      </w:r>
    </w:p>
    <w:p w14:paraId="22F43965" w14:textId="77777777" w:rsidR="00AE6445" w:rsidRPr="001D042C" w:rsidRDefault="00AE6445" w:rsidP="00AE6445">
      <w:pPr>
        <w:spacing w:before="0" w:after="0" w:line="340" w:lineRule="exact"/>
        <w:jc w:val="both"/>
        <w:rPr>
          <w:szCs w:val="24"/>
          <w:lang w:val="en-AU" w:eastAsia="en-AU"/>
        </w:rPr>
      </w:pPr>
    </w:p>
    <w:p w14:paraId="0E4AA492" w14:textId="77777777" w:rsidR="00AE6445" w:rsidRPr="001D042C" w:rsidRDefault="00AE6445" w:rsidP="00AE6445">
      <w:pPr>
        <w:spacing w:before="0" w:after="0" w:line="340" w:lineRule="exact"/>
        <w:jc w:val="both"/>
        <w:rPr>
          <w:szCs w:val="24"/>
          <w:lang w:val="en-AU" w:eastAsia="en-AU"/>
        </w:rPr>
      </w:pPr>
      <w:r w:rsidRPr="001D042C">
        <w:rPr>
          <w:szCs w:val="24"/>
          <w:lang w:val="en-AU" w:eastAsia="en-AU"/>
        </w:rPr>
        <w:t>Other rules included:</w:t>
      </w:r>
    </w:p>
    <w:p w14:paraId="60983673" w14:textId="77777777" w:rsidR="00AE6445" w:rsidRPr="001D042C" w:rsidRDefault="00AE6445" w:rsidP="00AE6445">
      <w:pPr>
        <w:numPr>
          <w:ilvl w:val="0"/>
          <w:numId w:val="13"/>
        </w:numPr>
        <w:spacing w:before="120" w:after="0" w:line="340" w:lineRule="exact"/>
        <w:ind w:left="714" w:hanging="357"/>
        <w:jc w:val="both"/>
        <w:rPr>
          <w:szCs w:val="24"/>
          <w:lang w:val="en-AU" w:eastAsia="en-AU"/>
        </w:rPr>
      </w:pPr>
      <w:r w:rsidRPr="001D042C">
        <w:rPr>
          <w:szCs w:val="24"/>
          <w:lang w:val="en-AU" w:eastAsia="en-AU"/>
        </w:rPr>
        <w:t xml:space="preserve">A cloned bill/record could not be used to clone or impute another bill/record; and </w:t>
      </w:r>
    </w:p>
    <w:p w14:paraId="4A6DC992" w14:textId="77777777" w:rsidR="00AE6445" w:rsidRPr="001D042C" w:rsidRDefault="00AE6445" w:rsidP="00AE6445">
      <w:pPr>
        <w:numPr>
          <w:ilvl w:val="0"/>
          <w:numId w:val="13"/>
        </w:numPr>
        <w:spacing w:before="80" w:after="0" w:line="340" w:lineRule="exact"/>
        <w:ind w:left="714" w:hanging="357"/>
        <w:jc w:val="both"/>
        <w:rPr>
          <w:szCs w:val="24"/>
          <w:lang w:val="en-AU" w:eastAsia="en-AU"/>
        </w:rPr>
      </w:pPr>
      <w:r w:rsidRPr="001D042C">
        <w:rPr>
          <w:szCs w:val="24"/>
          <w:lang w:val="en-AU" w:eastAsia="en-AU"/>
        </w:rPr>
        <w:t xml:space="preserve">An imputed bill/record could not be used clone or impute another bill/record. </w:t>
      </w:r>
    </w:p>
    <w:p w14:paraId="70DAC02D" w14:textId="77777777" w:rsidR="00AE6445" w:rsidRPr="001D042C" w:rsidRDefault="00AE6445" w:rsidP="00AE6445">
      <w:pPr>
        <w:pStyle w:val="Para"/>
        <w:rPr>
          <w:lang w:val="en-AU"/>
        </w:rPr>
      </w:pPr>
    </w:p>
    <w:p w14:paraId="3836F93F" w14:textId="77777777" w:rsidR="00AE6445" w:rsidRPr="001D042C" w:rsidRDefault="00AE6445" w:rsidP="00AE6445">
      <w:pPr>
        <w:pStyle w:val="Para"/>
        <w:rPr>
          <w:lang w:val="en-AU"/>
        </w:rPr>
      </w:pPr>
    </w:p>
    <w:p w14:paraId="4DC6BC78" w14:textId="77777777" w:rsidR="00162EF6" w:rsidRDefault="00162EF6">
      <w:pPr>
        <w:spacing w:before="0" w:after="0"/>
        <w:rPr>
          <w:b/>
          <w:lang w:val="en-AU"/>
        </w:rPr>
      </w:pPr>
      <w:bookmarkStart w:id="86" w:name="_Toc439198272"/>
      <w:r>
        <w:rPr>
          <w:lang w:val="en-AU"/>
        </w:rPr>
        <w:br w:type="page"/>
      </w:r>
    </w:p>
    <w:p w14:paraId="3004C38C" w14:textId="533FB31A" w:rsidR="00AE6445" w:rsidRPr="001D042C" w:rsidRDefault="00AE6445" w:rsidP="00AE6445">
      <w:pPr>
        <w:pStyle w:val="Heading2"/>
        <w:jc w:val="both"/>
        <w:rPr>
          <w:lang w:val="en-AU"/>
        </w:rPr>
      </w:pPr>
      <w:bookmarkStart w:id="87" w:name="_Toc445571657"/>
      <w:r w:rsidRPr="001D042C">
        <w:rPr>
          <w:lang w:val="en-AU"/>
        </w:rPr>
        <w:lastRenderedPageBreak/>
        <w:t>SAMPLE WEIGHTING</w:t>
      </w:r>
      <w:bookmarkEnd w:id="86"/>
      <w:bookmarkEnd w:id="87"/>
    </w:p>
    <w:p w14:paraId="41CEADA6" w14:textId="77777777" w:rsidR="00AE6445" w:rsidRPr="001D042C" w:rsidRDefault="00AE6445" w:rsidP="00AE6445">
      <w:pPr>
        <w:pStyle w:val="Para"/>
        <w:rPr>
          <w:lang w:val="en-AU"/>
        </w:rPr>
      </w:pPr>
      <w:r w:rsidRPr="001D042C">
        <w:rPr>
          <w:lang w:val="en-AU"/>
        </w:rPr>
        <w:t>As the sampling process was somewhat different to the process used in 2007 and previous surveys, the weighting process also required a slightly different approach. As requested by the Department, two weight sets were provided: one based to all 1,861 respondents providing at least one apparently usable consent form; the other based to all 2,204 respondents who completed the telephone interview, irrespective of whether or not they  ended up providing any usable consent forms.</w:t>
      </w:r>
      <w:r w:rsidR="00CA471A" w:rsidRPr="001D042C">
        <w:rPr>
          <w:lang w:val="en-AU"/>
        </w:rPr>
        <w:t xml:space="preserve">  For most purposes, the weights based to the 1,861 households that provided consent forms will be used.</w:t>
      </w:r>
    </w:p>
    <w:p w14:paraId="30E88057" w14:textId="77777777" w:rsidR="00AE6445" w:rsidRPr="001D042C" w:rsidRDefault="00AE6445" w:rsidP="00AE6445">
      <w:pPr>
        <w:pStyle w:val="Para"/>
        <w:rPr>
          <w:lang w:val="en-AU"/>
        </w:rPr>
      </w:pPr>
    </w:p>
    <w:p w14:paraId="62904492" w14:textId="77777777" w:rsidR="00AE6445" w:rsidRPr="001D042C" w:rsidRDefault="00AE6445" w:rsidP="00AE6445">
      <w:pPr>
        <w:pStyle w:val="Para"/>
        <w:rPr>
          <w:lang w:val="en-AU"/>
        </w:rPr>
      </w:pPr>
      <w:r w:rsidRPr="001D042C">
        <w:rPr>
          <w:lang w:val="en-AU"/>
        </w:rPr>
        <w:t>Weights were calculated as follows:</w:t>
      </w:r>
    </w:p>
    <w:p w14:paraId="53A3935E" w14:textId="77777777" w:rsidR="00AE6445" w:rsidRPr="001D042C" w:rsidRDefault="00AE6445" w:rsidP="00AE6445">
      <w:pPr>
        <w:pStyle w:val="Para"/>
        <w:numPr>
          <w:ilvl w:val="0"/>
          <w:numId w:val="3"/>
        </w:numPr>
        <w:tabs>
          <w:tab w:val="clear" w:pos="927"/>
          <w:tab w:val="num" w:pos="851"/>
        </w:tabs>
        <w:spacing w:before="120"/>
        <w:rPr>
          <w:lang w:val="en-AU"/>
        </w:rPr>
      </w:pPr>
      <w:r w:rsidRPr="001D042C">
        <w:rPr>
          <w:lang w:val="en-AU"/>
        </w:rPr>
        <w:t>Each household was initially treated as the sum of its inhabitants.  All the inhabitants of the household (including both the respondent and those not interviewed) were treated as ‘pseudo-respondents’.  Using marginal weighting (or raking/rim weighting), the sample of pseudo-respondents was weighted to yield the appropriate proportions of holders on the following four dimensions (population information for which was derived from data provided by DHHS from Centrelink and the Department of Veterans Affairs, adjusted for estimated overlaps and inconsistencies):</w:t>
      </w:r>
    </w:p>
    <w:p w14:paraId="4559606E" w14:textId="77777777" w:rsidR="00AE6445" w:rsidRPr="001D042C" w:rsidRDefault="00AE6445" w:rsidP="00AE6445">
      <w:pPr>
        <w:pStyle w:val="Para"/>
        <w:numPr>
          <w:ilvl w:val="0"/>
          <w:numId w:val="3"/>
        </w:numPr>
        <w:tabs>
          <w:tab w:val="clear" w:pos="927"/>
          <w:tab w:val="num" w:pos="1703"/>
        </w:tabs>
        <w:spacing w:before="120"/>
        <w:ind w:left="1703"/>
        <w:rPr>
          <w:lang w:val="en-AU"/>
        </w:rPr>
      </w:pPr>
      <w:r w:rsidRPr="001D042C">
        <w:rPr>
          <w:lang w:val="en-AU"/>
        </w:rPr>
        <w:t>Summary concession status (aged; non-aged; none) by DHHS region;</w:t>
      </w:r>
    </w:p>
    <w:p w14:paraId="10D5294A" w14:textId="77777777" w:rsidR="00AE6445" w:rsidRPr="001D042C" w:rsidRDefault="00AE6445" w:rsidP="00AE6445">
      <w:pPr>
        <w:pStyle w:val="Para"/>
        <w:numPr>
          <w:ilvl w:val="0"/>
          <w:numId w:val="3"/>
        </w:numPr>
        <w:tabs>
          <w:tab w:val="clear" w:pos="927"/>
          <w:tab w:val="num" w:pos="1703"/>
        </w:tabs>
        <w:spacing w:before="120"/>
        <w:ind w:left="1703"/>
        <w:rPr>
          <w:lang w:val="en-AU"/>
        </w:rPr>
      </w:pPr>
      <w:r w:rsidRPr="001D042C">
        <w:rPr>
          <w:lang w:val="en-AU"/>
        </w:rPr>
        <w:t>Summary concession status (aged; non-aged; none) by sex;</w:t>
      </w:r>
    </w:p>
    <w:p w14:paraId="5C9DC0BE" w14:textId="77777777" w:rsidR="00AE6445" w:rsidRPr="001D042C" w:rsidRDefault="00AE6445" w:rsidP="00AE6445">
      <w:pPr>
        <w:pStyle w:val="Para"/>
        <w:numPr>
          <w:ilvl w:val="0"/>
          <w:numId w:val="3"/>
        </w:numPr>
        <w:tabs>
          <w:tab w:val="clear" w:pos="927"/>
          <w:tab w:val="num" w:pos="1703"/>
        </w:tabs>
        <w:spacing w:before="120"/>
        <w:ind w:left="1703"/>
        <w:rPr>
          <w:lang w:val="en-AU"/>
        </w:rPr>
      </w:pPr>
      <w:r w:rsidRPr="001D042C">
        <w:rPr>
          <w:lang w:val="en-AU"/>
        </w:rPr>
        <w:t>Summary concession status (aged; non-aged; none) by age;</w:t>
      </w:r>
    </w:p>
    <w:p w14:paraId="2AF81017" w14:textId="77777777" w:rsidR="00AE6445" w:rsidRPr="001D042C" w:rsidRDefault="00AE6445" w:rsidP="00AE6445">
      <w:pPr>
        <w:pStyle w:val="Para"/>
        <w:numPr>
          <w:ilvl w:val="0"/>
          <w:numId w:val="3"/>
        </w:numPr>
        <w:tabs>
          <w:tab w:val="clear" w:pos="927"/>
          <w:tab w:val="num" w:pos="1703"/>
        </w:tabs>
        <w:spacing w:before="120"/>
        <w:ind w:left="1703"/>
        <w:rPr>
          <w:lang w:val="en-AU"/>
        </w:rPr>
      </w:pPr>
      <w:r w:rsidRPr="001D042C">
        <w:rPr>
          <w:lang w:val="en-AU"/>
        </w:rPr>
        <w:t>Detailed concession status.</w:t>
      </w:r>
    </w:p>
    <w:p w14:paraId="098E1EBF" w14:textId="3FF2E626" w:rsidR="00036CB0" w:rsidRPr="001D042C" w:rsidRDefault="00AE6445" w:rsidP="00E26BA2">
      <w:pPr>
        <w:pStyle w:val="Para"/>
        <w:numPr>
          <w:ilvl w:val="0"/>
          <w:numId w:val="3"/>
        </w:numPr>
        <w:tabs>
          <w:tab w:val="clear" w:pos="927"/>
          <w:tab w:val="num" w:pos="851"/>
        </w:tabs>
        <w:spacing w:before="120"/>
        <w:rPr>
          <w:lang w:val="en-AU"/>
        </w:rPr>
      </w:pPr>
      <w:r w:rsidRPr="001D042C">
        <w:rPr>
          <w:lang w:val="en-AU"/>
        </w:rPr>
        <w:t xml:space="preserve">As the demographic profiles for holders of </w:t>
      </w:r>
      <w:r w:rsidR="00DB41CB" w:rsidRPr="001D042C">
        <w:rPr>
          <w:lang w:val="en-AU"/>
        </w:rPr>
        <w:t xml:space="preserve">concession </w:t>
      </w:r>
      <w:r w:rsidRPr="001D042C">
        <w:rPr>
          <w:lang w:val="en-AU"/>
        </w:rPr>
        <w:t xml:space="preserve">cards were limited and inconsistent across card type, the process of marginal weighting (‘raking’ or ‘rim-weighting’) was the most appropriate approach.  The weights were developed by an iterative process such that all target sums of weights were met on the specific dimensions.  </w:t>
      </w:r>
      <w:r w:rsidR="00036CB0" w:rsidRPr="001D042C">
        <w:rPr>
          <w:lang w:val="en-AU"/>
        </w:rPr>
        <w:t xml:space="preserve"> (Some concession </w:t>
      </w:r>
      <w:r w:rsidR="001F4692">
        <w:rPr>
          <w:lang w:val="en-AU"/>
        </w:rPr>
        <w:t xml:space="preserve">card </w:t>
      </w:r>
      <w:r w:rsidR="00036CB0" w:rsidRPr="001D042C">
        <w:rPr>
          <w:lang w:val="en-AU"/>
        </w:rPr>
        <w:t xml:space="preserve">holders hold more than one concession, but for weighting purposes respondents need to be allocated to mutually exclusive categories.  Where publicly available information existed that indicated the size and nature of particular overlaps, this was used in developing and adjusting weighting targets.  For weighting purposes, a respondent can only be allocated to mutually exclusive categories, so for weighting purposes only, population targets were adjusted according to a set of priority rules </w:t>
      </w:r>
      <w:r w:rsidR="00036CB0" w:rsidRPr="001D042C">
        <w:rPr>
          <w:lang w:val="en-AU"/>
        </w:rPr>
        <w:lastRenderedPageBreak/>
        <w:t>so that they added to the total – i.e. so that the targets were themselves mutually exclusive.  Therefore some of the weighting targets will not reflect the publicly available figures.)</w:t>
      </w:r>
    </w:p>
    <w:p w14:paraId="69E1AA69" w14:textId="77777777" w:rsidR="00AE6445" w:rsidRPr="001D042C" w:rsidRDefault="00AE6445" w:rsidP="00AE6445">
      <w:pPr>
        <w:pStyle w:val="Para"/>
        <w:numPr>
          <w:ilvl w:val="0"/>
          <w:numId w:val="3"/>
        </w:numPr>
        <w:tabs>
          <w:tab w:val="clear" w:pos="927"/>
          <w:tab w:val="num" w:pos="851"/>
        </w:tabs>
        <w:spacing w:before="120"/>
        <w:rPr>
          <w:lang w:val="en-AU"/>
        </w:rPr>
      </w:pPr>
      <w:r w:rsidRPr="001D042C">
        <w:rPr>
          <w:lang w:val="en-AU"/>
        </w:rPr>
        <w:t xml:space="preserve">When the pseudo-respondent weights had been calculated, the household was assigned a preliminary weight equal to the mean of its members’ individual weights. Within each stratum, these preliminary household weights were then adjusted so as to represent the precise number of households in the stratum, by size of household. </w:t>
      </w:r>
    </w:p>
    <w:p w14:paraId="11537F79" w14:textId="77777777" w:rsidR="00AE6445" w:rsidRPr="001D042C" w:rsidRDefault="00AE6445" w:rsidP="00AE6445">
      <w:pPr>
        <w:pStyle w:val="Para"/>
        <w:numPr>
          <w:ilvl w:val="0"/>
          <w:numId w:val="3"/>
        </w:numPr>
        <w:tabs>
          <w:tab w:val="clear" w:pos="927"/>
          <w:tab w:val="num" w:pos="851"/>
        </w:tabs>
        <w:spacing w:before="120"/>
        <w:rPr>
          <w:lang w:val="en-AU"/>
        </w:rPr>
      </w:pPr>
      <w:r w:rsidRPr="001D042C">
        <w:rPr>
          <w:lang w:val="en-AU"/>
        </w:rPr>
        <w:t>The targets for this final weighting stage were derived from ABS data for 2014 and ABS 2011 Census data, as it was considered that the 2011 Census data, unadjusted, would be too out of date for a survey with a reference period of 2014.  The adjustment steps are summarized below:</w:t>
      </w:r>
    </w:p>
    <w:p w14:paraId="4B4E0C10" w14:textId="77777777" w:rsidR="00AE6445" w:rsidRPr="001D042C" w:rsidRDefault="00AE6445" w:rsidP="00AE6445">
      <w:pPr>
        <w:pStyle w:val="Para"/>
        <w:numPr>
          <w:ilvl w:val="0"/>
          <w:numId w:val="3"/>
        </w:numPr>
        <w:tabs>
          <w:tab w:val="clear" w:pos="927"/>
          <w:tab w:val="num" w:pos="2444"/>
        </w:tabs>
        <w:spacing w:before="120"/>
        <w:ind w:left="2444"/>
        <w:rPr>
          <w:lang w:val="en-AU"/>
        </w:rPr>
      </w:pPr>
      <w:r w:rsidRPr="001D042C">
        <w:rPr>
          <w:lang w:val="en-AU"/>
        </w:rPr>
        <w:t xml:space="preserve">ABS data for June 2014 shows the number of households in </w:t>
      </w:r>
      <w:smartTag w:uri="urn:schemas-microsoft-com:office:smarttags" w:element="State">
        <w:smartTag w:uri="urn:schemas-microsoft-com:office:smarttags" w:element="place">
          <w:r w:rsidRPr="001D042C">
            <w:rPr>
              <w:lang w:val="en-AU"/>
            </w:rPr>
            <w:t>Victoria</w:t>
          </w:r>
        </w:smartTag>
      </w:smartTag>
      <w:r w:rsidRPr="001D042C">
        <w:rPr>
          <w:lang w:val="en-AU"/>
        </w:rPr>
        <w:t xml:space="preserve"> to be 2,222,805. This figure was not adjusted.  Using ABS data for June 2014 showing total number of persons for each LGA, and ABS 2011 Census data for number of households by household size (1 person, 2 persons, 3 persons, 4+ persons) by LGA we calculated the population growth (or decline) for each LGA for the period 2011 to 2014, and applied that growth/decline to the number of households of each size for each LGA, adjusted to the known total of 2,222,805.</w:t>
      </w:r>
    </w:p>
    <w:p w14:paraId="0C31AA1E" w14:textId="77777777" w:rsidR="00AE6445" w:rsidRPr="001D042C" w:rsidRDefault="00AE6445" w:rsidP="00AE6445">
      <w:pPr>
        <w:pStyle w:val="Para"/>
        <w:rPr>
          <w:lang w:val="en-AU"/>
        </w:rPr>
      </w:pPr>
    </w:p>
    <w:p w14:paraId="6857EE61" w14:textId="0044FF12" w:rsidR="001D042C" w:rsidRPr="001D042C" w:rsidRDefault="001D042C" w:rsidP="001D042C">
      <w:pPr>
        <w:pStyle w:val="Para"/>
      </w:pPr>
      <w:r w:rsidRPr="001D042C">
        <w:t xml:space="preserve">It should be noted that some weighting assumptions concerning population targets have been slightly revised and corrected since the issue of the draft report in December 2015.  The data has been re-weighted on this basis, with the result that a few figures will be slightly different in this final report. </w:t>
      </w:r>
    </w:p>
    <w:p w14:paraId="1060E2E5" w14:textId="77777777" w:rsidR="00AE6445" w:rsidRPr="001D042C" w:rsidRDefault="00AE6445" w:rsidP="00AE6445">
      <w:pPr>
        <w:pStyle w:val="Para"/>
        <w:rPr>
          <w:lang w:val="en-AU"/>
        </w:rPr>
      </w:pPr>
    </w:p>
    <w:p w14:paraId="6FED34FE" w14:textId="63B1F7DA" w:rsidR="00AE6445" w:rsidRPr="001D042C" w:rsidRDefault="001D5691" w:rsidP="00AE6445">
      <w:pPr>
        <w:pStyle w:val="Para"/>
        <w:rPr>
          <w:lang w:val="en-AU"/>
        </w:rPr>
      </w:pPr>
      <w:r w:rsidRPr="001D042C">
        <w:rPr>
          <w:lang w:val="en-AU"/>
        </w:rPr>
        <w:t xml:space="preserve">The key figures used at various stages in the weighting are detailed on the following pages as Table 2.8 to Table 2.12 inclusive.  </w:t>
      </w:r>
    </w:p>
    <w:p w14:paraId="7A16F140" w14:textId="77777777" w:rsidR="00AE6445" w:rsidRPr="001D042C" w:rsidRDefault="00AE6445" w:rsidP="003F412E">
      <w:pPr>
        <w:pStyle w:val="Para"/>
        <w:keepNext/>
        <w:spacing w:after="120"/>
        <w:jc w:val="center"/>
        <w:rPr>
          <w:b/>
          <w:lang w:val="en-AU"/>
        </w:rPr>
      </w:pPr>
      <w:r w:rsidRPr="001D042C">
        <w:rPr>
          <w:b/>
          <w:lang w:val="en-AU"/>
        </w:rPr>
        <w:lastRenderedPageBreak/>
        <w:t xml:space="preserve">Table </w:t>
      </w:r>
      <w:r w:rsidR="0091303E" w:rsidRPr="001D042C">
        <w:rPr>
          <w:b/>
          <w:lang w:val="en-AU"/>
        </w:rPr>
        <w:t>2.8</w:t>
      </w:r>
      <w:r w:rsidRPr="001D042C">
        <w:rPr>
          <w:b/>
          <w:lang w:val="en-AU"/>
        </w:rPr>
        <w:t xml:space="preserve">: </w:t>
      </w:r>
      <w:r w:rsidRPr="001D042C">
        <w:rPr>
          <w:b/>
          <w:u w:val="single"/>
          <w:lang w:val="en-AU"/>
        </w:rPr>
        <w:t>Estimated number of persons by broad concession type by DHHS region, 2014</w:t>
      </w:r>
    </w:p>
    <w:tbl>
      <w:tblPr>
        <w:tblW w:w="88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800"/>
        <w:gridCol w:w="1538"/>
        <w:gridCol w:w="1403"/>
        <w:gridCol w:w="1401"/>
        <w:gridCol w:w="1687"/>
      </w:tblGrid>
      <w:tr w:rsidR="00AE6445" w:rsidRPr="001D042C" w14:paraId="543A98E3" w14:textId="77777777" w:rsidTr="003F412E">
        <w:trPr>
          <w:trHeight w:val="1500"/>
          <w:jc w:val="center"/>
        </w:trPr>
        <w:tc>
          <w:tcPr>
            <w:tcW w:w="2800" w:type="dxa"/>
            <w:shd w:val="clear" w:color="auto" w:fill="auto"/>
            <w:noWrap/>
            <w:vAlign w:val="bottom"/>
          </w:tcPr>
          <w:p w14:paraId="5D32238D" w14:textId="77777777" w:rsidR="00AE6445" w:rsidRPr="001D042C" w:rsidRDefault="00AE6445" w:rsidP="00AE6445">
            <w:pPr>
              <w:keepNext/>
              <w:spacing w:before="0" w:after="0"/>
              <w:rPr>
                <w:rFonts w:ascii="Arial" w:hAnsi="Arial" w:cs="Arial"/>
                <w:b/>
                <w:bCs/>
                <w:color w:val="000000"/>
                <w:sz w:val="20"/>
                <w:lang w:val="en-AU" w:eastAsia="en-AU"/>
              </w:rPr>
            </w:pPr>
            <w:r w:rsidRPr="001D042C">
              <w:rPr>
                <w:rFonts w:ascii="Arial" w:hAnsi="Arial" w:cs="Arial"/>
                <w:b/>
                <w:bCs/>
                <w:color w:val="000000"/>
                <w:sz w:val="20"/>
                <w:lang w:val="en-AU" w:eastAsia="en-AU"/>
              </w:rPr>
              <w:t>DHHS Region</w:t>
            </w:r>
          </w:p>
        </w:tc>
        <w:tc>
          <w:tcPr>
            <w:tcW w:w="1538" w:type="dxa"/>
            <w:shd w:val="clear" w:color="auto" w:fill="auto"/>
            <w:vAlign w:val="bottom"/>
          </w:tcPr>
          <w:p w14:paraId="678AC970" w14:textId="77777777" w:rsidR="00AE6445" w:rsidRPr="001D042C" w:rsidRDefault="00AE6445" w:rsidP="00AE6445">
            <w:pPr>
              <w:keepNext/>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persons with an aged concession</w:t>
            </w:r>
          </w:p>
        </w:tc>
        <w:tc>
          <w:tcPr>
            <w:tcW w:w="1403" w:type="dxa"/>
            <w:shd w:val="clear" w:color="auto" w:fill="auto"/>
            <w:vAlign w:val="bottom"/>
          </w:tcPr>
          <w:p w14:paraId="525EB922" w14:textId="77777777" w:rsidR="00AE6445" w:rsidRPr="001D042C" w:rsidRDefault="00AE6445" w:rsidP="00AE6445">
            <w:pPr>
              <w:keepNext/>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persons with a non-aged concession</w:t>
            </w:r>
          </w:p>
        </w:tc>
        <w:tc>
          <w:tcPr>
            <w:tcW w:w="1401" w:type="dxa"/>
            <w:shd w:val="clear" w:color="auto" w:fill="auto"/>
            <w:vAlign w:val="bottom"/>
          </w:tcPr>
          <w:p w14:paraId="16F13953" w14:textId="77777777" w:rsidR="00AE6445" w:rsidRPr="001D042C" w:rsidRDefault="00AE6445" w:rsidP="00AE6445">
            <w:pPr>
              <w:keepNext/>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persons without any relevant concession</w:t>
            </w:r>
          </w:p>
        </w:tc>
        <w:tc>
          <w:tcPr>
            <w:tcW w:w="1687" w:type="dxa"/>
            <w:shd w:val="clear" w:color="auto" w:fill="auto"/>
            <w:vAlign w:val="bottom"/>
          </w:tcPr>
          <w:p w14:paraId="3F30F52D" w14:textId="77777777" w:rsidR="00AE6445" w:rsidRPr="001D042C" w:rsidRDefault="00AE6445" w:rsidP="00AE6445">
            <w:pPr>
              <w:keepNext/>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2014  all persons</w:t>
            </w:r>
          </w:p>
        </w:tc>
      </w:tr>
      <w:tr w:rsidR="001D042C" w:rsidRPr="001D042C" w14:paraId="6B9FFD50" w14:textId="77777777" w:rsidTr="003F412E">
        <w:trPr>
          <w:trHeight w:val="300"/>
          <w:jc w:val="center"/>
        </w:trPr>
        <w:tc>
          <w:tcPr>
            <w:tcW w:w="2800" w:type="dxa"/>
            <w:shd w:val="clear" w:color="auto" w:fill="auto"/>
            <w:noWrap/>
            <w:vAlign w:val="bottom"/>
          </w:tcPr>
          <w:p w14:paraId="670818A0"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Barwon</w:t>
            </w:r>
          </w:p>
        </w:tc>
        <w:tc>
          <w:tcPr>
            <w:tcW w:w="1538" w:type="dxa"/>
            <w:shd w:val="clear" w:color="auto" w:fill="auto"/>
            <w:noWrap/>
            <w:vAlign w:val="bottom"/>
          </w:tcPr>
          <w:p w14:paraId="3CA59C00"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37,530</w:t>
            </w:r>
          </w:p>
        </w:tc>
        <w:tc>
          <w:tcPr>
            <w:tcW w:w="1403" w:type="dxa"/>
            <w:shd w:val="clear" w:color="auto" w:fill="auto"/>
            <w:noWrap/>
            <w:vAlign w:val="bottom"/>
          </w:tcPr>
          <w:p w14:paraId="385E78BA" w14:textId="77777777" w:rsidR="001D042C" w:rsidRPr="001D042C" w:rsidRDefault="001D042C">
            <w:pPr>
              <w:jc w:val="center"/>
              <w:rPr>
                <w:rFonts w:ascii="Arial" w:hAnsi="Arial" w:cs="Arial"/>
                <w:color w:val="000000"/>
                <w:sz w:val="20"/>
                <w:lang w:val="en-AU" w:eastAsia="en-AU"/>
              </w:rPr>
            </w:pPr>
            <w:r w:rsidRPr="001D042C">
              <w:rPr>
                <w:rFonts w:ascii="Arial" w:hAnsi="Arial" w:cs="Arial"/>
                <w:color w:val="000000"/>
                <w:sz w:val="20"/>
                <w:lang w:val="en-AU" w:eastAsia="en-AU"/>
              </w:rPr>
              <w:t>46,458</w:t>
            </w:r>
          </w:p>
        </w:tc>
        <w:tc>
          <w:tcPr>
            <w:tcW w:w="1401" w:type="dxa"/>
            <w:shd w:val="clear" w:color="auto" w:fill="auto"/>
            <w:noWrap/>
            <w:vAlign w:val="bottom"/>
          </w:tcPr>
          <w:p w14:paraId="1B4A5169" w14:textId="77777777" w:rsidR="001D042C" w:rsidRPr="001D042C" w:rsidRDefault="001D042C">
            <w:pPr>
              <w:jc w:val="center"/>
              <w:rPr>
                <w:rFonts w:ascii="Arial" w:hAnsi="Arial" w:cs="Arial"/>
                <w:color w:val="000000"/>
                <w:sz w:val="20"/>
                <w:lang w:val="en-AU" w:eastAsia="en-AU"/>
              </w:rPr>
            </w:pPr>
            <w:r w:rsidRPr="001D042C">
              <w:rPr>
                <w:rFonts w:ascii="Arial" w:hAnsi="Arial" w:cs="Arial"/>
                <w:color w:val="000000"/>
                <w:sz w:val="20"/>
                <w:lang w:val="en-AU" w:eastAsia="en-AU"/>
              </w:rPr>
              <w:t>192,984</w:t>
            </w:r>
          </w:p>
        </w:tc>
        <w:tc>
          <w:tcPr>
            <w:tcW w:w="1687" w:type="dxa"/>
            <w:shd w:val="clear" w:color="auto" w:fill="auto"/>
            <w:noWrap/>
            <w:vAlign w:val="bottom"/>
          </w:tcPr>
          <w:p w14:paraId="0D21FAD2"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276,972</w:t>
            </w:r>
          </w:p>
        </w:tc>
      </w:tr>
      <w:tr w:rsidR="001D042C" w:rsidRPr="001D042C" w14:paraId="5445DFA9" w14:textId="77777777" w:rsidTr="003F412E">
        <w:trPr>
          <w:trHeight w:val="300"/>
          <w:jc w:val="center"/>
        </w:trPr>
        <w:tc>
          <w:tcPr>
            <w:tcW w:w="2800" w:type="dxa"/>
            <w:shd w:val="clear" w:color="auto" w:fill="auto"/>
            <w:noWrap/>
            <w:vAlign w:val="bottom"/>
          </w:tcPr>
          <w:p w14:paraId="73C5DAA6"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Bayside </w:t>
            </w:r>
            <w:smartTag w:uri="urn:schemas-microsoft-com:office:smarttags" w:element="place">
              <w:r w:rsidRPr="001D042C">
                <w:rPr>
                  <w:rFonts w:ascii="Arial" w:hAnsi="Arial" w:cs="Arial"/>
                  <w:color w:val="000000"/>
                  <w:sz w:val="20"/>
                  <w:lang w:val="en-AU" w:eastAsia="en-AU"/>
                </w:rPr>
                <w:t>Peninsula</w:t>
              </w:r>
            </w:smartTag>
          </w:p>
        </w:tc>
        <w:tc>
          <w:tcPr>
            <w:tcW w:w="1538" w:type="dxa"/>
            <w:shd w:val="clear" w:color="auto" w:fill="auto"/>
            <w:noWrap/>
            <w:vAlign w:val="bottom"/>
          </w:tcPr>
          <w:p w14:paraId="0862046D"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91,169</w:t>
            </w:r>
          </w:p>
        </w:tc>
        <w:tc>
          <w:tcPr>
            <w:tcW w:w="1403" w:type="dxa"/>
            <w:shd w:val="clear" w:color="auto" w:fill="auto"/>
            <w:noWrap/>
            <w:vAlign w:val="bottom"/>
          </w:tcPr>
          <w:p w14:paraId="33506F4A"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97,635</w:t>
            </w:r>
          </w:p>
        </w:tc>
        <w:tc>
          <w:tcPr>
            <w:tcW w:w="1401" w:type="dxa"/>
            <w:shd w:val="clear" w:color="auto" w:fill="auto"/>
            <w:noWrap/>
            <w:vAlign w:val="bottom"/>
          </w:tcPr>
          <w:p w14:paraId="2FCA2B5F"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708,266</w:t>
            </w:r>
          </w:p>
        </w:tc>
        <w:tc>
          <w:tcPr>
            <w:tcW w:w="1687" w:type="dxa"/>
            <w:shd w:val="clear" w:color="auto" w:fill="auto"/>
            <w:noWrap/>
            <w:vAlign w:val="bottom"/>
          </w:tcPr>
          <w:p w14:paraId="79EEABE8"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897,070</w:t>
            </w:r>
          </w:p>
        </w:tc>
      </w:tr>
      <w:tr w:rsidR="001D042C" w:rsidRPr="001D042C" w14:paraId="29C4B77B" w14:textId="77777777" w:rsidTr="003F412E">
        <w:trPr>
          <w:trHeight w:val="300"/>
          <w:jc w:val="center"/>
        </w:trPr>
        <w:tc>
          <w:tcPr>
            <w:tcW w:w="2800" w:type="dxa"/>
            <w:shd w:val="clear" w:color="auto" w:fill="auto"/>
            <w:noWrap/>
            <w:vAlign w:val="bottom"/>
          </w:tcPr>
          <w:p w14:paraId="17A24451"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Brimbank Melton</w:t>
            </w:r>
          </w:p>
        </w:tc>
        <w:tc>
          <w:tcPr>
            <w:tcW w:w="1538" w:type="dxa"/>
            <w:shd w:val="clear" w:color="auto" w:fill="auto"/>
            <w:noWrap/>
            <w:vAlign w:val="bottom"/>
          </w:tcPr>
          <w:p w14:paraId="47239CCF"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29,166</w:t>
            </w:r>
          </w:p>
        </w:tc>
        <w:tc>
          <w:tcPr>
            <w:tcW w:w="1403" w:type="dxa"/>
            <w:shd w:val="clear" w:color="auto" w:fill="auto"/>
            <w:noWrap/>
            <w:vAlign w:val="bottom"/>
          </w:tcPr>
          <w:p w14:paraId="3C4392AE"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61,835</w:t>
            </w:r>
          </w:p>
        </w:tc>
        <w:tc>
          <w:tcPr>
            <w:tcW w:w="1401" w:type="dxa"/>
            <w:shd w:val="clear" w:color="auto" w:fill="auto"/>
            <w:noWrap/>
            <w:vAlign w:val="bottom"/>
          </w:tcPr>
          <w:p w14:paraId="075F031E"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234,419</w:t>
            </w:r>
          </w:p>
        </w:tc>
        <w:tc>
          <w:tcPr>
            <w:tcW w:w="1687" w:type="dxa"/>
            <w:shd w:val="clear" w:color="auto" w:fill="auto"/>
            <w:noWrap/>
            <w:vAlign w:val="bottom"/>
          </w:tcPr>
          <w:p w14:paraId="63074A92"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325,421</w:t>
            </w:r>
          </w:p>
        </w:tc>
      </w:tr>
      <w:tr w:rsidR="001D042C" w:rsidRPr="001D042C" w14:paraId="7A28A10C" w14:textId="77777777" w:rsidTr="003F412E">
        <w:trPr>
          <w:trHeight w:val="300"/>
          <w:jc w:val="center"/>
        </w:trPr>
        <w:tc>
          <w:tcPr>
            <w:tcW w:w="2800" w:type="dxa"/>
            <w:shd w:val="clear" w:color="auto" w:fill="auto"/>
            <w:noWrap/>
            <w:vAlign w:val="bottom"/>
          </w:tcPr>
          <w:p w14:paraId="7ABFA77F"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Central Highlands</w:t>
            </w:r>
          </w:p>
        </w:tc>
        <w:tc>
          <w:tcPr>
            <w:tcW w:w="1538" w:type="dxa"/>
            <w:shd w:val="clear" w:color="auto" w:fill="auto"/>
            <w:noWrap/>
            <w:vAlign w:val="bottom"/>
          </w:tcPr>
          <w:p w14:paraId="2589ADB9"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23,054</w:t>
            </w:r>
          </w:p>
        </w:tc>
        <w:tc>
          <w:tcPr>
            <w:tcW w:w="1403" w:type="dxa"/>
            <w:shd w:val="clear" w:color="auto" w:fill="auto"/>
            <w:noWrap/>
            <w:vAlign w:val="bottom"/>
          </w:tcPr>
          <w:p w14:paraId="2DDA4BFA"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33,971</w:t>
            </w:r>
          </w:p>
        </w:tc>
        <w:tc>
          <w:tcPr>
            <w:tcW w:w="1401" w:type="dxa"/>
            <w:shd w:val="clear" w:color="auto" w:fill="auto"/>
            <w:noWrap/>
            <w:vAlign w:val="bottom"/>
          </w:tcPr>
          <w:p w14:paraId="2AA19162"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127,803</w:t>
            </w:r>
          </w:p>
        </w:tc>
        <w:tc>
          <w:tcPr>
            <w:tcW w:w="1687" w:type="dxa"/>
            <w:shd w:val="clear" w:color="auto" w:fill="auto"/>
            <w:noWrap/>
            <w:vAlign w:val="bottom"/>
          </w:tcPr>
          <w:p w14:paraId="13533518"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184,828</w:t>
            </w:r>
          </w:p>
        </w:tc>
      </w:tr>
      <w:tr w:rsidR="001D042C" w:rsidRPr="001D042C" w14:paraId="2E97326E" w14:textId="77777777" w:rsidTr="003F412E">
        <w:trPr>
          <w:trHeight w:val="300"/>
          <w:jc w:val="center"/>
        </w:trPr>
        <w:tc>
          <w:tcPr>
            <w:tcW w:w="2800" w:type="dxa"/>
            <w:shd w:val="clear" w:color="auto" w:fill="auto"/>
            <w:noWrap/>
            <w:vAlign w:val="bottom"/>
          </w:tcPr>
          <w:p w14:paraId="03B74692"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Goulburn</w:t>
            </w:r>
          </w:p>
        </w:tc>
        <w:tc>
          <w:tcPr>
            <w:tcW w:w="1538" w:type="dxa"/>
            <w:shd w:val="clear" w:color="auto" w:fill="auto"/>
            <w:noWrap/>
            <w:vAlign w:val="bottom"/>
          </w:tcPr>
          <w:p w14:paraId="291AF03C"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20,991</w:t>
            </w:r>
          </w:p>
        </w:tc>
        <w:tc>
          <w:tcPr>
            <w:tcW w:w="1403" w:type="dxa"/>
            <w:shd w:val="clear" w:color="auto" w:fill="auto"/>
            <w:noWrap/>
            <w:vAlign w:val="bottom"/>
          </w:tcPr>
          <w:p w14:paraId="097EF32F"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28,144</w:t>
            </w:r>
          </w:p>
        </w:tc>
        <w:tc>
          <w:tcPr>
            <w:tcW w:w="1401" w:type="dxa"/>
            <w:shd w:val="clear" w:color="auto" w:fill="auto"/>
            <w:noWrap/>
            <w:vAlign w:val="bottom"/>
          </w:tcPr>
          <w:p w14:paraId="66440D31"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104,907</w:t>
            </w:r>
          </w:p>
        </w:tc>
        <w:tc>
          <w:tcPr>
            <w:tcW w:w="1687" w:type="dxa"/>
            <w:shd w:val="clear" w:color="auto" w:fill="auto"/>
            <w:noWrap/>
            <w:vAlign w:val="bottom"/>
          </w:tcPr>
          <w:p w14:paraId="5BBAF6B4"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154,042</w:t>
            </w:r>
          </w:p>
        </w:tc>
      </w:tr>
      <w:tr w:rsidR="001D042C" w:rsidRPr="001D042C" w14:paraId="5CD619AE" w14:textId="77777777" w:rsidTr="003F412E">
        <w:trPr>
          <w:trHeight w:val="300"/>
          <w:jc w:val="center"/>
        </w:trPr>
        <w:tc>
          <w:tcPr>
            <w:tcW w:w="2800" w:type="dxa"/>
            <w:shd w:val="clear" w:color="auto" w:fill="auto"/>
            <w:noWrap/>
            <w:vAlign w:val="bottom"/>
          </w:tcPr>
          <w:p w14:paraId="79767408"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Hume Moreland</w:t>
            </w:r>
          </w:p>
        </w:tc>
        <w:tc>
          <w:tcPr>
            <w:tcW w:w="1538" w:type="dxa"/>
            <w:shd w:val="clear" w:color="auto" w:fill="auto"/>
            <w:noWrap/>
            <w:vAlign w:val="bottom"/>
          </w:tcPr>
          <w:p w14:paraId="504E6173"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33,794</w:t>
            </w:r>
          </w:p>
        </w:tc>
        <w:tc>
          <w:tcPr>
            <w:tcW w:w="1403" w:type="dxa"/>
            <w:shd w:val="clear" w:color="auto" w:fill="auto"/>
            <w:noWrap/>
            <w:vAlign w:val="bottom"/>
          </w:tcPr>
          <w:p w14:paraId="69FD4D12"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62,933</w:t>
            </w:r>
          </w:p>
        </w:tc>
        <w:tc>
          <w:tcPr>
            <w:tcW w:w="1401" w:type="dxa"/>
            <w:shd w:val="clear" w:color="auto" w:fill="auto"/>
            <w:noWrap/>
            <w:vAlign w:val="bottom"/>
          </w:tcPr>
          <w:p w14:paraId="358292A4"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255,639</w:t>
            </w:r>
          </w:p>
        </w:tc>
        <w:tc>
          <w:tcPr>
            <w:tcW w:w="1687" w:type="dxa"/>
            <w:shd w:val="clear" w:color="auto" w:fill="auto"/>
            <w:noWrap/>
            <w:vAlign w:val="bottom"/>
          </w:tcPr>
          <w:p w14:paraId="6D407504"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352,365</w:t>
            </w:r>
          </w:p>
        </w:tc>
      </w:tr>
      <w:tr w:rsidR="001D042C" w:rsidRPr="001D042C" w14:paraId="3C6AE675" w14:textId="77777777" w:rsidTr="003F412E">
        <w:trPr>
          <w:trHeight w:val="300"/>
          <w:jc w:val="center"/>
        </w:trPr>
        <w:tc>
          <w:tcPr>
            <w:tcW w:w="2800" w:type="dxa"/>
            <w:shd w:val="clear" w:color="auto" w:fill="auto"/>
            <w:noWrap/>
            <w:vAlign w:val="bottom"/>
          </w:tcPr>
          <w:p w14:paraId="1CA41289"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Inner </w:t>
            </w:r>
            <w:smartTag w:uri="urn:schemas-microsoft-com:office:smarttags" w:element="place">
              <w:r w:rsidRPr="001D042C">
                <w:rPr>
                  <w:rFonts w:ascii="Arial" w:hAnsi="Arial" w:cs="Arial"/>
                  <w:color w:val="000000"/>
                  <w:sz w:val="20"/>
                  <w:lang w:val="en-AU" w:eastAsia="en-AU"/>
                </w:rPr>
                <w:t>Eastern Melbourne</w:t>
              </w:r>
            </w:smartTag>
          </w:p>
        </w:tc>
        <w:tc>
          <w:tcPr>
            <w:tcW w:w="1538" w:type="dxa"/>
            <w:shd w:val="clear" w:color="auto" w:fill="auto"/>
            <w:noWrap/>
            <w:vAlign w:val="bottom"/>
          </w:tcPr>
          <w:p w14:paraId="5D67E1F1"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64,672</w:t>
            </w:r>
          </w:p>
        </w:tc>
        <w:tc>
          <w:tcPr>
            <w:tcW w:w="1403" w:type="dxa"/>
            <w:shd w:val="clear" w:color="auto" w:fill="auto"/>
            <w:noWrap/>
            <w:vAlign w:val="bottom"/>
          </w:tcPr>
          <w:p w14:paraId="7553C206"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56,634</w:t>
            </w:r>
          </w:p>
        </w:tc>
        <w:tc>
          <w:tcPr>
            <w:tcW w:w="1401" w:type="dxa"/>
            <w:shd w:val="clear" w:color="auto" w:fill="auto"/>
            <w:noWrap/>
            <w:vAlign w:val="bottom"/>
          </w:tcPr>
          <w:p w14:paraId="29475A77"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518,644</w:t>
            </w:r>
          </w:p>
        </w:tc>
        <w:tc>
          <w:tcPr>
            <w:tcW w:w="1687" w:type="dxa"/>
            <w:shd w:val="clear" w:color="auto" w:fill="auto"/>
            <w:noWrap/>
            <w:vAlign w:val="bottom"/>
          </w:tcPr>
          <w:p w14:paraId="31664B7E"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639,950</w:t>
            </w:r>
          </w:p>
        </w:tc>
      </w:tr>
      <w:tr w:rsidR="001D042C" w:rsidRPr="001D042C" w14:paraId="66EE91EB" w14:textId="77777777" w:rsidTr="003F412E">
        <w:trPr>
          <w:trHeight w:val="300"/>
          <w:jc w:val="center"/>
        </w:trPr>
        <w:tc>
          <w:tcPr>
            <w:tcW w:w="2800" w:type="dxa"/>
            <w:shd w:val="clear" w:color="auto" w:fill="auto"/>
            <w:noWrap/>
            <w:vAlign w:val="bottom"/>
          </w:tcPr>
          <w:p w14:paraId="6C17ED7E"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Inner Gippsland</w:t>
            </w:r>
          </w:p>
        </w:tc>
        <w:tc>
          <w:tcPr>
            <w:tcW w:w="1538" w:type="dxa"/>
            <w:shd w:val="clear" w:color="auto" w:fill="auto"/>
            <w:noWrap/>
            <w:vAlign w:val="bottom"/>
          </w:tcPr>
          <w:p w14:paraId="6CFEF68D"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27,073</w:t>
            </w:r>
          </w:p>
        </w:tc>
        <w:tc>
          <w:tcPr>
            <w:tcW w:w="1403" w:type="dxa"/>
            <w:shd w:val="clear" w:color="auto" w:fill="auto"/>
            <w:noWrap/>
            <w:vAlign w:val="bottom"/>
          </w:tcPr>
          <w:p w14:paraId="0C458220"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34,275</w:t>
            </w:r>
          </w:p>
        </w:tc>
        <w:tc>
          <w:tcPr>
            <w:tcW w:w="1401" w:type="dxa"/>
            <w:shd w:val="clear" w:color="auto" w:fill="auto"/>
            <w:noWrap/>
            <w:vAlign w:val="bottom"/>
          </w:tcPr>
          <w:p w14:paraId="619DC5B0"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117,833</w:t>
            </w:r>
          </w:p>
        </w:tc>
        <w:tc>
          <w:tcPr>
            <w:tcW w:w="1687" w:type="dxa"/>
            <w:shd w:val="clear" w:color="auto" w:fill="auto"/>
            <w:noWrap/>
            <w:vAlign w:val="bottom"/>
          </w:tcPr>
          <w:p w14:paraId="7CB5D663"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179,181</w:t>
            </w:r>
          </w:p>
        </w:tc>
      </w:tr>
      <w:tr w:rsidR="001D042C" w:rsidRPr="001D042C" w14:paraId="2BD6EE76" w14:textId="77777777" w:rsidTr="003F412E">
        <w:trPr>
          <w:trHeight w:val="300"/>
          <w:jc w:val="center"/>
        </w:trPr>
        <w:tc>
          <w:tcPr>
            <w:tcW w:w="2800" w:type="dxa"/>
            <w:shd w:val="clear" w:color="auto" w:fill="auto"/>
            <w:noWrap/>
            <w:vAlign w:val="bottom"/>
          </w:tcPr>
          <w:p w14:paraId="6960CB3F"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Loddon</w:t>
            </w:r>
          </w:p>
        </w:tc>
        <w:tc>
          <w:tcPr>
            <w:tcW w:w="1538" w:type="dxa"/>
            <w:shd w:val="clear" w:color="auto" w:fill="auto"/>
            <w:noWrap/>
            <w:vAlign w:val="bottom"/>
          </w:tcPr>
          <w:p w14:paraId="416218C9"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31,756</w:t>
            </w:r>
          </w:p>
        </w:tc>
        <w:tc>
          <w:tcPr>
            <w:tcW w:w="1403" w:type="dxa"/>
            <w:shd w:val="clear" w:color="auto" w:fill="auto"/>
            <w:noWrap/>
            <w:vAlign w:val="bottom"/>
          </w:tcPr>
          <w:p w14:paraId="6B5DBC3F"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41,215</w:t>
            </w:r>
          </w:p>
        </w:tc>
        <w:tc>
          <w:tcPr>
            <w:tcW w:w="1401" w:type="dxa"/>
            <w:shd w:val="clear" w:color="auto" w:fill="auto"/>
            <w:noWrap/>
            <w:vAlign w:val="bottom"/>
          </w:tcPr>
          <w:p w14:paraId="060BA5F1"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153,699</w:t>
            </w:r>
          </w:p>
        </w:tc>
        <w:tc>
          <w:tcPr>
            <w:tcW w:w="1687" w:type="dxa"/>
            <w:shd w:val="clear" w:color="auto" w:fill="auto"/>
            <w:noWrap/>
            <w:vAlign w:val="bottom"/>
          </w:tcPr>
          <w:p w14:paraId="07E9B525"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226,669</w:t>
            </w:r>
          </w:p>
        </w:tc>
      </w:tr>
      <w:tr w:rsidR="001D042C" w:rsidRPr="001D042C" w14:paraId="56F51235" w14:textId="77777777" w:rsidTr="003F412E">
        <w:trPr>
          <w:trHeight w:val="300"/>
          <w:jc w:val="center"/>
        </w:trPr>
        <w:tc>
          <w:tcPr>
            <w:tcW w:w="2800" w:type="dxa"/>
            <w:shd w:val="clear" w:color="auto" w:fill="auto"/>
            <w:noWrap/>
            <w:vAlign w:val="bottom"/>
          </w:tcPr>
          <w:p w14:paraId="6F86EA2C"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Mallee</w:t>
            </w:r>
          </w:p>
        </w:tc>
        <w:tc>
          <w:tcPr>
            <w:tcW w:w="1538" w:type="dxa"/>
            <w:shd w:val="clear" w:color="auto" w:fill="auto"/>
            <w:noWrap/>
            <w:vAlign w:val="bottom"/>
          </w:tcPr>
          <w:p w14:paraId="25D29ADD"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13,312</w:t>
            </w:r>
          </w:p>
        </w:tc>
        <w:tc>
          <w:tcPr>
            <w:tcW w:w="1403" w:type="dxa"/>
            <w:shd w:val="clear" w:color="auto" w:fill="auto"/>
            <w:noWrap/>
            <w:vAlign w:val="bottom"/>
          </w:tcPr>
          <w:p w14:paraId="1B8BD3F3"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18,682</w:t>
            </w:r>
          </w:p>
        </w:tc>
        <w:tc>
          <w:tcPr>
            <w:tcW w:w="1401" w:type="dxa"/>
            <w:shd w:val="clear" w:color="auto" w:fill="auto"/>
            <w:noWrap/>
            <w:vAlign w:val="bottom"/>
          </w:tcPr>
          <w:p w14:paraId="5E4EC593"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57,864</w:t>
            </w:r>
          </w:p>
        </w:tc>
        <w:tc>
          <w:tcPr>
            <w:tcW w:w="1687" w:type="dxa"/>
            <w:shd w:val="clear" w:color="auto" w:fill="auto"/>
            <w:noWrap/>
            <w:vAlign w:val="bottom"/>
          </w:tcPr>
          <w:p w14:paraId="0EFE905E"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89,858</w:t>
            </w:r>
          </w:p>
        </w:tc>
      </w:tr>
      <w:tr w:rsidR="001D042C" w:rsidRPr="001D042C" w14:paraId="05AE3995" w14:textId="77777777" w:rsidTr="003F412E">
        <w:trPr>
          <w:trHeight w:val="300"/>
          <w:jc w:val="center"/>
        </w:trPr>
        <w:tc>
          <w:tcPr>
            <w:tcW w:w="2800" w:type="dxa"/>
            <w:shd w:val="clear" w:color="auto" w:fill="auto"/>
            <w:noWrap/>
            <w:vAlign w:val="bottom"/>
          </w:tcPr>
          <w:p w14:paraId="12C84D9A"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North Eastern Melbourne</w:t>
            </w:r>
          </w:p>
        </w:tc>
        <w:tc>
          <w:tcPr>
            <w:tcW w:w="1538" w:type="dxa"/>
            <w:shd w:val="clear" w:color="auto" w:fill="auto"/>
            <w:noWrap/>
            <w:vAlign w:val="bottom"/>
          </w:tcPr>
          <w:p w14:paraId="2955D853"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57,014</w:t>
            </w:r>
          </w:p>
        </w:tc>
        <w:tc>
          <w:tcPr>
            <w:tcW w:w="1403" w:type="dxa"/>
            <w:shd w:val="clear" w:color="auto" w:fill="auto"/>
            <w:noWrap/>
            <w:vAlign w:val="bottom"/>
          </w:tcPr>
          <w:p w14:paraId="5D58B7A6"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83,626</w:t>
            </w:r>
          </w:p>
        </w:tc>
        <w:tc>
          <w:tcPr>
            <w:tcW w:w="1401" w:type="dxa"/>
            <w:shd w:val="clear" w:color="auto" w:fill="auto"/>
            <w:noWrap/>
            <w:vAlign w:val="bottom"/>
          </w:tcPr>
          <w:p w14:paraId="2F8A50CB"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470,054</w:t>
            </w:r>
          </w:p>
        </w:tc>
        <w:tc>
          <w:tcPr>
            <w:tcW w:w="1687" w:type="dxa"/>
            <w:shd w:val="clear" w:color="auto" w:fill="auto"/>
            <w:noWrap/>
            <w:vAlign w:val="bottom"/>
          </w:tcPr>
          <w:p w14:paraId="684A4E64"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610,694</w:t>
            </w:r>
          </w:p>
        </w:tc>
      </w:tr>
      <w:tr w:rsidR="001D042C" w:rsidRPr="001D042C" w14:paraId="0391A419" w14:textId="77777777" w:rsidTr="003F412E">
        <w:trPr>
          <w:trHeight w:val="300"/>
          <w:jc w:val="center"/>
        </w:trPr>
        <w:tc>
          <w:tcPr>
            <w:tcW w:w="2800" w:type="dxa"/>
            <w:shd w:val="clear" w:color="auto" w:fill="auto"/>
            <w:noWrap/>
            <w:vAlign w:val="bottom"/>
          </w:tcPr>
          <w:p w14:paraId="07E3C826"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Outer </w:t>
            </w:r>
            <w:smartTag w:uri="urn:schemas-microsoft-com:office:smarttags" w:element="place">
              <w:r w:rsidRPr="001D042C">
                <w:rPr>
                  <w:rFonts w:ascii="Arial" w:hAnsi="Arial" w:cs="Arial"/>
                  <w:color w:val="000000"/>
                  <w:sz w:val="20"/>
                  <w:lang w:val="en-AU" w:eastAsia="en-AU"/>
                </w:rPr>
                <w:t>Eastern Melbourne</w:t>
              </w:r>
            </w:smartTag>
          </w:p>
        </w:tc>
        <w:tc>
          <w:tcPr>
            <w:tcW w:w="1538" w:type="dxa"/>
            <w:shd w:val="clear" w:color="auto" w:fill="auto"/>
            <w:noWrap/>
            <w:vAlign w:val="bottom"/>
          </w:tcPr>
          <w:p w14:paraId="48820410"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45,518</w:t>
            </w:r>
          </w:p>
        </w:tc>
        <w:tc>
          <w:tcPr>
            <w:tcW w:w="1403" w:type="dxa"/>
            <w:shd w:val="clear" w:color="auto" w:fill="auto"/>
            <w:noWrap/>
            <w:vAlign w:val="bottom"/>
          </w:tcPr>
          <w:p w14:paraId="3EE2C4BC"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53,445</w:t>
            </w:r>
          </w:p>
        </w:tc>
        <w:tc>
          <w:tcPr>
            <w:tcW w:w="1401" w:type="dxa"/>
            <w:shd w:val="clear" w:color="auto" w:fill="auto"/>
            <w:noWrap/>
            <w:vAlign w:val="bottom"/>
          </w:tcPr>
          <w:p w14:paraId="1CA241DB"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317,921</w:t>
            </w:r>
          </w:p>
        </w:tc>
        <w:tc>
          <w:tcPr>
            <w:tcW w:w="1687" w:type="dxa"/>
            <w:shd w:val="clear" w:color="auto" w:fill="auto"/>
            <w:noWrap/>
            <w:vAlign w:val="bottom"/>
          </w:tcPr>
          <w:p w14:paraId="17C53512"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416,883</w:t>
            </w:r>
          </w:p>
        </w:tc>
      </w:tr>
      <w:tr w:rsidR="001D042C" w:rsidRPr="001D042C" w14:paraId="11AA519E" w14:textId="77777777" w:rsidTr="003F412E">
        <w:trPr>
          <w:trHeight w:val="300"/>
          <w:jc w:val="center"/>
        </w:trPr>
        <w:tc>
          <w:tcPr>
            <w:tcW w:w="2800" w:type="dxa"/>
            <w:shd w:val="clear" w:color="auto" w:fill="auto"/>
            <w:noWrap/>
            <w:vAlign w:val="bottom"/>
          </w:tcPr>
          <w:p w14:paraId="0550FB2C"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Outer Gippsland</w:t>
            </w:r>
          </w:p>
        </w:tc>
        <w:tc>
          <w:tcPr>
            <w:tcW w:w="1538" w:type="dxa"/>
            <w:shd w:val="clear" w:color="auto" w:fill="auto"/>
            <w:noWrap/>
            <w:vAlign w:val="bottom"/>
          </w:tcPr>
          <w:p w14:paraId="0EC08148"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14,821</w:t>
            </w:r>
          </w:p>
        </w:tc>
        <w:tc>
          <w:tcPr>
            <w:tcW w:w="1403" w:type="dxa"/>
            <w:shd w:val="clear" w:color="auto" w:fill="auto"/>
            <w:noWrap/>
            <w:vAlign w:val="bottom"/>
          </w:tcPr>
          <w:p w14:paraId="0A2C66C6"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17,132</w:t>
            </w:r>
          </w:p>
        </w:tc>
        <w:tc>
          <w:tcPr>
            <w:tcW w:w="1401" w:type="dxa"/>
            <w:shd w:val="clear" w:color="auto" w:fill="auto"/>
            <w:noWrap/>
            <w:vAlign w:val="bottom"/>
          </w:tcPr>
          <w:p w14:paraId="646F7592"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54,049</w:t>
            </w:r>
          </w:p>
        </w:tc>
        <w:tc>
          <w:tcPr>
            <w:tcW w:w="1687" w:type="dxa"/>
            <w:shd w:val="clear" w:color="auto" w:fill="auto"/>
            <w:noWrap/>
            <w:vAlign w:val="bottom"/>
          </w:tcPr>
          <w:p w14:paraId="22FE525C"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86,002</w:t>
            </w:r>
          </w:p>
        </w:tc>
      </w:tr>
      <w:tr w:rsidR="001D042C" w:rsidRPr="001D042C" w14:paraId="1D242ACC" w14:textId="77777777" w:rsidTr="003F412E">
        <w:trPr>
          <w:trHeight w:val="300"/>
          <w:jc w:val="center"/>
        </w:trPr>
        <w:tc>
          <w:tcPr>
            <w:tcW w:w="2800" w:type="dxa"/>
            <w:shd w:val="clear" w:color="auto" w:fill="auto"/>
            <w:noWrap/>
            <w:vAlign w:val="bottom"/>
          </w:tcPr>
          <w:p w14:paraId="4E09C4BB"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Ovens </w:t>
            </w:r>
            <w:smartTag w:uri="urn:schemas-microsoft-com:office:smarttags" w:element="City">
              <w:smartTag w:uri="urn:schemas-microsoft-com:office:smarttags" w:element="place">
                <w:r w:rsidRPr="001D042C">
                  <w:rPr>
                    <w:rFonts w:ascii="Arial" w:hAnsi="Arial" w:cs="Arial"/>
                    <w:color w:val="000000"/>
                    <w:sz w:val="20"/>
                    <w:lang w:val="en-AU" w:eastAsia="en-AU"/>
                  </w:rPr>
                  <w:t>Murray</w:t>
                </w:r>
              </w:smartTag>
            </w:smartTag>
          </w:p>
        </w:tc>
        <w:tc>
          <w:tcPr>
            <w:tcW w:w="1538" w:type="dxa"/>
            <w:shd w:val="clear" w:color="auto" w:fill="auto"/>
            <w:noWrap/>
            <w:vAlign w:val="bottom"/>
          </w:tcPr>
          <w:p w14:paraId="67CD2BD3"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17,761</w:t>
            </w:r>
          </w:p>
        </w:tc>
        <w:tc>
          <w:tcPr>
            <w:tcW w:w="1403" w:type="dxa"/>
            <w:shd w:val="clear" w:color="auto" w:fill="auto"/>
            <w:noWrap/>
            <w:vAlign w:val="bottom"/>
          </w:tcPr>
          <w:p w14:paraId="45171B17"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20,190</w:t>
            </w:r>
          </w:p>
        </w:tc>
        <w:tc>
          <w:tcPr>
            <w:tcW w:w="1401" w:type="dxa"/>
            <w:shd w:val="clear" w:color="auto" w:fill="auto"/>
            <w:noWrap/>
            <w:vAlign w:val="bottom"/>
          </w:tcPr>
          <w:p w14:paraId="2277083D"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82,362</w:t>
            </w:r>
          </w:p>
        </w:tc>
        <w:tc>
          <w:tcPr>
            <w:tcW w:w="1687" w:type="dxa"/>
            <w:shd w:val="clear" w:color="auto" w:fill="auto"/>
            <w:noWrap/>
            <w:vAlign w:val="bottom"/>
          </w:tcPr>
          <w:p w14:paraId="4B83DF8E"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120,313</w:t>
            </w:r>
          </w:p>
        </w:tc>
      </w:tr>
      <w:tr w:rsidR="001D042C" w:rsidRPr="001D042C" w14:paraId="0877F406" w14:textId="77777777" w:rsidTr="003F412E">
        <w:trPr>
          <w:trHeight w:val="300"/>
          <w:jc w:val="center"/>
        </w:trPr>
        <w:tc>
          <w:tcPr>
            <w:tcW w:w="2800" w:type="dxa"/>
            <w:shd w:val="clear" w:color="auto" w:fill="auto"/>
            <w:noWrap/>
            <w:vAlign w:val="bottom"/>
          </w:tcPr>
          <w:p w14:paraId="0F8A9048" w14:textId="77777777" w:rsidR="001D042C" w:rsidRPr="001D042C" w:rsidRDefault="001D042C" w:rsidP="00AE6445">
            <w:pPr>
              <w:keepNext/>
              <w:spacing w:before="0" w:after="0"/>
              <w:rPr>
                <w:rFonts w:ascii="Arial" w:hAnsi="Arial" w:cs="Arial"/>
                <w:color w:val="000000"/>
                <w:sz w:val="20"/>
                <w:lang w:val="en-AU" w:eastAsia="en-AU"/>
              </w:rPr>
            </w:pPr>
            <w:smartTag w:uri="urn:schemas-microsoft-com:office:smarttags" w:element="place">
              <w:r w:rsidRPr="001D042C">
                <w:rPr>
                  <w:rFonts w:ascii="Arial" w:hAnsi="Arial" w:cs="Arial"/>
                  <w:color w:val="000000"/>
                  <w:sz w:val="20"/>
                  <w:lang w:val="en-AU" w:eastAsia="en-AU"/>
                </w:rPr>
                <w:t>Southern Melbourne</w:t>
              </w:r>
            </w:smartTag>
          </w:p>
        </w:tc>
        <w:tc>
          <w:tcPr>
            <w:tcW w:w="1538" w:type="dxa"/>
            <w:shd w:val="clear" w:color="auto" w:fill="auto"/>
            <w:noWrap/>
            <w:vAlign w:val="bottom"/>
          </w:tcPr>
          <w:p w14:paraId="51CDC829"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47,051</w:t>
            </w:r>
          </w:p>
        </w:tc>
        <w:tc>
          <w:tcPr>
            <w:tcW w:w="1403" w:type="dxa"/>
            <w:shd w:val="clear" w:color="auto" w:fill="auto"/>
            <w:noWrap/>
            <w:vAlign w:val="bottom"/>
          </w:tcPr>
          <w:p w14:paraId="5E84BAF6"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88,360</w:t>
            </w:r>
          </w:p>
        </w:tc>
        <w:tc>
          <w:tcPr>
            <w:tcW w:w="1401" w:type="dxa"/>
            <w:shd w:val="clear" w:color="auto" w:fill="auto"/>
            <w:noWrap/>
            <w:vAlign w:val="bottom"/>
          </w:tcPr>
          <w:p w14:paraId="2505690D"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384,598</w:t>
            </w:r>
          </w:p>
        </w:tc>
        <w:tc>
          <w:tcPr>
            <w:tcW w:w="1687" w:type="dxa"/>
            <w:shd w:val="clear" w:color="auto" w:fill="auto"/>
            <w:noWrap/>
            <w:vAlign w:val="bottom"/>
          </w:tcPr>
          <w:p w14:paraId="5B9BF0F6"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520,009</w:t>
            </w:r>
          </w:p>
        </w:tc>
      </w:tr>
      <w:tr w:rsidR="001D042C" w:rsidRPr="001D042C" w14:paraId="7CCEC692" w14:textId="77777777" w:rsidTr="003F412E">
        <w:trPr>
          <w:trHeight w:val="300"/>
          <w:jc w:val="center"/>
        </w:trPr>
        <w:tc>
          <w:tcPr>
            <w:tcW w:w="2800" w:type="dxa"/>
            <w:shd w:val="clear" w:color="auto" w:fill="auto"/>
            <w:noWrap/>
            <w:vAlign w:val="bottom"/>
          </w:tcPr>
          <w:p w14:paraId="7CD937CF" w14:textId="77777777" w:rsidR="001D042C" w:rsidRPr="001D042C" w:rsidRDefault="001D042C" w:rsidP="00AE6445">
            <w:pPr>
              <w:keepNext/>
              <w:spacing w:before="0" w:after="0"/>
              <w:rPr>
                <w:rFonts w:ascii="Arial" w:hAnsi="Arial" w:cs="Arial"/>
                <w:color w:val="000000"/>
                <w:sz w:val="20"/>
                <w:lang w:val="en-AU" w:eastAsia="en-AU"/>
              </w:rPr>
            </w:pPr>
            <w:r w:rsidRPr="001D042C">
              <w:rPr>
                <w:rFonts w:ascii="Arial" w:hAnsi="Arial" w:cs="Arial"/>
                <w:color w:val="000000"/>
                <w:sz w:val="20"/>
                <w:lang w:val="en-AU" w:eastAsia="en-AU"/>
              </w:rPr>
              <w:t>Western District</w:t>
            </w:r>
          </w:p>
        </w:tc>
        <w:tc>
          <w:tcPr>
            <w:tcW w:w="1538" w:type="dxa"/>
            <w:shd w:val="clear" w:color="auto" w:fill="auto"/>
            <w:noWrap/>
            <w:vAlign w:val="bottom"/>
          </w:tcPr>
          <w:p w14:paraId="343EF1CB"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21,572</w:t>
            </w:r>
          </w:p>
        </w:tc>
        <w:tc>
          <w:tcPr>
            <w:tcW w:w="1403" w:type="dxa"/>
            <w:shd w:val="clear" w:color="auto" w:fill="auto"/>
            <w:noWrap/>
            <w:vAlign w:val="bottom"/>
          </w:tcPr>
          <w:p w14:paraId="6DCEBA4E"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26,723</w:t>
            </w:r>
          </w:p>
        </w:tc>
        <w:tc>
          <w:tcPr>
            <w:tcW w:w="1401" w:type="dxa"/>
            <w:shd w:val="clear" w:color="auto" w:fill="auto"/>
            <w:noWrap/>
            <w:vAlign w:val="bottom"/>
          </w:tcPr>
          <w:p w14:paraId="2ECE4011"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100,769</w:t>
            </w:r>
          </w:p>
        </w:tc>
        <w:tc>
          <w:tcPr>
            <w:tcW w:w="1687" w:type="dxa"/>
            <w:shd w:val="clear" w:color="auto" w:fill="auto"/>
            <w:noWrap/>
            <w:vAlign w:val="bottom"/>
          </w:tcPr>
          <w:p w14:paraId="397C9E39"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149,064</w:t>
            </w:r>
          </w:p>
        </w:tc>
      </w:tr>
      <w:tr w:rsidR="001D042C" w:rsidRPr="001D042C" w14:paraId="36A79F40" w14:textId="77777777" w:rsidTr="003F412E">
        <w:trPr>
          <w:trHeight w:val="300"/>
          <w:jc w:val="center"/>
        </w:trPr>
        <w:tc>
          <w:tcPr>
            <w:tcW w:w="2800" w:type="dxa"/>
            <w:shd w:val="clear" w:color="auto" w:fill="auto"/>
            <w:noWrap/>
            <w:vAlign w:val="bottom"/>
          </w:tcPr>
          <w:p w14:paraId="23A4D563" w14:textId="77777777" w:rsidR="001D042C" w:rsidRPr="001D042C" w:rsidRDefault="001D042C" w:rsidP="00AE6445">
            <w:pPr>
              <w:keepNext/>
              <w:spacing w:before="0" w:after="0"/>
              <w:rPr>
                <w:rFonts w:ascii="Arial" w:hAnsi="Arial" w:cs="Arial"/>
                <w:color w:val="000000"/>
                <w:sz w:val="20"/>
                <w:lang w:val="en-AU" w:eastAsia="en-AU"/>
              </w:rPr>
            </w:pPr>
            <w:smartTag w:uri="urn:schemas-microsoft-com:office:smarttags" w:element="place">
              <w:r w:rsidRPr="001D042C">
                <w:rPr>
                  <w:rFonts w:ascii="Arial" w:hAnsi="Arial" w:cs="Arial"/>
                  <w:color w:val="000000"/>
                  <w:sz w:val="20"/>
                  <w:lang w:val="en-AU" w:eastAsia="en-AU"/>
                </w:rPr>
                <w:t>Western Melbourne</w:t>
              </w:r>
            </w:smartTag>
          </w:p>
        </w:tc>
        <w:tc>
          <w:tcPr>
            <w:tcW w:w="1538" w:type="dxa"/>
            <w:shd w:val="clear" w:color="auto" w:fill="auto"/>
            <w:noWrap/>
            <w:vAlign w:val="bottom"/>
          </w:tcPr>
          <w:p w14:paraId="059B04AB"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43,673</w:t>
            </w:r>
          </w:p>
        </w:tc>
        <w:tc>
          <w:tcPr>
            <w:tcW w:w="1403" w:type="dxa"/>
            <w:shd w:val="clear" w:color="auto" w:fill="auto"/>
            <w:noWrap/>
            <w:vAlign w:val="bottom"/>
          </w:tcPr>
          <w:p w14:paraId="270ED576"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77,377</w:t>
            </w:r>
          </w:p>
        </w:tc>
        <w:tc>
          <w:tcPr>
            <w:tcW w:w="1401" w:type="dxa"/>
            <w:shd w:val="clear" w:color="auto" w:fill="auto"/>
            <w:noWrap/>
            <w:vAlign w:val="bottom"/>
          </w:tcPr>
          <w:p w14:paraId="7F1FD253"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491,296</w:t>
            </w:r>
          </w:p>
        </w:tc>
        <w:tc>
          <w:tcPr>
            <w:tcW w:w="1687" w:type="dxa"/>
            <w:shd w:val="clear" w:color="auto" w:fill="auto"/>
            <w:noWrap/>
            <w:vAlign w:val="bottom"/>
          </w:tcPr>
          <w:p w14:paraId="02D4BEC8" w14:textId="77777777" w:rsidR="001D042C" w:rsidRPr="001D042C" w:rsidRDefault="001D042C" w:rsidP="00AE6445">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612,346</w:t>
            </w:r>
          </w:p>
        </w:tc>
      </w:tr>
      <w:tr w:rsidR="001D042C" w:rsidRPr="001D042C" w14:paraId="310E2D00" w14:textId="77777777" w:rsidTr="003F412E">
        <w:trPr>
          <w:trHeight w:val="300"/>
          <w:jc w:val="center"/>
        </w:trPr>
        <w:tc>
          <w:tcPr>
            <w:tcW w:w="2800" w:type="dxa"/>
            <w:shd w:val="clear" w:color="auto" w:fill="auto"/>
            <w:noWrap/>
            <w:vAlign w:val="bottom"/>
          </w:tcPr>
          <w:p w14:paraId="5795349D" w14:textId="77777777" w:rsidR="001D042C" w:rsidRPr="001D042C" w:rsidRDefault="001D042C" w:rsidP="00AE6445">
            <w:pPr>
              <w:keepNext/>
              <w:spacing w:before="0" w:after="0"/>
              <w:rPr>
                <w:rFonts w:ascii="Arial" w:hAnsi="Arial" w:cs="Arial"/>
                <w:b/>
                <w:bCs/>
                <w:color w:val="000000"/>
                <w:sz w:val="20"/>
                <w:lang w:val="en-AU" w:eastAsia="en-AU"/>
              </w:rPr>
            </w:pPr>
            <w:r w:rsidRPr="001D042C">
              <w:rPr>
                <w:rFonts w:ascii="Arial" w:hAnsi="Arial" w:cs="Arial"/>
                <w:b/>
                <w:bCs/>
                <w:color w:val="000000"/>
                <w:sz w:val="20"/>
                <w:lang w:val="en-AU" w:eastAsia="en-AU"/>
              </w:rPr>
              <w:t>Total</w:t>
            </w:r>
          </w:p>
        </w:tc>
        <w:tc>
          <w:tcPr>
            <w:tcW w:w="1538" w:type="dxa"/>
            <w:shd w:val="clear" w:color="auto" w:fill="auto"/>
            <w:noWrap/>
            <w:vAlign w:val="bottom"/>
          </w:tcPr>
          <w:p w14:paraId="12105E21" w14:textId="77777777" w:rsidR="001D042C" w:rsidRPr="001D042C" w:rsidRDefault="001D042C" w:rsidP="001D042C">
            <w:pPr>
              <w:keepNext/>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619,926</w:t>
            </w:r>
          </w:p>
        </w:tc>
        <w:tc>
          <w:tcPr>
            <w:tcW w:w="1403" w:type="dxa"/>
            <w:shd w:val="clear" w:color="auto" w:fill="auto"/>
            <w:noWrap/>
            <w:vAlign w:val="bottom"/>
          </w:tcPr>
          <w:p w14:paraId="18F7CB77" w14:textId="77777777" w:rsidR="001D042C" w:rsidRPr="001D042C" w:rsidRDefault="001D042C" w:rsidP="001D042C">
            <w:pPr>
              <w:keepNext/>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848,634</w:t>
            </w:r>
          </w:p>
        </w:tc>
        <w:tc>
          <w:tcPr>
            <w:tcW w:w="1401" w:type="dxa"/>
            <w:shd w:val="clear" w:color="auto" w:fill="auto"/>
            <w:noWrap/>
            <w:vAlign w:val="bottom"/>
          </w:tcPr>
          <w:p w14:paraId="754565E6" w14:textId="77777777" w:rsidR="001D042C" w:rsidRPr="001D042C" w:rsidRDefault="001D042C" w:rsidP="001D042C">
            <w:pPr>
              <w:keepNext/>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4,373,107</w:t>
            </w:r>
          </w:p>
        </w:tc>
        <w:tc>
          <w:tcPr>
            <w:tcW w:w="1687" w:type="dxa"/>
            <w:shd w:val="clear" w:color="auto" w:fill="auto"/>
            <w:noWrap/>
            <w:vAlign w:val="bottom"/>
          </w:tcPr>
          <w:p w14:paraId="02632850" w14:textId="77777777" w:rsidR="001D042C" w:rsidRPr="001D042C" w:rsidRDefault="001D042C" w:rsidP="00AE6445">
            <w:pPr>
              <w:keepNext/>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5,841,667</w:t>
            </w:r>
          </w:p>
        </w:tc>
      </w:tr>
    </w:tbl>
    <w:p w14:paraId="07E12BBA" w14:textId="77777777" w:rsidR="00AE6445" w:rsidRPr="001D042C" w:rsidRDefault="00AE6445" w:rsidP="003F412E">
      <w:pPr>
        <w:ind w:left="2880"/>
        <w:jc w:val="both"/>
        <w:rPr>
          <w:color w:val="000000"/>
          <w:sz w:val="18"/>
          <w:szCs w:val="18"/>
        </w:rPr>
      </w:pPr>
      <w:r w:rsidRPr="001D042C">
        <w:rPr>
          <w:color w:val="000000"/>
          <w:sz w:val="18"/>
          <w:szCs w:val="18"/>
        </w:rPr>
        <w:t>The estimates in this table have been derived from population figures provided by DHHS, and adjusted for DVA figures, including an allowance for overlaps</w:t>
      </w:r>
    </w:p>
    <w:p w14:paraId="00E85F5F" w14:textId="77777777" w:rsidR="00AE6445" w:rsidRPr="001D042C" w:rsidRDefault="00AE6445" w:rsidP="00162EF6">
      <w:pPr>
        <w:pStyle w:val="Para"/>
        <w:keepNext/>
        <w:spacing w:after="120"/>
        <w:jc w:val="center"/>
        <w:rPr>
          <w:b/>
          <w:lang w:val="en-AU"/>
        </w:rPr>
      </w:pPr>
      <w:r w:rsidRPr="001D042C">
        <w:rPr>
          <w:b/>
          <w:lang w:val="en-AU"/>
        </w:rPr>
        <w:lastRenderedPageBreak/>
        <w:t xml:space="preserve">Table </w:t>
      </w:r>
      <w:r w:rsidR="0091303E" w:rsidRPr="001D042C">
        <w:rPr>
          <w:b/>
          <w:lang w:val="en-AU"/>
        </w:rPr>
        <w:t>2.9</w:t>
      </w:r>
      <w:r w:rsidRPr="001D042C">
        <w:rPr>
          <w:b/>
          <w:lang w:val="en-AU"/>
        </w:rPr>
        <w:t xml:space="preserve">: </w:t>
      </w:r>
      <w:r w:rsidRPr="001D042C">
        <w:rPr>
          <w:b/>
          <w:u w:val="single"/>
          <w:lang w:val="en-AU"/>
        </w:rPr>
        <w:t>Estimated number of persons by broad concession type by sex, 2014</w:t>
      </w:r>
    </w:p>
    <w:tbl>
      <w:tblPr>
        <w:tblW w:w="88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149"/>
        <w:gridCol w:w="1600"/>
        <w:gridCol w:w="2040"/>
        <w:gridCol w:w="1960"/>
        <w:gridCol w:w="2080"/>
      </w:tblGrid>
      <w:tr w:rsidR="00AE6445" w:rsidRPr="001D042C" w14:paraId="13D7CDAC" w14:textId="77777777" w:rsidTr="003F412E">
        <w:trPr>
          <w:trHeight w:val="1200"/>
          <w:jc w:val="center"/>
        </w:trPr>
        <w:tc>
          <w:tcPr>
            <w:tcW w:w="1149" w:type="dxa"/>
            <w:shd w:val="clear" w:color="auto" w:fill="auto"/>
            <w:noWrap/>
            <w:vAlign w:val="bottom"/>
          </w:tcPr>
          <w:p w14:paraId="6D9F6AF8" w14:textId="77777777" w:rsidR="00AE6445" w:rsidRPr="001D042C" w:rsidRDefault="00AE6445" w:rsidP="00AE6445">
            <w:pPr>
              <w:spacing w:before="0" w:after="0"/>
              <w:rPr>
                <w:rFonts w:ascii="Arial" w:hAnsi="Arial" w:cs="Arial"/>
                <w:b/>
                <w:bCs/>
                <w:sz w:val="20"/>
                <w:lang w:val="en-AU" w:eastAsia="en-AU"/>
              </w:rPr>
            </w:pPr>
            <w:r w:rsidRPr="001D042C">
              <w:rPr>
                <w:rFonts w:ascii="Arial" w:hAnsi="Arial" w:cs="Arial"/>
                <w:b/>
                <w:bCs/>
                <w:sz w:val="20"/>
                <w:lang w:val="en-AU" w:eastAsia="en-AU"/>
              </w:rPr>
              <w:t>Sex </w:t>
            </w:r>
          </w:p>
        </w:tc>
        <w:tc>
          <w:tcPr>
            <w:tcW w:w="1600" w:type="dxa"/>
            <w:shd w:val="clear" w:color="auto" w:fill="auto"/>
            <w:vAlign w:val="bottom"/>
          </w:tcPr>
          <w:p w14:paraId="17D7936C"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persons with an aged concession</w:t>
            </w:r>
          </w:p>
        </w:tc>
        <w:tc>
          <w:tcPr>
            <w:tcW w:w="2040" w:type="dxa"/>
            <w:shd w:val="clear" w:color="auto" w:fill="auto"/>
            <w:vAlign w:val="bottom"/>
          </w:tcPr>
          <w:p w14:paraId="443F67D5"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persons with a non-aged concession</w:t>
            </w:r>
          </w:p>
        </w:tc>
        <w:tc>
          <w:tcPr>
            <w:tcW w:w="1960" w:type="dxa"/>
            <w:shd w:val="clear" w:color="auto" w:fill="auto"/>
            <w:vAlign w:val="bottom"/>
          </w:tcPr>
          <w:p w14:paraId="4F7F28CD"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persons without any concession</w:t>
            </w:r>
          </w:p>
        </w:tc>
        <w:tc>
          <w:tcPr>
            <w:tcW w:w="2080" w:type="dxa"/>
            <w:shd w:val="clear" w:color="auto" w:fill="auto"/>
            <w:vAlign w:val="bottom"/>
          </w:tcPr>
          <w:p w14:paraId="5C4D12D1"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2014 Total number of persons (all ages)</w:t>
            </w:r>
          </w:p>
        </w:tc>
      </w:tr>
      <w:tr w:rsidR="001D042C" w:rsidRPr="001D042C" w14:paraId="5D4279A8" w14:textId="77777777" w:rsidTr="003F412E">
        <w:trPr>
          <w:trHeight w:val="300"/>
          <w:jc w:val="center"/>
        </w:trPr>
        <w:tc>
          <w:tcPr>
            <w:tcW w:w="1149" w:type="dxa"/>
            <w:shd w:val="clear" w:color="auto" w:fill="auto"/>
            <w:noWrap/>
            <w:vAlign w:val="bottom"/>
          </w:tcPr>
          <w:p w14:paraId="58F9E89E" w14:textId="77777777" w:rsidR="001D042C" w:rsidRPr="001D042C" w:rsidRDefault="001D042C" w:rsidP="00AE6445">
            <w:pPr>
              <w:spacing w:before="0" w:after="0"/>
              <w:rPr>
                <w:rFonts w:ascii="Arial" w:hAnsi="Arial" w:cs="Arial"/>
                <w:sz w:val="20"/>
                <w:lang w:val="en-AU" w:eastAsia="en-AU"/>
              </w:rPr>
            </w:pPr>
            <w:r w:rsidRPr="001D042C">
              <w:rPr>
                <w:rFonts w:ascii="Arial" w:hAnsi="Arial" w:cs="Arial"/>
                <w:sz w:val="20"/>
                <w:lang w:val="en-AU" w:eastAsia="en-AU"/>
              </w:rPr>
              <w:t>Male</w:t>
            </w:r>
          </w:p>
        </w:tc>
        <w:tc>
          <w:tcPr>
            <w:tcW w:w="1600" w:type="dxa"/>
            <w:shd w:val="clear" w:color="auto" w:fill="auto"/>
            <w:noWrap/>
            <w:vAlign w:val="bottom"/>
          </w:tcPr>
          <w:p w14:paraId="065DEAE4" w14:textId="77777777" w:rsidR="001D042C" w:rsidRPr="001D042C" w:rsidRDefault="001D042C" w:rsidP="001D042C">
            <w:pPr>
              <w:spacing w:before="0" w:after="0"/>
              <w:jc w:val="center"/>
              <w:rPr>
                <w:rFonts w:ascii="Arial" w:hAnsi="Arial" w:cs="Arial"/>
                <w:sz w:val="20"/>
                <w:lang w:val="en-AU" w:eastAsia="en-AU"/>
              </w:rPr>
            </w:pPr>
            <w:r w:rsidRPr="001D042C">
              <w:rPr>
                <w:rFonts w:ascii="Arial" w:hAnsi="Arial" w:cs="Arial"/>
                <w:sz w:val="20"/>
                <w:lang w:val="en-AU" w:eastAsia="en-AU"/>
              </w:rPr>
              <w:t>273,956</w:t>
            </w:r>
          </w:p>
        </w:tc>
        <w:tc>
          <w:tcPr>
            <w:tcW w:w="2040" w:type="dxa"/>
            <w:shd w:val="clear" w:color="auto" w:fill="auto"/>
            <w:noWrap/>
            <w:vAlign w:val="bottom"/>
          </w:tcPr>
          <w:p w14:paraId="5C08D91C" w14:textId="77777777" w:rsidR="001D042C" w:rsidRPr="001D042C" w:rsidRDefault="001D042C" w:rsidP="001D042C">
            <w:pPr>
              <w:spacing w:before="0" w:after="0"/>
              <w:jc w:val="center"/>
              <w:rPr>
                <w:rFonts w:ascii="Arial" w:hAnsi="Arial" w:cs="Arial"/>
                <w:sz w:val="20"/>
                <w:lang w:val="en-AU" w:eastAsia="en-AU"/>
              </w:rPr>
            </w:pPr>
            <w:r w:rsidRPr="001D042C">
              <w:rPr>
                <w:rFonts w:ascii="Arial" w:hAnsi="Arial" w:cs="Arial"/>
                <w:sz w:val="20"/>
                <w:lang w:val="en-AU" w:eastAsia="en-AU"/>
              </w:rPr>
              <w:t>328,155</w:t>
            </w:r>
          </w:p>
        </w:tc>
        <w:tc>
          <w:tcPr>
            <w:tcW w:w="1960" w:type="dxa"/>
            <w:shd w:val="clear" w:color="auto" w:fill="auto"/>
            <w:noWrap/>
            <w:vAlign w:val="bottom"/>
          </w:tcPr>
          <w:p w14:paraId="5A7DEE6C" w14:textId="77777777" w:rsidR="001D042C" w:rsidRPr="001D042C" w:rsidRDefault="001D042C" w:rsidP="001D042C">
            <w:pPr>
              <w:spacing w:before="0" w:after="0"/>
              <w:jc w:val="center"/>
              <w:rPr>
                <w:rFonts w:ascii="Arial" w:hAnsi="Arial" w:cs="Arial"/>
                <w:sz w:val="20"/>
                <w:lang w:val="en-AU" w:eastAsia="en-AU"/>
              </w:rPr>
            </w:pPr>
            <w:r w:rsidRPr="001D042C">
              <w:rPr>
                <w:rFonts w:ascii="Arial" w:hAnsi="Arial" w:cs="Arial"/>
                <w:sz w:val="20"/>
                <w:lang w:val="en-AU" w:eastAsia="en-AU"/>
              </w:rPr>
              <w:t>2,288,427</w:t>
            </w:r>
          </w:p>
        </w:tc>
        <w:tc>
          <w:tcPr>
            <w:tcW w:w="2080" w:type="dxa"/>
            <w:shd w:val="clear" w:color="auto" w:fill="auto"/>
            <w:noWrap/>
            <w:vAlign w:val="bottom"/>
          </w:tcPr>
          <w:p w14:paraId="2C308A9D" w14:textId="77777777" w:rsidR="001D042C" w:rsidRPr="001D042C" w:rsidRDefault="001D042C" w:rsidP="00AE6445">
            <w:pPr>
              <w:spacing w:before="0" w:after="0"/>
              <w:jc w:val="center"/>
              <w:rPr>
                <w:rFonts w:ascii="Arial" w:hAnsi="Arial" w:cs="Arial"/>
                <w:sz w:val="20"/>
                <w:lang w:val="en-AU" w:eastAsia="en-AU"/>
              </w:rPr>
            </w:pPr>
            <w:r w:rsidRPr="001D042C">
              <w:rPr>
                <w:rFonts w:ascii="Arial" w:hAnsi="Arial" w:cs="Arial"/>
                <w:sz w:val="20"/>
                <w:lang w:val="en-AU" w:eastAsia="en-AU"/>
              </w:rPr>
              <w:t>2,890,538</w:t>
            </w:r>
          </w:p>
        </w:tc>
      </w:tr>
      <w:tr w:rsidR="001D042C" w:rsidRPr="001D042C" w14:paraId="2D0F7D20" w14:textId="77777777" w:rsidTr="003F412E">
        <w:trPr>
          <w:trHeight w:val="300"/>
          <w:jc w:val="center"/>
        </w:trPr>
        <w:tc>
          <w:tcPr>
            <w:tcW w:w="1149" w:type="dxa"/>
            <w:shd w:val="clear" w:color="auto" w:fill="auto"/>
            <w:noWrap/>
            <w:vAlign w:val="bottom"/>
          </w:tcPr>
          <w:p w14:paraId="5A420CF4" w14:textId="77777777" w:rsidR="001D042C" w:rsidRPr="001D042C" w:rsidRDefault="001D042C" w:rsidP="00AE6445">
            <w:pPr>
              <w:spacing w:before="0" w:after="0"/>
              <w:rPr>
                <w:rFonts w:ascii="Arial" w:hAnsi="Arial" w:cs="Arial"/>
                <w:sz w:val="20"/>
                <w:lang w:val="en-AU" w:eastAsia="en-AU"/>
              </w:rPr>
            </w:pPr>
            <w:r w:rsidRPr="001D042C">
              <w:rPr>
                <w:rFonts w:ascii="Arial" w:hAnsi="Arial" w:cs="Arial"/>
                <w:sz w:val="20"/>
                <w:lang w:val="en-AU" w:eastAsia="en-AU"/>
              </w:rPr>
              <w:t>Female</w:t>
            </w:r>
          </w:p>
        </w:tc>
        <w:tc>
          <w:tcPr>
            <w:tcW w:w="1600" w:type="dxa"/>
            <w:shd w:val="clear" w:color="auto" w:fill="auto"/>
            <w:noWrap/>
            <w:vAlign w:val="bottom"/>
          </w:tcPr>
          <w:p w14:paraId="32F7CE33" w14:textId="77777777" w:rsidR="001D042C" w:rsidRPr="001D042C" w:rsidRDefault="001D042C" w:rsidP="001D042C">
            <w:pPr>
              <w:spacing w:before="0" w:after="0"/>
              <w:jc w:val="center"/>
              <w:rPr>
                <w:rFonts w:ascii="Arial" w:hAnsi="Arial" w:cs="Arial"/>
                <w:sz w:val="20"/>
                <w:lang w:val="en-AU" w:eastAsia="en-AU"/>
              </w:rPr>
            </w:pPr>
            <w:r w:rsidRPr="001D042C">
              <w:rPr>
                <w:rFonts w:ascii="Arial" w:hAnsi="Arial" w:cs="Arial"/>
                <w:sz w:val="20"/>
                <w:lang w:val="en-AU" w:eastAsia="en-AU"/>
              </w:rPr>
              <w:t>345,971</w:t>
            </w:r>
          </w:p>
        </w:tc>
        <w:tc>
          <w:tcPr>
            <w:tcW w:w="2040" w:type="dxa"/>
            <w:shd w:val="clear" w:color="auto" w:fill="auto"/>
            <w:noWrap/>
            <w:vAlign w:val="bottom"/>
          </w:tcPr>
          <w:p w14:paraId="67AE4108" w14:textId="77777777" w:rsidR="001D042C" w:rsidRPr="001D042C" w:rsidRDefault="001D042C" w:rsidP="001D042C">
            <w:pPr>
              <w:spacing w:before="0" w:after="0"/>
              <w:jc w:val="center"/>
              <w:rPr>
                <w:rFonts w:ascii="Arial" w:hAnsi="Arial" w:cs="Arial"/>
                <w:sz w:val="20"/>
                <w:lang w:val="en-AU" w:eastAsia="en-AU"/>
              </w:rPr>
            </w:pPr>
            <w:r w:rsidRPr="001D042C">
              <w:rPr>
                <w:rFonts w:ascii="Arial" w:hAnsi="Arial" w:cs="Arial"/>
                <w:sz w:val="20"/>
                <w:lang w:val="en-AU" w:eastAsia="en-AU"/>
              </w:rPr>
              <w:t>520,479</w:t>
            </w:r>
          </w:p>
        </w:tc>
        <w:tc>
          <w:tcPr>
            <w:tcW w:w="1960" w:type="dxa"/>
            <w:shd w:val="clear" w:color="auto" w:fill="auto"/>
            <w:noWrap/>
            <w:vAlign w:val="bottom"/>
          </w:tcPr>
          <w:p w14:paraId="2301CD30" w14:textId="77777777" w:rsidR="001D042C" w:rsidRPr="001D042C" w:rsidRDefault="001D042C" w:rsidP="001D042C">
            <w:pPr>
              <w:spacing w:before="0" w:after="0"/>
              <w:jc w:val="center"/>
              <w:rPr>
                <w:rFonts w:ascii="Arial" w:hAnsi="Arial" w:cs="Arial"/>
                <w:sz w:val="20"/>
                <w:lang w:val="en-AU" w:eastAsia="en-AU"/>
              </w:rPr>
            </w:pPr>
            <w:r w:rsidRPr="001D042C">
              <w:rPr>
                <w:rFonts w:ascii="Arial" w:hAnsi="Arial" w:cs="Arial"/>
                <w:sz w:val="20"/>
                <w:lang w:val="en-AU" w:eastAsia="en-AU"/>
              </w:rPr>
              <w:t>2,084,680</w:t>
            </w:r>
          </w:p>
        </w:tc>
        <w:tc>
          <w:tcPr>
            <w:tcW w:w="2080" w:type="dxa"/>
            <w:shd w:val="clear" w:color="auto" w:fill="auto"/>
            <w:noWrap/>
            <w:vAlign w:val="bottom"/>
          </w:tcPr>
          <w:p w14:paraId="172978E4" w14:textId="77777777" w:rsidR="001D042C" w:rsidRPr="001D042C" w:rsidRDefault="001D042C" w:rsidP="00AE6445">
            <w:pPr>
              <w:spacing w:before="0" w:after="0"/>
              <w:jc w:val="center"/>
              <w:rPr>
                <w:rFonts w:ascii="Arial" w:hAnsi="Arial" w:cs="Arial"/>
                <w:sz w:val="20"/>
                <w:lang w:val="en-AU" w:eastAsia="en-AU"/>
              </w:rPr>
            </w:pPr>
            <w:r w:rsidRPr="001D042C">
              <w:rPr>
                <w:rFonts w:ascii="Arial" w:hAnsi="Arial" w:cs="Arial"/>
                <w:sz w:val="20"/>
                <w:lang w:val="en-AU" w:eastAsia="en-AU"/>
              </w:rPr>
              <w:t>2,951,129</w:t>
            </w:r>
          </w:p>
        </w:tc>
      </w:tr>
      <w:tr w:rsidR="001D042C" w:rsidRPr="001D042C" w14:paraId="015B43EC" w14:textId="77777777" w:rsidTr="003F412E">
        <w:trPr>
          <w:trHeight w:val="300"/>
          <w:jc w:val="center"/>
        </w:trPr>
        <w:tc>
          <w:tcPr>
            <w:tcW w:w="1149" w:type="dxa"/>
            <w:shd w:val="clear" w:color="auto" w:fill="auto"/>
            <w:noWrap/>
            <w:vAlign w:val="bottom"/>
          </w:tcPr>
          <w:p w14:paraId="463FF43D" w14:textId="77777777" w:rsidR="001D042C" w:rsidRPr="001D042C" w:rsidRDefault="001D042C" w:rsidP="00AE6445">
            <w:pPr>
              <w:spacing w:before="0" w:after="0"/>
              <w:rPr>
                <w:rFonts w:ascii="Arial" w:hAnsi="Arial" w:cs="Arial"/>
                <w:b/>
                <w:bCs/>
                <w:sz w:val="20"/>
                <w:lang w:val="en-AU" w:eastAsia="en-AU"/>
              </w:rPr>
            </w:pPr>
            <w:r w:rsidRPr="001D042C">
              <w:rPr>
                <w:rFonts w:ascii="Arial" w:hAnsi="Arial" w:cs="Arial"/>
                <w:b/>
                <w:bCs/>
                <w:sz w:val="20"/>
                <w:lang w:val="en-AU" w:eastAsia="en-AU"/>
              </w:rPr>
              <w:t>Total</w:t>
            </w:r>
          </w:p>
        </w:tc>
        <w:tc>
          <w:tcPr>
            <w:tcW w:w="1600" w:type="dxa"/>
            <w:shd w:val="clear" w:color="auto" w:fill="auto"/>
            <w:noWrap/>
            <w:vAlign w:val="bottom"/>
          </w:tcPr>
          <w:p w14:paraId="1E89AA2B" w14:textId="77777777" w:rsidR="001D042C" w:rsidRPr="001D042C" w:rsidRDefault="001D042C" w:rsidP="001D042C">
            <w:pPr>
              <w:spacing w:before="0" w:after="0"/>
              <w:jc w:val="center"/>
              <w:rPr>
                <w:rFonts w:ascii="Arial" w:hAnsi="Arial" w:cs="Arial"/>
                <w:b/>
                <w:sz w:val="20"/>
                <w:lang w:val="en-AU" w:eastAsia="en-AU"/>
              </w:rPr>
            </w:pPr>
            <w:r w:rsidRPr="001D042C">
              <w:rPr>
                <w:rFonts w:ascii="Arial" w:hAnsi="Arial" w:cs="Arial"/>
                <w:b/>
                <w:sz w:val="20"/>
                <w:lang w:val="en-AU" w:eastAsia="en-AU"/>
              </w:rPr>
              <w:t>619,926</w:t>
            </w:r>
          </w:p>
        </w:tc>
        <w:tc>
          <w:tcPr>
            <w:tcW w:w="2040" w:type="dxa"/>
            <w:shd w:val="clear" w:color="auto" w:fill="auto"/>
            <w:noWrap/>
            <w:vAlign w:val="bottom"/>
          </w:tcPr>
          <w:p w14:paraId="2251FD94" w14:textId="77777777" w:rsidR="001D042C" w:rsidRPr="001D042C" w:rsidRDefault="001D042C" w:rsidP="001D042C">
            <w:pPr>
              <w:spacing w:before="0" w:after="0"/>
              <w:jc w:val="center"/>
              <w:rPr>
                <w:rFonts w:ascii="Arial" w:hAnsi="Arial" w:cs="Arial"/>
                <w:b/>
                <w:sz w:val="20"/>
                <w:lang w:val="en-AU" w:eastAsia="en-AU"/>
              </w:rPr>
            </w:pPr>
            <w:r w:rsidRPr="001D042C">
              <w:rPr>
                <w:rFonts w:ascii="Arial" w:hAnsi="Arial" w:cs="Arial"/>
                <w:b/>
                <w:sz w:val="20"/>
                <w:lang w:val="en-AU" w:eastAsia="en-AU"/>
              </w:rPr>
              <w:t>848,634</w:t>
            </w:r>
          </w:p>
        </w:tc>
        <w:tc>
          <w:tcPr>
            <w:tcW w:w="1960" w:type="dxa"/>
            <w:shd w:val="clear" w:color="auto" w:fill="auto"/>
            <w:noWrap/>
            <w:vAlign w:val="bottom"/>
          </w:tcPr>
          <w:p w14:paraId="3E79D4F5" w14:textId="77777777" w:rsidR="001D042C" w:rsidRPr="001D042C" w:rsidRDefault="001D042C" w:rsidP="001D042C">
            <w:pPr>
              <w:spacing w:before="0" w:after="0"/>
              <w:jc w:val="center"/>
              <w:rPr>
                <w:rFonts w:ascii="Arial" w:hAnsi="Arial" w:cs="Arial"/>
                <w:b/>
                <w:sz w:val="20"/>
                <w:lang w:val="en-AU" w:eastAsia="en-AU"/>
              </w:rPr>
            </w:pPr>
            <w:r w:rsidRPr="001D042C">
              <w:rPr>
                <w:rFonts w:ascii="Arial" w:hAnsi="Arial" w:cs="Arial"/>
                <w:b/>
                <w:sz w:val="20"/>
                <w:lang w:val="en-AU" w:eastAsia="en-AU"/>
              </w:rPr>
              <w:t>4,373,107</w:t>
            </w:r>
          </w:p>
        </w:tc>
        <w:tc>
          <w:tcPr>
            <w:tcW w:w="2080" w:type="dxa"/>
            <w:shd w:val="clear" w:color="auto" w:fill="auto"/>
            <w:noWrap/>
            <w:vAlign w:val="bottom"/>
          </w:tcPr>
          <w:p w14:paraId="62EB8BB3" w14:textId="77777777" w:rsidR="001D042C" w:rsidRPr="001D042C" w:rsidRDefault="001D042C" w:rsidP="00AE6445">
            <w:pPr>
              <w:spacing w:before="0" w:after="0"/>
              <w:jc w:val="center"/>
              <w:rPr>
                <w:rFonts w:ascii="Arial" w:hAnsi="Arial" w:cs="Arial"/>
                <w:b/>
                <w:bCs/>
                <w:sz w:val="20"/>
                <w:lang w:val="en-AU" w:eastAsia="en-AU"/>
              </w:rPr>
            </w:pPr>
            <w:r w:rsidRPr="001D042C">
              <w:rPr>
                <w:rFonts w:ascii="Arial" w:hAnsi="Arial" w:cs="Arial"/>
                <w:b/>
                <w:bCs/>
                <w:sz w:val="20"/>
                <w:lang w:val="en-AU" w:eastAsia="en-AU"/>
              </w:rPr>
              <w:t>5,841,667</w:t>
            </w:r>
          </w:p>
        </w:tc>
      </w:tr>
    </w:tbl>
    <w:p w14:paraId="25496BCF" w14:textId="77777777" w:rsidR="00AE6445" w:rsidRPr="001D042C" w:rsidRDefault="00AE6445" w:rsidP="003F412E">
      <w:pPr>
        <w:ind w:left="2880"/>
        <w:jc w:val="both"/>
        <w:rPr>
          <w:color w:val="000000"/>
          <w:sz w:val="18"/>
          <w:szCs w:val="18"/>
        </w:rPr>
      </w:pPr>
      <w:r w:rsidRPr="001D042C">
        <w:rPr>
          <w:color w:val="000000"/>
          <w:sz w:val="18"/>
          <w:szCs w:val="18"/>
        </w:rPr>
        <w:t>The estimates in this table have been derived from population figures provided by DHHS, and adjusted for DVA figures, including an allowance for overlaps</w:t>
      </w:r>
    </w:p>
    <w:p w14:paraId="0CB9AB16" w14:textId="77777777" w:rsidR="00AE6445" w:rsidRPr="001D042C" w:rsidRDefault="00AE6445" w:rsidP="00AE6445">
      <w:pPr>
        <w:pStyle w:val="Para"/>
        <w:rPr>
          <w:lang w:val="en-AU"/>
        </w:rPr>
      </w:pPr>
    </w:p>
    <w:p w14:paraId="49E52386" w14:textId="77777777" w:rsidR="00AE6445" w:rsidRPr="001D042C" w:rsidRDefault="00AE6445" w:rsidP="00AE6445">
      <w:pPr>
        <w:pStyle w:val="Para"/>
        <w:rPr>
          <w:lang w:val="en-AU"/>
        </w:rPr>
      </w:pPr>
    </w:p>
    <w:p w14:paraId="7690BA88" w14:textId="77777777" w:rsidR="00AE6445" w:rsidRPr="001D042C" w:rsidRDefault="00AE6445" w:rsidP="003F412E">
      <w:pPr>
        <w:pStyle w:val="Para"/>
        <w:keepNext/>
        <w:spacing w:after="120"/>
        <w:jc w:val="center"/>
        <w:rPr>
          <w:b/>
          <w:lang w:val="en-AU"/>
        </w:rPr>
      </w:pPr>
      <w:r w:rsidRPr="001D042C">
        <w:rPr>
          <w:b/>
          <w:lang w:val="en-AU"/>
        </w:rPr>
        <w:t xml:space="preserve">Table </w:t>
      </w:r>
      <w:r w:rsidR="0091303E" w:rsidRPr="001D042C">
        <w:rPr>
          <w:b/>
          <w:lang w:val="en-AU"/>
        </w:rPr>
        <w:t>2.10</w:t>
      </w:r>
      <w:r w:rsidRPr="001D042C">
        <w:rPr>
          <w:b/>
          <w:lang w:val="en-AU"/>
        </w:rPr>
        <w:t xml:space="preserve">: </w:t>
      </w:r>
      <w:r w:rsidRPr="001D042C">
        <w:rPr>
          <w:b/>
          <w:u w:val="single"/>
          <w:lang w:val="en-AU"/>
        </w:rPr>
        <w:t>Estimated number of persons by broad concession type by age, 2014</w:t>
      </w:r>
    </w:p>
    <w:tbl>
      <w:tblPr>
        <w:tblW w:w="894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80"/>
        <w:gridCol w:w="1775"/>
        <w:gridCol w:w="1807"/>
        <w:gridCol w:w="1898"/>
        <w:gridCol w:w="1786"/>
      </w:tblGrid>
      <w:tr w:rsidR="00AE6445" w:rsidRPr="001D042C" w14:paraId="78948BF9" w14:textId="77777777" w:rsidTr="003F412E">
        <w:trPr>
          <w:trHeight w:val="1200"/>
          <w:jc w:val="center"/>
        </w:trPr>
        <w:tc>
          <w:tcPr>
            <w:tcW w:w="1680" w:type="dxa"/>
            <w:shd w:val="clear" w:color="auto" w:fill="auto"/>
            <w:noWrap/>
            <w:vAlign w:val="bottom"/>
          </w:tcPr>
          <w:p w14:paraId="2950FCAD" w14:textId="77777777" w:rsidR="00AE6445" w:rsidRPr="001D042C" w:rsidRDefault="00AE6445" w:rsidP="00AE6445">
            <w:pPr>
              <w:keepNext/>
              <w:keepLines/>
              <w:spacing w:before="0" w:after="0"/>
              <w:rPr>
                <w:rFonts w:ascii="Arial" w:hAnsi="Arial" w:cs="Arial"/>
                <w:b/>
                <w:bCs/>
                <w:color w:val="000000"/>
                <w:sz w:val="20"/>
                <w:lang w:val="en-AU" w:eastAsia="en-AU"/>
              </w:rPr>
            </w:pPr>
            <w:r w:rsidRPr="001D042C">
              <w:rPr>
                <w:rFonts w:ascii="Arial" w:hAnsi="Arial" w:cs="Arial"/>
                <w:b/>
                <w:bCs/>
                <w:color w:val="000000"/>
                <w:sz w:val="20"/>
                <w:lang w:val="en-AU" w:eastAsia="en-AU"/>
              </w:rPr>
              <w:t>Age</w:t>
            </w:r>
          </w:p>
        </w:tc>
        <w:tc>
          <w:tcPr>
            <w:tcW w:w="1775" w:type="dxa"/>
            <w:shd w:val="clear" w:color="auto" w:fill="auto"/>
            <w:vAlign w:val="bottom"/>
          </w:tcPr>
          <w:p w14:paraId="22FA49B3" w14:textId="77777777" w:rsidR="00AE6445" w:rsidRPr="001D042C" w:rsidRDefault="00AE6445" w:rsidP="00AE6445">
            <w:pPr>
              <w:keepNext/>
              <w:keepLines/>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persons with an aged concession</w:t>
            </w:r>
          </w:p>
        </w:tc>
        <w:tc>
          <w:tcPr>
            <w:tcW w:w="1807" w:type="dxa"/>
            <w:shd w:val="clear" w:color="auto" w:fill="auto"/>
            <w:vAlign w:val="bottom"/>
          </w:tcPr>
          <w:p w14:paraId="76EA0B20" w14:textId="77777777" w:rsidR="00AE6445" w:rsidRPr="001D042C" w:rsidRDefault="00AE6445" w:rsidP="00AE6445">
            <w:pPr>
              <w:keepNext/>
              <w:keepLines/>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persons with a non-aged concession</w:t>
            </w:r>
          </w:p>
        </w:tc>
        <w:tc>
          <w:tcPr>
            <w:tcW w:w="1898" w:type="dxa"/>
            <w:shd w:val="clear" w:color="auto" w:fill="auto"/>
            <w:vAlign w:val="bottom"/>
          </w:tcPr>
          <w:p w14:paraId="0BB9C62F" w14:textId="77777777" w:rsidR="00AE6445" w:rsidRPr="001D042C" w:rsidRDefault="00AE6445" w:rsidP="00AE6445">
            <w:pPr>
              <w:keepNext/>
              <w:keepLines/>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persons without any concession</w:t>
            </w:r>
          </w:p>
        </w:tc>
        <w:tc>
          <w:tcPr>
            <w:tcW w:w="1786" w:type="dxa"/>
            <w:shd w:val="clear" w:color="auto" w:fill="auto"/>
            <w:vAlign w:val="bottom"/>
          </w:tcPr>
          <w:p w14:paraId="70F4C0C7" w14:textId="77777777" w:rsidR="00AE6445" w:rsidRPr="001D042C" w:rsidRDefault="00AE6445" w:rsidP="00AE6445">
            <w:pPr>
              <w:keepNext/>
              <w:keepLines/>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Total estimated number of persons</w:t>
            </w:r>
          </w:p>
        </w:tc>
      </w:tr>
      <w:tr w:rsidR="001D042C" w:rsidRPr="001D042C" w14:paraId="30EF2D25" w14:textId="77777777" w:rsidTr="003F412E">
        <w:trPr>
          <w:trHeight w:val="300"/>
          <w:jc w:val="center"/>
        </w:trPr>
        <w:tc>
          <w:tcPr>
            <w:tcW w:w="1680" w:type="dxa"/>
            <w:shd w:val="clear" w:color="auto" w:fill="auto"/>
            <w:noWrap/>
            <w:vAlign w:val="bottom"/>
          </w:tcPr>
          <w:p w14:paraId="75CACF0F" w14:textId="77777777" w:rsidR="001D042C" w:rsidRPr="001D042C" w:rsidRDefault="001D042C"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Under 16</w:t>
            </w:r>
          </w:p>
        </w:tc>
        <w:tc>
          <w:tcPr>
            <w:tcW w:w="1775" w:type="dxa"/>
            <w:shd w:val="clear" w:color="auto" w:fill="auto"/>
            <w:noWrap/>
            <w:vAlign w:val="bottom"/>
          </w:tcPr>
          <w:p w14:paraId="0076592E"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w:t>
            </w:r>
          </w:p>
        </w:tc>
        <w:tc>
          <w:tcPr>
            <w:tcW w:w="1807" w:type="dxa"/>
            <w:shd w:val="clear" w:color="auto" w:fill="auto"/>
            <w:noWrap/>
            <w:vAlign w:val="bottom"/>
          </w:tcPr>
          <w:p w14:paraId="5747EE62"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165</w:t>
            </w:r>
          </w:p>
        </w:tc>
        <w:tc>
          <w:tcPr>
            <w:tcW w:w="1898" w:type="dxa"/>
            <w:shd w:val="clear" w:color="auto" w:fill="auto"/>
            <w:noWrap/>
            <w:vAlign w:val="bottom"/>
          </w:tcPr>
          <w:p w14:paraId="7D911A0A"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1,163,717</w:t>
            </w:r>
          </w:p>
        </w:tc>
        <w:tc>
          <w:tcPr>
            <w:tcW w:w="1786" w:type="dxa"/>
            <w:shd w:val="clear" w:color="auto" w:fill="auto"/>
            <w:noWrap/>
            <w:vAlign w:val="bottom"/>
          </w:tcPr>
          <w:p w14:paraId="42A0E147" w14:textId="77777777" w:rsidR="001D042C" w:rsidRPr="001D042C" w:rsidRDefault="001D042C"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1,163,882</w:t>
            </w:r>
          </w:p>
        </w:tc>
      </w:tr>
      <w:tr w:rsidR="001D042C" w:rsidRPr="001D042C" w14:paraId="56664644" w14:textId="77777777" w:rsidTr="003F412E">
        <w:trPr>
          <w:trHeight w:val="300"/>
          <w:jc w:val="center"/>
        </w:trPr>
        <w:tc>
          <w:tcPr>
            <w:tcW w:w="1680" w:type="dxa"/>
            <w:shd w:val="clear" w:color="auto" w:fill="auto"/>
            <w:noWrap/>
            <w:vAlign w:val="bottom"/>
          </w:tcPr>
          <w:p w14:paraId="62A3C1CD" w14:textId="77777777" w:rsidR="001D042C" w:rsidRPr="001D042C" w:rsidRDefault="001D042C"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16-20</w:t>
            </w:r>
          </w:p>
        </w:tc>
        <w:tc>
          <w:tcPr>
            <w:tcW w:w="1775" w:type="dxa"/>
            <w:shd w:val="clear" w:color="auto" w:fill="auto"/>
            <w:noWrap/>
            <w:vAlign w:val="bottom"/>
          </w:tcPr>
          <w:p w14:paraId="3F4EBBC0"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w:t>
            </w:r>
          </w:p>
        </w:tc>
        <w:tc>
          <w:tcPr>
            <w:tcW w:w="1807" w:type="dxa"/>
            <w:shd w:val="clear" w:color="auto" w:fill="auto"/>
            <w:noWrap/>
            <w:vAlign w:val="bottom"/>
          </w:tcPr>
          <w:p w14:paraId="4A858C44"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80,604</w:t>
            </w:r>
          </w:p>
        </w:tc>
        <w:tc>
          <w:tcPr>
            <w:tcW w:w="1898" w:type="dxa"/>
            <w:shd w:val="clear" w:color="auto" w:fill="auto"/>
            <w:noWrap/>
            <w:vAlign w:val="bottom"/>
          </w:tcPr>
          <w:p w14:paraId="0062EC8A"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302,410</w:t>
            </w:r>
          </w:p>
        </w:tc>
        <w:tc>
          <w:tcPr>
            <w:tcW w:w="1786" w:type="dxa"/>
            <w:shd w:val="clear" w:color="auto" w:fill="auto"/>
            <w:noWrap/>
            <w:vAlign w:val="bottom"/>
          </w:tcPr>
          <w:p w14:paraId="6E1929D2" w14:textId="77777777" w:rsidR="001D042C" w:rsidRPr="001D042C" w:rsidRDefault="001D042C"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383,014</w:t>
            </w:r>
          </w:p>
        </w:tc>
      </w:tr>
      <w:tr w:rsidR="001D042C" w:rsidRPr="001D042C" w14:paraId="3A7CB481" w14:textId="77777777" w:rsidTr="003F412E">
        <w:trPr>
          <w:trHeight w:val="300"/>
          <w:jc w:val="center"/>
        </w:trPr>
        <w:tc>
          <w:tcPr>
            <w:tcW w:w="1680" w:type="dxa"/>
            <w:shd w:val="clear" w:color="auto" w:fill="auto"/>
            <w:noWrap/>
            <w:vAlign w:val="bottom"/>
          </w:tcPr>
          <w:p w14:paraId="2CA27300" w14:textId="77777777" w:rsidR="001D042C" w:rsidRPr="001D042C" w:rsidRDefault="001D042C"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21-24</w:t>
            </w:r>
          </w:p>
        </w:tc>
        <w:tc>
          <w:tcPr>
            <w:tcW w:w="1775" w:type="dxa"/>
            <w:shd w:val="clear" w:color="auto" w:fill="auto"/>
            <w:noWrap/>
            <w:vAlign w:val="bottom"/>
          </w:tcPr>
          <w:p w14:paraId="6F2287BC"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w:t>
            </w:r>
          </w:p>
        </w:tc>
        <w:tc>
          <w:tcPr>
            <w:tcW w:w="1807" w:type="dxa"/>
            <w:shd w:val="clear" w:color="auto" w:fill="auto"/>
            <w:noWrap/>
            <w:vAlign w:val="bottom"/>
          </w:tcPr>
          <w:p w14:paraId="1ABE351B"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86,311</w:t>
            </w:r>
          </w:p>
        </w:tc>
        <w:tc>
          <w:tcPr>
            <w:tcW w:w="1898" w:type="dxa"/>
            <w:shd w:val="clear" w:color="auto" w:fill="auto"/>
            <w:noWrap/>
            <w:vAlign w:val="bottom"/>
          </w:tcPr>
          <w:p w14:paraId="0E07FF63"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242,732</w:t>
            </w:r>
          </w:p>
        </w:tc>
        <w:tc>
          <w:tcPr>
            <w:tcW w:w="1786" w:type="dxa"/>
            <w:shd w:val="clear" w:color="auto" w:fill="auto"/>
            <w:noWrap/>
            <w:vAlign w:val="bottom"/>
          </w:tcPr>
          <w:p w14:paraId="63DD43BE" w14:textId="77777777" w:rsidR="001D042C" w:rsidRPr="001D042C" w:rsidRDefault="001D042C"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329,043</w:t>
            </w:r>
          </w:p>
        </w:tc>
      </w:tr>
      <w:tr w:rsidR="001D042C" w:rsidRPr="001D042C" w14:paraId="50C93D0F" w14:textId="77777777" w:rsidTr="003F412E">
        <w:trPr>
          <w:trHeight w:val="300"/>
          <w:jc w:val="center"/>
        </w:trPr>
        <w:tc>
          <w:tcPr>
            <w:tcW w:w="1680" w:type="dxa"/>
            <w:shd w:val="clear" w:color="auto" w:fill="auto"/>
            <w:noWrap/>
            <w:vAlign w:val="bottom"/>
          </w:tcPr>
          <w:p w14:paraId="5D258297" w14:textId="77777777" w:rsidR="001D042C" w:rsidRPr="001D042C" w:rsidRDefault="001D042C"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25-34</w:t>
            </w:r>
          </w:p>
        </w:tc>
        <w:tc>
          <w:tcPr>
            <w:tcW w:w="1775" w:type="dxa"/>
            <w:shd w:val="clear" w:color="auto" w:fill="auto"/>
            <w:noWrap/>
            <w:vAlign w:val="bottom"/>
          </w:tcPr>
          <w:p w14:paraId="030FD0DF"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w:t>
            </w:r>
          </w:p>
        </w:tc>
        <w:tc>
          <w:tcPr>
            <w:tcW w:w="1807" w:type="dxa"/>
            <w:shd w:val="clear" w:color="auto" w:fill="auto"/>
            <w:noWrap/>
            <w:vAlign w:val="bottom"/>
          </w:tcPr>
          <w:p w14:paraId="10CCB1B6"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154,789</w:t>
            </w:r>
          </w:p>
        </w:tc>
        <w:tc>
          <w:tcPr>
            <w:tcW w:w="1898" w:type="dxa"/>
            <w:shd w:val="clear" w:color="auto" w:fill="auto"/>
            <w:noWrap/>
            <w:vAlign w:val="bottom"/>
          </w:tcPr>
          <w:p w14:paraId="17CA5D87"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674,400</w:t>
            </w:r>
          </w:p>
        </w:tc>
        <w:tc>
          <w:tcPr>
            <w:tcW w:w="1786" w:type="dxa"/>
            <w:shd w:val="clear" w:color="auto" w:fill="auto"/>
            <w:noWrap/>
            <w:vAlign w:val="bottom"/>
          </w:tcPr>
          <w:p w14:paraId="4972B652" w14:textId="77777777" w:rsidR="001D042C" w:rsidRPr="001D042C" w:rsidRDefault="001D042C"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829,190</w:t>
            </w:r>
          </w:p>
        </w:tc>
      </w:tr>
      <w:tr w:rsidR="001D042C" w:rsidRPr="001D042C" w14:paraId="2586374A" w14:textId="77777777" w:rsidTr="003F412E">
        <w:trPr>
          <w:trHeight w:val="300"/>
          <w:jc w:val="center"/>
        </w:trPr>
        <w:tc>
          <w:tcPr>
            <w:tcW w:w="1680" w:type="dxa"/>
            <w:shd w:val="clear" w:color="auto" w:fill="auto"/>
            <w:noWrap/>
            <w:vAlign w:val="bottom"/>
          </w:tcPr>
          <w:p w14:paraId="5338370C" w14:textId="77777777" w:rsidR="001D042C" w:rsidRPr="001D042C" w:rsidRDefault="001D042C"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35-44</w:t>
            </w:r>
          </w:p>
        </w:tc>
        <w:tc>
          <w:tcPr>
            <w:tcW w:w="1775" w:type="dxa"/>
            <w:shd w:val="clear" w:color="auto" w:fill="auto"/>
            <w:noWrap/>
            <w:vAlign w:val="bottom"/>
          </w:tcPr>
          <w:p w14:paraId="2EA4B5F4"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w:t>
            </w:r>
          </w:p>
        </w:tc>
        <w:tc>
          <w:tcPr>
            <w:tcW w:w="1807" w:type="dxa"/>
            <w:shd w:val="clear" w:color="auto" w:fill="auto"/>
            <w:noWrap/>
            <w:vAlign w:val="bottom"/>
          </w:tcPr>
          <w:p w14:paraId="7FE52F5F"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181,027</w:t>
            </w:r>
          </w:p>
        </w:tc>
        <w:tc>
          <w:tcPr>
            <w:tcW w:w="1898" w:type="dxa"/>
            <w:shd w:val="clear" w:color="auto" w:fill="auto"/>
            <w:noWrap/>
            <w:vAlign w:val="bottom"/>
          </w:tcPr>
          <w:p w14:paraId="165758A2"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663,923</w:t>
            </w:r>
          </w:p>
        </w:tc>
        <w:tc>
          <w:tcPr>
            <w:tcW w:w="1786" w:type="dxa"/>
            <w:shd w:val="clear" w:color="auto" w:fill="auto"/>
            <w:noWrap/>
            <w:vAlign w:val="bottom"/>
          </w:tcPr>
          <w:p w14:paraId="2FF001EA" w14:textId="77777777" w:rsidR="001D042C" w:rsidRPr="001D042C" w:rsidRDefault="001D042C"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844,950</w:t>
            </w:r>
          </w:p>
        </w:tc>
      </w:tr>
      <w:tr w:rsidR="001D042C" w:rsidRPr="001D042C" w14:paraId="6F237A4D" w14:textId="77777777" w:rsidTr="003F412E">
        <w:trPr>
          <w:trHeight w:val="300"/>
          <w:jc w:val="center"/>
        </w:trPr>
        <w:tc>
          <w:tcPr>
            <w:tcW w:w="1680" w:type="dxa"/>
            <w:shd w:val="clear" w:color="auto" w:fill="auto"/>
            <w:noWrap/>
            <w:vAlign w:val="bottom"/>
          </w:tcPr>
          <w:p w14:paraId="2903DE16" w14:textId="77777777" w:rsidR="001D042C" w:rsidRPr="001D042C" w:rsidRDefault="001D042C"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45-54</w:t>
            </w:r>
          </w:p>
        </w:tc>
        <w:tc>
          <w:tcPr>
            <w:tcW w:w="1775" w:type="dxa"/>
            <w:shd w:val="clear" w:color="auto" w:fill="auto"/>
            <w:noWrap/>
            <w:vAlign w:val="bottom"/>
          </w:tcPr>
          <w:p w14:paraId="146BC16B"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w:t>
            </w:r>
          </w:p>
        </w:tc>
        <w:tc>
          <w:tcPr>
            <w:tcW w:w="1807" w:type="dxa"/>
            <w:shd w:val="clear" w:color="auto" w:fill="auto"/>
            <w:noWrap/>
            <w:vAlign w:val="bottom"/>
          </w:tcPr>
          <w:p w14:paraId="04E7EE08"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159,728</w:t>
            </w:r>
          </w:p>
        </w:tc>
        <w:tc>
          <w:tcPr>
            <w:tcW w:w="1898" w:type="dxa"/>
            <w:shd w:val="clear" w:color="auto" w:fill="auto"/>
            <w:noWrap/>
            <w:vAlign w:val="bottom"/>
          </w:tcPr>
          <w:p w14:paraId="50A3594F"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633,057</w:t>
            </w:r>
          </w:p>
        </w:tc>
        <w:tc>
          <w:tcPr>
            <w:tcW w:w="1786" w:type="dxa"/>
            <w:shd w:val="clear" w:color="auto" w:fill="auto"/>
            <w:noWrap/>
            <w:vAlign w:val="bottom"/>
          </w:tcPr>
          <w:p w14:paraId="25A61294" w14:textId="77777777" w:rsidR="001D042C" w:rsidRPr="001D042C" w:rsidRDefault="001D042C"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792,785</w:t>
            </w:r>
          </w:p>
        </w:tc>
      </w:tr>
      <w:tr w:rsidR="001D042C" w:rsidRPr="001D042C" w14:paraId="168C97B8" w14:textId="77777777" w:rsidTr="003F412E">
        <w:trPr>
          <w:trHeight w:val="300"/>
          <w:jc w:val="center"/>
        </w:trPr>
        <w:tc>
          <w:tcPr>
            <w:tcW w:w="1680" w:type="dxa"/>
            <w:shd w:val="clear" w:color="auto" w:fill="auto"/>
            <w:noWrap/>
            <w:vAlign w:val="bottom"/>
          </w:tcPr>
          <w:p w14:paraId="3F17C133" w14:textId="77777777" w:rsidR="001D042C" w:rsidRPr="001D042C" w:rsidRDefault="001D042C"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55-64</w:t>
            </w:r>
          </w:p>
        </w:tc>
        <w:tc>
          <w:tcPr>
            <w:tcW w:w="1775" w:type="dxa"/>
            <w:shd w:val="clear" w:color="auto" w:fill="auto"/>
            <w:noWrap/>
            <w:vAlign w:val="bottom"/>
          </w:tcPr>
          <w:p w14:paraId="0D5BAAA8"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2,447</w:t>
            </w:r>
          </w:p>
        </w:tc>
        <w:tc>
          <w:tcPr>
            <w:tcW w:w="1807" w:type="dxa"/>
            <w:shd w:val="clear" w:color="auto" w:fill="auto"/>
            <w:noWrap/>
            <w:vAlign w:val="bottom"/>
          </w:tcPr>
          <w:p w14:paraId="10AE9C71"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167,482</w:t>
            </w:r>
          </w:p>
        </w:tc>
        <w:tc>
          <w:tcPr>
            <w:tcW w:w="1898" w:type="dxa"/>
            <w:shd w:val="clear" w:color="auto" w:fill="auto"/>
            <w:noWrap/>
            <w:vAlign w:val="bottom"/>
          </w:tcPr>
          <w:p w14:paraId="15B45160"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497,210</w:t>
            </w:r>
          </w:p>
        </w:tc>
        <w:tc>
          <w:tcPr>
            <w:tcW w:w="1786" w:type="dxa"/>
            <w:shd w:val="clear" w:color="auto" w:fill="auto"/>
            <w:noWrap/>
            <w:vAlign w:val="bottom"/>
          </w:tcPr>
          <w:p w14:paraId="41A29DCD" w14:textId="77777777" w:rsidR="001D042C" w:rsidRPr="001D042C" w:rsidRDefault="001D042C"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667,139</w:t>
            </w:r>
          </w:p>
        </w:tc>
      </w:tr>
      <w:tr w:rsidR="001D042C" w:rsidRPr="001D042C" w14:paraId="7A6B2BCA" w14:textId="77777777" w:rsidTr="003F412E">
        <w:trPr>
          <w:trHeight w:val="300"/>
          <w:jc w:val="center"/>
        </w:trPr>
        <w:tc>
          <w:tcPr>
            <w:tcW w:w="1680" w:type="dxa"/>
            <w:shd w:val="clear" w:color="auto" w:fill="auto"/>
            <w:noWrap/>
            <w:vAlign w:val="bottom"/>
          </w:tcPr>
          <w:p w14:paraId="2AA523F2" w14:textId="77777777" w:rsidR="001D042C" w:rsidRPr="001D042C" w:rsidRDefault="001D042C" w:rsidP="00AE6445">
            <w:pPr>
              <w:keepNext/>
              <w:keepLines/>
              <w:spacing w:before="0" w:after="0"/>
              <w:rPr>
                <w:rFonts w:ascii="Arial" w:hAnsi="Arial" w:cs="Arial"/>
                <w:color w:val="000000"/>
                <w:sz w:val="20"/>
                <w:lang w:val="en-AU" w:eastAsia="en-AU"/>
              </w:rPr>
            </w:pPr>
            <w:r w:rsidRPr="001D042C">
              <w:rPr>
                <w:rFonts w:ascii="Arial" w:hAnsi="Arial" w:cs="Arial"/>
                <w:color w:val="000000"/>
                <w:sz w:val="20"/>
                <w:lang w:val="en-AU" w:eastAsia="en-AU"/>
              </w:rPr>
              <w:t>65 and over</w:t>
            </w:r>
          </w:p>
        </w:tc>
        <w:tc>
          <w:tcPr>
            <w:tcW w:w="1775" w:type="dxa"/>
            <w:shd w:val="clear" w:color="auto" w:fill="auto"/>
            <w:noWrap/>
            <w:vAlign w:val="bottom"/>
          </w:tcPr>
          <w:p w14:paraId="1C60B3F0"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617,479</w:t>
            </w:r>
          </w:p>
        </w:tc>
        <w:tc>
          <w:tcPr>
            <w:tcW w:w="1807" w:type="dxa"/>
            <w:shd w:val="clear" w:color="auto" w:fill="auto"/>
            <w:noWrap/>
            <w:vAlign w:val="bottom"/>
          </w:tcPr>
          <w:p w14:paraId="44E3BA6E"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18,528</w:t>
            </w:r>
          </w:p>
        </w:tc>
        <w:tc>
          <w:tcPr>
            <w:tcW w:w="1898" w:type="dxa"/>
            <w:shd w:val="clear" w:color="auto" w:fill="auto"/>
            <w:noWrap/>
            <w:vAlign w:val="bottom"/>
          </w:tcPr>
          <w:p w14:paraId="6F73E94C" w14:textId="77777777" w:rsidR="001D042C" w:rsidRPr="001D042C" w:rsidRDefault="001D042C" w:rsidP="001D042C">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195,658</w:t>
            </w:r>
          </w:p>
        </w:tc>
        <w:tc>
          <w:tcPr>
            <w:tcW w:w="1786" w:type="dxa"/>
            <w:shd w:val="clear" w:color="auto" w:fill="auto"/>
            <w:noWrap/>
            <w:vAlign w:val="bottom"/>
          </w:tcPr>
          <w:p w14:paraId="4CC9F28F" w14:textId="77777777" w:rsidR="001D042C" w:rsidRPr="001D042C" w:rsidRDefault="001D042C" w:rsidP="00AE6445">
            <w:pPr>
              <w:keepNext/>
              <w:keepLines/>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831,665</w:t>
            </w:r>
          </w:p>
        </w:tc>
      </w:tr>
      <w:tr w:rsidR="001D042C" w:rsidRPr="001D042C" w14:paraId="28C8B74D" w14:textId="77777777" w:rsidTr="003F412E">
        <w:trPr>
          <w:trHeight w:val="300"/>
          <w:jc w:val="center"/>
        </w:trPr>
        <w:tc>
          <w:tcPr>
            <w:tcW w:w="1680" w:type="dxa"/>
            <w:shd w:val="clear" w:color="auto" w:fill="auto"/>
            <w:noWrap/>
            <w:vAlign w:val="bottom"/>
          </w:tcPr>
          <w:p w14:paraId="7C7BEE66" w14:textId="77777777" w:rsidR="001D042C" w:rsidRPr="001D042C" w:rsidRDefault="001D042C" w:rsidP="00AE6445">
            <w:pPr>
              <w:keepNext/>
              <w:keepLines/>
              <w:spacing w:before="0" w:after="0"/>
              <w:rPr>
                <w:rFonts w:ascii="Arial" w:hAnsi="Arial" w:cs="Arial"/>
                <w:b/>
                <w:bCs/>
                <w:color w:val="000000"/>
                <w:sz w:val="20"/>
                <w:lang w:val="en-AU" w:eastAsia="en-AU"/>
              </w:rPr>
            </w:pPr>
            <w:r w:rsidRPr="001D042C">
              <w:rPr>
                <w:rFonts w:ascii="Arial" w:hAnsi="Arial" w:cs="Arial"/>
                <w:b/>
                <w:bCs/>
                <w:color w:val="000000"/>
                <w:sz w:val="20"/>
                <w:lang w:val="en-AU" w:eastAsia="en-AU"/>
              </w:rPr>
              <w:t>Total</w:t>
            </w:r>
          </w:p>
        </w:tc>
        <w:tc>
          <w:tcPr>
            <w:tcW w:w="1775" w:type="dxa"/>
            <w:shd w:val="clear" w:color="auto" w:fill="auto"/>
            <w:noWrap/>
            <w:vAlign w:val="bottom"/>
          </w:tcPr>
          <w:p w14:paraId="3975AF5F" w14:textId="77777777" w:rsidR="001D042C" w:rsidRPr="001D042C" w:rsidRDefault="001D042C" w:rsidP="001D042C">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619,926</w:t>
            </w:r>
          </w:p>
        </w:tc>
        <w:tc>
          <w:tcPr>
            <w:tcW w:w="1807" w:type="dxa"/>
            <w:shd w:val="clear" w:color="auto" w:fill="auto"/>
            <w:noWrap/>
            <w:vAlign w:val="bottom"/>
          </w:tcPr>
          <w:p w14:paraId="72D5B423" w14:textId="77777777" w:rsidR="001D042C" w:rsidRPr="001D042C" w:rsidRDefault="001D042C" w:rsidP="001D042C">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848,634</w:t>
            </w:r>
          </w:p>
        </w:tc>
        <w:tc>
          <w:tcPr>
            <w:tcW w:w="1898" w:type="dxa"/>
            <w:shd w:val="clear" w:color="auto" w:fill="auto"/>
            <w:noWrap/>
            <w:vAlign w:val="bottom"/>
          </w:tcPr>
          <w:p w14:paraId="0B6CA0BF" w14:textId="77777777" w:rsidR="001D042C" w:rsidRPr="001D042C" w:rsidRDefault="001D042C" w:rsidP="001D042C">
            <w:pPr>
              <w:keepNext/>
              <w:keepLines/>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4,373,107</w:t>
            </w:r>
          </w:p>
        </w:tc>
        <w:tc>
          <w:tcPr>
            <w:tcW w:w="1786" w:type="dxa"/>
            <w:shd w:val="clear" w:color="auto" w:fill="auto"/>
            <w:noWrap/>
            <w:vAlign w:val="bottom"/>
          </w:tcPr>
          <w:p w14:paraId="615F86F1" w14:textId="77777777" w:rsidR="001D042C" w:rsidRPr="001D042C" w:rsidRDefault="001D042C" w:rsidP="00AE6445">
            <w:pPr>
              <w:keepNext/>
              <w:keepLines/>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5,841,667</w:t>
            </w:r>
          </w:p>
        </w:tc>
      </w:tr>
    </w:tbl>
    <w:p w14:paraId="372CC018" w14:textId="77777777" w:rsidR="00AE6445" w:rsidRPr="001D042C" w:rsidRDefault="00AE6445" w:rsidP="003F412E">
      <w:pPr>
        <w:ind w:left="2880"/>
        <w:jc w:val="both"/>
        <w:rPr>
          <w:color w:val="000000"/>
          <w:sz w:val="18"/>
          <w:szCs w:val="18"/>
        </w:rPr>
      </w:pPr>
      <w:r w:rsidRPr="001D042C">
        <w:rPr>
          <w:color w:val="000000"/>
          <w:sz w:val="18"/>
          <w:szCs w:val="18"/>
        </w:rPr>
        <w:t>The estimates in this table have been derived from population figures provided by DHHS, and adjusted for DVA figures, including an allowance for overlaps</w:t>
      </w:r>
    </w:p>
    <w:p w14:paraId="4AD21842" w14:textId="77777777" w:rsidR="00AE6445" w:rsidRPr="001D042C" w:rsidRDefault="00AE6445" w:rsidP="00AE6445">
      <w:pPr>
        <w:pStyle w:val="Para"/>
        <w:rPr>
          <w:lang w:val="en-AU"/>
        </w:rPr>
      </w:pPr>
    </w:p>
    <w:p w14:paraId="78F97703" w14:textId="77777777" w:rsidR="00AE6445" w:rsidRPr="001D042C" w:rsidRDefault="00AE6445" w:rsidP="003F412E">
      <w:pPr>
        <w:pStyle w:val="Para"/>
        <w:keepNext/>
        <w:spacing w:after="120"/>
        <w:jc w:val="center"/>
        <w:rPr>
          <w:b/>
          <w:lang w:val="en-AU"/>
        </w:rPr>
      </w:pPr>
      <w:r w:rsidRPr="001D042C">
        <w:rPr>
          <w:b/>
          <w:lang w:val="en-AU"/>
        </w:rPr>
        <w:t xml:space="preserve">Table </w:t>
      </w:r>
      <w:r w:rsidR="0091303E" w:rsidRPr="001D042C">
        <w:rPr>
          <w:b/>
          <w:lang w:val="en-AU"/>
        </w:rPr>
        <w:t>2.11</w:t>
      </w:r>
      <w:r w:rsidRPr="001D042C">
        <w:rPr>
          <w:b/>
          <w:lang w:val="en-AU"/>
        </w:rPr>
        <w:t xml:space="preserve">: </w:t>
      </w:r>
      <w:r w:rsidRPr="001D042C">
        <w:rPr>
          <w:b/>
          <w:u w:val="single"/>
          <w:lang w:val="en-AU"/>
        </w:rPr>
        <w:t>Estimated number of persons by detailed concession type, VIC 2014</w:t>
      </w:r>
    </w:p>
    <w:tbl>
      <w:tblPr>
        <w:tblW w:w="75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111"/>
        <w:gridCol w:w="1488"/>
      </w:tblGrid>
      <w:tr w:rsidR="00AE6445" w:rsidRPr="001D042C" w14:paraId="332593AB" w14:textId="77777777" w:rsidTr="003F412E">
        <w:trPr>
          <w:trHeight w:val="600"/>
          <w:jc w:val="center"/>
        </w:trPr>
        <w:tc>
          <w:tcPr>
            <w:tcW w:w="6111" w:type="dxa"/>
            <w:shd w:val="clear" w:color="auto" w:fill="auto"/>
            <w:noWrap/>
            <w:vAlign w:val="bottom"/>
          </w:tcPr>
          <w:p w14:paraId="1557A288" w14:textId="77777777" w:rsidR="00AE6445" w:rsidRPr="001D042C" w:rsidRDefault="00AE6445" w:rsidP="00AE6445">
            <w:pPr>
              <w:keepNext/>
              <w:spacing w:before="0" w:after="0"/>
              <w:rPr>
                <w:rFonts w:ascii="Arial" w:hAnsi="Arial" w:cs="Arial"/>
                <w:b/>
                <w:bCs/>
                <w:color w:val="000000"/>
                <w:sz w:val="20"/>
                <w:lang w:val="en-AU" w:eastAsia="en-AU"/>
              </w:rPr>
            </w:pPr>
            <w:r w:rsidRPr="001D042C">
              <w:rPr>
                <w:rFonts w:ascii="Arial" w:hAnsi="Arial" w:cs="Arial"/>
                <w:b/>
                <w:bCs/>
                <w:color w:val="000000"/>
                <w:sz w:val="20"/>
                <w:lang w:val="en-AU" w:eastAsia="en-AU"/>
              </w:rPr>
              <w:t>Detailed concession categories</w:t>
            </w:r>
          </w:p>
        </w:tc>
        <w:tc>
          <w:tcPr>
            <w:tcW w:w="1488" w:type="dxa"/>
            <w:shd w:val="clear" w:color="auto" w:fill="auto"/>
            <w:vAlign w:val="bottom"/>
          </w:tcPr>
          <w:p w14:paraId="5E02F95F" w14:textId="77777777" w:rsidR="00AE6445" w:rsidRPr="001D042C" w:rsidRDefault="00AE6445" w:rsidP="00AE6445">
            <w:pPr>
              <w:keepNext/>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Estimated population</w:t>
            </w:r>
          </w:p>
        </w:tc>
      </w:tr>
      <w:tr w:rsidR="001D042C" w:rsidRPr="001D042C" w14:paraId="2C0C0ADE" w14:textId="77777777" w:rsidTr="003F412E">
        <w:trPr>
          <w:trHeight w:val="300"/>
          <w:jc w:val="center"/>
        </w:trPr>
        <w:tc>
          <w:tcPr>
            <w:tcW w:w="6111" w:type="dxa"/>
            <w:shd w:val="clear" w:color="auto" w:fill="auto"/>
            <w:noWrap/>
            <w:vAlign w:val="bottom"/>
          </w:tcPr>
          <w:p w14:paraId="439EDF03" w14:textId="77777777" w:rsidR="001D042C" w:rsidRPr="001D042C" w:rsidRDefault="001D042C" w:rsidP="00AE6445">
            <w:pPr>
              <w:keepNext/>
              <w:spacing w:before="0" w:after="0"/>
              <w:ind w:firstLineChars="100" w:firstLine="200"/>
              <w:rPr>
                <w:rFonts w:ascii="Arial" w:hAnsi="Arial" w:cs="Arial"/>
                <w:color w:val="000000"/>
                <w:sz w:val="20"/>
                <w:lang w:val="en-AU" w:eastAsia="en-AU"/>
              </w:rPr>
            </w:pPr>
            <w:r w:rsidRPr="001D042C">
              <w:rPr>
                <w:rFonts w:ascii="Arial" w:hAnsi="Arial" w:cs="Arial"/>
                <w:color w:val="000000"/>
                <w:sz w:val="20"/>
                <w:lang w:val="en-AU" w:eastAsia="en-AU"/>
              </w:rPr>
              <w:t>1. DHS/Centrelink Pensioner Concession Card – Aged</w:t>
            </w:r>
          </w:p>
        </w:tc>
        <w:tc>
          <w:tcPr>
            <w:tcW w:w="1488" w:type="dxa"/>
            <w:shd w:val="clear" w:color="auto" w:fill="auto"/>
            <w:noWrap/>
            <w:vAlign w:val="bottom"/>
          </w:tcPr>
          <w:p w14:paraId="40DE5267"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605,921</w:t>
            </w:r>
          </w:p>
        </w:tc>
      </w:tr>
      <w:tr w:rsidR="001D042C" w:rsidRPr="001D042C" w14:paraId="2778152E" w14:textId="77777777" w:rsidTr="003F412E">
        <w:trPr>
          <w:trHeight w:val="300"/>
          <w:jc w:val="center"/>
        </w:trPr>
        <w:tc>
          <w:tcPr>
            <w:tcW w:w="6111" w:type="dxa"/>
            <w:shd w:val="clear" w:color="auto" w:fill="auto"/>
            <w:noWrap/>
            <w:vAlign w:val="bottom"/>
          </w:tcPr>
          <w:p w14:paraId="6509AB22" w14:textId="77777777" w:rsidR="001D042C" w:rsidRPr="001D042C" w:rsidRDefault="001D042C" w:rsidP="00AE6445">
            <w:pPr>
              <w:keepNext/>
              <w:spacing w:before="0" w:after="0"/>
              <w:ind w:firstLineChars="100" w:firstLine="200"/>
              <w:rPr>
                <w:rFonts w:ascii="Arial" w:hAnsi="Arial" w:cs="Arial"/>
                <w:color w:val="000000"/>
                <w:sz w:val="20"/>
                <w:lang w:val="en-AU" w:eastAsia="en-AU"/>
              </w:rPr>
            </w:pPr>
            <w:r w:rsidRPr="001D042C">
              <w:rPr>
                <w:rFonts w:ascii="Arial" w:hAnsi="Arial" w:cs="Arial"/>
                <w:color w:val="000000"/>
                <w:sz w:val="20"/>
                <w:lang w:val="en-AU" w:eastAsia="en-AU"/>
              </w:rPr>
              <w:t>2. DHS/Centrelink Pensioner Concession Card – Non-Aged</w:t>
            </w:r>
          </w:p>
        </w:tc>
        <w:tc>
          <w:tcPr>
            <w:tcW w:w="1488" w:type="dxa"/>
            <w:shd w:val="clear" w:color="auto" w:fill="auto"/>
            <w:noWrap/>
            <w:vAlign w:val="bottom"/>
          </w:tcPr>
          <w:p w14:paraId="3EF711F1"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398,051</w:t>
            </w:r>
          </w:p>
        </w:tc>
      </w:tr>
      <w:tr w:rsidR="001D042C" w:rsidRPr="001D042C" w14:paraId="08DC7865" w14:textId="77777777" w:rsidTr="003F412E">
        <w:trPr>
          <w:trHeight w:val="300"/>
          <w:jc w:val="center"/>
        </w:trPr>
        <w:tc>
          <w:tcPr>
            <w:tcW w:w="6111" w:type="dxa"/>
            <w:shd w:val="clear" w:color="auto" w:fill="auto"/>
            <w:noWrap/>
            <w:vAlign w:val="bottom"/>
          </w:tcPr>
          <w:p w14:paraId="44D15C41" w14:textId="77777777" w:rsidR="001D042C" w:rsidRPr="001D042C" w:rsidRDefault="001D042C" w:rsidP="00AE6445">
            <w:pPr>
              <w:keepNext/>
              <w:spacing w:before="0" w:after="0"/>
              <w:ind w:firstLineChars="100" w:firstLine="200"/>
              <w:rPr>
                <w:rFonts w:ascii="Arial" w:hAnsi="Arial" w:cs="Arial"/>
                <w:color w:val="000000"/>
                <w:sz w:val="20"/>
                <w:lang w:val="en-AU" w:eastAsia="en-AU"/>
              </w:rPr>
            </w:pPr>
            <w:r w:rsidRPr="001D042C">
              <w:rPr>
                <w:rFonts w:ascii="Arial" w:hAnsi="Arial" w:cs="Arial"/>
                <w:color w:val="000000"/>
                <w:sz w:val="20"/>
                <w:lang w:val="en-AU" w:eastAsia="en-AU"/>
              </w:rPr>
              <w:t>3. DHS/Centrelink Health Care Card</w:t>
            </w:r>
          </w:p>
        </w:tc>
        <w:tc>
          <w:tcPr>
            <w:tcW w:w="1488" w:type="dxa"/>
            <w:shd w:val="clear" w:color="auto" w:fill="auto"/>
            <w:noWrap/>
            <w:vAlign w:val="bottom"/>
          </w:tcPr>
          <w:p w14:paraId="2ECCFB96"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423,142</w:t>
            </w:r>
          </w:p>
        </w:tc>
      </w:tr>
      <w:tr w:rsidR="001D042C" w:rsidRPr="001D042C" w14:paraId="229F76A9" w14:textId="77777777" w:rsidTr="003F412E">
        <w:trPr>
          <w:trHeight w:val="300"/>
          <w:jc w:val="center"/>
        </w:trPr>
        <w:tc>
          <w:tcPr>
            <w:tcW w:w="6111" w:type="dxa"/>
            <w:shd w:val="clear" w:color="auto" w:fill="auto"/>
            <w:noWrap/>
            <w:vAlign w:val="bottom"/>
          </w:tcPr>
          <w:p w14:paraId="0D037870" w14:textId="77777777" w:rsidR="001D042C" w:rsidRPr="001D042C" w:rsidRDefault="001D042C" w:rsidP="00AE6445">
            <w:pPr>
              <w:keepNext/>
              <w:spacing w:before="0" w:after="0"/>
              <w:ind w:firstLineChars="100" w:firstLine="200"/>
              <w:rPr>
                <w:rFonts w:ascii="Arial" w:hAnsi="Arial" w:cs="Arial"/>
                <w:color w:val="000000"/>
                <w:sz w:val="20"/>
                <w:lang w:val="en-AU" w:eastAsia="en-AU"/>
              </w:rPr>
            </w:pPr>
            <w:r w:rsidRPr="001D042C">
              <w:rPr>
                <w:rFonts w:ascii="Arial" w:hAnsi="Arial" w:cs="Arial"/>
                <w:color w:val="000000"/>
                <w:sz w:val="20"/>
                <w:lang w:val="en-AU" w:eastAsia="en-AU"/>
              </w:rPr>
              <w:t>4. DVA Gold Card - all conditions</w:t>
            </w:r>
          </w:p>
        </w:tc>
        <w:tc>
          <w:tcPr>
            <w:tcW w:w="1488" w:type="dxa"/>
            <w:shd w:val="clear" w:color="auto" w:fill="auto"/>
            <w:noWrap/>
            <w:vAlign w:val="bottom"/>
          </w:tcPr>
          <w:p w14:paraId="59300793"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21,888</w:t>
            </w:r>
          </w:p>
        </w:tc>
      </w:tr>
      <w:tr w:rsidR="001D042C" w:rsidRPr="001D042C" w14:paraId="796454FE" w14:textId="77777777" w:rsidTr="003F412E">
        <w:trPr>
          <w:trHeight w:val="300"/>
          <w:jc w:val="center"/>
        </w:trPr>
        <w:tc>
          <w:tcPr>
            <w:tcW w:w="6111" w:type="dxa"/>
            <w:shd w:val="clear" w:color="auto" w:fill="auto"/>
            <w:noWrap/>
            <w:vAlign w:val="bottom"/>
          </w:tcPr>
          <w:p w14:paraId="5A97E638" w14:textId="77777777" w:rsidR="001D042C" w:rsidRPr="001D042C" w:rsidRDefault="001D042C" w:rsidP="00AE6445">
            <w:pPr>
              <w:keepNext/>
              <w:spacing w:before="0" w:after="0"/>
              <w:ind w:firstLineChars="100" w:firstLine="200"/>
              <w:rPr>
                <w:rFonts w:ascii="Arial" w:hAnsi="Arial" w:cs="Arial"/>
                <w:color w:val="000000"/>
                <w:sz w:val="20"/>
                <w:lang w:val="en-AU" w:eastAsia="en-AU"/>
              </w:rPr>
            </w:pPr>
            <w:r w:rsidRPr="001D042C">
              <w:rPr>
                <w:rFonts w:ascii="Arial" w:hAnsi="Arial" w:cs="Arial"/>
                <w:color w:val="000000"/>
                <w:sz w:val="20"/>
                <w:lang w:val="en-AU" w:eastAsia="en-AU"/>
              </w:rPr>
              <w:t xml:space="preserve">5. DVA Gold Card TPI </w:t>
            </w:r>
          </w:p>
        </w:tc>
        <w:tc>
          <w:tcPr>
            <w:tcW w:w="1488" w:type="dxa"/>
            <w:shd w:val="clear" w:color="auto" w:fill="auto"/>
            <w:noWrap/>
            <w:vAlign w:val="bottom"/>
          </w:tcPr>
          <w:p w14:paraId="1067CE5C"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3,336</w:t>
            </w:r>
          </w:p>
        </w:tc>
      </w:tr>
      <w:tr w:rsidR="001D042C" w:rsidRPr="001D042C" w14:paraId="0DD70F84" w14:textId="77777777" w:rsidTr="003F412E">
        <w:trPr>
          <w:trHeight w:val="300"/>
          <w:jc w:val="center"/>
        </w:trPr>
        <w:tc>
          <w:tcPr>
            <w:tcW w:w="6111" w:type="dxa"/>
            <w:shd w:val="clear" w:color="auto" w:fill="auto"/>
            <w:noWrap/>
            <w:vAlign w:val="bottom"/>
          </w:tcPr>
          <w:p w14:paraId="191D8F9C" w14:textId="77777777" w:rsidR="001D042C" w:rsidRPr="001D042C" w:rsidRDefault="001D042C" w:rsidP="00AE6445">
            <w:pPr>
              <w:keepNext/>
              <w:spacing w:before="0" w:after="0"/>
              <w:ind w:firstLineChars="100" w:firstLine="200"/>
              <w:rPr>
                <w:rFonts w:ascii="Arial" w:hAnsi="Arial" w:cs="Arial"/>
                <w:color w:val="000000"/>
                <w:sz w:val="20"/>
                <w:lang w:val="en-AU" w:eastAsia="en-AU"/>
              </w:rPr>
            </w:pPr>
            <w:r w:rsidRPr="001D042C">
              <w:rPr>
                <w:rFonts w:ascii="Arial" w:hAnsi="Arial" w:cs="Arial"/>
                <w:color w:val="000000"/>
                <w:sz w:val="20"/>
                <w:lang w:val="en-AU" w:eastAsia="en-AU"/>
              </w:rPr>
              <w:t>6. DVA Pensioner Concession Card – Aged</w:t>
            </w:r>
          </w:p>
        </w:tc>
        <w:tc>
          <w:tcPr>
            <w:tcW w:w="1488" w:type="dxa"/>
            <w:shd w:val="clear" w:color="auto" w:fill="auto"/>
            <w:noWrap/>
            <w:vAlign w:val="bottom"/>
          </w:tcPr>
          <w:p w14:paraId="1E1B068D"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14,005</w:t>
            </w:r>
          </w:p>
        </w:tc>
      </w:tr>
      <w:tr w:rsidR="001D042C" w:rsidRPr="001D042C" w14:paraId="66FEB3C4" w14:textId="77777777" w:rsidTr="003F412E">
        <w:trPr>
          <w:trHeight w:val="300"/>
          <w:jc w:val="center"/>
        </w:trPr>
        <w:tc>
          <w:tcPr>
            <w:tcW w:w="6111" w:type="dxa"/>
            <w:shd w:val="clear" w:color="auto" w:fill="auto"/>
            <w:noWrap/>
            <w:vAlign w:val="bottom"/>
          </w:tcPr>
          <w:p w14:paraId="0E7AE896" w14:textId="77777777" w:rsidR="001D042C" w:rsidRPr="001D042C" w:rsidRDefault="001D042C" w:rsidP="00AE6445">
            <w:pPr>
              <w:keepNext/>
              <w:spacing w:before="0" w:after="0"/>
              <w:ind w:firstLineChars="100" w:firstLine="200"/>
              <w:rPr>
                <w:rFonts w:ascii="Arial" w:hAnsi="Arial" w:cs="Arial"/>
                <w:color w:val="000000"/>
                <w:sz w:val="20"/>
                <w:lang w:val="en-AU" w:eastAsia="en-AU"/>
              </w:rPr>
            </w:pPr>
            <w:r w:rsidRPr="001D042C">
              <w:rPr>
                <w:rFonts w:ascii="Arial" w:hAnsi="Arial" w:cs="Arial"/>
                <w:color w:val="000000"/>
                <w:sz w:val="20"/>
                <w:lang w:val="en-AU" w:eastAsia="en-AU"/>
              </w:rPr>
              <w:t>7. DVA Pensioner Concession Card – Non-Aged</w:t>
            </w:r>
          </w:p>
        </w:tc>
        <w:tc>
          <w:tcPr>
            <w:tcW w:w="1488" w:type="dxa"/>
            <w:shd w:val="clear" w:color="auto" w:fill="auto"/>
            <w:noWrap/>
            <w:vAlign w:val="bottom"/>
          </w:tcPr>
          <w:p w14:paraId="1C398DB9"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2,216</w:t>
            </w:r>
          </w:p>
        </w:tc>
      </w:tr>
      <w:tr w:rsidR="001D042C" w:rsidRPr="001D042C" w14:paraId="79DF1623" w14:textId="77777777" w:rsidTr="003F412E">
        <w:trPr>
          <w:trHeight w:val="300"/>
          <w:jc w:val="center"/>
        </w:trPr>
        <w:tc>
          <w:tcPr>
            <w:tcW w:w="6111" w:type="dxa"/>
            <w:shd w:val="clear" w:color="auto" w:fill="auto"/>
            <w:noWrap/>
            <w:vAlign w:val="bottom"/>
          </w:tcPr>
          <w:p w14:paraId="544363EF" w14:textId="77777777" w:rsidR="001D042C" w:rsidRPr="001D042C" w:rsidRDefault="001D042C" w:rsidP="00AE6445">
            <w:pPr>
              <w:keepNext/>
              <w:spacing w:before="0" w:after="0"/>
              <w:ind w:firstLineChars="100" w:firstLine="200"/>
              <w:rPr>
                <w:rFonts w:ascii="Arial" w:hAnsi="Arial" w:cs="Arial"/>
                <w:color w:val="000000"/>
                <w:sz w:val="20"/>
                <w:lang w:val="en-AU" w:eastAsia="en-AU"/>
              </w:rPr>
            </w:pPr>
            <w:r w:rsidRPr="001D042C">
              <w:rPr>
                <w:rFonts w:ascii="Arial" w:hAnsi="Arial" w:cs="Arial"/>
                <w:color w:val="000000"/>
                <w:sz w:val="20"/>
                <w:lang w:val="en-AU" w:eastAsia="en-AU"/>
              </w:rPr>
              <w:t>8. No concession/ No relevant concession</w:t>
            </w:r>
          </w:p>
        </w:tc>
        <w:tc>
          <w:tcPr>
            <w:tcW w:w="1488" w:type="dxa"/>
            <w:shd w:val="clear" w:color="auto" w:fill="auto"/>
            <w:noWrap/>
            <w:vAlign w:val="bottom"/>
          </w:tcPr>
          <w:p w14:paraId="385D99B9" w14:textId="77777777" w:rsidR="001D042C" w:rsidRPr="001D042C" w:rsidRDefault="001D042C" w:rsidP="001D042C">
            <w:pPr>
              <w:keepNext/>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4,373,107</w:t>
            </w:r>
          </w:p>
        </w:tc>
      </w:tr>
      <w:tr w:rsidR="00AE6445" w:rsidRPr="001D042C" w14:paraId="0C7A6353" w14:textId="77777777" w:rsidTr="003F412E">
        <w:trPr>
          <w:trHeight w:val="300"/>
          <w:jc w:val="center"/>
        </w:trPr>
        <w:tc>
          <w:tcPr>
            <w:tcW w:w="6111" w:type="dxa"/>
            <w:shd w:val="clear" w:color="auto" w:fill="auto"/>
            <w:noWrap/>
            <w:vAlign w:val="bottom"/>
          </w:tcPr>
          <w:p w14:paraId="7E6124F0" w14:textId="77777777" w:rsidR="00AE6445" w:rsidRPr="001D042C" w:rsidRDefault="00AE6445" w:rsidP="003257A2">
            <w:pPr>
              <w:keepNext/>
              <w:spacing w:before="0" w:after="0"/>
              <w:ind w:firstLineChars="100" w:firstLine="201"/>
              <w:rPr>
                <w:rFonts w:ascii="Arial" w:hAnsi="Arial" w:cs="Arial"/>
                <w:b/>
                <w:color w:val="000000"/>
                <w:sz w:val="20"/>
                <w:lang w:val="en-AU" w:eastAsia="en-AU"/>
              </w:rPr>
            </w:pPr>
            <w:r w:rsidRPr="001D042C">
              <w:rPr>
                <w:rFonts w:ascii="Arial" w:hAnsi="Arial" w:cs="Arial"/>
                <w:b/>
                <w:color w:val="000000"/>
                <w:sz w:val="20"/>
                <w:lang w:val="en-AU" w:eastAsia="en-AU"/>
              </w:rPr>
              <w:t>Total</w:t>
            </w:r>
          </w:p>
        </w:tc>
        <w:tc>
          <w:tcPr>
            <w:tcW w:w="1488" w:type="dxa"/>
            <w:shd w:val="clear" w:color="auto" w:fill="auto"/>
            <w:noWrap/>
            <w:vAlign w:val="bottom"/>
          </w:tcPr>
          <w:p w14:paraId="6FD2FE80" w14:textId="77777777" w:rsidR="00AE6445" w:rsidRPr="001D042C" w:rsidRDefault="00AE6445" w:rsidP="00AE6445">
            <w:pPr>
              <w:keepNext/>
              <w:spacing w:before="0" w:after="0"/>
              <w:jc w:val="center"/>
              <w:rPr>
                <w:rFonts w:ascii="Arial" w:hAnsi="Arial" w:cs="Arial"/>
                <w:b/>
                <w:color w:val="000000"/>
                <w:sz w:val="20"/>
                <w:lang w:val="en-AU" w:eastAsia="en-AU"/>
              </w:rPr>
            </w:pPr>
            <w:r w:rsidRPr="001D042C">
              <w:rPr>
                <w:rFonts w:ascii="Arial" w:hAnsi="Arial" w:cs="Arial"/>
                <w:b/>
                <w:color w:val="000000"/>
                <w:sz w:val="20"/>
                <w:lang w:val="en-AU" w:eastAsia="en-AU"/>
              </w:rPr>
              <w:t>5,841,667</w:t>
            </w:r>
          </w:p>
        </w:tc>
      </w:tr>
    </w:tbl>
    <w:p w14:paraId="4E410D24" w14:textId="77777777" w:rsidR="00AE6445" w:rsidRPr="001D042C" w:rsidRDefault="00AE6445" w:rsidP="003F412E">
      <w:pPr>
        <w:ind w:left="3600"/>
        <w:rPr>
          <w:color w:val="000000"/>
          <w:sz w:val="18"/>
          <w:szCs w:val="18"/>
        </w:rPr>
      </w:pPr>
      <w:r w:rsidRPr="001D042C">
        <w:rPr>
          <w:color w:val="000000"/>
          <w:sz w:val="18"/>
          <w:szCs w:val="18"/>
        </w:rPr>
        <w:t xml:space="preserve">The estimates in this table have been derived from population figures provided by DHHS from DSS/Centrelink </w:t>
      </w:r>
      <w:r w:rsidRPr="001D042C">
        <w:rPr>
          <w:color w:val="000000"/>
          <w:sz w:val="18"/>
          <w:szCs w:val="18"/>
        </w:rPr>
        <w:br/>
        <w:t xml:space="preserve">and DVA, then adjusted </w:t>
      </w:r>
      <w:r w:rsidR="00036CB0" w:rsidRPr="001D042C">
        <w:rPr>
          <w:color w:val="000000"/>
          <w:sz w:val="18"/>
          <w:szCs w:val="18"/>
        </w:rPr>
        <w:t xml:space="preserve">for </w:t>
      </w:r>
      <w:r w:rsidRPr="001D042C">
        <w:rPr>
          <w:color w:val="000000"/>
          <w:sz w:val="18"/>
          <w:szCs w:val="18"/>
        </w:rPr>
        <w:t>overlaps.  They will not precisely match either DSS or DVA figures.</w:t>
      </w:r>
    </w:p>
    <w:p w14:paraId="30A1FB71" w14:textId="77777777" w:rsidR="00AE6445" w:rsidRPr="001D042C" w:rsidRDefault="00AE6445" w:rsidP="00AE6445">
      <w:pPr>
        <w:pStyle w:val="Para"/>
        <w:rPr>
          <w:lang w:val="en-AU"/>
        </w:rPr>
      </w:pPr>
    </w:p>
    <w:p w14:paraId="5137DDF7" w14:textId="77777777" w:rsidR="00AE6445" w:rsidRPr="001D042C" w:rsidRDefault="00AE6445" w:rsidP="003F412E">
      <w:pPr>
        <w:pStyle w:val="Para"/>
        <w:spacing w:after="120"/>
        <w:jc w:val="center"/>
        <w:rPr>
          <w:b/>
          <w:lang w:val="en-AU"/>
        </w:rPr>
      </w:pPr>
      <w:r w:rsidRPr="001D042C">
        <w:rPr>
          <w:lang w:val="en-AU"/>
        </w:rPr>
        <w:br w:type="page"/>
      </w:r>
      <w:r w:rsidRPr="001D042C">
        <w:rPr>
          <w:b/>
          <w:lang w:val="en-AU"/>
        </w:rPr>
        <w:lastRenderedPageBreak/>
        <w:t xml:space="preserve">Table </w:t>
      </w:r>
      <w:r w:rsidR="0091303E" w:rsidRPr="001D042C">
        <w:rPr>
          <w:b/>
          <w:lang w:val="en-AU"/>
        </w:rPr>
        <w:t>2.12</w:t>
      </w:r>
      <w:r w:rsidRPr="001D042C">
        <w:rPr>
          <w:b/>
          <w:lang w:val="en-AU"/>
        </w:rPr>
        <w:t xml:space="preserve">: </w:t>
      </w:r>
      <w:r w:rsidRPr="001D042C">
        <w:rPr>
          <w:b/>
          <w:u w:val="single"/>
          <w:lang w:val="en-AU"/>
        </w:rPr>
        <w:t>Estimated number of households by household size by DHHS region, 2014</w:t>
      </w:r>
    </w:p>
    <w:tbl>
      <w:tblPr>
        <w:tblW w:w="94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740"/>
        <w:gridCol w:w="1340"/>
        <w:gridCol w:w="1340"/>
        <w:gridCol w:w="1340"/>
        <w:gridCol w:w="1340"/>
        <w:gridCol w:w="1340"/>
      </w:tblGrid>
      <w:tr w:rsidR="00AE6445" w:rsidRPr="001D042C" w14:paraId="4BD727B7" w14:textId="77777777" w:rsidTr="003F412E">
        <w:trPr>
          <w:trHeight w:val="1200"/>
          <w:jc w:val="center"/>
        </w:trPr>
        <w:tc>
          <w:tcPr>
            <w:tcW w:w="2740" w:type="dxa"/>
            <w:shd w:val="clear" w:color="auto" w:fill="auto"/>
            <w:noWrap/>
            <w:vAlign w:val="bottom"/>
          </w:tcPr>
          <w:p w14:paraId="674B243F" w14:textId="77777777" w:rsidR="00AE6445" w:rsidRPr="001D042C" w:rsidRDefault="00AE6445" w:rsidP="00AE6445">
            <w:pPr>
              <w:spacing w:before="0" w:after="0"/>
              <w:rPr>
                <w:rFonts w:ascii="Arial" w:hAnsi="Arial" w:cs="Arial"/>
                <w:b/>
                <w:bCs/>
                <w:color w:val="000000"/>
                <w:sz w:val="20"/>
                <w:lang w:val="en-AU" w:eastAsia="en-AU"/>
              </w:rPr>
            </w:pPr>
            <w:r w:rsidRPr="001D042C">
              <w:rPr>
                <w:rFonts w:ascii="Arial" w:hAnsi="Arial" w:cs="Arial"/>
                <w:b/>
                <w:bCs/>
                <w:color w:val="000000"/>
                <w:sz w:val="20"/>
                <w:lang w:val="en-AU" w:eastAsia="en-AU"/>
              </w:rPr>
              <w:t>DHHS Region</w:t>
            </w:r>
          </w:p>
        </w:tc>
        <w:tc>
          <w:tcPr>
            <w:tcW w:w="1340" w:type="dxa"/>
            <w:shd w:val="clear" w:color="auto" w:fill="auto"/>
            <w:vAlign w:val="bottom"/>
          </w:tcPr>
          <w:p w14:paraId="48BA64B8"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1 person households</w:t>
            </w:r>
          </w:p>
        </w:tc>
        <w:tc>
          <w:tcPr>
            <w:tcW w:w="1340" w:type="dxa"/>
            <w:shd w:val="clear" w:color="auto" w:fill="auto"/>
            <w:vAlign w:val="bottom"/>
          </w:tcPr>
          <w:p w14:paraId="31B6CCE6"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2 person households</w:t>
            </w:r>
          </w:p>
        </w:tc>
        <w:tc>
          <w:tcPr>
            <w:tcW w:w="1340" w:type="dxa"/>
            <w:shd w:val="clear" w:color="auto" w:fill="auto"/>
            <w:vAlign w:val="bottom"/>
          </w:tcPr>
          <w:p w14:paraId="4CDF562A"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3 person households</w:t>
            </w:r>
          </w:p>
        </w:tc>
        <w:tc>
          <w:tcPr>
            <w:tcW w:w="1340" w:type="dxa"/>
            <w:shd w:val="clear" w:color="auto" w:fill="auto"/>
            <w:vAlign w:val="bottom"/>
          </w:tcPr>
          <w:p w14:paraId="2EF97575"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Number of 4 plus person households</w:t>
            </w:r>
          </w:p>
        </w:tc>
        <w:tc>
          <w:tcPr>
            <w:tcW w:w="1340" w:type="dxa"/>
            <w:shd w:val="clear" w:color="auto" w:fill="auto"/>
            <w:vAlign w:val="bottom"/>
          </w:tcPr>
          <w:p w14:paraId="331BC812"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Total estimated number of households</w:t>
            </w:r>
          </w:p>
        </w:tc>
      </w:tr>
      <w:tr w:rsidR="00AE6445" w:rsidRPr="001D042C" w14:paraId="197AFA74" w14:textId="77777777" w:rsidTr="003F412E">
        <w:trPr>
          <w:trHeight w:val="300"/>
          <w:jc w:val="center"/>
        </w:trPr>
        <w:tc>
          <w:tcPr>
            <w:tcW w:w="2740" w:type="dxa"/>
            <w:shd w:val="clear" w:color="auto" w:fill="auto"/>
            <w:noWrap/>
            <w:vAlign w:val="bottom"/>
          </w:tcPr>
          <w:p w14:paraId="181B74C5"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Barwon</w:t>
            </w:r>
          </w:p>
        </w:tc>
        <w:tc>
          <w:tcPr>
            <w:tcW w:w="1340" w:type="dxa"/>
            <w:shd w:val="clear" w:color="auto" w:fill="auto"/>
            <w:noWrap/>
            <w:vAlign w:val="bottom"/>
          </w:tcPr>
          <w:p w14:paraId="705B628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29,799</w:t>
            </w:r>
          </w:p>
        </w:tc>
        <w:tc>
          <w:tcPr>
            <w:tcW w:w="1340" w:type="dxa"/>
            <w:shd w:val="clear" w:color="auto" w:fill="auto"/>
            <w:noWrap/>
            <w:vAlign w:val="bottom"/>
          </w:tcPr>
          <w:p w14:paraId="7CDF173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38,584</w:t>
            </w:r>
          </w:p>
        </w:tc>
        <w:tc>
          <w:tcPr>
            <w:tcW w:w="1340" w:type="dxa"/>
            <w:shd w:val="clear" w:color="auto" w:fill="auto"/>
            <w:noWrap/>
            <w:vAlign w:val="bottom"/>
          </w:tcPr>
          <w:p w14:paraId="158AEB9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16,287</w:t>
            </w:r>
          </w:p>
        </w:tc>
        <w:tc>
          <w:tcPr>
            <w:tcW w:w="1340" w:type="dxa"/>
            <w:shd w:val="clear" w:color="auto" w:fill="auto"/>
            <w:noWrap/>
            <w:vAlign w:val="bottom"/>
          </w:tcPr>
          <w:p w14:paraId="0D7D639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25,253</w:t>
            </w:r>
          </w:p>
        </w:tc>
        <w:tc>
          <w:tcPr>
            <w:tcW w:w="1340" w:type="dxa"/>
            <w:shd w:val="clear" w:color="auto" w:fill="auto"/>
            <w:noWrap/>
            <w:vAlign w:val="bottom"/>
          </w:tcPr>
          <w:p w14:paraId="1E61656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109,923</w:t>
            </w:r>
          </w:p>
        </w:tc>
      </w:tr>
      <w:tr w:rsidR="00AE6445" w:rsidRPr="001D042C" w14:paraId="6349FB58" w14:textId="77777777" w:rsidTr="003F412E">
        <w:trPr>
          <w:trHeight w:val="300"/>
          <w:jc w:val="center"/>
        </w:trPr>
        <w:tc>
          <w:tcPr>
            <w:tcW w:w="2740" w:type="dxa"/>
            <w:shd w:val="clear" w:color="auto" w:fill="auto"/>
            <w:noWrap/>
            <w:vAlign w:val="bottom"/>
          </w:tcPr>
          <w:p w14:paraId="1DE7012B"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Bayside </w:t>
            </w:r>
            <w:smartTag w:uri="urn:schemas-microsoft-com:office:smarttags" w:element="place">
              <w:r w:rsidRPr="001D042C">
                <w:rPr>
                  <w:rFonts w:ascii="Arial" w:hAnsi="Arial" w:cs="Arial"/>
                  <w:color w:val="000000"/>
                  <w:sz w:val="20"/>
                  <w:lang w:val="en-AU" w:eastAsia="en-AU"/>
                </w:rPr>
                <w:t>Peninsula</w:t>
              </w:r>
            </w:smartTag>
          </w:p>
        </w:tc>
        <w:tc>
          <w:tcPr>
            <w:tcW w:w="1340" w:type="dxa"/>
            <w:shd w:val="clear" w:color="auto" w:fill="auto"/>
            <w:noWrap/>
            <w:vAlign w:val="bottom"/>
          </w:tcPr>
          <w:p w14:paraId="42249DF8"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106,044</w:t>
            </w:r>
          </w:p>
        </w:tc>
        <w:tc>
          <w:tcPr>
            <w:tcW w:w="1340" w:type="dxa"/>
            <w:shd w:val="clear" w:color="auto" w:fill="auto"/>
            <w:noWrap/>
            <w:vAlign w:val="bottom"/>
          </w:tcPr>
          <w:p w14:paraId="11CD1AA6"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125,633</w:t>
            </w:r>
          </w:p>
        </w:tc>
        <w:tc>
          <w:tcPr>
            <w:tcW w:w="1340" w:type="dxa"/>
            <w:shd w:val="clear" w:color="auto" w:fill="auto"/>
            <w:noWrap/>
            <w:vAlign w:val="bottom"/>
          </w:tcPr>
          <w:p w14:paraId="048406D5"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53,910</w:t>
            </w:r>
          </w:p>
        </w:tc>
        <w:tc>
          <w:tcPr>
            <w:tcW w:w="1340" w:type="dxa"/>
            <w:shd w:val="clear" w:color="auto" w:fill="auto"/>
            <w:noWrap/>
            <w:vAlign w:val="bottom"/>
          </w:tcPr>
          <w:p w14:paraId="5806D984"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80,368</w:t>
            </w:r>
          </w:p>
        </w:tc>
        <w:tc>
          <w:tcPr>
            <w:tcW w:w="1340" w:type="dxa"/>
            <w:shd w:val="clear" w:color="auto" w:fill="auto"/>
            <w:noWrap/>
            <w:vAlign w:val="bottom"/>
          </w:tcPr>
          <w:p w14:paraId="19D3896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365,955</w:t>
            </w:r>
          </w:p>
        </w:tc>
      </w:tr>
      <w:tr w:rsidR="00AE6445" w:rsidRPr="001D042C" w14:paraId="7065139A" w14:textId="77777777" w:rsidTr="003F412E">
        <w:trPr>
          <w:trHeight w:val="300"/>
          <w:jc w:val="center"/>
        </w:trPr>
        <w:tc>
          <w:tcPr>
            <w:tcW w:w="2740" w:type="dxa"/>
            <w:shd w:val="clear" w:color="auto" w:fill="auto"/>
            <w:noWrap/>
            <w:vAlign w:val="bottom"/>
          </w:tcPr>
          <w:p w14:paraId="283C4626"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Brimbank Melton</w:t>
            </w:r>
          </w:p>
        </w:tc>
        <w:tc>
          <w:tcPr>
            <w:tcW w:w="1340" w:type="dxa"/>
            <w:shd w:val="clear" w:color="auto" w:fill="auto"/>
            <w:noWrap/>
            <w:vAlign w:val="bottom"/>
          </w:tcPr>
          <w:p w14:paraId="2B5BD7DA"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18,867</w:t>
            </w:r>
          </w:p>
        </w:tc>
        <w:tc>
          <w:tcPr>
            <w:tcW w:w="1340" w:type="dxa"/>
            <w:shd w:val="clear" w:color="auto" w:fill="auto"/>
            <w:noWrap/>
            <w:vAlign w:val="bottom"/>
          </w:tcPr>
          <w:p w14:paraId="7D749AF0"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30,756</w:t>
            </w:r>
          </w:p>
        </w:tc>
        <w:tc>
          <w:tcPr>
            <w:tcW w:w="1340" w:type="dxa"/>
            <w:shd w:val="clear" w:color="auto" w:fill="auto"/>
            <w:noWrap/>
            <w:vAlign w:val="bottom"/>
          </w:tcPr>
          <w:p w14:paraId="7D68D3B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21,032</w:t>
            </w:r>
          </w:p>
        </w:tc>
        <w:tc>
          <w:tcPr>
            <w:tcW w:w="1340" w:type="dxa"/>
            <w:shd w:val="clear" w:color="auto" w:fill="auto"/>
            <w:noWrap/>
            <w:vAlign w:val="bottom"/>
          </w:tcPr>
          <w:p w14:paraId="398FB887"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38,691</w:t>
            </w:r>
          </w:p>
        </w:tc>
        <w:tc>
          <w:tcPr>
            <w:tcW w:w="1340" w:type="dxa"/>
            <w:shd w:val="clear" w:color="auto" w:fill="auto"/>
            <w:noWrap/>
            <w:vAlign w:val="bottom"/>
          </w:tcPr>
          <w:p w14:paraId="59A6D5CE"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109,346</w:t>
            </w:r>
          </w:p>
        </w:tc>
      </w:tr>
      <w:tr w:rsidR="00AE6445" w:rsidRPr="001D042C" w14:paraId="5FB90F1A" w14:textId="77777777" w:rsidTr="003F412E">
        <w:trPr>
          <w:trHeight w:val="300"/>
          <w:jc w:val="center"/>
        </w:trPr>
        <w:tc>
          <w:tcPr>
            <w:tcW w:w="2740" w:type="dxa"/>
            <w:shd w:val="clear" w:color="auto" w:fill="auto"/>
            <w:noWrap/>
            <w:vAlign w:val="bottom"/>
          </w:tcPr>
          <w:p w14:paraId="70ADFDFE"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Central Highlands</w:t>
            </w:r>
          </w:p>
        </w:tc>
        <w:tc>
          <w:tcPr>
            <w:tcW w:w="1340" w:type="dxa"/>
            <w:shd w:val="clear" w:color="auto" w:fill="auto"/>
            <w:noWrap/>
            <w:vAlign w:val="bottom"/>
          </w:tcPr>
          <w:p w14:paraId="5DF5EDA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19,509</w:t>
            </w:r>
          </w:p>
        </w:tc>
        <w:tc>
          <w:tcPr>
            <w:tcW w:w="1340" w:type="dxa"/>
            <w:shd w:val="clear" w:color="auto" w:fill="auto"/>
            <w:noWrap/>
            <w:vAlign w:val="bottom"/>
          </w:tcPr>
          <w:p w14:paraId="3EAA6380"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25,658</w:t>
            </w:r>
          </w:p>
        </w:tc>
        <w:tc>
          <w:tcPr>
            <w:tcW w:w="1340" w:type="dxa"/>
            <w:shd w:val="clear" w:color="auto" w:fill="auto"/>
            <w:noWrap/>
            <w:vAlign w:val="bottom"/>
          </w:tcPr>
          <w:p w14:paraId="29B804C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10,516</w:t>
            </w:r>
          </w:p>
        </w:tc>
        <w:tc>
          <w:tcPr>
            <w:tcW w:w="1340" w:type="dxa"/>
            <w:shd w:val="clear" w:color="auto" w:fill="auto"/>
            <w:noWrap/>
            <w:vAlign w:val="bottom"/>
          </w:tcPr>
          <w:p w14:paraId="139D54D7"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16,998</w:t>
            </w:r>
          </w:p>
        </w:tc>
        <w:tc>
          <w:tcPr>
            <w:tcW w:w="1340" w:type="dxa"/>
            <w:shd w:val="clear" w:color="auto" w:fill="auto"/>
            <w:noWrap/>
            <w:vAlign w:val="bottom"/>
          </w:tcPr>
          <w:p w14:paraId="15CC7534"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72,681</w:t>
            </w:r>
          </w:p>
        </w:tc>
      </w:tr>
      <w:tr w:rsidR="00AE6445" w:rsidRPr="001D042C" w14:paraId="1AC6FBF9" w14:textId="77777777" w:rsidTr="003F412E">
        <w:trPr>
          <w:trHeight w:val="300"/>
          <w:jc w:val="center"/>
        </w:trPr>
        <w:tc>
          <w:tcPr>
            <w:tcW w:w="2740" w:type="dxa"/>
            <w:shd w:val="clear" w:color="auto" w:fill="auto"/>
            <w:noWrap/>
            <w:vAlign w:val="bottom"/>
          </w:tcPr>
          <w:p w14:paraId="59852FA9"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Goulburn</w:t>
            </w:r>
          </w:p>
        </w:tc>
        <w:tc>
          <w:tcPr>
            <w:tcW w:w="1340" w:type="dxa"/>
            <w:shd w:val="clear" w:color="auto" w:fill="auto"/>
            <w:noWrap/>
            <w:vAlign w:val="bottom"/>
          </w:tcPr>
          <w:p w14:paraId="658250B7"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15,239</w:t>
            </w:r>
          </w:p>
        </w:tc>
        <w:tc>
          <w:tcPr>
            <w:tcW w:w="1340" w:type="dxa"/>
            <w:shd w:val="clear" w:color="auto" w:fill="auto"/>
            <w:noWrap/>
            <w:vAlign w:val="bottom"/>
          </w:tcPr>
          <w:p w14:paraId="535F7304"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20,986</w:t>
            </w:r>
          </w:p>
        </w:tc>
        <w:tc>
          <w:tcPr>
            <w:tcW w:w="1340" w:type="dxa"/>
            <w:shd w:val="clear" w:color="auto" w:fill="auto"/>
            <w:noWrap/>
            <w:vAlign w:val="bottom"/>
          </w:tcPr>
          <w:p w14:paraId="0FCC47E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8,368</w:t>
            </w:r>
          </w:p>
        </w:tc>
        <w:tc>
          <w:tcPr>
            <w:tcW w:w="1340" w:type="dxa"/>
            <w:shd w:val="clear" w:color="auto" w:fill="auto"/>
            <w:noWrap/>
            <w:vAlign w:val="bottom"/>
          </w:tcPr>
          <w:p w14:paraId="2AF0496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14,245</w:t>
            </w:r>
          </w:p>
        </w:tc>
        <w:tc>
          <w:tcPr>
            <w:tcW w:w="1340" w:type="dxa"/>
            <w:shd w:val="clear" w:color="auto" w:fill="auto"/>
            <w:noWrap/>
            <w:vAlign w:val="bottom"/>
          </w:tcPr>
          <w:p w14:paraId="5F3BF8D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58,837</w:t>
            </w:r>
          </w:p>
        </w:tc>
      </w:tr>
      <w:tr w:rsidR="00AE6445" w:rsidRPr="001D042C" w14:paraId="4AC5ABB7" w14:textId="77777777" w:rsidTr="003F412E">
        <w:trPr>
          <w:trHeight w:val="300"/>
          <w:jc w:val="center"/>
        </w:trPr>
        <w:tc>
          <w:tcPr>
            <w:tcW w:w="2740" w:type="dxa"/>
            <w:shd w:val="clear" w:color="auto" w:fill="auto"/>
            <w:noWrap/>
            <w:vAlign w:val="bottom"/>
          </w:tcPr>
          <w:p w14:paraId="5EBD3015"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Hume Moreland</w:t>
            </w:r>
          </w:p>
        </w:tc>
        <w:tc>
          <w:tcPr>
            <w:tcW w:w="1340" w:type="dxa"/>
            <w:shd w:val="clear" w:color="auto" w:fill="auto"/>
            <w:noWrap/>
            <w:vAlign w:val="bottom"/>
          </w:tcPr>
          <w:p w14:paraId="1AEA916A"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27,565</w:t>
            </w:r>
          </w:p>
        </w:tc>
        <w:tc>
          <w:tcPr>
            <w:tcW w:w="1340" w:type="dxa"/>
            <w:shd w:val="clear" w:color="auto" w:fill="auto"/>
            <w:noWrap/>
            <w:vAlign w:val="bottom"/>
          </w:tcPr>
          <w:p w14:paraId="33D945A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38,112</w:t>
            </w:r>
          </w:p>
        </w:tc>
        <w:tc>
          <w:tcPr>
            <w:tcW w:w="1340" w:type="dxa"/>
            <w:shd w:val="clear" w:color="auto" w:fill="auto"/>
            <w:noWrap/>
            <w:vAlign w:val="bottom"/>
          </w:tcPr>
          <w:p w14:paraId="31530A90"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22,376</w:t>
            </w:r>
          </w:p>
        </w:tc>
        <w:tc>
          <w:tcPr>
            <w:tcW w:w="1340" w:type="dxa"/>
            <w:shd w:val="clear" w:color="auto" w:fill="auto"/>
            <w:noWrap/>
            <w:vAlign w:val="bottom"/>
          </w:tcPr>
          <w:p w14:paraId="59C914C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38,488</w:t>
            </w:r>
          </w:p>
        </w:tc>
        <w:tc>
          <w:tcPr>
            <w:tcW w:w="1340" w:type="dxa"/>
            <w:shd w:val="clear" w:color="auto" w:fill="auto"/>
            <w:noWrap/>
            <w:vAlign w:val="bottom"/>
          </w:tcPr>
          <w:p w14:paraId="122FB1D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126,542</w:t>
            </w:r>
          </w:p>
        </w:tc>
      </w:tr>
      <w:tr w:rsidR="00AE6445" w:rsidRPr="001D042C" w14:paraId="140AE532" w14:textId="77777777" w:rsidTr="003F412E">
        <w:trPr>
          <w:trHeight w:val="300"/>
          <w:jc w:val="center"/>
        </w:trPr>
        <w:tc>
          <w:tcPr>
            <w:tcW w:w="2740" w:type="dxa"/>
            <w:shd w:val="clear" w:color="auto" w:fill="auto"/>
            <w:noWrap/>
            <w:vAlign w:val="bottom"/>
          </w:tcPr>
          <w:p w14:paraId="1C5970F0"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Inner </w:t>
            </w:r>
            <w:smartTag w:uri="urn:schemas-microsoft-com:office:smarttags" w:element="place">
              <w:r w:rsidRPr="001D042C">
                <w:rPr>
                  <w:rFonts w:ascii="Arial" w:hAnsi="Arial" w:cs="Arial"/>
                  <w:color w:val="000000"/>
                  <w:sz w:val="20"/>
                  <w:lang w:val="en-AU" w:eastAsia="en-AU"/>
                </w:rPr>
                <w:t>Eastern Melbourne</w:t>
              </w:r>
            </w:smartTag>
          </w:p>
        </w:tc>
        <w:tc>
          <w:tcPr>
            <w:tcW w:w="1340" w:type="dxa"/>
            <w:shd w:val="clear" w:color="auto" w:fill="auto"/>
            <w:noWrap/>
            <w:vAlign w:val="bottom"/>
          </w:tcPr>
          <w:p w14:paraId="2E4E586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52,137</w:t>
            </w:r>
          </w:p>
        </w:tc>
        <w:tc>
          <w:tcPr>
            <w:tcW w:w="1340" w:type="dxa"/>
            <w:shd w:val="clear" w:color="auto" w:fill="auto"/>
            <w:noWrap/>
            <w:vAlign w:val="bottom"/>
          </w:tcPr>
          <w:p w14:paraId="0EA2C150"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75,709</w:t>
            </w:r>
          </w:p>
        </w:tc>
        <w:tc>
          <w:tcPr>
            <w:tcW w:w="1340" w:type="dxa"/>
            <w:shd w:val="clear" w:color="auto" w:fill="auto"/>
            <w:noWrap/>
            <w:vAlign w:val="bottom"/>
          </w:tcPr>
          <w:p w14:paraId="14DED5A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41,462</w:t>
            </w:r>
          </w:p>
        </w:tc>
        <w:tc>
          <w:tcPr>
            <w:tcW w:w="1340" w:type="dxa"/>
            <w:shd w:val="clear" w:color="auto" w:fill="auto"/>
            <w:noWrap/>
            <w:vAlign w:val="bottom"/>
          </w:tcPr>
          <w:p w14:paraId="43B66AD6"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69,459</w:t>
            </w:r>
          </w:p>
        </w:tc>
        <w:tc>
          <w:tcPr>
            <w:tcW w:w="1340" w:type="dxa"/>
            <w:shd w:val="clear" w:color="auto" w:fill="auto"/>
            <w:noWrap/>
            <w:vAlign w:val="bottom"/>
          </w:tcPr>
          <w:p w14:paraId="482D7C6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238,768</w:t>
            </w:r>
          </w:p>
        </w:tc>
      </w:tr>
      <w:tr w:rsidR="00AE6445" w:rsidRPr="001D042C" w14:paraId="25D8055C" w14:textId="77777777" w:rsidTr="003F412E">
        <w:trPr>
          <w:trHeight w:val="300"/>
          <w:jc w:val="center"/>
        </w:trPr>
        <w:tc>
          <w:tcPr>
            <w:tcW w:w="2740" w:type="dxa"/>
            <w:shd w:val="clear" w:color="auto" w:fill="auto"/>
            <w:noWrap/>
            <w:vAlign w:val="bottom"/>
          </w:tcPr>
          <w:p w14:paraId="01077E38"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Inner Gippsland</w:t>
            </w:r>
          </w:p>
        </w:tc>
        <w:tc>
          <w:tcPr>
            <w:tcW w:w="1340" w:type="dxa"/>
            <w:shd w:val="clear" w:color="auto" w:fill="auto"/>
            <w:noWrap/>
            <w:vAlign w:val="bottom"/>
          </w:tcPr>
          <w:p w14:paraId="1781CFA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20,297</w:t>
            </w:r>
          </w:p>
        </w:tc>
        <w:tc>
          <w:tcPr>
            <w:tcW w:w="1340" w:type="dxa"/>
            <w:shd w:val="clear" w:color="auto" w:fill="auto"/>
            <w:noWrap/>
            <w:vAlign w:val="bottom"/>
          </w:tcPr>
          <w:p w14:paraId="6A084B67"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26,643</w:t>
            </w:r>
          </w:p>
        </w:tc>
        <w:tc>
          <w:tcPr>
            <w:tcW w:w="1340" w:type="dxa"/>
            <w:shd w:val="clear" w:color="auto" w:fill="auto"/>
            <w:noWrap/>
            <w:vAlign w:val="bottom"/>
          </w:tcPr>
          <w:p w14:paraId="5B419EE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9,796</w:t>
            </w:r>
          </w:p>
        </w:tc>
        <w:tc>
          <w:tcPr>
            <w:tcW w:w="1340" w:type="dxa"/>
            <w:shd w:val="clear" w:color="auto" w:fill="auto"/>
            <w:noWrap/>
            <w:vAlign w:val="bottom"/>
          </w:tcPr>
          <w:p w14:paraId="7F7AA67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15,451</w:t>
            </w:r>
          </w:p>
        </w:tc>
        <w:tc>
          <w:tcPr>
            <w:tcW w:w="1340" w:type="dxa"/>
            <w:shd w:val="clear" w:color="auto" w:fill="auto"/>
            <w:noWrap/>
            <w:vAlign w:val="bottom"/>
          </w:tcPr>
          <w:p w14:paraId="1F51F2B0"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72,187</w:t>
            </w:r>
          </w:p>
        </w:tc>
      </w:tr>
      <w:tr w:rsidR="00AE6445" w:rsidRPr="001D042C" w14:paraId="65FCFE30" w14:textId="77777777" w:rsidTr="003F412E">
        <w:trPr>
          <w:trHeight w:val="300"/>
          <w:jc w:val="center"/>
        </w:trPr>
        <w:tc>
          <w:tcPr>
            <w:tcW w:w="2740" w:type="dxa"/>
            <w:shd w:val="clear" w:color="auto" w:fill="auto"/>
            <w:noWrap/>
            <w:vAlign w:val="bottom"/>
          </w:tcPr>
          <w:p w14:paraId="6B524F78"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Loddon</w:t>
            </w:r>
          </w:p>
        </w:tc>
        <w:tc>
          <w:tcPr>
            <w:tcW w:w="1340" w:type="dxa"/>
            <w:shd w:val="clear" w:color="auto" w:fill="auto"/>
            <w:noWrap/>
            <w:vAlign w:val="bottom"/>
          </w:tcPr>
          <w:p w14:paraId="4FBF9F8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23,979</w:t>
            </w:r>
          </w:p>
        </w:tc>
        <w:tc>
          <w:tcPr>
            <w:tcW w:w="1340" w:type="dxa"/>
            <w:shd w:val="clear" w:color="auto" w:fill="auto"/>
            <w:noWrap/>
            <w:vAlign w:val="bottom"/>
          </w:tcPr>
          <w:p w14:paraId="0557343E"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32,406</w:t>
            </w:r>
          </w:p>
        </w:tc>
        <w:tc>
          <w:tcPr>
            <w:tcW w:w="1340" w:type="dxa"/>
            <w:shd w:val="clear" w:color="auto" w:fill="auto"/>
            <w:noWrap/>
            <w:vAlign w:val="bottom"/>
          </w:tcPr>
          <w:p w14:paraId="7D7BE538"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12,849</w:t>
            </w:r>
          </w:p>
        </w:tc>
        <w:tc>
          <w:tcPr>
            <w:tcW w:w="1340" w:type="dxa"/>
            <w:shd w:val="clear" w:color="auto" w:fill="auto"/>
            <w:noWrap/>
            <w:vAlign w:val="bottom"/>
          </w:tcPr>
          <w:p w14:paraId="1515861D"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20,518</w:t>
            </w:r>
          </w:p>
        </w:tc>
        <w:tc>
          <w:tcPr>
            <w:tcW w:w="1340" w:type="dxa"/>
            <w:shd w:val="clear" w:color="auto" w:fill="auto"/>
            <w:noWrap/>
            <w:vAlign w:val="bottom"/>
          </w:tcPr>
          <w:p w14:paraId="75C6C83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89,753</w:t>
            </w:r>
          </w:p>
        </w:tc>
      </w:tr>
      <w:tr w:rsidR="00AE6445" w:rsidRPr="001D042C" w14:paraId="49F5D5E6" w14:textId="77777777" w:rsidTr="003F412E">
        <w:trPr>
          <w:trHeight w:val="300"/>
          <w:jc w:val="center"/>
        </w:trPr>
        <w:tc>
          <w:tcPr>
            <w:tcW w:w="2740" w:type="dxa"/>
            <w:shd w:val="clear" w:color="auto" w:fill="auto"/>
            <w:noWrap/>
            <w:vAlign w:val="bottom"/>
          </w:tcPr>
          <w:p w14:paraId="35B06775"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Mallee</w:t>
            </w:r>
          </w:p>
        </w:tc>
        <w:tc>
          <w:tcPr>
            <w:tcW w:w="1340" w:type="dxa"/>
            <w:shd w:val="clear" w:color="auto" w:fill="auto"/>
            <w:noWrap/>
            <w:vAlign w:val="bottom"/>
          </w:tcPr>
          <w:p w14:paraId="4B7DBC2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10,396</w:t>
            </w:r>
          </w:p>
        </w:tc>
        <w:tc>
          <w:tcPr>
            <w:tcW w:w="1340" w:type="dxa"/>
            <w:shd w:val="clear" w:color="auto" w:fill="auto"/>
            <w:noWrap/>
            <w:vAlign w:val="bottom"/>
          </w:tcPr>
          <w:p w14:paraId="31A9384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12,670</w:t>
            </w:r>
          </w:p>
        </w:tc>
        <w:tc>
          <w:tcPr>
            <w:tcW w:w="1340" w:type="dxa"/>
            <w:shd w:val="clear" w:color="auto" w:fill="auto"/>
            <w:noWrap/>
            <w:vAlign w:val="bottom"/>
          </w:tcPr>
          <w:p w14:paraId="43E0060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4,831</w:t>
            </w:r>
          </w:p>
        </w:tc>
        <w:tc>
          <w:tcPr>
            <w:tcW w:w="1340" w:type="dxa"/>
            <w:shd w:val="clear" w:color="auto" w:fill="auto"/>
            <w:noWrap/>
            <w:vAlign w:val="bottom"/>
          </w:tcPr>
          <w:p w14:paraId="04533FE4"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7,915</w:t>
            </w:r>
          </w:p>
        </w:tc>
        <w:tc>
          <w:tcPr>
            <w:tcW w:w="1340" w:type="dxa"/>
            <w:shd w:val="clear" w:color="auto" w:fill="auto"/>
            <w:noWrap/>
            <w:vAlign w:val="bottom"/>
          </w:tcPr>
          <w:p w14:paraId="08C6B40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35,812</w:t>
            </w:r>
          </w:p>
        </w:tc>
      </w:tr>
      <w:tr w:rsidR="00AE6445" w:rsidRPr="001D042C" w14:paraId="7DF46BE8" w14:textId="77777777" w:rsidTr="003F412E">
        <w:trPr>
          <w:trHeight w:val="300"/>
          <w:jc w:val="center"/>
        </w:trPr>
        <w:tc>
          <w:tcPr>
            <w:tcW w:w="2740" w:type="dxa"/>
            <w:shd w:val="clear" w:color="auto" w:fill="auto"/>
            <w:noWrap/>
            <w:vAlign w:val="bottom"/>
          </w:tcPr>
          <w:p w14:paraId="771BB277"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North Eastern Melbourne</w:t>
            </w:r>
          </w:p>
        </w:tc>
        <w:tc>
          <w:tcPr>
            <w:tcW w:w="1340" w:type="dxa"/>
            <w:shd w:val="clear" w:color="auto" w:fill="auto"/>
            <w:noWrap/>
            <w:vAlign w:val="bottom"/>
          </w:tcPr>
          <w:p w14:paraId="7C9A7E3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52,358</w:t>
            </w:r>
          </w:p>
        </w:tc>
        <w:tc>
          <w:tcPr>
            <w:tcW w:w="1340" w:type="dxa"/>
            <w:shd w:val="clear" w:color="auto" w:fill="auto"/>
            <w:noWrap/>
            <w:vAlign w:val="bottom"/>
          </w:tcPr>
          <w:p w14:paraId="4DE99924"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74,472</w:t>
            </w:r>
          </w:p>
        </w:tc>
        <w:tc>
          <w:tcPr>
            <w:tcW w:w="1340" w:type="dxa"/>
            <w:shd w:val="clear" w:color="auto" w:fill="auto"/>
            <w:noWrap/>
            <w:vAlign w:val="bottom"/>
          </w:tcPr>
          <w:p w14:paraId="15A4CFB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40,067</w:t>
            </w:r>
          </w:p>
        </w:tc>
        <w:tc>
          <w:tcPr>
            <w:tcW w:w="1340" w:type="dxa"/>
            <w:shd w:val="clear" w:color="auto" w:fill="auto"/>
            <w:noWrap/>
            <w:vAlign w:val="bottom"/>
          </w:tcPr>
          <w:p w14:paraId="6EC1B748"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62,965</w:t>
            </w:r>
          </w:p>
        </w:tc>
        <w:tc>
          <w:tcPr>
            <w:tcW w:w="1340" w:type="dxa"/>
            <w:shd w:val="clear" w:color="auto" w:fill="auto"/>
            <w:noWrap/>
            <w:vAlign w:val="bottom"/>
          </w:tcPr>
          <w:p w14:paraId="18A1458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229,863</w:t>
            </w:r>
          </w:p>
        </w:tc>
      </w:tr>
      <w:tr w:rsidR="00AE6445" w:rsidRPr="001D042C" w14:paraId="3AC27BCE" w14:textId="77777777" w:rsidTr="003F412E">
        <w:trPr>
          <w:trHeight w:val="300"/>
          <w:jc w:val="center"/>
        </w:trPr>
        <w:tc>
          <w:tcPr>
            <w:tcW w:w="2740" w:type="dxa"/>
            <w:shd w:val="clear" w:color="auto" w:fill="auto"/>
            <w:noWrap/>
            <w:vAlign w:val="bottom"/>
          </w:tcPr>
          <w:p w14:paraId="24DCA1C3"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Outer </w:t>
            </w:r>
            <w:smartTag w:uri="urn:schemas-microsoft-com:office:smarttags" w:element="place">
              <w:r w:rsidRPr="001D042C">
                <w:rPr>
                  <w:rFonts w:ascii="Arial" w:hAnsi="Arial" w:cs="Arial"/>
                  <w:color w:val="000000"/>
                  <w:sz w:val="20"/>
                  <w:lang w:val="en-AU" w:eastAsia="en-AU"/>
                </w:rPr>
                <w:t>Eastern Melbourne</w:t>
              </w:r>
            </w:smartTag>
          </w:p>
        </w:tc>
        <w:tc>
          <w:tcPr>
            <w:tcW w:w="1340" w:type="dxa"/>
            <w:shd w:val="clear" w:color="auto" w:fill="auto"/>
            <w:noWrap/>
            <w:vAlign w:val="bottom"/>
          </w:tcPr>
          <w:p w14:paraId="3F3680B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32,775</w:t>
            </w:r>
          </w:p>
        </w:tc>
        <w:tc>
          <w:tcPr>
            <w:tcW w:w="1340" w:type="dxa"/>
            <w:shd w:val="clear" w:color="auto" w:fill="auto"/>
            <w:noWrap/>
            <w:vAlign w:val="bottom"/>
          </w:tcPr>
          <w:p w14:paraId="28F3F1C0"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49,638</w:t>
            </w:r>
          </w:p>
        </w:tc>
        <w:tc>
          <w:tcPr>
            <w:tcW w:w="1340" w:type="dxa"/>
            <w:shd w:val="clear" w:color="auto" w:fill="auto"/>
            <w:noWrap/>
            <w:vAlign w:val="bottom"/>
          </w:tcPr>
          <w:p w14:paraId="318E185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26,671</w:t>
            </w:r>
          </w:p>
        </w:tc>
        <w:tc>
          <w:tcPr>
            <w:tcW w:w="1340" w:type="dxa"/>
            <w:shd w:val="clear" w:color="auto" w:fill="auto"/>
            <w:noWrap/>
            <w:vAlign w:val="bottom"/>
          </w:tcPr>
          <w:p w14:paraId="3349517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45,811</w:t>
            </w:r>
          </w:p>
        </w:tc>
        <w:tc>
          <w:tcPr>
            <w:tcW w:w="1340" w:type="dxa"/>
            <w:shd w:val="clear" w:color="auto" w:fill="auto"/>
            <w:noWrap/>
            <w:vAlign w:val="bottom"/>
          </w:tcPr>
          <w:p w14:paraId="1EC65BF5"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154,895</w:t>
            </w:r>
          </w:p>
        </w:tc>
      </w:tr>
      <w:tr w:rsidR="00AE6445" w:rsidRPr="001D042C" w14:paraId="3A135A51" w14:textId="77777777" w:rsidTr="003F412E">
        <w:trPr>
          <w:trHeight w:val="300"/>
          <w:jc w:val="center"/>
        </w:trPr>
        <w:tc>
          <w:tcPr>
            <w:tcW w:w="2740" w:type="dxa"/>
            <w:shd w:val="clear" w:color="auto" w:fill="auto"/>
            <w:noWrap/>
            <w:vAlign w:val="bottom"/>
          </w:tcPr>
          <w:p w14:paraId="52145158"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Outer Gippsland</w:t>
            </w:r>
          </w:p>
        </w:tc>
        <w:tc>
          <w:tcPr>
            <w:tcW w:w="1340" w:type="dxa"/>
            <w:shd w:val="clear" w:color="auto" w:fill="auto"/>
            <w:noWrap/>
            <w:vAlign w:val="bottom"/>
          </w:tcPr>
          <w:p w14:paraId="7081900E"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9,998</w:t>
            </w:r>
          </w:p>
        </w:tc>
        <w:tc>
          <w:tcPr>
            <w:tcW w:w="1340" w:type="dxa"/>
            <w:shd w:val="clear" w:color="auto" w:fill="auto"/>
            <w:noWrap/>
            <w:vAlign w:val="bottom"/>
          </w:tcPr>
          <w:p w14:paraId="3580694A"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13,740</w:t>
            </w:r>
          </w:p>
        </w:tc>
        <w:tc>
          <w:tcPr>
            <w:tcW w:w="1340" w:type="dxa"/>
            <w:shd w:val="clear" w:color="auto" w:fill="auto"/>
            <w:noWrap/>
            <w:vAlign w:val="bottom"/>
          </w:tcPr>
          <w:p w14:paraId="1A540DA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4,471</w:t>
            </w:r>
          </w:p>
        </w:tc>
        <w:tc>
          <w:tcPr>
            <w:tcW w:w="1340" w:type="dxa"/>
            <w:shd w:val="clear" w:color="auto" w:fill="auto"/>
            <w:noWrap/>
            <w:vAlign w:val="bottom"/>
          </w:tcPr>
          <w:p w14:paraId="259BB9D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6,806</w:t>
            </w:r>
          </w:p>
        </w:tc>
        <w:tc>
          <w:tcPr>
            <w:tcW w:w="1340" w:type="dxa"/>
            <w:shd w:val="clear" w:color="auto" w:fill="auto"/>
            <w:noWrap/>
            <w:vAlign w:val="bottom"/>
          </w:tcPr>
          <w:p w14:paraId="623583E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35,015</w:t>
            </w:r>
          </w:p>
        </w:tc>
      </w:tr>
      <w:tr w:rsidR="00AE6445" w:rsidRPr="001D042C" w14:paraId="14ED420E" w14:textId="77777777" w:rsidTr="003F412E">
        <w:trPr>
          <w:trHeight w:val="300"/>
          <w:jc w:val="center"/>
        </w:trPr>
        <w:tc>
          <w:tcPr>
            <w:tcW w:w="2740" w:type="dxa"/>
            <w:shd w:val="clear" w:color="auto" w:fill="auto"/>
            <w:noWrap/>
            <w:vAlign w:val="bottom"/>
          </w:tcPr>
          <w:p w14:paraId="137C9DE2"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 xml:space="preserve">Ovens </w:t>
            </w:r>
            <w:smartTag w:uri="urn:schemas-microsoft-com:office:smarttags" w:element="City">
              <w:smartTag w:uri="urn:schemas-microsoft-com:office:smarttags" w:element="place">
                <w:r w:rsidRPr="001D042C">
                  <w:rPr>
                    <w:rFonts w:ascii="Arial" w:hAnsi="Arial" w:cs="Arial"/>
                    <w:color w:val="000000"/>
                    <w:sz w:val="20"/>
                    <w:lang w:val="en-AU" w:eastAsia="en-AU"/>
                  </w:rPr>
                  <w:t>Murray</w:t>
                </w:r>
              </w:smartTag>
            </w:smartTag>
          </w:p>
        </w:tc>
        <w:tc>
          <w:tcPr>
            <w:tcW w:w="1340" w:type="dxa"/>
            <w:shd w:val="clear" w:color="auto" w:fill="auto"/>
            <w:noWrap/>
            <w:vAlign w:val="bottom"/>
          </w:tcPr>
          <w:p w14:paraId="2EC1B36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13,538</w:t>
            </w:r>
          </w:p>
        </w:tc>
        <w:tc>
          <w:tcPr>
            <w:tcW w:w="1340" w:type="dxa"/>
            <w:shd w:val="clear" w:color="auto" w:fill="auto"/>
            <w:noWrap/>
            <w:vAlign w:val="bottom"/>
          </w:tcPr>
          <w:p w14:paraId="580B66A1"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18,076</w:t>
            </w:r>
          </w:p>
        </w:tc>
        <w:tc>
          <w:tcPr>
            <w:tcW w:w="1340" w:type="dxa"/>
            <w:shd w:val="clear" w:color="auto" w:fill="auto"/>
            <w:noWrap/>
            <w:vAlign w:val="bottom"/>
          </w:tcPr>
          <w:p w14:paraId="486D18E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6,628</w:t>
            </w:r>
          </w:p>
        </w:tc>
        <w:tc>
          <w:tcPr>
            <w:tcW w:w="1340" w:type="dxa"/>
            <w:shd w:val="clear" w:color="auto" w:fill="auto"/>
            <w:noWrap/>
            <w:vAlign w:val="bottom"/>
          </w:tcPr>
          <w:p w14:paraId="1C60939C"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10,291</w:t>
            </w:r>
          </w:p>
        </w:tc>
        <w:tc>
          <w:tcPr>
            <w:tcW w:w="1340" w:type="dxa"/>
            <w:shd w:val="clear" w:color="auto" w:fill="auto"/>
            <w:noWrap/>
            <w:vAlign w:val="bottom"/>
          </w:tcPr>
          <w:p w14:paraId="400B84AA"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48,533</w:t>
            </w:r>
          </w:p>
        </w:tc>
      </w:tr>
      <w:tr w:rsidR="00AE6445" w:rsidRPr="001D042C" w14:paraId="6F646F38" w14:textId="77777777" w:rsidTr="003F412E">
        <w:trPr>
          <w:trHeight w:val="300"/>
          <w:jc w:val="center"/>
        </w:trPr>
        <w:tc>
          <w:tcPr>
            <w:tcW w:w="2740" w:type="dxa"/>
            <w:shd w:val="clear" w:color="auto" w:fill="auto"/>
            <w:noWrap/>
            <w:vAlign w:val="bottom"/>
          </w:tcPr>
          <w:p w14:paraId="6D0BD3D2" w14:textId="77777777" w:rsidR="00AE6445" w:rsidRPr="001D042C" w:rsidRDefault="00AE6445" w:rsidP="00AE6445">
            <w:pPr>
              <w:spacing w:before="0" w:after="0"/>
              <w:rPr>
                <w:rFonts w:ascii="Arial" w:hAnsi="Arial" w:cs="Arial"/>
                <w:color w:val="000000"/>
                <w:sz w:val="20"/>
                <w:lang w:val="en-AU" w:eastAsia="en-AU"/>
              </w:rPr>
            </w:pPr>
            <w:smartTag w:uri="urn:schemas-microsoft-com:office:smarttags" w:element="place">
              <w:r w:rsidRPr="001D042C">
                <w:rPr>
                  <w:rFonts w:ascii="Arial" w:hAnsi="Arial" w:cs="Arial"/>
                  <w:color w:val="000000"/>
                  <w:sz w:val="20"/>
                  <w:lang w:val="en-AU" w:eastAsia="en-AU"/>
                </w:rPr>
                <w:t>Southern Melbourne</w:t>
              </w:r>
            </w:smartTag>
          </w:p>
        </w:tc>
        <w:tc>
          <w:tcPr>
            <w:tcW w:w="1340" w:type="dxa"/>
            <w:shd w:val="clear" w:color="auto" w:fill="auto"/>
            <w:noWrap/>
            <w:vAlign w:val="bottom"/>
          </w:tcPr>
          <w:p w14:paraId="79CA1D17"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32,289</w:t>
            </w:r>
          </w:p>
        </w:tc>
        <w:tc>
          <w:tcPr>
            <w:tcW w:w="1340" w:type="dxa"/>
            <w:shd w:val="clear" w:color="auto" w:fill="auto"/>
            <w:noWrap/>
            <w:vAlign w:val="bottom"/>
          </w:tcPr>
          <w:p w14:paraId="59CAFAA8"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51,228</w:t>
            </w:r>
          </w:p>
        </w:tc>
        <w:tc>
          <w:tcPr>
            <w:tcW w:w="1340" w:type="dxa"/>
            <w:shd w:val="clear" w:color="auto" w:fill="auto"/>
            <w:noWrap/>
            <w:vAlign w:val="bottom"/>
          </w:tcPr>
          <w:p w14:paraId="5AFEF03F"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32,713</w:t>
            </w:r>
          </w:p>
        </w:tc>
        <w:tc>
          <w:tcPr>
            <w:tcW w:w="1340" w:type="dxa"/>
            <w:shd w:val="clear" w:color="auto" w:fill="auto"/>
            <w:noWrap/>
            <w:vAlign w:val="bottom"/>
          </w:tcPr>
          <w:p w14:paraId="01538C57"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61,617</w:t>
            </w:r>
          </w:p>
        </w:tc>
        <w:tc>
          <w:tcPr>
            <w:tcW w:w="1340" w:type="dxa"/>
            <w:shd w:val="clear" w:color="auto" w:fill="auto"/>
            <w:noWrap/>
            <w:vAlign w:val="bottom"/>
          </w:tcPr>
          <w:p w14:paraId="7D3B84D9"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177,848</w:t>
            </w:r>
          </w:p>
        </w:tc>
      </w:tr>
      <w:tr w:rsidR="00AE6445" w:rsidRPr="001D042C" w14:paraId="648522C7" w14:textId="77777777" w:rsidTr="003F412E">
        <w:trPr>
          <w:trHeight w:val="300"/>
          <w:jc w:val="center"/>
        </w:trPr>
        <w:tc>
          <w:tcPr>
            <w:tcW w:w="2740" w:type="dxa"/>
            <w:shd w:val="clear" w:color="auto" w:fill="auto"/>
            <w:noWrap/>
            <w:vAlign w:val="bottom"/>
          </w:tcPr>
          <w:p w14:paraId="7B0B9C6B" w14:textId="77777777" w:rsidR="00AE6445" w:rsidRPr="001D042C" w:rsidRDefault="00AE6445" w:rsidP="00AE6445">
            <w:pPr>
              <w:spacing w:before="0" w:after="0"/>
              <w:rPr>
                <w:rFonts w:ascii="Arial" w:hAnsi="Arial" w:cs="Arial"/>
                <w:color w:val="000000"/>
                <w:sz w:val="20"/>
                <w:lang w:val="en-AU" w:eastAsia="en-AU"/>
              </w:rPr>
            </w:pPr>
            <w:r w:rsidRPr="001D042C">
              <w:rPr>
                <w:rFonts w:ascii="Arial" w:hAnsi="Arial" w:cs="Arial"/>
                <w:color w:val="000000"/>
                <w:sz w:val="20"/>
                <w:lang w:val="en-AU" w:eastAsia="en-AU"/>
              </w:rPr>
              <w:t>Western District</w:t>
            </w:r>
          </w:p>
        </w:tc>
        <w:tc>
          <w:tcPr>
            <w:tcW w:w="1340" w:type="dxa"/>
            <w:shd w:val="clear" w:color="auto" w:fill="auto"/>
            <w:noWrap/>
            <w:vAlign w:val="bottom"/>
          </w:tcPr>
          <w:p w14:paraId="077CB66D"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17,624</w:t>
            </w:r>
          </w:p>
        </w:tc>
        <w:tc>
          <w:tcPr>
            <w:tcW w:w="1340" w:type="dxa"/>
            <w:shd w:val="clear" w:color="auto" w:fill="auto"/>
            <w:noWrap/>
            <w:vAlign w:val="bottom"/>
          </w:tcPr>
          <w:p w14:paraId="566F295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22,076</w:t>
            </w:r>
          </w:p>
        </w:tc>
        <w:tc>
          <w:tcPr>
            <w:tcW w:w="1340" w:type="dxa"/>
            <w:shd w:val="clear" w:color="auto" w:fill="auto"/>
            <w:noWrap/>
            <w:vAlign w:val="bottom"/>
          </w:tcPr>
          <w:p w14:paraId="019111B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7,814</w:t>
            </w:r>
          </w:p>
        </w:tc>
        <w:tc>
          <w:tcPr>
            <w:tcW w:w="1340" w:type="dxa"/>
            <w:shd w:val="clear" w:color="auto" w:fill="auto"/>
            <w:noWrap/>
            <w:vAlign w:val="bottom"/>
          </w:tcPr>
          <w:p w14:paraId="3560AA83"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12,952</w:t>
            </w:r>
          </w:p>
        </w:tc>
        <w:tc>
          <w:tcPr>
            <w:tcW w:w="1340" w:type="dxa"/>
            <w:shd w:val="clear" w:color="auto" w:fill="auto"/>
            <w:noWrap/>
            <w:vAlign w:val="bottom"/>
          </w:tcPr>
          <w:p w14:paraId="587A3D0E"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60,467</w:t>
            </w:r>
          </w:p>
        </w:tc>
      </w:tr>
      <w:tr w:rsidR="00AE6445" w:rsidRPr="001D042C" w14:paraId="699E4963" w14:textId="77777777" w:rsidTr="003F412E">
        <w:trPr>
          <w:trHeight w:val="300"/>
          <w:jc w:val="center"/>
        </w:trPr>
        <w:tc>
          <w:tcPr>
            <w:tcW w:w="2740" w:type="dxa"/>
            <w:shd w:val="clear" w:color="auto" w:fill="auto"/>
            <w:noWrap/>
            <w:vAlign w:val="bottom"/>
          </w:tcPr>
          <w:p w14:paraId="629428F9" w14:textId="77777777" w:rsidR="00AE6445" w:rsidRPr="001D042C" w:rsidRDefault="00AE6445" w:rsidP="00AE6445">
            <w:pPr>
              <w:spacing w:before="0" w:after="0"/>
              <w:rPr>
                <w:rFonts w:ascii="Arial" w:hAnsi="Arial" w:cs="Arial"/>
                <w:color w:val="000000"/>
                <w:sz w:val="20"/>
                <w:lang w:val="en-AU" w:eastAsia="en-AU"/>
              </w:rPr>
            </w:pPr>
            <w:smartTag w:uri="urn:schemas-microsoft-com:office:smarttags" w:element="place">
              <w:r w:rsidRPr="001D042C">
                <w:rPr>
                  <w:rFonts w:ascii="Arial" w:hAnsi="Arial" w:cs="Arial"/>
                  <w:color w:val="000000"/>
                  <w:sz w:val="20"/>
                  <w:lang w:val="en-AU" w:eastAsia="en-AU"/>
                </w:rPr>
                <w:t>Western Melbourne</w:t>
              </w:r>
            </w:smartTag>
          </w:p>
        </w:tc>
        <w:tc>
          <w:tcPr>
            <w:tcW w:w="1340" w:type="dxa"/>
            <w:shd w:val="clear" w:color="auto" w:fill="auto"/>
            <w:noWrap/>
            <w:vAlign w:val="bottom"/>
          </w:tcPr>
          <w:p w14:paraId="68F4BBE2"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61,932</w:t>
            </w:r>
          </w:p>
        </w:tc>
        <w:tc>
          <w:tcPr>
            <w:tcW w:w="1340" w:type="dxa"/>
            <w:shd w:val="clear" w:color="auto" w:fill="auto"/>
            <w:noWrap/>
            <w:vAlign w:val="bottom"/>
          </w:tcPr>
          <w:p w14:paraId="0FD8CEBB"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79,236</w:t>
            </w:r>
          </w:p>
        </w:tc>
        <w:tc>
          <w:tcPr>
            <w:tcW w:w="1340" w:type="dxa"/>
            <w:shd w:val="clear" w:color="auto" w:fill="auto"/>
            <w:noWrap/>
            <w:vAlign w:val="bottom"/>
          </w:tcPr>
          <w:p w14:paraId="0B7F988E"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39,945</w:t>
            </w:r>
          </w:p>
        </w:tc>
        <w:tc>
          <w:tcPr>
            <w:tcW w:w="1340" w:type="dxa"/>
            <w:shd w:val="clear" w:color="auto" w:fill="auto"/>
            <w:noWrap/>
            <w:vAlign w:val="bottom"/>
          </w:tcPr>
          <w:p w14:paraId="390C310A"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55,267</w:t>
            </w:r>
          </w:p>
        </w:tc>
        <w:tc>
          <w:tcPr>
            <w:tcW w:w="1340" w:type="dxa"/>
            <w:shd w:val="clear" w:color="auto" w:fill="auto"/>
            <w:noWrap/>
            <w:vAlign w:val="bottom"/>
          </w:tcPr>
          <w:p w14:paraId="23C221FA" w14:textId="77777777" w:rsidR="00AE6445" w:rsidRPr="001D042C" w:rsidRDefault="00AE6445" w:rsidP="00AE6445">
            <w:pPr>
              <w:spacing w:before="0" w:after="0"/>
              <w:jc w:val="center"/>
              <w:rPr>
                <w:rFonts w:ascii="Arial" w:hAnsi="Arial" w:cs="Arial"/>
                <w:color w:val="000000"/>
                <w:sz w:val="20"/>
                <w:lang w:val="en-AU" w:eastAsia="en-AU"/>
              </w:rPr>
            </w:pPr>
            <w:r w:rsidRPr="001D042C">
              <w:rPr>
                <w:rFonts w:ascii="Arial" w:hAnsi="Arial" w:cs="Arial"/>
                <w:color w:val="000000"/>
                <w:sz w:val="20"/>
                <w:lang w:val="en-AU" w:eastAsia="en-AU"/>
              </w:rPr>
              <w:t>236,381</w:t>
            </w:r>
          </w:p>
        </w:tc>
      </w:tr>
      <w:tr w:rsidR="00AE6445" w:rsidRPr="001D042C" w14:paraId="0CE9129A" w14:textId="77777777" w:rsidTr="003F412E">
        <w:trPr>
          <w:trHeight w:val="300"/>
          <w:jc w:val="center"/>
        </w:trPr>
        <w:tc>
          <w:tcPr>
            <w:tcW w:w="2740" w:type="dxa"/>
            <w:shd w:val="clear" w:color="auto" w:fill="auto"/>
            <w:noWrap/>
            <w:vAlign w:val="bottom"/>
          </w:tcPr>
          <w:p w14:paraId="7872456F" w14:textId="77777777" w:rsidR="00AE6445" w:rsidRPr="001D042C" w:rsidRDefault="00AE6445" w:rsidP="00AE6445">
            <w:pPr>
              <w:spacing w:before="0" w:after="0"/>
              <w:rPr>
                <w:rFonts w:ascii="Arial" w:hAnsi="Arial" w:cs="Arial"/>
                <w:b/>
                <w:bCs/>
                <w:color w:val="000000"/>
                <w:sz w:val="20"/>
                <w:lang w:val="en-AU" w:eastAsia="en-AU"/>
              </w:rPr>
            </w:pPr>
            <w:r w:rsidRPr="001D042C">
              <w:rPr>
                <w:rFonts w:ascii="Arial" w:hAnsi="Arial" w:cs="Arial"/>
                <w:b/>
                <w:bCs/>
                <w:color w:val="000000"/>
                <w:sz w:val="20"/>
                <w:lang w:val="en-AU" w:eastAsia="en-AU"/>
              </w:rPr>
              <w:t>Total</w:t>
            </w:r>
          </w:p>
        </w:tc>
        <w:tc>
          <w:tcPr>
            <w:tcW w:w="1340" w:type="dxa"/>
            <w:shd w:val="clear" w:color="auto" w:fill="auto"/>
            <w:noWrap/>
            <w:vAlign w:val="bottom"/>
          </w:tcPr>
          <w:p w14:paraId="52DEB7CC"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544,348</w:t>
            </w:r>
          </w:p>
        </w:tc>
        <w:tc>
          <w:tcPr>
            <w:tcW w:w="1340" w:type="dxa"/>
            <w:shd w:val="clear" w:color="auto" w:fill="auto"/>
            <w:noWrap/>
            <w:vAlign w:val="bottom"/>
          </w:tcPr>
          <w:p w14:paraId="453DEC58"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735,624</w:t>
            </w:r>
          </w:p>
        </w:tc>
        <w:tc>
          <w:tcPr>
            <w:tcW w:w="1340" w:type="dxa"/>
            <w:shd w:val="clear" w:color="auto" w:fill="auto"/>
            <w:noWrap/>
            <w:vAlign w:val="bottom"/>
          </w:tcPr>
          <w:p w14:paraId="73A0C0A3"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359,736</w:t>
            </w:r>
          </w:p>
        </w:tc>
        <w:tc>
          <w:tcPr>
            <w:tcW w:w="1340" w:type="dxa"/>
            <w:shd w:val="clear" w:color="auto" w:fill="auto"/>
            <w:noWrap/>
            <w:vAlign w:val="bottom"/>
          </w:tcPr>
          <w:p w14:paraId="790B10CB"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583,098</w:t>
            </w:r>
          </w:p>
        </w:tc>
        <w:tc>
          <w:tcPr>
            <w:tcW w:w="1340" w:type="dxa"/>
            <w:shd w:val="clear" w:color="auto" w:fill="auto"/>
            <w:noWrap/>
            <w:vAlign w:val="bottom"/>
          </w:tcPr>
          <w:p w14:paraId="38902505" w14:textId="77777777" w:rsidR="00AE6445" w:rsidRPr="001D042C" w:rsidRDefault="00AE6445" w:rsidP="00AE6445">
            <w:pPr>
              <w:spacing w:before="0" w:after="0"/>
              <w:jc w:val="center"/>
              <w:rPr>
                <w:rFonts w:ascii="Arial" w:hAnsi="Arial" w:cs="Arial"/>
                <w:b/>
                <w:bCs/>
                <w:color w:val="000000"/>
                <w:sz w:val="20"/>
                <w:lang w:val="en-AU" w:eastAsia="en-AU"/>
              </w:rPr>
            </w:pPr>
            <w:r w:rsidRPr="001D042C">
              <w:rPr>
                <w:rFonts w:ascii="Arial" w:hAnsi="Arial" w:cs="Arial"/>
                <w:b/>
                <w:bCs/>
                <w:color w:val="000000"/>
                <w:sz w:val="20"/>
                <w:lang w:val="en-AU" w:eastAsia="en-AU"/>
              </w:rPr>
              <w:t>2,222,805</w:t>
            </w:r>
          </w:p>
        </w:tc>
      </w:tr>
    </w:tbl>
    <w:p w14:paraId="647B52FE" w14:textId="77777777" w:rsidR="00AE6445" w:rsidRPr="001D042C" w:rsidRDefault="00AE6445" w:rsidP="009748AD">
      <w:pPr>
        <w:spacing w:before="120" w:after="0"/>
        <w:ind w:left="2160"/>
        <w:rPr>
          <w:color w:val="000000"/>
          <w:sz w:val="18"/>
          <w:szCs w:val="22"/>
          <w:lang w:val="en-AU" w:eastAsia="en-AU"/>
        </w:rPr>
      </w:pPr>
      <w:r w:rsidRPr="001D042C">
        <w:rPr>
          <w:color w:val="000000"/>
          <w:sz w:val="18"/>
          <w:szCs w:val="22"/>
          <w:lang w:val="en-AU" w:eastAsia="en-AU"/>
        </w:rPr>
        <w:t xml:space="preserve">ABS data for 2014 at this level of detail is not available.  The estimates in this table have been derived from 2014 data for all Vic households </w:t>
      </w:r>
      <w:r w:rsidRPr="001D042C">
        <w:rPr>
          <w:color w:val="000000"/>
          <w:sz w:val="18"/>
          <w:szCs w:val="22"/>
          <w:lang w:val="en-AU" w:eastAsia="en-AU"/>
        </w:rPr>
        <w:br/>
        <w:t>and allocated to the various regions based on the change in population numbers in every LGA since 2011 census.</w:t>
      </w:r>
    </w:p>
    <w:p w14:paraId="2D1EE660" w14:textId="77777777" w:rsidR="00AE6445" w:rsidRPr="001D042C" w:rsidRDefault="00AE6445" w:rsidP="00AE6445">
      <w:pPr>
        <w:pStyle w:val="Para"/>
        <w:rPr>
          <w:lang w:val="en-AU"/>
        </w:rPr>
      </w:pPr>
    </w:p>
    <w:p w14:paraId="1578C6F8" w14:textId="77777777" w:rsidR="00AE6445" w:rsidRPr="00BD3838" w:rsidRDefault="00AE6445" w:rsidP="00AE6445">
      <w:pPr>
        <w:pStyle w:val="Para"/>
        <w:tabs>
          <w:tab w:val="left" w:pos="425"/>
        </w:tabs>
        <w:spacing w:after="120"/>
        <w:rPr>
          <w:b/>
          <w:highlight w:val="yellow"/>
          <w:lang w:val="en-AU"/>
        </w:rPr>
        <w:sectPr w:rsidR="00AE6445" w:rsidRPr="00BD3838" w:rsidSect="00FD3889">
          <w:footnotePr>
            <w:numRestart w:val="eachPage"/>
          </w:footnotePr>
          <w:type w:val="continuous"/>
          <w:pgSz w:w="16840" w:h="11907" w:orient="landscape" w:code="9"/>
          <w:pgMar w:top="1701" w:right="1418" w:bottom="1418" w:left="851" w:header="851" w:footer="170" w:gutter="0"/>
          <w:pgNumType w:start="1"/>
          <w:cols w:space="720"/>
          <w:formProt w:val="0"/>
        </w:sectPr>
      </w:pPr>
    </w:p>
    <w:p w14:paraId="5575E69E" w14:textId="77777777" w:rsidR="00AE6445" w:rsidRPr="00162EF6" w:rsidRDefault="00AE6445" w:rsidP="00AE6445">
      <w:pPr>
        <w:pStyle w:val="Heading2"/>
        <w:rPr>
          <w:lang w:val="en-AU"/>
        </w:rPr>
      </w:pPr>
      <w:bookmarkStart w:id="88" w:name="_Toc920013"/>
      <w:bookmarkStart w:id="89" w:name="_Toc439198273"/>
      <w:bookmarkStart w:id="90" w:name="_Toc445571658"/>
      <w:r w:rsidRPr="00162EF6">
        <w:rPr>
          <w:lang w:val="en-AU"/>
        </w:rPr>
        <w:lastRenderedPageBreak/>
        <w:t>RESPONSE RATES</w:t>
      </w:r>
      <w:bookmarkEnd w:id="88"/>
      <w:bookmarkEnd w:id="89"/>
      <w:bookmarkEnd w:id="90"/>
    </w:p>
    <w:p w14:paraId="271D2307" w14:textId="77777777" w:rsidR="00AE6445" w:rsidRPr="00162EF6" w:rsidRDefault="00AE6445" w:rsidP="00AE6445">
      <w:pPr>
        <w:pStyle w:val="Para"/>
        <w:rPr>
          <w:lang w:val="en-AU"/>
        </w:rPr>
      </w:pPr>
    </w:p>
    <w:p w14:paraId="23D57F0A" w14:textId="77777777" w:rsidR="00AE6445" w:rsidRPr="00162EF6" w:rsidRDefault="00AE6445" w:rsidP="00AE6445">
      <w:pPr>
        <w:pStyle w:val="Para"/>
        <w:rPr>
          <w:lang w:val="en-AU"/>
        </w:rPr>
      </w:pPr>
      <w:r w:rsidRPr="00162EF6">
        <w:rPr>
          <w:lang w:val="en-AU"/>
        </w:rPr>
        <w:t>A number of different measures of response rates are relevant given the particular multi-stage methodology used in 2014.</w:t>
      </w:r>
    </w:p>
    <w:p w14:paraId="50775EA6" w14:textId="77777777" w:rsidR="00AE6445" w:rsidRPr="00162EF6" w:rsidRDefault="00AE6445" w:rsidP="00AE6445">
      <w:pPr>
        <w:pStyle w:val="Para"/>
        <w:rPr>
          <w:lang w:val="en-AU"/>
        </w:rPr>
      </w:pPr>
    </w:p>
    <w:p w14:paraId="0E76F31B" w14:textId="77777777" w:rsidR="00AE6445" w:rsidRPr="00162EF6" w:rsidRDefault="00AE6445" w:rsidP="00AE6445">
      <w:pPr>
        <w:pStyle w:val="Para"/>
        <w:rPr>
          <w:lang w:val="en-AU"/>
        </w:rPr>
      </w:pPr>
      <w:r w:rsidRPr="00162EF6">
        <w:rPr>
          <w:lang w:val="en-AU"/>
        </w:rPr>
        <w:t>The contact rate achieved by the CATI survey was 83%.  This is calculated as total contacts achieved (irrespective of whether the contact was in-scope or not) as a proportion of total usable sample where CATI contact was attempted.  Not all the 12,135 cases were attempted as either quotas were achieved, or we were advised the respondent had died, or the sample had no valid phone number, or was withdrawn for other reasons.</w:t>
      </w:r>
    </w:p>
    <w:p w14:paraId="0458FC66" w14:textId="77777777" w:rsidR="00AE6445" w:rsidRPr="00162EF6" w:rsidRDefault="00AE6445" w:rsidP="00AE6445">
      <w:pPr>
        <w:pStyle w:val="Para"/>
        <w:rPr>
          <w:lang w:val="en-AU"/>
        </w:rPr>
      </w:pPr>
    </w:p>
    <w:p w14:paraId="64D78143" w14:textId="77777777" w:rsidR="00AE6445" w:rsidRPr="00162EF6" w:rsidRDefault="00AE6445" w:rsidP="00AE6445">
      <w:pPr>
        <w:pStyle w:val="Para"/>
        <w:rPr>
          <w:lang w:val="en-AU"/>
        </w:rPr>
      </w:pPr>
      <w:r w:rsidRPr="00162EF6">
        <w:rPr>
          <w:lang w:val="en-AU"/>
        </w:rPr>
        <w:t>The cooperation rate achieved by the CATI survey was 31%.  This is calculated as interviews as a proportion of in-scope contacts.</w:t>
      </w:r>
    </w:p>
    <w:p w14:paraId="3A86C7A0" w14:textId="77777777" w:rsidR="00AE6445" w:rsidRPr="00162EF6" w:rsidRDefault="00AE6445" w:rsidP="00AE6445">
      <w:pPr>
        <w:pStyle w:val="Para"/>
        <w:rPr>
          <w:lang w:val="en-AU"/>
        </w:rPr>
      </w:pPr>
    </w:p>
    <w:p w14:paraId="5FA50842" w14:textId="77777777" w:rsidR="00AE6445" w:rsidRPr="00162EF6" w:rsidRDefault="00AE6445" w:rsidP="00AE6445">
      <w:pPr>
        <w:pStyle w:val="Para"/>
        <w:rPr>
          <w:lang w:val="en-AU"/>
        </w:rPr>
      </w:pPr>
      <w:r w:rsidRPr="00162EF6">
        <w:rPr>
          <w:lang w:val="en-AU"/>
        </w:rPr>
        <w:t>The consent return rate was 84%.  This is calculated as total households that provided at least one usable consent form as a proportion of CATI interviews.</w:t>
      </w:r>
    </w:p>
    <w:p w14:paraId="593AC296" w14:textId="77777777" w:rsidR="00AE6445" w:rsidRPr="00162EF6" w:rsidRDefault="00AE6445" w:rsidP="00AE6445">
      <w:pPr>
        <w:pStyle w:val="Para"/>
        <w:rPr>
          <w:lang w:val="en-AU"/>
        </w:rPr>
      </w:pPr>
    </w:p>
    <w:p w14:paraId="3E47E2F0" w14:textId="77777777" w:rsidR="00AE6445" w:rsidRPr="00162EF6" w:rsidRDefault="00AE6445" w:rsidP="00AE6445">
      <w:pPr>
        <w:pStyle w:val="Para"/>
        <w:rPr>
          <w:lang w:val="en-AU"/>
        </w:rPr>
      </w:pPr>
      <w:r w:rsidRPr="00162EF6">
        <w:rPr>
          <w:lang w:val="en-AU"/>
        </w:rPr>
        <w:t>The response rate was 26%.  This is calculated as total households that provided at least one usable consent form as a proportion of in-scope contacts.</w:t>
      </w:r>
    </w:p>
    <w:p w14:paraId="66D9E0FC" w14:textId="77777777" w:rsidR="00AE6445" w:rsidRPr="00162EF6" w:rsidRDefault="00AE6445" w:rsidP="00AE6445">
      <w:pPr>
        <w:pStyle w:val="Para"/>
        <w:rPr>
          <w:lang w:val="en-AU"/>
        </w:rPr>
      </w:pPr>
    </w:p>
    <w:p w14:paraId="4F990E8B" w14:textId="1F193D10" w:rsidR="00AE6445" w:rsidRPr="00162EF6" w:rsidRDefault="00AE6445" w:rsidP="00AE6445">
      <w:pPr>
        <w:pStyle w:val="Para"/>
        <w:rPr>
          <w:lang w:val="en-AU"/>
        </w:rPr>
      </w:pPr>
      <w:r w:rsidRPr="00162EF6">
        <w:rPr>
          <w:lang w:val="en-AU"/>
        </w:rPr>
        <w:t xml:space="preserve">Table </w:t>
      </w:r>
      <w:r w:rsidR="00544E06" w:rsidRPr="00162EF6">
        <w:rPr>
          <w:lang w:val="en-AU"/>
        </w:rPr>
        <w:t xml:space="preserve">2.13 and Table 2.14 </w:t>
      </w:r>
      <w:r w:rsidRPr="00162EF6">
        <w:rPr>
          <w:lang w:val="en-AU"/>
        </w:rPr>
        <w:t>on the following page</w:t>
      </w:r>
      <w:r w:rsidR="00544E06" w:rsidRPr="00162EF6">
        <w:rPr>
          <w:lang w:val="en-AU"/>
        </w:rPr>
        <w:t>s</w:t>
      </w:r>
      <w:r w:rsidRPr="00162EF6">
        <w:rPr>
          <w:lang w:val="en-AU"/>
        </w:rPr>
        <w:t xml:space="preserve"> provide more details.  </w:t>
      </w:r>
    </w:p>
    <w:p w14:paraId="3DCFD306" w14:textId="77777777" w:rsidR="00AE6445" w:rsidRPr="00162EF6" w:rsidRDefault="00AE6445" w:rsidP="00AE6445">
      <w:pPr>
        <w:pStyle w:val="Para"/>
        <w:rPr>
          <w:lang w:val="en-AU"/>
        </w:rPr>
      </w:pPr>
    </w:p>
    <w:p w14:paraId="68DF4F90" w14:textId="77777777" w:rsidR="00AE6445" w:rsidRPr="00162EF6" w:rsidRDefault="00AE6445" w:rsidP="00AE6445">
      <w:pPr>
        <w:pStyle w:val="Para"/>
        <w:rPr>
          <w:lang w:val="en-AU"/>
        </w:rPr>
      </w:pPr>
      <w:r w:rsidRPr="00162EF6">
        <w:rPr>
          <w:lang w:val="en-AU"/>
        </w:rPr>
        <w:t xml:space="preserve">Reflecting the difference in methodologies, the calculation of response rates is not identical to previous surveys.  In the 2007 survey, the response rate was defined as the number of interviews divided by the number of </w:t>
      </w:r>
      <w:r w:rsidRPr="00162EF6">
        <w:rPr>
          <w:i/>
          <w:lang w:val="en-AU"/>
        </w:rPr>
        <w:t>in-scope</w:t>
      </w:r>
      <w:r w:rsidRPr="00162EF6">
        <w:rPr>
          <w:lang w:val="en-AU"/>
        </w:rPr>
        <w:t xml:space="preserve"> households contacted, and was calculated as 32%.  Allowing for the differences in methodology, this can be compared with either the 2014 cooperation rate (31%) or the 2014 response rate (26%).</w:t>
      </w:r>
    </w:p>
    <w:p w14:paraId="59FC44F7" w14:textId="77777777" w:rsidR="00AE6445" w:rsidRPr="00162EF6" w:rsidRDefault="00AE6445" w:rsidP="00AE6445">
      <w:pPr>
        <w:pStyle w:val="Para"/>
        <w:rPr>
          <w:lang w:val="en-AU"/>
        </w:rPr>
      </w:pPr>
    </w:p>
    <w:p w14:paraId="3DEEA906" w14:textId="77777777" w:rsidR="00AE6445" w:rsidRPr="00162EF6" w:rsidRDefault="00AE6445" w:rsidP="00AE6445">
      <w:pPr>
        <w:pStyle w:val="Para"/>
        <w:rPr>
          <w:lang w:val="en-AU"/>
        </w:rPr>
      </w:pPr>
      <w:r w:rsidRPr="00162EF6">
        <w:rPr>
          <w:lang w:val="en-AU"/>
        </w:rPr>
        <w:br w:type="page"/>
      </w:r>
    </w:p>
    <w:p w14:paraId="07D7173C" w14:textId="77777777" w:rsidR="00AE6445" w:rsidRPr="00162EF6" w:rsidRDefault="00AE6445" w:rsidP="003F412E">
      <w:pPr>
        <w:pStyle w:val="Para"/>
        <w:spacing w:after="120"/>
        <w:jc w:val="center"/>
        <w:rPr>
          <w:b/>
          <w:lang w:val="en-AU"/>
        </w:rPr>
      </w:pPr>
      <w:r w:rsidRPr="00162EF6">
        <w:rPr>
          <w:b/>
          <w:lang w:val="en-AU"/>
        </w:rPr>
        <w:lastRenderedPageBreak/>
        <w:t xml:space="preserve">Table </w:t>
      </w:r>
      <w:r w:rsidR="00BB1D65" w:rsidRPr="00162EF6">
        <w:rPr>
          <w:b/>
          <w:lang w:val="en-AU"/>
        </w:rPr>
        <w:t>2.13</w:t>
      </w:r>
      <w:r w:rsidRPr="00162EF6">
        <w:rPr>
          <w:b/>
          <w:lang w:val="en-AU"/>
        </w:rPr>
        <w:t xml:space="preserve">: </w:t>
      </w:r>
      <w:r w:rsidRPr="00162EF6">
        <w:rPr>
          <w:b/>
          <w:u w:val="single"/>
          <w:lang w:val="en-AU"/>
        </w:rPr>
        <w:t>Sample Outcomes Following CATI Stage</w:t>
      </w:r>
    </w:p>
    <w:tbl>
      <w:tblPr>
        <w:tblW w:w="102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528"/>
        <w:gridCol w:w="1120"/>
        <w:gridCol w:w="1573"/>
      </w:tblGrid>
      <w:tr w:rsidR="00AE6445" w:rsidRPr="003E07CA" w14:paraId="6E63BEE2" w14:textId="77777777" w:rsidTr="003F412E">
        <w:trPr>
          <w:trHeight w:val="300"/>
          <w:jc w:val="center"/>
        </w:trPr>
        <w:tc>
          <w:tcPr>
            <w:tcW w:w="7528" w:type="dxa"/>
            <w:shd w:val="clear" w:color="auto" w:fill="auto"/>
            <w:noWrap/>
            <w:vAlign w:val="bottom"/>
          </w:tcPr>
          <w:p w14:paraId="61A31A48" w14:textId="77777777" w:rsidR="00AE6445" w:rsidRPr="00162EF6" w:rsidRDefault="00AE6445" w:rsidP="00AE6445">
            <w:pPr>
              <w:spacing w:before="0" w:after="0"/>
              <w:rPr>
                <w:rFonts w:ascii="Arial" w:hAnsi="Arial" w:cs="Arial"/>
                <w:b/>
                <w:bCs/>
                <w:color w:val="000000"/>
                <w:sz w:val="20"/>
                <w:lang w:val="en-AU" w:eastAsia="en-AU"/>
              </w:rPr>
            </w:pPr>
            <w:r w:rsidRPr="00162EF6">
              <w:rPr>
                <w:rFonts w:ascii="Arial" w:hAnsi="Arial" w:cs="Arial"/>
                <w:b/>
                <w:bCs/>
                <w:color w:val="000000"/>
                <w:sz w:val="20"/>
                <w:lang w:val="en-AU" w:eastAsia="en-AU"/>
              </w:rPr>
              <w:t>Sample Outcomes Following CATI Stage</w:t>
            </w:r>
          </w:p>
        </w:tc>
        <w:tc>
          <w:tcPr>
            <w:tcW w:w="1120" w:type="dxa"/>
            <w:shd w:val="clear" w:color="auto" w:fill="auto"/>
            <w:noWrap/>
            <w:vAlign w:val="bottom"/>
          </w:tcPr>
          <w:p w14:paraId="493432EB" w14:textId="77777777" w:rsidR="00AE6445" w:rsidRPr="00162EF6" w:rsidRDefault="00AE6445" w:rsidP="00AE6445">
            <w:pPr>
              <w:spacing w:before="0" w:after="0"/>
              <w:jc w:val="center"/>
              <w:rPr>
                <w:rFonts w:ascii="Arial" w:hAnsi="Arial" w:cs="Arial"/>
                <w:b/>
                <w:bCs/>
                <w:color w:val="000000"/>
                <w:sz w:val="20"/>
                <w:lang w:val="en-AU" w:eastAsia="en-AU"/>
              </w:rPr>
            </w:pPr>
            <w:r w:rsidRPr="00162EF6">
              <w:rPr>
                <w:rFonts w:ascii="Arial" w:hAnsi="Arial" w:cs="Arial"/>
                <w:b/>
                <w:bCs/>
                <w:color w:val="000000"/>
                <w:sz w:val="20"/>
                <w:lang w:val="en-AU" w:eastAsia="en-AU"/>
              </w:rPr>
              <w:t>Number</w:t>
            </w:r>
          </w:p>
        </w:tc>
        <w:tc>
          <w:tcPr>
            <w:tcW w:w="1573" w:type="dxa"/>
            <w:shd w:val="clear" w:color="auto" w:fill="auto"/>
            <w:noWrap/>
            <w:vAlign w:val="bottom"/>
          </w:tcPr>
          <w:p w14:paraId="72923763" w14:textId="5E15EF7D" w:rsidR="00AE6445" w:rsidRPr="00162EF6" w:rsidRDefault="00B942AA" w:rsidP="00AE6445">
            <w:pPr>
              <w:spacing w:before="0" w:after="0"/>
              <w:jc w:val="center"/>
              <w:rPr>
                <w:rFonts w:ascii="Arial" w:hAnsi="Arial" w:cs="Arial"/>
                <w:b/>
                <w:bCs/>
                <w:color w:val="000000"/>
                <w:sz w:val="20"/>
                <w:lang w:val="en-AU" w:eastAsia="en-AU"/>
              </w:rPr>
            </w:pPr>
            <w:r>
              <w:rPr>
                <w:rFonts w:ascii="Arial" w:hAnsi="Arial" w:cs="Arial"/>
                <w:b/>
                <w:bCs/>
                <w:color w:val="000000"/>
                <w:sz w:val="20"/>
                <w:lang w:val="en-AU" w:eastAsia="en-AU"/>
              </w:rPr>
              <w:t>Per cent</w:t>
            </w:r>
            <w:r w:rsidR="00AE6445" w:rsidRPr="00162EF6">
              <w:rPr>
                <w:rFonts w:ascii="Arial" w:hAnsi="Arial" w:cs="Arial"/>
                <w:b/>
                <w:bCs/>
                <w:color w:val="000000"/>
                <w:sz w:val="20"/>
                <w:lang w:val="en-AU" w:eastAsia="en-AU"/>
              </w:rPr>
              <w:t xml:space="preserve"> of total sample drawn</w:t>
            </w:r>
          </w:p>
        </w:tc>
      </w:tr>
      <w:tr w:rsidR="00AE6445" w:rsidRPr="003E07CA" w14:paraId="4C1FD403" w14:textId="77777777" w:rsidTr="003F412E">
        <w:trPr>
          <w:trHeight w:val="300"/>
          <w:jc w:val="center"/>
        </w:trPr>
        <w:tc>
          <w:tcPr>
            <w:tcW w:w="7528" w:type="dxa"/>
            <w:shd w:val="clear" w:color="auto" w:fill="auto"/>
            <w:noWrap/>
            <w:vAlign w:val="bottom"/>
          </w:tcPr>
          <w:p w14:paraId="039ECFED"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Telephone number invalid, missing, fax, modem or disconnected</w:t>
            </w:r>
          </w:p>
        </w:tc>
        <w:tc>
          <w:tcPr>
            <w:tcW w:w="1120" w:type="dxa"/>
            <w:shd w:val="clear" w:color="auto" w:fill="auto"/>
            <w:noWrap/>
            <w:vAlign w:val="bottom"/>
          </w:tcPr>
          <w:p w14:paraId="7E9B7941"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32</w:t>
            </w:r>
          </w:p>
        </w:tc>
        <w:tc>
          <w:tcPr>
            <w:tcW w:w="1573" w:type="dxa"/>
            <w:shd w:val="clear" w:color="auto" w:fill="auto"/>
            <w:noWrap/>
            <w:vAlign w:val="bottom"/>
          </w:tcPr>
          <w:p w14:paraId="2D87C1BA"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0.3%</w:t>
            </w:r>
          </w:p>
        </w:tc>
      </w:tr>
      <w:tr w:rsidR="00AE6445" w:rsidRPr="003E07CA" w14:paraId="1B1E8D7C" w14:textId="77777777" w:rsidTr="003F412E">
        <w:trPr>
          <w:trHeight w:val="300"/>
          <w:jc w:val="center"/>
        </w:trPr>
        <w:tc>
          <w:tcPr>
            <w:tcW w:w="7528" w:type="dxa"/>
            <w:shd w:val="clear" w:color="auto" w:fill="auto"/>
            <w:noWrap/>
            <w:vAlign w:val="bottom"/>
          </w:tcPr>
          <w:p w14:paraId="7C154FF4" w14:textId="0C6A9C72"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 xml:space="preserve">Non-contact (no reply, answering machine </w:t>
            </w:r>
            <w:r w:rsidR="00BC6314" w:rsidRPr="00BC6314">
              <w:rPr>
                <w:rFonts w:ascii="Arial" w:hAnsi="Arial" w:cs="Arial"/>
                <w:color w:val="000000"/>
                <w:sz w:val="20"/>
                <w:lang w:val="en-AU" w:eastAsia="en-AU"/>
              </w:rPr>
              <w:t>etc.</w:t>
            </w:r>
            <w:r w:rsidRPr="00162EF6">
              <w:rPr>
                <w:rFonts w:ascii="Arial" w:hAnsi="Arial" w:cs="Arial"/>
                <w:color w:val="000000"/>
                <w:sz w:val="20"/>
                <w:lang w:val="en-AU" w:eastAsia="en-AU"/>
              </w:rPr>
              <w:t>)</w:t>
            </w:r>
          </w:p>
        </w:tc>
        <w:tc>
          <w:tcPr>
            <w:tcW w:w="1120" w:type="dxa"/>
            <w:shd w:val="clear" w:color="auto" w:fill="auto"/>
            <w:noWrap/>
            <w:vAlign w:val="bottom"/>
          </w:tcPr>
          <w:p w14:paraId="58A92DD0"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1,566</w:t>
            </w:r>
          </w:p>
        </w:tc>
        <w:tc>
          <w:tcPr>
            <w:tcW w:w="1573" w:type="dxa"/>
            <w:shd w:val="clear" w:color="auto" w:fill="auto"/>
            <w:noWrap/>
            <w:vAlign w:val="bottom"/>
          </w:tcPr>
          <w:p w14:paraId="6D4F6D3C"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12.9%</w:t>
            </w:r>
          </w:p>
        </w:tc>
      </w:tr>
      <w:tr w:rsidR="00AE6445" w:rsidRPr="003E07CA" w14:paraId="29497D94" w14:textId="77777777" w:rsidTr="003F412E">
        <w:trPr>
          <w:trHeight w:val="300"/>
          <w:jc w:val="center"/>
        </w:trPr>
        <w:tc>
          <w:tcPr>
            <w:tcW w:w="7528" w:type="dxa"/>
            <w:shd w:val="clear" w:color="auto" w:fill="auto"/>
            <w:noWrap/>
            <w:vAlign w:val="bottom"/>
          </w:tcPr>
          <w:p w14:paraId="7E269D18"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Refusal</w:t>
            </w:r>
          </w:p>
        </w:tc>
        <w:tc>
          <w:tcPr>
            <w:tcW w:w="1120" w:type="dxa"/>
            <w:shd w:val="clear" w:color="auto" w:fill="auto"/>
            <w:noWrap/>
            <w:vAlign w:val="bottom"/>
          </w:tcPr>
          <w:p w14:paraId="2A6593C3"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2,760</w:t>
            </w:r>
          </w:p>
        </w:tc>
        <w:tc>
          <w:tcPr>
            <w:tcW w:w="1573" w:type="dxa"/>
            <w:shd w:val="clear" w:color="auto" w:fill="auto"/>
            <w:noWrap/>
            <w:vAlign w:val="bottom"/>
          </w:tcPr>
          <w:p w14:paraId="15E26500"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22.7%</w:t>
            </w:r>
          </w:p>
        </w:tc>
      </w:tr>
      <w:tr w:rsidR="00AE6445" w:rsidRPr="003E07CA" w14:paraId="456640EA" w14:textId="77777777" w:rsidTr="003F412E">
        <w:trPr>
          <w:trHeight w:val="300"/>
          <w:jc w:val="center"/>
        </w:trPr>
        <w:tc>
          <w:tcPr>
            <w:tcW w:w="7528" w:type="dxa"/>
            <w:shd w:val="clear" w:color="auto" w:fill="auto"/>
            <w:noWrap/>
            <w:vAlign w:val="bottom"/>
          </w:tcPr>
          <w:p w14:paraId="036362AC"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Termination</w:t>
            </w:r>
          </w:p>
        </w:tc>
        <w:tc>
          <w:tcPr>
            <w:tcW w:w="1120" w:type="dxa"/>
            <w:shd w:val="clear" w:color="auto" w:fill="auto"/>
            <w:noWrap/>
            <w:vAlign w:val="bottom"/>
          </w:tcPr>
          <w:p w14:paraId="16CD140A"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1,692</w:t>
            </w:r>
          </w:p>
        </w:tc>
        <w:tc>
          <w:tcPr>
            <w:tcW w:w="1573" w:type="dxa"/>
            <w:shd w:val="clear" w:color="auto" w:fill="auto"/>
            <w:noWrap/>
            <w:vAlign w:val="bottom"/>
          </w:tcPr>
          <w:p w14:paraId="548675E9"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13.9%</w:t>
            </w:r>
          </w:p>
        </w:tc>
      </w:tr>
      <w:tr w:rsidR="00AE6445" w:rsidRPr="003E07CA" w14:paraId="67F49B6C" w14:textId="77777777" w:rsidTr="003F412E">
        <w:trPr>
          <w:trHeight w:val="300"/>
          <w:jc w:val="center"/>
        </w:trPr>
        <w:tc>
          <w:tcPr>
            <w:tcW w:w="7528" w:type="dxa"/>
            <w:shd w:val="clear" w:color="auto" w:fill="auto"/>
            <w:noWrap/>
            <w:vAlign w:val="bottom"/>
          </w:tcPr>
          <w:p w14:paraId="7ED51F9B"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Screened out</w:t>
            </w:r>
          </w:p>
        </w:tc>
        <w:tc>
          <w:tcPr>
            <w:tcW w:w="1120" w:type="dxa"/>
            <w:shd w:val="clear" w:color="auto" w:fill="auto"/>
            <w:noWrap/>
            <w:vAlign w:val="bottom"/>
          </w:tcPr>
          <w:p w14:paraId="512A6BE7"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334</w:t>
            </w:r>
          </w:p>
        </w:tc>
        <w:tc>
          <w:tcPr>
            <w:tcW w:w="1573" w:type="dxa"/>
            <w:shd w:val="clear" w:color="auto" w:fill="auto"/>
            <w:noWrap/>
            <w:vAlign w:val="bottom"/>
          </w:tcPr>
          <w:p w14:paraId="637A5AA7"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2.8%</w:t>
            </w:r>
          </w:p>
        </w:tc>
      </w:tr>
      <w:tr w:rsidR="00AE6445" w:rsidRPr="003E07CA" w14:paraId="3BF655BE" w14:textId="77777777" w:rsidTr="003F412E">
        <w:trPr>
          <w:trHeight w:val="300"/>
          <w:jc w:val="center"/>
        </w:trPr>
        <w:tc>
          <w:tcPr>
            <w:tcW w:w="7528" w:type="dxa"/>
            <w:shd w:val="clear" w:color="auto" w:fill="auto"/>
            <w:noWrap/>
            <w:vAlign w:val="bottom"/>
          </w:tcPr>
          <w:p w14:paraId="2DFB6783"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Interview completed</w:t>
            </w:r>
          </w:p>
        </w:tc>
        <w:tc>
          <w:tcPr>
            <w:tcW w:w="1120" w:type="dxa"/>
            <w:shd w:val="clear" w:color="auto" w:fill="auto"/>
            <w:noWrap/>
            <w:vAlign w:val="bottom"/>
          </w:tcPr>
          <w:p w14:paraId="20BEC7EF"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2,204</w:t>
            </w:r>
          </w:p>
        </w:tc>
        <w:tc>
          <w:tcPr>
            <w:tcW w:w="1573" w:type="dxa"/>
            <w:shd w:val="clear" w:color="auto" w:fill="auto"/>
            <w:noWrap/>
            <w:vAlign w:val="bottom"/>
          </w:tcPr>
          <w:p w14:paraId="5208F045"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18.2%</w:t>
            </w:r>
          </w:p>
        </w:tc>
      </w:tr>
      <w:tr w:rsidR="00AE6445" w:rsidRPr="003E07CA" w14:paraId="2AD96A33" w14:textId="77777777" w:rsidTr="003F412E">
        <w:trPr>
          <w:trHeight w:val="300"/>
          <w:jc w:val="center"/>
        </w:trPr>
        <w:tc>
          <w:tcPr>
            <w:tcW w:w="7528" w:type="dxa"/>
            <w:shd w:val="clear" w:color="auto" w:fill="auto"/>
            <w:noWrap/>
            <w:vAlign w:val="bottom"/>
          </w:tcPr>
          <w:p w14:paraId="74442938"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Quota fail</w:t>
            </w:r>
          </w:p>
        </w:tc>
        <w:tc>
          <w:tcPr>
            <w:tcW w:w="1120" w:type="dxa"/>
            <w:shd w:val="clear" w:color="auto" w:fill="auto"/>
            <w:noWrap/>
            <w:vAlign w:val="bottom"/>
          </w:tcPr>
          <w:p w14:paraId="75EE4951"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43</w:t>
            </w:r>
          </w:p>
        </w:tc>
        <w:tc>
          <w:tcPr>
            <w:tcW w:w="1573" w:type="dxa"/>
            <w:shd w:val="clear" w:color="auto" w:fill="auto"/>
            <w:noWrap/>
            <w:vAlign w:val="bottom"/>
          </w:tcPr>
          <w:p w14:paraId="517FB1EB"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0.4%</w:t>
            </w:r>
          </w:p>
        </w:tc>
      </w:tr>
      <w:tr w:rsidR="00AE6445" w:rsidRPr="003E07CA" w14:paraId="26FB6DB2" w14:textId="77777777" w:rsidTr="003F412E">
        <w:trPr>
          <w:trHeight w:val="300"/>
          <w:jc w:val="center"/>
        </w:trPr>
        <w:tc>
          <w:tcPr>
            <w:tcW w:w="7528" w:type="dxa"/>
            <w:shd w:val="clear" w:color="auto" w:fill="auto"/>
            <w:noWrap/>
            <w:vAlign w:val="bottom"/>
          </w:tcPr>
          <w:p w14:paraId="71CBFA98"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Incomplete appointment</w:t>
            </w:r>
          </w:p>
        </w:tc>
        <w:tc>
          <w:tcPr>
            <w:tcW w:w="1120" w:type="dxa"/>
            <w:shd w:val="clear" w:color="auto" w:fill="auto"/>
            <w:noWrap/>
            <w:vAlign w:val="bottom"/>
          </w:tcPr>
          <w:p w14:paraId="395991C7"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469</w:t>
            </w:r>
          </w:p>
        </w:tc>
        <w:tc>
          <w:tcPr>
            <w:tcW w:w="1573" w:type="dxa"/>
            <w:shd w:val="clear" w:color="auto" w:fill="auto"/>
            <w:noWrap/>
            <w:vAlign w:val="bottom"/>
          </w:tcPr>
          <w:p w14:paraId="3C3A632C"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3.9%</w:t>
            </w:r>
          </w:p>
        </w:tc>
      </w:tr>
      <w:tr w:rsidR="00AE6445" w:rsidRPr="003E07CA" w14:paraId="157876F2" w14:textId="77777777" w:rsidTr="003F412E">
        <w:trPr>
          <w:trHeight w:val="300"/>
          <w:jc w:val="center"/>
        </w:trPr>
        <w:tc>
          <w:tcPr>
            <w:tcW w:w="7528" w:type="dxa"/>
            <w:shd w:val="clear" w:color="auto" w:fill="auto"/>
            <w:noWrap/>
            <w:vAlign w:val="bottom"/>
          </w:tcPr>
          <w:p w14:paraId="16AC0FEC"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Incomplete interview</w:t>
            </w:r>
          </w:p>
        </w:tc>
        <w:tc>
          <w:tcPr>
            <w:tcW w:w="1120" w:type="dxa"/>
            <w:shd w:val="clear" w:color="auto" w:fill="auto"/>
            <w:noWrap/>
            <w:vAlign w:val="bottom"/>
          </w:tcPr>
          <w:p w14:paraId="61EB846F"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22</w:t>
            </w:r>
          </w:p>
        </w:tc>
        <w:tc>
          <w:tcPr>
            <w:tcW w:w="1573" w:type="dxa"/>
            <w:shd w:val="clear" w:color="auto" w:fill="auto"/>
            <w:noWrap/>
            <w:vAlign w:val="bottom"/>
          </w:tcPr>
          <w:p w14:paraId="23447CE7"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0.2%</w:t>
            </w:r>
          </w:p>
        </w:tc>
      </w:tr>
      <w:tr w:rsidR="00AE6445" w:rsidRPr="003E07CA" w14:paraId="408B11FC" w14:textId="77777777" w:rsidTr="003F412E">
        <w:trPr>
          <w:trHeight w:val="300"/>
          <w:jc w:val="center"/>
        </w:trPr>
        <w:tc>
          <w:tcPr>
            <w:tcW w:w="7528" w:type="dxa"/>
            <w:shd w:val="clear" w:color="auto" w:fill="auto"/>
            <w:noWrap/>
            <w:vAlign w:val="bottom"/>
          </w:tcPr>
          <w:p w14:paraId="4977F143"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Withdrawn</w:t>
            </w:r>
          </w:p>
        </w:tc>
        <w:tc>
          <w:tcPr>
            <w:tcW w:w="1120" w:type="dxa"/>
            <w:shd w:val="clear" w:color="auto" w:fill="auto"/>
            <w:noWrap/>
            <w:vAlign w:val="bottom"/>
          </w:tcPr>
          <w:p w14:paraId="196F7EE5"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226</w:t>
            </w:r>
          </w:p>
        </w:tc>
        <w:tc>
          <w:tcPr>
            <w:tcW w:w="1573" w:type="dxa"/>
            <w:shd w:val="clear" w:color="auto" w:fill="auto"/>
            <w:noWrap/>
            <w:vAlign w:val="bottom"/>
          </w:tcPr>
          <w:p w14:paraId="6563CBB7"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1.9%</w:t>
            </w:r>
          </w:p>
        </w:tc>
      </w:tr>
      <w:tr w:rsidR="00AE6445" w:rsidRPr="003E07CA" w14:paraId="2465D201" w14:textId="77777777" w:rsidTr="003F412E">
        <w:trPr>
          <w:trHeight w:val="300"/>
          <w:jc w:val="center"/>
        </w:trPr>
        <w:tc>
          <w:tcPr>
            <w:tcW w:w="7528" w:type="dxa"/>
            <w:shd w:val="clear" w:color="auto" w:fill="auto"/>
            <w:noWrap/>
            <w:vAlign w:val="bottom"/>
          </w:tcPr>
          <w:p w14:paraId="323DB69B"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Deceased</w:t>
            </w:r>
          </w:p>
        </w:tc>
        <w:tc>
          <w:tcPr>
            <w:tcW w:w="1120" w:type="dxa"/>
            <w:shd w:val="clear" w:color="auto" w:fill="auto"/>
            <w:noWrap/>
            <w:vAlign w:val="bottom"/>
          </w:tcPr>
          <w:p w14:paraId="04932BC8"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28</w:t>
            </w:r>
          </w:p>
        </w:tc>
        <w:tc>
          <w:tcPr>
            <w:tcW w:w="1573" w:type="dxa"/>
            <w:shd w:val="clear" w:color="auto" w:fill="auto"/>
            <w:noWrap/>
            <w:vAlign w:val="bottom"/>
          </w:tcPr>
          <w:p w14:paraId="1D035879"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0.2%</w:t>
            </w:r>
          </w:p>
        </w:tc>
      </w:tr>
      <w:tr w:rsidR="00AE6445" w:rsidRPr="003E07CA" w14:paraId="2ED1C092" w14:textId="77777777" w:rsidTr="003F412E">
        <w:trPr>
          <w:trHeight w:val="300"/>
          <w:jc w:val="center"/>
        </w:trPr>
        <w:tc>
          <w:tcPr>
            <w:tcW w:w="7528" w:type="dxa"/>
            <w:shd w:val="clear" w:color="auto" w:fill="auto"/>
            <w:noWrap/>
            <w:vAlign w:val="bottom"/>
          </w:tcPr>
          <w:p w14:paraId="7136451B"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Mail-out returned to sender</w:t>
            </w:r>
          </w:p>
        </w:tc>
        <w:tc>
          <w:tcPr>
            <w:tcW w:w="1120" w:type="dxa"/>
            <w:shd w:val="clear" w:color="auto" w:fill="auto"/>
            <w:noWrap/>
            <w:vAlign w:val="bottom"/>
          </w:tcPr>
          <w:p w14:paraId="4A06075B"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541</w:t>
            </w:r>
          </w:p>
        </w:tc>
        <w:tc>
          <w:tcPr>
            <w:tcW w:w="1573" w:type="dxa"/>
            <w:shd w:val="clear" w:color="auto" w:fill="auto"/>
            <w:noWrap/>
            <w:vAlign w:val="bottom"/>
          </w:tcPr>
          <w:p w14:paraId="64551349"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4.5%</w:t>
            </w:r>
          </w:p>
        </w:tc>
      </w:tr>
      <w:tr w:rsidR="00AE6445" w:rsidRPr="003E07CA" w14:paraId="72ECE6C9" w14:textId="77777777" w:rsidTr="003F412E">
        <w:trPr>
          <w:trHeight w:val="300"/>
          <w:jc w:val="center"/>
        </w:trPr>
        <w:tc>
          <w:tcPr>
            <w:tcW w:w="7528" w:type="dxa"/>
            <w:shd w:val="clear" w:color="auto" w:fill="auto"/>
            <w:noWrap/>
            <w:vAlign w:val="bottom"/>
          </w:tcPr>
          <w:p w14:paraId="3FD56DD7"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Other unusable sample</w:t>
            </w:r>
          </w:p>
        </w:tc>
        <w:tc>
          <w:tcPr>
            <w:tcW w:w="1120" w:type="dxa"/>
            <w:shd w:val="clear" w:color="auto" w:fill="auto"/>
            <w:noWrap/>
            <w:vAlign w:val="bottom"/>
          </w:tcPr>
          <w:p w14:paraId="79E3B1E9"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75</w:t>
            </w:r>
          </w:p>
        </w:tc>
        <w:tc>
          <w:tcPr>
            <w:tcW w:w="1573" w:type="dxa"/>
            <w:shd w:val="clear" w:color="auto" w:fill="auto"/>
            <w:noWrap/>
            <w:vAlign w:val="bottom"/>
          </w:tcPr>
          <w:p w14:paraId="2F2D2B8F"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0.6%</w:t>
            </w:r>
          </w:p>
        </w:tc>
      </w:tr>
      <w:tr w:rsidR="00AE6445" w:rsidRPr="003E07CA" w14:paraId="4F64D365" w14:textId="77777777" w:rsidTr="003F412E">
        <w:trPr>
          <w:trHeight w:val="300"/>
          <w:jc w:val="center"/>
        </w:trPr>
        <w:tc>
          <w:tcPr>
            <w:tcW w:w="7528" w:type="dxa"/>
            <w:shd w:val="clear" w:color="auto" w:fill="auto"/>
            <w:noWrap/>
            <w:vAlign w:val="bottom"/>
          </w:tcPr>
          <w:p w14:paraId="055EA50F"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Fresh sample not required (no CATI contact attempted as quotas achieved)</w:t>
            </w:r>
          </w:p>
        </w:tc>
        <w:tc>
          <w:tcPr>
            <w:tcW w:w="1120" w:type="dxa"/>
            <w:shd w:val="clear" w:color="auto" w:fill="auto"/>
            <w:noWrap/>
            <w:vAlign w:val="bottom"/>
          </w:tcPr>
          <w:p w14:paraId="1AEEE3A1"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2,143</w:t>
            </w:r>
          </w:p>
        </w:tc>
        <w:tc>
          <w:tcPr>
            <w:tcW w:w="1573" w:type="dxa"/>
            <w:shd w:val="clear" w:color="auto" w:fill="auto"/>
            <w:noWrap/>
            <w:vAlign w:val="bottom"/>
          </w:tcPr>
          <w:p w14:paraId="599F4D49"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17.7%</w:t>
            </w:r>
          </w:p>
        </w:tc>
      </w:tr>
      <w:tr w:rsidR="00AE6445" w:rsidRPr="003E07CA" w14:paraId="4025D9C6" w14:textId="77777777" w:rsidTr="003F412E">
        <w:trPr>
          <w:trHeight w:val="300"/>
          <w:jc w:val="center"/>
        </w:trPr>
        <w:tc>
          <w:tcPr>
            <w:tcW w:w="7528" w:type="dxa"/>
            <w:shd w:val="clear" w:color="auto" w:fill="auto"/>
            <w:noWrap/>
            <w:vAlign w:val="bottom"/>
          </w:tcPr>
          <w:p w14:paraId="6A0E966A" w14:textId="77777777" w:rsidR="00AE6445" w:rsidRPr="00162EF6" w:rsidRDefault="00AE6445" w:rsidP="00AE6445">
            <w:pPr>
              <w:spacing w:before="0" w:after="0"/>
              <w:rPr>
                <w:rFonts w:ascii="Arial" w:hAnsi="Arial" w:cs="Arial"/>
                <w:b/>
                <w:color w:val="000000"/>
                <w:sz w:val="20"/>
                <w:lang w:val="en-AU" w:eastAsia="en-AU"/>
              </w:rPr>
            </w:pPr>
            <w:r w:rsidRPr="00162EF6">
              <w:rPr>
                <w:rFonts w:ascii="Arial" w:hAnsi="Arial" w:cs="Arial"/>
                <w:b/>
                <w:color w:val="000000"/>
                <w:sz w:val="20"/>
                <w:lang w:val="en-AU" w:eastAsia="en-AU"/>
              </w:rPr>
              <w:t>Total sample drawn for mail-out</w:t>
            </w:r>
          </w:p>
        </w:tc>
        <w:tc>
          <w:tcPr>
            <w:tcW w:w="1120" w:type="dxa"/>
            <w:shd w:val="clear" w:color="auto" w:fill="auto"/>
            <w:noWrap/>
            <w:vAlign w:val="bottom"/>
          </w:tcPr>
          <w:p w14:paraId="4CAD60B6" w14:textId="77777777" w:rsidR="00AE6445" w:rsidRPr="00162EF6" w:rsidRDefault="00AE6445" w:rsidP="00AE6445">
            <w:pPr>
              <w:spacing w:before="0" w:after="0"/>
              <w:jc w:val="center"/>
              <w:rPr>
                <w:rFonts w:ascii="Arial" w:hAnsi="Arial" w:cs="Arial"/>
                <w:b/>
                <w:color w:val="000000"/>
                <w:sz w:val="20"/>
                <w:lang w:val="en-AU" w:eastAsia="en-AU"/>
              </w:rPr>
            </w:pPr>
            <w:r w:rsidRPr="00162EF6">
              <w:rPr>
                <w:rFonts w:ascii="Arial" w:hAnsi="Arial" w:cs="Arial"/>
                <w:b/>
                <w:color w:val="000000"/>
                <w:sz w:val="20"/>
                <w:lang w:val="en-AU" w:eastAsia="en-AU"/>
              </w:rPr>
              <w:t>12,135</w:t>
            </w:r>
          </w:p>
        </w:tc>
        <w:tc>
          <w:tcPr>
            <w:tcW w:w="1573" w:type="dxa"/>
            <w:shd w:val="clear" w:color="auto" w:fill="auto"/>
            <w:noWrap/>
            <w:vAlign w:val="bottom"/>
          </w:tcPr>
          <w:p w14:paraId="3263F7CA" w14:textId="77777777" w:rsidR="00AE6445" w:rsidRPr="00162EF6" w:rsidRDefault="00AE6445" w:rsidP="00AE6445">
            <w:pPr>
              <w:spacing w:before="0" w:after="0"/>
              <w:jc w:val="center"/>
              <w:rPr>
                <w:rFonts w:ascii="Arial" w:hAnsi="Arial" w:cs="Arial"/>
                <w:b/>
                <w:color w:val="000000"/>
                <w:sz w:val="20"/>
                <w:lang w:val="en-AU" w:eastAsia="en-AU"/>
              </w:rPr>
            </w:pPr>
            <w:r w:rsidRPr="00162EF6">
              <w:rPr>
                <w:rFonts w:ascii="Arial" w:hAnsi="Arial" w:cs="Arial"/>
                <w:b/>
                <w:color w:val="000000"/>
                <w:sz w:val="20"/>
                <w:lang w:val="en-AU" w:eastAsia="en-AU"/>
              </w:rPr>
              <w:t>100.0%</w:t>
            </w:r>
          </w:p>
        </w:tc>
      </w:tr>
    </w:tbl>
    <w:p w14:paraId="07204F29" w14:textId="77777777" w:rsidR="00AE6445" w:rsidRPr="00162EF6" w:rsidRDefault="00AE6445" w:rsidP="00AE6445">
      <w:pPr>
        <w:pStyle w:val="Para"/>
        <w:rPr>
          <w:lang w:val="en-AU"/>
        </w:rPr>
      </w:pPr>
    </w:p>
    <w:p w14:paraId="7D897D48" w14:textId="77777777" w:rsidR="00AE6445" w:rsidRPr="00162EF6" w:rsidRDefault="00AE6445" w:rsidP="00AE6445">
      <w:pPr>
        <w:pStyle w:val="Para"/>
        <w:rPr>
          <w:lang w:val="en-AU"/>
        </w:rPr>
      </w:pPr>
      <w:r w:rsidRPr="00162EF6">
        <w:rPr>
          <w:lang w:val="en-AU"/>
        </w:rPr>
        <w:br w:type="page"/>
      </w:r>
    </w:p>
    <w:p w14:paraId="1E982580" w14:textId="77777777" w:rsidR="00AE6445" w:rsidRPr="00162EF6" w:rsidRDefault="00AE6445" w:rsidP="003F412E">
      <w:pPr>
        <w:pStyle w:val="Para"/>
        <w:spacing w:after="120"/>
        <w:jc w:val="center"/>
        <w:rPr>
          <w:b/>
          <w:lang w:val="en-AU"/>
        </w:rPr>
      </w:pPr>
      <w:r w:rsidRPr="00162EF6">
        <w:rPr>
          <w:b/>
          <w:lang w:val="en-AU"/>
        </w:rPr>
        <w:lastRenderedPageBreak/>
        <w:t xml:space="preserve">Table </w:t>
      </w:r>
      <w:r w:rsidR="00BB1D65" w:rsidRPr="00162EF6">
        <w:rPr>
          <w:b/>
          <w:lang w:val="en-AU"/>
        </w:rPr>
        <w:t>2.14</w:t>
      </w:r>
      <w:r w:rsidRPr="00162EF6">
        <w:rPr>
          <w:b/>
          <w:lang w:val="en-AU"/>
        </w:rPr>
        <w:t xml:space="preserve">: </w:t>
      </w:r>
      <w:r w:rsidRPr="00162EF6">
        <w:rPr>
          <w:b/>
          <w:u w:val="single"/>
          <w:lang w:val="en-AU"/>
        </w:rPr>
        <w:t>Key Measures of Response</w:t>
      </w:r>
    </w:p>
    <w:tbl>
      <w:tblPr>
        <w:tblW w:w="7840" w:type="dxa"/>
        <w:jc w:val="center"/>
        <w:tblLook w:val="04A0" w:firstRow="1" w:lastRow="0" w:firstColumn="1" w:lastColumn="0" w:noHBand="0" w:noVBand="1"/>
      </w:tblPr>
      <w:tblGrid>
        <w:gridCol w:w="6720"/>
        <w:gridCol w:w="1120"/>
      </w:tblGrid>
      <w:tr w:rsidR="00AE6445" w:rsidRPr="003E07CA" w14:paraId="7680FAAA" w14:textId="77777777" w:rsidTr="003F412E">
        <w:trPr>
          <w:trHeight w:val="300"/>
          <w:jc w:val="center"/>
        </w:trPr>
        <w:tc>
          <w:tcPr>
            <w:tcW w:w="6720" w:type="dxa"/>
            <w:tcBorders>
              <w:top w:val="double" w:sz="4" w:space="0" w:color="auto"/>
              <w:left w:val="double" w:sz="4" w:space="0" w:color="auto"/>
              <w:bottom w:val="single" w:sz="4" w:space="0" w:color="auto"/>
              <w:right w:val="single" w:sz="4" w:space="0" w:color="auto"/>
            </w:tcBorders>
            <w:shd w:val="clear" w:color="auto" w:fill="auto"/>
            <w:noWrap/>
            <w:vAlign w:val="bottom"/>
          </w:tcPr>
          <w:p w14:paraId="4DE35A2B"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Total in-scope contacts</w:t>
            </w:r>
          </w:p>
        </w:tc>
        <w:tc>
          <w:tcPr>
            <w:tcW w:w="1120" w:type="dxa"/>
            <w:tcBorders>
              <w:top w:val="double" w:sz="4" w:space="0" w:color="auto"/>
              <w:left w:val="nil"/>
              <w:bottom w:val="single" w:sz="4" w:space="0" w:color="auto"/>
              <w:right w:val="double" w:sz="4" w:space="0" w:color="auto"/>
            </w:tcBorders>
            <w:shd w:val="clear" w:color="auto" w:fill="auto"/>
            <w:noWrap/>
            <w:vAlign w:val="bottom"/>
          </w:tcPr>
          <w:p w14:paraId="26070614"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7,147</w:t>
            </w:r>
          </w:p>
        </w:tc>
      </w:tr>
      <w:tr w:rsidR="00AE6445" w:rsidRPr="003E07CA" w14:paraId="70047577" w14:textId="77777777" w:rsidTr="003F412E">
        <w:trPr>
          <w:trHeight w:val="300"/>
          <w:jc w:val="center"/>
        </w:trPr>
        <w:tc>
          <w:tcPr>
            <w:tcW w:w="672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D1D3DF3"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Total interviews completed</w:t>
            </w:r>
          </w:p>
        </w:tc>
        <w:tc>
          <w:tcPr>
            <w:tcW w:w="1120" w:type="dxa"/>
            <w:tcBorders>
              <w:top w:val="single" w:sz="4" w:space="0" w:color="auto"/>
              <w:left w:val="nil"/>
              <w:bottom w:val="single" w:sz="4" w:space="0" w:color="auto"/>
              <w:right w:val="double" w:sz="4" w:space="0" w:color="auto"/>
            </w:tcBorders>
            <w:shd w:val="clear" w:color="auto" w:fill="auto"/>
            <w:noWrap/>
            <w:vAlign w:val="bottom"/>
          </w:tcPr>
          <w:p w14:paraId="75DE6638"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2,204</w:t>
            </w:r>
          </w:p>
        </w:tc>
      </w:tr>
      <w:tr w:rsidR="00AE6445" w:rsidRPr="003E07CA" w14:paraId="5654C3F8" w14:textId="77777777" w:rsidTr="003F412E">
        <w:trPr>
          <w:trHeight w:val="300"/>
          <w:jc w:val="center"/>
        </w:trPr>
        <w:tc>
          <w:tcPr>
            <w:tcW w:w="672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61B51A2" w14:textId="77777777" w:rsidR="00AE6445" w:rsidRPr="00162EF6" w:rsidRDefault="00AE6445" w:rsidP="00AE6445">
            <w:pPr>
              <w:spacing w:before="0" w:after="0"/>
              <w:rPr>
                <w:rFonts w:ascii="Arial" w:hAnsi="Arial" w:cs="Arial"/>
                <w:b/>
                <w:color w:val="000000"/>
                <w:sz w:val="20"/>
                <w:lang w:val="en-AU" w:eastAsia="en-AU"/>
              </w:rPr>
            </w:pPr>
            <w:r w:rsidRPr="00162EF6">
              <w:rPr>
                <w:rFonts w:ascii="Arial" w:hAnsi="Arial" w:cs="Arial"/>
                <w:b/>
                <w:color w:val="000000"/>
                <w:sz w:val="20"/>
                <w:lang w:val="en-AU" w:eastAsia="en-AU"/>
              </w:rPr>
              <w:t>Cooperation rate</w:t>
            </w:r>
          </w:p>
        </w:tc>
        <w:tc>
          <w:tcPr>
            <w:tcW w:w="1120" w:type="dxa"/>
            <w:tcBorders>
              <w:top w:val="single" w:sz="4" w:space="0" w:color="auto"/>
              <w:left w:val="nil"/>
              <w:bottom w:val="single" w:sz="4" w:space="0" w:color="auto"/>
              <w:right w:val="double" w:sz="4" w:space="0" w:color="auto"/>
            </w:tcBorders>
            <w:shd w:val="clear" w:color="auto" w:fill="auto"/>
            <w:noWrap/>
            <w:vAlign w:val="bottom"/>
          </w:tcPr>
          <w:p w14:paraId="1117BA5A" w14:textId="77777777" w:rsidR="00AE6445" w:rsidRPr="00162EF6" w:rsidRDefault="00AE6445" w:rsidP="00AE6445">
            <w:pPr>
              <w:spacing w:before="0" w:after="0"/>
              <w:jc w:val="center"/>
              <w:rPr>
                <w:rFonts w:ascii="Arial" w:hAnsi="Arial" w:cs="Arial"/>
                <w:b/>
                <w:color w:val="000000"/>
                <w:sz w:val="20"/>
                <w:lang w:val="en-AU" w:eastAsia="en-AU"/>
              </w:rPr>
            </w:pPr>
            <w:r w:rsidRPr="00162EF6">
              <w:rPr>
                <w:rFonts w:ascii="Arial" w:hAnsi="Arial" w:cs="Arial"/>
                <w:b/>
                <w:color w:val="000000"/>
                <w:sz w:val="20"/>
                <w:lang w:val="en-AU" w:eastAsia="en-AU"/>
              </w:rPr>
              <w:t>31%</w:t>
            </w:r>
          </w:p>
        </w:tc>
      </w:tr>
      <w:tr w:rsidR="00AE6445" w:rsidRPr="003E07CA" w14:paraId="26F2EB54" w14:textId="77777777" w:rsidTr="003F412E">
        <w:trPr>
          <w:trHeight w:val="300"/>
          <w:jc w:val="center"/>
        </w:trPr>
        <w:tc>
          <w:tcPr>
            <w:tcW w:w="6720" w:type="dxa"/>
            <w:tcBorders>
              <w:top w:val="single" w:sz="4" w:space="0" w:color="auto"/>
              <w:left w:val="double" w:sz="4" w:space="0" w:color="auto"/>
              <w:bottom w:val="single" w:sz="4" w:space="0" w:color="auto"/>
              <w:right w:val="nil"/>
            </w:tcBorders>
            <w:shd w:val="clear" w:color="000000" w:fill="BFBFBF"/>
            <w:noWrap/>
            <w:vAlign w:val="bottom"/>
          </w:tcPr>
          <w:p w14:paraId="0CEEE08E"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 </w:t>
            </w:r>
          </w:p>
        </w:tc>
        <w:tc>
          <w:tcPr>
            <w:tcW w:w="1120" w:type="dxa"/>
            <w:tcBorders>
              <w:top w:val="single" w:sz="4" w:space="0" w:color="auto"/>
              <w:left w:val="nil"/>
              <w:bottom w:val="single" w:sz="4" w:space="0" w:color="auto"/>
              <w:right w:val="double" w:sz="4" w:space="0" w:color="auto"/>
            </w:tcBorders>
            <w:shd w:val="clear" w:color="000000" w:fill="BFBFBF"/>
            <w:noWrap/>
            <w:vAlign w:val="bottom"/>
          </w:tcPr>
          <w:p w14:paraId="43296ACC" w14:textId="77777777" w:rsidR="00AE6445" w:rsidRPr="00162EF6" w:rsidRDefault="00AE6445" w:rsidP="00AE6445">
            <w:pPr>
              <w:spacing w:before="0" w:after="0"/>
              <w:jc w:val="center"/>
              <w:rPr>
                <w:rFonts w:ascii="Arial" w:hAnsi="Arial" w:cs="Arial"/>
                <w:color w:val="000000"/>
                <w:sz w:val="20"/>
                <w:lang w:val="en-AU" w:eastAsia="en-AU"/>
              </w:rPr>
            </w:pPr>
          </w:p>
        </w:tc>
      </w:tr>
      <w:tr w:rsidR="00AE6445" w:rsidRPr="003E07CA" w14:paraId="72ABC23F" w14:textId="77777777" w:rsidTr="003F412E">
        <w:trPr>
          <w:trHeight w:val="300"/>
          <w:jc w:val="center"/>
        </w:trPr>
        <w:tc>
          <w:tcPr>
            <w:tcW w:w="672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03AB97A"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Total usable sample where CATI contact was attempted</w:t>
            </w:r>
          </w:p>
        </w:tc>
        <w:tc>
          <w:tcPr>
            <w:tcW w:w="1120" w:type="dxa"/>
            <w:tcBorders>
              <w:top w:val="single" w:sz="4" w:space="0" w:color="auto"/>
              <w:left w:val="nil"/>
              <w:bottom w:val="single" w:sz="4" w:space="0" w:color="auto"/>
              <w:right w:val="double" w:sz="4" w:space="0" w:color="auto"/>
            </w:tcBorders>
            <w:shd w:val="clear" w:color="auto" w:fill="auto"/>
            <w:noWrap/>
            <w:vAlign w:val="bottom"/>
          </w:tcPr>
          <w:p w14:paraId="77EA4D7E"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9,090</w:t>
            </w:r>
          </w:p>
        </w:tc>
      </w:tr>
      <w:tr w:rsidR="00AE6445" w:rsidRPr="003E07CA" w14:paraId="3893B955" w14:textId="77777777" w:rsidTr="003F412E">
        <w:trPr>
          <w:trHeight w:val="300"/>
          <w:jc w:val="center"/>
        </w:trPr>
        <w:tc>
          <w:tcPr>
            <w:tcW w:w="672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247E53F"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Total contacts (whether in-scope or not)</w:t>
            </w:r>
          </w:p>
        </w:tc>
        <w:tc>
          <w:tcPr>
            <w:tcW w:w="1120" w:type="dxa"/>
            <w:tcBorders>
              <w:top w:val="single" w:sz="4" w:space="0" w:color="auto"/>
              <w:left w:val="nil"/>
              <w:bottom w:val="single" w:sz="4" w:space="0" w:color="auto"/>
              <w:right w:val="double" w:sz="4" w:space="0" w:color="auto"/>
            </w:tcBorders>
            <w:shd w:val="clear" w:color="auto" w:fill="auto"/>
            <w:noWrap/>
            <w:vAlign w:val="bottom"/>
          </w:tcPr>
          <w:p w14:paraId="5B326D30"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7,524</w:t>
            </w:r>
          </w:p>
        </w:tc>
      </w:tr>
      <w:tr w:rsidR="00AE6445" w:rsidRPr="003E07CA" w14:paraId="22AFF1F7" w14:textId="77777777" w:rsidTr="003F412E">
        <w:trPr>
          <w:trHeight w:val="300"/>
          <w:jc w:val="center"/>
        </w:trPr>
        <w:tc>
          <w:tcPr>
            <w:tcW w:w="672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639C521" w14:textId="77777777" w:rsidR="00AE6445" w:rsidRPr="00162EF6" w:rsidRDefault="00AE6445" w:rsidP="00AE6445">
            <w:pPr>
              <w:spacing w:before="0" w:after="0"/>
              <w:rPr>
                <w:rFonts w:ascii="Arial" w:hAnsi="Arial" w:cs="Arial"/>
                <w:b/>
                <w:color w:val="000000"/>
                <w:sz w:val="20"/>
                <w:lang w:val="en-AU" w:eastAsia="en-AU"/>
              </w:rPr>
            </w:pPr>
            <w:r w:rsidRPr="00162EF6">
              <w:rPr>
                <w:rFonts w:ascii="Arial" w:hAnsi="Arial" w:cs="Arial"/>
                <w:b/>
                <w:color w:val="000000"/>
                <w:sz w:val="20"/>
                <w:lang w:val="en-AU" w:eastAsia="en-AU"/>
              </w:rPr>
              <w:t>Contact rate</w:t>
            </w:r>
          </w:p>
        </w:tc>
        <w:tc>
          <w:tcPr>
            <w:tcW w:w="1120" w:type="dxa"/>
            <w:tcBorders>
              <w:top w:val="single" w:sz="4" w:space="0" w:color="auto"/>
              <w:left w:val="nil"/>
              <w:bottom w:val="single" w:sz="4" w:space="0" w:color="auto"/>
              <w:right w:val="double" w:sz="4" w:space="0" w:color="auto"/>
            </w:tcBorders>
            <w:shd w:val="clear" w:color="auto" w:fill="auto"/>
            <w:noWrap/>
            <w:vAlign w:val="bottom"/>
          </w:tcPr>
          <w:p w14:paraId="414C2EE6" w14:textId="77777777" w:rsidR="00AE6445" w:rsidRPr="00162EF6" w:rsidRDefault="00AE6445" w:rsidP="00AE6445">
            <w:pPr>
              <w:spacing w:before="0" w:after="0"/>
              <w:jc w:val="center"/>
              <w:rPr>
                <w:rFonts w:ascii="Arial" w:hAnsi="Arial" w:cs="Arial"/>
                <w:b/>
                <w:color w:val="000000"/>
                <w:sz w:val="20"/>
                <w:lang w:val="en-AU" w:eastAsia="en-AU"/>
              </w:rPr>
            </w:pPr>
            <w:r w:rsidRPr="00162EF6">
              <w:rPr>
                <w:rFonts w:ascii="Arial" w:hAnsi="Arial" w:cs="Arial"/>
                <w:b/>
                <w:color w:val="000000"/>
                <w:sz w:val="20"/>
                <w:lang w:val="en-AU" w:eastAsia="en-AU"/>
              </w:rPr>
              <w:t>83%</w:t>
            </w:r>
          </w:p>
        </w:tc>
      </w:tr>
      <w:tr w:rsidR="00AE6445" w:rsidRPr="003E07CA" w14:paraId="2E61AE95" w14:textId="77777777" w:rsidTr="003F412E">
        <w:trPr>
          <w:trHeight w:val="300"/>
          <w:jc w:val="center"/>
        </w:trPr>
        <w:tc>
          <w:tcPr>
            <w:tcW w:w="6720" w:type="dxa"/>
            <w:tcBorders>
              <w:top w:val="single" w:sz="4" w:space="0" w:color="auto"/>
              <w:left w:val="double" w:sz="4" w:space="0" w:color="auto"/>
              <w:bottom w:val="single" w:sz="4" w:space="0" w:color="auto"/>
              <w:right w:val="nil"/>
            </w:tcBorders>
            <w:shd w:val="clear" w:color="000000" w:fill="BFBFBF"/>
            <w:noWrap/>
            <w:vAlign w:val="bottom"/>
          </w:tcPr>
          <w:p w14:paraId="52E2645A"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 </w:t>
            </w:r>
          </w:p>
        </w:tc>
        <w:tc>
          <w:tcPr>
            <w:tcW w:w="1120" w:type="dxa"/>
            <w:tcBorders>
              <w:top w:val="single" w:sz="4" w:space="0" w:color="auto"/>
              <w:left w:val="nil"/>
              <w:bottom w:val="single" w:sz="4" w:space="0" w:color="auto"/>
              <w:right w:val="double" w:sz="4" w:space="0" w:color="auto"/>
            </w:tcBorders>
            <w:shd w:val="clear" w:color="000000" w:fill="BFBFBF"/>
            <w:noWrap/>
            <w:vAlign w:val="bottom"/>
          </w:tcPr>
          <w:p w14:paraId="52309F72" w14:textId="77777777" w:rsidR="00AE6445" w:rsidRPr="00162EF6" w:rsidRDefault="00AE6445" w:rsidP="00AE6445">
            <w:pPr>
              <w:spacing w:before="0" w:after="0"/>
              <w:jc w:val="center"/>
              <w:rPr>
                <w:rFonts w:ascii="Arial" w:hAnsi="Arial" w:cs="Arial"/>
                <w:color w:val="000000"/>
                <w:sz w:val="20"/>
                <w:lang w:val="en-AU" w:eastAsia="en-AU"/>
              </w:rPr>
            </w:pPr>
          </w:p>
        </w:tc>
      </w:tr>
      <w:tr w:rsidR="00AE6445" w:rsidRPr="003E07CA" w14:paraId="675024EF" w14:textId="77777777" w:rsidTr="003F412E">
        <w:trPr>
          <w:trHeight w:val="300"/>
          <w:jc w:val="center"/>
        </w:trPr>
        <w:tc>
          <w:tcPr>
            <w:tcW w:w="672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4735F9F"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Total telephone interviews completed</w:t>
            </w:r>
          </w:p>
        </w:tc>
        <w:tc>
          <w:tcPr>
            <w:tcW w:w="1120" w:type="dxa"/>
            <w:tcBorders>
              <w:top w:val="single" w:sz="4" w:space="0" w:color="auto"/>
              <w:left w:val="nil"/>
              <w:bottom w:val="single" w:sz="4" w:space="0" w:color="auto"/>
              <w:right w:val="double" w:sz="4" w:space="0" w:color="auto"/>
            </w:tcBorders>
            <w:shd w:val="clear" w:color="auto" w:fill="auto"/>
            <w:noWrap/>
            <w:vAlign w:val="bottom"/>
          </w:tcPr>
          <w:p w14:paraId="09283A45"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2,204</w:t>
            </w:r>
          </w:p>
        </w:tc>
      </w:tr>
      <w:tr w:rsidR="00AE6445" w:rsidRPr="003E07CA" w14:paraId="6CFE7906" w14:textId="77777777" w:rsidTr="003F412E">
        <w:trPr>
          <w:trHeight w:val="300"/>
          <w:jc w:val="center"/>
        </w:trPr>
        <w:tc>
          <w:tcPr>
            <w:tcW w:w="672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8A5C3B0"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Total telephone respondents who provided consent forms</w:t>
            </w:r>
          </w:p>
        </w:tc>
        <w:tc>
          <w:tcPr>
            <w:tcW w:w="1120" w:type="dxa"/>
            <w:tcBorders>
              <w:top w:val="single" w:sz="4" w:space="0" w:color="auto"/>
              <w:left w:val="nil"/>
              <w:bottom w:val="single" w:sz="4" w:space="0" w:color="auto"/>
              <w:right w:val="double" w:sz="4" w:space="0" w:color="auto"/>
            </w:tcBorders>
            <w:shd w:val="clear" w:color="auto" w:fill="auto"/>
            <w:noWrap/>
            <w:vAlign w:val="bottom"/>
          </w:tcPr>
          <w:p w14:paraId="5A50E8C3"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1,861</w:t>
            </w:r>
          </w:p>
        </w:tc>
      </w:tr>
      <w:tr w:rsidR="00AE6445" w:rsidRPr="003E07CA" w14:paraId="4B24B310" w14:textId="77777777" w:rsidTr="003F412E">
        <w:trPr>
          <w:trHeight w:val="300"/>
          <w:jc w:val="center"/>
        </w:trPr>
        <w:tc>
          <w:tcPr>
            <w:tcW w:w="672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975C281" w14:textId="77777777" w:rsidR="00AE6445" w:rsidRPr="00162EF6" w:rsidRDefault="00AE6445" w:rsidP="00AE6445">
            <w:pPr>
              <w:spacing w:before="0" w:after="0"/>
              <w:rPr>
                <w:rFonts w:ascii="Arial" w:hAnsi="Arial" w:cs="Arial"/>
                <w:b/>
                <w:color w:val="000000"/>
                <w:sz w:val="20"/>
                <w:lang w:val="en-AU" w:eastAsia="en-AU"/>
              </w:rPr>
            </w:pPr>
            <w:r w:rsidRPr="00162EF6">
              <w:rPr>
                <w:rFonts w:ascii="Arial" w:hAnsi="Arial" w:cs="Arial"/>
                <w:b/>
                <w:color w:val="000000"/>
                <w:sz w:val="20"/>
                <w:lang w:val="en-AU" w:eastAsia="en-AU"/>
              </w:rPr>
              <w:t>Consent return rate</w:t>
            </w:r>
          </w:p>
        </w:tc>
        <w:tc>
          <w:tcPr>
            <w:tcW w:w="1120" w:type="dxa"/>
            <w:tcBorders>
              <w:top w:val="single" w:sz="4" w:space="0" w:color="auto"/>
              <w:left w:val="nil"/>
              <w:bottom w:val="single" w:sz="4" w:space="0" w:color="auto"/>
              <w:right w:val="double" w:sz="4" w:space="0" w:color="auto"/>
            </w:tcBorders>
            <w:shd w:val="clear" w:color="auto" w:fill="auto"/>
            <w:noWrap/>
            <w:vAlign w:val="bottom"/>
          </w:tcPr>
          <w:p w14:paraId="35B3BB49" w14:textId="77777777" w:rsidR="00AE6445" w:rsidRPr="00162EF6" w:rsidRDefault="00AE6445" w:rsidP="00AE6445">
            <w:pPr>
              <w:spacing w:before="0" w:after="0"/>
              <w:jc w:val="center"/>
              <w:rPr>
                <w:rFonts w:ascii="Arial" w:hAnsi="Arial" w:cs="Arial"/>
                <w:b/>
                <w:color w:val="000000"/>
                <w:sz w:val="20"/>
                <w:lang w:val="en-AU" w:eastAsia="en-AU"/>
              </w:rPr>
            </w:pPr>
            <w:r w:rsidRPr="00162EF6">
              <w:rPr>
                <w:rFonts w:ascii="Arial" w:hAnsi="Arial" w:cs="Arial"/>
                <w:b/>
                <w:color w:val="000000"/>
                <w:sz w:val="20"/>
                <w:lang w:val="en-AU" w:eastAsia="en-AU"/>
              </w:rPr>
              <w:t>84%</w:t>
            </w:r>
          </w:p>
        </w:tc>
      </w:tr>
      <w:tr w:rsidR="00AE6445" w:rsidRPr="003E07CA" w14:paraId="007E695E" w14:textId="77777777" w:rsidTr="003F412E">
        <w:trPr>
          <w:trHeight w:val="300"/>
          <w:jc w:val="center"/>
        </w:trPr>
        <w:tc>
          <w:tcPr>
            <w:tcW w:w="6720" w:type="dxa"/>
            <w:tcBorders>
              <w:top w:val="single" w:sz="4" w:space="0" w:color="auto"/>
              <w:left w:val="double" w:sz="4" w:space="0" w:color="auto"/>
              <w:bottom w:val="single" w:sz="4" w:space="0" w:color="auto"/>
              <w:right w:val="nil"/>
            </w:tcBorders>
            <w:shd w:val="clear" w:color="000000" w:fill="BFBFBF"/>
            <w:noWrap/>
            <w:vAlign w:val="bottom"/>
          </w:tcPr>
          <w:p w14:paraId="59F65AF5"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 </w:t>
            </w:r>
          </w:p>
        </w:tc>
        <w:tc>
          <w:tcPr>
            <w:tcW w:w="1120" w:type="dxa"/>
            <w:tcBorders>
              <w:top w:val="single" w:sz="4" w:space="0" w:color="auto"/>
              <w:left w:val="nil"/>
              <w:bottom w:val="single" w:sz="4" w:space="0" w:color="auto"/>
              <w:right w:val="double" w:sz="4" w:space="0" w:color="auto"/>
            </w:tcBorders>
            <w:shd w:val="clear" w:color="000000" w:fill="BFBFBF"/>
            <w:noWrap/>
            <w:vAlign w:val="bottom"/>
          </w:tcPr>
          <w:p w14:paraId="5B0C434B" w14:textId="77777777" w:rsidR="00AE6445" w:rsidRPr="00162EF6" w:rsidRDefault="00AE6445" w:rsidP="00AE6445">
            <w:pPr>
              <w:spacing w:before="0" w:after="0"/>
              <w:jc w:val="center"/>
              <w:rPr>
                <w:rFonts w:ascii="Arial" w:hAnsi="Arial" w:cs="Arial"/>
                <w:color w:val="000000"/>
                <w:sz w:val="20"/>
                <w:lang w:val="en-AU" w:eastAsia="en-AU"/>
              </w:rPr>
            </w:pPr>
          </w:p>
        </w:tc>
      </w:tr>
      <w:tr w:rsidR="00AE6445" w:rsidRPr="003E07CA" w14:paraId="1300E0C3" w14:textId="77777777" w:rsidTr="003F412E">
        <w:trPr>
          <w:trHeight w:val="300"/>
          <w:jc w:val="center"/>
        </w:trPr>
        <w:tc>
          <w:tcPr>
            <w:tcW w:w="672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C9CFBD1"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Total in-scope contacts</w:t>
            </w:r>
          </w:p>
        </w:tc>
        <w:tc>
          <w:tcPr>
            <w:tcW w:w="1120" w:type="dxa"/>
            <w:tcBorders>
              <w:top w:val="single" w:sz="4" w:space="0" w:color="auto"/>
              <w:left w:val="nil"/>
              <w:bottom w:val="single" w:sz="4" w:space="0" w:color="auto"/>
              <w:right w:val="double" w:sz="4" w:space="0" w:color="auto"/>
            </w:tcBorders>
            <w:shd w:val="clear" w:color="auto" w:fill="auto"/>
            <w:noWrap/>
            <w:vAlign w:val="bottom"/>
          </w:tcPr>
          <w:p w14:paraId="7D752B09"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7,147</w:t>
            </w:r>
          </w:p>
        </w:tc>
      </w:tr>
      <w:tr w:rsidR="00AE6445" w:rsidRPr="003E07CA" w14:paraId="409C14A0" w14:textId="77777777" w:rsidTr="003F412E">
        <w:trPr>
          <w:trHeight w:val="300"/>
          <w:jc w:val="center"/>
        </w:trPr>
        <w:tc>
          <w:tcPr>
            <w:tcW w:w="672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3BB44AD" w14:textId="77777777" w:rsidR="00AE6445" w:rsidRPr="00162EF6" w:rsidRDefault="00AE6445" w:rsidP="00AE6445">
            <w:pPr>
              <w:spacing w:before="0" w:after="0"/>
              <w:rPr>
                <w:rFonts w:ascii="Arial" w:hAnsi="Arial" w:cs="Arial"/>
                <w:color w:val="000000"/>
                <w:sz w:val="20"/>
                <w:lang w:val="en-AU" w:eastAsia="en-AU"/>
              </w:rPr>
            </w:pPr>
            <w:r w:rsidRPr="00162EF6">
              <w:rPr>
                <w:rFonts w:ascii="Arial" w:hAnsi="Arial" w:cs="Arial"/>
                <w:color w:val="000000"/>
                <w:sz w:val="20"/>
                <w:lang w:val="en-AU" w:eastAsia="en-AU"/>
              </w:rPr>
              <w:t>Total telephone respondents who provided consent forms</w:t>
            </w:r>
          </w:p>
        </w:tc>
        <w:tc>
          <w:tcPr>
            <w:tcW w:w="1120" w:type="dxa"/>
            <w:tcBorders>
              <w:top w:val="single" w:sz="4" w:space="0" w:color="auto"/>
              <w:left w:val="nil"/>
              <w:bottom w:val="single" w:sz="4" w:space="0" w:color="auto"/>
              <w:right w:val="double" w:sz="4" w:space="0" w:color="auto"/>
            </w:tcBorders>
            <w:shd w:val="clear" w:color="auto" w:fill="auto"/>
            <w:noWrap/>
            <w:vAlign w:val="bottom"/>
          </w:tcPr>
          <w:p w14:paraId="62465E49" w14:textId="77777777" w:rsidR="00AE6445" w:rsidRPr="00162EF6" w:rsidRDefault="00AE6445" w:rsidP="00AE6445">
            <w:pPr>
              <w:spacing w:before="0" w:after="0"/>
              <w:jc w:val="center"/>
              <w:rPr>
                <w:rFonts w:ascii="Arial" w:hAnsi="Arial" w:cs="Arial"/>
                <w:color w:val="000000"/>
                <w:sz w:val="20"/>
                <w:lang w:val="en-AU" w:eastAsia="en-AU"/>
              </w:rPr>
            </w:pPr>
            <w:r w:rsidRPr="00162EF6">
              <w:rPr>
                <w:rFonts w:ascii="Arial" w:hAnsi="Arial" w:cs="Arial"/>
                <w:color w:val="000000"/>
                <w:sz w:val="20"/>
                <w:lang w:val="en-AU" w:eastAsia="en-AU"/>
              </w:rPr>
              <w:t>1,861</w:t>
            </w:r>
          </w:p>
        </w:tc>
      </w:tr>
      <w:tr w:rsidR="00AE6445" w:rsidRPr="003E07CA" w14:paraId="151C6F8A" w14:textId="77777777" w:rsidTr="003F412E">
        <w:trPr>
          <w:trHeight w:val="300"/>
          <w:jc w:val="center"/>
        </w:trPr>
        <w:tc>
          <w:tcPr>
            <w:tcW w:w="6720" w:type="dxa"/>
            <w:tcBorders>
              <w:top w:val="single" w:sz="4" w:space="0" w:color="auto"/>
              <w:left w:val="double" w:sz="4" w:space="0" w:color="auto"/>
              <w:bottom w:val="double" w:sz="4" w:space="0" w:color="auto"/>
              <w:right w:val="single" w:sz="4" w:space="0" w:color="auto"/>
            </w:tcBorders>
            <w:shd w:val="clear" w:color="auto" w:fill="auto"/>
            <w:noWrap/>
            <w:vAlign w:val="bottom"/>
          </w:tcPr>
          <w:p w14:paraId="3ED00C80" w14:textId="77777777" w:rsidR="00AE6445" w:rsidRPr="00162EF6" w:rsidRDefault="00AE6445" w:rsidP="00AE6445">
            <w:pPr>
              <w:spacing w:before="0" w:after="0"/>
              <w:rPr>
                <w:rFonts w:ascii="Arial" w:hAnsi="Arial" w:cs="Arial"/>
                <w:b/>
                <w:color w:val="000000"/>
                <w:sz w:val="20"/>
                <w:lang w:val="en-AU" w:eastAsia="en-AU"/>
              </w:rPr>
            </w:pPr>
            <w:r w:rsidRPr="00162EF6">
              <w:rPr>
                <w:rFonts w:ascii="Arial" w:hAnsi="Arial" w:cs="Arial"/>
                <w:b/>
                <w:color w:val="000000"/>
                <w:sz w:val="20"/>
                <w:lang w:val="en-AU" w:eastAsia="en-AU"/>
              </w:rPr>
              <w:t>Response rate</w:t>
            </w:r>
          </w:p>
        </w:tc>
        <w:tc>
          <w:tcPr>
            <w:tcW w:w="1120" w:type="dxa"/>
            <w:tcBorders>
              <w:top w:val="single" w:sz="4" w:space="0" w:color="auto"/>
              <w:left w:val="nil"/>
              <w:bottom w:val="double" w:sz="4" w:space="0" w:color="auto"/>
              <w:right w:val="double" w:sz="4" w:space="0" w:color="auto"/>
            </w:tcBorders>
            <w:shd w:val="clear" w:color="auto" w:fill="auto"/>
            <w:noWrap/>
            <w:vAlign w:val="bottom"/>
          </w:tcPr>
          <w:p w14:paraId="4E7C6430" w14:textId="77777777" w:rsidR="00AE6445" w:rsidRPr="00162EF6" w:rsidRDefault="00AE6445" w:rsidP="00AE6445">
            <w:pPr>
              <w:spacing w:before="0" w:after="0"/>
              <w:jc w:val="center"/>
              <w:rPr>
                <w:rFonts w:ascii="Arial" w:hAnsi="Arial" w:cs="Arial"/>
                <w:b/>
                <w:color w:val="000000"/>
                <w:sz w:val="20"/>
                <w:lang w:val="en-AU" w:eastAsia="en-AU"/>
              </w:rPr>
            </w:pPr>
            <w:r w:rsidRPr="00162EF6">
              <w:rPr>
                <w:rFonts w:ascii="Arial" w:hAnsi="Arial" w:cs="Arial"/>
                <w:b/>
                <w:color w:val="000000"/>
                <w:sz w:val="20"/>
                <w:lang w:val="en-AU" w:eastAsia="en-AU"/>
              </w:rPr>
              <w:t>26%</w:t>
            </w:r>
          </w:p>
        </w:tc>
      </w:tr>
    </w:tbl>
    <w:p w14:paraId="7EEFBC66" w14:textId="77777777" w:rsidR="00AE6445" w:rsidRPr="00162EF6" w:rsidRDefault="00AE6445" w:rsidP="00AE6445">
      <w:pPr>
        <w:pStyle w:val="Para"/>
        <w:rPr>
          <w:lang w:val="en-AU"/>
        </w:rPr>
      </w:pPr>
    </w:p>
    <w:p w14:paraId="4E1B88E5" w14:textId="77777777" w:rsidR="00AE6445" w:rsidRPr="00162EF6" w:rsidRDefault="00AE6445" w:rsidP="00AE6445">
      <w:pPr>
        <w:pStyle w:val="Para"/>
        <w:spacing w:after="120"/>
        <w:outlineLvl w:val="0"/>
        <w:rPr>
          <w:lang w:val="en-AU"/>
        </w:rPr>
      </w:pPr>
      <w:r w:rsidRPr="00162EF6">
        <w:rPr>
          <w:lang w:val="en-AU"/>
        </w:rPr>
        <w:t xml:space="preserve"> </w:t>
      </w:r>
    </w:p>
    <w:p w14:paraId="115F8C24" w14:textId="77777777" w:rsidR="00AE6445" w:rsidRPr="00162EF6" w:rsidRDefault="00AE6445" w:rsidP="00AE6445">
      <w:pPr>
        <w:pStyle w:val="Heading2"/>
        <w:rPr>
          <w:lang w:val="en-AU"/>
        </w:rPr>
      </w:pPr>
      <w:r w:rsidRPr="00162EF6">
        <w:rPr>
          <w:lang w:val="en-AU"/>
        </w:rPr>
        <w:br w:type="page"/>
      </w:r>
      <w:bookmarkStart w:id="91" w:name="_Toc439198274"/>
      <w:bookmarkStart w:id="92" w:name="_Toc445571659"/>
      <w:r w:rsidRPr="00162EF6">
        <w:rPr>
          <w:lang w:val="en-AU"/>
        </w:rPr>
        <w:lastRenderedPageBreak/>
        <w:t>THIS REPORT</w:t>
      </w:r>
      <w:bookmarkEnd w:id="91"/>
      <w:bookmarkEnd w:id="92"/>
    </w:p>
    <w:p w14:paraId="4315D837" w14:textId="77777777" w:rsidR="00AE6445" w:rsidRPr="00162EF6" w:rsidRDefault="00AE6445" w:rsidP="00AE6445">
      <w:pPr>
        <w:pStyle w:val="Para"/>
        <w:rPr>
          <w:lang w:val="en-AU"/>
        </w:rPr>
      </w:pPr>
    </w:p>
    <w:p w14:paraId="3814881A" w14:textId="77777777" w:rsidR="003920D8" w:rsidRPr="00162EF6" w:rsidRDefault="00AE6445">
      <w:pPr>
        <w:pStyle w:val="Heading3"/>
        <w:tabs>
          <w:tab w:val="num" w:pos="851"/>
        </w:tabs>
        <w:spacing w:before="0"/>
        <w:ind w:hanging="8517"/>
        <w:rPr>
          <w:bCs/>
          <w:lang w:val="en-AU"/>
        </w:rPr>
      </w:pPr>
      <w:bookmarkStart w:id="93" w:name="_Toc439198275"/>
      <w:bookmarkStart w:id="94" w:name="_Toc445571660"/>
      <w:r w:rsidRPr="00162EF6">
        <w:rPr>
          <w:bCs/>
          <w:lang w:val="en-AU"/>
        </w:rPr>
        <w:t>Notations</w:t>
      </w:r>
      <w:bookmarkEnd w:id="93"/>
      <w:bookmarkEnd w:id="94"/>
    </w:p>
    <w:p w14:paraId="06B62A49" w14:textId="77777777" w:rsidR="00AE6445" w:rsidRPr="00162EF6" w:rsidRDefault="00AE6445" w:rsidP="00AE6445">
      <w:pPr>
        <w:pStyle w:val="Para"/>
        <w:rPr>
          <w:lang w:val="en-AU"/>
        </w:rPr>
      </w:pPr>
      <w:r w:rsidRPr="00162EF6">
        <w:rPr>
          <w:lang w:val="en-AU"/>
        </w:rPr>
        <w:t>The following notations are use</w:t>
      </w:r>
      <w:r w:rsidR="00890E32" w:rsidRPr="00162EF6">
        <w:rPr>
          <w:lang w:val="en-AU"/>
        </w:rPr>
        <w:t>d</w:t>
      </w:r>
      <w:r w:rsidRPr="00162EF6">
        <w:rPr>
          <w:lang w:val="en-AU"/>
        </w:rPr>
        <w:t xml:space="preserve"> throughout this report:</w:t>
      </w:r>
    </w:p>
    <w:p w14:paraId="1580E805" w14:textId="77777777" w:rsidR="00AE6445" w:rsidRPr="00162EF6" w:rsidRDefault="00AE6445" w:rsidP="00AE6445">
      <w:pPr>
        <w:pStyle w:val="Para"/>
        <w:tabs>
          <w:tab w:val="left" w:pos="567"/>
        </w:tabs>
        <w:spacing w:before="120" w:after="120"/>
        <w:ind w:left="567"/>
        <w:rPr>
          <w:lang w:val="en-AU"/>
        </w:rPr>
      </w:pPr>
      <w:r w:rsidRPr="00162EF6">
        <w:rPr>
          <w:lang w:val="en-AU"/>
        </w:rPr>
        <w:t>*</w:t>
      </w:r>
      <w:r w:rsidRPr="00162EF6">
        <w:rPr>
          <w:lang w:val="en-AU"/>
        </w:rPr>
        <w:tab/>
      </w:r>
      <w:r w:rsidRPr="00162EF6">
        <w:rPr>
          <w:lang w:val="en-AU"/>
        </w:rPr>
        <w:tab/>
        <w:t>Less than 0.5% response.</w:t>
      </w:r>
    </w:p>
    <w:p w14:paraId="0D51D5D2" w14:textId="77777777" w:rsidR="00AE6445" w:rsidRPr="00162EF6" w:rsidRDefault="00AE6445" w:rsidP="00AE6445">
      <w:pPr>
        <w:pStyle w:val="Para"/>
        <w:tabs>
          <w:tab w:val="left" w:pos="567"/>
        </w:tabs>
        <w:spacing w:before="120" w:after="120"/>
        <w:ind w:left="567"/>
        <w:rPr>
          <w:lang w:val="en-AU"/>
        </w:rPr>
      </w:pPr>
      <w:r w:rsidRPr="00162EF6">
        <w:rPr>
          <w:lang w:val="en-AU"/>
        </w:rPr>
        <w:t>n/a</w:t>
      </w:r>
      <w:r w:rsidRPr="00162EF6">
        <w:rPr>
          <w:lang w:val="en-AU"/>
        </w:rPr>
        <w:tab/>
        <w:t>not applicable.</w:t>
      </w:r>
    </w:p>
    <w:p w14:paraId="17849024" w14:textId="77777777" w:rsidR="00AE6445" w:rsidRPr="00162EF6" w:rsidRDefault="00AE6445" w:rsidP="00AE6445">
      <w:pPr>
        <w:pStyle w:val="Para"/>
        <w:tabs>
          <w:tab w:val="left" w:pos="567"/>
        </w:tabs>
        <w:spacing w:before="120" w:after="120"/>
        <w:rPr>
          <w:lang w:val="en-AU"/>
        </w:rPr>
      </w:pPr>
      <w:r w:rsidRPr="00162EF6">
        <w:rPr>
          <w:lang w:val="en-AU"/>
        </w:rPr>
        <w:tab/>
        <w:t>n/c</w:t>
      </w:r>
      <w:r w:rsidRPr="00162EF6">
        <w:rPr>
          <w:lang w:val="en-AU"/>
        </w:rPr>
        <w:tab/>
        <w:t>not collected for this survey.</w:t>
      </w:r>
    </w:p>
    <w:p w14:paraId="539A670E" w14:textId="77777777" w:rsidR="00AE6445" w:rsidRPr="00162EF6" w:rsidRDefault="00AE6445" w:rsidP="00AE6445">
      <w:pPr>
        <w:pStyle w:val="Para"/>
        <w:tabs>
          <w:tab w:val="left" w:pos="567"/>
        </w:tabs>
        <w:spacing w:before="120" w:after="120"/>
        <w:rPr>
          <w:lang w:val="en-AU"/>
        </w:rPr>
      </w:pPr>
      <w:r w:rsidRPr="00162EF6">
        <w:rPr>
          <w:lang w:val="en-AU"/>
        </w:rPr>
        <w:tab/>
        <w:t>-</w:t>
      </w:r>
      <w:r w:rsidRPr="00162EF6">
        <w:rPr>
          <w:lang w:val="en-AU"/>
        </w:rPr>
        <w:tab/>
      </w:r>
      <w:r w:rsidRPr="00162EF6">
        <w:rPr>
          <w:lang w:val="en-AU"/>
        </w:rPr>
        <w:tab/>
        <w:t>null or zero.</w:t>
      </w:r>
    </w:p>
    <w:p w14:paraId="657063D8" w14:textId="77777777" w:rsidR="00AE6445" w:rsidRPr="00162EF6" w:rsidRDefault="00AE6445" w:rsidP="00AE6445">
      <w:pPr>
        <w:pStyle w:val="Para"/>
        <w:tabs>
          <w:tab w:val="left" w:pos="567"/>
        </w:tabs>
        <w:spacing w:before="240" w:after="120"/>
        <w:rPr>
          <w:lang w:val="en-AU"/>
        </w:rPr>
      </w:pPr>
    </w:p>
    <w:p w14:paraId="23B3348E" w14:textId="77777777" w:rsidR="003920D8" w:rsidRPr="00162EF6" w:rsidRDefault="00AE6445">
      <w:pPr>
        <w:pStyle w:val="Heading3"/>
        <w:tabs>
          <w:tab w:val="num" w:pos="851"/>
        </w:tabs>
        <w:spacing w:before="0"/>
        <w:ind w:hanging="8517"/>
        <w:rPr>
          <w:bCs/>
          <w:lang w:val="en-AU"/>
        </w:rPr>
      </w:pPr>
      <w:bookmarkStart w:id="95" w:name="_Toc439198276"/>
      <w:bookmarkStart w:id="96" w:name="_Toc445571661"/>
      <w:r w:rsidRPr="00162EF6">
        <w:rPr>
          <w:bCs/>
          <w:lang w:val="en-AU"/>
        </w:rPr>
        <w:t>Comparisons with past reports</w:t>
      </w:r>
      <w:bookmarkEnd w:id="95"/>
      <w:bookmarkEnd w:id="96"/>
    </w:p>
    <w:p w14:paraId="2CF3F252" w14:textId="77777777" w:rsidR="00AE6445" w:rsidRPr="00162EF6" w:rsidRDefault="00AE6445" w:rsidP="00AE6445">
      <w:pPr>
        <w:pStyle w:val="Para"/>
        <w:rPr>
          <w:lang w:val="en-AU"/>
        </w:rPr>
      </w:pPr>
      <w:r w:rsidRPr="00162EF6">
        <w:rPr>
          <w:lang w:val="en-AU"/>
        </w:rPr>
        <w:t>Throughout this report, where possible, results obtained are compared with those from 2007.  Tables also include data for 2001 and 1996.  Certain caveats need to be made with regard to these inter-survey comparisons.</w:t>
      </w:r>
    </w:p>
    <w:p w14:paraId="25A3F940" w14:textId="77777777" w:rsidR="00AE6445" w:rsidRPr="00162EF6" w:rsidRDefault="00AE6445" w:rsidP="00AE6445">
      <w:pPr>
        <w:pStyle w:val="Para"/>
        <w:rPr>
          <w:lang w:val="en-AU"/>
        </w:rPr>
      </w:pPr>
    </w:p>
    <w:p w14:paraId="1E9DCE57" w14:textId="77777777" w:rsidR="00AE6445" w:rsidRPr="00162EF6" w:rsidRDefault="00AE6445" w:rsidP="00162EF6">
      <w:pPr>
        <w:pStyle w:val="Para"/>
        <w:numPr>
          <w:ilvl w:val="0"/>
          <w:numId w:val="37"/>
        </w:numPr>
        <w:rPr>
          <w:lang w:val="en-AU"/>
        </w:rPr>
      </w:pPr>
      <w:r w:rsidRPr="00162EF6">
        <w:rPr>
          <w:lang w:val="en-AU"/>
        </w:rPr>
        <w:t>Due to the format in which the 1996 data was provided, the relative lack of information on how the 1996 sample was selected, modifications to question wording and response categories, plus 1996’s weighting restrictions, results obtained in 1996 may not be strictly comparable with later surveys.</w:t>
      </w:r>
    </w:p>
    <w:p w14:paraId="27019B07" w14:textId="77777777" w:rsidR="00AE6445" w:rsidRPr="00162EF6" w:rsidRDefault="00AE6445" w:rsidP="00AE6445">
      <w:pPr>
        <w:pStyle w:val="Para"/>
        <w:rPr>
          <w:lang w:val="en-AU"/>
        </w:rPr>
      </w:pPr>
    </w:p>
    <w:p w14:paraId="03A51099" w14:textId="77777777" w:rsidR="00AE6445" w:rsidRPr="00162EF6" w:rsidRDefault="00AE6445" w:rsidP="00162EF6">
      <w:pPr>
        <w:pStyle w:val="Para"/>
        <w:numPr>
          <w:ilvl w:val="0"/>
          <w:numId w:val="37"/>
        </w:numPr>
        <w:rPr>
          <w:lang w:val="en-AU"/>
        </w:rPr>
      </w:pPr>
      <w:r w:rsidRPr="00162EF6">
        <w:rPr>
          <w:lang w:val="en-AU"/>
        </w:rPr>
        <w:t>Consumption and billing data in 2001 was edited heavily due to the poor format and quality of data provided by suppliers, and may as a result be less reliable than in other surveys.</w:t>
      </w:r>
    </w:p>
    <w:p w14:paraId="6E7A61C5" w14:textId="77777777" w:rsidR="00AE6445" w:rsidRPr="00162EF6" w:rsidRDefault="00AE6445" w:rsidP="00AE6445">
      <w:pPr>
        <w:pStyle w:val="Para"/>
        <w:rPr>
          <w:lang w:val="en-AU"/>
        </w:rPr>
      </w:pPr>
    </w:p>
    <w:p w14:paraId="6805B880" w14:textId="77777777" w:rsidR="00AE6445" w:rsidRPr="00162EF6" w:rsidRDefault="00AE6445" w:rsidP="00162EF6">
      <w:pPr>
        <w:pStyle w:val="Para"/>
        <w:numPr>
          <w:ilvl w:val="0"/>
          <w:numId w:val="37"/>
        </w:numPr>
        <w:rPr>
          <w:lang w:val="en-AU"/>
        </w:rPr>
      </w:pPr>
      <w:r w:rsidRPr="00162EF6">
        <w:rPr>
          <w:lang w:val="en-AU"/>
        </w:rPr>
        <w:lastRenderedPageBreak/>
        <w:t>The 2014 survey, as noted, did not cover many of the topics that had been included in previous waves.  While the obvious result of this is that certain comparisons are not available, a less obvious result is that imputation of billing and consumption data was able to rely much less on information already known about households from the survey, and therefore may not be quite as thorough as imputation in previous surveys.</w:t>
      </w:r>
    </w:p>
    <w:p w14:paraId="3E84031B" w14:textId="77777777" w:rsidR="00AE6445" w:rsidRPr="00162EF6" w:rsidRDefault="00AE6445" w:rsidP="00AE6445">
      <w:pPr>
        <w:pStyle w:val="Para"/>
        <w:rPr>
          <w:lang w:val="en-AU"/>
        </w:rPr>
      </w:pPr>
    </w:p>
    <w:p w14:paraId="6977FF45" w14:textId="77777777" w:rsidR="00AE6445" w:rsidRPr="00162EF6" w:rsidRDefault="00AE6445" w:rsidP="00162EF6">
      <w:pPr>
        <w:pStyle w:val="Para"/>
        <w:numPr>
          <w:ilvl w:val="0"/>
          <w:numId w:val="37"/>
        </w:numPr>
        <w:rPr>
          <w:szCs w:val="24"/>
          <w:lang w:val="en-AU"/>
        </w:rPr>
      </w:pPr>
      <w:r w:rsidRPr="00162EF6">
        <w:rPr>
          <w:szCs w:val="24"/>
          <w:lang w:val="en-AU"/>
        </w:rPr>
        <w:t>The geographic scope of past surveys has been limited to the Melbourne metropolitan area and to a small number of major regional cities.  For this survey, however, almost all of Victoria was covered.  This clearly improves the confidence with which the results can be generalised to the whole population of Victoria – particularly in relation to country Victoria – but means that most comparisons with past surveys’ results need to be conducted with care.</w:t>
      </w:r>
    </w:p>
    <w:p w14:paraId="3B88D973" w14:textId="77777777" w:rsidR="00AE6445" w:rsidRPr="00162EF6" w:rsidRDefault="00AE6445" w:rsidP="00AE6445">
      <w:pPr>
        <w:pStyle w:val="Para"/>
        <w:rPr>
          <w:szCs w:val="24"/>
          <w:lang w:val="en-AU"/>
        </w:rPr>
      </w:pPr>
    </w:p>
    <w:p w14:paraId="0C0AF363" w14:textId="480EFF28" w:rsidR="00AE6445" w:rsidRDefault="00AE6445" w:rsidP="00162EF6">
      <w:pPr>
        <w:pStyle w:val="Para"/>
        <w:numPr>
          <w:ilvl w:val="0"/>
          <w:numId w:val="37"/>
        </w:numPr>
      </w:pPr>
      <w:r w:rsidRPr="00162EF6">
        <w:t xml:space="preserve">Inter-survey comparison of data for LPG households should be conducted with care.  In previous surveys a small component of the sample was defined as “LPG area”, which was geographically defined based on limited available information, and was thus geographically distinct from the Melbourne and Country VIC strata in those past surveys.  In 2014, no specific “LPG area” has been defined: rather households that </w:t>
      </w:r>
      <w:r w:rsidR="001D5691" w:rsidRPr="00162EF6">
        <w:t xml:space="preserve">both </w:t>
      </w:r>
      <w:r w:rsidRPr="00162EF6">
        <w:t xml:space="preserve">reported in the telephone interview that they use LPG for heating/cooking/hot water </w:t>
      </w:r>
      <w:r w:rsidR="00E9345F" w:rsidRPr="00162EF6">
        <w:t xml:space="preserve">and did not provide a consent form for a gas supplier </w:t>
      </w:r>
      <w:r w:rsidRPr="00162EF6">
        <w:t>have been defined as “LPG households” but are not a separate stratum for sampling purposes.  This change in approach should allow for a much more representative sample of LPG households</w:t>
      </w:r>
      <w:r w:rsidR="00041263">
        <w:rPr>
          <w:rStyle w:val="FootnoteReference"/>
        </w:rPr>
        <w:footnoteReference w:id="2"/>
      </w:r>
      <w:r w:rsidRPr="00162EF6">
        <w:t xml:space="preserve">.  </w:t>
      </w:r>
    </w:p>
    <w:p w14:paraId="68263EFF" w14:textId="77777777" w:rsidR="00E62702" w:rsidRDefault="00E62702" w:rsidP="00E62702">
      <w:pPr>
        <w:pStyle w:val="ListParagraph"/>
      </w:pPr>
    </w:p>
    <w:p w14:paraId="515AB96C" w14:textId="77777777" w:rsidR="00E62702" w:rsidRDefault="00E62702" w:rsidP="00E62702">
      <w:pPr>
        <w:pStyle w:val="Para"/>
        <w:rPr>
          <w:szCs w:val="24"/>
          <w:lang w:val="en-AU"/>
        </w:rPr>
      </w:pPr>
    </w:p>
    <w:p w14:paraId="20883C21" w14:textId="77777777" w:rsidR="00E62702" w:rsidRDefault="00E62702" w:rsidP="00E62702">
      <w:pPr>
        <w:pStyle w:val="Para"/>
        <w:rPr>
          <w:szCs w:val="24"/>
          <w:lang w:val="en-AU"/>
        </w:rPr>
      </w:pPr>
    </w:p>
    <w:p w14:paraId="4F180936" w14:textId="257773F0" w:rsidR="00E62702" w:rsidRDefault="00E62702" w:rsidP="00E62702">
      <w:pPr>
        <w:pStyle w:val="Para"/>
      </w:pPr>
      <w:r>
        <w:rPr>
          <w:szCs w:val="24"/>
          <w:lang w:val="en-AU"/>
        </w:rPr>
        <w:t xml:space="preserve">Note: </w:t>
      </w:r>
      <w:r w:rsidRPr="001D042C">
        <w:rPr>
          <w:szCs w:val="24"/>
          <w:lang w:val="en-AU"/>
        </w:rPr>
        <w:t xml:space="preserve">Copies of </w:t>
      </w:r>
      <w:r>
        <w:rPr>
          <w:szCs w:val="24"/>
          <w:lang w:val="en-AU"/>
        </w:rPr>
        <w:t xml:space="preserve">questionnaires, consent forms, other </w:t>
      </w:r>
      <w:r w:rsidRPr="001D042C">
        <w:rPr>
          <w:szCs w:val="24"/>
          <w:lang w:val="en-AU"/>
        </w:rPr>
        <w:t>materials mailed out</w:t>
      </w:r>
      <w:r>
        <w:rPr>
          <w:szCs w:val="24"/>
          <w:lang w:val="en-AU"/>
        </w:rPr>
        <w:t xml:space="preserve">, and other related documents </w:t>
      </w:r>
      <w:r w:rsidRPr="001D042C">
        <w:rPr>
          <w:szCs w:val="24"/>
          <w:lang w:val="en-AU"/>
        </w:rPr>
        <w:t xml:space="preserve">are included in the </w:t>
      </w:r>
      <w:r>
        <w:rPr>
          <w:szCs w:val="24"/>
          <w:lang w:val="en-AU"/>
        </w:rPr>
        <w:t xml:space="preserve">Appendices, which are provided separately </w:t>
      </w:r>
      <w:r w:rsidRPr="001D042C">
        <w:rPr>
          <w:szCs w:val="24"/>
          <w:lang w:val="en-AU"/>
        </w:rPr>
        <w:t>to this report</w:t>
      </w:r>
      <w:r>
        <w:rPr>
          <w:szCs w:val="24"/>
          <w:lang w:val="en-AU"/>
        </w:rPr>
        <w:t>.</w:t>
      </w:r>
    </w:p>
    <w:p w14:paraId="1B27D1F1" w14:textId="77777777" w:rsidR="00AE6445" w:rsidRPr="005D1598" w:rsidRDefault="00AE6445" w:rsidP="00AE6445">
      <w:pPr>
        <w:pStyle w:val="Para"/>
      </w:pPr>
      <w:r>
        <w:br w:type="page"/>
      </w:r>
    </w:p>
    <w:p w14:paraId="61ADCE22" w14:textId="77777777" w:rsidR="00731A9E" w:rsidRPr="00212261" w:rsidRDefault="00731A9E" w:rsidP="00731A9E">
      <w:pPr>
        <w:spacing w:before="0" w:after="0" w:line="20" w:lineRule="exact"/>
        <w:rPr>
          <w:lang w:val="en-AU"/>
        </w:rPr>
      </w:pPr>
    </w:p>
    <w:p w14:paraId="63C9E868" w14:textId="77777777" w:rsidR="00E02C75" w:rsidRPr="00DA3B75" w:rsidRDefault="00E02C75" w:rsidP="00731A9E">
      <w:pPr>
        <w:pStyle w:val="Heading1"/>
        <w:spacing w:before="0"/>
        <w:ind w:left="431" w:hanging="431"/>
        <w:rPr>
          <w:lang w:val="en-AU"/>
        </w:rPr>
      </w:pPr>
      <w:bookmarkStart w:id="97" w:name="_Toc439198277"/>
      <w:bookmarkStart w:id="98" w:name="_Toc445571662"/>
      <w:r w:rsidRPr="00DA3B75">
        <w:rPr>
          <w:lang w:val="en-AU"/>
        </w:rPr>
        <w:t>SAMPLE CHARACTERISTICS</w:t>
      </w:r>
      <w:bookmarkEnd w:id="97"/>
      <w:bookmarkEnd w:id="98"/>
    </w:p>
    <w:p w14:paraId="53E5D9DD" w14:textId="77777777" w:rsidR="00BC3781" w:rsidRPr="00DA3B75" w:rsidRDefault="00BC3781" w:rsidP="00542EAF">
      <w:pPr>
        <w:pStyle w:val="Para"/>
        <w:rPr>
          <w:lang w:val="en-AU"/>
        </w:rPr>
      </w:pPr>
      <w:r w:rsidRPr="00DA3B75">
        <w:rPr>
          <w:lang w:val="en-AU"/>
        </w:rPr>
        <w:t xml:space="preserve">This section </w:t>
      </w:r>
      <w:r w:rsidR="003B0A7F" w:rsidRPr="00DA3B75">
        <w:rPr>
          <w:lang w:val="en-AU"/>
        </w:rPr>
        <w:t xml:space="preserve">describes the characteristics of the sample of respondents included in the data for the 2014 survey.  For most purposes, the sample being described is the sample of 1,861 households that both completed the telephone survey and provided at least one completed consent form.  </w:t>
      </w:r>
      <w:r w:rsidR="00E35D19" w:rsidRPr="00DA3B75">
        <w:rPr>
          <w:lang w:val="en-AU"/>
        </w:rPr>
        <w:t xml:space="preserve">The initial </w:t>
      </w:r>
      <w:r w:rsidR="003B0A7F" w:rsidRPr="00DA3B75">
        <w:rPr>
          <w:lang w:val="en-AU"/>
        </w:rPr>
        <w:t>descriptions are based on unweighted data</w:t>
      </w:r>
      <w:r w:rsidR="00E35D19" w:rsidRPr="00DA3B75">
        <w:rPr>
          <w:lang w:val="en-AU"/>
        </w:rPr>
        <w:t xml:space="preserve">, while most of the </w:t>
      </w:r>
      <w:r w:rsidR="003A358D" w:rsidRPr="00DA3B75">
        <w:rPr>
          <w:lang w:val="en-AU"/>
        </w:rPr>
        <w:t xml:space="preserve">remaining </w:t>
      </w:r>
      <w:r w:rsidR="00E35D19" w:rsidRPr="00DA3B75">
        <w:rPr>
          <w:lang w:val="en-AU"/>
        </w:rPr>
        <w:t>descriptions are based on</w:t>
      </w:r>
      <w:r w:rsidR="003B0A7F" w:rsidRPr="00DA3B75">
        <w:rPr>
          <w:lang w:val="en-AU"/>
        </w:rPr>
        <w:t xml:space="preserve"> weighted </w:t>
      </w:r>
      <w:r w:rsidRPr="00DA3B75">
        <w:rPr>
          <w:lang w:val="en-AU"/>
        </w:rPr>
        <w:t>survey data</w:t>
      </w:r>
      <w:r w:rsidR="003B0A7F" w:rsidRPr="00DA3B75">
        <w:rPr>
          <w:lang w:val="en-AU"/>
        </w:rPr>
        <w:t xml:space="preserve">, </w:t>
      </w:r>
      <w:r w:rsidR="00E35D19" w:rsidRPr="00DA3B75">
        <w:rPr>
          <w:lang w:val="en-AU"/>
        </w:rPr>
        <w:t>in line with past reports</w:t>
      </w:r>
      <w:r w:rsidRPr="00DA3B75">
        <w:rPr>
          <w:lang w:val="en-AU"/>
        </w:rPr>
        <w:t>.</w:t>
      </w:r>
    </w:p>
    <w:p w14:paraId="33E3C555" w14:textId="77777777" w:rsidR="003B0A7F" w:rsidRPr="00DA3B75" w:rsidRDefault="003B0A7F" w:rsidP="00542EAF">
      <w:pPr>
        <w:pStyle w:val="Para"/>
        <w:rPr>
          <w:lang w:val="en-AU"/>
        </w:rPr>
      </w:pPr>
    </w:p>
    <w:p w14:paraId="441623BF" w14:textId="77777777" w:rsidR="00E02C75" w:rsidRPr="00DA3B75" w:rsidRDefault="00E02C75" w:rsidP="00542EAF">
      <w:pPr>
        <w:pStyle w:val="Heading2"/>
        <w:spacing w:before="120"/>
        <w:ind w:left="578" w:hanging="578"/>
        <w:rPr>
          <w:lang w:val="en-AU"/>
        </w:rPr>
      </w:pPr>
      <w:bookmarkStart w:id="99" w:name="_Toc439198278"/>
      <w:bookmarkStart w:id="100" w:name="_Toc445571663"/>
      <w:r w:rsidRPr="00DA3B75">
        <w:rPr>
          <w:lang w:val="en-AU"/>
        </w:rPr>
        <w:t>SAMPLE OVERVIEW</w:t>
      </w:r>
      <w:bookmarkEnd w:id="99"/>
      <w:bookmarkEnd w:id="100"/>
    </w:p>
    <w:p w14:paraId="2066365F" w14:textId="77777777" w:rsidR="00E02C75" w:rsidRPr="00DA3B75" w:rsidRDefault="00E02C75" w:rsidP="00731A9E">
      <w:pPr>
        <w:pStyle w:val="Para"/>
        <w:spacing w:line="240" w:lineRule="exact"/>
        <w:rPr>
          <w:lang w:val="en-AU"/>
        </w:rPr>
      </w:pPr>
    </w:p>
    <w:p w14:paraId="0C40A824" w14:textId="77777777" w:rsidR="00E02C75" w:rsidRPr="00DA3B75" w:rsidRDefault="00E02C75" w:rsidP="00E02C75">
      <w:pPr>
        <w:pStyle w:val="Para"/>
        <w:rPr>
          <w:lang w:val="en-AU"/>
        </w:rPr>
      </w:pPr>
      <w:r w:rsidRPr="00DA3B75">
        <w:rPr>
          <w:lang w:val="en-AU"/>
        </w:rPr>
        <w:t xml:space="preserve">As described previously, the </w:t>
      </w:r>
      <w:r w:rsidR="003B0A7F" w:rsidRPr="00DA3B75">
        <w:rPr>
          <w:lang w:val="en-AU"/>
        </w:rPr>
        <w:t xml:space="preserve">initial </w:t>
      </w:r>
      <w:r w:rsidRPr="00DA3B75">
        <w:rPr>
          <w:lang w:val="en-AU"/>
        </w:rPr>
        <w:t xml:space="preserve">sample </w:t>
      </w:r>
      <w:r w:rsidR="003B0A7F" w:rsidRPr="00DA3B75">
        <w:rPr>
          <w:lang w:val="en-AU"/>
        </w:rPr>
        <w:t xml:space="preserve">drawn </w:t>
      </w:r>
      <w:r w:rsidRPr="00DA3B75">
        <w:rPr>
          <w:lang w:val="en-AU"/>
        </w:rPr>
        <w:t>was stratified according to concession</w:t>
      </w:r>
      <w:r w:rsidR="003B0A7F" w:rsidRPr="00DA3B75">
        <w:rPr>
          <w:lang w:val="en-AU"/>
        </w:rPr>
        <w:t xml:space="preserve"> status</w:t>
      </w:r>
      <w:r w:rsidRPr="00DA3B75">
        <w:rPr>
          <w:lang w:val="en-AU"/>
        </w:rPr>
        <w:t xml:space="preserve"> held, size of household, and </w:t>
      </w:r>
      <w:r w:rsidR="003B0A7F" w:rsidRPr="00DA3B75">
        <w:rPr>
          <w:lang w:val="en-AU"/>
        </w:rPr>
        <w:t>region</w:t>
      </w:r>
      <w:r w:rsidRPr="00DA3B75">
        <w:rPr>
          <w:lang w:val="en-AU"/>
        </w:rPr>
        <w:t xml:space="preserve">.  </w:t>
      </w:r>
      <w:r w:rsidR="007C0620" w:rsidRPr="00DA3B75">
        <w:rPr>
          <w:lang w:val="en-AU"/>
        </w:rPr>
        <w:t>As expected,</w:t>
      </w:r>
      <w:r w:rsidR="003B0A7F" w:rsidRPr="00DA3B75">
        <w:rPr>
          <w:lang w:val="en-AU"/>
        </w:rPr>
        <w:t xml:space="preserve"> due to different response rates and different </w:t>
      </w:r>
      <w:r w:rsidR="00EC7424" w:rsidRPr="00DA3B75">
        <w:rPr>
          <w:lang w:val="en-AU"/>
        </w:rPr>
        <w:t xml:space="preserve">rates of return of consent forms, the final sample achieved differed in some respects from the initial stratification. </w:t>
      </w:r>
      <w:r w:rsidRPr="00DA3B75">
        <w:rPr>
          <w:lang w:val="en-AU"/>
        </w:rPr>
        <w:t xml:space="preserve"> Table 3.1 </w:t>
      </w:r>
      <w:r w:rsidR="002F3957" w:rsidRPr="00DA3B75">
        <w:rPr>
          <w:lang w:val="en-AU"/>
        </w:rPr>
        <w:t xml:space="preserve">overleaf </w:t>
      </w:r>
      <w:r w:rsidRPr="00DA3B75">
        <w:rPr>
          <w:lang w:val="en-AU"/>
        </w:rPr>
        <w:t>compares the 20</w:t>
      </w:r>
      <w:r w:rsidR="00615BF5" w:rsidRPr="00DA3B75">
        <w:rPr>
          <w:lang w:val="en-AU"/>
        </w:rPr>
        <w:t>14</w:t>
      </w:r>
      <w:r w:rsidRPr="00DA3B75">
        <w:rPr>
          <w:lang w:val="en-AU"/>
        </w:rPr>
        <w:t xml:space="preserve"> sample with those from the </w:t>
      </w:r>
      <w:r w:rsidR="00615BF5" w:rsidRPr="00DA3B75">
        <w:rPr>
          <w:lang w:val="en-AU"/>
        </w:rPr>
        <w:t xml:space="preserve">2007, </w:t>
      </w:r>
      <w:r w:rsidRPr="00DA3B75">
        <w:rPr>
          <w:lang w:val="en-AU"/>
        </w:rPr>
        <w:t>2001 and 1996 surveys</w:t>
      </w:r>
      <w:r w:rsidR="00526318" w:rsidRPr="00DA3B75">
        <w:rPr>
          <w:lang w:val="en-AU"/>
        </w:rPr>
        <w:t xml:space="preserve"> (to the extent possible)</w:t>
      </w:r>
      <w:r w:rsidRPr="00DA3B75">
        <w:rPr>
          <w:lang w:val="en-AU"/>
        </w:rPr>
        <w:t xml:space="preserve">, providing a detailed </w:t>
      </w:r>
      <w:r w:rsidRPr="00DA3B75">
        <w:rPr>
          <w:i/>
          <w:lang w:val="en-AU"/>
        </w:rPr>
        <w:t>unweighted</w:t>
      </w:r>
      <w:r w:rsidRPr="00DA3B75">
        <w:rPr>
          <w:lang w:val="en-AU"/>
        </w:rPr>
        <w:t xml:space="preserve"> breakdown of the number of respondents in each location according to type of concession held.  </w:t>
      </w:r>
    </w:p>
    <w:p w14:paraId="277F2773" w14:textId="77777777" w:rsidR="007C0620" w:rsidRPr="00DA3B75" w:rsidRDefault="007C0620" w:rsidP="00E02C75">
      <w:pPr>
        <w:pStyle w:val="Para"/>
        <w:rPr>
          <w:lang w:val="en-AU"/>
        </w:rPr>
      </w:pPr>
    </w:p>
    <w:p w14:paraId="54192D5C" w14:textId="77777777" w:rsidR="007C0620" w:rsidRPr="00DA3B75" w:rsidRDefault="007C0620" w:rsidP="00E02C75">
      <w:pPr>
        <w:pStyle w:val="Para"/>
        <w:rPr>
          <w:lang w:val="en-AU"/>
        </w:rPr>
      </w:pPr>
      <w:r w:rsidRPr="00DA3B75">
        <w:rPr>
          <w:lang w:val="en-AU"/>
        </w:rPr>
        <w:t>As detailed earlier, there are a number of aspects in which the 2014 sample design differs significantly from previous waves, including:</w:t>
      </w:r>
    </w:p>
    <w:p w14:paraId="64EE004E" w14:textId="77777777" w:rsidR="007C0620" w:rsidRPr="00DA3B75" w:rsidRDefault="007C0620" w:rsidP="007C0620">
      <w:pPr>
        <w:pStyle w:val="Para"/>
        <w:numPr>
          <w:ilvl w:val="0"/>
          <w:numId w:val="22"/>
        </w:numPr>
        <w:rPr>
          <w:lang w:val="en-AU"/>
        </w:rPr>
      </w:pPr>
      <w:r w:rsidRPr="00DA3B75">
        <w:rPr>
          <w:lang w:val="en-AU"/>
        </w:rPr>
        <w:t xml:space="preserve">The Country Victoria sample covers nearly all of country </w:t>
      </w:r>
      <w:smartTag w:uri="urn:schemas-microsoft-com:office:smarttags" w:element="State">
        <w:smartTag w:uri="urn:schemas-microsoft-com:office:smarttags" w:element="place">
          <w:r w:rsidRPr="00DA3B75">
            <w:rPr>
              <w:lang w:val="en-AU"/>
            </w:rPr>
            <w:t>Victoria</w:t>
          </w:r>
        </w:smartTag>
      </w:smartTag>
      <w:r w:rsidRPr="00DA3B75">
        <w:rPr>
          <w:lang w:val="en-AU"/>
        </w:rPr>
        <w:t>, rather than just four regional centres as in past waves;</w:t>
      </w:r>
    </w:p>
    <w:p w14:paraId="198EA108" w14:textId="5228812E" w:rsidR="007C0620" w:rsidRPr="00DA3B75" w:rsidRDefault="007C0620" w:rsidP="007C0620">
      <w:pPr>
        <w:pStyle w:val="Para"/>
        <w:numPr>
          <w:ilvl w:val="0"/>
          <w:numId w:val="22"/>
        </w:numPr>
        <w:rPr>
          <w:lang w:val="en-AU"/>
        </w:rPr>
      </w:pPr>
      <w:r w:rsidRPr="00DA3B75">
        <w:rPr>
          <w:lang w:val="en-AU"/>
        </w:rPr>
        <w:t xml:space="preserve">The LPG sample is simply a subset of the overall sample, </w:t>
      </w:r>
      <w:r w:rsidR="00296570">
        <w:rPr>
          <w:lang w:val="en-AU"/>
        </w:rPr>
        <w:t>(</w:t>
      </w:r>
      <w:r w:rsidRPr="00DA3B75">
        <w:rPr>
          <w:lang w:val="en-AU"/>
        </w:rPr>
        <w:t>defined by respondents’ answers on the LPG questions</w:t>
      </w:r>
      <w:r w:rsidR="00296570">
        <w:rPr>
          <w:lang w:val="en-AU"/>
        </w:rPr>
        <w:t xml:space="preserve"> and the absence of a mains gas consent form)</w:t>
      </w:r>
      <w:r w:rsidRPr="00DA3B75">
        <w:rPr>
          <w:lang w:val="en-AU"/>
        </w:rPr>
        <w:t>, rather than a separate geographic stratum.</w:t>
      </w:r>
    </w:p>
    <w:p w14:paraId="0FC46A94" w14:textId="77777777" w:rsidR="00E02C75" w:rsidRPr="00DA3B75" w:rsidRDefault="00E02C75" w:rsidP="00731A9E">
      <w:pPr>
        <w:pStyle w:val="Para"/>
        <w:spacing w:line="240" w:lineRule="exact"/>
        <w:rPr>
          <w:lang w:val="en-AU"/>
        </w:rPr>
      </w:pPr>
    </w:p>
    <w:p w14:paraId="7D396BDB" w14:textId="77777777" w:rsidR="00E02C75" w:rsidRPr="00DA3B75" w:rsidRDefault="002F3957" w:rsidP="003F412E">
      <w:pPr>
        <w:pStyle w:val="NormalIndent"/>
        <w:ind w:hanging="436"/>
        <w:jc w:val="center"/>
        <w:outlineLvl w:val="0"/>
        <w:rPr>
          <w:b/>
          <w:u w:val="single"/>
          <w:lang w:val="en-AU"/>
        </w:rPr>
      </w:pPr>
      <w:bookmarkStart w:id="101" w:name="_Ref523039752"/>
      <w:r w:rsidRPr="00DA3B75">
        <w:rPr>
          <w:lang w:val="en-AU"/>
        </w:rPr>
        <w:br w:type="page"/>
      </w:r>
      <w:r w:rsidR="00E02C75" w:rsidRPr="00DA3B75">
        <w:rPr>
          <w:b/>
          <w:lang w:val="en-AU"/>
        </w:rPr>
        <w:lastRenderedPageBreak/>
        <w:t>Table 3.1</w:t>
      </w:r>
      <w:bookmarkEnd w:id="101"/>
      <w:r w:rsidR="00E02C75" w:rsidRPr="00DA3B75">
        <w:rPr>
          <w:b/>
          <w:lang w:val="en-AU"/>
        </w:rPr>
        <w:t xml:space="preserve">: </w:t>
      </w:r>
      <w:r w:rsidR="00E02C75" w:rsidRPr="00DA3B75">
        <w:rPr>
          <w:b/>
          <w:u w:val="single"/>
          <w:lang w:val="en-AU"/>
        </w:rPr>
        <w:t>Structure of the 20</w:t>
      </w:r>
      <w:r w:rsidR="00BD5E8C" w:rsidRPr="00DA3B75">
        <w:rPr>
          <w:b/>
          <w:u w:val="single"/>
          <w:lang w:val="en-AU"/>
        </w:rPr>
        <w:t>14</w:t>
      </w:r>
      <w:r w:rsidR="00E02C75" w:rsidRPr="00DA3B75">
        <w:rPr>
          <w:b/>
          <w:u w:val="single"/>
          <w:lang w:val="en-AU"/>
        </w:rPr>
        <w:t xml:space="preserve"> sample compar</w:t>
      </w:r>
      <w:r w:rsidR="00072FA5" w:rsidRPr="00DA3B75">
        <w:rPr>
          <w:b/>
          <w:u w:val="single"/>
          <w:lang w:val="en-AU"/>
        </w:rPr>
        <w:t xml:space="preserve">ed to the </w:t>
      </w:r>
      <w:r w:rsidR="00BD5E8C" w:rsidRPr="00DA3B75">
        <w:rPr>
          <w:b/>
          <w:u w:val="single"/>
          <w:lang w:val="en-AU"/>
        </w:rPr>
        <w:t xml:space="preserve">2007, </w:t>
      </w:r>
      <w:r w:rsidR="00072FA5" w:rsidRPr="00DA3B75">
        <w:rPr>
          <w:b/>
          <w:u w:val="single"/>
          <w:lang w:val="en-AU"/>
        </w:rPr>
        <w:t>2001 and 1996 samples</w:t>
      </w:r>
      <w:r w:rsidR="00FE4D3F" w:rsidRPr="00DA3B75">
        <w:rPr>
          <w:b/>
          <w:u w:val="single"/>
          <w:lang w:val="en-AU"/>
        </w:rPr>
        <w:t xml:space="preserve"> – unweighted</w:t>
      </w:r>
    </w:p>
    <w:p w14:paraId="1EEBA453" w14:textId="77777777" w:rsidR="00E548CE" w:rsidRPr="00924E7A" w:rsidRDefault="00E548CE" w:rsidP="00E02C75">
      <w:pPr>
        <w:pStyle w:val="NormalIndent"/>
        <w:outlineLvl w:val="0"/>
        <w:rPr>
          <w:u w:val="single"/>
          <w:lang w:val="en-AU"/>
        </w:rPr>
      </w:pPr>
    </w:p>
    <w:tbl>
      <w:tblPr>
        <w:tblW w:w="12260" w:type="dxa"/>
        <w:jc w:val="center"/>
        <w:tblLook w:val="04A0" w:firstRow="1" w:lastRow="0" w:firstColumn="1" w:lastColumn="0" w:noHBand="0" w:noVBand="1"/>
      </w:tblPr>
      <w:tblGrid>
        <w:gridCol w:w="2180"/>
        <w:gridCol w:w="635"/>
        <w:gridCol w:w="635"/>
        <w:gridCol w:w="635"/>
        <w:gridCol w:w="635"/>
        <w:gridCol w:w="615"/>
        <w:gridCol w:w="615"/>
        <w:gridCol w:w="615"/>
        <w:gridCol w:w="615"/>
        <w:gridCol w:w="655"/>
        <w:gridCol w:w="655"/>
        <w:gridCol w:w="655"/>
        <w:gridCol w:w="655"/>
        <w:gridCol w:w="615"/>
        <w:gridCol w:w="615"/>
        <w:gridCol w:w="615"/>
        <w:gridCol w:w="615"/>
      </w:tblGrid>
      <w:tr w:rsidR="00E548CE" w:rsidRPr="00924E7A" w14:paraId="62B6648E" w14:textId="77777777" w:rsidTr="003F412E">
        <w:trPr>
          <w:trHeight w:val="315"/>
          <w:jc w:val="center"/>
        </w:trPr>
        <w:tc>
          <w:tcPr>
            <w:tcW w:w="2180" w:type="dxa"/>
            <w:vMerge w:val="restart"/>
            <w:tcBorders>
              <w:top w:val="double" w:sz="6" w:space="0" w:color="auto"/>
              <w:left w:val="double" w:sz="6" w:space="0" w:color="auto"/>
              <w:bottom w:val="single" w:sz="4" w:space="0" w:color="BFBFBF"/>
              <w:right w:val="nil"/>
            </w:tcBorders>
            <w:shd w:val="clear" w:color="auto" w:fill="auto"/>
            <w:noWrap/>
            <w:vAlign w:val="center"/>
          </w:tcPr>
          <w:p w14:paraId="510BD00E" w14:textId="77777777" w:rsidR="00E548CE" w:rsidRPr="00924E7A" w:rsidRDefault="00E548CE" w:rsidP="00E548CE">
            <w:pPr>
              <w:spacing w:before="0" w:after="0"/>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Location</w:t>
            </w:r>
          </w:p>
        </w:tc>
        <w:tc>
          <w:tcPr>
            <w:tcW w:w="254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4D398300" w14:textId="77777777" w:rsidR="00E548CE" w:rsidRPr="00924E7A" w:rsidRDefault="00E548CE" w:rsidP="00E548CE">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Aged Concession HHs</w:t>
            </w:r>
          </w:p>
        </w:tc>
        <w:tc>
          <w:tcPr>
            <w:tcW w:w="2460" w:type="dxa"/>
            <w:gridSpan w:val="4"/>
            <w:tcBorders>
              <w:top w:val="double" w:sz="6" w:space="0" w:color="auto"/>
              <w:left w:val="nil"/>
              <w:bottom w:val="single" w:sz="4" w:space="0" w:color="BFBFBF"/>
              <w:right w:val="single" w:sz="4" w:space="0" w:color="BFBFBF"/>
            </w:tcBorders>
            <w:shd w:val="clear" w:color="auto" w:fill="auto"/>
            <w:noWrap/>
            <w:vAlign w:val="center"/>
          </w:tcPr>
          <w:p w14:paraId="32636FA4" w14:textId="77777777" w:rsidR="00E548CE" w:rsidRPr="00924E7A" w:rsidRDefault="00E548CE" w:rsidP="00E548CE">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Other Concession HHs</w:t>
            </w:r>
          </w:p>
        </w:tc>
        <w:tc>
          <w:tcPr>
            <w:tcW w:w="262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2BBEBBD9" w14:textId="77777777" w:rsidR="00E548CE" w:rsidRPr="00924E7A" w:rsidRDefault="00E548CE" w:rsidP="00E548CE">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Non Concession HHs</w:t>
            </w:r>
          </w:p>
        </w:tc>
        <w:tc>
          <w:tcPr>
            <w:tcW w:w="2460" w:type="dxa"/>
            <w:gridSpan w:val="4"/>
            <w:tcBorders>
              <w:top w:val="double" w:sz="6" w:space="0" w:color="auto"/>
              <w:left w:val="nil"/>
              <w:bottom w:val="single" w:sz="4" w:space="0" w:color="BFBFBF"/>
              <w:right w:val="double" w:sz="6" w:space="0" w:color="000000"/>
            </w:tcBorders>
            <w:shd w:val="clear" w:color="auto" w:fill="auto"/>
            <w:noWrap/>
            <w:vAlign w:val="center"/>
          </w:tcPr>
          <w:p w14:paraId="4F39426E" w14:textId="77777777" w:rsidR="00E548CE" w:rsidRPr="00924E7A" w:rsidRDefault="00E548CE" w:rsidP="00E548CE">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Total HHs</w:t>
            </w:r>
          </w:p>
        </w:tc>
      </w:tr>
      <w:tr w:rsidR="00E548CE" w:rsidRPr="00924E7A" w14:paraId="6CE79064" w14:textId="77777777" w:rsidTr="00C2145D">
        <w:trPr>
          <w:trHeight w:val="225"/>
          <w:jc w:val="center"/>
        </w:trPr>
        <w:tc>
          <w:tcPr>
            <w:tcW w:w="2180" w:type="dxa"/>
            <w:vMerge/>
            <w:tcBorders>
              <w:top w:val="double" w:sz="6" w:space="0" w:color="auto"/>
              <w:left w:val="double" w:sz="6" w:space="0" w:color="auto"/>
              <w:bottom w:val="single" w:sz="4" w:space="0" w:color="BFBFBF"/>
              <w:right w:val="nil"/>
            </w:tcBorders>
            <w:vAlign w:val="center"/>
          </w:tcPr>
          <w:p w14:paraId="0A3C7953" w14:textId="77777777" w:rsidR="00E548CE" w:rsidRPr="00924E7A" w:rsidRDefault="00E548CE" w:rsidP="00E548CE">
            <w:pPr>
              <w:spacing w:before="0" w:after="0"/>
              <w:rPr>
                <w:rFonts w:ascii="Arial" w:hAnsi="Arial" w:cs="Arial"/>
                <w:b/>
                <w:bCs/>
                <w:color w:val="000000"/>
                <w:sz w:val="16"/>
                <w:szCs w:val="16"/>
                <w:lang w:val="en-AU" w:eastAsia="en-AU"/>
              </w:rPr>
            </w:pP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4D07218B"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2014</w:t>
            </w:r>
          </w:p>
        </w:tc>
        <w:tc>
          <w:tcPr>
            <w:tcW w:w="635" w:type="dxa"/>
            <w:tcBorders>
              <w:top w:val="nil"/>
              <w:left w:val="nil"/>
              <w:bottom w:val="single" w:sz="4" w:space="0" w:color="BFBFBF"/>
              <w:right w:val="single" w:sz="4" w:space="0" w:color="BFBFBF"/>
            </w:tcBorders>
            <w:shd w:val="clear" w:color="auto" w:fill="auto"/>
            <w:noWrap/>
            <w:vAlign w:val="center"/>
          </w:tcPr>
          <w:p w14:paraId="259EBAC6"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2007</w:t>
            </w:r>
          </w:p>
        </w:tc>
        <w:tc>
          <w:tcPr>
            <w:tcW w:w="635" w:type="dxa"/>
            <w:tcBorders>
              <w:top w:val="nil"/>
              <w:left w:val="nil"/>
              <w:bottom w:val="single" w:sz="4" w:space="0" w:color="BFBFBF"/>
              <w:right w:val="single" w:sz="4" w:space="0" w:color="BFBFBF"/>
            </w:tcBorders>
            <w:shd w:val="clear" w:color="auto" w:fill="auto"/>
            <w:noWrap/>
            <w:vAlign w:val="center"/>
          </w:tcPr>
          <w:p w14:paraId="556FF946"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2001</w:t>
            </w:r>
          </w:p>
        </w:tc>
        <w:tc>
          <w:tcPr>
            <w:tcW w:w="635" w:type="dxa"/>
            <w:tcBorders>
              <w:top w:val="nil"/>
              <w:left w:val="nil"/>
              <w:bottom w:val="single" w:sz="4" w:space="0" w:color="BFBFBF"/>
              <w:right w:val="single" w:sz="4" w:space="0" w:color="auto"/>
            </w:tcBorders>
            <w:shd w:val="clear" w:color="auto" w:fill="auto"/>
            <w:noWrap/>
            <w:vAlign w:val="center"/>
          </w:tcPr>
          <w:p w14:paraId="43BAC6E0"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1996</w:t>
            </w:r>
          </w:p>
        </w:tc>
        <w:tc>
          <w:tcPr>
            <w:tcW w:w="615" w:type="dxa"/>
            <w:tcBorders>
              <w:top w:val="nil"/>
              <w:left w:val="nil"/>
              <w:bottom w:val="single" w:sz="4" w:space="0" w:color="BFBFBF"/>
              <w:right w:val="single" w:sz="4" w:space="0" w:color="BFBFBF"/>
            </w:tcBorders>
            <w:shd w:val="clear" w:color="auto" w:fill="auto"/>
            <w:noWrap/>
            <w:vAlign w:val="center"/>
          </w:tcPr>
          <w:p w14:paraId="6F6C4E0C"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2014</w:t>
            </w:r>
          </w:p>
        </w:tc>
        <w:tc>
          <w:tcPr>
            <w:tcW w:w="615" w:type="dxa"/>
            <w:tcBorders>
              <w:top w:val="nil"/>
              <w:left w:val="nil"/>
              <w:bottom w:val="single" w:sz="4" w:space="0" w:color="BFBFBF"/>
              <w:right w:val="single" w:sz="4" w:space="0" w:color="BFBFBF"/>
            </w:tcBorders>
            <w:shd w:val="clear" w:color="auto" w:fill="auto"/>
            <w:noWrap/>
            <w:vAlign w:val="center"/>
          </w:tcPr>
          <w:p w14:paraId="28FB17EC"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2007</w:t>
            </w:r>
          </w:p>
        </w:tc>
        <w:tc>
          <w:tcPr>
            <w:tcW w:w="615" w:type="dxa"/>
            <w:tcBorders>
              <w:top w:val="nil"/>
              <w:left w:val="nil"/>
              <w:bottom w:val="single" w:sz="4" w:space="0" w:color="BFBFBF"/>
              <w:right w:val="single" w:sz="4" w:space="0" w:color="BFBFBF"/>
            </w:tcBorders>
            <w:shd w:val="clear" w:color="auto" w:fill="auto"/>
            <w:noWrap/>
            <w:vAlign w:val="center"/>
          </w:tcPr>
          <w:p w14:paraId="43D1926C"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2001</w:t>
            </w:r>
          </w:p>
        </w:tc>
        <w:tc>
          <w:tcPr>
            <w:tcW w:w="615" w:type="dxa"/>
            <w:tcBorders>
              <w:top w:val="nil"/>
              <w:left w:val="nil"/>
              <w:bottom w:val="single" w:sz="4" w:space="0" w:color="BFBFBF"/>
              <w:right w:val="nil"/>
            </w:tcBorders>
            <w:shd w:val="clear" w:color="auto" w:fill="auto"/>
            <w:noWrap/>
            <w:vAlign w:val="center"/>
          </w:tcPr>
          <w:p w14:paraId="59EB2355"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1996</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2CB75583"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2014</w:t>
            </w:r>
          </w:p>
        </w:tc>
        <w:tc>
          <w:tcPr>
            <w:tcW w:w="655" w:type="dxa"/>
            <w:tcBorders>
              <w:top w:val="nil"/>
              <w:left w:val="nil"/>
              <w:bottom w:val="single" w:sz="4" w:space="0" w:color="BFBFBF"/>
              <w:right w:val="single" w:sz="4" w:space="0" w:color="BFBFBF"/>
            </w:tcBorders>
            <w:shd w:val="clear" w:color="auto" w:fill="auto"/>
            <w:noWrap/>
            <w:vAlign w:val="center"/>
          </w:tcPr>
          <w:p w14:paraId="10585012"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2007</w:t>
            </w:r>
          </w:p>
        </w:tc>
        <w:tc>
          <w:tcPr>
            <w:tcW w:w="655" w:type="dxa"/>
            <w:tcBorders>
              <w:top w:val="nil"/>
              <w:left w:val="nil"/>
              <w:bottom w:val="single" w:sz="4" w:space="0" w:color="BFBFBF"/>
              <w:right w:val="single" w:sz="4" w:space="0" w:color="BFBFBF"/>
            </w:tcBorders>
            <w:shd w:val="clear" w:color="auto" w:fill="auto"/>
            <w:noWrap/>
            <w:vAlign w:val="center"/>
          </w:tcPr>
          <w:p w14:paraId="27046EF9"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2001</w:t>
            </w:r>
          </w:p>
        </w:tc>
        <w:tc>
          <w:tcPr>
            <w:tcW w:w="655" w:type="dxa"/>
            <w:tcBorders>
              <w:top w:val="nil"/>
              <w:left w:val="nil"/>
              <w:bottom w:val="single" w:sz="4" w:space="0" w:color="BFBFBF"/>
              <w:right w:val="single" w:sz="4" w:space="0" w:color="auto"/>
            </w:tcBorders>
            <w:shd w:val="clear" w:color="auto" w:fill="auto"/>
            <w:noWrap/>
            <w:vAlign w:val="center"/>
          </w:tcPr>
          <w:p w14:paraId="70221547"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1996</w:t>
            </w:r>
          </w:p>
        </w:tc>
        <w:tc>
          <w:tcPr>
            <w:tcW w:w="615" w:type="dxa"/>
            <w:tcBorders>
              <w:top w:val="nil"/>
              <w:left w:val="nil"/>
              <w:bottom w:val="single" w:sz="4" w:space="0" w:color="BFBFBF"/>
              <w:right w:val="single" w:sz="4" w:space="0" w:color="BFBFBF"/>
            </w:tcBorders>
            <w:shd w:val="clear" w:color="auto" w:fill="auto"/>
            <w:noWrap/>
            <w:vAlign w:val="center"/>
          </w:tcPr>
          <w:p w14:paraId="6697484A"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2014</w:t>
            </w:r>
          </w:p>
        </w:tc>
        <w:tc>
          <w:tcPr>
            <w:tcW w:w="615" w:type="dxa"/>
            <w:tcBorders>
              <w:top w:val="nil"/>
              <w:left w:val="nil"/>
              <w:bottom w:val="single" w:sz="4" w:space="0" w:color="BFBFBF"/>
              <w:right w:val="single" w:sz="4" w:space="0" w:color="BFBFBF"/>
            </w:tcBorders>
            <w:shd w:val="clear" w:color="auto" w:fill="auto"/>
            <w:noWrap/>
            <w:vAlign w:val="center"/>
          </w:tcPr>
          <w:p w14:paraId="54BD36B1"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2007</w:t>
            </w:r>
          </w:p>
        </w:tc>
        <w:tc>
          <w:tcPr>
            <w:tcW w:w="615" w:type="dxa"/>
            <w:tcBorders>
              <w:top w:val="nil"/>
              <w:left w:val="nil"/>
              <w:bottom w:val="single" w:sz="4" w:space="0" w:color="BFBFBF"/>
              <w:right w:val="single" w:sz="4" w:space="0" w:color="BFBFBF"/>
            </w:tcBorders>
            <w:shd w:val="clear" w:color="auto" w:fill="auto"/>
            <w:noWrap/>
            <w:vAlign w:val="center"/>
          </w:tcPr>
          <w:p w14:paraId="79E80F25"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2001</w:t>
            </w:r>
          </w:p>
        </w:tc>
        <w:tc>
          <w:tcPr>
            <w:tcW w:w="615" w:type="dxa"/>
            <w:tcBorders>
              <w:top w:val="nil"/>
              <w:left w:val="nil"/>
              <w:bottom w:val="single" w:sz="4" w:space="0" w:color="BFBFBF"/>
              <w:right w:val="double" w:sz="6" w:space="0" w:color="auto"/>
            </w:tcBorders>
            <w:shd w:val="clear" w:color="auto" w:fill="auto"/>
            <w:noWrap/>
            <w:vAlign w:val="center"/>
          </w:tcPr>
          <w:p w14:paraId="5699FF64"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1996</w:t>
            </w:r>
          </w:p>
        </w:tc>
      </w:tr>
      <w:tr w:rsidR="00E548CE" w:rsidRPr="00924E7A" w14:paraId="131820A9"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center"/>
          </w:tcPr>
          <w:p w14:paraId="0A9B5035" w14:textId="77777777" w:rsidR="00E548CE" w:rsidRPr="00924E7A" w:rsidRDefault="00E548CE" w:rsidP="00E548CE">
            <w:pPr>
              <w:spacing w:before="0" w:after="0"/>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By Region -</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0360A8BF"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35" w:type="dxa"/>
            <w:tcBorders>
              <w:top w:val="nil"/>
              <w:left w:val="nil"/>
              <w:bottom w:val="single" w:sz="4" w:space="0" w:color="BFBFBF"/>
              <w:right w:val="single" w:sz="4" w:space="0" w:color="BFBFBF"/>
            </w:tcBorders>
            <w:shd w:val="clear" w:color="auto" w:fill="auto"/>
            <w:noWrap/>
            <w:vAlign w:val="center"/>
          </w:tcPr>
          <w:p w14:paraId="2E36504D"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35" w:type="dxa"/>
            <w:tcBorders>
              <w:top w:val="nil"/>
              <w:left w:val="nil"/>
              <w:bottom w:val="single" w:sz="4" w:space="0" w:color="BFBFBF"/>
              <w:right w:val="single" w:sz="4" w:space="0" w:color="BFBFBF"/>
            </w:tcBorders>
            <w:shd w:val="clear" w:color="auto" w:fill="auto"/>
            <w:noWrap/>
            <w:vAlign w:val="center"/>
          </w:tcPr>
          <w:p w14:paraId="74B35430"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35" w:type="dxa"/>
            <w:tcBorders>
              <w:top w:val="nil"/>
              <w:left w:val="nil"/>
              <w:bottom w:val="single" w:sz="4" w:space="0" w:color="BFBFBF"/>
              <w:right w:val="single" w:sz="4" w:space="0" w:color="auto"/>
            </w:tcBorders>
            <w:shd w:val="clear" w:color="auto" w:fill="auto"/>
            <w:noWrap/>
            <w:vAlign w:val="center"/>
          </w:tcPr>
          <w:p w14:paraId="1EB1BAD0"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15" w:type="dxa"/>
            <w:tcBorders>
              <w:top w:val="nil"/>
              <w:left w:val="nil"/>
              <w:bottom w:val="single" w:sz="4" w:space="0" w:color="BFBFBF"/>
              <w:right w:val="single" w:sz="4" w:space="0" w:color="BFBFBF"/>
            </w:tcBorders>
            <w:shd w:val="clear" w:color="auto" w:fill="auto"/>
            <w:noWrap/>
            <w:vAlign w:val="center"/>
          </w:tcPr>
          <w:p w14:paraId="23587D54"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15" w:type="dxa"/>
            <w:tcBorders>
              <w:top w:val="nil"/>
              <w:left w:val="nil"/>
              <w:bottom w:val="single" w:sz="4" w:space="0" w:color="BFBFBF"/>
              <w:right w:val="single" w:sz="4" w:space="0" w:color="BFBFBF"/>
            </w:tcBorders>
            <w:shd w:val="clear" w:color="auto" w:fill="auto"/>
            <w:noWrap/>
            <w:vAlign w:val="center"/>
          </w:tcPr>
          <w:p w14:paraId="14CCC919"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15" w:type="dxa"/>
            <w:tcBorders>
              <w:top w:val="nil"/>
              <w:left w:val="nil"/>
              <w:bottom w:val="single" w:sz="4" w:space="0" w:color="BFBFBF"/>
              <w:right w:val="single" w:sz="4" w:space="0" w:color="BFBFBF"/>
            </w:tcBorders>
            <w:shd w:val="clear" w:color="auto" w:fill="auto"/>
            <w:noWrap/>
            <w:vAlign w:val="center"/>
          </w:tcPr>
          <w:p w14:paraId="0F4B85CC"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15" w:type="dxa"/>
            <w:tcBorders>
              <w:top w:val="nil"/>
              <w:left w:val="nil"/>
              <w:bottom w:val="single" w:sz="4" w:space="0" w:color="BFBFBF"/>
              <w:right w:val="nil"/>
            </w:tcBorders>
            <w:shd w:val="clear" w:color="auto" w:fill="auto"/>
            <w:noWrap/>
            <w:vAlign w:val="center"/>
          </w:tcPr>
          <w:p w14:paraId="5F58A20C"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664D9660"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55" w:type="dxa"/>
            <w:tcBorders>
              <w:top w:val="nil"/>
              <w:left w:val="nil"/>
              <w:bottom w:val="single" w:sz="4" w:space="0" w:color="BFBFBF"/>
              <w:right w:val="single" w:sz="4" w:space="0" w:color="BFBFBF"/>
            </w:tcBorders>
            <w:shd w:val="clear" w:color="auto" w:fill="auto"/>
            <w:noWrap/>
            <w:vAlign w:val="center"/>
          </w:tcPr>
          <w:p w14:paraId="498ECFEB"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55" w:type="dxa"/>
            <w:tcBorders>
              <w:top w:val="nil"/>
              <w:left w:val="nil"/>
              <w:bottom w:val="single" w:sz="4" w:space="0" w:color="BFBFBF"/>
              <w:right w:val="single" w:sz="4" w:space="0" w:color="BFBFBF"/>
            </w:tcBorders>
            <w:shd w:val="clear" w:color="auto" w:fill="auto"/>
            <w:noWrap/>
            <w:vAlign w:val="center"/>
          </w:tcPr>
          <w:p w14:paraId="06CB4B8F"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55" w:type="dxa"/>
            <w:tcBorders>
              <w:top w:val="nil"/>
              <w:left w:val="nil"/>
              <w:bottom w:val="single" w:sz="4" w:space="0" w:color="BFBFBF"/>
              <w:right w:val="single" w:sz="4" w:space="0" w:color="auto"/>
            </w:tcBorders>
            <w:shd w:val="clear" w:color="auto" w:fill="auto"/>
            <w:noWrap/>
            <w:vAlign w:val="center"/>
          </w:tcPr>
          <w:p w14:paraId="401E509E"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15" w:type="dxa"/>
            <w:tcBorders>
              <w:top w:val="nil"/>
              <w:left w:val="nil"/>
              <w:bottom w:val="single" w:sz="4" w:space="0" w:color="BFBFBF"/>
              <w:right w:val="single" w:sz="4" w:space="0" w:color="BFBFBF"/>
            </w:tcBorders>
            <w:shd w:val="clear" w:color="auto" w:fill="auto"/>
            <w:noWrap/>
            <w:vAlign w:val="center"/>
          </w:tcPr>
          <w:p w14:paraId="6607828E"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15" w:type="dxa"/>
            <w:tcBorders>
              <w:top w:val="nil"/>
              <w:left w:val="nil"/>
              <w:bottom w:val="single" w:sz="4" w:space="0" w:color="BFBFBF"/>
              <w:right w:val="single" w:sz="4" w:space="0" w:color="BFBFBF"/>
            </w:tcBorders>
            <w:shd w:val="clear" w:color="auto" w:fill="auto"/>
            <w:noWrap/>
            <w:vAlign w:val="center"/>
          </w:tcPr>
          <w:p w14:paraId="49287487"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15" w:type="dxa"/>
            <w:tcBorders>
              <w:top w:val="nil"/>
              <w:left w:val="nil"/>
              <w:bottom w:val="single" w:sz="4" w:space="0" w:color="BFBFBF"/>
              <w:right w:val="single" w:sz="4" w:space="0" w:color="BFBFBF"/>
            </w:tcBorders>
            <w:shd w:val="clear" w:color="auto" w:fill="auto"/>
            <w:noWrap/>
            <w:vAlign w:val="center"/>
          </w:tcPr>
          <w:p w14:paraId="300B2AF2" w14:textId="77777777" w:rsidR="00E548CE" w:rsidRPr="00924E7A" w:rsidRDefault="00E548CE" w:rsidP="00C2145D">
            <w:pPr>
              <w:spacing w:before="0" w:after="0"/>
              <w:jc w:val="center"/>
              <w:rPr>
                <w:rFonts w:ascii="Arial" w:hAnsi="Arial" w:cs="Arial"/>
                <w:b/>
                <w:bCs/>
                <w:color w:val="000000"/>
                <w:sz w:val="16"/>
                <w:szCs w:val="16"/>
                <w:lang w:val="en-AU" w:eastAsia="en-AU"/>
              </w:rPr>
            </w:pPr>
          </w:p>
        </w:tc>
        <w:tc>
          <w:tcPr>
            <w:tcW w:w="615" w:type="dxa"/>
            <w:tcBorders>
              <w:top w:val="nil"/>
              <w:left w:val="nil"/>
              <w:bottom w:val="single" w:sz="4" w:space="0" w:color="BFBFBF"/>
              <w:right w:val="double" w:sz="6" w:space="0" w:color="auto"/>
            </w:tcBorders>
            <w:shd w:val="clear" w:color="auto" w:fill="auto"/>
            <w:noWrap/>
            <w:vAlign w:val="center"/>
          </w:tcPr>
          <w:p w14:paraId="377B5FD4" w14:textId="77777777" w:rsidR="00E548CE" w:rsidRPr="00924E7A" w:rsidRDefault="00E548CE" w:rsidP="00C2145D">
            <w:pPr>
              <w:spacing w:before="0" w:after="0"/>
              <w:jc w:val="center"/>
              <w:rPr>
                <w:rFonts w:ascii="Arial" w:hAnsi="Arial" w:cs="Arial"/>
                <w:b/>
                <w:bCs/>
                <w:color w:val="000000"/>
                <w:sz w:val="16"/>
                <w:szCs w:val="16"/>
                <w:lang w:val="en-AU" w:eastAsia="en-AU"/>
              </w:rPr>
            </w:pPr>
          </w:p>
        </w:tc>
      </w:tr>
      <w:tr w:rsidR="00E548CE" w:rsidRPr="00924E7A" w14:paraId="69EF76FC"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center"/>
          </w:tcPr>
          <w:p w14:paraId="1FA9A24D"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924E7A">
                  <w:rPr>
                    <w:rFonts w:ascii="Arial" w:hAnsi="Arial" w:cs="Arial"/>
                    <w:color w:val="000000"/>
                    <w:sz w:val="16"/>
                    <w:szCs w:val="16"/>
                    <w:lang w:val="en-AU" w:eastAsia="en-AU"/>
                  </w:rPr>
                  <w:t>Melbourne</w:t>
                </w:r>
              </w:smartTag>
            </w:smartTag>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49C43292"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356</w:t>
            </w:r>
          </w:p>
        </w:tc>
        <w:tc>
          <w:tcPr>
            <w:tcW w:w="635" w:type="dxa"/>
            <w:tcBorders>
              <w:top w:val="nil"/>
              <w:left w:val="nil"/>
              <w:bottom w:val="single" w:sz="4" w:space="0" w:color="BFBFBF"/>
              <w:right w:val="single" w:sz="4" w:space="0" w:color="BFBFBF"/>
            </w:tcBorders>
            <w:shd w:val="clear" w:color="auto" w:fill="auto"/>
            <w:noWrap/>
            <w:vAlign w:val="center"/>
          </w:tcPr>
          <w:p w14:paraId="06D4F9A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351</w:t>
            </w:r>
          </w:p>
        </w:tc>
        <w:tc>
          <w:tcPr>
            <w:tcW w:w="635" w:type="dxa"/>
            <w:tcBorders>
              <w:top w:val="nil"/>
              <w:left w:val="nil"/>
              <w:bottom w:val="single" w:sz="4" w:space="0" w:color="BFBFBF"/>
              <w:right w:val="single" w:sz="4" w:space="0" w:color="BFBFBF"/>
            </w:tcBorders>
            <w:shd w:val="clear" w:color="auto" w:fill="auto"/>
            <w:noWrap/>
            <w:vAlign w:val="center"/>
          </w:tcPr>
          <w:p w14:paraId="3379999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376</w:t>
            </w:r>
          </w:p>
        </w:tc>
        <w:tc>
          <w:tcPr>
            <w:tcW w:w="635" w:type="dxa"/>
            <w:tcBorders>
              <w:top w:val="nil"/>
              <w:left w:val="nil"/>
              <w:bottom w:val="single" w:sz="4" w:space="0" w:color="BFBFBF"/>
              <w:right w:val="single" w:sz="4" w:space="0" w:color="auto"/>
            </w:tcBorders>
            <w:shd w:val="clear" w:color="auto" w:fill="auto"/>
            <w:noWrap/>
            <w:vAlign w:val="center"/>
          </w:tcPr>
          <w:p w14:paraId="5B05F23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386</w:t>
            </w:r>
          </w:p>
        </w:tc>
        <w:tc>
          <w:tcPr>
            <w:tcW w:w="615" w:type="dxa"/>
            <w:tcBorders>
              <w:top w:val="nil"/>
              <w:left w:val="nil"/>
              <w:bottom w:val="single" w:sz="4" w:space="0" w:color="BFBFBF"/>
              <w:right w:val="single" w:sz="4" w:space="0" w:color="BFBFBF"/>
            </w:tcBorders>
            <w:shd w:val="clear" w:color="auto" w:fill="auto"/>
            <w:noWrap/>
            <w:vAlign w:val="center"/>
          </w:tcPr>
          <w:p w14:paraId="0E2B442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227</w:t>
            </w:r>
          </w:p>
        </w:tc>
        <w:tc>
          <w:tcPr>
            <w:tcW w:w="615" w:type="dxa"/>
            <w:tcBorders>
              <w:top w:val="nil"/>
              <w:left w:val="nil"/>
              <w:bottom w:val="single" w:sz="4" w:space="0" w:color="BFBFBF"/>
              <w:right w:val="single" w:sz="4" w:space="0" w:color="BFBFBF"/>
            </w:tcBorders>
            <w:shd w:val="clear" w:color="auto" w:fill="auto"/>
            <w:noWrap/>
            <w:vAlign w:val="center"/>
          </w:tcPr>
          <w:p w14:paraId="2CE2BA9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220</w:t>
            </w:r>
          </w:p>
        </w:tc>
        <w:tc>
          <w:tcPr>
            <w:tcW w:w="615" w:type="dxa"/>
            <w:tcBorders>
              <w:top w:val="nil"/>
              <w:left w:val="nil"/>
              <w:bottom w:val="single" w:sz="4" w:space="0" w:color="BFBFBF"/>
              <w:right w:val="single" w:sz="4" w:space="0" w:color="BFBFBF"/>
            </w:tcBorders>
            <w:shd w:val="clear" w:color="auto" w:fill="auto"/>
            <w:noWrap/>
            <w:vAlign w:val="center"/>
          </w:tcPr>
          <w:p w14:paraId="111D7A6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304</w:t>
            </w:r>
          </w:p>
        </w:tc>
        <w:tc>
          <w:tcPr>
            <w:tcW w:w="615" w:type="dxa"/>
            <w:tcBorders>
              <w:top w:val="nil"/>
              <w:left w:val="nil"/>
              <w:bottom w:val="single" w:sz="4" w:space="0" w:color="BFBFBF"/>
              <w:right w:val="nil"/>
            </w:tcBorders>
            <w:shd w:val="clear" w:color="auto" w:fill="auto"/>
            <w:noWrap/>
            <w:vAlign w:val="center"/>
          </w:tcPr>
          <w:p w14:paraId="32ED1D0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269</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4D7E7E9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550</w:t>
            </w:r>
          </w:p>
        </w:tc>
        <w:tc>
          <w:tcPr>
            <w:tcW w:w="655" w:type="dxa"/>
            <w:tcBorders>
              <w:top w:val="nil"/>
              <w:left w:val="nil"/>
              <w:bottom w:val="single" w:sz="4" w:space="0" w:color="BFBFBF"/>
              <w:right w:val="single" w:sz="4" w:space="0" w:color="BFBFBF"/>
            </w:tcBorders>
            <w:shd w:val="clear" w:color="auto" w:fill="auto"/>
            <w:noWrap/>
            <w:vAlign w:val="center"/>
          </w:tcPr>
          <w:p w14:paraId="08CA33E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689</w:t>
            </w:r>
          </w:p>
        </w:tc>
        <w:tc>
          <w:tcPr>
            <w:tcW w:w="655" w:type="dxa"/>
            <w:tcBorders>
              <w:top w:val="nil"/>
              <w:left w:val="nil"/>
              <w:bottom w:val="single" w:sz="4" w:space="0" w:color="BFBFBF"/>
              <w:right w:val="single" w:sz="4" w:space="0" w:color="BFBFBF"/>
            </w:tcBorders>
            <w:shd w:val="clear" w:color="auto" w:fill="auto"/>
            <w:noWrap/>
            <w:vAlign w:val="center"/>
          </w:tcPr>
          <w:p w14:paraId="5036EE3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724</w:t>
            </w:r>
          </w:p>
        </w:tc>
        <w:tc>
          <w:tcPr>
            <w:tcW w:w="655" w:type="dxa"/>
            <w:tcBorders>
              <w:top w:val="nil"/>
              <w:left w:val="nil"/>
              <w:bottom w:val="single" w:sz="4" w:space="0" w:color="BFBFBF"/>
              <w:right w:val="single" w:sz="4" w:space="0" w:color="auto"/>
            </w:tcBorders>
            <w:shd w:val="clear" w:color="auto" w:fill="auto"/>
            <w:noWrap/>
            <w:vAlign w:val="center"/>
          </w:tcPr>
          <w:p w14:paraId="665E0CD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740</w:t>
            </w:r>
          </w:p>
        </w:tc>
        <w:tc>
          <w:tcPr>
            <w:tcW w:w="615" w:type="dxa"/>
            <w:tcBorders>
              <w:top w:val="nil"/>
              <w:left w:val="nil"/>
              <w:bottom w:val="single" w:sz="4" w:space="0" w:color="BFBFBF"/>
              <w:right w:val="single" w:sz="4" w:space="0" w:color="BFBFBF"/>
            </w:tcBorders>
            <w:shd w:val="clear" w:color="auto" w:fill="auto"/>
            <w:noWrap/>
            <w:vAlign w:val="center"/>
          </w:tcPr>
          <w:p w14:paraId="411EC7C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1133</w:t>
            </w:r>
          </w:p>
        </w:tc>
        <w:tc>
          <w:tcPr>
            <w:tcW w:w="615" w:type="dxa"/>
            <w:tcBorders>
              <w:top w:val="nil"/>
              <w:left w:val="nil"/>
              <w:bottom w:val="single" w:sz="4" w:space="0" w:color="BFBFBF"/>
              <w:right w:val="single" w:sz="4" w:space="0" w:color="BFBFBF"/>
            </w:tcBorders>
            <w:shd w:val="clear" w:color="auto" w:fill="auto"/>
            <w:noWrap/>
            <w:vAlign w:val="center"/>
          </w:tcPr>
          <w:p w14:paraId="54E20D6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1260</w:t>
            </w:r>
          </w:p>
        </w:tc>
        <w:tc>
          <w:tcPr>
            <w:tcW w:w="615" w:type="dxa"/>
            <w:tcBorders>
              <w:top w:val="nil"/>
              <w:left w:val="nil"/>
              <w:bottom w:val="single" w:sz="4" w:space="0" w:color="BFBFBF"/>
              <w:right w:val="single" w:sz="4" w:space="0" w:color="BFBFBF"/>
            </w:tcBorders>
            <w:shd w:val="clear" w:color="auto" w:fill="auto"/>
            <w:noWrap/>
            <w:vAlign w:val="center"/>
          </w:tcPr>
          <w:p w14:paraId="7F2A186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1404</w:t>
            </w:r>
          </w:p>
        </w:tc>
        <w:tc>
          <w:tcPr>
            <w:tcW w:w="615" w:type="dxa"/>
            <w:tcBorders>
              <w:top w:val="nil"/>
              <w:left w:val="nil"/>
              <w:bottom w:val="single" w:sz="4" w:space="0" w:color="BFBFBF"/>
              <w:right w:val="double" w:sz="6" w:space="0" w:color="auto"/>
            </w:tcBorders>
            <w:shd w:val="clear" w:color="auto" w:fill="auto"/>
            <w:noWrap/>
            <w:vAlign w:val="center"/>
          </w:tcPr>
          <w:p w14:paraId="0CF68F9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1395</w:t>
            </w:r>
          </w:p>
        </w:tc>
      </w:tr>
      <w:tr w:rsidR="00E548CE" w:rsidRPr="00924E7A" w14:paraId="7B8D91CE"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center"/>
          </w:tcPr>
          <w:p w14:paraId="22B4874D"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Country VIC</w:t>
            </w:r>
            <w:r w:rsidR="00CD48A8" w:rsidRPr="00924E7A">
              <w:rPr>
                <w:rFonts w:ascii="Arial" w:hAnsi="Arial" w:cs="Arial"/>
                <w:color w:val="000000"/>
                <w:sz w:val="16"/>
                <w:szCs w:val="16"/>
                <w:vertAlign w:val="superscript"/>
                <w:lang w:val="en-AU" w:eastAsia="en-AU"/>
              </w:rPr>
              <w:t>1</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02B76214"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267</w:t>
            </w:r>
          </w:p>
        </w:tc>
        <w:tc>
          <w:tcPr>
            <w:tcW w:w="635" w:type="dxa"/>
            <w:tcBorders>
              <w:top w:val="nil"/>
              <w:left w:val="nil"/>
              <w:bottom w:val="single" w:sz="4" w:space="0" w:color="BFBFBF"/>
              <w:right w:val="single" w:sz="4" w:space="0" w:color="BFBFBF"/>
            </w:tcBorders>
            <w:shd w:val="clear" w:color="auto" w:fill="auto"/>
            <w:noWrap/>
            <w:vAlign w:val="center"/>
          </w:tcPr>
          <w:p w14:paraId="503A493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172</w:t>
            </w:r>
          </w:p>
        </w:tc>
        <w:tc>
          <w:tcPr>
            <w:tcW w:w="635" w:type="dxa"/>
            <w:tcBorders>
              <w:top w:val="nil"/>
              <w:left w:val="nil"/>
              <w:bottom w:val="single" w:sz="4" w:space="0" w:color="BFBFBF"/>
              <w:right w:val="single" w:sz="4" w:space="0" w:color="BFBFBF"/>
            </w:tcBorders>
            <w:shd w:val="clear" w:color="auto" w:fill="auto"/>
            <w:noWrap/>
            <w:vAlign w:val="center"/>
          </w:tcPr>
          <w:p w14:paraId="6717CCC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160</w:t>
            </w:r>
          </w:p>
        </w:tc>
        <w:tc>
          <w:tcPr>
            <w:tcW w:w="635" w:type="dxa"/>
            <w:tcBorders>
              <w:top w:val="nil"/>
              <w:left w:val="nil"/>
              <w:bottom w:val="single" w:sz="4" w:space="0" w:color="BFBFBF"/>
              <w:right w:val="single" w:sz="4" w:space="0" w:color="auto"/>
            </w:tcBorders>
            <w:shd w:val="clear" w:color="auto" w:fill="auto"/>
            <w:noWrap/>
            <w:vAlign w:val="center"/>
          </w:tcPr>
          <w:p w14:paraId="1717BA3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197</w:t>
            </w:r>
          </w:p>
        </w:tc>
        <w:tc>
          <w:tcPr>
            <w:tcW w:w="615" w:type="dxa"/>
            <w:tcBorders>
              <w:top w:val="nil"/>
              <w:left w:val="nil"/>
              <w:bottom w:val="single" w:sz="4" w:space="0" w:color="BFBFBF"/>
              <w:right w:val="single" w:sz="4" w:space="0" w:color="BFBFBF"/>
            </w:tcBorders>
            <w:shd w:val="clear" w:color="auto" w:fill="auto"/>
            <w:noWrap/>
            <w:vAlign w:val="center"/>
          </w:tcPr>
          <w:p w14:paraId="044EEA1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188</w:t>
            </w:r>
          </w:p>
        </w:tc>
        <w:tc>
          <w:tcPr>
            <w:tcW w:w="615" w:type="dxa"/>
            <w:tcBorders>
              <w:top w:val="nil"/>
              <w:left w:val="nil"/>
              <w:bottom w:val="single" w:sz="4" w:space="0" w:color="BFBFBF"/>
              <w:right w:val="single" w:sz="4" w:space="0" w:color="BFBFBF"/>
            </w:tcBorders>
            <w:shd w:val="clear" w:color="auto" w:fill="auto"/>
            <w:noWrap/>
            <w:vAlign w:val="center"/>
          </w:tcPr>
          <w:p w14:paraId="6276D9E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149</w:t>
            </w:r>
          </w:p>
        </w:tc>
        <w:tc>
          <w:tcPr>
            <w:tcW w:w="615" w:type="dxa"/>
            <w:tcBorders>
              <w:top w:val="nil"/>
              <w:left w:val="nil"/>
              <w:bottom w:val="single" w:sz="4" w:space="0" w:color="BFBFBF"/>
              <w:right w:val="single" w:sz="4" w:space="0" w:color="BFBFBF"/>
            </w:tcBorders>
            <w:shd w:val="clear" w:color="auto" w:fill="auto"/>
            <w:noWrap/>
            <w:vAlign w:val="center"/>
          </w:tcPr>
          <w:p w14:paraId="04926E8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158</w:t>
            </w:r>
          </w:p>
        </w:tc>
        <w:tc>
          <w:tcPr>
            <w:tcW w:w="615" w:type="dxa"/>
            <w:tcBorders>
              <w:top w:val="nil"/>
              <w:left w:val="nil"/>
              <w:bottom w:val="single" w:sz="4" w:space="0" w:color="BFBFBF"/>
              <w:right w:val="nil"/>
            </w:tcBorders>
            <w:shd w:val="clear" w:color="auto" w:fill="auto"/>
            <w:noWrap/>
            <w:vAlign w:val="center"/>
          </w:tcPr>
          <w:p w14:paraId="00A7E5D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133</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442897E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273</w:t>
            </w:r>
          </w:p>
        </w:tc>
        <w:tc>
          <w:tcPr>
            <w:tcW w:w="655" w:type="dxa"/>
            <w:tcBorders>
              <w:top w:val="nil"/>
              <w:left w:val="nil"/>
              <w:bottom w:val="single" w:sz="4" w:space="0" w:color="BFBFBF"/>
              <w:right w:val="single" w:sz="4" w:space="0" w:color="BFBFBF"/>
            </w:tcBorders>
            <w:shd w:val="clear" w:color="auto" w:fill="auto"/>
            <w:noWrap/>
            <w:vAlign w:val="center"/>
          </w:tcPr>
          <w:p w14:paraId="645796D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282</w:t>
            </w:r>
          </w:p>
        </w:tc>
        <w:tc>
          <w:tcPr>
            <w:tcW w:w="655" w:type="dxa"/>
            <w:tcBorders>
              <w:top w:val="nil"/>
              <w:left w:val="nil"/>
              <w:bottom w:val="single" w:sz="4" w:space="0" w:color="BFBFBF"/>
              <w:right w:val="single" w:sz="4" w:space="0" w:color="BFBFBF"/>
            </w:tcBorders>
            <w:shd w:val="clear" w:color="auto" w:fill="auto"/>
            <w:noWrap/>
            <w:vAlign w:val="center"/>
          </w:tcPr>
          <w:p w14:paraId="0F427DF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284</w:t>
            </w:r>
          </w:p>
        </w:tc>
        <w:tc>
          <w:tcPr>
            <w:tcW w:w="655" w:type="dxa"/>
            <w:tcBorders>
              <w:top w:val="nil"/>
              <w:left w:val="nil"/>
              <w:bottom w:val="single" w:sz="4" w:space="0" w:color="BFBFBF"/>
              <w:right w:val="single" w:sz="4" w:space="0" w:color="auto"/>
            </w:tcBorders>
            <w:shd w:val="clear" w:color="auto" w:fill="auto"/>
            <w:noWrap/>
            <w:vAlign w:val="center"/>
          </w:tcPr>
          <w:p w14:paraId="04E727A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275</w:t>
            </w:r>
          </w:p>
        </w:tc>
        <w:tc>
          <w:tcPr>
            <w:tcW w:w="615" w:type="dxa"/>
            <w:tcBorders>
              <w:top w:val="nil"/>
              <w:left w:val="nil"/>
              <w:bottom w:val="single" w:sz="4" w:space="0" w:color="BFBFBF"/>
              <w:right w:val="single" w:sz="4" w:space="0" w:color="BFBFBF"/>
            </w:tcBorders>
            <w:shd w:val="clear" w:color="auto" w:fill="auto"/>
            <w:noWrap/>
            <w:vAlign w:val="center"/>
          </w:tcPr>
          <w:p w14:paraId="32E7F62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728</w:t>
            </w:r>
          </w:p>
        </w:tc>
        <w:tc>
          <w:tcPr>
            <w:tcW w:w="615" w:type="dxa"/>
            <w:tcBorders>
              <w:top w:val="nil"/>
              <w:left w:val="nil"/>
              <w:bottom w:val="single" w:sz="4" w:space="0" w:color="BFBFBF"/>
              <w:right w:val="single" w:sz="4" w:space="0" w:color="BFBFBF"/>
            </w:tcBorders>
            <w:shd w:val="clear" w:color="auto" w:fill="auto"/>
            <w:noWrap/>
            <w:vAlign w:val="center"/>
          </w:tcPr>
          <w:p w14:paraId="07D9EAA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603</w:t>
            </w:r>
          </w:p>
        </w:tc>
        <w:tc>
          <w:tcPr>
            <w:tcW w:w="615" w:type="dxa"/>
            <w:tcBorders>
              <w:top w:val="nil"/>
              <w:left w:val="nil"/>
              <w:bottom w:val="single" w:sz="4" w:space="0" w:color="BFBFBF"/>
              <w:right w:val="single" w:sz="4" w:space="0" w:color="BFBFBF"/>
            </w:tcBorders>
            <w:shd w:val="clear" w:color="auto" w:fill="auto"/>
            <w:noWrap/>
            <w:vAlign w:val="center"/>
          </w:tcPr>
          <w:p w14:paraId="4E0C48B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602</w:t>
            </w:r>
          </w:p>
        </w:tc>
        <w:tc>
          <w:tcPr>
            <w:tcW w:w="615" w:type="dxa"/>
            <w:tcBorders>
              <w:top w:val="nil"/>
              <w:left w:val="nil"/>
              <w:bottom w:val="single" w:sz="4" w:space="0" w:color="BFBFBF"/>
              <w:right w:val="double" w:sz="6" w:space="0" w:color="auto"/>
            </w:tcBorders>
            <w:shd w:val="clear" w:color="auto" w:fill="auto"/>
            <w:noWrap/>
            <w:vAlign w:val="center"/>
          </w:tcPr>
          <w:p w14:paraId="484E367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605</w:t>
            </w:r>
          </w:p>
        </w:tc>
      </w:tr>
      <w:tr w:rsidR="00E548CE" w:rsidRPr="00924E7A" w14:paraId="20F94D15"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center"/>
          </w:tcPr>
          <w:p w14:paraId="011F8CB7"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 xml:space="preserve">LPG </w:t>
            </w:r>
            <w:r w:rsidR="007D5011" w:rsidRPr="00924E7A">
              <w:rPr>
                <w:rFonts w:ascii="Arial" w:hAnsi="Arial" w:cs="Arial"/>
                <w:color w:val="000000"/>
                <w:sz w:val="16"/>
                <w:szCs w:val="16"/>
                <w:lang w:val="en-AU" w:eastAsia="en-AU"/>
              </w:rPr>
              <w:t>households</w:t>
            </w:r>
            <w:r w:rsidR="00CD48A8" w:rsidRPr="00924E7A">
              <w:rPr>
                <w:rFonts w:ascii="Arial" w:hAnsi="Arial" w:cs="Arial"/>
                <w:color w:val="000000"/>
                <w:sz w:val="16"/>
                <w:szCs w:val="16"/>
                <w:vertAlign w:val="superscript"/>
                <w:lang w:val="en-AU" w:eastAsia="en-AU"/>
              </w:rPr>
              <w:t>2</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32660C24" w14:textId="77777777" w:rsidR="00E548CE" w:rsidRPr="00924E7A" w:rsidRDefault="00924E7A"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32</w:t>
            </w:r>
          </w:p>
        </w:tc>
        <w:tc>
          <w:tcPr>
            <w:tcW w:w="635" w:type="dxa"/>
            <w:tcBorders>
              <w:top w:val="nil"/>
              <w:left w:val="nil"/>
              <w:bottom w:val="single" w:sz="4" w:space="0" w:color="BFBFBF"/>
              <w:right w:val="single" w:sz="4" w:space="0" w:color="BFBFBF"/>
            </w:tcBorders>
            <w:shd w:val="clear" w:color="auto" w:fill="auto"/>
            <w:noWrap/>
            <w:vAlign w:val="center"/>
          </w:tcPr>
          <w:p w14:paraId="0FEC9BB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85</w:t>
            </w:r>
          </w:p>
        </w:tc>
        <w:tc>
          <w:tcPr>
            <w:tcW w:w="635" w:type="dxa"/>
            <w:tcBorders>
              <w:top w:val="nil"/>
              <w:left w:val="nil"/>
              <w:bottom w:val="single" w:sz="4" w:space="0" w:color="BFBFBF"/>
              <w:right w:val="single" w:sz="4" w:space="0" w:color="BFBFBF"/>
            </w:tcBorders>
            <w:shd w:val="clear" w:color="auto" w:fill="auto"/>
            <w:noWrap/>
            <w:vAlign w:val="center"/>
          </w:tcPr>
          <w:p w14:paraId="031FA52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700E775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7604CAA3" w14:textId="77777777" w:rsidR="00E548CE" w:rsidRPr="00924E7A" w:rsidRDefault="00924E7A"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22</w:t>
            </w:r>
          </w:p>
        </w:tc>
        <w:tc>
          <w:tcPr>
            <w:tcW w:w="615" w:type="dxa"/>
            <w:tcBorders>
              <w:top w:val="nil"/>
              <w:left w:val="nil"/>
              <w:bottom w:val="single" w:sz="4" w:space="0" w:color="BFBFBF"/>
              <w:right w:val="single" w:sz="4" w:space="0" w:color="BFBFBF"/>
            </w:tcBorders>
            <w:shd w:val="clear" w:color="auto" w:fill="auto"/>
            <w:noWrap/>
            <w:vAlign w:val="center"/>
          </w:tcPr>
          <w:p w14:paraId="30DEC4C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49</w:t>
            </w:r>
          </w:p>
        </w:tc>
        <w:tc>
          <w:tcPr>
            <w:tcW w:w="615" w:type="dxa"/>
            <w:tcBorders>
              <w:top w:val="nil"/>
              <w:left w:val="nil"/>
              <w:bottom w:val="single" w:sz="4" w:space="0" w:color="BFBFBF"/>
              <w:right w:val="single" w:sz="4" w:space="0" w:color="BFBFBF"/>
            </w:tcBorders>
            <w:shd w:val="clear" w:color="auto" w:fill="auto"/>
            <w:noWrap/>
            <w:vAlign w:val="center"/>
          </w:tcPr>
          <w:p w14:paraId="6D2FDFF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60B08A4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nil"/>
              <w:right w:val="nil"/>
            </w:tcBorders>
            <w:shd w:val="clear" w:color="auto" w:fill="auto"/>
            <w:noWrap/>
            <w:vAlign w:val="center"/>
          </w:tcPr>
          <w:p w14:paraId="6FB5CDC9" w14:textId="77777777" w:rsidR="00E548CE" w:rsidRPr="00924E7A" w:rsidRDefault="00924E7A"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41</w:t>
            </w:r>
          </w:p>
        </w:tc>
        <w:tc>
          <w:tcPr>
            <w:tcW w:w="655" w:type="dxa"/>
            <w:tcBorders>
              <w:top w:val="nil"/>
              <w:left w:val="single" w:sz="4" w:space="0" w:color="BFBFBF"/>
              <w:bottom w:val="single" w:sz="4" w:space="0" w:color="BFBFBF"/>
              <w:right w:val="single" w:sz="4" w:space="0" w:color="BFBFBF"/>
            </w:tcBorders>
            <w:shd w:val="clear" w:color="auto" w:fill="auto"/>
            <w:noWrap/>
            <w:vAlign w:val="center"/>
          </w:tcPr>
          <w:p w14:paraId="2CA48BD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64</w:t>
            </w:r>
          </w:p>
        </w:tc>
        <w:tc>
          <w:tcPr>
            <w:tcW w:w="655" w:type="dxa"/>
            <w:tcBorders>
              <w:top w:val="nil"/>
              <w:left w:val="nil"/>
              <w:bottom w:val="single" w:sz="4" w:space="0" w:color="BFBFBF"/>
              <w:right w:val="single" w:sz="4" w:space="0" w:color="BFBFBF"/>
            </w:tcBorders>
            <w:shd w:val="clear" w:color="auto" w:fill="auto"/>
            <w:noWrap/>
            <w:vAlign w:val="center"/>
          </w:tcPr>
          <w:p w14:paraId="3F9649D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039CA66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nil"/>
              <w:right w:val="nil"/>
            </w:tcBorders>
            <w:shd w:val="clear" w:color="auto" w:fill="auto"/>
            <w:noWrap/>
            <w:vAlign w:val="center"/>
          </w:tcPr>
          <w:p w14:paraId="2BA8DF0A" w14:textId="77777777" w:rsidR="00E548CE" w:rsidRPr="00924E7A" w:rsidRDefault="00924E7A"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95</w:t>
            </w:r>
          </w:p>
        </w:tc>
        <w:tc>
          <w:tcPr>
            <w:tcW w:w="615" w:type="dxa"/>
            <w:tcBorders>
              <w:top w:val="nil"/>
              <w:left w:val="single" w:sz="4" w:space="0" w:color="BFBFBF"/>
              <w:bottom w:val="single" w:sz="4" w:space="0" w:color="BFBFBF"/>
              <w:right w:val="single" w:sz="4" w:space="0" w:color="BFBFBF"/>
            </w:tcBorders>
            <w:shd w:val="clear" w:color="auto" w:fill="auto"/>
            <w:noWrap/>
            <w:vAlign w:val="center"/>
          </w:tcPr>
          <w:p w14:paraId="088154C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198</w:t>
            </w:r>
          </w:p>
        </w:tc>
        <w:tc>
          <w:tcPr>
            <w:tcW w:w="615" w:type="dxa"/>
            <w:tcBorders>
              <w:top w:val="nil"/>
              <w:left w:val="nil"/>
              <w:bottom w:val="single" w:sz="4" w:space="0" w:color="BFBFBF"/>
              <w:right w:val="single" w:sz="4" w:space="0" w:color="BFBFBF"/>
            </w:tcBorders>
            <w:shd w:val="clear" w:color="auto" w:fill="auto"/>
            <w:noWrap/>
            <w:vAlign w:val="center"/>
          </w:tcPr>
          <w:p w14:paraId="649D4CF3"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15" w:type="dxa"/>
            <w:tcBorders>
              <w:top w:val="nil"/>
              <w:left w:val="nil"/>
              <w:bottom w:val="single" w:sz="4" w:space="0" w:color="BFBFBF"/>
              <w:right w:val="double" w:sz="6" w:space="0" w:color="auto"/>
            </w:tcBorders>
            <w:shd w:val="clear" w:color="auto" w:fill="auto"/>
            <w:noWrap/>
            <w:vAlign w:val="center"/>
          </w:tcPr>
          <w:p w14:paraId="019DE225" w14:textId="77777777" w:rsidR="00E548CE" w:rsidRPr="00924E7A" w:rsidRDefault="00E548CE" w:rsidP="00C2145D">
            <w:pPr>
              <w:spacing w:before="0" w:after="0"/>
              <w:jc w:val="center"/>
              <w:rPr>
                <w:rFonts w:ascii="Arial" w:hAnsi="Arial" w:cs="Arial"/>
                <w:color w:val="000000"/>
                <w:sz w:val="16"/>
                <w:szCs w:val="16"/>
                <w:lang w:val="en-AU" w:eastAsia="en-AU"/>
              </w:rPr>
            </w:pPr>
          </w:p>
        </w:tc>
      </w:tr>
      <w:tr w:rsidR="00E548CE" w:rsidRPr="00924E7A" w14:paraId="7AEE92FA"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center"/>
          </w:tcPr>
          <w:p w14:paraId="170ED57B" w14:textId="77777777" w:rsidR="00E548CE" w:rsidRPr="00924E7A" w:rsidRDefault="00E548CE" w:rsidP="00E548CE">
            <w:pPr>
              <w:spacing w:before="0" w:after="0"/>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xml:space="preserve">By DHHS Areas - </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2F208D2A" w14:textId="77777777" w:rsidR="00E548CE" w:rsidRPr="00924E7A" w:rsidRDefault="00E548CE" w:rsidP="00C2145D">
            <w:pPr>
              <w:spacing w:before="0" w:after="0"/>
              <w:jc w:val="center"/>
              <w:rPr>
                <w:rFonts w:ascii="Arial" w:hAnsi="Arial" w:cs="Arial"/>
                <w:sz w:val="16"/>
                <w:szCs w:val="16"/>
                <w:lang w:val="en-AU" w:eastAsia="en-AU"/>
              </w:rPr>
            </w:pPr>
          </w:p>
        </w:tc>
        <w:tc>
          <w:tcPr>
            <w:tcW w:w="635" w:type="dxa"/>
            <w:tcBorders>
              <w:top w:val="nil"/>
              <w:left w:val="nil"/>
              <w:bottom w:val="single" w:sz="4" w:space="0" w:color="BFBFBF"/>
              <w:right w:val="single" w:sz="4" w:space="0" w:color="BFBFBF"/>
            </w:tcBorders>
            <w:shd w:val="clear" w:color="auto" w:fill="auto"/>
            <w:noWrap/>
            <w:vAlign w:val="center"/>
          </w:tcPr>
          <w:p w14:paraId="0ED44C4E"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35" w:type="dxa"/>
            <w:tcBorders>
              <w:top w:val="nil"/>
              <w:left w:val="nil"/>
              <w:bottom w:val="single" w:sz="4" w:space="0" w:color="BFBFBF"/>
              <w:right w:val="single" w:sz="4" w:space="0" w:color="BFBFBF"/>
            </w:tcBorders>
            <w:shd w:val="clear" w:color="auto" w:fill="auto"/>
            <w:noWrap/>
            <w:vAlign w:val="center"/>
          </w:tcPr>
          <w:p w14:paraId="01800579"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35" w:type="dxa"/>
            <w:tcBorders>
              <w:top w:val="nil"/>
              <w:left w:val="nil"/>
              <w:bottom w:val="single" w:sz="4" w:space="0" w:color="BFBFBF"/>
              <w:right w:val="single" w:sz="4" w:space="0" w:color="auto"/>
            </w:tcBorders>
            <w:shd w:val="clear" w:color="auto" w:fill="auto"/>
            <w:noWrap/>
            <w:vAlign w:val="center"/>
          </w:tcPr>
          <w:p w14:paraId="275EA679"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15" w:type="dxa"/>
            <w:tcBorders>
              <w:top w:val="nil"/>
              <w:left w:val="nil"/>
              <w:bottom w:val="single" w:sz="4" w:space="0" w:color="BFBFBF"/>
              <w:right w:val="single" w:sz="4" w:space="0" w:color="BFBFBF"/>
            </w:tcBorders>
            <w:shd w:val="clear" w:color="auto" w:fill="auto"/>
            <w:noWrap/>
            <w:vAlign w:val="center"/>
          </w:tcPr>
          <w:p w14:paraId="752531EE"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15" w:type="dxa"/>
            <w:tcBorders>
              <w:top w:val="nil"/>
              <w:left w:val="nil"/>
              <w:bottom w:val="single" w:sz="4" w:space="0" w:color="BFBFBF"/>
              <w:right w:val="single" w:sz="4" w:space="0" w:color="BFBFBF"/>
            </w:tcBorders>
            <w:shd w:val="clear" w:color="auto" w:fill="auto"/>
            <w:noWrap/>
            <w:vAlign w:val="center"/>
          </w:tcPr>
          <w:p w14:paraId="2EF96D79"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15" w:type="dxa"/>
            <w:tcBorders>
              <w:top w:val="nil"/>
              <w:left w:val="nil"/>
              <w:bottom w:val="single" w:sz="4" w:space="0" w:color="BFBFBF"/>
              <w:right w:val="single" w:sz="4" w:space="0" w:color="BFBFBF"/>
            </w:tcBorders>
            <w:shd w:val="clear" w:color="auto" w:fill="auto"/>
            <w:noWrap/>
            <w:vAlign w:val="center"/>
          </w:tcPr>
          <w:p w14:paraId="31E99818"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15" w:type="dxa"/>
            <w:tcBorders>
              <w:top w:val="nil"/>
              <w:left w:val="nil"/>
              <w:bottom w:val="single" w:sz="4" w:space="0" w:color="BFBFBF"/>
              <w:right w:val="nil"/>
            </w:tcBorders>
            <w:shd w:val="clear" w:color="auto" w:fill="auto"/>
            <w:noWrap/>
            <w:vAlign w:val="center"/>
          </w:tcPr>
          <w:p w14:paraId="697CA217"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55" w:type="dxa"/>
            <w:tcBorders>
              <w:top w:val="single" w:sz="4" w:space="0" w:color="BFBFBF"/>
              <w:left w:val="single" w:sz="4" w:space="0" w:color="auto"/>
              <w:bottom w:val="single" w:sz="4" w:space="0" w:color="BFBFBF"/>
              <w:right w:val="single" w:sz="4" w:space="0" w:color="BFBFBF"/>
            </w:tcBorders>
            <w:shd w:val="clear" w:color="auto" w:fill="auto"/>
            <w:noWrap/>
            <w:vAlign w:val="center"/>
          </w:tcPr>
          <w:p w14:paraId="6D63303C"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55" w:type="dxa"/>
            <w:tcBorders>
              <w:top w:val="nil"/>
              <w:left w:val="nil"/>
              <w:bottom w:val="single" w:sz="4" w:space="0" w:color="BFBFBF"/>
              <w:right w:val="single" w:sz="4" w:space="0" w:color="BFBFBF"/>
            </w:tcBorders>
            <w:shd w:val="clear" w:color="auto" w:fill="auto"/>
            <w:noWrap/>
            <w:vAlign w:val="center"/>
          </w:tcPr>
          <w:p w14:paraId="113E4C82"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55" w:type="dxa"/>
            <w:tcBorders>
              <w:top w:val="nil"/>
              <w:left w:val="nil"/>
              <w:bottom w:val="single" w:sz="4" w:space="0" w:color="BFBFBF"/>
              <w:right w:val="single" w:sz="4" w:space="0" w:color="BFBFBF"/>
            </w:tcBorders>
            <w:shd w:val="clear" w:color="auto" w:fill="auto"/>
            <w:noWrap/>
            <w:vAlign w:val="center"/>
          </w:tcPr>
          <w:p w14:paraId="1E09E17C"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55" w:type="dxa"/>
            <w:tcBorders>
              <w:top w:val="nil"/>
              <w:left w:val="nil"/>
              <w:bottom w:val="single" w:sz="4" w:space="0" w:color="BFBFBF"/>
              <w:right w:val="single" w:sz="4" w:space="0" w:color="auto"/>
            </w:tcBorders>
            <w:shd w:val="clear" w:color="auto" w:fill="auto"/>
            <w:noWrap/>
            <w:vAlign w:val="center"/>
          </w:tcPr>
          <w:p w14:paraId="7C1C05BE"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15" w:type="dxa"/>
            <w:tcBorders>
              <w:top w:val="single" w:sz="4" w:space="0" w:color="BFBFBF"/>
              <w:left w:val="nil"/>
              <w:bottom w:val="single" w:sz="4" w:space="0" w:color="BFBFBF"/>
              <w:right w:val="single" w:sz="4" w:space="0" w:color="BFBFBF"/>
            </w:tcBorders>
            <w:shd w:val="clear" w:color="auto" w:fill="auto"/>
            <w:noWrap/>
            <w:vAlign w:val="center"/>
          </w:tcPr>
          <w:p w14:paraId="5A1556F6"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15" w:type="dxa"/>
            <w:tcBorders>
              <w:top w:val="nil"/>
              <w:left w:val="nil"/>
              <w:bottom w:val="single" w:sz="4" w:space="0" w:color="BFBFBF"/>
              <w:right w:val="single" w:sz="4" w:space="0" w:color="BFBFBF"/>
            </w:tcBorders>
            <w:shd w:val="clear" w:color="auto" w:fill="auto"/>
            <w:noWrap/>
            <w:vAlign w:val="center"/>
          </w:tcPr>
          <w:p w14:paraId="7FB60ED4"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15" w:type="dxa"/>
            <w:tcBorders>
              <w:top w:val="nil"/>
              <w:left w:val="nil"/>
              <w:bottom w:val="single" w:sz="4" w:space="0" w:color="BFBFBF"/>
              <w:right w:val="single" w:sz="4" w:space="0" w:color="BFBFBF"/>
            </w:tcBorders>
            <w:shd w:val="clear" w:color="auto" w:fill="auto"/>
            <w:noWrap/>
            <w:vAlign w:val="center"/>
          </w:tcPr>
          <w:p w14:paraId="0663D7B3" w14:textId="77777777" w:rsidR="00E548CE" w:rsidRPr="00924E7A" w:rsidRDefault="00E548CE" w:rsidP="00C2145D">
            <w:pPr>
              <w:spacing w:before="0" w:after="0"/>
              <w:jc w:val="center"/>
              <w:rPr>
                <w:rFonts w:ascii="Arial" w:hAnsi="Arial" w:cs="Arial"/>
                <w:color w:val="000000"/>
                <w:sz w:val="16"/>
                <w:szCs w:val="16"/>
                <w:lang w:val="en-AU" w:eastAsia="en-AU"/>
              </w:rPr>
            </w:pPr>
          </w:p>
        </w:tc>
        <w:tc>
          <w:tcPr>
            <w:tcW w:w="615" w:type="dxa"/>
            <w:tcBorders>
              <w:top w:val="nil"/>
              <w:left w:val="nil"/>
              <w:bottom w:val="single" w:sz="4" w:space="0" w:color="BFBFBF"/>
              <w:right w:val="double" w:sz="6" w:space="0" w:color="auto"/>
            </w:tcBorders>
            <w:shd w:val="clear" w:color="auto" w:fill="auto"/>
            <w:noWrap/>
            <w:vAlign w:val="center"/>
          </w:tcPr>
          <w:p w14:paraId="3F56AB18" w14:textId="77777777" w:rsidR="00E548CE" w:rsidRPr="00924E7A" w:rsidRDefault="00E548CE" w:rsidP="00C2145D">
            <w:pPr>
              <w:spacing w:before="0" w:after="0"/>
              <w:jc w:val="center"/>
              <w:rPr>
                <w:rFonts w:ascii="Arial" w:hAnsi="Arial" w:cs="Arial"/>
                <w:color w:val="000000"/>
                <w:sz w:val="16"/>
                <w:szCs w:val="16"/>
                <w:lang w:val="en-AU" w:eastAsia="en-AU"/>
              </w:rPr>
            </w:pPr>
          </w:p>
        </w:tc>
      </w:tr>
      <w:tr w:rsidR="00E548CE" w:rsidRPr="00924E7A" w14:paraId="7AC59576"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2D898A2A"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Hume Moreland</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10864527"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21</w:t>
            </w:r>
          </w:p>
        </w:tc>
        <w:tc>
          <w:tcPr>
            <w:tcW w:w="635" w:type="dxa"/>
            <w:tcBorders>
              <w:top w:val="nil"/>
              <w:left w:val="nil"/>
              <w:bottom w:val="single" w:sz="4" w:space="0" w:color="BFBFBF"/>
              <w:right w:val="single" w:sz="4" w:space="0" w:color="BFBFBF"/>
            </w:tcBorders>
            <w:shd w:val="clear" w:color="auto" w:fill="auto"/>
            <w:noWrap/>
            <w:vAlign w:val="center"/>
          </w:tcPr>
          <w:p w14:paraId="0A179F1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4740135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003301D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FD9898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17</w:t>
            </w:r>
          </w:p>
        </w:tc>
        <w:tc>
          <w:tcPr>
            <w:tcW w:w="615" w:type="dxa"/>
            <w:tcBorders>
              <w:top w:val="nil"/>
              <w:left w:val="nil"/>
              <w:bottom w:val="single" w:sz="4" w:space="0" w:color="BFBFBF"/>
              <w:right w:val="single" w:sz="4" w:space="0" w:color="BFBFBF"/>
            </w:tcBorders>
            <w:shd w:val="clear" w:color="auto" w:fill="auto"/>
            <w:noWrap/>
            <w:vAlign w:val="center"/>
          </w:tcPr>
          <w:p w14:paraId="177D579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E95D40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14F510A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188BA76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20</w:t>
            </w:r>
          </w:p>
        </w:tc>
        <w:tc>
          <w:tcPr>
            <w:tcW w:w="655" w:type="dxa"/>
            <w:tcBorders>
              <w:top w:val="nil"/>
              <w:left w:val="nil"/>
              <w:bottom w:val="single" w:sz="4" w:space="0" w:color="BFBFBF"/>
              <w:right w:val="single" w:sz="4" w:space="0" w:color="BFBFBF"/>
            </w:tcBorders>
            <w:shd w:val="clear" w:color="auto" w:fill="auto"/>
            <w:noWrap/>
            <w:vAlign w:val="center"/>
          </w:tcPr>
          <w:p w14:paraId="40A2467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2C75ABC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394BD0C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2C943F5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58</w:t>
            </w:r>
          </w:p>
        </w:tc>
        <w:tc>
          <w:tcPr>
            <w:tcW w:w="615" w:type="dxa"/>
            <w:tcBorders>
              <w:top w:val="nil"/>
              <w:left w:val="nil"/>
              <w:bottom w:val="single" w:sz="4" w:space="0" w:color="BFBFBF"/>
              <w:right w:val="single" w:sz="4" w:space="0" w:color="BFBFBF"/>
            </w:tcBorders>
            <w:shd w:val="clear" w:color="auto" w:fill="auto"/>
            <w:noWrap/>
            <w:vAlign w:val="center"/>
          </w:tcPr>
          <w:p w14:paraId="4E4E2A5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27BC427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7C4EEC2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71F0BB41"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0903CA3B"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North Eastern Melbourne</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7171DE5F"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34</w:t>
            </w:r>
          </w:p>
        </w:tc>
        <w:tc>
          <w:tcPr>
            <w:tcW w:w="635" w:type="dxa"/>
            <w:tcBorders>
              <w:top w:val="nil"/>
              <w:left w:val="nil"/>
              <w:bottom w:val="single" w:sz="4" w:space="0" w:color="BFBFBF"/>
              <w:right w:val="single" w:sz="4" w:space="0" w:color="BFBFBF"/>
            </w:tcBorders>
            <w:shd w:val="clear" w:color="auto" w:fill="auto"/>
            <w:noWrap/>
            <w:vAlign w:val="center"/>
          </w:tcPr>
          <w:p w14:paraId="386CD16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41AA560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3EB31CD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7865425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35</w:t>
            </w:r>
          </w:p>
        </w:tc>
        <w:tc>
          <w:tcPr>
            <w:tcW w:w="615" w:type="dxa"/>
            <w:tcBorders>
              <w:top w:val="nil"/>
              <w:left w:val="nil"/>
              <w:bottom w:val="single" w:sz="4" w:space="0" w:color="BFBFBF"/>
              <w:right w:val="single" w:sz="4" w:space="0" w:color="BFBFBF"/>
            </w:tcBorders>
            <w:shd w:val="clear" w:color="auto" w:fill="auto"/>
            <w:noWrap/>
            <w:vAlign w:val="center"/>
          </w:tcPr>
          <w:p w14:paraId="5FAEB0D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4BC3DD0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3403787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0430362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80</w:t>
            </w:r>
          </w:p>
        </w:tc>
        <w:tc>
          <w:tcPr>
            <w:tcW w:w="655" w:type="dxa"/>
            <w:tcBorders>
              <w:top w:val="nil"/>
              <w:left w:val="nil"/>
              <w:bottom w:val="single" w:sz="4" w:space="0" w:color="BFBFBF"/>
              <w:right w:val="single" w:sz="4" w:space="0" w:color="BFBFBF"/>
            </w:tcBorders>
            <w:shd w:val="clear" w:color="auto" w:fill="auto"/>
            <w:noWrap/>
            <w:vAlign w:val="center"/>
          </w:tcPr>
          <w:p w14:paraId="489B663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0CAD2E3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6AD2AC7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2F2F9C8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149</w:t>
            </w:r>
          </w:p>
        </w:tc>
        <w:tc>
          <w:tcPr>
            <w:tcW w:w="615" w:type="dxa"/>
            <w:tcBorders>
              <w:top w:val="nil"/>
              <w:left w:val="nil"/>
              <w:bottom w:val="single" w:sz="4" w:space="0" w:color="BFBFBF"/>
              <w:right w:val="single" w:sz="4" w:space="0" w:color="BFBFBF"/>
            </w:tcBorders>
            <w:shd w:val="clear" w:color="auto" w:fill="auto"/>
            <w:noWrap/>
            <w:vAlign w:val="center"/>
          </w:tcPr>
          <w:p w14:paraId="50941F7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5D88C65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632DDFD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6E283293"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3B4C9464"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 xml:space="preserve">Outer </w:t>
            </w:r>
            <w:smartTag w:uri="urn:schemas-microsoft-com:office:smarttags" w:element="place">
              <w:r w:rsidRPr="00924E7A">
                <w:rPr>
                  <w:rFonts w:ascii="Arial" w:hAnsi="Arial" w:cs="Arial"/>
                  <w:color w:val="000000"/>
                  <w:sz w:val="16"/>
                  <w:szCs w:val="16"/>
                  <w:lang w:val="en-AU" w:eastAsia="en-AU"/>
                </w:rPr>
                <w:t>Eastern Melbourne</w:t>
              </w:r>
            </w:smartTag>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03E589D6"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50</w:t>
            </w:r>
          </w:p>
        </w:tc>
        <w:tc>
          <w:tcPr>
            <w:tcW w:w="635" w:type="dxa"/>
            <w:tcBorders>
              <w:top w:val="nil"/>
              <w:left w:val="nil"/>
              <w:bottom w:val="single" w:sz="4" w:space="0" w:color="BFBFBF"/>
              <w:right w:val="single" w:sz="4" w:space="0" w:color="BFBFBF"/>
            </w:tcBorders>
            <w:shd w:val="clear" w:color="auto" w:fill="auto"/>
            <w:noWrap/>
            <w:vAlign w:val="center"/>
          </w:tcPr>
          <w:p w14:paraId="17E5917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5D0B2B7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108F8A3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6DB7125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33</w:t>
            </w:r>
          </w:p>
        </w:tc>
        <w:tc>
          <w:tcPr>
            <w:tcW w:w="615" w:type="dxa"/>
            <w:tcBorders>
              <w:top w:val="nil"/>
              <w:left w:val="nil"/>
              <w:bottom w:val="single" w:sz="4" w:space="0" w:color="BFBFBF"/>
              <w:right w:val="single" w:sz="4" w:space="0" w:color="BFBFBF"/>
            </w:tcBorders>
            <w:shd w:val="clear" w:color="auto" w:fill="auto"/>
            <w:noWrap/>
            <w:vAlign w:val="center"/>
          </w:tcPr>
          <w:p w14:paraId="2348493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272D64C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137FD6B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2A5C518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56</w:t>
            </w:r>
          </w:p>
        </w:tc>
        <w:tc>
          <w:tcPr>
            <w:tcW w:w="655" w:type="dxa"/>
            <w:tcBorders>
              <w:top w:val="nil"/>
              <w:left w:val="nil"/>
              <w:bottom w:val="single" w:sz="4" w:space="0" w:color="BFBFBF"/>
              <w:right w:val="single" w:sz="4" w:space="0" w:color="BFBFBF"/>
            </w:tcBorders>
            <w:shd w:val="clear" w:color="auto" w:fill="auto"/>
            <w:noWrap/>
            <w:vAlign w:val="center"/>
          </w:tcPr>
          <w:p w14:paraId="32B1040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4BF48C2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7FB0DD6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F2A853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139</w:t>
            </w:r>
          </w:p>
        </w:tc>
        <w:tc>
          <w:tcPr>
            <w:tcW w:w="615" w:type="dxa"/>
            <w:tcBorders>
              <w:top w:val="nil"/>
              <w:left w:val="nil"/>
              <w:bottom w:val="single" w:sz="4" w:space="0" w:color="BFBFBF"/>
              <w:right w:val="single" w:sz="4" w:space="0" w:color="BFBFBF"/>
            </w:tcBorders>
            <w:shd w:val="clear" w:color="auto" w:fill="auto"/>
            <w:noWrap/>
            <w:vAlign w:val="center"/>
          </w:tcPr>
          <w:p w14:paraId="5D45963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51A1039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29138D8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210CF8D3"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172931C2"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 xml:space="preserve">Inner </w:t>
            </w:r>
            <w:smartTag w:uri="urn:schemas-microsoft-com:office:smarttags" w:element="place">
              <w:r w:rsidRPr="00924E7A">
                <w:rPr>
                  <w:rFonts w:ascii="Arial" w:hAnsi="Arial" w:cs="Arial"/>
                  <w:color w:val="000000"/>
                  <w:sz w:val="16"/>
                  <w:szCs w:val="16"/>
                  <w:lang w:val="en-AU" w:eastAsia="en-AU"/>
                </w:rPr>
                <w:t>Eastern Melbourne</w:t>
              </w:r>
            </w:smartTag>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226698CD"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72</w:t>
            </w:r>
          </w:p>
        </w:tc>
        <w:tc>
          <w:tcPr>
            <w:tcW w:w="635" w:type="dxa"/>
            <w:tcBorders>
              <w:top w:val="nil"/>
              <w:left w:val="nil"/>
              <w:bottom w:val="single" w:sz="4" w:space="0" w:color="BFBFBF"/>
              <w:right w:val="single" w:sz="4" w:space="0" w:color="BFBFBF"/>
            </w:tcBorders>
            <w:shd w:val="clear" w:color="auto" w:fill="auto"/>
            <w:noWrap/>
            <w:vAlign w:val="center"/>
          </w:tcPr>
          <w:p w14:paraId="5500A23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145C55E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35592A2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8B412A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23</w:t>
            </w:r>
          </w:p>
        </w:tc>
        <w:tc>
          <w:tcPr>
            <w:tcW w:w="615" w:type="dxa"/>
            <w:tcBorders>
              <w:top w:val="nil"/>
              <w:left w:val="nil"/>
              <w:bottom w:val="single" w:sz="4" w:space="0" w:color="BFBFBF"/>
              <w:right w:val="single" w:sz="4" w:space="0" w:color="BFBFBF"/>
            </w:tcBorders>
            <w:shd w:val="clear" w:color="auto" w:fill="auto"/>
            <w:noWrap/>
            <w:vAlign w:val="center"/>
          </w:tcPr>
          <w:p w14:paraId="6F3D939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28542E2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407A378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2BAFF3F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90</w:t>
            </w:r>
          </w:p>
        </w:tc>
        <w:tc>
          <w:tcPr>
            <w:tcW w:w="655" w:type="dxa"/>
            <w:tcBorders>
              <w:top w:val="nil"/>
              <w:left w:val="nil"/>
              <w:bottom w:val="single" w:sz="4" w:space="0" w:color="BFBFBF"/>
              <w:right w:val="single" w:sz="4" w:space="0" w:color="BFBFBF"/>
            </w:tcBorders>
            <w:shd w:val="clear" w:color="auto" w:fill="auto"/>
            <w:noWrap/>
            <w:vAlign w:val="center"/>
          </w:tcPr>
          <w:p w14:paraId="182FACC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78049B9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63D20AB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BF2932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185</w:t>
            </w:r>
          </w:p>
        </w:tc>
        <w:tc>
          <w:tcPr>
            <w:tcW w:w="615" w:type="dxa"/>
            <w:tcBorders>
              <w:top w:val="nil"/>
              <w:left w:val="nil"/>
              <w:bottom w:val="single" w:sz="4" w:space="0" w:color="BFBFBF"/>
              <w:right w:val="single" w:sz="4" w:space="0" w:color="BFBFBF"/>
            </w:tcBorders>
            <w:shd w:val="clear" w:color="auto" w:fill="auto"/>
            <w:noWrap/>
            <w:vAlign w:val="center"/>
          </w:tcPr>
          <w:p w14:paraId="74043C9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619595F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42A7239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16C831F0"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09B28D7F"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smartTag w:uri="urn:schemas-microsoft-com:office:smarttags" w:element="place">
              <w:r w:rsidRPr="00924E7A">
                <w:rPr>
                  <w:rFonts w:ascii="Arial" w:hAnsi="Arial" w:cs="Arial"/>
                  <w:color w:val="000000"/>
                  <w:sz w:val="16"/>
                  <w:szCs w:val="16"/>
                  <w:lang w:val="en-AU" w:eastAsia="en-AU"/>
                </w:rPr>
                <w:t>Southern Melbourne</w:t>
              </w:r>
            </w:smartTag>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21EB089F"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39</w:t>
            </w:r>
          </w:p>
        </w:tc>
        <w:tc>
          <w:tcPr>
            <w:tcW w:w="635" w:type="dxa"/>
            <w:tcBorders>
              <w:top w:val="nil"/>
              <w:left w:val="nil"/>
              <w:bottom w:val="single" w:sz="4" w:space="0" w:color="BFBFBF"/>
              <w:right w:val="single" w:sz="4" w:space="0" w:color="BFBFBF"/>
            </w:tcBorders>
            <w:shd w:val="clear" w:color="auto" w:fill="auto"/>
            <w:noWrap/>
            <w:vAlign w:val="center"/>
          </w:tcPr>
          <w:p w14:paraId="50B67A2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0379F5F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78DD50C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5D71CD6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31</w:t>
            </w:r>
          </w:p>
        </w:tc>
        <w:tc>
          <w:tcPr>
            <w:tcW w:w="615" w:type="dxa"/>
            <w:tcBorders>
              <w:top w:val="nil"/>
              <w:left w:val="nil"/>
              <w:bottom w:val="single" w:sz="4" w:space="0" w:color="BFBFBF"/>
              <w:right w:val="single" w:sz="4" w:space="0" w:color="BFBFBF"/>
            </w:tcBorders>
            <w:shd w:val="clear" w:color="auto" w:fill="auto"/>
            <w:noWrap/>
            <w:vAlign w:val="center"/>
          </w:tcPr>
          <w:p w14:paraId="71E17E8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72BFA48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3D18DFA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7E4A1F6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66</w:t>
            </w:r>
          </w:p>
        </w:tc>
        <w:tc>
          <w:tcPr>
            <w:tcW w:w="655" w:type="dxa"/>
            <w:tcBorders>
              <w:top w:val="nil"/>
              <w:left w:val="nil"/>
              <w:bottom w:val="single" w:sz="4" w:space="0" w:color="BFBFBF"/>
              <w:right w:val="single" w:sz="4" w:space="0" w:color="BFBFBF"/>
            </w:tcBorders>
            <w:shd w:val="clear" w:color="auto" w:fill="auto"/>
            <w:noWrap/>
            <w:vAlign w:val="center"/>
          </w:tcPr>
          <w:p w14:paraId="7CA3A2A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2CA40B2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2C4BD3D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7409E92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136</w:t>
            </w:r>
          </w:p>
        </w:tc>
        <w:tc>
          <w:tcPr>
            <w:tcW w:w="615" w:type="dxa"/>
            <w:tcBorders>
              <w:top w:val="nil"/>
              <w:left w:val="nil"/>
              <w:bottom w:val="single" w:sz="4" w:space="0" w:color="BFBFBF"/>
              <w:right w:val="single" w:sz="4" w:space="0" w:color="BFBFBF"/>
            </w:tcBorders>
            <w:shd w:val="clear" w:color="auto" w:fill="auto"/>
            <w:noWrap/>
            <w:vAlign w:val="center"/>
          </w:tcPr>
          <w:p w14:paraId="3B42F43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129F6A2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08B805E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0622C75E"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193079B0"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Bayside</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73B922EF"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95</w:t>
            </w:r>
          </w:p>
        </w:tc>
        <w:tc>
          <w:tcPr>
            <w:tcW w:w="635" w:type="dxa"/>
            <w:tcBorders>
              <w:top w:val="nil"/>
              <w:left w:val="nil"/>
              <w:bottom w:val="single" w:sz="4" w:space="0" w:color="BFBFBF"/>
              <w:right w:val="single" w:sz="4" w:space="0" w:color="BFBFBF"/>
            </w:tcBorders>
            <w:shd w:val="clear" w:color="auto" w:fill="auto"/>
            <w:noWrap/>
            <w:vAlign w:val="center"/>
          </w:tcPr>
          <w:p w14:paraId="207E2E6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23C6D76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1E421D7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6970A3D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45</w:t>
            </w:r>
          </w:p>
        </w:tc>
        <w:tc>
          <w:tcPr>
            <w:tcW w:w="615" w:type="dxa"/>
            <w:tcBorders>
              <w:top w:val="nil"/>
              <w:left w:val="nil"/>
              <w:bottom w:val="single" w:sz="4" w:space="0" w:color="BFBFBF"/>
              <w:right w:val="single" w:sz="4" w:space="0" w:color="BFBFBF"/>
            </w:tcBorders>
            <w:shd w:val="clear" w:color="auto" w:fill="auto"/>
            <w:noWrap/>
            <w:vAlign w:val="center"/>
          </w:tcPr>
          <w:p w14:paraId="214B1C0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597EB14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6C63B2E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47D2438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129</w:t>
            </w:r>
          </w:p>
        </w:tc>
        <w:tc>
          <w:tcPr>
            <w:tcW w:w="655" w:type="dxa"/>
            <w:tcBorders>
              <w:top w:val="nil"/>
              <w:left w:val="nil"/>
              <w:bottom w:val="single" w:sz="4" w:space="0" w:color="BFBFBF"/>
              <w:right w:val="single" w:sz="4" w:space="0" w:color="BFBFBF"/>
            </w:tcBorders>
            <w:shd w:val="clear" w:color="auto" w:fill="auto"/>
            <w:noWrap/>
            <w:vAlign w:val="center"/>
          </w:tcPr>
          <w:p w14:paraId="687520C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7078505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52AFA4E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754FBE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269</w:t>
            </w:r>
          </w:p>
        </w:tc>
        <w:tc>
          <w:tcPr>
            <w:tcW w:w="615" w:type="dxa"/>
            <w:tcBorders>
              <w:top w:val="nil"/>
              <w:left w:val="nil"/>
              <w:bottom w:val="single" w:sz="4" w:space="0" w:color="BFBFBF"/>
              <w:right w:val="single" w:sz="4" w:space="0" w:color="BFBFBF"/>
            </w:tcBorders>
            <w:shd w:val="clear" w:color="auto" w:fill="auto"/>
            <w:noWrap/>
            <w:vAlign w:val="center"/>
          </w:tcPr>
          <w:p w14:paraId="5251385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10EB56D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2F7066C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4588313D"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7F471F09"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smartTag w:uri="urn:schemas-microsoft-com:office:smarttags" w:element="place">
              <w:r w:rsidRPr="00924E7A">
                <w:rPr>
                  <w:rFonts w:ascii="Arial" w:hAnsi="Arial" w:cs="Arial"/>
                  <w:color w:val="000000"/>
                  <w:sz w:val="16"/>
                  <w:szCs w:val="16"/>
                  <w:lang w:val="en-AU" w:eastAsia="en-AU"/>
                </w:rPr>
                <w:t>Western Melbourne</w:t>
              </w:r>
            </w:smartTag>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667E9DD2"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25</w:t>
            </w:r>
          </w:p>
        </w:tc>
        <w:tc>
          <w:tcPr>
            <w:tcW w:w="635" w:type="dxa"/>
            <w:tcBorders>
              <w:top w:val="nil"/>
              <w:left w:val="nil"/>
              <w:bottom w:val="single" w:sz="4" w:space="0" w:color="BFBFBF"/>
              <w:right w:val="single" w:sz="4" w:space="0" w:color="BFBFBF"/>
            </w:tcBorders>
            <w:shd w:val="clear" w:color="auto" w:fill="auto"/>
            <w:noWrap/>
            <w:vAlign w:val="center"/>
          </w:tcPr>
          <w:p w14:paraId="22795D6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25000EC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0E43DF8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5CE2315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26</w:t>
            </w:r>
          </w:p>
        </w:tc>
        <w:tc>
          <w:tcPr>
            <w:tcW w:w="615" w:type="dxa"/>
            <w:tcBorders>
              <w:top w:val="nil"/>
              <w:left w:val="nil"/>
              <w:bottom w:val="single" w:sz="4" w:space="0" w:color="BFBFBF"/>
              <w:right w:val="single" w:sz="4" w:space="0" w:color="BFBFBF"/>
            </w:tcBorders>
            <w:shd w:val="clear" w:color="auto" w:fill="auto"/>
            <w:noWrap/>
            <w:vAlign w:val="center"/>
          </w:tcPr>
          <w:p w14:paraId="6C8B38B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40B65C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344B431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465A19C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84</w:t>
            </w:r>
          </w:p>
        </w:tc>
        <w:tc>
          <w:tcPr>
            <w:tcW w:w="655" w:type="dxa"/>
            <w:tcBorders>
              <w:top w:val="nil"/>
              <w:left w:val="nil"/>
              <w:bottom w:val="single" w:sz="4" w:space="0" w:color="BFBFBF"/>
              <w:right w:val="single" w:sz="4" w:space="0" w:color="BFBFBF"/>
            </w:tcBorders>
            <w:shd w:val="clear" w:color="auto" w:fill="auto"/>
            <w:noWrap/>
            <w:vAlign w:val="center"/>
          </w:tcPr>
          <w:p w14:paraId="099CDA1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6168620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7C866C8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4BFF69A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135</w:t>
            </w:r>
          </w:p>
        </w:tc>
        <w:tc>
          <w:tcPr>
            <w:tcW w:w="615" w:type="dxa"/>
            <w:tcBorders>
              <w:top w:val="nil"/>
              <w:left w:val="nil"/>
              <w:bottom w:val="single" w:sz="4" w:space="0" w:color="BFBFBF"/>
              <w:right w:val="single" w:sz="4" w:space="0" w:color="BFBFBF"/>
            </w:tcBorders>
            <w:shd w:val="clear" w:color="auto" w:fill="auto"/>
            <w:noWrap/>
            <w:vAlign w:val="center"/>
          </w:tcPr>
          <w:p w14:paraId="20847B5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157C8C6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66221B8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1D07860C"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14D5C768"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Brimbank Melton</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684F96E1"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20</w:t>
            </w:r>
          </w:p>
        </w:tc>
        <w:tc>
          <w:tcPr>
            <w:tcW w:w="635" w:type="dxa"/>
            <w:tcBorders>
              <w:top w:val="nil"/>
              <w:left w:val="nil"/>
              <w:bottom w:val="single" w:sz="4" w:space="0" w:color="BFBFBF"/>
              <w:right w:val="single" w:sz="4" w:space="0" w:color="BFBFBF"/>
            </w:tcBorders>
            <w:shd w:val="clear" w:color="auto" w:fill="auto"/>
            <w:noWrap/>
            <w:vAlign w:val="center"/>
          </w:tcPr>
          <w:p w14:paraId="505C151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77A328D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4963A7F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F30589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17</w:t>
            </w:r>
          </w:p>
        </w:tc>
        <w:tc>
          <w:tcPr>
            <w:tcW w:w="615" w:type="dxa"/>
            <w:tcBorders>
              <w:top w:val="nil"/>
              <w:left w:val="nil"/>
              <w:bottom w:val="single" w:sz="4" w:space="0" w:color="BFBFBF"/>
              <w:right w:val="single" w:sz="4" w:space="0" w:color="BFBFBF"/>
            </w:tcBorders>
            <w:shd w:val="clear" w:color="auto" w:fill="auto"/>
            <w:noWrap/>
            <w:vAlign w:val="center"/>
          </w:tcPr>
          <w:p w14:paraId="4CC2B3B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6474D1F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70A8A95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1174F43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25</w:t>
            </w:r>
          </w:p>
        </w:tc>
        <w:tc>
          <w:tcPr>
            <w:tcW w:w="655" w:type="dxa"/>
            <w:tcBorders>
              <w:top w:val="nil"/>
              <w:left w:val="nil"/>
              <w:bottom w:val="single" w:sz="4" w:space="0" w:color="BFBFBF"/>
              <w:right w:val="single" w:sz="4" w:space="0" w:color="BFBFBF"/>
            </w:tcBorders>
            <w:shd w:val="clear" w:color="auto" w:fill="auto"/>
            <w:noWrap/>
            <w:vAlign w:val="center"/>
          </w:tcPr>
          <w:p w14:paraId="4ECA208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3B4E8B2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4F3CFBC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7195073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62</w:t>
            </w:r>
          </w:p>
        </w:tc>
        <w:tc>
          <w:tcPr>
            <w:tcW w:w="615" w:type="dxa"/>
            <w:tcBorders>
              <w:top w:val="nil"/>
              <w:left w:val="nil"/>
              <w:bottom w:val="single" w:sz="4" w:space="0" w:color="BFBFBF"/>
              <w:right w:val="single" w:sz="4" w:space="0" w:color="BFBFBF"/>
            </w:tcBorders>
            <w:shd w:val="clear" w:color="auto" w:fill="auto"/>
            <w:noWrap/>
            <w:vAlign w:val="center"/>
          </w:tcPr>
          <w:p w14:paraId="7D42D31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7A850C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5F2EAF4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39B1527C"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44AE3DDF"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Mallee</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6B8860BC"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26</w:t>
            </w:r>
          </w:p>
        </w:tc>
        <w:tc>
          <w:tcPr>
            <w:tcW w:w="635" w:type="dxa"/>
            <w:tcBorders>
              <w:top w:val="nil"/>
              <w:left w:val="nil"/>
              <w:bottom w:val="single" w:sz="4" w:space="0" w:color="BFBFBF"/>
              <w:right w:val="single" w:sz="4" w:space="0" w:color="BFBFBF"/>
            </w:tcBorders>
            <w:shd w:val="clear" w:color="auto" w:fill="auto"/>
            <w:noWrap/>
            <w:vAlign w:val="center"/>
          </w:tcPr>
          <w:p w14:paraId="69F40C7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52905C3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072FBD4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4D7BE3F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10</w:t>
            </w:r>
          </w:p>
        </w:tc>
        <w:tc>
          <w:tcPr>
            <w:tcW w:w="615" w:type="dxa"/>
            <w:tcBorders>
              <w:top w:val="nil"/>
              <w:left w:val="nil"/>
              <w:bottom w:val="single" w:sz="4" w:space="0" w:color="BFBFBF"/>
              <w:right w:val="single" w:sz="4" w:space="0" w:color="BFBFBF"/>
            </w:tcBorders>
            <w:shd w:val="clear" w:color="auto" w:fill="auto"/>
            <w:noWrap/>
            <w:vAlign w:val="center"/>
          </w:tcPr>
          <w:p w14:paraId="24E6536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31A5EE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15B683A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15E5741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20</w:t>
            </w:r>
          </w:p>
        </w:tc>
        <w:tc>
          <w:tcPr>
            <w:tcW w:w="655" w:type="dxa"/>
            <w:tcBorders>
              <w:top w:val="nil"/>
              <w:left w:val="nil"/>
              <w:bottom w:val="single" w:sz="4" w:space="0" w:color="BFBFBF"/>
              <w:right w:val="single" w:sz="4" w:space="0" w:color="BFBFBF"/>
            </w:tcBorders>
            <w:shd w:val="clear" w:color="auto" w:fill="auto"/>
            <w:noWrap/>
            <w:vAlign w:val="center"/>
          </w:tcPr>
          <w:p w14:paraId="1EA24DD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539154F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0975B7D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4197AD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56</w:t>
            </w:r>
          </w:p>
        </w:tc>
        <w:tc>
          <w:tcPr>
            <w:tcW w:w="615" w:type="dxa"/>
            <w:tcBorders>
              <w:top w:val="nil"/>
              <w:left w:val="nil"/>
              <w:bottom w:val="single" w:sz="4" w:space="0" w:color="BFBFBF"/>
              <w:right w:val="single" w:sz="4" w:space="0" w:color="BFBFBF"/>
            </w:tcBorders>
            <w:shd w:val="clear" w:color="auto" w:fill="auto"/>
            <w:noWrap/>
            <w:vAlign w:val="center"/>
          </w:tcPr>
          <w:p w14:paraId="608B0AA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5124CCD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0BD3069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0856E38F"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62B62148"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Loddon</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0027B6E1"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50</w:t>
            </w:r>
          </w:p>
        </w:tc>
        <w:tc>
          <w:tcPr>
            <w:tcW w:w="635" w:type="dxa"/>
            <w:tcBorders>
              <w:top w:val="nil"/>
              <w:left w:val="nil"/>
              <w:bottom w:val="single" w:sz="4" w:space="0" w:color="BFBFBF"/>
              <w:right w:val="single" w:sz="4" w:space="0" w:color="BFBFBF"/>
            </w:tcBorders>
            <w:shd w:val="clear" w:color="auto" w:fill="auto"/>
            <w:noWrap/>
            <w:vAlign w:val="center"/>
          </w:tcPr>
          <w:p w14:paraId="0E9F828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1860002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35F3222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4B722ED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35</w:t>
            </w:r>
          </w:p>
        </w:tc>
        <w:tc>
          <w:tcPr>
            <w:tcW w:w="615" w:type="dxa"/>
            <w:tcBorders>
              <w:top w:val="nil"/>
              <w:left w:val="nil"/>
              <w:bottom w:val="single" w:sz="4" w:space="0" w:color="BFBFBF"/>
              <w:right w:val="single" w:sz="4" w:space="0" w:color="BFBFBF"/>
            </w:tcBorders>
            <w:shd w:val="clear" w:color="auto" w:fill="auto"/>
            <w:noWrap/>
            <w:vAlign w:val="center"/>
          </w:tcPr>
          <w:p w14:paraId="767B664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7710E91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5ECB3C6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35D9DB1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42</w:t>
            </w:r>
          </w:p>
        </w:tc>
        <w:tc>
          <w:tcPr>
            <w:tcW w:w="655" w:type="dxa"/>
            <w:tcBorders>
              <w:top w:val="nil"/>
              <w:left w:val="nil"/>
              <w:bottom w:val="single" w:sz="4" w:space="0" w:color="BFBFBF"/>
              <w:right w:val="single" w:sz="4" w:space="0" w:color="BFBFBF"/>
            </w:tcBorders>
            <w:shd w:val="clear" w:color="auto" w:fill="auto"/>
            <w:noWrap/>
            <w:vAlign w:val="center"/>
          </w:tcPr>
          <w:p w14:paraId="01B6013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3E59F70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1C674D3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42094CB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127</w:t>
            </w:r>
          </w:p>
        </w:tc>
        <w:tc>
          <w:tcPr>
            <w:tcW w:w="615" w:type="dxa"/>
            <w:tcBorders>
              <w:top w:val="nil"/>
              <w:left w:val="nil"/>
              <w:bottom w:val="single" w:sz="4" w:space="0" w:color="BFBFBF"/>
              <w:right w:val="single" w:sz="4" w:space="0" w:color="BFBFBF"/>
            </w:tcBorders>
            <w:shd w:val="clear" w:color="auto" w:fill="auto"/>
            <w:noWrap/>
            <w:vAlign w:val="center"/>
          </w:tcPr>
          <w:p w14:paraId="79D18C6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77044FE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7B79BD0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21A9B7A3"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0864A936"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924E7A">
                  <w:rPr>
                    <w:rFonts w:ascii="Arial" w:hAnsi="Arial" w:cs="Arial"/>
                    <w:color w:val="000000"/>
                    <w:sz w:val="16"/>
                    <w:szCs w:val="16"/>
                    <w:lang w:val="en-AU" w:eastAsia="en-AU"/>
                  </w:rPr>
                  <w:t>Murray</w:t>
                </w:r>
              </w:smartTag>
            </w:smartTag>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18BC424E"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17</w:t>
            </w:r>
          </w:p>
        </w:tc>
        <w:tc>
          <w:tcPr>
            <w:tcW w:w="635" w:type="dxa"/>
            <w:tcBorders>
              <w:top w:val="nil"/>
              <w:left w:val="nil"/>
              <w:bottom w:val="single" w:sz="4" w:space="0" w:color="BFBFBF"/>
              <w:right w:val="single" w:sz="4" w:space="0" w:color="BFBFBF"/>
            </w:tcBorders>
            <w:shd w:val="clear" w:color="auto" w:fill="auto"/>
            <w:noWrap/>
            <w:vAlign w:val="center"/>
          </w:tcPr>
          <w:p w14:paraId="09485AF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37D68B2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3CA50D5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22FDA8F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13</w:t>
            </w:r>
          </w:p>
        </w:tc>
        <w:tc>
          <w:tcPr>
            <w:tcW w:w="615" w:type="dxa"/>
            <w:tcBorders>
              <w:top w:val="nil"/>
              <w:left w:val="nil"/>
              <w:bottom w:val="single" w:sz="4" w:space="0" w:color="BFBFBF"/>
              <w:right w:val="single" w:sz="4" w:space="0" w:color="BFBFBF"/>
            </w:tcBorders>
            <w:shd w:val="clear" w:color="auto" w:fill="auto"/>
            <w:noWrap/>
            <w:vAlign w:val="center"/>
          </w:tcPr>
          <w:p w14:paraId="78479D7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6E71A01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1818ABB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057F647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22</w:t>
            </w:r>
          </w:p>
        </w:tc>
        <w:tc>
          <w:tcPr>
            <w:tcW w:w="655" w:type="dxa"/>
            <w:tcBorders>
              <w:top w:val="nil"/>
              <w:left w:val="nil"/>
              <w:bottom w:val="single" w:sz="4" w:space="0" w:color="BFBFBF"/>
              <w:right w:val="single" w:sz="4" w:space="0" w:color="BFBFBF"/>
            </w:tcBorders>
            <w:shd w:val="clear" w:color="auto" w:fill="auto"/>
            <w:noWrap/>
            <w:vAlign w:val="center"/>
          </w:tcPr>
          <w:p w14:paraId="033E07C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7DBDB30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718B4F1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8672EC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52</w:t>
            </w:r>
          </w:p>
        </w:tc>
        <w:tc>
          <w:tcPr>
            <w:tcW w:w="615" w:type="dxa"/>
            <w:tcBorders>
              <w:top w:val="nil"/>
              <w:left w:val="nil"/>
              <w:bottom w:val="single" w:sz="4" w:space="0" w:color="BFBFBF"/>
              <w:right w:val="single" w:sz="4" w:space="0" w:color="BFBFBF"/>
            </w:tcBorders>
            <w:shd w:val="clear" w:color="auto" w:fill="auto"/>
            <w:noWrap/>
            <w:vAlign w:val="center"/>
          </w:tcPr>
          <w:p w14:paraId="797B66E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E26C1F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7FEC273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168935AF"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06F69A7F"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Goulburn</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3D91A90B"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23</w:t>
            </w:r>
          </w:p>
        </w:tc>
        <w:tc>
          <w:tcPr>
            <w:tcW w:w="635" w:type="dxa"/>
            <w:tcBorders>
              <w:top w:val="nil"/>
              <w:left w:val="nil"/>
              <w:bottom w:val="single" w:sz="4" w:space="0" w:color="BFBFBF"/>
              <w:right w:val="single" w:sz="4" w:space="0" w:color="BFBFBF"/>
            </w:tcBorders>
            <w:shd w:val="clear" w:color="auto" w:fill="auto"/>
            <w:noWrap/>
            <w:vAlign w:val="center"/>
          </w:tcPr>
          <w:p w14:paraId="180ED99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0CBE8AD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04E02B4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26E9E55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15</w:t>
            </w:r>
          </w:p>
        </w:tc>
        <w:tc>
          <w:tcPr>
            <w:tcW w:w="615" w:type="dxa"/>
            <w:tcBorders>
              <w:top w:val="nil"/>
              <w:left w:val="nil"/>
              <w:bottom w:val="single" w:sz="4" w:space="0" w:color="BFBFBF"/>
              <w:right w:val="single" w:sz="4" w:space="0" w:color="BFBFBF"/>
            </w:tcBorders>
            <w:shd w:val="clear" w:color="auto" w:fill="auto"/>
            <w:noWrap/>
            <w:vAlign w:val="center"/>
          </w:tcPr>
          <w:p w14:paraId="76110A0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6BBC32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6C3AA9F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2197AA7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33</w:t>
            </w:r>
          </w:p>
        </w:tc>
        <w:tc>
          <w:tcPr>
            <w:tcW w:w="655" w:type="dxa"/>
            <w:tcBorders>
              <w:top w:val="nil"/>
              <w:left w:val="nil"/>
              <w:bottom w:val="single" w:sz="4" w:space="0" w:color="BFBFBF"/>
              <w:right w:val="single" w:sz="4" w:space="0" w:color="BFBFBF"/>
            </w:tcBorders>
            <w:shd w:val="clear" w:color="auto" w:fill="auto"/>
            <w:noWrap/>
            <w:vAlign w:val="center"/>
          </w:tcPr>
          <w:p w14:paraId="5274997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5E31119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1B7CF57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23E1E31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71</w:t>
            </w:r>
          </w:p>
        </w:tc>
        <w:tc>
          <w:tcPr>
            <w:tcW w:w="615" w:type="dxa"/>
            <w:tcBorders>
              <w:top w:val="nil"/>
              <w:left w:val="nil"/>
              <w:bottom w:val="single" w:sz="4" w:space="0" w:color="BFBFBF"/>
              <w:right w:val="single" w:sz="4" w:space="0" w:color="BFBFBF"/>
            </w:tcBorders>
            <w:shd w:val="clear" w:color="auto" w:fill="auto"/>
            <w:noWrap/>
            <w:vAlign w:val="center"/>
          </w:tcPr>
          <w:p w14:paraId="2BD1FC2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1C2C48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17FB160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2263EFED"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28DD28F5"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Outer Gippsland</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47790330"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34</w:t>
            </w:r>
          </w:p>
        </w:tc>
        <w:tc>
          <w:tcPr>
            <w:tcW w:w="635" w:type="dxa"/>
            <w:tcBorders>
              <w:top w:val="nil"/>
              <w:left w:val="nil"/>
              <w:bottom w:val="single" w:sz="4" w:space="0" w:color="BFBFBF"/>
              <w:right w:val="single" w:sz="4" w:space="0" w:color="BFBFBF"/>
            </w:tcBorders>
            <w:shd w:val="clear" w:color="auto" w:fill="auto"/>
            <w:noWrap/>
            <w:vAlign w:val="center"/>
          </w:tcPr>
          <w:p w14:paraId="087C2D8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1EEAFC1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37D4ED3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7E9D5D6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20</w:t>
            </w:r>
          </w:p>
        </w:tc>
        <w:tc>
          <w:tcPr>
            <w:tcW w:w="615" w:type="dxa"/>
            <w:tcBorders>
              <w:top w:val="nil"/>
              <w:left w:val="nil"/>
              <w:bottom w:val="single" w:sz="4" w:space="0" w:color="BFBFBF"/>
              <w:right w:val="single" w:sz="4" w:space="0" w:color="BFBFBF"/>
            </w:tcBorders>
            <w:shd w:val="clear" w:color="auto" w:fill="auto"/>
            <w:noWrap/>
            <w:vAlign w:val="center"/>
          </w:tcPr>
          <w:p w14:paraId="76150D0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20A108C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5CDA884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46AB827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35</w:t>
            </w:r>
          </w:p>
        </w:tc>
        <w:tc>
          <w:tcPr>
            <w:tcW w:w="655" w:type="dxa"/>
            <w:tcBorders>
              <w:top w:val="nil"/>
              <w:left w:val="nil"/>
              <w:bottom w:val="single" w:sz="4" w:space="0" w:color="BFBFBF"/>
              <w:right w:val="single" w:sz="4" w:space="0" w:color="BFBFBF"/>
            </w:tcBorders>
            <w:shd w:val="clear" w:color="auto" w:fill="auto"/>
            <w:noWrap/>
            <w:vAlign w:val="center"/>
          </w:tcPr>
          <w:p w14:paraId="3CB89AD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1119303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0E5C002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7A7EC54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89</w:t>
            </w:r>
          </w:p>
        </w:tc>
        <w:tc>
          <w:tcPr>
            <w:tcW w:w="615" w:type="dxa"/>
            <w:tcBorders>
              <w:top w:val="nil"/>
              <w:left w:val="nil"/>
              <w:bottom w:val="single" w:sz="4" w:space="0" w:color="BFBFBF"/>
              <w:right w:val="single" w:sz="4" w:space="0" w:color="BFBFBF"/>
            </w:tcBorders>
            <w:shd w:val="clear" w:color="auto" w:fill="auto"/>
            <w:noWrap/>
            <w:vAlign w:val="center"/>
          </w:tcPr>
          <w:p w14:paraId="6C62872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1AE8186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54FDA9B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58178315"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6EF81DE7"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Inner Gippsland</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3FA019B5"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31</w:t>
            </w:r>
          </w:p>
        </w:tc>
        <w:tc>
          <w:tcPr>
            <w:tcW w:w="635" w:type="dxa"/>
            <w:tcBorders>
              <w:top w:val="nil"/>
              <w:left w:val="nil"/>
              <w:bottom w:val="single" w:sz="4" w:space="0" w:color="BFBFBF"/>
              <w:right w:val="single" w:sz="4" w:space="0" w:color="BFBFBF"/>
            </w:tcBorders>
            <w:shd w:val="clear" w:color="auto" w:fill="auto"/>
            <w:noWrap/>
            <w:vAlign w:val="center"/>
          </w:tcPr>
          <w:p w14:paraId="7C07191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375A1CC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170F231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AC0E0B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19</w:t>
            </w:r>
          </w:p>
        </w:tc>
        <w:tc>
          <w:tcPr>
            <w:tcW w:w="615" w:type="dxa"/>
            <w:tcBorders>
              <w:top w:val="nil"/>
              <w:left w:val="nil"/>
              <w:bottom w:val="single" w:sz="4" w:space="0" w:color="BFBFBF"/>
              <w:right w:val="single" w:sz="4" w:space="0" w:color="BFBFBF"/>
            </w:tcBorders>
            <w:shd w:val="clear" w:color="auto" w:fill="auto"/>
            <w:noWrap/>
            <w:vAlign w:val="center"/>
          </w:tcPr>
          <w:p w14:paraId="1478FC3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0714F0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15F1B97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75645EE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33</w:t>
            </w:r>
          </w:p>
        </w:tc>
        <w:tc>
          <w:tcPr>
            <w:tcW w:w="655" w:type="dxa"/>
            <w:tcBorders>
              <w:top w:val="nil"/>
              <w:left w:val="nil"/>
              <w:bottom w:val="single" w:sz="4" w:space="0" w:color="BFBFBF"/>
              <w:right w:val="single" w:sz="4" w:space="0" w:color="BFBFBF"/>
            </w:tcBorders>
            <w:shd w:val="clear" w:color="auto" w:fill="auto"/>
            <w:noWrap/>
            <w:vAlign w:val="center"/>
          </w:tcPr>
          <w:p w14:paraId="269A698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0CCF1D9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00ADD5A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27EA7EA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83</w:t>
            </w:r>
          </w:p>
        </w:tc>
        <w:tc>
          <w:tcPr>
            <w:tcW w:w="615" w:type="dxa"/>
            <w:tcBorders>
              <w:top w:val="nil"/>
              <w:left w:val="nil"/>
              <w:bottom w:val="single" w:sz="4" w:space="0" w:color="BFBFBF"/>
              <w:right w:val="single" w:sz="4" w:space="0" w:color="BFBFBF"/>
            </w:tcBorders>
            <w:shd w:val="clear" w:color="auto" w:fill="auto"/>
            <w:noWrap/>
            <w:vAlign w:val="center"/>
          </w:tcPr>
          <w:p w14:paraId="6A09805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98E883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3C0CF4C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24610810"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190CA216"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Western District</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14B2D739"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12</w:t>
            </w:r>
          </w:p>
        </w:tc>
        <w:tc>
          <w:tcPr>
            <w:tcW w:w="635" w:type="dxa"/>
            <w:tcBorders>
              <w:top w:val="nil"/>
              <w:left w:val="nil"/>
              <w:bottom w:val="single" w:sz="4" w:space="0" w:color="BFBFBF"/>
              <w:right w:val="single" w:sz="4" w:space="0" w:color="BFBFBF"/>
            </w:tcBorders>
            <w:shd w:val="clear" w:color="auto" w:fill="auto"/>
            <w:noWrap/>
            <w:vAlign w:val="center"/>
          </w:tcPr>
          <w:p w14:paraId="2BF7662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4D167B5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7287D4D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5FFDE498"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14</w:t>
            </w:r>
          </w:p>
        </w:tc>
        <w:tc>
          <w:tcPr>
            <w:tcW w:w="615" w:type="dxa"/>
            <w:tcBorders>
              <w:top w:val="nil"/>
              <w:left w:val="nil"/>
              <w:bottom w:val="single" w:sz="4" w:space="0" w:color="BFBFBF"/>
              <w:right w:val="single" w:sz="4" w:space="0" w:color="BFBFBF"/>
            </w:tcBorders>
            <w:shd w:val="clear" w:color="auto" w:fill="auto"/>
            <w:noWrap/>
            <w:vAlign w:val="center"/>
          </w:tcPr>
          <w:p w14:paraId="2A3791F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0E8203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54283272"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25242B2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12</w:t>
            </w:r>
          </w:p>
        </w:tc>
        <w:tc>
          <w:tcPr>
            <w:tcW w:w="655" w:type="dxa"/>
            <w:tcBorders>
              <w:top w:val="nil"/>
              <w:left w:val="nil"/>
              <w:bottom w:val="single" w:sz="4" w:space="0" w:color="BFBFBF"/>
              <w:right w:val="single" w:sz="4" w:space="0" w:color="BFBFBF"/>
            </w:tcBorders>
            <w:shd w:val="clear" w:color="auto" w:fill="auto"/>
            <w:noWrap/>
            <w:vAlign w:val="center"/>
          </w:tcPr>
          <w:p w14:paraId="7798A56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360D39C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346E625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9BF24F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38</w:t>
            </w:r>
          </w:p>
        </w:tc>
        <w:tc>
          <w:tcPr>
            <w:tcW w:w="615" w:type="dxa"/>
            <w:tcBorders>
              <w:top w:val="nil"/>
              <w:left w:val="nil"/>
              <w:bottom w:val="single" w:sz="4" w:space="0" w:color="BFBFBF"/>
              <w:right w:val="single" w:sz="4" w:space="0" w:color="BFBFBF"/>
            </w:tcBorders>
            <w:shd w:val="clear" w:color="auto" w:fill="auto"/>
            <w:noWrap/>
            <w:vAlign w:val="center"/>
          </w:tcPr>
          <w:p w14:paraId="04F988D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7402B48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26D3BF5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5D57A18E"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397F06E9"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Barwon</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5938DBDB"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42</w:t>
            </w:r>
          </w:p>
        </w:tc>
        <w:tc>
          <w:tcPr>
            <w:tcW w:w="635" w:type="dxa"/>
            <w:tcBorders>
              <w:top w:val="nil"/>
              <w:left w:val="nil"/>
              <w:bottom w:val="single" w:sz="4" w:space="0" w:color="BFBFBF"/>
              <w:right w:val="single" w:sz="4" w:space="0" w:color="BFBFBF"/>
            </w:tcBorders>
            <w:shd w:val="clear" w:color="auto" w:fill="auto"/>
            <w:noWrap/>
            <w:vAlign w:val="center"/>
          </w:tcPr>
          <w:p w14:paraId="755737C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2E03914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59E83ADC"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D26F85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28</w:t>
            </w:r>
          </w:p>
        </w:tc>
        <w:tc>
          <w:tcPr>
            <w:tcW w:w="615" w:type="dxa"/>
            <w:tcBorders>
              <w:top w:val="nil"/>
              <w:left w:val="nil"/>
              <w:bottom w:val="single" w:sz="4" w:space="0" w:color="BFBFBF"/>
              <w:right w:val="single" w:sz="4" w:space="0" w:color="BFBFBF"/>
            </w:tcBorders>
            <w:shd w:val="clear" w:color="auto" w:fill="auto"/>
            <w:noWrap/>
            <w:vAlign w:val="center"/>
          </w:tcPr>
          <w:p w14:paraId="1B12FDF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42A517E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52932E2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735F105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45</w:t>
            </w:r>
          </w:p>
        </w:tc>
        <w:tc>
          <w:tcPr>
            <w:tcW w:w="655" w:type="dxa"/>
            <w:tcBorders>
              <w:top w:val="nil"/>
              <w:left w:val="nil"/>
              <w:bottom w:val="single" w:sz="4" w:space="0" w:color="BFBFBF"/>
              <w:right w:val="single" w:sz="4" w:space="0" w:color="BFBFBF"/>
            </w:tcBorders>
            <w:shd w:val="clear" w:color="auto" w:fill="auto"/>
            <w:noWrap/>
            <w:vAlign w:val="center"/>
          </w:tcPr>
          <w:p w14:paraId="2103E3C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2D4720D7"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1CC3AB2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1988CE5B"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115</w:t>
            </w:r>
          </w:p>
        </w:tc>
        <w:tc>
          <w:tcPr>
            <w:tcW w:w="615" w:type="dxa"/>
            <w:tcBorders>
              <w:top w:val="nil"/>
              <w:left w:val="nil"/>
              <w:bottom w:val="single" w:sz="4" w:space="0" w:color="BFBFBF"/>
              <w:right w:val="single" w:sz="4" w:space="0" w:color="BFBFBF"/>
            </w:tcBorders>
            <w:shd w:val="clear" w:color="auto" w:fill="auto"/>
            <w:noWrap/>
            <w:vAlign w:val="center"/>
          </w:tcPr>
          <w:p w14:paraId="306149D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1F5A42E1"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64C464B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51E126C1" w14:textId="77777777" w:rsidTr="00C2145D">
        <w:trPr>
          <w:trHeight w:val="225"/>
          <w:jc w:val="center"/>
        </w:trPr>
        <w:tc>
          <w:tcPr>
            <w:tcW w:w="2180" w:type="dxa"/>
            <w:tcBorders>
              <w:top w:val="nil"/>
              <w:left w:val="double" w:sz="6" w:space="0" w:color="auto"/>
              <w:bottom w:val="single" w:sz="4" w:space="0" w:color="BFBFBF"/>
              <w:right w:val="nil"/>
            </w:tcBorders>
            <w:shd w:val="clear" w:color="auto" w:fill="auto"/>
            <w:noWrap/>
            <w:vAlign w:val="bottom"/>
          </w:tcPr>
          <w:p w14:paraId="05DDBAD4" w14:textId="77777777" w:rsidR="00E548CE" w:rsidRPr="00924E7A" w:rsidRDefault="00E548CE" w:rsidP="00E548CE">
            <w:pPr>
              <w:spacing w:before="0" w:after="0"/>
              <w:ind w:firstLineChars="100" w:firstLine="160"/>
              <w:rPr>
                <w:rFonts w:ascii="Arial" w:hAnsi="Arial" w:cs="Arial"/>
                <w:color w:val="000000"/>
                <w:sz w:val="16"/>
                <w:szCs w:val="16"/>
                <w:lang w:val="en-AU" w:eastAsia="en-AU"/>
              </w:rPr>
            </w:pPr>
            <w:r w:rsidRPr="00924E7A">
              <w:rPr>
                <w:rFonts w:ascii="Arial" w:hAnsi="Arial" w:cs="Arial"/>
                <w:color w:val="000000"/>
                <w:sz w:val="16"/>
                <w:szCs w:val="16"/>
                <w:lang w:val="en-AU" w:eastAsia="en-AU"/>
              </w:rPr>
              <w:t>Central Highlands</w:t>
            </w:r>
          </w:p>
        </w:tc>
        <w:tc>
          <w:tcPr>
            <w:tcW w:w="635" w:type="dxa"/>
            <w:tcBorders>
              <w:top w:val="nil"/>
              <w:left w:val="single" w:sz="4" w:space="0" w:color="auto"/>
              <w:bottom w:val="single" w:sz="4" w:space="0" w:color="BFBFBF"/>
              <w:right w:val="single" w:sz="4" w:space="0" w:color="BFBFBF"/>
            </w:tcBorders>
            <w:shd w:val="clear" w:color="auto" w:fill="auto"/>
            <w:noWrap/>
            <w:vAlign w:val="center"/>
          </w:tcPr>
          <w:p w14:paraId="2654FC42" w14:textId="77777777" w:rsidR="00E548CE" w:rsidRPr="00924E7A" w:rsidRDefault="00E548CE" w:rsidP="00C2145D">
            <w:pPr>
              <w:spacing w:before="0" w:after="0"/>
              <w:jc w:val="center"/>
              <w:rPr>
                <w:rFonts w:ascii="Arial" w:hAnsi="Arial" w:cs="Arial"/>
                <w:sz w:val="16"/>
                <w:szCs w:val="16"/>
                <w:lang w:val="en-AU" w:eastAsia="en-AU"/>
              </w:rPr>
            </w:pPr>
            <w:r w:rsidRPr="00924E7A">
              <w:rPr>
                <w:rFonts w:ascii="Arial" w:hAnsi="Arial" w:cs="Arial"/>
                <w:sz w:val="16"/>
                <w:szCs w:val="16"/>
                <w:lang w:val="en-AU" w:eastAsia="en-AU"/>
              </w:rPr>
              <w:t>32</w:t>
            </w:r>
          </w:p>
        </w:tc>
        <w:tc>
          <w:tcPr>
            <w:tcW w:w="635" w:type="dxa"/>
            <w:tcBorders>
              <w:top w:val="nil"/>
              <w:left w:val="nil"/>
              <w:bottom w:val="single" w:sz="4" w:space="0" w:color="BFBFBF"/>
              <w:right w:val="single" w:sz="4" w:space="0" w:color="BFBFBF"/>
            </w:tcBorders>
            <w:shd w:val="clear" w:color="auto" w:fill="auto"/>
            <w:noWrap/>
            <w:vAlign w:val="center"/>
          </w:tcPr>
          <w:p w14:paraId="255E2E0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BFBFBF"/>
            </w:tcBorders>
            <w:shd w:val="clear" w:color="auto" w:fill="auto"/>
            <w:noWrap/>
            <w:vAlign w:val="center"/>
          </w:tcPr>
          <w:p w14:paraId="29183894"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35" w:type="dxa"/>
            <w:tcBorders>
              <w:top w:val="nil"/>
              <w:left w:val="nil"/>
              <w:bottom w:val="single" w:sz="4" w:space="0" w:color="BFBFBF"/>
              <w:right w:val="single" w:sz="4" w:space="0" w:color="auto"/>
            </w:tcBorders>
            <w:shd w:val="clear" w:color="auto" w:fill="auto"/>
            <w:noWrap/>
            <w:vAlign w:val="center"/>
          </w:tcPr>
          <w:p w14:paraId="213F598A"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165AB97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34</w:t>
            </w:r>
          </w:p>
        </w:tc>
        <w:tc>
          <w:tcPr>
            <w:tcW w:w="615" w:type="dxa"/>
            <w:tcBorders>
              <w:top w:val="nil"/>
              <w:left w:val="nil"/>
              <w:bottom w:val="single" w:sz="4" w:space="0" w:color="BFBFBF"/>
              <w:right w:val="single" w:sz="4" w:space="0" w:color="BFBFBF"/>
            </w:tcBorders>
            <w:shd w:val="clear" w:color="auto" w:fill="auto"/>
            <w:noWrap/>
            <w:vAlign w:val="center"/>
          </w:tcPr>
          <w:p w14:paraId="31898B6E"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4B6D13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nil"/>
            </w:tcBorders>
            <w:shd w:val="clear" w:color="auto" w:fill="auto"/>
            <w:noWrap/>
            <w:vAlign w:val="center"/>
          </w:tcPr>
          <w:p w14:paraId="7484945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single" w:sz="4" w:space="0" w:color="auto"/>
              <w:bottom w:val="single" w:sz="4" w:space="0" w:color="BFBFBF"/>
              <w:right w:val="single" w:sz="4" w:space="0" w:color="BFBFBF"/>
            </w:tcBorders>
            <w:shd w:val="clear" w:color="auto" w:fill="auto"/>
            <w:noWrap/>
            <w:vAlign w:val="center"/>
          </w:tcPr>
          <w:p w14:paraId="1D3C2015"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31</w:t>
            </w:r>
          </w:p>
        </w:tc>
        <w:tc>
          <w:tcPr>
            <w:tcW w:w="655" w:type="dxa"/>
            <w:tcBorders>
              <w:top w:val="nil"/>
              <w:left w:val="nil"/>
              <w:bottom w:val="single" w:sz="4" w:space="0" w:color="BFBFBF"/>
              <w:right w:val="single" w:sz="4" w:space="0" w:color="BFBFBF"/>
            </w:tcBorders>
            <w:shd w:val="clear" w:color="auto" w:fill="auto"/>
            <w:noWrap/>
            <w:vAlign w:val="center"/>
          </w:tcPr>
          <w:p w14:paraId="26A781F3"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BFBFBF"/>
            </w:tcBorders>
            <w:shd w:val="clear" w:color="auto" w:fill="auto"/>
            <w:noWrap/>
            <w:vAlign w:val="center"/>
          </w:tcPr>
          <w:p w14:paraId="03310339"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55" w:type="dxa"/>
            <w:tcBorders>
              <w:top w:val="nil"/>
              <w:left w:val="nil"/>
              <w:bottom w:val="single" w:sz="4" w:space="0" w:color="BFBFBF"/>
              <w:right w:val="single" w:sz="4" w:space="0" w:color="auto"/>
            </w:tcBorders>
            <w:shd w:val="clear" w:color="auto" w:fill="auto"/>
            <w:noWrap/>
            <w:vAlign w:val="center"/>
          </w:tcPr>
          <w:p w14:paraId="0A55612D"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087DA90F"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97</w:t>
            </w:r>
          </w:p>
        </w:tc>
        <w:tc>
          <w:tcPr>
            <w:tcW w:w="615" w:type="dxa"/>
            <w:tcBorders>
              <w:top w:val="nil"/>
              <w:left w:val="nil"/>
              <w:bottom w:val="single" w:sz="4" w:space="0" w:color="BFBFBF"/>
              <w:right w:val="single" w:sz="4" w:space="0" w:color="BFBFBF"/>
            </w:tcBorders>
            <w:shd w:val="clear" w:color="auto" w:fill="auto"/>
            <w:noWrap/>
            <w:vAlign w:val="center"/>
          </w:tcPr>
          <w:p w14:paraId="57CB674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single" w:sz="4" w:space="0" w:color="BFBFBF"/>
            </w:tcBorders>
            <w:shd w:val="clear" w:color="auto" w:fill="auto"/>
            <w:noWrap/>
            <w:vAlign w:val="center"/>
          </w:tcPr>
          <w:p w14:paraId="3145DA46"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5" w:type="dxa"/>
            <w:tcBorders>
              <w:top w:val="nil"/>
              <w:left w:val="nil"/>
              <w:bottom w:val="single" w:sz="4" w:space="0" w:color="BFBFBF"/>
              <w:right w:val="double" w:sz="6" w:space="0" w:color="auto"/>
            </w:tcBorders>
            <w:shd w:val="clear" w:color="auto" w:fill="auto"/>
            <w:noWrap/>
            <w:vAlign w:val="center"/>
          </w:tcPr>
          <w:p w14:paraId="5FD38D50" w14:textId="77777777" w:rsidR="00E548CE" w:rsidRPr="00924E7A" w:rsidRDefault="00E548CE" w:rsidP="00C2145D">
            <w:pPr>
              <w:spacing w:before="0" w:after="0"/>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E548CE" w:rsidRPr="00924E7A" w14:paraId="3E8B45A2" w14:textId="77777777" w:rsidTr="00C2145D">
        <w:trPr>
          <w:trHeight w:val="240"/>
          <w:jc w:val="center"/>
        </w:trPr>
        <w:tc>
          <w:tcPr>
            <w:tcW w:w="2180" w:type="dxa"/>
            <w:tcBorders>
              <w:top w:val="nil"/>
              <w:left w:val="double" w:sz="6" w:space="0" w:color="auto"/>
              <w:bottom w:val="double" w:sz="6" w:space="0" w:color="auto"/>
              <w:right w:val="nil"/>
            </w:tcBorders>
            <w:shd w:val="clear" w:color="auto" w:fill="auto"/>
            <w:noWrap/>
            <w:vAlign w:val="center"/>
          </w:tcPr>
          <w:p w14:paraId="45989B25" w14:textId="77777777" w:rsidR="00E548CE" w:rsidRPr="00924E7A" w:rsidRDefault="00E548CE" w:rsidP="00E548CE">
            <w:pPr>
              <w:spacing w:before="0" w:after="0"/>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Total</w:t>
            </w:r>
          </w:p>
        </w:tc>
        <w:tc>
          <w:tcPr>
            <w:tcW w:w="635" w:type="dxa"/>
            <w:tcBorders>
              <w:top w:val="nil"/>
              <w:left w:val="single" w:sz="4" w:space="0" w:color="auto"/>
              <w:bottom w:val="double" w:sz="6" w:space="0" w:color="auto"/>
              <w:right w:val="single" w:sz="4" w:space="0" w:color="BFBFBF"/>
            </w:tcBorders>
            <w:shd w:val="clear" w:color="auto" w:fill="auto"/>
            <w:noWrap/>
            <w:vAlign w:val="center"/>
          </w:tcPr>
          <w:p w14:paraId="0A84BCE7"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623</w:t>
            </w:r>
          </w:p>
        </w:tc>
        <w:tc>
          <w:tcPr>
            <w:tcW w:w="635" w:type="dxa"/>
            <w:tcBorders>
              <w:top w:val="nil"/>
              <w:left w:val="nil"/>
              <w:bottom w:val="double" w:sz="6" w:space="0" w:color="auto"/>
              <w:right w:val="single" w:sz="4" w:space="0" w:color="BFBFBF"/>
            </w:tcBorders>
            <w:shd w:val="clear" w:color="auto" w:fill="auto"/>
            <w:noWrap/>
            <w:vAlign w:val="center"/>
          </w:tcPr>
          <w:p w14:paraId="214F90F5"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608</w:t>
            </w:r>
          </w:p>
        </w:tc>
        <w:tc>
          <w:tcPr>
            <w:tcW w:w="635" w:type="dxa"/>
            <w:tcBorders>
              <w:top w:val="nil"/>
              <w:left w:val="nil"/>
              <w:bottom w:val="double" w:sz="6" w:space="0" w:color="auto"/>
              <w:right w:val="single" w:sz="4" w:space="0" w:color="BFBFBF"/>
            </w:tcBorders>
            <w:shd w:val="clear" w:color="auto" w:fill="auto"/>
            <w:noWrap/>
            <w:vAlign w:val="center"/>
          </w:tcPr>
          <w:p w14:paraId="0478D2D6"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536</w:t>
            </w:r>
          </w:p>
        </w:tc>
        <w:tc>
          <w:tcPr>
            <w:tcW w:w="635" w:type="dxa"/>
            <w:tcBorders>
              <w:top w:val="nil"/>
              <w:left w:val="nil"/>
              <w:bottom w:val="double" w:sz="6" w:space="0" w:color="auto"/>
              <w:right w:val="single" w:sz="4" w:space="0" w:color="auto"/>
            </w:tcBorders>
            <w:shd w:val="clear" w:color="auto" w:fill="auto"/>
            <w:noWrap/>
            <w:vAlign w:val="center"/>
          </w:tcPr>
          <w:p w14:paraId="2A3D0854"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583</w:t>
            </w:r>
          </w:p>
        </w:tc>
        <w:tc>
          <w:tcPr>
            <w:tcW w:w="615" w:type="dxa"/>
            <w:tcBorders>
              <w:top w:val="nil"/>
              <w:left w:val="nil"/>
              <w:bottom w:val="double" w:sz="6" w:space="0" w:color="auto"/>
              <w:right w:val="single" w:sz="4" w:space="0" w:color="BFBFBF"/>
            </w:tcBorders>
            <w:shd w:val="clear" w:color="auto" w:fill="auto"/>
            <w:noWrap/>
            <w:vAlign w:val="center"/>
          </w:tcPr>
          <w:p w14:paraId="027534EB"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415</w:t>
            </w:r>
          </w:p>
        </w:tc>
        <w:tc>
          <w:tcPr>
            <w:tcW w:w="615" w:type="dxa"/>
            <w:tcBorders>
              <w:top w:val="nil"/>
              <w:left w:val="nil"/>
              <w:bottom w:val="double" w:sz="6" w:space="0" w:color="auto"/>
              <w:right w:val="single" w:sz="4" w:space="0" w:color="BFBFBF"/>
            </w:tcBorders>
            <w:shd w:val="clear" w:color="auto" w:fill="auto"/>
            <w:noWrap/>
            <w:vAlign w:val="center"/>
          </w:tcPr>
          <w:p w14:paraId="657BC9E6"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418</w:t>
            </w:r>
          </w:p>
        </w:tc>
        <w:tc>
          <w:tcPr>
            <w:tcW w:w="615" w:type="dxa"/>
            <w:tcBorders>
              <w:top w:val="nil"/>
              <w:left w:val="nil"/>
              <w:bottom w:val="double" w:sz="6" w:space="0" w:color="auto"/>
              <w:right w:val="single" w:sz="4" w:space="0" w:color="BFBFBF"/>
            </w:tcBorders>
            <w:shd w:val="clear" w:color="auto" w:fill="auto"/>
            <w:noWrap/>
            <w:vAlign w:val="center"/>
          </w:tcPr>
          <w:p w14:paraId="58FD750A"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462</w:t>
            </w:r>
          </w:p>
        </w:tc>
        <w:tc>
          <w:tcPr>
            <w:tcW w:w="615" w:type="dxa"/>
            <w:tcBorders>
              <w:top w:val="nil"/>
              <w:left w:val="nil"/>
              <w:bottom w:val="double" w:sz="6" w:space="0" w:color="auto"/>
              <w:right w:val="nil"/>
            </w:tcBorders>
            <w:shd w:val="clear" w:color="auto" w:fill="auto"/>
            <w:noWrap/>
            <w:vAlign w:val="center"/>
          </w:tcPr>
          <w:p w14:paraId="0E7FF47A"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402</w:t>
            </w:r>
          </w:p>
        </w:tc>
        <w:tc>
          <w:tcPr>
            <w:tcW w:w="655" w:type="dxa"/>
            <w:tcBorders>
              <w:top w:val="nil"/>
              <w:left w:val="single" w:sz="4" w:space="0" w:color="auto"/>
              <w:bottom w:val="double" w:sz="6" w:space="0" w:color="auto"/>
              <w:right w:val="single" w:sz="4" w:space="0" w:color="BFBFBF"/>
            </w:tcBorders>
            <w:shd w:val="clear" w:color="auto" w:fill="auto"/>
            <w:noWrap/>
            <w:vAlign w:val="center"/>
          </w:tcPr>
          <w:p w14:paraId="5DD298C0"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823</w:t>
            </w:r>
          </w:p>
        </w:tc>
        <w:tc>
          <w:tcPr>
            <w:tcW w:w="655" w:type="dxa"/>
            <w:tcBorders>
              <w:top w:val="nil"/>
              <w:left w:val="nil"/>
              <w:bottom w:val="double" w:sz="6" w:space="0" w:color="auto"/>
              <w:right w:val="single" w:sz="4" w:space="0" w:color="BFBFBF"/>
            </w:tcBorders>
            <w:shd w:val="clear" w:color="auto" w:fill="auto"/>
            <w:noWrap/>
            <w:vAlign w:val="center"/>
          </w:tcPr>
          <w:p w14:paraId="733AF2EF"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1035</w:t>
            </w:r>
          </w:p>
        </w:tc>
        <w:tc>
          <w:tcPr>
            <w:tcW w:w="655" w:type="dxa"/>
            <w:tcBorders>
              <w:top w:val="nil"/>
              <w:left w:val="nil"/>
              <w:bottom w:val="double" w:sz="6" w:space="0" w:color="auto"/>
              <w:right w:val="single" w:sz="4" w:space="0" w:color="BFBFBF"/>
            </w:tcBorders>
            <w:shd w:val="clear" w:color="auto" w:fill="auto"/>
            <w:noWrap/>
            <w:vAlign w:val="center"/>
          </w:tcPr>
          <w:p w14:paraId="3786BE53"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1008</w:t>
            </w:r>
          </w:p>
        </w:tc>
        <w:tc>
          <w:tcPr>
            <w:tcW w:w="655" w:type="dxa"/>
            <w:tcBorders>
              <w:top w:val="nil"/>
              <w:left w:val="nil"/>
              <w:bottom w:val="double" w:sz="6" w:space="0" w:color="auto"/>
              <w:right w:val="single" w:sz="4" w:space="0" w:color="auto"/>
            </w:tcBorders>
            <w:shd w:val="clear" w:color="auto" w:fill="auto"/>
            <w:noWrap/>
            <w:vAlign w:val="center"/>
          </w:tcPr>
          <w:p w14:paraId="47404799"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1015</w:t>
            </w:r>
          </w:p>
        </w:tc>
        <w:tc>
          <w:tcPr>
            <w:tcW w:w="615" w:type="dxa"/>
            <w:tcBorders>
              <w:top w:val="nil"/>
              <w:left w:val="nil"/>
              <w:bottom w:val="double" w:sz="6" w:space="0" w:color="auto"/>
              <w:right w:val="single" w:sz="4" w:space="0" w:color="BFBFBF"/>
            </w:tcBorders>
            <w:shd w:val="clear" w:color="auto" w:fill="auto"/>
            <w:noWrap/>
            <w:vAlign w:val="center"/>
          </w:tcPr>
          <w:p w14:paraId="0807A36F"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1861</w:t>
            </w:r>
          </w:p>
        </w:tc>
        <w:tc>
          <w:tcPr>
            <w:tcW w:w="615" w:type="dxa"/>
            <w:tcBorders>
              <w:top w:val="nil"/>
              <w:left w:val="nil"/>
              <w:bottom w:val="double" w:sz="6" w:space="0" w:color="auto"/>
              <w:right w:val="single" w:sz="4" w:space="0" w:color="BFBFBF"/>
            </w:tcBorders>
            <w:shd w:val="clear" w:color="auto" w:fill="auto"/>
            <w:noWrap/>
            <w:vAlign w:val="center"/>
          </w:tcPr>
          <w:p w14:paraId="28158D8D"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2061</w:t>
            </w:r>
          </w:p>
        </w:tc>
        <w:tc>
          <w:tcPr>
            <w:tcW w:w="615" w:type="dxa"/>
            <w:tcBorders>
              <w:top w:val="nil"/>
              <w:left w:val="nil"/>
              <w:bottom w:val="double" w:sz="6" w:space="0" w:color="auto"/>
              <w:right w:val="single" w:sz="4" w:space="0" w:color="BFBFBF"/>
            </w:tcBorders>
            <w:shd w:val="clear" w:color="auto" w:fill="auto"/>
            <w:noWrap/>
            <w:vAlign w:val="center"/>
          </w:tcPr>
          <w:p w14:paraId="5DE424DA"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2006</w:t>
            </w:r>
          </w:p>
        </w:tc>
        <w:tc>
          <w:tcPr>
            <w:tcW w:w="615" w:type="dxa"/>
            <w:tcBorders>
              <w:top w:val="nil"/>
              <w:left w:val="nil"/>
              <w:bottom w:val="double" w:sz="6" w:space="0" w:color="auto"/>
              <w:right w:val="double" w:sz="6" w:space="0" w:color="auto"/>
            </w:tcBorders>
            <w:shd w:val="clear" w:color="auto" w:fill="auto"/>
            <w:noWrap/>
            <w:vAlign w:val="center"/>
          </w:tcPr>
          <w:p w14:paraId="146695BE" w14:textId="77777777" w:rsidR="00E548CE" w:rsidRPr="00924E7A" w:rsidRDefault="00E548CE" w:rsidP="00C2145D">
            <w:pPr>
              <w:spacing w:before="0" w:after="0"/>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2000</w:t>
            </w:r>
          </w:p>
        </w:tc>
      </w:tr>
    </w:tbl>
    <w:p w14:paraId="7FFB26BF" w14:textId="77777777" w:rsidR="00E02C75" w:rsidRPr="00924E7A" w:rsidRDefault="00E02C75" w:rsidP="009748AD">
      <w:pPr>
        <w:pStyle w:val="Para"/>
        <w:spacing w:before="120" w:line="240" w:lineRule="auto"/>
        <w:ind w:left="1440"/>
        <w:rPr>
          <w:sz w:val="20"/>
          <w:lang w:val="en-AU"/>
        </w:rPr>
      </w:pPr>
      <w:r w:rsidRPr="00924E7A">
        <w:rPr>
          <w:sz w:val="20"/>
          <w:lang w:val="en-AU"/>
        </w:rPr>
        <w:t>Base: Total respondents</w:t>
      </w:r>
      <w:r w:rsidR="007C0620" w:rsidRPr="00924E7A">
        <w:rPr>
          <w:sz w:val="20"/>
          <w:lang w:val="en-AU"/>
        </w:rPr>
        <w:t xml:space="preserve"> providing consent</w:t>
      </w:r>
      <w:r w:rsidRPr="00924E7A">
        <w:rPr>
          <w:sz w:val="20"/>
          <w:lang w:val="en-AU"/>
        </w:rPr>
        <w:t xml:space="preserve">, </w:t>
      </w:r>
      <w:r w:rsidR="00615BF5" w:rsidRPr="00924E7A">
        <w:rPr>
          <w:sz w:val="20"/>
          <w:lang w:val="en-AU"/>
        </w:rPr>
        <w:t>2014 (n=</w:t>
      </w:r>
      <w:r w:rsidR="00526318" w:rsidRPr="00924E7A">
        <w:rPr>
          <w:sz w:val="20"/>
          <w:lang w:val="en-AU"/>
        </w:rPr>
        <w:t>1,861</w:t>
      </w:r>
      <w:r w:rsidR="00615BF5" w:rsidRPr="00924E7A">
        <w:rPr>
          <w:sz w:val="20"/>
          <w:lang w:val="en-AU"/>
        </w:rPr>
        <w:t xml:space="preserve">); </w:t>
      </w:r>
      <w:r w:rsidRPr="00924E7A">
        <w:rPr>
          <w:sz w:val="20"/>
          <w:lang w:val="en-AU"/>
        </w:rPr>
        <w:t>2007 (n=2,061); 2001 (n=2,006), 1996 (n=2,000)</w:t>
      </w:r>
    </w:p>
    <w:p w14:paraId="610A77DA" w14:textId="77777777" w:rsidR="00E02C75" w:rsidRPr="00924E7A" w:rsidRDefault="00CD48A8" w:rsidP="00BD2674">
      <w:pPr>
        <w:spacing w:before="0" w:after="0"/>
        <w:ind w:left="1440"/>
        <w:jc w:val="both"/>
        <w:rPr>
          <w:sz w:val="20"/>
          <w:lang w:val="en-AU"/>
        </w:rPr>
      </w:pPr>
      <w:r w:rsidRPr="00924E7A">
        <w:rPr>
          <w:sz w:val="20"/>
          <w:lang w:val="en-AU"/>
        </w:rPr>
        <w:t>1: Country VIC in 2014 includes most of regional VIC.  In previous years, only 4 regional centres were sampled.</w:t>
      </w:r>
    </w:p>
    <w:p w14:paraId="69A4D9CF" w14:textId="77777777" w:rsidR="00CD48A8" w:rsidRPr="00924E7A" w:rsidRDefault="00CD48A8" w:rsidP="00BD2674">
      <w:pPr>
        <w:spacing w:before="0" w:after="0"/>
        <w:ind w:left="1440"/>
        <w:jc w:val="both"/>
        <w:rPr>
          <w:sz w:val="20"/>
          <w:lang w:val="en-AU"/>
        </w:rPr>
      </w:pPr>
      <w:r w:rsidRPr="00924E7A">
        <w:rPr>
          <w:sz w:val="20"/>
          <w:lang w:val="en-AU"/>
        </w:rPr>
        <w:t>2: In 2014 LPG households are a subset of the main sample based on their responses.  In 2007 they formed a separate geographic stratum.</w:t>
      </w:r>
    </w:p>
    <w:p w14:paraId="7444BE73" w14:textId="77777777" w:rsidR="00E02C75" w:rsidRPr="00924E7A" w:rsidRDefault="00731A9E" w:rsidP="00E02C75">
      <w:pPr>
        <w:pStyle w:val="Footer"/>
        <w:tabs>
          <w:tab w:val="clear" w:pos="4153"/>
          <w:tab w:val="clear" w:pos="8306"/>
        </w:tabs>
        <w:spacing w:before="0" w:after="0" w:line="20" w:lineRule="exact"/>
        <w:rPr>
          <w:lang w:val="en-AU"/>
        </w:rPr>
      </w:pPr>
      <w:r w:rsidRPr="00924E7A">
        <w:rPr>
          <w:lang w:val="en-AU"/>
        </w:rPr>
        <w:br w:type="page"/>
      </w:r>
    </w:p>
    <w:p w14:paraId="0C4B4355" w14:textId="77777777" w:rsidR="00E02C75" w:rsidRPr="00924E7A" w:rsidRDefault="00E02C75" w:rsidP="00E02C75">
      <w:pPr>
        <w:pStyle w:val="Heading2"/>
        <w:spacing w:before="0"/>
        <w:rPr>
          <w:lang w:val="en-AU"/>
        </w:rPr>
      </w:pPr>
      <w:bookmarkStart w:id="102" w:name="_Toc439198279"/>
      <w:bookmarkStart w:id="103" w:name="_Toc445571664"/>
      <w:r w:rsidRPr="00924E7A">
        <w:rPr>
          <w:lang w:val="en-AU"/>
        </w:rPr>
        <w:lastRenderedPageBreak/>
        <w:t>SAMPLE GROUPS</w:t>
      </w:r>
      <w:bookmarkEnd w:id="102"/>
      <w:bookmarkEnd w:id="103"/>
    </w:p>
    <w:p w14:paraId="3E62C99A" w14:textId="77777777" w:rsidR="00E02C75" w:rsidRPr="00924E7A" w:rsidRDefault="00E02C75" w:rsidP="00E02C75">
      <w:pPr>
        <w:pStyle w:val="Para"/>
        <w:rPr>
          <w:lang w:val="en-AU"/>
        </w:rPr>
      </w:pPr>
    </w:p>
    <w:p w14:paraId="6EDCFBD9" w14:textId="77777777" w:rsidR="00E02C75" w:rsidRPr="00924E7A" w:rsidRDefault="00E02C75" w:rsidP="00E02C75">
      <w:pPr>
        <w:pStyle w:val="Para"/>
        <w:rPr>
          <w:lang w:val="en-AU"/>
        </w:rPr>
      </w:pPr>
      <w:r w:rsidRPr="00924E7A">
        <w:rPr>
          <w:lang w:val="en-AU"/>
        </w:rPr>
        <w:t xml:space="preserve">Analysis of this </w:t>
      </w:r>
      <w:r w:rsidR="007911C3" w:rsidRPr="00924E7A">
        <w:rPr>
          <w:lang w:val="en-AU"/>
        </w:rPr>
        <w:t xml:space="preserve">and following </w:t>
      </w:r>
      <w:r w:rsidRPr="00924E7A">
        <w:rPr>
          <w:lang w:val="en-AU"/>
        </w:rPr>
        <w:t xml:space="preserve">sections in this document have been conducted on </w:t>
      </w:r>
      <w:r w:rsidRPr="00924E7A">
        <w:rPr>
          <w:i/>
          <w:lang w:val="en-AU"/>
        </w:rPr>
        <w:t>weighted</w:t>
      </w:r>
      <w:r w:rsidRPr="00924E7A">
        <w:rPr>
          <w:lang w:val="en-AU"/>
        </w:rPr>
        <w:t xml:space="preserve"> data for the 1996, 2001</w:t>
      </w:r>
      <w:r w:rsidR="00AC1255" w:rsidRPr="00924E7A">
        <w:rPr>
          <w:lang w:val="en-AU"/>
        </w:rPr>
        <w:t xml:space="preserve">, </w:t>
      </w:r>
      <w:r w:rsidRPr="00924E7A">
        <w:rPr>
          <w:lang w:val="en-AU"/>
        </w:rPr>
        <w:t>2007</w:t>
      </w:r>
      <w:r w:rsidR="00AC1255" w:rsidRPr="00924E7A">
        <w:rPr>
          <w:lang w:val="en-AU"/>
        </w:rPr>
        <w:t xml:space="preserve"> and 2014</w:t>
      </w:r>
      <w:r w:rsidRPr="00924E7A">
        <w:rPr>
          <w:lang w:val="en-AU"/>
        </w:rPr>
        <w:t xml:space="preserve"> surveys.</w:t>
      </w:r>
      <w:r w:rsidR="00E35D19" w:rsidRPr="00924E7A">
        <w:rPr>
          <w:lang w:val="en-AU"/>
        </w:rPr>
        <w:t xml:space="preserve">  The weighting design is discussed in detail in the previous chapter.  It should be noted that the weighted proportion of households within each of </w:t>
      </w:r>
      <w:r w:rsidR="00FE4D3F" w:rsidRPr="00924E7A">
        <w:rPr>
          <w:lang w:val="en-AU"/>
        </w:rPr>
        <w:t>t</w:t>
      </w:r>
      <w:r w:rsidR="00E35D19" w:rsidRPr="00924E7A">
        <w:rPr>
          <w:lang w:val="en-AU"/>
        </w:rPr>
        <w:t xml:space="preserve">he concession status categories was not pre-determined </w:t>
      </w:r>
      <w:r w:rsidR="00FE4D3F" w:rsidRPr="00924E7A">
        <w:rPr>
          <w:lang w:val="en-AU"/>
        </w:rPr>
        <w:t xml:space="preserve">as official statistics do not exist for the number of concession households.  For each survey, the estimated number of households within each concession status has been derived by weighting the individuals within the sampled households.  Differences between waves in the proportion of concession households should, therefore, </w:t>
      </w:r>
      <w:r w:rsidR="00FE4D3F" w:rsidRPr="00924E7A">
        <w:rPr>
          <w:i/>
          <w:lang w:val="en-AU"/>
        </w:rPr>
        <w:t>approximately</w:t>
      </w:r>
      <w:r w:rsidR="00FE4D3F" w:rsidRPr="00924E7A">
        <w:rPr>
          <w:lang w:val="en-AU"/>
        </w:rPr>
        <w:t xml:space="preserve"> reflect actual population changes, but a number of other factors may </w:t>
      </w:r>
      <w:r w:rsidR="0038147F" w:rsidRPr="00924E7A">
        <w:rPr>
          <w:lang w:val="en-AU"/>
        </w:rPr>
        <w:t>also influence the results.</w:t>
      </w:r>
      <w:r w:rsidR="00E35D19" w:rsidRPr="00924E7A">
        <w:rPr>
          <w:lang w:val="en-AU"/>
        </w:rPr>
        <w:t xml:space="preserve"> </w:t>
      </w:r>
      <w:r w:rsidR="0038147F" w:rsidRPr="00924E7A">
        <w:rPr>
          <w:lang w:val="en-AU"/>
        </w:rPr>
        <w:t xml:space="preserve"> In particular, the fact that the 2014 survey covers much more of regional </w:t>
      </w:r>
      <w:smartTag w:uri="urn:schemas-microsoft-com:office:smarttags" w:element="State">
        <w:smartTag w:uri="urn:schemas-microsoft-com:office:smarttags" w:element="place">
          <w:r w:rsidR="0038147F" w:rsidRPr="00924E7A">
            <w:rPr>
              <w:lang w:val="en-AU"/>
            </w:rPr>
            <w:t>Victoria</w:t>
          </w:r>
        </w:smartTag>
      </w:smartTag>
      <w:r w:rsidR="0038147F" w:rsidRPr="00924E7A">
        <w:rPr>
          <w:lang w:val="en-AU"/>
        </w:rPr>
        <w:t xml:space="preserve"> than previous surveys may be an important factor.</w:t>
      </w:r>
    </w:p>
    <w:p w14:paraId="2EB6AB0B" w14:textId="77777777" w:rsidR="00E02C75" w:rsidRPr="00924E7A" w:rsidRDefault="00E02C75" w:rsidP="00E02C75">
      <w:pPr>
        <w:pStyle w:val="Para"/>
        <w:rPr>
          <w:lang w:val="en-AU"/>
        </w:rPr>
      </w:pPr>
    </w:p>
    <w:p w14:paraId="30CC9E89" w14:textId="77777777" w:rsidR="003920D8" w:rsidRPr="009748AD" w:rsidRDefault="00CA471A">
      <w:pPr>
        <w:pStyle w:val="Heading3"/>
        <w:tabs>
          <w:tab w:val="num" w:pos="851"/>
        </w:tabs>
        <w:ind w:hanging="8517"/>
        <w:rPr>
          <w:lang w:val="en-AU"/>
        </w:rPr>
      </w:pPr>
      <w:bookmarkStart w:id="104" w:name="_Toc439198280"/>
      <w:bookmarkStart w:id="105" w:name="_Toc445571665"/>
      <w:r w:rsidRPr="009748AD">
        <w:rPr>
          <w:lang w:val="en-AU"/>
        </w:rPr>
        <w:t>Concession Status</w:t>
      </w:r>
      <w:bookmarkEnd w:id="104"/>
      <w:bookmarkEnd w:id="105"/>
    </w:p>
    <w:p w14:paraId="34EAC9EF" w14:textId="77777777" w:rsidR="00E02C75" w:rsidRPr="00DA3B75" w:rsidRDefault="00E02C75" w:rsidP="00E02C75">
      <w:pPr>
        <w:pStyle w:val="Para"/>
        <w:rPr>
          <w:highlight w:val="yellow"/>
          <w:lang w:val="en-AU"/>
        </w:rPr>
      </w:pPr>
    </w:p>
    <w:p w14:paraId="2E519956" w14:textId="77777777" w:rsidR="004A419F" w:rsidRPr="00924E7A" w:rsidRDefault="00F20AE8" w:rsidP="00E02C75">
      <w:pPr>
        <w:pStyle w:val="Para"/>
        <w:rPr>
          <w:lang w:val="en-AU"/>
        </w:rPr>
      </w:pPr>
      <w:r w:rsidRPr="00924E7A">
        <w:rPr>
          <w:lang w:val="en-AU"/>
        </w:rPr>
        <w:t>In 2014, just under half (4</w:t>
      </w:r>
      <w:r w:rsidR="00924E7A" w:rsidRPr="00924E7A">
        <w:rPr>
          <w:lang w:val="en-AU"/>
        </w:rPr>
        <w:t>5</w:t>
      </w:r>
      <w:r w:rsidRPr="00924E7A">
        <w:rPr>
          <w:lang w:val="en-AU"/>
        </w:rPr>
        <w:t>%) of households were defined as concession households, with aged and non-aged concession households</w:t>
      </w:r>
      <w:r w:rsidR="004A419F" w:rsidRPr="00924E7A">
        <w:rPr>
          <w:lang w:val="en-AU"/>
        </w:rPr>
        <w:t xml:space="preserve"> re</w:t>
      </w:r>
      <w:r w:rsidRPr="00924E7A">
        <w:rPr>
          <w:lang w:val="en-AU"/>
        </w:rPr>
        <w:t xml:space="preserve">presenting 23% </w:t>
      </w:r>
      <w:r w:rsidR="00924E7A" w:rsidRPr="00924E7A">
        <w:rPr>
          <w:lang w:val="en-AU"/>
        </w:rPr>
        <w:t>and 22% respectively of the total sample (</w:t>
      </w:r>
      <w:r w:rsidR="00544E06" w:rsidRPr="00924E7A">
        <w:rPr>
          <w:lang w:val="en-AU"/>
        </w:rPr>
        <w:t>see Table 3.2.1 overleaf)</w:t>
      </w:r>
      <w:r w:rsidRPr="00924E7A">
        <w:rPr>
          <w:lang w:val="en-AU"/>
        </w:rPr>
        <w:t xml:space="preserve">. </w:t>
      </w:r>
      <w:r w:rsidR="004A419F" w:rsidRPr="00924E7A">
        <w:rPr>
          <w:lang w:val="en-AU"/>
        </w:rPr>
        <w:t xml:space="preserve">  </w:t>
      </w:r>
      <w:r w:rsidR="00E02C75" w:rsidRPr="00924E7A">
        <w:rPr>
          <w:lang w:val="en-AU"/>
        </w:rPr>
        <w:t xml:space="preserve">In 2007, around four in ten (41%) households were defined as concession households, with </w:t>
      </w:r>
      <w:r w:rsidR="004A419F" w:rsidRPr="00924E7A">
        <w:rPr>
          <w:lang w:val="en-AU"/>
        </w:rPr>
        <w:t xml:space="preserve">the </w:t>
      </w:r>
      <w:r w:rsidR="00E02C75" w:rsidRPr="00924E7A">
        <w:rPr>
          <w:lang w:val="en-AU"/>
        </w:rPr>
        <w:t>proportions of aged and non-aged concession households 21% and 19% respectively.</w:t>
      </w:r>
      <w:r w:rsidR="004A419F" w:rsidRPr="00924E7A">
        <w:rPr>
          <w:lang w:val="en-AU"/>
        </w:rPr>
        <w:t xml:space="preserve">  The proportion of non-concession households in 2014 (5</w:t>
      </w:r>
      <w:r w:rsidR="00924E7A" w:rsidRPr="00924E7A">
        <w:rPr>
          <w:lang w:val="en-AU"/>
        </w:rPr>
        <w:t>5</w:t>
      </w:r>
      <w:r w:rsidR="004A419F" w:rsidRPr="00924E7A">
        <w:rPr>
          <w:lang w:val="en-AU"/>
        </w:rPr>
        <w:t xml:space="preserve">%) was </w:t>
      </w:r>
      <w:r w:rsidR="00623804" w:rsidRPr="00924E7A">
        <w:rPr>
          <w:lang w:val="en-AU"/>
        </w:rPr>
        <w:t xml:space="preserve">slightly </w:t>
      </w:r>
      <w:r w:rsidR="004A419F" w:rsidRPr="00924E7A">
        <w:rPr>
          <w:lang w:val="en-AU"/>
        </w:rPr>
        <w:t>lower than in previous years of the study (2007: 59%, 2001: 62%, 1996: 59%)</w:t>
      </w:r>
      <w:r w:rsidR="003A358D" w:rsidRPr="00924E7A">
        <w:rPr>
          <w:lang w:val="en-AU"/>
        </w:rPr>
        <w:t>.</w:t>
      </w:r>
    </w:p>
    <w:p w14:paraId="0B7444F9" w14:textId="77777777" w:rsidR="00E02C75" w:rsidRPr="00924E7A" w:rsidRDefault="00E02C75" w:rsidP="00E02C75">
      <w:pPr>
        <w:pStyle w:val="Para"/>
        <w:rPr>
          <w:lang w:val="en-AU"/>
        </w:rPr>
      </w:pPr>
    </w:p>
    <w:p w14:paraId="0686B7F0" w14:textId="77777777" w:rsidR="00E02C75" w:rsidRPr="00924E7A" w:rsidRDefault="00E02C75" w:rsidP="00E02C75">
      <w:pPr>
        <w:pStyle w:val="Para"/>
        <w:jc w:val="left"/>
        <w:rPr>
          <w:lang w:val="en-AU"/>
        </w:rPr>
      </w:pPr>
    </w:p>
    <w:p w14:paraId="794B1D7E" w14:textId="77777777" w:rsidR="00E02C75" w:rsidRPr="00924E7A" w:rsidRDefault="00E02C75" w:rsidP="00BD2674">
      <w:pPr>
        <w:pStyle w:val="Para"/>
        <w:spacing w:after="120"/>
        <w:jc w:val="center"/>
        <w:outlineLvl w:val="0"/>
        <w:rPr>
          <w:b/>
          <w:lang w:val="en-AU"/>
        </w:rPr>
      </w:pPr>
      <w:r w:rsidRPr="00DA3B75">
        <w:rPr>
          <w:b/>
          <w:highlight w:val="yellow"/>
          <w:lang w:val="en-AU"/>
        </w:rPr>
        <w:br w:type="page"/>
      </w:r>
      <w:r w:rsidRPr="00924E7A">
        <w:rPr>
          <w:b/>
          <w:lang w:val="en-AU"/>
        </w:rPr>
        <w:lastRenderedPageBreak/>
        <w:t xml:space="preserve">Table 3.2.1: </w:t>
      </w:r>
      <w:r w:rsidR="00CA471A" w:rsidRPr="00924E7A">
        <w:rPr>
          <w:b/>
          <w:u w:val="single"/>
          <w:lang w:val="en-AU"/>
        </w:rPr>
        <w:t>Concession Status</w:t>
      </w:r>
      <w:r w:rsidRPr="00924E7A">
        <w:rPr>
          <w:b/>
          <w:u w:val="single"/>
          <w:lang w:val="en-AU"/>
        </w:rPr>
        <w:t xml:space="preserve"> by Location</w:t>
      </w:r>
      <w:r w:rsidR="0038147F" w:rsidRPr="00924E7A">
        <w:rPr>
          <w:b/>
          <w:u w:val="single"/>
          <w:lang w:val="en-AU"/>
        </w:rPr>
        <w:t xml:space="preserve"> - Weighted</w:t>
      </w:r>
    </w:p>
    <w:p w14:paraId="51B76A87" w14:textId="77777777" w:rsidR="00E02C75" w:rsidRPr="00924E7A" w:rsidRDefault="00E02C75" w:rsidP="00E02C75">
      <w:pPr>
        <w:pStyle w:val="Para"/>
        <w:spacing w:line="20" w:lineRule="exact"/>
        <w:rPr>
          <w:lang w:val="en-AU"/>
        </w:rPr>
      </w:pPr>
    </w:p>
    <w:tbl>
      <w:tblPr>
        <w:tblW w:w="12214" w:type="dxa"/>
        <w:jc w:val="center"/>
        <w:tblLook w:val="04A0" w:firstRow="1" w:lastRow="0" w:firstColumn="1" w:lastColumn="0" w:noHBand="0" w:noVBand="1"/>
      </w:tblPr>
      <w:tblGrid>
        <w:gridCol w:w="2391"/>
        <w:gridCol w:w="603"/>
        <w:gridCol w:w="600"/>
        <w:gridCol w:w="600"/>
        <w:gridCol w:w="600"/>
        <w:gridCol w:w="600"/>
        <w:gridCol w:w="600"/>
        <w:gridCol w:w="600"/>
        <w:gridCol w:w="600"/>
        <w:gridCol w:w="610"/>
        <w:gridCol w:w="610"/>
        <w:gridCol w:w="610"/>
        <w:gridCol w:w="610"/>
        <w:gridCol w:w="645"/>
        <w:gridCol w:w="645"/>
        <w:gridCol w:w="645"/>
        <w:gridCol w:w="645"/>
      </w:tblGrid>
      <w:tr w:rsidR="00E548CE" w:rsidRPr="00924E7A" w14:paraId="5F791C61" w14:textId="77777777" w:rsidTr="00162EF6">
        <w:trPr>
          <w:trHeight w:val="255"/>
          <w:jc w:val="center"/>
        </w:trPr>
        <w:tc>
          <w:tcPr>
            <w:tcW w:w="2391" w:type="dxa"/>
            <w:tcBorders>
              <w:top w:val="double" w:sz="6" w:space="0" w:color="auto"/>
              <w:left w:val="double" w:sz="6" w:space="0" w:color="auto"/>
              <w:right w:val="nil"/>
            </w:tcBorders>
            <w:shd w:val="clear" w:color="auto" w:fill="auto"/>
            <w:noWrap/>
            <w:vAlign w:val="center"/>
          </w:tcPr>
          <w:p w14:paraId="047E8B59" w14:textId="77777777" w:rsidR="00E548CE" w:rsidRPr="00924E7A" w:rsidRDefault="00E548CE" w:rsidP="00162EF6">
            <w:pPr>
              <w:spacing w:before="0" w:after="0"/>
              <w:contextualSpacing/>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Location</w:t>
            </w:r>
          </w:p>
        </w:tc>
        <w:tc>
          <w:tcPr>
            <w:tcW w:w="2403"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05B481B2"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Aged Concession HHs</w:t>
            </w:r>
          </w:p>
        </w:tc>
        <w:tc>
          <w:tcPr>
            <w:tcW w:w="2400" w:type="dxa"/>
            <w:gridSpan w:val="4"/>
            <w:tcBorders>
              <w:top w:val="double" w:sz="6" w:space="0" w:color="auto"/>
              <w:left w:val="nil"/>
              <w:bottom w:val="single" w:sz="4" w:space="0" w:color="BFBFBF"/>
              <w:right w:val="single" w:sz="4" w:space="0" w:color="BFBFBF"/>
            </w:tcBorders>
            <w:shd w:val="clear" w:color="auto" w:fill="auto"/>
            <w:noWrap/>
            <w:vAlign w:val="center"/>
          </w:tcPr>
          <w:p w14:paraId="78E02B27"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Other Concession HHs</w:t>
            </w:r>
          </w:p>
        </w:tc>
        <w:tc>
          <w:tcPr>
            <w:tcW w:w="244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4AE47ECA"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Total Concession HHs</w:t>
            </w:r>
          </w:p>
        </w:tc>
        <w:tc>
          <w:tcPr>
            <w:tcW w:w="2580" w:type="dxa"/>
            <w:gridSpan w:val="4"/>
            <w:tcBorders>
              <w:top w:val="double" w:sz="6" w:space="0" w:color="auto"/>
              <w:left w:val="nil"/>
              <w:bottom w:val="single" w:sz="4" w:space="0" w:color="BFBFBF"/>
              <w:right w:val="double" w:sz="6" w:space="0" w:color="000000"/>
            </w:tcBorders>
            <w:shd w:val="clear" w:color="auto" w:fill="auto"/>
            <w:noWrap/>
            <w:vAlign w:val="center"/>
          </w:tcPr>
          <w:p w14:paraId="3AE0DC88"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Non-Concession HHs</w:t>
            </w:r>
          </w:p>
        </w:tc>
      </w:tr>
      <w:tr w:rsidR="00E548CE" w:rsidRPr="00924E7A" w14:paraId="610D79D3" w14:textId="77777777" w:rsidTr="00162EF6">
        <w:trPr>
          <w:trHeight w:val="255"/>
          <w:jc w:val="center"/>
        </w:trPr>
        <w:tc>
          <w:tcPr>
            <w:tcW w:w="2391" w:type="dxa"/>
            <w:tcBorders>
              <w:left w:val="double" w:sz="6" w:space="0" w:color="auto"/>
              <w:bottom w:val="single" w:sz="4" w:space="0" w:color="BFBFBF"/>
              <w:right w:val="nil"/>
            </w:tcBorders>
            <w:vAlign w:val="center"/>
          </w:tcPr>
          <w:p w14:paraId="4442A050" w14:textId="77777777" w:rsidR="00E548CE" w:rsidRPr="00924E7A" w:rsidRDefault="00E548CE" w:rsidP="00162EF6">
            <w:pPr>
              <w:spacing w:before="0" w:after="0"/>
              <w:contextualSpacing/>
              <w:rPr>
                <w:rFonts w:ascii="Arial" w:hAnsi="Arial" w:cs="Arial"/>
                <w:b/>
                <w:bCs/>
                <w:color w:val="000000"/>
                <w:sz w:val="16"/>
                <w:szCs w:val="16"/>
                <w:lang w:val="en-AU" w:eastAsia="en-AU"/>
              </w:rPr>
            </w:pP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4B0CE631"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48E7CA6E"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7F4DB5A0"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2001</w:t>
            </w:r>
          </w:p>
        </w:tc>
        <w:tc>
          <w:tcPr>
            <w:tcW w:w="600" w:type="dxa"/>
            <w:tcBorders>
              <w:top w:val="nil"/>
              <w:left w:val="nil"/>
              <w:bottom w:val="single" w:sz="4" w:space="0" w:color="BFBFBF"/>
              <w:right w:val="single" w:sz="4" w:space="0" w:color="auto"/>
            </w:tcBorders>
            <w:shd w:val="clear" w:color="auto" w:fill="auto"/>
            <w:noWrap/>
            <w:vAlign w:val="center"/>
          </w:tcPr>
          <w:p w14:paraId="633DA8E5"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1996</w:t>
            </w:r>
          </w:p>
        </w:tc>
        <w:tc>
          <w:tcPr>
            <w:tcW w:w="600" w:type="dxa"/>
            <w:tcBorders>
              <w:top w:val="nil"/>
              <w:left w:val="nil"/>
              <w:bottom w:val="single" w:sz="4" w:space="0" w:color="BFBFBF"/>
              <w:right w:val="single" w:sz="4" w:space="0" w:color="BFBFBF"/>
            </w:tcBorders>
            <w:shd w:val="clear" w:color="auto" w:fill="auto"/>
            <w:noWrap/>
            <w:vAlign w:val="center"/>
          </w:tcPr>
          <w:p w14:paraId="4F853713"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449EC498"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19E8DC41"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2001</w:t>
            </w:r>
          </w:p>
        </w:tc>
        <w:tc>
          <w:tcPr>
            <w:tcW w:w="600" w:type="dxa"/>
            <w:tcBorders>
              <w:top w:val="nil"/>
              <w:left w:val="nil"/>
              <w:bottom w:val="single" w:sz="4" w:space="0" w:color="BFBFBF"/>
              <w:right w:val="nil"/>
            </w:tcBorders>
            <w:shd w:val="clear" w:color="auto" w:fill="auto"/>
            <w:noWrap/>
            <w:vAlign w:val="center"/>
          </w:tcPr>
          <w:p w14:paraId="155665B5"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1996</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2E889E28"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2014</w:t>
            </w:r>
          </w:p>
        </w:tc>
        <w:tc>
          <w:tcPr>
            <w:tcW w:w="610" w:type="dxa"/>
            <w:tcBorders>
              <w:top w:val="nil"/>
              <w:left w:val="nil"/>
              <w:bottom w:val="single" w:sz="4" w:space="0" w:color="BFBFBF"/>
              <w:right w:val="single" w:sz="4" w:space="0" w:color="BFBFBF"/>
            </w:tcBorders>
            <w:shd w:val="clear" w:color="auto" w:fill="auto"/>
            <w:noWrap/>
            <w:vAlign w:val="center"/>
          </w:tcPr>
          <w:p w14:paraId="4A28305C"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2007</w:t>
            </w:r>
          </w:p>
        </w:tc>
        <w:tc>
          <w:tcPr>
            <w:tcW w:w="610" w:type="dxa"/>
            <w:tcBorders>
              <w:top w:val="nil"/>
              <w:left w:val="nil"/>
              <w:bottom w:val="single" w:sz="4" w:space="0" w:color="BFBFBF"/>
              <w:right w:val="single" w:sz="4" w:space="0" w:color="BFBFBF"/>
            </w:tcBorders>
            <w:shd w:val="clear" w:color="auto" w:fill="auto"/>
            <w:noWrap/>
            <w:vAlign w:val="center"/>
          </w:tcPr>
          <w:p w14:paraId="02D40C5F"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2001</w:t>
            </w:r>
          </w:p>
        </w:tc>
        <w:tc>
          <w:tcPr>
            <w:tcW w:w="610" w:type="dxa"/>
            <w:tcBorders>
              <w:top w:val="nil"/>
              <w:left w:val="nil"/>
              <w:bottom w:val="single" w:sz="4" w:space="0" w:color="BFBFBF"/>
              <w:right w:val="single" w:sz="4" w:space="0" w:color="auto"/>
            </w:tcBorders>
            <w:shd w:val="clear" w:color="auto" w:fill="auto"/>
            <w:noWrap/>
            <w:vAlign w:val="center"/>
          </w:tcPr>
          <w:p w14:paraId="1BEB4EEA"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1996</w:t>
            </w:r>
          </w:p>
        </w:tc>
        <w:tc>
          <w:tcPr>
            <w:tcW w:w="645" w:type="dxa"/>
            <w:tcBorders>
              <w:top w:val="nil"/>
              <w:left w:val="nil"/>
              <w:bottom w:val="single" w:sz="4" w:space="0" w:color="BFBFBF"/>
              <w:right w:val="single" w:sz="4" w:space="0" w:color="BFBFBF"/>
            </w:tcBorders>
            <w:shd w:val="clear" w:color="auto" w:fill="auto"/>
            <w:noWrap/>
            <w:vAlign w:val="center"/>
          </w:tcPr>
          <w:p w14:paraId="2D3F158B"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2014</w:t>
            </w:r>
          </w:p>
        </w:tc>
        <w:tc>
          <w:tcPr>
            <w:tcW w:w="645" w:type="dxa"/>
            <w:tcBorders>
              <w:top w:val="nil"/>
              <w:left w:val="nil"/>
              <w:bottom w:val="single" w:sz="4" w:space="0" w:color="BFBFBF"/>
              <w:right w:val="single" w:sz="4" w:space="0" w:color="BFBFBF"/>
            </w:tcBorders>
            <w:shd w:val="clear" w:color="auto" w:fill="auto"/>
            <w:noWrap/>
            <w:vAlign w:val="center"/>
          </w:tcPr>
          <w:p w14:paraId="682A3841"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2007</w:t>
            </w:r>
          </w:p>
        </w:tc>
        <w:tc>
          <w:tcPr>
            <w:tcW w:w="645" w:type="dxa"/>
            <w:tcBorders>
              <w:top w:val="nil"/>
              <w:left w:val="nil"/>
              <w:bottom w:val="single" w:sz="4" w:space="0" w:color="BFBFBF"/>
              <w:right w:val="single" w:sz="4" w:space="0" w:color="BFBFBF"/>
            </w:tcBorders>
            <w:shd w:val="clear" w:color="auto" w:fill="auto"/>
            <w:noWrap/>
            <w:vAlign w:val="center"/>
          </w:tcPr>
          <w:p w14:paraId="36BD0FBF"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2001</w:t>
            </w:r>
          </w:p>
        </w:tc>
        <w:tc>
          <w:tcPr>
            <w:tcW w:w="645" w:type="dxa"/>
            <w:tcBorders>
              <w:top w:val="nil"/>
              <w:left w:val="nil"/>
              <w:bottom w:val="single" w:sz="4" w:space="0" w:color="BFBFBF"/>
              <w:right w:val="double" w:sz="6" w:space="0" w:color="auto"/>
            </w:tcBorders>
            <w:shd w:val="clear" w:color="auto" w:fill="auto"/>
            <w:noWrap/>
            <w:vAlign w:val="center"/>
          </w:tcPr>
          <w:p w14:paraId="0E11EF14"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1996</w:t>
            </w:r>
          </w:p>
        </w:tc>
      </w:tr>
      <w:tr w:rsidR="00E548CE" w:rsidRPr="00924E7A" w14:paraId="0340B8AC"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center"/>
          </w:tcPr>
          <w:p w14:paraId="5D079042" w14:textId="77777777" w:rsidR="00E548CE" w:rsidRPr="00924E7A" w:rsidRDefault="00E548CE" w:rsidP="00162EF6">
            <w:pPr>
              <w:spacing w:before="0" w:after="0"/>
              <w:contextualSpacing/>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By Region -</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06361071"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63217812"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16082D26"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52B8BFC7"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14A21F3F"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2A956138"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3FBF7710"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00" w:type="dxa"/>
            <w:tcBorders>
              <w:top w:val="nil"/>
              <w:left w:val="nil"/>
              <w:bottom w:val="single" w:sz="4" w:space="0" w:color="BFBFBF"/>
              <w:right w:val="nil"/>
            </w:tcBorders>
            <w:shd w:val="clear" w:color="auto" w:fill="auto"/>
            <w:noWrap/>
            <w:vAlign w:val="center"/>
          </w:tcPr>
          <w:p w14:paraId="2F4772DC"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630E37CA"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10" w:type="dxa"/>
            <w:tcBorders>
              <w:top w:val="nil"/>
              <w:left w:val="nil"/>
              <w:bottom w:val="single" w:sz="4" w:space="0" w:color="BFBFBF"/>
              <w:right w:val="single" w:sz="4" w:space="0" w:color="BFBFBF"/>
            </w:tcBorders>
            <w:shd w:val="clear" w:color="auto" w:fill="auto"/>
            <w:noWrap/>
            <w:vAlign w:val="center"/>
          </w:tcPr>
          <w:p w14:paraId="337F205E"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10" w:type="dxa"/>
            <w:tcBorders>
              <w:top w:val="nil"/>
              <w:left w:val="nil"/>
              <w:bottom w:val="single" w:sz="4" w:space="0" w:color="BFBFBF"/>
              <w:right w:val="single" w:sz="4" w:space="0" w:color="BFBFBF"/>
            </w:tcBorders>
            <w:shd w:val="clear" w:color="auto" w:fill="auto"/>
            <w:noWrap/>
            <w:vAlign w:val="center"/>
          </w:tcPr>
          <w:p w14:paraId="2F0983C7"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10" w:type="dxa"/>
            <w:tcBorders>
              <w:top w:val="nil"/>
              <w:left w:val="nil"/>
              <w:bottom w:val="single" w:sz="4" w:space="0" w:color="BFBFBF"/>
              <w:right w:val="single" w:sz="4" w:space="0" w:color="auto"/>
            </w:tcBorders>
            <w:shd w:val="clear" w:color="auto" w:fill="auto"/>
            <w:noWrap/>
            <w:vAlign w:val="center"/>
          </w:tcPr>
          <w:p w14:paraId="1B1123AA"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7B91F756"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29CAA27E"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5DC8862D"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c>
          <w:tcPr>
            <w:tcW w:w="645" w:type="dxa"/>
            <w:tcBorders>
              <w:top w:val="nil"/>
              <w:left w:val="nil"/>
              <w:bottom w:val="single" w:sz="4" w:space="0" w:color="BFBFBF"/>
              <w:right w:val="double" w:sz="6" w:space="0" w:color="auto"/>
            </w:tcBorders>
            <w:shd w:val="clear" w:color="auto" w:fill="auto"/>
            <w:noWrap/>
            <w:vAlign w:val="center"/>
          </w:tcPr>
          <w:p w14:paraId="70D05458" w14:textId="77777777" w:rsidR="00E548CE" w:rsidRPr="00924E7A" w:rsidRDefault="00E548CE"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w:t>
            </w:r>
          </w:p>
        </w:tc>
      </w:tr>
      <w:tr w:rsidR="00924E7A" w:rsidRPr="00924E7A" w14:paraId="5B0CADB9"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center"/>
          </w:tcPr>
          <w:p w14:paraId="64F945F8"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smartTag w:uri="urn:schemas-microsoft-com:office:smarttags" w:element="City">
              <w:smartTag w:uri="urn:schemas-microsoft-com:office:smarttags" w:element="place">
                <w:r w:rsidRPr="00924E7A">
                  <w:rPr>
                    <w:rFonts w:ascii="Arial" w:hAnsi="Arial" w:cs="Arial"/>
                    <w:color w:val="000000"/>
                    <w:sz w:val="16"/>
                    <w:szCs w:val="16"/>
                    <w:lang w:val="en-AU" w:eastAsia="en-AU"/>
                  </w:rPr>
                  <w:t>Melbourne</w:t>
                </w:r>
              </w:smartTag>
            </w:smartTag>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49FE30BC"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22%</w:t>
            </w:r>
          </w:p>
        </w:tc>
        <w:tc>
          <w:tcPr>
            <w:tcW w:w="600" w:type="dxa"/>
            <w:tcBorders>
              <w:top w:val="nil"/>
              <w:left w:val="nil"/>
              <w:bottom w:val="single" w:sz="4" w:space="0" w:color="BFBFBF"/>
              <w:right w:val="single" w:sz="4" w:space="0" w:color="BFBFBF"/>
            </w:tcBorders>
            <w:shd w:val="clear" w:color="auto" w:fill="auto"/>
            <w:noWrap/>
            <w:vAlign w:val="center"/>
          </w:tcPr>
          <w:p w14:paraId="37A06D85"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20%</w:t>
            </w:r>
          </w:p>
        </w:tc>
        <w:tc>
          <w:tcPr>
            <w:tcW w:w="600" w:type="dxa"/>
            <w:tcBorders>
              <w:top w:val="nil"/>
              <w:left w:val="nil"/>
              <w:bottom w:val="single" w:sz="4" w:space="0" w:color="BFBFBF"/>
              <w:right w:val="single" w:sz="4" w:space="0" w:color="BFBFBF"/>
            </w:tcBorders>
            <w:shd w:val="clear" w:color="auto" w:fill="auto"/>
            <w:noWrap/>
            <w:vAlign w:val="center"/>
          </w:tcPr>
          <w:p w14:paraId="20965D4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17%</w:t>
            </w:r>
          </w:p>
        </w:tc>
        <w:tc>
          <w:tcPr>
            <w:tcW w:w="600" w:type="dxa"/>
            <w:tcBorders>
              <w:top w:val="nil"/>
              <w:left w:val="nil"/>
              <w:bottom w:val="single" w:sz="4" w:space="0" w:color="BFBFBF"/>
              <w:right w:val="single" w:sz="4" w:space="0" w:color="auto"/>
            </w:tcBorders>
            <w:shd w:val="clear" w:color="auto" w:fill="auto"/>
            <w:noWrap/>
            <w:vAlign w:val="center"/>
          </w:tcPr>
          <w:p w14:paraId="438493E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22%</w:t>
            </w:r>
          </w:p>
        </w:tc>
        <w:tc>
          <w:tcPr>
            <w:tcW w:w="600" w:type="dxa"/>
            <w:tcBorders>
              <w:top w:val="nil"/>
              <w:left w:val="nil"/>
              <w:bottom w:val="single" w:sz="4" w:space="0" w:color="BFBFBF"/>
              <w:right w:val="single" w:sz="4" w:space="0" w:color="BFBFBF"/>
            </w:tcBorders>
            <w:shd w:val="clear" w:color="auto" w:fill="auto"/>
            <w:noWrap/>
            <w:vAlign w:val="center"/>
          </w:tcPr>
          <w:p w14:paraId="502BDAF7"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22%</w:t>
            </w:r>
          </w:p>
        </w:tc>
        <w:tc>
          <w:tcPr>
            <w:tcW w:w="600" w:type="dxa"/>
            <w:tcBorders>
              <w:top w:val="nil"/>
              <w:left w:val="nil"/>
              <w:bottom w:val="single" w:sz="4" w:space="0" w:color="BFBFBF"/>
              <w:right w:val="single" w:sz="4" w:space="0" w:color="BFBFBF"/>
            </w:tcBorders>
            <w:shd w:val="clear" w:color="auto" w:fill="auto"/>
            <w:noWrap/>
            <w:vAlign w:val="center"/>
          </w:tcPr>
          <w:p w14:paraId="3D7C16D7"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18%</w:t>
            </w:r>
          </w:p>
        </w:tc>
        <w:tc>
          <w:tcPr>
            <w:tcW w:w="600" w:type="dxa"/>
            <w:tcBorders>
              <w:top w:val="nil"/>
              <w:left w:val="nil"/>
              <w:bottom w:val="single" w:sz="4" w:space="0" w:color="BFBFBF"/>
              <w:right w:val="single" w:sz="4" w:space="0" w:color="BFBFBF"/>
            </w:tcBorders>
            <w:shd w:val="clear" w:color="auto" w:fill="auto"/>
            <w:noWrap/>
            <w:vAlign w:val="center"/>
          </w:tcPr>
          <w:p w14:paraId="5C84F92A"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15%</w:t>
            </w:r>
          </w:p>
        </w:tc>
        <w:tc>
          <w:tcPr>
            <w:tcW w:w="600" w:type="dxa"/>
            <w:tcBorders>
              <w:top w:val="nil"/>
              <w:left w:val="nil"/>
              <w:bottom w:val="single" w:sz="4" w:space="0" w:color="BFBFBF"/>
              <w:right w:val="nil"/>
            </w:tcBorders>
            <w:shd w:val="clear" w:color="auto" w:fill="auto"/>
            <w:noWrap/>
            <w:vAlign w:val="center"/>
          </w:tcPr>
          <w:p w14:paraId="7457AFE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17%</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6303FD1E"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44%</w:t>
            </w:r>
          </w:p>
        </w:tc>
        <w:tc>
          <w:tcPr>
            <w:tcW w:w="610" w:type="dxa"/>
            <w:tcBorders>
              <w:top w:val="nil"/>
              <w:left w:val="nil"/>
              <w:bottom w:val="single" w:sz="4" w:space="0" w:color="BFBFBF"/>
              <w:right w:val="single" w:sz="4" w:space="0" w:color="BFBFBF"/>
            </w:tcBorders>
            <w:shd w:val="clear" w:color="auto" w:fill="auto"/>
            <w:noWrap/>
            <w:vAlign w:val="center"/>
          </w:tcPr>
          <w:p w14:paraId="2B125DC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38%</w:t>
            </w:r>
          </w:p>
        </w:tc>
        <w:tc>
          <w:tcPr>
            <w:tcW w:w="610" w:type="dxa"/>
            <w:tcBorders>
              <w:top w:val="nil"/>
              <w:left w:val="nil"/>
              <w:bottom w:val="single" w:sz="4" w:space="0" w:color="BFBFBF"/>
              <w:right w:val="single" w:sz="4" w:space="0" w:color="BFBFBF"/>
            </w:tcBorders>
            <w:shd w:val="clear" w:color="auto" w:fill="auto"/>
            <w:noWrap/>
            <w:vAlign w:val="center"/>
          </w:tcPr>
          <w:p w14:paraId="7AA3D0F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32%</w:t>
            </w:r>
          </w:p>
        </w:tc>
        <w:tc>
          <w:tcPr>
            <w:tcW w:w="610" w:type="dxa"/>
            <w:tcBorders>
              <w:top w:val="nil"/>
              <w:left w:val="nil"/>
              <w:bottom w:val="single" w:sz="4" w:space="0" w:color="BFBFBF"/>
              <w:right w:val="single" w:sz="4" w:space="0" w:color="auto"/>
            </w:tcBorders>
            <w:shd w:val="clear" w:color="auto" w:fill="auto"/>
            <w:noWrap/>
            <w:vAlign w:val="center"/>
          </w:tcPr>
          <w:p w14:paraId="7994666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39%</w:t>
            </w:r>
          </w:p>
        </w:tc>
        <w:tc>
          <w:tcPr>
            <w:tcW w:w="645" w:type="dxa"/>
            <w:tcBorders>
              <w:top w:val="nil"/>
              <w:left w:val="nil"/>
              <w:bottom w:val="single" w:sz="4" w:space="0" w:color="BFBFBF"/>
              <w:right w:val="single" w:sz="4" w:space="0" w:color="BFBFBF"/>
            </w:tcBorders>
            <w:shd w:val="clear" w:color="auto" w:fill="auto"/>
            <w:noWrap/>
            <w:vAlign w:val="center"/>
          </w:tcPr>
          <w:p w14:paraId="4D285833"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56%</w:t>
            </w:r>
          </w:p>
        </w:tc>
        <w:tc>
          <w:tcPr>
            <w:tcW w:w="645" w:type="dxa"/>
            <w:tcBorders>
              <w:top w:val="nil"/>
              <w:left w:val="nil"/>
              <w:bottom w:val="single" w:sz="4" w:space="0" w:color="BFBFBF"/>
              <w:right w:val="single" w:sz="4" w:space="0" w:color="BFBFBF"/>
            </w:tcBorders>
            <w:shd w:val="clear" w:color="auto" w:fill="auto"/>
            <w:noWrap/>
            <w:vAlign w:val="center"/>
          </w:tcPr>
          <w:p w14:paraId="1FCC88F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62%</w:t>
            </w:r>
          </w:p>
        </w:tc>
        <w:tc>
          <w:tcPr>
            <w:tcW w:w="645" w:type="dxa"/>
            <w:tcBorders>
              <w:top w:val="nil"/>
              <w:left w:val="nil"/>
              <w:bottom w:val="single" w:sz="4" w:space="0" w:color="BFBFBF"/>
              <w:right w:val="single" w:sz="4" w:space="0" w:color="BFBFBF"/>
            </w:tcBorders>
            <w:shd w:val="clear" w:color="auto" w:fill="auto"/>
            <w:noWrap/>
            <w:vAlign w:val="center"/>
          </w:tcPr>
          <w:p w14:paraId="04AEA5C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68%</w:t>
            </w:r>
          </w:p>
        </w:tc>
        <w:tc>
          <w:tcPr>
            <w:tcW w:w="645" w:type="dxa"/>
            <w:tcBorders>
              <w:top w:val="nil"/>
              <w:left w:val="nil"/>
              <w:bottom w:val="single" w:sz="4" w:space="0" w:color="BFBFBF"/>
              <w:right w:val="double" w:sz="6" w:space="0" w:color="auto"/>
            </w:tcBorders>
            <w:shd w:val="clear" w:color="auto" w:fill="auto"/>
            <w:noWrap/>
            <w:vAlign w:val="center"/>
          </w:tcPr>
          <w:p w14:paraId="3B19779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61%</w:t>
            </w:r>
          </w:p>
        </w:tc>
      </w:tr>
      <w:tr w:rsidR="00924E7A" w:rsidRPr="00924E7A" w14:paraId="052138F3"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center"/>
          </w:tcPr>
          <w:p w14:paraId="107166F4"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Country VIC</w:t>
            </w:r>
            <w:r w:rsidRPr="00924E7A">
              <w:rPr>
                <w:rFonts w:ascii="Arial" w:hAnsi="Arial" w:cs="Arial"/>
                <w:color w:val="000000"/>
                <w:sz w:val="16"/>
                <w:szCs w:val="16"/>
                <w:vertAlign w:val="superscript"/>
                <w:lang w:val="en-AU" w:eastAsia="en-AU"/>
              </w:rPr>
              <w:t>1</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698762D3"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25%</w:t>
            </w:r>
          </w:p>
        </w:tc>
        <w:tc>
          <w:tcPr>
            <w:tcW w:w="600" w:type="dxa"/>
            <w:tcBorders>
              <w:top w:val="nil"/>
              <w:left w:val="nil"/>
              <w:bottom w:val="single" w:sz="4" w:space="0" w:color="BFBFBF"/>
              <w:right w:val="single" w:sz="4" w:space="0" w:color="BFBFBF"/>
            </w:tcBorders>
            <w:shd w:val="clear" w:color="auto" w:fill="auto"/>
            <w:noWrap/>
            <w:vAlign w:val="center"/>
          </w:tcPr>
          <w:p w14:paraId="09E71DB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20%</w:t>
            </w:r>
          </w:p>
        </w:tc>
        <w:tc>
          <w:tcPr>
            <w:tcW w:w="600" w:type="dxa"/>
            <w:tcBorders>
              <w:top w:val="nil"/>
              <w:left w:val="nil"/>
              <w:bottom w:val="single" w:sz="4" w:space="0" w:color="BFBFBF"/>
              <w:right w:val="single" w:sz="4" w:space="0" w:color="BFBFBF"/>
            </w:tcBorders>
            <w:shd w:val="clear" w:color="auto" w:fill="auto"/>
            <w:noWrap/>
            <w:vAlign w:val="center"/>
          </w:tcPr>
          <w:p w14:paraId="026C6A0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28%</w:t>
            </w:r>
          </w:p>
        </w:tc>
        <w:tc>
          <w:tcPr>
            <w:tcW w:w="600" w:type="dxa"/>
            <w:tcBorders>
              <w:top w:val="nil"/>
              <w:left w:val="nil"/>
              <w:bottom w:val="single" w:sz="4" w:space="0" w:color="BFBFBF"/>
              <w:right w:val="single" w:sz="4" w:space="0" w:color="auto"/>
            </w:tcBorders>
            <w:shd w:val="clear" w:color="auto" w:fill="auto"/>
            <w:noWrap/>
            <w:vAlign w:val="center"/>
          </w:tcPr>
          <w:p w14:paraId="142D236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26%</w:t>
            </w:r>
          </w:p>
        </w:tc>
        <w:tc>
          <w:tcPr>
            <w:tcW w:w="600" w:type="dxa"/>
            <w:tcBorders>
              <w:top w:val="nil"/>
              <w:left w:val="nil"/>
              <w:bottom w:val="single" w:sz="4" w:space="0" w:color="BFBFBF"/>
              <w:right w:val="single" w:sz="4" w:space="0" w:color="BFBFBF"/>
            </w:tcBorders>
            <w:shd w:val="clear" w:color="auto" w:fill="auto"/>
            <w:noWrap/>
            <w:vAlign w:val="center"/>
          </w:tcPr>
          <w:p w14:paraId="22B4067B"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25%</w:t>
            </w:r>
          </w:p>
        </w:tc>
        <w:tc>
          <w:tcPr>
            <w:tcW w:w="600" w:type="dxa"/>
            <w:tcBorders>
              <w:top w:val="nil"/>
              <w:left w:val="nil"/>
              <w:bottom w:val="single" w:sz="4" w:space="0" w:color="BFBFBF"/>
              <w:right w:val="single" w:sz="4" w:space="0" w:color="BFBFBF"/>
            </w:tcBorders>
            <w:shd w:val="clear" w:color="auto" w:fill="auto"/>
            <w:noWrap/>
            <w:vAlign w:val="center"/>
          </w:tcPr>
          <w:p w14:paraId="6F6961EA"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21%</w:t>
            </w:r>
          </w:p>
        </w:tc>
        <w:tc>
          <w:tcPr>
            <w:tcW w:w="600" w:type="dxa"/>
            <w:tcBorders>
              <w:top w:val="nil"/>
              <w:left w:val="nil"/>
              <w:bottom w:val="single" w:sz="4" w:space="0" w:color="BFBFBF"/>
              <w:right w:val="single" w:sz="4" w:space="0" w:color="BFBFBF"/>
            </w:tcBorders>
            <w:shd w:val="clear" w:color="auto" w:fill="auto"/>
            <w:noWrap/>
            <w:vAlign w:val="center"/>
          </w:tcPr>
          <w:p w14:paraId="38DE47E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26%</w:t>
            </w:r>
          </w:p>
        </w:tc>
        <w:tc>
          <w:tcPr>
            <w:tcW w:w="600" w:type="dxa"/>
            <w:tcBorders>
              <w:top w:val="nil"/>
              <w:left w:val="nil"/>
              <w:bottom w:val="single" w:sz="4" w:space="0" w:color="BFBFBF"/>
              <w:right w:val="nil"/>
            </w:tcBorders>
            <w:shd w:val="clear" w:color="auto" w:fill="auto"/>
            <w:noWrap/>
            <w:vAlign w:val="center"/>
          </w:tcPr>
          <w:p w14:paraId="4279CA3A"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21%</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554FF454"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50%</w:t>
            </w:r>
          </w:p>
        </w:tc>
        <w:tc>
          <w:tcPr>
            <w:tcW w:w="610" w:type="dxa"/>
            <w:tcBorders>
              <w:top w:val="nil"/>
              <w:left w:val="nil"/>
              <w:bottom w:val="single" w:sz="4" w:space="0" w:color="BFBFBF"/>
              <w:right w:val="single" w:sz="4" w:space="0" w:color="BFBFBF"/>
            </w:tcBorders>
            <w:shd w:val="clear" w:color="auto" w:fill="auto"/>
            <w:noWrap/>
            <w:vAlign w:val="center"/>
          </w:tcPr>
          <w:p w14:paraId="775D0B8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41%</w:t>
            </w:r>
          </w:p>
        </w:tc>
        <w:tc>
          <w:tcPr>
            <w:tcW w:w="610" w:type="dxa"/>
            <w:tcBorders>
              <w:top w:val="nil"/>
              <w:left w:val="nil"/>
              <w:bottom w:val="single" w:sz="4" w:space="0" w:color="BFBFBF"/>
              <w:right w:val="single" w:sz="4" w:space="0" w:color="BFBFBF"/>
            </w:tcBorders>
            <w:shd w:val="clear" w:color="auto" w:fill="auto"/>
            <w:noWrap/>
            <w:vAlign w:val="center"/>
          </w:tcPr>
          <w:p w14:paraId="478F87F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54%</w:t>
            </w:r>
          </w:p>
        </w:tc>
        <w:tc>
          <w:tcPr>
            <w:tcW w:w="610" w:type="dxa"/>
            <w:tcBorders>
              <w:top w:val="nil"/>
              <w:left w:val="nil"/>
              <w:bottom w:val="single" w:sz="4" w:space="0" w:color="BFBFBF"/>
              <w:right w:val="single" w:sz="4" w:space="0" w:color="auto"/>
            </w:tcBorders>
            <w:shd w:val="clear" w:color="auto" w:fill="auto"/>
            <w:noWrap/>
            <w:vAlign w:val="center"/>
          </w:tcPr>
          <w:p w14:paraId="6860E83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47%</w:t>
            </w:r>
          </w:p>
        </w:tc>
        <w:tc>
          <w:tcPr>
            <w:tcW w:w="645" w:type="dxa"/>
            <w:tcBorders>
              <w:top w:val="nil"/>
              <w:left w:val="nil"/>
              <w:bottom w:val="single" w:sz="4" w:space="0" w:color="BFBFBF"/>
              <w:right w:val="single" w:sz="4" w:space="0" w:color="BFBFBF"/>
            </w:tcBorders>
            <w:shd w:val="clear" w:color="auto" w:fill="auto"/>
            <w:noWrap/>
            <w:vAlign w:val="center"/>
          </w:tcPr>
          <w:p w14:paraId="68B9C173"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50%</w:t>
            </w:r>
          </w:p>
        </w:tc>
        <w:tc>
          <w:tcPr>
            <w:tcW w:w="645" w:type="dxa"/>
            <w:tcBorders>
              <w:top w:val="nil"/>
              <w:left w:val="nil"/>
              <w:bottom w:val="single" w:sz="4" w:space="0" w:color="BFBFBF"/>
              <w:right w:val="single" w:sz="4" w:space="0" w:color="BFBFBF"/>
            </w:tcBorders>
            <w:shd w:val="clear" w:color="auto" w:fill="auto"/>
            <w:noWrap/>
            <w:vAlign w:val="center"/>
          </w:tcPr>
          <w:p w14:paraId="393F447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59%</w:t>
            </w:r>
          </w:p>
        </w:tc>
        <w:tc>
          <w:tcPr>
            <w:tcW w:w="645" w:type="dxa"/>
            <w:tcBorders>
              <w:top w:val="nil"/>
              <w:left w:val="nil"/>
              <w:bottom w:val="single" w:sz="4" w:space="0" w:color="BFBFBF"/>
              <w:right w:val="single" w:sz="4" w:space="0" w:color="BFBFBF"/>
            </w:tcBorders>
            <w:shd w:val="clear" w:color="auto" w:fill="auto"/>
            <w:noWrap/>
            <w:vAlign w:val="center"/>
          </w:tcPr>
          <w:p w14:paraId="4B31CA4A"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46%</w:t>
            </w:r>
          </w:p>
        </w:tc>
        <w:tc>
          <w:tcPr>
            <w:tcW w:w="645" w:type="dxa"/>
            <w:tcBorders>
              <w:top w:val="nil"/>
              <w:left w:val="nil"/>
              <w:bottom w:val="single" w:sz="4" w:space="0" w:color="BFBFBF"/>
              <w:right w:val="double" w:sz="6" w:space="0" w:color="auto"/>
            </w:tcBorders>
            <w:shd w:val="clear" w:color="auto" w:fill="auto"/>
            <w:noWrap/>
            <w:vAlign w:val="center"/>
          </w:tcPr>
          <w:p w14:paraId="502A62E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59%</w:t>
            </w:r>
          </w:p>
        </w:tc>
      </w:tr>
      <w:tr w:rsidR="00924E7A" w:rsidRPr="00924E7A" w14:paraId="5131AE5D"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center"/>
          </w:tcPr>
          <w:p w14:paraId="66926D82"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LPG households</w:t>
            </w:r>
            <w:r w:rsidRPr="00924E7A">
              <w:rPr>
                <w:rFonts w:ascii="Arial" w:hAnsi="Arial" w:cs="Arial"/>
                <w:color w:val="000000"/>
                <w:sz w:val="16"/>
                <w:szCs w:val="16"/>
                <w:vertAlign w:val="superscript"/>
                <w:lang w:val="en-AU" w:eastAsia="en-AU"/>
              </w:rPr>
              <w:t>2</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1A800D03"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19%</w:t>
            </w:r>
          </w:p>
        </w:tc>
        <w:tc>
          <w:tcPr>
            <w:tcW w:w="600" w:type="dxa"/>
            <w:tcBorders>
              <w:top w:val="nil"/>
              <w:left w:val="nil"/>
              <w:bottom w:val="single" w:sz="4" w:space="0" w:color="BFBFBF"/>
              <w:right w:val="single" w:sz="4" w:space="0" w:color="BFBFBF"/>
            </w:tcBorders>
            <w:shd w:val="clear" w:color="auto" w:fill="auto"/>
            <w:noWrap/>
            <w:vAlign w:val="center"/>
          </w:tcPr>
          <w:p w14:paraId="3D7FFE7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43%</w:t>
            </w:r>
          </w:p>
        </w:tc>
        <w:tc>
          <w:tcPr>
            <w:tcW w:w="600" w:type="dxa"/>
            <w:tcBorders>
              <w:top w:val="nil"/>
              <w:left w:val="nil"/>
              <w:bottom w:val="single" w:sz="4" w:space="0" w:color="BFBFBF"/>
              <w:right w:val="single" w:sz="4" w:space="0" w:color="BFBFBF"/>
            </w:tcBorders>
            <w:shd w:val="clear" w:color="auto" w:fill="auto"/>
            <w:noWrap/>
            <w:vAlign w:val="center"/>
          </w:tcPr>
          <w:p w14:paraId="7250DA1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22CA8DA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FA9F50C"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26%</w:t>
            </w:r>
          </w:p>
        </w:tc>
        <w:tc>
          <w:tcPr>
            <w:tcW w:w="600" w:type="dxa"/>
            <w:tcBorders>
              <w:top w:val="nil"/>
              <w:left w:val="nil"/>
              <w:bottom w:val="single" w:sz="4" w:space="0" w:color="BFBFBF"/>
              <w:right w:val="single" w:sz="4" w:space="0" w:color="BFBFBF"/>
            </w:tcBorders>
            <w:shd w:val="clear" w:color="auto" w:fill="auto"/>
            <w:noWrap/>
            <w:vAlign w:val="center"/>
          </w:tcPr>
          <w:p w14:paraId="462AA6F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25%</w:t>
            </w:r>
          </w:p>
        </w:tc>
        <w:tc>
          <w:tcPr>
            <w:tcW w:w="600" w:type="dxa"/>
            <w:tcBorders>
              <w:top w:val="nil"/>
              <w:left w:val="nil"/>
              <w:bottom w:val="single" w:sz="4" w:space="0" w:color="BFBFBF"/>
              <w:right w:val="single" w:sz="4" w:space="0" w:color="BFBFBF"/>
            </w:tcBorders>
            <w:shd w:val="clear" w:color="auto" w:fill="auto"/>
            <w:noWrap/>
            <w:vAlign w:val="center"/>
          </w:tcPr>
          <w:p w14:paraId="6D54819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5DFC3D3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30C66724"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46%</w:t>
            </w:r>
          </w:p>
        </w:tc>
        <w:tc>
          <w:tcPr>
            <w:tcW w:w="610" w:type="dxa"/>
            <w:tcBorders>
              <w:top w:val="nil"/>
              <w:left w:val="nil"/>
              <w:bottom w:val="single" w:sz="4" w:space="0" w:color="BFBFBF"/>
              <w:right w:val="single" w:sz="4" w:space="0" w:color="BFBFBF"/>
            </w:tcBorders>
            <w:shd w:val="clear" w:color="auto" w:fill="auto"/>
            <w:noWrap/>
            <w:vAlign w:val="center"/>
          </w:tcPr>
          <w:p w14:paraId="466F8DF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68%</w:t>
            </w:r>
          </w:p>
        </w:tc>
        <w:tc>
          <w:tcPr>
            <w:tcW w:w="610" w:type="dxa"/>
            <w:tcBorders>
              <w:top w:val="nil"/>
              <w:left w:val="nil"/>
              <w:bottom w:val="single" w:sz="4" w:space="0" w:color="BFBFBF"/>
              <w:right w:val="single" w:sz="4" w:space="0" w:color="BFBFBF"/>
            </w:tcBorders>
            <w:shd w:val="clear" w:color="auto" w:fill="auto"/>
            <w:noWrap/>
            <w:vAlign w:val="center"/>
          </w:tcPr>
          <w:p w14:paraId="40A63E4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44B02C2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359B498F"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54%</w:t>
            </w:r>
          </w:p>
        </w:tc>
        <w:tc>
          <w:tcPr>
            <w:tcW w:w="645" w:type="dxa"/>
            <w:tcBorders>
              <w:top w:val="nil"/>
              <w:left w:val="nil"/>
              <w:bottom w:val="single" w:sz="4" w:space="0" w:color="BFBFBF"/>
              <w:right w:val="single" w:sz="4" w:space="0" w:color="BFBFBF"/>
            </w:tcBorders>
            <w:shd w:val="clear" w:color="auto" w:fill="auto"/>
            <w:noWrap/>
            <w:vAlign w:val="center"/>
          </w:tcPr>
          <w:p w14:paraId="2161C7E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32%</w:t>
            </w:r>
          </w:p>
        </w:tc>
        <w:tc>
          <w:tcPr>
            <w:tcW w:w="645" w:type="dxa"/>
            <w:tcBorders>
              <w:top w:val="nil"/>
              <w:left w:val="nil"/>
              <w:bottom w:val="single" w:sz="4" w:space="0" w:color="BFBFBF"/>
              <w:right w:val="single" w:sz="4" w:space="0" w:color="BFBFBF"/>
            </w:tcBorders>
            <w:shd w:val="clear" w:color="auto" w:fill="auto"/>
            <w:noWrap/>
            <w:vAlign w:val="center"/>
          </w:tcPr>
          <w:p w14:paraId="3F3F5B7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7CA4969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08F9716D"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center"/>
          </w:tcPr>
          <w:p w14:paraId="79FB16B3" w14:textId="77777777" w:rsidR="00924E7A" w:rsidRPr="00924E7A" w:rsidRDefault="00924E7A" w:rsidP="00162EF6">
            <w:pPr>
              <w:spacing w:before="0" w:after="0"/>
              <w:contextualSpacing/>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 xml:space="preserve">By DHHS Areas - </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30A2C6F7" w14:textId="4C276059" w:rsidR="00924E7A" w:rsidRPr="00924E7A" w:rsidRDefault="00924E7A" w:rsidP="00162EF6">
            <w:pPr>
              <w:spacing w:before="0" w:after="0"/>
              <w:contextualSpacing/>
              <w:jc w:val="center"/>
              <w:rPr>
                <w:rFonts w:ascii="Arial" w:hAnsi="Arial" w:cs="Arial"/>
                <w:sz w:val="16"/>
                <w:szCs w:val="16"/>
              </w:rPr>
            </w:pPr>
          </w:p>
        </w:tc>
        <w:tc>
          <w:tcPr>
            <w:tcW w:w="600" w:type="dxa"/>
            <w:tcBorders>
              <w:top w:val="nil"/>
              <w:left w:val="nil"/>
              <w:bottom w:val="single" w:sz="4" w:space="0" w:color="BFBFBF"/>
              <w:right w:val="single" w:sz="4" w:space="0" w:color="BFBFBF"/>
            </w:tcBorders>
            <w:shd w:val="clear" w:color="auto" w:fill="auto"/>
            <w:noWrap/>
            <w:vAlign w:val="center"/>
          </w:tcPr>
          <w:p w14:paraId="6FB7C7F8" w14:textId="1DA80F0D" w:rsidR="00924E7A" w:rsidRPr="00924E7A" w:rsidRDefault="00924E7A" w:rsidP="00162EF6">
            <w:pPr>
              <w:spacing w:before="0" w:after="0"/>
              <w:contextualSpacing/>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787F77EA" w14:textId="53561B98" w:rsidR="00924E7A" w:rsidRPr="00924E7A" w:rsidRDefault="00924E7A" w:rsidP="00162EF6">
            <w:pPr>
              <w:spacing w:before="0" w:after="0"/>
              <w:contextualSpacing/>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4D2851E7" w14:textId="296D8710" w:rsidR="00924E7A" w:rsidRPr="00924E7A" w:rsidRDefault="00924E7A" w:rsidP="00162EF6">
            <w:pPr>
              <w:spacing w:before="0" w:after="0"/>
              <w:contextualSpacing/>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1EDAFB8A" w14:textId="77777777" w:rsidR="00924E7A" w:rsidRPr="00924E7A" w:rsidRDefault="00924E7A" w:rsidP="00162EF6">
            <w:pPr>
              <w:spacing w:before="0" w:after="0"/>
              <w:contextualSpacing/>
              <w:jc w:val="center"/>
              <w:rPr>
                <w:rFonts w:ascii="Arial" w:hAnsi="Arial" w:cs="Arial"/>
                <w:sz w:val="16"/>
                <w:szCs w:val="16"/>
              </w:rPr>
            </w:pPr>
          </w:p>
        </w:tc>
        <w:tc>
          <w:tcPr>
            <w:tcW w:w="600" w:type="dxa"/>
            <w:tcBorders>
              <w:top w:val="nil"/>
              <w:left w:val="nil"/>
              <w:bottom w:val="single" w:sz="4" w:space="0" w:color="BFBFBF"/>
              <w:right w:val="single" w:sz="4" w:space="0" w:color="BFBFBF"/>
            </w:tcBorders>
            <w:shd w:val="clear" w:color="auto" w:fill="auto"/>
            <w:noWrap/>
            <w:vAlign w:val="center"/>
          </w:tcPr>
          <w:p w14:paraId="51F090D5" w14:textId="69E3396A" w:rsidR="00924E7A" w:rsidRPr="00924E7A" w:rsidRDefault="00924E7A" w:rsidP="00162EF6">
            <w:pPr>
              <w:spacing w:before="0" w:after="0"/>
              <w:contextualSpacing/>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14F121F5" w14:textId="4D1E9816" w:rsidR="00924E7A" w:rsidRPr="00924E7A" w:rsidRDefault="00924E7A" w:rsidP="00162EF6">
            <w:pPr>
              <w:spacing w:before="0" w:after="0"/>
              <w:contextualSpacing/>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01B08109" w14:textId="29BD5225" w:rsidR="00924E7A" w:rsidRPr="00924E7A" w:rsidRDefault="00924E7A" w:rsidP="00162EF6">
            <w:pPr>
              <w:spacing w:before="0" w:after="0"/>
              <w:contextualSpacing/>
              <w:jc w:val="center"/>
              <w:rPr>
                <w:rFonts w:ascii="Arial" w:hAnsi="Arial" w:cs="Arial"/>
                <w:color w:val="000000"/>
                <w:sz w:val="16"/>
                <w:szCs w:val="16"/>
                <w:lang w:val="en-AU" w:eastAsia="en-AU"/>
              </w:rPr>
            </w:pP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6B52DF41" w14:textId="5F051A39" w:rsidR="00924E7A" w:rsidRPr="00924E7A" w:rsidRDefault="00924E7A" w:rsidP="00162EF6">
            <w:pPr>
              <w:spacing w:before="0" w:after="0"/>
              <w:contextualSpacing/>
              <w:jc w:val="center"/>
              <w:rPr>
                <w:rFonts w:ascii="Arial" w:hAnsi="Arial" w:cs="Arial"/>
                <w:sz w:val="16"/>
                <w:szCs w:val="16"/>
              </w:rPr>
            </w:pPr>
          </w:p>
        </w:tc>
        <w:tc>
          <w:tcPr>
            <w:tcW w:w="610" w:type="dxa"/>
            <w:tcBorders>
              <w:top w:val="nil"/>
              <w:left w:val="nil"/>
              <w:bottom w:val="single" w:sz="4" w:space="0" w:color="BFBFBF"/>
              <w:right w:val="single" w:sz="4" w:space="0" w:color="BFBFBF"/>
            </w:tcBorders>
            <w:shd w:val="clear" w:color="auto" w:fill="auto"/>
            <w:noWrap/>
            <w:vAlign w:val="center"/>
          </w:tcPr>
          <w:p w14:paraId="654BA82A" w14:textId="61CBF32B" w:rsidR="00924E7A" w:rsidRPr="00924E7A" w:rsidRDefault="00924E7A" w:rsidP="00162EF6">
            <w:pPr>
              <w:spacing w:before="0" w:after="0"/>
              <w:contextualSpacing/>
              <w:jc w:val="center"/>
              <w:rPr>
                <w:rFonts w:ascii="Arial" w:hAnsi="Arial" w:cs="Arial"/>
                <w:color w:val="000000"/>
                <w:sz w:val="16"/>
                <w:szCs w:val="16"/>
                <w:lang w:val="en-AU" w:eastAsia="en-AU"/>
              </w:rPr>
            </w:pPr>
          </w:p>
        </w:tc>
        <w:tc>
          <w:tcPr>
            <w:tcW w:w="610" w:type="dxa"/>
            <w:tcBorders>
              <w:top w:val="nil"/>
              <w:left w:val="nil"/>
              <w:bottom w:val="single" w:sz="4" w:space="0" w:color="BFBFBF"/>
              <w:right w:val="single" w:sz="4" w:space="0" w:color="BFBFBF"/>
            </w:tcBorders>
            <w:shd w:val="clear" w:color="auto" w:fill="auto"/>
            <w:noWrap/>
            <w:vAlign w:val="center"/>
          </w:tcPr>
          <w:p w14:paraId="227F453A" w14:textId="683C9920" w:rsidR="00924E7A" w:rsidRPr="00924E7A" w:rsidRDefault="00924E7A" w:rsidP="00162EF6">
            <w:pPr>
              <w:spacing w:before="0" w:after="0"/>
              <w:contextualSpacing/>
              <w:jc w:val="center"/>
              <w:rPr>
                <w:rFonts w:ascii="Arial" w:hAnsi="Arial" w:cs="Arial"/>
                <w:color w:val="000000"/>
                <w:sz w:val="16"/>
                <w:szCs w:val="16"/>
                <w:lang w:val="en-AU" w:eastAsia="en-AU"/>
              </w:rPr>
            </w:pPr>
          </w:p>
        </w:tc>
        <w:tc>
          <w:tcPr>
            <w:tcW w:w="610" w:type="dxa"/>
            <w:tcBorders>
              <w:top w:val="nil"/>
              <w:left w:val="nil"/>
              <w:bottom w:val="single" w:sz="4" w:space="0" w:color="BFBFBF"/>
              <w:right w:val="single" w:sz="4" w:space="0" w:color="auto"/>
            </w:tcBorders>
            <w:shd w:val="clear" w:color="auto" w:fill="auto"/>
            <w:noWrap/>
            <w:vAlign w:val="center"/>
          </w:tcPr>
          <w:p w14:paraId="078F801D" w14:textId="77CB5F07" w:rsidR="00924E7A" w:rsidRPr="00924E7A" w:rsidRDefault="00924E7A" w:rsidP="00162EF6">
            <w:pPr>
              <w:spacing w:before="0" w:after="0"/>
              <w:contextualSpacing/>
              <w:jc w:val="center"/>
              <w:rPr>
                <w:rFonts w:ascii="Arial" w:hAnsi="Arial" w:cs="Arial"/>
                <w:color w:val="000000"/>
                <w:sz w:val="16"/>
                <w:szCs w:val="16"/>
                <w:lang w:val="en-AU" w:eastAsia="en-AU"/>
              </w:rPr>
            </w:pPr>
          </w:p>
        </w:tc>
        <w:tc>
          <w:tcPr>
            <w:tcW w:w="645" w:type="dxa"/>
            <w:tcBorders>
              <w:top w:val="nil"/>
              <w:left w:val="nil"/>
              <w:bottom w:val="single" w:sz="4" w:space="0" w:color="BFBFBF"/>
              <w:right w:val="single" w:sz="4" w:space="0" w:color="BFBFBF"/>
            </w:tcBorders>
            <w:shd w:val="clear" w:color="auto" w:fill="auto"/>
            <w:noWrap/>
            <w:vAlign w:val="center"/>
          </w:tcPr>
          <w:p w14:paraId="27329B4C" w14:textId="77777777" w:rsidR="00924E7A" w:rsidRPr="00924E7A" w:rsidRDefault="00924E7A" w:rsidP="00162EF6">
            <w:pPr>
              <w:spacing w:before="0" w:after="0"/>
              <w:contextualSpacing/>
              <w:jc w:val="center"/>
              <w:rPr>
                <w:rFonts w:ascii="Arial" w:hAnsi="Arial" w:cs="Arial"/>
                <w:sz w:val="16"/>
                <w:szCs w:val="16"/>
              </w:rPr>
            </w:pPr>
          </w:p>
        </w:tc>
        <w:tc>
          <w:tcPr>
            <w:tcW w:w="645" w:type="dxa"/>
            <w:tcBorders>
              <w:top w:val="nil"/>
              <w:left w:val="nil"/>
              <w:bottom w:val="single" w:sz="4" w:space="0" w:color="BFBFBF"/>
              <w:right w:val="single" w:sz="4" w:space="0" w:color="BFBFBF"/>
            </w:tcBorders>
            <w:shd w:val="clear" w:color="auto" w:fill="auto"/>
            <w:noWrap/>
            <w:vAlign w:val="center"/>
          </w:tcPr>
          <w:p w14:paraId="5B7C8661" w14:textId="500979CA" w:rsidR="00924E7A" w:rsidRPr="00924E7A" w:rsidRDefault="00924E7A" w:rsidP="00162EF6">
            <w:pPr>
              <w:spacing w:before="0" w:after="0"/>
              <w:contextualSpacing/>
              <w:jc w:val="center"/>
              <w:rPr>
                <w:rFonts w:ascii="Arial" w:hAnsi="Arial" w:cs="Arial"/>
                <w:color w:val="000000"/>
                <w:sz w:val="16"/>
                <w:szCs w:val="16"/>
                <w:lang w:val="en-AU" w:eastAsia="en-AU"/>
              </w:rPr>
            </w:pPr>
          </w:p>
        </w:tc>
        <w:tc>
          <w:tcPr>
            <w:tcW w:w="645" w:type="dxa"/>
            <w:tcBorders>
              <w:top w:val="nil"/>
              <w:left w:val="nil"/>
              <w:bottom w:val="single" w:sz="4" w:space="0" w:color="BFBFBF"/>
              <w:right w:val="single" w:sz="4" w:space="0" w:color="BFBFBF"/>
            </w:tcBorders>
            <w:shd w:val="clear" w:color="auto" w:fill="auto"/>
            <w:noWrap/>
            <w:vAlign w:val="center"/>
          </w:tcPr>
          <w:p w14:paraId="533C13EC" w14:textId="16922A1B" w:rsidR="00924E7A" w:rsidRPr="00924E7A" w:rsidRDefault="00924E7A" w:rsidP="00162EF6">
            <w:pPr>
              <w:spacing w:before="0" w:after="0"/>
              <w:contextualSpacing/>
              <w:jc w:val="center"/>
              <w:rPr>
                <w:rFonts w:ascii="Arial" w:hAnsi="Arial" w:cs="Arial"/>
                <w:color w:val="000000"/>
                <w:sz w:val="16"/>
                <w:szCs w:val="16"/>
                <w:lang w:val="en-AU" w:eastAsia="en-AU"/>
              </w:rPr>
            </w:pPr>
          </w:p>
        </w:tc>
        <w:tc>
          <w:tcPr>
            <w:tcW w:w="645" w:type="dxa"/>
            <w:tcBorders>
              <w:top w:val="nil"/>
              <w:left w:val="nil"/>
              <w:bottom w:val="single" w:sz="4" w:space="0" w:color="BFBFBF"/>
              <w:right w:val="double" w:sz="6" w:space="0" w:color="auto"/>
            </w:tcBorders>
            <w:shd w:val="clear" w:color="auto" w:fill="auto"/>
            <w:noWrap/>
            <w:vAlign w:val="center"/>
          </w:tcPr>
          <w:p w14:paraId="42D53906" w14:textId="0065FA9F" w:rsidR="00924E7A" w:rsidRPr="00924E7A" w:rsidRDefault="00924E7A" w:rsidP="00162EF6">
            <w:pPr>
              <w:spacing w:before="0" w:after="0"/>
              <w:contextualSpacing/>
              <w:jc w:val="center"/>
              <w:rPr>
                <w:rFonts w:ascii="Arial" w:hAnsi="Arial" w:cs="Arial"/>
                <w:color w:val="000000"/>
                <w:sz w:val="16"/>
                <w:szCs w:val="16"/>
                <w:lang w:val="en-AU" w:eastAsia="en-AU"/>
              </w:rPr>
            </w:pPr>
          </w:p>
        </w:tc>
      </w:tr>
      <w:tr w:rsidR="00924E7A" w:rsidRPr="00924E7A" w14:paraId="4C753208"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648118B2"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Hume Moreland</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479D440C"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31%</w:t>
            </w:r>
          </w:p>
        </w:tc>
        <w:tc>
          <w:tcPr>
            <w:tcW w:w="600" w:type="dxa"/>
            <w:tcBorders>
              <w:top w:val="nil"/>
              <w:left w:val="nil"/>
              <w:bottom w:val="single" w:sz="4" w:space="0" w:color="BFBFBF"/>
              <w:right w:val="single" w:sz="4" w:space="0" w:color="BFBFBF"/>
            </w:tcBorders>
            <w:shd w:val="clear" w:color="auto" w:fill="auto"/>
            <w:noWrap/>
            <w:vAlign w:val="center"/>
          </w:tcPr>
          <w:p w14:paraId="774862F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F097912"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19766B3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EFB5E30"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27%</w:t>
            </w:r>
          </w:p>
        </w:tc>
        <w:tc>
          <w:tcPr>
            <w:tcW w:w="600" w:type="dxa"/>
            <w:tcBorders>
              <w:top w:val="nil"/>
              <w:left w:val="nil"/>
              <w:bottom w:val="single" w:sz="4" w:space="0" w:color="BFBFBF"/>
              <w:right w:val="single" w:sz="4" w:space="0" w:color="BFBFBF"/>
            </w:tcBorders>
            <w:shd w:val="clear" w:color="auto" w:fill="auto"/>
            <w:noWrap/>
            <w:vAlign w:val="center"/>
          </w:tcPr>
          <w:p w14:paraId="3C594F6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947CE8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62CBD08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400C0564"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58%</w:t>
            </w:r>
          </w:p>
        </w:tc>
        <w:tc>
          <w:tcPr>
            <w:tcW w:w="610" w:type="dxa"/>
            <w:tcBorders>
              <w:top w:val="nil"/>
              <w:left w:val="nil"/>
              <w:bottom w:val="single" w:sz="4" w:space="0" w:color="BFBFBF"/>
              <w:right w:val="single" w:sz="4" w:space="0" w:color="BFBFBF"/>
            </w:tcBorders>
            <w:shd w:val="clear" w:color="auto" w:fill="auto"/>
            <w:noWrap/>
            <w:vAlign w:val="center"/>
          </w:tcPr>
          <w:p w14:paraId="28379D3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78969F7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4571892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2FA86C79"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42%</w:t>
            </w:r>
          </w:p>
        </w:tc>
        <w:tc>
          <w:tcPr>
            <w:tcW w:w="645" w:type="dxa"/>
            <w:tcBorders>
              <w:top w:val="nil"/>
              <w:left w:val="nil"/>
              <w:bottom w:val="single" w:sz="4" w:space="0" w:color="BFBFBF"/>
              <w:right w:val="single" w:sz="4" w:space="0" w:color="BFBFBF"/>
            </w:tcBorders>
            <w:shd w:val="clear" w:color="auto" w:fill="auto"/>
            <w:noWrap/>
            <w:vAlign w:val="center"/>
          </w:tcPr>
          <w:p w14:paraId="6B5631B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64BE894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7CA476F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00BDF212"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470D353F"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North Eastern Melbourne</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60C091A5"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18%</w:t>
            </w:r>
          </w:p>
        </w:tc>
        <w:tc>
          <w:tcPr>
            <w:tcW w:w="600" w:type="dxa"/>
            <w:tcBorders>
              <w:top w:val="nil"/>
              <w:left w:val="nil"/>
              <w:bottom w:val="single" w:sz="4" w:space="0" w:color="BFBFBF"/>
              <w:right w:val="single" w:sz="4" w:space="0" w:color="BFBFBF"/>
            </w:tcBorders>
            <w:shd w:val="clear" w:color="auto" w:fill="auto"/>
            <w:noWrap/>
            <w:vAlign w:val="center"/>
          </w:tcPr>
          <w:p w14:paraId="56A0460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DAB414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0DF4064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5A0ADB3"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26%</w:t>
            </w:r>
          </w:p>
        </w:tc>
        <w:tc>
          <w:tcPr>
            <w:tcW w:w="600" w:type="dxa"/>
            <w:tcBorders>
              <w:top w:val="nil"/>
              <w:left w:val="nil"/>
              <w:bottom w:val="single" w:sz="4" w:space="0" w:color="BFBFBF"/>
              <w:right w:val="single" w:sz="4" w:space="0" w:color="BFBFBF"/>
            </w:tcBorders>
            <w:shd w:val="clear" w:color="auto" w:fill="auto"/>
            <w:noWrap/>
            <w:vAlign w:val="center"/>
          </w:tcPr>
          <w:p w14:paraId="60348DCF"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B31199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05B0669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5B5C7E6E"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44%</w:t>
            </w:r>
          </w:p>
        </w:tc>
        <w:tc>
          <w:tcPr>
            <w:tcW w:w="610" w:type="dxa"/>
            <w:tcBorders>
              <w:top w:val="nil"/>
              <w:left w:val="nil"/>
              <w:bottom w:val="single" w:sz="4" w:space="0" w:color="BFBFBF"/>
              <w:right w:val="single" w:sz="4" w:space="0" w:color="BFBFBF"/>
            </w:tcBorders>
            <w:shd w:val="clear" w:color="auto" w:fill="auto"/>
            <w:noWrap/>
            <w:vAlign w:val="center"/>
          </w:tcPr>
          <w:p w14:paraId="066B180F"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55869F9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28A60B4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050C4478"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56%</w:t>
            </w:r>
          </w:p>
        </w:tc>
        <w:tc>
          <w:tcPr>
            <w:tcW w:w="645" w:type="dxa"/>
            <w:tcBorders>
              <w:top w:val="nil"/>
              <w:left w:val="nil"/>
              <w:bottom w:val="single" w:sz="4" w:space="0" w:color="BFBFBF"/>
              <w:right w:val="single" w:sz="4" w:space="0" w:color="BFBFBF"/>
            </w:tcBorders>
            <w:shd w:val="clear" w:color="auto" w:fill="auto"/>
            <w:noWrap/>
            <w:vAlign w:val="center"/>
          </w:tcPr>
          <w:p w14:paraId="42AB6B9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454C2C7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1652C78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1793D9AE"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11FC5676"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 xml:space="preserve">Outer </w:t>
            </w:r>
            <w:smartTag w:uri="urn:schemas-microsoft-com:office:smarttags" w:element="place">
              <w:r w:rsidRPr="00924E7A">
                <w:rPr>
                  <w:rFonts w:ascii="Arial" w:hAnsi="Arial" w:cs="Arial"/>
                  <w:color w:val="000000"/>
                  <w:sz w:val="16"/>
                  <w:szCs w:val="16"/>
                  <w:lang w:val="en-AU" w:eastAsia="en-AU"/>
                </w:rPr>
                <w:t>Eastern Melbourne</w:t>
              </w:r>
            </w:smartTag>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188DB002"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29%</w:t>
            </w:r>
          </w:p>
        </w:tc>
        <w:tc>
          <w:tcPr>
            <w:tcW w:w="600" w:type="dxa"/>
            <w:tcBorders>
              <w:top w:val="nil"/>
              <w:left w:val="nil"/>
              <w:bottom w:val="single" w:sz="4" w:space="0" w:color="BFBFBF"/>
              <w:right w:val="single" w:sz="4" w:space="0" w:color="BFBFBF"/>
            </w:tcBorders>
            <w:shd w:val="clear" w:color="auto" w:fill="auto"/>
            <w:noWrap/>
            <w:vAlign w:val="center"/>
          </w:tcPr>
          <w:p w14:paraId="0EA5F21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F461945"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0F4415E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20989C9"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24%</w:t>
            </w:r>
          </w:p>
        </w:tc>
        <w:tc>
          <w:tcPr>
            <w:tcW w:w="600" w:type="dxa"/>
            <w:tcBorders>
              <w:top w:val="nil"/>
              <w:left w:val="nil"/>
              <w:bottom w:val="single" w:sz="4" w:space="0" w:color="BFBFBF"/>
              <w:right w:val="single" w:sz="4" w:space="0" w:color="BFBFBF"/>
            </w:tcBorders>
            <w:shd w:val="clear" w:color="auto" w:fill="auto"/>
            <w:noWrap/>
            <w:vAlign w:val="center"/>
          </w:tcPr>
          <w:p w14:paraId="02F7C91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6E92F4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6AC8513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21DFF329"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52%</w:t>
            </w:r>
          </w:p>
        </w:tc>
        <w:tc>
          <w:tcPr>
            <w:tcW w:w="610" w:type="dxa"/>
            <w:tcBorders>
              <w:top w:val="nil"/>
              <w:left w:val="nil"/>
              <w:bottom w:val="single" w:sz="4" w:space="0" w:color="BFBFBF"/>
              <w:right w:val="single" w:sz="4" w:space="0" w:color="BFBFBF"/>
            </w:tcBorders>
            <w:shd w:val="clear" w:color="auto" w:fill="auto"/>
            <w:noWrap/>
            <w:vAlign w:val="center"/>
          </w:tcPr>
          <w:p w14:paraId="27803972"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7D28A42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1B2F436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7F3A1717"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48%</w:t>
            </w:r>
          </w:p>
        </w:tc>
        <w:tc>
          <w:tcPr>
            <w:tcW w:w="645" w:type="dxa"/>
            <w:tcBorders>
              <w:top w:val="nil"/>
              <w:left w:val="nil"/>
              <w:bottom w:val="single" w:sz="4" w:space="0" w:color="BFBFBF"/>
              <w:right w:val="single" w:sz="4" w:space="0" w:color="BFBFBF"/>
            </w:tcBorders>
            <w:shd w:val="clear" w:color="auto" w:fill="auto"/>
            <w:noWrap/>
            <w:vAlign w:val="center"/>
          </w:tcPr>
          <w:p w14:paraId="7294C88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50DE214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74AFCE8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034C0D18"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1E12B5C4"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 xml:space="preserve">Inner </w:t>
            </w:r>
            <w:smartTag w:uri="urn:schemas-microsoft-com:office:smarttags" w:element="place">
              <w:r w:rsidRPr="00924E7A">
                <w:rPr>
                  <w:rFonts w:ascii="Arial" w:hAnsi="Arial" w:cs="Arial"/>
                  <w:color w:val="000000"/>
                  <w:sz w:val="16"/>
                  <w:szCs w:val="16"/>
                  <w:lang w:val="en-AU" w:eastAsia="en-AU"/>
                </w:rPr>
                <w:t>Eastern Melbourne</w:t>
              </w:r>
            </w:smartTag>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4ED3D39A"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26%</w:t>
            </w:r>
          </w:p>
        </w:tc>
        <w:tc>
          <w:tcPr>
            <w:tcW w:w="600" w:type="dxa"/>
            <w:tcBorders>
              <w:top w:val="nil"/>
              <w:left w:val="nil"/>
              <w:bottom w:val="single" w:sz="4" w:space="0" w:color="BFBFBF"/>
              <w:right w:val="single" w:sz="4" w:space="0" w:color="BFBFBF"/>
            </w:tcBorders>
            <w:shd w:val="clear" w:color="auto" w:fill="auto"/>
            <w:noWrap/>
            <w:vAlign w:val="center"/>
          </w:tcPr>
          <w:p w14:paraId="2F69AC0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3F8CC9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7ACDFDC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B8E4A62"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13%</w:t>
            </w:r>
          </w:p>
        </w:tc>
        <w:tc>
          <w:tcPr>
            <w:tcW w:w="600" w:type="dxa"/>
            <w:tcBorders>
              <w:top w:val="nil"/>
              <w:left w:val="nil"/>
              <w:bottom w:val="single" w:sz="4" w:space="0" w:color="BFBFBF"/>
              <w:right w:val="single" w:sz="4" w:space="0" w:color="BFBFBF"/>
            </w:tcBorders>
            <w:shd w:val="clear" w:color="auto" w:fill="auto"/>
            <w:noWrap/>
            <w:vAlign w:val="center"/>
          </w:tcPr>
          <w:p w14:paraId="2CC8725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0D713D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7620638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53976F76"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40%</w:t>
            </w:r>
          </w:p>
        </w:tc>
        <w:tc>
          <w:tcPr>
            <w:tcW w:w="610" w:type="dxa"/>
            <w:tcBorders>
              <w:top w:val="nil"/>
              <w:left w:val="nil"/>
              <w:bottom w:val="single" w:sz="4" w:space="0" w:color="BFBFBF"/>
              <w:right w:val="single" w:sz="4" w:space="0" w:color="BFBFBF"/>
            </w:tcBorders>
            <w:shd w:val="clear" w:color="auto" w:fill="auto"/>
            <w:noWrap/>
            <w:vAlign w:val="center"/>
          </w:tcPr>
          <w:p w14:paraId="739BE2E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3E5C740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7BDB64A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2AB0C158"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60%</w:t>
            </w:r>
          </w:p>
        </w:tc>
        <w:tc>
          <w:tcPr>
            <w:tcW w:w="645" w:type="dxa"/>
            <w:tcBorders>
              <w:top w:val="nil"/>
              <w:left w:val="nil"/>
              <w:bottom w:val="single" w:sz="4" w:space="0" w:color="BFBFBF"/>
              <w:right w:val="single" w:sz="4" w:space="0" w:color="BFBFBF"/>
            </w:tcBorders>
            <w:shd w:val="clear" w:color="auto" w:fill="auto"/>
            <w:noWrap/>
            <w:vAlign w:val="center"/>
          </w:tcPr>
          <w:p w14:paraId="59F617D2"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50FCBEB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0B2E1E4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08EA589E"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179F04E6"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smartTag w:uri="urn:schemas-microsoft-com:office:smarttags" w:element="place">
              <w:r w:rsidRPr="00924E7A">
                <w:rPr>
                  <w:rFonts w:ascii="Arial" w:hAnsi="Arial" w:cs="Arial"/>
                  <w:color w:val="000000"/>
                  <w:sz w:val="16"/>
                  <w:szCs w:val="16"/>
                  <w:lang w:val="en-AU" w:eastAsia="en-AU"/>
                </w:rPr>
                <w:t>Southern Melbourne</w:t>
              </w:r>
            </w:smartTag>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4A8BA15B"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22%</w:t>
            </w:r>
          </w:p>
        </w:tc>
        <w:tc>
          <w:tcPr>
            <w:tcW w:w="600" w:type="dxa"/>
            <w:tcBorders>
              <w:top w:val="nil"/>
              <w:left w:val="nil"/>
              <w:bottom w:val="single" w:sz="4" w:space="0" w:color="BFBFBF"/>
              <w:right w:val="single" w:sz="4" w:space="0" w:color="BFBFBF"/>
            </w:tcBorders>
            <w:shd w:val="clear" w:color="auto" w:fill="auto"/>
            <w:noWrap/>
            <w:vAlign w:val="center"/>
          </w:tcPr>
          <w:p w14:paraId="69B9FA92"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ECE9D1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776C497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04B9EEC"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27%</w:t>
            </w:r>
          </w:p>
        </w:tc>
        <w:tc>
          <w:tcPr>
            <w:tcW w:w="600" w:type="dxa"/>
            <w:tcBorders>
              <w:top w:val="nil"/>
              <w:left w:val="nil"/>
              <w:bottom w:val="single" w:sz="4" w:space="0" w:color="BFBFBF"/>
              <w:right w:val="single" w:sz="4" w:space="0" w:color="BFBFBF"/>
            </w:tcBorders>
            <w:shd w:val="clear" w:color="auto" w:fill="auto"/>
            <w:noWrap/>
            <w:vAlign w:val="center"/>
          </w:tcPr>
          <w:p w14:paraId="401C6FD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DFC70F7"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78867AF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5A290BC8"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48%</w:t>
            </w:r>
          </w:p>
        </w:tc>
        <w:tc>
          <w:tcPr>
            <w:tcW w:w="610" w:type="dxa"/>
            <w:tcBorders>
              <w:top w:val="nil"/>
              <w:left w:val="nil"/>
              <w:bottom w:val="single" w:sz="4" w:space="0" w:color="BFBFBF"/>
              <w:right w:val="single" w:sz="4" w:space="0" w:color="BFBFBF"/>
            </w:tcBorders>
            <w:shd w:val="clear" w:color="auto" w:fill="auto"/>
            <w:noWrap/>
            <w:vAlign w:val="center"/>
          </w:tcPr>
          <w:p w14:paraId="73B5E9C5"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24D61CE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451FD15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70ADCC84"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52%</w:t>
            </w:r>
          </w:p>
        </w:tc>
        <w:tc>
          <w:tcPr>
            <w:tcW w:w="645" w:type="dxa"/>
            <w:tcBorders>
              <w:top w:val="nil"/>
              <w:left w:val="nil"/>
              <w:bottom w:val="single" w:sz="4" w:space="0" w:color="BFBFBF"/>
              <w:right w:val="single" w:sz="4" w:space="0" w:color="BFBFBF"/>
            </w:tcBorders>
            <w:shd w:val="clear" w:color="auto" w:fill="auto"/>
            <w:noWrap/>
            <w:vAlign w:val="center"/>
          </w:tcPr>
          <w:p w14:paraId="568BD7B7"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4DDF79BF"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114E6E4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5D6C1579"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2156544E"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Bayside</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07ED02F1"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23%</w:t>
            </w:r>
          </w:p>
        </w:tc>
        <w:tc>
          <w:tcPr>
            <w:tcW w:w="600" w:type="dxa"/>
            <w:tcBorders>
              <w:top w:val="nil"/>
              <w:left w:val="nil"/>
              <w:bottom w:val="single" w:sz="4" w:space="0" w:color="BFBFBF"/>
              <w:right w:val="single" w:sz="4" w:space="0" w:color="BFBFBF"/>
            </w:tcBorders>
            <w:shd w:val="clear" w:color="auto" w:fill="auto"/>
            <w:noWrap/>
            <w:vAlign w:val="center"/>
          </w:tcPr>
          <w:p w14:paraId="2A96796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9BCDB9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0D41AC1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B72CB17"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18%</w:t>
            </w:r>
          </w:p>
        </w:tc>
        <w:tc>
          <w:tcPr>
            <w:tcW w:w="600" w:type="dxa"/>
            <w:tcBorders>
              <w:top w:val="nil"/>
              <w:left w:val="nil"/>
              <w:bottom w:val="single" w:sz="4" w:space="0" w:color="BFBFBF"/>
              <w:right w:val="single" w:sz="4" w:space="0" w:color="BFBFBF"/>
            </w:tcBorders>
            <w:shd w:val="clear" w:color="auto" w:fill="auto"/>
            <w:noWrap/>
            <w:vAlign w:val="center"/>
          </w:tcPr>
          <w:p w14:paraId="6DE5ECB2"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8B6637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7812E7B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084FE0ED"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41%</w:t>
            </w:r>
          </w:p>
        </w:tc>
        <w:tc>
          <w:tcPr>
            <w:tcW w:w="610" w:type="dxa"/>
            <w:tcBorders>
              <w:top w:val="nil"/>
              <w:left w:val="nil"/>
              <w:bottom w:val="single" w:sz="4" w:space="0" w:color="BFBFBF"/>
              <w:right w:val="single" w:sz="4" w:space="0" w:color="BFBFBF"/>
            </w:tcBorders>
            <w:shd w:val="clear" w:color="auto" w:fill="auto"/>
            <w:noWrap/>
            <w:vAlign w:val="center"/>
          </w:tcPr>
          <w:p w14:paraId="7B74936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4246BB5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2E8CEC9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6F5C3DDB"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59%</w:t>
            </w:r>
          </w:p>
        </w:tc>
        <w:tc>
          <w:tcPr>
            <w:tcW w:w="645" w:type="dxa"/>
            <w:tcBorders>
              <w:top w:val="nil"/>
              <w:left w:val="nil"/>
              <w:bottom w:val="single" w:sz="4" w:space="0" w:color="BFBFBF"/>
              <w:right w:val="single" w:sz="4" w:space="0" w:color="BFBFBF"/>
            </w:tcBorders>
            <w:shd w:val="clear" w:color="auto" w:fill="auto"/>
            <w:noWrap/>
            <w:vAlign w:val="center"/>
          </w:tcPr>
          <w:p w14:paraId="40BDE9D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50C039D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7976CB8F"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2A335464"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1680ABC9"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smartTag w:uri="urn:schemas-microsoft-com:office:smarttags" w:element="place">
              <w:r w:rsidRPr="00924E7A">
                <w:rPr>
                  <w:rFonts w:ascii="Arial" w:hAnsi="Arial" w:cs="Arial"/>
                  <w:color w:val="000000"/>
                  <w:sz w:val="16"/>
                  <w:szCs w:val="16"/>
                  <w:lang w:val="en-AU" w:eastAsia="en-AU"/>
                </w:rPr>
                <w:t>Western Melbourne</w:t>
              </w:r>
            </w:smartTag>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614AF5EA"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18%</w:t>
            </w:r>
          </w:p>
        </w:tc>
        <w:tc>
          <w:tcPr>
            <w:tcW w:w="600" w:type="dxa"/>
            <w:tcBorders>
              <w:top w:val="nil"/>
              <w:left w:val="nil"/>
              <w:bottom w:val="single" w:sz="4" w:space="0" w:color="BFBFBF"/>
              <w:right w:val="single" w:sz="4" w:space="0" w:color="BFBFBF"/>
            </w:tcBorders>
            <w:shd w:val="clear" w:color="auto" w:fill="auto"/>
            <w:noWrap/>
            <w:vAlign w:val="center"/>
          </w:tcPr>
          <w:p w14:paraId="13C8FF2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0F2542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0B92A70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41F3328"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18%</w:t>
            </w:r>
          </w:p>
        </w:tc>
        <w:tc>
          <w:tcPr>
            <w:tcW w:w="600" w:type="dxa"/>
            <w:tcBorders>
              <w:top w:val="nil"/>
              <w:left w:val="nil"/>
              <w:bottom w:val="single" w:sz="4" w:space="0" w:color="BFBFBF"/>
              <w:right w:val="single" w:sz="4" w:space="0" w:color="BFBFBF"/>
            </w:tcBorders>
            <w:shd w:val="clear" w:color="auto" w:fill="auto"/>
            <w:noWrap/>
            <w:vAlign w:val="center"/>
          </w:tcPr>
          <w:p w14:paraId="0BFA371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91F16C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58B9084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4D7FC35E"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36%</w:t>
            </w:r>
          </w:p>
        </w:tc>
        <w:tc>
          <w:tcPr>
            <w:tcW w:w="610" w:type="dxa"/>
            <w:tcBorders>
              <w:top w:val="nil"/>
              <w:left w:val="nil"/>
              <w:bottom w:val="single" w:sz="4" w:space="0" w:color="BFBFBF"/>
              <w:right w:val="single" w:sz="4" w:space="0" w:color="BFBFBF"/>
            </w:tcBorders>
            <w:shd w:val="clear" w:color="auto" w:fill="auto"/>
            <w:noWrap/>
            <w:vAlign w:val="center"/>
          </w:tcPr>
          <w:p w14:paraId="3976C7B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1CD9684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5B82B56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4076E892"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64%</w:t>
            </w:r>
          </w:p>
        </w:tc>
        <w:tc>
          <w:tcPr>
            <w:tcW w:w="645" w:type="dxa"/>
            <w:tcBorders>
              <w:top w:val="nil"/>
              <w:left w:val="nil"/>
              <w:bottom w:val="single" w:sz="4" w:space="0" w:color="BFBFBF"/>
              <w:right w:val="single" w:sz="4" w:space="0" w:color="BFBFBF"/>
            </w:tcBorders>
            <w:shd w:val="clear" w:color="auto" w:fill="auto"/>
            <w:noWrap/>
            <w:vAlign w:val="center"/>
          </w:tcPr>
          <w:p w14:paraId="2CC4F7F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1B68964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165A888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394B5B83"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0E395B85"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Brimbank Melton</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4978B2F7"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13%</w:t>
            </w:r>
          </w:p>
        </w:tc>
        <w:tc>
          <w:tcPr>
            <w:tcW w:w="600" w:type="dxa"/>
            <w:tcBorders>
              <w:top w:val="nil"/>
              <w:left w:val="nil"/>
              <w:bottom w:val="single" w:sz="4" w:space="0" w:color="BFBFBF"/>
              <w:right w:val="single" w:sz="4" w:space="0" w:color="BFBFBF"/>
            </w:tcBorders>
            <w:shd w:val="clear" w:color="auto" w:fill="auto"/>
            <w:noWrap/>
            <w:vAlign w:val="center"/>
          </w:tcPr>
          <w:p w14:paraId="367689A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C8C3A1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2A9D5D72"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216B734"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29%</w:t>
            </w:r>
          </w:p>
        </w:tc>
        <w:tc>
          <w:tcPr>
            <w:tcW w:w="600" w:type="dxa"/>
            <w:tcBorders>
              <w:top w:val="nil"/>
              <w:left w:val="nil"/>
              <w:bottom w:val="single" w:sz="4" w:space="0" w:color="BFBFBF"/>
              <w:right w:val="single" w:sz="4" w:space="0" w:color="BFBFBF"/>
            </w:tcBorders>
            <w:shd w:val="clear" w:color="auto" w:fill="auto"/>
            <w:noWrap/>
            <w:vAlign w:val="center"/>
          </w:tcPr>
          <w:p w14:paraId="6C7F291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5586A7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0BF83A1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4CD9FB78"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42%</w:t>
            </w:r>
          </w:p>
        </w:tc>
        <w:tc>
          <w:tcPr>
            <w:tcW w:w="610" w:type="dxa"/>
            <w:tcBorders>
              <w:top w:val="nil"/>
              <w:left w:val="nil"/>
              <w:bottom w:val="single" w:sz="4" w:space="0" w:color="BFBFBF"/>
              <w:right w:val="single" w:sz="4" w:space="0" w:color="BFBFBF"/>
            </w:tcBorders>
            <w:shd w:val="clear" w:color="auto" w:fill="auto"/>
            <w:noWrap/>
            <w:vAlign w:val="center"/>
          </w:tcPr>
          <w:p w14:paraId="6191066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13AEA4A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2DEEBC2F"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3AB62F0A"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58%</w:t>
            </w:r>
          </w:p>
        </w:tc>
        <w:tc>
          <w:tcPr>
            <w:tcW w:w="645" w:type="dxa"/>
            <w:tcBorders>
              <w:top w:val="nil"/>
              <w:left w:val="nil"/>
              <w:bottom w:val="single" w:sz="4" w:space="0" w:color="BFBFBF"/>
              <w:right w:val="single" w:sz="4" w:space="0" w:color="BFBFBF"/>
            </w:tcBorders>
            <w:shd w:val="clear" w:color="auto" w:fill="auto"/>
            <w:noWrap/>
            <w:vAlign w:val="center"/>
          </w:tcPr>
          <w:p w14:paraId="7A3775E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3CB35F5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485D2B1A"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390AACC4"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1B028CFB"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Mallee</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4BE72B3C"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36%</w:t>
            </w:r>
          </w:p>
        </w:tc>
        <w:tc>
          <w:tcPr>
            <w:tcW w:w="600" w:type="dxa"/>
            <w:tcBorders>
              <w:top w:val="nil"/>
              <w:left w:val="nil"/>
              <w:bottom w:val="single" w:sz="4" w:space="0" w:color="BFBFBF"/>
              <w:right w:val="single" w:sz="4" w:space="0" w:color="BFBFBF"/>
            </w:tcBorders>
            <w:shd w:val="clear" w:color="auto" w:fill="auto"/>
            <w:noWrap/>
            <w:vAlign w:val="center"/>
          </w:tcPr>
          <w:p w14:paraId="7E728385"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A2C86A5"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69362F32"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EBD8766"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21%</w:t>
            </w:r>
          </w:p>
        </w:tc>
        <w:tc>
          <w:tcPr>
            <w:tcW w:w="600" w:type="dxa"/>
            <w:tcBorders>
              <w:top w:val="nil"/>
              <w:left w:val="nil"/>
              <w:bottom w:val="single" w:sz="4" w:space="0" w:color="BFBFBF"/>
              <w:right w:val="single" w:sz="4" w:space="0" w:color="BFBFBF"/>
            </w:tcBorders>
            <w:shd w:val="clear" w:color="auto" w:fill="auto"/>
            <w:noWrap/>
            <w:vAlign w:val="center"/>
          </w:tcPr>
          <w:p w14:paraId="2800460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D8B123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4B46D77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77C4EA5C"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57%</w:t>
            </w:r>
          </w:p>
        </w:tc>
        <w:tc>
          <w:tcPr>
            <w:tcW w:w="610" w:type="dxa"/>
            <w:tcBorders>
              <w:top w:val="nil"/>
              <w:left w:val="nil"/>
              <w:bottom w:val="single" w:sz="4" w:space="0" w:color="BFBFBF"/>
              <w:right w:val="single" w:sz="4" w:space="0" w:color="BFBFBF"/>
            </w:tcBorders>
            <w:shd w:val="clear" w:color="auto" w:fill="auto"/>
            <w:noWrap/>
            <w:vAlign w:val="center"/>
          </w:tcPr>
          <w:p w14:paraId="585FCE7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6E80C5F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5D372537"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279B8753"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43%</w:t>
            </w:r>
          </w:p>
        </w:tc>
        <w:tc>
          <w:tcPr>
            <w:tcW w:w="645" w:type="dxa"/>
            <w:tcBorders>
              <w:top w:val="nil"/>
              <w:left w:val="nil"/>
              <w:bottom w:val="single" w:sz="4" w:space="0" w:color="BFBFBF"/>
              <w:right w:val="single" w:sz="4" w:space="0" w:color="BFBFBF"/>
            </w:tcBorders>
            <w:shd w:val="clear" w:color="auto" w:fill="auto"/>
            <w:noWrap/>
            <w:vAlign w:val="center"/>
          </w:tcPr>
          <w:p w14:paraId="14A3348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5423BDF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7A3AB3A5"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208182A5"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69929D5D"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Loddon</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38ABE189"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25%</w:t>
            </w:r>
          </w:p>
        </w:tc>
        <w:tc>
          <w:tcPr>
            <w:tcW w:w="600" w:type="dxa"/>
            <w:tcBorders>
              <w:top w:val="nil"/>
              <w:left w:val="nil"/>
              <w:bottom w:val="single" w:sz="4" w:space="0" w:color="BFBFBF"/>
              <w:right w:val="single" w:sz="4" w:space="0" w:color="BFBFBF"/>
            </w:tcBorders>
            <w:shd w:val="clear" w:color="auto" w:fill="auto"/>
            <w:noWrap/>
            <w:vAlign w:val="center"/>
          </w:tcPr>
          <w:p w14:paraId="34F81C1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D595CB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5847B11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1610DC1"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25%</w:t>
            </w:r>
          </w:p>
        </w:tc>
        <w:tc>
          <w:tcPr>
            <w:tcW w:w="600" w:type="dxa"/>
            <w:tcBorders>
              <w:top w:val="nil"/>
              <w:left w:val="nil"/>
              <w:bottom w:val="single" w:sz="4" w:space="0" w:color="BFBFBF"/>
              <w:right w:val="single" w:sz="4" w:space="0" w:color="BFBFBF"/>
            </w:tcBorders>
            <w:shd w:val="clear" w:color="auto" w:fill="auto"/>
            <w:noWrap/>
            <w:vAlign w:val="center"/>
          </w:tcPr>
          <w:p w14:paraId="1359758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9FDF89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4F37403A"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15A7DCD2"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50%</w:t>
            </w:r>
          </w:p>
        </w:tc>
        <w:tc>
          <w:tcPr>
            <w:tcW w:w="610" w:type="dxa"/>
            <w:tcBorders>
              <w:top w:val="nil"/>
              <w:left w:val="nil"/>
              <w:bottom w:val="single" w:sz="4" w:space="0" w:color="BFBFBF"/>
              <w:right w:val="single" w:sz="4" w:space="0" w:color="BFBFBF"/>
            </w:tcBorders>
            <w:shd w:val="clear" w:color="auto" w:fill="auto"/>
            <w:noWrap/>
            <w:vAlign w:val="center"/>
          </w:tcPr>
          <w:p w14:paraId="63CF1F6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1BF4BEB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17441A9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2ABDC71D"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50%</w:t>
            </w:r>
          </w:p>
        </w:tc>
        <w:tc>
          <w:tcPr>
            <w:tcW w:w="645" w:type="dxa"/>
            <w:tcBorders>
              <w:top w:val="nil"/>
              <w:left w:val="nil"/>
              <w:bottom w:val="single" w:sz="4" w:space="0" w:color="BFBFBF"/>
              <w:right w:val="single" w:sz="4" w:space="0" w:color="BFBFBF"/>
            </w:tcBorders>
            <w:shd w:val="clear" w:color="auto" w:fill="auto"/>
            <w:noWrap/>
            <w:vAlign w:val="center"/>
          </w:tcPr>
          <w:p w14:paraId="4D8C615A"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1D7F8DE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41742A2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36891F1F"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237DA612"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924E7A">
                  <w:rPr>
                    <w:rFonts w:ascii="Arial" w:hAnsi="Arial" w:cs="Arial"/>
                    <w:color w:val="000000"/>
                    <w:sz w:val="16"/>
                    <w:szCs w:val="16"/>
                    <w:lang w:val="en-AU" w:eastAsia="en-AU"/>
                  </w:rPr>
                  <w:t>Murray</w:t>
                </w:r>
              </w:smartTag>
            </w:smartTag>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2658C7DF"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23%</w:t>
            </w:r>
          </w:p>
        </w:tc>
        <w:tc>
          <w:tcPr>
            <w:tcW w:w="600" w:type="dxa"/>
            <w:tcBorders>
              <w:top w:val="nil"/>
              <w:left w:val="nil"/>
              <w:bottom w:val="single" w:sz="4" w:space="0" w:color="BFBFBF"/>
              <w:right w:val="single" w:sz="4" w:space="0" w:color="BFBFBF"/>
            </w:tcBorders>
            <w:shd w:val="clear" w:color="auto" w:fill="auto"/>
            <w:noWrap/>
            <w:vAlign w:val="center"/>
          </w:tcPr>
          <w:p w14:paraId="36F88CD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840750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5BD6E56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E2BD2D2"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27%</w:t>
            </w:r>
          </w:p>
        </w:tc>
        <w:tc>
          <w:tcPr>
            <w:tcW w:w="600" w:type="dxa"/>
            <w:tcBorders>
              <w:top w:val="nil"/>
              <w:left w:val="nil"/>
              <w:bottom w:val="single" w:sz="4" w:space="0" w:color="BFBFBF"/>
              <w:right w:val="single" w:sz="4" w:space="0" w:color="BFBFBF"/>
            </w:tcBorders>
            <w:shd w:val="clear" w:color="auto" w:fill="auto"/>
            <w:noWrap/>
            <w:vAlign w:val="center"/>
          </w:tcPr>
          <w:p w14:paraId="5243AEC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9952F7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3B4A7E8F"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33E612BC"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50%</w:t>
            </w:r>
          </w:p>
        </w:tc>
        <w:tc>
          <w:tcPr>
            <w:tcW w:w="610" w:type="dxa"/>
            <w:tcBorders>
              <w:top w:val="nil"/>
              <w:left w:val="nil"/>
              <w:bottom w:val="single" w:sz="4" w:space="0" w:color="BFBFBF"/>
              <w:right w:val="single" w:sz="4" w:space="0" w:color="BFBFBF"/>
            </w:tcBorders>
            <w:shd w:val="clear" w:color="auto" w:fill="auto"/>
            <w:noWrap/>
            <w:vAlign w:val="center"/>
          </w:tcPr>
          <w:p w14:paraId="1C69878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1780CF4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439BFDE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52695CF7"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50%</w:t>
            </w:r>
          </w:p>
        </w:tc>
        <w:tc>
          <w:tcPr>
            <w:tcW w:w="645" w:type="dxa"/>
            <w:tcBorders>
              <w:top w:val="nil"/>
              <w:left w:val="nil"/>
              <w:bottom w:val="single" w:sz="4" w:space="0" w:color="BFBFBF"/>
              <w:right w:val="single" w:sz="4" w:space="0" w:color="BFBFBF"/>
            </w:tcBorders>
            <w:shd w:val="clear" w:color="auto" w:fill="auto"/>
            <w:noWrap/>
            <w:vAlign w:val="center"/>
          </w:tcPr>
          <w:p w14:paraId="2F2050D7"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05CA0B2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331B39E7"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36ECA895"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457BB7B0"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Goulburn</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3642A318"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23%</w:t>
            </w:r>
          </w:p>
        </w:tc>
        <w:tc>
          <w:tcPr>
            <w:tcW w:w="600" w:type="dxa"/>
            <w:tcBorders>
              <w:top w:val="nil"/>
              <w:left w:val="nil"/>
              <w:bottom w:val="single" w:sz="4" w:space="0" w:color="BFBFBF"/>
              <w:right w:val="single" w:sz="4" w:space="0" w:color="BFBFBF"/>
            </w:tcBorders>
            <w:shd w:val="clear" w:color="auto" w:fill="auto"/>
            <w:noWrap/>
            <w:vAlign w:val="center"/>
          </w:tcPr>
          <w:p w14:paraId="3577A67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A3AC9E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4C614BA2"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B9F6B14"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25%</w:t>
            </w:r>
          </w:p>
        </w:tc>
        <w:tc>
          <w:tcPr>
            <w:tcW w:w="600" w:type="dxa"/>
            <w:tcBorders>
              <w:top w:val="nil"/>
              <w:left w:val="nil"/>
              <w:bottom w:val="single" w:sz="4" w:space="0" w:color="BFBFBF"/>
              <w:right w:val="single" w:sz="4" w:space="0" w:color="BFBFBF"/>
            </w:tcBorders>
            <w:shd w:val="clear" w:color="auto" w:fill="auto"/>
            <w:noWrap/>
            <w:vAlign w:val="center"/>
          </w:tcPr>
          <w:p w14:paraId="3DDBC75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37A3B3A"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733F00E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5311854A"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48%</w:t>
            </w:r>
          </w:p>
        </w:tc>
        <w:tc>
          <w:tcPr>
            <w:tcW w:w="610" w:type="dxa"/>
            <w:tcBorders>
              <w:top w:val="nil"/>
              <w:left w:val="nil"/>
              <w:bottom w:val="single" w:sz="4" w:space="0" w:color="BFBFBF"/>
              <w:right w:val="single" w:sz="4" w:space="0" w:color="BFBFBF"/>
            </w:tcBorders>
            <w:shd w:val="clear" w:color="auto" w:fill="auto"/>
            <w:noWrap/>
            <w:vAlign w:val="center"/>
          </w:tcPr>
          <w:p w14:paraId="623341B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636D27E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6D9FBC2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24010C37"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52%</w:t>
            </w:r>
          </w:p>
        </w:tc>
        <w:tc>
          <w:tcPr>
            <w:tcW w:w="645" w:type="dxa"/>
            <w:tcBorders>
              <w:top w:val="nil"/>
              <w:left w:val="nil"/>
              <w:bottom w:val="single" w:sz="4" w:space="0" w:color="BFBFBF"/>
              <w:right w:val="single" w:sz="4" w:space="0" w:color="BFBFBF"/>
            </w:tcBorders>
            <w:shd w:val="clear" w:color="auto" w:fill="auto"/>
            <w:noWrap/>
            <w:vAlign w:val="center"/>
          </w:tcPr>
          <w:p w14:paraId="573E65B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0FD1A947"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7957C34F"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7FD77FBF"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300C31C6"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Outer Gippsland</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5EDE4402"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35%</w:t>
            </w:r>
          </w:p>
        </w:tc>
        <w:tc>
          <w:tcPr>
            <w:tcW w:w="600" w:type="dxa"/>
            <w:tcBorders>
              <w:top w:val="nil"/>
              <w:left w:val="nil"/>
              <w:bottom w:val="single" w:sz="4" w:space="0" w:color="BFBFBF"/>
              <w:right w:val="single" w:sz="4" w:space="0" w:color="BFBFBF"/>
            </w:tcBorders>
            <w:shd w:val="clear" w:color="auto" w:fill="auto"/>
            <w:noWrap/>
            <w:vAlign w:val="center"/>
          </w:tcPr>
          <w:p w14:paraId="0FE3DAB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34A7E17"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4BD4098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07D68D7"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22%</w:t>
            </w:r>
          </w:p>
        </w:tc>
        <w:tc>
          <w:tcPr>
            <w:tcW w:w="600" w:type="dxa"/>
            <w:tcBorders>
              <w:top w:val="nil"/>
              <w:left w:val="nil"/>
              <w:bottom w:val="single" w:sz="4" w:space="0" w:color="BFBFBF"/>
              <w:right w:val="single" w:sz="4" w:space="0" w:color="BFBFBF"/>
            </w:tcBorders>
            <w:shd w:val="clear" w:color="auto" w:fill="auto"/>
            <w:noWrap/>
            <w:vAlign w:val="center"/>
          </w:tcPr>
          <w:p w14:paraId="062BC4D2"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82A4F0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6A27B0B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0FB33426"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57%</w:t>
            </w:r>
          </w:p>
        </w:tc>
        <w:tc>
          <w:tcPr>
            <w:tcW w:w="610" w:type="dxa"/>
            <w:tcBorders>
              <w:top w:val="nil"/>
              <w:left w:val="nil"/>
              <w:bottom w:val="single" w:sz="4" w:space="0" w:color="BFBFBF"/>
              <w:right w:val="single" w:sz="4" w:space="0" w:color="BFBFBF"/>
            </w:tcBorders>
            <w:shd w:val="clear" w:color="auto" w:fill="auto"/>
            <w:noWrap/>
            <w:vAlign w:val="center"/>
          </w:tcPr>
          <w:p w14:paraId="68E45D3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1BD8BE6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650E4552"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6F863FF1"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43%</w:t>
            </w:r>
          </w:p>
        </w:tc>
        <w:tc>
          <w:tcPr>
            <w:tcW w:w="645" w:type="dxa"/>
            <w:tcBorders>
              <w:top w:val="nil"/>
              <w:left w:val="nil"/>
              <w:bottom w:val="single" w:sz="4" w:space="0" w:color="BFBFBF"/>
              <w:right w:val="single" w:sz="4" w:space="0" w:color="BFBFBF"/>
            </w:tcBorders>
            <w:shd w:val="clear" w:color="auto" w:fill="auto"/>
            <w:noWrap/>
            <w:vAlign w:val="center"/>
          </w:tcPr>
          <w:p w14:paraId="0C4FE2A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6FB631D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3BA3393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19CCE9EC"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094CB122"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Inner Gippsland</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5E342ACF"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25%</w:t>
            </w:r>
          </w:p>
        </w:tc>
        <w:tc>
          <w:tcPr>
            <w:tcW w:w="600" w:type="dxa"/>
            <w:tcBorders>
              <w:top w:val="nil"/>
              <w:left w:val="nil"/>
              <w:bottom w:val="single" w:sz="4" w:space="0" w:color="BFBFBF"/>
              <w:right w:val="single" w:sz="4" w:space="0" w:color="BFBFBF"/>
            </w:tcBorders>
            <w:shd w:val="clear" w:color="auto" w:fill="auto"/>
            <w:noWrap/>
            <w:vAlign w:val="center"/>
          </w:tcPr>
          <w:p w14:paraId="125B2FA7"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F3FD51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5EDE8867"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A23C856"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21%</w:t>
            </w:r>
          </w:p>
        </w:tc>
        <w:tc>
          <w:tcPr>
            <w:tcW w:w="600" w:type="dxa"/>
            <w:tcBorders>
              <w:top w:val="nil"/>
              <w:left w:val="nil"/>
              <w:bottom w:val="single" w:sz="4" w:space="0" w:color="BFBFBF"/>
              <w:right w:val="single" w:sz="4" w:space="0" w:color="BFBFBF"/>
            </w:tcBorders>
            <w:shd w:val="clear" w:color="auto" w:fill="auto"/>
            <w:noWrap/>
            <w:vAlign w:val="center"/>
          </w:tcPr>
          <w:p w14:paraId="69C95AD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CADDA0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6491C057"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468CB13B"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46%</w:t>
            </w:r>
          </w:p>
        </w:tc>
        <w:tc>
          <w:tcPr>
            <w:tcW w:w="610" w:type="dxa"/>
            <w:tcBorders>
              <w:top w:val="nil"/>
              <w:left w:val="nil"/>
              <w:bottom w:val="single" w:sz="4" w:space="0" w:color="BFBFBF"/>
              <w:right w:val="single" w:sz="4" w:space="0" w:color="BFBFBF"/>
            </w:tcBorders>
            <w:shd w:val="clear" w:color="auto" w:fill="auto"/>
            <w:noWrap/>
            <w:vAlign w:val="center"/>
          </w:tcPr>
          <w:p w14:paraId="1E78064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7D96274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046D222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69C368A9"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54%</w:t>
            </w:r>
          </w:p>
        </w:tc>
        <w:tc>
          <w:tcPr>
            <w:tcW w:w="645" w:type="dxa"/>
            <w:tcBorders>
              <w:top w:val="nil"/>
              <w:left w:val="nil"/>
              <w:bottom w:val="single" w:sz="4" w:space="0" w:color="BFBFBF"/>
              <w:right w:val="single" w:sz="4" w:space="0" w:color="BFBFBF"/>
            </w:tcBorders>
            <w:shd w:val="clear" w:color="auto" w:fill="auto"/>
            <w:noWrap/>
            <w:vAlign w:val="center"/>
          </w:tcPr>
          <w:p w14:paraId="08931455"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0D7FBAC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782E0D9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035F4F08"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6536CAE3"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Western District</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02126399"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26%</w:t>
            </w:r>
          </w:p>
        </w:tc>
        <w:tc>
          <w:tcPr>
            <w:tcW w:w="600" w:type="dxa"/>
            <w:tcBorders>
              <w:top w:val="nil"/>
              <w:left w:val="nil"/>
              <w:bottom w:val="single" w:sz="4" w:space="0" w:color="BFBFBF"/>
              <w:right w:val="single" w:sz="4" w:space="0" w:color="BFBFBF"/>
            </w:tcBorders>
            <w:shd w:val="clear" w:color="auto" w:fill="auto"/>
            <w:noWrap/>
            <w:vAlign w:val="center"/>
          </w:tcPr>
          <w:p w14:paraId="1683A51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361729F"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5C7713A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F38E778" w14:textId="77777777" w:rsidR="00924E7A" w:rsidRPr="00924E7A" w:rsidRDefault="00924E7A" w:rsidP="00162EF6">
            <w:pPr>
              <w:spacing w:before="0" w:after="0"/>
              <w:contextualSpacing/>
              <w:jc w:val="center"/>
              <w:rPr>
                <w:rFonts w:ascii="Arial" w:hAnsi="Arial" w:cs="Arial"/>
                <w:color w:val="FF0000"/>
                <w:sz w:val="16"/>
                <w:szCs w:val="16"/>
              </w:rPr>
            </w:pPr>
            <w:r w:rsidRPr="00924E7A">
              <w:rPr>
                <w:rFonts w:ascii="Arial" w:hAnsi="Arial" w:cs="Arial"/>
                <w:sz w:val="16"/>
                <w:szCs w:val="16"/>
              </w:rPr>
              <w:t>27%</w:t>
            </w:r>
          </w:p>
        </w:tc>
        <w:tc>
          <w:tcPr>
            <w:tcW w:w="600" w:type="dxa"/>
            <w:tcBorders>
              <w:top w:val="nil"/>
              <w:left w:val="nil"/>
              <w:bottom w:val="single" w:sz="4" w:space="0" w:color="BFBFBF"/>
              <w:right w:val="single" w:sz="4" w:space="0" w:color="BFBFBF"/>
            </w:tcBorders>
            <w:shd w:val="clear" w:color="auto" w:fill="auto"/>
            <w:noWrap/>
            <w:vAlign w:val="center"/>
          </w:tcPr>
          <w:p w14:paraId="2514DA9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C1266DD"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5900F2D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14720C89"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52%</w:t>
            </w:r>
          </w:p>
        </w:tc>
        <w:tc>
          <w:tcPr>
            <w:tcW w:w="610" w:type="dxa"/>
            <w:tcBorders>
              <w:top w:val="nil"/>
              <w:left w:val="nil"/>
              <w:bottom w:val="single" w:sz="4" w:space="0" w:color="BFBFBF"/>
              <w:right w:val="single" w:sz="4" w:space="0" w:color="BFBFBF"/>
            </w:tcBorders>
            <w:shd w:val="clear" w:color="auto" w:fill="auto"/>
            <w:noWrap/>
            <w:vAlign w:val="center"/>
          </w:tcPr>
          <w:p w14:paraId="7657AE1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1CBED61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6028F91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1EE7D58C"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48%</w:t>
            </w:r>
          </w:p>
        </w:tc>
        <w:tc>
          <w:tcPr>
            <w:tcW w:w="645" w:type="dxa"/>
            <w:tcBorders>
              <w:top w:val="nil"/>
              <w:left w:val="nil"/>
              <w:bottom w:val="single" w:sz="4" w:space="0" w:color="BFBFBF"/>
              <w:right w:val="single" w:sz="4" w:space="0" w:color="BFBFBF"/>
            </w:tcBorders>
            <w:shd w:val="clear" w:color="auto" w:fill="auto"/>
            <w:noWrap/>
            <w:vAlign w:val="center"/>
          </w:tcPr>
          <w:p w14:paraId="3EF8239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507944FF"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5758C3E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106108A9"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7A679389"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Barwon</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7293E05C"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23%</w:t>
            </w:r>
          </w:p>
        </w:tc>
        <w:tc>
          <w:tcPr>
            <w:tcW w:w="600" w:type="dxa"/>
            <w:tcBorders>
              <w:top w:val="nil"/>
              <w:left w:val="nil"/>
              <w:bottom w:val="single" w:sz="4" w:space="0" w:color="BFBFBF"/>
              <w:right w:val="single" w:sz="4" w:space="0" w:color="BFBFBF"/>
            </w:tcBorders>
            <w:shd w:val="clear" w:color="auto" w:fill="auto"/>
            <w:noWrap/>
            <w:vAlign w:val="center"/>
          </w:tcPr>
          <w:p w14:paraId="2E13115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C8D5AC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45E036C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5A2F3EB"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22%</w:t>
            </w:r>
          </w:p>
        </w:tc>
        <w:tc>
          <w:tcPr>
            <w:tcW w:w="600" w:type="dxa"/>
            <w:tcBorders>
              <w:top w:val="nil"/>
              <w:left w:val="nil"/>
              <w:bottom w:val="single" w:sz="4" w:space="0" w:color="BFBFBF"/>
              <w:right w:val="single" w:sz="4" w:space="0" w:color="BFBFBF"/>
            </w:tcBorders>
            <w:shd w:val="clear" w:color="auto" w:fill="auto"/>
            <w:noWrap/>
            <w:vAlign w:val="center"/>
          </w:tcPr>
          <w:p w14:paraId="177466F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79F27CF"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5FC729BB"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7698DC99"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45%</w:t>
            </w:r>
          </w:p>
        </w:tc>
        <w:tc>
          <w:tcPr>
            <w:tcW w:w="610" w:type="dxa"/>
            <w:tcBorders>
              <w:top w:val="nil"/>
              <w:left w:val="nil"/>
              <w:bottom w:val="single" w:sz="4" w:space="0" w:color="BFBFBF"/>
              <w:right w:val="single" w:sz="4" w:space="0" w:color="BFBFBF"/>
            </w:tcBorders>
            <w:shd w:val="clear" w:color="auto" w:fill="auto"/>
            <w:noWrap/>
            <w:vAlign w:val="center"/>
          </w:tcPr>
          <w:p w14:paraId="6153C87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663EC39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10E163F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31C425B0"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55%</w:t>
            </w:r>
          </w:p>
        </w:tc>
        <w:tc>
          <w:tcPr>
            <w:tcW w:w="645" w:type="dxa"/>
            <w:tcBorders>
              <w:top w:val="nil"/>
              <w:left w:val="nil"/>
              <w:bottom w:val="single" w:sz="4" w:space="0" w:color="BFBFBF"/>
              <w:right w:val="single" w:sz="4" w:space="0" w:color="BFBFBF"/>
            </w:tcBorders>
            <w:shd w:val="clear" w:color="auto" w:fill="auto"/>
            <w:noWrap/>
            <w:vAlign w:val="center"/>
          </w:tcPr>
          <w:p w14:paraId="4CE6A48F"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4743D0B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0FAA3933"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6934017B" w14:textId="77777777" w:rsidTr="00162EF6">
        <w:trPr>
          <w:trHeight w:val="255"/>
          <w:jc w:val="center"/>
        </w:trPr>
        <w:tc>
          <w:tcPr>
            <w:tcW w:w="2391" w:type="dxa"/>
            <w:tcBorders>
              <w:top w:val="nil"/>
              <w:left w:val="double" w:sz="6" w:space="0" w:color="auto"/>
              <w:bottom w:val="single" w:sz="4" w:space="0" w:color="BFBFBF"/>
              <w:right w:val="nil"/>
            </w:tcBorders>
            <w:shd w:val="clear" w:color="auto" w:fill="auto"/>
            <w:noWrap/>
            <w:vAlign w:val="bottom"/>
          </w:tcPr>
          <w:p w14:paraId="7595F888" w14:textId="77777777" w:rsidR="00924E7A" w:rsidRPr="00924E7A" w:rsidRDefault="00924E7A" w:rsidP="00162EF6">
            <w:pPr>
              <w:spacing w:before="0" w:after="0"/>
              <w:ind w:firstLineChars="100" w:firstLine="160"/>
              <w:contextualSpacing/>
              <w:rPr>
                <w:rFonts w:ascii="Arial" w:hAnsi="Arial" w:cs="Arial"/>
                <w:color w:val="000000"/>
                <w:sz w:val="16"/>
                <w:szCs w:val="16"/>
                <w:lang w:val="en-AU" w:eastAsia="en-AU"/>
              </w:rPr>
            </w:pPr>
            <w:r w:rsidRPr="00924E7A">
              <w:rPr>
                <w:rFonts w:ascii="Arial" w:hAnsi="Arial" w:cs="Arial"/>
                <w:color w:val="000000"/>
                <w:sz w:val="16"/>
                <w:szCs w:val="16"/>
                <w:lang w:val="en-AU" w:eastAsia="en-AU"/>
              </w:rPr>
              <w:t>Central Highlands</w:t>
            </w:r>
          </w:p>
        </w:tc>
        <w:tc>
          <w:tcPr>
            <w:tcW w:w="603" w:type="dxa"/>
            <w:tcBorders>
              <w:top w:val="nil"/>
              <w:left w:val="single" w:sz="4" w:space="0" w:color="auto"/>
              <w:bottom w:val="single" w:sz="4" w:space="0" w:color="BFBFBF"/>
              <w:right w:val="single" w:sz="4" w:space="0" w:color="BFBFBF"/>
            </w:tcBorders>
            <w:shd w:val="clear" w:color="auto" w:fill="auto"/>
            <w:noWrap/>
            <w:vAlign w:val="center"/>
          </w:tcPr>
          <w:p w14:paraId="156C8201"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24%</w:t>
            </w:r>
          </w:p>
        </w:tc>
        <w:tc>
          <w:tcPr>
            <w:tcW w:w="600" w:type="dxa"/>
            <w:tcBorders>
              <w:top w:val="nil"/>
              <w:left w:val="nil"/>
              <w:bottom w:val="single" w:sz="4" w:space="0" w:color="BFBFBF"/>
              <w:right w:val="single" w:sz="4" w:space="0" w:color="BFBFBF"/>
            </w:tcBorders>
            <w:shd w:val="clear" w:color="auto" w:fill="auto"/>
            <w:noWrap/>
            <w:vAlign w:val="center"/>
          </w:tcPr>
          <w:p w14:paraId="7EC418EE"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3FD67FC"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auto"/>
            </w:tcBorders>
            <w:shd w:val="clear" w:color="auto" w:fill="auto"/>
            <w:noWrap/>
            <w:vAlign w:val="center"/>
          </w:tcPr>
          <w:p w14:paraId="6B8AFC65"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E01A454"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31%</w:t>
            </w:r>
          </w:p>
        </w:tc>
        <w:tc>
          <w:tcPr>
            <w:tcW w:w="600" w:type="dxa"/>
            <w:tcBorders>
              <w:top w:val="nil"/>
              <w:left w:val="nil"/>
              <w:bottom w:val="single" w:sz="4" w:space="0" w:color="BFBFBF"/>
              <w:right w:val="single" w:sz="4" w:space="0" w:color="BFBFBF"/>
            </w:tcBorders>
            <w:shd w:val="clear" w:color="auto" w:fill="auto"/>
            <w:noWrap/>
            <w:vAlign w:val="center"/>
          </w:tcPr>
          <w:p w14:paraId="300A0B40"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C5E5CD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00" w:type="dxa"/>
            <w:tcBorders>
              <w:top w:val="nil"/>
              <w:left w:val="nil"/>
              <w:bottom w:val="single" w:sz="4" w:space="0" w:color="BFBFBF"/>
              <w:right w:val="nil"/>
            </w:tcBorders>
            <w:shd w:val="clear" w:color="auto" w:fill="auto"/>
            <w:noWrap/>
            <w:vAlign w:val="center"/>
          </w:tcPr>
          <w:p w14:paraId="1B1C3544"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24343C09"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55%</w:t>
            </w:r>
          </w:p>
        </w:tc>
        <w:tc>
          <w:tcPr>
            <w:tcW w:w="610" w:type="dxa"/>
            <w:tcBorders>
              <w:top w:val="nil"/>
              <w:left w:val="nil"/>
              <w:bottom w:val="single" w:sz="4" w:space="0" w:color="BFBFBF"/>
              <w:right w:val="single" w:sz="4" w:space="0" w:color="BFBFBF"/>
            </w:tcBorders>
            <w:shd w:val="clear" w:color="auto" w:fill="auto"/>
            <w:noWrap/>
            <w:vAlign w:val="center"/>
          </w:tcPr>
          <w:p w14:paraId="02EFDFF1"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BFBFBF"/>
            </w:tcBorders>
            <w:shd w:val="clear" w:color="auto" w:fill="auto"/>
            <w:noWrap/>
            <w:vAlign w:val="center"/>
          </w:tcPr>
          <w:p w14:paraId="476EDCA5"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10" w:type="dxa"/>
            <w:tcBorders>
              <w:top w:val="nil"/>
              <w:left w:val="nil"/>
              <w:bottom w:val="single" w:sz="4" w:space="0" w:color="BFBFBF"/>
              <w:right w:val="single" w:sz="4" w:space="0" w:color="auto"/>
            </w:tcBorders>
            <w:shd w:val="clear" w:color="auto" w:fill="auto"/>
            <w:noWrap/>
            <w:vAlign w:val="center"/>
          </w:tcPr>
          <w:p w14:paraId="03137359"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1C3CD9CD" w14:textId="77777777" w:rsidR="00924E7A" w:rsidRPr="00924E7A" w:rsidRDefault="00924E7A" w:rsidP="00162EF6">
            <w:pPr>
              <w:spacing w:before="0" w:after="0"/>
              <w:contextualSpacing/>
              <w:jc w:val="center"/>
              <w:rPr>
                <w:rFonts w:ascii="Arial" w:hAnsi="Arial" w:cs="Arial"/>
                <w:sz w:val="16"/>
                <w:szCs w:val="16"/>
              </w:rPr>
            </w:pPr>
            <w:r w:rsidRPr="00924E7A">
              <w:rPr>
                <w:rFonts w:ascii="Arial" w:hAnsi="Arial" w:cs="Arial"/>
                <w:sz w:val="16"/>
                <w:szCs w:val="16"/>
              </w:rPr>
              <w:t>45%</w:t>
            </w:r>
          </w:p>
        </w:tc>
        <w:tc>
          <w:tcPr>
            <w:tcW w:w="645" w:type="dxa"/>
            <w:tcBorders>
              <w:top w:val="nil"/>
              <w:left w:val="nil"/>
              <w:bottom w:val="single" w:sz="4" w:space="0" w:color="BFBFBF"/>
              <w:right w:val="single" w:sz="4" w:space="0" w:color="BFBFBF"/>
            </w:tcBorders>
            <w:shd w:val="clear" w:color="auto" w:fill="auto"/>
            <w:noWrap/>
            <w:vAlign w:val="center"/>
          </w:tcPr>
          <w:p w14:paraId="657C575A"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single" w:sz="4" w:space="0" w:color="BFBFBF"/>
            </w:tcBorders>
            <w:shd w:val="clear" w:color="auto" w:fill="auto"/>
            <w:noWrap/>
            <w:vAlign w:val="center"/>
          </w:tcPr>
          <w:p w14:paraId="6E300C48"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c>
          <w:tcPr>
            <w:tcW w:w="645" w:type="dxa"/>
            <w:tcBorders>
              <w:top w:val="nil"/>
              <w:left w:val="nil"/>
              <w:bottom w:val="single" w:sz="4" w:space="0" w:color="BFBFBF"/>
              <w:right w:val="double" w:sz="6" w:space="0" w:color="auto"/>
            </w:tcBorders>
            <w:shd w:val="clear" w:color="auto" w:fill="auto"/>
            <w:noWrap/>
            <w:vAlign w:val="center"/>
          </w:tcPr>
          <w:p w14:paraId="44541846" w14:textId="77777777" w:rsidR="00924E7A" w:rsidRPr="00924E7A" w:rsidRDefault="00924E7A" w:rsidP="00162EF6">
            <w:pPr>
              <w:spacing w:before="0" w:after="0"/>
              <w:contextualSpacing/>
              <w:jc w:val="center"/>
              <w:rPr>
                <w:rFonts w:ascii="Arial" w:hAnsi="Arial" w:cs="Arial"/>
                <w:color w:val="000000"/>
                <w:sz w:val="16"/>
                <w:szCs w:val="16"/>
                <w:lang w:val="en-AU" w:eastAsia="en-AU"/>
              </w:rPr>
            </w:pPr>
            <w:r w:rsidRPr="00924E7A">
              <w:rPr>
                <w:rFonts w:ascii="Arial" w:hAnsi="Arial" w:cs="Arial"/>
                <w:color w:val="000000"/>
                <w:sz w:val="16"/>
                <w:szCs w:val="16"/>
                <w:lang w:val="en-AU" w:eastAsia="en-AU"/>
              </w:rPr>
              <w:t>n/a</w:t>
            </w:r>
          </w:p>
        </w:tc>
      </w:tr>
      <w:tr w:rsidR="00924E7A" w:rsidRPr="00924E7A" w14:paraId="4999A0EF" w14:textId="77777777" w:rsidTr="00162EF6">
        <w:trPr>
          <w:trHeight w:val="255"/>
          <w:jc w:val="center"/>
        </w:trPr>
        <w:tc>
          <w:tcPr>
            <w:tcW w:w="2391" w:type="dxa"/>
            <w:tcBorders>
              <w:top w:val="nil"/>
              <w:left w:val="double" w:sz="6" w:space="0" w:color="auto"/>
              <w:bottom w:val="double" w:sz="6" w:space="0" w:color="auto"/>
              <w:right w:val="nil"/>
            </w:tcBorders>
            <w:shd w:val="clear" w:color="auto" w:fill="auto"/>
            <w:noWrap/>
            <w:vAlign w:val="center"/>
          </w:tcPr>
          <w:p w14:paraId="0B29B38A" w14:textId="77777777" w:rsidR="00924E7A" w:rsidRPr="00924E7A" w:rsidRDefault="00924E7A" w:rsidP="00162EF6">
            <w:pPr>
              <w:spacing w:before="0" w:after="0"/>
              <w:contextualSpacing/>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Total</w:t>
            </w:r>
          </w:p>
        </w:tc>
        <w:tc>
          <w:tcPr>
            <w:tcW w:w="603" w:type="dxa"/>
            <w:tcBorders>
              <w:top w:val="nil"/>
              <w:left w:val="single" w:sz="4" w:space="0" w:color="auto"/>
              <w:bottom w:val="double" w:sz="6" w:space="0" w:color="auto"/>
              <w:right w:val="single" w:sz="4" w:space="0" w:color="BFBFBF"/>
            </w:tcBorders>
            <w:shd w:val="clear" w:color="auto" w:fill="auto"/>
            <w:noWrap/>
            <w:vAlign w:val="center"/>
          </w:tcPr>
          <w:p w14:paraId="59D95F2B"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23%</w:t>
            </w:r>
          </w:p>
        </w:tc>
        <w:tc>
          <w:tcPr>
            <w:tcW w:w="600" w:type="dxa"/>
            <w:tcBorders>
              <w:top w:val="nil"/>
              <w:left w:val="nil"/>
              <w:bottom w:val="double" w:sz="6" w:space="0" w:color="auto"/>
              <w:right w:val="single" w:sz="4" w:space="0" w:color="BFBFBF"/>
            </w:tcBorders>
            <w:shd w:val="clear" w:color="auto" w:fill="auto"/>
            <w:noWrap/>
            <w:vAlign w:val="center"/>
          </w:tcPr>
          <w:p w14:paraId="0324CAA5"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21%</w:t>
            </w:r>
          </w:p>
        </w:tc>
        <w:tc>
          <w:tcPr>
            <w:tcW w:w="600" w:type="dxa"/>
            <w:tcBorders>
              <w:top w:val="nil"/>
              <w:left w:val="nil"/>
              <w:bottom w:val="double" w:sz="6" w:space="0" w:color="auto"/>
              <w:right w:val="single" w:sz="4" w:space="0" w:color="BFBFBF"/>
            </w:tcBorders>
            <w:shd w:val="clear" w:color="auto" w:fill="auto"/>
            <w:noWrap/>
            <w:vAlign w:val="center"/>
          </w:tcPr>
          <w:p w14:paraId="357EBD23"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20%</w:t>
            </w:r>
          </w:p>
        </w:tc>
        <w:tc>
          <w:tcPr>
            <w:tcW w:w="600" w:type="dxa"/>
            <w:tcBorders>
              <w:top w:val="nil"/>
              <w:left w:val="nil"/>
              <w:bottom w:val="double" w:sz="6" w:space="0" w:color="auto"/>
              <w:right w:val="single" w:sz="4" w:space="0" w:color="auto"/>
            </w:tcBorders>
            <w:shd w:val="clear" w:color="auto" w:fill="auto"/>
            <w:noWrap/>
            <w:vAlign w:val="center"/>
          </w:tcPr>
          <w:p w14:paraId="5A2AAD19"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23%</w:t>
            </w:r>
          </w:p>
        </w:tc>
        <w:tc>
          <w:tcPr>
            <w:tcW w:w="600" w:type="dxa"/>
            <w:tcBorders>
              <w:top w:val="nil"/>
              <w:left w:val="nil"/>
              <w:bottom w:val="double" w:sz="6" w:space="0" w:color="auto"/>
              <w:right w:val="single" w:sz="4" w:space="0" w:color="BFBFBF"/>
            </w:tcBorders>
            <w:shd w:val="clear" w:color="auto" w:fill="auto"/>
            <w:noWrap/>
            <w:vAlign w:val="center"/>
          </w:tcPr>
          <w:p w14:paraId="323F9091"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22%</w:t>
            </w:r>
          </w:p>
        </w:tc>
        <w:tc>
          <w:tcPr>
            <w:tcW w:w="600" w:type="dxa"/>
            <w:tcBorders>
              <w:top w:val="nil"/>
              <w:left w:val="nil"/>
              <w:bottom w:val="double" w:sz="6" w:space="0" w:color="auto"/>
              <w:right w:val="single" w:sz="4" w:space="0" w:color="BFBFBF"/>
            </w:tcBorders>
            <w:shd w:val="clear" w:color="auto" w:fill="auto"/>
            <w:noWrap/>
            <w:vAlign w:val="center"/>
          </w:tcPr>
          <w:p w14:paraId="4B99E783"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19%</w:t>
            </w:r>
          </w:p>
        </w:tc>
        <w:tc>
          <w:tcPr>
            <w:tcW w:w="600" w:type="dxa"/>
            <w:tcBorders>
              <w:top w:val="nil"/>
              <w:left w:val="nil"/>
              <w:bottom w:val="double" w:sz="6" w:space="0" w:color="auto"/>
              <w:right w:val="single" w:sz="4" w:space="0" w:color="BFBFBF"/>
            </w:tcBorders>
            <w:shd w:val="clear" w:color="auto" w:fill="auto"/>
            <w:noWrap/>
            <w:vAlign w:val="center"/>
          </w:tcPr>
          <w:p w14:paraId="6A536873"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18%</w:t>
            </w:r>
          </w:p>
        </w:tc>
        <w:tc>
          <w:tcPr>
            <w:tcW w:w="600" w:type="dxa"/>
            <w:tcBorders>
              <w:top w:val="nil"/>
              <w:left w:val="nil"/>
              <w:bottom w:val="double" w:sz="6" w:space="0" w:color="auto"/>
              <w:right w:val="nil"/>
            </w:tcBorders>
            <w:shd w:val="clear" w:color="auto" w:fill="auto"/>
            <w:noWrap/>
            <w:vAlign w:val="center"/>
          </w:tcPr>
          <w:p w14:paraId="1CDAF825"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18%</w:t>
            </w:r>
          </w:p>
        </w:tc>
        <w:tc>
          <w:tcPr>
            <w:tcW w:w="610" w:type="dxa"/>
            <w:tcBorders>
              <w:top w:val="nil"/>
              <w:left w:val="single" w:sz="4" w:space="0" w:color="auto"/>
              <w:bottom w:val="double" w:sz="6" w:space="0" w:color="auto"/>
              <w:right w:val="single" w:sz="4" w:space="0" w:color="BFBFBF"/>
            </w:tcBorders>
            <w:shd w:val="clear" w:color="auto" w:fill="auto"/>
            <w:noWrap/>
            <w:vAlign w:val="center"/>
          </w:tcPr>
          <w:p w14:paraId="176E5A4B"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45%</w:t>
            </w:r>
          </w:p>
        </w:tc>
        <w:tc>
          <w:tcPr>
            <w:tcW w:w="610" w:type="dxa"/>
            <w:tcBorders>
              <w:top w:val="nil"/>
              <w:left w:val="nil"/>
              <w:bottom w:val="double" w:sz="6" w:space="0" w:color="auto"/>
              <w:right w:val="single" w:sz="4" w:space="0" w:color="BFBFBF"/>
            </w:tcBorders>
            <w:shd w:val="clear" w:color="auto" w:fill="auto"/>
            <w:noWrap/>
            <w:vAlign w:val="center"/>
          </w:tcPr>
          <w:p w14:paraId="7F8AA138"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41%</w:t>
            </w:r>
          </w:p>
        </w:tc>
        <w:tc>
          <w:tcPr>
            <w:tcW w:w="610" w:type="dxa"/>
            <w:tcBorders>
              <w:top w:val="nil"/>
              <w:left w:val="nil"/>
              <w:bottom w:val="double" w:sz="6" w:space="0" w:color="auto"/>
              <w:right w:val="single" w:sz="4" w:space="0" w:color="BFBFBF"/>
            </w:tcBorders>
            <w:shd w:val="clear" w:color="auto" w:fill="auto"/>
            <w:noWrap/>
            <w:vAlign w:val="center"/>
          </w:tcPr>
          <w:p w14:paraId="0457E778"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38%</w:t>
            </w:r>
          </w:p>
        </w:tc>
        <w:tc>
          <w:tcPr>
            <w:tcW w:w="610" w:type="dxa"/>
            <w:tcBorders>
              <w:top w:val="nil"/>
              <w:left w:val="nil"/>
              <w:bottom w:val="double" w:sz="6" w:space="0" w:color="auto"/>
              <w:right w:val="single" w:sz="4" w:space="0" w:color="auto"/>
            </w:tcBorders>
            <w:shd w:val="clear" w:color="auto" w:fill="auto"/>
            <w:noWrap/>
            <w:vAlign w:val="center"/>
          </w:tcPr>
          <w:p w14:paraId="3B579F77"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41%</w:t>
            </w:r>
          </w:p>
        </w:tc>
        <w:tc>
          <w:tcPr>
            <w:tcW w:w="645" w:type="dxa"/>
            <w:tcBorders>
              <w:top w:val="nil"/>
              <w:left w:val="nil"/>
              <w:bottom w:val="double" w:sz="6" w:space="0" w:color="auto"/>
              <w:right w:val="single" w:sz="4" w:space="0" w:color="BFBFBF"/>
            </w:tcBorders>
            <w:shd w:val="clear" w:color="auto" w:fill="auto"/>
            <w:noWrap/>
            <w:vAlign w:val="center"/>
          </w:tcPr>
          <w:p w14:paraId="2B8D6CE7"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55%</w:t>
            </w:r>
          </w:p>
        </w:tc>
        <w:tc>
          <w:tcPr>
            <w:tcW w:w="645" w:type="dxa"/>
            <w:tcBorders>
              <w:top w:val="nil"/>
              <w:left w:val="nil"/>
              <w:bottom w:val="double" w:sz="6" w:space="0" w:color="auto"/>
              <w:right w:val="single" w:sz="4" w:space="0" w:color="BFBFBF"/>
            </w:tcBorders>
            <w:shd w:val="clear" w:color="auto" w:fill="auto"/>
            <w:noWrap/>
            <w:vAlign w:val="center"/>
          </w:tcPr>
          <w:p w14:paraId="6B979722"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59%</w:t>
            </w:r>
          </w:p>
        </w:tc>
        <w:tc>
          <w:tcPr>
            <w:tcW w:w="645" w:type="dxa"/>
            <w:tcBorders>
              <w:top w:val="nil"/>
              <w:left w:val="nil"/>
              <w:bottom w:val="double" w:sz="6" w:space="0" w:color="auto"/>
              <w:right w:val="single" w:sz="4" w:space="0" w:color="BFBFBF"/>
            </w:tcBorders>
            <w:shd w:val="clear" w:color="auto" w:fill="auto"/>
            <w:noWrap/>
            <w:vAlign w:val="center"/>
          </w:tcPr>
          <w:p w14:paraId="318DDC8D"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62%</w:t>
            </w:r>
          </w:p>
        </w:tc>
        <w:tc>
          <w:tcPr>
            <w:tcW w:w="645" w:type="dxa"/>
            <w:tcBorders>
              <w:top w:val="nil"/>
              <w:left w:val="nil"/>
              <w:bottom w:val="double" w:sz="6" w:space="0" w:color="auto"/>
              <w:right w:val="double" w:sz="6" w:space="0" w:color="auto"/>
            </w:tcBorders>
            <w:shd w:val="clear" w:color="auto" w:fill="auto"/>
            <w:noWrap/>
            <w:vAlign w:val="center"/>
          </w:tcPr>
          <w:p w14:paraId="2A52E7F6" w14:textId="77777777" w:rsidR="00924E7A" w:rsidRPr="00924E7A" w:rsidRDefault="00924E7A" w:rsidP="00162EF6">
            <w:pPr>
              <w:spacing w:before="0" w:after="0"/>
              <w:contextualSpacing/>
              <w:jc w:val="center"/>
              <w:rPr>
                <w:rFonts w:ascii="Arial" w:hAnsi="Arial" w:cs="Arial"/>
                <w:b/>
                <w:bCs/>
                <w:color w:val="000000"/>
                <w:sz w:val="16"/>
                <w:szCs w:val="16"/>
                <w:lang w:val="en-AU" w:eastAsia="en-AU"/>
              </w:rPr>
            </w:pPr>
            <w:r w:rsidRPr="00924E7A">
              <w:rPr>
                <w:rFonts w:ascii="Arial" w:hAnsi="Arial" w:cs="Arial"/>
                <w:b/>
                <w:bCs/>
                <w:color w:val="000000"/>
                <w:sz w:val="16"/>
                <w:szCs w:val="16"/>
                <w:lang w:val="en-AU" w:eastAsia="en-AU"/>
              </w:rPr>
              <w:t>59%</w:t>
            </w:r>
          </w:p>
        </w:tc>
      </w:tr>
    </w:tbl>
    <w:p w14:paraId="25BFBF20" w14:textId="77777777" w:rsidR="0038147F" w:rsidRPr="00924E7A" w:rsidRDefault="0038147F" w:rsidP="009748AD">
      <w:pPr>
        <w:pStyle w:val="Para"/>
        <w:spacing w:before="120" w:line="240" w:lineRule="auto"/>
        <w:ind w:left="1440"/>
        <w:rPr>
          <w:sz w:val="20"/>
          <w:lang w:val="en-AU"/>
        </w:rPr>
      </w:pPr>
      <w:r w:rsidRPr="00924E7A">
        <w:rPr>
          <w:sz w:val="20"/>
          <w:lang w:val="en-AU"/>
        </w:rPr>
        <w:t>Base: Total respondents providing consent, 2014 (n=1,861); 2007 (n=2,061); 2001 (n=2,006), 1996 (n=2,000)</w:t>
      </w:r>
    </w:p>
    <w:p w14:paraId="48140158" w14:textId="77777777" w:rsidR="0038147F" w:rsidRPr="00F06A63" w:rsidRDefault="0038147F" w:rsidP="00BD2674">
      <w:pPr>
        <w:spacing w:before="0" w:after="0"/>
        <w:ind w:left="1440"/>
        <w:jc w:val="both"/>
        <w:rPr>
          <w:sz w:val="20"/>
          <w:lang w:val="en-AU"/>
        </w:rPr>
      </w:pPr>
      <w:r w:rsidRPr="00F06A63">
        <w:rPr>
          <w:sz w:val="20"/>
          <w:lang w:val="en-AU"/>
        </w:rPr>
        <w:t>1: Country VIC in 2014 includes most of regional VIC.  In previous years, only 4 regional centres were sampled.</w:t>
      </w:r>
    </w:p>
    <w:p w14:paraId="42847B30" w14:textId="77777777" w:rsidR="0038147F" w:rsidRPr="00F06A63" w:rsidRDefault="0038147F" w:rsidP="00BD2674">
      <w:pPr>
        <w:spacing w:before="0" w:after="0"/>
        <w:ind w:left="1440"/>
        <w:jc w:val="both"/>
        <w:rPr>
          <w:sz w:val="20"/>
          <w:lang w:val="en-AU"/>
        </w:rPr>
      </w:pPr>
      <w:r w:rsidRPr="00F06A63">
        <w:rPr>
          <w:sz w:val="20"/>
          <w:lang w:val="en-AU"/>
        </w:rPr>
        <w:t>2: In 2014 LPG households are a subset of the main sample based on their responses.  In 2007 they formed a separate geographic stratum.</w:t>
      </w:r>
    </w:p>
    <w:p w14:paraId="6F76C1B1" w14:textId="77777777" w:rsidR="003920D8" w:rsidRPr="00F06A63" w:rsidRDefault="00AC1255">
      <w:pPr>
        <w:pStyle w:val="Heading3"/>
        <w:tabs>
          <w:tab w:val="num" w:pos="851"/>
        </w:tabs>
        <w:ind w:hanging="8517"/>
        <w:rPr>
          <w:lang w:val="en-AU"/>
        </w:rPr>
      </w:pPr>
      <w:bookmarkStart w:id="106" w:name="_Toc439173137"/>
      <w:bookmarkStart w:id="107" w:name="_Toc439198282"/>
      <w:bookmarkEnd w:id="106"/>
      <w:bookmarkEnd w:id="107"/>
      <w:r w:rsidRPr="00DA3B75">
        <w:rPr>
          <w:highlight w:val="yellow"/>
          <w:lang w:val="en-AU"/>
        </w:rPr>
        <w:br w:type="page"/>
      </w:r>
      <w:bookmarkStart w:id="108" w:name="_Toc439198283"/>
      <w:bookmarkStart w:id="109" w:name="_Toc445571666"/>
      <w:r w:rsidR="00E02C75" w:rsidRPr="00F06A63">
        <w:rPr>
          <w:lang w:val="en-AU"/>
        </w:rPr>
        <w:lastRenderedPageBreak/>
        <w:t>Age and Gender</w:t>
      </w:r>
      <w:r w:rsidR="0038147F" w:rsidRPr="00F06A63">
        <w:rPr>
          <w:lang w:val="en-AU"/>
        </w:rPr>
        <w:t xml:space="preserve"> of the Selected Respondent</w:t>
      </w:r>
      <w:bookmarkEnd w:id="108"/>
      <w:bookmarkEnd w:id="109"/>
    </w:p>
    <w:p w14:paraId="39F19AAA" w14:textId="77777777" w:rsidR="00E02C75" w:rsidRPr="00F06A63" w:rsidRDefault="00E02C75" w:rsidP="00E02C75">
      <w:pPr>
        <w:pStyle w:val="Para"/>
        <w:rPr>
          <w:lang w:val="en-AU"/>
        </w:rPr>
      </w:pPr>
    </w:p>
    <w:p w14:paraId="04C72CE0" w14:textId="7400288B" w:rsidR="00E02C75" w:rsidRPr="00F06A63" w:rsidRDefault="0038147F" w:rsidP="00E02C75">
      <w:pPr>
        <w:pStyle w:val="Para"/>
        <w:rPr>
          <w:lang w:val="en-AU"/>
        </w:rPr>
      </w:pPr>
      <w:r w:rsidRPr="00F06A63">
        <w:rPr>
          <w:lang w:val="en-AU"/>
        </w:rPr>
        <w:t xml:space="preserve">The sample is, of course, weighted to households rather than to individuals.  </w:t>
      </w:r>
      <w:r w:rsidR="00B869F1" w:rsidRPr="00F06A63">
        <w:rPr>
          <w:lang w:val="en-AU"/>
        </w:rPr>
        <w:t xml:space="preserve">Nevertheless, it is instructive to consider some characteristics of the selected respondent/main </w:t>
      </w:r>
      <w:r w:rsidR="00C33CEC" w:rsidRPr="00F06A63">
        <w:rPr>
          <w:lang w:val="en-AU"/>
        </w:rPr>
        <w:t>bill-payer</w:t>
      </w:r>
      <w:r w:rsidR="00B869F1" w:rsidRPr="00F06A63">
        <w:rPr>
          <w:lang w:val="en-AU"/>
        </w:rPr>
        <w:t xml:space="preserve">.  </w:t>
      </w:r>
      <w:r w:rsidR="00E02C75" w:rsidRPr="00F06A63">
        <w:rPr>
          <w:lang w:val="en-AU"/>
        </w:rPr>
        <w:t>Overall, the 20</w:t>
      </w:r>
      <w:r w:rsidR="00A950EE" w:rsidRPr="00F06A63">
        <w:rPr>
          <w:lang w:val="en-AU"/>
        </w:rPr>
        <w:t>14</w:t>
      </w:r>
      <w:r w:rsidR="00E02C75" w:rsidRPr="00F06A63">
        <w:rPr>
          <w:lang w:val="en-AU"/>
        </w:rPr>
        <w:t xml:space="preserve"> sample </w:t>
      </w:r>
      <w:r w:rsidR="002A3E3E" w:rsidRPr="00F06A63">
        <w:rPr>
          <w:lang w:val="en-AU"/>
        </w:rPr>
        <w:t xml:space="preserve">of selected respondents </w:t>
      </w:r>
      <w:r w:rsidR="00E02C75" w:rsidRPr="00F06A63">
        <w:rPr>
          <w:lang w:val="en-AU"/>
        </w:rPr>
        <w:t>comprises proportionately more females (</w:t>
      </w:r>
      <w:r w:rsidR="00A950EE" w:rsidRPr="00F06A63">
        <w:rPr>
          <w:lang w:val="en-AU"/>
        </w:rPr>
        <w:t>6</w:t>
      </w:r>
      <w:r w:rsidR="00F06A63" w:rsidRPr="00F06A63">
        <w:rPr>
          <w:lang w:val="en-AU"/>
        </w:rPr>
        <w:t>3</w:t>
      </w:r>
      <w:r w:rsidR="00E02C75" w:rsidRPr="00F06A63">
        <w:rPr>
          <w:lang w:val="en-AU"/>
        </w:rPr>
        <w:t>%) than males (</w:t>
      </w:r>
      <w:r w:rsidR="00A950EE" w:rsidRPr="00F06A63">
        <w:rPr>
          <w:lang w:val="en-AU"/>
        </w:rPr>
        <w:t>3</w:t>
      </w:r>
      <w:r w:rsidR="00F06A63" w:rsidRPr="00F06A63">
        <w:rPr>
          <w:lang w:val="en-AU"/>
        </w:rPr>
        <w:t>7</w:t>
      </w:r>
      <w:r w:rsidR="00E02C75" w:rsidRPr="00F06A63">
        <w:rPr>
          <w:lang w:val="en-AU"/>
        </w:rPr>
        <w:t>%).</w:t>
      </w:r>
      <w:r w:rsidR="00036CB0" w:rsidRPr="00F06A63">
        <w:rPr>
          <w:lang w:val="en-AU"/>
        </w:rPr>
        <w:t>By comparison, the 2007 sample comprised 57% females and 43% males</w:t>
      </w:r>
      <w:r w:rsidR="007C35D6" w:rsidRPr="00F06A63">
        <w:rPr>
          <w:lang w:val="en-AU"/>
        </w:rPr>
        <w:t>, while the 2001 sample comprised 62% females and 38% males.</w:t>
      </w:r>
      <w:r w:rsidR="00D42C29">
        <w:rPr>
          <w:lang w:val="en-AU"/>
        </w:rPr>
        <w:t xml:space="preserve"> </w:t>
      </w:r>
      <w:r w:rsidR="00E02C75" w:rsidRPr="00F06A63">
        <w:rPr>
          <w:lang w:val="en-AU"/>
        </w:rPr>
        <w:t xml:space="preserve">Similar gender distributions are evident across household types, with </w:t>
      </w:r>
      <w:r w:rsidR="00B869F1" w:rsidRPr="00F06A63">
        <w:rPr>
          <w:lang w:val="en-AU"/>
        </w:rPr>
        <w:t xml:space="preserve">the selected respondent from </w:t>
      </w:r>
      <w:r w:rsidR="0055008C" w:rsidRPr="00F06A63">
        <w:rPr>
          <w:lang w:val="en-AU"/>
        </w:rPr>
        <w:t>other concession households</w:t>
      </w:r>
      <w:r w:rsidR="00E02C75" w:rsidRPr="00F06A63">
        <w:rPr>
          <w:lang w:val="en-AU"/>
        </w:rPr>
        <w:t xml:space="preserve"> the most </w:t>
      </w:r>
      <w:r w:rsidR="00B869F1" w:rsidRPr="00F06A63">
        <w:rPr>
          <w:lang w:val="en-AU"/>
        </w:rPr>
        <w:t xml:space="preserve">predominantly </w:t>
      </w:r>
      <w:r w:rsidR="00E02C75" w:rsidRPr="00F06A63">
        <w:rPr>
          <w:lang w:val="en-AU"/>
        </w:rPr>
        <w:t>female group (</w:t>
      </w:r>
      <w:r w:rsidR="00A950EE" w:rsidRPr="00F06A63">
        <w:rPr>
          <w:lang w:val="en-AU"/>
        </w:rPr>
        <w:t>75</w:t>
      </w:r>
      <w:r w:rsidR="00E02C75" w:rsidRPr="00F06A63">
        <w:rPr>
          <w:lang w:val="en-AU"/>
        </w:rPr>
        <w:t xml:space="preserve">%), </w:t>
      </w:r>
      <w:r w:rsidR="00B869F1" w:rsidRPr="00F06A63">
        <w:rPr>
          <w:lang w:val="en-AU"/>
        </w:rPr>
        <w:t>possibly reflecting that</w:t>
      </w:r>
      <w:r w:rsidR="00E02C75" w:rsidRPr="00F06A63">
        <w:rPr>
          <w:lang w:val="en-AU"/>
        </w:rPr>
        <w:t xml:space="preserve"> single mothers make up a significant proportion of this category.  </w:t>
      </w:r>
      <w:r w:rsidR="003A0A25" w:rsidRPr="00F06A63">
        <w:rPr>
          <w:lang w:val="en-AU"/>
        </w:rPr>
        <w:t xml:space="preserve">A similar gender distribution was evident when the sample was analysed by region, with the proportion of females in </w:t>
      </w:r>
      <w:r w:rsidR="002733E9" w:rsidRPr="00F06A63">
        <w:rPr>
          <w:lang w:val="en-AU"/>
        </w:rPr>
        <w:t>country</w:t>
      </w:r>
      <w:r w:rsidR="003A0A25" w:rsidRPr="00F06A63">
        <w:rPr>
          <w:lang w:val="en-AU"/>
        </w:rPr>
        <w:t xml:space="preserve"> areas (67%) being slightly higher than in </w:t>
      </w:r>
      <w:smartTag w:uri="urn:schemas-microsoft-com:office:smarttags" w:element="City">
        <w:smartTag w:uri="urn:schemas-microsoft-com:office:smarttags" w:element="place">
          <w:r w:rsidR="003A0A25" w:rsidRPr="00F06A63">
            <w:rPr>
              <w:lang w:val="en-AU"/>
            </w:rPr>
            <w:t>Melbourne</w:t>
          </w:r>
        </w:smartTag>
      </w:smartTag>
      <w:r w:rsidR="003A0A25" w:rsidRPr="00F06A63">
        <w:rPr>
          <w:lang w:val="en-AU"/>
        </w:rPr>
        <w:t xml:space="preserve"> (61%)</w:t>
      </w:r>
      <w:r w:rsidR="002733E9" w:rsidRPr="00F06A63">
        <w:rPr>
          <w:lang w:val="en-AU"/>
        </w:rPr>
        <w:t>.</w:t>
      </w:r>
    </w:p>
    <w:p w14:paraId="68113AEE" w14:textId="77777777" w:rsidR="00E02C75" w:rsidRPr="00DA3B75" w:rsidRDefault="00E02C75" w:rsidP="00E02C75">
      <w:pPr>
        <w:pStyle w:val="Para"/>
        <w:rPr>
          <w:highlight w:val="yellow"/>
          <w:lang w:val="en-AU"/>
        </w:rPr>
      </w:pPr>
    </w:p>
    <w:p w14:paraId="780EA715" w14:textId="77777777" w:rsidR="001432D9" w:rsidRPr="00F06A63" w:rsidRDefault="00E02C75" w:rsidP="001432D9">
      <w:pPr>
        <w:pStyle w:val="Para"/>
        <w:rPr>
          <w:lang w:val="en-AU"/>
        </w:rPr>
      </w:pPr>
      <w:r w:rsidRPr="00F06A63">
        <w:rPr>
          <w:lang w:val="en-AU"/>
        </w:rPr>
        <w:t xml:space="preserve">Table 3.2.2 presents the age and gender profiles of </w:t>
      </w:r>
      <w:r w:rsidR="00AC7423" w:rsidRPr="00F06A63">
        <w:rPr>
          <w:lang w:val="en-AU"/>
        </w:rPr>
        <w:t xml:space="preserve">selected respondents in </w:t>
      </w:r>
      <w:r w:rsidRPr="00F06A63">
        <w:rPr>
          <w:lang w:val="en-AU"/>
        </w:rPr>
        <w:t xml:space="preserve">the </w:t>
      </w:r>
      <w:r w:rsidR="000102D7" w:rsidRPr="00F06A63">
        <w:rPr>
          <w:lang w:val="en-AU"/>
        </w:rPr>
        <w:t xml:space="preserve">2014, </w:t>
      </w:r>
      <w:r w:rsidRPr="00F06A63">
        <w:rPr>
          <w:lang w:val="en-AU"/>
        </w:rPr>
        <w:t>2007, 2001 and 1996 samples across household types.</w:t>
      </w:r>
      <w:r w:rsidR="001432D9" w:rsidRPr="00F06A63">
        <w:rPr>
          <w:lang w:val="en-AU"/>
        </w:rPr>
        <w:t xml:space="preserve">  Please note that the 2014 survey included a change to the lowest age band, from 16-24 years to 15-24 years.</w:t>
      </w:r>
    </w:p>
    <w:p w14:paraId="652CBCAC" w14:textId="77777777" w:rsidR="001432D9" w:rsidRPr="00DA3B75" w:rsidRDefault="00E02C75" w:rsidP="00E02C75">
      <w:pPr>
        <w:pStyle w:val="Para"/>
        <w:rPr>
          <w:highlight w:val="yellow"/>
          <w:lang w:val="en-AU"/>
        </w:rPr>
      </w:pPr>
      <w:r w:rsidRPr="00DA3B75">
        <w:rPr>
          <w:highlight w:val="yellow"/>
          <w:lang w:val="en-AU"/>
        </w:rPr>
        <w:t xml:space="preserve"> </w:t>
      </w:r>
    </w:p>
    <w:p w14:paraId="004F0FFE" w14:textId="5943EC9F" w:rsidR="00E02C75" w:rsidRPr="00FE5C27" w:rsidRDefault="00E02C75" w:rsidP="00E02C75">
      <w:pPr>
        <w:pStyle w:val="Para"/>
        <w:rPr>
          <w:lang w:val="en-AU"/>
        </w:rPr>
      </w:pPr>
      <w:r w:rsidRPr="00FE5C27">
        <w:rPr>
          <w:lang w:val="en-AU"/>
        </w:rPr>
        <w:t xml:space="preserve">Of all </w:t>
      </w:r>
      <w:r w:rsidR="000A041C" w:rsidRPr="00FE5C27">
        <w:rPr>
          <w:lang w:val="en-AU"/>
        </w:rPr>
        <w:t xml:space="preserve">selected respondents/main </w:t>
      </w:r>
      <w:r w:rsidR="00C33CEC" w:rsidRPr="00FE5C27">
        <w:rPr>
          <w:lang w:val="en-AU"/>
        </w:rPr>
        <w:t>bill-payer</w:t>
      </w:r>
      <w:r w:rsidR="000A041C" w:rsidRPr="00FE5C27">
        <w:rPr>
          <w:lang w:val="en-AU"/>
        </w:rPr>
        <w:t xml:space="preserve">s from </w:t>
      </w:r>
      <w:r w:rsidRPr="00FE5C27">
        <w:rPr>
          <w:lang w:val="en-AU"/>
        </w:rPr>
        <w:t>concession</w:t>
      </w:r>
      <w:r w:rsidR="000A041C" w:rsidRPr="00FE5C27">
        <w:rPr>
          <w:lang w:val="en-AU"/>
        </w:rPr>
        <w:t xml:space="preserve"> households</w:t>
      </w:r>
      <w:r w:rsidRPr="00FE5C27">
        <w:rPr>
          <w:lang w:val="en-AU"/>
        </w:rPr>
        <w:t xml:space="preserve"> in </w:t>
      </w:r>
      <w:r w:rsidR="00623804" w:rsidRPr="00FE5C27">
        <w:rPr>
          <w:lang w:val="en-AU"/>
        </w:rPr>
        <w:t>2014, 65% of males and 46% of females were aged 65 years or over (</w:t>
      </w:r>
      <w:r w:rsidRPr="00FE5C27">
        <w:rPr>
          <w:lang w:val="en-AU"/>
        </w:rPr>
        <w:t>2007</w:t>
      </w:r>
      <w:r w:rsidR="00623804" w:rsidRPr="00FE5C27">
        <w:rPr>
          <w:lang w:val="en-AU"/>
        </w:rPr>
        <w:t xml:space="preserve">: </w:t>
      </w:r>
      <w:r w:rsidRPr="00FE5C27">
        <w:rPr>
          <w:lang w:val="en-AU"/>
        </w:rPr>
        <w:t>55% of males and 43% of females</w:t>
      </w:r>
      <w:r w:rsidR="00623804" w:rsidRPr="00FE5C27">
        <w:rPr>
          <w:lang w:val="en-AU"/>
        </w:rPr>
        <w:t>).</w:t>
      </w:r>
      <w:r w:rsidRPr="00FE5C27">
        <w:rPr>
          <w:lang w:val="en-AU"/>
        </w:rPr>
        <w:t xml:space="preserve"> </w:t>
      </w:r>
      <w:r w:rsidR="00623804" w:rsidRPr="00FE5C27">
        <w:rPr>
          <w:lang w:val="en-AU"/>
        </w:rPr>
        <w:t xml:space="preserve"> </w:t>
      </w:r>
      <w:r w:rsidRPr="00FE5C27">
        <w:rPr>
          <w:lang w:val="en-AU"/>
        </w:rPr>
        <w:t xml:space="preserve">As </w:t>
      </w:r>
      <w:r w:rsidR="00623804" w:rsidRPr="00FE5C27">
        <w:rPr>
          <w:lang w:val="en-AU"/>
        </w:rPr>
        <w:t>would be</w:t>
      </w:r>
      <w:r w:rsidR="00623804" w:rsidRPr="00F06A63">
        <w:rPr>
          <w:lang w:val="en-AU"/>
        </w:rPr>
        <w:t xml:space="preserve"> </w:t>
      </w:r>
      <w:r w:rsidRPr="00F06A63">
        <w:rPr>
          <w:lang w:val="en-AU"/>
        </w:rPr>
        <w:t>expected, the great majority (</w:t>
      </w:r>
      <w:r w:rsidR="00AA013A" w:rsidRPr="00F06A63">
        <w:rPr>
          <w:lang w:val="en-AU"/>
        </w:rPr>
        <w:t>98</w:t>
      </w:r>
      <w:r w:rsidRPr="00F06A63">
        <w:rPr>
          <w:lang w:val="en-AU"/>
        </w:rPr>
        <w:t xml:space="preserve">%) of </w:t>
      </w:r>
      <w:r w:rsidR="00513F11" w:rsidRPr="00F06A63">
        <w:rPr>
          <w:lang w:val="en-AU"/>
        </w:rPr>
        <w:t>aged concession</w:t>
      </w:r>
      <w:r w:rsidR="00041263">
        <w:rPr>
          <w:lang w:val="en-AU"/>
        </w:rPr>
        <w:t xml:space="preserve"> card</w:t>
      </w:r>
      <w:r w:rsidR="00513F11" w:rsidRPr="00F06A63">
        <w:rPr>
          <w:lang w:val="en-AU"/>
        </w:rPr>
        <w:t xml:space="preserve"> holder</w:t>
      </w:r>
      <w:r w:rsidRPr="00F06A63">
        <w:rPr>
          <w:lang w:val="en-AU"/>
        </w:rPr>
        <w:t>s w</w:t>
      </w:r>
      <w:r w:rsidR="00BC3781" w:rsidRPr="00F06A63">
        <w:rPr>
          <w:lang w:val="en-AU"/>
        </w:rPr>
        <w:t>ere</w:t>
      </w:r>
      <w:r w:rsidRPr="00F06A63">
        <w:rPr>
          <w:lang w:val="en-AU"/>
        </w:rPr>
        <w:t xml:space="preserve"> aged 65 years or over, </w:t>
      </w:r>
      <w:r w:rsidRPr="00DF6C55">
        <w:rPr>
          <w:lang w:val="en-AU"/>
        </w:rPr>
        <w:t xml:space="preserve">while the </w:t>
      </w:r>
      <w:r w:rsidR="0055008C" w:rsidRPr="00DF6C55">
        <w:rPr>
          <w:lang w:val="en-AU"/>
        </w:rPr>
        <w:t>other concession</w:t>
      </w:r>
      <w:r w:rsidRPr="00DF6C55">
        <w:rPr>
          <w:lang w:val="en-AU"/>
        </w:rPr>
        <w:t xml:space="preserve"> sample included higher proportions (</w:t>
      </w:r>
      <w:r w:rsidR="001915B7" w:rsidRPr="00DF6C55">
        <w:rPr>
          <w:lang w:val="en-AU"/>
        </w:rPr>
        <w:t>9</w:t>
      </w:r>
      <w:r w:rsidR="00DF6C55" w:rsidRPr="00DF6C55">
        <w:rPr>
          <w:lang w:val="en-AU"/>
        </w:rPr>
        <w:t>5</w:t>
      </w:r>
      <w:r w:rsidRPr="00DF6C55">
        <w:rPr>
          <w:lang w:val="en-AU"/>
        </w:rPr>
        <w:t xml:space="preserve">%) aged 25-64.  </w:t>
      </w:r>
      <w:r w:rsidRPr="00FE5C27">
        <w:rPr>
          <w:lang w:val="en-AU"/>
        </w:rPr>
        <w:t xml:space="preserve">The age profile of </w:t>
      </w:r>
      <w:r w:rsidR="00545595" w:rsidRPr="00FE5C27">
        <w:rPr>
          <w:lang w:val="en-AU"/>
        </w:rPr>
        <w:t xml:space="preserve">the selected respondent/main </w:t>
      </w:r>
      <w:r w:rsidR="00C33CEC" w:rsidRPr="00FE5C27">
        <w:rPr>
          <w:lang w:val="en-AU"/>
        </w:rPr>
        <w:t>bill-payer</w:t>
      </w:r>
      <w:r w:rsidR="00545595" w:rsidRPr="00FE5C27">
        <w:rPr>
          <w:lang w:val="en-AU"/>
        </w:rPr>
        <w:t xml:space="preserve"> from </w:t>
      </w:r>
      <w:r w:rsidRPr="00FE5C27">
        <w:rPr>
          <w:lang w:val="en-AU"/>
        </w:rPr>
        <w:t xml:space="preserve">non-concession households is relatively similar to that of </w:t>
      </w:r>
      <w:r w:rsidR="0055008C" w:rsidRPr="00FE5C27">
        <w:rPr>
          <w:lang w:val="en-AU"/>
        </w:rPr>
        <w:t>other concession</w:t>
      </w:r>
      <w:r w:rsidRPr="00FE5C27">
        <w:rPr>
          <w:lang w:val="en-AU"/>
        </w:rPr>
        <w:t xml:space="preserve"> households.</w:t>
      </w:r>
    </w:p>
    <w:p w14:paraId="74254043" w14:textId="77777777" w:rsidR="00E02C75" w:rsidRPr="00DA3B75" w:rsidRDefault="00E02C75" w:rsidP="00E02C75">
      <w:pPr>
        <w:pStyle w:val="Para"/>
        <w:rPr>
          <w:highlight w:val="yellow"/>
          <w:lang w:val="en-AU"/>
        </w:rPr>
      </w:pPr>
    </w:p>
    <w:p w14:paraId="541F44FF" w14:textId="1DD97930" w:rsidR="00E02C75" w:rsidRPr="00FE5C27" w:rsidRDefault="00E02C75" w:rsidP="00E02C75">
      <w:pPr>
        <w:pStyle w:val="Para"/>
        <w:rPr>
          <w:lang w:val="en-AU"/>
        </w:rPr>
      </w:pPr>
      <w:r w:rsidRPr="00FE5C27">
        <w:rPr>
          <w:lang w:val="en-AU"/>
        </w:rPr>
        <w:t xml:space="preserve">The mean age amongst </w:t>
      </w:r>
      <w:r w:rsidR="00513F11" w:rsidRPr="00FE5C27">
        <w:rPr>
          <w:lang w:val="en-AU"/>
        </w:rPr>
        <w:t xml:space="preserve">aged concession </w:t>
      </w:r>
      <w:r w:rsidR="00041263">
        <w:rPr>
          <w:lang w:val="en-AU"/>
        </w:rPr>
        <w:t xml:space="preserve">card </w:t>
      </w:r>
      <w:r w:rsidR="00513F11" w:rsidRPr="00FE5C27">
        <w:rPr>
          <w:lang w:val="en-AU"/>
        </w:rPr>
        <w:t>holder</w:t>
      </w:r>
      <w:r w:rsidRPr="00FE5C27">
        <w:rPr>
          <w:lang w:val="en-AU"/>
        </w:rPr>
        <w:t>s was 7</w:t>
      </w:r>
      <w:r w:rsidR="001915B7" w:rsidRPr="00FE5C27">
        <w:rPr>
          <w:lang w:val="en-AU"/>
        </w:rPr>
        <w:t>2.</w:t>
      </w:r>
      <w:r w:rsidR="00FE5C27" w:rsidRPr="00FE5C27">
        <w:rPr>
          <w:lang w:val="en-AU"/>
        </w:rPr>
        <w:t>7</w:t>
      </w:r>
      <w:r w:rsidRPr="00FE5C27">
        <w:rPr>
          <w:lang w:val="en-AU"/>
        </w:rPr>
        <w:t xml:space="preserve"> years, substantially higher than that for </w:t>
      </w:r>
      <w:r w:rsidR="000A041C" w:rsidRPr="00FE5C27">
        <w:rPr>
          <w:lang w:val="en-AU"/>
        </w:rPr>
        <w:t xml:space="preserve">the selected respondents from </w:t>
      </w:r>
      <w:r w:rsidR="0055008C" w:rsidRPr="00FE5C27">
        <w:rPr>
          <w:lang w:val="en-AU"/>
        </w:rPr>
        <w:t>other concession household</w:t>
      </w:r>
      <w:r w:rsidRPr="00FE5C27">
        <w:rPr>
          <w:lang w:val="en-AU"/>
        </w:rPr>
        <w:t>s (</w:t>
      </w:r>
      <w:r w:rsidR="001915B7" w:rsidRPr="00FE5C27">
        <w:rPr>
          <w:lang w:val="en-AU"/>
        </w:rPr>
        <w:t>52</w:t>
      </w:r>
      <w:r w:rsidRPr="00FE5C27">
        <w:rPr>
          <w:lang w:val="en-AU"/>
        </w:rPr>
        <w:t>.</w:t>
      </w:r>
      <w:r w:rsidR="00FE5C27" w:rsidRPr="00FE5C27">
        <w:rPr>
          <w:lang w:val="en-AU"/>
        </w:rPr>
        <w:t>2</w:t>
      </w:r>
      <w:r w:rsidRPr="00FE5C27">
        <w:rPr>
          <w:lang w:val="en-AU"/>
        </w:rPr>
        <w:t xml:space="preserve"> years).  </w:t>
      </w:r>
      <w:r w:rsidR="000A041C" w:rsidRPr="00FE5C27">
        <w:rPr>
          <w:lang w:val="en-AU"/>
        </w:rPr>
        <w:t>Within t</w:t>
      </w:r>
      <w:r w:rsidRPr="00FE5C27">
        <w:rPr>
          <w:lang w:val="en-AU"/>
        </w:rPr>
        <w:t xml:space="preserve">he total concession household sample </w:t>
      </w:r>
      <w:r w:rsidR="000A041C" w:rsidRPr="00FE5C27">
        <w:rPr>
          <w:lang w:val="en-AU"/>
        </w:rPr>
        <w:t xml:space="preserve">the selected respondent/main </w:t>
      </w:r>
      <w:r w:rsidR="00C33CEC" w:rsidRPr="00FE5C27">
        <w:rPr>
          <w:lang w:val="en-AU"/>
        </w:rPr>
        <w:t>bill-payer</w:t>
      </w:r>
      <w:r w:rsidR="000A041C" w:rsidRPr="00FE5C27">
        <w:rPr>
          <w:lang w:val="en-AU"/>
        </w:rPr>
        <w:t xml:space="preserve"> </w:t>
      </w:r>
      <w:r w:rsidRPr="00FE5C27">
        <w:rPr>
          <w:lang w:val="en-AU"/>
        </w:rPr>
        <w:t>had a mean age of 6</w:t>
      </w:r>
      <w:r w:rsidR="001915B7" w:rsidRPr="00FE5C27">
        <w:rPr>
          <w:lang w:val="en-AU"/>
        </w:rPr>
        <w:t>2</w:t>
      </w:r>
      <w:r w:rsidRPr="00FE5C27">
        <w:rPr>
          <w:lang w:val="en-AU"/>
        </w:rPr>
        <w:t>.</w:t>
      </w:r>
      <w:r w:rsidR="001915B7" w:rsidRPr="00FE5C27">
        <w:rPr>
          <w:lang w:val="en-AU"/>
        </w:rPr>
        <w:t>6</w:t>
      </w:r>
      <w:r w:rsidRPr="00FE5C27">
        <w:rPr>
          <w:lang w:val="en-AU"/>
        </w:rPr>
        <w:t xml:space="preserve"> years compared with </w:t>
      </w:r>
      <w:r w:rsidR="001915B7" w:rsidRPr="00FE5C27">
        <w:rPr>
          <w:lang w:val="en-AU"/>
        </w:rPr>
        <w:t>50.</w:t>
      </w:r>
      <w:r w:rsidR="00FE5C27" w:rsidRPr="00FE5C27">
        <w:rPr>
          <w:lang w:val="en-AU"/>
        </w:rPr>
        <w:t>5</w:t>
      </w:r>
      <w:r w:rsidRPr="00FE5C27">
        <w:rPr>
          <w:lang w:val="en-AU"/>
        </w:rPr>
        <w:t xml:space="preserve"> years for non-concession households.</w:t>
      </w:r>
      <w:r w:rsidR="001915B7" w:rsidRPr="00FE5C27">
        <w:rPr>
          <w:lang w:val="en-AU"/>
        </w:rPr>
        <w:t xml:space="preserve">  </w:t>
      </w:r>
      <w:r w:rsidR="00AC77D3" w:rsidRPr="00FE5C27">
        <w:rPr>
          <w:lang w:val="en-AU"/>
        </w:rPr>
        <w:t>Little difference was evident when examined by region, with respondents from country Victoria having a mean age of 5</w:t>
      </w:r>
      <w:r w:rsidR="00FE5C27" w:rsidRPr="00FE5C27">
        <w:rPr>
          <w:lang w:val="en-AU"/>
        </w:rPr>
        <w:t>7.0</w:t>
      </w:r>
      <w:r w:rsidR="00AC77D3" w:rsidRPr="00FE5C27">
        <w:rPr>
          <w:lang w:val="en-AU"/>
        </w:rPr>
        <w:t xml:space="preserve"> years, compared with 55.</w:t>
      </w:r>
      <w:r w:rsidR="00FE5C27" w:rsidRPr="00FE5C27">
        <w:rPr>
          <w:lang w:val="en-AU"/>
        </w:rPr>
        <w:t>7</w:t>
      </w:r>
      <w:r w:rsidR="00AC77D3" w:rsidRPr="00FE5C27">
        <w:rPr>
          <w:lang w:val="en-AU"/>
        </w:rPr>
        <w:t xml:space="preserve"> years for those from Melbourne.</w:t>
      </w:r>
    </w:p>
    <w:p w14:paraId="4EA6E033" w14:textId="77777777" w:rsidR="00E02C75" w:rsidRPr="00FE5C27" w:rsidRDefault="00E02C75" w:rsidP="00E02C75">
      <w:pPr>
        <w:pStyle w:val="Para"/>
        <w:rPr>
          <w:lang w:val="en-AU"/>
        </w:rPr>
      </w:pPr>
    </w:p>
    <w:p w14:paraId="72F3DE24" w14:textId="77777777" w:rsidR="00E02C75" w:rsidRPr="00F06A63" w:rsidRDefault="00AA013A" w:rsidP="00BD2674">
      <w:pPr>
        <w:pStyle w:val="Para"/>
        <w:spacing w:before="120" w:after="120"/>
        <w:jc w:val="center"/>
        <w:outlineLvl w:val="0"/>
        <w:rPr>
          <w:b/>
          <w:u w:val="single"/>
          <w:lang w:val="en-AU"/>
        </w:rPr>
      </w:pPr>
      <w:r w:rsidRPr="00DA3B75">
        <w:rPr>
          <w:b/>
          <w:highlight w:val="yellow"/>
          <w:lang w:val="en-AU"/>
        </w:rPr>
        <w:br w:type="page"/>
      </w:r>
      <w:r w:rsidR="00E02C75" w:rsidRPr="00F06A63">
        <w:rPr>
          <w:b/>
          <w:lang w:val="en-AU"/>
        </w:rPr>
        <w:lastRenderedPageBreak/>
        <w:t xml:space="preserve">Table 3.2.2: </w:t>
      </w:r>
      <w:r w:rsidR="00E02C75" w:rsidRPr="00F06A63">
        <w:rPr>
          <w:b/>
          <w:u w:val="single"/>
          <w:lang w:val="en-AU"/>
        </w:rPr>
        <w:t xml:space="preserve">Sample Age and Gender </w:t>
      </w:r>
      <w:r w:rsidR="000A041C" w:rsidRPr="00F06A63">
        <w:rPr>
          <w:b/>
          <w:u w:val="single"/>
          <w:lang w:val="en-AU"/>
        </w:rPr>
        <w:t xml:space="preserve">of the Selected Respondent/Main </w:t>
      </w:r>
      <w:r w:rsidR="00C33CEC" w:rsidRPr="00F06A63">
        <w:rPr>
          <w:b/>
          <w:u w:val="single"/>
          <w:lang w:val="en-AU"/>
        </w:rPr>
        <w:t>Bill-payer</w:t>
      </w:r>
      <w:r w:rsidR="000A041C" w:rsidRPr="00F06A63">
        <w:rPr>
          <w:b/>
          <w:u w:val="single"/>
          <w:lang w:val="en-AU"/>
        </w:rPr>
        <w:t xml:space="preserve"> </w:t>
      </w:r>
      <w:r w:rsidR="00E02C75" w:rsidRPr="00F06A63">
        <w:rPr>
          <w:b/>
          <w:u w:val="single"/>
          <w:lang w:val="en-AU"/>
        </w:rPr>
        <w:t>by Household Type</w:t>
      </w:r>
      <w:r w:rsidR="000A041C" w:rsidRPr="00F06A63">
        <w:rPr>
          <w:b/>
          <w:u w:val="single"/>
          <w:lang w:val="en-AU"/>
        </w:rPr>
        <w:t xml:space="preserve"> - Weighted</w:t>
      </w:r>
    </w:p>
    <w:p w14:paraId="109DEE36" w14:textId="77777777" w:rsidR="00AC1255" w:rsidRPr="00F06A63" w:rsidRDefault="00AC1255" w:rsidP="00E548CE">
      <w:pPr>
        <w:pStyle w:val="Para"/>
        <w:spacing w:before="40" w:line="200" w:lineRule="exact"/>
        <w:rPr>
          <w:sz w:val="20"/>
          <w:lang w:val="en-AU"/>
        </w:rPr>
      </w:pPr>
    </w:p>
    <w:tbl>
      <w:tblPr>
        <w:tblW w:w="11981" w:type="dxa"/>
        <w:jc w:val="center"/>
        <w:tblLook w:val="04A0" w:firstRow="1" w:lastRow="0" w:firstColumn="1" w:lastColumn="0" w:noHBand="0" w:noVBand="1"/>
      </w:tblPr>
      <w:tblGrid>
        <w:gridCol w:w="2160"/>
        <w:gridCol w:w="661"/>
        <w:gridCol w:w="580"/>
        <w:gridCol w:w="580"/>
        <w:gridCol w:w="580"/>
        <w:gridCol w:w="600"/>
        <w:gridCol w:w="600"/>
        <w:gridCol w:w="600"/>
        <w:gridCol w:w="600"/>
        <w:gridCol w:w="610"/>
        <w:gridCol w:w="610"/>
        <w:gridCol w:w="610"/>
        <w:gridCol w:w="610"/>
        <w:gridCol w:w="645"/>
        <w:gridCol w:w="645"/>
        <w:gridCol w:w="645"/>
        <w:gridCol w:w="645"/>
      </w:tblGrid>
      <w:tr w:rsidR="00E548CE" w:rsidRPr="00F06A63" w14:paraId="2DC7A941" w14:textId="77777777" w:rsidTr="00BD2674">
        <w:trPr>
          <w:trHeight w:val="240"/>
          <w:jc w:val="center"/>
        </w:trPr>
        <w:tc>
          <w:tcPr>
            <w:tcW w:w="2160" w:type="dxa"/>
            <w:vMerge w:val="restart"/>
            <w:tcBorders>
              <w:top w:val="double" w:sz="6" w:space="0" w:color="auto"/>
              <w:left w:val="double" w:sz="6" w:space="0" w:color="auto"/>
              <w:bottom w:val="single" w:sz="4" w:space="0" w:color="BFBFBF"/>
              <w:right w:val="nil"/>
            </w:tcBorders>
            <w:shd w:val="clear" w:color="auto" w:fill="auto"/>
            <w:noWrap/>
            <w:vAlign w:val="center"/>
          </w:tcPr>
          <w:p w14:paraId="15C84D16" w14:textId="77777777" w:rsidR="00E548CE" w:rsidRPr="00F06A63" w:rsidRDefault="00E548CE" w:rsidP="00E548CE">
            <w:pPr>
              <w:spacing w:before="0" w:after="0"/>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Age and Gender</w:t>
            </w:r>
          </w:p>
        </w:tc>
        <w:tc>
          <w:tcPr>
            <w:tcW w:w="2401"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4041F2B3"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Aged Concession HHs</w:t>
            </w:r>
          </w:p>
        </w:tc>
        <w:tc>
          <w:tcPr>
            <w:tcW w:w="2400" w:type="dxa"/>
            <w:gridSpan w:val="4"/>
            <w:tcBorders>
              <w:top w:val="double" w:sz="6" w:space="0" w:color="auto"/>
              <w:left w:val="nil"/>
              <w:bottom w:val="single" w:sz="4" w:space="0" w:color="BFBFBF"/>
              <w:right w:val="single" w:sz="4" w:space="0" w:color="000000"/>
            </w:tcBorders>
            <w:shd w:val="clear" w:color="auto" w:fill="auto"/>
            <w:noWrap/>
            <w:vAlign w:val="center"/>
          </w:tcPr>
          <w:p w14:paraId="3D088F39"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Other Concession HHs</w:t>
            </w:r>
          </w:p>
        </w:tc>
        <w:tc>
          <w:tcPr>
            <w:tcW w:w="2440" w:type="dxa"/>
            <w:gridSpan w:val="4"/>
            <w:tcBorders>
              <w:top w:val="double" w:sz="6" w:space="0" w:color="auto"/>
              <w:left w:val="nil"/>
              <w:bottom w:val="single" w:sz="4" w:space="0" w:color="BFBFBF"/>
              <w:right w:val="single" w:sz="4" w:space="0" w:color="000000"/>
            </w:tcBorders>
            <w:shd w:val="clear" w:color="auto" w:fill="auto"/>
            <w:noWrap/>
            <w:vAlign w:val="center"/>
          </w:tcPr>
          <w:p w14:paraId="0C6B6184"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Total Concession HHs</w:t>
            </w:r>
          </w:p>
        </w:tc>
        <w:tc>
          <w:tcPr>
            <w:tcW w:w="2580" w:type="dxa"/>
            <w:gridSpan w:val="4"/>
            <w:tcBorders>
              <w:top w:val="double" w:sz="6" w:space="0" w:color="auto"/>
              <w:left w:val="nil"/>
              <w:bottom w:val="single" w:sz="4" w:space="0" w:color="BFBFBF"/>
              <w:right w:val="double" w:sz="6" w:space="0" w:color="000000"/>
            </w:tcBorders>
            <w:shd w:val="clear" w:color="auto" w:fill="auto"/>
            <w:noWrap/>
            <w:vAlign w:val="center"/>
          </w:tcPr>
          <w:p w14:paraId="0E88B656"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Non-Concession HHs</w:t>
            </w:r>
          </w:p>
        </w:tc>
      </w:tr>
      <w:tr w:rsidR="00E548CE" w:rsidRPr="00F06A63" w14:paraId="15A4FD8B" w14:textId="77777777" w:rsidTr="00BD2674">
        <w:trPr>
          <w:trHeight w:val="225"/>
          <w:jc w:val="center"/>
        </w:trPr>
        <w:tc>
          <w:tcPr>
            <w:tcW w:w="2160" w:type="dxa"/>
            <w:vMerge/>
            <w:tcBorders>
              <w:top w:val="double" w:sz="6" w:space="0" w:color="auto"/>
              <w:left w:val="double" w:sz="6" w:space="0" w:color="auto"/>
              <w:bottom w:val="single" w:sz="4" w:space="0" w:color="BFBFBF"/>
              <w:right w:val="nil"/>
            </w:tcBorders>
            <w:vAlign w:val="center"/>
          </w:tcPr>
          <w:p w14:paraId="5FB4FC4D" w14:textId="77777777" w:rsidR="00E548CE" w:rsidRPr="00F06A63" w:rsidRDefault="00E548CE" w:rsidP="00E548CE">
            <w:pPr>
              <w:spacing w:before="0" w:after="0"/>
              <w:rPr>
                <w:rFonts w:ascii="Arial" w:hAnsi="Arial" w:cs="Arial"/>
                <w:b/>
                <w:bCs/>
                <w:color w:val="000000"/>
                <w:sz w:val="16"/>
                <w:szCs w:val="16"/>
                <w:lang w:val="en-AU" w:eastAsia="en-AU"/>
              </w:rPr>
            </w:pP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3D400012"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2014</w:t>
            </w:r>
          </w:p>
        </w:tc>
        <w:tc>
          <w:tcPr>
            <w:tcW w:w="580" w:type="dxa"/>
            <w:tcBorders>
              <w:top w:val="nil"/>
              <w:left w:val="nil"/>
              <w:bottom w:val="single" w:sz="4" w:space="0" w:color="BFBFBF"/>
              <w:right w:val="single" w:sz="4" w:space="0" w:color="BFBFBF"/>
            </w:tcBorders>
            <w:shd w:val="clear" w:color="auto" w:fill="auto"/>
            <w:noWrap/>
            <w:vAlign w:val="center"/>
          </w:tcPr>
          <w:p w14:paraId="5B4F942B"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2007</w:t>
            </w:r>
          </w:p>
        </w:tc>
        <w:tc>
          <w:tcPr>
            <w:tcW w:w="580" w:type="dxa"/>
            <w:tcBorders>
              <w:top w:val="nil"/>
              <w:left w:val="nil"/>
              <w:bottom w:val="single" w:sz="4" w:space="0" w:color="BFBFBF"/>
              <w:right w:val="single" w:sz="4" w:space="0" w:color="BFBFBF"/>
            </w:tcBorders>
            <w:shd w:val="clear" w:color="auto" w:fill="auto"/>
            <w:noWrap/>
            <w:vAlign w:val="center"/>
          </w:tcPr>
          <w:p w14:paraId="16F42977"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2001</w:t>
            </w:r>
          </w:p>
        </w:tc>
        <w:tc>
          <w:tcPr>
            <w:tcW w:w="580" w:type="dxa"/>
            <w:tcBorders>
              <w:top w:val="nil"/>
              <w:left w:val="nil"/>
              <w:bottom w:val="single" w:sz="4" w:space="0" w:color="BFBFBF"/>
              <w:right w:val="single" w:sz="4" w:space="0" w:color="auto"/>
            </w:tcBorders>
            <w:shd w:val="clear" w:color="auto" w:fill="auto"/>
            <w:noWrap/>
            <w:vAlign w:val="center"/>
          </w:tcPr>
          <w:p w14:paraId="2FE766AA"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1996</w:t>
            </w:r>
          </w:p>
        </w:tc>
        <w:tc>
          <w:tcPr>
            <w:tcW w:w="600" w:type="dxa"/>
            <w:tcBorders>
              <w:top w:val="nil"/>
              <w:left w:val="nil"/>
              <w:bottom w:val="single" w:sz="4" w:space="0" w:color="BFBFBF"/>
              <w:right w:val="single" w:sz="4" w:space="0" w:color="BFBFBF"/>
            </w:tcBorders>
            <w:shd w:val="clear" w:color="auto" w:fill="auto"/>
            <w:noWrap/>
            <w:vAlign w:val="center"/>
          </w:tcPr>
          <w:p w14:paraId="5B5A5695"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33B86F44"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45915513"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2001</w:t>
            </w:r>
          </w:p>
        </w:tc>
        <w:tc>
          <w:tcPr>
            <w:tcW w:w="600" w:type="dxa"/>
            <w:tcBorders>
              <w:top w:val="nil"/>
              <w:left w:val="nil"/>
              <w:bottom w:val="single" w:sz="4" w:space="0" w:color="BFBFBF"/>
              <w:right w:val="single" w:sz="4" w:space="0" w:color="auto"/>
            </w:tcBorders>
            <w:shd w:val="clear" w:color="auto" w:fill="auto"/>
            <w:noWrap/>
            <w:vAlign w:val="center"/>
          </w:tcPr>
          <w:p w14:paraId="73799DC7"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1996</w:t>
            </w:r>
          </w:p>
        </w:tc>
        <w:tc>
          <w:tcPr>
            <w:tcW w:w="610" w:type="dxa"/>
            <w:tcBorders>
              <w:top w:val="nil"/>
              <w:left w:val="nil"/>
              <w:bottom w:val="single" w:sz="4" w:space="0" w:color="BFBFBF"/>
              <w:right w:val="single" w:sz="4" w:space="0" w:color="BFBFBF"/>
            </w:tcBorders>
            <w:shd w:val="clear" w:color="auto" w:fill="auto"/>
            <w:noWrap/>
            <w:vAlign w:val="center"/>
          </w:tcPr>
          <w:p w14:paraId="1BA6E05E"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2014</w:t>
            </w:r>
          </w:p>
        </w:tc>
        <w:tc>
          <w:tcPr>
            <w:tcW w:w="610" w:type="dxa"/>
            <w:tcBorders>
              <w:top w:val="nil"/>
              <w:left w:val="nil"/>
              <w:bottom w:val="single" w:sz="4" w:space="0" w:color="BFBFBF"/>
              <w:right w:val="single" w:sz="4" w:space="0" w:color="BFBFBF"/>
            </w:tcBorders>
            <w:shd w:val="clear" w:color="auto" w:fill="auto"/>
            <w:noWrap/>
            <w:vAlign w:val="center"/>
          </w:tcPr>
          <w:p w14:paraId="6BFA4066"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2007</w:t>
            </w:r>
          </w:p>
        </w:tc>
        <w:tc>
          <w:tcPr>
            <w:tcW w:w="610" w:type="dxa"/>
            <w:tcBorders>
              <w:top w:val="nil"/>
              <w:left w:val="nil"/>
              <w:bottom w:val="single" w:sz="4" w:space="0" w:color="BFBFBF"/>
              <w:right w:val="single" w:sz="4" w:space="0" w:color="BFBFBF"/>
            </w:tcBorders>
            <w:shd w:val="clear" w:color="auto" w:fill="auto"/>
            <w:noWrap/>
            <w:vAlign w:val="center"/>
          </w:tcPr>
          <w:p w14:paraId="7A85897B"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2001</w:t>
            </w:r>
          </w:p>
        </w:tc>
        <w:tc>
          <w:tcPr>
            <w:tcW w:w="610" w:type="dxa"/>
            <w:tcBorders>
              <w:top w:val="nil"/>
              <w:left w:val="nil"/>
              <w:bottom w:val="single" w:sz="4" w:space="0" w:color="BFBFBF"/>
              <w:right w:val="single" w:sz="4" w:space="0" w:color="auto"/>
            </w:tcBorders>
            <w:shd w:val="clear" w:color="auto" w:fill="auto"/>
            <w:noWrap/>
            <w:vAlign w:val="center"/>
          </w:tcPr>
          <w:p w14:paraId="6FF81A68"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1996</w:t>
            </w:r>
          </w:p>
        </w:tc>
        <w:tc>
          <w:tcPr>
            <w:tcW w:w="645" w:type="dxa"/>
            <w:tcBorders>
              <w:top w:val="nil"/>
              <w:left w:val="nil"/>
              <w:bottom w:val="single" w:sz="4" w:space="0" w:color="BFBFBF"/>
              <w:right w:val="single" w:sz="4" w:space="0" w:color="BFBFBF"/>
            </w:tcBorders>
            <w:shd w:val="clear" w:color="auto" w:fill="auto"/>
            <w:noWrap/>
            <w:vAlign w:val="center"/>
          </w:tcPr>
          <w:p w14:paraId="1C1A092F"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2014</w:t>
            </w:r>
          </w:p>
        </w:tc>
        <w:tc>
          <w:tcPr>
            <w:tcW w:w="645" w:type="dxa"/>
            <w:tcBorders>
              <w:top w:val="nil"/>
              <w:left w:val="nil"/>
              <w:bottom w:val="single" w:sz="4" w:space="0" w:color="BFBFBF"/>
              <w:right w:val="single" w:sz="4" w:space="0" w:color="BFBFBF"/>
            </w:tcBorders>
            <w:shd w:val="clear" w:color="auto" w:fill="auto"/>
            <w:noWrap/>
            <w:vAlign w:val="center"/>
          </w:tcPr>
          <w:p w14:paraId="2DDF1E3A"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2007</w:t>
            </w:r>
          </w:p>
        </w:tc>
        <w:tc>
          <w:tcPr>
            <w:tcW w:w="645" w:type="dxa"/>
            <w:tcBorders>
              <w:top w:val="nil"/>
              <w:left w:val="nil"/>
              <w:bottom w:val="single" w:sz="4" w:space="0" w:color="BFBFBF"/>
              <w:right w:val="single" w:sz="4" w:space="0" w:color="BFBFBF"/>
            </w:tcBorders>
            <w:shd w:val="clear" w:color="auto" w:fill="auto"/>
            <w:noWrap/>
            <w:vAlign w:val="center"/>
          </w:tcPr>
          <w:p w14:paraId="63975BDA"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2001</w:t>
            </w:r>
          </w:p>
        </w:tc>
        <w:tc>
          <w:tcPr>
            <w:tcW w:w="645" w:type="dxa"/>
            <w:tcBorders>
              <w:top w:val="nil"/>
              <w:left w:val="nil"/>
              <w:bottom w:val="single" w:sz="4" w:space="0" w:color="BFBFBF"/>
              <w:right w:val="double" w:sz="6" w:space="0" w:color="auto"/>
            </w:tcBorders>
            <w:shd w:val="clear" w:color="auto" w:fill="auto"/>
            <w:noWrap/>
            <w:vAlign w:val="center"/>
          </w:tcPr>
          <w:p w14:paraId="40ABB0A8" w14:textId="77777777" w:rsidR="00E548CE" w:rsidRPr="00F06A63" w:rsidRDefault="00E548CE" w:rsidP="00E548CE">
            <w:pPr>
              <w:spacing w:before="0" w:after="0"/>
              <w:jc w:val="center"/>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1996</w:t>
            </w:r>
          </w:p>
        </w:tc>
      </w:tr>
      <w:tr w:rsidR="00E548CE" w:rsidRPr="00F06A63" w14:paraId="0AA1C1F4"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59F6F2C" w14:textId="77777777" w:rsidR="00E548CE" w:rsidRPr="00F06A63" w:rsidRDefault="00E548CE" w:rsidP="00E548CE">
            <w:pPr>
              <w:spacing w:before="0" w:after="0"/>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Males -</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0078D53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580" w:type="dxa"/>
            <w:tcBorders>
              <w:top w:val="nil"/>
              <w:left w:val="nil"/>
              <w:bottom w:val="single" w:sz="4" w:space="0" w:color="BFBFBF"/>
              <w:right w:val="single" w:sz="4" w:space="0" w:color="BFBFBF"/>
            </w:tcBorders>
            <w:shd w:val="clear" w:color="auto" w:fill="auto"/>
            <w:noWrap/>
            <w:vAlign w:val="center"/>
          </w:tcPr>
          <w:p w14:paraId="3699282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580" w:type="dxa"/>
            <w:tcBorders>
              <w:top w:val="nil"/>
              <w:left w:val="nil"/>
              <w:bottom w:val="single" w:sz="4" w:space="0" w:color="BFBFBF"/>
              <w:right w:val="single" w:sz="4" w:space="0" w:color="BFBFBF"/>
            </w:tcBorders>
            <w:shd w:val="clear" w:color="auto" w:fill="auto"/>
            <w:noWrap/>
            <w:vAlign w:val="center"/>
          </w:tcPr>
          <w:p w14:paraId="2CA6335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580" w:type="dxa"/>
            <w:tcBorders>
              <w:top w:val="nil"/>
              <w:left w:val="nil"/>
              <w:bottom w:val="single" w:sz="4" w:space="0" w:color="BFBFBF"/>
              <w:right w:val="single" w:sz="4" w:space="0" w:color="auto"/>
            </w:tcBorders>
            <w:shd w:val="clear" w:color="auto" w:fill="auto"/>
            <w:noWrap/>
            <w:vAlign w:val="center"/>
          </w:tcPr>
          <w:p w14:paraId="7F0C675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19E68E6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3CF154F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1154676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6E0EFF8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BFBFBF"/>
            </w:tcBorders>
            <w:shd w:val="clear" w:color="auto" w:fill="auto"/>
            <w:noWrap/>
            <w:vAlign w:val="center"/>
          </w:tcPr>
          <w:p w14:paraId="506DD19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BFBFBF"/>
            </w:tcBorders>
            <w:shd w:val="clear" w:color="auto" w:fill="auto"/>
            <w:noWrap/>
            <w:vAlign w:val="center"/>
          </w:tcPr>
          <w:p w14:paraId="200E1E9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BFBFBF"/>
            </w:tcBorders>
            <w:shd w:val="clear" w:color="auto" w:fill="auto"/>
            <w:noWrap/>
            <w:vAlign w:val="center"/>
          </w:tcPr>
          <w:p w14:paraId="58B7678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auto"/>
            </w:tcBorders>
            <w:shd w:val="clear" w:color="auto" w:fill="auto"/>
            <w:noWrap/>
            <w:vAlign w:val="center"/>
          </w:tcPr>
          <w:p w14:paraId="0F0CAC5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743C8C2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51DA7CE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45F5982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double" w:sz="6" w:space="0" w:color="auto"/>
            </w:tcBorders>
            <w:shd w:val="clear" w:color="auto" w:fill="auto"/>
            <w:noWrap/>
            <w:vAlign w:val="center"/>
          </w:tcPr>
          <w:p w14:paraId="79DC11B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r>
      <w:tr w:rsidR="00E548CE" w:rsidRPr="00F06A63" w14:paraId="01A16B37"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A9A60F7"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15-24*</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0F86CDD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41931FA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4431F0C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auto"/>
            </w:tcBorders>
            <w:shd w:val="clear" w:color="auto" w:fill="auto"/>
            <w:noWrap/>
            <w:vAlign w:val="center"/>
          </w:tcPr>
          <w:p w14:paraId="4AEEFB7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D315FF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7A3B63D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BFBFBF"/>
            </w:tcBorders>
            <w:shd w:val="clear" w:color="auto" w:fill="auto"/>
            <w:noWrap/>
            <w:vAlign w:val="center"/>
          </w:tcPr>
          <w:p w14:paraId="53730D0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auto"/>
            </w:tcBorders>
            <w:shd w:val="clear" w:color="auto" w:fill="auto"/>
            <w:noWrap/>
            <w:vAlign w:val="center"/>
          </w:tcPr>
          <w:p w14:paraId="7FC75CD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w:t>
            </w:r>
          </w:p>
        </w:tc>
        <w:tc>
          <w:tcPr>
            <w:tcW w:w="610" w:type="dxa"/>
            <w:tcBorders>
              <w:top w:val="nil"/>
              <w:left w:val="nil"/>
              <w:bottom w:val="single" w:sz="4" w:space="0" w:color="BFBFBF"/>
              <w:right w:val="single" w:sz="4" w:space="0" w:color="BFBFBF"/>
            </w:tcBorders>
            <w:shd w:val="clear" w:color="auto" w:fill="auto"/>
            <w:noWrap/>
            <w:vAlign w:val="center"/>
          </w:tcPr>
          <w:p w14:paraId="1E41B71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5A1ABC0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w:t>
            </w:r>
          </w:p>
        </w:tc>
        <w:tc>
          <w:tcPr>
            <w:tcW w:w="610" w:type="dxa"/>
            <w:tcBorders>
              <w:top w:val="nil"/>
              <w:left w:val="nil"/>
              <w:bottom w:val="single" w:sz="4" w:space="0" w:color="BFBFBF"/>
              <w:right w:val="single" w:sz="4" w:space="0" w:color="BFBFBF"/>
            </w:tcBorders>
            <w:shd w:val="clear" w:color="auto" w:fill="auto"/>
            <w:noWrap/>
            <w:vAlign w:val="center"/>
          </w:tcPr>
          <w:p w14:paraId="4EAD743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w:t>
            </w:r>
          </w:p>
        </w:tc>
        <w:tc>
          <w:tcPr>
            <w:tcW w:w="610" w:type="dxa"/>
            <w:tcBorders>
              <w:top w:val="nil"/>
              <w:left w:val="nil"/>
              <w:bottom w:val="single" w:sz="4" w:space="0" w:color="BFBFBF"/>
              <w:right w:val="single" w:sz="4" w:space="0" w:color="auto"/>
            </w:tcBorders>
            <w:shd w:val="clear" w:color="auto" w:fill="auto"/>
            <w:noWrap/>
            <w:vAlign w:val="center"/>
          </w:tcPr>
          <w:p w14:paraId="6F4F9FD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w:t>
            </w:r>
          </w:p>
        </w:tc>
        <w:tc>
          <w:tcPr>
            <w:tcW w:w="645" w:type="dxa"/>
            <w:tcBorders>
              <w:top w:val="nil"/>
              <w:left w:val="nil"/>
              <w:bottom w:val="single" w:sz="4" w:space="0" w:color="BFBFBF"/>
              <w:right w:val="single" w:sz="4" w:space="0" w:color="BFBFBF"/>
            </w:tcBorders>
            <w:shd w:val="clear" w:color="auto" w:fill="auto"/>
            <w:noWrap/>
            <w:vAlign w:val="center"/>
          </w:tcPr>
          <w:p w14:paraId="5CB3063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5B025E6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w:t>
            </w:r>
          </w:p>
        </w:tc>
        <w:tc>
          <w:tcPr>
            <w:tcW w:w="645" w:type="dxa"/>
            <w:tcBorders>
              <w:top w:val="nil"/>
              <w:left w:val="nil"/>
              <w:bottom w:val="single" w:sz="4" w:space="0" w:color="BFBFBF"/>
              <w:right w:val="single" w:sz="4" w:space="0" w:color="BFBFBF"/>
            </w:tcBorders>
            <w:shd w:val="clear" w:color="auto" w:fill="auto"/>
            <w:noWrap/>
            <w:vAlign w:val="center"/>
          </w:tcPr>
          <w:p w14:paraId="04EC308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w:t>
            </w:r>
          </w:p>
        </w:tc>
        <w:tc>
          <w:tcPr>
            <w:tcW w:w="645" w:type="dxa"/>
            <w:tcBorders>
              <w:top w:val="nil"/>
              <w:left w:val="nil"/>
              <w:bottom w:val="single" w:sz="4" w:space="0" w:color="BFBFBF"/>
              <w:right w:val="double" w:sz="6" w:space="0" w:color="auto"/>
            </w:tcBorders>
            <w:shd w:val="clear" w:color="auto" w:fill="auto"/>
            <w:noWrap/>
            <w:vAlign w:val="center"/>
          </w:tcPr>
          <w:p w14:paraId="740F14E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w:t>
            </w:r>
          </w:p>
        </w:tc>
      </w:tr>
      <w:tr w:rsidR="00E548CE" w:rsidRPr="00F06A63" w14:paraId="15C5A2A4"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89ABE2D"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25-39</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537E89B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3876B7E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3D7A809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auto"/>
            </w:tcBorders>
            <w:shd w:val="clear" w:color="auto" w:fill="auto"/>
            <w:noWrap/>
            <w:vAlign w:val="center"/>
          </w:tcPr>
          <w:p w14:paraId="1FA4395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7A38643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BFBFBF"/>
            </w:tcBorders>
            <w:shd w:val="clear" w:color="auto" w:fill="auto"/>
            <w:noWrap/>
            <w:vAlign w:val="center"/>
          </w:tcPr>
          <w:p w14:paraId="6069993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24%</w:t>
            </w:r>
          </w:p>
        </w:tc>
        <w:tc>
          <w:tcPr>
            <w:tcW w:w="600" w:type="dxa"/>
            <w:tcBorders>
              <w:top w:val="nil"/>
              <w:left w:val="nil"/>
              <w:bottom w:val="single" w:sz="4" w:space="0" w:color="BFBFBF"/>
              <w:right w:val="single" w:sz="4" w:space="0" w:color="BFBFBF"/>
            </w:tcBorders>
            <w:shd w:val="clear" w:color="auto" w:fill="auto"/>
            <w:noWrap/>
            <w:vAlign w:val="center"/>
          </w:tcPr>
          <w:p w14:paraId="4E281AA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25%</w:t>
            </w:r>
          </w:p>
        </w:tc>
        <w:tc>
          <w:tcPr>
            <w:tcW w:w="600" w:type="dxa"/>
            <w:tcBorders>
              <w:top w:val="nil"/>
              <w:left w:val="nil"/>
              <w:bottom w:val="single" w:sz="4" w:space="0" w:color="BFBFBF"/>
              <w:right w:val="single" w:sz="4" w:space="0" w:color="auto"/>
            </w:tcBorders>
            <w:shd w:val="clear" w:color="auto" w:fill="auto"/>
            <w:noWrap/>
            <w:vAlign w:val="center"/>
          </w:tcPr>
          <w:p w14:paraId="7393C85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39%</w:t>
            </w:r>
          </w:p>
        </w:tc>
        <w:tc>
          <w:tcPr>
            <w:tcW w:w="610" w:type="dxa"/>
            <w:tcBorders>
              <w:top w:val="nil"/>
              <w:left w:val="nil"/>
              <w:bottom w:val="single" w:sz="4" w:space="0" w:color="BFBFBF"/>
              <w:right w:val="single" w:sz="4" w:space="0" w:color="BFBFBF"/>
            </w:tcBorders>
            <w:shd w:val="clear" w:color="auto" w:fill="auto"/>
            <w:noWrap/>
            <w:vAlign w:val="center"/>
          </w:tcPr>
          <w:p w14:paraId="077AAB7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w:t>
            </w:r>
          </w:p>
        </w:tc>
        <w:tc>
          <w:tcPr>
            <w:tcW w:w="610" w:type="dxa"/>
            <w:tcBorders>
              <w:top w:val="nil"/>
              <w:left w:val="nil"/>
              <w:bottom w:val="single" w:sz="4" w:space="0" w:color="BFBFBF"/>
              <w:right w:val="single" w:sz="4" w:space="0" w:color="BFBFBF"/>
            </w:tcBorders>
            <w:shd w:val="clear" w:color="auto" w:fill="auto"/>
            <w:noWrap/>
            <w:vAlign w:val="center"/>
          </w:tcPr>
          <w:p w14:paraId="0810F50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11%</w:t>
            </w:r>
          </w:p>
        </w:tc>
        <w:tc>
          <w:tcPr>
            <w:tcW w:w="610" w:type="dxa"/>
            <w:tcBorders>
              <w:top w:val="nil"/>
              <w:left w:val="nil"/>
              <w:bottom w:val="single" w:sz="4" w:space="0" w:color="BFBFBF"/>
              <w:right w:val="single" w:sz="4" w:space="0" w:color="BFBFBF"/>
            </w:tcBorders>
            <w:shd w:val="clear" w:color="auto" w:fill="auto"/>
            <w:noWrap/>
            <w:vAlign w:val="center"/>
          </w:tcPr>
          <w:p w14:paraId="0D9516F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11%</w:t>
            </w:r>
          </w:p>
        </w:tc>
        <w:tc>
          <w:tcPr>
            <w:tcW w:w="610" w:type="dxa"/>
            <w:tcBorders>
              <w:top w:val="nil"/>
              <w:left w:val="nil"/>
              <w:bottom w:val="single" w:sz="4" w:space="0" w:color="BFBFBF"/>
              <w:right w:val="single" w:sz="4" w:space="0" w:color="auto"/>
            </w:tcBorders>
            <w:shd w:val="clear" w:color="auto" w:fill="auto"/>
            <w:noWrap/>
            <w:vAlign w:val="center"/>
          </w:tcPr>
          <w:p w14:paraId="2B9EBA2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14%</w:t>
            </w:r>
          </w:p>
        </w:tc>
        <w:tc>
          <w:tcPr>
            <w:tcW w:w="645" w:type="dxa"/>
            <w:tcBorders>
              <w:top w:val="nil"/>
              <w:left w:val="nil"/>
              <w:bottom w:val="single" w:sz="4" w:space="0" w:color="BFBFBF"/>
              <w:right w:val="single" w:sz="4" w:space="0" w:color="BFBFBF"/>
            </w:tcBorders>
            <w:shd w:val="clear" w:color="auto" w:fill="auto"/>
            <w:noWrap/>
            <w:vAlign w:val="center"/>
          </w:tcPr>
          <w:p w14:paraId="03583B6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21%</w:t>
            </w:r>
          </w:p>
        </w:tc>
        <w:tc>
          <w:tcPr>
            <w:tcW w:w="645" w:type="dxa"/>
            <w:tcBorders>
              <w:top w:val="nil"/>
              <w:left w:val="nil"/>
              <w:bottom w:val="single" w:sz="4" w:space="0" w:color="BFBFBF"/>
              <w:right w:val="single" w:sz="4" w:space="0" w:color="BFBFBF"/>
            </w:tcBorders>
            <w:shd w:val="clear" w:color="auto" w:fill="auto"/>
            <w:noWrap/>
            <w:vAlign w:val="center"/>
          </w:tcPr>
          <w:p w14:paraId="6AEB414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26%</w:t>
            </w:r>
          </w:p>
        </w:tc>
        <w:tc>
          <w:tcPr>
            <w:tcW w:w="645" w:type="dxa"/>
            <w:tcBorders>
              <w:top w:val="nil"/>
              <w:left w:val="nil"/>
              <w:bottom w:val="single" w:sz="4" w:space="0" w:color="BFBFBF"/>
              <w:right w:val="single" w:sz="4" w:space="0" w:color="BFBFBF"/>
            </w:tcBorders>
            <w:shd w:val="clear" w:color="auto" w:fill="auto"/>
            <w:noWrap/>
            <w:vAlign w:val="center"/>
          </w:tcPr>
          <w:p w14:paraId="5E33DB0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35%</w:t>
            </w:r>
          </w:p>
        </w:tc>
        <w:tc>
          <w:tcPr>
            <w:tcW w:w="645" w:type="dxa"/>
            <w:tcBorders>
              <w:top w:val="nil"/>
              <w:left w:val="nil"/>
              <w:bottom w:val="single" w:sz="4" w:space="0" w:color="BFBFBF"/>
              <w:right w:val="double" w:sz="6" w:space="0" w:color="auto"/>
            </w:tcBorders>
            <w:shd w:val="clear" w:color="auto" w:fill="auto"/>
            <w:noWrap/>
            <w:vAlign w:val="center"/>
          </w:tcPr>
          <w:p w14:paraId="0666187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36%</w:t>
            </w:r>
          </w:p>
        </w:tc>
      </w:tr>
      <w:tr w:rsidR="00E548CE" w:rsidRPr="00F06A63" w14:paraId="7A6F04D3"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59FD2865"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40-54</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60039B1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0561602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03B284C0"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auto"/>
            </w:tcBorders>
            <w:shd w:val="clear" w:color="auto" w:fill="auto"/>
            <w:noWrap/>
            <w:vAlign w:val="center"/>
          </w:tcPr>
          <w:p w14:paraId="729B5F4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4DA373CC" w14:textId="77777777" w:rsidR="00E548CE" w:rsidRPr="00F06A63" w:rsidRDefault="00E548CE" w:rsidP="00F06A63">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w:t>
            </w:r>
            <w:r w:rsidR="00F06A63" w:rsidRPr="00F06A63">
              <w:rPr>
                <w:rFonts w:ascii="Arial" w:hAnsi="Arial" w:cs="Arial"/>
                <w:color w:val="000000"/>
                <w:sz w:val="16"/>
                <w:szCs w:val="16"/>
                <w:lang w:val="en-AU" w:eastAsia="en-AU"/>
              </w:rPr>
              <w:t>7</w:t>
            </w:r>
            <w:r w:rsidRPr="00F06A6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129E31C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36%</w:t>
            </w:r>
          </w:p>
        </w:tc>
        <w:tc>
          <w:tcPr>
            <w:tcW w:w="600" w:type="dxa"/>
            <w:tcBorders>
              <w:top w:val="nil"/>
              <w:left w:val="nil"/>
              <w:bottom w:val="single" w:sz="4" w:space="0" w:color="BFBFBF"/>
              <w:right w:val="single" w:sz="4" w:space="0" w:color="BFBFBF"/>
            </w:tcBorders>
            <w:shd w:val="clear" w:color="auto" w:fill="auto"/>
            <w:noWrap/>
            <w:vAlign w:val="center"/>
          </w:tcPr>
          <w:p w14:paraId="59E7680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32%</w:t>
            </w:r>
          </w:p>
        </w:tc>
        <w:tc>
          <w:tcPr>
            <w:tcW w:w="600" w:type="dxa"/>
            <w:tcBorders>
              <w:top w:val="nil"/>
              <w:left w:val="nil"/>
              <w:bottom w:val="single" w:sz="4" w:space="0" w:color="BFBFBF"/>
              <w:right w:val="single" w:sz="4" w:space="0" w:color="auto"/>
            </w:tcBorders>
            <w:shd w:val="clear" w:color="auto" w:fill="auto"/>
            <w:noWrap/>
            <w:vAlign w:val="center"/>
          </w:tcPr>
          <w:p w14:paraId="1D8E566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32%</w:t>
            </w:r>
          </w:p>
        </w:tc>
        <w:tc>
          <w:tcPr>
            <w:tcW w:w="610" w:type="dxa"/>
            <w:tcBorders>
              <w:top w:val="nil"/>
              <w:left w:val="nil"/>
              <w:bottom w:val="single" w:sz="4" w:space="0" w:color="BFBFBF"/>
              <w:right w:val="single" w:sz="4" w:space="0" w:color="BFBFBF"/>
            </w:tcBorders>
            <w:shd w:val="clear" w:color="auto" w:fill="auto"/>
            <w:noWrap/>
            <w:vAlign w:val="center"/>
          </w:tcPr>
          <w:p w14:paraId="78960F1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14%</w:t>
            </w:r>
          </w:p>
        </w:tc>
        <w:tc>
          <w:tcPr>
            <w:tcW w:w="610" w:type="dxa"/>
            <w:tcBorders>
              <w:top w:val="nil"/>
              <w:left w:val="nil"/>
              <w:bottom w:val="single" w:sz="4" w:space="0" w:color="BFBFBF"/>
              <w:right w:val="single" w:sz="4" w:space="0" w:color="BFBFBF"/>
            </w:tcBorders>
            <w:shd w:val="clear" w:color="auto" w:fill="auto"/>
            <w:noWrap/>
            <w:vAlign w:val="center"/>
          </w:tcPr>
          <w:p w14:paraId="2FCE362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10" w:type="dxa"/>
            <w:tcBorders>
              <w:top w:val="nil"/>
              <w:left w:val="nil"/>
              <w:bottom w:val="single" w:sz="4" w:space="0" w:color="BFBFBF"/>
              <w:right w:val="single" w:sz="4" w:space="0" w:color="BFBFBF"/>
            </w:tcBorders>
            <w:shd w:val="clear" w:color="auto" w:fill="auto"/>
            <w:noWrap/>
            <w:vAlign w:val="center"/>
          </w:tcPr>
          <w:p w14:paraId="1501658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14%</w:t>
            </w:r>
          </w:p>
        </w:tc>
        <w:tc>
          <w:tcPr>
            <w:tcW w:w="610" w:type="dxa"/>
            <w:tcBorders>
              <w:top w:val="nil"/>
              <w:left w:val="nil"/>
              <w:bottom w:val="single" w:sz="4" w:space="0" w:color="BFBFBF"/>
              <w:right w:val="single" w:sz="4" w:space="0" w:color="auto"/>
            </w:tcBorders>
            <w:shd w:val="clear" w:color="auto" w:fill="auto"/>
            <w:noWrap/>
            <w:vAlign w:val="center"/>
          </w:tcPr>
          <w:p w14:paraId="71A14F5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13%</w:t>
            </w:r>
          </w:p>
        </w:tc>
        <w:tc>
          <w:tcPr>
            <w:tcW w:w="645" w:type="dxa"/>
            <w:tcBorders>
              <w:top w:val="nil"/>
              <w:left w:val="nil"/>
              <w:bottom w:val="single" w:sz="4" w:space="0" w:color="BFBFBF"/>
              <w:right w:val="single" w:sz="4" w:space="0" w:color="BFBFBF"/>
            </w:tcBorders>
            <w:shd w:val="clear" w:color="auto" w:fill="auto"/>
            <w:noWrap/>
            <w:vAlign w:val="center"/>
          </w:tcPr>
          <w:p w14:paraId="546EF376" w14:textId="77777777" w:rsidR="00E548CE" w:rsidRPr="00F06A63" w:rsidRDefault="00E548CE" w:rsidP="00F06A63">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w:t>
            </w:r>
            <w:r w:rsidR="00F06A63" w:rsidRPr="00F06A63">
              <w:rPr>
                <w:rFonts w:ascii="Arial" w:hAnsi="Arial" w:cs="Arial"/>
                <w:color w:val="000000"/>
                <w:sz w:val="16"/>
                <w:szCs w:val="16"/>
                <w:lang w:val="en-AU" w:eastAsia="en-AU"/>
              </w:rPr>
              <w:t>1</w:t>
            </w:r>
            <w:r w:rsidRPr="00F06A63">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3F7ECAC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35%</w:t>
            </w:r>
          </w:p>
        </w:tc>
        <w:tc>
          <w:tcPr>
            <w:tcW w:w="645" w:type="dxa"/>
            <w:tcBorders>
              <w:top w:val="nil"/>
              <w:left w:val="nil"/>
              <w:bottom w:val="single" w:sz="4" w:space="0" w:color="BFBFBF"/>
              <w:right w:val="single" w:sz="4" w:space="0" w:color="BFBFBF"/>
            </w:tcBorders>
            <w:shd w:val="clear" w:color="auto" w:fill="auto"/>
            <w:noWrap/>
            <w:vAlign w:val="center"/>
          </w:tcPr>
          <w:p w14:paraId="7E356CF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32%</w:t>
            </w:r>
          </w:p>
        </w:tc>
        <w:tc>
          <w:tcPr>
            <w:tcW w:w="645" w:type="dxa"/>
            <w:tcBorders>
              <w:top w:val="nil"/>
              <w:left w:val="nil"/>
              <w:bottom w:val="single" w:sz="4" w:space="0" w:color="BFBFBF"/>
              <w:right w:val="double" w:sz="6" w:space="0" w:color="auto"/>
            </w:tcBorders>
            <w:shd w:val="clear" w:color="auto" w:fill="auto"/>
            <w:noWrap/>
            <w:vAlign w:val="center"/>
          </w:tcPr>
          <w:p w14:paraId="62A1F63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34%</w:t>
            </w:r>
          </w:p>
        </w:tc>
      </w:tr>
      <w:tr w:rsidR="00E548CE" w:rsidRPr="00F06A63" w14:paraId="79593C66"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10190DFD"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55-64</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2C3A55CA" w14:textId="77777777" w:rsidR="00E548CE" w:rsidRPr="00F06A63" w:rsidRDefault="00F06A63"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54F9E6A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7%</w:t>
            </w:r>
          </w:p>
        </w:tc>
        <w:tc>
          <w:tcPr>
            <w:tcW w:w="580" w:type="dxa"/>
            <w:tcBorders>
              <w:top w:val="nil"/>
              <w:left w:val="nil"/>
              <w:bottom w:val="single" w:sz="4" w:space="0" w:color="BFBFBF"/>
              <w:right w:val="single" w:sz="4" w:space="0" w:color="BFBFBF"/>
            </w:tcBorders>
            <w:shd w:val="clear" w:color="auto" w:fill="auto"/>
            <w:noWrap/>
            <w:vAlign w:val="center"/>
          </w:tcPr>
          <w:p w14:paraId="1213287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9%</w:t>
            </w:r>
          </w:p>
        </w:tc>
        <w:tc>
          <w:tcPr>
            <w:tcW w:w="580" w:type="dxa"/>
            <w:tcBorders>
              <w:top w:val="nil"/>
              <w:left w:val="nil"/>
              <w:bottom w:val="single" w:sz="4" w:space="0" w:color="BFBFBF"/>
              <w:right w:val="single" w:sz="4" w:space="0" w:color="auto"/>
            </w:tcBorders>
            <w:shd w:val="clear" w:color="auto" w:fill="auto"/>
            <w:noWrap/>
            <w:vAlign w:val="center"/>
          </w:tcPr>
          <w:p w14:paraId="0404C1E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BFBFBF"/>
            </w:tcBorders>
            <w:shd w:val="clear" w:color="auto" w:fill="auto"/>
            <w:noWrap/>
            <w:vAlign w:val="center"/>
          </w:tcPr>
          <w:p w14:paraId="458FEF92" w14:textId="77777777" w:rsidR="00E548CE" w:rsidRPr="00F06A63" w:rsidRDefault="00E548CE" w:rsidP="00F06A63">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w:t>
            </w:r>
            <w:r w:rsidR="00F06A63" w:rsidRPr="00F06A63">
              <w:rPr>
                <w:rFonts w:ascii="Arial" w:hAnsi="Arial" w:cs="Arial"/>
                <w:color w:val="000000"/>
                <w:sz w:val="16"/>
                <w:szCs w:val="16"/>
                <w:lang w:val="en-AU" w:eastAsia="en-AU"/>
              </w:rPr>
              <w:t>7</w:t>
            </w:r>
            <w:r w:rsidRPr="00F06A6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3DE68B6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29%</w:t>
            </w:r>
          </w:p>
        </w:tc>
        <w:tc>
          <w:tcPr>
            <w:tcW w:w="600" w:type="dxa"/>
            <w:tcBorders>
              <w:top w:val="nil"/>
              <w:left w:val="nil"/>
              <w:bottom w:val="single" w:sz="4" w:space="0" w:color="BFBFBF"/>
              <w:right w:val="single" w:sz="4" w:space="0" w:color="BFBFBF"/>
            </w:tcBorders>
            <w:shd w:val="clear" w:color="auto" w:fill="auto"/>
            <w:noWrap/>
            <w:vAlign w:val="center"/>
          </w:tcPr>
          <w:p w14:paraId="507EE6A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24%</w:t>
            </w:r>
          </w:p>
        </w:tc>
        <w:tc>
          <w:tcPr>
            <w:tcW w:w="600" w:type="dxa"/>
            <w:tcBorders>
              <w:top w:val="nil"/>
              <w:left w:val="nil"/>
              <w:bottom w:val="single" w:sz="4" w:space="0" w:color="BFBFBF"/>
              <w:right w:val="single" w:sz="4" w:space="0" w:color="auto"/>
            </w:tcBorders>
            <w:shd w:val="clear" w:color="auto" w:fill="auto"/>
            <w:noWrap/>
            <w:vAlign w:val="center"/>
          </w:tcPr>
          <w:p w14:paraId="2F64692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23%</w:t>
            </w:r>
          </w:p>
        </w:tc>
        <w:tc>
          <w:tcPr>
            <w:tcW w:w="610" w:type="dxa"/>
            <w:tcBorders>
              <w:top w:val="nil"/>
              <w:left w:val="nil"/>
              <w:bottom w:val="single" w:sz="4" w:space="0" w:color="BFBFBF"/>
              <w:right w:val="single" w:sz="4" w:space="0" w:color="BFBFBF"/>
            </w:tcBorders>
            <w:shd w:val="clear" w:color="auto" w:fill="auto"/>
            <w:noWrap/>
            <w:vAlign w:val="center"/>
          </w:tcPr>
          <w:p w14:paraId="3A22724E" w14:textId="77777777" w:rsidR="00E548CE" w:rsidRPr="00F06A63" w:rsidRDefault="00E548CE" w:rsidP="00F06A63">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r w:rsidR="00F06A63" w:rsidRPr="00F06A63">
              <w:rPr>
                <w:rFonts w:ascii="Arial" w:hAnsi="Arial" w:cs="Arial"/>
                <w:color w:val="000000"/>
                <w:sz w:val="16"/>
                <w:szCs w:val="16"/>
                <w:lang w:val="en-AU" w:eastAsia="en-AU"/>
              </w:rPr>
              <w:t>8</w:t>
            </w:r>
            <w:r w:rsidRPr="00F06A63">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5687E73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16%</w:t>
            </w:r>
          </w:p>
        </w:tc>
        <w:tc>
          <w:tcPr>
            <w:tcW w:w="610" w:type="dxa"/>
            <w:tcBorders>
              <w:top w:val="nil"/>
              <w:left w:val="nil"/>
              <w:bottom w:val="single" w:sz="4" w:space="0" w:color="BFBFBF"/>
              <w:right w:val="single" w:sz="4" w:space="0" w:color="BFBFBF"/>
            </w:tcBorders>
            <w:shd w:val="clear" w:color="auto" w:fill="auto"/>
            <w:noWrap/>
            <w:vAlign w:val="center"/>
          </w:tcPr>
          <w:p w14:paraId="36BDEA6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10" w:type="dxa"/>
            <w:tcBorders>
              <w:top w:val="nil"/>
              <w:left w:val="nil"/>
              <w:bottom w:val="single" w:sz="4" w:space="0" w:color="BFBFBF"/>
              <w:right w:val="single" w:sz="4" w:space="0" w:color="auto"/>
            </w:tcBorders>
            <w:shd w:val="clear" w:color="auto" w:fill="auto"/>
            <w:noWrap/>
            <w:vAlign w:val="center"/>
          </w:tcPr>
          <w:p w14:paraId="2ED5EE1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45" w:type="dxa"/>
            <w:tcBorders>
              <w:top w:val="nil"/>
              <w:left w:val="nil"/>
              <w:bottom w:val="single" w:sz="4" w:space="0" w:color="BFBFBF"/>
              <w:right w:val="single" w:sz="4" w:space="0" w:color="BFBFBF"/>
            </w:tcBorders>
            <w:shd w:val="clear" w:color="auto" w:fill="auto"/>
            <w:noWrap/>
            <w:vAlign w:val="center"/>
          </w:tcPr>
          <w:p w14:paraId="601CF566" w14:textId="77777777" w:rsidR="00E548CE" w:rsidRPr="00F06A63" w:rsidRDefault="00E548CE" w:rsidP="00F06A63">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w:t>
            </w:r>
            <w:r w:rsidR="00F06A63" w:rsidRPr="00F06A63">
              <w:rPr>
                <w:rFonts w:ascii="Arial" w:hAnsi="Arial" w:cs="Arial"/>
                <w:color w:val="000000"/>
                <w:sz w:val="16"/>
                <w:szCs w:val="16"/>
                <w:lang w:val="en-AU" w:eastAsia="en-AU"/>
              </w:rPr>
              <w:t>1</w:t>
            </w:r>
            <w:r w:rsidRPr="00F06A63">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51FF379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24%</w:t>
            </w:r>
          </w:p>
        </w:tc>
        <w:tc>
          <w:tcPr>
            <w:tcW w:w="645" w:type="dxa"/>
            <w:tcBorders>
              <w:top w:val="nil"/>
              <w:left w:val="nil"/>
              <w:bottom w:val="single" w:sz="4" w:space="0" w:color="BFBFBF"/>
              <w:right w:val="single" w:sz="4" w:space="0" w:color="BFBFBF"/>
            </w:tcBorders>
            <w:shd w:val="clear" w:color="auto" w:fill="auto"/>
            <w:noWrap/>
            <w:vAlign w:val="center"/>
          </w:tcPr>
          <w:p w14:paraId="4704D7D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16%</w:t>
            </w:r>
          </w:p>
        </w:tc>
        <w:tc>
          <w:tcPr>
            <w:tcW w:w="645" w:type="dxa"/>
            <w:tcBorders>
              <w:top w:val="nil"/>
              <w:left w:val="nil"/>
              <w:bottom w:val="single" w:sz="4" w:space="0" w:color="BFBFBF"/>
              <w:right w:val="double" w:sz="6" w:space="0" w:color="auto"/>
            </w:tcBorders>
            <w:shd w:val="clear" w:color="auto" w:fill="auto"/>
            <w:noWrap/>
            <w:vAlign w:val="center"/>
          </w:tcPr>
          <w:p w14:paraId="1FD995E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16%</w:t>
            </w:r>
          </w:p>
        </w:tc>
      </w:tr>
      <w:tr w:rsidR="00E548CE" w:rsidRPr="00F06A63" w14:paraId="6447025E"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6F6F01B3"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65+</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10A1188E" w14:textId="77777777" w:rsidR="00E548CE" w:rsidRPr="00F06A63" w:rsidRDefault="00F06A63"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99</w:t>
            </w:r>
            <w:r w:rsidR="00E548CE"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0F37C20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92%</w:t>
            </w:r>
          </w:p>
        </w:tc>
        <w:tc>
          <w:tcPr>
            <w:tcW w:w="580" w:type="dxa"/>
            <w:tcBorders>
              <w:top w:val="nil"/>
              <w:left w:val="nil"/>
              <w:bottom w:val="single" w:sz="4" w:space="0" w:color="BFBFBF"/>
              <w:right w:val="single" w:sz="4" w:space="0" w:color="BFBFBF"/>
            </w:tcBorders>
            <w:shd w:val="clear" w:color="auto" w:fill="auto"/>
            <w:noWrap/>
            <w:vAlign w:val="center"/>
          </w:tcPr>
          <w:p w14:paraId="691C249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90%</w:t>
            </w:r>
          </w:p>
        </w:tc>
        <w:tc>
          <w:tcPr>
            <w:tcW w:w="580" w:type="dxa"/>
            <w:tcBorders>
              <w:top w:val="nil"/>
              <w:left w:val="nil"/>
              <w:bottom w:val="single" w:sz="4" w:space="0" w:color="BFBFBF"/>
              <w:right w:val="single" w:sz="4" w:space="0" w:color="auto"/>
            </w:tcBorders>
            <w:shd w:val="clear" w:color="auto" w:fill="auto"/>
            <w:noWrap/>
            <w:vAlign w:val="center"/>
          </w:tcPr>
          <w:p w14:paraId="77B5AE9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88%</w:t>
            </w:r>
          </w:p>
        </w:tc>
        <w:tc>
          <w:tcPr>
            <w:tcW w:w="600" w:type="dxa"/>
            <w:tcBorders>
              <w:top w:val="nil"/>
              <w:left w:val="nil"/>
              <w:bottom w:val="single" w:sz="4" w:space="0" w:color="BFBFBF"/>
              <w:right w:val="single" w:sz="4" w:space="0" w:color="BFBFBF"/>
            </w:tcBorders>
            <w:shd w:val="clear" w:color="auto" w:fill="auto"/>
            <w:noWrap/>
            <w:vAlign w:val="center"/>
          </w:tcPr>
          <w:p w14:paraId="0FF6E378" w14:textId="77777777" w:rsidR="00E548CE" w:rsidRPr="00F06A63" w:rsidRDefault="00F06A63" w:rsidP="00F06A63">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7</w:t>
            </w:r>
            <w:r w:rsidR="00E548CE" w:rsidRPr="00F06A6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D813090"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3030C01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auto"/>
            </w:tcBorders>
            <w:shd w:val="clear" w:color="auto" w:fill="auto"/>
            <w:noWrap/>
            <w:vAlign w:val="center"/>
          </w:tcPr>
          <w:p w14:paraId="5946A3B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w:t>
            </w:r>
          </w:p>
        </w:tc>
        <w:tc>
          <w:tcPr>
            <w:tcW w:w="610" w:type="dxa"/>
            <w:tcBorders>
              <w:top w:val="nil"/>
              <w:left w:val="nil"/>
              <w:bottom w:val="single" w:sz="4" w:space="0" w:color="BFBFBF"/>
              <w:right w:val="single" w:sz="4" w:space="0" w:color="BFBFBF"/>
            </w:tcBorders>
            <w:shd w:val="clear" w:color="auto" w:fill="auto"/>
            <w:noWrap/>
            <w:vAlign w:val="center"/>
          </w:tcPr>
          <w:p w14:paraId="0602E65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65%</w:t>
            </w:r>
          </w:p>
        </w:tc>
        <w:tc>
          <w:tcPr>
            <w:tcW w:w="610" w:type="dxa"/>
            <w:tcBorders>
              <w:top w:val="nil"/>
              <w:left w:val="nil"/>
              <w:bottom w:val="single" w:sz="4" w:space="0" w:color="BFBFBF"/>
              <w:right w:val="single" w:sz="4" w:space="0" w:color="BFBFBF"/>
            </w:tcBorders>
            <w:shd w:val="clear" w:color="auto" w:fill="auto"/>
            <w:noWrap/>
            <w:vAlign w:val="center"/>
          </w:tcPr>
          <w:p w14:paraId="384B690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55%</w:t>
            </w:r>
          </w:p>
        </w:tc>
        <w:tc>
          <w:tcPr>
            <w:tcW w:w="610" w:type="dxa"/>
            <w:tcBorders>
              <w:top w:val="nil"/>
              <w:left w:val="nil"/>
              <w:bottom w:val="single" w:sz="4" w:space="0" w:color="BFBFBF"/>
              <w:right w:val="single" w:sz="4" w:space="0" w:color="BFBFBF"/>
            </w:tcBorders>
            <w:shd w:val="clear" w:color="auto" w:fill="auto"/>
            <w:noWrap/>
            <w:vAlign w:val="center"/>
          </w:tcPr>
          <w:p w14:paraId="400A029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57%</w:t>
            </w:r>
          </w:p>
        </w:tc>
        <w:tc>
          <w:tcPr>
            <w:tcW w:w="610" w:type="dxa"/>
            <w:tcBorders>
              <w:top w:val="nil"/>
              <w:left w:val="nil"/>
              <w:bottom w:val="single" w:sz="4" w:space="0" w:color="BFBFBF"/>
              <w:right w:val="single" w:sz="4" w:space="0" w:color="auto"/>
            </w:tcBorders>
            <w:shd w:val="clear" w:color="auto" w:fill="auto"/>
            <w:noWrap/>
            <w:vAlign w:val="center"/>
          </w:tcPr>
          <w:p w14:paraId="5B1175A0"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57%</w:t>
            </w:r>
          </w:p>
        </w:tc>
        <w:tc>
          <w:tcPr>
            <w:tcW w:w="645" w:type="dxa"/>
            <w:tcBorders>
              <w:top w:val="nil"/>
              <w:left w:val="nil"/>
              <w:bottom w:val="single" w:sz="4" w:space="0" w:color="BFBFBF"/>
              <w:right w:val="single" w:sz="4" w:space="0" w:color="BFBFBF"/>
            </w:tcBorders>
            <w:shd w:val="clear" w:color="auto" w:fill="auto"/>
            <w:noWrap/>
            <w:vAlign w:val="center"/>
          </w:tcPr>
          <w:p w14:paraId="47DA6C1E" w14:textId="77777777" w:rsidR="00E548CE" w:rsidRPr="00F06A63" w:rsidRDefault="00E548CE" w:rsidP="00F06A63">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r w:rsidR="00F06A63" w:rsidRPr="00F06A63">
              <w:rPr>
                <w:rFonts w:ascii="Arial" w:hAnsi="Arial" w:cs="Arial"/>
                <w:color w:val="000000"/>
                <w:sz w:val="16"/>
                <w:szCs w:val="16"/>
                <w:lang w:val="en-AU" w:eastAsia="en-AU"/>
              </w:rPr>
              <w:t>6</w:t>
            </w:r>
            <w:r w:rsidRPr="00F06A63">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2172917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12%</w:t>
            </w:r>
          </w:p>
        </w:tc>
        <w:tc>
          <w:tcPr>
            <w:tcW w:w="645" w:type="dxa"/>
            <w:tcBorders>
              <w:top w:val="nil"/>
              <w:left w:val="nil"/>
              <w:bottom w:val="single" w:sz="4" w:space="0" w:color="BFBFBF"/>
              <w:right w:val="single" w:sz="4" w:space="0" w:color="BFBFBF"/>
            </w:tcBorders>
            <w:shd w:val="clear" w:color="auto" w:fill="auto"/>
            <w:noWrap/>
            <w:vAlign w:val="center"/>
          </w:tcPr>
          <w:p w14:paraId="43426E0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11%</w:t>
            </w:r>
          </w:p>
        </w:tc>
        <w:tc>
          <w:tcPr>
            <w:tcW w:w="645" w:type="dxa"/>
            <w:tcBorders>
              <w:top w:val="nil"/>
              <w:left w:val="nil"/>
              <w:bottom w:val="single" w:sz="4" w:space="0" w:color="BFBFBF"/>
              <w:right w:val="double" w:sz="6" w:space="0" w:color="auto"/>
            </w:tcBorders>
            <w:shd w:val="clear" w:color="auto" w:fill="auto"/>
            <w:noWrap/>
            <w:vAlign w:val="center"/>
          </w:tcPr>
          <w:p w14:paraId="6683AB1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10%</w:t>
            </w:r>
          </w:p>
        </w:tc>
      </w:tr>
      <w:tr w:rsidR="00E548CE" w:rsidRPr="00F06A63" w14:paraId="22C88A4F" w14:textId="77777777" w:rsidTr="00BD2674">
        <w:trPr>
          <w:trHeight w:val="225"/>
          <w:jc w:val="center"/>
        </w:trPr>
        <w:tc>
          <w:tcPr>
            <w:tcW w:w="3401" w:type="dxa"/>
            <w:gridSpan w:val="3"/>
            <w:tcBorders>
              <w:top w:val="single" w:sz="4" w:space="0" w:color="BFBFBF"/>
              <w:left w:val="double" w:sz="6" w:space="0" w:color="auto"/>
              <w:bottom w:val="single" w:sz="4" w:space="0" w:color="BFBFBF"/>
              <w:right w:val="single" w:sz="4" w:space="0" w:color="BFBFBF"/>
            </w:tcBorders>
            <w:shd w:val="clear" w:color="auto" w:fill="auto"/>
            <w:noWrap/>
            <w:vAlign w:val="center"/>
          </w:tcPr>
          <w:p w14:paraId="1332C3C4" w14:textId="77777777" w:rsidR="00E548CE" w:rsidRPr="00F06A63" w:rsidRDefault="00E548CE" w:rsidP="00E548CE">
            <w:pPr>
              <w:spacing w:before="0" w:after="0"/>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Females -</w:t>
            </w:r>
          </w:p>
        </w:tc>
        <w:tc>
          <w:tcPr>
            <w:tcW w:w="580" w:type="dxa"/>
            <w:tcBorders>
              <w:top w:val="nil"/>
              <w:left w:val="nil"/>
              <w:bottom w:val="single" w:sz="4" w:space="0" w:color="BFBFBF"/>
              <w:right w:val="single" w:sz="4" w:space="0" w:color="BFBFBF"/>
            </w:tcBorders>
            <w:shd w:val="clear" w:color="auto" w:fill="auto"/>
            <w:noWrap/>
            <w:vAlign w:val="center"/>
          </w:tcPr>
          <w:p w14:paraId="1D8CF41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580" w:type="dxa"/>
            <w:tcBorders>
              <w:top w:val="nil"/>
              <w:left w:val="nil"/>
              <w:bottom w:val="single" w:sz="4" w:space="0" w:color="BFBFBF"/>
              <w:right w:val="nil"/>
            </w:tcBorders>
            <w:shd w:val="clear" w:color="auto" w:fill="auto"/>
            <w:noWrap/>
            <w:vAlign w:val="center"/>
          </w:tcPr>
          <w:p w14:paraId="437D17E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10AFB4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0D574830"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6879080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0636671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BFBFBF"/>
            </w:tcBorders>
            <w:shd w:val="clear" w:color="auto" w:fill="auto"/>
            <w:noWrap/>
            <w:vAlign w:val="center"/>
          </w:tcPr>
          <w:p w14:paraId="701D8FB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BFBFBF"/>
            </w:tcBorders>
            <w:shd w:val="clear" w:color="auto" w:fill="auto"/>
            <w:noWrap/>
            <w:vAlign w:val="center"/>
          </w:tcPr>
          <w:p w14:paraId="391EEEF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BFBFBF"/>
            </w:tcBorders>
            <w:shd w:val="clear" w:color="auto" w:fill="auto"/>
            <w:noWrap/>
            <w:vAlign w:val="center"/>
          </w:tcPr>
          <w:p w14:paraId="72C350D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auto"/>
            </w:tcBorders>
            <w:shd w:val="clear" w:color="auto" w:fill="auto"/>
            <w:noWrap/>
            <w:vAlign w:val="center"/>
          </w:tcPr>
          <w:p w14:paraId="4A00A49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15B70B1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2A319A8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4C02A5E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double" w:sz="6" w:space="0" w:color="auto"/>
            </w:tcBorders>
            <w:shd w:val="clear" w:color="auto" w:fill="auto"/>
            <w:noWrap/>
            <w:vAlign w:val="center"/>
          </w:tcPr>
          <w:p w14:paraId="1CA28B5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r>
      <w:tr w:rsidR="00E548CE" w:rsidRPr="00F06A63" w14:paraId="3FD23B85"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026EBC4A"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15-24*</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6D3A103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678CE3B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0%</w:t>
            </w:r>
          </w:p>
        </w:tc>
        <w:tc>
          <w:tcPr>
            <w:tcW w:w="580" w:type="dxa"/>
            <w:tcBorders>
              <w:top w:val="nil"/>
              <w:left w:val="nil"/>
              <w:bottom w:val="single" w:sz="4" w:space="0" w:color="BFBFBF"/>
              <w:right w:val="single" w:sz="4" w:space="0" w:color="BFBFBF"/>
            </w:tcBorders>
            <w:shd w:val="clear" w:color="auto" w:fill="auto"/>
            <w:noWrap/>
            <w:vAlign w:val="center"/>
          </w:tcPr>
          <w:p w14:paraId="2308332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nil"/>
            </w:tcBorders>
            <w:shd w:val="clear" w:color="auto" w:fill="auto"/>
            <w:noWrap/>
            <w:vAlign w:val="center"/>
          </w:tcPr>
          <w:p w14:paraId="0C9F32F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271FDD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7A25484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0353883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auto"/>
            </w:tcBorders>
            <w:shd w:val="clear" w:color="auto" w:fill="auto"/>
            <w:noWrap/>
            <w:vAlign w:val="center"/>
          </w:tcPr>
          <w:p w14:paraId="369D828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12%</w:t>
            </w:r>
          </w:p>
        </w:tc>
        <w:tc>
          <w:tcPr>
            <w:tcW w:w="610" w:type="dxa"/>
            <w:tcBorders>
              <w:top w:val="nil"/>
              <w:left w:val="nil"/>
              <w:bottom w:val="single" w:sz="4" w:space="0" w:color="BFBFBF"/>
              <w:right w:val="single" w:sz="4" w:space="0" w:color="BFBFBF"/>
            </w:tcBorders>
            <w:shd w:val="clear" w:color="auto" w:fill="auto"/>
            <w:noWrap/>
            <w:vAlign w:val="center"/>
          </w:tcPr>
          <w:p w14:paraId="53A4E84E" w14:textId="77777777" w:rsidR="00E548CE" w:rsidRPr="00F06A63" w:rsidRDefault="00F06A63"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610" w:type="dxa"/>
            <w:tcBorders>
              <w:top w:val="nil"/>
              <w:left w:val="nil"/>
              <w:bottom w:val="single" w:sz="4" w:space="0" w:color="BFBFBF"/>
              <w:right w:val="single" w:sz="4" w:space="0" w:color="BFBFBF"/>
            </w:tcBorders>
            <w:shd w:val="clear" w:color="auto" w:fill="auto"/>
            <w:noWrap/>
            <w:vAlign w:val="center"/>
          </w:tcPr>
          <w:p w14:paraId="7870EDD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w:t>
            </w:r>
          </w:p>
        </w:tc>
        <w:tc>
          <w:tcPr>
            <w:tcW w:w="610" w:type="dxa"/>
            <w:tcBorders>
              <w:top w:val="nil"/>
              <w:left w:val="nil"/>
              <w:bottom w:val="single" w:sz="4" w:space="0" w:color="BFBFBF"/>
              <w:right w:val="single" w:sz="4" w:space="0" w:color="BFBFBF"/>
            </w:tcBorders>
            <w:shd w:val="clear" w:color="auto" w:fill="auto"/>
            <w:noWrap/>
            <w:vAlign w:val="center"/>
          </w:tcPr>
          <w:p w14:paraId="1F608A4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w:t>
            </w:r>
          </w:p>
        </w:tc>
        <w:tc>
          <w:tcPr>
            <w:tcW w:w="610" w:type="dxa"/>
            <w:tcBorders>
              <w:top w:val="nil"/>
              <w:left w:val="nil"/>
              <w:bottom w:val="single" w:sz="4" w:space="0" w:color="BFBFBF"/>
              <w:right w:val="single" w:sz="4" w:space="0" w:color="auto"/>
            </w:tcBorders>
            <w:shd w:val="clear" w:color="auto" w:fill="auto"/>
            <w:noWrap/>
            <w:vAlign w:val="center"/>
          </w:tcPr>
          <w:p w14:paraId="55A66CE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w:t>
            </w:r>
          </w:p>
        </w:tc>
        <w:tc>
          <w:tcPr>
            <w:tcW w:w="645" w:type="dxa"/>
            <w:tcBorders>
              <w:top w:val="nil"/>
              <w:left w:val="nil"/>
              <w:bottom w:val="single" w:sz="4" w:space="0" w:color="BFBFBF"/>
              <w:right w:val="single" w:sz="4" w:space="0" w:color="BFBFBF"/>
            </w:tcBorders>
            <w:shd w:val="clear" w:color="auto" w:fill="auto"/>
            <w:noWrap/>
            <w:vAlign w:val="center"/>
          </w:tcPr>
          <w:p w14:paraId="6CADF92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693CD97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w:t>
            </w:r>
          </w:p>
        </w:tc>
        <w:tc>
          <w:tcPr>
            <w:tcW w:w="645" w:type="dxa"/>
            <w:tcBorders>
              <w:top w:val="nil"/>
              <w:left w:val="nil"/>
              <w:bottom w:val="single" w:sz="4" w:space="0" w:color="BFBFBF"/>
              <w:right w:val="single" w:sz="4" w:space="0" w:color="BFBFBF"/>
            </w:tcBorders>
            <w:shd w:val="clear" w:color="auto" w:fill="auto"/>
            <w:noWrap/>
            <w:vAlign w:val="center"/>
          </w:tcPr>
          <w:p w14:paraId="5E70556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w:t>
            </w:r>
          </w:p>
        </w:tc>
        <w:tc>
          <w:tcPr>
            <w:tcW w:w="645" w:type="dxa"/>
            <w:tcBorders>
              <w:top w:val="nil"/>
              <w:left w:val="nil"/>
              <w:bottom w:val="single" w:sz="4" w:space="0" w:color="BFBFBF"/>
              <w:right w:val="double" w:sz="6" w:space="0" w:color="auto"/>
            </w:tcBorders>
            <w:shd w:val="clear" w:color="auto" w:fill="auto"/>
            <w:noWrap/>
            <w:vAlign w:val="center"/>
          </w:tcPr>
          <w:p w14:paraId="1689CEE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w:t>
            </w:r>
          </w:p>
        </w:tc>
      </w:tr>
      <w:tr w:rsidR="00E548CE" w:rsidRPr="00F06A63" w14:paraId="2699B045"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F42367A"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25-39</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2A30EC5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31E8AA5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0%</w:t>
            </w:r>
          </w:p>
        </w:tc>
        <w:tc>
          <w:tcPr>
            <w:tcW w:w="580" w:type="dxa"/>
            <w:tcBorders>
              <w:top w:val="nil"/>
              <w:left w:val="nil"/>
              <w:bottom w:val="single" w:sz="4" w:space="0" w:color="BFBFBF"/>
              <w:right w:val="single" w:sz="4" w:space="0" w:color="BFBFBF"/>
            </w:tcBorders>
            <w:shd w:val="clear" w:color="auto" w:fill="auto"/>
            <w:noWrap/>
            <w:vAlign w:val="center"/>
          </w:tcPr>
          <w:p w14:paraId="45DB9D6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580" w:type="dxa"/>
            <w:tcBorders>
              <w:top w:val="nil"/>
              <w:left w:val="nil"/>
              <w:bottom w:val="single" w:sz="4" w:space="0" w:color="BFBFBF"/>
              <w:right w:val="nil"/>
            </w:tcBorders>
            <w:shd w:val="clear" w:color="auto" w:fill="auto"/>
            <w:noWrap/>
            <w:vAlign w:val="center"/>
          </w:tcPr>
          <w:p w14:paraId="153345E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B0E5B1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13%</w:t>
            </w:r>
          </w:p>
        </w:tc>
        <w:tc>
          <w:tcPr>
            <w:tcW w:w="600" w:type="dxa"/>
            <w:tcBorders>
              <w:top w:val="nil"/>
              <w:left w:val="nil"/>
              <w:bottom w:val="single" w:sz="4" w:space="0" w:color="BFBFBF"/>
              <w:right w:val="single" w:sz="4" w:space="0" w:color="BFBFBF"/>
            </w:tcBorders>
            <w:shd w:val="clear" w:color="auto" w:fill="auto"/>
            <w:noWrap/>
            <w:vAlign w:val="center"/>
          </w:tcPr>
          <w:p w14:paraId="20C9012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35%</w:t>
            </w:r>
          </w:p>
        </w:tc>
        <w:tc>
          <w:tcPr>
            <w:tcW w:w="600" w:type="dxa"/>
            <w:tcBorders>
              <w:top w:val="nil"/>
              <w:left w:val="nil"/>
              <w:bottom w:val="single" w:sz="4" w:space="0" w:color="BFBFBF"/>
              <w:right w:val="single" w:sz="4" w:space="0" w:color="BFBFBF"/>
            </w:tcBorders>
            <w:shd w:val="clear" w:color="auto" w:fill="auto"/>
            <w:noWrap/>
            <w:vAlign w:val="center"/>
          </w:tcPr>
          <w:p w14:paraId="5A3D3A5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36%</w:t>
            </w:r>
          </w:p>
        </w:tc>
        <w:tc>
          <w:tcPr>
            <w:tcW w:w="600" w:type="dxa"/>
            <w:tcBorders>
              <w:top w:val="nil"/>
              <w:left w:val="nil"/>
              <w:bottom w:val="single" w:sz="4" w:space="0" w:color="BFBFBF"/>
              <w:right w:val="single" w:sz="4" w:space="0" w:color="auto"/>
            </w:tcBorders>
            <w:shd w:val="clear" w:color="auto" w:fill="auto"/>
            <w:noWrap/>
            <w:vAlign w:val="center"/>
          </w:tcPr>
          <w:p w14:paraId="79F4C06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43%</w:t>
            </w:r>
          </w:p>
        </w:tc>
        <w:tc>
          <w:tcPr>
            <w:tcW w:w="610" w:type="dxa"/>
            <w:tcBorders>
              <w:top w:val="nil"/>
              <w:left w:val="nil"/>
              <w:bottom w:val="single" w:sz="4" w:space="0" w:color="BFBFBF"/>
              <w:right w:val="single" w:sz="4" w:space="0" w:color="BFBFBF"/>
            </w:tcBorders>
            <w:shd w:val="clear" w:color="auto" w:fill="auto"/>
            <w:noWrap/>
            <w:vAlign w:val="center"/>
          </w:tcPr>
          <w:p w14:paraId="3D86E9B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7%</w:t>
            </w:r>
          </w:p>
        </w:tc>
        <w:tc>
          <w:tcPr>
            <w:tcW w:w="610" w:type="dxa"/>
            <w:tcBorders>
              <w:top w:val="nil"/>
              <w:left w:val="nil"/>
              <w:bottom w:val="single" w:sz="4" w:space="0" w:color="BFBFBF"/>
              <w:right w:val="single" w:sz="4" w:space="0" w:color="BFBFBF"/>
            </w:tcBorders>
            <w:shd w:val="clear" w:color="auto" w:fill="auto"/>
            <w:noWrap/>
            <w:vAlign w:val="center"/>
          </w:tcPr>
          <w:p w14:paraId="7BC1F74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18%</w:t>
            </w:r>
          </w:p>
        </w:tc>
        <w:tc>
          <w:tcPr>
            <w:tcW w:w="610" w:type="dxa"/>
            <w:tcBorders>
              <w:top w:val="nil"/>
              <w:left w:val="nil"/>
              <w:bottom w:val="single" w:sz="4" w:space="0" w:color="BFBFBF"/>
              <w:right w:val="single" w:sz="4" w:space="0" w:color="BFBFBF"/>
            </w:tcBorders>
            <w:shd w:val="clear" w:color="auto" w:fill="auto"/>
            <w:noWrap/>
            <w:vAlign w:val="center"/>
          </w:tcPr>
          <w:p w14:paraId="5B37ABF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20%</w:t>
            </w:r>
          </w:p>
        </w:tc>
        <w:tc>
          <w:tcPr>
            <w:tcW w:w="610" w:type="dxa"/>
            <w:tcBorders>
              <w:top w:val="nil"/>
              <w:left w:val="nil"/>
              <w:bottom w:val="single" w:sz="4" w:space="0" w:color="BFBFBF"/>
              <w:right w:val="single" w:sz="4" w:space="0" w:color="auto"/>
            </w:tcBorders>
            <w:shd w:val="clear" w:color="auto" w:fill="auto"/>
            <w:noWrap/>
            <w:vAlign w:val="center"/>
          </w:tcPr>
          <w:p w14:paraId="01CE036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20%</w:t>
            </w:r>
          </w:p>
        </w:tc>
        <w:tc>
          <w:tcPr>
            <w:tcW w:w="645" w:type="dxa"/>
            <w:tcBorders>
              <w:top w:val="nil"/>
              <w:left w:val="nil"/>
              <w:bottom w:val="single" w:sz="4" w:space="0" w:color="BFBFBF"/>
              <w:right w:val="single" w:sz="4" w:space="0" w:color="BFBFBF"/>
            </w:tcBorders>
            <w:shd w:val="clear" w:color="auto" w:fill="auto"/>
            <w:noWrap/>
            <w:vAlign w:val="center"/>
          </w:tcPr>
          <w:p w14:paraId="5765F90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24%</w:t>
            </w:r>
          </w:p>
        </w:tc>
        <w:tc>
          <w:tcPr>
            <w:tcW w:w="645" w:type="dxa"/>
            <w:tcBorders>
              <w:top w:val="nil"/>
              <w:left w:val="nil"/>
              <w:bottom w:val="single" w:sz="4" w:space="0" w:color="BFBFBF"/>
              <w:right w:val="single" w:sz="4" w:space="0" w:color="BFBFBF"/>
            </w:tcBorders>
            <w:shd w:val="clear" w:color="auto" w:fill="auto"/>
            <w:noWrap/>
            <w:vAlign w:val="center"/>
          </w:tcPr>
          <w:p w14:paraId="7E0FADF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33%</w:t>
            </w:r>
          </w:p>
        </w:tc>
        <w:tc>
          <w:tcPr>
            <w:tcW w:w="645" w:type="dxa"/>
            <w:tcBorders>
              <w:top w:val="nil"/>
              <w:left w:val="nil"/>
              <w:bottom w:val="single" w:sz="4" w:space="0" w:color="BFBFBF"/>
              <w:right w:val="single" w:sz="4" w:space="0" w:color="BFBFBF"/>
            </w:tcBorders>
            <w:shd w:val="clear" w:color="auto" w:fill="auto"/>
            <w:noWrap/>
            <w:vAlign w:val="center"/>
          </w:tcPr>
          <w:p w14:paraId="3A9158C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37%</w:t>
            </w:r>
          </w:p>
        </w:tc>
        <w:tc>
          <w:tcPr>
            <w:tcW w:w="645" w:type="dxa"/>
            <w:tcBorders>
              <w:top w:val="nil"/>
              <w:left w:val="nil"/>
              <w:bottom w:val="single" w:sz="4" w:space="0" w:color="BFBFBF"/>
              <w:right w:val="double" w:sz="6" w:space="0" w:color="auto"/>
            </w:tcBorders>
            <w:shd w:val="clear" w:color="auto" w:fill="auto"/>
            <w:noWrap/>
            <w:vAlign w:val="center"/>
          </w:tcPr>
          <w:p w14:paraId="7506F2B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44%</w:t>
            </w:r>
          </w:p>
        </w:tc>
      </w:tr>
      <w:tr w:rsidR="00E548CE" w:rsidRPr="00F06A63" w14:paraId="1D9945D6"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10C08A0"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40-54</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75B3DFD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109FA69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w:t>
            </w:r>
          </w:p>
        </w:tc>
        <w:tc>
          <w:tcPr>
            <w:tcW w:w="580" w:type="dxa"/>
            <w:tcBorders>
              <w:top w:val="nil"/>
              <w:left w:val="nil"/>
              <w:bottom w:val="single" w:sz="4" w:space="0" w:color="BFBFBF"/>
              <w:right w:val="single" w:sz="4" w:space="0" w:color="BFBFBF"/>
            </w:tcBorders>
            <w:shd w:val="clear" w:color="auto" w:fill="auto"/>
            <w:noWrap/>
            <w:vAlign w:val="center"/>
          </w:tcPr>
          <w:p w14:paraId="57C75E40"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w:t>
            </w:r>
          </w:p>
        </w:tc>
        <w:tc>
          <w:tcPr>
            <w:tcW w:w="580" w:type="dxa"/>
            <w:tcBorders>
              <w:top w:val="nil"/>
              <w:left w:val="nil"/>
              <w:bottom w:val="single" w:sz="4" w:space="0" w:color="BFBFBF"/>
              <w:right w:val="nil"/>
            </w:tcBorders>
            <w:shd w:val="clear" w:color="auto" w:fill="auto"/>
            <w:noWrap/>
            <w:vAlign w:val="center"/>
          </w:tcPr>
          <w:p w14:paraId="1677A43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6E3286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45%</w:t>
            </w:r>
          </w:p>
        </w:tc>
        <w:tc>
          <w:tcPr>
            <w:tcW w:w="600" w:type="dxa"/>
            <w:tcBorders>
              <w:top w:val="nil"/>
              <w:left w:val="nil"/>
              <w:bottom w:val="single" w:sz="4" w:space="0" w:color="BFBFBF"/>
              <w:right w:val="single" w:sz="4" w:space="0" w:color="BFBFBF"/>
            </w:tcBorders>
            <w:shd w:val="clear" w:color="auto" w:fill="auto"/>
            <w:noWrap/>
            <w:vAlign w:val="center"/>
          </w:tcPr>
          <w:p w14:paraId="53918BC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42%</w:t>
            </w:r>
          </w:p>
        </w:tc>
        <w:tc>
          <w:tcPr>
            <w:tcW w:w="600" w:type="dxa"/>
            <w:tcBorders>
              <w:top w:val="nil"/>
              <w:left w:val="nil"/>
              <w:bottom w:val="single" w:sz="4" w:space="0" w:color="BFBFBF"/>
              <w:right w:val="single" w:sz="4" w:space="0" w:color="BFBFBF"/>
            </w:tcBorders>
            <w:shd w:val="clear" w:color="auto" w:fill="auto"/>
            <w:noWrap/>
            <w:vAlign w:val="center"/>
          </w:tcPr>
          <w:p w14:paraId="11ACFA8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35%</w:t>
            </w:r>
          </w:p>
        </w:tc>
        <w:tc>
          <w:tcPr>
            <w:tcW w:w="600" w:type="dxa"/>
            <w:tcBorders>
              <w:top w:val="nil"/>
              <w:left w:val="nil"/>
              <w:bottom w:val="single" w:sz="4" w:space="0" w:color="BFBFBF"/>
              <w:right w:val="single" w:sz="4" w:space="0" w:color="auto"/>
            </w:tcBorders>
            <w:shd w:val="clear" w:color="auto" w:fill="auto"/>
            <w:noWrap/>
            <w:vAlign w:val="center"/>
          </w:tcPr>
          <w:p w14:paraId="3414230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32%</w:t>
            </w:r>
          </w:p>
        </w:tc>
        <w:tc>
          <w:tcPr>
            <w:tcW w:w="610" w:type="dxa"/>
            <w:tcBorders>
              <w:top w:val="nil"/>
              <w:left w:val="nil"/>
              <w:bottom w:val="single" w:sz="4" w:space="0" w:color="BFBFBF"/>
              <w:right w:val="single" w:sz="4" w:space="0" w:color="BFBFBF"/>
            </w:tcBorders>
            <w:shd w:val="clear" w:color="auto" w:fill="auto"/>
            <w:noWrap/>
            <w:vAlign w:val="center"/>
          </w:tcPr>
          <w:p w14:paraId="039175EE" w14:textId="77777777" w:rsidR="00E548CE" w:rsidRPr="00F06A63" w:rsidRDefault="00E548CE" w:rsidP="00F06A63">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w:t>
            </w:r>
            <w:r w:rsidR="00F06A63" w:rsidRPr="00F06A63">
              <w:rPr>
                <w:rFonts w:ascii="Arial" w:hAnsi="Arial" w:cs="Arial"/>
                <w:color w:val="000000"/>
                <w:sz w:val="16"/>
                <w:szCs w:val="16"/>
                <w:lang w:val="en-AU" w:eastAsia="en-AU"/>
              </w:rPr>
              <w:t>4</w:t>
            </w:r>
            <w:r w:rsidRPr="00F06A63">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7E65D48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22%</w:t>
            </w:r>
          </w:p>
        </w:tc>
        <w:tc>
          <w:tcPr>
            <w:tcW w:w="610" w:type="dxa"/>
            <w:tcBorders>
              <w:top w:val="nil"/>
              <w:left w:val="nil"/>
              <w:bottom w:val="single" w:sz="4" w:space="0" w:color="BFBFBF"/>
              <w:right w:val="single" w:sz="4" w:space="0" w:color="BFBFBF"/>
            </w:tcBorders>
            <w:shd w:val="clear" w:color="auto" w:fill="auto"/>
            <w:noWrap/>
            <w:vAlign w:val="center"/>
          </w:tcPr>
          <w:p w14:paraId="2396E0D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19%</w:t>
            </w:r>
          </w:p>
        </w:tc>
        <w:tc>
          <w:tcPr>
            <w:tcW w:w="610" w:type="dxa"/>
            <w:tcBorders>
              <w:top w:val="nil"/>
              <w:left w:val="nil"/>
              <w:bottom w:val="single" w:sz="4" w:space="0" w:color="BFBFBF"/>
              <w:right w:val="single" w:sz="4" w:space="0" w:color="auto"/>
            </w:tcBorders>
            <w:shd w:val="clear" w:color="auto" w:fill="auto"/>
            <w:noWrap/>
            <w:vAlign w:val="center"/>
          </w:tcPr>
          <w:p w14:paraId="6E3C489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45" w:type="dxa"/>
            <w:tcBorders>
              <w:top w:val="nil"/>
              <w:left w:val="nil"/>
              <w:bottom w:val="single" w:sz="4" w:space="0" w:color="BFBFBF"/>
              <w:right w:val="single" w:sz="4" w:space="0" w:color="BFBFBF"/>
            </w:tcBorders>
            <w:shd w:val="clear" w:color="auto" w:fill="auto"/>
            <w:noWrap/>
            <w:vAlign w:val="center"/>
          </w:tcPr>
          <w:p w14:paraId="19B969F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41%</w:t>
            </w:r>
          </w:p>
        </w:tc>
        <w:tc>
          <w:tcPr>
            <w:tcW w:w="645" w:type="dxa"/>
            <w:tcBorders>
              <w:top w:val="nil"/>
              <w:left w:val="nil"/>
              <w:bottom w:val="single" w:sz="4" w:space="0" w:color="BFBFBF"/>
              <w:right w:val="single" w:sz="4" w:space="0" w:color="BFBFBF"/>
            </w:tcBorders>
            <w:shd w:val="clear" w:color="auto" w:fill="auto"/>
            <w:noWrap/>
            <w:vAlign w:val="center"/>
          </w:tcPr>
          <w:p w14:paraId="79235A6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40%</w:t>
            </w:r>
          </w:p>
        </w:tc>
        <w:tc>
          <w:tcPr>
            <w:tcW w:w="645" w:type="dxa"/>
            <w:tcBorders>
              <w:top w:val="nil"/>
              <w:left w:val="nil"/>
              <w:bottom w:val="single" w:sz="4" w:space="0" w:color="BFBFBF"/>
              <w:right w:val="single" w:sz="4" w:space="0" w:color="BFBFBF"/>
            </w:tcBorders>
            <w:shd w:val="clear" w:color="auto" w:fill="auto"/>
            <w:noWrap/>
            <w:vAlign w:val="center"/>
          </w:tcPr>
          <w:p w14:paraId="5C4F552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41%</w:t>
            </w:r>
          </w:p>
        </w:tc>
        <w:tc>
          <w:tcPr>
            <w:tcW w:w="645" w:type="dxa"/>
            <w:tcBorders>
              <w:top w:val="nil"/>
              <w:left w:val="nil"/>
              <w:bottom w:val="single" w:sz="4" w:space="0" w:color="BFBFBF"/>
              <w:right w:val="double" w:sz="6" w:space="0" w:color="auto"/>
            </w:tcBorders>
            <w:shd w:val="clear" w:color="auto" w:fill="auto"/>
            <w:noWrap/>
            <w:vAlign w:val="center"/>
          </w:tcPr>
          <w:p w14:paraId="6A82238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38%</w:t>
            </w:r>
          </w:p>
        </w:tc>
      </w:tr>
      <w:tr w:rsidR="00E548CE" w:rsidRPr="00F06A63" w14:paraId="4FB34AE5"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1C18F624"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55-64</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04A77CE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w:t>
            </w:r>
          </w:p>
        </w:tc>
        <w:tc>
          <w:tcPr>
            <w:tcW w:w="580" w:type="dxa"/>
            <w:tcBorders>
              <w:top w:val="nil"/>
              <w:left w:val="nil"/>
              <w:bottom w:val="single" w:sz="4" w:space="0" w:color="BFBFBF"/>
              <w:right w:val="single" w:sz="4" w:space="0" w:color="BFBFBF"/>
            </w:tcBorders>
            <w:shd w:val="clear" w:color="auto" w:fill="auto"/>
            <w:noWrap/>
            <w:vAlign w:val="center"/>
          </w:tcPr>
          <w:p w14:paraId="28704C4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16%</w:t>
            </w:r>
          </w:p>
        </w:tc>
        <w:tc>
          <w:tcPr>
            <w:tcW w:w="580" w:type="dxa"/>
            <w:tcBorders>
              <w:top w:val="nil"/>
              <w:left w:val="nil"/>
              <w:bottom w:val="single" w:sz="4" w:space="0" w:color="BFBFBF"/>
              <w:right w:val="single" w:sz="4" w:space="0" w:color="BFBFBF"/>
            </w:tcBorders>
            <w:shd w:val="clear" w:color="auto" w:fill="auto"/>
            <w:noWrap/>
            <w:vAlign w:val="center"/>
          </w:tcPr>
          <w:p w14:paraId="772AA11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14%</w:t>
            </w:r>
          </w:p>
        </w:tc>
        <w:tc>
          <w:tcPr>
            <w:tcW w:w="580" w:type="dxa"/>
            <w:tcBorders>
              <w:top w:val="nil"/>
              <w:left w:val="nil"/>
              <w:bottom w:val="single" w:sz="4" w:space="0" w:color="BFBFBF"/>
              <w:right w:val="nil"/>
            </w:tcBorders>
            <w:shd w:val="clear" w:color="auto" w:fill="auto"/>
            <w:noWrap/>
            <w:vAlign w:val="center"/>
          </w:tcPr>
          <w:p w14:paraId="39721D9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9E6BD1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37%</w:t>
            </w:r>
          </w:p>
        </w:tc>
        <w:tc>
          <w:tcPr>
            <w:tcW w:w="600" w:type="dxa"/>
            <w:tcBorders>
              <w:top w:val="nil"/>
              <w:left w:val="nil"/>
              <w:bottom w:val="single" w:sz="4" w:space="0" w:color="BFBFBF"/>
              <w:right w:val="single" w:sz="4" w:space="0" w:color="BFBFBF"/>
            </w:tcBorders>
            <w:shd w:val="clear" w:color="auto" w:fill="auto"/>
            <w:noWrap/>
            <w:vAlign w:val="center"/>
          </w:tcPr>
          <w:p w14:paraId="53F0156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14%</w:t>
            </w:r>
          </w:p>
        </w:tc>
        <w:tc>
          <w:tcPr>
            <w:tcW w:w="600" w:type="dxa"/>
            <w:tcBorders>
              <w:top w:val="nil"/>
              <w:left w:val="nil"/>
              <w:bottom w:val="single" w:sz="4" w:space="0" w:color="BFBFBF"/>
              <w:right w:val="single" w:sz="4" w:space="0" w:color="BFBFBF"/>
            </w:tcBorders>
            <w:shd w:val="clear" w:color="auto" w:fill="auto"/>
            <w:noWrap/>
            <w:vAlign w:val="center"/>
          </w:tcPr>
          <w:p w14:paraId="3C71332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00" w:type="dxa"/>
            <w:tcBorders>
              <w:top w:val="nil"/>
              <w:left w:val="nil"/>
              <w:bottom w:val="single" w:sz="4" w:space="0" w:color="BFBFBF"/>
              <w:right w:val="single" w:sz="4" w:space="0" w:color="auto"/>
            </w:tcBorders>
            <w:shd w:val="clear" w:color="auto" w:fill="auto"/>
            <w:noWrap/>
            <w:vAlign w:val="center"/>
          </w:tcPr>
          <w:p w14:paraId="5DC373B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12%</w:t>
            </w:r>
          </w:p>
        </w:tc>
        <w:tc>
          <w:tcPr>
            <w:tcW w:w="610" w:type="dxa"/>
            <w:tcBorders>
              <w:top w:val="nil"/>
              <w:left w:val="nil"/>
              <w:bottom w:val="single" w:sz="4" w:space="0" w:color="BFBFBF"/>
              <w:right w:val="single" w:sz="4" w:space="0" w:color="BFBFBF"/>
            </w:tcBorders>
            <w:shd w:val="clear" w:color="auto" w:fill="auto"/>
            <w:noWrap/>
            <w:vAlign w:val="center"/>
          </w:tcPr>
          <w:p w14:paraId="2E3B47E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22%</w:t>
            </w:r>
          </w:p>
        </w:tc>
        <w:tc>
          <w:tcPr>
            <w:tcW w:w="610" w:type="dxa"/>
            <w:tcBorders>
              <w:top w:val="nil"/>
              <w:left w:val="nil"/>
              <w:bottom w:val="single" w:sz="4" w:space="0" w:color="BFBFBF"/>
              <w:right w:val="single" w:sz="4" w:space="0" w:color="BFBFBF"/>
            </w:tcBorders>
            <w:shd w:val="clear" w:color="auto" w:fill="auto"/>
            <w:noWrap/>
            <w:vAlign w:val="center"/>
          </w:tcPr>
          <w:p w14:paraId="3342AF5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10" w:type="dxa"/>
            <w:tcBorders>
              <w:top w:val="nil"/>
              <w:left w:val="nil"/>
              <w:bottom w:val="single" w:sz="4" w:space="0" w:color="BFBFBF"/>
              <w:right w:val="single" w:sz="4" w:space="0" w:color="BFBFBF"/>
            </w:tcBorders>
            <w:shd w:val="clear" w:color="auto" w:fill="auto"/>
            <w:noWrap/>
            <w:vAlign w:val="center"/>
          </w:tcPr>
          <w:p w14:paraId="204D02C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10" w:type="dxa"/>
            <w:tcBorders>
              <w:top w:val="nil"/>
              <w:left w:val="nil"/>
              <w:bottom w:val="single" w:sz="4" w:space="0" w:color="BFBFBF"/>
              <w:right w:val="single" w:sz="4" w:space="0" w:color="auto"/>
            </w:tcBorders>
            <w:shd w:val="clear" w:color="auto" w:fill="auto"/>
            <w:noWrap/>
            <w:vAlign w:val="center"/>
          </w:tcPr>
          <w:p w14:paraId="456F8CC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16%</w:t>
            </w:r>
          </w:p>
        </w:tc>
        <w:tc>
          <w:tcPr>
            <w:tcW w:w="645" w:type="dxa"/>
            <w:tcBorders>
              <w:top w:val="nil"/>
              <w:left w:val="nil"/>
              <w:bottom w:val="single" w:sz="4" w:space="0" w:color="BFBFBF"/>
              <w:right w:val="single" w:sz="4" w:space="0" w:color="BFBFBF"/>
            </w:tcBorders>
            <w:shd w:val="clear" w:color="auto" w:fill="auto"/>
            <w:noWrap/>
            <w:vAlign w:val="center"/>
          </w:tcPr>
          <w:p w14:paraId="63780F3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27%</w:t>
            </w:r>
          </w:p>
        </w:tc>
        <w:tc>
          <w:tcPr>
            <w:tcW w:w="645" w:type="dxa"/>
            <w:tcBorders>
              <w:top w:val="nil"/>
              <w:left w:val="nil"/>
              <w:bottom w:val="single" w:sz="4" w:space="0" w:color="BFBFBF"/>
              <w:right w:val="single" w:sz="4" w:space="0" w:color="BFBFBF"/>
            </w:tcBorders>
            <w:shd w:val="clear" w:color="auto" w:fill="auto"/>
            <w:noWrap/>
            <w:vAlign w:val="center"/>
          </w:tcPr>
          <w:p w14:paraId="0FEBE2C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16%</w:t>
            </w:r>
          </w:p>
        </w:tc>
        <w:tc>
          <w:tcPr>
            <w:tcW w:w="645" w:type="dxa"/>
            <w:tcBorders>
              <w:top w:val="nil"/>
              <w:left w:val="nil"/>
              <w:bottom w:val="single" w:sz="4" w:space="0" w:color="BFBFBF"/>
              <w:right w:val="single" w:sz="4" w:space="0" w:color="BFBFBF"/>
            </w:tcBorders>
            <w:shd w:val="clear" w:color="auto" w:fill="auto"/>
            <w:noWrap/>
            <w:vAlign w:val="center"/>
          </w:tcPr>
          <w:p w14:paraId="6766EE0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12%</w:t>
            </w:r>
          </w:p>
        </w:tc>
        <w:tc>
          <w:tcPr>
            <w:tcW w:w="645" w:type="dxa"/>
            <w:tcBorders>
              <w:top w:val="nil"/>
              <w:left w:val="nil"/>
              <w:bottom w:val="single" w:sz="4" w:space="0" w:color="BFBFBF"/>
              <w:right w:val="double" w:sz="6" w:space="0" w:color="auto"/>
            </w:tcBorders>
            <w:shd w:val="clear" w:color="auto" w:fill="auto"/>
            <w:noWrap/>
            <w:vAlign w:val="center"/>
          </w:tcPr>
          <w:p w14:paraId="72C6CCF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8%</w:t>
            </w:r>
          </w:p>
        </w:tc>
      </w:tr>
      <w:tr w:rsidR="00E548CE" w:rsidRPr="00F06A63" w14:paraId="2C685485"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C4D2190"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65+</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260D5A2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97%</w:t>
            </w:r>
          </w:p>
        </w:tc>
        <w:tc>
          <w:tcPr>
            <w:tcW w:w="580" w:type="dxa"/>
            <w:tcBorders>
              <w:top w:val="nil"/>
              <w:left w:val="nil"/>
              <w:bottom w:val="single" w:sz="4" w:space="0" w:color="BFBFBF"/>
              <w:right w:val="single" w:sz="4" w:space="0" w:color="BFBFBF"/>
            </w:tcBorders>
            <w:shd w:val="clear" w:color="auto" w:fill="auto"/>
            <w:noWrap/>
            <w:vAlign w:val="center"/>
          </w:tcPr>
          <w:p w14:paraId="6948063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82%</w:t>
            </w:r>
          </w:p>
        </w:tc>
        <w:tc>
          <w:tcPr>
            <w:tcW w:w="580" w:type="dxa"/>
            <w:tcBorders>
              <w:top w:val="nil"/>
              <w:left w:val="nil"/>
              <w:bottom w:val="single" w:sz="4" w:space="0" w:color="BFBFBF"/>
              <w:right w:val="single" w:sz="4" w:space="0" w:color="BFBFBF"/>
            </w:tcBorders>
            <w:shd w:val="clear" w:color="auto" w:fill="auto"/>
            <w:noWrap/>
            <w:vAlign w:val="center"/>
          </w:tcPr>
          <w:p w14:paraId="0B22945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83%</w:t>
            </w:r>
          </w:p>
        </w:tc>
        <w:tc>
          <w:tcPr>
            <w:tcW w:w="580" w:type="dxa"/>
            <w:tcBorders>
              <w:top w:val="nil"/>
              <w:left w:val="nil"/>
              <w:bottom w:val="single" w:sz="4" w:space="0" w:color="BFBFBF"/>
              <w:right w:val="nil"/>
            </w:tcBorders>
            <w:shd w:val="clear" w:color="auto" w:fill="auto"/>
            <w:noWrap/>
            <w:vAlign w:val="center"/>
          </w:tcPr>
          <w:p w14:paraId="48A0AD5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80%</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72681C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7B4D785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660ECBF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60B4AB3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610" w:type="dxa"/>
            <w:tcBorders>
              <w:top w:val="nil"/>
              <w:left w:val="nil"/>
              <w:bottom w:val="single" w:sz="4" w:space="0" w:color="BFBFBF"/>
              <w:right w:val="single" w:sz="4" w:space="0" w:color="BFBFBF"/>
            </w:tcBorders>
            <w:shd w:val="clear" w:color="auto" w:fill="auto"/>
            <w:noWrap/>
            <w:vAlign w:val="center"/>
          </w:tcPr>
          <w:p w14:paraId="0E190B9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46%</w:t>
            </w:r>
          </w:p>
        </w:tc>
        <w:tc>
          <w:tcPr>
            <w:tcW w:w="610" w:type="dxa"/>
            <w:tcBorders>
              <w:top w:val="nil"/>
              <w:left w:val="nil"/>
              <w:bottom w:val="single" w:sz="4" w:space="0" w:color="BFBFBF"/>
              <w:right w:val="single" w:sz="4" w:space="0" w:color="BFBFBF"/>
            </w:tcBorders>
            <w:shd w:val="clear" w:color="auto" w:fill="auto"/>
            <w:noWrap/>
            <w:vAlign w:val="center"/>
          </w:tcPr>
          <w:p w14:paraId="71DE529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43%</w:t>
            </w:r>
          </w:p>
        </w:tc>
        <w:tc>
          <w:tcPr>
            <w:tcW w:w="610" w:type="dxa"/>
            <w:tcBorders>
              <w:top w:val="nil"/>
              <w:left w:val="nil"/>
              <w:bottom w:val="single" w:sz="4" w:space="0" w:color="BFBFBF"/>
              <w:right w:val="single" w:sz="4" w:space="0" w:color="BFBFBF"/>
            </w:tcBorders>
            <w:shd w:val="clear" w:color="auto" w:fill="auto"/>
            <w:noWrap/>
            <w:vAlign w:val="center"/>
          </w:tcPr>
          <w:p w14:paraId="7912F6D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42%</w:t>
            </w:r>
          </w:p>
        </w:tc>
        <w:tc>
          <w:tcPr>
            <w:tcW w:w="610" w:type="dxa"/>
            <w:tcBorders>
              <w:top w:val="nil"/>
              <w:left w:val="nil"/>
              <w:bottom w:val="single" w:sz="4" w:space="0" w:color="BFBFBF"/>
              <w:right w:val="single" w:sz="4" w:space="0" w:color="auto"/>
            </w:tcBorders>
            <w:shd w:val="clear" w:color="auto" w:fill="auto"/>
            <w:noWrap/>
            <w:vAlign w:val="center"/>
          </w:tcPr>
          <w:p w14:paraId="679498B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43%</w:t>
            </w:r>
          </w:p>
        </w:tc>
        <w:tc>
          <w:tcPr>
            <w:tcW w:w="645" w:type="dxa"/>
            <w:tcBorders>
              <w:top w:val="nil"/>
              <w:left w:val="nil"/>
              <w:bottom w:val="single" w:sz="4" w:space="0" w:color="BFBFBF"/>
              <w:right w:val="single" w:sz="4" w:space="0" w:color="BFBFBF"/>
            </w:tcBorders>
            <w:shd w:val="clear" w:color="auto" w:fill="auto"/>
            <w:noWrap/>
            <w:vAlign w:val="center"/>
          </w:tcPr>
          <w:p w14:paraId="4AB3224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8%</w:t>
            </w:r>
          </w:p>
        </w:tc>
        <w:tc>
          <w:tcPr>
            <w:tcW w:w="645" w:type="dxa"/>
            <w:tcBorders>
              <w:top w:val="nil"/>
              <w:left w:val="nil"/>
              <w:bottom w:val="single" w:sz="4" w:space="0" w:color="BFBFBF"/>
              <w:right w:val="single" w:sz="4" w:space="0" w:color="BFBFBF"/>
            </w:tcBorders>
            <w:shd w:val="clear" w:color="auto" w:fill="auto"/>
            <w:noWrap/>
            <w:vAlign w:val="center"/>
          </w:tcPr>
          <w:p w14:paraId="5538004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7%</w:t>
            </w:r>
          </w:p>
        </w:tc>
        <w:tc>
          <w:tcPr>
            <w:tcW w:w="645" w:type="dxa"/>
            <w:tcBorders>
              <w:top w:val="nil"/>
              <w:left w:val="nil"/>
              <w:bottom w:val="single" w:sz="4" w:space="0" w:color="BFBFBF"/>
              <w:right w:val="single" w:sz="4" w:space="0" w:color="BFBFBF"/>
            </w:tcBorders>
            <w:shd w:val="clear" w:color="auto" w:fill="auto"/>
            <w:noWrap/>
            <w:vAlign w:val="center"/>
          </w:tcPr>
          <w:p w14:paraId="606F538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w:t>
            </w:r>
          </w:p>
        </w:tc>
        <w:tc>
          <w:tcPr>
            <w:tcW w:w="645" w:type="dxa"/>
            <w:tcBorders>
              <w:top w:val="nil"/>
              <w:left w:val="nil"/>
              <w:bottom w:val="single" w:sz="4" w:space="0" w:color="BFBFBF"/>
              <w:right w:val="double" w:sz="6" w:space="0" w:color="auto"/>
            </w:tcBorders>
            <w:shd w:val="clear" w:color="auto" w:fill="auto"/>
            <w:noWrap/>
            <w:vAlign w:val="center"/>
          </w:tcPr>
          <w:p w14:paraId="29E40A3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6%</w:t>
            </w:r>
          </w:p>
        </w:tc>
      </w:tr>
      <w:tr w:rsidR="00E548CE" w:rsidRPr="00F06A63" w14:paraId="28239A48"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397F2DCF" w14:textId="77777777" w:rsidR="00E548CE" w:rsidRPr="00F06A63" w:rsidRDefault="00E548CE" w:rsidP="00E548CE">
            <w:pPr>
              <w:spacing w:before="0" w:after="0"/>
              <w:rPr>
                <w:rFonts w:ascii="Arial" w:hAnsi="Arial" w:cs="Arial"/>
                <w:b/>
                <w:bCs/>
                <w:color w:val="000000"/>
                <w:sz w:val="16"/>
                <w:szCs w:val="16"/>
                <w:lang w:val="en-AU" w:eastAsia="en-AU"/>
              </w:rPr>
            </w:pPr>
            <w:r w:rsidRPr="00F06A63">
              <w:rPr>
                <w:rFonts w:ascii="Arial" w:hAnsi="Arial" w:cs="Arial"/>
                <w:b/>
                <w:bCs/>
                <w:color w:val="000000"/>
                <w:sz w:val="16"/>
                <w:szCs w:val="16"/>
                <w:lang w:val="en-AU" w:eastAsia="en-AU"/>
              </w:rPr>
              <w:t>Total -</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5F0D409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580" w:type="dxa"/>
            <w:tcBorders>
              <w:top w:val="nil"/>
              <w:left w:val="nil"/>
              <w:bottom w:val="single" w:sz="4" w:space="0" w:color="BFBFBF"/>
              <w:right w:val="single" w:sz="4" w:space="0" w:color="BFBFBF"/>
            </w:tcBorders>
            <w:shd w:val="clear" w:color="auto" w:fill="auto"/>
            <w:noWrap/>
            <w:vAlign w:val="center"/>
          </w:tcPr>
          <w:p w14:paraId="1A735A90"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580" w:type="dxa"/>
            <w:tcBorders>
              <w:top w:val="nil"/>
              <w:left w:val="nil"/>
              <w:bottom w:val="single" w:sz="4" w:space="0" w:color="BFBFBF"/>
              <w:right w:val="single" w:sz="4" w:space="0" w:color="BFBFBF"/>
            </w:tcBorders>
            <w:shd w:val="clear" w:color="auto" w:fill="auto"/>
            <w:noWrap/>
            <w:vAlign w:val="center"/>
          </w:tcPr>
          <w:p w14:paraId="5666164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580" w:type="dxa"/>
            <w:tcBorders>
              <w:top w:val="nil"/>
              <w:left w:val="nil"/>
              <w:bottom w:val="single" w:sz="4" w:space="0" w:color="BFBFBF"/>
              <w:right w:val="nil"/>
            </w:tcBorders>
            <w:shd w:val="clear" w:color="auto" w:fill="auto"/>
            <w:noWrap/>
            <w:vAlign w:val="center"/>
          </w:tcPr>
          <w:p w14:paraId="2570DAE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58AFCE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7015F99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161532D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464BDD8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BFBFBF"/>
            </w:tcBorders>
            <w:shd w:val="clear" w:color="auto" w:fill="auto"/>
            <w:noWrap/>
            <w:vAlign w:val="center"/>
          </w:tcPr>
          <w:p w14:paraId="677EA78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BFBFBF"/>
            </w:tcBorders>
            <w:shd w:val="clear" w:color="auto" w:fill="auto"/>
            <w:noWrap/>
            <w:vAlign w:val="center"/>
          </w:tcPr>
          <w:p w14:paraId="00EE19A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BFBFBF"/>
            </w:tcBorders>
            <w:shd w:val="clear" w:color="auto" w:fill="auto"/>
            <w:noWrap/>
            <w:vAlign w:val="center"/>
          </w:tcPr>
          <w:p w14:paraId="495AB7D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10" w:type="dxa"/>
            <w:tcBorders>
              <w:top w:val="nil"/>
              <w:left w:val="nil"/>
              <w:bottom w:val="single" w:sz="4" w:space="0" w:color="BFBFBF"/>
              <w:right w:val="single" w:sz="4" w:space="0" w:color="auto"/>
            </w:tcBorders>
            <w:shd w:val="clear" w:color="auto" w:fill="auto"/>
            <w:noWrap/>
            <w:vAlign w:val="center"/>
          </w:tcPr>
          <w:p w14:paraId="384B985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471FE96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2E498C7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single" w:sz="4" w:space="0" w:color="BFBFBF"/>
            </w:tcBorders>
            <w:shd w:val="clear" w:color="auto" w:fill="auto"/>
            <w:noWrap/>
            <w:vAlign w:val="center"/>
          </w:tcPr>
          <w:p w14:paraId="569EF46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c>
          <w:tcPr>
            <w:tcW w:w="645" w:type="dxa"/>
            <w:tcBorders>
              <w:top w:val="nil"/>
              <w:left w:val="nil"/>
              <w:bottom w:val="single" w:sz="4" w:space="0" w:color="BFBFBF"/>
              <w:right w:val="double" w:sz="6" w:space="0" w:color="auto"/>
            </w:tcBorders>
            <w:shd w:val="clear" w:color="auto" w:fill="auto"/>
            <w:noWrap/>
            <w:vAlign w:val="center"/>
          </w:tcPr>
          <w:p w14:paraId="2B138D6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 </w:t>
            </w:r>
          </w:p>
        </w:tc>
      </w:tr>
      <w:tr w:rsidR="00E548CE" w:rsidRPr="00F06A63" w14:paraId="5BC3F040"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8E2800A"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15-24*</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2456EF3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3623633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06A1760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nil"/>
            </w:tcBorders>
            <w:shd w:val="clear" w:color="auto" w:fill="auto"/>
            <w:noWrap/>
            <w:vAlign w:val="center"/>
          </w:tcPr>
          <w:p w14:paraId="7B3A47A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5DBD2B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5D2EC86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66CB4480"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auto"/>
            </w:tcBorders>
            <w:shd w:val="clear" w:color="auto" w:fill="auto"/>
            <w:noWrap/>
            <w:vAlign w:val="center"/>
          </w:tcPr>
          <w:p w14:paraId="1F0FD2F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9%</w:t>
            </w:r>
          </w:p>
        </w:tc>
        <w:tc>
          <w:tcPr>
            <w:tcW w:w="610" w:type="dxa"/>
            <w:tcBorders>
              <w:top w:val="nil"/>
              <w:left w:val="nil"/>
              <w:bottom w:val="single" w:sz="4" w:space="0" w:color="BFBFBF"/>
              <w:right w:val="single" w:sz="4" w:space="0" w:color="BFBFBF"/>
            </w:tcBorders>
            <w:shd w:val="clear" w:color="auto" w:fill="auto"/>
            <w:noWrap/>
            <w:vAlign w:val="center"/>
          </w:tcPr>
          <w:p w14:paraId="3D1D403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2635932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w:t>
            </w:r>
          </w:p>
        </w:tc>
        <w:tc>
          <w:tcPr>
            <w:tcW w:w="610" w:type="dxa"/>
            <w:tcBorders>
              <w:top w:val="nil"/>
              <w:left w:val="nil"/>
              <w:bottom w:val="single" w:sz="4" w:space="0" w:color="BFBFBF"/>
              <w:right w:val="single" w:sz="4" w:space="0" w:color="BFBFBF"/>
            </w:tcBorders>
            <w:shd w:val="clear" w:color="auto" w:fill="auto"/>
            <w:noWrap/>
            <w:vAlign w:val="center"/>
          </w:tcPr>
          <w:p w14:paraId="705B7E8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w:t>
            </w:r>
          </w:p>
        </w:tc>
        <w:tc>
          <w:tcPr>
            <w:tcW w:w="610" w:type="dxa"/>
            <w:tcBorders>
              <w:top w:val="nil"/>
              <w:left w:val="nil"/>
              <w:bottom w:val="single" w:sz="4" w:space="0" w:color="BFBFBF"/>
              <w:right w:val="single" w:sz="4" w:space="0" w:color="auto"/>
            </w:tcBorders>
            <w:shd w:val="clear" w:color="auto" w:fill="auto"/>
            <w:noWrap/>
            <w:vAlign w:val="center"/>
          </w:tcPr>
          <w:p w14:paraId="0112242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w:t>
            </w:r>
          </w:p>
        </w:tc>
        <w:tc>
          <w:tcPr>
            <w:tcW w:w="645" w:type="dxa"/>
            <w:tcBorders>
              <w:top w:val="nil"/>
              <w:left w:val="nil"/>
              <w:bottom w:val="single" w:sz="4" w:space="0" w:color="BFBFBF"/>
              <w:right w:val="single" w:sz="4" w:space="0" w:color="BFBFBF"/>
            </w:tcBorders>
            <w:shd w:val="clear" w:color="auto" w:fill="auto"/>
            <w:noWrap/>
            <w:vAlign w:val="center"/>
          </w:tcPr>
          <w:p w14:paraId="3002235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5D13AB4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w:t>
            </w:r>
          </w:p>
        </w:tc>
        <w:tc>
          <w:tcPr>
            <w:tcW w:w="645" w:type="dxa"/>
            <w:tcBorders>
              <w:top w:val="nil"/>
              <w:left w:val="nil"/>
              <w:bottom w:val="single" w:sz="4" w:space="0" w:color="BFBFBF"/>
              <w:right w:val="single" w:sz="4" w:space="0" w:color="BFBFBF"/>
            </w:tcBorders>
            <w:shd w:val="clear" w:color="auto" w:fill="auto"/>
            <w:noWrap/>
            <w:vAlign w:val="center"/>
          </w:tcPr>
          <w:p w14:paraId="569DEDB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w:t>
            </w:r>
          </w:p>
        </w:tc>
        <w:tc>
          <w:tcPr>
            <w:tcW w:w="645" w:type="dxa"/>
            <w:tcBorders>
              <w:top w:val="nil"/>
              <w:left w:val="nil"/>
              <w:bottom w:val="single" w:sz="4" w:space="0" w:color="BFBFBF"/>
              <w:right w:val="double" w:sz="6" w:space="0" w:color="auto"/>
            </w:tcBorders>
            <w:shd w:val="clear" w:color="auto" w:fill="auto"/>
            <w:noWrap/>
            <w:vAlign w:val="center"/>
          </w:tcPr>
          <w:p w14:paraId="03B5427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w:t>
            </w:r>
          </w:p>
        </w:tc>
      </w:tr>
      <w:tr w:rsidR="00E548CE" w:rsidRPr="00F06A63" w14:paraId="72BCE098"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06E4AE5B"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25-39</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0E018A2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6C1D399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3836CCF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nil"/>
            </w:tcBorders>
            <w:shd w:val="clear" w:color="auto" w:fill="auto"/>
            <w:noWrap/>
            <w:vAlign w:val="center"/>
          </w:tcPr>
          <w:p w14:paraId="2960FBD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8AB1D9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12%</w:t>
            </w:r>
          </w:p>
        </w:tc>
        <w:tc>
          <w:tcPr>
            <w:tcW w:w="600" w:type="dxa"/>
            <w:tcBorders>
              <w:top w:val="nil"/>
              <w:left w:val="nil"/>
              <w:bottom w:val="single" w:sz="4" w:space="0" w:color="BFBFBF"/>
              <w:right w:val="single" w:sz="4" w:space="0" w:color="BFBFBF"/>
            </w:tcBorders>
            <w:shd w:val="clear" w:color="auto" w:fill="auto"/>
            <w:noWrap/>
            <w:vAlign w:val="center"/>
          </w:tcPr>
          <w:p w14:paraId="279BB8B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31%</w:t>
            </w:r>
          </w:p>
        </w:tc>
        <w:tc>
          <w:tcPr>
            <w:tcW w:w="600" w:type="dxa"/>
            <w:tcBorders>
              <w:top w:val="nil"/>
              <w:left w:val="nil"/>
              <w:bottom w:val="single" w:sz="4" w:space="0" w:color="BFBFBF"/>
              <w:right w:val="single" w:sz="4" w:space="0" w:color="BFBFBF"/>
            </w:tcBorders>
            <w:shd w:val="clear" w:color="auto" w:fill="auto"/>
            <w:noWrap/>
            <w:vAlign w:val="center"/>
          </w:tcPr>
          <w:p w14:paraId="1C0A5CE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33%</w:t>
            </w:r>
          </w:p>
        </w:tc>
        <w:tc>
          <w:tcPr>
            <w:tcW w:w="600" w:type="dxa"/>
            <w:tcBorders>
              <w:top w:val="nil"/>
              <w:left w:val="nil"/>
              <w:bottom w:val="single" w:sz="4" w:space="0" w:color="BFBFBF"/>
              <w:right w:val="single" w:sz="4" w:space="0" w:color="auto"/>
            </w:tcBorders>
            <w:shd w:val="clear" w:color="auto" w:fill="auto"/>
            <w:noWrap/>
            <w:vAlign w:val="center"/>
          </w:tcPr>
          <w:p w14:paraId="549A357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42%</w:t>
            </w:r>
          </w:p>
        </w:tc>
        <w:tc>
          <w:tcPr>
            <w:tcW w:w="610" w:type="dxa"/>
            <w:tcBorders>
              <w:top w:val="nil"/>
              <w:left w:val="nil"/>
              <w:bottom w:val="single" w:sz="4" w:space="0" w:color="BFBFBF"/>
              <w:right w:val="single" w:sz="4" w:space="0" w:color="BFBFBF"/>
            </w:tcBorders>
            <w:shd w:val="clear" w:color="auto" w:fill="auto"/>
            <w:noWrap/>
            <w:vAlign w:val="center"/>
          </w:tcPr>
          <w:p w14:paraId="3B0247F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6%</w:t>
            </w:r>
          </w:p>
        </w:tc>
        <w:tc>
          <w:tcPr>
            <w:tcW w:w="610" w:type="dxa"/>
            <w:tcBorders>
              <w:top w:val="nil"/>
              <w:left w:val="nil"/>
              <w:bottom w:val="single" w:sz="4" w:space="0" w:color="BFBFBF"/>
              <w:right w:val="single" w:sz="4" w:space="0" w:color="BFBFBF"/>
            </w:tcBorders>
            <w:shd w:val="clear" w:color="auto" w:fill="auto"/>
            <w:noWrap/>
            <w:vAlign w:val="center"/>
          </w:tcPr>
          <w:p w14:paraId="618F7C8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10" w:type="dxa"/>
            <w:tcBorders>
              <w:top w:val="nil"/>
              <w:left w:val="nil"/>
              <w:bottom w:val="single" w:sz="4" w:space="0" w:color="BFBFBF"/>
              <w:right w:val="single" w:sz="4" w:space="0" w:color="BFBFBF"/>
            </w:tcBorders>
            <w:shd w:val="clear" w:color="auto" w:fill="auto"/>
            <w:noWrap/>
            <w:vAlign w:val="center"/>
          </w:tcPr>
          <w:p w14:paraId="58A886C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16%</w:t>
            </w:r>
          </w:p>
        </w:tc>
        <w:tc>
          <w:tcPr>
            <w:tcW w:w="610" w:type="dxa"/>
            <w:tcBorders>
              <w:top w:val="nil"/>
              <w:left w:val="nil"/>
              <w:bottom w:val="single" w:sz="4" w:space="0" w:color="BFBFBF"/>
              <w:right w:val="single" w:sz="4" w:space="0" w:color="auto"/>
            </w:tcBorders>
            <w:shd w:val="clear" w:color="auto" w:fill="auto"/>
            <w:noWrap/>
            <w:vAlign w:val="center"/>
          </w:tcPr>
          <w:p w14:paraId="544679C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18%</w:t>
            </w:r>
          </w:p>
        </w:tc>
        <w:tc>
          <w:tcPr>
            <w:tcW w:w="645" w:type="dxa"/>
            <w:tcBorders>
              <w:top w:val="nil"/>
              <w:left w:val="nil"/>
              <w:bottom w:val="single" w:sz="4" w:space="0" w:color="BFBFBF"/>
              <w:right w:val="single" w:sz="4" w:space="0" w:color="BFBFBF"/>
            </w:tcBorders>
            <w:shd w:val="clear" w:color="auto" w:fill="auto"/>
            <w:noWrap/>
            <w:vAlign w:val="center"/>
          </w:tcPr>
          <w:p w14:paraId="2EBB5F3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23%</w:t>
            </w:r>
          </w:p>
        </w:tc>
        <w:tc>
          <w:tcPr>
            <w:tcW w:w="645" w:type="dxa"/>
            <w:tcBorders>
              <w:top w:val="nil"/>
              <w:left w:val="nil"/>
              <w:bottom w:val="single" w:sz="4" w:space="0" w:color="BFBFBF"/>
              <w:right w:val="single" w:sz="4" w:space="0" w:color="BFBFBF"/>
            </w:tcBorders>
            <w:shd w:val="clear" w:color="auto" w:fill="auto"/>
            <w:noWrap/>
            <w:vAlign w:val="center"/>
          </w:tcPr>
          <w:p w14:paraId="6540FEE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30%</w:t>
            </w:r>
          </w:p>
        </w:tc>
        <w:tc>
          <w:tcPr>
            <w:tcW w:w="645" w:type="dxa"/>
            <w:tcBorders>
              <w:top w:val="nil"/>
              <w:left w:val="nil"/>
              <w:bottom w:val="single" w:sz="4" w:space="0" w:color="BFBFBF"/>
              <w:right w:val="single" w:sz="4" w:space="0" w:color="BFBFBF"/>
            </w:tcBorders>
            <w:shd w:val="clear" w:color="auto" w:fill="auto"/>
            <w:noWrap/>
            <w:vAlign w:val="center"/>
          </w:tcPr>
          <w:p w14:paraId="09808F2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37%</w:t>
            </w:r>
          </w:p>
        </w:tc>
        <w:tc>
          <w:tcPr>
            <w:tcW w:w="645" w:type="dxa"/>
            <w:tcBorders>
              <w:top w:val="nil"/>
              <w:left w:val="nil"/>
              <w:bottom w:val="single" w:sz="4" w:space="0" w:color="BFBFBF"/>
              <w:right w:val="double" w:sz="6" w:space="0" w:color="auto"/>
            </w:tcBorders>
            <w:shd w:val="clear" w:color="auto" w:fill="auto"/>
            <w:noWrap/>
            <w:vAlign w:val="center"/>
          </w:tcPr>
          <w:p w14:paraId="2401C3A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40%</w:t>
            </w:r>
          </w:p>
        </w:tc>
      </w:tr>
      <w:tr w:rsidR="00E548CE" w:rsidRPr="00F06A63" w14:paraId="5E8F74B6"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5301271F"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40-54</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6E46AC7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285474F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4B1889F0"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w:t>
            </w:r>
          </w:p>
        </w:tc>
        <w:tc>
          <w:tcPr>
            <w:tcW w:w="580" w:type="dxa"/>
            <w:tcBorders>
              <w:top w:val="nil"/>
              <w:left w:val="nil"/>
              <w:bottom w:val="single" w:sz="4" w:space="0" w:color="BFBFBF"/>
              <w:right w:val="nil"/>
            </w:tcBorders>
            <w:shd w:val="clear" w:color="auto" w:fill="auto"/>
            <w:noWrap/>
            <w:vAlign w:val="center"/>
          </w:tcPr>
          <w:p w14:paraId="0770A45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75D638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43%</w:t>
            </w:r>
          </w:p>
        </w:tc>
        <w:tc>
          <w:tcPr>
            <w:tcW w:w="600" w:type="dxa"/>
            <w:tcBorders>
              <w:top w:val="nil"/>
              <w:left w:val="nil"/>
              <w:bottom w:val="single" w:sz="4" w:space="0" w:color="BFBFBF"/>
              <w:right w:val="single" w:sz="4" w:space="0" w:color="BFBFBF"/>
            </w:tcBorders>
            <w:shd w:val="clear" w:color="auto" w:fill="auto"/>
            <w:noWrap/>
            <w:vAlign w:val="center"/>
          </w:tcPr>
          <w:p w14:paraId="24BF847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40%</w:t>
            </w:r>
          </w:p>
        </w:tc>
        <w:tc>
          <w:tcPr>
            <w:tcW w:w="600" w:type="dxa"/>
            <w:tcBorders>
              <w:top w:val="nil"/>
              <w:left w:val="nil"/>
              <w:bottom w:val="single" w:sz="4" w:space="0" w:color="BFBFBF"/>
              <w:right w:val="single" w:sz="4" w:space="0" w:color="BFBFBF"/>
            </w:tcBorders>
            <w:shd w:val="clear" w:color="auto" w:fill="auto"/>
            <w:noWrap/>
            <w:vAlign w:val="center"/>
          </w:tcPr>
          <w:p w14:paraId="624A787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34%</w:t>
            </w:r>
          </w:p>
        </w:tc>
        <w:tc>
          <w:tcPr>
            <w:tcW w:w="600" w:type="dxa"/>
            <w:tcBorders>
              <w:top w:val="nil"/>
              <w:left w:val="nil"/>
              <w:bottom w:val="single" w:sz="4" w:space="0" w:color="BFBFBF"/>
              <w:right w:val="single" w:sz="4" w:space="0" w:color="auto"/>
            </w:tcBorders>
            <w:shd w:val="clear" w:color="auto" w:fill="auto"/>
            <w:noWrap/>
            <w:vAlign w:val="center"/>
          </w:tcPr>
          <w:p w14:paraId="5DFC4AE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32%</w:t>
            </w:r>
          </w:p>
        </w:tc>
        <w:tc>
          <w:tcPr>
            <w:tcW w:w="610" w:type="dxa"/>
            <w:tcBorders>
              <w:top w:val="nil"/>
              <w:left w:val="nil"/>
              <w:bottom w:val="single" w:sz="4" w:space="0" w:color="BFBFBF"/>
              <w:right w:val="single" w:sz="4" w:space="0" w:color="BFBFBF"/>
            </w:tcBorders>
            <w:shd w:val="clear" w:color="auto" w:fill="auto"/>
            <w:noWrap/>
            <w:vAlign w:val="center"/>
          </w:tcPr>
          <w:p w14:paraId="32D1E89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21%</w:t>
            </w:r>
          </w:p>
        </w:tc>
        <w:tc>
          <w:tcPr>
            <w:tcW w:w="610" w:type="dxa"/>
            <w:tcBorders>
              <w:top w:val="nil"/>
              <w:left w:val="nil"/>
              <w:bottom w:val="single" w:sz="4" w:space="0" w:color="BFBFBF"/>
              <w:right w:val="single" w:sz="4" w:space="0" w:color="BFBFBF"/>
            </w:tcBorders>
            <w:shd w:val="clear" w:color="auto" w:fill="auto"/>
            <w:noWrap/>
            <w:vAlign w:val="center"/>
          </w:tcPr>
          <w:p w14:paraId="39D5BC6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19%</w:t>
            </w:r>
          </w:p>
        </w:tc>
        <w:tc>
          <w:tcPr>
            <w:tcW w:w="610" w:type="dxa"/>
            <w:tcBorders>
              <w:top w:val="nil"/>
              <w:left w:val="nil"/>
              <w:bottom w:val="single" w:sz="4" w:space="0" w:color="BFBFBF"/>
              <w:right w:val="single" w:sz="4" w:space="0" w:color="BFBFBF"/>
            </w:tcBorders>
            <w:shd w:val="clear" w:color="auto" w:fill="auto"/>
            <w:noWrap/>
            <w:vAlign w:val="center"/>
          </w:tcPr>
          <w:p w14:paraId="57AAA94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17%</w:t>
            </w:r>
          </w:p>
        </w:tc>
        <w:tc>
          <w:tcPr>
            <w:tcW w:w="610" w:type="dxa"/>
            <w:tcBorders>
              <w:top w:val="nil"/>
              <w:left w:val="nil"/>
              <w:bottom w:val="single" w:sz="4" w:space="0" w:color="BFBFBF"/>
              <w:right w:val="single" w:sz="4" w:space="0" w:color="auto"/>
            </w:tcBorders>
            <w:shd w:val="clear" w:color="auto" w:fill="auto"/>
            <w:noWrap/>
            <w:vAlign w:val="center"/>
          </w:tcPr>
          <w:p w14:paraId="492D7A3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14%</w:t>
            </w:r>
          </w:p>
        </w:tc>
        <w:tc>
          <w:tcPr>
            <w:tcW w:w="645" w:type="dxa"/>
            <w:tcBorders>
              <w:top w:val="nil"/>
              <w:left w:val="nil"/>
              <w:bottom w:val="single" w:sz="4" w:space="0" w:color="BFBFBF"/>
              <w:right w:val="single" w:sz="4" w:space="0" w:color="BFBFBF"/>
            </w:tcBorders>
            <w:shd w:val="clear" w:color="auto" w:fill="auto"/>
            <w:noWrap/>
            <w:vAlign w:val="center"/>
          </w:tcPr>
          <w:p w14:paraId="70B64CE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37%</w:t>
            </w:r>
          </w:p>
        </w:tc>
        <w:tc>
          <w:tcPr>
            <w:tcW w:w="645" w:type="dxa"/>
            <w:tcBorders>
              <w:top w:val="nil"/>
              <w:left w:val="nil"/>
              <w:bottom w:val="single" w:sz="4" w:space="0" w:color="BFBFBF"/>
              <w:right w:val="single" w:sz="4" w:space="0" w:color="BFBFBF"/>
            </w:tcBorders>
            <w:shd w:val="clear" w:color="auto" w:fill="auto"/>
            <w:noWrap/>
            <w:vAlign w:val="center"/>
          </w:tcPr>
          <w:p w14:paraId="1CB0E0E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38%</w:t>
            </w:r>
          </w:p>
        </w:tc>
        <w:tc>
          <w:tcPr>
            <w:tcW w:w="645" w:type="dxa"/>
            <w:tcBorders>
              <w:top w:val="nil"/>
              <w:left w:val="nil"/>
              <w:bottom w:val="single" w:sz="4" w:space="0" w:color="BFBFBF"/>
              <w:right w:val="single" w:sz="4" w:space="0" w:color="BFBFBF"/>
            </w:tcBorders>
            <w:shd w:val="clear" w:color="auto" w:fill="auto"/>
            <w:noWrap/>
            <w:vAlign w:val="center"/>
          </w:tcPr>
          <w:p w14:paraId="48B002F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38%</w:t>
            </w:r>
          </w:p>
        </w:tc>
        <w:tc>
          <w:tcPr>
            <w:tcW w:w="645" w:type="dxa"/>
            <w:tcBorders>
              <w:top w:val="nil"/>
              <w:left w:val="nil"/>
              <w:bottom w:val="single" w:sz="4" w:space="0" w:color="BFBFBF"/>
              <w:right w:val="double" w:sz="6" w:space="0" w:color="auto"/>
            </w:tcBorders>
            <w:shd w:val="clear" w:color="auto" w:fill="auto"/>
            <w:noWrap/>
            <w:vAlign w:val="center"/>
          </w:tcPr>
          <w:p w14:paraId="236E6E70"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37%</w:t>
            </w:r>
          </w:p>
        </w:tc>
      </w:tr>
      <w:tr w:rsidR="00E548CE" w:rsidRPr="00F06A63" w14:paraId="082FB9BB"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407D4288"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55-64</w:t>
            </w:r>
          </w:p>
        </w:tc>
        <w:tc>
          <w:tcPr>
            <w:tcW w:w="661" w:type="dxa"/>
            <w:tcBorders>
              <w:top w:val="nil"/>
              <w:left w:val="single" w:sz="4" w:space="0" w:color="auto"/>
              <w:bottom w:val="single" w:sz="4" w:space="0" w:color="BFBFBF"/>
              <w:right w:val="single" w:sz="4" w:space="0" w:color="BFBFBF"/>
            </w:tcBorders>
            <w:shd w:val="clear" w:color="auto" w:fill="auto"/>
            <w:noWrap/>
            <w:vAlign w:val="center"/>
          </w:tcPr>
          <w:p w14:paraId="206E422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w:t>
            </w:r>
          </w:p>
        </w:tc>
        <w:tc>
          <w:tcPr>
            <w:tcW w:w="580" w:type="dxa"/>
            <w:tcBorders>
              <w:top w:val="nil"/>
              <w:left w:val="nil"/>
              <w:bottom w:val="single" w:sz="4" w:space="0" w:color="BFBFBF"/>
              <w:right w:val="single" w:sz="4" w:space="0" w:color="BFBFBF"/>
            </w:tcBorders>
            <w:shd w:val="clear" w:color="auto" w:fill="auto"/>
            <w:noWrap/>
            <w:vAlign w:val="center"/>
          </w:tcPr>
          <w:p w14:paraId="40EBED5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12%</w:t>
            </w:r>
          </w:p>
        </w:tc>
        <w:tc>
          <w:tcPr>
            <w:tcW w:w="580" w:type="dxa"/>
            <w:tcBorders>
              <w:top w:val="nil"/>
              <w:left w:val="nil"/>
              <w:bottom w:val="single" w:sz="4" w:space="0" w:color="BFBFBF"/>
              <w:right w:val="single" w:sz="4" w:space="0" w:color="BFBFBF"/>
            </w:tcBorders>
            <w:shd w:val="clear" w:color="auto" w:fill="auto"/>
            <w:noWrap/>
            <w:vAlign w:val="center"/>
          </w:tcPr>
          <w:p w14:paraId="35FC038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12%</w:t>
            </w:r>
          </w:p>
        </w:tc>
        <w:tc>
          <w:tcPr>
            <w:tcW w:w="580" w:type="dxa"/>
            <w:tcBorders>
              <w:top w:val="nil"/>
              <w:left w:val="nil"/>
              <w:bottom w:val="single" w:sz="4" w:space="0" w:color="BFBFBF"/>
              <w:right w:val="nil"/>
            </w:tcBorders>
            <w:shd w:val="clear" w:color="auto" w:fill="auto"/>
            <w:noWrap/>
            <w:vAlign w:val="center"/>
          </w:tcPr>
          <w:p w14:paraId="202060B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52AD39A" w14:textId="77777777" w:rsidR="00E548CE" w:rsidRPr="00F06A63" w:rsidRDefault="00F06A63"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40</w:t>
            </w:r>
            <w:r w:rsidR="00E548CE" w:rsidRPr="00F06A6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2704783D"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19%</w:t>
            </w:r>
          </w:p>
        </w:tc>
        <w:tc>
          <w:tcPr>
            <w:tcW w:w="600" w:type="dxa"/>
            <w:tcBorders>
              <w:top w:val="nil"/>
              <w:left w:val="nil"/>
              <w:bottom w:val="single" w:sz="4" w:space="0" w:color="BFBFBF"/>
              <w:right w:val="single" w:sz="4" w:space="0" w:color="BFBFBF"/>
            </w:tcBorders>
            <w:shd w:val="clear" w:color="auto" w:fill="auto"/>
            <w:noWrap/>
            <w:vAlign w:val="center"/>
          </w:tcPr>
          <w:p w14:paraId="718585F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18%</w:t>
            </w:r>
          </w:p>
        </w:tc>
        <w:tc>
          <w:tcPr>
            <w:tcW w:w="600" w:type="dxa"/>
            <w:tcBorders>
              <w:top w:val="nil"/>
              <w:left w:val="nil"/>
              <w:bottom w:val="single" w:sz="4" w:space="0" w:color="BFBFBF"/>
              <w:right w:val="single" w:sz="4" w:space="0" w:color="auto"/>
            </w:tcBorders>
            <w:shd w:val="clear" w:color="auto" w:fill="auto"/>
            <w:noWrap/>
            <w:vAlign w:val="center"/>
          </w:tcPr>
          <w:p w14:paraId="2A712B5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10" w:type="dxa"/>
            <w:tcBorders>
              <w:top w:val="nil"/>
              <w:left w:val="nil"/>
              <w:bottom w:val="single" w:sz="4" w:space="0" w:color="BFBFBF"/>
              <w:right w:val="single" w:sz="4" w:space="0" w:color="BFBFBF"/>
            </w:tcBorders>
            <w:shd w:val="clear" w:color="auto" w:fill="auto"/>
            <w:noWrap/>
            <w:vAlign w:val="center"/>
          </w:tcPr>
          <w:p w14:paraId="5298CE4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20%</w:t>
            </w:r>
          </w:p>
        </w:tc>
        <w:tc>
          <w:tcPr>
            <w:tcW w:w="610" w:type="dxa"/>
            <w:tcBorders>
              <w:top w:val="nil"/>
              <w:left w:val="nil"/>
              <w:bottom w:val="single" w:sz="4" w:space="0" w:color="BFBFBF"/>
              <w:right w:val="single" w:sz="4" w:space="0" w:color="BFBFBF"/>
            </w:tcBorders>
            <w:shd w:val="clear" w:color="auto" w:fill="auto"/>
            <w:noWrap/>
            <w:vAlign w:val="center"/>
          </w:tcPr>
          <w:p w14:paraId="4B2E1E35"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10" w:type="dxa"/>
            <w:tcBorders>
              <w:top w:val="nil"/>
              <w:left w:val="nil"/>
              <w:bottom w:val="single" w:sz="4" w:space="0" w:color="BFBFBF"/>
              <w:right w:val="single" w:sz="4" w:space="0" w:color="BFBFBF"/>
            </w:tcBorders>
            <w:shd w:val="clear" w:color="auto" w:fill="auto"/>
            <w:noWrap/>
            <w:vAlign w:val="center"/>
          </w:tcPr>
          <w:p w14:paraId="4349BBB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10" w:type="dxa"/>
            <w:tcBorders>
              <w:top w:val="nil"/>
              <w:left w:val="nil"/>
              <w:bottom w:val="single" w:sz="4" w:space="0" w:color="BFBFBF"/>
              <w:right w:val="single" w:sz="4" w:space="0" w:color="auto"/>
            </w:tcBorders>
            <w:shd w:val="clear" w:color="auto" w:fill="auto"/>
            <w:noWrap/>
            <w:vAlign w:val="center"/>
          </w:tcPr>
          <w:p w14:paraId="7EB3E50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15%</w:t>
            </w:r>
          </w:p>
        </w:tc>
        <w:tc>
          <w:tcPr>
            <w:tcW w:w="645" w:type="dxa"/>
            <w:tcBorders>
              <w:top w:val="nil"/>
              <w:left w:val="nil"/>
              <w:bottom w:val="single" w:sz="4" w:space="0" w:color="BFBFBF"/>
              <w:right w:val="single" w:sz="4" w:space="0" w:color="BFBFBF"/>
            </w:tcBorders>
            <w:shd w:val="clear" w:color="auto" w:fill="auto"/>
            <w:noWrap/>
            <w:vAlign w:val="center"/>
          </w:tcPr>
          <w:p w14:paraId="56660D3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29%</w:t>
            </w:r>
          </w:p>
        </w:tc>
        <w:tc>
          <w:tcPr>
            <w:tcW w:w="645" w:type="dxa"/>
            <w:tcBorders>
              <w:top w:val="nil"/>
              <w:left w:val="nil"/>
              <w:bottom w:val="single" w:sz="4" w:space="0" w:color="BFBFBF"/>
              <w:right w:val="single" w:sz="4" w:space="0" w:color="BFBFBF"/>
            </w:tcBorders>
            <w:shd w:val="clear" w:color="auto" w:fill="auto"/>
            <w:noWrap/>
            <w:vAlign w:val="center"/>
          </w:tcPr>
          <w:p w14:paraId="2414EDF0"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20%</w:t>
            </w:r>
          </w:p>
        </w:tc>
        <w:tc>
          <w:tcPr>
            <w:tcW w:w="645" w:type="dxa"/>
            <w:tcBorders>
              <w:top w:val="nil"/>
              <w:left w:val="nil"/>
              <w:bottom w:val="single" w:sz="4" w:space="0" w:color="BFBFBF"/>
              <w:right w:val="single" w:sz="4" w:space="0" w:color="BFBFBF"/>
            </w:tcBorders>
            <w:shd w:val="clear" w:color="auto" w:fill="auto"/>
            <w:noWrap/>
            <w:vAlign w:val="center"/>
          </w:tcPr>
          <w:p w14:paraId="51F8E18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14%</w:t>
            </w:r>
          </w:p>
        </w:tc>
        <w:tc>
          <w:tcPr>
            <w:tcW w:w="645" w:type="dxa"/>
            <w:tcBorders>
              <w:top w:val="nil"/>
              <w:left w:val="nil"/>
              <w:bottom w:val="single" w:sz="4" w:space="0" w:color="BFBFBF"/>
              <w:right w:val="double" w:sz="6" w:space="0" w:color="auto"/>
            </w:tcBorders>
            <w:shd w:val="clear" w:color="auto" w:fill="auto"/>
            <w:noWrap/>
            <w:vAlign w:val="center"/>
          </w:tcPr>
          <w:p w14:paraId="53F20ED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12%</w:t>
            </w:r>
          </w:p>
        </w:tc>
      </w:tr>
      <w:tr w:rsidR="00E548CE" w:rsidRPr="00F06A63" w14:paraId="0D467ECD" w14:textId="77777777" w:rsidTr="00BD2674">
        <w:trPr>
          <w:trHeight w:val="240"/>
          <w:jc w:val="center"/>
        </w:trPr>
        <w:tc>
          <w:tcPr>
            <w:tcW w:w="2160" w:type="dxa"/>
            <w:tcBorders>
              <w:top w:val="nil"/>
              <w:left w:val="double" w:sz="6" w:space="0" w:color="auto"/>
              <w:bottom w:val="double" w:sz="6" w:space="0" w:color="auto"/>
              <w:right w:val="nil"/>
            </w:tcBorders>
            <w:shd w:val="clear" w:color="auto" w:fill="auto"/>
            <w:noWrap/>
            <w:vAlign w:val="center"/>
          </w:tcPr>
          <w:p w14:paraId="29F4DED3" w14:textId="77777777" w:rsidR="00E548CE" w:rsidRPr="00F06A63" w:rsidRDefault="00E548CE" w:rsidP="00E548CE">
            <w:pPr>
              <w:spacing w:before="0" w:after="0"/>
              <w:ind w:firstLineChars="100" w:firstLine="160"/>
              <w:rPr>
                <w:rFonts w:ascii="Arial" w:hAnsi="Arial" w:cs="Arial"/>
                <w:color w:val="000000"/>
                <w:sz w:val="16"/>
                <w:szCs w:val="16"/>
                <w:lang w:val="en-AU" w:eastAsia="en-AU"/>
              </w:rPr>
            </w:pPr>
            <w:r w:rsidRPr="00F06A63">
              <w:rPr>
                <w:rFonts w:ascii="Arial" w:hAnsi="Arial" w:cs="Arial"/>
                <w:color w:val="000000"/>
                <w:sz w:val="16"/>
                <w:szCs w:val="16"/>
                <w:lang w:val="en-AU" w:eastAsia="en-AU"/>
              </w:rPr>
              <w:t>65+</w:t>
            </w:r>
          </w:p>
        </w:tc>
        <w:tc>
          <w:tcPr>
            <w:tcW w:w="661" w:type="dxa"/>
            <w:tcBorders>
              <w:top w:val="nil"/>
              <w:left w:val="single" w:sz="4" w:space="0" w:color="auto"/>
              <w:bottom w:val="double" w:sz="6" w:space="0" w:color="auto"/>
              <w:right w:val="single" w:sz="4" w:space="0" w:color="BFBFBF"/>
            </w:tcBorders>
            <w:shd w:val="clear" w:color="auto" w:fill="auto"/>
            <w:noWrap/>
            <w:vAlign w:val="center"/>
          </w:tcPr>
          <w:p w14:paraId="32151EB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98%</w:t>
            </w:r>
          </w:p>
        </w:tc>
        <w:tc>
          <w:tcPr>
            <w:tcW w:w="580" w:type="dxa"/>
            <w:tcBorders>
              <w:top w:val="nil"/>
              <w:left w:val="nil"/>
              <w:bottom w:val="double" w:sz="6" w:space="0" w:color="auto"/>
              <w:right w:val="single" w:sz="4" w:space="0" w:color="BFBFBF"/>
            </w:tcBorders>
            <w:shd w:val="clear" w:color="auto" w:fill="auto"/>
            <w:noWrap/>
            <w:vAlign w:val="center"/>
          </w:tcPr>
          <w:p w14:paraId="6F48390E"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86%</w:t>
            </w:r>
          </w:p>
        </w:tc>
        <w:tc>
          <w:tcPr>
            <w:tcW w:w="580" w:type="dxa"/>
            <w:tcBorders>
              <w:top w:val="nil"/>
              <w:left w:val="nil"/>
              <w:bottom w:val="double" w:sz="6" w:space="0" w:color="auto"/>
              <w:right w:val="single" w:sz="4" w:space="0" w:color="BFBFBF"/>
            </w:tcBorders>
            <w:shd w:val="clear" w:color="auto" w:fill="auto"/>
            <w:noWrap/>
            <w:vAlign w:val="center"/>
          </w:tcPr>
          <w:p w14:paraId="40C1C17A"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86%</w:t>
            </w:r>
          </w:p>
        </w:tc>
        <w:tc>
          <w:tcPr>
            <w:tcW w:w="580" w:type="dxa"/>
            <w:tcBorders>
              <w:top w:val="nil"/>
              <w:left w:val="nil"/>
              <w:bottom w:val="double" w:sz="6" w:space="0" w:color="auto"/>
              <w:right w:val="nil"/>
            </w:tcBorders>
            <w:shd w:val="clear" w:color="auto" w:fill="auto"/>
            <w:noWrap/>
            <w:vAlign w:val="center"/>
          </w:tcPr>
          <w:p w14:paraId="642834A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84%</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75796BAB"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w:t>
            </w:r>
          </w:p>
        </w:tc>
        <w:tc>
          <w:tcPr>
            <w:tcW w:w="600" w:type="dxa"/>
            <w:tcBorders>
              <w:top w:val="nil"/>
              <w:left w:val="nil"/>
              <w:bottom w:val="double" w:sz="6" w:space="0" w:color="auto"/>
              <w:right w:val="single" w:sz="4" w:space="0" w:color="BFBFBF"/>
            </w:tcBorders>
            <w:shd w:val="clear" w:color="auto" w:fill="auto"/>
            <w:noWrap/>
            <w:vAlign w:val="center"/>
          </w:tcPr>
          <w:p w14:paraId="4E24805F"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w:t>
            </w:r>
          </w:p>
        </w:tc>
        <w:tc>
          <w:tcPr>
            <w:tcW w:w="600" w:type="dxa"/>
            <w:tcBorders>
              <w:top w:val="nil"/>
              <w:left w:val="nil"/>
              <w:bottom w:val="double" w:sz="6" w:space="0" w:color="auto"/>
              <w:right w:val="single" w:sz="4" w:space="0" w:color="BFBFBF"/>
            </w:tcBorders>
            <w:shd w:val="clear" w:color="auto" w:fill="auto"/>
            <w:noWrap/>
            <w:vAlign w:val="center"/>
          </w:tcPr>
          <w:p w14:paraId="695DA316"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6%</w:t>
            </w:r>
          </w:p>
        </w:tc>
        <w:tc>
          <w:tcPr>
            <w:tcW w:w="600" w:type="dxa"/>
            <w:tcBorders>
              <w:top w:val="nil"/>
              <w:left w:val="nil"/>
              <w:bottom w:val="double" w:sz="6" w:space="0" w:color="auto"/>
              <w:right w:val="single" w:sz="4" w:space="0" w:color="auto"/>
            </w:tcBorders>
            <w:shd w:val="clear" w:color="auto" w:fill="auto"/>
            <w:noWrap/>
            <w:vAlign w:val="center"/>
          </w:tcPr>
          <w:p w14:paraId="48467662"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w:t>
            </w:r>
          </w:p>
        </w:tc>
        <w:tc>
          <w:tcPr>
            <w:tcW w:w="610" w:type="dxa"/>
            <w:tcBorders>
              <w:top w:val="nil"/>
              <w:left w:val="nil"/>
              <w:bottom w:val="double" w:sz="6" w:space="0" w:color="auto"/>
              <w:right w:val="single" w:sz="4" w:space="0" w:color="BFBFBF"/>
            </w:tcBorders>
            <w:shd w:val="clear" w:color="auto" w:fill="auto"/>
            <w:noWrap/>
            <w:vAlign w:val="center"/>
          </w:tcPr>
          <w:p w14:paraId="52385CF3"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52%</w:t>
            </w:r>
          </w:p>
        </w:tc>
        <w:tc>
          <w:tcPr>
            <w:tcW w:w="610" w:type="dxa"/>
            <w:tcBorders>
              <w:top w:val="nil"/>
              <w:left w:val="nil"/>
              <w:bottom w:val="double" w:sz="6" w:space="0" w:color="auto"/>
              <w:right w:val="single" w:sz="4" w:space="0" w:color="BFBFBF"/>
            </w:tcBorders>
            <w:shd w:val="clear" w:color="auto" w:fill="auto"/>
            <w:noWrap/>
            <w:vAlign w:val="center"/>
          </w:tcPr>
          <w:p w14:paraId="5752BDD4"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48%</w:t>
            </w:r>
          </w:p>
        </w:tc>
        <w:tc>
          <w:tcPr>
            <w:tcW w:w="610" w:type="dxa"/>
            <w:tcBorders>
              <w:top w:val="nil"/>
              <w:left w:val="nil"/>
              <w:bottom w:val="double" w:sz="6" w:space="0" w:color="auto"/>
              <w:right w:val="single" w:sz="4" w:space="0" w:color="BFBFBF"/>
            </w:tcBorders>
            <w:shd w:val="clear" w:color="auto" w:fill="auto"/>
            <w:noWrap/>
            <w:vAlign w:val="center"/>
          </w:tcPr>
          <w:p w14:paraId="1C4948E8"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48%</w:t>
            </w:r>
          </w:p>
        </w:tc>
        <w:tc>
          <w:tcPr>
            <w:tcW w:w="610" w:type="dxa"/>
            <w:tcBorders>
              <w:top w:val="nil"/>
              <w:left w:val="nil"/>
              <w:bottom w:val="double" w:sz="6" w:space="0" w:color="auto"/>
              <w:right w:val="single" w:sz="4" w:space="0" w:color="auto"/>
            </w:tcBorders>
            <w:shd w:val="clear" w:color="auto" w:fill="auto"/>
            <w:noWrap/>
            <w:vAlign w:val="center"/>
          </w:tcPr>
          <w:p w14:paraId="427EAC6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48%</w:t>
            </w:r>
          </w:p>
        </w:tc>
        <w:tc>
          <w:tcPr>
            <w:tcW w:w="645" w:type="dxa"/>
            <w:tcBorders>
              <w:top w:val="nil"/>
              <w:left w:val="nil"/>
              <w:bottom w:val="double" w:sz="6" w:space="0" w:color="auto"/>
              <w:right w:val="single" w:sz="4" w:space="0" w:color="BFBFBF"/>
            </w:tcBorders>
            <w:shd w:val="clear" w:color="auto" w:fill="auto"/>
            <w:noWrap/>
            <w:vAlign w:val="center"/>
          </w:tcPr>
          <w:p w14:paraId="10A9714C"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11%</w:t>
            </w:r>
          </w:p>
        </w:tc>
        <w:tc>
          <w:tcPr>
            <w:tcW w:w="645" w:type="dxa"/>
            <w:tcBorders>
              <w:top w:val="nil"/>
              <w:left w:val="nil"/>
              <w:bottom w:val="double" w:sz="6" w:space="0" w:color="auto"/>
              <w:right w:val="single" w:sz="4" w:space="0" w:color="BFBFBF"/>
            </w:tcBorders>
            <w:shd w:val="clear" w:color="auto" w:fill="auto"/>
            <w:noWrap/>
            <w:vAlign w:val="center"/>
          </w:tcPr>
          <w:p w14:paraId="4F6C1DB7"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9%</w:t>
            </w:r>
          </w:p>
        </w:tc>
        <w:tc>
          <w:tcPr>
            <w:tcW w:w="645" w:type="dxa"/>
            <w:tcBorders>
              <w:top w:val="nil"/>
              <w:left w:val="nil"/>
              <w:bottom w:val="double" w:sz="6" w:space="0" w:color="auto"/>
              <w:right w:val="single" w:sz="4" w:space="0" w:color="BFBFBF"/>
            </w:tcBorders>
            <w:shd w:val="clear" w:color="auto" w:fill="auto"/>
            <w:noWrap/>
            <w:vAlign w:val="center"/>
          </w:tcPr>
          <w:p w14:paraId="01BCDCA9"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7%</w:t>
            </w:r>
          </w:p>
        </w:tc>
        <w:tc>
          <w:tcPr>
            <w:tcW w:w="645" w:type="dxa"/>
            <w:tcBorders>
              <w:top w:val="nil"/>
              <w:left w:val="nil"/>
              <w:bottom w:val="double" w:sz="6" w:space="0" w:color="auto"/>
              <w:right w:val="double" w:sz="6" w:space="0" w:color="auto"/>
            </w:tcBorders>
            <w:shd w:val="clear" w:color="auto" w:fill="auto"/>
            <w:noWrap/>
            <w:vAlign w:val="center"/>
          </w:tcPr>
          <w:p w14:paraId="4569F771" w14:textId="77777777" w:rsidR="00E548CE" w:rsidRPr="00F06A63" w:rsidRDefault="00E548CE" w:rsidP="00E548CE">
            <w:pPr>
              <w:spacing w:before="0" w:after="0"/>
              <w:jc w:val="center"/>
              <w:rPr>
                <w:rFonts w:ascii="Arial" w:hAnsi="Arial" w:cs="Arial"/>
                <w:color w:val="000000"/>
                <w:sz w:val="16"/>
                <w:szCs w:val="16"/>
                <w:lang w:val="en-AU" w:eastAsia="en-AU"/>
              </w:rPr>
            </w:pPr>
            <w:r w:rsidRPr="00F06A63">
              <w:rPr>
                <w:rFonts w:ascii="Arial" w:hAnsi="Arial" w:cs="Arial"/>
                <w:color w:val="000000"/>
                <w:sz w:val="16"/>
                <w:szCs w:val="16"/>
                <w:lang w:val="en-AU" w:eastAsia="en-AU"/>
              </w:rPr>
              <w:t>8%</w:t>
            </w:r>
          </w:p>
        </w:tc>
      </w:tr>
    </w:tbl>
    <w:p w14:paraId="647B334C" w14:textId="77777777" w:rsidR="003920D8" w:rsidRPr="00F06A63" w:rsidRDefault="00731A9E" w:rsidP="00162EF6">
      <w:pPr>
        <w:pStyle w:val="Para"/>
        <w:spacing w:before="60" w:line="220" w:lineRule="exact"/>
        <w:ind w:left="1440"/>
        <w:jc w:val="left"/>
        <w:rPr>
          <w:sz w:val="20"/>
          <w:lang w:val="en-AU"/>
        </w:rPr>
      </w:pPr>
      <w:r w:rsidRPr="00F06A63">
        <w:rPr>
          <w:sz w:val="20"/>
          <w:lang w:val="en-AU"/>
        </w:rPr>
        <w:t xml:space="preserve">Base: Total respondents, </w:t>
      </w:r>
      <w:r w:rsidR="00AC1255" w:rsidRPr="00F06A63">
        <w:rPr>
          <w:sz w:val="20"/>
          <w:lang w:val="en-AU"/>
        </w:rPr>
        <w:t xml:space="preserve">2014 (n=1,861); </w:t>
      </w:r>
      <w:r w:rsidRPr="00F06A63">
        <w:rPr>
          <w:sz w:val="20"/>
          <w:lang w:val="en-AU"/>
        </w:rPr>
        <w:t>2007 (n=2,061); 2001 (n=2,006); 1996 (n=2,000)</w:t>
      </w:r>
    </w:p>
    <w:p w14:paraId="656BC69F" w14:textId="77777777" w:rsidR="003920D8" w:rsidRPr="00F06A63" w:rsidRDefault="00AC1255" w:rsidP="00162EF6">
      <w:pPr>
        <w:pStyle w:val="Para"/>
        <w:spacing w:before="60" w:line="220" w:lineRule="exact"/>
        <w:ind w:left="1440"/>
        <w:jc w:val="left"/>
        <w:rPr>
          <w:sz w:val="20"/>
          <w:lang w:val="en-AU"/>
        </w:rPr>
      </w:pPr>
      <w:r w:rsidRPr="00F06A63">
        <w:rPr>
          <w:sz w:val="20"/>
          <w:lang w:val="en-AU"/>
        </w:rPr>
        <w:t>*</w:t>
      </w:r>
      <w:r w:rsidR="00736AB2" w:rsidRPr="00F06A63">
        <w:rPr>
          <w:sz w:val="20"/>
          <w:lang w:val="en-AU"/>
        </w:rPr>
        <w:t xml:space="preserve"> </w:t>
      </w:r>
      <w:r w:rsidRPr="00F06A63">
        <w:rPr>
          <w:sz w:val="20"/>
          <w:lang w:val="en-AU"/>
        </w:rPr>
        <w:t>Figures for 2007, 2001 and 1996 relate to age band 16-24 years</w:t>
      </w:r>
      <w:r w:rsidR="00E047E7" w:rsidRPr="00F06A63">
        <w:rPr>
          <w:sz w:val="20"/>
          <w:lang w:val="en-AU"/>
        </w:rPr>
        <w:t>, not 15-24 years</w:t>
      </w:r>
    </w:p>
    <w:p w14:paraId="72AF9DB2" w14:textId="3B0AEFB8" w:rsidR="003920D8" w:rsidRPr="00F06A63" w:rsidRDefault="00AC1255" w:rsidP="00162EF6">
      <w:pPr>
        <w:pStyle w:val="Para"/>
        <w:spacing w:before="60" w:line="220" w:lineRule="exact"/>
        <w:ind w:left="1440"/>
        <w:jc w:val="left"/>
        <w:rPr>
          <w:sz w:val="20"/>
          <w:lang w:val="en-AU"/>
        </w:rPr>
      </w:pPr>
      <w:r w:rsidRPr="00F06A63">
        <w:rPr>
          <w:sz w:val="20"/>
          <w:lang w:val="en-AU"/>
        </w:rPr>
        <w:t>^</w:t>
      </w:r>
      <w:r w:rsidR="00BC3781" w:rsidRPr="00F06A63">
        <w:rPr>
          <w:sz w:val="20"/>
          <w:lang w:val="en-AU"/>
        </w:rPr>
        <w:t xml:space="preserve"> Note that classification of concession type is primarily determined by the respondent themselves, so some respondents may mis-classify</w:t>
      </w:r>
      <w:r w:rsidR="00BD2674" w:rsidRPr="00F06A63">
        <w:rPr>
          <w:sz w:val="20"/>
          <w:lang w:val="en-AU"/>
        </w:rPr>
        <w:br/>
      </w:r>
      <w:r w:rsidR="00736AB2" w:rsidRPr="00F06A63">
        <w:rPr>
          <w:sz w:val="20"/>
          <w:lang w:val="en-AU"/>
        </w:rPr>
        <w:t xml:space="preserve">     </w:t>
      </w:r>
      <w:r w:rsidR="00BC3781" w:rsidRPr="00F06A63">
        <w:rPr>
          <w:sz w:val="20"/>
          <w:lang w:val="en-AU"/>
        </w:rPr>
        <w:t xml:space="preserve">(e.g. aged concession </w:t>
      </w:r>
      <w:r w:rsidR="00041263">
        <w:rPr>
          <w:sz w:val="20"/>
          <w:lang w:val="en-AU"/>
        </w:rPr>
        <w:t xml:space="preserve">card </w:t>
      </w:r>
      <w:r w:rsidR="00BC3781" w:rsidRPr="00F06A63">
        <w:rPr>
          <w:sz w:val="20"/>
          <w:lang w:val="en-AU"/>
        </w:rPr>
        <w:t>holders being younger than 55 years).</w:t>
      </w:r>
    </w:p>
    <w:p w14:paraId="5641B0FF" w14:textId="77777777" w:rsidR="00BC3781" w:rsidRPr="00DA3B75" w:rsidRDefault="00BC3781" w:rsidP="00AB7A5A">
      <w:pPr>
        <w:pStyle w:val="Para"/>
        <w:spacing w:after="120"/>
        <w:outlineLvl w:val="0"/>
        <w:rPr>
          <w:sz w:val="20"/>
          <w:highlight w:val="yellow"/>
          <w:lang w:val="en-AU"/>
        </w:rPr>
      </w:pPr>
    </w:p>
    <w:p w14:paraId="312FFFE1" w14:textId="77777777" w:rsidR="00731A9E" w:rsidRPr="00DA3B75" w:rsidRDefault="00731A9E" w:rsidP="00E02C75">
      <w:pPr>
        <w:pStyle w:val="Para"/>
        <w:ind w:firstLine="993"/>
        <w:rPr>
          <w:sz w:val="22"/>
          <w:highlight w:val="yellow"/>
          <w:lang w:val="en-AU"/>
        </w:rPr>
      </w:pPr>
    </w:p>
    <w:p w14:paraId="19781B08" w14:textId="77777777" w:rsidR="00BC3781" w:rsidRPr="00DA3B75" w:rsidRDefault="00BC3781" w:rsidP="00E02C75">
      <w:pPr>
        <w:pStyle w:val="Para"/>
        <w:ind w:firstLine="993"/>
        <w:rPr>
          <w:sz w:val="22"/>
          <w:highlight w:val="yellow"/>
          <w:lang w:val="en-AU"/>
        </w:rPr>
      </w:pPr>
    </w:p>
    <w:p w14:paraId="2FB1AF8A" w14:textId="77777777" w:rsidR="00E02C75" w:rsidRPr="00DB2833" w:rsidRDefault="00AB7A5A" w:rsidP="00E02C75">
      <w:pPr>
        <w:pStyle w:val="Heading2"/>
        <w:rPr>
          <w:lang w:val="en-AU"/>
        </w:rPr>
      </w:pPr>
      <w:r w:rsidRPr="00DA3B75">
        <w:rPr>
          <w:highlight w:val="yellow"/>
          <w:lang w:val="en-AU"/>
        </w:rPr>
        <w:br w:type="page"/>
      </w:r>
      <w:bookmarkStart w:id="110" w:name="_Toc439198284"/>
      <w:bookmarkStart w:id="111" w:name="_Toc445571667"/>
      <w:r w:rsidR="00E02C75" w:rsidRPr="00DB2833">
        <w:rPr>
          <w:lang w:val="en-AU"/>
        </w:rPr>
        <w:lastRenderedPageBreak/>
        <w:t>HOUSEHOLD PROFILE</w:t>
      </w:r>
      <w:bookmarkEnd w:id="110"/>
      <w:bookmarkEnd w:id="111"/>
    </w:p>
    <w:p w14:paraId="4EA80C5C" w14:textId="77777777" w:rsidR="003920D8" w:rsidRPr="00DB2833" w:rsidRDefault="00E02C75">
      <w:pPr>
        <w:pStyle w:val="Heading3"/>
        <w:tabs>
          <w:tab w:val="num" w:pos="851"/>
        </w:tabs>
        <w:ind w:hanging="8517"/>
        <w:rPr>
          <w:lang w:val="en-AU"/>
        </w:rPr>
      </w:pPr>
      <w:bookmarkStart w:id="112" w:name="_Toc439198285"/>
      <w:bookmarkStart w:id="113" w:name="_Toc445571668"/>
      <w:r w:rsidRPr="00DB2833">
        <w:rPr>
          <w:lang w:val="en-AU"/>
        </w:rPr>
        <w:t>Length of Time Living at Current Address</w:t>
      </w:r>
      <w:bookmarkEnd w:id="112"/>
      <w:bookmarkEnd w:id="113"/>
    </w:p>
    <w:p w14:paraId="1FEF0D5A" w14:textId="77777777" w:rsidR="00E02C75" w:rsidRPr="00DA3B75" w:rsidRDefault="00E02C75" w:rsidP="00E02C75">
      <w:pPr>
        <w:pStyle w:val="Para"/>
        <w:rPr>
          <w:highlight w:val="yellow"/>
          <w:lang w:val="en-AU"/>
        </w:rPr>
      </w:pPr>
    </w:p>
    <w:p w14:paraId="30DFE6B3" w14:textId="77777777" w:rsidR="00E02C75" w:rsidRPr="00DB2833" w:rsidRDefault="00E02C75" w:rsidP="00E02C75">
      <w:pPr>
        <w:pStyle w:val="Para"/>
        <w:rPr>
          <w:lang w:val="en-AU"/>
        </w:rPr>
      </w:pPr>
      <w:r w:rsidRPr="00DB2833">
        <w:rPr>
          <w:lang w:val="en-AU"/>
        </w:rPr>
        <w:t>At the time of the 2</w:t>
      </w:r>
      <w:r w:rsidR="00AB7A5A" w:rsidRPr="00DB2833">
        <w:rPr>
          <w:lang w:val="en-AU"/>
        </w:rPr>
        <w:t>014</w:t>
      </w:r>
      <w:r w:rsidRPr="00DB2833">
        <w:rPr>
          <w:lang w:val="en-AU"/>
        </w:rPr>
        <w:t xml:space="preserve"> survey, almost three-quarters of respondents (7</w:t>
      </w:r>
      <w:r w:rsidR="00AB7A5A" w:rsidRPr="00DB2833">
        <w:rPr>
          <w:lang w:val="en-AU"/>
        </w:rPr>
        <w:t>8</w:t>
      </w:r>
      <w:r w:rsidRPr="00DB2833">
        <w:rPr>
          <w:lang w:val="en-AU"/>
        </w:rPr>
        <w:t>%) had lived at their current address for more than 5 years, 2</w:t>
      </w:r>
      <w:r w:rsidR="00AB7A5A" w:rsidRPr="00DB2833">
        <w:rPr>
          <w:lang w:val="en-AU"/>
        </w:rPr>
        <w:t>1</w:t>
      </w:r>
      <w:r w:rsidRPr="00DB2833">
        <w:rPr>
          <w:lang w:val="en-AU"/>
        </w:rPr>
        <w:t xml:space="preserve">% for between 2 and 5 years, and </w:t>
      </w:r>
      <w:r w:rsidR="00DB2833" w:rsidRPr="00DB2833">
        <w:rPr>
          <w:lang w:val="en-AU"/>
        </w:rPr>
        <w:t>1</w:t>
      </w:r>
      <w:r w:rsidRPr="00DB2833">
        <w:rPr>
          <w:lang w:val="en-AU"/>
        </w:rPr>
        <w:t xml:space="preserve">% for less than 2 years.  </w:t>
      </w:r>
    </w:p>
    <w:p w14:paraId="18A232ED" w14:textId="77777777" w:rsidR="00E02C75" w:rsidRPr="00DA3B75" w:rsidRDefault="00E02C75" w:rsidP="00E02C75">
      <w:pPr>
        <w:pStyle w:val="Para"/>
        <w:rPr>
          <w:highlight w:val="yellow"/>
          <w:lang w:val="en-AU"/>
        </w:rPr>
      </w:pPr>
    </w:p>
    <w:p w14:paraId="21887608" w14:textId="77777777" w:rsidR="00A642D5" w:rsidRPr="00C51B70" w:rsidRDefault="00E02C75" w:rsidP="00A642D5">
      <w:pPr>
        <w:pStyle w:val="Para"/>
        <w:rPr>
          <w:lang w:val="en-AU"/>
        </w:rPr>
      </w:pPr>
      <w:r w:rsidRPr="00C51B70">
        <w:rPr>
          <w:lang w:val="en-AU"/>
        </w:rPr>
        <w:t>As illustrated in Table 3.3.1, half (</w:t>
      </w:r>
      <w:r w:rsidR="00A642D5" w:rsidRPr="00C51B70">
        <w:rPr>
          <w:lang w:val="en-AU"/>
        </w:rPr>
        <w:t>49</w:t>
      </w:r>
      <w:r w:rsidRPr="00C51B70">
        <w:rPr>
          <w:lang w:val="en-AU"/>
        </w:rPr>
        <w:t xml:space="preserve">%) of </w:t>
      </w:r>
      <w:r w:rsidR="00513F11" w:rsidRPr="00C51B70">
        <w:rPr>
          <w:lang w:val="en-AU"/>
        </w:rPr>
        <w:t>aged concession</w:t>
      </w:r>
      <w:r w:rsidRPr="00C51B70">
        <w:rPr>
          <w:lang w:val="en-AU"/>
        </w:rPr>
        <w:t xml:space="preserve"> households had lived at their current address for over 20 years, </w:t>
      </w:r>
      <w:r w:rsidR="00A642D5" w:rsidRPr="00C51B70">
        <w:rPr>
          <w:lang w:val="en-AU"/>
        </w:rPr>
        <w:t>which was roughly twice the proportion for other concession (26%) and non-concession (27%) households.</w:t>
      </w:r>
      <w:r w:rsidRPr="00C51B70">
        <w:rPr>
          <w:lang w:val="en-AU"/>
        </w:rPr>
        <w:t xml:space="preserve">  </w:t>
      </w:r>
      <w:r w:rsidR="00A642D5" w:rsidRPr="00C51B70">
        <w:rPr>
          <w:lang w:val="en-AU"/>
        </w:rPr>
        <w:t>Respondents from Melbourne (3</w:t>
      </w:r>
      <w:r w:rsidR="00C51B70" w:rsidRPr="00C51B70">
        <w:rPr>
          <w:lang w:val="en-AU"/>
        </w:rPr>
        <w:t>3</w:t>
      </w:r>
      <w:r w:rsidR="00A642D5" w:rsidRPr="00C51B70">
        <w:rPr>
          <w:lang w:val="en-AU"/>
        </w:rPr>
        <w:t xml:space="preserve">%) were more likely than those from </w:t>
      </w:r>
      <w:r w:rsidR="002733E9" w:rsidRPr="00C51B70">
        <w:rPr>
          <w:lang w:val="en-AU"/>
        </w:rPr>
        <w:t xml:space="preserve">country </w:t>
      </w:r>
      <w:r w:rsidR="00A642D5" w:rsidRPr="00C51B70">
        <w:rPr>
          <w:lang w:val="en-AU"/>
        </w:rPr>
        <w:t>Victoria (29%) to have lived at their current address for more than 20 years.</w:t>
      </w:r>
    </w:p>
    <w:p w14:paraId="0B24D2C6" w14:textId="77777777" w:rsidR="00E02C75" w:rsidRPr="00DA3B75" w:rsidRDefault="00E02C75" w:rsidP="00E02C75">
      <w:pPr>
        <w:pStyle w:val="Para"/>
        <w:rPr>
          <w:highlight w:val="yellow"/>
          <w:lang w:val="en-AU"/>
        </w:rPr>
      </w:pPr>
    </w:p>
    <w:p w14:paraId="1EB69C72" w14:textId="77777777" w:rsidR="00E02C75" w:rsidRPr="00DA3B75" w:rsidRDefault="00E02C75" w:rsidP="00E02C75">
      <w:pPr>
        <w:pStyle w:val="Para"/>
        <w:rPr>
          <w:highlight w:val="yellow"/>
          <w:lang w:val="en-AU"/>
        </w:rPr>
      </w:pPr>
    </w:p>
    <w:p w14:paraId="5E9C82D3" w14:textId="77777777" w:rsidR="00E02C75" w:rsidRPr="00C51B70" w:rsidRDefault="00E02C75" w:rsidP="00BD2674">
      <w:pPr>
        <w:pStyle w:val="Para"/>
        <w:jc w:val="center"/>
        <w:outlineLvl w:val="0"/>
        <w:rPr>
          <w:b/>
          <w:u w:val="single"/>
          <w:lang w:val="en-AU"/>
        </w:rPr>
      </w:pPr>
      <w:r w:rsidRPr="00C51B70">
        <w:rPr>
          <w:b/>
          <w:lang w:val="en-AU"/>
        </w:rPr>
        <w:t xml:space="preserve">Table 3.3.1: </w:t>
      </w:r>
      <w:r w:rsidRPr="00C51B70">
        <w:rPr>
          <w:b/>
          <w:u w:val="single"/>
          <w:lang w:val="en-AU"/>
        </w:rPr>
        <w:t>Length of Time Living at Current Address by Sample Type</w:t>
      </w:r>
    </w:p>
    <w:p w14:paraId="3553C872" w14:textId="77777777" w:rsidR="00E548CE" w:rsidRPr="00C51B70" w:rsidRDefault="00E548CE" w:rsidP="00E02C75">
      <w:pPr>
        <w:pStyle w:val="Para"/>
        <w:outlineLvl w:val="0"/>
        <w:rPr>
          <w:b/>
          <w:u w:val="single"/>
          <w:lang w:val="en-AU"/>
        </w:rPr>
      </w:pPr>
    </w:p>
    <w:tbl>
      <w:tblPr>
        <w:tblW w:w="11380" w:type="dxa"/>
        <w:jc w:val="center"/>
        <w:tblLook w:val="04A0" w:firstRow="1" w:lastRow="0" w:firstColumn="1" w:lastColumn="0" w:noHBand="0" w:noVBand="1"/>
      </w:tblPr>
      <w:tblGrid>
        <w:gridCol w:w="2160"/>
        <w:gridCol w:w="600"/>
        <w:gridCol w:w="600"/>
        <w:gridCol w:w="600"/>
        <w:gridCol w:w="600"/>
        <w:gridCol w:w="600"/>
        <w:gridCol w:w="600"/>
        <w:gridCol w:w="600"/>
        <w:gridCol w:w="600"/>
        <w:gridCol w:w="600"/>
        <w:gridCol w:w="614"/>
        <w:gridCol w:w="613"/>
        <w:gridCol w:w="613"/>
        <w:gridCol w:w="660"/>
        <w:gridCol w:w="660"/>
        <w:gridCol w:w="660"/>
      </w:tblGrid>
      <w:tr w:rsidR="00E548CE" w:rsidRPr="00C51B70" w14:paraId="63D39E36" w14:textId="77777777" w:rsidTr="00BD2674">
        <w:trPr>
          <w:trHeight w:val="450"/>
          <w:jc w:val="center"/>
        </w:trPr>
        <w:tc>
          <w:tcPr>
            <w:tcW w:w="2160" w:type="dxa"/>
            <w:vMerge w:val="restart"/>
            <w:tcBorders>
              <w:top w:val="double" w:sz="6" w:space="0" w:color="auto"/>
              <w:left w:val="double" w:sz="6" w:space="0" w:color="auto"/>
              <w:bottom w:val="single" w:sz="4" w:space="0" w:color="BFBFBF"/>
              <w:right w:val="nil"/>
            </w:tcBorders>
            <w:shd w:val="clear" w:color="auto" w:fill="auto"/>
            <w:vAlign w:val="center"/>
          </w:tcPr>
          <w:p w14:paraId="6A3D978D" w14:textId="77777777" w:rsidR="00E548CE" w:rsidRPr="00C51B70" w:rsidRDefault="00E548CE" w:rsidP="00E548CE">
            <w:pPr>
              <w:spacing w:before="0" w:after="0"/>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Length of time at current address</w:t>
            </w:r>
          </w:p>
        </w:tc>
        <w:tc>
          <w:tcPr>
            <w:tcW w:w="1800" w:type="dxa"/>
            <w:gridSpan w:val="3"/>
            <w:tcBorders>
              <w:top w:val="double" w:sz="6" w:space="0" w:color="auto"/>
              <w:left w:val="single" w:sz="4" w:space="0" w:color="auto"/>
              <w:bottom w:val="single" w:sz="4" w:space="0" w:color="BFBFBF"/>
              <w:right w:val="single" w:sz="4" w:space="0" w:color="000000"/>
            </w:tcBorders>
            <w:shd w:val="clear" w:color="auto" w:fill="auto"/>
            <w:vAlign w:val="center"/>
          </w:tcPr>
          <w:p w14:paraId="57EBE9C4"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Aged Concession HHs</w:t>
            </w:r>
          </w:p>
        </w:tc>
        <w:tc>
          <w:tcPr>
            <w:tcW w:w="1800" w:type="dxa"/>
            <w:gridSpan w:val="3"/>
            <w:tcBorders>
              <w:top w:val="double" w:sz="6" w:space="0" w:color="auto"/>
              <w:left w:val="nil"/>
              <w:bottom w:val="single" w:sz="4" w:space="0" w:color="BFBFBF"/>
              <w:right w:val="single" w:sz="4" w:space="0" w:color="BFBFBF"/>
            </w:tcBorders>
            <w:shd w:val="clear" w:color="auto" w:fill="auto"/>
            <w:vAlign w:val="center"/>
          </w:tcPr>
          <w:p w14:paraId="1073F37A"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Other Concession HHs</w:t>
            </w:r>
          </w:p>
        </w:tc>
        <w:tc>
          <w:tcPr>
            <w:tcW w:w="1800" w:type="dxa"/>
            <w:gridSpan w:val="3"/>
            <w:tcBorders>
              <w:top w:val="double" w:sz="6" w:space="0" w:color="auto"/>
              <w:left w:val="single" w:sz="4" w:space="0" w:color="auto"/>
              <w:bottom w:val="single" w:sz="4" w:space="0" w:color="BFBFBF"/>
              <w:right w:val="single" w:sz="4" w:space="0" w:color="000000"/>
            </w:tcBorders>
            <w:shd w:val="clear" w:color="auto" w:fill="auto"/>
            <w:vAlign w:val="center"/>
          </w:tcPr>
          <w:p w14:paraId="4B5038AE"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Total Concession HHs</w:t>
            </w:r>
          </w:p>
        </w:tc>
        <w:tc>
          <w:tcPr>
            <w:tcW w:w="1840" w:type="dxa"/>
            <w:gridSpan w:val="3"/>
            <w:tcBorders>
              <w:top w:val="double" w:sz="6" w:space="0" w:color="auto"/>
              <w:left w:val="nil"/>
              <w:bottom w:val="single" w:sz="4" w:space="0" w:color="BFBFBF"/>
              <w:right w:val="single" w:sz="4" w:space="0" w:color="BFBFBF"/>
            </w:tcBorders>
            <w:shd w:val="clear" w:color="auto" w:fill="auto"/>
            <w:vAlign w:val="center"/>
          </w:tcPr>
          <w:p w14:paraId="5F9B4F3D"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Non-Concession HHs</w:t>
            </w:r>
          </w:p>
        </w:tc>
        <w:tc>
          <w:tcPr>
            <w:tcW w:w="1980" w:type="dxa"/>
            <w:gridSpan w:val="3"/>
            <w:tcBorders>
              <w:top w:val="double" w:sz="6" w:space="0" w:color="auto"/>
              <w:left w:val="single" w:sz="4" w:space="0" w:color="auto"/>
              <w:bottom w:val="single" w:sz="4" w:space="0" w:color="BFBFBF"/>
              <w:right w:val="double" w:sz="6" w:space="0" w:color="000000"/>
            </w:tcBorders>
            <w:shd w:val="clear" w:color="auto" w:fill="auto"/>
            <w:vAlign w:val="center"/>
          </w:tcPr>
          <w:p w14:paraId="643BC3CE"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Total HHs</w:t>
            </w:r>
          </w:p>
        </w:tc>
      </w:tr>
      <w:tr w:rsidR="00E548CE" w:rsidRPr="00C51B70" w14:paraId="17FF183F" w14:textId="77777777" w:rsidTr="00BD2674">
        <w:trPr>
          <w:trHeight w:val="225"/>
          <w:jc w:val="center"/>
        </w:trPr>
        <w:tc>
          <w:tcPr>
            <w:tcW w:w="2160" w:type="dxa"/>
            <w:vMerge/>
            <w:tcBorders>
              <w:top w:val="double" w:sz="6" w:space="0" w:color="auto"/>
              <w:left w:val="double" w:sz="6" w:space="0" w:color="auto"/>
              <w:bottom w:val="single" w:sz="4" w:space="0" w:color="BFBFBF"/>
              <w:right w:val="nil"/>
            </w:tcBorders>
            <w:vAlign w:val="center"/>
          </w:tcPr>
          <w:p w14:paraId="4869586E" w14:textId="77777777" w:rsidR="00E548CE" w:rsidRPr="00C51B70" w:rsidRDefault="00E548CE" w:rsidP="00E548CE">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C72537F"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18F9F952"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auto"/>
            </w:tcBorders>
            <w:shd w:val="clear" w:color="auto" w:fill="auto"/>
            <w:noWrap/>
            <w:vAlign w:val="center"/>
          </w:tcPr>
          <w:p w14:paraId="48DE6B85"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2001</w:t>
            </w:r>
          </w:p>
        </w:tc>
        <w:tc>
          <w:tcPr>
            <w:tcW w:w="600" w:type="dxa"/>
            <w:tcBorders>
              <w:top w:val="nil"/>
              <w:left w:val="nil"/>
              <w:bottom w:val="single" w:sz="4" w:space="0" w:color="BFBFBF"/>
              <w:right w:val="single" w:sz="4" w:space="0" w:color="BFBFBF"/>
            </w:tcBorders>
            <w:shd w:val="clear" w:color="auto" w:fill="auto"/>
            <w:noWrap/>
            <w:vAlign w:val="bottom"/>
          </w:tcPr>
          <w:p w14:paraId="17CFB804"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16D33E1C"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2007</w:t>
            </w:r>
          </w:p>
        </w:tc>
        <w:tc>
          <w:tcPr>
            <w:tcW w:w="600" w:type="dxa"/>
            <w:tcBorders>
              <w:top w:val="nil"/>
              <w:left w:val="nil"/>
              <w:bottom w:val="single" w:sz="4" w:space="0" w:color="BFBFBF"/>
              <w:right w:val="nil"/>
            </w:tcBorders>
            <w:shd w:val="clear" w:color="auto" w:fill="auto"/>
            <w:noWrap/>
            <w:vAlign w:val="center"/>
          </w:tcPr>
          <w:p w14:paraId="410264AE"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2001</w:t>
            </w:r>
          </w:p>
        </w:tc>
        <w:tc>
          <w:tcPr>
            <w:tcW w:w="600" w:type="dxa"/>
            <w:tcBorders>
              <w:top w:val="nil"/>
              <w:left w:val="single" w:sz="4" w:space="0" w:color="auto"/>
              <w:bottom w:val="single" w:sz="4" w:space="0" w:color="BFBFBF"/>
              <w:right w:val="single" w:sz="4" w:space="0" w:color="BFBFBF"/>
            </w:tcBorders>
            <w:shd w:val="clear" w:color="auto" w:fill="auto"/>
            <w:noWrap/>
            <w:vAlign w:val="bottom"/>
          </w:tcPr>
          <w:p w14:paraId="13DD3D02"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297A2861"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auto"/>
            </w:tcBorders>
            <w:shd w:val="clear" w:color="auto" w:fill="auto"/>
            <w:noWrap/>
            <w:vAlign w:val="center"/>
          </w:tcPr>
          <w:p w14:paraId="4E6BE2FC"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2001</w:t>
            </w:r>
          </w:p>
        </w:tc>
        <w:tc>
          <w:tcPr>
            <w:tcW w:w="614" w:type="dxa"/>
            <w:tcBorders>
              <w:top w:val="nil"/>
              <w:left w:val="nil"/>
              <w:bottom w:val="single" w:sz="4" w:space="0" w:color="BFBFBF"/>
              <w:right w:val="single" w:sz="4" w:space="0" w:color="BFBFBF"/>
            </w:tcBorders>
            <w:shd w:val="clear" w:color="auto" w:fill="auto"/>
            <w:noWrap/>
            <w:vAlign w:val="bottom"/>
          </w:tcPr>
          <w:p w14:paraId="1BEFBDE8"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2014</w:t>
            </w:r>
          </w:p>
        </w:tc>
        <w:tc>
          <w:tcPr>
            <w:tcW w:w="613" w:type="dxa"/>
            <w:tcBorders>
              <w:top w:val="nil"/>
              <w:left w:val="nil"/>
              <w:bottom w:val="single" w:sz="4" w:space="0" w:color="BFBFBF"/>
              <w:right w:val="single" w:sz="4" w:space="0" w:color="BFBFBF"/>
            </w:tcBorders>
            <w:shd w:val="clear" w:color="auto" w:fill="auto"/>
            <w:noWrap/>
            <w:vAlign w:val="center"/>
          </w:tcPr>
          <w:p w14:paraId="57553762"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2007</w:t>
            </w:r>
          </w:p>
        </w:tc>
        <w:tc>
          <w:tcPr>
            <w:tcW w:w="613" w:type="dxa"/>
            <w:tcBorders>
              <w:top w:val="nil"/>
              <w:left w:val="nil"/>
              <w:bottom w:val="single" w:sz="4" w:space="0" w:color="BFBFBF"/>
              <w:right w:val="nil"/>
            </w:tcBorders>
            <w:shd w:val="clear" w:color="auto" w:fill="auto"/>
            <w:noWrap/>
            <w:vAlign w:val="center"/>
          </w:tcPr>
          <w:p w14:paraId="7B3A9D17"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2001</w:t>
            </w:r>
          </w:p>
        </w:tc>
        <w:tc>
          <w:tcPr>
            <w:tcW w:w="660" w:type="dxa"/>
            <w:tcBorders>
              <w:top w:val="nil"/>
              <w:left w:val="single" w:sz="4" w:space="0" w:color="auto"/>
              <w:bottom w:val="single" w:sz="4" w:space="0" w:color="BFBFBF"/>
              <w:right w:val="single" w:sz="4" w:space="0" w:color="BFBFBF"/>
            </w:tcBorders>
            <w:shd w:val="clear" w:color="auto" w:fill="auto"/>
            <w:noWrap/>
            <w:vAlign w:val="bottom"/>
          </w:tcPr>
          <w:p w14:paraId="12A96A2D"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2014</w:t>
            </w:r>
          </w:p>
        </w:tc>
        <w:tc>
          <w:tcPr>
            <w:tcW w:w="660" w:type="dxa"/>
            <w:tcBorders>
              <w:top w:val="nil"/>
              <w:left w:val="nil"/>
              <w:bottom w:val="single" w:sz="4" w:space="0" w:color="BFBFBF"/>
              <w:right w:val="single" w:sz="4" w:space="0" w:color="BFBFBF"/>
            </w:tcBorders>
            <w:shd w:val="clear" w:color="auto" w:fill="auto"/>
            <w:noWrap/>
            <w:vAlign w:val="center"/>
          </w:tcPr>
          <w:p w14:paraId="085B0CB4"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2007</w:t>
            </w:r>
          </w:p>
        </w:tc>
        <w:tc>
          <w:tcPr>
            <w:tcW w:w="660" w:type="dxa"/>
            <w:tcBorders>
              <w:top w:val="nil"/>
              <w:left w:val="nil"/>
              <w:bottom w:val="single" w:sz="4" w:space="0" w:color="BFBFBF"/>
              <w:right w:val="double" w:sz="6" w:space="0" w:color="auto"/>
            </w:tcBorders>
            <w:shd w:val="clear" w:color="auto" w:fill="auto"/>
            <w:noWrap/>
            <w:vAlign w:val="center"/>
          </w:tcPr>
          <w:p w14:paraId="28030C64" w14:textId="77777777" w:rsidR="00E548CE" w:rsidRPr="00C51B70" w:rsidRDefault="00E548CE" w:rsidP="00E548CE">
            <w:pPr>
              <w:spacing w:before="0" w:after="0"/>
              <w:jc w:val="center"/>
              <w:rPr>
                <w:rFonts w:ascii="Arial" w:hAnsi="Arial" w:cs="Arial"/>
                <w:b/>
                <w:bCs/>
                <w:color w:val="000000"/>
                <w:sz w:val="16"/>
                <w:szCs w:val="16"/>
                <w:lang w:val="en-AU" w:eastAsia="en-AU"/>
              </w:rPr>
            </w:pPr>
            <w:r w:rsidRPr="00C51B70">
              <w:rPr>
                <w:rFonts w:ascii="Arial" w:hAnsi="Arial" w:cs="Arial"/>
                <w:b/>
                <w:bCs/>
                <w:color w:val="000000"/>
                <w:sz w:val="16"/>
                <w:szCs w:val="16"/>
                <w:lang w:val="en-AU" w:eastAsia="en-AU"/>
              </w:rPr>
              <w:t>2001</w:t>
            </w:r>
          </w:p>
        </w:tc>
      </w:tr>
      <w:tr w:rsidR="00E548CE" w:rsidRPr="00C51B70" w14:paraId="45FF9483"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3051DA0A" w14:textId="77777777" w:rsidR="00E548CE" w:rsidRPr="00C51B70" w:rsidRDefault="00E548CE" w:rsidP="00E548CE">
            <w:pPr>
              <w:spacing w:before="0" w:after="0"/>
              <w:rPr>
                <w:rFonts w:ascii="Arial" w:hAnsi="Arial" w:cs="Arial"/>
                <w:color w:val="000000"/>
                <w:sz w:val="16"/>
                <w:szCs w:val="16"/>
                <w:lang w:val="en-AU" w:eastAsia="en-AU"/>
              </w:rPr>
            </w:pPr>
            <w:r w:rsidRPr="00C51B70">
              <w:rPr>
                <w:rFonts w:ascii="Arial" w:hAnsi="Arial" w:cs="Arial"/>
                <w:color w:val="000000"/>
                <w:sz w:val="16"/>
                <w:szCs w:val="16"/>
                <w:lang w:val="en-AU" w:eastAsia="en-AU"/>
              </w:rPr>
              <w:t>Less than 1 yr</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F269177"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15A76849"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2587B21"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27788D30"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6CD2900"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17AAD88B"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042036C"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F89FF2E"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7C0F6358"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w:t>
            </w:r>
          </w:p>
        </w:tc>
        <w:tc>
          <w:tcPr>
            <w:tcW w:w="614" w:type="dxa"/>
            <w:tcBorders>
              <w:top w:val="nil"/>
              <w:left w:val="nil"/>
              <w:bottom w:val="single" w:sz="4" w:space="0" w:color="BFBFBF"/>
              <w:right w:val="single" w:sz="4" w:space="0" w:color="BFBFBF"/>
            </w:tcBorders>
            <w:shd w:val="clear" w:color="auto" w:fill="auto"/>
            <w:noWrap/>
            <w:vAlign w:val="center"/>
          </w:tcPr>
          <w:p w14:paraId="75632CCA"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13" w:type="dxa"/>
            <w:tcBorders>
              <w:top w:val="nil"/>
              <w:left w:val="nil"/>
              <w:bottom w:val="single" w:sz="4" w:space="0" w:color="BFBFBF"/>
              <w:right w:val="single" w:sz="4" w:space="0" w:color="BFBFBF"/>
            </w:tcBorders>
            <w:shd w:val="clear" w:color="auto" w:fill="auto"/>
            <w:noWrap/>
            <w:vAlign w:val="center"/>
          </w:tcPr>
          <w:p w14:paraId="78BA2B1A"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13" w:type="dxa"/>
            <w:tcBorders>
              <w:top w:val="nil"/>
              <w:left w:val="nil"/>
              <w:bottom w:val="single" w:sz="4" w:space="0" w:color="BFBFBF"/>
              <w:right w:val="nil"/>
            </w:tcBorders>
            <w:shd w:val="clear" w:color="auto" w:fill="auto"/>
            <w:noWrap/>
            <w:vAlign w:val="center"/>
          </w:tcPr>
          <w:p w14:paraId="1914900A"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w:t>
            </w:r>
          </w:p>
        </w:tc>
        <w:tc>
          <w:tcPr>
            <w:tcW w:w="660" w:type="dxa"/>
            <w:tcBorders>
              <w:top w:val="nil"/>
              <w:left w:val="single" w:sz="4" w:space="0" w:color="auto"/>
              <w:bottom w:val="single" w:sz="4" w:space="0" w:color="BFBFBF"/>
              <w:right w:val="single" w:sz="4" w:space="0" w:color="BFBFBF"/>
            </w:tcBorders>
            <w:shd w:val="clear" w:color="auto" w:fill="auto"/>
            <w:noWrap/>
            <w:vAlign w:val="center"/>
          </w:tcPr>
          <w:p w14:paraId="44E69265"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60" w:type="dxa"/>
            <w:tcBorders>
              <w:top w:val="nil"/>
              <w:left w:val="nil"/>
              <w:bottom w:val="single" w:sz="4" w:space="0" w:color="BFBFBF"/>
              <w:right w:val="single" w:sz="4" w:space="0" w:color="BFBFBF"/>
            </w:tcBorders>
            <w:shd w:val="clear" w:color="auto" w:fill="auto"/>
            <w:noWrap/>
            <w:vAlign w:val="center"/>
          </w:tcPr>
          <w:p w14:paraId="5C8B0076"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60" w:type="dxa"/>
            <w:tcBorders>
              <w:top w:val="nil"/>
              <w:left w:val="nil"/>
              <w:bottom w:val="single" w:sz="4" w:space="0" w:color="BFBFBF"/>
              <w:right w:val="double" w:sz="6" w:space="0" w:color="auto"/>
            </w:tcBorders>
            <w:shd w:val="clear" w:color="auto" w:fill="auto"/>
            <w:noWrap/>
            <w:vAlign w:val="center"/>
          </w:tcPr>
          <w:p w14:paraId="5B9D8B8D"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w:t>
            </w:r>
          </w:p>
        </w:tc>
      </w:tr>
      <w:tr w:rsidR="00E548CE" w:rsidRPr="00C51B70" w14:paraId="0E63E49A"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8F13BD4" w14:textId="77777777" w:rsidR="00E548CE" w:rsidRPr="00C51B70" w:rsidRDefault="00E548CE" w:rsidP="00E548CE">
            <w:pPr>
              <w:spacing w:before="0" w:after="0"/>
              <w:rPr>
                <w:rFonts w:ascii="Arial" w:hAnsi="Arial" w:cs="Arial"/>
                <w:color w:val="000000"/>
                <w:sz w:val="16"/>
                <w:szCs w:val="16"/>
                <w:lang w:val="en-AU" w:eastAsia="en-AU"/>
              </w:rPr>
            </w:pPr>
            <w:r w:rsidRPr="00C51B70">
              <w:rPr>
                <w:rFonts w:ascii="Arial" w:hAnsi="Arial" w:cs="Arial"/>
                <w:color w:val="000000"/>
                <w:sz w:val="16"/>
                <w:szCs w:val="16"/>
                <w:lang w:val="en-AU" w:eastAsia="en-AU"/>
              </w:rPr>
              <w:t>1 yr to less than 2 yrs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99136D7"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32F1B5A4"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7DD21EC1"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00F2CB94"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7D788ACF"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14722130"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15%</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96FE25C"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544BDEE7"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7DB32AF1"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9%</w:t>
            </w:r>
          </w:p>
        </w:tc>
        <w:tc>
          <w:tcPr>
            <w:tcW w:w="614" w:type="dxa"/>
            <w:tcBorders>
              <w:top w:val="nil"/>
              <w:left w:val="nil"/>
              <w:bottom w:val="single" w:sz="4" w:space="0" w:color="BFBFBF"/>
              <w:right w:val="single" w:sz="4" w:space="0" w:color="BFBFBF"/>
            </w:tcBorders>
            <w:shd w:val="clear" w:color="auto" w:fill="auto"/>
            <w:noWrap/>
            <w:vAlign w:val="center"/>
          </w:tcPr>
          <w:p w14:paraId="5D835663"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w:t>
            </w:r>
          </w:p>
        </w:tc>
        <w:tc>
          <w:tcPr>
            <w:tcW w:w="613" w:type="dxa"/>
            <w:tcBorders>
              <w:top w:val="nil"/>
              <w:left w:val="nil"/>
              <w:bottom w:val="single" w:sz="4" w:space="0" w:color="BFBFBF"/>
              <w:right w:val="single" w:sz="4" w:space="0" w:color="BFBFBF"/>
            </w:tcBorders>
            <w:shd w:val="clear" w:color="auto" w:fill="auto"/>
            <w:noWrap/>
            <w:vAlign w:val="center"/>
          </w:tcPr>
          <w:p w14:paraId="1295F11B"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8%</w:t>
            </w:r>
          </w:p>
        </w:tc>
        <w:tc>
          <w:tcPr>
            <w:tcW w:w="613" w:type="dxa"/>
            <w:tcBorders>
              <w:top w:val="nil"/>
              <w:left w:val="nil"/>
              <w:bottom w:val="single" w:sz="4" w:space="0" w:color="BFBFBF"/>
              <w:right w:val="nil"/>
            </w:tcBorders>
            <w:shd w:val="clear" w:color="auto" w:fill="auto"/>
            <w:noWrap/>
            <w:vAlign w:val="center"/>
          </w:tcPr>
          <w:p w14:paraId="1D4F43D2"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12%</w:t>
            </w:r>
          </w:p>
        </w:tc>
        <w:tc>
          <w:tcPr>
            <w:tcW w:w="660" w:type="dxa"/>
            <w:tcBorders>
              <w:top w:val="nil"/>
              <w:left w:val="single" w:sz="4" w:space="0" w:color="auto"/>
              <w:bottom w:val="single" w:sz="4" w:space="0" w:color="BFBFBF"/>
              <w:right w:val="single" w:sz="4" w:space="0" w:color="BFBFBF"/>
            </w:tcBorders>
            <w:shd w:val="clear" w:color="auto" w:fill="auto"/>
            <w:noWrap/>
            <w:vAlign w:val="center"/>
          </w:tcPr>
          <w:p w14:paraId="04E98CCF" w14:textId="77777777" w:rsidR="00E548CE" w:rsidRPr="00C51B70" w:rsidRDefault="00C51B70" w:rsidP="00C51B70">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w:t>
            </w:r>
            <w:r w:rsidR="00E548CE" w:rsidRPr="00C51B70">
              <w:rPr>
                <w:rFonts w:ascii="Arial" w:hAnsi="Arial" w:cs="Arial"/>
                <w:color w:val="000000"/>
                <w:sz w:val="16"/>
                <w:szCs w:val="16"/>
                <w:lang w:val="en-AU" w:eastAsia="en-AU"/>
              </w:rPr>
              <w:t>%</w:t>
            </w:r>
          </w:p>
        </w:tc>
        <w:tc>
          <w:tcPr>
            <w:tcW w:w="660" w:type="dxa"/>
            <w:tcBorders>
              <w:top w:val="nil"/>
              <w:left w:val="nil"/>
              <w:bottom w:val="single" w:sz="4" w:space="0" w:color="BFBFBF"/>
              <w:right w:val="single" w:sz="4" w:space="0" w:color="BFBFBF"/>
            </w:tcBorders>
            <w:shd w:val="clear" w:color="auto" w:fill="auto"/>
            <w:noWrap/>
            <w:vAlign w:val="center"/>
          </w:tcPr>
          <w:p w14:paraId="0ECB998C"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7%</w:t>
            </w:r>
          </w:p>
        </w:tc>
        <w:tc>
          <w:tcPr>
            <w:tcW w:w="660" w:type="dxa"/>
            <w:tcBorders>
              <w:top w:val="nil"/>
              <w:left w:val="nil"/>
              <w:bottom w:val="single" w:sz="4" w:space="0" w:color="BFBFBF"/>
              <w:right w:val="double" w:sz="6" w:space="0" w:color="auto"/>
            </w:tcBorders>
            <w:shd w:val="clear" w:color="auto" w:fill="auto"/>
            <w:noWrap/>
            <w:vAlign w:val="center"/>
          </w:tcPr>
          <w:p w14:paraId="33CE5A1D"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11%</w:t>
            </w:r>
          </w:p>
        </w:tc>
      </w:tr>
      <w:tr w:rsidR="00E548CE" w:rsidRPr="00C51B70" w14:paraId="31C4DE90"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945A829" w14:textId="77777777" w:rsidR="00E548CE" w:rsidRPr="00C51B70" w:rsidRDefault="00E548CE" w:rsidP="00E548CE">
            <w:pPr>
              <w:spacing w:before="0" w:after="0"/>
              <w:rPr>
                <w:rFonts w:ascii="Arial" w:hAnsi="Arial" w:cs="Arial"/>
                <w:color w:val="000000"/>
                <w:sz w:val="16"/>
                <w:szCs w:val="16"/>
                <w:lang w:val="en-AU" w:eastAsia="en-AU"/>
              </w:rPr>
            </w:pPr>
            <w:r w:rsidRPr="00C51B70">
              <w:rPr>
                <w:rFonts w:ascii="Arial" w:hAnsi="Arial" w:cs="Arial"/>
                <w:color w:val="000000"/>
                <w:sz w:val="16"/>
                <w:szCs w:val="16"/>
                <w:lang w:val="en-AU" w:eastAsia="en-AU"/>
              </w:rPr>
              <w:t>2 yrs up to 5 yrs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050F9EB"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BFBFBF"/>
            </w:tcBorders>
            <w:shd w:val="clear" w:color="auto" w:fill="auto"/>
            <w:noWrap/>
            <w:vAlign w:val="center"/>
          </w:tcPr>
          <w:p w14:paraId="6D90A215"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auto"/>
            </w:tcBorders>
            <w:shd w:val="clear" w:color="auto" w:fill="auto"/>
            <w:noWrap/>
            <w:vAlign w:val="center"/>
          </w:tcPr>
          <w:p w14:paraId="60A6E741"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BFBFBF"/>
            </w:tcBorders>
            <w:shd w:val="clear" w:color="auto" w:fill="auto"/>
            <w:noWrap/>
            <w:vAlign w:val="center"/>
          </w:tcPr>
          <w:p w14:paraId="7E028A8B"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22%</w:t>
            </w:r>
          </w:p>
        </w:tc>
        <w:tc>
          <w:tcPr>
            <w:tcW w:w="600" w:type="dxa"/>
            <w:tcBorders>
              <w:top w:val="nil"/>
              <w:left w:val="nil"/>
              <w:bottom w:val="single" w:sz="4" w:space="0" w:color="BFBFBF"/>
              <w:right w:val="single" w:sz="4" w:space="0" w:color="BFBFBF"/>
            </w:tcBorders>
            <w:shd w:val="clear" w:color="auto" w:fill="auto"/>
            <w:noWrap/>
            <w:vAlign w:val="center"/>
          </w:tcPr>
          <w:p w14:paraId="4289DFD8"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28%</w:t>
            </w:r>
          </w:p>
        </w:tc>
        <w:tc>
          <w:tcPr>
            <w:tcW w:w="600" w:type="dxa"/>
            <w:tcBorders>
              <w:top w:val="nil"/>
              <w:left w:val="nil"/>
              <w:bottom w:val="single" w:sz="4" w:space="0" w:color="BFBFBF"/>
              <w:right w:val="nil"/>
            </w:tcBorders>
            <w:shd w:val="clear" w:color="auto" w:fill="auto"/>
            <w:noWrap/>
            <w:vAlign w:val="center"/>
          </w:tcPr>
          <w:p w14:paraId="3E5D4A4B"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28%</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BF7FD82" w14:textId="77777777" w:rsidR="00E548CE" w:rsidRPr="00C51B70" w:rsidRDefault="00E548CE" w:rsidP="00C51B70">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w:t>
            </w:r>
            <w:r w:rsidR="00C51B70" w:rsidRPr="00C51B70">
              <w:rPr>
                <w:rFonts w:ascii="Arial" w:hAnsi="Arial" w:cs="Arial"/>
                <w:color w:val="000000"/>
                <w:sz w:val="16"/>
                <w:szCs w:val="16"/>
                <w:lang w:val="en-AU" w:eastAsia="en-AU"/>
              </w:rPr>
              <w:t>5</w:t>
            </w:r>
            <w:r w:rsidRPr="00C51B70">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13C52B09"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18%</w:t>
            </w:r>
          </w:p>
        </w:tc>
        <w:tc>
          <w:tcPr>
            <w:tcW w:w="600" w:type="dxa"/>
            <w:tcBorders>
              <w:top w:val="nil"/>
              <w:left w:val="nil"/>
              <w:bottom w:val="single" w:sz="4" w:space="0" w:color="BFBFBF"/>
              <w:right w:val="single" w:sz="4" w:space="0" w:color="auto"/>
            </w:tcBorders>
            <w:shd w:val="clear" w:color="auto" w:fill="auto"/>
            <w:noWrap/>
            <w:vAlign w:val="center"/>
          </w:tcPr>
          <w:p w14:paraId="0E10C4B3"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19%</w:t>
            </w:r>
          </w:p>
        </w:tc>
        <w:tc>
          <w:tcPr>
            <w:tcW w:w="614" w:type="dxa"/>
            <w:tcBorders>
              <w:top w:val="nil"/>
              <w:left w:val="nil"/>
              <w:bottom w:val="single" w:sz="4" w:space="0" w:color="BFBFBF"/>
              <w:right w:val="single" w:sz="4" w:space="0" w:color="BFBFBF"/>
            </w:tcBorders>
            <w:shd w:val="clear" w:color="auto" w:fill="auto"/>
            <w:noWrap/>
            <w:vAlign w:val="center"/>
          </w:tcPr>
          <w:p w14:paraId="3456C4FE"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25%</w:t>
            </w:r>
          </w:p>
        </w:tc>
        <w:tc>
          <w:tcPr>
            <w:tcW w:w="613" w:type="dxa"/>
            <w:tcBorders>
              <w:top w:val="nil"/>
              <w:left w:val="nil"/>
              <w:bottom w:val="single" w:sz="4" w:space="0" w:color="BFBFBF"/>
              <w:right w:val="single" w:sz="4" w:space="0" w:color="BFBFBF"/>
            </w:tcBorders>
            <w:shd w:val="clear" w:color="auto" w:fill="auto"/>
            <w:noWrap/>
            <w:vAlign w:val="center"/>
          </w:tcPr>
          <w:p w14:paraId="7FD0266D"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27%</w:t>
            </w:r>
          </w:p>
        </w:tc>
        <w:tc>
          <w:tcPr>
            <w:tcW w:w="613" w:type="dxa"/>
            <w:tcBorders>
              <w:top w:val="nil"/>
              <w:left w:val="nil"/>
              <w:bottom w:val="single" w:sz="4" w:space="0" w:color="BFBFBF"/>
              <w:right w:val="nil"/>
            </w:tcBorders>
            <w:shd w:val="clear" w:color="auto" w:fill="auto"/>
            <w:noWrap/>
            <w:vAlign w:val="center"/>
          </w:tcPr>
          <w:p w14:paraId="6F5F21D9"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27%</w:t>
            </w:r>
          </w:p>
        </w:tc>
        <w:tc>
          <w:tcPr>
            <w:tcW w:w="660" w:type="dxa"/>
            <w:tcBorders>
              <w:top w:val="nil"/>
              <w:left w:val="single" w:sz="4" w:space="0" w:color="auto"/>
              <w:bottom w:val="single" w:sz="4" w:space="0" w:color="BFBFBF"/>
              <w:right w:val="single" w:sz="4" w:space="0" w:color="BFBFBF"/>
            </w:tcBorders>
            <w:shd w:val="clear" w:color="auto" w:fill="auto"/>
            <w:noWrap/>
            <w:vAlign w:val="bottom"/>
          </w:tcPr>
          <w:p w14:paraId="2FA28495"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21%</w:t>
            </w:r>
          </w:p>
        </w:tc>
        <w:tc>
          <w:tcPr>
            <w:tcW w:w="660" w:type="dxa"/>
            <w:tcBorders>
              <w:top w:val="nil"/>
              <w:left w:val="nil"/>
              <w:bottom w:val="single" w:sz="4" w:space="0" w:color="BFBFBF"/>
              <w:right w:val="single" w:sz="4" w:space="0" w:color="BFBFBF"/>
            </w:tcBorders>
            <w:shd w:val="clear" w:color="auto" w:fill="auto"/>
            <w:noWrap/>
            <w:vAlign w:val="center"/>
          </w:tcPr>
          <w:p w14:paraId="08C5209F"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23%</w:t>
            </w:r>
          </w:p>
        </w:tc>
        <w:tc>
          <w:tcPr>
            <w:tcW w:w="660" w:type="dxa"/>
            <w:tcBorders>
              <w:top w:val="nil"/>
              <w:left w:val="nil"/>
              <w:bottom w:val="single" w:sz="4" w:space="0" w:color="BFBFBF"/>
              <w:right w:val="double" w:sz="6" w:space="0" w:color="auto"/>
            </w:tcBorders>
            <w:shd w:val="clear" w:color="auto" w:fill="auto"/>
            <w:noWrap/>
            <w:vAlign w:val="center"/>
          </w:tcPr>
          <w:p w14:paraId="0D813B19"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24%</w:t>
            </w:r>
          </w:p>
        </w:tc>
      </w:tr>
      <w:tr w:rsidR="00E548CE" w:rsidRPr="00C51B70" w14:paraId="5BF01906"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689B01CB" w14:textId="77777777" w:rsidR="00E548CE" w:rsidRPr="00C51B70" w:rsidRDefault="00E548CE" w:rsidP="00E548CE">
            <w:pPr>
              <w:spacing w:before="0" w:after="0"/>
              <w:rPr>
                <w:rFonts w:ascii="Arial" w:hAnsi="Arial" w:cs="Arial"/>
                <w:color w:val="000000"/>
                <w:sz w:val="16"/>
                <w:szCs w:val="16"/>
                <w:lang w:val="en-AU" w:eastAsia="en-AU"/>
              </w:rPr>
            </w:pPr>
            <w:r w:rsidRPr="00C51B70">
              <w:rPr>
                <w:rFonts w:ascii="Arial" w:hAnsi="Arial" w:cs="Arial"/>
                <w:color w:val="000000"/>
                <w:sz w:val="16"/>
                <w:szCs w:val="16"/>
                <w:lang w:val="en-AU" w:eastAsia="en-AU"/>
              </w:rPr>
              <w:t>Over 5 yrs up to 10 yrs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DA0AD87"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16%</w:t>
            </w:r>
          </w:p>
        </w:tc>
        <w:tc>
          <w:tcPr>
            <w:tcW w:w="600" w:type="dxa"/>
            <w:tcBorders>
              <w:top w:val="nil"/>
              <w:left w:val="nil"/>
              <w:bottom w:val="single" w:sz="4" w:space="0" w:color="BFBFBF"/>
              <w:right w:val="single" w:sz="4" w:space="0" w:color="BFBFBF"/>
            </w:tcBorders>
            <w:shd w:val="clear" w:color="auto" w:fill="auto"/>
            <w:noWrap/>
            <w:vAlign w:val="center"/>
          </w:tcPr>
          <w:p w14:paraId="382DD349"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15%</w:t>
            </w:r>
          </w:p>
        </w:tc>
        <w:tc>
          <w:tcPr>
            <w:tcW w:w="600" w:type="dxa"/>
            <w:tcBorders>
              <w:top w:val="nil"/>
              <w:left w:val="nil"/>
              <w:bottom w:val="single" w:sz="4" w:space="0" w:color="BFBFBF"/>
              <w:right w:val="single" w:sz="4" w:space="0" w:color="auto"/>
            </w:tcBorders>
            <w:shd w:val="clear" w:color="auto" w:fill="auto"/>
            <w:noWrap/>
            <w:vAlign w:val="center"/>
          </w:tcPr>
          <w:p w14:paraId="510F56AF"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BFBFBF"/>
            </w:tcBorders>
            <w:shd w:val="clear" w:color="auto" w:fill="auto"/>
            <w:noWrap/>
            <w:vAlign w:val="center"/>
          </w:tcPr>
          <w:p w14:paraId="547D5622"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27%</w:t>
            </w:r>
          </w:p>
        </w:tc>
        <w:tc>
          <w:tcPr>
            <w:tcW w:w="600" w:type="dxa"/>
            <w:tcBorders>
              <w:top w:val="nil"/>
              <w:left w:val="nil"/>
              <w:bottom w:val="single" w:sz="4" w:space="0" w:color="BFBFBF"/>
              <w:right w:val="single" w:sz="4" w:space="0" w:color="BFBFBF"/>
            </w:tcBorders>
            <w:shd w:val="clear" w:color="auto" w:fill="auto"/>
            <w:noWrap/>
            <w:vAlign w:val="center"/>
          </w:tcPr>
          <w:p w14:paraId="675E3908"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27%</w:t>
            </w:r>
          </w:p>
        </w:tc>
        <w:tc>
          <w:tcPr>
            <w:tcW w:w="600" w:type="dxa"/>
            <w:tcBorders>
              <w:top w:val="nil"/>
              <w:left w:val="nil"/>
              <w:bottom w:val="single" w:sz="4" w:space="0" w:color="BFBFBF"/>
              <w:right w:val="nil"/>
            </w:tcBorders>
            <w:shd w:val="clear" w:color="auto" w:fill="auto"/>
            <w:noWrap/>
            <w:vAlign w:val="center"/>
          </w:tcPr>
          <w:p w14:paraId="24BECA37"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20%</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6605F72"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21%</w:t>
            </w:r>
          </w:p>
        </w:tc>
        <w:tc>
          <w:tcPr>
            <w:tcW w:w="600" w:type="dxa"/>
            <w:tcBorders>
              <w:top w:val="nil"/>
              <w:left w:val="nil"/>
              <w:bottom w:val="single" w:sz="4" w:space="0" w:color="BFBFBF"/>
              <w:right w:val="single" w:sz="4" w:space="0" w:color="BFBFBF"/>
            </w:tcBorders>
            <w:shd w:val="clear" w:color="auto" w:fill="auto"/>
            <w:noWrap/>
            <w:vAlign w:val="center"/>
          </w:tcPr>
          <w:p w14:paraId="7A3A6C7B"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21%</w:t>
            </w:r>
          </w:p>
        </w:tc>
        <w:tc>
          <w:tcPr>
            <w:tcW w:w="600" w:type="dxa"/>
            <w:tcBorders>
              <w:top w:val="nil"/>
              <w:left w:val="nil"/>
              <w:bottom w:val="single" w:sz="4" w:space="0" w:color="BFBFBF"/>
              <w:right w:val="single" w:sz="4" w:space="0" w:color="auto"/>
            </w:tcBorders>
            <w:shd w:val="clear" w:color="auto" w:fill="auto"/>
            <w:noWrap/>
            <w:vAlign w:val="center"/>
          </w:tcPr>
          <w:p w14:paraId="2E60A33F"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15%</w:t>
            </w:r>
          </w:p>
        </w:tc>
        <w:tc>
          <w:tcPr>
            <w:tcW w:w="614" w:type="dxa"/>
            <w:tcBorders>
              <w:top w:val="nil"/>
              <w:left w:val="nil"/>
              <w:bottom w:val="single" w:sz="4" w:space="0" w:color="BFBFBF"/>
              <w:right w:val="single" w:sz="4" w:space="0" w:color="BFBFBF"/>
            </w:tcBorders>
            <w:shd w:val="clear" w:color="auto" w:fill="auto"/>
            <w:noWrap/>
            <w:vAlign w:val="center"/>
          </w:tcPr>
          <w:p w14:paraId="4C636567"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23%</w:t>
            </w:r>
          </w:p>
        </w:tc>
        <w:tc>
          <w:tcPr>
            <w:tcW w:w="613" w:type="dxa"/>
            <w:tcBorders>
              <w:top w:val="nil"/>
              <w:left w:val="nil"/>
              <w:bottom w:val="single" w:sz="4" w:space="0" w:color="BFBFBF"/>
              <w:right w:val="single" w:sz="4" w:space="0" w:color="BFBFBF"/>
            </w:tcBorders>
            <w:shd w:val="clear" w:color="auto" w:fill="auto"/>
            <w:noWrap/>
            <w:vAlign w:val="center"/>
          </w:tcPr>
          <w:p w14:paraId="1C35FF21"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22%</w:t>
            </w:r>
          </w:p>
        </w:tc>
        <w:tc>
          <w:tcPr>
            <w:tcW w:w="613" w:type="dxa"/>
            <w:tcBorders>
              <w:top w:val="nil"/>
              <w:left w:val="nil"/>
              <w:bottom w:val="single" w:sz="4" w:space="0" w:color="BFBFBF"/>
              <w:right w:val="nil"/>
            </w:tcBorders>
            <w:shd w:val="clear" w:color="auto" w:fill="auto"/>
            <w:noWrap/>
            <w:vAlign w:val="center"/>
          </w:tcPr>
          <w:p w14:paraId="5E895F3E"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21%</w:t>
            </w:r>
          </w:p>
        </w:tc>
        <w:tc>
          <w:tcPr>
            <w:tcW w:w="660" w:type="dxa"/>
            <w:tcBorders>
              <w:top w:val="nil"/>
              <w:left w:val="single" w:sz="4" w:space="0" w:color="auto"/>
              <w:bottom w:val="single" w:sz="4" w:space="0" w:color="BFBFBF"/>
              <w:right w:val="single" w:sz="4" w:space="0" w:color="BFBFBF"/>
            </w:tcBorders>
            <w:shd w:val="clear" w:color="auto" w:fill="auto"/>
            <w:noWrap/>
            <w:vAlign w:val="bottom"/>
          </w:tcPr>
          <w:p w14:paraId="5717A796"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22%</w:t>
            </w:r>
          </w:p>
        </w:tc>
        <w:tc>
          <w:tcPr>
            <w:tcW w:w="660" w:type="dxa"/>
            <w:tcBorders>
              <w:top w:val="nil"/>
              <w:left w:val="nil"/>
              <w:bottom w:val="single" w:sz="4" w:space="0" w:color="BFBFBF"/>
              <w:right w:val="single" w:sz="4" w:space="0" w:color="BFBFBF"/>
            </w:tcBorders>
            <w:shd w:val="clear" w:color="auto" w:fill="auto"/>
            <w:noWrap/>
            <w:vAlign w:val="center"/>
          </w:tcPr>
          <w:p w14:paraId="41850C12"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22%</w:t>
            </w:r>
          </w:p>
        </w:tc>
        <w:tc>
          <w:tcPr>
            <w:tcW w:w="660" w:type="dxa"/>
            <w:tcBorders>
              <w:top w:val="nil"/>
              <w:left w:val="nil"/>
              <w:bottom w:val="single" w:sz="4" w:space="0" w:color="BFBFBF"/>
              <w:right w:val="double" w:sz="6" w:space="0" w:color="auto"/>
            </w:tcBorders>
            <w:shd w:val="clear" w:color="auto" w:fill="auto"/>
            <w:noWrap/>
            <w:vAlign w:val="center"/>
          </w:tcPr>
          <w:p w14:paraId="282CDB91"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18%</w:t>
            </w:r>
          </w:p>
        </w:tc>
      </w:tr>
      <w:tr w:rsidR="00E548CE" w:rsidRPr="00C51B70" w14:paraId="3F0E1C54"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4FCE2BC" w14:textId="77777777" w:rsidR="00E548CE" w:rsidRPr="00C51B70" w:rsidRDefault="00E548CE" w:rsidP="00E548CE">
            <w:pPr>
              <w:spacing w:before="0" w:after="0"/>
              <w:rPr>
                <w:rFonts w:ascii="Arial" w:hAnsi="Arial" w:cs="Arial"/>
                <w:color w:val="000000"/>
                <w:sz w:val="16"/>
                <w:szCs w:val="16"/>
                <w:lang w:val="en-AU" w:eastAsia="en-AU"/>
              </w:rPr>
            </w:pPr>
            <w:r w:rsidRPr="00C51B70">
              <w:rPr>
                <w:rFonts w:ascii="Arial" w:hAnsi="Arial" w:cs="Arial"/>
                <w:color w:val="000000"/>
                <w:sz w:val="16"/>
                <w:szCs w:val="16"/>
                <w:lang w:val="en-AU" w:eastAsia="en-AU"/>
              </w:rPr>
              <w:t>Over 10 yrs up to 20 yrs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492FAD3"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25%</w:t>
            </w:r>
          </w:p>
        </w:tc>
        <w:tc>
          <w:tcPr>
            <w:tcW w:w="600" w:type="dxa"/>
            <w:tcBorders>
              <w:top w:val="nil"/>
              <w:left w:val="nil"/>
              <w:bottom w:val="single" w:sz="4" w:space="0" w:color="BFBFBF"/>
              <w:right w:val="single" w:sz="4" w:space="0" w:color="BFBFBF"/>
            </w:tcBorders>
            <w:shd w:val="clear" w:color="auto" w:fill="auto"/>
            <w:noWrap/>
            <w:vAlign w:val="center"/>
          </w:tcPr>
          <w:p w14:paraId="65AD30CA"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20%</w:t>
            </w:r>
          </w:p>
        </w:tc>
        <w:tc>
          <w:tcPr>
            <w:tcW w:w="600" w:type="dxa"/>
            <w:tcBorders>
              <w:top w:val="nil"/>
              <w:left w:val="nil"/>
              <w:bottom w:val="single" w:sz="4" w:space="0" w:color="BFBFBF"/>
              <w:right w:val="single" w:sz="4" w:space="0" w:color="auto"/>
            </w:tcBorders>
            <w:shd w:val="clear" w:color="auto" w:fill="auto"/>
            <w:noWrap/>
            <w:vAlign w:val="center"/>
          </w:tcPr>
          <w:p w14:paraId="4035A1CE"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23%</w:t>
            </w:r>
          </w:p>
        </w:tc>
        <w:tc>
          <w:tcPr>
            <w:tcW w:w="600" w:type="dxa"/>
            <w:tcBorders>
              <w:top w:val="nil"/>
              <w:left w:val="nil"/>
              <w:bottom w:val="single" w:sz="4" w:space="0" w:color="BFBFBF"/>
              <w:right w:val="single" w:sz="4" w:space="0" w:color="BFBFBF"/>
            </w:tcBorders>
            <w:shd w:val="clear" w:color="auto" w:fill="auto"/>
            <w:noWrap/>
            <w:vAlign w:val="center"/>
          </w:tcPr>
          <w:p w14:paraId="648D2F4E"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23%</w:t>
            </w:r>
          </w:p>
        </w:tc>
        <w:tc>
          <w:tcPr>
            <w:tcW w:w="600" w:type="dxa"/>
            <w:tcBorders>
              <w:top w:val="nil"/>
              <w:left w:val="nil"/>
              <w:bottom w:val="single" w:sz="4" w:space="0" w:color="BFBFBF"/>
              <w:right w:val="single" w:sz="4" w:space="0" w:color="BFBFBF"/>
            </w:tcBorders>
            <w:shd w:val="clear" w:color="auto" w:fill="auto"/>
            <w:noWrap/>
            <w:vAlign w:val="center"/>
          </w:tcPr>
          <w:p w14:paraId="175CAA84"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19%</w:t>
            </w:r>
          </w:p>
        </w:tc>
        <w:tc>
          <w:tcPr>
            <w:tcW w:w="600" w:type="dxa"/>
            <w:tcBorders>
              <w:top w:val="nil"/>
              <w:left w:val="nil"/>
              <w:bottom w:val="single" w:sz="4" w:space="0" w:color="BFBFBF"/>
              <w:right w:val="nil"/>
            </w:tcBorders>
            <w:shd w:val="clear" w:color="auto" w:fill="auto"/>
            <w:noWrap/>
            <w:vAlign w:val="center"/>
          </w:tcPr>
          <w:p w14:paraId="59064200"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20%</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01ECEBE"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24%</w:t>
            </w:r>
          </w:p>
        </w:tc>
        <w:tc>
          <w:tcPr>
            <w:tcW w:w="600" w:type="dxa"/>
            <w:tcBorders>
              <w:top w:val="nil"/>
              <w:left w:val="nil"/>
              <w:bottom w:val="single" w:sz="4" w:space="0" w:color="BFBFBF"/>
              <w:right w:val="single" w:sz="4" w:space="0" w:color="BFBFBF"/>
            </w:tcBorders>
            <w:shd w:val="clear" w:color="auto" w:fill="auto"/>
            <w:noWrap/>
            <w:vAlign w:val="center"/>
          </w:tcPr>
          <w:p w14:paraId="18EE3993"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20%</w:t>
            </w:r>
          </w:p>
        </w:tc>
        <w:tc>
          <w:tcPr>
            <w:tcW w:w="600" w:type="dxa"/>
            <w:tcBorders>
              <w:top w:val="nil"/>
              <w:left w:val="nil"/>
              <w:bottom w:val="single" w:sz="4" w:space="0" w:color="BFBFBF"/>
              <w:right w:val="single" w:sz="4" w:space="0" w:color="auto"/>
            </w:tcBorders>
            <w:shd w:val="clear" w:color="auto" w:fill="auto"/>
            <w:noWrap/>
            <w:vAlign w:val="center"/>
          </w:tcPr>
          <w:p w14:paraId="06237B1F"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21%</w:t>
            </w:r>
          </w:p>
        </w:tc>
        <w:tc>
          <w:tcPr>
            <w:tcW w:w="614" w:type="dxa"/>
            <w:tcBorders>
              <w:top w:val="nil"/>
              <w:left w:val="nil"/>
              <w:bottom w:val="single" w:sz="4" w:space="0" w:color="BFBFBF"/>
              <w:right w:val="single" w:sz="4" w:space="0" w:color="BFBFBF"/>
            </w:tcBorders>
            <w:shd w:val="clear" w:color="auto" w:fill="auto"/>
            <w:noWrap/>
            <w:vAlign w:val="center"/>
          </w:tcPr>
          <w:p w14:paraId="1A370904"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24%</w:t>
            </w:r>
          </w:p>
        </w:tc>
        <w:tc>
          <w:tcPr>
            <w:tcW w:w="613" w:type="dxa"/>
            <w:tcBorders>
              <w:top w:val="nil"/>
              <w:left w:val="nil"/>
              <w:bottom w:val="single" w:sz="4" w:space="0" w:color="BFBFBF"/>
              <w:right w:val="single" w:sz="4" w:space="0" w:color="BFBFBF"/>
            </w:tcBorders>
            <w:shd w:val="clear" w:color="auto" w:fill="auto"/>
            <w:noWrap/>
            <w:vAlign w:val="center"/>
          </w:tcPr>
          <w:p w14:paraId="4C618D22"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23%</w:t>
            </w:r>
          </w:p>
        </w:tc>
        <w:tc>
          <w:tcPr>
            <w:tcW w:w="613" w:type="dxa"/>
            <w:tcBorders>
              <w:top w:val="nil"/>
              <w:left w:val="nil"/>
              <w:bottom w:val="single" w:sz="4" w:space="0" w:color="BFBFBF"/>
              <w:right w:val="nil"/>
            </w:tcBorders>
            <w:shd w:val="clear" w:color="auto" w:fill="auto"/>
            <w:noWrap/>
            <w:vAlign w:val="center"/>
          </w:tcPr>
          <w:p w14:paraId="55703169"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22%</w:t>
            </w:r>
          </w:p>
        </w:tc>
        <w:tc>
          <w:tcPr>
            <w:tcW w:w="660" w:type="dxa"/>
            <w:tcBorders>
              <w:top w:val="nil"/>
              <w:left w:val="single" w:sz="4" w:space="0" w:color="auto"/>
              <w:bottom w:val="single" w:sz="4" w:space="0" w:color="BFBFBF"/>
              <w:right w:val="single" w:sz="4" w:space="0" w:color="BFBFBF"/>
            </w:tcBorders>
            <w:shd w:val="clear" w:color="auto" w:fill="auto"/>
            <w:noWrap/>
            <w:vAlign w:val="bottom"/>
          </w:tcPr>
          <w:p w14:paraId="4C245DBD"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24%</w:t>
            </w:r>
          </w:p>
        </w:tc>
        <w:tc>
          <w:tcPr>
            <w:tcW w:w="660" w:type="dxa"/>
            <w:tcBorders>
              <w:top w:val="nil"/>
              <w:left w:val="nil"/>
              <w:bottom w:val="single" w:sz="4" w:space="0" w:color="BFBFBF"/>
              <w:right w:val="single" w:sz="4" w:space="0" w:color="BFBFBF"/>
            </w:tcBorders>
            <w:shd w:val="clear" w:color="auto" w:fill="auto"/>
            <w:noWrap/>
            <w:vAlign w:val="center"/>
          </w:tcPr>
          <w:p w14:paraId="2A2CF846"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22%</w:t>
            </w:r>
          </w:p>
        </w:tc>
        <w:tc>
          <w:tcPr>
            <w:tcW w:w="660" w:type="dxa"/>
            <w:tcBorders>
              <w:top w:val="nil"/>
              <w:left w:val="nil"/>
              <w:bottom w:val="single" w:sz="4" w:space="0" w:color="BFBFBF"/>
              <w:right w:val="double" w:sz="6" w:space="0" w:color="auto"/>
            </w:tcBorders>
            <w:shd w:val="clear" w:color="auto" w:fill="auto"/>
            <w:noWrap/>
            <w:vAlign w:val="center"/>
          </w:tcPr>
          <w:p w14:paraId="1A3D5C64"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22%</w:t>
            </w:r>
          </w:p>
        </w:tc>
      </w:tr>
      <w:tr w:rsidR="00E548CE" w:rsidRPr="00C51B70" w14:paraId="2BE4762B"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1B619E9B" w14:textId="77777777" w:rsidR="00E548CE" w:rsidRPr="00C51B70" w:rsidRDefault="00E548CE" w:rsidP="00E548CE">
            <w:pPr>
              <w:spacing w:before="0" w:after="0"/>
              <w:rPr>
                <w:rFonts w:ascii="Arial" w:hAnsi="Arial" w:cs="Arial"/>
                <w:color w:val="000000"/>
                <w:sz w:val="16"/>
                <w:szCs w:val="16"/>
                <w:lang w:val="en-AU" w:eastAsia="en-AU"/>
              </w:rPr>
            </w:pPr>
            <w:r w:rsidRPr="00C51B70">
              <w:rPr>
                <w:rFonts w:ascii="Arial" w:hAnsi="Arial" w:cs="Arial"/>
                <w:color w:val="000000"/>
                <w:sz w:val="16"/>
                <w:szCs w:val="16"/>
                <w:lang w:val="en-AU" w:eastAsia="en-AU"/>
              </w:rPr>
              <w:t>Over 20 yrs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B0E5CDB"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49%</w:t>
            </w:r>
          </w:p>
        </w:tc>
        <w:tc>
          <w:tcPr>
            <w:tcW w:w="600" w:type="dxa"/>
            <w:tcBorders>
              <w:top w:val="nil"/>
              <w:left w:val="nil"/>
              <w:bottom w:val="single" w:sz="4" w:space="0" w:color="BFBFBF"/>
              <w:right w:val="single" w:sz="4" w:space="0" w:color="BFBFBF"/>
            </w:tcBorders>
            <w:shd w:val="clear" w:color="auto" w:fill="auto"/>
            <w:noWrap/>
            <w:vAlign w:val="center"/>
          </w:tcPr>
          <w:p w14:paraId="410CE80B"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51%</w:t>
            </w:r>
          </w:p>
        </w:tc>
        <w:tc>
          <w:tcPr>
            <w:tcW w:w="600" w:type="dxa"/>
            <w:tcBorders>
              <w:top w:val="nil"/>
              <w:left w:val="nil"/>
              <w:bottom w:val="single" w:sz="4" w:space="0" w:color="BFBFBF"/>
              <w:right w:val="single" w:sz="4" w:space="0" w:color="auto"/>
            </w:tcBorders>
            <w:shd w:val="clear" w:color="auto" w:fill="auto"/>
            <w:noWrap/>
            <w:vAlign w:val="center"/>
          </w:tcPr>
          <w:p w14:paraId="272EC776"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53%</w:t>
            </w:r>
          </w:p>
        </w:tc>
        <w:tc>
          <w:tcPr>
            <w:tcW w:w="600" w:type="dxa"/>
            <w:tcBorders>
              <w:top w:val="nil"/>
              <w:left w:val="nil"/>
              <w:bottom w:val="single" w:sz="4" w:space="0" w:color="BFBFBF"/>
              <w:right w:val="single" w:sz="4" w:space="0" w:color="BFBFBF"/>
            </w:tcBorders>
            <w:shd w:val="clear" w:color="auto" w:fill="auto"/>
            <w:noWrap/>
            <w:vAlign w:val="center"/>
          </w:tcPr>
          <w:p w14:paraId="48A6CF0F"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26%</w:t>
            </w:r>
          </w:p>
        </w:tc>
        <w:tc>
          <w:tcPr>
            <w:tcW w:w="600" w:type="dxa"/>
            <w:tcBorders>
              <w:top w:val="nil"/>
              <w:left w:val="nil"/>
              <w:bottom w:val="single" w:sz="4" w:space="0" w:color="BFBFBF"/>
              <w:right w:val="single" w:sz="4" w:space="0" w:color="BFBFBF"/>
            </w:tcBorders>
            <w:shd w:val="clear" w:color="auto" w:fill="auto"/>
            <w:noWrap/>
            <w:vAlign w:val="center"/>
          </w:tcPr>
          <w:p w14:paraId="42626072"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15%</w:t>
            </w:r>
          </w:p>
        </w:tc>
        <w:tc>
          <w:tcPr>
            <w:tcW w:w="600" w:type="dxa"/>
            <w:tcBorders>
              <w:top w:val="nil"/>
              <w:left w:val="nil"/>
              <w:bottom w:val="single" w:sz="4" w:space="0" w:color="BFBFBF"/>
              <w:right w:val="nil"/>
            </w:tcBorders>
            <w:shd w:val="clear" w:color="auto" w:fill="auto"/>
            <w:noWrap/>
            <w:vAlign w:val="center"/>
          </w:tcPr>
          <w:p w14:paraId="531AC1C4"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15%</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4885990"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38%</w:t>
            </w:r>
          </w:p>
        </w:tc>
        <w:tc>
          <w:tcPr>
            <w:tcW w:w="600" w:type="dxa"/>
            <w:tcBorders>
              <w:top w:val="nil"/>
              <w:left w:val="nil"/>
              <w:bottom w:val="single" w:sz="4" w:space="0" w:color="BFBFBF"/>
              <w:right w:val="single" w:sz="4" w:space="0" w:color="BFBFBF"/>
            </w:tcBorders>
            <w:shd w:val="clear" w:color="auto" w:fill="auto"/>
            <w:noWrap/>
            <w:vAlign w:val="center"/>
          </w:tcPr>
          <w:p w14:paraId="3DE0CF97"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34%</w:t>
            </w:r>
          </w:p>
        </w:tc>
        <w:tc>
          <w:tcPr>
            <w:tcW w:w="600" w:type="dxa"/>
            <w:tcBorders>
              <w:top w:val="nil"/>
              <w:left w:val="nil"/>
              <w:bottom w:val="single" w:sz="4" w:space="0" w:color="BFBFBF"/>
              <w:right w:val="single" w:sz="4" w:space="0" w:color="auto"/>
            </w:tcBorders>
            <w:shd w:val="clear" w:color="auto" w:fill="auto"/>
            <w:noWrap/>
            <w:vAlign w:val="center"/>
          </w:tcPr>
          <w:p w14:paraId="7488AB5E"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35%</w:t>
            </w:r>
          </w:p>
        </w:tc>
        <w:tc>
          <w:tcPr>
            <w:tcW w:w="614" w:type="dxa"/>
            <w:tcBorders>
              <w:top w:val="nil"/>
              <w:left w:val="nil"/>
              <w:bottom w:val="single" w:sz="4" w:space="0" w:color="BFBFBF"/>
              <w:right w:val="single" w:sz="4" w:space="0" w:color="BFBFBF"/>
            </w:tcBorders>
            <w:shd w:val="clear" w:color="auto" w:fill="auto"/>
            <w:noWrap/>
            <w:vAlign w:val="center"/>
          </w:tcPr>
          <w:p w14:paraId="3A233B58"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27%</w:t>
            </w:r>
          </w:p>
        </w:tc>
        <w:tc>
          <w:tcPr>
            <w:tcW w:w="613" w:type="dxa"/>
            <w:tcBorders>
              <w:top w:val="nil"/>
              <w:left w:val="nil"/>
              <w:bottom w:val="single" w:sz="4" w:space="0" w:color="BFBFBF"/>
              <w:right w:val="single" w:sz="4" w:space="0" w:color="BFBFBF"/>
            </w:tcBorders>
            <w:shd w:val="clear" w:color="auto" w:fill="auto"/>
            <w:noWrap/>
            <w:vAlign w:val="center"/>
          </w:tcPr>
          <w:p w14:paraId="74A88518"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20%</w:t>
            </w:r>
          </w:p>
        </w:tc>
        <w:tc>
          <w:tcPr>
            <w:tcW w:w="613" w:type="dxa"/>
            <w:tcBorders>
              <w:top w:val="nil"/>
              <w:left w:val="nil"/>
              <w:bottom w:val="single" w:sz="4" w:space="0" w:color="BFBFBF"/>
              <w:right w:val="nil"/>
            </w:tcBorders>
            <w:shd w:val="clear" w:color="auto" w:fill="auto"/>
            <w:noWrap/>
            <w:vAlign w:val="center"/>
          </w:tcPr>
          <w:p w14:paraId="0006D9AA"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17%</w:t>
            </w:r>
          </w:p>
        </w:tc>
        <w:tc>
          <w:tcPr>
            <w:tcW w:w="660" w:type="dxa"/>
            <w:tcBorders>
              <w:top w:val="nil"/>
              <w:left w:val="single" w:sz="4" w:space="0" w:color="auto"/>
              <w:bottom w:val="single" w:sz="4" w:space="0" w:color="BFBFBF"/>
              <w:right w:val="single" w:sz="4" w:space="0" w:color="BFBFBF"/>
            </w:tcBorders>
            <w:shd w:val="clear" w:color="auto" w:fill="auto"/>
            <w:noWrap/>
            <w:vAlign w:val="bottom"/>
          </w:tcPr>
          <w:p w14:paraId="21D9109F"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32%</w:t>
            </w:r>
          </w:p>
        </w:tc>
        <w:tc>
          <w:tcPr>
            <w:tcW w:w="660" w:type="dxa"/>
            <w:tcBorders>
              <w:top w:val="nil"/>
              <w:left w:val="nil"/>
              <w:bottom w:val="single" w:sz="4" w:space="0" w:color="BFBFBF"/>
              <w:right w:val="single" w:sz="4" w:space="0" w:color="BFBFBF"/>
            </w:tcBorders>
            <w:shd w:val="clear" w:color="auto" w:fill="auto"/>
            <w:noWrap/>
            <w:vAlign w:val="center"/>
          </w:tcPr>
          <w:p w14:paraId="1F5F70A4"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26%</w:t>
            </w:r>
          </w:p>
        </w:tc>
        <w:tc>
          <w:tcPr>
            <w:tcW w:w="660" w:type="dxa"/>
            <w:tcBorders>
              <w:top w:val="nil"/>
              <w:left w:val="nil"/>
              <w:bottom w:val="single" w:sz="4" w:space="0" w:color="BFBFBF"/>
              <w:right w:val="double" w:sz="6" w:space="0" w:color="auto"/>
            </w:tcBorders>
            <w:shd w:val="clear" w:color="auto" w:fill="auto"/>
            <w:noWrap/>
            <w:vAlign w:val="center"/>
          </w:tcPr>
          <w:p w14:paraId="2B7112A1"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24%</w:t>
            </w:r>
          </w:p>
        </w:tc>
      </w:tr>
      <w:tr w:rsidR="00E548CE" w:rsidRPr="00C51B70" w14:paraId="76DEE9B8" w14:textId="77777777" w:rsidTr="00BD2674">
        <w:trPr>
          <w:trHeight w:val="240"/>
          <w:jc w:val="center"/>
        </w:trPr>
        <w:tc>
          <w:tcPr>
            <w:tcW w:w="2160" w:type="dxa"/>
            <w:tcBorders>
              <w:top w:val="nil"/>
              <w:left w:val="double" w:sz="6" w:space="0" w:color="auto"/>
              <w:bottom w:val="double" w:sz="6" w:space="0" w:color="auto"/>
              <w:right w:val="nil"/>
            </w:tcBorders>
            <w:shd w:val="clear" w:color="auto" w:fill="auto"/>
            <w:noWrap/>
            <w:vAlign w:val="center"/>
          </w:tcPr>
          <w:p w14:paraId="769614A1" w14:textId="77777777" w:rsidR="00E548CE" w:rsidRPr="00C51B70" w:rsidRDefault="00E548CE" w:rsidP="00E548CE">
            <w:pPr>
              <w:spacing w:before="0" w:after="0"/>
              <w:rPr>
                <w:rFonts w:ascii="Arial" w:hAnsi="Arial" w:cs="Arial"/>
                <w:color w:val="000000"/>
                <w:sz w:val="16"/>
                <w:szCs w:val="16"/>
                <w:lang w:val="en-AU" w:eastAsia="en-AU"/>
              </w:rPr>
            </w:pPr>
            <w:r w:rsidRPr="00C51B70">
              <w:rPr>
                <w:rFonts w:ascii="Arial" w:hAnsi="Arial" w:cs="Arial"/>
                <w:color w:val="000000"/>
                <w:sz w:val="16"/>
                <w:szCs w:val="16"/>
                <w:lang w:val="en-AU" w:eastAsia="en-AU"/>
              </w:rPr>
              <w:t>No answer</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76A2497D"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4AEA3AEB"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2%</w:t>
            </w:r>
          </w:p>
        </w:tc>
        <w:tc>
          <w:tcPr>
            <w:tcW w:w="600" w:type="dxa"/>
            <w:tcBorders>
              <w:top w:val="nil"/>
              <w:left w:val="nil"/>
              <w:bottom w:val="double" w:sz="6" w:space="0" w:color="auto"/>
              <w:right w:val="single" w:sz="4" w:space="0" w:color="auto"/>
            </w:tcBorders>
            <w:shd w:val="clear" w:color="auto" w:fill="auto"/>
            <w:noWrap/>
            <w:vAlign w:val="center"/>
          </w:tcPr>
          <w:p w14:paraId="16E3229D"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22B3A153"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6040C125"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w:t>
            </w:r>
          </w:p>
        </w:tc>
        <w:tc>
          <w:tcPr>
            <w:tcW w:w="600" w:type="dxa"/>
            <w:tcBorders>
              <w:top w:val="nil"/>
              <w:left w:val="nil"/>
              <w:bottom w:val="double" w:sz="6" w:space="0" w:color="auto"/>
              <w:right w:val="nil"/>
            </w:tcBorders>
            <w:shd w:val="clear" w:color="auto" w:fill="auto"/>
            <w:noWrap/>
            <w:vAlign w:val="center"/>
          </w:tcPr>
          <w:p w14:paraId="2F3E9A09"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0FA80CD6"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3D011EBF"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w:t>
            </w:r>
          </w:p>
        </w:tc>
        <w:tc>
          <w:tcPr>
            <w:tcW w:w="600" w:type="dxa"/>
            <w:tcBorders>
              <w:top w:val="nil"/>
              <w:left w:val="nil"/>
              <w:bottom w:val="double" w:sz="6" w:space="0" w:color="auto"/>
              <w:right w:val="single" w:sz="4" w:space="0" w:color="auto"/>
            </w:tcBorders>
            <w:shd w:val="clear" w:color="auto" w:fill="auto"/>
            <w:noWrap/>
            <w:vAlign w:val="center"/>
          </w:tcPr>
          <w:p w14:paraId="6F055748"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14" w:type="dxa"/>
            <w:tcBorders>
              <w:top w:val="nil"/>
              <w:left w:val="nil"/>
              <w:bottom w:val="double" w:sz="6" w:space="0" w:color="auto"/>
              <w:right w:val="single" w:sz="4" w:space="0" w:color="BFBFBF"/>
            </w:tcBorders>
            <w:shd w:val="clear" w:color="auto" w:fill="auto"/>
            <w:noWrap/>
            <w:vAlign w:val="center"/>
          </w:tcPr>
          <w:p w14:paraId="3AF25374"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13" w:type="dxa"/>
            <w:tcBorders>
              <w:top w:val="nil"/>
              <w:left w:val="nil"/>
              <w:bottom w:val="double" w:sz="6" w:space="0" w:color="auto"/>
              <w:right w:val="single" w:sz="4" w:space="0" w:color="BFBFBF"/>
            </w:tcBorders>
            <w:shd w:val="clear" w:color="auto" w:fill="auto"/>
            <w:noWrap/>
            <w:vAlign w:val="center"/>
          </w:tcPr>
          <w:p w14:paraId="7D784B00"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13" w:type="dxa"/>
            <w:tcBorders>
              <w:top w:val="nil"/>
              <w:left w:val="nil"/>
              <w:bottom w:val="double" w:sz="6" w:space="0" w:color="auto"/>
              <w:right w:val="nil"/>
            </w:tcBorders>
            <w:shd w:val="clear" w:color="auto" w:fill="auto"/>
            <w:noWrap/>
            <w:vAlign w:val="center"/>
          </w:tcPr>
          <w:p w14:paraId="0AE2323E"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60" w:type="dxa"/>
            <w:tcBorders>
              <w:top w:val="nil"/>
              <w:left w:val="single" w:sz="4" w:space="0" w:color="auto"/>
              <w:bottom w:val="double" w:sz="6" w:space="0" w:color="auto"/>
              <w:right w:val="single" w:sz="4" w:space="0" w:color="BFBFBF"/>
            </w:tcBorders>
            <w:shd w:val="clear" w:color="auto" w:fill="auto"/>
            <w:noWrap/>
            <w:vAlign w:val="center"/>
          </w:tcPr>
          <w:p w14:paraId="22AE3616"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c>
          <w:tcPr>
            <w:tcW w:w="660" w:type="dxa"/>
            <w:tcBorders>
              <w:top w:val="nil"/>
              <w:left w:val="nil"/>
              <w:bottom w:val="double" w:sz="6" w:space="0" w:color="auto"/>
              <w:right w:val="single" w:sz="4" w:space="0" w:color="BFBFBF"/>
            </w:tcBorders>
            <w:shd w:val="clear" w:color="auto" w:fill="auto"/>
            <w:noWrap/>
            <w:vAlign w:val="center"/>
          </w:tcPr>
          <w:p w14:paraId="105DC15D"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1%</w:t>
            </w:r>
          </w:p>
        </w:tc>
        <w:tc>
          <w:tcPr>
            <w:tcW w:w="660" w:type="dxa"/>
            <w:tcBorders>
              <w:top w:val="nil"/>
              <w:left w:val="nil"/>
              <w:bottom w:val="double" w:sz="6" w:space="0" w:color="auto"/>
              <w:right w:val="double" w:sz="6" w:space="0" w:color="auto"/>
            </w:tcBorders>
            <w:shd w:val="clear" w:color="auto" w:fill="auto"/>
            <w:noWrap/>
            <w:vAlign w:val="center"/>
          </w:tcPr>
          <w:p w14:paraId="77CFB851" w14:textId="77777777" w:rsidR="00E548CE" w:rsidRPr="00C51B70" w:rsidRDefault="00E548CE" w:rsidP="00E548CE">
            <w:pPr>
              <w:spacing w:before="0" w:after="0"/>
              <w:jc w:val="center"/>
              <w:rPr>
                <w:rFonts w:ascii="Arial" w:hAnsi="Arial" w:cs="Arial"/>
                <w:color w:val="000000"/>
                <w:sz w:val="16"/>
                <w:szCs w:val="16"/>
                <w:lang w:val="en-AU" w:eastAsia="en-AU"/>
              </w:rPr>
            </w:pPr>
            <w:r w:rsidRPr="00C51B70">
              <w:rPr>
                <w:rFonts w:ascii="Arial" w:hAnsi="Arial" w:cs="Arial"/>
                <w:color w:val="000000"/>
                <w:sz w:val="16"/>
                <w:szCs w:val="16"/>
                <w:lang w:val="en-AU" w:eastAsia="en-AU"/>
              </w:rPr>
              <w:t>-</w:t>
            </w:r>
          </w:p>
        </w:tc>
      </w:tr>
    </w:tbl>
    <w:p w14:paraId="60B92011" w14:textId="77777777" w:rsidR="00AB7A5A" w:rsidRPr="00C51B70" w:rsidRDefault="00AB7A5A" w:rsidP="009748AD">
      <w:pPr>
        <w:pStyle w:val="Para"/>
        <w:spacing w:before="120" w:line="240" w:lineRule="auto"/>
        <w:ind w:left="2160"/>
        <w:rPr>
          <w:sz w:val="20"/>
          <w:lang w:val="en-AU"/>
        </w:rPr>
      </w:pPr>
      <w:r w:rsidRPr="00C51B70">
        <w:rPr>
          <w:sz w:val="20"/>
          <w:lang w:val="en-AU"/>
        </w:rPr>
        <w:t>Base: Total respondents, 2014 (n=1,861); 2007 (n=2,061); 2001 (n=2,006)</w:t>
      </w:r>
    </w:p>
    <w:p w14:paraId="39101F7E" w14:textId="77777777" w:rsidR="00AB7A5A" w:rsidRPr="00C51B70" w:rsidRDefault="00AB7A5A" w:rsidP="00E02C75">
      <w:pPr>
        <w:pStyle w:val="Para"/>
        <w:outlineLvl w:val="0"/>
        <w:rPr>
          <w:lang w:val="en-AU"/>
        </w:rPr>
      </w:pPr>
    </w:p>
    <w:p w14:paraId="3A94ED28" w14:textId="77777777" w:rsidR="00E02C75" w:rsidRPr="00DA3B75" w:rsidRDefault="00E02C75" w:rsidP="00E02C75">
      <w:pPr>
        <w:rPr>
          <w:highlight w:val="yellow"/>
          <w:lang w:val="en-AU"/>
        </w:rPr>
      </w:pPr>
    </w:p>
    <w:p w14:paraId="7E5ADCD6" w14:textId="77777777" w:rsidR="003920D8" w:rsidRPr="00C6102F" w:rsidRDefault="00E02C75">
      <w:pPr>
        <w:pStyle w:val="Heading3"/>
        <w:tabs>
          <w:tab w:val="clear" w:pos="8517"/>
          <w:tab w:val="num" w:pos="851"/>
        </w:tabs>
        <w:ind w:left="0" w:firstLine="0"/>
        <w:rPr>
          <w:lang w:val="en-AU"/>
        </w:rPr>
      </w:pPr>
      <w:bookmarkStart w:id="114" w:name="_Toc439198286"/>
      <w:bookmarkStart w:id="115" w:name="_Toc445571669"/>
      <w:r w:rsidRPr="00C6102F">
        <w:rPr>
          <w:lang w:val="en-AU"/>
        </w:rPr>
        <w:lastRenderedPageBreak/>
        <w:t>Household Size</w:t>
      </w:r>
      <w:bookmarkEnd w:id="114"/>
      <w:bookmarkEnd w:id="115"/>
    </w:p>
    <w:p w14:paraId="7ED6FE9E" w14:textId="77777777" w:rsidR="00E02C75" w:rsidRPr="00C6102F" w:rsidRDefault="00E02C75" w:rsidP="00E02C75">
      <w:pPr>
        <w:pStyle w:val="Para"/>
        <w:rPr>
          <w:lang w:val="en-AU"/>
        </w:rPr>
      </w:pPr>
    </w:p>
    <w:p w14:paraId="18F2DD6D" w14:textId="77777777" w:rsidR="00E02C75" w:rsidRPr="00C6102F" w:rsidRDefault="00E02C75" w:rsidP="00E02C75">
      <w:pPr>
        <w:pStyle w:val="Para"/>
        <w:rPr>
          <w:lang w:val="en-AU"/>
        </w:rPr>
      </w:pPr>
      <w:r w:rsidRPr="00C6102F">
        <w:rPr>
          <w:lang w:val="en-AU"/>
        </w:rPr>
        <w:t>At the time of the 20</w:t>
      </w:r>
      <w:r w:rsidR="00F8776E" w:rsidRPr="00C6102F">
        <w:rPr>
          <w:lang w:val="en-AU"/>
        </w:rPr>
        <w:t>14</w:t>
      </w:r>
      <w:r w:rsidRPr="00C6102F">
        <w:rPr>
          <w:lang w:val="en-AU"/>
        </w:rPr>
        <w:t xml:space="preserve"> survey, one</w:t>
      </w:r>
      <w:r w:rsidR="00F8776E" w:rsidRPr="00C6102F">
        <w:rPr>
          <w:lang w:val="en-AU"/>
        </w:rPr>
        <w:t xml:space="preserve">-quarter (24%) of all </w:t>
      </w:r>
      <w:r w:rsidRPr="00C6102F">
        <w:rPr>
          <w:lang w:val="en-AU"/>
        </w:rPr>
        <w:t>respondents lived by themselves, while one</w:t>
      </w:r>
      <w:r w:rsidR="00F8776E" w:rsidRPr="00C6102F">
        <w:rPr>
          <w:lang w:val="en-AU"/>
        </w:rPr>
        <w:t>-</w:t>
      </w:r>
      <w:r w:rsidRPr="00C6102F">
        <w:rPr>
          <w:lang w:val="en-AU"/>
        </w:rPr>
        <w:t>third (3</w:t>
      </w:r>
      <w:r w:rsidR="00F8776E" w:rsidRPr="00C6102F">
        <w:rPr>
          <w:lang w:val="en-AU"/>
        </w:rPr>
        <w:t>3</w:t>
      </w:r>
      <w:r w:rsidRPr="00C6102F">
        <w:rPr>
          <w:lang w:val="en-AU"/>
        </w:rPr>
        <w:t xml:space="preserve">%) lived with one other person (refer to Table 3.3.2).  Not surprisingly, </w:t>
      </w:r>
      <w:r w:rsidR="00513F11" w:rsidRPr="00C6102F">
        <w:rPr>
          <w:lang w:val="en-AU"/>
        </w:rPr>
        <w:t>aged concession household</w:t>
      </w:r>
      <w:r w:rsidRPr="00C6102F">
        <w:rPr>
          <w:lang w:val="en-AU"/>
        </w:rPr>
        <w:t xml:space="preserve">s were much more likely to </w:t>
      </w:r>
      <w:r w:rsidR="000A041C" w:rsidRPr="00C6102F">
        <w:rPr>
          <w:lang w:val="en-AU"/>
        </w:rPr>
        <w:t xml:space="preserve">comprise </w:t>
      </w:r>
      <w:r w:rsidRPr="00C6102F">
        <w:rPr>
          <w:lang w:val="en-AU"/>
        </w:rPr>
        <w:t>smaller households, with 8</w:t>
      </w:r>
      <w:r w:rsidR="00C6102F" w:rsidRPr="00C6102F">
        <w:rPr>
          <w:lang w:val="en-AU"/>
        </w:rPr>
        <w:t>8</w:t>
      </w:r>
      <w:r w:rsidRPr="00C6102F">
        <w:rPr>
          <w:lang w:val="en-AU"/>
        </w:rPr>
        <w:t xml:space="preserve">% </w:t>
      </w:r>
      <w:r w:rsidR="000A041C" w:rsidRPr="00C6102F">
        <w:rPr>
          <w:lang w:val="en-AU"/>
        </w:rPr>
        <w:t xml:space="preserve">of selected respondents/main </w:t>
      </w:r>
      <w:r w:rsidR="00C33CEC" w:rsidRPr="00C6102F">
        <w:rPr>
          <w:lang w:val="en-AU"/>
        </w:rPr>
        <w:t>bill-payer</w:t>
      </w:r>
      <w:r w:rsidR="000A041C" w:rsidRPr="00C6102F">
        <w:rPr>
          <w:lang w:val="en-AU"/>
        </w:rPr>
        <w:t xml:space="preserve">s </w:t>
      </w:r>
      <w:r w:rsidRPr="00C6102F">
        <w:rPr>
          <w:lang w:val="en-AU"/>
        </w:rPr>
        <w:t>living either by themselves or with one other person.  In contrast, non-concession respondents were more likely to live in larger households, with 3</w:t>
      </w:r>
      <w:r w:rsidR="00C6102F" w:rsidRPr="00C6102F">
        <w:rPr>
          <w:lang w:val="en-AU"/>
        </w:rPr>
        <w:t>6</w:t>
      </w:r>
      <w:r w:rsidR="001432D9" w:rsidRPr="00C6102F">
        <w:rPr>
          <w:lang w:val="en-AU"/>
        </w:rPr>
        <w:t xml:space="preserve">% </w:t>
      </w:r>
      <w:r w:rsidRPr="00C6102F">
        <w:rPr>
          <w:lang w:val="en-AU"/>
        </w:rPr>
        <w:t>living in households of four or more persons.</w:t>
      </w:r>
    </w:p>
    <w:p w14:paraId="382552F9" w14:textId="77777777" w:rsidR="00E02C75" w:rsidRPr="00DA3B75" w:rsidRDefault="00E02C75" w:rsidP="00E02C75">
      <w:pPr>
        <w:pStyle w:val="Para"/>
        <w:rPr>
          <w:highlight w:val="yellow"/>
          <w:lang w:val="en-AU"/>
        </w:rPr>
      </w:pPr>
    </w:p>
    <w:p w14:paraId="0AECF307" w14:textId="35DBC5C9" w:rsidR="00E02C75" w:rsidRPr="00C6102F" w:rsidRDefault="00E02C75" w:rsidP="00E02C75">
      <w:pPr>
        <w:pStyle w:val="Para"/>
        <w:rPr>
          <w:lang w:val="en-AU"/>
        </w:rPr>
      </w:pPr>
      <w:r w:rsidRPr="00C6102F">
        <w:rPr>
          <w:lang w:val="en-AU"/>
        </w:rPr>
        <w:t xml:space="preserve">The prevalence of </w:t>
      </w:r>
      <w:r w:rsidR="00513F11" w:rsidRPr="00C6102F">
        <w:rPr>
          <w:lang w:val="en-AU"/>
        </w:rPr>
        <w:t xml:space="preserve">aged concession </w:t>
      </w:r>
      <w:r w:rsidR="00041263">
        <w:rPr>
          <w:lang w:val="en-AU"/>
        </w:rPr>
        <w:t xml:space="preserve">card </w:t>
      </w:r>
      <w:r w:rsidR="00513F11" w:rsidRPr="00C6102F">
        <w:rPr>
          <w:lang w:val="en-AU"/>
        </w:rPr>
        <w:t>holder</w:t>
      </w:r>
      <w:r w:rsidRPr="00C6102F">
        <w:rPr>
          <w:lang w:val="en-AU"/>
        </w:rPr>
        <w:t>s living alone has been on the decline since 1996,</w:t>
      </w:r>
      <w:r w:rsidR="008E1B78" w:rsidRPr="00C6102F">
        <w:rPr>
          <w:lang w:val="en-AU"/>
        </w:rPr>
        <w:t xml:space="preserve"> </w:t>
      </w:r>
      <w:r w:rsidRPr="00C6102F">
        <w:rPr>
          <w:lang w:val="en-AU"/>
        </w:rPr>
        <w:t>while the</w:t>
      </w:r>
      <w:r w:rsidR="008E1B78" w:rsidRPr="00C6102F">
        <w:rPr>
          <w:lang w:val="en-AU"/>
        </w:rPr>
        <w:t xml:space="preserve"> proportion of non-concession respondents living alone has slowly increased over this period.</w:t>
      </w:r>
      <w:r w:rsidRPr="00C6102F">
        <w:rPr>
          <w:lang w:val="en-AU"/>
        </w:rPr>
        <w:t xml:space="preserve">  </w:t>
      </w:r>
      <w:r w:rsidR="008E1B78" w:rsidRPr="00C6102F">
        <w:rPr>
          <w:lang w:val="en-AU"/>
        </w:rPr>
        <w:t xml:space="preserve">The proportion of other concession </w:t>
      </w:r>
      <w:r w:rsidR="00041263">
        <w:rPr>
          <w:lang w:val="en-AU"/>
        </w:rPr>
        <w:t xml:space="preserve">card </w:t>
      </w:r>
      <w:r w:rsidR="008E1B78" w:rsidRPr="00C6102F">
        <w:rPr>
          <w:lang w:val="en-AU"/>
        </w:rPr>
        <w:t>holders living alone rose substantially (from 19% to 31%) compared with 2007.</w:t>
      </w:r>
    </w:p>
    <w:p w14:paraId="3F33FB7B" w14:textId="77777777" w:rsidR="00E02C75" w:rsidRPr="00C6102F" w:rsidRDefault="00E02C75" w:rsidP="00E02C75">
      <w:pPr>
        <w:pStyle w:val="Para"/>
        <w:rPr>
          <w:lang w:val="en-AU"/>
        </w:rPr>
      </w:pPr>
    </w:p>
    <w:p w14:paraId="48437067" w14:textId="77777777" w:rsidR="00E02C75" w:rsidRPr="00C6102F" w:rsidRDefault="006278CD" w:rsidP="00E02C75">
      <w:pPr>
        <w:pStyle w:val="Para"/>
        <w:rPr>
          <w:lang w:val="en-AU"/>
        </w:rPr>
      </w:pPr>
      <w:r w:rsidRPr="00C6102F">
        <w:rPr>
          <w:lang w:val="en-AU"/>
        </w:rPr>
        <w:t xml:space="preserve">Respondents from </w:t>
      </w:r>
      <w:smartTag w:uri="urn:schemas-microsoft-com:office:smarttags" w:element="City">
        <w:r w:rsidRPr="00C6102F">
          <w:rPr>
            <w:lang w:val="en-AU"/>
          </w:rPr>
          <w:t>Melbourne</w:t>
        </w:r>
      </w:smartTag>
      <w:r w:rsidRPr="00C6102F">
        <w:rPr>
          <w:lang w:val="en-AU"/>
        </w:rPr>
        <w:t xml:space="preserve"> (45%) </w:t>
      </w:r>
      <w:r w:rsidR="002733E9" w:rsidRPr="00C6102F">
        <w:rPr>
          <w:lang w:val="en-AU"/>
        </w:rPr>
        <w:t xml:space="preserve">were more likely than those in country </w:t>
      </w:r>
      <w:smartTag w:uri="urn:schemas-microsoft-com:office:smarttags" w:element="State">
        <w:smartTag w:uri="urn:schemas-microsoft-com:office:smarttags" w:element="place">
          <w:r w:rsidRPr="00C6102F">
            <w:rPr>
              <w:lang w:val="en-AU"/>
            </w:rPr>
            <w:t>Victoria</w:t>
          </w:r>
        </w:smartTag>
      </w:smartTag>
      <w:r w:rsidRPr="00C6102F">
        <w:rPr>
          <w:lang w:val="en-AU"/>
        </w:rPr>
        <w:t xml:space="preserve"> (36%) to </w:t>
      </w:r>
      <w:r w:rsidR="00E02C75" w:rsidRPr="00C6102F">
        <w:rPr>
          <w:lang w:val="en-AU"/>
        </w:rPr>
        <w:t>resid</w:t>
      </w:r>
      <w:r w:rsidRPr="00C6102F">
        <w:rPr>
          <w:lang w:val="en-AU"/>
        </w:rPr>
        <w:t xml:space="preserve">e </w:t>
      </w:r>
      <w:r w:rsidR="00E02C75" w:rsidRPr="00C6102F">
        <w:rPr>
          <w:lang w:val="en-AU"/>
        </w:rPr>
        <w:t xml:space="preserve">in households of three or more persons.  </w:t>
      </w:r>
    </w:p>
    <w:p w14:paraId="5E3C0DA3" w14:textId="77777777" w:rsidR="001432D9" w:rsidRPr="00C6102F" w:rsidRDefault="001432D9" w:rsidP="00E02C75">
      <w:pPr>
        <w:pStyle w:val="Para"/>
        <w:rPr>
          <w:lang w:val="en-AU"/>
        </w:rPr>
      </w:pPr>
    </w:p>
    <w:p w14:paraId="40E40779" w14:textId="77777777" w:rsidR="00E02C75" w:rsidRPr="00C6102F" w:rsidRDefault="00E02C75" w:rsidP="00BD2674">
      <w:pPr>
        <w:pStyle w:val="Para"/>
        <w:jc w:val="center"/>
        <w:outlineLvl w:val="0"/>
        <w:rPr>
          <w:b/>
          <w:lang w:val="en-AU"/>
        </w:rPr>
      </w:pPr>
      <w:r w:rsidRPr="00C6102F">
        <w:rPr>
          <w:b/>
          <w:lang w:val="en-AU"/>
        </w:rPr>
        <w:t xml:space="preserve">Table 3.3.2: </w:t>
      </w:r>
      <w:r w:rsidRPr="00C6102F">
        <w:rPr>
          <w:b/>
          <w:u w:val="single"/>
          <w:lang w:val="en-AU"/>
        </w:rPr>
        <w:t>Household Size by Sample Type</w:t>
      </w:r>
    </w:p>
    <w:p w14:paraId="06FF7DF5" w14:textId="77777777" w:rsidR="00E548CE" w:rsidRPr="00C6102F" w:rsidRDefault="00E548CE" w:rsidP="00E02C75">
      <w:pPr>
        <w:pStyle w:val="Para"/>
        <w:outlineLvl w:val="0"/>
        <w:rPr>
          <w:b/>
          <w:lang w:val="en-AU"/>
        </w:rPr>
      </w:pPr>
    </w:p>
    <w:tbl>
      <w:tblPr>
        <w:tblW w:w="14380" w:type="dxa"/>
        <w:jc w:val="center"/>
        <w:tblLook w:val="04A0" w:firstRow="1" w:lastRow="0" w:firstColumn="1" w:lastColumn="0" w:noHBand="0" w:noVBand="1"/>
      </w:tblPr>
      <w:tblGrid>
        <w:gridCol w:w="2160"/>
        <w:gridCol w:w="600"/>
        <w:gridCol w:w="600"/>
        <w:gridCol w:w="600"/>
        <w:gridCol w:w="600"/>
        <w:gridCol w:w="600"/>
        <w:gridCol w:w="600"/>
        <w:gridCol w:w="600"/>
        <w:gridCol w:w="600"/>
        <w:gridCol w:w="610"/>
        <w:gridCol w:w="610"/>
        <w:gridCol w:w="610"/>
        <w:gridCol w:w="610"/>
        <w:gridCol w:w="645"/>
        <w:gridCol w:w="645"/>
        <w:gridCol w:w="645"/>
        <w:gridCol w:w="645"/>
        <w:gridCol w:w="600"/>
        <w:gridCol w:w="600"/>
        <w:gridCol w:w="600"/>
        <w:gridCol w:w="600"/>
      </w:tblGrid>
      <w:tr w:rsidR="006321C3" w:rsidRPr="00C6102F" w14:paraId="40457B37" w14:textId="77777777" w:rsidTr="00BD2674">
        <w:trPr>
          <w:trHeight w:val="330"/>
          <w:jc w:val="center"/>
        </w:trPr>
        <w:tc>
          <w:tcPr>
            <w:tcW w:w="2160" w:type="dxa"/>
            <w:vMerge w:val="restart"/>
            <w:tcBorders>
              <w:top w:val="double" w:sz="6" w:space="0" w:color="auto"/>
              <w:left w:val="double" w:sz="6" w:space="0" w:color="auto"/>
              <w:bottom w:val="single" w:sz="4" w:space="0" w:color="BFBFBF"/>
              <w:right w:val="nil"/>
            </w:tcBorders>
            <w:shd w:val="clear" w:color="auto" w:fill="auto"/>
            <w:noWrap/>
            <w:vAlign w:val="center"/>
          </w:tcPr>
          <w:p w14:paraId="128FE10B" w14:textId="77777777" w:rsidR="006321C3" w:rsidRPr="00C6102F" w:rsidRDefault="006321C3" w:rsidP="006321C3">
            <w:pPr>
              <w:spacing w:before="0" w:after="0"/>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No. persons in HH</w:t>
            </w:r>
          </w:p>
        </w:tc>
        <w:tc>
          <w:tcPr>
            <w:tcW w:w="240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34B92FF3"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Aged Concession HHs</w:t>
            </w:r>
          </w:p>
        </w:tc>
        <w:tc>
          <w:tcPr>
            <w:tcW w:w="2400" w:type="dxa"/>
            <w:gridSpan w:val="4"/>
            <w:tcBorders>
              <w:top w:val="double" w:sz="6" w:space="0" w:color="auto"/>
              <w:left w:val="nil"/>
              <w:bottom w:val="single" w:sz="4" w:space="0" w:color="BFBFBF"/>
              <w:right w:val="single" w:sz="4" w:space="0" w:color="BFBFBF"/>
            </w:tcBorders>
            <w:shd w:val="clear" w:color="auto" w:fill="auto"/>
            <w:noWrap/>
            <w:vAlign w:val="center"/>
          </w:tcPr>
          <w:p w14:paraId="3F7145A9"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Other Concession HHs</w:t>
            </w:r>
          </w:p>
        </w:tc>
        <w:tc>
          <w:tcPr>
            <w:tcW w:w="244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778A29B3"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Total Concession HHs</w:t>
            </w:r>
          </w:p>
        </w:tc>
        <w:tc>
          <w:tcPr>
            <w:tcW w:w="2580" w:type="dxa"/>
            <w:gridSpan w:val="4"/>
            <w:tcBorders>
              <w:top w:val="double" w:sz="6" w:space="0" w:color="auto"/>
              <w:left w:val="nil"/>
              <w:bottom w:val="single" w:sz="4" w:space="0" w:color="BFBFBF"/>
              <w:right w:val="single" w:sz="4" w:space="0" w:color="000000"/>
            </w:tcBorders>
            <w:shd w:val="clear" w:color="auto" w:fill="auto"/>
            <w:noWrap/>
            <w:vAlign w:val="center"/>
          </w:tcPr>
          <w:p w14:paraId="0A6EB8E8"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Non-Concession HHs</w:t>
            </w:r>
          </w:p>
        </w:tc>
        <w:tc>
          <w:tcPr>
            <w:tcW w:w="2400" w:type="dxa"/>
            <w:gridSpan w:val="4"/>
            <w:tcBorders>
              <w:top w:val="double" w:sz="6" w:space="0" w:color="auto"/>
              <w:left w:val="nil"/>
              <w:bottom w:val="single" w:sz="4" w:space="0" w:color="BFBFBF"/>
              <w:right w:val="double" w:sz="6" w:space="0" w:color="000000"/>
            </w:tcBorders>
            <w:shd w:val="clear" w:color="auto" w:fill="auto"/>
            <w:noWrap/>
            <w:vAlign w:val="center"/>
          </w:tcPr>
          <w:p w14:paraId="54B85FF1"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Total HHs</w:t>
            </w:r>
          </w:p>
        </w:tc>
      </w:tr>
      <w:tr w:rsidR="006321C3" w:rsidRPr="00C6102F" w14:paraId="1D969B34" w14:textId="77777777" w:rsidTr="00BD2674">
        <w:trPr>
          <w:trHeight w:val="225"/>
          <w:jc w:val="center"/>
        </w:trPr>
        <w:tc>
          <w:tcPr>
            <w:tcW w:w="2160" w:type="dxa"/>
            <w:vMerge/>
            <w:tcBorders>
              <w:top w:val="double" w:sz="6" w:space="0" w:color="auto"/>
              <w:left w:val="double" w:sz="6" w:space="0" w:color="auto"/>
              <w:bottom w:val="single" w:sz="4" w:space="0" w:color="BFBFBF"/>
              <w:right w:val="nil"/>
            </w:tcBorders>
            <w:vAlign w:val="center"/>
          </w:tcPr>
          <w:p w14:paraId="4494BE94" w14:textId="77777777" w:rsidR="006321C3" w:rsidRPr="00C6102F" w:rsidRDefault="006321C3" w:rsidP="006321C3">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9600630"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13DA31C9"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34B4B766"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2001</w:t>
            </w:r>
          </w:p>
        </w:tc>
        <w:tc>
          <w:tcPr>
            <w:tcW w:w="600" w:type="dxa"/>
            <w:tcBorders>
              <w:top w:val="nil"/>
              <w:left w:val="nil"/>
              <w:bottom w:val="single" w:sz="4" w:space="0" w:color="BFBFBF"/>
              <w:right w:val="single" w:sz="4" w:space="0" w:color="auto"/>
            </w:tcBorders>
            <w:shd w:val="clear" w:color="auto" w:fill="auto"/>
            <w:noWrap/>
            <w:vAlign w:val="center"/>
          </w:tcPr>
          <w:p w14:paraId="13EC938E"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1996</w:t>
            </w:r>
          </w:p>
        </w:tc>
        <w:tc>
          <w:tcPr>
            <w:tcW w:w="600" w:type="dxa"/>
            <w:tcBorders>
              <w:top w:val="nil"/>
              <w:left w:val="nil"/>
              <w:bottom w:val="single" w:sz="4" w:space="0" w:color="BFBFBF"/>
              <w:right w:val="single" w:sz="4" w:space="0" w:color="BFBFBF"/>
            </w:tcBorders>
            <w:shd w:val="clear" w:color="auto" w:fill="auto"/>
            <w:noWrap/>
            <w:vAlign w:val="center"/>
          </w:tcPr>
          <w:p w14:paraId="75E57DB5"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001481C4"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2DC2FD2B"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2001</w:t>
            </w:r>
          </w:p>
        </w:tc>
        <w:tc>
          <w:tcPr>
            <w:tcW w:w="600" w:type="dxa"/>
            <w:tcBorders>
              <w:top w:val="nil"/>
              <w:left w:val="nil"/>
              <w:bottom w:val="single" w:sz="4" w:space="0" w:color="BFBFBF"/>
              <w:right w:val="nil"/>
            </w:tcBorders>
            <w:shd w:val="clear" w:color="auto" w:fill="auto"/>
            <w:noWrap/>
            <w:vAlign w:val="center"/>
          </w:tcPr>
          <w:p w14:paraId="2C77209B"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1996</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712AB472"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2014</w:t>
            </w:r>
          </w:p>
        </w:tc>
        <w:tc>
          <w:tcPr>
            <w:tcW w:w="610" w:type="dxa"/>
            <w:tcBorders>
              <w:top w:val="nil"/>
              <w:left w:val="nil"/>
              <w:bottom w:val="single" w:sz="4" w:space="0" w:color="BFBFBF"/>
              <w:right w:val="single" w:sz="4" w:space="0" w:color="BFBFBF"/>
            </w:tcBorders>
            <w:shd w:val="clear" w:color="auto" w:fill="auto"/>
            <w:noWrap/>
            <w:vAlign w:val="center"/>
          </w:tcPr>
          <w:p w14:paraId="0E5966F6"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2007</w:t>
            </w:r>
          </w:p>
        </w:tc>
        <w:tc>
          <w:tcPr>
            <w:tcW w:w="610" w:type="dxa"/>
            <w:tcBorders>
              <w:top w:val="nil"/>
              <w:left w:val="nil"/>
              <w:bottom w:val="single" w:sz="4" w:space="0" w:color="BFBFBF"/>
              <w:right w:val="single" w:sz="4" w:space="0" w:color="BFBFBF"/>
            </w:tcBorders>
            <w:shd w:val="clear" w:color="auto" w:fill="auto"/>
            <w:noWrap/>
            <w:vAlign w:val="center"/>
          </w:tcPr>
          <w:p w14:paraId="16CFB46D"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2001</w:t>
            </w:r>
          </w:p>
        </w:tc>
        <w:tc>
          <w:tcPr>
            <w:tcW w:w="610" w:type="dxa"/>
            <w:tcBorders>
              <w:top w:val="nil"/>
              <w:left w:val="nil"/>
              <w:bottom w:val="single" w:sz="4" w:space="0" w:color="BFBFBF"/>
              <w:right w:val="single" w:sz="4" w:space="0" w:color="auto"/>
            </w:tcBorders>
            <w:shd w:val="clear" w:color="auto" w:fill="auto"/>
            <w:noWrap/>
            <w:vAlign w:val="center"/>
          </w:tcPr>
          <w:p w14:paraId="394970E5"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1996</w:t>
            </w:r>
          </w:p>
        </w:tc>
        <w:tc>
          <w:tcPr>
            <w:tcW w:w="645" w:type="dxa"/>
            <w:tcBorders>
              <w:top w:val="nil"/>
              <w:left w:val="nil"/>
              <w:bottom w:val="single" w:sz="4" w:space="0" w:color="BFBFBF"/>
              <w:right w:val="single" w:sz="4" w:space="0" w:color="BFBFBF"/>
            </w:tcBorders>
            <w:shd w:val="clear" w:color="auto" w:fill="auto"/>
            <w:noWrap/>
            <w:vAlign w:val="center"/>
          </w:tcPr>
          <w:p w14:paraId="517CDCFA"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2014</w:t>
            </w:r>
          </w:p>
        </w:tc>
        <w:tc>
          <w:tcPr>
            <w:tcW w:w="645" w:type="dxa"/>
            <w:tcBorders>
              <w:top w:val="nil"/>
              <w:left w:val="nil"/>
              <w:bottom w:val="single" w:sz="4" w:space="0" w:color="BFBFBF"/>
              <w:right w:val="single" w:sz="4" w:space="0" w:color="BFBFBF"/>
            </w:tcBorders>
            <w:shd w:val="clear" w:color="auto" w:fill="auto"/>
            <w:noWrap/>
            <w:vAlign w:val="center"/>
          </w:tcPr>
          <w:p w14:paraId="3E365037"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2007</w:t>
            </w:r>
          </w:p>
        </w:tc>
        <w:tc>
          <w:tcPr>
            <w:tcW w:w="645" w:type="dxa"/>
            <w:tcBorders>
              <w:top w:val="nil"/>
              <w:left w:val="nil"/>
              <w:bottom w:val="single" w:sz="4" w:space="0" w:color="BFBFBF"/>
              <w:right w:val="single" w:sz="4" w:space="0" w:color="BFBFBF"/>
            </w:tcBorders>
            <w:shd w:val="clear" w:color="auto" w:fill="auto"/>
            <w:noWrap/>
            <w:vAlign w:val="center"/>
          </w:tcPr>
          <w:p w14:paraId="44B02F50"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2001</w:t>
            </w:r>
          </w:p>
        </w:tc>
        <w:tc>
          <w:tcPr>
            <w:tcW w:w="645" w:type="dxa"/>
            <w:tcBorders>
              <w:top w:val="nil"/>
              <w:left w:val="nil"/>
              <w:bottom w:val="single" w:sz="4" w:space="0" w:color="BFBFBF"/>
              <w:right w:val="single" w:sz="4" w:space="0" w:color="auto"/>
            </w:tcBorders>
            <w:shd w:val="clear" w:color="auto" w:fill="auto"/>
            <w:noWrap/>
            <w:vAlign w:val="center"/>
          </w:tcPr>
          <w:p w14:paraId="3613E807"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1996</w:t>
            </w:r>
          </w:p>
        </w:tc>
        <w:tc>
          <w:tcPr>
            <w:tcW w:w="600" w:type="dxa"/>
            <w:tcBorders>
              <w:top w:val="nil"/>
              <w:left w:val="nil"/>
              <w:bottom w:val="single" w:sz="4" w:space="0" w:color="BFBFBF"/>
              <w:right w:val="single" w:sz="4" w:space="0" w:color="BFBFBF"/>
            </w:tcBorders>
            <w:shd w:val="clear" w:color="auto" w:fill="auto"/>
            <w:noWrap/>
            <w:vAlign w:val="bottom"/>
          </w:tcPr>
          <w:p w14:paraId="34B937D3"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409F66FB"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3E3E700B"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2001</w:t>
            </w:r>
          </w:p>
        </w:tc>
        <w:tc>
          <w:tcPr>
            <w:tcW w:w="600" w:type="dxa"/>
            <w:tcBorders>
              <w:top w:val="nil"/>
              <w:left w:val="nil"/>
              <w:bottom w:val="single" w:sz="4" w:space="0" w:color="BFBFBF"/>
              <w:right w:val="double" w:sz="6" w:space="0" w:color="auto"/>
            </w:tcBorders>
            <w:shd w:val="clear" w:color="auto" w:fill="auto"/>
            <w:noWrap/>
            <w:vAlign w:val="center"/>
          </w:tcPr>
          <w:p w14:paraId="7C5D2D0F" w14:textId="77777777" w:rsidR="006321C3" w:rsidRPr="00C6102F" w:rsidRDefault="006321C3" w:rsidP="006321C3">
            <w:pPr>
              <w:spacing w:before="0" w:after="0"/>
              <w:jc w:val="center"/>
              <w:rPr>
                <w:rFonts w:ascii="Arial" w:hAnsi="Arial" w:cs="Arial"/>
                <w:b/>
                <w:bCs/>
                <w:color w:val="000000"/>
                <w:sz w:val="16"/>
                <w:szCs w:val="16"/>
                <w:lang w:val="en-AU" w:eastAsia="en-AU"/>
              </w:rPr>
            </w:pPr>
            <w:r w:rsidRPr="00C6102F">
              <w:rPr>
                <w:rFonts w:ascii="Arial" w:hAnsi="Arial" w:cs="Arial"/>
                <w:b/>
                <w:bCs/>
                <w:color w:val="000000"/>
                <w:sz w:val="16"/>
                <w:szCs w:val="16"/>
                <w:lang w:val="en-AU" w:eastAsia="en-AU"/>
              </w:rPr>
              <w:t>1996</w:t>
            </w:r>
          </w:p>
        </w:tc>
      </w:tr>
      <w:tr w:rsidR="006321C3" w:rsidRPr="00C6102F" w14:paraId="52A349F3"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35CCCC05" w14:textId="77777777" w:rsidR="006321C3" w:rsidRPr="00C6102F" w:rsidRDefault="006321C3" w:rsidP="006321C3">
            <w:pPr>
              <w:spacing w:before="0" w:after="0"/>
              <w:rPr>
                <w:rFonts w:ascii="Arial" w:hAnsi="Arial" w:cs="Arial"/>
                <w:color w:val="000000"/>
                <w:sz w:val="16"/>
                <w:szCs w:val="16"/>
                <w:lang w:val="en-AU" w:eastAsia="en-AU"/>
              </w:rPr>
            </w:pPr>
            <w:r w:rsidRPr="00C6102F">
              <w:rPr>
                <w:rFonts w:ascii="Arial" w:hAnsi="Arial" w:cs="Arial"/>
                <w:color w:val="000000"/>
                <w:sz w:val="16"/>
                <w:szCs w:val="16"/>
                <w:lang w:val="en-AU" w:eastAsia="en-AU"/>
              </w:rPr>
              <w:t>1 person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CBBA327"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37%</w:t>
            </w:r>
          </w:p>
        </w:tc>
        <w:tc>
          <w:tcPr>
            <w:tcW w:w="600" w:type="dxa"/>
            <w:tcBorders>
              <w:top w:val="nil"/>
              <w:left w:val="nil"/>
              <w:bottom w:val="single" w:sz="4" w:space="0" w:color="BFBFBF"/>
              <w:right w:val="single" w:sz="4" w:space="0" w:color="BFBFBF"/>
            </w:tcBorders>
            <w:shd w:val="clear" w:color="auto" w:fill="auto"/>
            <w:noWrap/>
            <w:vAlign w:val="center"/>
          </w:tcPr>
          <w:p w14:paraId="156EBFA6"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36%</w:t>
            </w:r>
          </w:p>
        </w:tc>
        <w:tc>
          <w:tcPr>
            <w:tcW w:w="600" w:type="dxa"/>
            <w:tcBorders>
              <w:top w:val="nil"/>
              <w:left w:val="nil"/>
              <w:bottom w:val="single" w:sz="4" w:space="0" w:color="BFBFBF"/>
              <w:right w:val="single" w:sz="4" w:space="0" w:color="BFBFBF"/>
            </w:tcBorders>
            <w:shd w:val="clear" w:color="auto" w:fill="auto"/>
            <w:noWrap/>
            <w:vAlign w:val="center"/>
          </w:tcPr>
          <w:p w14:paraId="54BB0AC9"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41%</w:t>
            </w:r>
          </w:p>
        </w:tc>
        <w:tc>
          <w:tcPr>
            <w:tcW w:w="600" w:type="dxa"/>
            <w:tcBorders>
              <w:top w:val="nil"/>
              <w:left w:val="nil"/>
              <w:bottom w:val="single" w:sz="4" w:space="0" w:color="BFBFBF"/>
              <w:right w:val="single" w:sz="4" w:space="0" w:color="auto"/>
            </w:tcBorders>
            <w:shd w:val="clear" w:color="auto" w:fill="auto"/>
            <w:noWrap/>
            <w:vAlign w:val="center"/>
          </w:tcPr>
          <w:p w14:paraId="2699A5CD"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48%</w:t>
            </w:r>
          </w:p>
        </w:tc>
        <w:tc>
          <w:tcPr>
            <w:tcW w:w="600" w:type="dxa"/>
            <w:tcBorders>
              <w:top w:val="nil"/>
              <w:left w:val="nil"/>
              <w:bottom w:val="single" w:sz="4" w:space="0" w:color="BFBFBF"/>
              <w:right w:val="single" w:sz="4" w:space="0" w:color="BFBFBF"/>
            </w:tcBorders>
            <w:shd w:val="clear" w:color="auto" w:fill="auto"/>
            <w:noWrap/>
            <w:vAlign w:val="center"/>
          </w:tcPr>
          <w:p w14:paraId="6F7A68B6"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31%</w:t>
            </w:r>
          </w:p>
        </w:tc>
        <w:tc>
          <w:tcPr>
            <w:tcW w:w="600" w:type="dxa"/>
            <w:tcBorders>
              <w:top w:val="nil"/>
              <w:left w:val="nil"/>
              <w:bottom w:val="single" w:sz="4" w:space="0" w:color="BFBFBF"/>
              <w:right w:val="single" w:sz="4" w:space="0" w:color="BFBFBF"/>
            </w:tcBorders>
            <w:shd w:val="clear" w:color="auto" w:fill="auto"/>
            <w:noWrap/>
            <w:vAlign w:val="center"/>
          </w:tcPr>
          <w:p w14:paraId="460FF3A5"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19%</w:t>
            </w:r>
          </w:p>
        </w:tc>
        <w:tc>
          <w:tcPr>
            <w:tcW w:w="600" w:type="dxa"/>
            <w:tcBorders>
              <w:top w:val="nil"/>
              <w:left w:val="nil"/>
              <w:bottom w:val="single" w:sz="4" w:space="0" w:color="BFBFBF"/>
              <w:right w:val="single" w:sz="4" w:space="0" w:color="BFBFBF"/>
            </w:tcBorders>
            <w:shd w:val="clear" w:color="auto" w:fill="auto"/>
            <w:noWrap/>
            <w:vAlign w:val="center"/>
          </w:tcPr>
          <w:p w14:paraId="6D02DF93"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19%</w:t>
            </w:r>
          </w:p>
        </w:tc>
        <w:tc>
          <w:tcPr>
            <w:tcW w:w="600" w:type="dxa"/>
            <w:tcBorders>
              <w:top w:val="nil"/>
              <w:left w:val="nil"/>
              <w:bottom w:val="single" w:sz="4" w:space="0" w:color="BFBFBF"/>
              <w:right w:val="nil"/>
            </w:tcBorders>
            <w:shd w:val="clear" w:color="auto" w:fill="auto"/>
            <w:noWrap/>
            <w:vAlign w:val="center"/>
          </w:tcPr>
          <w:p w14:paraId="2247F40E"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14%</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3D6A750F"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34%</w:t>
            </w:r>
          </w:p>
        </w:tc>
        <w:tc>
          <w:tcPr>
            <w:tcW w:w="610" w:type="dxa"/>
            <w:tcBorders>
              <w:top w:val="nil"/>
              <w:left w:val="nil"/>
              <w:bottom w:val="single" w:sz="4" w:space="0" w:color="BFBFBF"/>
              <w:right w:val="single" w:sz="4" w:space="0" w:color="BFBFBF"/>
            </w:tcBorders>
            <w:shd w:val="clear" w:color="auto" w:fill="auto"/>
            <w:noWrap/>
            <w:vAlign w:val="center"/>
          </w:tcPr>
          <w:p w14:paraId="38198E3A"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28%</w:t>
            </w:r>
          </w:p>
        </w:tc>
        <w:tc>
          <w:tcPr>
            <w:tcW w:w="610" w:type="dxa"/>
            <w:tcBorders>
              <w:top w:val="nil"/>
              <w:left w:val="nil"/>
              <w:bottom w:val="single" w:sz="4" w:space="0" w:color="BFBFBF"/>
              <w:right w:val="single" w:sz="4" w:space="0" w:color="BFBFBF"/>
            </w:tcBorders>
            <w:shd w:val="clear" w:color="auto" w:fill="auto"/>
            <w:noWrap/>
            <w:vAlign w:val="center"/>
          </w:tcPr>
          <w:p w14:paraId="47720F60"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31%</w:t>
            </w:r>
          </w:p>
        </w:tc>
        <w:tc>
          <w:tcPr>
            <w:tcW w:w="610" w:type="dxa"/>
            <w:tcBorders>
              <w:top w:val="nil"/>
              <w:left w:val="nil"/>
              <w:bottom w:val="single" w:sz="4" w:space="0" w:color="BFBFBF"/>
              <w:right w:val="single" w:sz="4" w:space="0" w:color="auto"/>
            </w:tcBorders>
            <w:shd w:val="clear" w:color="auto" w:fill="auto"/>
            <w:noWrap/>
            <w:vAlign w:val="center"/>
          </w:tcPr>
          <w:p w14:paraId="7DC4BA93"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33%</w:t>
            </w:r>
          </w:p>
        </w:tc>
        <w:tc>
          <w:tcPr>
            <w:tcW w:w="645" w:type="dxa"/>
            <w:tcBorders>
              <w:top w:val="nil"/>
              <w:left w:val="nil"/>
              <w:bottom w:val="single" w:sz="4" w:space="0" w:color="BFBFBF"/>
              <w:right w:val="single" w:sz="4" w:space="0" w:color="BFBFBF"/>
            </w:tcBorders>
            <w:shd w:val="clear" w:color="auto" w:fill="auto"/>
            <w:noWrap/>
            <w:vAlign w:val="center"/>
          </w:tcPr>
          <w:p w14:paraId="7F369E66" w14:textId="77777777" w:rsidR="006321C3" w:rsidRPr="00C6102F" w:rsidRDefault="006321C3" w:rsidP="00C6102F">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w:t>
            </w:r>
            <w:r w:rsidR="00C6102F" w:rsidRPr="00C6102F">
              <w:rPr>
                <w:rFonts w:ascii="Arial" w:hAnsi="Arial" w:cs="Arial"/>
                <w:color w:val="000000"/>
                <w:sz w:val="16"/>
                <w:szCs w:val="16"/>
                <w:lang w:val="en-AU" w:eastAsia="en-AU"/>
              </w:rPr>
              <w:t>7</w:t>
            </w:r>
            <w:r w:rsidRPr="00C6102F">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6D6798C7"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15%</w:t>
            </w:r>
          </w:p>
        </w:tc>
        <w:tc>
          <w:tcPr>
            <w:tcW w:w="645" w:type="dxa"/>
            <w:tcBorders>
              <w:top w:val="nil"/>
              <w:left w:val="nil"/>
              <w:bottom w:val="single" w:sz="4" w:space="0" w:color="BFBFBF"/>
              <w:right w:val="single" w:sz="4" w:space="0" w:color="BFBFBF"/>
            </w:tcBorders>
            <w:shd w:val="clear" w:color="auto" w:fill="auto"/>
            <w:noWrap/>
            <w:vAlign w:val="center"/>
          </w:tcPr>
          <w:p w14:paraId="3A5CEF86"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12%</w:t>
            </w:r>
          </w:p>
        </w:tc>
        <w:tc>
          <w:tcPr>
            <w:tcW w:w="645" w:type="dxa"/>
            <w:tcBorders>
              <w:top w:val="nil"/>
              <w:left w:val="nil"/>
              <w:bottom w:val="single" w:sz="4" w:space="0" w:color="BFBFBF"/>
              <w:right w:val="single" w:sz="4" w:space="0" w:color="auto"/>
            </w:tcBorders>
            <w:shd w:val="clear" w:color="auto" w:fill="auto"/>
            <w:noWrap/>
            <w:vAlign w:val="center"/>
          </w:tcPr>
          <w:p w14:paraId="1A5DAA72"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BFBFBF"/>
            </w:tcBorders>
            <w:shd w:val="clear" w:color="auto" w:fill="auto"/>
            <w:noWrap/>
            <w:vAlign w:val="bottom"/>
          </w:tcPr>
          <w:p w14:paraId="166084D3"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24%</w:t>
            </w:r>
          </w:p>
        </w:tc>
        <w:tc>
          <w:tcPr>
            <w:tcW w:w="600" w:type="dxa"/>
            <w:tcBorders>
              <w:top w:val="nil"/>
              <w:left w:val="nil"/>
              <w:bottom w:val="single" w:sz="4" w:space="0" w:color="BFBFBF"/>
              <w:right w:val="single" w:sz="4" w:space="0" w:color="BFBFBF"/>
            </w:tcBorders>
            <w:shd w:val="clear" w:color="auto" w:fill="auto"/>
            <w:noWrap/>
            <w:vAlign w:val="center"/>
          </w:tcPr>
          <w:p w14:paraId="0FD448FB"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20%</w:t>
            </w:r>
          </w:p>
        </w:tc>
        <w:tc>
          <w:tcPr>
            <w:tcW w:w="600" w:type="dxa"/>
            <w:tcBorders>
              <w:top w:val="nil"/>
              <w:left w:val="nil"/>
              <w:bottom w:val="single" w:sz="4" w:space="0" w:color="BFBFBF"/>
              <w:right w:val="single" w:sz="4" w:space="0" w:color="BFBFBF"/>
            </w:tcBorders>
            <w:shd w:val="clear" w:color="auto" w:fill="auto"/>
            <w:noWrap/>
            <w:vAlign w:val="center"/>
          </w:tcPr>
          <w:p w14:paraId="5E006CBF"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19%</w:t>
            </w:r>
          </w:p>
        </w:tc>
        <w:tc>
          <w:tcPr>
            <w:tcW w:w="600" w:type="dxa"/>
            <w:tcBorders>
              <w:top w:val="nil"/>
              <w:left w:val="nil"/>
              <w:bottom w:val="single" w:sz="4" w:space="0" w:color="BFBFBF"/>
              <w:right w:val="double" w:sz="6" w:space="0" w:color="auto"/>
            </w:tcBorders>
            <w:shd w:val="clear" w:color="auto" w:fill="auto"/>
            <w:noWrap/>
            <w:vAlign w:val="center"/>
          </w:tcPr>
          <w:p w14:paraId="5158B1A1"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20%</w:t>
            </w:r>
          </w:p>
        </w:tc>
      </w:tr>
      <w:tr w:rsidR="006321C3" w:rsidRPr="00C6102F" w14:paraId="5CCC8CA6"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5D58CEA9" w14:textId="77777777" w:rsidR="006321C3" w:rsidRPr="00C6102F" w:rsidRDefault="006321C3" w:rsidP="006321C3">
            <w:pPr>
              <w:spacing w:before="0" w:after="0"/>
              <w:rPr>
                <w:rFonts w:ascii="Arial" w:hAnsi="Arial" w:cs="Arial"/>
                <w:color w:val="000000"/>
                <w:sz w:val="16"/>
                <w:szCs w:val="16"/>
                <w:lang w:val="en-AU" w:eastAsia="en-AU"/>
              </w:rPr>
            </w:pPr>
            <w:r w:rsidRPr="00C6102F">
              <w:rPr>
                <w:rFonts w:ascii="Arial" w:hAnsi="Arial" w:cs="Arial"/>
                <w:color w:val="000000"/>
                <w:sz w:val="16"/>
                <w:szCs w:val="16"/>
                <w:lang w:val="en-AU" w:eastAsia="en-AU"/>
              </w:rPr>
              <w:t>2 persons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2FD0C00"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51%</w:t>
            </w:r>
          </w:p>
        </w:tc>
        <w:tc>
          <w:tcPr>
            <w:tcW w:w="600" w:type="dxa"/>
            <w:tcBorders>
              <w:top w:val="nil"/>
              <w:left w:val="nil"/>
              <w:bottom w:val="single" w:sz="4" w:space="0" w:color="BFBFBF"/>
              <w:right w:val="single" w:sz="4" w:space="0" w:color="BFBFBF"/>
            </w:tcBorders>
            <w:shd w:val="clear" w:color="auto" w:fill="auto"/>
            <w:noWrap/>
            <w:vAlign w:val="center"/>
          </w:tcPr>
          <w:p w14:paraId="30C23757"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52%</w:t>
            </w:r>
          </w:p>
        </w:tc>
        <w:tc>
          <w:tcPr>
            <w:tcW w:w="600" w:type="dxa"/>
            <w:tcBorders>
              <w:top w:val="nil"/>
              <w:left w:val="nil"/>
              <w:bottom w:val="single" w:sz="4" w:space="0" w:color="BFBFBF"/>
              <w:right w:val="single" w:sz="4" w:space="0" w:color="BFBFBF"/>
            </w:tcBorders>
            <w:shd w:val="clear" w:color="auto" w:fill="auto"/>
            <w:noWrap/>
            <w:vAlign w:val="center"/>
          </w:tcPr>
          <w:p w14:paraId="25D1C831"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51%</w:t>
            </w:r>
          </w:p>
        </w:tc>
        <w:tc>
          <w:tcPr>
            <w:tcW w:w="600" w:type="dxa"/>
            <w:tcBorders>
              <w:top w:val="nil"/>
              <w:left w:val="nil"/>
              <w:bottom w:val="single" w:sz="4" w:space="0" w:color="BFBFBF"/>
              <w:right w:val="single" w:sz="4" w:space="0" w:color="auto"/>
            </w:tcBorders>
            <w:shd w:val="clear" w:color="auto" w:fill="auto"/>
            <w:noWrap/>
            <w:vAlign w:val="center"/>
          </w:tcPr>
          <w:p w14:paraId="7BF9D37E"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40%</w:t>
            </w:r>
          </w:p>
        </w:tc>
        <w:tc>
          <w:tcPr>
            <w:tcW w:w="600" w:type="dxa"/>
            <w:tcBorders>
              <w:top w:val="nil"/>
              <w:left w:val="nil"/>
              <w:bottom w:val="single" w:sz="4" w:space="0" w:color="BFBFBF"/>
              <w:right w:val="single" w:sz="4" w:space="0" w:color="BFBFBF"/>
            </w:tcBorders>
            <w:shd w:val="clear" w:color="auto" w:fill="auto"/>
            <w:noWrap/>
            <w:vAlign w:val="center"/>
          </w:tcPr>
          <w:p w14:paraId="3A3384DB"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25%</w:t>
            </w:r>
          </w:p>
        </w:tc>
        <w:tc>
          <w:tcPr>
            <w:tcW w:w="600" w:type="dxa"/>
            <w:tcBorders>
              <w:top w:val="nil"/>
              <w:left w:val="nil"/>
              <w:bottom w:val="single" w:sz="4" w:space="0" w:color="BFBFBF"/>
              <w:right w:val="single" w:sz="4" w:space="0" w:color="BFBFBF"/>
            </w:tcBorders>
            <w:shd w:val="clear" w:color="auto" w:fill="auto"/>
            <w:noWrap/>
            <w:vAlign w:val="center"/>
          </w:tcPr>
          <w:p w14:paraId="657C979A"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31%</w:t>
            </w:r>
          </w:p>
        </w:tc>
        <w:tc>
          <w:tcPr>
            <w:tcW w:w="600" w:type="dxa"/>
            <w:tcBorders>
              <w:top w:val="nil"/>
              <w:left w:val="nil"/>
              <w:bottom w:val="single" w:sz="4" w:space="0" w:color="BFBFBF"/>
              <w:right w:val="single" w:sz="4" w:space="0" w:color="BFBFBF"/>
            </w:tcBorders>
            <w:shd w:val="clear" w:color="auto" w:fill="auto"/>
            <w:noWrap/>
            <w:vAlign w:val="center"/>
          </w:tcPr>
          <w:p w14:paraId="77D0EB2C"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28%</w:t>
            </w:r>
          </w:p>
        </w:tc>
        <w:tc>
          <w:tcPr>
            <w:tcW w:w="600" w:type="dxa"/>
            <w:tcBorders>
              <w:top w:val="nil"/>
              <w:left w:val="nil"/>
              <w:bottom w:val="single" w:sz="4" w:space="0" w:color="BFBFBF"/>
              <w:right w:val="nil"/>
            </w:tcBorders>
            <w:shd w:val="clear" w:color="auto" w:fill="auto"/>
            <w:noWrap/>
            <w:vAlign w:val="center"/>
          </w:tcPr>
          <w:p w14:paraId="24DAFD55"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28%</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00357395"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39%</w:t>
            </w:r>
          </w:p>
        </w:tc>
        <w:tc>
          <w:tcPr>
            <w:tcW w:w="610" w:type="dxa"/>
            <w:tcBorders>
              <w:top w:val="nil"/>
              <w:left w:val="nil"/>
              <w:bottom w:val="single" w:sz="4" w:space="0" w:color="BFBFBF"/>
              <w:right w:val="single" w:sz="4" w:space="0" w:color="BFBFBF"/>
            </w:tcBorders>
            <w:shd w:val="clear" w:color="auto" w:fill="auto"/>
            <w:noWrap/>
            <w:vAlign w:val="center"/>
          </w:tcPr>
          <w:p w14:paraId="1D9FDC78"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42%</w:t>
            </w:r>
          </w:p>
        </w:tc>
        <w:tc>
          <w:tcPr>
            <w:tcW w:w="610" w:type="dxa"/>
            <w:tcBorders>
              <w:top w:val="nil"/>
              <w:left w:val="nil"/>
              <w:bottom w:val="single" w:sz="4" w:space="0" w:color="BFBFBF"/>
              <w:right w:val="single" w:sz="4" w:space="0" w:color="BFBFBF"/>
            </w:tcBorders>
            <w:shd w:val="clear" w:color="auto" w:fill="auto"/>
            <w:noWrap/>
            <w:vAlign w:val="center"/>
          </w:tcPr>
          <w:p w14:paraId="18D9AA0F"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40%</w:t>
            </w:r>
          </w:p>
        </w:tc>
        <w:tc>
          <w:tcPr>
            <w:tcW w:w="610" w:type="dxa"/>
            <w:tcBorders>
              <w:top w:val="nil"/>
              <w:left w:val="nil"/>
              <w:bottom w:val="single" w:sz="4" w:space="0" w:color="BFBFBF"/>
              <w:right w:val="single" w:sz="4" w:space="0" w:color="auto"/>
            </w:tcBorders>
            <w:shd w:val="clear" w:color="auto" w:fill="auto"/>
            <w:noWrap/>
            <w:vAlign w:val="center"/>
          </w:tcPr>
          <w:p w14:paraId="715DC7BB"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35%</w:t>
            </w:r>
          </w:p>
        </w:tc>
        <w:tc>
          <w:tcPr>
            <w:tcW w:w="645" w:type="dxa"/>
            <w:tcBorders>
              <w:top w:val="nil"/>
              <w:left w:val="nil"/>
              <w:bottom w:val="single" w:sz="4" w:space="0" w:color="BFBFBF"/>
              <w:right w:val="single" w:sz="4" w:space="0" w:color="BFBFBF"/>
            </w:tcBorders>
            <w:shd w:val="clear" w:color="auto" w:fill="auto"/>
            <w:noWrap/>
            <w:vAlign w:val="center"/>
          </w:tcPr>
          <w:p w14:paraId="35C4394F" w14:textId="77777777" w:rsidR="006321C3" w:rsidRPr="00C6102F" w:rsidRDefault="006321C3" w:rsidP="00C6102F">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w:t>
            </w:r>
            <w:r w:rsidR="00C6102F" w:rsidRPr="00C6102F">
              <w:rPr>
                <w:rFonts w:ascii="Arial" w:hAnsi="Arial" w:cs="Arial"/>
                <w:color w:val="000000"/>
                <w:sz w:val="16"/>
                <w:szCs w:val="16"/>
                <w:lang w:val="en-AU" w:eastAsia="en-AU"/>
              </w:rPr>
              <w:t>9</w:t>
            </w:r>
            <w:r w:rsidRPr="00C6102F">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43D76696"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32%</w:t>
            </w:r>
          </w:p>
        </w:tc>
        <w:tc>
          <w:tcPr>
            <w:tcW w:w="645" w:type="dxa"/>
            <w:tcBorders>
              <w:top w:val="nil"/>
              <w:left w:val="nil"/>
              <w:bottom w:val="single" w:sz="4" w:space="0" w:color="BFBFBF"/>
              <w:right w:val="single" w:sz="4" w:space="0" w:color="BFBFBF"/>
            </w:tcBorders>
            <w:shd w:val="clear" w:color="auto" w:fill="auto"/>
            <w:noWrap/>
            <w:vAlign w:val="center"/>
          </w:tcPr>
          <w:p w14:paraId="39876EFF"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32%</w:t>
            </w:r>
          </w:p>
        </w:tc>
        <w:tc>
          <w:tcPr>
            <w:tcW w:w="645" w:type="dxa"/>
            <w:tcBorders>
              <w:top w:val="nil"/>
              <w:left w:val="nil"/>
              <w:bottom w:val="single" w:sz="4" w:space="0" w:color="BFBFBF"/>
              <w:right w:val="single" w:sz="4" w:space="0" w:color="auto"/>
            </w:tcBorders>
            <w:shd w:val="clear" w:color="auto" w:fill="auto"/>
            <w:noWrap/>
            <w:vAlign w:val="center"/>
          </w:tcPr>
          <w:p w14:paraId="1BB9F2B2"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28%</w:t>
            </w:r>
          </w:p>
        </w:tc>
        <w:tc>
          <w:tcPr>
            <w:tcW w:w="600" w:type="dxa"/>
            <w:tcBorders>
              <w:top w:val="nil"/>
              <w:left w:val="nil"/>
              <w:bottom w:val="single" w:sz="4" w:space="0" w:color="BFBFBF"/>
              <w:right w:val="single" w:sz="4" w:space="0" w:color="BFBFBF"/>
            </w:tcBorders>
            <w:shd w:val="clear" w:color="auto" w:fill="auto"/>
            <w:noWrap/>
            <w:vAlign w:val="bottom"/>
          </w:tcPr>
          <w:p w14:paraId="47A06A22"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33%</w:t>
            </w:r>
          </w:p>
        </w:tc>
        <w:tc>
          <w:tcPr>
            <w:tcW w:w="600" w:type="dxa"/>
            <w:tcBorders>
              <w:top w:val="nil"/>
              <w:left w:val="nil"/>
              <w:bottom w:val="single" w:sz="4" w:space="0" w:color="BFBFBF"/>
              <w:right w:val="single" w:sz="4" w:space="0" w:color="BFBFBF"/>
            </w:tcBorders>
            <w:shd w:val="clear" w:color="auto" w:fill="auto"/>
            <w:noWrap/>
            <w:vAlign w:val="center"/>
          </w:tcPr>
          <w:p w14:paraId="70148186"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36%</w:t>
            </w:r>
          </w:p>
        </w:tc>
        <w:tc>
          <w:tcPr>
            <w:tcW w:w="600" w:type="dxa"/>
            <w:tcBorders>
              <w:top w:val="nil"/>
              <w:left w:val="nil"/>
              <w:bottom w:val="single" w:sz="4" w:space="0" w:color="BFBFBF"/>
              <w:right w:val="single" w:sz="4" w:space="0" w:color="BFBFBF"/>
            </w:tcBorders>
            <w:shd w:val="clear" w:color="auto" w:fill="auto"/>
            <w:noWrap/>
            <w:vAlign w:val="center"/>
          </w:tcPr>
          <w:p w14:paraId="5DB9F673"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35%</w:t>
            </w:r>
          </w:p>
        </w:tc>
        <w:tc>
          <w:tcPr>
            <w:tcW w:w="600" w:type="dxa"/>
            <w:tcBorders>
              <w:top w:val="nil"/>
              <w:left w:val="nil"/>
              <w:bottom w:val="single" w:sz="4" w:space="0" w:color="BFBFBF"/>
              <w:right w:val="double" w:sz="6" w:space="0" w:color="auto"/>
            </w:tcBorders>
            <w:shd w:val="clear" w:color="auto" w:fill="auto"/>
            <w:noWrap/>
            <w:vAlign w:val="center"/>
          </w:tcPr>
          <w:p w14:paraId="423094E2"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31%</w:t>
            </w:r>
          </w:p>
        </w:tc>
      </w:tr>
      <w:tr w:rsidR="006321C3" w:rsidRPr="00C6102F" w14:paraId="0BC6D9EC"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E3CA162" w14:textId="77777777" w:rsidR="006321C3" w:rsidRPr="00C6102F" w:rsidRDefault="006321C3" w:rsidP="006321C3">
            <w:pPr>
              <w:spacing w:before="0" w:after="0"/>
              <w:rPr>
                <w:rFonts w:ascii="Arial" w:hAnsi="Arial" w:cs="Arial"/>
                <w:color w:val="000000"/>
                <w:sz w:val="16"/>
                <w:szCs w:val="16"/>
                <w:lang w:val="en-AU" w:eastAsia="en-AU"/>
              </w:rPr>
            </w:pPr>
            <w:r w:rsidRPr="00C6102F">
              <w:rPr>
                <w:rFonts w:ascii="Arial" w:hAnsi="Arial" w:cs="Arial"/>
                <w:color w:val="000000"/>
                <w:sz w:val="16"/>
                <w:szCs w:val="16"/>
                <w:lang w:val="en-AU" w:eastAsia="en-AU"/>
              </w:rPr>
              <w:t>3 persons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70807B6"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BFBFBF"/>
            </w:tcBorders>
            <w:shd w:val="clear" w:color="auto" w:fill="auto"/>
            <w:noWrap/>
            <w:vAlign w:val="center"/>
          </w:tcPr>
          <w:p w14:paraId="3A1CCC86"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BFBFBF"/>
            </w:tcBorders>
            <w:shd w:val="clear" w:color="auto" w:fill="auto"/>
            <w:noWrap/>
            <w:vAlign w:val="center"/>
          </w:tcPr>
          <w:p w14:paraId="7DDF10BC"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7191F740"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BFBFBF"/>
            </w:tcBorders>
            <w:shd w:val="clear" w:color="auto" w:fill="auto"/>
            <w:noWrap/>
            <w:vAlign w:val="center"/>
          </w:tcPr>
          <w:p w14:paraId="07C7554E"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18%</w:t>
            </w:r>
          </w:p>
        </w:tc>
        <w:tc>
          <w:tcPr>
            <w:tcW w:w="600" w:type="dxa"/>
            <w:tcBorders>
              <w:top w:val="nil"/>
              <w:left w:val="nil"/>
              <w:bottom w:val="single" w:sz="4" w:space="0" w:color="BFBFBF"/>
              <w:right w:val="single" w:sz="4" w:space="0" w:color="BFBFBF"/>
            </w:tcBorders>
            <w:shd w:val="clear" w:color="auto" w:fill="auto"/>
            <w:noWrap/>
            <w:vAlign w:val="center"/>
          </w:tcPr>
          <w:p w14:paraId="052038FA"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15%</w:t>
            </w:r>
          </w:p>
        </w:tc>
        <w:tc>
          <w:tcPr>
            <w:tcW w:w="600" w:type="dxa"/>
            <w:tcBorders>
              <w:top w:val="nil"/>
              <w:left w:val="nil"/>
              <w:bottom w:val="single" w:sz="4" w:space="0" w:color="BFBFBF"/>
              <w:right w:val="single" w:sz="4" w:space="0" w:color="BFBFBF"/>
            </w:tcBorders>
            <w:shd w:val="clear" w:color="auto" w:fill="auto"/>
            <w:noWrap/>
            <w:vAlign w:val="center"/>
          </w:tcPr>
          <w:p w14:paraId="403685AB"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23%</w:t>
            </w:r>
          </w:p>
        </w:tc>
        <w:tc>
          <w:tcPr>
            <w:tcW w:w="600" w:type="dxa"/>
            <w:tcBorders>
              <w:top w:val="nil"/>
              <w:left w:val="nil"/>
              <w:bottom w:val="single" w:sz="4" w:space="0" w:color="BFBFBF"/>
              <w:right w:val="nil"/>
            </w:tcBorders>
            <w:shd w:val="clear" w:color="auto" w:fill="auto"/>
            <w:noWrap/>
            <w:vAlign w:val="center"/>
          </w:tcPr>
          <w:p w14:paraId="06B2C977"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20%</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13E793A1"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13%</w:t>
            </w:r>
          </w:p>
        </w:tc>
        <w:tc>
          <w:tcPr>
            <w:tcW w:w="610" w:type="dxa"/>
            <w:tcBorders>
              <w:top w:val="nil"/>
              <w:left w:val="nil"/>
              <w:bottom w:val="single" w:sz="4" w:space="0" w:color="BFBFBF"/>
              <w:right w:val="single" w:sz="4" w:space="0" w:color="BFBFBF"/>
            </w:tcBorders>
            <w:shd w:val="clear" w:color="auto" w:fill="auto"/>
            <w:noWrap/>
            <w:vAlign w:val="center"/>
          </w:tcPr>
          <w:p w14:paraId="36174036"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11%</w:t>
            </w:r>
          </w:p>
        </w:tc>
        <w:tc>
          <w:tcPr>
            <w:tcW w:w="610" w:type="dxa"/>
            <w:tcBorders>
              <w:top w:val="nil"/>
              <w:left w:val="nil"/>
              <w:bottom w:val="single" w:sz="4" w:space="0" w:color="BFBFBF"/>
              <w:right w:val="single" w:sz="4" w:space="0" w:color="BFBFBF"/>
            </w:tcBorders>
            <w:shd w:val="clear" w:color="auto" w:fill="auto"/>
            <w:noWrap/>
            <w:vAlign w:val="center"/>
          </w:tcPr>
          <w:p w14:paraId="35071E5A"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14%</w:t>
            </w:r>
          </w:p>
        </w:tc>
        <w:tc>
          <w:tcPr>
            <w:tcW w:w="610" w:type="dxa"/>
            <w:tcBorders>
              <w:top w:val="nil"/>
              <w:left w:val="nil"/>
              <w:bottom w:val="single" w:sz="4" w:space="0" w:color="BFBFBF"/>
              <w:right w:val="single" w:sz="4" w:space="0" w:color="auto"/>
            </w:tcBorders>
            <w:shd w:val="clear" w:color="auto" w:fill="auto"/>
            <w:noWrap/>
            <w:vAlign w:val="center"/>
          </w:tcPr>
          <w:p w14:paraId="6D242827"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14%</w:t>
            </w:r>
          </w:p>
        </w:tc>
        <w:tc>
          <w:tcPr>
            <w:tcW w:w="645" w:type="dxa"/>
            <w:tcBorders>
              <w:top w:val="nil"/>
              <w:left w:val="nil"/>
              <w:bottom w:val="single" w:sz="4" w:space="0" w:color="BFBFBF"/>
              <w:right w:val="single" w:sz="4" w:space="0" w:color="BFBFBF"/>
            </w:tcBorders>
            <w:shd w:val="clear" w:color="auto" w:fill="auto"/>
            <w:noWrap/>
            <w:vAlign w:val="center"/>
          </w:tcPr>
          <w:p w14:paraId="1F25489F"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19%</w:t>
            </w:r>
          </w:p>
        </w:tc>
        <w:tc>
          <w:tcPr>
            <w:tcW w:w="645" w:type="dxa"/>
            <w:tcBorders>
              <w:top w:val="nil"/>
              <w:left w:val="nil"/>
              <w:bottom w:val="single" w:sz="4" w:space="0" w:color="BFBFBF"/>
              <w:right w:val="single" w:sz="4" w:space="0" w:color="BFBFBF"/>
            </w:tcBorders>
            <w:shd w:val="clear" w:color="auto" w:fill="auto"/>
            <w:noWrap/>
            <w:vAlign w:val="center"/>
          </w:tcPr>
          <w:p w14:paraId="745FB754"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19%</w:t>
            </w:r>
          </w:p>
        </w:tc>
        <w:tc>
          <w:tcPr>
            <w:tcW w:w="645" w:type="dxa"/>
            <w:tcBorders>
              <w:top w:val="nil"/>
              <w:left w:val="nil"/>
              <w:bottom w:val="single" w:sz="4" w:space="0" w:color="BFBFBF"/>
              <w:right w:val="single" w:sz="4" w:space="0" w:color="BFBFBF"/>
            </w:tcBorders>
            <w:shd w:val="clear" w:color="auto" w:fill="auto"/>
            <w:noWrap/>
            <w:vAlign w:val="center"/>
          </w:tcPr>
          <w:p w14:paraId="1708FADE"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20%</w:t>
            </w:r>
          </w:p>
        </w:tc>
        <w:tc>
          <w:tcPr>
            <w:tcW w:w="645" w:type="dxa"/>
            <w:tcBorders>
              <w:top w:val="nil"/>
              <w:left w:val="nil"/>
              <w:bottom w:val="single" w:sz="4" w:space="0" w:color="BFBFBF"/>
              <w:right w:val="single" w:sz="4" w:space="0" w:color="auto"/>
            </w:tcBorders>
            <w:shd w:val="clear" w:color="auto" w:fill="auto"/>
            <w:noWrap/>
            <w:vAlign w:val="center"/>
          </w:tcPr>
          <w:p w14:paraId="4E8CD91C"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20%</w:t>
            </w:r>
          </w:p>
        </w:tc>
        <w:tc>
          <w:tcPr>
            <w:tcW w:w="600" w:type="dxa"/>
            <w:tcBorders>
              <w:top w:val="nil"/>
              <w:left w:val="nil"/>
              <w:bottom w:val="single" w:sz="4" w:space="0" w:color="BFBFBF"/>
              <w:right w:val="single" w:sz="4" w:space="0" w:color="BFBFBF"/>
            </w:tcBorders>
            <w:shd w:val="clear" w:color="auto" w:fill="auto"/>
            <w:noWrap/>
            <w:vAlign w:val="bottom"/>
          </w:tcPr>
          <w:p w14:paraId="0C71E56F"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16%</w:t>
            </w:r>
          </w:p>
        </w:tc>
        <w:tc>
          <w:tcPr>
            <w:tcW w:w="600" w:type="dxa"/>
            <w:tcBorders>
              <w:top w:val="nil"/>
              <w:left w:val="nil"/>
              <w:bottom w:val="single" w:sz="4" w:space="0" w:color="BFBFBF"/>
              <w:right w:val="single" w:sz="4" w:space="0" w:color="BFBFBF"/>
            </w:tcBorders>
            <w:shd w:val="clear" w:color="auto" w:fill="auto"/>
            <w:noWrap/>
            <w:vAlign w:val="center"/>
          </w:tcPr>
          <w:p w14:paraId="087B9A23"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16%</w:t>
            </w:r>
          </w:p>
        </w:tc>
        <w:tc>
          <w:tcPr>
            <w:tcW w:w="600" w:type="dxa"/>
            <w:tcBorders>
              <w:top w:val="nil"/>
              <w:left w:val="nil"/>
              <w:bottom w:val="single" w:sz="4" w:space="0" w:color="BFBFBF"/>
              <w:right w:val="single" w:sz="4" w:space="0" w:color="BFBFBF"/>
            </w:tcBorders>
            <w:shd w:val="clear" w:color="auto" w:fill="auto"/>
            <w:noWrap/>
            <w:vAlign w:val="center"/>
          </w:tcPr>
          <w:p w14:paraId="08D4D6C8"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18%</w:t>
            </w:r>
          </w:p>
        </w:tc>
        <w:tc>
          <w:tcPr>
            <w:tcW w:w="600" w:type="dxa"/>
            <w:tcBorders>
              <w:top w:val="nil"/>
              <w:left w:val="nil"/>
              <w:bottom w:val="single" w:sz="4" w:space="0" w:color="BFBFBF"/>
              <w:right w:val="double" w:sz="6" w:space="0" w:color="auto"/>
            </w:tcBorders>
            <w:shd w:val="clear" w:color="auto" w:fill="auto"/>
            <w:noWrap/>
            <w:vAlign w:val="center"/>
          </w:tcPr>
          <w:p w14:paraId="6840749F"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18%</w:t>
            </w:r>
          </w:p>
        </w:tc>
      </w:tr>
      <w:tr w:rsidR="006321C3" w:rsidRPr="00C6102F" w14:paraId="49466360" w14:textId="77777777" w:rsidTr="00BD2674">
        <w:trPr>
          <w:trHeight w:val="240"/>
          <w:jc w:val="center"/>
        </w:trPr>
        <w:tc>
          <w:tcPr>
            <w:tcW w:w="2160" w:type="dxa"/>
            <w:tcBorders>
              <w:top w:val="nil"/>
              <w:left w:val="double" w:sz="6" w:space="0" w:color="auto"/>
              <w:bottom w:val="double" w:sz="6" w:space="0" w:color="auto"/>
              <w:right w:val="nil"/>
            </w:tcBorders>
            <w:shd w:val="clear" w:color="auto" w:fill="auto"/>
            <w:noWrap/>
            <w:vAlign w:val="center"/>
          </w:tcPr>
          <w:p w14:paraId="66A2E443" w14:textId="77777777" w:rsidR="006321C3" w:rsidRPr="00C6102F" w:rsidRDefault="006321C3" w:rsidP="006321C3">
            <w:pPr>
              <w:spacing w:before="0" w:after="0"/>
              <w:rPr>
                <w:rFonts w:ascii="Arial" w:hAnsi="Arial" w:cs="Arial"/>
                <w:color w:val="000000"/>
                <w:sz w:val="16"/>
                <w:szCs w:val="16"/>
                <w:lang w:val="en-AU" w:eastAsia="en-AU"/>
              </w:rPr>
            </w:pPr>
            <w:r w:rsidRPr="00C6102F">
              <w:rPr>
                <w:rFonts w:ascii="Arial" w:hAnsi="Arial" w:cs="Arial"/>
                <w:color w:val="000000"/>
                <w:sz w:val="16"/>
                <w:szCs w:val="16"/>
                <w:lang w:val="en-AU" w:eastAsia="en-AU"/>
              </w:rPr>
              <w:t>4 or more persons</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121BBAA8"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w:t>
            </w:r>
          </w:p>
        </w:tc>
        <w:tc>
          <w:tcPr>
            <w:tcW w:w="600" w:type="dxa"/>
            <w:tcBorders>
              <w:top w:val="nil"/>
              <w:left w:val="nil"/>
              <w:bottom w:val="double" w:sz="6" w:space="0" w:color="auto"/>
              <w:right w:val="single" w:sz="4" w:space="0" w:color="BFBFBF"/>
            </w:tcBorders>
            <w:shd w:val="clear" w:color="auto" w:fill="auto"/>
            <w:noWrap/>
            <w:vAlign w:val="center"/>
          </w:tcPr>
          <w:p w14:paraId="4CD46A1D"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5%</w:t>
            </w:r>
          </w:p>
        </w:tc>
        <w:tc>
          <w:tcPr>
            <w:tcW w:w="600" w:type="dxa"/>
            <w:tcBorders>
              <w:top w:val="nil"/>
              <w:left w:val="nil"/>
              <w:bottom w:val="double" w:sz="6" w:space="0" w:color="auto"/>
              <w:right w:val="single" w:sz="4" w:space="0" w:color="BFBFBF"/>
            </w:tcBorders>
            <w:shd w:val="clear" w:color="auto" w:fill="auto"/>
            <w:noWrap/>
            <w:vAlign w:val="center"/>
          </w:tcPr>
          <w:p w14:paraId="0BF7C563"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w:t>
            </w:r>
          </w:p>
        </w:tc>
        <w:tc>
          <w:tcPr>
            <w:tcW w:w="600" w:type="dxa"/>
            <w:tcBorders>
              <w:top w:val="nil"/>
              <w:left w:val="nil"/>
              <w:bottom w:val="double" w:sz="6" w:space="0" w:color="auto"/>
              <w:right w:val="single" w:sz="4" w:space="0" w:color="auto"/>
            </w:tcBorders>
            <w:shd w:val="clear" w:color="auto" w:fill="auto"/>
            <w:noWrap/>
            <w:vAlign w:val="center"/>
          </w:tcPr>
          <w:p w14:paraId="3B5C1B31"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w:t>
            </w:r>
          </w:p>
        </w:tc>
        <w:tc>
          <w:tcPr>
            <w:tcW w:w="600" w:type="dxa"/>
            <w:tcBorders>
              <w:top w:val="nil"/>
              <w:left w:val="nil"/>
              <w:bottom w:val="double" w:sz="6" w:space="0" w:color="auto"/>
              <w:right w:val="single" w:sz="4" w:space="0" w:color="BFBFBF"/>
            </w:tcBorders>
            <w:shd w:val="clear" w:color="auto" w:fill="auto"/>
            <w:noWrap/>
            <w:vAlign w:val="center"/>
          </w:tcPr>
          <w:p w14:paraId="578BF16E" w14:textId="77777777" w:rsidR="006321C3" w:rsidRPr="00C6102F" w:rsidRDefault="006321C3" w:rsidP="00C6102F">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w:t>
            </w:r>
            <w:r w:rsidR="00C6102F" w:rsidRPr="00C6102F">
              <w:rPr>
                <w:rFonts w:ascii="Arial" w:hAnsi="Arial" w:cs="Arial"/>
                <w:color w:val="000000"/>
                <w:sz w:val="16"/>
                <w:szCs w:val="16"/>
                <w:lang w:val="en-AU" w:eastAsia="en-AU"/>
              </w:rPr>
              <w:t>6</w:t>
            </w:r>
            <w:r w:rsidRPr="00C6102F">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2EB9DF81"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34%</w:t>
            </w:r>
          </w:p>
        </w:tc>
        <w:tc>
          <w:tcPr>
            <w:tcW w:w="600" w:type="dxa"/>
            <w:tcBorders>
              <w:top w:val="nil"/>
              <w:left w:val="nil"/>
              <w:bottom w:val="double" w:sz="6" w:space="0" w:color="auto"/>
              <w:right w:val="single" w:sz="4" w:space="0" w:color="BFBFBF"/>
            </w:tcBorders>
            <w:shd w:val="clear" w:color="auto" w:fill="auto"/>
            <w:noWrap/>
            <w:vAlign w:val="center"/>
          </w:tcPr>
          <w:p w14:paraId="2BC029D6"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29%</w:t>
            </w:r>
          </w:p>
        </w:tc>
        <w:tc>
          <w:tcPr>
            <w:tcW w:w="600" w:type="dxa"/>
            <w:tcBorders>
              <w:top w:val="nil"/>
              <w:left w:val="nil"/>
              <w:bottom w:val="double" w:sz="6" w:space="0" w:color="auto"/>
              <w:right w:val="nil"/>
            </w:tcBorders>
            <w:shd w:val="clear" w:color="auto" w:fill="auto"/>
            <w:noWrap/>
            <w:vAlign w:val="center"/>
          </w:tcPr>
          <w:p w14:paraId="0611C5A5"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38%</w:t>
            </w:r>
          </w:p>
        </w:tc>
        <w:tc>
          <w:tcPr>
            <w:tcW w:w="610" w:type="dxa"/>
            <w:tcBorders>
              <w:top w:val="nil"/>
              <w:left w:val="single" w:sz="4" w:space="0" w:color="auto"/>
              <w:bottom w:val="double" w:sz="6" w:space="0" w:color="auto"/>
              <w:right w:val="single" w:sz="4" w:space="0" w:color="BFBFBF"/>
            </w:tcBorders>
            <w:shd w:val="clear" w:color="auto" w:fill="auto"/>
            <w:noWrap/>
            <w:vAlign w:val="center"/>
          </w:tcPr>
          <w:p w14:paraId="72D808AE"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14%</w:t>
            </w:r>
          </w:p>
        </w:tc>
        <w:tc>
          <w:tcPr>
            <w:tcW w:w="610" w:type="dxa"/>
            <w:tcBorders>
              <w:top w:val="nil"/>
              <w:left w:val="nil"/>
              <w:bottom w:val="double" w:sz="6" w:space="0" w:color="auto"/>
              <w:right w:val="single" w:sz="4" w:space="0" w:color="BFBFBF"/>
            </w:tcBorders>
            <w:shd w:val="clear" w:color="auto" w:fill="auto"/>
            <w:noWrap/>
            <w:vAlign w:val="center"/>
          </w:tcPr>
          <w:p w14:paraId="64D1EED3"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19%</w:t>
            </w:r>
          </w:p>
        </w:tc>
        <w:tc>
          <w:tcPr>
            <w:tcW w:w="610" w:type="dxa"/>
            <w:tcBorders>
              <w:top w:val="nil"/>
              <w:left w:val="nil"/>
              <w:bottom w:val="double" w:sz="6" w:space="0" w:color="auto"/>
              <w:right w:val="single" w:sz="4" w:space="0" w:color="BFBFBF"/>
            </w:tcBorders>
            <w:shd w:val="clear" w:color="auto" w:fill="auto"/>
            <w:noWrap/>
            <w:vAlign w:val="center"/>
          </w:tcPr>
          <w:p w14:paraId="64C3F8FB"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15%</w:t>
            </w:r>
          </w:p>
        </w:tc>
        <w:tc>
          <w:tcPr>
            <w:tcW w:w="610" w:type="dxa"/>
            <w:tcBorders>
              <w:top w:val="nil"/>
              <w:left w:val="nil"/>
              <w:bottom w:val="double" w:sz="6" w:space="0" w:color="auto"/>
              <w:right w:val="single" w:sz="4" w:space="0" w:color="auto"/>
            </w:tcBorders>
            <w:shd w:val="clear" w:color="auto" w:fill="auto"/>
            <w:noWrap/>
            <w:vAlign w:val="center"/>
          </w:tcPr>
          <w:p w14:paraId="4D339757"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18%</w:t>
            </w:r>
          </w:p>
        </w:tc>
        <w:tc>
          <w:tcPr>
            <w:tcW w:w="645" w:type="dxa"/>
            <w:tcBorders>
              <w:top w:val="nil"/>
              <w:left w:val="nil"/>
              <w:bottom w:val="double" w:sz="6" w:space="0" w:color="auto"/>
              <w:right w:val="single" w:sz="4" w:space="0" w:color="BFBFBF"/>
            </w:tcBorders>
            <w:shd w:val="clear" w:color="auto" w:fill="auto"/>
            <w:noWrap/>
            <w:vAlign w:val="center"/>
          </w:tcPr>
          <w:p w14:paraId="4F41BC7F" w14:textId="77777777" w:rsidR="006321C3" w:rsidRPr="00C6102F" w:rsidRDefault="006321C3" w:rsidP="00C6102F">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w:t>
            </w:r>
            <w:r w:rsidR="00C6102F" w:rsidRPr="00C6102F">
              <w:rPr>
                <w:rFonts w:ascii="Arial" w:hAnsi="Arial" w:cs="Arial"/>
                <w:color w:val="000000"/>
                <w:sz w:val="16"/>
                <w:szCs w:val="16"/>
                <w:lang w:val="en-AU" w:eastAsia="en-AU"/>
              </w:rPr>
              <w:t>6</w:t>
            </w:r>
            <w:r w:rsidRPr="00C6102F">
              <w:rPr>
                <w:rFonts w:ascii="Arial" w:hAnsi="Arial" w:cs="Arial"/>
                <w:color w:val="000000"/>
                <w:sz w:val="16"/>
                <w:szCs w:val="16"/>
                <w:lang w:val="en-AU" w:eastAsia="en-AU"/>
              </w:rPr>
              <w:t>%</w:t>
            </w:r>
          </w:p>
        </w:tc>
        <w:tc>
          <w:tcPr>
            <w:tcW w:w="645" w:type="dxa"/>
            <w:tcBorders>
              <w:top w:val="nil"/>
              <w:left w:val="nil"/>
              <w:bottom w:val="double" w:sz="6" w:space="0" w:color="auto"/>
              <w:right w:val="single" w:sz="4" w:space="0" w:color="BFBFBF"/>
            </w:tcBorders>
            <w:shd w:val="clear" w:color="auto" w:fill="auto"/>
            <w:noWrap/>
            <w:vAlign w:val="center"/>
          </w:tcPr>
          <w:p w14:paraId="27E93073"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34%</w:t>
            </w:r>
          </w:p>
        </w:tc>
        <w:tc>
          <w:tcPr>
            <w:tcW w:w="645" w:type="dxa"/>
            <w:tcBorders>
              <w:top w:val="nil"/>
              <w:left w:val="nil"/>
              <w:bottom w:val="double" w:sz="6" w:space="0" w:color="auto"/>
              <w:right w:val="single" w:sz="4" w:space="0" w:color="BFBFBF"/>
            </w:tcBorders>
            <w:shd w:val="clear" w:color="auto" w:fill="auto"/>
            <w:noWrap/>
            <w:vAlign w:val="center"/>
          </w:tcPr>
          <w:p w14:paraId="37F47D3A"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36%</w:t>
            </w:r>
          </w:p>
        </w:tc>
        <w:tc>
          <w:tcPr>
            <w:tcW w:w="645" w:type="dxa"/>
            <w:tcBorders>
              <w:top w:val="nil"/>
              <w:left w:val="nil"/>
              <w:bottom w:val="double" w:sz="6" w:space="0" w:color="auto"/>
              <w:right w:val="single" w:sz="4" w:space="0" w:color="auto"/>
            </w:tcBorders>
            <w:shd w:val="clear" w:color="auto" w:fill="auto"/>
            <w:noWrap/>
            <w:vAlign w:val="center"/>
          </w:tcPr>
          <w:p w14:paraId="3974DE8E"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41%</w:t>
            </w:r>
          </w:p>
        </w:tc>
        <w:tc>
          <w:tcPr>
            <w:tcW w:w="600" w:type="dxa"/>
            <w:tcBorders>
              <w:top w:val="nil"/>
              <w:left w:val="nil"/>
              <w:bottom w:val="double" w:sz="6" w:space="0" w:color="auto"/>
              <w:right w:val="single" w:sz="4" w:space="0" w:color="BFBFBF"/>
            </w:tcBorders>
            <w:shd w:val="clear" w:color="auto" w:fill="auto"/>
            <w:noWrap/>
            <w:vAlign w:val="bottom"/>
          </w:tcPr>
          <w:p w14:paraId="538AC82C"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26%</w:t>
            </w:r>
          </w:p>
        </w:tc>
        <w:tc>
          <w:tcPr>
            <w:tcW w:w="600" w:type="dxa"/>
            <w:tcBorders>
              <w:top w:val="nil"/>
              <w:left w:val="nil"/>
              <w:bottom w:val="double" w:sz="6" w:space="0" w:color="auto"/>
              <w:right w:val="single" w:sz="4" w:space="0" w:color="BFBFBF"/>
            </w:tcBorders>
            <w:shd w:val="clear" w:color="auto" w:fill="auto"/>
            <w:noWrap/>
            <w:vAlign w:val="center"/>
          </w:tcPr>
          <w:p w14:paraId="0E2E30FB"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28%</w:t>
            </w:r>
          </w:p>
        </w:tc>
        <w:tc>
          <w:tcPr>
            <w:tcW w:w="600" w:type="dxa"/>
            <w:tcBorders>
              <w:top w:val="nil"/>
              <w:left w:val="nil"/>
              <w:bottom w:val="double" w:sz="6" w:space="0" w:color="auto"/>
              <w:right w:val="single" w:sz="4" w:space="0" w:color="BFBFBF"/>
            </w:tcBorders>
            <w:shd w:val="clear" w:color="auto" w:fill="auto"/>
            <w:noWrap/>
            <w:vAlign w:val="center"/>
          </w:tcPr>
          <w:p w14:paraId="1D19BD5D"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28%</w:t>
            </w:r>
          </w:p>
        </w:tc>
        <w:tc>
          <w:tcPr>
            <w:tcW w:w="600" w:type="dxa"/>
            <w:tcBorders>
              <w:top w:val="nil"/>
              <w:left w:val="nil"/>
              <w:bottom w:val="double" w:sz="6" w:space="0" w:color="auto"/>
              <w:right w:val="double" w:sz="6" w:space="0" w:color="auto"/>
            </w:tcBorders>
            <w:shd w:val="clear" w:color="auto" w:fill="auto"/>
            <w:noWrap/>
            <w:vAlign w:val="center"/>
          </w:tcPr>
          <w:p w14:paraId="7F826AC1" w14:textId="77777777" w:rsidR="006321C3" w:rsidRPr="00C6102F" w:rsidRDefault="006321C3" w:rsidP="006321C3">
            <w:pPr>
              <w:spacing w:before="0" w:after="0"/>
              <w:jc w:val="center"/>
              <w:rPr>
                <w:rFonts w:ascii="Arial" w:hAnsi="Arial" w:cs="Arial"/>
                <w:color w:val="000000"/>
                <w:sz w:val="16"/>
                <w:szCs w:val="16"/>
                <w:lang w:val="en-AU" w:eastAsia="en-AU"/>
              </w:rPr>
            </w:pPr>
            <w:r w:rsidRPr="00C6102F">
              <w:rPr>
                <w:rFonts w:ascii="Arial" w:hAnsi="Arial" w:cs="Arial"/>
                <w:color w:val="000000"/>
                <w:sz w:val="16"/>
                <w:szCs w:val="16"/>
                <w:lang w:val="en-AU" w:eastAsia="en-AU"/>
              </w:rPr>
              <w:t>32%</w:t>
            </w:r>
          </w:p>
        </w:tc>
      </w:tr>
    </w:tbl>
    <w:p w14:paraId="2C5F3E0E" w14:textId="77777777" w:rsidR="00F8776E" w:rsidRPr="00C6102F" w:rsidRDefault="00F8776E" w:rsidP="00BD2674">
      <w:pPr>
        <w:pStyle w:val="Para"/>
        <w:rPr>
          <w:sz w:val="20"/>
          <w:lang w:val="en-AU"/>
        </w:rPr>
      </w:pPr>
      <w:r w:rsidRPr="00C6102F">
        <w:rPr>
          <w:sz w:val="20"/>
          <w:lang w:val="en-AU"/>
        </w:rPr>
        <w:t>Base: Total respondents, 2014 (n=1,861); 2007 (n=2,061); 2001 (n=2,006); 1996 (n=2,000)</w:t>
      </w:r>
    </w:p>
    <w:p w14:paraId="5CDC734E" w14:textId="77777777" w:rsidR="00F8776E" w:rsidRPr="00C6102F" w:rsidRDefault="00F8776E" w:rsidP="00E02C75">
      <w:pPr>
        <w:pStyle w:val="Para"/>
        <w:outlineLvl w:val="0"/>
        <w:rPr>
          <w:b/>
          <w:lang w:val="en-AU"/>
        </w:rPr>
      </w:pPr>
    </w:p>
    <w:p w14:paraId="10405779" w14:textId="77777777" w:rsidR="00E02C75" w:rsidRPr="00DA3B75" w:rsidRDefault="00E02C75" w:rsidP="00E02C75">
      <w:pPr>
        <w:pStyle w:val="Para"/>
        <w:rPr>
          <w:highlight w:val="yellow"/>
          <w:lang w:val="en-AU"/>
        </w:rPr>
      </w:pPr>
    </w:p>
    <w:p w14:paraId="0F687229" w14:textId="77777777" w:rsidR="003920D8" w:rsidRPr="000F5405" w:rsidRDefault="006278CD">
      <w:pPr>
        <w:pStyle w:val="Heading3"/>
        <w:tabs>
          <w:tab w:val="clear" w:pos="8517"/>
          <w:tab w:val="num" w:pos="851"/>
        </w:tabs>
        <w:ind w:left="0" w:firstLine="0"/>
        <w:rPr>
          <w:lang w:val="en-AU"/>
        </w:rPr>
      </w:pPr>
      <w:r w:rsidRPr="00DA3B75">
        <w:rPr>
          <w:highlight w:val="yellow"/>
          <w:lang w:val="en-AU"/>
        </w:rPr>
        <w:br w:type="page"/>
      </w:r>
      <w:bookmarkStart w:id="116" w:name="_Toc439198287"/>
      <w:bookmarkStart w:id="117" w:name="_Toc445571670"/>
      <w:r w:rsidR="00E02C75" w:rsidRPr="000F5405">
        <w:rPr>
          <w:lang w:val="en-AU"/>
        </w:rPr>
        <w:lastRenderedPageBreak/>
        <w:t>Incidence of Children under 1</w:t>
      </w:r>
      <w:r w:rsidRPr="000F5405">
        <w:rPr>
          <w:lang w:val="en-AU"/>
        </w:rPr>
        <w:t>5</w:t>
      </w:r>
      <w:r w:rsidR="00E02C75" w:rsidRPr="000F5405">
        <w:rPr>
          <w:lang w:val="en-AU"/>
        </w:rPr>
        <w:t xml:space="preserve"> in Household</w:t>
      </w:r>
      <w:bookmarkEnd w:id="116"/>
      <w:bookmarkEnd w:id="117"/>
    </w:p>
    <w:p w14:paraId="34F04106" w14:textId="77777777" w:rsidR="00E02C75" w:rsidRPr="000F5405" w:rsidRDefault="006278CD" w:rsidP="00E02C75">
      <w:pPr>
        <w:pStyle w:val="Para"/>
        <w:rPr>
          <w:lang w:val="en-AU"/>
        </w:rPr>
      </w:pPr>
      <w:r w:rsidRPr="000F5405">
        <w:rPr>
          <w:lang w:val="en-AU"/>
        </w:rPr>
        <w:t xml:space="preserve">Note:  In 2007, 2001 and 1996, this metric was measured and reported as children under </w:t>
      </w:r>
      <w:r w:rsidRPr="000F5405">
        <w:rPr>
          <w:u w:val="single"/>
          <w:lang w:val="en-AU"/>
        </w:rPr>
        <w:t>16</w:t>
      </w:r>
      <w:r w:rsidR="00B735DA" w:rsidRPr="000F5405">
        <w:rPr>
          <w:lang w:val="en-AU"/>
        </w:rPr>
        <w:t xml:space="preserve"> years, </w:t>
      </w:r>
      <w:r w:rsidR="0059723A" w:rsidRPr="000F5405">
        <w:rPr>
          <w:lang w:val="en-AU"/>
        </w:rPr>
        <w:t>which should be taken into account when comparing with</w:t>
      </w:r>
      <w:r w:rsidR="00B735DA" w:rsidRPr="000F5405">
        <w:rPr>
          <w:lang w:val="en-AU"/>
        </w:rPr>
        <w:t xml:space="preserve"> the 2014 results.</w:t>
      </w:r>
    </w:p>
    <w:p w14:paraId="7FFB4A82" w14:textId="77777777" w:rsidR="006278CD" w:rsidRPr="00DA3B75" w:rsidRDefault="006278CD" w:rsidP="00E02C75">
      <w:pPr>
        <w:pStyle w:val="Para"/>
        <w:rPr>
          <w:highlight w:val="yellow"/>
          <w:lang w:val="en-AU"/>
        </w:rPr>
      </w:pPr>
    </w:p>
    <w:p w14:paraId="66665A6E" w14:textId="77777777" w:rsidR="00E02C75" w:rsidRPr="000F5405" w:rsidRDefault="00E02C75" w:rsidP="00E02C75">
      <w:pPr>
        <w:pStyle w:val="Para"/>
        <w:rPr>
          <w:lang w:val="en-AU"/>
        </w:rPr>
      </w:pPr>
      <w:r w:rsidRPr="000F5405">
        <w:rPr>
          <w:lang w:val="en-AU"/>
        </w:rPr>
        <w:t>In 20</w:t>
      </w:r>
      <w:r w:rsidR="006278CD" w:rsidRPr="000F5405">
        <w:rPr>
          <w:lang w:val="en-AU"/>
        </w:rPr>
        <w:t>14</w:t>
      </w:r>
      <w:r w:rsidRPr="000F5405">
        <w:rPr>
          <w:lang w:val="en-AU"/>
        </w:rPr>
        <w:t xml:space="preserve">, </w:t>
      </w:r>
      <w:r w:rsidR="006278CD" w:rsidRPr="000F5405">
        <w:rPr>
          <w:lang w:val="en-AU"/>
        </w:rPr>
        <w:t xml:space="preserve">75% of </w:t>
      </w:r>
      <w:r w:rsidRPr="000F5405">
        <w:rPr>
          <w:lang w:val="en-AU"/>
        </w:rPr>
        <w:t xml:space="preserve">all </w:t>
      </w:r>
      <w:r w:rsidR="006278CD" w:rsidRPr="000F5405">
        <w:rPr>
          <w:lang w:val="en-AU"/>
        </w:rPr>
        <w:t xml:space="preserve">participating </w:t>
      </w:r>
      <w:r w:rsidRPr="000F5405">
        <w:rPr>
          <w:lang w:val="en-AU"/>
        </w:rPr>
        <w:t xml:space="preserve">households </w:t>
      </w:r>
      <w:r w:rsidR="006278CD" w:rsidRPr="000F5405">
        <w:rPr>
          <w:lang w:val="en-AU"/>
        </w:rPr>
        <w:t xml:space="preserve">had no children under 15 years </w:t>
      </w:r>
      <w:r w:rsidRPr="000F5405">
        <w:rPr>
          <w:lang w:val="en-AU"/>
        </w:rPr>
        <w:t>living in them</w:t>
      </w:r>
      <w:r w:rsidR="00544E06" w:rsidRPr="000F5405">
        <w:rPr>
          <w:lang w:val="en-AU"/>
        </w:rPr>
        <w:t xml:space="preserve"> (refer Table 3.3.3)</w:t>
      </w:r>
      <w:r w:rsidRPr="000F5405">
        <w:rPr>
          <w:lang w:val="en-AU"/>
        </w:rPr>
        <w:t xml:space="preserve">.  Almost all </w:t>
      </w:r>
      <w:r w:rsidR="00513F11" w:rsidRPr="000F5405">
        <w:rPr>
          <w:lang w:val="en-AU"/>
        </w:rPr>
        <w:t>aged concession</w:t>
      </w:r>
      <w:r w:rsidRPr="000F5405">
        <w:rPr>
          <w:lang w:val="en-AU"/>
        </w:rPr>
        <w:t xml:space="preserve"> households (9</w:t>
      </w:r>
      <w:r w:rsidR="006278CD" w:rsidRPr="000F5405">
        <w:rPr>
          <w:lang w:val="en-AU"/>
        </w:rPr>
        <w:t>8</w:t>
      </w:r>
      <w:r w:rsidRPr="000F5405">
        <w:rPr>
          <w:lang w:val="en-AU"/>
        </w:rPr>
        <w:t>%) had no children</w:t>
      </w:r>
      <w:r w:rsidR="006278CD" w:rsidRPr="000F5405">
        <w:rPr>
          <w:lang w:val="en-AU"/>
        </w:rPr>
        <w:t xml:space="preserve"> under 15</w:t>
      </w:r>
      <w:r w:rsidRPr="000F5405">
        <w:rPr>
          <w:lang w:val="en-AU"/>
        </w:rPr>
        <w:t xml:space="preserve"> living in them, </w:t>
      </w:r>
      <w:r w:rsidR="002038EE" w:rsidRPr="000F5405">
        <w:rPr>
          <w:lang w:val="en-AU"/>
        </w:rPr>
        <w:t xml:space="preserve">compared with 71% </w:t>
      </w:r>
      <w:r w:rsidRPr="000F5405">
        <w:rPr>
          <w:lang w:val="en-AU"/>
        </w:rPr>
        <w:t xml:space="preserve">of </w:t>
      </w:r>
      <w:r w:rsidR="0055008C" w:rsidRPr="000F5405">
        <w:rPr>
          <w:lang w:val="en-AU"/>
        </w:rPr>
        <w:t>other concession</w:t>
      </w:r>
      <w:r w:rsidRPr="000F5405">
        <w:rPr>
          <w:lang w:val="en-AU"/>
        </w:rPr>
        <w:t xml:space="preserve"> households </w:t>
      </w:r>
      <w:r w:rsidR="002038EE" w:rsidRPr="000F5405">
        <w:rPr>
          <w:lang w:val="en-AU"/>
        </w:rPr>
        <w:t>and 67% of non-concession households</w:t>
      </w:r>
      <w:r w:rsidR="006278CD" w:rsidRPr="000F5405">
        <w:rPr>
          <w:lang w:val="en-AU"/>
        </w:rPr>
        <w:t>.</w:t>
      </w:r>
    </w:p>
    <w:p w14:paraId="7FA81BE1" w14:textId="77777777" w:rsidR="00E02C75" w:rsidRPr="000F5405" w:rsidRDefault="00E02C75" w:rsidP="00E02C75">
      <w:pPr>
        <w:pStyle w:val="Para"/>
        <w:rPr>
          <w:lang w:val="en-AU"/>
        </w:rPr>
      </w:pPr>
    </w:p>
    <w:p w14:paraId="6F42727C" w14:textId="77777777" w:rsidR="00E02C75" w:rsidRPr="000F5405" w:rsidRDefault="00E02C75" w:rsidP="00E02C75">
      <w:pPr>
        <w:pStyle w:val="Para"/>
        <w:rPr>
          <w:b/>
          <w:lang w:val="en-AU"/>
        </w:rPr>
      </w:pPr>
    </w:p>
    <w:p w14:paraId="632EE0AD" w14:textId="77777777" w:rsidR="00E02C75" w:rsidRPr="000F5405" w:rsidRDefault="00E02C75" w:rsidP="00BD2674">
      <w:pPr>
        <w:pStyle w:val="Para"/>
        <w:jc w:val="center"/>
        <w:outlineLvl w:val="0"/>
        <w:rPr>
          <w:b/>
          <w:u w:val="single"/>
          <w:lang w:val="en-AU"/>
        </w:rPr>
      </w:pPr>
      <w:r w:rsidRPr="000F5405">
        <w:rPr>
          <w:b/>
          <w:lang w:val="en-AU"/>
        </w:rPr>
        <w:t xml:space="preserve">Table 3.3.3: </w:t>
      </w:r>
      <w:r w:rsidRPr="000F5405">
        <w:rPr>
          <w:b/>
          <w:u w:val="single"/>
          <w:lang w:val="en-AU"/>
        </w:rPr>
        <w:t>Incidence of Children under 1</w:t>
      </w:r>
      <w:r w:rsidR="006278CD" w:rsidRPr="000F5405">
        <w:rPr>
          <w:b/>
          <w:u w:val="single"/>
          <w:lang w:val="en-AU"/>
        </w:rPr>
        <w:t>5</w:t>
      </w:r>
      <w:r w:rsidR="00B735DA" w:rsidRPr="000F5405">
        <w:rPr>
          <w:b/>
          <w:u w:val="single"/>
          <w:lang w:val="en-AU"/>
        </w:rPr>
        <w:t>*</w:t>
      </w:r>
      <w:r w:rsidRPr="000F5405">
        <w:rPr>
          <w:b/>
          <w:u w:val="single"/>
          <w:lang w:val="en-AU"/>
        </w:rPr>
        <w:t xml:space="preserve"> in Household by </w:t>
      </w:r>
      <w:r w:rsidR="00CA471A" w:rsidRPr="000F5405">
        <w:rPr>
          <w:b/>
          <w:u w:val="single"/>
          <w:lang w:val="en-AU"/>
        </w:rPr>
        <w:t>Concession Status</w:t>
      </w:r>
    </w:p>
    <w:p w14:paraId="186E40C4" w14:textId="77777777" w:rsidR="006278CD" w:rsidRPr="000F5405" w:rsidRDefault="006278CD" w:rsidP="00E02C75">
      <w:pPr>
        <w:pStyle w:val="Para"/>
        <w:outlineLvl w:val="0"/>
        <w:rPr>
          <w:b/>
          <w:u w:val="single"/>
          <w:lang w:val="en-AU"/>
        </w:rPr>
      </w:pPr>
    </w:p>
    <w:tbl>
      <w:tblPr>
        <w:tblW w:w="11380" w:type="dxa"/>
        <w:jc w:val="center"/>
        <w:tblLook w:val="04A0" w:firstRow="1" w:lastRow="0" w:firstColumn="1" w:lastColumn="0" w:noHBand="0" w:noVBand="1"/>
      </w:tblPr>
      <w:tblGrid>
        <w:gridCol w:w="2160"/>
        <w:gridCol w:w="600"/>
        <w:gridCol w:w="600"/>
        <w:gridCol w:w="600"/>
        <w:gridCol w:w="600"/>
        <w:gridCol w:w="600"/>
        <w:gridCol w:w="600"/>
        <w:gridCol w:w="600"/>
        <w:gridCol w:w="600"/>
        <w:gridCol w:w="600"/>
        <w:gridCol w:w="614"/>
        <w:gridCol w:w="613"/>
        <w:gridCol w:w="613"/>
        <w:gridCol w:w="660"/>
        <w:gridCol w:w="660"/>
        <w:gridCol w:w="660"/>
      </w:tblGrid>
      <w:tr w:rsidR="006321C3" w:rsidRPr="000F5405" w14:paraId="587F24F9" w14:textId="77777777" w:rsidTr="00BD2674">
        <w:trPr>
          <w:trHeight w:val="450"/>
          <w:jc w:val="center"/>
        </w:trPr>
        <w:tc>
          <w:tcPr>
            <w:tcW w:w="2160" w:type="dxa"/>
            <w:vMerge w:val="restart"/>
            <w:tcBorders>
              <w:top w:val="double" w:sz="6" w:space="0" w:color="auto"/>
              <w:left w:val="double" w:sz="6" w:space="0" w:color="auto"/>
              <w:bottom w:val="single" w:sz="4" w:space="0" w:color="BFBFBF"/>
              <w:right w:val="nil"/>
            </w:tcBorders>
            <w:shd w:val="clear" w:color="auto" w:fill="auto"/>
            <w:noWrap/>
            <w:vAlign w:val="center"/>
          </w:tcPr>
          <w:p w14:paraId="58B7529A" w14:textId="77777777" w:rsidR="006321C3" w:rsidRPr="000F5405" w:rsidRDefault="006321C3" w:rsidP="006321C3">
            <w:pPr>
              <w:spacing w:before="0" w:after="0"/>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No. children living in HH</w:t>
            </w:r>
          </w:p>
        </w:tc>
        <w:tc>
          <w:tcPr>
            <w:tcW w:w="1800" w:type="dxa"/>
            <w:gridSpan w:val="3"/>
            <w:tcBorders>
              <w:top w:val="double" w:sz="6" w:space="0" w:color="auto"/>
              <w:left w:val="single" w:sz="4" w:space="0" w:color="auto"/>
              <w:bottom w:val="single" w:sz="4" w:space="0" w:color="BFBFBF"/>
              <w:right w:val="single" w:sz="4" w:space="0" w:color="000000"/>
            </w:tcBorders>
            <w:shd w:val="clear" w:color="auto" w:fill="auto"/>
            <w:vAlign w:val="center"/>
          </w:tcPr>
          <w:p w14:paraId="0BE8CF04" w14:textId="77777777" w:rsidR="006321C3" w:rsidRPr="000F5405" w:rsidRDefault="006321C3" w:rsidP="006321C3">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Aged Concession HHs</w:t>
            </w:r>
          </w:p>
        </w:tc>
        <w:tc>
          <w:tcPr>
            <w:tcW w:w="1800" w:type="dxa"/>
            <w:gridSpan w:val="3"/>
            <w:tcBorders>
              <w:top w:val="double" w:sz="6" w:space="0" w:color="auto"/>
              <w:left w:val="nil"/>
              <w:bottom w:val="single" w:sz="4" w:space="0" w:color="BFBFBF"/>
              <w:right w:val="single" w:sz="4" w:space="0" w:color="BFBFBF"/>
            </w:tcBorders>
            <w:shd w:val="clear" w:color="auto" w:fill="auto"/>
            <w:vAlign w:val="center"/>
          </w:tcPr>
          <w:p w14:paraId="7D5A8399" w14:textId="77777777" w:rsidR="006321C3" w:rsidRPr="000F5405" w:rsidRDefault="006321C3" w:rsidP="006321C3">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Other Concession HHs</w:t>
            </w:r>
          </w:p>
        </w:tc>
        <w:tc>
          <w:tcPr>
            <w:tcW w:w="1800" w:type="dxa"/>
            <w:gridSpan w:val="3"/>
            <w:tcBorders>
              <w:top w:val="double" w:sz="6" w:space="0" w:color="auto"/>
              <w:left w:val="single" w:sz="4" w:space="0" w:color="auto"/>
              <w:bottom w:val="single" w:sz="4" w:space="0" w:color="BFBFBF"/>
              <w:right w:val="single" w:sz="4" w:space="0" w:color="000000"/>
            </w:tcBorders>
            <w:shd w:val="clear" w:color="auto" w:fill="auto"/>
            <w:vAlign w:val="center"/>
          </w:tcPr>
          <w:p w14:paraId="147778CC" w14:textId="77777777" w:rsidR="006321C3" w:rsidRPr="000F5405" w:rsidRDefault="006321C3" w:rsidP="006321C3">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Total Concession HHs</w:t>
            </w:r>
          </w:p>
        </w:tc>
        <w:tc>
          <w:tcPr>
            <w:tcW w:w="1840" w:type="dxa"/>
            <w:gridSpan w:val="3"/>
            <w:tcBorders>
              <w:top w:val="double" w:sz="6" w:space="0" w:color="auto"/>
              <w:left w:val="nil"/>
              <w:bottom w:val="single" w:sz="4" w:space="0" w:color="BFBFBF"/>
              <w:right w:val="single" w:sz="4" w:space="0" w:color="000000"/>
            </w:tcBorders>
            <w:shd w:val="clear" w:color="auto" w:fill="auto"/>
            <w:vAlign w:val="center"/>
          </w:tcPr>
          <w:p w14:paraId="4661F975" w14:textId="77777777" w:rsidR="006321C3" w:rsidRPr="000F5405" w:rsidRDefault="006321C3" w:rsidP="006321C3">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Non-Concession HHs</w:t>
            </w:r>
          </w:p>
        </w:tc>
        <w:tc>
          <w:tcPr>
            <w:tcW w:w="1980" w:type="dxa"/>
            <w:gridSpan w:val="3"/>
            <w:tcBorders>
              <w:top w:val="double" w:sz="6" w:space="0" w:color="auto"/>
              <w:left w:val="nil"/>
              <w:bottom w:val="single" w:sz="4" w:space="0" w:color="BFBFBF"/>
              <w:right w:val="double" w:sz="6" w:space="0" w:color="000000"/>
            </w:tcBorders>
            <w:shd w:val="clear" w:color="auto" w:fill="auto"/>
            <w:vAlign w:val="center"/>
          </w:tcPr>
          <w:p w14:paraId="37ABE50E" w14:textId="77777777" w:rsidR="006321C3" w:rsidRPr="000F5405" w:rsidRDefault="006321C3" w:rsidP="006321C3">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Total HHs</w:t>
            </w:r>
          </w:p>
        </w:tc>
      </w:tr>
      <w:tr w:rsidR="006321C3" w:rsidRPr="000F5405" w14:paraId="229D88C6" w14:textId="77777777" w:rsidTr="00CA471A">
        <w:trPr>
          <w:trHeight w:val="225"/>
          <w:jc w:val="center"/>
        </w:trPr>
        <w:tc>
          <w:tcPr>
            <w:tcW w:w="2160" w:type="dxa"/>
            <w:vMerge/>
            <w:tcBorders>
              <w:top w:val="double" w:sz="6" w:space="0" w:color="auto"/>
              <w:left w:val="double" w:sz="6" w:space="0" w:color="auto"/>
              <w:bottom w:val="single" w:sz="4" w:space="0" w:color="BFBFBF"/>
              <w:right w:val="nil"/>
            </w:tcBorders>
            <w:vAlign w:val="center"/>
          </w:tcPr>
          <w:p w14:paraId="20BA4AF6" w14:textId="77777777" w:rsidR="006321C3" w:rsidRPr="000F5405" w:rsidRDefault="006321C3" w:rsidP="006321C3">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5DA856D"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4B3D7A11"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auto"/>
            </w:tcBorders>
            <w:shd w:val="clear" w:color="auto" w:fill="auto"/>
            <w:noWrap/>
            <w:vAlign w:val="center"/>
          </w:tcPr>
          <w:p w14:paraId="1080C55B"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2001</w:t>
            </w:r>
          </w:p>
        </w:tc>
        <w:tc>
          <w:tcPr>
            <w:tcW w:w="600" w:type="dxa"/>
            <w:tcBorders>
              <w:top w:val="nil"/>
              <w:left w:val="nil"/>
              <w:bottom w:val="single" w:sz="4" w:space="0" w:color="BFBFBF"/>
              <w:right w:val="single" w:sz="4" w:space="0" w:color="BFBFBF"/>
            </w:tcBorders>
            <w:shd w:val="clear" w:color="auto" w:fill="auto"/>
            <w:noWrap/>
            <w:vAlign w:val="center"/>
          </w:tcPr>
          <w:p w14:paraId="371FEC1B"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5EB19C8D"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2007</w:t>
            </w:r>
          </w:p>
        </w:tc>
        <w:tc>
          <w:tcPr>
            <w:tcW w:w="600" w:type="dxa"/>
            <w:tcBorders>
              <w:top w:val="nil"/>
              <w:left w:val="nil"/>
              <w:bottom w:val="single" w:sz="4" w:space="0" w:color="BFBFBF"/>
              <w:right w:val="nil"/>
            </w:tcBorders>
            <w:shd w:val="clear" w:color="auto" w:fill="auto"/>
            <w:noWrap/>
            <w:vAlign w:val="center"/>
          </w:tcPr>
          <w:p w14:paraId="5ECFB7C5"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2001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1C9E5A5"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197BC60F"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auto"/>
            </w:tcBorders>
            <w:shd w:val="clear" w:color="auto" w:fill="auto"/>
            <w:noWrap/>
            <w:vAlign w:val="center"/>
          </w:tcPr>
          <w:p w14:paraId="3C69DC21"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2001</w:t>
            </w:r>
          </w:p>
        </w:tc>
        <w:tc>
          <w:tcPr>
            <w:tcW w:w="614" w:type="dxa"/>
            <w:tcBorders>
              <w:top w:val="nil"/>
              <w:left w:val="nil"/>
              <w:bottom w:val="single" w:sz="4" w:space="0" w:color="BFBFBF"/>
              <w:right w:val="single" w:sz="4" w:space="0" w:color="BFBFBF"/>
            </w:tcBorders>
            <w:shd w:val="clear" w:color="auto" w:fill="auto"/>
            <w:noWrap/>
            <w:vAlign w:val="center"/>
          </w:tcPr>
          <w:p w14:paraId="442EBE0C"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2014</w:t>
            </w:r>
          </w:p>
        </w:tc>
        <w:tc>
          <w:tcPr>
            <w:tcW w:w="613" w:type="dxa"/>
            <w:tcBorders>
              <w:top w:val="nil"/>
              <w:left w:val="nil"/>
              <w:bottom w:val="single" w:sz="4" w:space="0" w:color="BFBFBF"/>
              <w:right w:val="single" w:sz="4" w:space="0" w:color="BFBFBF"/>
            </w:tcBorders>
            <w:shd w:val="clear" w:color="auto" w:fill="auto"/>
            <w:noWrap/>
            <w:vAlign w:val="center"/>
          </w:tcPr>
          <w:p w14:paraId="503DA6F4"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2007</w:t>
            </w:r>
          </w:p>
        </w:tc>
        <w:tc>
          <w:tcPr>
            <w:tcW w:w="613" w:type="dxa"/>
            <w:tcBorders>
              <w:top w:val="nil"/>
              <w:left w:val="nil"/>
              <w:bottom w:val="single" w:sz="4" w:space="0" w:color="BFBFBF"/>
              <w:right w:val="single" w:sz="4" w:space="0" w:color="auto"/>
            </w:tcBorders>
            <w:shd w:val="clear" w:color="auto" w:fill="auto"/>
            <w:noWrap/>
            <w:vAlign w:val="center"/>
          </w:tcPr>
          <w:p w14:paraId="683ABB40"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2001</w:t>
            </w:r>
          </w:p>
        </w:tc>
        <w:tc>
          <w:tcPr>
            <w:tcW w:w="660" w:type="dxa"/>
            <w:tcBorders>
              <w:top w:val="nil"/>
              <w:left w:val="nil"/>
              <w:bottom w:val="single" w:sz="4" w:space="0" w:color="BFBFBF"/>
              <w:right w:val="single" w:sz="4" w:space="0" w:color="BFBFBF"/>
            </w:tcBorders>
            <w:shd w:val="clear" w:color="auto" w:fill="auto"/>
            <w:noWrap/>
            <w:vAlign w:val="center"/>
          </w:tcPr>
          <w:p w14:paraId="302E7392"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2014</w:t>
            </w:r>
          </w:p>
        </w:tc>
        <w:tc>
          <w:tcPr>
            <w:tcW w:w="660" w:type="dxa"/>
            <w:tcBorders>
              <w:top w:val="nil"/>
              <w:left w:val="nil"/>
              <w:bottom w:val="single" w:sz="4" w:space="0" w:color="BFBFBF"/>
              <w:right w:val="single" w:sz="4" w:space="0" w:color="BFBFBF"/>
            </w:tcBorders>
            <w:shd w:val="clear" w:color="auto" w:fill="auto"/>
            <w:noWrap/>
            <w:vAlign w:val="center"/>
          </w:tcPr>
          <w:p w14:paraId="01148268"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2007</w:t>
            </w:r>
          </w:p>
        </w:tc>
        <w:tc>
          <w:tcPr>
            <w:tcW w:w="660" w:type="dxa"/>
            <w:tcBorders>
              <w:top w:val="nil"/>
              <w:left w:val="nil"/>
              <w:bottom w:val="single" w:sz="4" w:space="0" w:color="BFBFBF"/>
              <w:right w:val="double" w:sz="6" w:space="0" w:color="auto"/>
            </w:tcBorders>
            <w:shd w:val="clear" w:color="auto" w:fill="auto"/>
            <w:noWrap/>
            <w:vAlign w:val="center"/>
          </w:tcPr>
          <w:p w14:paraId="0ADB8582" w14:textId="77777777" w:rsidR="006321C3" w:rsidRPr="000F5405" w:rsidRDefault="006321C3" w:rsidP="00CA471A">
            <w:pPr>
              <w:spacing w:before="0" w:after="0"/>
              <w:jc w:val="center"/>
              <w:rPr>
                <w:rFonts w:ascii="Arial" w:hAnsi="Arial" w:cs="Arial"/>
                <w:b/>
                <w:bCs/>
                <w:color w:val="000000"/>
                <w:sz w:val="16"/>
                <w:szCs w:val="16"/>
                <w:lang w:val="en-AU" w:eastAsia="en-AU"/>
              </w:rPr>
            </w:pPr>
            <w:r w:rsidRPr="000F5405">
              <w:rPr>
                <w:rFonts w:ascii="Arial" w:hAnsi="Arial" w:cs="Arial"/>
                <w:b/>
                <w:bCs/>
                <w:color w:val="000000"/>
                <w:sz w:val="16"/>
                <w:szCs w:val="16"/>
                <w:lang w:val="en-AU" w:eastAsia="en-AU"/>
              </w:rPr>
              <w:t>2001</w:t>
            </w:r>
          </w:p>
        </w:tc>
      </w:tr>
      <w:tr w:rsidR="006321C3" w:rsidRPr="000F5405" w14:paraId="56378D61"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1094C9EB" w14:textId="77777777" w:rsidR="006321C3" w:rsidRPr="000F5405" w:rsidRDefault="006321C3" w:rsidP="006321C3">
            <w:pPr>
              <w:spacing w:before="0" w:after="0"/>
              <w:rPr>
                <w:rFonts w:ascii="Arial" w:hAnsi="Arial" w:cs="Arial"/>
                <w:color w:val="000000"/>
                <w:sz w:val="16"/>
                <w:szCs w:val="16"/>
                <w:lang w:val="en-AU" w:eastAsia="en-AU"/>
              </w:rPr>
            </w:pPr>
            <w:r w:rsidRPr="000F5405">
              <w:rPr>
                <w:rFonts w:ascii="Arial" w:hAnsi="Arial" w:cs="Arial"/>
                <w:color w:val="000000"/>
                <w:sz w:val="16"/>
                <w:szCs w:val="16"/>
                <w:lang w:val="en-AU" w:eastAsia="en-AU"/>
              </w:rPr>
              <w:t>No children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712FE1F"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98%</w:t>
            </w:r>
          </w:p>
        </w:tc>
        <w:tc>
          <w:tcPr>
            <w:tcW w:w="600" w:type="dxa"/>
            <w:tcBorders>
              <w:top w:val="nil"/>
              <w:left w:val="nil"/>
              <w:bottom w:val="single" w:sz="4" w:space="0" w:color="BFBFBF"/>
              <w:right w:val="single" w:sz="4" w:space="0" w:color="BFBFBF"/>
            </w:tcBorders>
            <w:shd w:val="clear" w:color="auto" w:fill="auto"/>
            <w:noWrap/>
            <w:vAlign w:val="center"/>
          </w:tcPr>
          <w:p w14:paraId="6EABC0DD"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97%</w:t>
            </w:r>
          </w:p>
        </w:tc>
        <w:tc>
          <w:tcPr>
            <w:tcW w:w="600" w:type="dxa"/>
            <w:tcBorders>
              <w:top w:val="nil"/>
              <w:left w:val="nil"/>
              <w:bottom w:val="single" w:sz="4" w:space="0" w:color="BFBFBF"/>
              <w:right w:val="single" w:sz="4" w:space="0" w:color="auto"/>
            </w:tcBorders>
            <w:shd w:val="clear" w:color="auto" w:fill="auto"/>
            <w:noWrap/>
            <w:vAlign w:val="center"/>
          </w:tcPr>
          <w:p w14:paraId="4E12DF76"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99%</w:t>
            </w:r>
          </w:p>
        </w:tc>
        <w:tc>
          <w:tcPr>
            <w:tcW w:w="600" w:type="dxa"/>
            <w:tcBorders>
              <w:top w:val="nil"/>
              <w:left w:val="nil"/>
              <w:bottom w:val="single" w:sz="4" w:space="0" w:color="BFBFBF"/>
              <w:right w:val="single" w:sz="4" w:space="0" w:color="BFBFBF"/>
            </w:tcBorders>
            <w:shd w:val="clear" w:color="auto" w:fill="auto"/>
            <w:noWrap/>
            <w:vAlign w:val="center"/>
          </w:tcPr>
          <w:p w14:paraId="45139167"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71%</w:t>
            </w:r>
          </w:p>
        </w:tc>
        <w:tc>
          <w:tcPr>
            <w:tcW w:w="600" w:type="dxa"/>
            <w:tcBorders>
              <w:top w:val="nil"/>
              <w:left w:val="nil"/>
              <w:bottom w:val="single" w:sz="4" w:space="0" w:color="BFBFBF"/>
              <w:right w:val="single" w:sz="4" w:space="0" w:color="BFBFBF"/>
            </w:tcBorders>
            <w:shd w:val="clear" w:color="auto" w:fill="auto"/>
            <w:noWrap/>
            <w:vAlign w:val="center"/>
          </w:tcPr>
          <w:p w14:paraId="1ABDE699"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52%</w:t>
            </w:r>
          </w:p>
        </w:tc>
        <w:tc>
          <w:tcPr>
            <w:tcW w:w="600" w:type="dxa"/>
            <w:tcBorders>
              <w:top w:val="nil"/>
              <w:left w:val="nil"/>
              <w:bottom w:val="single" w:sz="4" w:space="0" w:color="BFBFBF"/>
              <w:right w:val="nil"/>
            </w:tcBorders>
            <w:shd w:val="clear" w:color="auto" w:fill="auto"/>
            <w:noWrap/>
            <w:vAlign w:val="center"/>
          </w:tcPr>
          <w:p w14:paraId="02444EAE"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52%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18B2D8C"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85%</w:t>
            </w:r>
          </w:p>
        </w:tc>
        <w:tc>
          <w:tcPr>
            <w:tcW w:w="600" w:type="dxa"/>
            <w:tcBorders>
              <w:top w:val="nil"/>
              <w:left w:val="nil"/>
              <w:bottom w:val="single" w:sz="4" w:space="0" w:color="BFBFBF"/>
              <w:right w:val="single" w:sz="4" w:space="0" w:color="BFBFBF"/>
            </w:tcBorders>
            <w:shd w:val="clear" w:color="auto" w:fill="auto"/>
            <w:noWrap/>
            <w:vAlign w:val="center"/>
          </w:tcPr>
          <w:p w14:paraId="235F2084"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76%</w:t>
            </w:r>
          </w:p>
        </w:tc>
        <w:tc>
          <w:tcPr>
            <w:tcW w:w="600" w:type="dxa"/>
            <w:tcBorders>
              <w:top w:val="nil"/>
              <w:left w:val="nil"/>
              <w:bottom w:val="single" w:sz="4" w:space="0" w:color="BFBFBF"/>
              <w:right w:val="single" w:sz="4" w:space="0" w:color="auto"/>
            </w:tcBorders>
            <w:shd w:val="clear" w:color="auto" w:fill="auto"/>
            <w:noWrap/>
            <w:vAlign w:val="center"/>
          </w:tcPr>
          <w:p w14:paraId="136F2B77"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77%</w:t>
            </w:r>
          </w:p>
        </w:tc>
        <w:tc>
          <w:tcPr>
            <w:tcW w:w="614" w:type="dxa"/>
            <w:tcBorders>
              <w:top w:val="nil"/>
              <w:left w:val="nil"/>
              <w:bottom w:val="single" w:sz="4" w:space="0" w:color="BFBFBF"/>
              <w:right w:val="single" w:sz="4" w:space="0" w:color="BFBFBF"/>
            </w:tcBorders>
            <w:shd w:val="clear" w:color="auto" w:fill="auto"/>
            <w:noWrap/>
            <w:vAlign w:val="center"/>
          </w:tcPr>
          <w:p w14:paraId="2AE340F5"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67%</w:t>
            </w:r>
          </w:p>
        </w:tc>
        <w:tc>
          <w:tcPr>
            <w:tcW w:w="613" w:type="dxa"/>
            <w:tcBorders>
              <w:top w:val="nil"/>
              <w:left w:val="nil"/>
              <w:bottom w:val="single" w:sz="4" w:space="0" w:color="BFBFBF"/>
              <w:right w:val="single" w:sz="4" w:space="0" w:color="BFBFBF"/>
            </w:tcBorders>
            <w:shd w:val="clear" w:color="auto" w:fill="auto"/>
            <w:noWrap/>
            <w:vAlign w:val="center"/>
          </w:tcPr>
          <w:p w14:paraId="6B3FD0D7"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65%</w:t>
            </w:r>
          </w:p>
        </w:tc>
        <w:tc>
          <w:tcPr>
            <w:tcW w:w="613" w:type="dxa"/>
            <w:tcBorders>
              <w:top w:val="nil"/>
              <w:left w:val="nil"/>
              <w:bottom w:val="single" w:sz="4" w:space="0" w:color="BFBFBF"/>
              <w:right w:val="single" w:sz="4" w:space="0" w:color="auto"/>
            </w:tcBorders>
            <w:shd w:val="clear" w:color="auto" w:fill="auto"/>
            <w:noWrap/>
            <w:vAlign w:val="center"/>
          </w:tcPr>
          <w:p w14:paraId="0A3BC025"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61%</w:t>
            </w:r>
          </w:p>
        </w:tc>
        <w:tc>
          <w:tcPr>
            <w:tcW w:w="660" w:type="dxa"/>
            <w:tcBorders>
              <w:top w:val="nil"/>
              <w:left w:val="nil"/>
              <w:bottom w:val="single" w:sz="4" w:space="0" w:color="BFBFBF"/>
              <w:right w:val="single" w:sz="4" w:space="0" w:color="BFBFBF"/>
            </w:tcBorders>
            <w:shd w:val="clear" w:color="auto" w:fill="auto"/>
            <w:noWrap/>
            <w:vAlign w:val="center"/>
          </w:tcPr>
          <w:p w14:paraId="3146FE9E"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75%</w:t>
            </w:r>
          </w:p>
        </w:tc>
        <w:tc>
          <w:tcPr>
            <w:tcW w:w="660" w:type="dxa"/>
            <w:tcBorders>
              <w:top w:val="nil"/>
              <w:left w:val="nil"/>
              <w:bottom w:val="single" w:sz="4" w:space="0" w:color="BFBFBF"/>
              <w:right w:val="single" w:sz="4" w:space="0" w:color="BFBFBF"/>
            </w:tcBorders>
            <w:shd w:val="clear" w:color="auto" w:fill="auto"/>
            <w:noWrap/>
            <w:vAlign w:val="center"/>
          </w:tcPr>
          <w:p w14:paraId="0BA2CF90"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69%</w:t>
            </w:r>
          </w:p>
        </w:tc>
        <w:tc>
          <w:tcPr>
            <w:tcW w:w="660" w:type="dxa"/>
            <w:tcBorders>
              <w:top w:val="nil"/>
              <w:left w:val="nil"/>
              <w:bottom w:val="single" w:sz="4" w:space="0" w:color="BFBFBF"/>
              <w:right w:val="double" w:sz="6" w:space="0" w:color="auto"/>
            </w:tcBorders>
            <w:shd w:val="clear" w:color="auto" w:fill="auto"/>
            <w:noWrap/>
            <w:vAlign w:val="center"/>
          </w:tcPr>
          <w:p w14:paraId="00018AD4"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67%</w:t>
            </w:r>
          </w:p>
        </w:tc>
      </w:tr>
      <w:tr w:rsidR="006321C3" w:rsidRPr="000F5405" w14:paraId="57A072A2"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C379C15" w14:textId="77777777" w:rsidR="006321C3" w:rsidRPr="000F5405" w:rsidRDefault="006321C3" w:rsidP="006321C3">
            <w:pPr>
              <w:spacing w:before="0" w:after="0"/>
              <w:rPr>
                <w:rFonts w:ascii="Arial" w:hAnsi="Arial" w:cs="Arial"/>
                <w:color w:val="000000"/>
                <w:sz w:val="16"/>
                <w:szCs w:val="16"/>
                <w:lang w:val="en-AU" w:eastAsia="en-AU"/>
              </w:rPr>
            </w:pPr>
            <w:r w:rsidRPr="000F5405">
              <w:rPr>
                <w:rFonts w:ascii="Arial" w:hAnsi="Arial" w:cs="Arial"/>
                <w:color w:val="000000"/>
                <w:sz w:val="16"/>
                <w:szCs w:val="16"/>
                <w:lang w:val="en-AU" w:eastAsia="en-AU"/>
              </w:rPr>
              <w:t>1 child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C6B8ACC"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74B8A4A6"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6A916DE9"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68327C5A"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14%</w:t>
            </w:r>
          </w:p>
        </w:tc>
        <w:tc>
          <w:tcPr>
            <w:tcW w:w="600" w:type="dxa"/>
            <w:tcBorders>
              <w:top w:val="nil"/>
              <w:left w:val="nil"/>
              <w:bottom w:val="single" w:sz="4" w:space="0" w:color="BFBFBF"/>
              <w:right w:val="single" w:sz="4" w:space="0" w:color="BFBFBF"/>
            </w:tcBorders>
            <w:shd w:val="clear" w:color="auto" w:fill="auto"/>
            <w:noWrap/>
            <w:vAlign w:val="center"/>
          </w:tcPr>
          <w:p w14:paraId="73D97A6F"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19%</w:t>
            </w:r>
          </w:p>
        </w:tc>
        <w:tc>
          <w:tcPr>
            <w:tcW w:w="600" w:type="dxa"/>
            <w:tcBorders>
              <w:top w:val="nil"/>
              <w:left w:val="nil"/>
              <w:bottom w:val="single" w:sz="4" w:space="0" w:color="BFBFBF"/>
              <w:right w:val="nil"/>
            </w:tcBorders>
            <w:shd w:val="clear" w:color="auto" w:fill="auto"/>
            <w:noWrap/>
            <w:vAlign w:val="center"/>
          </w:tcPr>
          <w:p w14:paraId="793AEA2F"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22%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43702A3"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BFBFBF"/>
            </w:tcBorders>
            <w:shd w:val="clear" w:color="auto" w:fill="auto"/>
            <w:noWrap/>
            <w:vAlign w:val="center"/>
          </w:tcPr>
          <w:p w14:paraId="2D6D00E8"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auto"/>
            </w:tcBorders>
            <w:shd w:val="clear" w:color="auto" w:fill="auto"/>
            <w:noWrap/>
            <w:vAlign w:val="center"/>
          </w:tcPr>
          <w:p w14:paraId="49C88804"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11%</w:t>
            </w:r>
          </w:p>
        </w:tc>
        <w:tc>
          <w:tcPr>
            <w:tcW w:w="614" w:type="dxa"/>
            <w:tcBorders>
              <w:top w:val="nil"/>
              <w:left w:val="nil"/>
              <w:bottom w:val="single" w:sz="4" w:space="0" w:color="BFBFBF"/>
              <w:right w:val="single" w:sz="4" w:space="0" w:color="BFBFBF"/>
            </w:tcBorders>
            <w:shd w:val="clear" w:color="auto" w:fill="auto"/>
            <w:noWrap/>
            <w:vAlign w:val="center"/>
          </w:tcPr>
          <w:p w14:paraId="2D16E316"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13%</w:t>
            </w:r>
          </w:p>
        </w:tc>
        <w:tc>
          <w:tcPr>
            <w:tcW w:w="613" w:type="dxa"/>
            <w:tcBorders>
              <w:top w:val="nil"/>
              <w:left w:val="nil"/>
              <w:bottom w:val="single" w:sz="4" w:space="0" w:color="BFBFBF"/>
              <w:right w:val="single" w:sz="4" w:space="0" w:color="BFBFBF"/>
            </w:tcBorders>
            <w:shd w:val="clear" w:color="auto" w:fill="auto"/>
            <w:noWrap/>
            <w:vAlign w:val="center"/>
          </w:tcPr>
          <w:p w14:paraId="62129077"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15%</w:t>
            </w:r>
          </w:p>
        </w:tc>
        <w:tc>
          <w:tcPr>
            <w:tcW w:w="613" w:type="dxa"/>
            <w:tcBorders>
              <w:top w:val="nil"/>
              <w:left w:val="nil"/>
              <w:bottom w:val="single" w:sz="4" w:space="0" w:color="BFBFBF"/>
              <w:right w:val="single" w:sz="4" w:space="0" w:color="auto"/>
            </w:tcBorders>
            <w:shd w:val="clear" w:color="auto" w:fill="auto"/>
            <w:noWrap/>
            <w:vAlign w:val="center"/>
          </w:tcPr>
          <w:p w14:paraId="7D3D1E63"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16%</w:t>
            </w:r>
          </w:p>
        </w:tc>
        <w:tc>
          <w:tcPr>
            <w:tcW w:w="660" w:type="dxa"/>
            <w:tcBorders>
              <w:top w:val="nil"/>
              <w:left w:val="nil"/>
              <w:bottom w:val="single" w:sz="4" w:space="0" w:color="BFBFBF"/>
              <w:right w:val="single" w:sz="4" w:space="0" w:color="BFBFBF"/>
            </w:tcBorders>
            <w:shd w:val="clear" w:color="auto" w:fill="auto"/>
            <w:noWrap/>
            <w:vAlign w:val="center"/>
          </w:tcPr>
          <w:p w14:paraId="2CC3B127"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11%</w:t>
            </w:r>
          </w:p>
        </w:tc>
        <w:tc>
          <w:tcPr>
            <w:tcW w:w="660" w:type="dxa"/>
            <w:tcBorders>
              <w:top w:val="nil"/>
              <w:left w:val="nil"/>
              <w:bottom w:val="single" w:sz="4" w:space="0" w:color="BFBFBF"/>
              <w:right w:val="single" w:sz="4" w:space="0" w:color="BFBFBF"/>
            </w:tcBorders>
            <w:shd w:val="clear" w:color="auto" w:fill="auto"/>
            <w:noWrap/>
            <w:vAlign w:val="center"/>
          </w:tcPr>
          <w:p w14:paraId="6A70024D"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13%</w:t>
            </w:r>
          </w:p>
        </w:tc>
        <w:tc>
          <w:tcPr>
            <w:tcW w:w="660" w:type="dxa"/>
            <w:tcBorders>
              <w:top w:val="nil"/>
              <w:left w:val="nil"/>
              <w:bottom w:val="single" w:sz="4" w:space="0" w:color="BFBFBF"/>
              <w:right w:val="double" w:sz="6" w:space="0" w:color="auto"/>
            </w:tcBorders>
            <w:shd w:val="clear" w:color="auto" w:fill="auto"/>
            <w:noWrap/>
            <w:vAlign w:val="center"/>
          </w:tcPr>
          <w:p w14:paraId="66153BB5"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14%</w:t>
            </w:r>
          </w:p>
        </w:tc>
      </w:tr>
      <w:tr w:rsidR="006321C3" w:rsidRPr="000F5405" w14:paraId="00A586A7"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415A8F90" w14:textId="77777777" w:rsidR="006321C3" w:rsidRPr="000F5405" w:rsidRDefault="006321C3" w:rsidP="006321C3">
            <w:pPr>
              <w:spacing w:before="0" w:after="0"/>
              <w:rPr>
                <w:rFonts w:ascii="Arial" w:hAnsi="Arial" w:cs="Arial"/>
                <w:color w:val="000000"/>
                <w:sz w:val="16"/>
                <w:szCs w:val="16"/>
                <w:lang w:val="en-AU" w:eastAsia="en-AU"/>
              </w:rPr>
            </w:pPr>
            <w:r w:rsidRPr="000F5405">
              <w:rPr>
                <w:rFonts w:ascii="Arial" w:hAnsi="Arial" w:cs="Arial"/>
                <w:color w:val="000000"/>
                <w:sz w:val="16"/>
                <w:szCs w:val="16"/>
                <w:lang w:val="en-AU" w:eastAsia="en-AU"/>
              </w:rPr>
              <w:t>2 children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A425191"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6D4001BD"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4B8F963D"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E836F43"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BFBFBF"/>
            </w:tcBorders>
            <w:shd w:val="clear" w:color="auto" w:fill="auto"/>
            <w:noWrap/>
            <w:vAlign w:val="center"/>
          </w:tcPr>
          <w:p w14:paraId="735033A8"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17%</w:t>
            </w:r>
          </w:p>
        </w:tc>
        <w:tc>
          <w:tcPr>
            <w:tcW w:w="600" w:type="dxa"/>
            <w:tcBorders>
              <w:top w:val="nil"/>
              <w:left w:val="nil"/>
              <w:bottom w:val="single" w:sz="4" w:space="0" w:color="BFBFBF"/>
              <w:right w:val="nil"/>
            </w:tcBorders>
            <w:shd w:val="clear" w:color="auto" w:fill="auto"/>
            <w:noWrap/>
            <w:vAlign w:val="center"/>
          </w:tcPr>
          <w:p w14:paraId="66DA9776"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AF16534"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49C465D7"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auto"/>
            </w:tcBorders>
            <w:shd w:val="clear" w:color="auto" w:fill="auto"/>
            <w:noWrap/>
            <w:vAlign w:val="center"/>
          </w:tcPr>
          <w:p w14:paraId="0E83BCF4"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6%</w:t>
            </w:r>
          </w:p>
        </w:tc>
        <w:tc>
          <w:tcPr>
            <w:tcW w:w="614" w:type="dxa"/>
            <w:tcBorders>
              <w:top w:val="nil"/>
              <w:left w:val="nil"/>
              <w:bottom w:val="single" w:sz="4" w:space="0" w:color="BFBFBF"/>
              <w:right w:val="single" w:sz="4" w:space="0" w:color="BFBFBF"/>
            </w:tcBorders>
            <w:shd w:val="clear" w:color="auto" w:fill="auto"/>
            <w:noWrap/>
            <w:vAlign w:val="center"/>
          </w:tcPr>
          <w:p w14:paraId="6EF499EE" w14:textId="77777777" w:rsidR="006321C3" w:rsidRPr="000F5405" w:rsidRDefault="006321C3" w:rsidP="000F5405">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w:t>
            </w:r>
            <w:r w:rsidR="000F5405" w:rsidRPr="000F5405">
              <w:rPr>
                <w:rFonts w:ascii="Arial" w:hAnsi="Arial" w:cs="Arial"/>
                <w:color w:val="000000"/>
                <w:sz w:val="16"/>
                <w:szCs w:val="16"/>
                <w:lang w:val="en-AU" w:eastAsia="en-AU"/>
              </w:rPr>
              <w:t>5</w:t>
            </w:r>
            <w:r w:rsidRPr="000F5405">
              <w:rPr>
                <w:rFonts w:ascii="Arial" w:hAnsi="Arial" w:cs="Arial"/>
                <w:color w:val="000000"/>
                <w:sz w:val="16"/>
                <w:szCs w:val="16"/>
                <w:lang w:val="en-AU" w:eastAsia="en-AU"/>
              </w:rPr>
              <w:t>%</w:t>
            </w:r>
          </w:p>
        </w:tc>
        <w:tc>
          <w:tcPr>
            <w:tcW w:w="613" w:type="dxa"/>
            <w:tcBorders>
              <w:top w:val="nil"/>
              <w:left w:val="nil"/>
              <w:bottom w:val="single" w:sz="4" w:space="0" w:color="BFBFBF"/>
              <w:right w:val="single" w:sz="4" w:space="0" w:color="BFBFBF"/>
            </w:tcBorders>
            <w:shd w:val="clear" w:color="auto" w:fill="auto"/>
            <w:noWrap/>
            <w:vAlign w:val="center"/>
          </w:tcPr>
          <w:p w14:paraId="38C22FA1"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14%</w:t>
            </w:r>
          </w:p>
        </w:tc>
        <w:tc>
          <w:tcPr>
            <w:tcW w:w="613" w:type="dxa"/>
            <w:tcBorders>
              <w:top w:val="nil"/>
              <w:left w:val="nil"/>
              <w:bottom w:val="single" w:sz="4" w:space="0" w:color="BFBFBF"/>
              <w:right w:val="single" w:sz="4" w:space="0" w:color="auto"/>
            </w:tcBorders>
            <w:shd w:val="clear" w:color="auto" w:fill="auto"/>
            <w:noWrap/>
            <w:vAlign w:val="center"/>
          </w:tcPr>
          <w:p w14:paraId="0CAA0A2F"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16%</w:t>
            </w:r>
          </w:p>
        </w:tc>
        <w:tc>
          <w:tcPr>
            <w:tcW w:w="660" w:type="dxa"/>
            <w:tcBorders>
              <w:top w:val="nil"/>
              <w:left w:val="nil"/>
              <w:bottom w:val="single" w:sz="4" w:space="0" w:color="BFBFBF"/>
              <w:right w:val="single" w:sz="4" w:space="0" w:color="BFBFBF"/>
            </w:tcBorders>
            <w:shd w:val="clear" w:color="auto" w:fill="auto"/>
            <w:noWrap/>
            <w:vAlign w:val="center"/>
          </w:tcPr>
          <w:p w14:paraId="7255669E"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10%</w:t>
            </w:r>
          </w:p>
        </w:tc>
        <w:tc>
          <w:tcPr>
            <w:tcW w:w="660" w:type="dxa"/>
            <w:tcBorders>
              <w:top w:val="nil"/>
              <w:left w:val="nil"/>
              <w:bottom w:val="single" w:sz="4" w:space="0" w:color="BFBFBF"/>
              <w:right w:val="single" w:sz="4" w:space="0" w:color="BFBFBF"/>
            </w:tcBorders>
            <w:shd w:val="clear" w:color="auto" w:fill="auto"/>
            <w:noWrap/>
            <w:vAlign w:val="center"/>
          </w:tcPr>
          <w:p w14:paraId="514EA86B"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12%</w:t>
            </w:r>
          </w:p>
        </w:tc>
        <w:tc>
          <w:tcPr>
            <w:tcW w:w="660" w:type="dxa"/>
            <w:tcBorders>
              <w:top w:val="nil"/>
              <w:left w:val="nil"/>
              <w:bottom w:val="single" w:sz="4" w:space="0" w:color="BFBFBF"/>
              <w:right w:val="double" w:sz="6" w:space="0" w:color="auto"/>
            </w:tcBorders>
            <w:shd w:val="clear" w:color="auto" w:fill="auto"/>
            <w:noWrap/>
            <w:vAlign w:val="center"/>
          </w:tcPr>
          <w:p w14:paraId="519FF5CC"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12%</w:t>
            </w:r>
          </w:p>
        </w:tc>
      </w:tr>
      <w:tr w:rsidR="006321C3" w:rsidRPr="000F5405" w14:paraId="1729F8B8"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692B6B97" w14:textId="77777777" w:rsidR="006321C3" w:rsidRPr="000F5405" w:rsidRDefault="006321C3" w:rsidP="006321C3">
            <w:pPr>
              <w:spacing w:before="0" w:after="0"/>
              <w:rPr>
                <w:rFonts w:ascii="Arial" w:hAnsi="Arial" w:cs="Arial"/>
                <w:color w:val="000000"/>
                <w:sz w:val="16"/>
                <w:szCs w:val="16"/>
                <w:lang w:val="en-AU" w:eastAsia="en-AU"/>
              </w:rPr>
            </w:pPr>
            <w:r w:rsidRPr="000F5405">
              <w:rPr>
                <w:rFonts w:ascii="Arial" w:hAnsi="Arial" w:cs="Arial"/>
                <w:color w:val="000000"/>
                <w:sz w:val="16"/>
                <w:szCs w:val="16"/>
                <w:lang w:val="en-AU" w:eastAsia="en-AU"/>
              </w:rPr>
              <w:t>3 children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1CB5F2A"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320EB55C"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795061DC"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1BC73427"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BFBFBF"/>
            </w:tcBorders>
            <w:shd w:val="clear" w:color="auto" w:fill="auto"/>
            <w:noWrap/>
            <w:vAlign w:val="center"/>
          </w:tcPr>
          <w:p w14:paraId="44288021"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10%</w:t>
            </w:r>
          </w:p>
        </w:tc>
        <w:tc>
          <w:tcPr>
            <w:tcW w:w="600" w:type="dxa"/>
            <w:tcBorders>
              <w:top w:val="nil"/>
              <w:left w:val="nil"/>
              <w:bottom w:val="single" w:sz="4" w:space="0" w:color="BFBFBF"/>
              <w:right w:val="nil"/>
            </w:tcBorders>
            <w:shd w:val="clear" w:color="auto" w:fill="auto"/>
            <w:noWrap/>
            <w:vAlign w:val="center"/>
          </w:tcPr>
          <w:p w14:paraId="60C84229"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D9F065E"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58C43E6E"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7B9BEC95"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4%</w:t>
            </w:r>
          </w:p>
        </w:tc>
        <w:tc>
          <w:tcPr>
            <w:tcW w:w="614" w:type="dxa"/>
            <w:tcBorders>
              <w:top w:val="nil"/>
              <w:left w:val="nil"/>
              <w:bottom w:val="single" w:sz="4" w:space="0" w:color="BFBFBF"/>
              <w:right w:val="single" w:sz="4" w:space="0" w:color="BFBFBF"/>
            </w:tcBorders>
            <w:shd w:val="clear" w:color="auto" w:fill="auto"/>
            <w:noWrap/>
            <w:vAlign w:val="center"/>
          </w:tcPr>
          <w:p w14:paraId="27CFFC2D"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4%</w:t>
            </w:r>
          </w:p>
        </w:tc>
        <w:tc>
          <w:tcPr>
            <w:tcW w:w="613" w:type="dxa"/>
            <w:tcBorders>
              <w:top w:val="nil"/>
              <w:left w:val="nil"/>
              <w:bottom w:val="single" w:sz="4" w:space="0" w:color="BFBFBF"/>
              <w:right w:val="single" w:sz="4" w:space="0" w:color="BFBFBF"/>
            </w:tcBorders>
            <w:shd w:val="clear" w:color="auto" w:fill="auto"/>
            <w:noWrap/>
            <w:vAlign w:val="center"/>
          </w:tcPr>
          <w:p w14:paraId="710A217D"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4%</w:t>
            </w:r>
          </w:p>
        </w:tc>
        <w:tc>
          <w:tcPr>
            <w:tcW w:w="613" w:type="dxa"/>
            <w:tcBorders>
              <w:top w:val="nil"/>
              <w:left w:val="nil"/>
              <w:bottom w:val="single" w:sz="4" w:space="0" w:color="BFBFBF"/>
              <w:right w:val="single" w:sz="4" w:space="0" w:color="auto"/>
            </w:tcBorders>
            <w:shd w:val="clear" w:color="auto" w:fill="auto"/>
            <w:noWrap/>
            <w:vAlign w:val="center"/>
          </w:tcPr>
          <w:p w14:paraId="2CB39BC4"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7%</w:t>
            </w:r>
          </w:p>
        </w:tc>
        <w:tc>
          <w:tcPr>
            <w:tcW w:w="660" w:type="dxa"/>
            <w:tcBorders>
              <w:top w:val="nil"/>
              <w:left w:val="nil"/>
              <w:bottom w:val="single" w:sz="4" w:space="0" w:color="BFBFBF"/>
              <w:right w:val="single" w:sz="4" w:space="0" w:color="BFBFBF"/>
            </w:tcBorders>
            <w:shd w:val="clear" w:color="auto" w:fill="auto"/>
            <w:noWrap/>
            <w:vAlign w:val="center"/>
          </w:tcPr>
          <w:p w14:paraId="016B82A7"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4%</w:t>
            </w:r>
          </w:p>
        </w:tc>
        <w:tc>
          <w:tcPr>
            <w:tcW w:w="660" w:type="dxa"/>
            <w:tcBorders>
              <w:top w:val="nil"/>
              <w:left w:val="nil"/>
              <w:bottom w:val="single" w:sz="4" w:space="0" w:color="BFBFBF"/>
              <w:right w:val="single" w:sz="4" w:space="0" w:color="BFBFBF"/>
            </w:tcBorders>
            <w:shd w:val="clear" w:color="auto" w:fill="auto"/>
            <w:noWrap/>
            <w:vAlign w:val="center"/>
          </w:tcPr>
          <w:p w14:paraId="147FE8FB"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4%</w:t>
            </w:r>
          </w:p>
        </w:tc>
        <w:tc>
          <w:tcPr>
            <w:tcW w:w="660" w:type="dxa"/>
            <w:tcBorders>
              <w:top w:val="nil"/>
              <w:left w:val="nil"/>
              <w:bottom w:val="single" w:sz="4" w:space="0" w:color="BFBFBF"/>
              <w:right w:val="double" w:sz="6" w:space="0" w:color="auto"/>
            </w:tcBorders>
            <w:shd w:val="clear" w:color="auto" w:fill="auto"/>
            <w:noWrap/>
            <w:vAlign w:val="center"/>
          </w:tcPr>
          <w:p w14:paraId="0A19B463"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6%</w:t>
            </w:r>
          </w:p>
        </w:tc>
      </w:tr>
      <w:tr w:rsidR="006321C3" w:rsidRPr="000F5405" w14:paraId="24470AD3" w14:textId="77777777" w:rsidTr="00CA471A">
        <w:trPr>
          <w:trHeight w:val="240"/>
          <w:jc w:val="center"/>
        </w:trPr>
        <w:tc>
          <w:tcPr>
            <w:tcW w:w="2160" w:type="dxa"/>
            <w:tcBorders>
              <w:top w:val="nil"/>
              <w:left w:val="double" w:sz="6" w:space="0" w:color="auto"/>
              <w:bottom w:val="double" w:sz="6" w:space="0" w:color="auto"/>
              <w:right w:val="nil"/>
            </w:tcBorders>
            <w:shd w:val="clear" w:color="auto" w:fill="auto"/>
            <w:noWrap/>
            <w:vAlign w:val="center"/>
          </w:tcPr>
          <w:p w14:paraId="40377642" w14:textId="77777777" w:rsidR="006321C3" w:rsidRPr="000F5405" w:rsidRDefault="006321C3" w:rsidP="006321C3">
            <w:pPr>
              <w:spacing w:before="0" w:after="0"/>
              <w:rPr>
                <w:rFonts w:ascii="Arial" w:hAnsi="Arial" w:cs="Arial"/>
                <w:color w:val="000000"/>
                <w:sz w:val="16"/>
                <w:szCs w:val="16"/>
                <w:lang w:val="en-AU" w:eastAsia="en-AU"/>
              </w:rPr>
            </w:pPr>
            <w:r w:rsidRPr="000F5405">
              <w:rPr>
                <w:rFonts w:ascii="Arial" w:hAnsi="Arial" w:cs="Arial"/>
                <w:color w:val="000000"/>
                <w:sz w:val="16"/>
                <w:szCs w:val="16"/>
                <w:lang w:val="en-AU" w:eastAsia="en-AU"/>
              </w:rPr>
              <w:t>4 or more children</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2AC0A825"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3BFF4D49"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auto"/>
            </w:tcBorders>
            <w:shd w:val="clear" w:color="auto" w:fill="auto"/>
            <w:noWrap/>
            <w:vAlign w:val="center"/>
          </w:tcPr>
          <w:p w14:paraId="4C44CC0D"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0654E319"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0198D76E"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2%</w:t>
            </w:r>
          </w:p>
        </w:tc>
        <w:tc>
          <w:tcPr>
            <w:tcW w:w="600" w:type="dxa"/>
            <w:tcBorders>
              <w:top w:val="nil"/>
              <w:left w:val="nil"/>
              <w:bottom w:val="double" w:sz="6" w:space="0" w:color="auto"/>
              <w:right w:val="nil"/>
            </w:tcBorders>
            <w:shd w:val="clear" w:color="auto" w:fill="auto"/>
            <w:noWrap/>
            <w:vAlign w:val="center"/>
          </w:tcPr>
          <w:p w14:paraId="5F8D43EB"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4%</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4973679D"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6B5ABDC9"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w:t>
            </w:r>
          </w:p>
        </w:tc>
        <w:tc>
          <w:tcPr>
            <w:tcW w:w="600" w:type="dxa"/>
            <w:tcBorders>
              <w:top w:val="nil"/>
              <w:left w:val="nil"/>
              <w:bottom w:val="double" w:sz="6" w:space="0" w:color="auto"/>
              <w:right w:val="single" w:sz="4" w:space="0" w:color="auto"/>
            </w:tcBorders>
            <w:shd w:val="clear" w:color="auto" w:fill="auto"/>
            <w:noWrap/>
            <w:vAlign w:val="center"/>
          </w:tcPr>
          <w:p w14:paraId="132FBA5D"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2%</w:t>
            </w:r>
          </w:p>
        </w:tc>
        <w:tc>
          <w:tcPr>
            <w:tcW w:w="614" w:type="dxa"/>
            <w:tcBorders>
              <w:top w:val="nil"/>
              <w:left w:val="nil"/>
              <w:bottom w:val="double" w:sz="6" w:space="0" w:color="auto"/>
              <w:right w:val="single" w:sz="4" w:space="0" w:color="BFBFBF"/>
            </w:tcBorders>
            <w:shd w:val="clear" w:color="auto" w:fill="auto"/>
            <w:noWrap/>
            <w:vAlign w:val="center"/>
          </w:tcPr>
          <w:p w14:paraId="290D3C75"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13" w:type="dxa"/>
            <w:tcBorders>
              <w:top w:val="nil"/>
              <w:left w:val="nil"/>
              <w:bottom w:val="double" w:sz="6" w:space="0" w:color="auto"/>
              <w:right w:val="single" w:sz="4" w:space="0" w:color="BFBFBF"/>
            </w:tcBorders>
            <w:shd w:val="clear" w:color="auto" w:fill="auto"/>
            <w:noWrap/>
            <w:vAlign w:val="center"/>
          </w:tcPr>
          <w:p w14:paraId="7BD51098"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2%</w:t>
            </w:r>
          </w:p>
        </w:tc>
        <w:tc>
          <w:tcPr>
            <w:tcW w:w="613" w:type="dxa"/>
            <w:tcBorders>
              <w:top w:val="nil"/>
              <w:left w:val="nil"/>
              <w:bottom w:val="double" w:sz="6" w:space="0" w:color="auto"/>
              <w:right w:val="single" w:sz="4" w:space="0" w:color="auto"/>
            </w:tcBorders>
            <w:shd w:val="clear" w:color="auto" w:fill="auto"/>
            <w:noWrap/>
            <w:vAlign w:val="center"/>
          </w:tcPr>
          <w:p w14:paraId="37EA8AFC"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w:t>
            </w:r>
          </w:p>
        </w:tc>
        <w:tc>
          <w:tcPr>
            <w:tcW w:w="660" w:type="dxa"/>
            <w:tcBorders>
              <w:top w:val="nil"/>
              <w:left w:val="nil"/>
              <w:bottom w:val="double" w:sz="6" w:space="0" w:color="auto"/>
              <w:right w:val="single" w:sz="4" w:space="0" w:color="BFBFBF"/>
            </w:tcBorders>
            <w:shd w:val="clear" w:color="auto" w:fill="auto"/>
            <w:noWrap/>
            <w:vAlign w:val="center"/>
          </w:tcPr>
          <w:p w14:paraId="3BE2B173"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w:t>
            </w:r>
          </w:p>
        </w:tc>
        <w:tc>
          <w:tcPr>
            <w:tcW w:w="660" w:type="dxa"/>
            <w:tcBorders>
              <w:top w:val="nil"/>
              <w:left w:val="nil"/>
              <w:bottom w:val="double" w:sz="6" w:space="0" w:color="auto"/>
              <w:right w:val="single" w:sz="4" w:space="0" w:color="BFBFBF"/>
            </w:tcBorders>
            <w:shd w:val="clear" w:color="auto" w:fill="auto"/>
            <w:noWrap/>
            <w:vAlign w:val="center"/>
          </w:tcPr>
          <w:p w14:paraId="02BE62B2"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w:t>
            </w:r>
          </w:p>
        </w:tc>
        <w:tc>
          <w:tcPr>
            <w:tcW w:w="660" w:type="dxa"/>
            <w:tcBorders>
              <w:top w:val="nil"/>
              <w:left w:val="nil"/>
              <w:bottom w:val="double" w:sz="6" w:space="0" w:color="auto"/>
              <w:right w:val="double" w:sz="6" w:space="0" w:color="auto"/>
            </w:tcBorders>
            <w:shd w:val="clear" w:color="auto" w:fill="auto"/>
            <w:noWrap/>
            <w:vAlign w:val="center"/>
          </w:tcPr>
          <w:p w14:paraId="5CDCF8F1" w14:textId="77777777" w:rsidR="006321C3" w:rsidRPr="000F5405" w:rsidRDefault="006321C3" w:rsidP="00CA471A">
            <w:pPr>
              <w:spacing w:before="0" w:after="0"/>
              <w:jc w:val="center"/>
              <w:rPr>
                <w:rFonts w:ascii="Arial" w:hAnsi="Arial" w:cs="Arial"/>
                <w:color w:val="000000"/>
                <w:sz w:val="16"/>
                <w:szCs w:val="16"/>
                <w:lang w:val="en-AU" w:eastAsia="en-AU"/>
              </w:rPr>
            </w:pPr>
            <w:r w:rsidRPr="000F5405">
              <w:rPr>
                <w:rFonts w:ascii="Arial" w:hAnsi="Arial" w:cs="Arial"/>
                <w:color w:val="000000"/>
                <w:sz w:val="16"/>
                <w:szCs w:val="16"/>
                <w:lang w:val="en-AU" w:eastAsia="en-AU"/>
              </w:rPr>
              <w:t>1%</w:t>
            </w:r>
          </w:p>
        </w:tc>
      </w:tr>
    </w:tbl>
    <w:p w14:paraId="5476FFE4" w14:textId="77777777" w:rsidR="006278CD" w:rsidRPr="000F5405" w:rsidRDefault="006278CD" w:rsidP="00BD2674">
      <w:pPr>
        <w:pStyle w:val="Para"/>
        <w:ind w:left="1440"/>
        <w:rPr>
          <w:sz w:val="20"/>
          <w:lang w:val="en-AU"/>
        </w:rPr>
      </w:pPr>
      <w:r w:rsidRPr="000F5405">
        <w:rPr>
          <w:sz w:val="20"/>
          <w:lang w:val="en-AU"/>
        </w:rPr>
        <w:t>Base: Total respondents, 2014 (</w:t>
      </w:r>
      <w:r w:rsidR="007911C3" w:rsidRPr="000F5405">
        <w:rPr>
          <w:sz w:val="20"/>
          <w:lang w:val="en-AU"/>
        </w:rPr>
        <w:t>n=</w:t>
      </w:r>
      <w:r w:rsidRPr="000F5405">
        <w:rPr>
          <w:sz w:val="20"/>
          <w:lang w:val="en-AU"/>
        </w:rPr>
        <w:t>1,861); 2007 (n=2,061); 2001 (n=2,006)</w:t>
      </w:r>
    </w:p>
    <w:p w14:paraId="7443B35A" w14:textId="77777777" w:rsidR="00B735DA" w:rsidRPr="000F5405" w:rsidRDefault="00B735DA" w:rsidP="00BD2674">
      <w:pPr>
        <w:pStyle w:val="Para"/>
        <w:ind w:left="1440"/>
        <w:rPr>
          <w:sz w:val="20"/>
          <w:lang w:val="en-AU"/>
        </w:rPr>
      </w:pPr>
      <w:r w:rsidRPr="000F5405">
        <w:rPr>
          <w:sz w:val="20"/>
          <w:lang w:val="en-AU"/>
        </w:rPr>
        <w:t>* Figures for 2007, 2001 and 1996 relate to child</w:t>
      </w:r>
      <w:r w:rsidR="003C4AA1" w:rsidRPr="000F5405">
        <w:rPr>
          <w:sz w:val="20"/>
          <w:lang w:val="en-AU"/>
        </w:rPr>
        <w:t>r</w:t>
      </w:r>
      <w:r w:rsidRPr="000F5405">
        <w:rPr>
          <w:sz w:val="20"/>
          <w:lang w:val="en-AU"/>
        </w:rPr>
        <w:t>en under 16 years</w:t>
      </w:r>
    </w:p>
    <w:p w14:paraId="6444889E" w14:textId="77777777" w:rsidR="006278CD" w:rsidRPr="00DA3B75" w:rsidRDefault="006278CD" w:rsidP="00E02C75">
      <w:pPr>
        <w:pStyle w:val="Para"/>
        <w:outlineLvl w:val="0"/>
        <w:rPr>
          <w:highlight w:val="yellow"/>
          <w:lang w:val="en-AU"/>
        </w:rPr>
      </w:pPr>
    </w:p>
    <w:p w14:paraId="3439F83B" w14:textId="77777777" w:rsidR="00E02C75" w:rsidRPr="00DA3B75" w:rsidRDefault="00E02C75" w:rsidP="00E02C75">
      <w:pPr>
        <w:pStyle w:val="Para"/>
        <w:rPr>
          <w:highlight w:val="yellow"/>
          <w:lang w:val="en-AU"/>
        </w:rPr>
      </w:pPr>
    </w:p>
    <w:p w14:paraId="2EF4B950" w14:textId="77777777" w:rsidR="003920D8" w:rsidRPr="00AB2449" w:rsidRDefault="00731A9E">
      <w:pPr>
        <w:pStyle w:val="Heading3"/>
        <w:tabs>
          <w:tab w:val="clear" w:pos="8517"/>
          <w:tab w:val="num" w:pos="851"/>
        </w:tabs>
        <w:ind w:left="0" w:firstLine="0"/>
        <w:rPr>
          <w:lang w:val="en-AU"/>
        </w:rPr>
      </w:pPr>
      <w:r w:rsidRPr="00DA3B75">
        <w:rPr>
          <w:highlight w:val="yellow"/>
          <w:lang w:val="en-AU"/>
        </w:rPr>
        <w:br w:type="page"/>
      </w:r>
      <w:bookmarkStart w:id="118" w:name="_Toc439198288"/>
      <w:bookmarkStart w:id="119" w:name="_Toc445571671"/>
      <w:r w:rsidR="00E02C75" w:rsidRPr="00AB2449">
        <w:rPr>
          <w:lang w:val="en-AU"/>
        </w:rPr>
        <w:lastRenderedPageBreak/>
        <w:t>Derived Total Household Income</w:t>
      </w:r>
      <w:bookmarkEnd w:id="118"/>
      <w:bookmarkEnd w:id="119"/>
    </w:p>
    <w:p w14:paraId="7D760FA5" w14:textId="77777777" w:rsidR="00E02C75" w:rsidRPr="00AB2449" w:rsidRDefault="00E02C75" w:rsidP="00E02C75">
      <w:pPr>
        <w:pStyle w:val="Para"/>
        <w:rPr>
          <w:lang w:val="en-AU"/>
        </w:rPr>
      </w:pPr>
    </w:p>
    <w:p w14:paraId="35432820" w14:textId="77777777" w:rsidR="003C4AA1" w:rsidRPr="00AB2449" w:rsidRDefault="00E02C75" w:rsidP="00E02C75">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AB2449">
        <w:rPr>
          <w:lang w:val="en-AU"/>
        </w:rPr>
        <w:t xml:space="preserve">Total household income was a </w:t>
      </w:r>
      <w:r w:rsidRPr="00AB2449">
        <w:rPr>
          <w:b/>
          <w:lang w:val="en-AU"/>
        </w:rPr>
        <w:t>derived</w:t>
      </w:r>
      <w:r w:rsidRPr="00AB2449">
        <w:rPr>
          <w:lang w:val="en-AU"/>
        </w:rPr>
        <w:t xml:space="preserve"> survey item.  Respondents were asked to indicate from a list of ranges the level of any income that they and other household members received.  </w:t>
      </w:r>
      <w:r w:rsidR="00D97351" w:rsidRPr="00AB2449">
        <w:rPr>
          <w:lang w:val="en-AU"/>
        </w:rPr>
        <w:t>For those receiving income from employment, t</w:t>
      </w:r>
      <w:r w:rsidRPr="00AB2449">
        <w:rPr>
          <w:lang w:val="en-AU"/>
        </w:rPr>
        <w:t>he midpoint of each of the</w:t>
      </w:r>
      <w:r w:rsidR="00D97351" w:rsidRPr="00AB2449">
        <w:rPr>
          <w:lang w:val="en-AU"/>
        </w:rPr>
        <w:t xml:space="preserve"> selected income</w:t>
      </w:r>
      <w:r w:rsidRPr="00AB2449">
        <w:rPr>
          <w:lang w:val="en-AU"/>
        </w:rPr>
        <w:t xml:space="preserve"> ranges was used to calculate </w:t>
      </w:r>
      <w:r w:rsidR="002038EE" w:rsidRPr="00AB2449">
        <w:rPr>
          <w:lang w:val="en-AU"/>
        </w:rPr>
        <w:t xml:space="preserve">an estimated </w:t>
      </w:r>
      <w:r w:rsidRPr="00AB2449">
        <w:rPr>
          <w:lang w:val="en-AU"/>
        </w:rPr>
        <w:t xml:space="preserve">household income received from employment.  </w:t>
      </w:r>
      <w:r w:rsidR="008830FA" w:rsidRPr="00AB2449">
        <w:rPr>
          <w:lang w:val="en-AU"/>
        </w:rPr>
        <w:t xml:space="preserve">Additional components of the calculation were obtained or derived from DSS sources, </w:t>
      </w:r>
      <w:r w:rsidR="00841070" w:rsidRPr="00AB2449">
        <w:rPr>
          <w:lang w:val="en-AU"/>
        </w:rPr>
        <w:t xml:space="preserve">ABS, </w:t>
      </w:r>
      <w:r w:rsidR="008830FA" w:rsidRPr="00AB2449">
        <w:rPr>
          <w:lang w:val="en-AU"/>
        </w:rPr>
        <w:t>DVA and Roy Morgan Single Source</w:t>
      </w:r>
      <w:r w:rsidR="00841070" w:rsidRPr="00AB2449">
        <w:rPr>
          <w:lang w:val="en-AU"/>
        </w:rPr>
        <w:t xml:space="preserve">.  </w:t>
      </w:r>
      <w:r w:rsidR="003C4AA1" w:rsidRPr="00AB2449">
        <w:rPr>
          <w:lang w:val="en-AU"/>
        </w:rPr>
        <w:t xml:space="preserve">  </w:t>
      </w:r>
    </w:p>
    <w:p w14:paraId="6C671EC7" w14:textId="77777777" w:rsidR="003C4AA1" w:rsidRPr="00AB2449" w:rsidRDefault="003C4AA1" w:rsidP="00E02C75">
      <w:pPr>
        <w:pStyle w:val="Para"/>
        <w:pBdr>
          <w:top w:val="double" w:sz="4" w:space="1" w:color="auto"/>
          <w:left w:val="double" w:sz="4" w:space="4" w:color="auto"/>
          <w:bottom w:val="double" w:sz="4" w:space="1" w:color="auto"/>
          <w:right w:val="double" w:sz="4" w:space="4" w:color="auto"/>
        </w:pBdr>
        <w:shd w:val="pct12" w:color="auto" w:fill="FFFFFF"/>
        <w:rPr>
          <w:lang w:val="en-AU"/>
        </w:rPr>
      </w:pPr>
    </w:p>
    <w:p w14:paraId="4B149940" w14:textId="77777777" w:rsidR="003C4AA1" w:rsidRPr="00AB2449" w:rsidRDefault="003C4AA1" w:rsidP="00E02C75">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AB2449">
        <w:rPr>
          <w:lang w:val="en-AU"/>
        </w:rPr>
        <w:t>Please note the following factors when drawing comparisons between the various surveys:</w:t>
      </w:r>
    </w:p>
    <w:p w14:paraId="704807E2" w14:textId="77777777" w:rsidR="003C4AA1" w:rsidRPr="00AB2449" w:rsidRDefault="003C4AA1" w:rsidP="00E02C75">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AB2449">
        <w:rPr>
          <w:lang w:val="en-AU"/>
        </w:rPr>
        <w:t>-  Other income was excluded from the calculation of derived household income in the 2007, 2001 and 1996 surveys</w:t>
      </w:r>
    </w:p>
    <w:p w14:paraId="16636EED" w14:textId="77777777" w:rsidR="00E02C75" w:rsidRPr="00AB2449" w:rsidRDefault="003C4AA1" w:rsidP="00E02C75">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AB2449">
        <w:rPr>
          <w:lang w:val="en-AU"/>
        </w:rPr>
        <w:t>-  Self-funded income was excluded from the calculation of derived household income in the 2001 and 1996 surveys</w:t>
      </w:r>
    </w:p>
    <w:p w14:paraId="7FA33D74" w14:textId="77777777" w:rsidR="003C4AA1" w:rsidRPr="00AB2449" w:rsidRDefault="003C4AA1" w:rsidP="00E02C75">
      <w:pPr>
        <w:pStyle w:val="Para"/>
        <w:pBdr>
          <w:top w:val="double" w:sz="4" w:space="1" w:color="auto"/>
          <w:left w:val="double" w:sz="4" w:space="4" w:color="auto"/>
          <w:bottom w:val="double" w:sz="4" w:space="1" w:color="auto"/>
          <w:right w:val="double" w:sz="4" w:space="4" w:color="auto"/>
        </w:pBdr>
        <w:shd w:val="pct12" w:color="auto" w:fill="FFFFFF"/>
        <w:rPr>
          <w:lang w:val="en-AU"/>
        </w:rPr>
      </w:pPr>
    </w:p>
    <w:p w14:paraId="347996A8" w14:textId="77777777" w:rsidR="003C4AA1" w:rsidRPr="00AB2449" w:rsidRDefault="003C4AA1" w:rsidP="00E02C75">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AB2449">
        <w:rPr>
          <w:lang w:val="en-AU"/>
        </w:rPr>
        <w:t>As such, part of the increase in derived household income in 2014 and (to lesser degree) 2007 will be attributable to the inclusion of these additional sources of income in the calculation.</w:t>
      </w:r>
    </w:p>
    <w:p w14:paraId="37958D43" w14:textId="77777777" w:rsidR="00E02C75" w:rsidRPr="00DA3B75" w:rsidRDefault="00E02C75" w:rsidP="00E02C75">
      <w:pPr>
        <w:pStyle w:val="Para"/>
        <w:rPr>
          <w:highlight w:val="yellow"/>
          <w:lang w:val="en-AU"/>
        </w:rPr>
      </w:pPr>
    </w:p>
    <w:p w14:paraId="7F592232" w14:textId="77777777" w:rsidR="00380FC7" w:rsidRPr="00DA3B75" w:rsidRDefault="00380FC7" w:rsidP="00E02C75">
      <w:pPr>
        <w:pStyle w:val="Para"/>
        <w:rPr>
          <w:highlight w:val="yellow"/>
          <w:lang w:val="en-AU"/>
        </w:rPr>
      </w:pPr>
    </w:p>
    <w:p w14:paraId="1981D6B8" w14:textId="452047DE" w:rsidR="00E02C75" w:rsidRPr="00AB2449" w:rsidRDefault="00380FC7" w:rsidP="00E02C75">
      <w:pPr>
        <w:pStyle w:val="Para"/>
        <w:rPr>
          <w:lang w:val="en-AU"/>
        </w:rPr>
      </w:pPr>
      <w:r w:rsidRPr="00DA3B75">
        <w:rPr>
          <w:highlight w:val="yellow"/>
          <w:lang w:val="en-AU"/>
        </w:rPr>
        <w:br w:type="page"/>
      </w:r>
      <w:r w:rsidR="00E02C75" w:rsidRPr="00AB2449">
        <w:rPr>
          <w:lang w:val="en-AU"/>
        </w:rPr>
        <w:lastRenderedPageBreak/>
        <w:t xml:space="preserve">Not surprisingly, average </w:t>
      </w:r>
      <w:r w:rsidR="00841070" w:rsidRPr="00AB2449">
        <w:rPr>
          <w:lang w:val="en-AU"/>
        </w:rPr>
        <w:t xml:space="preserve">estimated </w:t>
      </w:r>
      <w:r w:rsidR="00E02C75" w:rsidRPr="00AB2449">
        <w:rPr>
          <w:lang w:val="en-AU"/>
        </w:rPr>
        <w:t>household income was much higher for non-concession ($</w:t>
      </w:r>
      <w:r w:rsidR="00CF3DEC" w:rsidRPr="00AB2449">
        <w:rPr>
          <w:lang w:val="en-AU"/>
        </w:rPr>
        <w:t>120,</w:t>
      </w:r>
      <w:r w:rsidR="00AB2449" w:rsidRPr="00AB2449">
        <w:rPr>
          <w:lang w:val="en-AU"/>
        </w:rPr>
        <w:t>022</w:t>
      </w:r>
      <w:r w:rsidR="00E02C75" w:rsidRPr="00AB2449">
        <w:rPr>
          <w:lang w:val="en-AU"/>
        </w:rPr>
        <w:t xml:space="preserve"> per annum) than concession households ($</w:t>
      </w:r>
      <w:r w:rsidR="006616D6">
        <w:rPr>
          <w:lang w:val="en-AU"/>
        </w:rPr>
        <w:t>57,270</w:t>
      </w:r>
      <w:r w:rsidR="00E02C75" w:rsidRPr="00AB2449">
        <w:rPr>
          <w:lang w:val="en-AU"/>
        </w:rPr>
        <w:t xml:space="preserve"> per annum)</w:t>
      </w:r>
      <w:r w:rsidR="0057268F" w:rsidRPr="00AB2449">
        <w:rPr>
          <w:lang w:val="en-AU"/>
        </w:rPr>
        <w:t xml:space="preserve"> – see Table 3.3.4</w:t>
      </w:r>
      <w:r w:rsidR="00E02C75" w:rsidRPr="00AB2449">
        <w:rPr>
          <w:lang w:val="en-AU"/>
        </w:rPr>
        <w:t xml:space="preserve">.  </w:t>
      </w:r>
      <w:r w:rsidR="00CF3DEC" w:rsidRPr="00AB2449">
        <w:rPr>
          <w:lang w:val="en-AU"/>
        </w:rPr>
        <w:t>More than four-fifths (8</w:t>
      </w:r>
      <w:r w:rsidR="00AB2449" w:rsidRPr="00AB2449">
        <w:rPr>
          <w:lang w:val="en-AU"/>
        </w:rPr>
        <w:t>3</w:t>
      </w:r>
      <w:r w:rsidR="00CF3DEC" w:rsidRPr="00AB2449">
        <w:rPr>
          <w:lang w:val="en-AU"/>
        </w:rPr>
        <w:t xml:space="preserve">%) </w:t>
      </w:r>
      <w:r w:rsidR="00E02C75" w:rsidRPr="00AB2449">
        <w:rPr>
          <w:lang w:val="en-AU"/>
        </w:rPr>
        <w:t>of non-concession households in 20</w:t>
      </w:r>
      <w:r w:rsidR="00CF3DEC" w:rsidRPr="00AB2449">
        <w:rPr>
          <w:lang w:val="en-AU"/>
        </w:rPr>
        <w:t>14</w:t>
      </w:r>
      <w:r w:rsidR="00E02C75" w:rsidRPr="00AB2449">
        <w:rPr>
          <w:lang w:val="en-AU"/>
        </w:rPr>
        <w:t xml:space="preserve"> </w:t>
      </w:r>
      <w:r w:rsidR="00332937" w:rsidRPr="00AB2449">
        <w:rPr>
          <w:lang w:val="en-AU"/>
        </w:rPr>
        <w:t>had a total estimated household income of</w:t>
      </w:r>
      <w:r w:rsidR="00E02C75" w:rsidRPr="00AB2449">
        <w:rPr>
          <w:lang w:val="en-AU"/>
        </w:rPr>
        <w:t xml:space="preserve"> $50,000 or more per annum, </w:t>
      </w:r>
      <w:r w:rsidR="00332937" w:rsidRPr="00AB2449">
        <w:rPr>
          <w:lang w:val="en-AU"/>
        </w:rPr>
        <w:t>compared with just</w:t>
      </w:r>
      <w:r w:rsidR="00E02C75" w:rsidRPr="00AB2449">
        <w:rPr>
          <w:lang w:val="en-AU"/>
        </w:rPr>
        <w:t xml:space="preserve"> </w:t>
      </w:r>
      <w:r w:rsidR="00CF3DEC" w:rsidRPr="00AB2449">
        <w:rPr>
          <w:lang w:val="en-AU"/>
        </w:rPr>
        <w:t>4</w:t>
      </w:r>
      <w:r w:rsidR="00AB2449" w:rsidRPr="00AB2449">
        <w:rPr>
          <w:lang w:val="en-AU"/>
        </w:rPr>
        <w:t>6</w:t>
      </w:r>
      <w:r w:rsidR="00E02C75" w:rsidRPr="00AB2449">
        <w:rPr>
          <w:lang w:val="en-AU"/>
        </w:rPr>
        <w:t xml:space="preserve">% of concession households.  </w:t>
      </w:r>
      <w:r w:rsidR="00AB2449" w:rsidRPr="00AB2449">
        <w:rPr>
          <w:lang w:val="en-AU"/>
        </w:rPr>
        <w:t>Thirteen</w:t>
      </w:r>
      <w:r w:rsidR="00CF3DEC" w:rsidRPr="00AB2449">
        <w:rPr>
          <w:lang w:val="en-AU"/>
        </w:rPr>
        <w:t xml:space="preserve"> </w:t>
      </w:r>
      <w:r w:rsidR="00B942AA">
        <w:rPr>
          <w:lang w:val="en-AU"/>
        </w:rPr>
        <w:t>per cent</w:t>
      </w:r>
      <w:r w:rsidR="00CF3DEC" w:rsidRPr="00AB2449">
        <w:rPr>
          <w:lang w:val="en-AU"/>
        </w:rPr>
        <w:t xml:space="preserve"> of </w:t>
      </w:r>
      <w:r w:rsidR="00E02C75" w:rsidRPr="00AB2449">
        <w:rPr>
          <w:lang w:val="en-AU"/>
        </w:rPr>
        <w:t xml:space="preserve">concession households </w:t>
      </w:r>
      <w:r w:rsidR="00841070" w:rsidRPr="00AB2449">
        <w:rPr>
          <w:lang w:val="en-AU"/>
        </w:rPr>
        <w:t>had a total estimated income of</w:t>
      </w:r>
      <w:r w:rsidR="00E02C75" w:rsidRPr="00AB2449">
        <w:rPr>
          <w:lang w:val="en-AU"/>
        </w:rPr>
        <w:t xml:space="preserve"> less than $20,000 annually, compared with just </w:t>
      </w:r>
      <w:r w:rsidR="00AB2449" w:rsidRPr="00AB2449">
        <w:rPr>
          <w:lang w:val="en-AU"/>
        </w:rPr>
        <w:t>2</w:t>
      </w:r>
      <w:r w:rsidR="00E02C75" w:rsidRPr="00AB2449">
        <w:rPr>
          <w:lang w:val="en-AU"/>
        </w:rPr>
        <w:t xml:space="preserve">% of non-concession households.  </w:t>
      </w:r>
      <w:r w:rsidR="00332937" w:rsidRPr="00AB2449">
        <w:rPr>
          <w:lang w:val="en-AU"/>
        </w:rPr>
        <w:t>The estimated a</w:t>
      </w:r>
      <w:r w:rsidR="00CF3DEC" w:rsidRPr="00AB2449">
        <w:rPr>
          <w:lang w:val="en-AU"/>
        </w:rPr>
        <w:t>verage h</w:t>
      </w:r>
      <w:r w:rsidR="00E02C75" w:rsidRPr="00AB2449">
        <w:rPr>
          <w:lang w:val="en-AU"/>
        </w:rPr>
        <w:t xml:space="preserve">ousehold income </w:t>
      </w:r>
      <w:r w:rsidR="00CF3DEC" w:rsidRPr="00AB2449">
        <w:rPr>
          <w:lang w:val="en-AU"/>
        </w:rPr>
        <w:t>in aged concession households ($58,</w:t>
      </w:r>
      <w:r w:rsidR="00AB2449" w:rsidRPr="00AB2449">
        <w:rPr>
          <w:lang w:val="en-AU"/>
        </w:rPr>
        <w:t>360)</w:t>
      </w:r>
      <w:r w:rsidR="00CF3DEC" w:rsidRPr="00AB2449">
        <w:rPr>
          <w:lang w:val="en-AU"/>
        </w:rPr>
        <w:t xml:space="preserve"> was higher than in </w:t>
      </w:r>
      <w:r w:rsidR="0055008C" w:rsidRPr="00AB2449">
        <w:rPr>
          <w:lang w:val="en-AU"/>
        </w:rPr>
        <w:t>other concession household</w:t>
      </w:r>
      <w:r w:rsidR="00E02C75" w:rsidRPr="00AB2449">
        <w:rPr>
          <w:lang w:val="en-AU"/>
        </w:rPr>
        <w:t>s ($</w:t>
      </w:r>
      <w:r w:rsidR="00E70E18" w:rsidRPr="00AB2449">
        <w:rPr>
          <w:lang w:val="en-AU"/>
        </w:rPr>
        <w:t>5</w:t>
      </w:r>
      <w:r w:rsidR="00AB2449" w:rsidRPr="00AB2449">
        <w:rPr>
          <w:lang w:val="en-AU"/>
        </w:rPr>
        <w:t>6</w:t>
      </w:r>
      <w:r w:rsidR="00E70E18" w:rsidRPr="00AB2449">
        <w:rPr>
          <w:lang w:val="en-AU"/>
        </w:rPr>
        <w:t>,</w:t>
      </w:r>
      <w:r w:rsidR="00AB2449" w:rsidRPr="00AB2449">
        <w:rPr>
          <w:lang w:val="en-AU"/>
        </w:rPr>
        <w:t>148</w:t>
      </w:r>
      <w:r w:rsidR="00E02C75" w:rsidRPr="00AB2449">
        <w:rPr>
          <w:lang w:val="en-AU"/>
        </w:rPr>
        <w:t xml:space="preserve">) </w:t>
      </w:r>
      <w:r w:rsidR="00E70E18" w:rsidRPr="00AB2449">
        <w:rPr>
          <w:lang w:val="en-AU"/>
        </w:rPr>
        <w:t>which is the reverse of the situation that existed in 2007</w:t>
      </w:r>
      <w:r w:rsidR="00EB3602" w:rsidRPr="00AB2449">
        <w:rPr>
          <w:lang w:val="en-AU"/>
        </w:rPr>
        <w:t xml:space="preserve"> (aged concession households: $31,900; other concession households: $38,100)</w:t>
      </w:r>
      <w:r w:rsidR="00E70E18" w:rsidRPr="00AB2449">
        <w:rPr>
          <w:lang w:val="en-AU"/>
        </w:rPr>
        <w:t>.</w:t>
      </w:r>
    </w:p>
    <w:p w14:paraId="251722BE" w14:textId="77777777" w:rsidR="00E02C75" w:rsidRPr="00AB2449" w:rsidRDefault="00E02C75" w:rsidP="00E02C75">
      <w:pPr>
        <w:pStyle w:val="Para"/>
        <w:rPr>
          <w:lang w:val="en-AU"/>
        </w:rPr>
      </w:pPr>
    </w:p>
    <w:p w14:paraId="039C9AF5" w14:textId="77777777" w:rsidR="00E02C75" w:rsidRPr="00AB2449" w:rsidRDefault="002733E9" w:rsidP="00E02C75">
      <w:pPr>
        <w:pStyle w:val="Para"/>
        <w:rPr>
          <w:lang w:val="en-AU"/>
        </w:rPr>
      </w:pPr>
      <w:r w:rsidRPr="00AB2449">
        <w:rPr>
          <w:lang w:val="en-AU"/>
        </w:rPr>
        <w:t>H</w:t>
      </w:r>
      <w:r w:rsidR="00394C0A" w:rsidRPr="00AB2449">
        <w:rPr>
          <w:lang w:val="en-AU"/>
        </w:rPr>
        <w:t xml:space="preserve">ouseholds </w:t>
      </w:r>
      <w:r w:rsidRPr="00AB2449">
        <w:rPr>
          <w:lang w:val="en-AU"/>
        </w:rPr>
        <w:t>in Melbourne h</w:t>
      </w:r>
      <w:r w:rsidR="00E02C75" w:rsidRPr="00AB2449">
        <w:rPr>
          <w:lang w:val="en-AU"/>
        </w:rPr>
        <w:t xml:space="preserve">ad </w:t>
      </w:r>
      <w:r w:rsidRPr="00AB2449">
        <w:rPr>
          <w:lang w:val="en-AU"/>
        </w:rPr>
        <w:t xml:space="preserve">higher </w:t>
      </w:r>
      <w:r w:rsidR="00332937" w:rsidRPr="00AB2449">
        <w:rPr>
          <w:lang w:val="en-AU"/>
        </w:rPr>
        <w:t xml:space="preserve">estimated </w:t>
      </w:r>
      <w:r w:rsidR="00D97351" w:rsidRPr="00AB2449">
        <w:rPr>
          <w:lang w:val="en-AU"/>
        </w:rPr>
        <w:t>average</w:t>
      </w:r>
      <w:r w:rsidR="00E02C75" w:rsidRPr="00AB2449">
        <w:rPr>
          <w:lang w:val="en-AU"/>
        </w:rPr>
        <w:t xml:space="preserve"> annual </w:t>
      </w:r>
      <w:r w:rsidR="00D97351" w:rsidRPr="00AB2449">
        <w:rPr>
          <w:lang w:val="en-AU"/>
        </w:rPr>
        <w:t xml:space="preserve">household </w:t>
      </w:r>
      <w:r w:rsidR="00E02C75" w:rsidRPr="00AB2449">
        <w:rPr>
          <w:lang w:val="en-AU"/>
        </w:rPr>
        <w:t xml:space="preserve">income </w:t>
      </w:r>
      <w:r w:rsidRPr="00AB2449">
        <w:rPr>
          <w:lang w:val="en-AU"/>
        </w:rPr>
        <w:t>than households in country Victoria (</w:t>
      </w:r>
      <w:r w:rsidR="00394C0A" w:rsidRPr="00AB2449">
        <w:rPr>
          <w:lang w:val="en-AU"/>
        </w:rPr>
        <w:t>$9</w:t>
      </w:r>
      <w:r w:rsidR="00AB2449" w:rsidRPr="00AB2449">
        <w:rPr>
          <w:lang w:val="en-AU"/>
        </w:rPr>
        <w:t>6</w:t>
      </w:r>
      <w:r w:rsidR="00394C0A" w:rsidRPr="00AB2449">
        <w:rPr>
          <w:lang w:val="en-AU"/>
        </w:rPr>
        <w:t>,</w:t>
      </w:r>
      <w:r w:rsidR="00AB2449" w:rsidRPr="00AB2449">
        <w:rPr>
          <w:lang w:val="en-AU"/>
        </w:rPr>
        <w:t>103</w:t>
      </w:r>
      <w:r w:rsidR="00394C0A" w:rsidRPr="00AB2449">
        <w:rPr>
          <w:lang w:val="en-AU"/>
        </w:rPr>
        <w:t xml:space="preserve"> and $77,</w:t>
      </w:r>
      <w:r w:rsidR="00AB2449" w:rsidRPr="00AB2449">
        <w:rPr>
          <w:lang w:val="en-AU"/>
        </w:rPr>
        <w:t>869</w:t>
      </w:r>
      <w:r w:rsidR="00394C0A" w:rsidRPr="00AB2449">
        <w:rPr>
          <w:lang w:val="en-AU"/>
        </w:rPr>
        <w:t xml:space="preserve"> </w:t>
      </w:r>
      <w:r w:rsidRPr="00AB2449">
        <w:rPr>
          <w:lang w:val="en-AU"/>
        </w:rPr>
        <w:t>respectively).</w:t>
      </w:r>
    </w:p>
    <w:p w14:paraId="29F16ADE" w14:textId="77777777" w:rsidR="00E02C75" w:rsidRPr="00DA3B75" w:rsidRDefault="00E02C75" w:rsidP="00E02C75">
      <w:pPr>
        <w:pStyle w:val="Para"/>
        <w:rPr>
          <w:highlight w:val="yellow"/>
          <w:lang w:val="en-AU"/>
        </w:rPr>
      </w:pPr>
    </w:p>
    <w:p w14:paraId="2D9D9387" w14:textId="77777777" w:rsidR="00E02C75" w:rsidRPr="00AB2449" w:rsidRDefault="00E02C75" w:rsidP="00BD2674">
      <w:pPr>
        <w:pStyle w:val="NormalIndent"/>
        <w:ind w:hanging="720"/>
        <w:jc w:val="center"/>
        <w:outlineLvl w:val="0"/>
        <w:rPr>
          <w:b/>
          <w:u w:val="single"/>
          <w:lang w:val="en-AU"/>
        </w:rPr>
      </w:pPr>
      <w:bookmarkStart w:id="120" w:name="_Ref522433291"/>
      <w:bookmarkStart w:id="121" w:name="_Ref522433279"/>
      <w:r w:rsidRPr="00AB2449">
        <w:rPr>
          <w:b/>
          <w:lang w:val="en-AU"/>
        </w:rPr>
        <w:t xml:space="preserve">Table </w:t>
      </w:r>
      <w:bookmarkEnd w:id="120"/>
      <w:r w:rsidRPr="00AB2449">
        <w:rPr>
          <w:b/>
          <w:lang w:val="en-AU"/>
        </w:rPr>
        <w:t xml:space="preserve">3.3.4:  </w:t>
      </w:r>
      <w:r w:rsidRPr="00AB2449">
        <w:rPr>
          <w:b/>
          <w:u w:val="single"/>
          <w:lang w:val="en-AU"/>
        </w:rPr>
        <w:t>Derived Total Annual Household Income</w:t>
      </w:r>
      <w:bookmarkEnd w:id="121"/>
      <w:r w:rsidRPr="00AB2449">
        <w:rPr>
          <w:b/>
          <w:u w:val="single"/>
          <w:lang w:val="en-AU"/>
        </w:rPr>
        <w:t xml:space="preserve"> by </w:t>
      </w:r>
      <w:r w:rsidR="00CA471A" w:rsidRPr="00AB2449">
        <w:rPr>
          <w:b/>
          <w:u w:val="single"/>
          <w:lang w:val="en-AU"/>
        </w:rPr>
        <w:t>Concession Status</w:t>
      </w:r>
      <w:r w:rsidRPr="00AB2449">
        <w:rPr>
          <w:b/>
          <w:u w:val="single"/>
          <w:lang w:val="en-AU"/>
        </w:rPr>
        <w:t xml:space="preserve"> and Region</w:t>
      </w:r>
    </w:p>
    <w:p w14:paraId="11316375" w14:textId="77777777" w:rsidR="00E548CE" w:rsidRPr="00AB2449" w:rsidRDefault="00E548CE" w:rsidP="00E02C75">
      <w:pPr>
        <w:pStyle w:val="NormalIndent"/>
        <w:outlineLvl w:val="0"/>
        <w:rPr>
          <w:b/>
          <w:lang w:val="en-AU"/>
        </w:rPr>
      </w:pPr>
    </w:p>
    <w:tbl>
      <w:tblPr>
        <w:tblW w:w="11980" w:type="dxa"/>
        <w:jc w:val="center"/>
        <w:tblLook w:val="04A0" w:firstRow="1" w:lastRow="0" w:firstColumn="1" w:lastColumn="0" w:noHBand="0" w:noVBand="1"/>
      </w:tblPr>
      <w:tblGrid>
        <w:gridCol w:w="2160"/>
        <w:gridCol w:w="600"/>
        <w:gridCol w:w="600"/>
        <w:gridCol w:w="600"/>
        <w:gridCol w:w="600"/>
        <w:gridCol w:w="600"/>
        <w:gridCol w:w="600"/>
        <w:gridCol w:w="633"/>
        <w:gridCol w:w="572"/>
        <w:gridCol w:w="572"/>
        <w:gridCol w:w="658"/>
        <w:gridCol w:w="572"/>
        <w:gridCol w:w="646"/>
        <w:gridCol w:w="780"/>
        <w:gridCol w:w="587"/>
        <w:gridCol w:w="600"/>
        <w:gridCol w:w="600"/>
      </w:tblGrid>
      <w:tr w:rsidR="006321C3" w:rsidRPr="00AE6865" w14:paraId="51C444F6" w14:textId="77777777" w:rsidTr="00BD2674">
        <w:trPr>
          <w:trHeight w:val="690"/>
          <w:jc w:val="center"/>
        </w:trPr>
        <w:tc>
          <w:tcPr>
            <w:tcW w:w="2160" w:type="dxa"/>
            <w:tcBorders>
              <w:top w:val="double" w:sz="6" w:space="0" w:color="auto"/>
              <w:left w:val="double" w:sz="6" w:space="0" w:color="auto"/>
              <w:bottom w:val="single" w:sz="4" w:space="0" w:color="BFBFBF"/>
              <w:right w:val="nil"/>
            </w:tcBorders>
            <w:shd w:val="clear" w:color="auto" w:fill="auto"/>
            <w:vAlign w:val="center"/>
          </w:tcPr>
          <w:p w14:paraId="2EC148EF" w14:textId="77777777" w:rsidR="006321C3" w:rsidRPr="00AE6865" w:rsidRDefault="006321C3" w:rsidP="006321C3">
            <w:pPr>
              <w:spacing w:before="0" w:after="0"/>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Derived Household Income</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4817D2F6" w14:textId="77777777" w:rsidR="006321C3" w:rsidRPr="00AE6865" w:rsidRDefault="006321C3" w:rsidP="006321C3">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Aged Concession HHs</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550514E9" w14:textId="77777777" w:rsidR="006321C3" w:rsidRPr="00AE6865" w:rsidRDefault="006321C3" w:rsidP="006321C3">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Other Concession HHs</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3F001DEA" w14:textId="77777777" w:rsidR="006321C3" w:rsidRPr="00AE6865" w:rsidRDefault="006321C3" w:rsidP="006321C3">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Total Concession HHs</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028869BC" w14:textId="77777777" w:rsidR="006321C3" w:rsidRPr="00AE6865" w:rsidRDefault="006321C3" w:rsidP="006321C3">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Non-Concession HHs</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464D0EF6" w14:textId="77777777" w:rsidR="006321C3" w:rsidRPr="00AE6865" w:rsidRDefault="006321C3" w:rsidP="006321C3">
            <w:pPr>
              <w:spacing w:before="0" w:after="0"/>
              <w:jc w:val="center"/>
              <w:rPr>
                <w:rFonts w:ascii="Arial" w:hAnsi="Arial" w:cs="Arial"/>
                <w:b/>
                <w:bCs/>
                <w:color w:val="000000"/>
                <w:sz w:val="16"/>
                <w:szCs w:val="16"/>
                <w:lang w:val="en-AU" w:eastAsia="en-AU"/>
              </w:rPr>
            </w:pPr>
            <w:smartTag w:uri="urn:schemas-microsoft-com:office:smarttags" w:element="City">
              <w:smartTag w:uri="urn:schemas-microsoft-com:office:smarttags" w:element="place">
                <w:r w:rsidRPr="00AE6865">
                  <w:rPr>
                    <w:rFonts w:ascii="Arial" w:hAnsi="Arial" w:cs="Arial"/>
                    <w:b/>
                    <w:bCs/>
                    <w:color w:val="000000"/>
                    <w:sz w:val="16"/>
                    <w:szCs w:val="16"/>
                    <w:lang w:val="en-AU" w:eastAsia="en-AU"/>
                  </w:rPr>
                  <w:t>Melbourne</w:t>
                </w:r>
              </w:smartTag>
            </w:smartTag>
          </w:p>
        </w:tc>
        <w:tc>
          <w:tcPr>
            <w:tcW w:w="1240" w:type="dxa"/>
            <w:gridSpan w:val="2"/>
            <w:tcBorders>
              <w:top w:val="double" w:sz="6" w:space="0" w:color="auto"/>
              <w:left w:val="nil"/>
              <w:bottom w:val="single" w:sz="4" w:space="0" w:color="BFBFBF"/>
              <w:right w:val="single" w:sz="4" w:space="0" w:color="BFBFBF"/>
            </w:tcBorders>
            <w:shd w:val="clear" w:color="auto" w:fill="auto"/>
            <w:vAlign w:val="center"/>
          </w:tcPr>
          <w:p w14:paraId="1543E005" w14:textId="77777777" w:rsidR="006321C3" w:rsidRPr="00AE6865" w:rsidRDefault="00B02554" w:rsidP="006321C3">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Country</w:t>
            </w:r>
            <w:r w:rsidR="006321C3" w:rsidRPr="00AE6865">
              <w:rPr>
                <w:rFonts w:ascii="Arial" w:hAnsi="Arial" w:cs="Arial"/>
                <w:b/>
                <w:bCs/>
                <w:color w:val="000000"/>
                <w:sz w:val="16"/>
                <w:szCs w:val="16"/>
                <w:lang w:val="en-AU" w:eastAsia="en-AU"/>
              </w:rPr>
              <w:t xml:space="preserve"> VIC</w:t>
            </w:r>
          </w:p>
        </w:tc>
        <w:tc>
          <w:tcPr>
            <w:tcW w:w="138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67F5D277" w14:textId="77777777" w:rsidR="006321C3" w:rsidRPr="00AE6865" w:rsidRDefault="006321C3" w:rsidP="006321C3">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 xml:space="preserve">LPG </w:t>
            </w:r>
            <w:r w:rsidR="00332937" w:rsidRPr="00AE6865">
              <w:rPr>
                <w:rFonts w:ascii="Arial" w:hAnsi="Arial" w:cs="Arial"/>
                <w:b/>
                <w:bCs/>
                <w:color w:val="000000"/>
                <w:sz w:val="16"/>
                <w:szCs w:val="16"/>
                <w:lang w:val="en-AU" w:eastAsia="en-AU"/>
              </w:rPr>
              <w:t>Households</w:t>
            </w:r>
          </w:p>
        </w:tc>
        <w:tc>
          <w:tcPr>
            <w:tcW w:w="1200" w:type="dxa"/>
            <w:gridSpan w:val="2"/>
            <w:tcBorders>
              <w:top w:val="double" w:sz="6" w:space="0" w:color="auto"/>
              <w:left w:val="nil"/>
              <w:bottom w:val="single" w:sz="4" w:space="0" w:color="BFBFBF"/>
              <w:right w:val="double" w:sz="6" w:space="0" w:color="000000"/>
            </w:tcBorders>
            <w:shd w:val="clear" w:color="auto" w:fill="auto"/>
            <w:vAlign w:val="center"/>
          </w:tcPr>
          <w:p w14:paraId="5C981757" w14:textId="77777777" w:rsidR="006321C3" w:rsidRPr="00AE6865" w:rsidRDefault="006321C3" w:rsidP="006321C3">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Total HHs</w:t>
            </w:r>
          </w:p>
        </w:tc>
      </w:tr>
      <w:tr w:rsidR="006321C3" w:rsidRPr="00AE6865" w14:paraId="27D33142"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19681D5" w14:textId="77777777" w:rsidR="006321C3" w:rsidRPr="00AE6865" w:rsidRDefault="006321C3" w:rsidP="006321C3">
            <w:pPr>
              <w:spacing w:before="0" w:after="0"/>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5FFBADF"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2EB0C578"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4E9458DF"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2C223968"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8010ED1"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1BA23F12"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2007</w:t>
            </w:r>
          </w:p>
        </w:tc>
        <w:tc>
          <w:tcPr>
            <w:tcW w:w="633" w:type="dxa"/>
            <w:tcBorders>
              <w:top w:val="nil"/>
              <w:left w:val="nil"/>
              <w:bottom w:val="single" w:sz="4" w:space="0" w:color="BFBFBF"/>
              <w:right w:val="single" w:sz="4" w:space="0" w:color="BFBFBF"/>
            </w:tcBorders>
            <w:shd w:val="clear" w:color="auto" w:fill="auto"/>
            <w:noWrap/>
            <w:vAlign w:val="center"/>
          </w:tcPr>
          <w:p w14:paraId="3A5A5288"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2014</w:t>
            </w:r>
          </w:p>
        </w:tc>
        <w:tc>
          <w:tcPr>
            <w:tcW w:w="567" w:type="dxa"/>
            <w:tcBorders>
              <w:top w:val="nil"/>
              <w:left w:val="nil"/>
              <w:bottom w:val="single" w:sz="4" w:space="0" w:color="BFBFBF"/>
              <w:right w:val="nil"/>
            </w:tcBorders>
            <w:shd w:val="clear" w:color="auto" w:fill="auto"/>
            <w:noWrap/>
            <w:vAlign w:val="center"/>
          </w:tcPr>
          <w:p w14:paraId="361CFFB4"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2007</w:t>
            </w:r>
          </w:p>
        </w:tc>
        <w:tc>
          <w:tcPr>
            <w:tcW w:w="470" w:type="dxa"/>
            <w:tcBorders>
              <w:top w:val="nil"/>
              <w:left w:val="single" w:sz="4" w:space="0" w:color="auto"/>
              <w:bottom w:val="single" w:sz="4" w:space="0" w:color="BFBFBF"/>
              <w:right w:val="single" w:sz="4" w:space="0" w:color="BFBFBF"/>
            </w:tcBorders>
            <w:shd w:val="clear" w:color="auto" w:fill="auto"/>
            <w:noWrap/>
            <w:vAlign w:val="center"/>
          </w:tcPr>
          <w:p w14:paraId="118A5D22"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2014</w:t>
            </w:r>
          </w:p>
        </w:tc>
        <w:tc>
          <w:tcPr>
            <w:tcW w:w="730" w:type="dxa"/>
            <w:tcBorders>
              <w:top w:val="nil"/>
              <w:left w:val="nil"/>
              <w:bottom w:val="single" w:sz="4" w:space="0" w:color="BFBFBF"/>
              <w:right w:val="single" w:sz="4" w:space="0" w:color="auto"/>
            </w:tcBorders>
            <w:shd w:val="clear" w:color="auto" w:fill="auto"/>
            <w:vAlign w:val="center"/>
          </w:tcPr>
          <w:p w14:paraId="0423926F"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2007</w:t>
            </w:r>
          </w:p>
        </w:tc>
        <w:tc>
          <w:tcPr>
            <w:tcW w:w="532" w:type="dxa"/>
            <w:tcBorders>
              <w:top w:val="nil"/>
              <w:left w:val="nil"/>
              <w:bottom w:val="single" w:sz="4" w:space="0" w:color="BFBFBF"/>
              <w:right w:val="single" w:sz="4" w:space="0" w:color="BFBFBF"/>
            </w:tcBorders>
            <w:shd w:val="clear" w:color="auto" w:fill="auto"/>
            <w:noWrap/>
            <w:vAlign w:val="center"/>
          </w:tcPr>
          <w:p w14:paraId="63B55ED3"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2014</w:t>
            </w:r>
          </w:p>
        </w:tc>
        <w:tc>
          <w:tcPr>
            <w:tcW w:w="708" w:type="dxa"/>
            <w:tcBorders>
              <w:top w:val="nil"/>
              <w:left w:val="nil"/>
              <w:bottom w:val="single" w:sz="4" w:space="0" w:color="BFBFBF"/>
              <w:right w:val="nil"/>
            </w:tcBorders>
            <w:shd w:val="clear" w:color="auto" w:fill="auto"/>
            <w:vAlign w:val="center"/>
          </w:tcPr>
          <w:p w14:paraId="4003AED3"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2007</w:t>
            </w:r>
          </w:p>
        </w:tc>
        <w:tc>
          <w:tcPr>
            <w:tcW w:w="780" w:type="dxa"/>
            <w:tcBorders>
              <w:top w:val="nil"/>
              <w:left w:val="single" w:sz="4" w:space="0" w:color="auto"/>
              <w:bottom w:val="single" w:sz="4" w:space="0" w:color="BFBFBF"/>
              <w:right w:val="single" w:sz="4" w:space="0" w:color="BFBFBF"/>
            </w:tcBorders>
            <w:shd w:val="clear" w:color="auto" w:fill="auto"/>
            <w:vAlign w:val="center"/>
          </w:tcPr>
          <w:p w14:paraId="6856BD40"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vAlign w:val="center"/>
          </w:tcPr>
          <w:p w14:paraId="62A72FF7"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42E81044"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2014</w:t>
            </w:r>
          </w:p>
        </w:tc>
        <w:tc>
          <w:tcPr>
            <w:tcW w:w="600" w:type="dxa"/>
            <w:tcBorders>
              <w:top w:val="nil"/>
              <w:left w:val="nil"/>
              <w:bottom w:val="single" w:sz="4" w:space="0" w:color="BFBFBF"/>
              <w:right w:val="double" w:sz="6" w:space="0" w:color="auto"/>
            </w:tcBorders>
            <w:shd w:val="clear" w:color="auto" w:fill="auto"/>
            <w:noWrap/>
            <w:vAlign w:val="center"/>
          </w:tcPr>
          <w:p w14:paraId="5BC4CC01"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2007</w:t>
            </w:r>
          </w:p>
        </w:tc>
      </w:tr>
      <w:tr w:rsidR="006321C3" w:rsidRPr="00AE6865" w14:paraId="7D32F740"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6C158438" w14:textId="77777777" w:rsidR="006321C3" w:rsidRPr="00AE6865" w:rsidRDefault="006321C3" w:rsidP="006321C3">
            <w:pPr>
              <w:spacing w:before="0" w:after="0"/>
              <w:rPr>
                <w:rFonts w:ascii="Arial" w:hAnsi="Arial" w:cs="Arial"/>
                <w:color w:val="000000"/>
                <w:sz w:val="16"/>
                <w:szCs w:val="16"/>
                <w:lang w:val="en-AU" w:eastAsia="en-AU"/>
              </w:rPr>
            </w:pPr>
            <w:r w:rsidRPr="00AE6865">
              <w:rPr>
                <w:rFonts w:ascii="Arial" w:hAnsi="Arial" w:cs="Arial"/>
                <w:color w:val="000000"/>
                <w:sz w:val="16"/>
                <w:szCs w:val="16"/>
                <w:lang w:val="en-AU" w:eastAsia="en-AU"/>
              </w:rPr>
              <w:t>Less than $10,000</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07E50FB"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8F571B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B196794"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78A785A2"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DBE9522"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236C07C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633" w:type="dxa"/>
            <w:tcBorders>
              <w:top w:val="nil"/>
              <w:left w:val="nil"/>
              <w:bottom w:val="single" w:sz="4" w:space="0" w:color="BFBFBF"/>
              <w:right w:val="single" w:sz="4" w:space="0" w:color="BFBFBF"/>
            </w:tcBorders>
            <w:shd w:val="clear" w:color="auto" w:fill="auto"/>
            <w:noWrap/>
            <w:vAlign w:val="center"/>
          </w:tcPr>
          <w:p w14:paraId="02742422"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w:t>
            </w:r>
          </w:p>
        </w:tc>
        <w:tc>
          <w:tcPr>
            <w:tcW w:w="567" w:type="dxa"/>
            <w:tcBorders>
              <w:top w:val="nil"/>
              <w:left w:val="nil"/>
              <w:bottom w:val="single" w:sz="4" w:space="0" w:color="BFBFBF"/>
              <w:right w:val="nil"/>
            </w:tcBorders>
            <w:shd w:val="clear" w:color="auto" w:fill="auto"/>
            <w:noWrap/>
            <w:vAlign w:val="center"/>
          </w:tcPr>
          <w:p w14:paraId="3C9AEBF7"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p>
        </w:tc>
        <w:tc>
          <w:tcPr>
            <w:tcW w:w="470" w:type="dxa"/>
            <w:tcBorders>
              <w:top w:val="nil"/>
              <w:left w:val="single" w:sz="4" w:space="0" w:color="auto"/>
              <w:bottom w:val="single" w:sz="4" w:space="0" w:color="BFBFBF"/>
              <w:right w:val="single" w:sz="4" w:space="0" w:color="BFBFBF"/>
            </w:tcBorders>
            <w:shd w:val="clear" w:color="auto" w:fill="auto"/>
            <w:noWrap/>
            <w:vAlign w:val="center"/>
          </w:tcPr>
          <w:p w14:paraId="1E5B44B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p>
        </w:tc>
        <w:tc>
          <w:tcPr>
            <w:tcW w:w="730" w:type="dxa"/>
            <w:tcBorders>
              <w:top w:val="nil"/>
              <w:left w:val="nil"/>
              <w:bottom w:val="single" w:sz="4" w:space="0" w:color="BFBFBF"/>
              <w:right w:val="single" w:sz="4" w:space="0" w:color="auto"/>
            </w:tcBorders>
            <w:shd w:val="clear" w:color="auto" w:fill="auto"/>
            <w:vAlign w:val="center"/>
          </w:tcPr>
          <w:p w14:paraId="2E68E79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532" w:type="dxa"/>
            <w:tcBorders>
              <w:top w:val="nil"/>
              <w:left w:val="nil"/>
              <w:bottom w:val="single" w:sz="4" w:space="0" w:color="BFBFBF"/>
              <w:right w:val="single" w:sz="4" w:space="0" w:color="BFBFBF"/>
            </w:tcBorders>
            <w:shd w:val="clear" w:color="auto" w:fill="auto"/>
            <w:noWrap/>
            <w:vAlign w:val="center"/>
          </w:tcPr>
          <w:p w14:paraId="098A73E4"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p>
        </w:tc>
        <w:tc>
          <w:tcPr>
            <w:tcW w:w="708" w:type="dxa"/>
            <w:tcBorders>
              <w:top w:val="nil"/>
              <w:left w:val="nil"/>
              <w:bottom w:val="single" w:sz="4" w:space="0" w:color="BFBFBF"/>
              <w:right w:val="nil"/>
            </w:tcBorders>
            <w:shd w:val="clear" w:color="auto" w:fill="auto"/>
            <w:vAlign w:val="center"/>
          </w:tcPr>
          <w:p w14:paraId="1F8C9CFD"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p>
        </w:tc>
        <w:tc>
          <w:tcPr>
            <w:tcW w:w="780" w:type="dxa"/>
            <w:tcBorders>
              <w:top w:val="nil"/>
              <w:left w:val="single" w:sz="4" w:space="0" w:color="auto"/>
              <w:bottom w:val="single" w:sz="4" w:space="0" w:color="BFBFBF"/>
              <w:right w:val="single" w:sz="4" w:space="0" w:color="BFBFBF"/>
            </w:tcBorders>
            <w:shd w:val="clear" w:color="auto" w:fill="auto"/>
            <w:vAlign w:val="center"/>
          </w:tcPr>
          <w:p w14:paraId="706F615C"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vAlign w:val="center"/>
          </w:tcPr>
          <w:p w14:paraId="7BF70340"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E449FC4"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39B2033C"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r>
      <w:tr w:rsidR="006321C3" w:rsidRPr="00AE6865" w14:paraId="5FD70FAE"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7444604" w14:textId="77777777" w:rsidR="006321C3" w:rsidRPr="00AE6865" w:rsidRDefault="006321C3" w:rsidP="006321C3">
            <w:pPr>
              <w:spacing w:before="0" w:after="0"/>
              <w:rPr>
                <w:rFonts w:ascii="Arial" w:hAnsi="Arial" w:cs="Arial"/>
                <w:color w:val="000000"/>
                <w:sz w:val="16"/>
                <w:szCs w:val="16"/>
                <w:lang w:val="en-AU" w:eastAsia="en-AU"/>
              </w:rPr>
            </w:pPr>
            <w:r w:rsidRPr="00AE6865">
              <w:rPr>
                <w:rFonts w:ascii="Arial" w:hAnsi="Arial" w:cs="Arial"/>
                <w:color w:val="000000"/>
                <w:sz w:val="16"/>
                <w:szCs w:val="16"/>
                <w:lang w:val="en-AU" w:eastAsia="en-AU"/>
              </w:rPr>
              <w:t>$10,000-$19,999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13ED35C"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623F23F9"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31%</w:t>
            </w:r>
          </w:p>
        </w:tc>
        <w:tc>
          <w:tcPr>
            <w:tcW w:w="600" w:type="dxa"/>
            <w:tcBorders>
              <w:top w:val="nil"/>
              <w:left w:val="nil"/>
              <w:bottom w:val="single" w:sz="4" w:space="0" w:color="BFBFBF"/>
              <w:right w:val="single" w:sz="4" w:space="0" w:color="BFBFBF"/>
            </w:tcBorders>
            <w:shd w:val="clear" w:color="auto" w:fill="auto"/>
            <w:noWrap/>
            <w:vAlign w:val="center"/>
          </w:tcPr>
          <w:p w14:paraId="2B53E01A" w14:textId="77777777" w:rsidR="006321C3" w:rsidRPr="00AE6865" w:rsidRDefault="006321C3"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w:t>
            </w:r>
            <w:r w:rsidR="00AE6865" w:rsidRPr="00AE6865">
              <w:rPr>
                <w:rFonts w:ascii="Arial" w:hAnsi="Arial" w:cs="Arial"/>
                <w:color w:val="000000"/>
                <w:sz w:val="16"/>
                <w:szCs w:val="16"/>
                <w:lang w:val="en-AU" w:eastAsia="en-AU"/>
              </w:rPr>
              <w:t>6</w:t>
            </w: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4BC8FFD0"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30%</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90ABB81" w14:textId="77777777" w:rsidR="006321C3" w:rsidRPr="00AE6865" w:rsidRDefault="006321C3"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r w:rsidR="00AE6865" w:rsidRPr="00AE6865">
              <w:rPr>
                <w:rFonts w:ascii="Arial" w:hAnsi="Arial" w:cs="Arial"/>
                <w:color w:val="000000"/>
                <w:sz w:val="16"/>
                <w:szCs w:val="16"/>
                <w:lang w:val="en-AU" w:eastAsia="en-AU"/>
              </w:rPr>
              <w:t>3</w:t>
            </w: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2BC8481D"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30%</w:t>
            </w:r>
          </w:p>
        </w:tc>
        <w:tc>
          <w:tcPr>
            <w:tcW w:w="633" w:type="dxa"/>
            <w:tcBorders>
              <w:top w:val="nil"/>
              <w:left w:val="nil"/>
              <w:bottom w:val="single" w:sz="4" w:space="0" w:color="BFBFBF"/>
              <w:right w:val="single" w:sz="4" w:space="0" w:color="BFBFBF"/>
            </w:tcBorders>
            <w:shd w:val="clear" w:color="auto" w:fill="auto"/>
            <w:noWrap/>
            <w:vAlign w:val="center"/>
          </w:tcPr>
          <w:p w14:paraId="3D834AF0"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567" w:type="dxa"/>
            <w:tcBorders>
              <w:top w:val="nil"/>
              <w:left w:val="nil"/>
              <w:bottom w:val="single" w:sz="4" w:space="0" w:color="BFBFBF"/>
              <w:right w:val="nil"/>
            </w:tcBorders>
            <w:shd w:val="clear" w:color="auto" w:fill="auto"/>
            <w:noWrap/>
            <w:vAlign w:val="center"/>
          </w:tcPr>
          <w:p w14:paraId="70DEC12F"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5%</w:t>
            </w:r>
          </w:p>
        </w:tc>
        <w:tc>
          <w:tcPr>
            <w:tcW w:w="470" w:type="dxa"/>
            <w:tcBorders>
              <w:top w:val="nil"/>
              <w:left w:val="single" w:sz="4" w:space="0" w:color="auto"/>
              <w:bottom w:val="single" w:sz="4" w:space="0" w:color="BFBFBF"/>
              <w:right w:val="single" w:sz="4" w:space="0" w:color="BFBFBF"/>
            </w:tcBorders>
            <w:shd w:val="clear" w:color="auto" w:fill="auto"/>
            <w:noWrap/>
            <w:vAlign w:val="center"/>
          </w:tcPr>
          <w:p w14:paraId="2CA62CC6" w14:textId="77777777" w:rsidR="006321C3" w:rsidRPr="00AE6865" w:rsidRDefault="00AE6865"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5</w:t>
            </w:r>
            <w:r w:rsidR="006321C3" w:rsidRPr="00AE6865">
              <w:rPr>
                <w:rFonts w:ascii="Arial" w:hAnsi="Arial" w:cs="Arial"/>
                <w:color w:val="000000"/>
                <w:sz w:val="16"/>
                <w:szCs w:val="16"/>
                <w:lang w:val="en-AU" w:eastAsia="en-AU"/>
              </w:rPr>
              <w:t>%</w:t>
            </w:r>
          </w:p>
        </w:tc>
        <w:tc>
          <w:tcPr>
            <w:tcW w:w="730" w:type="dxa"/>
            <w:tcBorders>
              <w:top w:val="nil"/>
              <w:left w:val="nil"/>
              <w:bottom w:val="single" w:sz="4" w:space="0" w:color="BFBFBF"/>
              <w:right w:val="single" w:sz="4" w:space="0" w:color="auto"/>
            </w:tcBorders>
            <w:shd w:val="clear" w:color="auto" w:fill="auto"/>
            <w:vAlign w:val="center"/>
          </w:tcPr>
          <w:p w14:paraId="7E1075C7"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15%</w:t>
            </w:r>
          </w:p>
        </w:tc>
        <w:tc>
          <w:tcPr>
            <w:tcW w:w="532" w:type="dxa"/>
            <w:tcBorders>
              <w:top w:val="nil"/>
              <w:left w:val="nil"/>
              <w:bottom w:val="single" w:sz="4" w:space="0" w:color="BFBFBF"/>
              <w:right w:val="single" w:sz="4" w:space="0" w:color="BFBFBF"/>
            </w:tcBorders>
            <w:shd w:val="clear" w:color="auto" w:fill="auto"/>
            <w:noWrap/>
            <w:vAlign w:val="center"/>
          </w:tcPr>
          <w:p w14:paraId="588348E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8%</w:t>
            </w:r>
          </w:p>
        </w:tc>
        <w:tc>
          <w:tcPr>
            <w:tcW w:w="708" w:type="dxa"/>
            <w:tcBorders>
              <w:top w:val="nil"/>
              <w:left w:val="nil"/>
              <w:bottom w:val="single" w:sz="4" w:space="0" w:color="BFBFBF"/>
              <w:right w:val="nil"/>
            </w:tcBorders>
            <w:shd w:val="clear" w:color="auto" w:fill="auto"/>
            <w:vAlign w:val="center"/>
          </w:tcPr>
          <w:p w14:paraId="3F91B332"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17%</w:t>
            </w:r>
          </w:p>
        </w:tc>
        <w:tc>
          <w:tcPr>
            <w:tcW w:w="780" w:type="dxa"/>
            <w:tcBorders>
              <w:top w:val="nil"/>
              <w:left w:val="single" w:sz="4" w:space="0" w:color="auto"/>
              <w:bottom w:val="single" w:sz="4" w:space="0" w:color="BFBFBF"/>
              <w:right w:val="single" w:sz="4" w:space="0" w:color="BFBFBF"/>
            </w:tcBorders>
            <w:shd w:val="clear" w:color="auto" w:fill="auto"/>
            <w:vAlign w:val="center"/>
          </w:tcPr>
          <w:p w14:paraId="53944BBF" w14:textId="77777777" w:rsidR="006321C3" w:rsidRPr="00AE6865" w:rsidRDefault="00AE6865"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6</w:t>
            </w:r>
            <w:r w:rsidR="006321C3"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vAlign w:val="center"/>
          </w:tcPr>
          <w:p w14:paraId="7B2ABC45"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24%</w:t>
            </w:r>
          </w:p>
        </w:tc>
        <w:tc>
          <w:tcPr>
            <w:tcW w:w="600" w:type="dxa"/>
            <w:tcBorders>
              <w:top w:val="nil"/>
              <w:left w:val="nil"/>
              <w:bottom w:val="single" w:sz="4" w:space="0" w:color="BFBFBF"/>
              <w:right w:val="single" w:sz="4" w:space="0" w:color="BFBFBF"/>
            </w:tcBorders>
            <w:shd w:val="clear" w:color="auto" w:fill="auto"/>
            <w:noWrap/>
            <w:vAlign w:val="center"/>
          </w:tcPr>
          <w:p w14:paraId="318593C2"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6%</w:t>
            </w:r>
          </w:p>
        </w:tc>
        <w:tc>
          <w:tcPr>
            <w:tcW w:w="600" w:type="dxa"/>
            <w:tcBorders>
              <w:top w:val="nil"/>
              <w:left w:val="nil"/>
              <w:bottom w:val="single" w:sz="4" w:space="0" w:color="BFBFBF"/>
              <w:right w:val="double" w:sz="6" w:space="0" w:color="auto"/>
            </w:tcBorders>
            <w:shd w:val="clear" w:color="auto" w:fill="auto"/>
            <w:noWrap/>
            <w:vAlign w:val="center"/>
          </w:tcPr>
          <w:p w14:paraId="6C825A82"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15%</w:t>
            </w:r>
          </w:p>
        </w:tc>
      </w:tr>
      <w:tr w:rsidR="006321C3" w:rsidRPr="00AE6865" w14:paraId="6DF5B3CE"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58817A20" w14:textId="77777777" w:rsidR="006321C3" w:rsidRPr="00AE6865" w:rsidRDefault="006321C3" w:rsidP="006321C3">
            <w:pPr>
              <w:spacing w:before="0" w:after="0"/>
              <w:rPr>
                <w:rFonts w:ascii="Arial" w:hAnsi="Arial" w:cs="Arial"/>
                <w:color w:val="000000"/>
                <w:sz w:val="16"/>
                <w:szCs w:val="16"/>
                <w:lang w:val="en-AU" w:eastAsia="en-AU"/>
              </w:rPr>
            </w:pPr>
            <w:r w:rsidRPr="00AE6865">
              <w:rPr>
                <w:rFonts w:ascii="Arial" w:hAnsi="Arial" w:cs="Arial"/>
                <w:color w:val="000000"/>
                <w:sz w:val="16"/>
                <w:szCs w:val="16"/>
                <w:lang w:val="en-AU" w:eastAsia="en-AU"/>
              </w:rPr>
              <w:t>$20,000-$29,999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A36F763" w14:textId="77777777" w:rsidR="006321C3" w:rsidRPr="00AE6865" w:rsidRDefault="006321C3" w:rsidP="00AB2449">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w:t>
            </w:r>
            <w:r w:rsidR="00AB2449" w:rsidRPr="00AE6865">
              <w:rPr>
                <w:rFonts w:ascii="Arial" w:hAnsi="Arial" w:cs="Arial"/>
                <w:color w:val="000000"/>
                <w:sz w:val="16"/>
                <w:szCs w:val="16"/>
                <w:lang w:val="en-AU" w:eastAsia="en-AU"/>
              </w:rPr>
              <w:t>2</w:t>
            </w: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29BD8209"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38%</w:t>
            </w:r>
          </w:p>
        </w:tc>
        <w:tc>
          <w:tcPr>
            <w:tcW w:w="600" w:type="dxa"/>
            <w:tcBorders>
              <w:top w:val="nil"/>
              <w:left w:val="nil"/>
              <w:bottom w:val="single" w:sz="4" w:space="0" w:color="BFBFBF"/>
              <w:right w:val="single" w:sz="4" w:space="0" w:color="BFBFBF"/>
            </w:tcBorders>
            <w:shd w:val="clear" w:color="auto" w:fill="auto"/>
            <w:noWrap/>
            <w:vAlign w:val="center"/>
          </w:tcPr>
          <w:p w14:paraId="66324A7D"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w:t>
            </w:r>
          </w:p>
        </w:tc>
        <w:tc>
          <w:tcPr>
            <w:tcW w:w="600" w:type="dxa"/>
            <w:tcBorders>
              <w:top w:val="nil"/>
              <w:left w:val="nil"/>
              <w:bottom w:val="single" w:sz="4" w:space="0" w:color="BFBFBF"/>
              <w:right w:val="nil"/>
            </w:tcBorders>
            <w:shd w:val="clear" w:color="auto" w:fill="auto"/>
            <w:noWrap/>
            <w:vAlign w:val="center"/>
          </w:tcPr>
          <w:p w14:paraId="32609898"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ECACA5F"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13%</w:t>
            </w:r>
          </w:p>
        </w:tc>
        <w:tc>
          <w:tcPr>
            <w:tcW w:w="600" w:type="dxa"/>
            <w:tcBorders>
              <w:top w:val="nil"/>
              <w:left w:val="nil"/>
              <w:bottom w:val="single" w:sz="4" w:space="0" w:color="BFBFBF"/>
              <w:right w:val="single" w:sz="4" w:space="0" w:color="auto"/>
            </w:tcBorders>
            <w:shd w:val="clear" w:color="auto" w:fill="auto"/>
            <w:noWrap/>
            <w:vAlign w:val="center"/>
          </w:tcPr>
          <w:p w14:paraId="04C27F79"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31%</w:t>
            </w:r>
          </w:p>
        </w:tc>
        <w:tc>
          <w:tcPr>
            <w:tcW w:w="633" w:type="dxa"/>
            <w:tcBorders>
              <w:top w:val="nil"/>
              <w:left w:val="nil"/>
              <w:bottom w:val="single" w:sz="4" w:space="0" w:color="BFBFBF"/>
              <w:right w:val="single" w:sz="4" w:space="0" w:color="BFBFBF"/>
            </w:tcBorders>
            <w:shd w:val="clear" w:color="auto" w:fill="auto"/>
            <w:noWrap/>
            <w:vAlign w:val="center"/>
          </w:tcPr>
          <w:p w14:paraId="34A0FA15"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6%</w:t>
            </w:r>
          </w:p>
        </w:tc>
        <w:tc>
          <w:tcPr>
            <w:tcW w:w="567" w:type="dxa"/>
            <w:tcBorders>
              <w:top w:val="nil"/>
              <w:left w:val="nil"/>
              <w:bottom w:val="single" w:sz="4" w:space="0" w:color="BFBFBF"/>
              <w:right w:val="nil"/>
            </w:tcBorders>
            <w:shd w:val="clear" w:color="auto" w:fill="auto"/>
            <w:noWrap/>
            <w:vAlign w:val="center"/>
          </w:tcPr>
          <w:p w14:paraId="1EA6C927"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7%</w:t>
            </w:r>
          </w:p>
        </w:tc>
        <w:tc>
          <w:tcPr>
            <w:tcW w:w="470" w:type="dxa"/>
            <w:tcBorders>
              <w:top w:val="nil"/>
              <w:left w:val="single" w:sz="4" w:space="0" w:color="auto"/>
              <w:bottom w:val="single" w:sz="4" w:space="0" w:color="BFBFBF"/>
              <w:right w:val="single" w:sz="4" w:space="0" w:color="BFBFBF"/>
            </w:tcBorders>
            <w:shd w:val="clear" w:color="auto" w:fill="auto"/>
            <w:noWrap/>
            <w:vAlign w:val="center"/>
          </w:tcPr>
          <w:p w14:paraId="7F7FA89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9%</w:t>
            </w:r>
          </w:p>
        </w:tc>
        <w:tc>
          <w:tcPr>
            <w:tcW w:w="730" w:type="dxa"/>
            <w:tcBorders>
              <w:top w:val="nil"/>
              <w:left w:val="nil"/>
              <w:bottom w:val="single" w:sz="4" w:space="0" w:color="BFBFBF"/>
              <w:right w:val="single" w:sz="4" w:space="0" w:color="auto"/>
            </w:tcBorders>
            <w:shd w:val="clear" w:color="auto" w:fill="auto"/>
            <w:vAlign w:val="center"/>
          </w:tcPr>
          <w:p w14:paraId="5F74B23A"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15%</w:t>
            </w:r>
          </w:p>
        </w:tc>
        <w:tc>
          <w:tcPr>
            <w:tcW w:w="532" w:type="dxa"/>
            <w:tcBorders>
              <w:top w:val="nil"/>
              <w:left w:val="nil"/>
              <w:bottom w:val="single" w:sz="4" w:space="0" w:color="BFBFBF"/>
              <w:right w:val="single" w:sz="4" w:space="0" w:color="BFBFBF"/>
            </w:tcBorders>
            <w:shd w:val="clear" w:color="auto" w:fill="auto"/>
            <w:noWrap/>
            <w:vAlign w:val="center"/>
          </w:tcPr>
          <w:p w14:paraId="1AE64C97"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9%</w:t>
            </w:r>
          </w:p>
        </w:tc>
        <w:tc>
          <w:tcPr>
            <w:tcW w:w="708" w:type="dxa"/>
            <w:tcBorders>
              <w:top w:val="nil"/>
              <w:left w:val="nil"/>
              <w:bottom w:val="single" w:sz="4" w:space="0" w:color="BFBFBF"/>
              <w:right w:val="nil"/>
            </w:tcBorders>
            <w:shd w:val="clear" w:color="auto" w:fill="auto"/>
            <w:vAlign w:val="center"/>
          </w:tcPr>
          <w:p w14:paraId="1014F774"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19%</w:t>
            </w:r>
          </w:p>
        </w:tc>
        <w:tc>
          <w:tcPr>
            <w:tcW w:w="780" w:type="dxa"/>
            <w:tcBorders>
              <w:top w:val="nil"/>
              <w:left w:val="single" w:sz="4" w:space="0" w:color="auto"/>
              <w:bottom w:val="single" w:sz="4" w:space="0" w:color="BFBFBF"/>
              <w:right w:val="single" w:sz="4" w:space="0" w:color="BFBFBF"/>
            </w:tcBorders>
            <w:shd w:val="clear" w:color="auto" w:fill="auto"/>
            <w:vAlign w:val="center"/>
          </w:tcPr>
          <w:p w14:paraId="0F65D245" w14:textId="77777777" w:rsidR="006321C3" w:rsidRPr="00AE6865" w:rsidRDefault="00AE6865"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10</w:t>
            </w:r>
            <w:r w:rsidR="006321C3"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vAlign w:val="center"/>
          </w:tcPr>
          <w:p w14:paraId="50404C39"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24%</w:t>
            </w:r>
          </w:p>
        </w:tc>
        <w:tc>
          <w:tcPr>
            <w:tcW w:w="600" w:type="dxa"/>
            <w:tcBorders>
              <w:top w:val="nil"/>
              <w:left w:val="nil"/>
              <w:bottom w:val="single" w:sz="4" w:space="0" w:color="BFBFBF"/>
              <w:right w:val="single" w:sz="4" w:space="0" w:color="BFBFBF"/>
            </w:tcBorders>
            <w:shd w:val="clear" w:color="auto" w:fill="auto"/>
            <w:noWrap/>
            <w:vAlign w:val="center"/>
          </w:tcPr>
          <w:p w14:paraId="4DB91886"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9%</w:t>
            </w:r>
          </w:p>
        </w:tc>
        <w:tc>
          <w:tcPr>
            <w:tcW w:w="600" w:type="dxa"/>
            <w:tcBorders>
              <w:top w:val="nil"/>
              <w:left w:val="nil"/>
              <w:bottom w:val="single" w:sz="4" w:space="0" w:color="BFBFBF"/>
              <w:right w:val="double" w:sz="6" w:space="0" w:color="auto"/>
            </w:tcBorders>
            <w:shd w:val="clear" w:color="auto" w:fill="auto"/>
            <w:noWrap/>
            <w:vAlign w:val="center"/>
          </w:tcPr>
          <w:p w14:paraId="50EEA325"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16%</w:t>
            </w:r>
          </w:p>
        </w:tc>
      </w:tr>
      <w:tr w:rsidR="006321C3" w:rsidRPr="00AE6865" w14:paraId="71EB1DF0"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05FFDF39" w14:textId="77777777" w:rsidR="006321C3" w:rsidRPr="00AE6865" w:rsidRDefault="006321C3" w:rsidP="006321C3">
            <w:pPr>
              <w:spacing w:before="0" w:after="0"/>
              <w:rPr>
                <w:rFonts w:ascii="Arial" w:hAnsi="Arial" w:cs="Arial"/>
                <w:color w:val="000000"/>
                <w:sz w:val="16"/>
                <w:szCs w:val="16"/>
                <w:lang w:val="en-AU" w:eastAsia="en-AU"/>
              </w:rPr>
            </w:pPr>
            <w:r w:rsidRPr="00AE6865">
              <w:rPr>
                <w:rFonts w:ascii="Arial" w:hAnsi="Arial" w:cs="Arial"/>
                <w:color w:val="000000"/>
                <w:sz w:val="16"/>
                <w:szCs w:val="16"/>
                <w:lang w:val="en-AU" w:eastAsia="en-AU"/>
              </w:rPr>
              <w:t>$30,000-$39,999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4234B13"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1903E8A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BFBFBF"/>
            </w:tcBorders>
            <w:shd w:val="clear" w:color="auto" w:fill="auto"/>
            <w:noWrap/>
            <w:vAlign w:val="center"/>
          </w:tcPr>
          <w:p w14:paraId="46020758"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11%</w:t>
            </w:r>
          </w:p>
        </w:tc>
        <w:tc>
          <w:tcPr>
            <w:tcW w:w="600" w:type="dxa"/>
            <w:tcBorders>
              <w:top w:val="nil"/>
              <w:left w:val="nil"/>
              <w:bottom w:val="single" w:sz="4" w:space="0" w:color="BFBFBF"/>
              <w:right w:val="nil"/>
            </w:tcBorders>
            <w:shd w:val="clear" w:color="auto" w:fill="auto"/>
            <w:noWrap/>
            <w:vAlign w:val="center"/>
          </w:tcPr>
          <w:p w14:paraId="56E09448"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0A57BC8"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678A512A"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10%</w:t>
            </w:r>
          </w:p>
        </w:tc>
        <w:tc>
          <w:tcPr>
            <w:tcW w:w="633" w:type="dxa"/>
            <w:tcBorders>
              <w:top w:val="nil"/>
              <w:left w:val="nil"/>
              <w:bottom w:val="single" w:sz="4" w:space="0" w:color="BFBFBF"/>
              <w:right w:val="single" w:sz="4" w:space="0" w:color="BFBFBF"/>
            </w:tcBorders>
            <w:shd w:val="clear" w:color="auto" w:fill="auto"/>
            <w:noWrap/>
            <w:vAlign w:val="center"/>
          </w:tcPr>
          <w:p w14:paraId="4058AA3A" w14:textId="77777777" w:rsidR="006321C3" w:rsidRPr="00AE6865" w:rsidRDefault="00AE6865"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w:t>
            </w:r>
            <w:r w:rsidR="006321C3" w:rsidRPr="00AE6865">
              <w:rPr>
                <w:rFonts w:ascii="Arial" w:hAnsi="Arial" w:cs="Arial"/>
                <w:color w:val="000000"/>
                <w:sz w:val="16"/>
                <w:szCs w:val="16"/>
                <w:lang w:val="en-AU" w:eastAsia="en-AU"/>
              </w:rPr>
              <w:t>%</w:t>
            </w:r>
          </w:p>
        </w:tc>
        <w:tc>
          <w:tcPr>
            <w:tcW w:w="567" w:type="dxa"/>
            <w:tcBorders>
              <w:top w:val="nil"/>
              <w:left w:val="nil"/>
              <w:bottom w:val="single" w:sz="4" w:space="0" w:color="BFBFBF"/>
              <w:right w:val="nil"/>
            </w:tcBorders>
            <w:shd w:val="clear" w:color="auto" w:fill="auto"/>
            <w:noWrap/>
            <w:vAlign w:val="center"/>
          </w:tcPr>
          <w:p w14:paraId="24873C94"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4%</w:t>
            </w:r>
          </w:p>
        </w:tc>
        <w:tc>
          <w:tcPr>
            <w:tcW w:w="470" w:type="dxa"/>
            <w:tcBorders>
              <w:top w:val="nil"/>
              <w:left w:val="single" w:sz="4" w:space="0" w:color="auto"/>
              <w:bottom w:val="single" w:sz="4" w:space="0" w:color="BFBFBF"/>
              <w:right w:val="single" w:sz="4" w:space="0" w:color="BFBFBF"/>
            </w:tcBorders>
            <w:shd w:val="clear" w:color="auto" w:fill="auto"/>
            <w:noWrap/>
            <w:vAlign w:val="center"/>
          </w:tcPr>
          <w:p w14:paraId="732BB482"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w:t>
            </w:r>
          </w:p>
        </w:tc>
        <w:tc>
          <w:tcPr>
            <w:tcW w:w="730" w:type="dxa"/>
            <w:tcBorders>
              <w:top w:val="nil"/>
              <w:left w:val="nil"/>
              <w:bottom w:val="single" w:sz="4" w:space="0" w:color="BFBFBF"/>
              <w:right w:val="single" w:sz="4" w:space="0" w:color="auto"/>
            </w:tcBorders>
            <w:shd w:val="clear" w:color="auto" w:fill="auto"/>
            <w:vAlign w:val="center"/>
          </w:tcPr>
          <w:p w14:paraId="6EB8C8A6"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5%</w:t>
            </w:r>
          </w:p>
        </w:tc>
        <w:tc>
          <w:tcPr>
            <w:tcW w:w="532" w:type="dxa"/>
            <w:tcBorders>
              <w:top w:val="nil"/>
              <w:left w:val="nil"/>
              <w:bottom w:val="single" w:sz="4" w:space="0" w:color="BFBFBF"/>
              <w:right w:val="single" w:sz="4" w:space="0" w:color="BFBFBF"/>
            </w:tcBorders>
            <w:shd w:val="clear" w:color="auto" w:fill="auto"/>
            <w:noWrap/>
            <w:vAlign w:val="center"/>
          </w:tcPr>
          <w:p w14:paraId="41F67806"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5%</w:t>
            </w:r>
          </w:p>
        </w:tc>
        <w:tc>
          <w:tcPr>
            <w:tcW w:w="708" w:type="dxa"/>
            <w:tcBorders>
              <w:top w:val="nil"/>
              <w:left w:val="nil"/>
              <w:bottom w:val="single" w:sz="4" w:space="0" w:color="BFBFBF"/>
              <w:right w:val="nil"/>
            </w:tcBorders>
            <w:shd w:val="clear" w:color="auto" w:fill="auto"/>
            <w:vAlign w:val="center"/>
          </w:tcPr>
          <w:p w14:paraId="2767516D"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9%</w:t>
            </w:r>
          </w:p>
        </w:tc>
        <w:tc>
          <w:tcPr>
            <w:tcW w:w="780" w:type="dxa"/>
            <w:tcBorders>
              <w:top w:val="nil"/>
              <w:left w:val="single" w:sz="4" w:space="0" w:color="auto"/>
              <w:bottom w:val="single" w:sz="4" w:space="0" w:color="BFBFBF"/>
              <w:right w:val="single" w:sz="4" w:space="0" w:color="BFBFBF"/>
            </w:tcBorders>
            <w:shd w:val="clear" w:color="auto" w:fill="auto"/>
            <w:vAlign w:val="center"/>
          </w:tcPr>
          <w:p w14:paraId="41AB94DF" w14:textId="77777777" w:rsidR="006321C3" w:rsidRPr="00AE6865" w:rsidRDefault="00AE6865"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w:t>
            </w:r>
            <w:r w:rsidR="006321C3"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vAlign w:val="center"/>
          </w:tcPr>
          <w:p w14:paraId="6E7AF36B"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11%</w:t>
            </w:r>
          </w:p>
        </w:tc>
        <w:tc>
          <w:tcPr>
            <w:tcW w:w="600" w:type="dxa"/>
            <w:tcBorders>
              <w:top w:val="nil"/>
              <w:left w:val="nil"/>
              <w:bottom w:val="single" w:sz="4" w:space="0" w:color="BFBFBF"/>
              <w:right w:val="single" w:sz="4" w:space="0" w:color="BFBFBF"/>
            </w:tcBorders>
            <w:shd w:val="clear" w:color="auto" w:fill="auto"/>
            <w:noWrap/>
            <w:vAlign w:val="center"/>
          </w:tcPr>
          <w:p w14:paraId="7DD949DA" w14:textId="77777777" w:rsidR="006321C3" w:rsidRPr="00AE6865" w:rsidRDefault="00AE6865"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w:t>
            </w:r>
            <w:r w:rsidR="006321C3" w:rsidRPr="00AE6865">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13F32550"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7%</w:t>
            </w:r>
          </w:p>
        </w:tc>
      </w:tr>
      <w:tr w:rsidR="006321C3" w:rsidRPr="00AE6865" w14:paraId="75825D36"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63E88303" w14:textId="77777777" w:rsidR="006321C3" w:rsidRPr="00AE6865" w:rsidRDefault="006321C3" w:rsidP="006321C3">
            <w:pPr>
              <w:spacing w:before="0" w:after="0"/>
              <w:rPr>
                <w:rFonts w:ascii="Arial" w:hAnsi="Arial" w:cs="Arial"/>
                <w:color w:val="000000"/>
                <w:sz w:val="16"/>
                <w:szCs w:val="16"/>
                <w:lang w:val="en-AU" w:eastAsia="en-AU"/>
              </w:rPr>
            </w:pPr>
            <w:r w:rsidRPr="00AE6865">
              <w:rPr>
                <w:rFonts w:ascii="Arial" w:hAnsi="Arial" w:cs="Arial"/>
                <w:color w:val="000000"/>
                <w:sz w:val="16"/>
                <w:szCs w:val="16"/>
                <w:lang w:val="en-AU" w:eastAsia="en-AU"/>
              </w:rPr>
              <w:t>$40,000-$49,999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9F6E99F"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31%</w:t>
            </w:r>
          </w:p>
        </w:tc>
        <w:tc>
          <w:tcPr>
            <w:tcW w:w="600" w:type="dxa"/>
            <w:tcBorders>
              <w:top w:val="nil"/>
              <w:left w:val="nil"/>
              <w:bottom w:val="single" w:sz="4" w:space="0" w:color="BFBFBF"/>
              <w:right w:val="single" w:sz="4" w:space="0" w:color="auto"/>
            </w:tcBorders>
            <w:shd w:val="clear" w:color="auto" w:fill="auto"/>
            <w:noWrap/>
            <w:vAlign w:val="center"/>
          </w:tcPr>
          <w:p w14:paraId="406D694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406DA86F" w14:textId="77777777" w:rsidR="006321C3" w:rsidRPr="00AE6865" w:rsidRDefault="006321C3"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r w:rsidR="00AE6865" w:rsidRPr="00AE6865">
              <w:rPr>
                <w:rFonts w:ascii="Arial" w:hAnsi="Arial" w:cs="Arial"/>
                <w:color w:val="000000"/>
                <w:sz w:val="16"/>
                <w:szCs w:val="16"/>
                <w:lang w:val="en-AU" w:eastAsia="en-AU"/>
              </w:rPr>
              <w:t>3</w:t>
            </w: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49E36EA9"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10%</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519160C"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22%</w:t>
            </w:r>
          </w:p>
        </w:tc>
        <w:tc>
          <w:tcPr>
            <w:tcW w:w="600" w:type="dxa"/>
            <w:tcBorders>
              <w:top w:val="nil"/>
              <w:left w:val="nil"/>
              <w:bottom w:val="single" w:sz="4" w:space="0" w:color="BFBFBF"/>
              <w:right w:val="single" w:sz="4" w:space="0" w:color="auto"/>
            </w:tcBorders>
            <w:shd w:val="clear" w:color="auto" w:fill="auto"/>
            <w:noWrap/>
            <w:vAlign w:val="center"/>
          </w:tcPr>
          <w:p w14:paraId="1E6F9D3C"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7%</w:t>
            </w:r>
          </w:p>
        </w:tc>
        <w:tc>
          <w:tcPr>
            <w:tcW w:w="633" w:type="dxa"/>
            <w:tcBorders>
              <w:top w:val="nil"/>
              <w:left w:val="nil"/>
              <w:bottom w:val="single" w:sz="4" w:space="0" w:color="BFBFBF"/>
              <w:right w:val="single" w:sz="4" w:space="0" w:color="BFBFBF"/>
            </w:tcBorders>
            <w:shd w:val="clear" w:color="auto" w:fill="auto"/>
            <w:noWrap/>
            <w:vAlign w:val="center"/>
          </w:tcPr>
          <w:p w14:paraId="3AEFB63A"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7%</w:t>
            </w:r>
          </w:p>
        </w:tc>
        <w:tc>
          <w:tcPr>
            <w:tcW w:w="567" w:type="dxa"/>
            <w:tcBorders>
              <w:top w:val="nil"/>
              <w:left w:val="nil"/>
              <w:bottom w:val="single" w:sz="4" w:space="0" w:color="BFBFBF"/>
              <w:right w:val="nil"/>
            </w:tcBorders>
            <w:shd w:val="clear" w:color="auto" w:fill="auto"/>
            <w:noWrap/>
            <w:vAlign w:val="center"/>
          </w:tcPr>
          <w:p w14:paraId="192EA816"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11%</w:t>
            </w:r>
          </w:p>
        </w:tc>
        <w:tc>
          <w:tcPr>
            <w:tcW w:w="470" w:type="dxa"/>
            <w:tcBorders>
              <w:top w:val="nil"/>
              <w:left w:val="single" w:sz="4" w:space="0" w:color="auto"/>
              <w:bottom w:val="single" w:sz="4" w:space="0" w:color="BFBFBF"/>
              <w:right w:val="single" w:sz="4" w:space="0" w:color="BFBFBF"/>
            </w:tcBorders>
            <w:shd w:val="clear" w:color="auto" w:fill="auto"/>
            <w:noWrap/>
            <w:vAlign w:val="center"/>
          </w:tcPr>
          <w:p w14:paraId="2DF325B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13%</w:t>
            </w:r>
          </w:p>
        </w:tc>
        <w:tc>
          <w:tcPr>
            <w:tcW w:w="730" w:type="dxa"/>
            <w:tcBorders>
              <w:top w:val="nil"/>
              <w:left w:val="nil"/>
              <w:bottom w:val="single" w:sz="4" w:space="0" w:color="BFBFBF"/>
              <w:right w:val="single" w:sz="4" w:space="0" w:color="auto"/>
            </w:tcBorders>
            <w:shd w:val="clear" w:color="auto" w:fill="auto"/>
            <w:vAlign w:val="center"/>
          </w:tcPr>
          <w:p w14:paraId="63FBA404"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9%</w:t>
            </w:r>
          </w:p>
        </w:tc>
        <w:tc>
          <w:tcPr>
            <w:tcW w:w="532" w:type="dxa"/>
            <w:tcBorders>
              <w:top w:val="nil"/>
              <w:left w:val="nil"/>
              <w:bottom w:val="single" w:sz="4" w:space="0" w:color="BFBFBF"/>
              <w:right w:val="single" w:sz="4" w:space="0" w:color="BFBFBF"/>
            </w:tcBorders>
            <w:shd w:val="clear" w:color="auto" w:fill="auto"/>
            <w:noWrap/>
            <w:vAlign w:val="center"/>
          </w:tcPr>
          <w:p w14:paraId="47D01DEC" w14:textId="77777777" w:rsidR="006321C3" w:rsidRPr="00AE6865" w:rsidRDefault="006321C3"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r w:rsidR="00AE6865" w:rsidRPr="00AE6865">
              <w:rPr>
                <w:rFonts w:ascii="Arial" w:hAnsi="Arial" w:cs="Arial"/>
                <w:color w:val="000000"/>
                <w:sz w:val="16"/>
                <w:szCs w:val="16"/>
                <w:lang w:val="en-AU" w:eastAsia="en-AU"/>
              </w:rPr>
              <w:t>6</w:t>
            </w:r>
            <w:r w:rsidRPr="00AE6865">
              <w:rPr>
                <w:rFonts w:ascii="Arial" w:hAnsi="Arial" w:cs="Arial"/>
                <w:color w:val="000000"/>
                <w:sz w:val="16"/>
                <w:szCs w:val="16"/>
                <w:lang w:val="en-AU" w:eastAsia="en-AU"/>
              </w:rPr>
              <w:t>%</w:t>
            </w:r>
          </w:p>
        </w:tc>
        <w:tc>
          <w:tcPr>
            <w:tcW w:w="708" w:type="dxa"/>
            <w:tcBorders>
              <w:top w:val="nil"/>
              <w:left w:val="nil"/>
              <w:bottom w:val="single" w:sz="4" w:space="0" w:color="BFBFBF"/>
              <w:right w:val="nil"/>
            </w:tcBorders>
            <w:shd w:val="clear" w:color="auto" w:fill="auto"/>
            <w:vAlign w:val="center"/>
          </w:tcPr>
          <w:p w14:paraId="1618B2DD"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10%</w:t>
            </w:r>
          </w:p>
        </w:tc>
        <w:tc>
          <w:tcPr>
            <w:tcW w:w="780" w:type="dxa"/>
            <w:tcBorders>
              <w:top w:val="nil"/>
              <w:left w:val="single" w:sz="4" w:space="0" w:color="auto"/>
              <w:bottom w:val="single" w:sz="4" w:space="0" w:color="BFBFBF"/>
              <w:right w:val="single" w:sz="4" w:space="0" w:color="BFBFBF"/>
            </w:tcBorders>
            <w:shd w:val="clear" w:color="auto" w:fill="auto"/>
            <w:vAlign w:val="center"/>
          </w:tcPr>
          <w:p w14:paraId="4C9290BE" w14:textId="77777777" w:rsidR="006321C3" w:rsidRPr="00AE6865" w:rsidRDefault="006321C3"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r w:rsidR="00AE6865" w:rsidRPr="00AE6865">
              <w:rPr>
                <w:rFonts w:ascii="Arial" w:hAnsi="Arial" w:cs="Arial"/>
                <w:color w:val="000000"/>
                <w:sz w:val="16"/>
                <w:szCs w:val="16"/>
                <w:lang w:val="en-AU" w:eastAsia="en-AU"/>
              </w:rPr>
              <w:t>3</w:t>
            </w: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vAlign w:val="center"/>
          </w:tcPr>
          <w:p w14:paraId="2DC7954D"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BFBFBF"/>
            </w:tcBorders>
            <w:shd w:val="clear" w:color="auto" w:fill="auto"/>
            <w:noWrap/>
            <w:vAlign w:val="center"/>
          </w:tcPr>
          <w:p w14:paraId="5CB7815D"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14%</w:t>
            </w:r>
          </w:p>
        </w:tc>
        <w:tc>
          <w:tcPr>
            <w:tcW w:w="600" w:type="dxa"/>
            <w:tcBorders>
              <w:top w:val="nil"/>
              <w:left w:val="nil"/>
              <w:bottom w:val="single" w:sz="4" w:space="0" w:color="BFBFBF"/>
              <w:right w:val="double" w:sz="6" w:space="0" w:color="auto"/>
            </w:tcBorders>
            <w:shd w:val="clear" w:color="auto" w:fill="auto"/>
            <w:noWrap/>
            <w:vAlign w:val="center"/>
          </w:tcPr>
          <w:p w14:paraId="06EAB730"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10%</w:t>
            </w:r>
          </w:p>
        </w:tc>
      </w:tr>
      <w:tr w:rsidR="006321C3" w:rsidRPr="00AE6865" w14:paraId="0B44F83A"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53EEA56" w14:textId="77777777" w:rsidR="006321C3" w:rsidRPr="00AE6865" w:rsidRDefault="006321C3" w:rsidP="006321C3">
            <w:pPr>
              <w:spacing w:before="0" w:after="0"/>
              <w:rPr>
                <w:rFonts w:ascii="Arial" w:hAnsi="Arial" w:cs="Arial"/>
                <w:color w:val="000000"/>
                <w:sz w:val="16"/>
                <w:szCs w:val="16"/>
                <w:lang w:val="en-AU" w:eastAsia="en-AU"/>
              </w:rPr>
            </w:pPr>
            <w:r w:rsidRPr="00AE6865">
              <w:rPr>
                <w:rFonts w:ascii="Arial" w:hAnsi="Arial" w:cs="Arial"/>
                <w:color w:val="000000"/>
                <w:sz w:val="16"/>
                <w:szCs w:val="16"/>
                <w:lang w:val="en-AU" w:eastAsia="en-AU"/>
              </w:rPr>
              <w:t>$50,000 or more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9B0B9AF"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45%</w:t>
            </w:r>
          </w:p>
        </w:tc>
        <w:tc>
          <w:tcPr>
            <w:tcW w:w="600" w:type="dxa"/>
            <w:tcBorders>
              <w:top w:val="nil"/>
              <w:left w:val="nil"/>
              <w:bottom w:val="single" w:sz="4" w:space="0" w:color="BFBFBF"/>
              <w:right w:val="single" w:sz="4" w:space="0" w:color="auto"/>
            </w:tcBorders>
            <w:shd w:val="clear" w:color="auto" w:fill="auto"/>
            <w:noWrap/>
            <w:vAlign w:val="center"/>
          </w:tcPr>
          <w:p w14:paraId="0BD0639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17%</w:t>
            </w:r>
          </w:p>
        </w:tc>
        <w:tc>
          <w:tcPr>
            <w:tcW w:w="600" w:type="dxa"/>
            <w:tcBorders>
              <w:top w:val="nil"/>
              <w:left w:val="nil"/>
              <w:bottom w:val="single" w:sz="4" w:space="0" w:color="BFBFBF"/>
              <w:right w:val="single" w:sz="4" w:space="0" w:color="BFBFBF"/>
            </w:tcBorders>
            <w:shd w:val="clear" w:color="auto" w:fill="auto"/>
            <w:noWrap/>
            <w:vAlign w:val="center"/>
          </w:tcPr>
          <w:p w14:paraId="548A4D62"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46%</w:t>
            </w:r>
          </w:p>
        </w:tc>
        <w:tc>
          <w:tcPr>
            <w:tcW w:w="600" w:type="dxa"/>
            <w:tcBorders>
              <w:top w:val="nil"/>
              <w:left w:val="nil"/>
              <w:bottom w:val="single" w:sz="4" w:space="0" w:color="BFBFBF"/>
              <w:right w:val="nil"/>
            </w:tcBorders>
            <w:shd w:val="clear" w:color="auto" w:fill="auto"/>
            <w:noWrap/>
            <w:vAlign w:val="center"/>
          </w:tcPr>
          <w:p w14:paraId="58C79027"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AF2030D" w14:textId="77777777" w:rsidR="006321C3" w:rsidRPr="00AE6865" w:rsidRDefault="006321C3"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4</w:t>
            </w:r>
            <w:r w:rsidR="00AE6865" w:rsidRPr="00AE6865">
              <w:rPr>
                <w:rFonts w:ascii="Arial" w:hAnsi="Arial" w:cs="Arial"/>
                <w:color w:val="000000"/>
                <w:sz w:val="16"/>
                <w:szCs w:val="16"/>
                <w:lang w:val="en-AU" w:eastAsia="en-AU"/>
              </w:rPr>
              <w:t>6</w:t>
            </w: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316C1697"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20%</w:t>
            </w:r>
          </w:p>
        </w:tc>
        <w:tc>
          <w:tcPr>
            <w:tcW w:w="633" w:type="dxa"/>
            <w:tcBorders>
              <w:top w:val="nil"/>
              <w:left w:val="nil"/>
              <w:bottom w:val="single" w:sz="4" w:space="0" w:color="BFBFBF"/>
              <w:right w:val="single" w:sz="4" w:space="0" w:color="BFBFBF"/>
            </w:tcBorders>
            <w:shd w:val="clear" w:color="auto" w:fill="auto"/>
            <w:noWrap/>
            <w:vAlign w:val="center"/>
          </w:tcPr>
          <w:p w14:paraId="1AAB64EB" w14:textId="77777777" w:rsidR="006321C3" w:rsidRPr="00AE6865" w:rsidRDefault="006321C3"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8</w:t>
            </w:r>
            <w:r w:rsidR="00AE6865" w:rsidRPr="00AE6865">
              <w:rPr>
                <w:rFonts w:ascii="Arial" w:hAnsi="Arial" w:cs="Arial"/>
                <w:color w:val="000000"/>
                <w:sz w:val="16"/>
                <w:szCs w:val="16"/>
                <w:lang w:val="en-AU" w:eastAsia="en-AU"/>
              </w:rPr>
              <w:t>3</w:t>
            </w:r>
            <w:r w:rsidRPr="00AE6865">
              <w:rPr>
                <w:rFonts w:ascii="Arial" w:hAnsi="Arial" w:cs="Arial"/>
                <w:color w:val="000000"/>
                <w:sz w:val="16"/>
                <w:szCs w:val="16"/>
                <w:lang w:val="en-AU" w:eastAsia="en-AU"/>
              </w:rPr>
              <w:t>%</w:t>
            </w:r>
          </w:p>
        </w:tc>
        <w:tc>
          <w:tcPr>
            <w:tcW w:w="567" w:type="dxa"/>
            <w:tcBorders>
              <w:top w:val="nil"/>
              <w:left w:val="nil"/>
              <w:bottom w:val="single" w:sz="4" w:space="0" w:color="BFBFBF"/>
              <w:right w:val="nil"/>
            </w:tcBorders>
            <w:shd w:val="clear" w:color="auto" w:fill="auto"/>
            <w:noWrap/>
            <w:vAlign w:val="center"/>
          </w:tcPr>
          <w:p w14:paraId="3C4B387A"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68%</w:t>
            </w:r>
          </w:p>
        </w:tc>
        <w:tc>
          <w:tcPr>
            <w:tcW w:w="470" w:type="dxa"/>
            <w:tcBorders>
              <w:top w:val="nil"/>
              <w:left w:val="single" w:sz="4" w:space="0" w:color="auto"/>
              <w:bottom w:val="single" w:sz="4" w:space="0" w:color="BFBFBF"/>
              <w:right w:val="single" w:sz="4" w:space="0" w:color="BFBFBF"/>
            </w:tcBorders>
            <w:shd w:val="clear" w:color="auto" w:fill="auto"/>
            <w:noWrap/>
            <w:vAlign w:val="center"/>
          </w:tcPr>
          <w:p w14:paraId="2CC28780"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68%</w:t>
            </w:r>
          </w:p>
        </w:tc>
        <w:tc>
          <w:tcPr>
            <w:tcW w:w="730" w:type="dxa"/>
            <w:tcBorders>
              <w:top w:val="nil"/>
              <w:left w:val="nil"/>
              <w:bottom w:val="single" w:sz="4" w:space="0" w:color="BFBFBF"/>
              <w:right w:val="single" w:sz="4" w:space="0" w:color="auto"/>
            </w:tcBorders>
            <w:shd w:val="clear" w:color="auto" w:fill="auto"/>
            <w:vAlign w:val="center"/>
          </w:tcPr>
          <w:p w14:paraId="3DD4F18C"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52%</w:t>
            </w:r>
          </w:p>
        </w:tc>
        <w:tc>
          <w:tcPr>
            <w:tcW w:w="532" w:type="dxa"/>
            <w:tcBorders>
              <w:top w:val="nil"/>
              <w:left w:val="nil"/>
              <w:bottom w:val="single" w:sz="4" w:space="0" w:color="BFBFBF"/>
              <w:right w:val="single" w:sz="4" w:space="0" w:color="BFBFBF"/>
            </w:tcBorders>
            <w:shd w:val="clear" w:color="auto" w:fill="auto"/>
            <w:noWrap/>
            <w:vAlign w:val="center"/>
          </w:tcPr>
          <w:p w14:paraId="2D435C9B"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62%</w:t>
            </w:r>
          </w:p>
        </w:tc>
        <w:tc>
          <w:tcPr>
            <w:tcW w:w="708" w:type="dxa"/>
            <w:tcBorders>
              <w:top w:val="nil"/>
              <w:left w:val="nil"/>
              <w:bottom w:val="single" w:sz="4" w:space="0" w:color="BFBFBF"/>
              <w:right w:val="nil"/>
            </w:tcBorders>
            <w:shd w:val="clear" w:color="auto" w:fill="auto"/>
            <w:vAlign w:val="center"/>
          </w:tcPr>
          <w:p w14:paraId="0C446A7F"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41%</w:t>
            </w:r>
          </w:p>
        </w:tc>
        <w:tc>
          <w:tcPr>
            <w:tcW w:w="780" w:type="dxa"/>
            <w:tcBorders>
              <w:top w:val="nil"/>
              <w:left w:val="single" w:sz="4" w:space="0" w:color="auto"/>
              <w:bottom w:val="single" w:sz="4" w:space="0" w:color="BFBFBF"/>
              <w:right w:val="single" w:sz="4" w:space="0" w:color="BFBFBF"/>
            </w:tcBorders>
            <w:shd w:val="clear" w:color="auto" w:fill="auto"/>
            <w:vAlign w:val="center"/>
          </w:tcPr>
          <w:p w14:paraId="37B648DA" w14:textId="77777777" w:rsidR="006321C3" w:rsidRPr="00AE6865" w:rsidRDefault="00AE6865"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66</w:t>
            </w:r>
            <w:r w:rsidR="006321C3"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vAlign w:val="center"/>
          </w:tcPr>
          <w:p w14:paraId="6715AE4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32%</w:t>
            </w:r>
          </w:p>
        </w:tc>
        <w:tc>
          <w:tcPr>
            <w:tcW w:w="600" w:type="dxa"/>
            <w:tcBorders>
              <w:top w:val="nil"/>
              <w:left w:val="nil"/>
              <w:bottom w:val="single" w:sz="4" w:space="0" w:color="BFBFBF"/>
              <w:right w:val="single" w:sz="4" w:space="0" w:color="BFBFBF"/>
            </w:tcBorders>
            <w:shd w:val="clear" w:color="auto" w:fill="auto"/>
            <w:noWrap/>
            <w:vAlign w:val="center"/>
          </w:tcPr>
          <w:p w14:paraId="45CCE1B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66%</w:t>
            </w:r>
          </w:p>
        </w:tc>
        <w:tc>
          <w:tcPr>
            <w:tcW w:w="600" w:type="dxa"/>
            <w:tcBorders>
              <w:top w:val="nil"/>
              <w:left w:val="nil"/>
              <w:bottom w:val="single" w:sz="4" w:space="0" w:color="BFBFBF"/>
              <w:right w:val="double" w:sz="6" w:space="0" w:color="auto"/>
            </w:tcBorders>
            <w:shd w:val="clear" w:color="auto" w:fill="auto"/>
            <w:noWrap/>
            <w:vAlign w:val="center"/>
          </w:tcPr>
          <w:p w14:paraId="5FFD1614"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49%</w:t>
            </w:r>
          </w:p>
        </w:tc>
      </w:tr>
      <w:tr w:rsidR="006321C3" w:rsidRPr="00AE6865" w14:paraId="5A347C1E" w14:textId="77777777" w:rsidTr="00CA471A">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6FF37F51" w14:textId="77777777" w:rsidR="006321C3" w:rsidRPr="00AE6865" w:rsidRDefault="006321C3" w:rsidP="006321C3">
            <w:pPr>
              <w:spacing w:before="0" w:after="0"/>
              <w:rPr>
                <w:rFonts w:ascii="Arial" w:hAnsi="Arial" w:cs="Arial"/>
                <w:color w:val="000000"/>
                <w:sz w:val="16"/>
                <w:szCs w:val="16"/>
                <w:lang w:val="en-AU" w:eastAsia="en-AU"/>
              </w:rPr>
            </w:pPr>
            <w:r w:rsidRPr="00AE6865">
              <w:rPr>
                <w:rFonts w:ascii="Arial" w:hAnsi="Arial" w:cs="Arial"/>
                <w:color w:val="000000"/>
                <w:sz w:val="16"/>
                <w:szCs w:val="16"/>
                <w:lang w:val="en-AU" w:eastAsia="en-AU"/>
              </w:rPr>
              <w:t>Can't say</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B6833B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179600D4"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70AA81C8" w14:textId="77777777" w:rsidR="006321C3" w:rsidRPr="00AE6865" w:rsidRDefault="00AE6865" w:rsidP="00AE6865">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5841BB68"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CBF7865"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087A9EF3"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w:t>
            </w:r>
          </w:p>
        </w:tc>
        <w:tc>
          <w:tcPr>
            <w:tcW w:w="633" w:type="dxa"/>
            <w:tcBorders>
              <w:top w:val="nil"/>
              <w:left w:val="nil"/>
              <w:bottom w:val="single" w:sz="4" w:space="0" w:color="BFBFBF"/>
              <w:right w:val="single" w:sz="4" w:space="0" w:color="BFBFBF"/>
            </w:tcBorders>
            <w:shd w:val="clear" w:color="auto" w:fill="auto"/>
            <w:noWrap/>
            <w:vAlign w:val="center"/>
          </w:tcPr>
          <w:p w14:paraId="63308540"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567" w:type="dxa"/>
            <w:tcBorders>
              <w:top w:val="nil"/>
              <w:left w:val="nil"/>
              <w:bottom w:val="single" w:sz="4" w:space="0" w:color="BFBFBF"/>
              <w:right w:val="nil"/>
            </w:tcBorders>
            <w:shd w:val="clear" w:color="auto" w:fill="auto"/>
            <w:noWrap/>
            <w:vAlign w:val="center"/>
          </w:tcPr>
          <w:p w14:paraId="5774D233"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4%</w:t>
            </w:r>
          </w:p>
        </w:tc>
        <w:tc>
          <w:tcPr>
            <w:tcW w:w="470" w:type="dxa"/>
            <w:tcBorders>
              <w:top w:val="nil"/>
              <w:left w:val="single" w:sz="4" w:space="0" w:color="auto"/>
              <w:bottom w:val="single" w:sz="4" w:space="0" w:color="BFBFBF"/>
              <w:right w:val="single" w:sz="4" w:space="0" w:color="BFBFBF"/>
            </w:tcBorders>
            <w:shd w:val="clear" w:color="auto" w:fill="auto"/>
            <w:noWrap/>
            <w:vAlign w:val="center"/>
          </w:tcPr>
          <w:p w14:paraId="37B0C239"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730" w:type="dxa"/>
            <w:tcBorders>
              <w:top w:val="nil"/>
              <w:left w:val="nil"/>
              <w:bottom w:val="single" w:sz="4" w:space="0" w:color="BFBFBF"/>
              <w:right w:val="single" w:sz="4" w:space="0" w:color="auto"/>
            </w:tcBorders>
            <w:shd w:val="clear" w:color="auto" w:fill="auto"/>
            <w:vAlign w:val="center"/>
          </w:tcPr>
          <w:p w14:paraId="1317DA6E"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w:t>
            </w:r>
          </w:p>
        </w:tc>
        <w:tc>
          <w:tcPr>
            <w:tcW w:w="532" w:type="dxa"/>
            <w:tcBorders>
              <w:top w:val="nil"/>
              <w:left w:val="nil"/>
              <w:bottom w:val="single" w:sz="4" w:space="0" w:color="BFBFBF"/>
              <w:right w:val="single" w:sz="4" w:space="0" w:color="BFBFBF"/>
            </w:tcBorders>
            <w:shd w:val="clear" w:color="auto" w:fill="auto"/>
            <w:noWrap/>
            <w:vAlign w:val="center"/>
          </w:tcPr>
          <w:p w14:paraId="152359A6"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708" w:type="dxa"/>
            <w:tcBorders>
              <w:top w:val="nil"/>
              <w:left w:val="nil"/>
              <w:bottom w:val="single" w:sz="4" w:space="0" w:color="BFBFBF"/>
              <w:right w:val="nil"/>
            </w:tcBorders>
            <w:shd w:val="clear" w:color="auto" w:fill="auto"/>
            <w:vAlign w:val="center"/>
          </w:tcPr>
          <w:p w14:paraId="0832E4D0"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w:t>
            </w:r>
          </w:p>
        </w:tc>
        <w:tc>
          <w:tcPr>
            <w:tcW w:w="780" w:type="dxa"/>
            <w:tcBorders>
              <w:top w:val="nil"/>
              <w:left w:val="single" w:sz="4" w:space="0" w:color="auto"/>
              <w:bottom w:val="single" w:sz="4" w:space="0" w:color="BFBFBF"/>
              <w:right w:val="single" w:sz="4" w:space="0" w:color="BFBFBF"/>
            </w:tcBorders>
            <w:shd w:val="clear" w:color="auto" w:fill="auto"/>
            <w:vAlign w:val="center"/>
          </w:tcPr>
          <w:p w14:paraId="2380B92F" w14:textId="77777777" w:rsidR="006321C3" w:rsidRPr="00AE6865" w:rsidRDefault="00AE6865"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vAlign w:val="center"/>
          </w:tcPr>
          <w:p w14:paraId="1C4D0DB4"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53136CC2"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2B403B6D" w14:textId="77777777" w:rsidR="006321C3" w:rsidRPr="00AE6865" w:rsidRDefault="006321C3" w:rsidP="00CA471A">
            <w:pPr>
              <w:spacing w:before="0" w:after="0"/>
              <w:jc w:val="center"/>
              <w:rPr>
                <w:rFonts w:ascii="Arial" w:hAnsi="Arial" w:cs="Arial"/>
                <w:color w:val="000000"/>
                <w:sz w:val="16"/>
                <w:szCs w:val="16"/>
                <w:lang w:val="en-AU" w:eastAsia="en-AU"/>
              </w:rPr>
            </w:pPr>
            <w:r w:rsidRPr="00AE6865">
              <w:rPr>
                <w:rFonts w:ascii="Arial" w:hAnsi="Arial" w:cs="Arial"/>
                <w:color w:val="000000"/>
                <w:sz w:val="16"/>
                <w:szCs w:val="16"/>
                <w:lang w:val="en-AU" w:eastAsia="en-AU"/>
              </w:rPr>
              <w:t>3%</w:t>
            </w:r>
          </w:p>
        </w:tc>
      </w:tr>
      <w:tr w:rsidR="006321C3" w:rsidRPr="00AE6865" w14:paraId="29A3C5AE" w14:textId="77777777" w:rsidTr="00CA471A">
        <w:trPr>
          <w:trHeight w:val="240"/>
          <w:jc w:val="center"/>
        </w:trPr>
        <w:tc>
          <w:tcPr>
            <w:tcW w:w="2160" w:type="dxa"/>
            <w:tcBorders>
              <w:top w:val="nil"/>
              <w:left w:val="double" w:sz="6" w:space="0" w:color="auto"/>
              <w:bottom w:val="double" w:sz="6" w:space="0" w:color="auto"/>
              <w:right w:val="nil"/>
            </w:tcBorders>
            <w:shd w:val="clear" w:color="auto" w:fill="auto"/>
            <w:noWrap/>
            <w:vAlign w:val="center"/>
          </w:tcPr>
          <w:p w14:paraId="2A8A7B98" w14:textId="77777777" w:rsidR="006321C3" w:rsidRPr="00AE6865" w:rsidRDefault="006321C3" w:rsidP="006321C3">
            <w:pPr>
              <w:spacing w:before="0" w:after="0"/>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Mean ($’000)</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1DB430E4" w14:textId="77777777" w:rsidR="006321C3" w:rsidRPr="00AE6865" w:rsidRDefault="006321C3" w:rsidP="00AE6865">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58.</w:t>
            </w:r>
            <w:r w:rsidR="00AE6865">
              <w:rPr>
                <w:rFonts w:ascii="Arial" w:hAnsi="Arial" w:cs="Arial"/>
                <w:b/>
                <w:bCs/>
                <w:color w:val="000000"/>
                <w:sz w:val="16"/>
                <w:szCs w:val="16"/>
                <w:lang w:val="en-AU" w:eastAsia="en-AU"/>
              </w:rPr>
              <w:t>4</w:t>
            </w:r>
          </w:p>
        </w:tc>
        <w:tc>
          <w:tcPr>
            <w:tcW w:w="600" w:type="dxa"/>
            <w:tcBorders>
              <w:top w:val="nil"/>
              <w:left w:val="nil"/>
              <w:bottom w:val="double" w:sz="6" w:space="0" w:color="auto"/>
              <w:right w:val="single" w:sz="4" w:space="0" w:color="auto"/>
            </w:tcBorders>
            <w:shd w:val="clear" w:color="auto" w:fill="auto"/>
            <w:noWrap/>
            <w:vAlign w:val="center"/>
          </w:tcPr>
          <w:p w14:paraId="24C456EC"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31.9</w:t>
            </w:r>
          </w:p>
        </w:tc>
        <w:tc>
          <w:tcPr>
            <w:tcW w:w="600" w:type="dxa"/>
            <w:tcBorders>
              <w:top w:val="nil"/>
              <w:left w:val="nil"/>
              <w:bottom w:val="double" w:sz="6" w:space="0" w:color="auto"/>
              <w:right w:val="single" w:sz="4" w:space="0" w:color="BFBFBF"/>
            </w:tcBorders>
            <w:shd w:val="clear" w:color="auto" w:fill="auto"/>
            <w:noWrap/>
            <w:vAlign w:val="center"/>
          </w:tcPr>
          <w:p w14:paraId="1B476923" w14:textId="77777777" w:rsidR="006321C3" w:rsidRPr="00AE6865" w:rsidRDefault="00AE6865" w:rsidP="00CA471A">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56.1</w:t>
            </w:r>
          </w:p>
        </w:tc>
        <w:tc>
          <w:tcPr>
            <w:tcW w:w="600" w:type="dxa"/>
            <w:tcBorders>
              <w:top w:val="nil"/>
              <w:left w:val="nil"/>
              <w:bottom w:val="double" w:sz="6" w:space="0" w:color="auto"/>
              <w:right w:val="nil"/>
            </w:tcBorders>
            <w:shd w:val="clear" w:color="auto" w:fill="auto"/>
            <w:noWrap/>
            <w:vAlign w:val="center"/>
          </w:tcPr>
          <w:p w14:paraId="1D992F8B"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38.1</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18C1BA72"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57</w:t>
            </w:r>
            <w:r w:rsidR="00AE6865">
              <w:rPr>
                <w:rFonts w:ascii="Arial" w:hAnsi="Arial" w:cs="Arial"/>
                <w:b/>
                <w:bCs/>
                <w:color w:val="000000"/>
                <w:sz w:val="16"/>
                <w:szCs w:val="16"/>
                <w:lang w:val="en-AU" w:eastAsia="en-AU"/>
              </w:rPr>
              <w:t>.3</w:t>
            </w:r>
          </w:p>
        </w:tc>
        <w:tc>
          <w:tcPr>
            <w:tcW w:w="600" w:type="dxa"/>
            <w:tcBorders>
              <w:top w:val="nil"/>
              <w:left w:val="nil"/>
              <w:bottom w:val="double" w:sz="6" w:space="0" w:color="auto"/>
              <w:right w:val="single" w:sz="4" w:space="0" w:color="auto"/>
            </w:tcBorders>
            <w:shd w:val="clear" w:color="auto" w:fill="auto"/>
            <w:noWrap/>
            <w:vAlign w:val="center"/>
          </w:tcPr>
          <w:p w14:paraId="5B1A5DD0"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34.9</w:t>
            </w:r>
          </w:p>
        </w:tc>
        <w:tc>
          <w:tcPr>
            <w:tcW w:w="633" w:type="dxa"/>
            <w:tcBorders>
              <w:top w:val="nil"/>
              <w:left w:val="nil"/>
              <w:bottom w:val="double" w:sz="6" w:space="0" w:color="auto"/>
              <w:right w:val="single" w:sz="4" w:space="0" w:color="BFBFBF"/>
            </w:tcBorders>
            <w:shd w:val="clear" w:color="auto" w:fill="auto"/>
            <w:noWrap/>
            <w:vAlign w:val="center"/>
          </w:tcPr>
          <w:p w14:paraId="1D8DC975" w14:textId="77777777" w:rsidR="006321C3" w:rsidRPr="00AE6865" w:rsidRDefault="006321C3" w:rsidP="00AE6865">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120.</w:t>
            </w:r>
            <w:r w:rsidR="00AE6865">
              <w:rPr>
                <w:rFonts w:ascii="Arial" w:hAnsi="Arial" w:cs="Arial"/>
                <w:b/>
                <w:bCs/>
                <w:color w:val="000000"/>
                <w:sz w:val="16"/>
                <w:szCs w:val="16"/>
                <w:lang w:val="en-AU" w:eastAsia="en-AU"/>
              </w:rPr>
              <w:t>0</w:t>
            </w:r>
          </w:p>
        </w:tc>
        <w:tc>
          <w:tcPr>
            <w:tcW w:w="567" w:type="dxa"/>
            <w:tcBorders>
              <w:top w:val="nil"/>
              <w:left w:val="nil"/>
              <w:bottom w:val="double" w:sz="6" w:space="0" w:color="auto"/>
              <w:right w:val="nil"/>
            </w:tcBorders>
            <w:shd w:val="clear" w:color="auto" w:fill="auto"/>
            <w:noWrap/>
            <w:vAlign w:val="center"/>
          </w:tcPr>
          <w:p w14:paraId="63765FA0"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81</w:t>
            </w:r>
          </w:p>
        </w:tc>
        <w:tc>
          <w:tcPr>
            <w:tcW w:w="470" w:type="dxa"/>
            <w:tcBorders>
              <w:top w:val="nil"/>
              <w:left w:val="single" w:sz="4" w:space="0" w:color="auto"/>
              <w:bottom w:val="double" w:sz="6" w:space="0" w:color="auto"/>
              <w:right w:val="single" w:sz="4" w:space="0" w:color="BFBFBF"/>
            </w:tcBorders>
            <w:shd w:val="clear" w:color="auto" w:fill="auto"/>
            <w:noWrap/>
            <w:vAlign w:val="center"/>
          </w:tcPr>
          <w:p w14:paraId="4F3F59F6" w14:textId="77777777" w:rsidR="006321C3" w:rsidRPr="00AE6865" w:rsidRDefault="00AE6865" w:rsidP="00CA471A">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96.1</w:t>
            </w:r>
          </w:p>
        </w:tc>
        <w:tc>
          <w:tcPr>
            <w:tcW w:w="730" w:type="dxa"/>
            <w:tcBorders>
              <w:top w:val="nil"/>
              <w:left w:val="nil"/>
              <w:bottom w:val="double" w:sz="6" w:space="0" w:color="auto"/>
              <w:right w:val="single" w:sz="4" w:space="0" w:color="auto"/>
            </w:tcBorders>
            <w:shd w:val="clear" w:color="auto" w:fill="auto"/>
            <w:vAlign w:val="center"/>
          </w:tcPr>
          <w:p w14:paraId="4C6B0E3B"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65</w:t>
            </w:r>
          </w:p>
        </w:tc>
        <w:tc>
          <w:tcPr>
            <w:tcW w:w="532" w:type="dxa"/>
            <w:tcBorders>
              <w:top w:val="nil"/>
              <w:left w:val="nil"/>
              <w:bottom w:val="double" w:sz="6" w:space="0" w:color="auto"/>
              <w:right w:val="single" w:sz="4" w:space="0" w:color="BFBFBF"/>
            </w:tcBorders>
            <w:shd w:val="clear" w:color="auto" w:fill="auto"/>
            <w:noWrap/>
            <w:vAlign w:val="center"/>
          </w:tcPr>
          <w:p w14:paraId="420DBB6F" w14:textId="77777777" w:rsidR="006321C3" w:rsidRPr="00AE6865" w:rsidRDefault="006321C3" w:rsidP="00AE6865">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77.</w:t>
            </w:r>
            <w:r w:rsidR="00AE6865">
              <w:rPr>
                <w:rFonts w:ascii="Arial" w:hAnsi="Arial" w:cs="Arial"/>
                <w:b/>
                <w:bCs/>
                <w:color w:val="000000"/>
                <w:sz w:val="16"/>
                <w:szCs w:val="16"/>
                <w:lang w:val="en-AU" w:eastAsia="en-AU"/>
              </w:rPr>
              <w:t>9</w:t>
            </w:r>
          </w:p>
        </w:tc>
        <w:tc>
          <w:tcPr>
            <w:tcW w:w="708" w:type="dxa"/>
            <w:tcBorders>
              <w:top w:val="nil"/>
              <w:left w:val="nil"/>
              <w:bottom w:val="double" w:sz="6" w:space="0" w:color="auto"/>
              <w:right w:val="nil"/>
            </w:tcBorders>
            <w:shd w:val="clear" w:color="auto" w:fill="auto"/>
            <w:vAlign w:val="center"/>
          </w:tcPr>
          <w:p w14:paraId="23DC6E89"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55.8</w:t>
            </w:r>
          </w:p>
        </w:tc>
        <w:tc>
          <w:tcPr>
            <w:tcW w:w="780" w:type="dxa"/>
            <w:tcBorders>
              <w:top w:val="nil"/>
              <w:left w:val="single" w:sz="4" w:space="0" w:color="auto"/>
              <w:bottom w:val="double" w:sz="6" w:space="0" w:color="auto"/>
              <w:right w:val="single" w:sz="4" w:space="0" w:color="BFBFBF"/>
            </w:tcBorders>
            <w:shd w:val="clear" w:color="auto" w:fill="auto"/>
            <w:noWrap/>
            <w:vAlign w:val="center"/>
          </w:tcPr>
          <w:p w14:paraId="5A89561C" w14:textId="77777777" w:rsidR="006321C3" w:rsidRPr="00AE6865" w:rsidRDefault="00AE6865" w:rsidP="00AE6865">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90.9</w:t>
            </w:r>
          </w:p>
        </w:tc>
        <w:tc>
          <w:tcPr>
            <w:tcW w:w="600" w:type="dxa"/>
            <w:tcBorders>
              <w:top w:val="nil"/>
              <w:left w:val="nil"/>
              <w:bottom w:val="double" w:sz="6" w:space="0" w:color="auto"/>
              <w:right w:val="single" w:sz="4" w:space="0" w:color="auto"/>
            </w:tcBorders>
            <w:shd w:val="clear" w:color="auto" w:fill="auto"/>
            <w:vAlign w:val="center"/>
          </w:tcPr>
          <w:p w14:paraId="61B94FEE"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46.2</w:t>
            </w:r>
          </w:p>
        </w:tc>
        <w:tc>
          <w:tcPr>
            <w:tcW w:w="600" w:type="dxa"/>
            <w:tcBorders>
              <w:top w:val="nil"/>
              <w:left w:val="nil"/>
              <w:bottom w:val="double" w:sz="6" w:space="0" w:color="auto"/>
              <w:right w:val="single" w:sz="4" w:space="0" w:color="BFBFBF"/>
            </w:tcBorders>
            <w:shd w:val="clear" w:color="auto" w:fill="auto"/>
            <w:noWrap/>
            <w:vAlign w:val="center"/>
          </w:tcPr>
          <w:p w14:paraId="1D3C3C8C" w14:textId="77777777" w:rsidR="006321C3" w:rsidRPr="00AE6865" w:rsidRDefault="006321C3" w:rsidP="00AE6865">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91.</w:t>
            </w:r>
            <w:r w:rsidR="00AE6865">
              <w:rPr>
                <w:rFonts w:ascii="Arial" w:hAnsi="Arial" w:cs="Arial"/>
                <w:b/>
                <w:bCs/>
                <w:color w:val="000000"/>
                <w:sz w:val="16"/>
                <w:szCs w:val="16"/>
                <w:lang w:val="en-AU" w:eastAsia="en-AU"/>
              </w:rPr>
              <w:t>3</w:t>
            </w:r>
          </w:p>
        </w:tc>
        <w:tc>
          <w:tcPr>
            <w:tcW w:w="600" w:type="dxa"/>
            <w:tcBorders>
              <w:top w:val="nil"/>
              <w:left w:val="nil"/>
              <w:bottom w:val="double" w:sz="6" w:space="0" w:color="auto"/>
              <w:right w:val="double" w:sz="6" w:space="0" w:color="auto"/>
            </w:tcBorders>
            <w:shd w:val="clear" w:color="auto" w:fill="auto"/>
            <w:noWrap/>
            <w:vAlign w:val="center"/>
          </w:tcPr>
          <w:p w14:paraId="2AEB8D98" w14:textId="77777777" w:rsidR="006321C3" w:rsidRPr="00AE6865" w:rsidRDefault="006321C3" w:rsidP="00CA471A">
            <w:pPr>
              <w:spacing w:before="0" w:after="0"/>
              <w:jc w:val="center"/>
              <w:rPr>
                <w:rFonts w:ascii="Arial" w:hAnsi="Arial" w:cs="Arial"/>
                <w:b/>
                <w:bCs/>
                <w:color w:val="000000"/>
                <w:sz w:val="16"/>
                <w:szCs w:val="16"/>
                <w:lang w:val="en-AU" w:eastAsia="en-AU"/>
              </w:rPr>
            </w:pPr>
            <w:r w:rsidRPr="00AE6865">
              <w:rPr>
                <w:rFonts w:ascii="Arial" w:hAnsi="Arial" w:cs="Arial"/>
                <w:b/>
                <w:bCs/>
                <w:color w:val="000000"/>
                <w:sz w:val="16"/>
                <w:szCs w:val="16"/>
                <w:lang w:val="en-AU" w:eastAsia="en-AU"/>
              </w:rPr>
              <w:t>62</w:t>
            </w:r>
          </w:p>
        </w:tc>
      </w:tr>
    </w:tbl>
    <w:p w14:paraId="0AE3664D" w14:textId="77777777" w:rsidR="003920D8" w:rsidRPr="00AB2449" w:rsidRDefault="00171A2C" w:rsidP="00BD2674">
      <w:pPr>
        <w:pStyle w:val="Para"/>
        <w:spacing w:before="40" w:line="220" w:lineRule="exact"/>
        <w:ind w:left="1440"/>
        <w:rPr>
          <w:sz w:val="20"/>
          <w:lang w:val="en-AU"/>
        </w:rPr>
      </w:pPr>
      <w:r w:rsidRPr="00AB2449">
        <w:rPr>
          <w:sz w:val="20"/>
          <w:lang w:val="en-AU"/>
        </w:rPr>
        <w:t>Base: Total respondents, 2014 (</w:t>
      </w:r>
      <w:r w:rsidR="007911C3" w:rsidRPr="00AB2449">
        <w:rPr>
          <w:sz w:val="20"/>
          <w:lang w:val="en-AU"/>
        </w:rPr>
        <w:t>n=</w:t>
      </w:r>
      <w:r w:rsidRPr="00AB2449">
        <w:rPr>
          <w:sz w:val="20"/>
          <w:lang w:val="en-AU"/>
        </w:rPr>
        <w:t>1,861); 2007 (n=2,061)</w:t>
      </w:r>
    </w:p>
    <w:p w14:paraId="50D85364" w14:textId="77777777" w:rsidR="003920D8" w:rsidRPr="00AB2449" w:rsidRDefault="00B02554" w:rsidP="00BD2674">
      <w:pPr>
        <w:pStyle w:val="Para"/>
        <w:spacing w:before="40" w:line="220" w:lineRule="exact"/>
        <w:ind w:left="1440"/>
        <w:rPr>
          <w:sz w:val="20"/>
          <w:lang w:val="en-AU"/>
        </w:rPr>
      </w:pPr>
      <w:r w:rsidRPr="00AB2449">
        <w:rPr>
          <w:sz w:val="20"/>
          <w:lang w:val="en-AU"/>
        </w:rPr>
        <w:t>NB: Country VIC in 2014 includes most of regional VIC.  In previous years, only 4 regional centres were sampled.</w:t>
      </w:r>
    </w:p>
    <w:p w14:paraId="1603FEBE" w14:textId="77777777" w:rsidR="003920D8" w:rsidRPr="00AB2449" w:rsidRDefault="00B02554" w:rsidP="00BD2674">
      <w:pPr>
        <w:pStyle w:val="Para"/>
        <w:spacing w:before="40" w:line="220" w:lineRule="exact"/>
        <w:ind w:left="1440"/>
        <w:rPr>
          <w:sz w:val="22"/>
          <w:lang w:val="en-AU"/>
        </w:rPr>
      </w:pPr>
      <w:r w:rsidRPr="00AB2449">
        <w:rPr>
          <w:sz w:val="20"/>
          <w:lang w:val="en-AU"/>
        </w:rPr>
        <w:t xml:space="preserve">NB: In 2014 LPG households are a subset of the main sample based on their responses.  In 2007 they formed a separate geographic stratum.  </w:t>
      </w:r>
    </w:p>
    <w:p w14:paraId="32508994" w14:textId="77777777" w:rsidR="003920D8" w:rsidRPr="00381923" w:rsidRDefault="003C4AA1">
      <w:pPr>
        <w:pStyle w:val="Heading3"/>
        <w:tabs>
          <w:tab w:val="clear" w:pos="8517"/>
          <w:tab w:val="num" w:pos="851"/>
        </w:tabs>
        <w:ind w:hanging="8517"/>
        <w:rPr>
          <w:lang w:val="en-AU"/>
        </w:rPr>
      </w:pPr>
      <w:r w:rsidRPr="00DA3B75">
        <w:rPr>
          <w:highlight w:val="yellow"/>
          <w:lang w:val="en-AU"/>
        </w:rPr>
        <w:br w:type="page"/>
      </w:r>
      <w:bookmarkStart w:id="122" w:name="_Toc439198289"/>
      <w:bookmarkStart w:id="123" w:name="_Toc445571672"/>
      <w:r w:rsidR="00E02C75" w:rsidRPr="00381923">
        <w:rPr>
          <w:lang w:val="en-AU"/>
        </w:rPr>
        <w:lastRenderedPageBreak/>
        <w:t>Main Language Spoken in the Household</w:t>
      </w:r>
      <w:bookmarkEnd w:id="122"/>
      <w:bookmarkEnd w:id="123"/>
    </w:p>
    <w:p w14:paraId="56BAC257" w14:textId="77777777" w:rsidR="00E02C75" w:rsidRPr="00381923" w:rsidRDefault="00E02C75" w:rsidP="00E02C75">
      <w:pPr>
        <w:pStyle w:val="Para"/>
        <w:rPr>
          <w:lang w:val="en-AU"/>
        </w:rPr>
      </w:pPr>
    </w:p>
    <w:p w14:paraId="1B9666DA" w14:textId="6D80F5EE" w:rsidR="00E02C75" w:rsidRPr="00381923" w:rsidRDefault="00E02C75" w:rsidP="00E02C75">
      <w:pPr>
        <w:pStyle w:val="Para"/>
        <w:rPr>
          <w:lang w:val="en-AU"/>
        </w:rPr>
      </w:pPr>
      <w:r w:rsidRPr="00381923">
        <w:rPr>
          <w:lang w:val="en-AU"/>
        </w:rPr>
        <w:t>English was the main language spoken in the great majority of households (9</w:t>
      </w:r>
      <w:r w:rsidR="00171A2C" w:rsidRPr="00381923">
        <w:rPr>
          <w:lang w:val="en-AU"/>
        </w:rPr>
        <w:t>5</w:t>
      </w:r>
      <w:r w:rsidRPr="00381923">
        <w:rPr>
          <w:lang w:val="en-AU"/>
        </w:rPr>
        <w:t>%)</w:t>
      </w:r>
      <w:r w:rsidR="0057268F" w:rsidRPr="00381923">
        <w:rPr>
          <w:lang w:val="en-AU"/>
        </w:rPr>
        <w:t xml:space="preserve"> – see Table 3.3.5</w:t>
      </w:r>
      <w:r w:rsidRPr="00381923">
        <w:rPr>
          <w:lang w:val="en-AU"/>
        </w:rPr>
        <w:t xml:space="preserve">.  This proportion </w:t>
      </w:r>
      <w:r w:rsidR="00171A2C" w:rsidRPr="00381923">
        <w:rPr>
          <w:lang w:val="en-AU"/>
        </w:rPr>
        <w:t>was</w:t>
      </w:r>
      <w:r w:rsidRPr="00381923">
        <w:rPr>
          <w:lang w:val="en-AU"/>
        </w:rPr>
        <w:t xml:space="preserve"> highest amongst </w:t>
      </w:r>
      <w:r w:rsidR="00513F11" w:rsidRPr="00381923">
        <w:rPr>
          <w:lang w:val="en-AU"/>
        </w:rPr>
        <w:t>aged concession</w:t>
      </w:r>
      <w:r w:rsidRPr="00381923">
        <w:rPr>
          <w:lang w:val="en-AU"/>
        </w:rPr>
        <w:t xml:space="preserve"> (9</w:t>
      </w:r>
      <w:r w:rsidR="00171A2C" w:rsidRPr="00381923">
        <w:rPr>
          <w:lang w:val="en-AU"/>
        </w:rPr>
        <w:t>8</w:t>
      </w:r>
      <w:r w:rsidRPr="00381923">
        <w:rPr>
          <w:lang w:val="en-AU"/>
        </w:rPr>
        <w:t xml:space="preserve">%) and </w:t>
      </w:r>
      <w:r w:rsidR="00171A2C" w:rsidRPr="00381923">
        <w:rPr>
          <w:lang w:val="en-AU"/>
        </w:rPr>
        <w:t xml:space="preserve">lowest among </w:t>
      </w:r>
      <w:r w:rsidR="00381923" w:rsidRPr="00381923">
        <w:rPr>
          <w:lang w:val="en-AU"/>
        </w:rPr>
        <w:t xml:space="preserve">other concession and </w:t>
      </w:r>
      <w:r w:rsidRPr="00381923">
        <w:rPr>
          <w:lang w:val="en-AU"/>
        </w:rPr>
        <w:t>non-concession households (</w:t>
      </w:r>
      <w:r w:rsidR="00381923" w:rsidRPr="00381923">
        <w:rPr>
          <w:lang w:val="en-AU"/>
        </w:rPr>
        <w:t xml:space="preserve">both </w:t>
      </w:r>
      <w:r w:rsidRPr="00381923">
        <w:rPr>
          <w:lang w:val="en-AU"/>
        </w:rPr>
        <w:t>9</w:t>
      </w:r>
      <w:r w:rsidR="00171A2C" w:rsidRPr="00381923">
        <w:rPr>
          <w:lang w:val="en-AU"/>
        </w:rPr>
        <w:t>4</w:t>
      </w:r>
      <w:r w:rsidRPr="00381923">
        <w:rPr>
          <w:lang w:val="en-AU"/>
        </w:rPr>
        <w:t>%)</w:t>
      </w:r>
      <w:r w:rsidR="00171A2C" w:rsidRPr="00381923">
        <w:rPr>
          <w:lang w:val="en-AU"/>
        </w:rPr>
        <w:t>.</w:t>
      </w:r>
      <w:r w:rsidRPr="00381923">
        <w:rPr>
          <w:lang w:val="en-AU"/>
        </w:rPr>
        <w:t xml:space="preserve">  </w:t>
      </w:r>
      <w:r w:rsidR="00171A2C" w:rsidRPr="00381923">
        <w:rPr>
          <w:lang w:val="en-AU"/>
        </w:rPr>
        <w:t>No other language reached a 1% incidence at the total household level.</w:t>
      </w:r>
      <w:r w:rsidR="00D42C29">
        <w:rPr>
          <w:lang w:val="en-AU"/>
        </w:rPr>
        <w:t xml:space="preserve">  </w:t>
      </w:r>
      <w:r w:rsidRPr="00381923">
        <w:rPr>
          <w:lang w:val="en-AU"/>
        </w:rPr>
        <w:t xml:space="preserve">Almost all households in the </w:t>
      </w:r>
      <w:r w:rsidR="003C4AA1" w:rsidRPr="00381923">
        <w:rPr>
          <w:lang w:val="en-AU"/>
        </w:rPr>
        <w:t xml:space="preserve">country </w:t>
      </w:r>
      <w:r w:rsidR="00171A2C" w:rsidRPr="00381923">
        <w:rPr>
          <w:lang w:val="en-AU"/>
        </w:rPr>
        <w:t xml:space="preserve">Victoria </w:t>
      </w:r>
      <w:r w:rsidRPr="00381923">
        <w:rPr>
          <w:lang w:val="en-AU"/>
        </w:rPr>
        <w:t>(99</w:t>
      </w:r>
      <w:r w:rsidR="00171A2C" w:rsidRPr="00381923">
        <w:rPr>
          <w:lang w:val="en-AU"/>
        </w:rPr>
        <w:t>.</w:t>
      </w:r>
      <w:r w:rsidR="00381923" w:rsidRPr="00381923">
        <w:rPr>
          <w:lang w:val="en-AU"/>
        </w:rPr>
        <w:t>5</w:t>
      </w:r>
      <w:r w:rsidRPr="00381923">
        <w:rPr>
          <w:lang w:val="en-AU"/>
        </w:rPr>
        <w:t>%) sp</w:t>
      </w:r>
      <w:r w:rsidR="00171A2C" w:rsidRPr="00381923">
        <w:rPr>
          <w:lang w:val="en-AU"/>
        </w:rPr>
        <w:t>oke</w:t>
      </w:r>
      <w:r w:rsidRPr="00381923">
        <w:rPr>
          <w:lang w:val="en-AU"/>
        </w:rPr>
        <w:t xml:space="preserve"> English as their main language, </w:t>
      </w:r>
      <w:r w:rsidR="00171A2C" w:rsidRPr="00381923">
        <w:rPr>
          <w:lang w:val="en-AU"/>
        </w:rPr>
        <w:t>compared with 93% of those in Melbourne</w:t>
      </w:r>
      <w:r w:rsidR="00FB4973" w:rsidRPr="00381923">
        <w:rPr>
          <w:lang w:val="en-AU"/>
        </w:rPr>
        <w:t>.</w:t>
      </w:r>
    </w:p>
    <w:p w14:paraId="73F474B0" w14:textId="77777777" w:rsidR="00E02C75" w:rsidRPr="00DA3B75" w:rsidRDefault="00E02C75" w:rsidP="00E02C75">
      <w:pPr>
        <w:pStyle w:val="Para"/>
        <w:rPr>
          <w:highlight w:val="yellow"/>
          <w:lang w:val="en-AU"/>
        </w:rPr>
      </w:pPr>
    </w:p>
    <w:p w14:paraId="042D7D53" w14:textId="77777777" w:rsidR="00E02C75" w:rsidRPr="00381923" w:rsidRDefault="00347232" w:rsidP="00E02C75">
      <w:pPr>
        <w:pStyle w:val="Para"/>
        <w:rPr>
          <w:lang w:val="en-AU"/>
        </w:rPr>
      </w:pPr>
      <w:r w:rsidRPr="00381923">
        <w:rPr>
          <w:lang w:val="en-AU"/>
        </w:rPr>
        <w:t xml:space="preserve">The proportion of households with English as the main language has </w:t>
      </w:r>
      <w:r w:rsidR="00B02554" w:rsidRPr="00381923">
        <w:rPr>
          <w:lang w:val="en-AU"/>
        </w:rPr>
        <w:t>been increasing slightly with each wave of the survey.  The more noticeable increase between 2007 and 2014 may in part reflect the methodological difference between the two surveys: 2007 being face to face and 2014 being telephone, followed by self-completion and mailing back of the consent forms.</w:t>
      </w:r>
    </w:p>
    <w:p w14:paraId="602D9684" w14:textId="77777777" w:rsidR="00E02C75" w:rsidRPr="00381923" w:rsidRDefault="00E02C75" w:rsidP="00E02C75">
      <w:pPr>
        <w:pStyle w:val="Para"/>
        <w:rPr>
          <w:lang w:val="en-AU"/>
        </w:rPr>
      </w:pPr>
    </w:p>
    <w:p w14:paraId="4FF43D17" w14:textId="77777777" w:rsidR="00E02C75" w:rsidRPr="006F6A44" w:rsidRDefault="00E02C75" w:rsidP="00BD2674">
      <w:pPr>
        <w:pStyle w:val="Para"/>
        <w:jc w:val="center"/>
        <w:outlineLvl w:val="0"/>
        <w:rPr>
          <w:b/>
          <w:u w:val="single"/>
          <w:lang w:val="en-AU"/>
        </w:rPr>
      </w:pPr>
      <w:r w:rsidRPr="006F6A44">
        <w:rPr>
          <w:b/>
          <w:lang w:val="en-AU"/>
        </w:rPr>
        <w:t xml:space="preserve">Table 3.3.5: </w:t>
      </w:r>
      <w:r w:rsidRPr="006F6A44">
        <w:rPr>
          <w:b/>
          <w:u w:val="single"/>
          <w:lang w:val="en-AU"/>
        </w:rPr>
        <w:t>Main Language Spoken in the Household of Sample</w:t>
      </w:r>
    </w:p>
    <w:p w14:paraId="67D86DD9" w14:textId="77777777" w:rsidR="006321C3" w:rsidRPr="006F6A44" w:rsidRDefault="006321C3" w:rsidP="00E02C75">
      <w:pPr>
        <w:pStyle w:val="Para"/>
        <w:outlineLvl w:val="0"/>
        <w:rPr>
          <w:b/>
          <w:u w:val="single"/>
          <w:lang w:val="en-AU"/>
        </w:rPr>
      </w:pPr>
    </w:p>
    <w:tbl>
      <w:tblPr>
        <w:tblW w:w="14380" w:type="dxa"/>
        <w:jc w:val="center"/>
        <w:tblLook w:val="04A0" w:firstRow="1" w:lastRow="0" w:firstColumn="1" w:lastColumn="0" w:noHBand="0" w:noVBand="1"/>
      </w:tblPr>
      <w:tblGrid>
        <w:gridCol w:w="2160"/>
        <w:gridCol w:w="600"/>
        <w:gridCol w:w="600"/>
        <w:gridCol w:w="600"/>
        <w:gridCol w:w="600"/>
        <w:gridCol w:w="600"/>
        <w:gridCol w:w="600"/>
        <w:gridCol w:w="600"/>
        <w:gridCol w:w="600"/>
        <w:gridCol w:w="610"/>
        <w:gridCol w:w="610"/>
        <w:gridCol w:w="610"/>
        <w:gridCol w:w="610"/>
        <w:gridCol w:w="645"/>
        <w:gridCol w:w="645"/>
        <w:gridCol w:w="645"/>
        <w:gridCol w:w="645"/>
        <w:gridCol w:w="600"/>
        <w:gridCol w:w="600"/>
        <w:gridCol w:w="600"/>
        <w:gridCol w:w="600"/>
      </w:tblGrid>
      <w:tr w:rsidR="006321C3" w:rsidRPr="006F6A44" w14:paraId="107CDD6A" w14:textId="77777777" w:rsidTr="00BD2674">
        <w:trPr>
          <w:trHeight w:val="330"/>
          <w:jc w:val="center"/>
        </w:trPr>
        <w:tc>
          <w:tcPr>
            <w:tcW w:w="2160" w:type="dxa"/>
            <w:vMerge w:val="restart"/>
            <w:tcBorders>
              <w:top w:val="double" w:sz="6" w:space="0" w:color="auto"/>
              <w:left w:val="double" w:sz="6" w:space="0" w:color="auto"/>
              <w:bottom w:val="single" w:sz="4" w:space="0" w:color="BFBFBF"/>
              <w:right w:val="nil"/>
            </w:tcBorders>
            <w:shd w:val="clear" w:color="auto" w:fill="auto"/>
            <w:noWrap/>
            <w:vAlign w:val="center"/>
          </w:tcPr>
          <w:p w14:paraId="74FB1D82" w14:textId="77777777" w:rsidR="006321C3" w:rsidRPr="006F6A44" w:rsidRDefault="006321C3" w:rsidP="006321C3">
            <w:pPr>
              <w:spacing w:before="0" w:after="0"/>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Main Language of HH</w:t>
            </w:r>
          </w:p>
        </w:tc>
        <w:tc>
          <w:tcPr>
            <w:tcW w:w="240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60A7F1D8"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Aged Concession HHs</w:t>
            </w:r>
          </w:p>
        </w:tc>
        <w:tc>
          <w:tcPr>
            <w:tcW w:w="2400" w:type="dxa"/>
            <w:gridSpan w:val="4"/>
            <w:tcBorders>
              <w:top w:val="double" w:sz="6" w:space="0" w:color="auto"/>
              <w:left w:val="nil"/>
              <w:bottom w:val="single" w:sz="4" w:space="0" w:color="BFBFBF"/>
              <w:right w:val="single" w:sz="4" w:space="0" w:color="BFBFBF"/>
            </w:tcBorders>
            <w:shd w:val="clear" w:color="auto" w:fill="auto"/>
            <w:noWrap/>
            <w:vAlign w:val="center"/>
          </w:tcPr>
          <w:p w14:paraId="25F5E1C8"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Other Concession HHs</w:t>
            </w:r>
          </w:p>
        </w:tc>
        <w:tc>
          <w:tcPr>
            <w:tcW w:w="244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64E3883A"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Total Concession HHs</w:t>
            </w:r>
          </w:p>
        </w:tc>
        <w:tc>
          <w:tcPr>
            <w:tcW w:w="2580" w:type="dxa"/>
            <w:gridSpan w:val="4"/>
            <w:tcBorders>
              <w:top w:val="double" w:sz="6" w:space="0" w:color="auto"/>
              <w:left w:val="nil"/>
              <w:bottom w:val="single" w:sz="4" w:space="0" w:color="BFBFBF"/>
              <w:right w:val="single" w:sz="4" w:space="0" w:color="000000"/>
            </w:tcBorders>
            <w:shd w:val="clear" w:color="auto" w:fill="auto"/>
            <w:noWrap/>
            <w:vAlign w:val="center"/>
          </w:tcPr>
          <w:p w14:paraId="07EDF95B"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Non-Concession HHs</w:t>
            </w:r>
          </w:p>
        </w:tc>
        <w:tc>
          <w:tcPr>
            <w:tcW w:w="2400" w:type="dxa"/>
            <w:gridSpan w:val="4"/>
            <w:tcBorders>
              <w:top w:val="double" w:sz="6" w:space="0" w:color="auto"/>
              <w:left w:val="nil"/>
              <w:bottom w:val="single" w:sz="4" w:space="0" w:color="BFBFBF"/>
              <w:right w:val="double" w:sz="6" w:space="0" w:color="000000"/>
            </w:tcBorders>
            <w:shd w:val="clear" w:color="auto" w:fill="auto"/>
            <w:noWrap/>
            <w:vAlign w:val="center"/>
          </w:tcPr>
          <w:p w14:paraId="4F83DB32"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Total HHs</w:t>
            </w:r>
          </w:p>
        </w:tc>
      </w:tr>
      <w:tr w:rsidR="006321C3" w:rsidRPr="006F6A44" w14:paraId="250E6AE5" w14:textId="77777777" w:rsidTr="00BD2674">
        <w:trPr>
          <w:trHeight w:val="225"/>
          <w:jc w:val="center"/>
        </w:trPr>
        <w:tc>
          <w:tcPr>
            <w:tcW w:w="2160" w:type="dxa"/>
            <w:vMerge/>
            <w:tcBorders>
              <w:top w:val="double" w:sz="6" w:space="0" w:color="auto"/>
              <w:left w:val="double" w:sz="6" w:space="0" w:color="auto"/>
              <w:bottom w:val="single" w:sz="4" w:space="0" w:color="BFBFBF"/>
              <w:right w:val="nil"/>
            </w:tcBorders>
            <w:vAlign w:val="center"/>
          </w:tcPr>
          <w:p w14:paraId="2146F397" w14:textId="77777777" w:rsidR="006321C3" w:rsidRPr="006F6A44" w:rsidRDefault="006321C3" w:rsidP="006321C3">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9FBB7A8"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08C16CAB"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7F729E47"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2001</w:t>
            </w:r>
          </w:p>
        </w:tc>
        <w:tc>
          <w:tcPr>
            <w:tcW w:w="600" w:type="dxa"/>
            <w:tcBorders>
              <w:top w:val="nil"/>
              <w:left w:val="nil"/>
              <w:bottom w:val="single" w:sz="4" w:space="0" w:color="BFBFBF"/>
              <w:right w:val="single" w:sz="4" w:space="0" w:color="auto"/>
            </w:tcBorders>
            <w:shd w:val="clear" w:color="auto" w:fill="auto"/>
            <w:noWrap/>
            <w:vAlign w:val="center"/>
          </w:tcPr>
          <w:p w14:paraId="6B2F18E7"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1996</w:t>
            </w:r>
          </w:p>
        </w:tc>
        <w:tc>
          <w:tcPr>
            <w:tcW w:w="600" w:type="dxa"/>
            <w:tcBorders>
              <w:top w:val="nil"/>
              <w:left w:val="nil"/>
              <w:bottom w:val="single" w:sz="4" w:space="0" w:color="BFBFBF"/>
              <w:right w:val="single" w:sz="4" w:space="0" w:color="BFBFBF"/>
            </w:tcBorders>
            <w:shd w:val="clear" w:color="auto" w:fill="auto"/>
            <w:noWrap/>
            <w:vAlign w:val="center"/>
          </w:tcPr>
          <w:p w14:paraId="08DB53BA"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6127B925"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4BF6B195"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2001</w:t>
            </w:r>
          </w:p>
        </w:tc>
        <w:tc>
          <w:tcPr>
            <w:tcW w:w="600" w:type="dxa"/>
            <w:tcBorders>
              <w:top w:val="nil"/>
              <w:left w:val="nil"/>
              <w:bottom w:val="single" w:sz="4" w:space="0" w:color="BFBFBF"/>
              <w:right w:val="nil"/>
            </w:tcBorders>
            <w:shd w:val="clear" w:color="auto" w:fill="auto"/>
            <w:noWrap/>
            <w:vAlign w:val="center"/>
          </w:tcPr>
          <w:p w14:paraId="5207859B"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1996</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059D7B68"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2014</w:t>
            </w:r>
          </w:p>
        </w:tc>
        <w:tc>
          <w:tcPr>
            <w:tcW w:w="610" w:type="dxa"/>
            <w:tcBorders>
              <w:top w:val="nil"/>
              <w:left w:val="nil"/>
              <w:bottom w:val="single" w:sz="4" w:space="0" w:color="BFBFBF"/>
              <w:right w:val="single" w:sz="4" w:space="0" w:color="BFBFBF"/>
            </w:tcBorders>
            <w:shd w:val="clear" w:color="auto" w:fill="auto"/>
            <w:noWrap/>
            <w:vAlign w:val="center"/>
          </w:tcPr>
          <w:p w14:paraId="0593EE12"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2007</w:t>
            </w:r>
          </w:p>
        </w:tc>
        <w:tc>
          <w:tcPr>
            <w:tcW w:w="610" w:type="dxa"/>
            <w:tcBorders>
              <w:top w:val="nil"/>
              <w:left w:val="nil"/>
              <w:bottom w:val="single" w:sz="4" w:space="0" w:color="BFBFBF"/>
              <w:right w:val="single" w:sz="4" w:space="0" w:color="BFBFBF"/>
            </w:tcBorders>
            <w:shd w:val="clear" w:color="auto" w:fill="auto"/>
            <w:noWrap/>
            <w:vAlign w:val="center"/>
          </w:tcPr>
          <w:p w14:paraId="1720DF3D"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2001</w:t>
            </w:r>
          </w:p>
        </w:tc>
        <w:tc>
          <w:tcPr>
            <w:tcW w:w="610" w:type="dxa"/>
            <w:tcBorders>
              <w:top w:val="nil"/>
              <w:left w:val="nil"/>
              <w:bottom w:val="single" w:sz="4" w:space="0" w:color="BFBFBF"/>
              <w:right w:val="single" w:sz="4" w:space="0" w:color="auto"/>
            </w:tcBorders>
            <w:shd w:val="clear" w:color="auto" w:fill="auto"/>
            <w:noWrap/>
            <w:vAlign w:val="center"/>
          </w:tcPr>
          <w:p w14:paraId="6320F190"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1996</w:t>
            </w:r>
          </w:p>
        </w:tc>
        <w:tc>
          <w:tcPr>
            <w:tcW w:w="645" w:type="dxa"/>
            <w:tcBorders>
              <w:top w:val="nil"/>
              <w:left w:val="nil"/>
              <w:bottom w:val="single" w:sz="4" w:space="0" w:color="BFBFBF"/>
              <w:right w:val="single" w:sz="4" w:space="0" w:color="BFBFBF"/>
            </w:tcBorders>
            <w:shd w:val="clear" w:color="auto" w:fill="auto"/>
            <w:noWrap/>
            <w:vAlign w:val="center"/>
          </w:tcPr>
          <w:p w14:paraId="01E00951"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2014</w:t>
            </w:r>
          </w:p>
        </w:tc>
        <w:tc>
          <w:tcPr>
            <w:tcW w:w="645" w:type="dxa"/>
            <w:tcBorders>
              <w:top w:val="nil"/>
              <w:left w:val="nil"/>
              <w:bottom w:val="single" w:sz="4" w:space="0" w:color="BFBFBF"/>
              <w:right w:val="single" w:sz="4" w:space="0" w:color="BFBFBF"/>
            </w:tcBorders>
            <w:shd w:val="clear" w:color="auto" w:fill="auto"/>
            <w:noWrap/>
            <w:vAlign w:val="center"/>
          </w:tcPr>
          <w:p w14:paraId="0AD22067"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2007</w:t>
            </w:r>
          </w:p>
        </w:tc>
        <w:tc>
          <w:tcPr>
            <w:tcW w:w="645" w:type="dxa"/>
            <w:tcBorders>
              <w:top w:val="nil"/>
              <w:left w:val="nil"/>
              <w:bottom w:val="single" w:sz="4" w:space="0" w:color="BFBFBF"/>
              <w:right w:val="single" w:sz="4" w:space="0" w:color="BFBFBF"/>
            </w:tcBorders>
            <w:shd w:val="clear" w:color="auto" w:fill="auto"/>
            <w:noWrap/>
            <w:vAlign w:val="center"/>
          </w:tcPr>
          <w:p w14:paraId="3A31B6D5"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2001</w:t>
            </w:r>
          </w:p>
        </w:tc>
        <w:tc>
          <w:tcPr>
            <w:tcW w:w="645" w:type="dxa"/>
            <w:tcBorders>
              <w:top w:val="nil"/>
              <w:left w:val="nil"/>
              <w:bottom w:val="single" w:sz="4" w:space="0" w:color="BFBFBF"/>
              <w:right w:val="single" w:sz="4" w:space="0" w:color="auto"/>
            </w:tcBorders>
            <w:shd w:val="clear" w:color="auto" w:fill="auto"/>
            <w:noWrap/>
            <w:vAlign w:val="center"/>
          </w:tcPr>
          <w:p w14:paraId="203FE8AE"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1996</w:t>
            </w:r>
          </w:p>
        </w:tc>
        <w:tc>
          <w:tcPr>
            <w:tcW w:w="600" w:type="dxa"/>
            <w:tcBorders>
              <w:top w:val="nil"/>
              <w:left w:val="nil"/>
              <w:bottom w:val="single" w:sz="4" w:space="0" w:color="BFBFBF"/>
              <w:right w:val="single" w:sz="4" w:space="0" w:color="BFBFBF"/>
            </w:tcBorders>
            <w:shd w:val="clear" w:color="auto" w:fill="auto"/>
            <w:noWrap/>
            <w:vAlign w:val="bottom"/>
          </w:tcPr>
          <w:p w14:paraId="4ECE2790"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55D09CAC"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3F1758C3"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2001</w:t>
            </w:r>
          </w:p>
        </w:tc>
        <w:tc>
          <w:tcPr>
            <w:tcW w:w="600" w:type="dxa"/>
            <w:tcBorders>
              <w:top w:val="nil"/>
              <w:left w:val="nil"/>
              <w:bottom w:val="single" w:sz="4" w:space="0" w:color="BFBFBF"/>
              <w:right w:val="double" w:sz="6" w:space="0" w:color="auto"/>
            </w:tcBorders>
            <w:shd w:val="clear" w:color="auto" w:fill="auto"/>
            <w:noWrap/>
            <w:vAlign w:val="center"/>
          </w:tcPr>
          <w:p w14:paraId="7DB5085A" w14:textId="77777777" w:rsidR="006321C3" w:rsidRPr="006F6A44" w:rsidRDefault="006321C3" w:rsidP="006321C3">
            <w:pPr>
              <w:spacing w:before="0" w:after="0"/>
              <w:jc w:val="center"/>
              <w:rPr>
                <w:rFonts w:ascii="Arial" w:hAnsi="Arial" w:cs="Arial"/>
                <w:b/>
                <w:bCs/>
                <w:color w:val="000000"/>
                <w:sz w:val="16"/>
                <w:szCs w:val="16"/>
                <w:lang w:val="en-AU" w:eastAsia="en-AU"/>
              </w:rPr>
            </w:pPr>
            <w:r w:rsidRPr="006F6A44">
              <w:rPr>
                <w:rFonts w:ascii="Arial" w:hAnsi="Arial" w:cs="Arial"/>
                <w:b/>
                <w:bCs/>
                <w:color w:val="000000"/>
                <w:sz w:val="16"/>
                <w:szCs w:val="16"/>
                <w:lang w:val="en-AU" w:eastAsia="en-AU"/>
              </w:rPr>
              <w:t>1996</w:t>
            </w:r>
          </w:p>
        </w:tc>
      </w:tr>
      <w:tr w:rsidR="006321C3" w:rsidRPr="006F6A44" w14:paraId="5B1F0C8B"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352792F5" w14:textId="77777777" w:rsidR="006321C3" w:rsidRPr="006F6A44" w:rsidRDefault="006321C3" w:rsidP="006321C3">
            <w:pPr>
              <w:spacing w:before="0" w:after="0"/>
              <w:rPr>
                <w:rFonts w:ascii="Arial" w:hAnsi="Arial" w:cs="Arial"/>
                <w:color w:val="000000"/>
                <w:sz w:val="16"/>
                <w:szCs w:val="16"/>
                <w:lang w:val="en-AU" w:eastAsia="en-AU"/>
              </w:rPr>
            </w:pPr>
            <w:r w:rsidRPr="006F6A44">
              <w:rPr>
                <w:rFonts w:ascii="Arial" w:hAnsi="Arial" w:cs="Arial"/>
                <w:color w:val="000000"/>
                <w:sz w:val="16"/>
                <w:szCs w:val="16"/>
                <w:lang w:val="en-AU" w:eastAsia="en-AU"/>
              </w:rPr>
              <w:t>English</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A3D8A9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98%</w:t>
            </w:r>
          </w:p>
        </w:tc>
        <w:tc>
          <w:tcPr>
            <w:tcW w:w="600" w:type="dxa"/>
            <w:tcBorders>
              <w:top w:val="nil"/>
              <w:left w:val="nil"/>
              <w:bottom w:val="single" w:sz="4" w:space="0" w:color="BFBFBF"/>
              <w:right w:val="single" w:sz="4" w:space="0" w:color="BFBFBF"/>
            </w:tcBorders>
            <w:shd w:val="clear" w:color="auto" w:fill="auto"/>
            <w:noWrap/>
            <w:vAlign w:val="center"/>
          </w:tcPr>
          <w:p w14:paraId="35FA5E3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91%</w:t>
            </w:r>
          </w:p>
        </w:tc>
        <w:tc>
          <w:tcPr>
            <w:tcW w:w="600" w:type="dxa"/>
            <w:tcBorders>
              <w:top w:val="nil"/>
              <w:left w:val="nil"/>
              <w:bottom w:val="single" w:sz="4" w:space="0" w:color="BFBFBF"/>
              <w:right w:val="single" w:sz="4" w:space="0" w:color="BFBFBF"/>
            </w:tcBorders>
            <w:shd w:val="clear" w:color="auto" w:fill="auto"/>
            <w:noWrap/>
            <w:vAlign w:val="center"/>
          </w:tcPr>
          <w:p w14:paraId="60FCD63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89%</w:t>
            </w:r>
          </w:p>
        </w:tc>
        <w:tc>
          <w:tcPr>
            <w:tcW w:w="600" w:type="dxa"/>
            <w:tcBorders>
              <w:top w:val="nil"/>
              <w:left w:val="nil"/>
              <w:bottom w:val="single" w:sz="4" w:space="0" w:color="BFBFBF"/>
              <w:right w:val="single" w:sz="4" w:space="0" w:color="auto"/>
            </w:tcBorders>
            <w:shd w:val="clear" w:color="auto" w:fill="auto"/>
            <w:noWrap/>
            <w:vAlign w:val="center"/>
          </w:tcPr>
          <w:p w14:paraId="5EB205D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89%</w:t>
            </w:r>
          </w:p>
        </w:tc>
        <w:tc>
          <w:tcPr>
            <w:tcW w:w="600" w:type="dxa"/>
            <w:tcBorders>
              <w:top w:val="nil"/>
              <w:left w:val="nil"/>
              <w:bottom w:val="single" w:sz="4" w:space="0" w:color="BFBFBF"/>
              <w:right w:val="single" w:sz="4" w:space="0" w:color="BFBFBF"/>
            </w:tcBorders>
            <w:shd w:val="clear" w:color="auto" w:fill="auto"/>
            <w:noWrap/>
            <w:vAlign w:val="center"/>
          </w:tcPr>
          <w:p w14:paraId="6E9611F8" w14:textId="77777777" w:rsidR="006321C3" w:rsidRPr="006F6A44" w:rsidRDefault="006321C3" w:rsidP="00B9038F">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9</w:t>
            </w:r>
            <w:r w:rsidR="00B9038F" w:rsidRPr="006F6A44">
              <w:rPr>
                <w:rFonts w:ascii="Arial" w:hAnsi="Arial" w:cs="Arial"/>
                <w:color w:val="000000"/>
                <w:sz w:val="16"/>
                <w:szCs w:val="16"/>
                <w:lang w:val="en-AU" w:eastAsia="en-AU"/>
              </w:rPr>
              <w:t>4</w:t>
            </w: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E3C384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85%</w:t>
            </w:r>
          </w:p>
        </w:tc>
        <w:tc>
          <w:tcPr>
            <w:tcW w:w="600" w:type="dxa"/>
            <w:tcBorders>
              <w:top w:val="nil"/>
              <w:left w:val="nil"/>
              <w:bottom w:val="single" w:sz="4" w:space="0" w:color="BFBFBF"/>
              <w:right w:val="single" w:sz="4" w:space="0" w:color="BFBFBF"/>
            </w:tcBorders>
            <w:shd w:val="clear" w:color="auto" w:fill="auto"/>
            <w:noWrap/>
            <w:vAlign w:val="center"/>
          </w:tcPr>
          <w:p w14:paraId="3747C5E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83%</w:t>
            </w:r>
          </w:p>
        </w:tc>
        <w:tc>
          <w:tcPr>
            <w:tcW w:w="600" w:type="dxa"/>
            <w:tcBorders>
              <w:top w:val="nil"/>
              <w:left w:val="nil"/>
              <w:bottom w:val="single" w:sz="4" w:space="0" w:color="BFBFBF"/>
              <w:right w:val="nil"/>
            </w:tcBorders>
            <w:shd w:val="clear" w:color="auto" w:fill="auto"/>
            <w:noWrap/>
            <w:vAlign w:val="center"/>
          </w:tcPr>
          <w:p w14:paraId="577FD4A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80%</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5E0F060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96%</w:t>
            </w:r>
          </w:p>
        </w:tc>
        <w:tc>
          <w:tcPr>
            <w:tcW w:w="610" w:type="dxa"/>
            <w:tcBorders>
              <w:top w:val="nil"/>
              <w:left w:val="nil"/>
              <w:bottom w:val="single" w:sz="4" w:space="0" w:color="BFBFBF"/>
              <w:right w:val="single" w:sz="4" w:space="0" w:color="BFBFBF"/>
            </w:tcBorders>
            <w:shd w:val="clear" w:color="auto" w:fill="auto"/>
            <w:noWrap/>
            <w:vAlign w:val="center"/>
          </w:tcPr>
          <w:p w14:paraId="01672D3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88%</w:t>
            </w:r>
          </w:p>
        </w:tc>
        <w:tc>
          <w:tcPr>
            <w:tcW w:w="610" w:type="dxa"/>
            <w:tcBorders>
              <w:top w:val="nil"/>
              <w:left w:val="nil"/>
              <w:bottom w:val="single" w:sz="4" w:space="0" w:color="BFBFBF"/>
              <w:right w:val="single" w:sz="4" w:space="0" w:color="BFBFBF"/>
            </w:tcBorders>
            <w:shd w:val="clear" w:color="auto" w:fill="auto"/>
            <w:noWrap/>
            <w:vAlign w:val="center"/>
          </w:tcPr>
          <w:p w14:paraId="6E3D3A7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86%</w:t>
            </w:r>
          </w:p>
        </w:tc>
        <w:tc>
          <w:tcPr>
            <w:tcW w:w="610" w:type="dxa"/>
            <w:tcBorders>
              <w:top w:val="nil"/>
              <w:left w:val="nil"/>
              <w:bottom w:val="single" w:sz="4" w:space="0" w:color="BFBFBF"/>
              <w:right w:val="single" w:sz="4" w:space="0" w:color="auto"/>
            </w:tcBorders>
            <w:shd w:val="clear" w:color="auto" w:fill="auto"/>
            <w:noWrap/>
            <w:vAlign w:val="center"/>
          </w:tcPr>
          <w:p w14:paraId="3DF8D1A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85%</w:t>
            </w:r>
          </w:p>
        </w:tc>
        <w:tc>
          <w:tcPr>
            <w:tcW w:w="645" w:type="dxa"/>
            <w:tcBorders>
              <w:top w:val="nil"/>
              <w:left w:val="nil"/>
              <w:bottom w:val="single" w:sz="4" w:space="0" w:color="BFBFBF"/>
              <w:right w:val="single" w:sz="4" w:space="0" w:color="BFBFBF"/>
            </w:tcBorders>
            <w:shd w:val="clear" w:color="auto" w:fill="auto"/>
            <w:noWrap/>
            <w:vAlign w:val="center"/>
          </w:tcPr>
          <w:p w14:paraId="0D8EF02C"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94%</w:t>
            </w:r>
          </w:p>
        </w:tc>
        <w:tc>
          <w:tcPr>
            <w:tcW w:w="645" w:type="dxa"/>
            <w:tcBorders>
              <w:top w:val="nil"/>
              <w:left w:val="nil"/>
              <w:bottom w:val="single" w:sz="4" w:space="0" w:color="BFBFBF"/>
              <w:right w:val="single" w:sz="4" w:space="0" w:color="BFBFBF"/>
            </w:tcBorders>
            <w:shd w:val="clear" w:color="auto" w:fill="auto"/>
            <w:noWrap/>
            <w:vAlign w:val="center"/>
          </w:tcPr>
          <w:p w14:paraId="3FA083E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92%</w:t>
            </w:r>
          </w:p>
        </w:tc>
        <w:tc>
          <w:tcPr>
            <w:tcW w:w="645" w:type="dxa"/>
            <w:tcBorders>
              <w:top w:val="nil"/>
              <w:left w:val="nil"/>
              <w:bottom w:val="single" w:sz="4" w:space="0" w:color="BFBFBF"/>
              <w:right w:val="single" w:sz="4" w:space="0" w:color="BFBFBF"/>
            </w:tcBorders>
            <w:shd w:val="clear" w:color="auto" w:fill="auto"/>
            <w:noWrap/>
            <w:vAlign w:val="center"/>
          </w:tcPr>
          <w:p w14:paraId="0BF200E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89%</w:t>
            </w:r>
          </w:p>
        </w:tc>
        <w:tc>
          <w:tcPr>
            <w:tcW w:w="645" w:type="dxa"/>
            <w:tcBorders>
              <w:top w:val="nil"/>
              <w:left w:val="nil"/>
              <w:bottom w:val="single" w:sz="4" w:space="0" w:color="BFBFBF"/>
              <w:right w:val="single" w:sz="4" w:space="0" w:color="auto"/>
            </w:tcBorders>
            <w:shd w:val="clear" w:color="auto" w:fill="auto"/>
            <w:noWrap/>
            <w:vAlign w:val="center"/>
          </w:tcPr>
          <w:p w14:paraId="5E1A582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89%</w:t>
            </w:r>
          </w:p>
        </w:tc>
        <w:tc>
          <w:tcPr>
            <w:tcW w:w="600" w:type="dxa"/>
            <w:tcBorders>
              <w:top w:val="nil"/>
              <w:left w:val="nil"/>
              <w:bottom w:val="single" w:sz="4" w:space="0" w:color="BFBFBF"/>
              <w:right w:val="single" w:sz="4" w:space="0" w:color="BFBFBF"/>
            </w:tcBorders>
            <w:shd w:val="clear" w:color="auto" w:fill="auto"/>
            <w:noWrap/>
            <w:vAlign w:val="bottom"/>
          </w:tcPr>
          <w:p w14:paraId="33B53BD2"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95%</w:t>
            </w:r>
          </w:p>
        </w:tc>
        <w:tc>
          <w:tcPr>
            <w:tcW w:w="600" w:type="dxa"/>
            <w:tcBorders>
              <w:top w:val="nil"/>
              <w:left w:val="nil"/>
              <w:bottom w:val="single" w:sz="4" w:space="0" w:color="BFBFBF"/>
              <w:right w:val="single" w:sz="4" w:space="0" w:color="BFBFBF"/>
            </w:tcBorders>
            <w:shd w:val="clear" w:color="auto" w:fill="auto"/>
            <w:noWrap/>
            <w:vAlign w:val="center"/>
          </w:tcPr>
          <w:p w14:paraId="4AC4A4B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91%</w:t>
            </w:r>
          </w:p>
        </w:tc>
        <w:tc>
          <w:tcPr>
            <w:tcW w:w="600" w:type="dxa"/>
            <w:tcBorders>
              <w:top w:val="nil"/>
              <w:left w:val="nil"/>
              <w:bottom w:val="single" w:sz="4" w:space="0" w:color="BFBFBF"/>
              <w:right w:val="single" w:sz="4" w:space="0" w:color="BFBFBF"/>
            </w:tcBorders>
            <w:shd w:val="clear" w:color="auto" w:fill="auto"/>
            <w:noWrap/>
            <w:vAlign w:val="center"/>
          </w:tcPr>
          <w:p w14:paraId="74F071AC"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88%</w:t>
            </w:r>
          </w:p>
        </w:tc>
        <w:tc>
          <w:tcPr>
            <w:tcW w:w="600" w:type="dxa"/>
            <w:tcBorders>
              <w:top w:val="nil"/>
              <w:left w:val="nil"/>
              <w:bottom w:val="single" w:sz="4" w:space="0" w:color="BFBFBF"/>
              <w:right w:val="double" w:sz="6" w:space="0" w:color="auto"/>
            </w:tcBorders>
            <w:shd w:val="clear" w:color="auto" w:fill="auto"/>
            <w:noWrap/>
            <w:vAlign w:val="center"/>
          </w:tcPr>
          <w:p w14:paraId="4745C839"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87%</w:t>
            </w:r>
          </w:p>
        </w:tc>
      </w:tr>
      <w:tr w:rsidR="006321C3" w:rsidRPr="006F6A44" w14:paraId="1AF1A85C"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51312888" w14:textId="77777777" w:rsidR="006321C3" w:rsidRPr="006F6A44" w:rsidRDefault="006321C3" w:rsidP="006321C3">
            <w:pPr>
              <w:spacing w:before="0" w:after="0"/>
              <w:rPr>
                <w:rFonts w:ascii="Arial" w:hAnsi="Arial" w:cs="Arial"/>
                <w:color w:val="000000"/>
                <w:sz w:val="16"/>
                <w:szCs w:val="16"/>
                <w:lang w:val="en-AU" w:eastAsia="en-AU"/>
              </w:rPr>
            </w:pPr>
            <w:r w:rsidRPr="006F6A44">
              <w:rPr>
                <w:rFonts w:ascii="Arial" w:hAnsi="Arial" w:cs="Arial"/>
                <w:color w:val="000000"/>
                <w:sz w:val="16"/>
                <w:szCs w:val="16"/>
                <w:lang w:val="en-AU" w:eastAsia="en-AU"/>
              </w:rPr>
              <w:t>Italian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5ECC2C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6F9DA5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7A39E0F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1979629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60C9021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1A6128A2"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1C609C4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4157357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49AA02F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1A41CD6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10" w:type="dxa"/>
            <w:tcBorders>
              <w:top w:val="nil"/>
              <w:left w:val="nil"/>
              <w:bottom w:val="single" w:sz="4" w:space="0" w:color="BFBFBF"/>
              <w:right w:val="single" w:sz="4" w:space="0" w:color="BFBFBF"/>
            </w:tcBorders>
            <w:shd w:val="clear" w:color="auto" w:fill="auto"/>
            <w:noWrap/>
            <w:vAlign w:val="center"/>
          </w:tcPr>
          <w:p w14:paraId="697196F2"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10" w:type="dxa"/>
            <w:tcBorders>
              <w:top w:val="nil"/>
              <w:left w:val="nil"/>
              <w:bottom w:val="single" w:sz="4" w:space="0" w:color="BFBFBF"/>
              <w:right w:val="single" w:sz="4" w:space="0" w:color="auto"/>
            </w:tcBorders>
            <w:shd w:val="clear" w:color="auto" w:fill="auto"/>
            <w:noWrap/>
            <w:vAlign w:val="center"/>
          </w:tcPr>
          <w:p w14:paraId="45B8BA6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3%</w:t>
            </w:r>
          </w:p>
        </w:tc>
        <w:tc>
          <w:tcPr>
            <w:tcW w:w="645" w:type="dxa"/>
            <w:tcBorders>
              <w:top w:val="nil"/>
              <w:left w:val="nil"/>
              <w:bottom w:val="single" w:sz="4" w:space="0" w:color="BFBFBF"/>
              <w:right w:val="single" w:sz="4" w:space="0" w:color="BFBFBF"/>
            </w:tcBorders>
            <w:shd w:val="clear" w:color="auto" w:fill="auto"/>
            <w:noWrap/>
            <w:vAlign w:val="center"/>
          </w:tcPr>
          <w:p w14:paraId="5AD3B7E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074281B2"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1D76314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auto"/>
            </w:tcBorders>
            <w:shd w:val="clear" w:color="auto" w:fill="auto"/>
            <w:noWrap/>
            <w:vAlign w:val="center"/>
          </w:tcPr>
          <w:p w14:paraId="5A4E342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bottom"/>
          </w:tcPr>
          <w:p w14:paraId="0534C76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4D30D4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3FB0C8C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7C13B41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r>
      <w:tr w:rsidR="006321C3" w:rsidRPr="006F6A44" w14:paraId="4C3A9AAE"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43D49395" w14:textId="77777777" w:rsidR="006321C3" w:rsidRPr="006F6A44" w:rsidRDefault="006321C3" w:rsidP="006321C3">
            <w:pPr>
              <w:spacing w:before="0" w:after="0"/>
              <w:rPr>
                <w:rFonts w:ascii="Arial" w:hAnsi="Arial" w:cs="Arial"/>
                <w:color w:val="000000"/>
                <w:sz w:val="16"/>
                <w:szCs w:val="16"/>
                <w:lang w:val="en-AU" w:eastAsia="en-AU"/>
              </w:rPr>
            </w:pPr>
            <w:r w:rsidRPr="006F6A44">
              <w:rPr>
                <w:rFonts w:ascii="Arial" w:hAnsi="Arial" w:cs="Arial"/>
                <w:color w:val="000000"/>
                <w:sz w:val="16"/>
                <w:szCs w:val="16"/>
                <w:lang w:val="en-AU" w:eastAsia="en-AU"/>
              </w:rPr>
              <w:t>Greek</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D2EA3E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1151C608"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0926EBD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35323CCC"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63531F98"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6F000FC"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062733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3%</w:t>
            </w:r>
          </w:p>
        </w:tc>
        <w:tc>
          <w:tcPr>
            <w:tcW w:w="600" w:type="dxa"/>
            <w:tcBorders>
              <w:top w:val="nil"/>
              <w:left w:val="nil"/>
              <w:bottom w:val="single" w:sz="4" w:space="0" w:color="BFBFBF"/>
              <w:right w:val="nil"/>
            </w:tcBorders>
            <w:shd w:val="clear" w:color="auto" w:fill="auto"/>
            <w:noWrap/>
            <w:vAlign w:val="center"/>
          </w:tcPr>
          <w:p w14:paraId="1BEA597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0876562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3ED4446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10" w:type="dxa"/>
            <w:tcBorders>
              <w:top w:val="nil"/>
              <w:left w:val="nil"/>
              <w:bottom w:val="single" w:sz="4" w:space="0" w:color="BFBFBF"/>
              <w:right w:val="single" w:sz="4" w:space="0" w:color="BFBFBF"/>
            </w:tcBorders>
            <w:shd w:val="clear" w:color="auto" w:fill="auto"/>
            <w:noWrap/>
            <w:vAlign w:val="center"/>
          </w:tcPr>
          <w:p w14:paraId="704FFCC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10" w:type="dxa"/>
            <w:tcBorders>
              <w:top w:val="nil"/>
              <w:left w:val="nil"/>
              <w:bottom w:val="single" w:sz="4" w:space="0" w:color="BFBFBF"/>
              <w:right w:val="single" w:sz="4" w:space="0" w:color="auto"/>
            </w:tcBorders>
            <w:shd w:val="clear" w:color="auto" w:fill="auto"/>
            <w:noWrap/>
            <w:vAlign w:val="center"/>
          </w:tcPr>
          <w:p w14:paraId="47A1395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45" w:type="dxa"/>
            <w:tcBorders>
              <w:top w:val="nil"/>
              <w:left w:val="nil"/>
              <w:bottom w:val="single" w:sz="4" w:space="0" w:color="BFBFBF"/>
              <w:right w:val="single" w:sz="4" w:space="0" w:color="BFBFBF"/>
            </w:tcBorders>
            <w:shd w:val="clear" w:color="auto" w:fill="auto"/>
            <w:noWrap/>
            <w:vAlign w:val="center"/>
          </w:tcPr>
          <w:p w14:paraId="0F214008"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09A237B2"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2F3F516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auto"/>
            </w:tcBorders>
            <w:shd w:val="clear" w:color="auto" w:fill="auto"/>
            <w:noWrap/>
            <w:vAlign w:val="center"/>
          </w:tcPr>
          <w:p w14:paraId="2B22969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bottom"/>
          </w:tcPr>
          <w:p w14:paraId="68F6EA5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638968F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298BD51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747BCB7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r>
      <w:tr w:rsidR="006321C3" w:rsidRPr="006F6A44" w14:paraId="5320AE67"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F4CF36D" w14:textId="77777777" w:rsidR="006321C3" w:rsidRPr="006F6A44" w:rsidRDefault="006321C3" w:rsidP="006321C3">
            <w:pPr>
              <w:spacing w:before="0" w:after="0"/>
              <w:rPr>
                <w:rFonts w:ascii="Arial" w:hAnsi="Arial" w:cs="Arial"/>
                <w:color w:val="000000"/>
                <w:sz w:val="16"/>
                <w:szCs w:val="16"/>
                <w:lang w:val="en-AU" w:eastAsia="en-AU"/>
              </w:rPr>
            </w:pPr>
            <w:r w:rsidRPr="006F6A44">
              <w:rPr>
                <w:rFonts w:ascii="Arial" w:hAnsi="Arial" w:cs="Arial"/>
                <w:color w:val="000000"/>
                <w:sz w:val="16"/>
                <w:szCs w:val="16"/>
                <w:lang w:val="en-AU" w:eastAsia="en-AU"/>
              </w:rPr>
              <w:t>Vietnamese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623A438"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605FC97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5C1B5B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03664B7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669B70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209E394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7107BD5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3%</w:t>
            </w:r>
          </w:p>
        </w:tc>
        <w:tc>
          <w:tcPr>
            <w:tcW w:w="600" w:type="dxa"/>
            <w:tcBorders>
              <w:top w:val="nil"/>
              <w:left w:val="nil"/>
              <w:bottom w:val="single" w:sz="4" w:space="0" w:color="BFBFBF"/>
              <w:right w:val="nil"/>
            </w:tcBorders>
            <w:shd w:val="clear" w:color="auto" w:fill="auto"/>
            <w:noWrap/>
            <w:vAlign w:val="center"/>
          </w:tcPr>
          <w:p w14:paraId="50F8ACE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3%</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6F0E914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1CE75B4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10" w:type="dxa"/>
            <w:tcBorders>
              <w:top w:val="nil"/>
              <w:left w:val="nil"/>
              <w:bottom w:val="single" w:sz="4" w:space="0" w:color="BFBFBF"/>
              <w:right w:val="single" w:sz="4" w:space="0" w:color="BFBFBF"/>
            </w:tcBorders>
            <w:shd w:val="clear" w:color="auto" w:fill="auto"/>
            <w:noWrap/>
            <w:vAlign w:val="center"/>
          </w:tcPr>
          <w:p w14:paraId="72A6A05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10" w:type="dxa"/>
            <w:tcBorders>
              <w:top w:val="nil"/>
              <w:left w:val="nil"/>
              <w:bottom w:val="single" w:sz="4" w:space="0" w:color="BFBFBF"/>
              <w:right w:val="single" w:sz="4" w:space="0" w:color="auto"/>
            </w:tcBorders>
            <w:shd w:val="clear" w:color="auto" w:fill="auto"/>
            <w:noWrap/>
            <w:vAlign w:val="center"/>
          </w:tcPr>
          <w:p w14:paraId="7D63189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5DB3BFDC"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53D434C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0EF8EE8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auto"/>
            </w:tcBorders>
            <w:shd w:val="clear" w:color="auto" w:fill="auto"/>
            <w:noWrap/>
            <w:vAlign w:val="center"/>
          </w:tcPr>
          <w:p w14:paraId="7EE2F0F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bottom"/>
          </w:tcPr>
          <w:p w14:paraId="63439B68"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33ADD6E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2F1A0189"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13B99F4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r>
      <w:tr w:rsidR="006321C3" w:rsidRPr="006F6A44" w14:paraId="573F48E7"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7CF7B10" w14:textId="77777777" w:rsidR="006321C3" w:rsidRPr="006F6A44" w:rsidRDefault="006321C3" w:rsidP="006321C3">
            <w:pPr>
              <w:spacing w:before="0" w:after="0"/>
              <w:rPr>
                <w:rFonts w:ascii="Arial" w:hAnsi="Arial" w:cs="Arial"/>
                <w:color w:val="000000"/>
                <w:sz w:val="16"/>
                <w:szCs w:val="16"/>
                <w:lang w:val="en-AU" w:eastAsia="en-AU"/>
              </w:rPr>
            </w:pPr>
            <w:r w:rsidRPr="006F6A44">
              <w:rPr>
                <w:rFonts w:ascii="Arial" w:hAnsi="Arial" w:cs="Arial"/>
                <w:color w:val="000000"/>
                <w:sz w:val="16"/>
                <w:szCs w:val="16"/>
                <w:lang w:val="en-AU" w:eastAsia="en-AU"/>
              </w:rPr>
              <w:t>Arabic</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DB0DFE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658A07D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7B5ABC88"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62FFA4E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4669A6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6F3EECE9"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5C13920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00" w:type="dxa"/>
            <w:tcBorders>
              <w:top w:val="nil"/>
              <w:left w:val="nil"/>
              <w:bottom w:val="single" w:sz="4" w:space="0" w:color="BFBFBF"/>
              <w:right w:val="nil"/>
            </w:tcBorders>
            <w:shd w:val="clear" w:color="auto" w:fill="auto"/>
            <w:noWrap/>
            <w:vAlign w:val="center"/>
          </w:tcPr>
          <w:p w14:paraId="75D5888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1BE3A48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072B575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10" w:type="dxa"/>
            <w:tcBorders>
              <w:top w:val="nil"/>
              <w:left w:val="nil"/>
              <w:bottom w:val="single" w:sz="4" w:space="0" w:color="BFBFBF"/>
              <w:right w:val="single" w:sz="4" w:space="0" w:color="BFBFBF"/>
            </w:tcBorders>
            <w:shd w:val="clear" w:color="auto" w:fill="auto"/>
            <w:noWrap/>
            <w:vAlign w:val="center"/>
          </w:tcPr>
          <w:p w14:paraId="24C3447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10" w:type="dxa"/>
            <w:tcBorders>
              <w:top w:val="nil"/>
              <w:left w:val="nil"/>
              <w:bottom w:val="single" w:sz="4" w:space="0" w:color="BFBFBF"/>
              <w:right w:val="single" w:sz="4" w:space="0" w:color="auto"/>
            </w:tcBorders>
            <w:shd w:val="clear" w:color="auto" w:fill="auto"/>
            <w:noWrap/>
            <w:vAlign w:val="center"/>
          </w:tcPr>
          <w:p w14:paraId="7226F74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5BE93B6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1D98CBB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09CCEC0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auto"/>
            </w:tcBorders>
            <w:shd w:val="clear" w:color="auto" w:fill="auto"/>
            <w:noWrap/>
            <w:vAlign w:val="center"/>
          </w:tcPr>
          <w:p w14:paraId="15877E4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bottom"/>
          </w:tcPr>
          <w:p w14:paraId="0A03D99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0C0068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71C6F5C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78CFCED9"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r>
      <w:tr w:rsidR="006321C3" w:rsidRPr="006F6A44" w14:paraId="525EEF61"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31DC9950" w14:textId="77777777" w:rsidR="006321C3" w:rsidRPr="006F6A44" w:rsidRDefault="006321C3" w:rsidP="006321C3">
            <w:pPr>
              <w:spacing w:before="0" w:after="0"/>
              <w:rPr>
                <w:rFonts w:ascii="Arial" w:hAnsi="Arial" w:cs="Arial"/>
                <w:color w:val="000000"/>
                <w:sz w:val="16"/>
                <w:szCs w:val="16"/>
                <w:lang w:val="en-AU" w:eastAsia="en-AU"/>
              </w:rPr>
            </w:pPr>
            <w:r w:rsidRPr="006F6A44">
              <w:rPr>
                <w:rFonts w:ascii="Arial" w:hAnsi="Arial" w:cs="Arial"/>
                <w:color w:val="000000"/>
                <w:sz w:val="16"/>
                <w:szCs w:val="16"/>
                <w:lang w:val="en-AU" w:eastAsia="en-AU"/>
              </w:rPr>
              <w:t>Spanish</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6F2724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E16A399"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558EF90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68F4503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7FB6438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E4A051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8B2E64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1239FDB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55C795AC"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64C5BDC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110F44E8"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auto"/>
            </w:tcBorders>
            <w:shd w:val="clear" w:color="auto" w:fill="auto"/>
            <w:noWrap/>
            <w:vAlign w:val="center"/>
          </w:tcPr>
          <w:p w14:paraId="11D32D2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6D7920B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5AE7FE1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110C9A3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auto"/>
            </w:tcBorders>
            <w:shd w:val="clear" w:color="auto" w:fill="auto"/>
            <w:noWrap/>
            <w:vAlign w:val="center"/>
          </w:tcPr>
          <w:p w14:paraId="2B861218"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bottom"/>
          </w:tcPr>
          <w:p w14:paraId="5170E6D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7354311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7FED77D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541C07A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r>
      <w:tr w:rsidR="006321C3" w:rsidRPr="006F6A44" w14:paraId="68D2EEE0"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1F12484A" w14:textId="77777777" w:rsidR="006321C3" w:rsidRPr="006F6A44" w:rsidRDefault="006321C3" w:rsidP="006321C3">
            <w:pPr>
              <w:spacing w:before="0" w:after="0"/>
              <w:rPr>
                <w:rFonts w:ascii="Arial" w:hAnsi="Arial" w:cs="Arial"/>
                <w:color w:val="000000"/>
                <w:sz w:val="16"/>
                <w:szCs w:val="16"/>
                <w:lang w:val="en-AU" w:eastAsia="en-AU"/>
              </w:rPr>
            </w:pPr>
            <w:r w:rsidRPr="006F6A44">
              <w:rPr>
                <w:rFonts w:ascii="Arial" w:hAnsi="Arial" w:cs="Arial"/>
                <w:color w:val="000000"/>
                <w:sz w:val="16"/>
                <w:szCs w:val="16"/>
                <w:lang w:val="en-AU" w:eastAsia="en-AU"/>
              </w:rPr>
              <w:t>Turkish</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B6BEF8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16D04A0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FB40B4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4920EFB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F9837C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5DA0F5B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2FFED5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2F41C7E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099DB3F9"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10" w:type="dxa"/>
            <w:tcBorders>
              <w:top w:val="nil"/>
              <w:left w:val="nil"/>
              <w:bottom w:val="single" w:sz="4" w:space="0" w:color="BFBFBF"/>
              <w:right w:val="single" w:sz="4" w:space="0" w:color="BFBFBF"/>
            </w:tcBorders>
            <w:shd w:val="clear" w:color="auto" w:fill="auto"/>
            <w:noWrap/>
            <w:vAlign w:val="center"/>
          </w:tcPr>
          <w:p w14:paraId="020E088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6F6A48A2"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10" w:type="dxa"/>
            <w:tcBorders>
              <w:top w:val="nil"/>
              <w:left w:val="nil"/>
              <w:bottom w:val="single" w:sz="4" w:space="0" w:color="BFBFBF"/>
              <w:right w:val="single" w:sz="4" w:space="0" w:color="auto"/>
            </w:tcBorders>
            <w:shd w:val="clear" w:color="auto" w:fill="auto"/>
            <w:noWrap/>
            <w:vAlign w:val="center"/>
          </w:tcPr>
          <w:p w14:paraId="5B71590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26713AC9"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60E8F14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637E37B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auto"/>
            </w:tcBorders>
            <w:shd w:val="clear" w:color="auto" w:fill="auto"/>
            <w:noWrap/>
            <w:vAlign w:val="center"/>
          </w:tcPr>
          <w:p w14:paraId="7C2B72E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bottom"/>
          </w:tcPr>
          <w:p w14:paraId="29E37CC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1735CF8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668537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6B564CF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r>
      <w:tr w:rsidR="006321C3" w:rsidRPr="006F6A44" w14:paraId="369F4C5A"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F22F717" w14:textId="77777777" w:rsidR="006321C3" w:rsidRPr="006F6A44" w:rsidRDefault="006321C3" w:rsidP="006321C3">
            <w:pPr>
              <w:spacing w:before="0" w:after="0"/>
              <w:rPr>
                <w:rFonts w:ascii="Arial" w:hAnsi="Arial" w:cs="Arial"/>
                <w:color w:val="000000"/>
                <w:sz w:val="16"/>
                <w:szCs w:val="16"/>
                <w:lang w:val="en-AU" w:eastAsia="en-AU"/>
              </w:rPr>
            </w:pPr>
            <w:r w:rsidRPr="006F6A44">
              <w:rPr>
                <w:rFonts w:ascii="Arial" w:hAnsi="Arial" w:cs="Arial"/>
                <w:color w:val="000000"/>
                <w:sz w:val="16"/>
                <w:szCs w:val="16"/>
                <w:lang w:val="en-AU" w:eastAsia="en-AU"/>
              </w:rPr>
              <w:t>Cantonese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B6E26E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BD6C448"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934D4B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4AD0A90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1F033E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3703E2A9"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2B1B3AA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4EA5B032"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4565495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59BBDDB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173544B2"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auto"/>
            </w:tcBorders>
            <w:shd w:val="clear" w:color="auto" w:fill="auto"/>
            <w:noWrap/>
            <w:vAlign w:val="center"/>
          </w:tcPr>
          <w:p w14:paraId="71990F4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17EBA329"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45DF0E52"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193542F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auto"/>
            </w:tcBorders>
            <w:shd w:val="clear" w:color="auto" w:fill="auto"/>
            <w:noWrap/>
            <w:vAlign w:val="center"/>
          </w:tcPr>
          <w:p w14:paraId="2B57F6F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bottom"/>
          </w:tcPr>
          <w:p w14:paraId="68AB5D9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11334D18"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78214B4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3051365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r>
      <w:tr w:rsidR="006321C3" w:rsidRPr="006F6A44" w14:paraId="0F3096F7"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1840E5E0" w14:textId="77777777" w:rsidR="006321C3" w:rsidRPr="006F6A44" w:rsidRDefault="006321C3" w:rsidP="006321C3">
            <w:pPr>
              <w:spacing w:before="0" w:after="0"/>
              <w:rPr>
                <w:rFonts w:ascii="Arial" w:hAnsi="Arial" w:cs="Arial"/>
                <w:color w:val="000000"/>
                <w:sz w:val="16"/>
                <w:szCs w:val="16"/>
                <w:lang w:val="en-AU" w:eastAsia="en-AU"/>
              </w:rPr>
            </w:pPr>
            <w:r w:rsidRPr="006F6A44">
              <w:rPr>
                <w:rFonts w:ascii="Arial" w:hAnsi="Arial" w:cs="Arial"/>
                <w:color w:val="000000"/>
                <w:sz w:val="16"/>
                <w:szCs w:val="16"/>
                <w:lang w:val="en-AU" w:eastAsia="en-AU"/>
              </w:rPr>
              <w:t>Mandarin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CBF794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289D37E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32770E02"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1C61423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A34EEA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3BB42D8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A4331A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4ED430C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3D5F1D3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04F10DF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2EB28D89"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auto"/>
            </w:tcBorders>
            <w:shd w:val="clear" w:color="auto" w:fill="auto"/>
            <w:noWrap/>
            <w:vAlign w:val="center"/>
          </w:tcPr>
          <w:p w14:paraId="12EC867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16EEE72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6625D8C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54F9DA1A"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auto"/>
            </w:tcBorders>
            <w:shd w:val="clear" w:color="auto" w:fill="auto"/>
            <w:noWrap/>
            <w:vAlign w:val="center"/>
          </w:tcPr>
          <w:p w14:paraId="1030FDC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bottom"/>
          </w:tcPr>
          <w:p w14:paraId="42855998"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10CAF7E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5964BE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01EA28EC"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1%</w:t>
            </w:r>
          </w:p>
        </w:tc>
      </w:tr>
      <w:tr w:rsidR="006321C3" w:rsidRPr="006F6A44" w14:paraId="78C2FCF2"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561C422C" w14:textId="77777777" w:rsidR="006321C3" w:rsidRPr="006F6A44" w:rsidRDefault="006321C3" w:rsidP="006321C3">
            <w:pPr>
              <w:spacing w:before="0" w:after="0"/>
              <w:rPr>
                <w:rFonts w:ascii="Arial" w:hAnsi="Arial" w:cs="Arial"/>
                <w:color w:val="000000"/>
                <w:sz w:val="16"/>
                <w:szCs w:val="16"/>
                <w:lang w:val="en-AU" w:eastAsia="en-AU"/>
              </w:rPr>
            </w:pPr>
            <w:r w:rsidRPr="006F6A44">
              <w:rPr>
                <w:rFonts w:ascii="Arial" w:hAnsi="Arial" w:cs="Arial"/>
                <w:color w:val="000000"/>
                <w:sz w:val="16"/>
                <w:szCs w:val="16"/>
                <w:lang w:val="en-AU" w:eastAsia="en-AU"/>
              </w:rPr>
              <w:t>Other</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523648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09D57BD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5DFDDD2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6F19CB0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4B8FA02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6000619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BFBFBF"/>
            </w:tcBorders>
            <w:shd w:val="clear" w:color="auto" w:fill="auto"/>
            <w:noWrap/>
            <w:vAlign w:val="center"/>
          </w:tcPr>
          <w:p w14:paraId="09ABF09D"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6%</w:t>
            </w:r>
          </w:p>
        </w:tc>
        <w:tc>
          <w:tcPr>
            <w:tcW w:w="600" w:type="dxa"/>
            <w:tcBorders>
              <w:top w:val="nil"/>
              <w:left w:val="nil"/>
              <w:bottom w:val="single" w:sz="4" w:space="0" w:color="BFBFBF"/>
              <w:right w:val="nil"/>
            </w:tcBorders>
            <w:shd w:val="clear" w:color="auto" w:fill="auto"/>
            <w:noWrap/>
            <w:vAlign w:val="center"/>
          </w:tcPr>
          <w:p w14:paraId="243A70F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7%</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710C2A2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2%</w:t>
            </w:r>
          </w:p>
        </w:tc>
        <w:tc>
          <w:tcPr>
            <w:tcW w:w="610" w:type="dxa"/>
            <w:tcBorders>
              <w:top w:val="nil"/>
              <w:left w:val="nil"/>
              <w:bottom w:val="single" w:sz="4" w:space="0" w:color="BFBFBF"/>
              <w:right w:val="single" w:sz="4" w:space="0" w:color="BFBFBF"/>
            </w:tcBorders>
            <w:shd w:val="clear" w:color="auto" w:fill="auto"/>
            <w:noWrap/>
            <w:vAlign w:val="center"/>
          </w:tcPr>
          <w:p w14:paraId="7AB9775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5%</w:t>
            </w:r>
          </w:p>
        </w:tc>
        <w:tc>
          <w:tcPr>
            <w:tcW w:w="610" w:type="dxa"/>
            <w:tcBorders>
              <w:top w:val="nil"/>
              <w:left w:val="nil"/>
              <w:bottom w:val="single" w:sz="4" w:space="0" w:color="BFBFBF"/>
              <w:right w:val="single" w:sz="4" w:space="0" w:color="BFBFBF"/>
            </w:tcBorders>
            <w:shd w:val="clear" w:color="auto" w:fill="auto"/>
            <w:noWrap/>
            <w:vAlign w:val="center"/>
          </w:tcPr>
          <w:p w14:paraId="382399AC"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6</w:t>
            </w:r>
          </w:p>
        </w:tc>
        <w:tc>
          <w:tcPr>
            <w:tcW w:w="610" w:type="dxa"/>
            <w:tcBorders>
              <w:top w:val="nil"/>
              <w:left w:val="nil"/>
              <w:bottom w:val="single" w:sz="4" w:space="0" w:color="BFBFBF"/>
              <w:right w:val="single" w:sz="4" w:space="0" w:color="auto"/>
            </w:tcBorders>
            <w:shd w:val="clear" w:color="auto" w:fill="auto"/>
            <w:noWrap/>
            <w:vAlign w:val="center"/>
          </w:tcPr>
          <w:p w14:paraId="48CB325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5%</w:t>
            </w:r>
          </w:p>
        </w:tc>
        <w:tc>
          <w:tcPr>
            <w:tcW w:w="645" w:type="dxa"/>
            <w:tcBorders>
              <w:top w:val="nil"/>
              <w:left w:val="nil"/>
              <w:bottom w:val="single" w:sz="4" w:space="0" w:color="BFBFBF"/>
              <w:right w:val="single" w:sz="4" w:space="0" w:color="BFBFBF"/>
            </w:tcBorders>
            <w:shd w:val="clear" w:color="auto" w:fill="auto"/>
            <w:noWrap/>
            <w:vAlign w:val="center"/>
          </w:tcPr>
          <w:p w14:paraId="3656880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4%</w:t>
            </w:r>
          </w:p>
        </w:tc>
        <w:tc>
          <w:tcPr>
            <w:tcW w:w="645" w:type="dxa"/>
            <w:tcBorders>
              <w:top w:val="nil"/>
              <w:left w:val="nil"/>
              <w:bottom w:val="single" w:sz="4" w:space="0" w:color="BFBFBF"/>
              <w:right w:val="single" w:sz="4" w:space="0" w:color="BFBFBF"/>
            </w:tcBorders>
            <w:shd w:val="clear" w:color="auto" w:fill="auto"/>
            <w:noWrap/>
            <w:vAlign w:val="center"/>
          </w:tcPr>
          <w:p w14:paraId="30AC266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4%</w:t>
            </w:r>
          </w:p>
        </w:tc>
        <w:tc>
          <w:tcPr>
            <w:tcW w:w="645" w:type="dxa"/>
            <w:tcBorders>
              <w:top w:val="nil"/>
              <w:left w:val="nil"/>
              <w:bottom w:val="single" w:sz="4" w:space="0" w:color="BFBFBF"/>
              <w:right w:val="single" w:sz="4" w:space="0" w:color="BFBFBF"/>
            </w:tcBorders>
            <w:shd w:val="clear" w:color="auto" w:fill="auto"/>
            <w:noWrap/>
            <w:vAlign w:val="center"/>
          </w:tcPr>
          <w:p w14:paraId="574A961C"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6%</w:t>
            </w:r>
          </w:p>
        </w:tc>
        <w:tc>
          <w:tcPr>
            <w:tcW w:w="645" w:type="dxa"/>
            <w:tcBorders>
              <w:top w:val="nil"/>
              <w:left w:val="nil"/>
              <w:bottom w:val="single" w:sz="4" w:space="0" w:color="BFBFBF"/>
              <w:right w:val="single" w:sz="4" w:space="0" w:color="auto"/>
            </w:tcBorders>
            <w:shd w:val="clear" w:color="auto" w:fill="auto"/>
            <w:noWrap/>
            <w:vAlign w:val="center"/>
          </w:tcPr>
          <w:p w14:paraId="636D95B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bottom"/>
          </w:tcPr>
          <w:p w14:paraId="7E14D29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7FDFA72B"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421D255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6</w:t>
            </w:r>
          </w:p>
        </w:tc>
        <w:tc>
          <w:tcPr>
            <w:tcW w:w="600" w:type="dxa"/>
            <w:tcBorders>
              <w:top w:val="nil"/>
              <w:left w:val="nil"/>
              <w:bottom w:val="single" w:sz="4" w:space="0" w:color="BFBFBF"/>
              <w:right w:val="double" w:sz="6" w:space="0" w:color="auto"/>
            </w:tcBorders>
            <w:shd w:val="clear" w:color="auto" w:fill="auto"/>
            <w:noWrap/>
            <w:vAlign w:val="center"/>
          </w:tcPr>
          <w:p w14:paraId="732F4DA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5%</w:t>
            </w:r>
          </w:p>
        </w:tc>
      </w:tr>
      <w:tr w:rsidR="006321C3" w:rsidRPr="006F6A44" w14:paraId="0DCEDFEF" w14:textId="77777777" w:rsidTr="00BD2674">
        <w:trPr>
          <w:trHeight w:val="240"/>
          <w:jc w:val="center"/>
        </w:trPr>
        <w:tc>
          <w:tcPr>
            <w:tcW w:w="2160" w:type="dxa"/>
            <w:tcBorders>
              <w:top w:val="nil"/>
              <w:left w:val="double" w:sz="6" w:space="0" w:color="auto"/>
              <w:bottom w:val="double" w:sz="6" w:space="0" w:color="auto"/>
              <w:right w:val="nil"/>
            </w:tcBorders>
            <w:shd w:val="clear" w:color="auto" w:fill="auto"/>
            <w:noWrap/>
            <w:vAlign w:val="center"/>
          </w:tcPr>
          <w:p w14:paraId="6B6EC4BA" w14:textId="77777777" w:rsidR="006321C3" w:rsidRPr="006F6A44" w:rsidRDefault="006321C3" w:rsidP="006321C3">
            <w:pPr>
              <w:spacing w:before="0" w:after="0"/>
              <w:rPr>
                <w:rFonts w:ascii="Arial" w:hAnsi="Arial" w:cs="Arial"/>
                <w:color w:val="000000"/>
                <w:sz w:val="16"/>
                <w:szCs w:val="16"/>
                <w:lang w:val="en-AU" w:eastAsia="en-AU"/>
              </w:rPr>
            </w:pPr>
            <w:r w:rsidRPr="006F6A44">
              <w:rPr>
                <w:rFonts w:ascii="Arial" w:hAnsi="Arial" w:cs="Arial"/>
                <w:color w:val="000000"/>
                <w:sz w:val="16"/>
                <w:szCs w:val="16"/>
                <w:lang w:val="en-AU" w:eastAsia="en-AU"/>
              </w:rPr>
              <w:t>Can't say</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137DF44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62121AF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6BA2672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auto"/>
            </w:tcBorders>
            <w:shd w:val="clear" w:color="auto" w:fill="auto"/>
            <w:noWrap/>
            <w:vAlign w:val="center"/>
          </w:tcPr>
          <w:p w14:paraId="505B2332"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536216A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750B9DD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59B3428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double" w:sz="6" w:space="0" w:color="auto"/>
              <w:right w:val="nil"/>
            </w:tcBorders>
            <w:shd w:val="clear" w:color="auto" w:fill="auto"/>
            <w:noWrap/>
            <w:vAlign w:val="center"/>
          </w:tcPr>
          <w:p w14:paraId="4D0B4360"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single" w:sz="4" w:space="0" w:color="auto"/>
              <w:bottom w:val="double" w:sz="6" w:space="0" w:color="auto"/>
              <w:right w:val="single" w:sz="4" w:space="0" w:color="BFBFBF"/>
            </w:tcBorders>
            <w:shd w:val="clear" w:color="auto" w:fill="auto"/>
            <w:noWrap/>
            <w:vAlign w:val="center"/>
          </w:tcPr>
          <w:p w14:paraId="4424A50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double" w:sz="6" w:space="0" w:color="auto"/>
              <w:right w:val="single" w:sz="4" w:space="0" w:color="BFBFBF"/>
            </w:tcBorders>
            <w:shd w:val="clear" w:color="auto" w:fill="auto"/>
            <w:noWrap/>
            <w:vAlign w:val="center"/>
          </w:tcPr>
          <w:p w14:paraId="4CDBA74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double" w:sz="6" w:space="0" w:color="auto"/>
              <w:right w:val="single" w:sz="4" w:space="0" w:color="BFBFBF"/>
            </w:tcBorders>
            <w:shd w:val="clear" w:color="auto" w:fill="auto"/>
            <w:noWrap/>
            <w:vAlign w:val="center"/>
          </w:tcPr>
          <w:p w14:paraId="21AD2F4E"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10" w:type="dxa"/>
            <w:tcBorders>
              <w:top w:val="nil"/>
              <w:left w:val="nil"/>
              <w:bottom w:val="double" w:sz="6" w:space="0" w:color="auto"/>
              <w:right w:val="single" w:sz="4" w:space="0" w:color="auto"/>
            </w:tcBorders>
            <w:shd w:val="clear" w:color="auto" w:fill="auto"/>
            <w:noWrap/>
            <w:vAlign w:val="center"/>
          </w:tcPr>
          <w:p w14:paraId="0BFC7504"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double" w:sz="6" w:space="0" w:color="auto"/>
              <w:right w:val="single" w:sz="4" w:space="0" w:color="BFBFBF"/>
            </w:tcBorders>
            <w:shd w:val="clear" w:color="auto" w:fill="auto"/>
            <w:noWrap/>
            <w:vAlign w:val="center"/>
          </w:tcPr>
          <w:p w14:paraId="6F21DE56"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double" w:sz="6" w:space="0" w:color="auto"/>
              <w:right w:val="single" w:sz="4" w:space="0" w:color="BFBFBF"/>
            </w:tcBorders>
            <w:shd w:val="clear" w:color="auto" w:fill="auto"/>
            <w:noWrap/>
            <w:vAlign w:val="center"/>
          </w:tcPr>
          <w:p w14:paraId="015B78D1"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double" w:sz="6" w:space="0" w:color="auto"/>
              <w:right w:val="single" w:sz="4" w:space="0" w:color="BFBFBF"/>
            </w:tcBorders>
            <w:shd w:val="clear" w:color="auto" w:fill="auto"/>
            <w:noWrap/>
            <w:vAlign w:val="center"/>
          </w:tcPr>
          <w:p w14:paraId="2D3688DF"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45" w:type="dxa"/>
            <w:tcBorders>
              <w:top w:val="nil"/>
              <w:left w:val="nil"/>
              <w:bottom w:val="double" w:sz="6" w:space="0" w:color="auto"/>
              <w:right w:val="single" w:sz="4" w:space="0" w:color="auto"/>
            </w:tcBorders>
            <w:shd w:val="clear" w:color="auto" w:fill="auto"/>
            <w:noWrap/>
            <w:vAlign w:val="center"/>
          </w:tcPr>
          <w:p w14:paraId="202DAD8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bottom"/>
          </w:tcPr>
          <w:p w14:paraId="1366E335"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6D272B33"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12B13BE7"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c>
          <w:tcPr>
            <w:tcW w:w="600" w:type="dxa"/>
            <w:tcBorders>
              <w:top w:val="nil"/>
              <w:left w:val="nil"/>
              <w:bottom w:val="double" w:sz="6" w:space="0" w:color="auto"/>
              <w:right w:val="double" w:sz="6" w:space="0" w:color="auto"/>
            </w:tcBorders>
            <w:shd w:val="clear" w:color="auto" w:fill="auto"/>
            <w:noWrap/>
            <w:vAlign w:val="center"/>
          </w:tcPr>
          <w:p w14:paraId="3453CC3C" w14:textId="77777777" w:rsidR="006321C3" w:rsidRPr="006F6A44" w:rsidRDefault="006321C3" w:rsidP="006321C3">
            <w:pPr>
              <w:spacing w:before="0" w:after="0"/>
              <w:jc w:val="center"/>
              <w:rPr>
                <w:rFonts w:ascii="Arial" w:hAnsi="Arial" w:cs="Arial"/>
                <w:color w:val="000000"/>
                <w:sz w:val="16"/>
                <w:szCs w:val="16"/>
                <w:lang w:val="en-AU" w:eastAsia="en-AU"/>
              </w:rPr>
            </w:pPr>
            <w:r w:rsidRPr="006F6A44">
              <w:rPr>
                <w:rFonts w:ascii="Arial" w:hAnsi="Arial" w:cs="Arial"/>
                <w:color w:val="000000"/>
                <w:sz w:val="16"/>
                <w:szCs w:val="16"/>
                <w:lang w:val="en-AU" w:eastAsia="en-AU"/>
              </w:rPr>
              <w:t>-</w:t>
            </w:r>
          </w:p>
        </w:tc>
      </w:tr>
    </w:tbl>
    <w:p w14:paraId="547187E6" w14:textId="77777777" w:rsidR="00E02C75" w:rsidRPr="006F6A44" w:rsidRDefault="00E02C75" w:rsidP="00BD2674">
      <w:pPr>
        <w:pStyle w:val="Para"/>
        <w:rPr>
          <w:sz w:val="20"/>
          <w:lang w:val="en-AU"/>
        </w:rPr>
      </w:pPr>
      <w:r w:rsidRPr="006F6A44">
        <w:rPr>
          <w:sz w:val="20"/>
          <w:lang w:val="en-AU"/>
        </w:rPr>
        <w:t xml:space="preserve">Base: Total respondents, </w:t>
      </w:r>
      <w:r w:rsidR="00171A2C" w:rsidRPr="006F6A44">
        <w:rPr>
          <w:sz w:val="20"/>
          <w:lang w:val="en-AU"/>
        </w:rPr>
        <w:t xml:space="preserve">2014 (n=1,861); </w:t>
      </w:r>
      <w:r w:rsidRPr="006F6A44">
        <w:rPr>
          <w:sz w:val="20"/>
          <w:lang w:val="en-AU"/>
        </w:rPr>
        <w:t>2007 (n=2,061); 2001 (n=2,006); 1996 (n=2,000)</w:t>
      </w:r>
    </w:p>
    <w:p w14:paraId="5981F074" w14:textId="77777777" w:rsidR="003920D8" w:rsidRPr="00381923" w:rsidRDefault="00E02C75">
      <w:pPr>
        <w:pStyle w:val="Heading3"/>
        <w:tabs>
          <w:tab w:val="clear" w:pos="8517"/>
          <w:tab w:val="num" w:pos="851"/>
        </w:tabs>
        <w:ind w:hanging="8517"/>
        <w:rPr>
          <w:lang w:val="en-AU"/>
        </w:rPr>
      </w:pPr>
      <w:bookmarkStart w:id="124" w:name="_Toc439198290"/>
      <w:bookmarkStart w:id="125" w:name="_Toc445571673"/>
      <w:r w:rsidRPr="00381923">
        <w:rPr>
          <w:lang w:val="en-AU"/>
        </w:rPr>
        <w:lastRenderedPageBreak/>
        <w:t>Home Ownership Status</w:t>
      </w:r>
      <w:bookmarkEnd w:id="124"/>
      <w:bookmarkEnd w:id="125"/>
    </w:p>
    <w:p w14:paraId="68F289B9" w14:textId="77777777" w:rsidR="00B02554" w:rsidRPr="00381923" w:rsidRDefault="00B02554" w:rsidP="00E02C75">
      <w:pPr>
        <w:pStyle w:val="Para"/>
        <w:rPr>
          <w:lang w:val="en-AU"/>
        </w:rPr>
      </w:pPr>
    </w:p>
    <w:p w14:paraId="3B9A7A83" w14:textId="68C65EAE" w:rsidR="00E02C75" w:rsidRPr="00381923" w:rsidRDefault="00041263" w:rsidP="00E02C75">
      <w:pPr>
        <w:pStyle w:val="Para"/>
        <w:rPr>
          <w:lang w:val="en-AU"/>
        </w:rPr>
      </w:pPr>
      <w:r>
        <w:rPr>
          <w:lang w:val="en-AU"/>
        </w:rPr>
        <w:t>Four-fifths</w:t>
      </w:r>
      <w:r w:rsidR="00E02C75" w:rsidRPr="00381923">
        <w:rPr>
          <w:lang w:val="en-AU"/>
        </w:rPr>
        <w:t xml:space="preserve"> (</w:t>
      </w:r>
      <w:r w:rsidR="00381923" w:rsidRPr="00381923">
        <w:rPr>
          <w:lang w:val="en-AU"/>
        </w:rPr>
        <w:t>80</w:t>
      </w:r>
      <w:r w:rsidR="00E02C75" w:rsidRPr="00381923">
        <w:rPr>
          <w:lang w:val="en-AU"/>
        </w:rPr>
        <w:t>%) of respondents were currently buying or already owned their own home at the time of the 20</w:t>
      </w:r>
      <w:r w:rsidR="009E45A3" w:rsidRPr="00381923">
        <w:rPr>
          <w:lang w:val="en-AU"/>
        </w:rPr>
        <w:t>14</w:t>
      </w:r>
      <w:r w:rsidR="00E02C75" w:rsidRPr="00381923">
        <w:rPr>
          <w:lang w:val="en-AU"/>
        </w:rPr>
        <w:t xml:space="preserve"> survey, w</w:t>
      </w:r>
      <w:r w:rsidR="009E45A3" w:rsidRPr="00381923">
        <w:rPr>
          <w:lang w:val="en-AU"/>
        </w:rPr>
        <w:t xml:space="preserve">hile 20% </w:t>
      </w:r>
      <w:r w:rsidR="00E02C75" w:rsidRPr="00381923">
        <w:rPr>
          <w:lang w:val="en-AU"/>
        </w:rPr>
        <w:t>were renting public or private accommodation</w:t>
      </w:r>
      <w:r w:rsidR="0057268F" w:rsidRPr="00381923">
        <w:rPr>
          <w:lang w:val="en-AU"/>
        </w:rPr>
        <w:t xml:space="preserve"> (see Table 3.3.6)</w:t>
      </w:r>
      <w:r w:rsidR="00E02C75" w:rsidRPr="00381923">
        <w:rPr>
          <w:lang w:val="en-AU"/>
        </w:rPr>
        <w:t xml:space="preserve">.  </w:t>
      </w:r>
      <w:r w:rsidR="000E4758" w:rsidRPr="00381923">
        <w:rPr>
          <w:lang w:val="en-AU"/>
        </w:rPr>
        <w:t xml:space="preserve">Owning or paying off a home was more prevalent </w:t>
      </w:r>
      <w:r w:rsidR="00B02554" w:rsidRPr="00381923">
        <w:rPr>
          <w:lang w:val="en-AU"/>
        </w:rPr>
        <w:t>amongst</w:t>
      </w:r>
      <w:r w:rsidR="000E4758" w:rsidRPr="00381923">
        <w:rPr>
          <w:lang w:val="en-AU"/>
        </w:rPr>
        <w:t xml:space="preserve"> non-concession households (87%) than concession households (7</w:t>
      </w:r>
      <w:r w:rsidR="00381923" w:rsidRPr="00381923">
        <w:rPr>
          <w:lang w:val="en-AU"/>
        </w:rPr>
        <w:t>1</w:t>
      </w:r>
      <w:r w:rsidR="000E4758" w:rsidRPr="00381923">
        <w:rPr>
          <w:lang w:val="en-AU"/>
        </w:rPr>
        <w:t xml:space="preserve">%), though 84% of aged concession households were home owners, including 79% who owned their house outright. </w:t>
      </w:r>
      <w:r w:rsidR="00E02C75" w:rsidRPr="00381923">
        <w:rPr>
          <w:lang w:val="en-AU"/>
        </w:rPr>
        <w:t xml:space="preserve"> Renting </w:t>
      </w:r>
      <w:r w:rsidR="00B02554" w:rsidRPr="00381923">
        <w:rPr>
          <w:lang w:val="en-AU"/>
        </w:rPr>
        <w:t>was</w:t>
      </w:r>
      <w:r w:rsidR="00E02C75" w:rsidRPr="00381923">
        <w:rPr>
          <w:lang w:val="en-AU"/>
        </w:rPr>
        <w:t xml:space="preserve"> far more prevalent among </w:t>
      </w:r>
      <w:r w:rsidR="0055008C" w:rsidRPr="00381923">
        <w:rPr>
          <w:lang w:val="en-AU"/>
        </w:rPr>
        <w:t>other concession</w:t>
      </w:r>
      <w:r w:rsidR="00E02C75" w:rsidRPr="00381923">
        <w:rPr>
          <w:lang w:val="en-AU"/>
        </w:rPr>
        <w:t xml:space="preserve"> households (4</w:t>
      </w:r>
      <w:r w:rsidR="00381923" w:rsidRPr="00381923">
        <w:rPr>
          <w:lang w:val="en-AU"/>
        </w:rPr>
        <w:t>3</w:t>
      </w:r>
      <w:r w:rsidR="00E02C75" w:rsidRPr="00381923">
        <w:rPr>
          <w:lang w:val="en-AU"/>
        </w:rPr>
        <w:t xml:space="preserve">%) compared with </w:t>
      </w:r>
      <w:r w:rsidR="00513F11" w:rsidRPr="00381923">
        <w:rPr>
          <w:lang w:val="en-AU"/>
        </w:rPr>
        <w:t>aged concession</w:t>
      </w:r>
      <w:r w:rsidR="00E02C75" w:rsidRPr="00381923">
        <w:rPr>
          <w:lang w:val="en-AU"/>
        </w:rPr>
        <w:t xml:space="preserve"> (1</w:t>
      </w:r>
      <w:r w:rsidR="000E4758" w:rsidRPr="00381923">
        <w:rPr>
          <w:lang w:val="en-AU"/>
        </w:rPr>
        <w:t>5</w:t>
      </w:r>
      <w:r w:rsidR="00E02C75" w:rsidRPr="00381923">
        <w:rPr>
          <w:lang w:val="en-AU"/>
        </w:rPr>
        <w:t>%) and non-concession households (1</w:t>
      </w:r>
      <w:r w:rsidR="000E4758" w:rsidRPr="00381923">
        <w:rPr>
          <w:lang w:val="en-AU"/>
        </w:rPr>
        <w:t>3</w:t>
      </w:r>
      <w:r w:rsidR="00E02C75" w:rsidRPr="00381923">
        <w:rPr>
          <w:lang w:val="en-AU"/>
        </w:rPr>
        <w:t xml:space="preserve">%). </w:t>
      </w:r>
    </w:p>
    <w:p w14:paraId="305ADA8B" w14:textId="77777777" w:rsidR="00E02C75" w:rsidRPr="00DA3B75" w:rsidRDefault="00E02C75" w:rsidP="00E02C75">
      <w:pPr>
        <w:pStyle w:val="Para"/>
        <w:rPr>
          <w:highlight w:val="yellow"/>
          <w:lang w:val="en-AU"/>
        </w:rPr>
      </w:pPr>
    </w:p>
    <w:p w14:paraId="287ED001" w14:textId="77777777" w:rsidR="00E02C75" w:rsidRPr="00381923" w:rsidRDefault="00DB0FD5" w:rsidP="00E02C75">
      <w:pPr>
        <w:pStyle w:val="Para"/>
        <w:rPr>
          <w:lang w:val="en-AU"/>
        </w:rPr>
      </w:pPr>
      <w:r w:rsidRPr="00381923">
        <w:rPr>
          <w:lang w:val="en-AU"/>
        </w:rPr>
        <w:t xml:space="preserve">There was virtually no difference in the rates of home ownership between households from </w:t>
      </w:r>
      <w:smartTag w:uri="urn:schemas-microsoft-com:office:smarttags" w:element="City">
        <w:r w:rsidRPr="00381923">
          <w:rPr>
            <w:lang w:val="en-AU"/>
          </w:rPr>
          <w:t>Melbourne</w:t>
        </w:r>
      </w:smartTag>
      <w:r w:rsidR="00FB4973" w:rsidRPr="00381923">
        <w:rPr>
          <w:lang w:val="en-AU"/>
        </w:rPr>
        <w:t xml:space="preserve"> and country </w:t>
      </w:r>
      <w:smartTag w:uri="urn:schemas-microsoft-com:office:smarttags" w:element="State">
        <w:smartTag w:uri="urn:schemas-microsoft-com:office:smarttags" w:element="place">
          <w:r w:rsidR="00FB4973" w:rsidRPr="00381923">
            <w:rPr>
              <w:lang w:val="en-AU"/>
            </w:rPr>
            <w:t>Victoria</w:t>
          </w:r>
        </w:smartTag>
      </w:smartTag>
      <w:r w:rsidRPr="00381923">
        <w:rPr>
          <w:lang w:val="en-AU"/>
        </w:rPr>
        <w:t>.</w:t>
      </w:r>
    </w:p>
    <w:p w14:paraId="23FE711C" w14:textId="77777777" w:rsidR="00E02C75" w:rsidRPr="00381923" w:rsidRDefault="00E02C75" w:rsidP="00E02C75">
      <w:pPr>
        <w:pStyle w:val="Para"/>
        <w:rPr>
          <w:b/>
          <w:lang w:val="en-AU"/>
        </w:rPr>
      </w:pPr>
    </w:p>
    <w:p w14:paraId="7346023B" w14:textId="77777777" w:rsidR="00E02C75" w:rsidRPr="00381923" w:rsidRDefault="00E02C75" w:rsidP="00BD2674">
      <w:pPr>
        <w:pStyle w:val="Para"/>
        <w:jc w:val="center"/>
        <w:outlineLvl w:val="0"/>
        <w:rPr>
          <w:b/>
          <w:u w:val="single"/>
          <w:lang w:val="en-AU"/>
        </w:rPr>
      </w:pPr>
      <w:r w:rsidRPr="00381923">
        <w:rPr>
          <w:b/>
          <w:lang w:val="en-AU"/>
        </w:rPr>
        <w:t xml:space="preserve">Table 3.3.6: </w:t>
      </w:r>
      <w:r w:rsidRPr="00381923">
        <w:rPr>
          <w:b/>
          <w:u w:val="single"/>
          <w:lang w:val="en-AU"/>
        </w:rPr>
        <w:t>Sample Home Ownership Status</w:t>
      </w:r>
    </w:p>
    <w:p w14:paraId="5FD08113" w14:textId="77777777" w:rsidR="006321C3" w:rsidRPr="00381923" w:rsidRDefault="006321C3" w:rsidP="00E02C75">
      <w:pPr>
        <w:pStyle w:val="Para"/>
        <w:outlineLvl w:val="0"/>
        <w:rPr>
          <w:b/>
          <w:lang w:val="en-AU"/>
        </w:rPr>
      </w:pPr>
    </w:p>
    <w:tbl>
      <w:tblPr>
        <w:tblW w:w="14380" w:type="dxa"/>
        <w:jc w:val="center"/>
        <w:tblLook w:val="04A0" w:firstRow="1" w:lastRow="0" w:firstColumn="1" w:lastColumn="0" w:noHBand="0" w:noVBand="1"/>
      </w:tblPr>
      <w:tblGrid>
        <w:gridCol w:w="2160"/>
        <w:gridCol w:w="600"/>
        <w:gridCol w:w="600"/>
        <w:gridCol w:w="600"/>
        <w:gridCol w:w="600"/>
        <w:gridCol w:w="600"/>
        <w:gridCol w:w="600"/>
        <w:gridCol w:w="600"/>
        <w:gridCol w:w="600"/>
        <w:gridCol w:w="610"/>
        <w:gridCol w:w="610"/>
        <w:gridCol w:w="610"/>
        <w:gridCol w:w="610"/>
        <w:gridCol w:w="645"/>
        <w:gridCol w:w="645"/>
        <w:gridCol w:w="645"/>
        <w:gridCol w:w="645"/>
        <w:gridCol w:w="600"/>
        <w:gridCol w:w="600"/>
        <w:gridCol w:w="600"/>
        <w:gridCol w:w="600"/>
      </w:tblGrid>
      <w:tr w:rsidR="006321C3" w:rsidRPr="00381923" w14:paraId="291EA515" w14:textId="77777777" w:rsidTr="00BD2674">
        <w:trPr>
          <w:trHeight w:val="330"/>
          <w:jc w:val="center"/>
        </w:trPr>
        <w:tc>
          <w:tcPr>
            <w:tcW w:w="2160" w:type="dxa"/>
            <w:vMerge w:val="restart"/>
            <w:tcBorders>
              <w:top w:val="double" w:sz="6" w:space="0" w:color="auto"/>
              <w:left w:val="double" w:sz="6" w:space="0" w:color="auto"/>
              <w:bottom w:val="single" w:sz="4" w:space="0" w:color="BFBFBF"/>
              <w:right w:val="nil"/>
            </w:tcBorders>
            <w:shd w:val="clear" w:color="auto" w:fill="auto"/>
            <w:noWrap/>
            <w:vAlign w:val="center"/>
          </w:tcPr>
          <w:p w14:paraId="5CF4A89E" w14:textId="77777777" w:rsidR="006321C3" w:rsidRPr="00381923" w:rsidRDefault="006321C3" w:rsidP="006321C3">
            <w:pPr>
              <w:spacing w:before="0" w:after="0"/>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Home Ownership Status</w:t>
            </w:r>
          </w:p>
        </w:tc>
        <w:tc>
          <w:tcPr>
            <w:tcW w:w="240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30F592C3"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Aged Concession HHs</w:t>
            </w:r>
          </w:p>
        </w:tc>
        <w:tc>
          <w:tcPr>
            <w:tcW w:w="2400" w:type="dxa"/>
            <w:gridSpan w:val="4"/>
            <w:tcBorders>
              <w:top w:val="double" w:sz="6" w:space="0" w:color="auto"/>
              <w:left w:val="nil"/>
              <w:bottom w:val="single" w:sz="4" w:space="0" w:color="BFBFBF"/>
              <w:right w:val="single" w:sz="4" w:space="0" w:color="BFBFBF"/>
            </w:tcBorders>
            <w:shd w:val="clear" w:color="auto" w:fill="auto"/>
            <w:noWrap/>
            <w:vAlign w:val="center"/>
          </w:tcPr>
          <w:p w14:paraId="580C02C1"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Other Concession HHs</w:t>
            </w:r>
          </w:p>
        </w:tc>
        <w:tc>
          <w:tcPr>
            <w:tcW w:w="244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5FD27DA1"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Total Concession HHs</w:t>
            </w:r>
          </w:p>
        </w:tc>
        <w:tc>
          <w:tcPr>
            <w:tcW w:w="2580" w:type="dxa"/>
            <w:gridSpan w:val="4"/>
            <w:tcBorders>
              <w:top w:val="double" w:sz="6" w:space="0" w:color="auto"/>
              <w:left w:val="nil"/>
              <w:bottom w:val="single" w:sz="4" w:space="0" w:color="BFBFBF"/>
              <w:right w:val="single" w:sz="4" w:space="0" w:color="000000"/>
            </w:tcBorders>
            <w:shd w:val="clear" w:color="auto" w:fill="auto"/>
            <w:noWrap/>
            <w:vAlign w:val="center"/>
          </w:tcPr>
          <w:p w14:paraId="292A6953"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Non-Concession HHs</w:t>
            </w:r>
          </w:p>
        </w:tc>
        <w:tc>
          <w:tcPr>
            <w:tcW w:w="2400" w:type="dxa"/>
            <w:gridSpan w:val="4"/>
            <w:tcBorders>
              <w:top w:val="double" w:sz="6" w:space="0" w:color="auto"/>
              <w:left w:val="nil"/>
              <w:bottom w:val="single" w:sz="4" w:space="0" w:color="BFBFBF"/>
              <w:right w:val="double" w:sz="6" w:space="0" w:color="000000"/>
            </w:tcBorders>
            <w:shd w:val="clear" w:color="auto" w:fill="auto"/>
            <w:noWrap/>
            <w:vAlign w:val="center"/>
          </w:tcPr>
          <w:p w14:paraId="5B1754D7"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Total HHs</w:t>
            </w:r>
          </w:p>
        </w:tc>
      </w:tr>
      <w:tr w:rsidR="006321C3" w:rsidRPr="00381923" w14:paraId="034DB9C8" w14:textId="77777777" w:rsidTr="00BD2674">
        <w:trPr>
          <w:trHeight w:val="225"/>
          <w:jc w:val="center"/>
        </w:trPr>
        <w:tc>
          <w:tcPr>
            <w:tcW w:w="2160" w:type="dxa"/>
            <w:vMerge/>
            <w:tcBorders>
              <w:top w:val="double" w:sz="6" w:space="0" w:color="auto"/>
              <w:left w:val="double" w:sz="6" w:space="0" w:color="auto"/>
              <w:bottom w:val="single" w:sz="4" w:space="0" w:color="BFBFBF"/>
              <w:right w:val="nil"/>
            </w:tcBorders>
            <w:vAlign w:val="center"/>
          </w:tcPr>
          <w:p w14:paraId="17AFDC77" w14:textId="77777777" w:rsidR="006321C3" w:rsidRPr="00381923" w:rsidRDefault="006321C3" w:rsidP="006321C3">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0A97FCB"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1198824A"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22CB07CF"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2001</w:t>
            </w:r>
          </w:p>
        </w:tc>
        <w:tc>
          <w:tcPr>
            <w:tcW w:w="600" w:type="dxa"/>
            <w:tcBorders>
              <w:top w:val="nil"/>
              <w:left w:val="nil"/>
              <w:bottom w:val="single" w:sz="4" w:space="0" w:color="BFBFBF"/>
              <w:right w:val="single" w:sz="4" w:space="0" w:color="auto"/>
            </w:tcBorders>
            <w:shd w:val="clear" w:color="auto" w:fill="auto"/>
            <w:noWrap/>
            <w:vAlign w:val="center"/>
          </w:tcPr>
          <w:p w14:paraId="61F74925"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1996</w:t>
            </w:r>
          </w:p>
        </w:tc>
        <w:tc>
          <w:tcPr>
            <w:tcW w:w="600" w:type="dxa"/>
            <w:tcBorders>
              <w:top w:val="nil"/>
              <w:left w:val="nil"/>
              <w:bottom w:val="single" w:sz="4" w:space="0" w:color="BFBFBF"/>
              <w:right w:val="single" w:sz="4" w:space="0" w:color="BFBFBF"/>
            </w:tcBorders>
            <w:shd w:val="clear" w:color="auto" w:fill="auto"/>
            <w:noWrap/>
            <w:vAlign w:val="center"/>
          </w:tcPr>
          <w:p w14:paraId="66BDEC14"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1F169ABA"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413A94C8"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2001</w:t>
            </w:r>
          </w:p>
        </w:tc>
        <w:tc>
          <w:tcPr>
            <w:tcW w:w="600" w:type="dxa"/>
            <w:tcBorders>
              <w:top w:val="nil"/>
              <w:left w:val="nil"/>
              <w:bottom w:val="single" w:sz="4" w:space="0" w:color="BFBFBF"/>
              <w:right w:val="nil"/>
            </w:tcBorders>
            <w:shd w:val="clear" w:color="auto" w:fill="auto"/>
            <w:noWrap/>
            <w:vAlign w:val="center"/>
          </w:tcPr>
          <w:p w14:paraId="7F6A93DF"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1996</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36B7BC56" w14:textId="77777777" w:rsidR="006321C3" w:rsidRPr="00381923" w:rsidRDefault="006321C3" w:rsidP="00BD2674">
            <w:pPr>
              <w:spacing w:before="0" w:after="0"/>
              <w:ind w:left="720" w:hanging="72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2014</w:t>
            </w:r>
          </w:p>
        </w:tc>
        <w:tc>
          <w:tcPr>
            <w:tcW w:w="610" w:type="dxa"/>
            <w:tcBorders>
              <w:top w:val="nil"/>
              <w:left w:val="nil"/>
              <w:bottom w:val="single" w:sz="4" w:space="0" w:color="BFBFBF"/>
              <w:right w:val="single" w:sz="4" w:space="0" w:color="BFBFBF"/>
            </w:tcBorders>
            <w:shd w:val="clear" w:color="auto" w:fill="auto"/>
            <w:noWrap/>
            <w:vAlign w:val="center"/>
          </w:tcPr>
          <w:p w14:paraId="41C0FF7E"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2007</w:t>
            </w:r>
          </w:p>
        </w:tc>
        <w:tc>
          <w:tcPr>
            <w:tcW w:w="610" w:type="dxa"/>
            <w:tcBorders>
              <w:top w:val="nil"/>
              <w:left w:val="nil"/>
              <w:bottom w:val="single" w:sz="4" w:space="0" w:color="BFBFBF"/>
              <w:right w:val="single" w:sz="4" w:space="0" w:color="BFBFBF"/>
            </w:tcBorders>
            <w:shd w:val="clear" w:color="auto" w:fill="auto"/>
            <w:noWrap/>
            <w:vAlign w:val="center"/>
          </w:tcPr>
          <w:p w14:paraId="24164CDB"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2001</w:t>
            </w:r>
          </w:p>
        </w:tc>
        <w:tc>
          <w:tcPr>
            <w:tcW w:w="610" w:type="dxa"/>
            <w:tcBorders>
              <w:top w:val="nil"/>
              <w:left w:val="nil"/>
              <w:bottom w:val="single" w:sz="4" w:space="0" w:color="BFBFBF"/>
              <w:right w:val="single" w:sz="4" w:space="0" w:color="auto"/>
            </w:tcBorders>
            <w:shd w:val="clear" w:color="auto" w:fill="auto"/>
            <w:noWrap/>
            <w:vAlign w:val="center"/>
          </w:tcPr>
          <w:p w14:paraId="068F3D5C"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1996</w:t>
            </w:r>
          </w:p>
        </w:tc>
        <w:tc>
          <w:tcPr>
            <w:tcW w:w="645" w:type="dxa"/>
            <w:tcBorders>
              <w:top w:val="nil"/>
              <w:left w:val="nil"/>
              <w:bottom w:val="single" w:sz="4" w:space="0" w:color="BFBFBF"/>
              <w:right w:val="single" w:sz="4" w:space="0" w:color="BFBFBF"/>
            </w:tcBorders>
            <w:shd w:val="clear" w:color="auto" w:fill="auto"/>
            <w:noWrap/>
            <w:vAlign w:val="center"/>
          </w:tcPr>
          <w:p w14:paraId="4031B70E"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2014</w:t>
            </w:r>
          </w:p>
        </w:tc>
        <w:tc>
          <w:tcPr>
            <w:tcW w:w="645" w:type="dxa"/>
            <w:tcBorders>
              <w:top w:val="nil"/>
              <w:left w:val="nil"/>
              <w:bottom w:val="single" w:sz="4" w:space="0" w:color="BFBFBF"/>
              <w:right w:val="single" w:sz="4" w:space="0" w:color="BFBFBF"/>
            </w:tcBorders>
            <w:shd w:val="clear" w:color="auto" w:fill="auto"/>
            <w:noWrap/>
            <w:vAlign w:val="center"/>
          </w:tcPr>
          <w:p w14:paraId="4E487C9C"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2007</w:t>
            </w:r>
          </w:p>
        </w:tc>
        <w:tc>
          <w:tcPr>
            <w:tcW w:w="645" w:type="dxa"/>
            <w:tcBorders>
              <w:top w:val="nil"/>
              <w:left w:val="nil"/>
              <w:bottom w:val="single" w:sz="4" w:space="0" w:color="BFBFBF"/>
              <w:right w:val="single" w:sz="4" w:space="0" w:color="BFBFBF"/>
            </w:tcBorders>
            <w:shd w:val="clear" w:color="auto" w:fill="auto"/>
            <w:noWrap/>
            <w:vAlign w:val="center"/>
          </w:tcPr>
          <w:p w14:paraId="4DE1556C"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2001</w:t>
            </w:r>
          </w:p>
        </w:tc>
        <w:tc>
          <w:tcPr>
            <w:tcW w:w="645" w:type="dxa"/>
            <w:tcBorders>
              <w:top w:val="nil"/>
              <w:left w:val="nil"/>
              <w:bottom w:val="single" w:sz="4" w:space="0" w:color="BFBFBF"/>
              <w:right w:val="single" w:sz="4" w:space="0" w:color="auto"/>
            </w:tcBorders>
            <w:shd w:val="clear" w:color="auto" w:fill="auto"/>
            <w:noWrap/>
            <w:vAlign w:val="center"/>
          </w:tcPr>
          <w:p w14:paraId="5896E786"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1996</w:t>
            </w:r>
          </w:p>
        </w:tc>
        <w:tc>
          <w:tcPr>
            <w:tcW w:w="600" w:type="dxa"/>
            <w:tcBorders>
              <w:top w:val="nil"/>
              <w:left w:val="nil"/>
              <w:bottom w:val="single" w:sz="4" w:space="0" w:color="BFBFBF"/>
              <w:right w:val="single" w:sz="4" w:space="0" w:color="BFBFBF"/>
            </w:tcBorders>
            <w:shd w:val="clear" w:color="auto" w:fill="auto"/>
            <w:noWrap/>
            <w:vAlign w:val="bottom"/>
          </w:tcPr>
          <w:p w14:paraId="303CF0F9"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2CF54C83"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5984FF13"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2001</w:t>
            </w:r>
          </w:p>
        </w:tc>
        <w:tc>
          <w:tcPr>
            <w:tcW w:w="600" w:type="dxa"/>
            <w:tcBorders>
              <w:top w:val="nil"/>
              <w:left w:val="nil"/>
              <w:bottom w:val="single" w:sz="4" w:space="0" w:color="BFBFBF"/>
              <w:right w:val="double" w:sz="6" w:space="0" w:color="auto"/>
            </w:tcBorders>
            <w:shd w:val="clear" w:color="auto" w:fill="auto"/>
            <w:noWrap/>
            <w:vAlign w:val="center"/>
          </w:tcPr>
          <w:p w14:paraId="5E3A72AA" w14:textId="77777777" w:rsidR="006321C3" w:rsidRPr="00381923" w:rsidRDefault="006321C3" w:rsidP="006321C3">
            <w:pPr>
              <w:spacing w:before="0" w:after="0"/>
              <w:jc w:val="center"/>
              <w:rPr>
                <w:rFonts w:ascii="Arial" w:hAnsi="Arial" w:cs="Arial"/>
                <w:b/>
                <w:bCs/>
                <w:color w:val="000000"/>
                <w:sz w:val="16"/>
                <w:szCs w:val="16"/>
                <w:lang w:val="en-AU" w:eastAsia="en-AU"/>
              </w:rPr>
            </w:pPr>
            <w:r w:rsidRPr="00381923">
              <w:rPr>
                <w:rFonts w:ascii="Arial" w:hAnsi="Arial" w:cs="Arial"/>
                <w:b/>
                <w:bCs/>
                <w:color w:val="000000"/>
                <w:sz w:val="16"/>
                <w:szCs w:val="16"/>
                <w:lang w:val="en-AU" w:eastAsia="en-AU"/>
              </w:rPr>
              <w:t>1996</w:t>
            </w:r>
          </w:p>
        </w:tc>
      </w:tr>
      <w:tr w:rsidR="006321C3" w:rsidRPr="00381923" w14:paraId="2FC3CE9A"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57DCCED9" w14:textId="77777777" w:rsidR="006321C3" w:rsidRPr="00381923" w:rsidRDefault="006321C3" w:rsidP="006321C3">
            <w:pPr>
              <w:spacing w:before="0" w:after="0"/>
              <w:rPr>
                <w:rFonts w:ascii="Arial" w:hAnsi="Arial" w:cs="Arial"/>
                <w:color w:val="000000"/>
                <w:sz w:val="16"/>
                <w:szCs w:val="16"/>
                <w:lang w:val="en-AU" w:eastAsia="en-AU"/>
              </w:rPr>
            </w:pPr>
            <w:r w:rsidRPr="00381923">
              <w:rPr>
                <w:rFonts w:ascii="Arial" w:hAnsi="Arial" w:cs="Arial"/>
                <w:color w:val="000000"/>
                <w:sz w:val="16"/>
                <w:szCs w:val="16"/>
                <w:lang w:val="en-AU" w:eastAsia="en-AU"/>
              </w:rPr>
              <w:t>Owned/fully paid off</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CF84695"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79%</w:t>
            </w:r>
          </w:p>
        </w:tc>
        <w:tc>
          <w:tcPr>
            <w:tcW w:w="600" w:type="dxa"/>
            <w:tcBorders>
              <w:top w:val="nil"/>
              <w:left w:val="nil"/>
              <w:bottom w:val="single" w:sz="4" w:space="0" w:color="BFBFBF"/>
              <w:right w:val="single" w:sz="4" w:space="0" w:color="BFBFBF"/>
            </w:tcBorders>
            <w:shd w:val="clear" w:color="auto" w:fill="auto"/>
            <w:noWrap/>
            <w:vAlign w:val="center"/>
          </w:tcPr>
          <w:p w14:paraId="6BB8943F"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81%</w:t>
            </w:r>
          </w:p>
        </w:tc>
        <w:tc>
          <w:tcPr>
            <w:tcW w:w="600" w:type="dxa"/>
            <w:tcBorders>
              <w:top w:val="nil"/>
              <w:left w:val="nil"/>
              <w:bottom w:val="single" w:sz="4" w:space="0" w:color="BFBFBF"/>
              <w:right w:val="single" w:sz="4" w:space="0" w:color="BFBFBF"/>
            </w:tcBorders>
            <w:shd w:val="clear" w:color="auto" w:fill="auto"/>
            <w:noWrap/>
            <w:vAlign w:val="center"/>
          </w:tcPr>
          <w:p w14:paraId="231C3817"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84%</w:t>
            </w:r>
          </w:p>
        </w:tc>
        <w:tc>
          <w:tcPr>
            <w:tcW w:w="600" w:type="dxa"/>
            <w:tcBorders>
              <w:top w:val="nil"/>
              <w:left w:val="nil"/>
              <w:bottom w:val="single" w:sz="4" w:space="0" w:color="BFBFBF"/>
              <w:right w:val="single" w:sz="4" w:space="0" w:color="auto"/>
            </w:tcBorders>
            <w:shd w:val="clear" w:color="auto" w:fill="auto"/>
            <w:noWrap/>
            <w:vAlign w:val="center"/>
          </w:tcPr>
          <w:p w14:paraId="0CA07FEF"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76%</w:t>
            </w:r>
          </w:p>
        </w:tc>
        <w:tc>
          <w:tcPr>
            <w:tcW w:w="600" w:type="dxa"/>
            <w:tcBorders>
              <w:top w:val="nil"/>
              <w:left w:val="nil"/>
              <w:bottom w:val="single" w:sz="4" w:space="0" w:color="BFBFBF"/>
              <w:right w:val="single" w:sz="4" w:space="0" w:color="BFBFBF"/>
            </w:tcBorders>
            <w:shd w:val="clear" w:color="auto" w:fill="auto"/>
            <w:noWrap/>
            <w:vAlign w:val="center"/>
          </w:tcPr>
          <w:p w14:paraId="0458A26F" w14:textId="77777777" w:rsidR="006321C3" w:rsidRPr="00381923" w:rsidRDefault="006321C3" w:rsidP="0038192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3</w:t>
            </w:r>
            <w:r w:rsidR="00381923" w:rsidRPr="00381923">
              <w:rPr>
                <w:rFonts w:ascii="Arial" w:hAnsi="Arial" w:cs="Arial"/>
                <w:color w:val="000000"/>
                <w:sz w:val="16"/>
                <w:szCs w:val="16"/>
                <w:lang w:val="en-AU" w:eastAsia="en-AU"/>
              </w:rPr>
              <w:t>5</w:t>
            </w:r>
            <w:r w:rsidRPr="0038192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75C2F0D"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29%</w:t>
            </w:r>
          </w:p>
        </w:tc>
        <w:tc>
          <w:tcPr>
            <w:tcW w:w="600" w:type="dxa"/>
            <w:tcBorders>
              <w:top w:val="nil"/>
              <w:left w:val="nil"/>
              <w:bottom w:val="single" w:sz="4" w:space="0" w:color="BFBFBF"/>
              <w:right w:val="single" w:sz="4" w:space="0" w:color="BFBFBF"/>
            </w:tcBorders>
            <w:shd w:val="clear" w:color="auto" w:fill="auto"/>
            <w:noWrap/>
            <w:vAlign w:val="center"/>
          </w:tcPr>
          <w:p w14:paraId="0685DE71"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33%</w:t>
            </w:r>
          </w:p>
        </w:tc>
        <w:tc>
          <w:tcPr>
            <w:tcW w:w="600" w:type="dxa"/>
            <w:tcBorders>
              <w:top w:val="nil"/>
              <w:left w:val="nil"/>
              <w:bottom w:val="single" w:sz="4" w:space="0" w:color="BFBFBF"/>
              <w:right w:val="nil"/>
            </w:tcBorders>
            <w:shd w:val="clear" w:color="auto" w:fill="auto"/>
            <w:noWrap/>
            <w:vAlign w:val="center"/>
          </w:tcPr>
          <w:p w14:paraId="58B34AEC"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26%</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714E3093"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57%</w:t>
            </w:r>
          </w:p>
        </w:tc>
        <w:tc>
          <w:tcPr>
            <w:tcW w:w="610" w:type="dxa"/>
            <w:tcBorders>
              <w:top w:val="nil"/>
              <w:left w:val="nil"/>
              <w:bottom w:val="single" w:sz="4" w:space="0" w:color="BFBFBF"/>
              <w:right w:val="single" w:sz="4" w:space="0" w:color="BFBFBF"/>
            </w:tcBorders>
            <w:shd w:val="clear" w:color="auto" w:fill="auto"/>
            <w:noWrap/>
            <w:vAlign w:val="center"/>
          </w:tcPr>
          <w:p w14:paraId="5FAA665F"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57%</w:t>
            </w:r>
          </w:p>
        </w:tc>
        <w:tc>
          <w:tcPr>
            <w:tcW w:w="610" w:type="dxa"/>
            <w:tcBorders>
              <w:top w:val="nil"/>
              <w:left w:val="nil"/>
              <w:bottom w:val="single" w:sz="4" w:space="0" w:color="BFBFBF"/>
              <w:right w:val="single" w:sz="4" w:space="0" w:color="BFBFBF"/>
            </w:tcBorders>
            <w:shd w:val="clear" w:color="auto" w:fill="auto"/>
            <w:noWrap/>
            <w:vAlign w:val="center"/>
          </w:tcPr>
          <w:p w14:paraId="272624CD"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59%</w:t>
            </w:r>
          </w:p>
        </w:tc>
        <w:tc>
          <w:tcPr>
            <w:tcW w:w="610" w:type="dxa"/>
            <w:tcBorders>
              <w:top w:val="nil"/>
              <w:left w:val="nil"/>
              <w:bottom w:val="single" w:sz="4" w:space="0" w:color="BFBFBF"/>
              <w:right w:val="single" w:sz="4" w:space="0" w:color="auto"/>
            </w:tcBorders>
            <w:shd w:val="clear" w:color="auto" w:fill="auto"/>
            <w:noWrap/>
            <w:vAlign w:val="center"/>
          </w:tcPr>
          <w:p w14:paraId="7D5EA196"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54%</w:t>
            </w:r>
          </w:p>
        </w:tc>
        <w:tc>
          <w:tcPr>
            <w:tcW w:w="645" w:type="dxa"/>
            <w:tcBorders>
              <w:top w:val="nil"/>
              <w:left w:val="nil"/>
              <w:bottom w:val="single" w:sz="4" w:space="0" w:color="BFBFBF"/>
              <w:right w:val="single" w:sz="4" w:space="0" w:color="BFBFBF"/>
            </w:tcBorders>
            <w:shd w:val="clear" w:color="auto" w:fill="auto"/>
            <w:noWrap/>
            <w:vAlign w:val="center"/>
          </w:tcPr>
          <w:p w14:paraId="326A04E2"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45%</w:t>
            </w:r>
          </w:p>
        </w:tc>
        <w:tc>
          <w:tcPr>
            <w:tcW w:w="645" w:type="dxa"/>
            <w:tcBorders>
              <w:top w:val="nil"/>
              <w:left w:val="nil"/>
              <w:bottom w:val="single" w:sz="4" w:space="0" w:color="BFBFBF"/>
              <w:right w:val="single" w:sz="4" w:space="0" w:color="BFBFBF"/>
            </w:tcBorders>
            <w:shd w:val="clear" w:color="auto" w:fill="auto"/>
            <w:noWrap/>
            <w:vAlign w:val="center"/>
          </w:tcPr>
          <w:p w14:paraId="284A22A7"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42%</w:t>
            </w:r>
          </w:p>
        </w:tc>
        <w:tc>
          <w:tcPr>
            <w:tcW w:w="645" w:type="dxa"/>
            <w:tcBorders>
              <w:top w:val="nil"/>
              <w:left w:val="nil"/>
              <w:bottom w:val="single" w:sz="4" w:space="0" w:color="BFBFBF"/>
              <w:right w:val="single" w:sz="4" w:space="0" w:color="BFBFBF"/>
            </w:tcBorders>
            <w:shd w:val="clear" w:color="auto" w:fill="auto"/>
            <w:noWrap/>
            <w:vAlign w:val="center"/>
          </w:tcPr>
          <w:p w14:paraId="3F201E42"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41%</w:t>
            </w:r>
          </w:p>
        </w:tc>
        <w:tc>
          <w:tcPr>
            <w:tcW w:w="645" w:type="dxa"/>
            <w:tcBorders>
              <w:top w:val="nil"/>
              <w:left w:val="nil"/>
              <w:bottom w:val="single" w:sz="4" w:space="0" w:color="BFBFBF"/>
              <w:right w:val="single" w:sz="4" w:space="0" w:color="auto"/>
            </w:tcBorders>
            <w:shd w:val="clear" w:color="auto" w:fill="auto"/>
            <w:noWrap/>
            <w:vAlign w:val="center"/>
          </w:tcPr>
          <w:p w14:paraId="4E35AFA7"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39%</w:t>
            </w:r>
          </w:p>
        </w:tc>
        <w:tc>
          <w:tcPr>
            <w:tcW w:w="600" w:type="dxa"/>
            <w:tcBorders>
              <w:top w:val="nil"/>
              <w:left w:val="nil"/>
              <w:bottom w:val="single" w:sz="4" w:space="0" w:color="BFBFBF"/>
              <w:right w:val="single" w:sz="4" w:space="0" w:color="BFBFBF"/>
            </w:tcBorders>
            <w:shd w:val="clear" w:color="auto" w:fill="auto"/>
            <w:noWrap/>
            <w:vAlign w:val="bottom"/>
          </w:tcPr>
          <w:p w14:paraId="7CA08629" w14:textId="77777777" w:rsidR="006321C3" w:rsidRPr="00381923" w:rsidRDefault="006321C3" w:rsidP="0038192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5</w:t>
            </w:r>
            <w:r w:rsidR="00381923" w:rsidRPr="00381923">
              <w:rPr>
                <w:rFonts w:ascii="Arial" w:hAnsi="Arial" w:cs="Arial"/>
                <w:color w:val="000000"/>
                <w:sz w:val="16"/>
                <w:szCs w:val="16"/>
                <w:lang w:val="en-AU" w:eastAsia="en-AU"/>
              </w:rPr>
              <w:t>1</w:t>
            </w:r>
            <w:r w:rsidRPr="0038192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3547D3B2"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48%</w:t>
            </w:r>
          </w:p>
        </w:tc>
        <w:tc>
          <w:tcPr>
            <w:tcW w:w="600" w:type="dxa"/>
            <w:tcBorders>
              <w:top w:val="nil"/>
              <w:left w:val="nil"/>
              <w:bottom w:val="single" w:sz="4" w:space="0" w:color="BFBFBF"/>
              <w:right w:val="single" w:sz="4" w:space="0" w:color="BFBFBF"/>
            </w:tcBorders>
            <w:shd w:val="clear" w:color="auto" w:fill="auto"/>
            <w:noWrap/>
            <w:vAlign w:val="center"/>
          </w:tcPr>
          <w:p w14:paraId="1F9136CC"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48%</w:t>
            </w:r>
          </w:p>
        </w:tc>
        <w:tc>
          <w:tcPr>
            <w:tcW w:w="600" w:type="dxa"/>
            <w:tcBorders>
              <w:top w:val="nil"/>
              <w:left w:val="nil"/>
              <w:bottom w:val="single" w:sz="4" w:space="0" w:color="BFBFBF"/>
              <w:right w:val="double" w:sz="6" w:space="0" w:color="auto"/>
            </w:tcBorders>
            <w:shd w:val="clear" w:color="auto" w:fill="auto"/>
            <w:noWrap/>
            <w:vAlign w:val="center"/>
          </w:tcPr>
          <w:p w14:paraId="20EFEF80"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45%</w:t>
            </w:r>
          </w:p>
        </w:tc>
      </w:tr>
      <w:tr w:rsidR="006321C3" w:rsidRPr="00381923" w14:paraId="72710190"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05D9C044" w14:textId="77777777" w:rsidR="006321C3" w:rsidRPr="00381923" w:rsidRDefault="006321C3" w:rsidP="006321C3">
            <w:pPr>
              <w:spacing w:before="0" w:after="0"/>
              <w:rPr>
                <w:rFonts w:ascii="Arial" w:hAnsi="Arial" w:cs="Arial"/>
                <w:color w:val="000000"/>
                <w:sz w:val="16"/>
                <w:szCs w:val="16"/>
                <w:lang w:val="en-AU" w:eastAsia="en-AU"/>
              </w:rPr>
            </w:pPr>
            <w:r w:rsidRPr="00381923">
              <w:rPr>
                <w:rFonts w:ascii="Arial" w:hAnsi="Arial" w:cs="Arial"/>
                <w:color w:val="000000"/>
                <w:sz w:val="16"/>
                <w:szCs w:val="16"/>
                <w:lang w:val="en-AU" w:eastAsia="en-AU"/>
              </w:rPr>
              <w:t>Buying/paying off</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DB1ADC6"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746439D4"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440B5CFF"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02FB7A88"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0498695C"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22%</w:t>
            </w:r>
          </w:p>
        </w:tc>
        <w:tc>
          <w:tcPr>
            <w:tcW w:w="600" w:type="dxa"/>
            <w:tcBorders>
              <w:top w:val="nil"/>
              <w:left w:val="nil"/>
              <w:bottom w:val="single" w:sz="4" w:space="0" w:color="BFBFBF"/>
              <w:right w:val="single" w:sz="4" w:space="0" w:color="BFBFBF"/>
            </w:tcBorders>
            <w:shd w:val="clear" w:color="auto" w:fill="auto"/>
            <w:noWrap/>
            <w:vAlign w:val="center"/>
          </w:tcPr>
          <w:p w14:paraId="660E9982"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22%</w:t>
            </w:r>
          </w:p>
        </w:tc>
        <w:tc>
          <w:tcPr>
            <w:tcW w:w="600" w:type="dxa"/>
            <w:tcBorders>
              <w:top w:val="nil"/>
              <w:left w:val="nil"/>
              <w:bottom w:val="single" w:sz="4" w:space="0" w:color="BFBFBF"/>
              <w:right w:val="single" w:sz="4" w:space="0" w:color="BFBFBF"/>
            </w:tcBorders>
            <w:shd w:val="clear" w:color="auto" w:fill="auto"/>
            <w:noWrap/>
            <w:vAlign w:val="center"/>
          </w:tcPr>
          <w:p w14:paraId="5923EBB4"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23%</w:t>
            </w:r>
          </w:p>
        </w:tc>
        <w:tc>
          <w:tcPr>
            <w:tcW w:w="600" w:type="dxa"/>
            <w:tcBorders>
              <w:top w:val="nil"/>
              <w:left w:val="nil"/>
              <w:bottom w:val="single" w:sz="4" w:space="0" w:color="BFBFBF"/>
              <w:right w:val="nil"/>
            </w:tcBorders>
            <w:shd w:val="clear" w:color="auto" w:fill="auto"/>
            <w:noWrap/>
            <w:vAlign w:val="center"/>
          </w:tcPr>
          <w:p w14:paraId="521640FD"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17%</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3AC819A1"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13%</w:t>
            </w:r>
          </w:p>
        </w:tc>
        <w:tc>
          <w:tcPr>
            <w:tcW w:w="610" w:type="dxa"/>
            <w:tcBorders>
              <w:top w:val="nil"/>
              <w:left w:val="nil"/>
              <w:bottom w:val="single" w:sz="4" w:space="0" w:color="BFBFBF"/>
              <w:right w:val="single" w:sz="4" w:space="0" w:color="BFBFBF"/>
            </w:tcBorders>
            <w:shd w:val="clear" w:color="auto" w:fill="auto"/>
            <w:noWrap/>
            <w:vAlign w:val="center"/>
          </w:tcPr>
          <w:p w14:paraId="298C08A9"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13%</w:t>
            </w:r>
          </w:p>
        </w:tc>
        <w:tc>
          <w:tcPr>
            <w:tcW w:w="610" w:type="dxa"/>
            <w:tcBorders>
              <w:top w:val="nil"/>
              <w:left w:val="nil"/>
              <w:bottom w:val="single" w:sz="4" w:space="0" w:color="BFBFBF"/>
              <w:right w:val="single" w:sz="4" w:space="0" w:color="BFBFBF"/>
            </w:tcBorders>
            <w:shd w:val="clear" w:color="auto" w:fill="auto"/>
            <w:noWrap/>
            <w:vAlign w:val="center"/>
          </w:tcPr>
          <w:p w14:paraId="7C3506B2"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13%</w:t>
            </w:r>
          </w:p>
        </w:tc>
        <w:tc>
          <w:tcPr>
            <w:tcW w:w="610" w:type="dxa"/>
            <w:tcBorders>
              <w:top w:val="nil"/>
              <w:left w:val="nil"/>
              <w:bottom w:val="single" w:sz="4" w:space="0" w:color="BFBFBF"/>
              <w:right w:val="single" w:sz="4" w:space="0" w:color="auto"/>
            </w:tcBorders>
            <w:shd w:val="clear" w:color="auto" w:fill="auto"/>
            <w:noWrap/>
            <w:vAlign w:val="center"/>
          </w:tcPr>
          <w:p w14:paraId="194EC990"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10%</w:t>
            </w:r>
          </w:p>
        </w:tc>
        <w:tc>
          <w:tcPr>
            <w:tcW w:w="645" w:type="dxa"/>
            <w:tcBorders>
              <w:top w:val="nil"/>
              <w:left w:val="nil"/>
              <w:bottom w:val="single" w:sz="4" w:space="0" w:color="BFBFBF"/>
              <w:right w:val="single" w:sz="4" w:space="0" w:color="BFBFBF"/>
            </w:tcBorders>
            <w:shd w:val="clear" w:color="auto" w:fill="auto"/>
            <w:noWrap/>
            <w:vAlign w:val="center"/>
          </w:tcPr>
          <w:p w14:paraId="7E974631"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42%</w:t>
            </w:r>
          </w:p>
        </w:tc>
        <w:tc>
          <w:tcPr>
            <w:tcW w:w="645" w:type="dxa"/>
            <w:tcBorders>
              <w:top w:val="nil"/>
              <w:left w:val="nil"/>
              <w:bottom w:val="single" w:sz="4" w:space="0" w:color="BFBFBF"/>
              <w:right w:val="single" w:sz="4" w:space="0" w:color="BFBFBF"/>
            </w:tcBorders>
            <w:shd w:val="clear" w:color="auto" w:fill="auto"/>
            <w:noWrap/>
            <w:vAlign w:val="center"/>
          </w:tcPr>
          <w:p w14:paraId="0C6CBE70"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40%</w:t>
            </w:r>
          </w:p>
        </w:tc>
        <w:tc>
          <w:tcPr>
            <w:tcW w:w="645" w:type="dxa"/>
            <w:tcBorders>
              <w:top w:val="nil"/>
              <w:left w:val="nil"/>
              <w:bottom w:val="single" w:sz="4" w:space="0" w:color="BFBFBF"/>
              <w:right w:val="single" w:sz="4" w:space="0" w:color="BFBFBF"/>
            </w:tcBorders>
            <w:shd w:val="clear" w:color="auto" w:fill="auto"/>
            <w:noWrap/>
            <w:vAlign w:val="center"/>
          </w:tcPr>
          <w:p w14:paraId="42D2933F"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42%</w:t>
            </w:r>
          </w:p>
        </w:tc>
        <w:tc>
          <w:tcPr>
            <w:tcW w:w="645" w:type="dxa"/>
            <w:tcBorders>
              <w:top w:val="nil"/>
              <w:left w:val="nil"/>
              <w:bottom w:val="single" w:sz="4" w:space="0" w:color="BFBFBF"/>
              <w:right w:val="single" w:sz="4" w:space="0" w:color="auto"/>
            </w:tcBorders>
            <w:shd w:val="clear" w:color="auto" w:fill="auto"/>
            <w:noWrap/>
            <w:vAlign w:val="center"/>
          </w:tcPr>
          <w:p w14:paraId="2367B972"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42%</w:t>
            </w:r>
          </w:p>
        </w:tc>
        <w:tc>
          <w:tcPr>
            <w:tcW w:w="600" w:type="dxa"/>
            <w:tcBorders>
              <w:top w:val="nil"/>
              <w:left w:val="nil"/>
              <w:bottom w:val="single" w:sz="4" w:space="0" w:color="BFBFBF"/>
              <w:right w:val="single" w:sz="4" w:space="0" w:color="BFBFBF"/>
            </w:tcBorders>
            <w:shd w:val="clear" w:color="auto" w:fill="auto"/>
            <w:noWrap/>
            <w:vAlign w:val="bottom"/>
          </w:tcPr>
          <w:p w14:paraId="5D4210EC"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29%</w:t>
            </w:r>
          </w:p>
        </w:tc>
        <w:tc>
          <w:tcPr>
            <w:tcW w:w="600" w:type="dxa"/>
            <w:tcBorders>
              <w:top w:val="nil"/>
              <w:left w:val="nil"/>
              <w:bottom w:val="single" w:sz="4" w:space="0" w:color="BFBFBF"/>
              <w:right w:val="single" w:sz="4" w:space="0" w:color="BFBFBF"/>
            </w:tcBorders>
            <w:shd w:val="clear" w:color="auto" w:fill="auto"/>
            <w:noWrap/>
            <w:vAlign w:val="center"/>
          </w:tcPr>
          <w:p w14:paraId="4A9004A7"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29%</w:t>
            </w:r>
          </w:p>
        </w:tc>
        <w:tc>
          <w:tcPr>
            <w:tcW w:w="600" w:type="dxa"/>
            <w:tcBorders>
              <w:top w:val="nil"/>
              <w:left w:val="nil"/>
              <w:bottom w:val="single" w:sz="4" w:space="0" w:color="BFBFBF"/>
              <w:right w:val="single" w:sz="4" w:space="0" w:color="BFBFBF"/>
            </w:tcBorders>
            <w:shd w:val="clear" w:color="auto" w:fill="auto"/>
            <w:noWrap/>
            <w:vAlign w:val="center"/>
          </w:tcPr>
          <w:p w14:paraId="120F491F"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31%</w:t>
            </w:r>
          </w:p>
        </w:tc>
        <w:tc>
          <w:tcPr>
            <w:tcW w:w="600" w:type="dxa"/>
            <w:tcBorders>
              <w:top w:val="nil"/>
              <w:left w:val="nil"/>
              <w:bottom w:val="single" w:sz="4" w:space="0" w:color="BFBFBF"/>
              <w:right w:val="double" w:sz="6" w:space="0" w:color="auto"/>
            </w:tcBorders>
            <w:shd w:val="clear" w:color="auto" w:fill="auto"/>
            <w:noWrap/>
            <w:vAlign w:val="center"/>
          </w:tcPr>
          <w:p w14:paraId="6F74E48E"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28%</w:t>
            </w:r>
          </w:p>
        </w:tc>
      </w:tr>
      <w:tr w:rsidR="006321C3" w:rsidRPr="00381923" w14:paraId="6B7DC749"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455D364" w14:textId="77777777" w:rsidR="006321C3" w:rsidRPr="00381923" w:rsidRDefault="006321C3" w:rsidP="006321C3">
            <w:pPr>
              <w:spacing w:before="0" w:after="0"/>
              <w:rPr>
                <w:rFonts w:ascii="Arial" w:hAnsi="Arial" w:cs="Arial"/>
                <w:color w:val="000000"/>
                <w:sz w:val="16"/>
                <w:szCs w:val="16"/>
                <w:lang w:val="en-AU" w:eastAsia="en-AU"/>
              </w:rPr>
            </w:pPr>
            <w:r w:rsidRPr="00381923">
              <w:rPr>
                <w:rFonts w:ascii="Arial" w:hAnsi="Arial" w:cs="Arial"/>
                <w:color w:val="000000"/>
                <w:sz w:val="16"/>
                <w:szCs w:val="16"/>
                <w:lang w:val="en-AU" w:eastAsia="en-AU"/>
              </w:rPr>
              <w:t xml:space="preserve">Rent </w:t>
            </w:r>
            <w:r w:rsidR="00B15FA5" w:rsidRPr="00381923">
              <w:rPr>
                <w:rFonts w:ascii="Arial" w:hAnsi="Arial" w:cs="Arial"/>
                <w:color w:val="000000"/>
                <w:sz w:val="16"/>
                <w:szCs w:val="16"/>
                <w:lang w:val="en-AU" w:eastAsia="en-AU"/>
              </w:rPr>
              <w:t>–</w:t>
            </w:r>
            <w:r w:rsidRPr="00381923">
              <w:rPr>
                <w:rFonts w:ascii="Arial" w:hAnsi="Arial" w:cs="Arial"/>
                <w:color w:val="000000"/>
                <w:sz w:val="16"/>
                <w:szCs w:val="16"/>
                <w:lang w:val="en-AU" w:eastAsia="en-AU"/>
              </w:rPr>
              <w:t xml:space="preserve"> Private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B9B9AB1"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BFBFBF"/>
            </w:tcBorders>
            <w:shd w:val="clear" w:color="auto" w:fill="auto"/>
            <w:noWrap/>
            <w:vAlign w:val="center"/>
          </w:tcPr>
          <w:p w14:paraId="3B8A396A"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BFBFBF"/>
            </w:tcBorders>
            <w:shd w:val="clear" w:color="auto" w:fill="auto"/>
            <w:noWrap/>
            <w:vAlign w:val="center"/>
          </w:tcPr>
          <w:p w14:paraId="40C96B6E"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0A2B1F39"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33599364"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26%</w:t>
            </w:r>
          </w:p>
        </w:tc>
        <w:tc>
          <w:tcPr>
            <w:tcW w:w="600" w:type="dxa"/>
            <w:tcBorders>
              <w:top w:val="nil"/>
              <w:left w:val="nil"/>
              <w:bottom w:val="single" w:sz="4" w:space="0" w:color="BFBFBF"/>
              <w:right w:val="single" w:sz="4" w:space="0" w:color="BFBFBF"/>
            </w:tcBorders>
            <w:shd w:val="clear" w:color="auto" w:fill="auto"/>
            <w:noWrap/>
            <w:vAlign w:val="center"/>
          </w:tcPr>
          <w:p w14:paraId="0E783A53"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29%</w:t>
            </w:r>
          </w:p>
        </w:tc>
        <w:tc>
          <w:tcPr>
            <w:tcW w:w="600" w:type="dxa"/>
            <w:tcBorders>
              <w:top w:val="nil"/>
              <w:left w:val="nil"/>
              <w:bottom w:val="single" w:sz="4" w:space="0" w:color="BFBFBF"/>
              <w:right w:val="single" w:sz="4" w:space="0" w:color="BFBFBF"/>
            </w:tcBorders>
            <w:shd w:val="clear" w:color="auto" w:fill="auto"/>
            <w:noWrap/>
            <w:vAlign w:val="center"/>
          </w:tcPr>
          <w:p w14:paraId="35623135"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29%</w:t>
            </w:r>
          </w:p>
        </w:tc>
        <w:tc>
          <w:tcPr>
            <w:tcW w:w="600" w:type="dxa"/>
            <w:tcBorders>
              <w:top w:val="nil"/>
              <w:left w:val="nil"/>
              <w:bottom w:val="single" w:sz="4" w:space="0" w:color="BFBFBF"/>
              <w:right w:val="nil"/>
            </w:tcBorders>
            <w:shd w:val="clear" w:color="auto" w:fill="auto"/>
            <w:noWrap/>
            <w:vAlign w:val="center"/>
          </w:tcPr>
          <w:p w14:paraId="13069ACB"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35%</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7F6D1DBB"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17%</w:t>
            </w:r>
          </w:p>
        </w:tc>
        <w:tc>
          <w:tcPr>
            <w:tcW w:w="610" w:type="dxa"/>
            <w:tcBorders>
              <w:top w:val="nil"/>
              <w:left w:val="nil"/>
              <w:bottom w:val="single" w:sz="4" w:space="0" w:color="BFBFBF"/>
              <w:right w:val="single" w:sz="4" w:space="0" w:color="BFBFBF"/>
            </w:tcBorders>
            <w:shd w:val="clear" w:color="auto" w:fill="auto"/>
            <w:noWrap/>
            <w:vAlign w:val="center"/>
          </w:tcPr>
          <w:p w14:paraId="181A93C9"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19%</w:t>
            </w:r>
          </w:p>
        </w:tc>
        <w:tc>
          <w:tcPr>
            <w:tcW w:w="610" w:type="dxa"/>
            <w:tcBorders>
              <w:top w:val="nil"/>
              <w:left w:val="nil"/>
              <w:bottom w:val="single" w:sz="4" w:space="0" w:color="BFBFBF"/>
              <w:right w:val="single" w:sz="4" w:space="0" w:color="BFBFBF"/>
            </w:tcBorders>
            <w:shd w:val="clear" w:color="auto" w:fill="auto"/>
            <w:noWrap/>
            <w:vAlign w:val="center"/>
          </w:tcPr>
          <w:p w14:paraId="4EA43B71"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17%</w:t>
            </w:r>
          </w:p>
        </w:tc>
        <w:tc>
          <w:tcPr>
            <w:tcW w:w="610" w:type="dxa"/>
            <w:tcBorders>
              <w:top w:val="nil"/>
              <w:left w:val="nil"/>
              <w:bottom w:val="single" w:sz="4" w:space="0" w:color="BFBFBF"/>
              <w:right w:val="single" w:sz="4" w:space="0" w:color="auto"/>
            </w:tcBorders>
            <w:shd w:val="clear" w:color="auto" w:fill="auto"/>
            <w:noWrap/>
            <w:vAlign w:val="center"/>
          </w:tcPr>
          <w:p w14:paraId="0D894B73"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18%</w:t>
            </w:r>
          </w:p>
        </w:tc>
        <w:tc>
          <w:tcPr>
            <w:tcW w:w="645" w:type="dxa"/>
            <w:tcBorders>
              <w:top w:val="nil"/>
              <w:left w:val="nil"/>
              <w:bottom w:val="single" w:sz="4" w:space="0" w:color="BFBFBF"/>
              <w:right w:val="single" w:sz="4" w:space="0" w:color="BFBFBF"/>
            </w:tcBorders>
            <w:shd w:val="clear" w:color="auto" w:fill="auto"/>
            <w:noWrap/>
            <w:vAlign w:val="center"/>
          </w:tcPr>
          <w:p w14:paraId="672035BE" w14:textId="77777777" w:rsidR="006321C3" w:rsidRPr="00381923" w:rsidRDefault="006321C3" w:rsidP="0038192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r w:rsidR="00381923" w:rsidRPr="00381923">
              <w:rPr>
                <w:rFonts w:ascii="Arial" w:hAnsi="Arial" w:cs="Arial"/>
                <w:color w:val="000000"/>
                <w:sz w:val="16"/>
                <w:szCs w:val="16"/>
                <w:lang w:val="en-AU" w:eastAsia="en-AU"/>
              </w:rPr>
              <w:t>1</w:t>
            </w:r>
            <w:r w:rsidRPr="00381923">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59BAB85A"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16%</w:t>
            </w:r>
          </w:p>
        </w:tc>
        <w:tc>
          <w:tcPr>
            <w:tcW w:w="645" w:type="dxa"/>
            <w:tcBorders>
              <w:top w:val="nil"/>
              <w:left w:val="nil"/>
              <w:bottom w:val="single" w:sz="4" w:space="0" w:color="BFBFBF"/>
              <w:right w:val="single" w:sz="4" w:space="0" w:color="BFBFBF"/>
            </w:tcBorders>
            <w:shd w:val="clear" w:color="auto" w:fill="auto"/>
            <w:noWrap/>
            <w:vAlign w:val="center"/>
          </w:tcPr>
          <w:p w14:paraId="6B3F37F9"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15%</w:t>
            </w:r>
          </w:p>
        </w:tc>
        <w:tc>
          <w:tcPr>
            <w:tcW w:w="645" w:type="dxa"/>
            <w:tcBorders>
              <w:top w:val="nil"/>
              <w:left w:val="nil"/>
              <w:bottom w:val="single" w:sz="4" w:space="0" w:color="BFBFBF"/>
              <w:right w:val="single" w:sz="4" w:space="0" w:color="auto"/>
            </w:tcBorders>
            <w:shd w:val="clear" w:color="auto" w:fill="auto"/>
            <w:noWrap/>
            <w:vAlign w:val="center"/>
          </w:tcPr>
          <w:p w14:paraId="73533F25"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16%</w:t>
            </w:r>
          </w:p>
        </w:tc>
        <w:tc>
          <w:tcPr>
            <w:tcW w:w="600" w:type="dxa"/>
            <w:tcBorders>
              <w:top w:val="nil"/>
              <w:left w:val="nil"/>
              <w:bottom w:val="single" w:sz="4" w:space="0" w:color="BFBFBF"/>
              <w:right w:val="single" w:sz="4" w:space="0" w:color="BFBFBF"/>
            </w:tcBorders>
            <w:shd w:val="clear" w:color="auto" w:fill="auto"/>
            <w:noWrap/>
            <w:vAlign w:val="bottom"/>
          </w:tcPr>
          <w:p w14:paraId="5BAA59AA"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14%</w:t>
            </w:r>
          </w:p>
        </w:tc>
        <w:tc>
          <w:tcPr>
            <w:tcW w:w="600" w:type="dxa"/>
            <w:tcBorders>
              <w:top w:val="nil"/>
              <w:left w:val="nil"/>
              <w:bottom w:val="single" w:sz="4" w:space="0" w:color="BFBFBF"/>
              <w:right w:val="single" w:sz="4" w:space="0" w:color="BFBFBF"/>
            </w:tcBorders>
            <w:shd w:val="clear" w:color="auto" w:fill="auto"/>
            <w:noWrap/>
            <w:vAlign w:val="center"/>
          </w:tcPr>
          <w:p w14:paraId="313EA5E7"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17%</w:t>
            </w:r>
          </w:p>
        </w:tc>
        <w:tc>
          <w:tcPr>
            <w:tcW w:w="600" w:type="dxa"/>
            <w:tcBorders>
              <w:top w:val="nil"/>
              <w:left w:val="nil"/>
              <w:bottom w:val="single" w:sz="4" w:space="0" w:color="BFBFBF"/>
              <w:right w:val="single" w:sz="4" w:space="0" w:color="BFBFBF"/>
            </w:tcBorders>
            <w:shd w:val="clear" w:color="auto" w:fill="auto"/>
            <w:noWrap/>
            <w:vAlign w:val="center"/>
          </w:tcPr>
          <w:p w14:paraId="4B6F4BE9"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16%</w:t>
            </w:r>
          </w:p>
        </w:tc>
        <w:tc>
          <w:tcPr>
            <w:tcW w:w="600" w:type="dxa"/>
            <w:tcBorders>
              <w:top w:val="nil"/>
              <w:left w:val="nil"/>
              <w:bottom w:val="single" w:sz="4" w:space="0" w:color="BFBFBF"/>
              <w:right w:val="double" w:sz="6" w:space="0" w:color="auto"/>
            </w:tcBorders>
            <w:shd w:val="clear" w:color="auto" w:fill="auto"/>
            <w:noWrap/>
            <w:vAlign w:val="center"/>
          </w:tcPr>
          <w:p w14:paraId="07BFFDF1"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17%</w:t>
            </w:r>
          </w:p>
        </w:tc>
      </w:tr>
      <w:tr w:rsidR="006321C3" w:rsidRPr="00381923" w14:paraId="45A8EB18"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53533953" w14:textId="77777777" w:rsidR="006321C3" w:rsidRPr="00381923" w:rsidRDefault="006321C3" w:rsidP="006321C3">
            <w:pPr>
              <w:spacing w:before="0" w:after="0"/>
              <w:rPr>
                <w:rFonts w:ascii="Arial" w:hAnsi="Arial" w:cs="Arial"/>
                <w:color w:val="000000"/>
                <w:sz w:val="16"/>
                <w:szCs w:val="16"/>
                <w:lang w:val="en-AU" w:eastAsia="en-AU"/>
              </w:rPr>
            </w:pPr>
            <w:r w:rsidRPr="00381923">
              <w:rPr>
                <w:rFonts w:ascii="Arial" w:hAnsi="Arial" w:cs="Arial"/>
                <w:color w:val="000000"/>
                <w:sz w:val="16"/>
                <w:szCs w:val="16"/>
                <w:lang w:val="en-AU" w:eastAsia="en-AU"/>
              </w:rPr>
              <w:t xml:space="preserve">Rent </w:t>
            </w:r>
            <w:r w:rsidR="00B15FA5" w:rsidRPr="00381923">
              <w:rPr>
                <w:rFonts w:ascii="Arial" w:hAnsi="Arial" w:cs="Arial"/>
                <w:color w:val="000000"/>
                <w:sz w:val="16"/>
                <w:szCs w:val="16"/>
                <w:lang w:val="en-AU" w:eastAsia="en-AU"/>
              </w:rPr>
              <w:t>–</w:t>
            </w:r>
            <w:r w:rsidRPr="00381923">
              <w:rPr>
                <w:rFonts w:ascii="Arial" w:hAnsi="Arial" w:cs="Arial"/>
                <w:color w:val="000000"/>
                <w:sz w:val="16"/>
                <w:szCs w:val="16"/>
                <w:lang w:val="en-AU" w:eastAsia="en-AU"/>
              </w:rPr>
              <w:t xml:space="preserve"> Public</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ACAFE18"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BFBFBF"/>
            </w:tcBorders>
            <w:shd w:val="clear" w:color="auto" w:fill="auto"/>
            <w:noWrap/>
            <w:vAlign w:val="center"/>
          </w:tcPr>
          <w:p w14:paraId="1882A980"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67AD519D"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7F20E420"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14%</w:t>
            </w:r>
          </w:p>
        </w:tc>
        <w:tc>
          <w:tcPr>
            <w:tcW w:w="600" w:type="dxa"/>
            <w:tcBorders>
              <w:top w:val="nil"/>
              <w:left w:val="nil"/>
              <w:bottom w:val="single" w:sz="4" w:space="0" w:color="BFBFBF"/>
              <w:right w:val="single" w:sz="4" w:space="0" w:color="BFBFBF"/>
            </w:tcBorders>
            <w:shd w:val="clear" w:color="auto" w:fill="auto"/>
            <w:noWrap/>
            <w:vAlign w:val="center"/>
          </w:tcPr>
          <w:p w14:paraId="2BDC95A3" w14:textId="77777777" w:rsidR="006321C3" w:rsidRPr="00381923" w:rsidRDefault="006321C3" w:rsidP="0038192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r w:rsidR="00381923" w:rsidRPr="00381923">
              <w:rPr>
                <w:rFonts w:ascii="Arial" w:hAnsi="Arial" w:cs="Arial"/>
                <w:color w:val="000000"/>
                <w:sz w:val="16"/>
                <w:szCs w:val="16"/>
                <w:lang w:val="en-AU" w:eastAsia="en-AU"/>
              </w:rPr>
              <w:t>7</w:t>
            </w:r>
            <w:r w:rsidRPr="0038192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8656B5A"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17%</w:t>
            </w:r>
          </w:p>
        </w:tc>
        <w:tc>
          <w:tcPr>
            <w:tcW w:w="600" w:type="dxa"/>
            <w:tcBorders>
              <w:top w:val="nil"/>
              <w:left w:val="nil"/>
              <w:bottom w:val="single" w:sz="4" w:space="0" w:color="BFBFBF"/>
              <w:right w:val="single" w:sz="4" w:space="0" w:color="BFBFBF"/>
            </w:tcBorders>
            <w:shd w:val="clear" w:color="auto" w:fill="auto"/>
            <w:noWrap/>
            <w:vAlign w:val="center"/>
          </w:tcPr>
          <w:p w14:paraId="75D42D11"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13%</w:t>
            </w:r>
          </w:p>
        </w:tc>
        <w:tc>
          <w:tcPr>
            <w:tcW w:w="600" w:type="dxa"/>
            <w:tcBorders>
              <w:top w:val="nil"/>
              <w:left w:val="nil"/>
              <w:bottom w:val="single" w:sz="4" w:space="0" w:color="BFBFBF"/>
              <w:right w:val="nil"/>
            </w:tcBorders>
            <w:shd w:val="clear" w:color="auto" w:fill="auto"/>
            <w:noWrap/>
            <w:vAlign w:val="center"/>
          </w:tcPr>
          <w:p w14:paraId="67D1C90E"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22%</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761AFCDE"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12%</w:t>
            </w:r>
          </w:p>
        </w:tc>
        <w:tc>
          <w:tcPr>
            <w:tcW w:w="610" w:type="dxa"/>
            <w:tcBorders>
              <w:top w:val="nil"/>
              <w:left w:val="nil"/>
              <w:bottom w:val="single" w:sz="4" w:space="0" w:color="BFBFBF"/>
              <w:right w:val="single" w:sz="4" w:space="0" w:color="BFBFBF"/>
            </w:tcBorders>
            <w:shd w:val="clear" w:color="auto" w:fill="auto"/>
            <w:noWrap/>
            <w:vAlign w:val="center"/>
          </w:tcPr>
          <w:p w14:paraId="0463C83D"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11%</w:t>
            </w:r>
          </w:p>
        </w:tc>
        <w:tc>
          <w:tcPr>
            <w:tcW w:w="610" w:type="dxa"/>
            <w:tcBorders>
              <w:top w:val="nil"/>
              <w:left w:val="nil"/>
              <w:bottom w:val="single" w:sz="4" w:space="0" w:color="BFBFBF"/>
              <w:right w:val="single" w:sz="4" w:space="0" w:color="BFBFBF"/>
            </w:tcBorders>
            <w:shd w:val="clear" w:color="auto" w:fill="auto"/>
            <w:noWrap/>
            <w:vAlign w:val="center"/>
          </w:tcPr>
          <w:p w14:paraId="03057BBE"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10%</w:t>
            </w:r>
          </w:p>
        </w:tc>
        <w:tc>
          <w:tcPr>
            <w:tcW w:w="610" w:type="dxa"/>
            <w:tcBorders>
              <w:top w:val="nil"/>
              <w:left w:val="nil"/>
              <w:bottom w:val="single" w:sz="4" w:space="0" w:color="BFBFBF"/>
              <w:right w:val="single" w:sz="4" w:space="0" w:color="auto"/>
            </w:tcBorders>
            <w:shd w:val="clear" w:color="auto" w:fill="auto"/>
            <w:noWrap/>
            <w:vAlign w:val="center"/>
          </w:tcPr>
          <w:p w14:paraId="0468E89E"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17%</w:t>
            </w:r>
          </w:p>
        </w:tc>
        <w:tc>
          <w:tcPr>
            <w:tcW w:w="645" w:type="dxa"/>
            <w:tcBorders>
              <w:top w:val="nil"/>
              <w:left w:val="nil"/>
              <w:bottom w:val="single" w:sz="4" w:space="0" w:color="BFBFBF"/>
              <w:right w:val="single" w:sz="4" w:space="0" w:color="BFBFBF"/>
            </w:tcBorders>
            <w:shd w:val="clear" w:color="auto" w:fill="auto"/>
            <w:noWrap/>
            <w:vAlign w:val="center"/>
          </w:tcPr>
          <w:p w14:paraId="47B0988B"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5CD8DE3B"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06D274E0"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auto"/>
            </w:tcBorders>
            <w:shd w:val="clear" w:color="auto" w:fill="auto"/>
            <w:noWrap/>
            <w:vAlign w:val="center"/>
          </w:tcPr>
          <w:p w14:paraId="52DA5704"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bottom"/>
          </w:tcPr>
          <w:p w14:paraId="1D4923A6"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BFBFBF"/>
            </w:tcBorders>
            <w:shd w:val="clear" w:color="auto" w:fill="auto"/>
            <w:noWrap/>
            <w:vAlign w:val="center"/>
          </w:tcPr>
          <w:p w14:paraId="19E96010"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2917079A"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4%</w:t>
            </w:r>
          </w:p>
        </w:tc>
        <w:tc>
          <w:tcPr>
            <w:tcW w:w="600" w:type="dxa"/>
            <w:tcBorders>
              <w:top w:val="nil"/>
              <w:left w:val="nil"/>
              <w:bottom w:val="single" w:sz="4" w:space="0" w:color="BFBFBF"/>
              <w:right w:val="double" w:sz="6" w:space="0" w:color="auto"/>
            </w:tcBorders>
            <w:shd w:val="clear" w:color="auto" w:fill="auto"/>
            <w:noWrap/>
            <w:vAlign w:val="center"/>
          </w:tcPr>
          <w:p w14:paraId="738B64DA"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9%</w:t>
            </w:r>
          </w:p>
        </w:tc>
      </w:tr>
      <w:tr w:rsidR="006321C3" w:rsidRPr="00381923" w14:paraId="310E881B" w14:textId="77777777" w:rsidTr="00BD2674">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C4FC0C5" w14:textId="77777777" w:rsidR="006321C3" w:rsidRPr="00381923" w:rsidRDefault="006321C3" w:rsidP="006321C3">
            <w:pPr>
              <w:spacing w:before="0" w:after="0"/>
              <w:rPr>
                <w:rFonts w:ascii="Arial" w:hAnsi="Arial" w:cs="Arial"/>
                <w:color w:val="000000"/>
                <w:sz w:val="16"/>
                <w:szCs w:val="16"/>
                <w:lang w:val="en-AU" w:eastAsia="en-AU"/>
              </w:rPr>
            </w:pPr>
            <w:r w:rsidRPr="00381923">
              <w:rPr>
                <w:rFonts w:ascii="Arial" w:hAnsi="Arial" w:cs="Arial"/>
                <w:color w:val="000000"/>
                <w:sz w:val="16"/>
                <w:szCs w:val="16"/>
                <w:lang w:val="en-AU" w:eastAsia="en-AU"/>
              </w:rPr>
              <w:t>Other</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AA34998"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54B01CC"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29909DB7"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2BFF4E92"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7C760FC0"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8473B59"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3FBCB640"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45A884D3"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10" w:type="dxa"/>
            <w:tcBorders>
              <w:top w:val="nil"/>
              <w:left w:val="single" w:sz="4" w:space="0" w:color="auto"/>
              <w:bottom w:val="single" w:sz="4" w:space="0" w:color="BFBFBF"/>
              <w:right w:val="single" w:sz="4" w:space="0" w:color="BFBFBF"/>
            </w:tcBorders>
            <w:shd w:val="clear" w:color="auto" w:fill="auto"/>
            <w:noWrap/>
            <w:vAlign w:val="center"/>
          </w:tcPr>
          <w:p w14:paraId="6CFC68BE"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10" w:type="dxa"/>
            <w:tcBorders>
              <w:top w:val="nil"/>
              <w:left w:val="nil"/>
              <w:bottom w:val="single" w:sz="4" w:space="0" w:color="BFBFBF"/>
              <w:right w:val="single" w:sz="4" w:space="0" w:color="BFBFBF"/>
            </w:tcBorders>
            <w:shd w:val="clear" w:color="auto" w:fill="auto"/>
            <w:noWrap/>
            <w:vAlign w:val="center"/>
          </w:tcPr>
          <w:p w14:paraId="2A4B35EA"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10" w:type="dxa"/>
            <w:tcBorders>
              <w:top w:val="nil"/>
              <w:left w:val="nil"/>
              <w:bottom w:val="single" w:sz="4" w:space="0" w:color="BFBFBF"/>
              <w:right w:val="single" w:sz="4" w:space="0" w:color="BFBFBF"/>
            </w:tcBorders>
            <w:shd w:val="clear" w:color="auto" w:fill="auto"/>
            <w:noWrap/>
            <w:vAlign w:val="center"/>
          </w:tcPr>
          <w:p w14:paraId="22601346"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10" w:type="dxa"/>
            <w:tcBorders>
              <w:top w:val="nil"/>
              <w:left w:val="nil"/>
              <w:bottom w:val="single" w:sz="4" w:space="0" w:color="BFBFBF"/>
              <w:right w:val="single" w:sz="4" w:space="0" w:color="auto"/>
            </w:tcBorders>
            <w:shd w:val="clear" w:color="auto" w:fill="auto"/>
            <w:noWrap/>
            <w:vAlign w:val="center"/>
          </w:tcPr>
          <w:p w14:paraId="5AD01FEC"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7D65831D"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BFBFBF"/>
            </w:tcBorders>
            <w:shd w:val="clear" w:color="auto" w:fill="auto"/>
            <w:noWrap/>
            <w:vAlign w:val="center"/>
          </w:tcPr>
          <w:p w14:paraId="3A63DC55"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45" w:type="dxa"/>
            <w:tcBorders>
              <w:top w:val="nil"/>
              <w:left w:val="nil"/>
              <w:bottom w:val="single" w:sz="4" w:space="0" w:color="BFBFBF"/>
              <w:right w:val="single" w:sz="4" w:space="0" w:color="BFBFBF"/>
            </w:tcBorders>
            <w:shd w:val="clear" w:color="auto" w:fill="auto"/>
            <w:noWrap/>
            <w:vAlign w:val="center"/>
          </w:tcPr>
          <w:p w14:paraId="240878D4"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45" w:type="dxa"/>
            <w:tcBorders>
              <w:top w:val="nil"/>
              <w:left w:val="nil"/>
              <w:bottom w:val="single" w:sz="4" w:space="0" w:color="BFBFBF"/>
              <w:right w:val="single" w:sz="4" w:space="0" w:color="auto"/>
            </w:tcBorders>
            <w:shd w:val="clear" w:color="auto" w:fill="auto"/>
            <w:noWrap/>
            <w:vAlign w:val="center"/>
          </w:tcPr>
          <w:p w14:paraId="74102F95"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bottom"/>
          </w:tcPr>
          <w:p w14:paraId="2BFE6DC7"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AC62E81"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7FF2E214"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23D80397"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r>
      <w:tr w:rsidR="006321C3" w:rsidRPr="00381923" w14:paraId="00A604B1" w14:textId="77777777" w:rsidTr="00BD2674">
        <w:trPr>
          <w:trHeight w:val="240"/>
          <w:jc w:val="center"/>
        </w:trPr>
        <w:tc>
          <w:tcPr>
            <w:tcW w:w="2160" w:type="dxa"/>
            <w:tcBorders>
              <w:top w:val="nil"/>
              <w:left w:val="double" w:sz="6" w:space="0" w:color="auto"/>
              <w:bottom w:val="double" w:sz="6" w:space="0" w:color="auto"/>
              <w:right w:val="nil"/>
            </w:tcBorders>
            <w:shd w:val="clear" w:color="auto" w:fill="auto"/>
            <w:noWrap/>
            <w:vAlign w:val="center"/>
          </w:tcPr>
          <w:p w14:paraId="15883BE4" w14:textId="77777777" w:rsidR="006321C3" w:rsidRPr="00381923" w:rsidRDefault="006321C3" w:rsidP="006321C3">
            <w:pPr>
              <w:spacing w:before="0" w:after="0"/>
              <w:rPr>
                <w:rFonts w:ascii="Arial" w:hAnsi="Arial" w:cs="Arial"/>
                <w:color w:val="000000"/>
                <w:sz w:val="16"/>
                <w:szCs w:val="16"/>
                <w:lang w:val="en-AU" w:eastAsia="en-AU"/>
              </w:rPr>
            </w:pPr>
            <w:r w:rsidRPr="00381923">
              <w:rPr>
                <w:rFonts w:ascii="Arial" w:hAnsi="Arial" w:cs="Arial"/>
                <w:color w:val="000000"/>
                <w:sz w:val="16"/>
                <w:szCs w:val="16"/>
                <w:lang w:val="en-AU" w:eastAsia="en-AU"/>
              </w:rPr>
              <w:t>Can't say</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266E69A1"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74D70A1F"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78AC2FC9"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auto"/>
            </w:tcBorders>
            <w:shd w:val="clear" w:color="auto" w:fill="auto"/>
            <w:noWrap/>
            <w:vAlign w:val="center"/>
          </w:tcPr>
          <w:p w14:paraId="00B21AD9"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4BBCAECE"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208AE29D"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0B2474CF"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double" w:sz="6" w:space="0" w:color="auto"/>
              <w:right w:val="nil"/>
            </w:tcBorders>
            <w:shd w:val="clear" w:color="auto" w:fill="auto"/>
            <w:noWrap/>
            <w:vAlign w:val="center"/>
          </w:tcPr>
          <w:p w14:paraId="10A1DF87"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10" w:type="dxa"/>
            <w:tcBorders>
              <w:top w:val="nil"/>
              <w:left w:val="single" w:sz="4" w:space="0" w:color="auto"/>
              <w:bottom w:val="double" w:sz="6" w:space="0" w:color="auto"/>
              <w:right w:val="single" w:sz="4" w:space="0" w:color="BFBFBF"/>
            </w:tcBorders>
            <w:shd w:val="clear" w:color="auto" w:fill="auto"/>
            <w:noWrap/>
            <w:vAlign w:val="center"/>
          </w:tcPr>
          <w:p w14:paraId="2D08E59B"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10" w:type="dxa"/>
            <w:tcBorders>
              <w:top w:val="nil"/>
              <w:left w:val="nil"/>
              <w:bottom w:val="double" w:sz="6" w:space="0" w:color="auto"/>
              <w:right w:val="single" w:sz="4" w:space="0" w:color="BFBFBF"/>
            </w:tcBorders>
            <w:shd w:val="clear" w:color="auto" w:fill="auto"/>
            <w:noWrap/>
            <w:vAlign w:val="center"/>
          </w:tcPr>
          <w:p w14:paraId="495D418D"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10" w:type="dxa"/>
            <w:tcBorders>
              <w:top w:val="nil"/>
              <w:left w:val="nil"/>
              <w:bottom w:val="double" w:sz="6" w:space="0" w:color="auto"/>
              <w:right w:val="single" w:sz="4" w:space="0" w:color="BFBFBF"/>
            </w:tcBorders>
            <w:shd w:val="clear" w:color="auto" w:fill="auto"/>
            <w:noWrap/>
            <w:vAlign w:val="center"/>
          </w:tcPr>
          <w:p w14:paraId="19A89AB0"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10" w:type="dxa"/>
            <w:tcBorders>
              <w:top w:val="nil"/>
              <w:left w:val="nil"/>
              <w:bottom w:val="double" w:sz="6" w:space="0" w:color="auto"/>
              <w:right w:val="single" w:sz="4" w:space="0" w:color="auto"/>
            </w:tcBorders>
            <w:shd w:val="clear" w:color="auto" w:fill="auto"/>
            <w:noWrap/>
            <w:vAlign w:val="center"/>
          </w:tcPr>
          <w:p w14:paraId="74430AF4"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45" w:type="dxa"/>
            <w:tcBorders>
              <w:top w:val="nil"/>
              <w:left w:val="nil"/>
              <w:bottom w:val="double" w:sz="6" w:space="0" w:color="auto"/>
              <w:right w:val="single" w:sz="4" w:space="0" w:color="BFBFBF"/>
            </w:tcBorders>
            <w:shd w:val="clear" w:color="auto" w:fill="auto"/>
            <w:noWrap/>
            <w:vAlign w:val="center"/>
          </w:tcPr>
          <w:p w14:paraId="4B083B9C"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45" w:type="dxa"/>
            <w:tcBorders>
              <w:top w:val="nil"/>
              <w:left w:val="nil"/>
              <w:bottom w:val="double" w:sz="6" w:space="0" w:color="auto"/>
              <w:right w:val="single" w:sz="4" w:space="0" w:color="BFBFBF"/>
            </w:tcBorders>
            <w:shd w:val="clear" w:color="auto" w:fill="auto"/>
            <w:noWrap/>
            <w:vAlign w:val="center"/>
          </w:tcPr>
          <w:p w14:paraId="15E3AB03"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45" w:type="dxa"/>
            <w:tcBorders>
              <w:top w:val="nil"/>
              <w:left w:val="nil"/>
              <w:bottom w:val="double" w:sz="6" w:space="0" w:color="auto"/>
              <w:right w:val="single" w:sz="4" w:space="0" w:color="BFBFBF"/>
            </w:tcBorders>
            <w:shd w:val="clear" w:color="auto" w:fill="auto"/>
            <w:noWrap/>
            <w:vAlign w:val="center"/>
          </w:tcPr>
          <w:p w14:paraId="5A2455AD"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45" w:type="dxa"/>
            <w:tcBorders>
              <w:top w:val="nil"/>
              <w:left w:val="nil"/>
              <w:bottom w:val="double" w:sz="6" w:space="0" w:color="auto"/>
              <w:right w:val="single" w:sz="4" w:space="0" w:color="auto"/>
            </w:tcBorders>
            <w:shd w:val="clear" w:color="auto" w:fill="auto"/>
            <w:noWrap/>
            <w:vAlign w:val="center"/>
          </w:tcPr>
          <w:p w14:paraId="3EF7A18B"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bottom"/>
          </w:tcPr>
          <w:p w14:paraId="3CFD2737"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56D63B07"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73A35168"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1%</w:t>
            </w:r>
          </w:p>
        </w:tc>
        <w:tc>
          <w:tcPr>
            <w:tcW w:w="600" w:type="dxa"/>
            <w:tcBorders>
              <w:top w:val="nil"/>
              <w:left w:val="nil"/>
              <w:bottom w:val="double" w:sz="6" w:space="0" w:color="auto"/>
              <w:right w:val="double" w:sz="6" w:space="0" w:color="auto"/>
            </w:tcBorders>
            <w:shd w:val="clear" w:color="auto" w:fill="auto"/>
            <w:noWrap/>
            <w:vAlign w:val="center"/>
          </w:tcPr>
          <w:p w14:paraId="5B770920" w14:textId="77777777" w:rsidR="006321C3" w:rsidRPr="00381923" w:rsidRDefault="006321C3" w:rsidP="006321C3">
            <w:pPr>
              <w:spacing w:before="0" w:after="0"/>
              <w:jc w:val="center"/>
              <w:rPr>
                <w:rFonts w:ascii="Arial" w:hAnsi="Arial" w:cs="Arial"/>
                <w:color w:val="000000"/>
                <w:sz w:val="16"/>
                <w:szCs w:val="16"/>
                <w:lang w:val="en-AU" w:eastAsia="en-AU"/>
              </w:rPr>
            </w:pPr>
            <w:r w:rsidRPr="00381923">
              <w:rPr>
                <w:rFonts w:ascii="Arial" w:hAnsi="Arial" w:cs="Arial"/>
                <w:color w:val="000000"/>
                <w:sz w:val="16"/>
                <w:szCs w:val="16"/>
                <w:lang w:val="en-AU" w:eastAsia="en-AU"/>
              </w:rPr>
              <w:t>-</w:t>
            </w:r>
          </w:p>
        </w:tc>
      </w:tr>
    </w:tbl>
    <w:p w14:paraId="7C0EBBA3" w14:textId="77777777" w:rsidR="00E02C75" w:rsidRPr="00381923" w:rsidRDefault="00E02C75" w:rsidP="00BD2674">
      <w:pPr>
        <w:pStyle w:val="Para"/>
        <w:ind w:firstLine="284"/>
        <w:rPr>
          <w:sz w:val="20"/>
          <w:lang w:val="en-AU"/>
        </w:rPr>
      </w:pPr>
      <w:r w:rsidRPr="00381923">
        <w:rPr>
          <w:sz w:val="20"/>
          <w:lang w:val="en-AU"/>
        </w:rPr>
        <w:t xml:space="preserve">Base: Total respondents, </w:t>
      </w:r>
      <w:r w:rsidR="009E45A3" w:rsidRPr="00381923">
        <w:rPr>
          <w:sz w:val="20"/>
          <w:lang w:val="en-AU"/>
        </w:rPr>
        <w:t xml:space="preserve">2014 (n=1,861); </w:t>
      </w:r>
      <w:r w:rsidRPr="00381923">
        <w:rPr>
          <w:sz w:val="20"/>
          <w:lang w:val="en-AU"/>
        </w:rPr>
        <w:t>2007 (n=2,061); 2001 (n=2,006); 1996 (n=2,000)</w:t>
      </w:r>
    </w:p>
    <w:p w14:paraId="5C41450A" w14:textId="77777777" w:rsidR="00E02C75" w:rsidRPr="00DA3B75" w:rsidRDefault="00E02C75" w:rsidP="00E02C75">
      <w:pPr>
        <w:pStyle w:val="Heading3"/>
        <w:numPr>
          <w:ilvl w:val="0"/>
          <w:numId w:val="0"/>
        </w:numPr>
        <w:spacing w:before="0"/>
        <w:rPr>
          <w:highlight w:val="yellow"/>
          <w:lang w:val="en-AU"/>
        </w:rPr>
      </w:pPr>
    </w:p>
    <w:p w14:paraId="4F027A82" w14:textId="77777777" w:rsidR="003920D8" w:rsidRPr="00B7248F" w:rsidRDefault="003D78FE">
      <w:pPr>
        <w:pStyle w:val="Heading3"/>
        <w:tabs>
          <w:tab w:val="clear" w:pos="8517"/>
          <w:tab w:val="num" w:pos="851"/>
        </w:tabs>
        <w:spacing w:before="0"/>
        <w:ind w:hanging="8517"/>
        <w:rPr>
          <w:lang w:val="en-AU"/>
        </w:rPr>
      </w:pPr>
      <w:r w:rsidRPr="00DA3B75">
        <w:rPr>
          <w:highlight w:val="yellow"/>
          <w:lang w:val="en-AU"/>
        </w:rPr>
        <w:br w:type="page"/>
      </w:r>
      <w:bookmarkStart w:id="126" w:name="_Toc439198291"/>
      <w:bookmarkStart w:id="127" w:name="_Toc445571674"/>
      <w:r w:rsidR="00E02C75" w:rsidRPr="00B7248F">
        <w:rPr>
          <w:lang w:val="en-AU"/>
        </w:rPr>
        <w:lastRenderedPageBreak/>
        <w:t>Incide</w:t>
      </w:r>
      <w:r w:rsidR="006321C3" w:rsidRPr="00B7248F">
        <w:rPr>
          <w:lang w:val="en-AU"/>
        </w:rPr>
        <w:t>nce of Other Household Members H</w:t>
      </w:r>
      <w:r w:rsidR="00E02C75" w:rsidRPr="00B7248F">
        <w:rPr>
          <w:lang w:val="en-AU"/>
        </w:rPr>
        <w:t>olding Concession Cards</w:t>
      </w:r>
      <w:bookmarkEnd w:id="126"/>
      <w:bookmarkEnd w:id="127"/>
    </w:p>
    <w:p w14:paraId="44341299" w14:textId="77777777" w:rsidR="00DC6448" w:rsidRDefault="00DC6448" w:rsidP="003C4AA1">
      <w:pPr>
        <w:pStyle w:val="Para"/>
        <w:rPr>
          <w:lang w:val="en-AU"/>
        </w:rPr>
      </w:pPr>
    </w:p>
    <w:p w14:paraId="2D2299F4" w14:textId="77777777" w:rsidR="00E02C75" w:rsidRPr="004370C4" w:rsidRDefault="00465AC1" w:rsidP="003C4AA1">
      <w:pPr>
        <w:pStyle w:val="Para"/>
        <w:rPr>
          <w:lang w:val="en-AU"/>
        </w:rPr>
      </w:pPr>
      <w:r w:rsidRPr="00B7248F">
        <w:rPr>
          <w:lang w:val="en-AU"/>
        </w:rPr>
        <w:t>In 2014, 12% of househo</w:t>
      </w:r>
      <w:r w:rsidR="00E02C75" w:rsidRPr="00B7248F">
        <w:rPr>
          <w:lang w:val="en-AU"/>
        </w:rPr>
        <w:t>lds had at least one other member holding an aged pension</w:t>
      </w:r>
      <w:r w:rsidR="00A07A3D" w:rsidRPr="00B7248F">
        <w:rPr>
          <w:lang w:val="en-AU"/>
        </w:rPr>
        <w:t>er</w:t>
      </w:r>
      <w:r w:rsidR="00E02C75" w:rsidRPr="00B7248F">
        <w:rPr>
          <w:lang w:val="en-AU"/>
        </w:rPr>
        <w:t xml:space="preserve"> concession card</w:t>
      </w:r>
      <w:r w:rsidR="0057268F" w:rsidRPr="00B7248F">
        <w:rPr>
          <w:lang w:val="en-AU"/>
        </w:rPr>
        <w:t xml:space="preserve"> (see Table 3.3.7 overleaf)</w:t>
      </w:r>
      <w:r w:rsidR="00FF4428" w:rsidRPr="00B7248F">
        <w:rPr>
          <w:lang w:val="en-AU"/>
        </w:rPr>
        <w:t>, with 9% h</w:t>
      </w:r>
      <w:r w:rsidR="00E02C75" w:rsidRPr="00B7248F">
        <w:rPr>
          <w:lang w:val="en-AU"/>
        </w:rPr>
        <w:t xml:space="preserve">aving at least one other member holding a </w:t>
      </w:r>
      <w:r w:rsidR="00B15FA5" w:rsidRPr="00B7248F">
        <w:rPr>
          <w:lang w:val="en-AU"/>
        </w:rPr>
        <w:t>H</w:t>
      </w:r>
      <w:r w:rsidR="00FF4428" w:rsidRPr="00B7248F">
        <w:rPr>
          <w:lang w:val="en-AU"/>
        </w:rPr>
        <w:t xml:space="preserve">ealth </w:t>
      </w:r>
      <w:r w:rsidR="00B15FA5" w:rsidRPr="00B7248F">
        <w:rPr>
          <w:lang w:val="en-AU"/>
        </w:rPr>
        <w:t>C</w:t>
      </w:r>
      <w:r w:rsidR="00FF4428" w:rsidRPr="00B7248F">
        <w:rPr>
          <w:lang w:val="en-AU"/>
        </w:rPr>
        <w:t xml:space="preserve">are </w:t>
      </w:r>
      <w:r w:rsidR="00B15FA5" w:rsidRPr="00B7248F">
        <w:rPr>
          <w:lang w:val="en-AU"/>
        </w:rPr>
        <w:t>C</w:t>
      </w:r>
      <w:r w:rsidR="00FF4428" w:rsidRPr="00B7248F">
        <w:rPr>
          <w:lang w:val="en-AU"/>
        </w:rPr>
        <w:t xml:space="preserve">ard and 6% holding a non-aged </w:t>
      </w:r>
      <w:r w:rsidR="00A07A3D" w:rsidRPr="00B7248F">
        <w:rPr>
          <w:lang w:val="en-AU"/>
        </w:rPr>
        <w:t xml:space="preserve">pensioner </w:t>
      </w:r>
      <w:r w:rsidR="00FF4428" w:rsidRPr="00B7248F">
        <w:rPr>
          <w:lang w:val="en-AU"/>
        </w:rPr>
        <w:t>concession card</w:t>
      </w:r>
      <w:r w:rsidR="005A6468" w:rsidRPr="00B7248F">
        <w:rPr>
          <w:lang w:val="en-AU"/>
        </w:rPr>
        <w:t xml:space="preserve"> (see glossary for an explanation of these terms</w:t>
      </w:r>
      <w:r w:rsidR="005A6468" w:rsidRPr="004370C4">
        <w:rPr>
          <w:lang w:val="en-AU"/>
        </w:rPr>
        <w:t>)</w:t>
      </w:r>
      <w:r w:rsidR="00FF4428" w:rsidRPr="004370C4">
        <w:rPr>
          <w:lang w:val="en-AU"/>
        </w:rPr>
        <w:t>.</w:t>
      </w:r>
      <w:r w:rsidRPr="004370C4">
        <w:rPr>
          <w:lang w:val="en-AU"/>
        </w:rPr>
        <w:t xml:space="preserve">  </w:t>
      </w:r>
      <w:r w:rsidR="00E02C75" w:rsidRPr="004370C4">
        <w:rPr>
          <w:lang w:val="en-AU"/>
        </w:rPr>
        <w:t>Not surprisingly, a large proportion (4</w:t>
      </w:r>
      <w:r w:rsidR="00FF4428" w:rsidRPr="004370C4">
        <w:rPr>
          <w:lang w:val="en-AU"/>
        </w:rPr>
        <w:t>1</w:t>
      </w:r>
      <w:r w:rsidR="00E02C75" w:rsidRPr="004370C4">
        <w:rPr>
          <w:lang w:val="en-AU"/>
        </w:rPr>
        <w:t xml:space="preserve">%) of </w:t>
      </w:r>
      <w:r w:rsidR="00513F11" w:rsidRPr="004370C4">
        <w:rPr>
          <w:lang w:val="en-AU"/>
        </w:rPr>
        <w:t>aged concession</w:t>
      </w:r>
      <w:r w:rsidR="00E02C75" w:rsidRPr="004370C4">
        <w:rPr>
          <w:lang w:val="en-AU"/>
        </w:rPr>
        <w:t xml:space="preserve"> households had another member also holding an aged pensioner </w:t>
      </w:r>
      <w:r w:rsidR="00895F8A" w:rsidRPr="004370C4">
        <w:rPr>
          <w:lang w:val="en-AU"/>
        </w:rPr>
        <w:t xml:space="preserve">concession </w:t>
      </w:r>
      <w:r w:rsidR="00E02C75" w:rsidRPr="004370C4">
        <w:rPr>
          <w:lang w:val="en-AU"/>
        </w:rPr>
        <w:t>card</w:t>
      </w:r>
      <w:r w:rsidR="003D78FE" w:rsidRPr="004370C4">
        <w:rPr>
          <w:lang w:val="en-AU"/>
        </w:rPr>
        <w:t xml:space="preserve">.  In total, 42% of concession households had another member of the household holding a concession card of some type.  In contrast, only </w:t>
      </w:r>
      <w:r w:rsidR="00FF4428" w:rsidRPr="004370C4">
        <w:rPr>
          <w:lang w:val="en-AU"/>
        </w:rPr>
        <w:t xml:space="preserve">11% of </w:t>
      </w:r>
      <w:r w:rsidR="00E02C75" w:rsidRPr="004370C4">
        <w:rPr>
          <w:lang w:val="en-AU"/>
        </w:rPr>
        <w:t>non-concession households included members with a concession card</w:t>
      </w:r>
      <w:r w:rsidR="00D97351" w:rsidRPr="004370C4">
        <w:rPr>
          <w:lang w:val="en-AU"/>
        </w:rPr>
        <w:t>, with the majority of these holding a Health Care Card (</w:t>
      </w:r>
      <w:r w:rsidR="00FF4428" w:rsidRPr="004370C4">
        <w:rPr>
          <w:lang w:val="en-AU"/>
        </w:rPr>
        <w:t>7</w:t>
      </w:r>
      <w:r w:rsidR="00D97351" w:rsidRPr="004370C4">
        <w:rPr>
          <w:lang w:val="en-AU"/>
        </w:rPr>
        <w:t>%)</w:t>
      </w:r>
      <w:r w:rsidR="00E02C75" w:rsidRPr="004370C4">
        <w:rPr>
          <w:lang w:val="en-AU"/>
        </w:rPr>
        <w:t>.</w:t>
      </w:r>
    </w:p>
    <w:p w14:paraId="2378FF7B" w14:textId="77777777" w:rsidR="00E02C75" w:rsidRPr="00DA3B75" w:rsidRDefault="00E02C75" w:rsidP="00E02C75">
      <w:pPr>
        <w:pStyle w:val="Para"/>
        <w:rPr>
          <w:highlight w:val="yellow"/>
          <w:lang w:val="en-AU"/>
        </w:rPr>
      </w:pPr>
    </w:p>
    <w:p w14:paraId="73EDE35A" w14:textId="77777777" w:rsidR="00E02C75" w:rsidRPr="004370C4" w:rsidRDefault="00E02C75" w:rsidP="00E02C75">
      <w:pPr>
        <w:pStyle w:val="Para"/>
        <w:rPr>
          <w:lang w:val="en-AU"/>
        </w:rPr>
      </w:pPr>
      <w:r w:rsidRPr="004370C4">
        <w:rPr>
          <w:lang w:val="en-AU"/>
        </w:rPr>
        <w:t xml:space="preserve">Results were </w:t>
      </w:r>
      <w:r w:rsidR="003D78FE" w:rsidRPr="004370C4">
        <w:rPr>
          <w:lang w:val="en-AU"/>
        </w:rPr>
        <w:t>broadly c</w:t>
      </w:r>
      <w:r w:rsidRPr="004370C4">
        <w:rPr>
          <w:lang w:val="en-AU"/>
        </w:rPr>
        <w:t xml:space="preserve">onsistent with those </w:t>
      </w:r>
      <w:r w:rsidR="00283BDB" w:rsidRPr="004370C4">
        <w:rPr>
          <w:lang w:val="en-AU"/>
        </w:rPr>
        <w:t>of</w:t>
      </w:r>
      <w:r w:rsidRPr="004370C4">
        <w:rPr>
          <w:lang w:val="en-AU"/>
        </w:rPr>
        <w:t xml:space="preserve"> 200</w:t>
      </w:r>
      <w:r w:rsidR="003D78FE" w:rsidRPr="004370C4">
        <w:rPr>
          <w:lang w:val="en-AU"/>
        </w:rPr>
        <w:t xml:space="preserve">7 and 2001 (the question was not asked in 1996).  The biggest change was the drop in the proportion of </w:t>
      </w:r>
      <w:r w:rsidR="00A7084B" w:rsidRPr="004370C4">
        <w:rPr>
          <w:lang w:val="en-AU"/>
        </w:rPr>
        <w:t xml:space="preserve">other concession </w:t>
      </w:r>
      <w:r w:rsidR="003D78FE" w:rsidRPr="004370C4">
        <w:rPr>
          <w:lang w:val="en-AU"/>
        </w:rPr>
        <w:t>households with other members holding a Health Care Card</w:t>
      </w:r>
      <w:r w:rsidR="00A7084B" w:rsidRPr="004370C4">
        <w:rPr>
          <w:lang w:val="en-AU"/>
        </w:rPr>
        <w:t>, which has almost halved between 2001 (33%) and 2014 (17%), while remaining fairly steady among aged concession and non-concession households.</w:t>
      </w:r>
      <w:r w:rsidR="003D78FE" w:rsidRPr="004370C4">
        <w:rPr>
          <w:lang w:val="en-AU"/>
        </w:rPr>
        <w:t xml:space="preserve"> </w:t>
      </w:r>
    </w:p>
    <w:p w14:paraId="0837F374" w14:textId="77777777" w:rsidR="003D78FE" w:rsidRPr="00DA3B75" w:rsidRDefault="003D78FE" w:rsidP="00E02C75">
      <w:pPr>
        <w:pStyle w:val="Para"/>
        <w:rPr>
          <w:highlight w:val="yellow"/>
          <w:lang w:val="en-AU"/>
        </w:rPr>
      </w:pPr>
    </w:p>
    <w:p w14:paraId="65835113" w14:textId="1D2B349F" w:rsidR="00465AC1" w:rsidRPr="00B7248F" w:rsidRDefault="00465AC1" w:rsidP="00465AC1">
      <w:pPr>
        <w:pStyle w:val="Para"/>
        <w:pBdr>
          <w:top w:val="double" w:sz="4" w:space="1" w:color="auto"/>
          <w:left w:val="double" w:sz="4" w:space="4" w:color="auto"/>
          <w:bottom w:val="double" w:sz="4" w:space="1" w:color="auto"/>
          <w:right w:val="double" w:sz="4" w:space="4" w:color="auto"/>
        </w:pBdr>
        <w:shd w:val="pct10" w:color="auto" w:fill="auto"/>
        <w:rPr>
          <w:lang w:val="en-AU"/>
        </w:rPr>
      </w:pPr>
      <w:r w:rsidRPr="00B7248F">
        <w:rPr>
          <w:lang w:val="en-AU"/>
        </w:rPr>
        <w:t xml:space="preserve">Please note that whilst other members of the household may hold concessions cards, these persons were not defined as being the person responsible for payment of the household bills.  Therefore in some instances a </w:t>
      </w:r>
      <w:r w:rsidR="00214D3D">
        <w:rPr>
          <w:lang w:val="en-AU"/>
        </w:rPr>
        <w:t>‘</w:t>
      </w:r>
      <w:r w:rsidR="00041263">
        <w:rPr>
          <w:lang w:val="en-AU"/>
        </w:rPr>
        <w:t>n</w:t>
      </w:r>
      <w:r w:rsidRPr="00B7248F">
        <w:rPr>
          <w:lang w:val="en-AU"/>
        </w:rPr>
        <w:t>on-concession</w:t>
      </w:r>
      <w:r w:rsidR="00214D3D">
        <w:rPr>
          <w:lang w:val="en-AU"/>
        </w:rPr>
        <w:t>’</w:t>
      </w:r>
      <w:r w:rsidRPr="00B7248F">
        <w:rPr>
          <w:lang w:val="en-AU"/>
        </w:rPr>
        <w:t xml:space="preserve"> household may in fact receive concessions on some bills because another member of the household may hold a concession card.  This also means that a household defined as an ‘other’ concession household may also have another household member who holds </w:t>
      </w:r>
      <w:r w:rsidR="00895F8A" w:rsidRPr="00B7248F">
        <w:rPr>
          <w:lang w:val="en-AU"/>
        </w:rPr>
        <w:t xml:space="preserve">an </w:t>
      </w:r>
      <w:r w:rsidRPr="00B7248F">
        <w:rPr>
          <w:lang w:val="en-AU"/>
        </w:rPr>
        <w:t xml:space="preserve">aged pensioner concession card, or vice versa.  </w:t>
      </w:r>
    </w:p>
    <w:p w14:paraId="79CA3EFC" w14:textId="77777777" w:rsidR="00465AC1" w:rsidRPr="00DA3B75" w:rsidRDefault="00465AC1" w:rsidP="00E02C75">
      <w:pPr>
        <w:pStyle w:val="Para"/>
        <w:rPr>
          <w:highlight w:val="yellow"/>
          <w:lang w:val="en-AU"/>
        </w:rPr>
      </w:pPr>
    </w:p>
    <w:p w14:paraId="5EDF37C4" w14:textId="77777777" w:rsidR="00E02C75" w:rsidRPr="00B7248F" w:rsidRDefault="00465AC1" w:rsidP="00BD2674">
      <w:pPr>
        <w:pStyle w:val="Para"/>
        <w:jc w:val="center"/>
        <w:outlineLvl w:val="0"/>
        <w:rPr>
          <w:b/>
          <w:u w:val="single"/>
          <w:lang w:val="en-AU"/>
        </w:rPr>
      </w:pPr>
      <w:r w:rsidRPr="00DA3B75">
        <w:rPr>
          <w:b/>
          <w:highlight w:val="yellow"/>
          <w:lang w:val="en-AU"/>
        </w:rPr>
        <w:br w:type="page"/>
      </w:r>
      <w:r w:rsidR="00E02C75" w:rsidRPr="00B7248F">
        <w:rPr>
          <w:b/>
          <w:lang w:val="en-AU"/>
        </w:rPr>
        <w:lastRenderedPageBreak/>
        <w:t xml:space="preserve">Table 3.3.7: </w:t>
      </w:r>
      <w:r w:rsidR="00E02C75" w:rsidRPr="00B7248F">
        <w:rPr>
          <w:b/>
          <w:u w:val="single"/>
          <w:lang w:val="en-AU"/>
        </w:rPr>
        <w:t>Incidence of Other Household Members Holding Concession Cards</w:t>
      </w:r>
    </w:p>
    <w:p w14:paraId="346B3B89" w14:textId="77777777" w:rsidR="006321C3" w:rsidRPr="00B7248F" w:rsidRDefault="006321C3" w:rsidP="00E02C75">
      <w:pPr>
        <w:pStyle w:val="Para"/>
        <w:outlineLvl w:val="0"/>
        <w:rPr>
          <w:b/>
          <w:lang w:val="en-AU"/>
        </w:rPr>
      </w:pPr>
    </w:p>
    <w:tbl>
      <w:tblPr>
        <w:tblW w:w="11380" w:type="dxa"/>
        <w:jc w:val="center"/>
        <w:tblLook w:val="04A0" w:firstRow="1" w:lastRow="0" w:firstColumn="1" w:lastColumn="0" w:noHBand="0" w:noVBand="1"/>
      </w:tblPr>
      <w:tblGrid>
        <w:gridCol w:w="2160"/>
        <w:gridCol w:w="600"/>
        <w:gridCol w:w="600"/>
        <w:gridCol w:w="600"/>
        <w:gridCol w:w="600"/>
        <w:gridCol w:w="600"/>
        <w:gridCol w:w="600"/>
        <w:gridCol w:w="600"/>
        <w:gridCol w:w="600"/>
        <w:gridCol w:w="600"/>
        <w:gridCol w:w="614"/>
        <w:gridCol w:w="613"/>
        <w:gridCol w:w="613"/>
        <w:gridCol w:w="660"/>
        <w:gridCol w:w="660"/>
        <w:gridCol w:w="660"/>
      </w:tblGrid>
      <w:tr w:rsidR="006321C3" w:rsidRPr="00B7248F" w14:paraId="566A639E" w14:textId="77777777" w:rsidTr="00BD2674">
        <w:trPr>
          <w:trHeight w:val="450"/>
          <w:jc w:val="center"/>
        </w:trPr>
        <w:tc>
          <w:tcPr>
            <w:tcW w:w="2160" w:type="dxa"/>
            <w:vMerge w:val="restart"/>
            <w:tcBorders>
              <w:top w:val="double" w:sz="6" w:space="0" w:color="auto"/>
              <w:left w:val="double" w:sz="6" w:space="0" w:color="auto"/>
              <w:bottom w:val="single" w:sz="4" w:space="0" w:color="BFBFBF"/>
              <w:right w:val="nil"/>
            </w:tcBorders>
            <w:shd w:val="clear" w:color="auto" w:fill="auto"/>
            <w:vAlign w:val="center"/>
          </w:tcPr>
          <w:p w14:paraId="10D7CEBD" w14:textId="77777777" w:rsidR="006321C3" w:rsidRPr="00B7248F" w:rsidRDefault="006321C3" w:rsidP="006321C3">
            <w:pPr>
              <w:spacing w:before="0" w:after="0"/>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Other HH members with Concession Cards</w:t>
            </w:r>
            <w:r w:rsidRPr="00B7248F">
              <w:rPr>
                <w:rFonts w:ascii="Arial" w:hAnsi="Arial" w:cs="Arial"/>
                <w:b/>
                <w:bCs/>
                <w:color w:val="000000"/>
                <w:sz w:val="16"/>
                <w:szCs w:val="16"/>
                <w:vertAlign w:val="superscript"/>
                <w:lang w:val="en-AU" w:eastAsia="en-AU"/>
              </w:rPr>
              <w:t>1</w:t>
            </w:r>
          </w:p>
        </w:tc>
        <w:tc>
          <w:tcPr>
            <w:tcW w:w="1800" w:type="dxa"/>
            <w:gridSpan w:val="3"/>
            <w:tcBorders>
              <w:top w:val="double" w:sz="6" w:space="0" w:color="auto"/>
              <w:left w:val="single" w:sz="4" w:space="0" w:color="auto"/>
              <w:bottom w:val="single" w:sz="4" w:space="0" w:color="BFBFBF"/>
              <w:right w:val="single" w:sz="4" w:space="0" w:color="000000"/>
            </w:tcBorders>
            <w:shd w:val="clear" w:color="auto" w:fill="auto"/>
            <w:vAlign w:val="center"/>
          </w:tcPr>
          <w:p w14:paraId="4222E594" w14:textId="77777777" w:rsidR="006321C3" w:rsidRPr="00B7248F" w:rsidRDefault="006321C3" w:rsidP="006321C3">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Aged Concession HHs</w:t>
            </w:r>
          </w:p>
        </w:tc>
        <w:tc>
          <w:tcPr>
            <w:tcW w:w="1800" w:type="dxa"/>
            <w:gridSpan w:val="3"/>
            <w:tcBorders>
              <w:top w:val="double" w:sz="6" w:space="0" w:color="auto"/>
              <w:left w:val="nil"/>
              <w:bottom w:val="single" w:sz="4" w:space="0" w:color="BFBFBF"/>
              <w:right w:val="single" w:sz="4" w:space="0" w:color="BFBFBF"/>
            </w:tcBorders>
            <w:shd w:val="clear" w:color="auto" w:fill="auto"/>
            <w:vAlign w:val="center"/>
          </w:tcPr>
          <w:p w14:paraId="4FCE2C17" w14:textId="77777777" w:rsidR="006321C3" w:rsidRPr="00B7248F" w:rsidRDefault="006321C3" w:rsidP="006321C3">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Other Concession HHs</w:t>
            </w:r>
          </w:p>
        </w:tc>
        <w:tc>
          <w:tcPr>
            <w:tcW w:w="1800" w:type="dxa"/>
            <w:gridSpan w:val="3"/>
            <w:tcBorders>
              <w:top w:val="double" w:sz="6" w:space="0" w:color="auto"/>
              <w:left w:val="single" w:sz="4" w:space="0" w:color="auto"/>
              <w:bottom w:val="single" w:sz="4" w:space="0" w:color="BFBFBF"/>
              <w:right w:val="single" w:sz="4" w:space="0" w:color="000000"/>
            </w:tcBorders>
            <w:shd w:val="clear" w:color="auto" w:fill="auto"/>
            <w:vAlign w:val="center"/>
          </w:tcPr>
          <w:p w14:paraId="337E5994" w14:textId="77777777" w:rsidR="006321C3" w:rsidRPr="00B7248F" w:rsidRDefault="006321C3" w:rsidP="006321C3">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Total Concession HHs</w:t>
            </w:r>
          </w:p>
        </w:tc>
        <w:tc>
          <w:tcPr>
            <w:tcW w:w="1840" w:type="dxa"/>
            <w:gridSpan w:val="3"/>
            <w:tcBorders>
              <w:top w:val="double" w:sz="6" w:space="0" w:color="auto"/>
              <w:left w:val="nil"/>
              <w:bottom w:val="single" w:sz="4" w:space="0" w:color="BFBFBF"/>
              <w:right w:val="single" w:sz="4" w:space="0" w:color="BFBFBF"/>
            </w:tcBorders>
            <w:shd w:val="clear" w:color="auto" w:fill="auto"/>
            <w:vAlign w:val="center"/>
          </w:tcPr>
          <w:p w14:paraId="113F59D6" w14:textId="77777777" w:rsidR="006321C3" w:rsidRPr="00B7248F" w:rsidRDefault="006321C3" w:rsidP="006321C3">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Non-Concession HHs</w:t>
            </w:r>
          </w:p>
        </w:tc>
        <w:tc>
          <w:tcPr>
            <w:tcW w:w="1980" w:type="dxa"/>
            <w:gridSpan w:val="3"/>
            <w:tcBorders>
              <w:top w:val="double" w:sz="6" w:space="0" w:color="auto"/>
              <w:left w:val="single" w:sz="4" w:space="0" w:color="auto"/>
              <w:bottom w:val="single" w:sz="4" w:space="0" w:color="BFBFBF"/>
              <w:right w:val="double" w:sz="6" w:space="0" w:color="000000"/>
            </w:tcBorders>
            <w:shd w:val="clear" w:color="auto" w:fill="auto"/>
            <w:vAlign w:val="center"/>
          </w:tcPr>
          <w:p w14:paraId="46661CC4" w14:textId="77777777" w:rsidR="006321C3" w:rsidRPr="00B7248F" w:rsidRDefault="006321C3" w:rsidP="006321C3">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Total HHs</w:t>
            </w:r>
          </w:p>
        </w:tc>
      </w:tr>
      <w:tr w:rsidR="006321C3" w:rsidRPr="00B7248F" w14:paraId="0967F711" w14:textId="77777777" w:rsidTr="00CA471A">
        <w:trPr>
          <w:trHeight w:val="225"/>
          <w:jc w:val="center"/>
        </w:trPr>
        <w:tc>
          <w:tcPr>
            <w:tcW w:w="2160" w:type="dxa"/>
            <w:vMerge/>
            <w:tcBorders>
              <w:top w:val="double" w:sz="6" w:space="0" w:color="auto"/>
              <w:left w:val="double" w:sz="6" w:space="0" w:color="auto"/>
              <w:bottom w:val="single" w:sz="4" w:space="0" w:color="BFBFBF"/>
              <w:right w:val="nil"/>
            </w:tcBorders>
            <w:vAlign w:val="center"/>
          </w:tcPr>
          <w:p w14:paraId="4A7C8B20" w14:textId="77777777" w:rsidR="006321C3" w:rsidRPr="00B7248F" w:rsidRDefault="006321C3" w:rsidP="006321C3">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6F22597"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3298D8F7"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auto"/>
            </w:tcBorders>
            <w:shd w:val="clear" w:color="auto" w:fill="auto"/>
            <w:noWrap/>
            <w:vAlign w:val="center"/>
          </w:tcPr>
          <w:p w14:paraId="2CC83DAB"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2001</w:t>
            </w:r>
          </w:p>
        </w:tc>
        <w:tc>
          <w:tcPr>
            <w:tcW w:w="600" w:type="dxa"/>
            <w:tcBorders>
              <w:top w:val="nil"/>
              <w:left w:val="nil"/>
              <w:bottom w:val="single" w:sz="4" w:space="0" w:color="BFBFBF"/>
              <w:right w:val="single" w:sz="4" w:space="0" w:color="BFBFBF"/>
            </w:tcBorders>
            <w:shd w:val="clear" w:color="auto" w:fill="auto"/>
            <w:noWrap/>
            <w:vAlign w:val="center"/>
          </w:tcPr>
          <w:p w14:paraId="18F29CF8"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2E7C9363"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2007</w:t>
            </w:r>
          </w:p>
        </w:tc>
        <w:tc>
          <w:tcPr>
            <w:tcW w:w="600" w:type="dxa"/>
            <w:tcBorders>
              <w:top w:val="nil"/>
              <w:left w:val="nil"/>
              <w:bottom w:val="single" w:sz="4" w:space="0" w:color="BFBFBF"/>
              <w:right w:val="nil"/>
            </w:tcBorders>
            <w:shd w:val="clear" w:color="auto" w:fill="auto"/>
            <w:noWrap/>
            <w:vAlign w:val="center"/>
          </w:tcPr>
          <w:p w14:paraId="7C2F06C4"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2001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3238A2F"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75790603"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auto"/>
            </w:tcBorders>
            <w:shd w:val="clear" w:color="auto" w:fill="auto"/>
            <w:noWrap/>
            <w:vAlign w:val="center"/>
          </w:tcPr>
          <w:p w14:paraId="3EE8923B"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2001</w:t>
            </w:r>
          </w:p>
        </w:tc>
        <w:tc>
          <w:tcPr>
            <w:tcW w:w="614" w:type="dxa"/>
            <w:tcBorders>
              <w:top w:val="nil"/>
              <w:left w:val="nil"/>
              <w:bottom w:val="single" w:sz="4" w:space="0" w:color="BFBFBF"/>
              <w:right w:val="single" w:sz="4" w:space="0" w:color="BFBFBF"/>
            </w:tcBorders>
            <w:shd w:val="clear" w:color="auto" w:fill="auto"/>
            <w:noWrap/>
            <w:vAlign w:val="center"/>
          </w:tcPr>
          <w:p w14:paraId="7B3EC60F"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2014</w:t>
            </w:r>
          </w:p>
        </w:tc>
        <w:tc>
          <w:tcPr>
            <w:tcW w:w="613" w:type="dxa"/>
            <w:tcBorders>
              <w:top w:val="nil"/>
              <w:left w:val="nil"/>
              <w:bottom w:val="single" w:sz="4" w:space="0" w:color="BFBFBF"/>
              <w:right w:val="single" w:sz="4" w:space="0" w:color="BFBFBF"/>
            </w:tcBorders>
            <w:shd w:val="clear" w:color="auto" w:fill="auto"/>
            <w:noWrap/>
            <w:vAlign w:val="center"/>
          </w:tcPr>
          <w:p w14:paraId="32412B7B"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2007</w:t>
            </w:r>
          </w:p>
        </w:tc>
        <w:tc>
          <w:tcPr>
            <w:tcW w:w="613" w:type="dxa"/>
            <w:tcBorders>
              <w:top w:val="nil"/>
              <w:left w:val="nil"/>
              <w:bottom w:val="single" w:sz="4" w:space="0" w:color="BFBFBF"/>
              <w:right w:val="nil"/>
            </w:tcBorders>
            <w:shd w:val="clear" w:color="auto" w:fill="auto"/>
            <w:noWrap/>
            <w:vAlign w:val="center"/>
          </w:tcPr>
          <w:p w14:paraId="092DD53E"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2001</w:t>
            </w:r>
          </w:p>
        </w:tc>
        <w:tc>
          <w:tcPr>
            <w:tcW w:w="660" w:type="dxa"/>
            <w:tcBorders>
              <w:top w:val="nil"/>
              <w:left w:val="single" w:sz="4" w:space="0" w:color="auto"/>
              <w:bottom w:val="single" w:sz="4" w:space="0" w:color="BFBFBF"/>
              <w:right w:val="single" w:sz="4" w:space="0" w:color="BFBFBF"/>
            </w:tcBorders>
            <w:shd w:val="clear" w:color="auto" w:fill="auto"/>
            <w:noWrap/>
            <w:vAlign w:val="center"/>
          </w:tcPr>
          <w:p w14:paraId="3E5A70E8"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2014</w:t>
            </w:r>
          </w:p>
        </w:tc>
        <w:tc>
          <w:tcPr>
            <w:tcW w:w="660" w:type="dxa"/>
            <w:tcBorders>
              <w:top w:val="nil"/>
              <w:left w:val="nil"/>
              <w:bottom w:val="single" w:sz="4" w:space="0" w:color="BFBFBF"/>
              <w:right w:val="single" w:sz="4" w:space="0" w:color="BFBFBF"/>
            </w:tcBorders>
            <w:shd w:val="clear" w:color="auto" w:fill="auto"/>
            <w:noWrap/>
            <w:vAlign w:val="center"/>
          </w:tcPr>
          <w:p w14:paraId="2EAA55C4"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2007</w:t>
            </w:r>
          </w:p>
        </w:tc>
        <w:tc>
          <w:tcPr>
            <w:tcW w:w="660" w:type="dxa"/>
            <w:tcBorders>
              <w:top w:val="nil"/>
              <w:left w:val="nil"/>
              <w:bottom w:val="single" w:sz="4" w:space="0" w:color="BFBFBF"/>
              <w:right w:val="double" w:sz="6" w:space="0" w:color="auto"/>
            </w:tcBorders>
            <w:shd w:val="clear" w:color="auto" w:fill="auto"/>
            <w:noWrap/>
            <w:vAlign w:val="center"/>
          </w:tcPr>
          <w:p w14:paraId="57A8FFBE"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2001</w:t>
            </w:r>
          </w:p>
        </w:tc>
      </w:tr>
      <w:tr w:rsidR="0054131D" w:rsidRPr="00B7248F" w14:paraId="7357E92C" w14:textId="77777777" w:rsidTr="006616D6">
        <w:trPr>
          <w:trHeight w:val="454"/>
          <w:jc w:val="center"/>
        </w:trPr>
        <w:tc>
          <w:tcPr>
            <w:tcW w:w="2160" w:type="dxa"/>
            <w:tcBorders>
              <w:top w:val="nil"/>
              <w:left w:val="double" w:sz="6" w:space="0" w:color="auto"/>
              <w:bottom w:val="single" w:sz="4" w:space="0" w:color="BFBFBF"/>
              <w:right w:val="nil"/>
            </w:tcBorders>
            <w:shd w:val="clear" w:color="auto" w:fill="auto"/>
            <w:noWrap/>
            <w:vAlign w:val="center"/>
          </w:tcPr>
          <w:p w14:paraId="747DEEE3" w14:textId="1D8E8876" w:rsidR="006321C3" w:rsidRPr="00B7248F" w:rsidRDefault="006321C3">
            <w:pPr>
              <w:spacing w:before="0" w:after="0"/>
              <w:rPr>
                <w:rFonts w:ascii="Arial" w:hAnsi="Arial" w:cs="Arial"/>
                <w:color w:val="000000"/>
                <w:sz w:val="16"/>
                <w:szCs w:val="16"/>
                <w:lang w:val="en-AU" w:eastAsia="en-AU"/>
              </w:rPr>
            </w:pPr>
            <w:r w:rsidRPr="00B7248F">
              <w:rPr>
                <w:rFonts w:ascii="Arial" w:hAnsi="Arial" w:cs="Arial"/>
                <w:color w:val="000000"/>
                <w:sz w:val="16"/>
                <w:szCs w:val="16"/>
                <w:lang w:val="en-AU" w:eastAsia="en-AU"/>
              </w:rPr>
              <w:t>Aged Pension</w:t>
            </w:r>
            <w:r w:rsidR="00214D3D">
              <w:rPr>
                <w:rFonts w:ascii="Arial" w:hAnsi="Arial" w:cs="Arial"/>
                <w:color w:val="000000"/>
                <w:sz w:val="16"/>
                <w:szCs w:val="16"/>
                <w:lang w:val="en-AU" w:eastAsia="en-AU"/>
              </w:rPr>
              <w:t>er</w:t>
            </w:r>
            <w:r w:rsidR="005A6468" w:rsidRPr="00B7248F">
              <w:rPr>
                <w:rFonts w:ascii="Arial" w:hAnsi="Arial" w:cs="Arial"/>
                <w:color w:val="000000"/>
                <w:sz w:val="16"/>
                <w:szCs w:val="16"/>
                <w:lang w:val="en-AU" w:eastAsia="en-AU"/>
              </w:rPr>
              <w:t xml:space="preserve"> Concession </w:t>
            </w:r>
            <w:r w:rsidRPr="00B7248F">
              <w:rPr>
                <w:rFonts w:ascii="Arial" w:hAnsi="Arial" w:cs="Arial"/>
                <w:color w:val="000000"/>
                <w:sz w:val="16"/>
                <w:szCs w:val="16"/>
                <w:lang w:val="en-AU" w:eastAsia="en-AU"/>
              </w:rPr>
              <w:t>Card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E425EA5"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41%</w:t>
            </w:r>
          </w:p>
        </w:tc>
        <w:tc>
          <w:tcPr>
            <w:tcW w:w="600" w:type="dxa"/>
            <w:tcBorders>
              <w:top w:val="nil"/>
              <w:left w:val="nil"/>
              <w:bottom w:val="single" w:sz="4" w:space="0" w:color="BFBFBF"/>
              <w:right w:val="single" w:sz="4" w:space="0" w:color="BFBFBF"/>
            </w:tcBorders>
            <w:shd w:val="clear" w:color="auto" w:fill="auto"/>
            <w:noWrap/>
            <w:vAlign w:val="center"/>
          </w:tcPr>
          <w:p w14:paraId="7335B43C"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45%</w:t>
            </w:r>
          </w:p>
        </w:tc>
        <w:tc>
          <w:tcPr>
            <w:tcW w:w="600" w:type="dxa"/>
            <w:tcBorders>
              <w:top w:val="nil"/>
              <w:left w:val="nil"/>
              <w:bottom w:val="single" w:sz="4" w:space="0" w:color="BFBFBF"/>
              <w:right w:val="single" w:sz="4" w:space="0" w:color="auto"/>
            </w:tcBorders>
            <w:shd w:val="clear" w:color="auto" w:fill="auto"/>
            <w:noWrap/>
            <w:vAlign w:val="center"/>
          </w:tcPr>
          <w:p w14:paraId="6E5048E5"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41%</w:t>
            </w:r>
          </w:p>
        </w:tc>
        <w:tc>
          <w:tcPr>
            <w:tcW w:w="600" w:type="dxa"/>
            <w:tcBorders>
              <w:top w:val="nil"/>
              <w:left w:val="nil"/>
              <w:bottom w:val="single" w:sz="4" w:space="0" w:color="BFBFBF"/>
              <w:right w:val="single" w:sz="4" w:space="0" w:color="BFBFBF"/>
            </w:tcBorders>
            <w:shd w:val="clear" w:color="auto" w:fill="auto"/>
            <w:noWrap/>
            <w:vAlign w:val="center"/>
          </w:tcPr>
          <w:p w14:paraId="19097700"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BFBFBF"/>
            </w:tcBorders>
            <w:shd w:val="clear" w:color="auto" w:fill="auto"/>
            <w:noWrap/>
            <w:vAlign w:val="center"/>
          </w:tcPr>
          <w:p w14:paraId="1B26ED94"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8%</w:t>
            </w:r>
          </w:p>
        </w:tc>
        <w:tc>
          <w:tcPr>
            <w:tcW w:w="600" w:type="dxa"/>
            <w:tcBorders>
              <w:top w:val="nil"/>
              <w:left w:val="nil"/>
              <w:bottom w:val="single" w:sz="4" w:space="0" w:color="BFBFBF"/>
              <w:right w:val="nil"/>
            </w:tcBorders>
            <w:shd w:val="clear" w:color="auto" w:fill="auto"/>
            <w:noWrap/>
            <w:vAlign w:val="center"/>
          </w:tcPr>
          <w:p w14:paraId="3F75118B"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5%</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92EE5FB"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24%</w:t>
            </w:r>
          </w:p>
        </w:tc>
        <w:tc>
          <w:tcPr>
            <w:tcW w:w="600" w:type="dxa"/>
            <w:tcBorders>
              <w:top w:val="nil"/>
              <w:left w:val="nil"/>
              <w:bottom w:val="single" w:sz="4" w:space="0" w:color="BFBFBF"/>
              <w:right w:val="single" w:sz="4" w:space="0" w:color="BFBFBF"/>
            </w:tcBorders>
            <w:shd w:val="clear" w:color="auto" w:fill="auto"/>
            <w:noWrap/>
            <w:vAlign w:val="center"/>
          </w:tcPr>
          <w:p w14:paraId="6739718C"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27%</w:t>
            </w:r>
          </w:p>
        </w:tc>
        <w:tc>
          <w:tcPr>
            <w:tcW w:w="600" w:type="dxa"/>
            <w:tcBorders>
              <w:top w:val="nil"/>
              <w:left w:val="nil"/>
              <w:bottom w:val="single" w:sz="4" w:space="0" w:color="BFBFBF"/>
              <w:right w:val="single" w:sz="4" w:space="0" w:color="auto"/>
            </w:tcBorders>
            <w:shd w:val="clear" w:color="auto" w:fill="auto"/>
            <w:noWrap/>
            <w:vAlign w:val="center"/>
          </w:tcPr>
          <w:p w14:paraId="21C5FDE0"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24%</w:t>
            </w:r>
          </w:p>
        </w:tc>
        <w:tc>
          <w:tcPr>
            <w:tcW w:w="614" w:type="dxa"/>
            <w:tcBorders>
              <w:top w:val="nil"/>
              <w:left w:val="nil"/>
              <w:bottom w:val="single" w:sz="4" w:space="0" w:color="BFBFBF"/>
              <w:right w:val="single" w:sz="4" w:space="0" w:color="BFBFBF"/>
            </w:tcBorders>
            <w:shd w:val="clear" w:color="auto" w:fill="auto"/>
            <w:noWrap/>
            <w:vAlign w:val="center"/>
          </w:tcPr>
          <w:p w14:paraId="43A93113"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w:t>
            </w:r>
          </w:p>
        </w:tc>
        <w:tc>
          <w:tcPr>
            <w:tcW w:w="613" w:type="dxa"/>
            <w:tcBorders>
              <w:top w:val="nil"/>
              <w:left w:val="nil"/>
              <w:bottom w:val="single" w:sz="4" w:space="0" w:color="BFBFBF"/>
              <w:right w:val="single" w:sz="4" w:space="0" w:color="BFBFBF"/>
            </w:tcBorders>
            <w:shd w:val="clear" w:color="auto" w:fill="auto"/>
            <w:noWrap/>
            <w:vAlign w:val="center"/>
          </w:tcPr>
          <w:p w14:paraId="4CCC704E"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w:t>
            </w:r>
          </w:p>
        </w:tc>
        <w:tc>
          <w:tcPr>
            <w:tcW w:w="613" w:type="dxa"/>
            <w:tcBorders>
              <w:top w:val="nil"/>
              <w:left w:val="nil"/>
              <w:bottom w:val="single" w:sz="4" w:space="0" w:color="BFBFBF"/>
              <w:right w:val="nil"/>
            </w:tcBorders>
            <w:shd w:val="clear" w:color="auto" w:fill="auto"/>
            <w:noWrap/>
            <w:vAlign w:val="center"/>
          </w:tcPr>
          <w:p w14:paraId="59FD4856"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w:t>
            </w:r>
          </w:p>
        </w:tc>
        <w:tc>
          <w:tcPr>
            <w:tcW w:w="660" w:type="dxa"/>
            <w:tcBorders>
              <w:top w:val="nil"/>
              <w:left w:val="single" w:sz="4" w:space="0" w:color="auto"/>
              <w:bottom w:val="single" w:sz="4" w:space="0" w:color="BFBFBF"/>
              <w:right w:val="single" w:sz="4" w:space="0" w:color="BFBFBF"/>
            </w:tcBorders>
            <w:shd w:val="clear" w:color="auto" w:fill="auto"/>
            <w:noWrap/>
            <w:vAlign w:val="center"/>
          </w:tcPr>
          <w:p w14:paraId="64CCE993"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12%</w:t>
            </w:r>
          </w:p>
        </w:tc>
        <w:tc>
          <w:tcPr>
            <w:tcW w:w="660" w:type="dxa"/>
            <w:tcBorders>
              <w:top w:val="nil"/>
              <w:left w:val="nil"/>
              <w:bottom w:val="single" w:sz="4" w:space="0" w:color="BFBFBF"/>
              <w:right w:val="single" w:sz="4" w:space="0" w:color="BFBFBF"/>
            </w:tcBorders>
            <w:shd w:val="clear" w:color="auto" w:fill="auto"/>
            <w:noWrap/>
            <w:vAlign w:val="center"/>
          </w:tcPr>
          <w:p w14:paraId="2429A08B"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12%</w:t>
            </w:r>
          </w:p>
        </w:tc>
        <w:tc>
          <w:tcPr>
            <w:tcW w:w="660" w:type="dxa"/>
            <w:tcBorders>
              <w:top w:val="nil"/>
              <w:left w:val="nil"/>
              <w:bottom w:val="single" w:sz="4" w:space="0" w:color="BFBFBF"/>
              <w:right w:val="double" w:sz="6" w:space="0" w:color="auto"/>
            </w:tcBorders>
            <w:shd w:val="clear" w:color="auto" w:fill="auto"/>
            <w:noWrap/>
            <w:vAlign w:val="center"/>
          </w:tcPr>
          <w:p w14:paraId="6C00BCCD"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10%</w:t>
            </w:r>
          </w:p>
        </w:tc>
      </w:tr>
      <w:tr w:rsidR="0054131D" w:rsidRPr="00B7248F" w14:paraId="740B19CB" w14:textId="77777777" w:rsidTr="006616D6">
        <w:trPr>
          <w:trHeight w:val="454"/>
          <w:jc w:val="center"/>
        </w:trPr>
        <w:tc>
          <w:tcPr>
            <w:tcW w:w="2160" w:type="dxa"/>
            <w:tcBorders>
              <w:top w:val="nil"/>
              <w:left w:val="double" w:sz="6" w:space="0" w:color="auto"/>
              <w:bottom w:val="single" w:sz="4" w:space="0" w:color="BFBFBF"/>
              <w:right w:val="nil"/>
            </w:tcBorders>
            <w:shd w:val="clear" w:color="auto" w:fill="auto"/>
            <w:noWrap/>
            <w:vAlign w:val="center"/>
          </w:tcPr>
          <w:p w14:paraId="0E9941FC" w14:textId="3D2CE8CE" w:rsidR="006321C3" w:rsidRPr="00B7248F" w:rsidRDefault="006321C3" w:rsidP="006321C3">
            <w:pPr>
              <w:spacing w:before="0" w:after="0"/>
              <w:rPr>
                <w:rFonts w:ascii="Arial" w:hAnsi="Arial" w:cs="Arial"/>
                <w:color w:val="000000"/>
                <w:sz w:val="16"/>
                <w:szCs w:val="16"/>
                <w:lang w:val="en-AU" w:eastAsia="en-AU"/>
              </w:rPr>
            </w:pPr>
            <w:r w:rsidRPr="00B7248F">
              <w:rPr>
                <w:rFonts w:ascii="Arial" w:hAnsi="Arial" w:cs="Arial"/>
                <w:color w:val="000000"/>
                <w:sz w:val="16"/>
                <w:szCs w:val="16"/>
                <w:lang w:val="en-AU" w:eastAsia="en-AU"/>
              </w:rPr>
              <w:t>Non-</w:t>
            </w:r>
            <w:r w:rsidR="00A07A3D" w:rsidRPr="00B7248F">
              <w:rPr>
                <w:rFonts w:ascii="Arial" w:hAnsi="Arial" w:cs="Arial"/>
                <w:color w:val="000000"/>
                <w:sz w:val="16"/>
                <w:szCs w:val="16"/>
                <w:lang w:val="en-AU" w:eastAsia="en-AU"/>
              </w:rPr>
              <w:t>A</w:t>
            </w:r>
            <w:r w:rsidRPr="00B7248F">
              <w:rPr>
                <w:rFonts w:ascii="Arial" w:hAnsi="Arial" w:cs="Arial"/>
                <w:color w:val="000000"/>
                <w:sz w:val="16"/>
                <w:szCs w:val="16"/>
                <w:lang w:val="en-AU" w:eastAsia="en-AU"/>
              </w:rPr>
              <w:t>ged</w:t>
            </w:r>
            <w:r w:rsidR="00A07A3D" w:rsidRPr="00B7248F">
              <w:rPr>
                <w:rFonts w:ascii="Arial" w:hAnsi="Arial" w:cs="Arial"/>
                <w:color w:val="000000"/>
                <w:sz w:val="16"/>
                <w:szCs w:val="16"/>
                <w:lang w:val="en-AU" w:eastAsia="en-AU"/>
              </w:rPr>
              <w:t xml:space="preserve"> Pensioner</w:t>
            </w:r>
            <w:r w:rsidRPr="00B7248F">
              <w:rPr>
                <w:rFonts w:ascii="Arial" w:hAnsi="Arial" w:cs="Arial"/>
                <w:color w:val="000000"/>
                <w:sz w:val="16"/>
                <w:szCs w:val="16"/>
                <w:lang w:val="en-AU" w:eastAsia="en-AU"/>
              </w:rPr>
              <w:t xml:space="preserve"> Concession Card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88523E9"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16BF6070"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46E36468"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1C8FBAB5" w14:textId="77777777" w:rsidR="006321C3" w:rsidRPr="00B7248F" w:rsidRDefault="00B7248F"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15</w:t>
            </w:r>
            <w:r w:rsidR="006321C3" w:rsidRPr="00B7248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0FA6BD3"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16%</w:t>
            </w:r>
          </w:p>
        </w:tc>
        <w:tc>
          <w:tcPr>
            <w:tcW w:w="600" w:type="dxa"/>
            <w:tcBorders>
              <w:top w:val="nil"/>
              <w:left w:val="nil"/>
              <w:bottom w:val="single" w:sz="4" w:space="0" w:color="BFBFBF"/>
              <w:right w:val="nil"/>
            </w:tcBorders>
            <w:shd w:val="clear" w:color="auto" w:fill="auto"/>
            <w:noWrap/>
            <w:vAlign w:val="center"/>
          </w:tcPr>
          <w:p w14:paraId="32074EBA"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16%</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D63FD93" w14:textId="77777777" w:rsidR="006321C3" w:rsidRPr="00B7248F" w:rsidRDefault="00B7248F"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9</w:t>
            </w:r>
            <w:r w:rsidR="006321C3" w:rsidRPr="00B7248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6003DF98"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auto"/>
            </w:tcBorders>
            <w:shd w:val="clear" w:color="auto" w:fill="auto"/>
            <w:noWrap/>
            <w:vAlign w:val="center"/>
          </w:tcPr>
          <w:p w14:paraId="0FA5B957"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11%</w:t>
            </w:r>
          </w:p>
        </w:tc>
        <w:tc>
          <w:tcPr>
            <w:tcW w:w="614" w:type="dxa"/>
            <w:tcBorders>
              <w:top w:val="nil"/>
              <w:left w:val="nil"/>
              <w:bottom w:val="single" w:sz="4" w:space="0" w:color="BFBFBF"/>
              <w:right w:val="single" w:sz="4" w:space="0" w:color="BFBFBF"/>
            </w:tcBorders>
            <w:shd w:val="clear" w:color="auto" w:fill="auto"/>
            <w:noWrap/>
            <w:vAlign w:val="center"/>
          </w:tcPr>
          <w:p w14:paraId="63C40064"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3%</w:t>
            </w:r>
          </w:p>
        </w:tc>
        <w:tc>
          <w:tcPr>
            <w:tcW w:w="613" w:type="dxa"/>
            <w:tcBorders>
              <w:top w:val="nil"/>
              <w:left w:val="nil"/>
              <w:bottom w:val="single" w:sz="4" w:space="0" w:color="BFBFBF"/>
              <w:right w:val="single" w:sz="4" w:space="0" w:color="BFBFBF"/>
            </w:tcBorders>
            <w:shd w:val="clear" w:color="auto" w:fill="auto"/>
            <w:noWrap/>
            <w:vAlign w:val="center"/>
          </w:tcPr>
          <w:p w14:paraId="714FE899"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w:t>
            </w:r>
          </w:p>
        </w:tc>
        <w:tc>
          <w:tcPr>
            <w:tcW w:w="613" w:type="dxa"/>
            <w:tcBorders>
              <w:top w:val="nil"/>
              <w:left w:val="nil"/>
              <w:bottom w:val="single" w:sz="4" w:space="0" w:color="BFBFBF"/>
              <w:right w:val="nil"/>
            </w:tcBorders>
            <w:shd w:val="clear" w:color="auto" w:fill="auto"/>
            <w:noWrap/>
            <w:vAlign w:val="center"/>
          </w:tcPr>
          <w:p w14:paraId="219B217B"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w:t>
            </w:r>
          </w:p>
        </w:tc>
        <w:tc>
          <w:tcPr>
            <w:tcW w:w="660" w:type="dxa"/>
            <w:tcBorders>
              <w:top w:val="nil"/>
              <w:left w:val="single" w:sz="4" w:space="0" w:color="auto"/>
              <w:bottom w:val="single" w:sz="4" w:space="0" w:color="BFBFBF"/>
              <w:right w:val="single" w:sz="4" w:space="0" w:color="BFBFBF"/>
            </w:tcBorders>
            <w:shd w:val="clear" w:color="auto" w:fill="auto"/>
            <w:noWrap/>
            <w:vAlign w:val="center"/>
          </w:tcPr>
          <w:p w14:paraId="576034BD"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6%</w:t>
            </w:r>
          </w:p>
        </w:tc>
        <w:tc>
          <w:tcPr>
            <w:tcW w:w="660" w:type="dxa"/>
            <w:tcBorders>
              <w:top w:val="nil"/>
              <w:left w:val="nil"/>
              <w:bottom w:val="single" w:sz="4" w:space="0" w:color="BFBFBF"/>
              <w:right w:val="single" w:sz="4" w:space="0" w:color="BFBFBF"/>
            </w:tcBorders>
            <w:shd w:val="clear" w:color="auto" w:fill="auto"/>
            <w:noWrap/>
            <w:vAlign w:val="center"/>
          </w:tcPr>
          <w:p w14:paraId="20D41453"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4%</w:t>
            </w:r>
          </w:p>
        </w:tc>
        <w:tc>
          <w:tcPr>
            <w:tcW w:w="660" w:type="dxa"/>
            <w:tcBorders>
              <w:top w:val="nil"/>
              <w:left w:val="nil"/>
              <w:bottom w:val="single" w:sz="4" w:space="0" w:color="BFBFBF"/>
              <w:right w:val="double" w:sz="6" w:space="0" w:color="auto"/>
            </w:tcBorders>
            <w:shd w:val="clear" w:color="auto" w:fill="auto"/>
            <w:noWrap/>
            <w:vAlign w:val="center"/>
          </w:tcPr>
          <w:p w14:paraId="031C6995"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5%</w:t>
            </w:r>
          </w:p>
        </w:tc>
      </w:tr>
      <w:tr w:rsidR="0054131D" w:rsidRPr="00B7248F" w14:paraId="3D48B4AA" w14:textId="77777777" w:rsidTr="006616D6">
        <w:trPr>
          <w:trHeight w:val="368"/>
          <w:jc w:val="center"/>
        </w:trPr>
        <w:tc>
          <w:tcPr>
            <w:tcW w:w="2160" w:type="dxa"/>
            <w:tcBorders>
              <w:top w:val="nil"/>
              <w:left w:val="double" w:sz="6" w:space="0" w:color="auto"/>
              <w:bottom w:val="single" w:sz="4" w:space="0" w:color="BFBFBF"/>
              <w:right w:val="nil"/>
            </w:tcBorders>
            <w:shd w:val="clear" w:color="auto" w:fill="auto"/>
            <w:noWrap/>
            <w:vAlign w:val="center"/>
          </w:tcPr>
          <w:p w14:paraId="68E98871" w14:textId="77777777" w:rsidR="006321C3" w:rsidRPr="00B7248F" w:rsidRDefault="006321C3" w:rsidP="006321C3">
            <w:pPr>
              <w:spacing w:before="0" w:after="0"/>
              <w:rPr>
                <w:rFonts w:ascii="Arial" w:hAnsi="Arial" w:cs="Arial"/>
                <w:color w:val="000000"/>
                <w:sz w:val="16"/>
                <w:szCs w:val="16"/>
                <w:lang w:val="en-AU" w:eastAsia="en-AU"/>
              </w:rPr>
            </w:pPr>
            <w:r w:rsidRPr="00B7248F">
              <w:rPr>
                <w:rFonts w:ascii="Arial" w:hAnsi="Arial" w:cs="Arial"/>
                <w:color w:val="000000"/>
                <w:sz w:val="16"/>
                <w:szCs w:val="16"/>
                <w:lang w:val="en-AU" w:eastAsia="en-AU"/>
              </w:rPr>
              <w:t>Health Care Card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2244605"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249F0808"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0403E90F"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2510A93C" w14:textId="77777777" w:rsidR="006321C3" w:rsidRPr="00B7248F" w:rsidRDefault="006321C3" w:rsidP="00B7248F">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w:t>
            </w:r>
            <w:r w:rsidR="00B7248F" w:rsidRPr="00B7248F">
              <w:rPr>
                <w:rFonts w:ascii="Arial" w:hAnsi="Arial" w:cs="Arial"/>
                <w:color w:val="000000"/>
                <w:sz w:val="16"/>
                <w:szCs w:val="16"/>
                <w:lang w:val="en-AU" w:eastAsia="en-AU"/>
              </w:rPr>
              <w:t>8</w:t>
            </w:r>
            <w:r w:rsidRPr="00B7248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B3932E6"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28%</w:t>
            </w:r>
          </w:p>
        </w:tc>
        <w:tc>
          <w:tcPr>
            <w:tcW w:w="600" w:type="dxa"/>
            <w:tcBorders>
              <w:top w:val="nil"/>
              <w:left w:val="nil"/>
              <w:bottom w:val="single" w:sz="4" w:space="0" w:color="BFBFBF"/>
              <w:right w:val="nil"/>
            </w:tcBorders>
            <w:shd w:val="clear" w:color="auto" w:fill="auto"/>
            <w:noWrap/>
            <w:vAlign w:val="center"/>
          </w:tcPr>
          <w:p w14:paraId="2C625BB3"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33%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464BA11" w14:textId="77777777" w:rsidR="006321C3" w:rsidRPr="00B7248F" w:rsidRDefault="006321C3" w:rsidP="00B7248F">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w:t>
            </w:r>
            <w:r w:rsidR="00B7248F" w:rsidRPr="00B7248F">
              <w:rPr>
                <w:rFonts w:ascii="Arial" w:hAnsi="Arial" w:cs="Arial"/>
                <w:color w:val="000000"/>
                <w:sz w:val="16"/>
                <w:szCs w:val="16"/>
                <w:lang w:val="en-AU" w:eastAsia="en-AU"/>
              </w:rPr>
              <w:t>1</w:t>
            </w:r>
            <w:r w:rsidRPr="00B7248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3743086D"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16%</w:t>
            </w:r>
          </w:p>
        </w:tc>
        <w:tc>
          <w:tcPr>
            <w:tcW w:w="600" w:type="dxa"/>
            <w:tcBorders>
              <w:top w:val="nil"/>
              <w:left w:val="nil"/>
              <w:bottom w:val="single" w:sz="4" w:space="0" w:color="BFBFBF"/>
              <w:right w:val="single" w:sz="4" w:space="0" w:color="auto"/>
            </w:tcBorders>
            <w:shd w:val="clear" w:color="auto" w:fill="auto"/>
            <w:noWrap/>
            <w:vAlign w:val="center"/>
          </w:tcPr>
          <w:p w14:paraId="21A706CE"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18%</w:t>
            </w:r>
          </w:p>
        </w:tc>
        <w:tc>
          <w:tcPr>
            <w:tcW w:w="614" w:type="dxa"/>
            <w:tcBorders>
              <w:top w:val="nil"/>
              <w:left w:val="nil"/>
              <w:bottom w:val="single" w:sz="4" w:space="0" w:color="BFBFBF"/>
              <w:right w:val="single" w:sz="4" w:space="0" w:color="BFBFBF"/>
            </w:tcBorders>
            <w:shd w:val="clear" w:color="auto" w:fill="auto"/>
            <w:noWrap/>
            <w:vAlign w:val="center"/>
          </w:tcPr>
          <w:p w14:paraId="1FBCD212"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7%</w:t>
            </w:r>
          </w:p>
        </w:tc>
        <w:tc>
          <w:tcPr>
            <w:tcW w:w="613" w:type="dxa"/>
            <w:tcBorders>
              <w:top w:val="nil"/>
              <w:left w:val="nil"/>
              <w:bottom w:val="single" w:sz="4" w:space="0" w:color="BFBFBF"/>
              <w:right w:val="single" w:sz="4" w:space="0" w:color="BFBFBF"/>
            </w:tcBorders>
            <w:shd w:val="clear" w:color="auto" w:fill="auto"/>
            <w:noWrap/>
            <w:vAlign w:val="center"/>
          </w:tcPr>
          <w:p w14:paraId="29D3D016"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5%</w:t>
            </w:r>
          </w:p>
        </w:tc>
        <w:tc>
          <w:tcPr>
            <w:tcW w:w="613" w:type="dxa"/>
            <w:tcBorders>
              <w:top w:val="nil"/>
              <w:left w:val="nil"/>
              <w:bottom w:val="single" w:sz="4" w:space="0" w:color="BFBFBF"/>
              <w:right w:val="nil"/>
            </w:tcBorders>
            <w:shd w:val="clear" w:color="auto" w:fill="auto"/>
            <w:noWrap/>
            <w:vAlign w:val="center"/>
          </w:tcPr>
          <w:p w14:paraId="3DE2A3C6"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7%</w:t>
            </w:r>
          </w:p>
        </w:tc>
        <w:tc>
          <w:tcPr>
            <w:tcW w:w="660" w:type="dxa"/>
            <w:tcBorders>
              <w:top w:val="nil"/>
              <w:left w:val="single" w:sz="4" w:space="0" w:color="auto"/>
              <w:bottom w:val="single" w:sz="4" w:space="0" w:color="BFBFBF"/>
              <w:right w:val="single" w:sz="4" w:space="0" w:color="BFBFBF"/>
            </w:tcBorders>
            <w:shd w:val="clear" w:color="auto" w:fill="auto"/>
            <w:noWrap/>
            <w:vAlign w:val="center"/>
          </w:tcPr>
          <w:p w14:paraId="3AB1BD38"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9%</w:t>
            </w:r>
          </w:p>
        </w:tc>
        <w:tc>
          <w:tcPr>
            <w:tcW w:w="660" w:type="dxa"/>
            <w:tcBorders>
              <w:top w:val="nil"/>
              <w:left w:val="nil"/>
              <w:bottom w:val="single" w:sz="4" w:space="0" w:color="BFBFBF"/>
              <w:right w:val="single" w:sz="4" w:space="0" w:color="BFBFBF"/>
            </w:tcBorders>
            <w:shd w:val="clear" w:color="auto" w:fill="auto"/>
            <w:noWrap/>
            <w:vAlign w:val="center"/>
          </w:tcPr>
          <w:p w14:paraId="4FB4E276"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10%</w:t>
            </w:r>
          </w:p>
        </w:tc>
        <w:tc>
          <w:tcPr>
            <w:tcW w:w="660" w:type="dxa"/>
            <w:tcBorders>
              <w:top w:val="nil"/>
              <w:left w:val="nil"/>
              <w:bottom w:val="single" w:sz="4" w:space="0" w:color="BFBFBF"/>
              <w:right w:val="double" w:sz="6" w:space="0" w:color="auto"/>
            </w:tcBorders>
            <w:shd w:val="clear" w:color="auto" w:fill="auto"/>
            <w:noWrap/>
            <w:vAlign w:val="center"/>
          </w:tcPr>
          <w:p w14:paraId="6960AFE4"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11%</w:t>
            </w:r>
          </w:p>
        </w:tc>
      </w:tr>
      <w:tr w:rsidR="0054131D" w:rsidRPr="00B7248F" w14:paraId="4DC661AF" w14:textId="77777777" w:rsidTr="006616D6">
        <w:trPr>
          <w:trHeight w:val="368"/>
          <w:jc w:val="center"/>
        </w:trPr>
        <w:tc>
          <w:tcPr>
            <w:tcW w:w="2160" w:type="dxa"/>
            <w:tcBorders>
              <w:top w:val="nil"/>
              <w:left w:val="double" w:sz="6" w:space="0" w:color="auto"/>
              <w:bottom w:val="single" w:sz="4" w:space="0" w:color="BFBFBF"/>
              <w:right w:val="nil"/>
            </w:tcBorders>
            <w:shd w:val="clear" w:color="auto" w:fill="auto"/>
            <w:noWrap/>
            <w:vAlign w:val="center"/>
          </w:tcPr>
          <w:p w14:paraId="2947BABF" w14:textId="77777777" w:rsidR="006321C3" w:rsidRPr="00B7248F" w:rsidRDefault="006321C3" w:rsidP="006321C3">
            <w:pPr>
              <w:spacing w:before="0" w:after="0"/>
              <w:rPr>
                <w:rFonts w:ascii="Arial" w:hAnsi="Arial" w:cs="Arial"/>
                <w:color w:val="000000"/>
                <w:sz w:val="16"/>
                <w:szCs w:val="16"/>
                <w:lang w:val="en-AU" w:eastAsia="en-AU"/>
              </w:rPr>
            </w:pPr>
            <w:r w:rsidRPr="00B7248F">
              <w:rPr>
                <w:rFonts w:ascii="Arial" w:hAnsi="Arial" w:cs="Arial"/>
                <w:color w:val="000000"/>
                <w:sz w:val="16"/>
                <w:szCs w:val="16"/>
                <w:lang w:val="en-AU" w:eastAsia="en-AU"/>
              </w:rPr>
              <w:t>DVA Gold Card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FD3F4D3"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41640869"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35A3821B"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5CC3171B"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435A43B8"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78E4CCAC"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C8CD2B9"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417D074E"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748E1E2A"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2%</w:t>
            </w:r>
          </w:p>
        </w:tc>
        <w:tc>
          <w:tcPr>
            <w:tcW w:w="614" w:type="dxa"/>
            <w:tcBorders>
              <w:top w:val="nil"/>
              <w:left w:val="nil"/>
              <w:bottom w:val="single" w:sz="4" w:space="0" w:color="BFBFBF"/>
              <w:right w:val="single" w:sz="4" w:space="0" w:color="BFBFBF"/>
            </w:tcBorders>
            <w:shd w:val="clear" w:color="auto" w:fill="auto"/>
            <w:noWrap/>
            <w:vAlign w:val="center"/>
          </w:tcPr>
          <w:p w14:paraId="0B282181"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w:t>
            </w:r>
          </w:p>
        </w:tc>
        <w:tc>
          <w:tcPr>
            <w:tcW w:w="613" w:type="dxa"/>
            <w:tcBorders>
              <w:top w:val="nil"/>
              <w:left w:val="nil"/>
              <w:bottom w:val="single" w:sz="4" w:space="0" w:color="BFBFBF"/>
              <w:right w:val="single" w:sz="4" w:space="0" w:color="BFBFBF"/>
            </w:tcBorders>
            <w:shd w:val="clear" w:color="auto" w:fill="auto"/>
            <w:noWrap/>
            <w:vAlign w:val="center"/>
          </w:tcPr>
          <w:p w14:paraId="1D9A093D"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w:t>
            </w:r>
          </w:p>
        </w:tc>
        <w:tc>
          <w:tcPr>
            <w:tcW w:w="613" w:type="dxa"/>
            <w:tcBorders>
              <w:top w:val="nil"/>
              <w:left w:val="nil"/>
              <w:bottom w:val="single" w:sz="4" w:space="0" w:color="BFBFBF"/>
              <w:right w:val="nil"/>
            </w:tcBorders>
            <w:shd w:val="clear" w:color="auto" w:fill="auto"/>
            <w:noWrap/>
            <w:vAlign w:val="center"/>
          </w:tcPr>
          <w:p w14:paraId="3961258E"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w:t>
            </w:r>
          </w:p>
        </w:tc>
        <w:tc>
          <w:tcPr>
            <w:tcW w:w="660" w:type="dxa"/>
            <w:tcBorders>
              <w:top w:val="nil"/>
              <w:left w:val="single" w:sz="4" w:space="0" w:color="auto"/>
              <w:bottom w:val="single" w:sz="4" w:space="0" w:color="BFBFBF"/>
              <w:right w:val="single" w:sz="4" w:space="0" w:color="BFBFBF"/>
            </w:tcBorders>
            <w:shd w:val="clear" w:color="auto" w:fill="auto"/>
            <w:noWrap/>
            <w:vAlign w:val="center"/>
          </w:tcPr>
          <w:p w14:paraId="5EEA7B7F"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w:t>
            </w:r>
          </w:p>
        </w:tc>
        <w:tc>
          <w:tcPr>
            <w:tcW w:w="660" w:type="dxa"/>
            <w:tcBorders>
              <w:top w:val="nil"/>
              <w:left w:val="nil"/>
              <w:bottom w:val="single" w:sz="4" w:space="0" w:color="BFBFBF"/>
              <w:right w:val="single" w:sz="4" w:space="0" w:color="BFBFBF"/>
            </w:tcBorders>
            <w:shd w:val="clear" w:color="auto" w:fill="auto"/>
            <w:noWrap/>
            <w:vAlign w:val="center"/>
          </w:tcPr>
          <w:p w14:paraId="649098D7"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w:t>
            </w:r>
          </w:p>
        </w:tc>
        <w:tc>
          <w:tcPr>
            <w:tcW w:w="660" w:type="dxa"/>
            <w:tcBorders>
              <w:top w:val="nil"/>
              <w:left w:val="nil"/>
              <w:bottom w:val="single" w:sz="4" w:space="0" w:color="BFBFBF"/>
              <w:right w:val="double" w:sz="6" w:space="0" w:color="auto"/>
            </w:tcBorders>
            <w:shd w:val="clear" w:color="auto" w:fill="auto"/>
            <w:noWrap/>
            <w:vAlign w:val="center"/>
          </w:tcPr>
          <w:p w14:paraId="1A446AEA" w14:textId="77777777" w:rsidR="006321C3" w:rsidRPr="00B7248F" w:rsidRDefault="006321C3" w:rsidP="00CA471A">
            <w:pPr>
              <w:spacing w:before="0" w:after="0"/>
              <w:jc w:val="center"/>
              <w:rPr>
                <w:rFonts w:ascii="Arial" w:hAnsi="Arial" w:cs="Arial"/>
                <w:color w:val="000000"/>
                <w:sz w:val="16"/>
                <w:szCs w:val="16"/>
                <w:lang w:val="en-AU" w:eastAsia="en-AU"/>
              </w:rPr>
            </w:pPr>
            <w:r w:rsidRPr="00B7248F">
              <w:rPr>
                <w:rFonts w:ascii="Arial" w:hAnsi="Arial" w:cs="Arial"/>
                <w:color w:val="000000"/>
                <w:sz w:val="16"/>
                <w:szCs w:val="16"/>
                <w:lang w:val="en-AU" w:eastAsia="en-AU"/>
              </w:rPr>
              <w:t>1%</w:t>
            </w:r>
          </w:p>
        </w:tc>
      </w:tr>
      <w:tr w:rsidR="006321C3" w:rsidRPr="00B7248F" w14:paraId="02E3EE89" w14:textId="77777777" w:rsidTr="00162EF6">
        <w:trPr>
          <w:trHeight w:val="368"/>
          <w:jc w:val="center"/>
        </w:trPr>
        <w:tc>
          <w:tcPr>
            <w:tcW w:w="2160" w:type="dxa"/>
            <w:tcBorders>
              <w:top w:val="nil"/>
              <w:left w:val="double" w:sz="6" w:space="0" w:color="auto"/>
              <w:bottom w:val="double" w:sz="6" w:space="0" w:color="auto"/>
              <w:right w:val="nil"/>
            </w:tcBorders>
            <w:shd w:val="clear" w:color="auto" w:fill="auto"/>
            <w:noWrap/>
            <w:vAlign w:val="center"/>
          </w:tcPr>
          <w:p w14:paraId="4E9E45C6" w14:textId="77777777" w:rsidR="006321C3" w:rsidRPr="00B7248F" w:rsidRDefault="006321C3" w:rsidP="006321C3">
            <w:pPr>
              <w:spacing w:before="0" w:after="0"/>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Total</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28E7968C"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47%</w:t>
            </w:r>
          </w:p>
        </w:tc>
        <w:tc>
          <w:tcPr>
            <w:tcW w:w="600" w:type="dxa"/>
            <w:tcBorders>
              <w:top w:val="nil"/>
              <w:left w:val="nil"/>
              <w:bottom w:val="double" w:sz="6" w:space="0" w:color="auto"/>
              <w:right w:val="single" w:sz="4" w:space="0" w:color="BFBFBF"/>
            </w:tcBorders>
            <w:shd w:val="clear" w:color="auto" w:fill="auto"/>
            <w:noWrap/>
            <w:vAlign w:val="center"/>
          </w:tcPr>
          <w:p w14:paraId="578735A0"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52%</w:t>
            </w:r>
          </w:p>
        </w:tc>
        <w:tc>
          <w:tcPr>
            <w:tcW w:w="600" w:type="dxa"/>
            <w:tcBorders>
              <w:top w:val="nil"/>
              <w:left w:val="nil"/>
              <w:bottom w:val="double" w:sz="6" w:space="0" w:color="auto"/>
              <w:right w:val="single" w:sz="4" w:space="0" w:color="auto"/>
            </w:tcBorders>
            <w:shd w:val="clear" w:color="auto" w:fill="auto"/>
            <w:noWrap/>
            <w:vAlign w:val="center"/>
          </w:tcPr>
          <w:p w14:paraId="792120E0"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50%</w:t>
            </w:r>
          </w:p>
        </w:tc>
        <w:tc>
          <w:tcPr>
            <w:tcW w:w="600" w:type="dxa"/>
            <w:tcBorders>
              <w:top w:val="nil"/>
              <w:left w:val="nil"/>
              <w:bottom w:val="double" w:sz="6" w:space="0" w:color="auto"/>
              <w:right w:val="single" w:sz="4" w:space="0" w:color="BFBFBF"/>
            </w:tcBorders>
            <w:shd w:val="clear" w:color="auto" w:fill="auto"/>
            <w:noWrap/>
            <w:vAlign w:val="center"/>
          </w:tcPr>
          <w:p w14:paraId="06F724D8"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37%</w:t>
            </w:r>
          </w:p>
        </w:tc>
        <w:tc>
          <w:tcPr>
            <w:tcW w:w="600" w:type="dxa"/>
            <w:tcBorders>
              <w:top w:val="nil"/>
              <w:left w:val="nil"/>
              <w:bottom w:val="double" w:sz="6" w:space="0" w:color="auto"/>
              <w:right w:val="single" w:sz="4" w:space="0" w:color="BFBFBF"/>
            </w:tcBorders>
            <w:shd w:val="clear" w:color="auto" w:fill="auto"/>
            <w:noWrap/>
            <w:vAlign w:val="center"/>
          </w:tcPr>
          <w:p w14:paraId="524D227F"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47%</w:t>
            </w:r>
          </w:p>
        </w:tc>
        <w:tc>
          <w:tcPr>
            <w:tcW w:w="600" w:type="dxa"/>
            <w:tcBorders>
              <w:top w:val="nil"/>
              <w:left w:val="nil"/>
              <w:bottom w:val="double" w:sz="6" w:space="0" w:color="auto"/>
              <w:right w:val="nil"/>
            </w:tcBorders>
            <w:shd w:val="clear" w:color="auto" w:fill="auto"/>
            <w:noWrap/>
            <w:vAlign w:val="center"/>
          </w:tcPr>
          <w:p w14:paraId="74314C88"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48%</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2251FAEA"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42%</w:t>
            </w:r>
          </w:p>
        </w:tc>
        <w:tc>
          <w:tcPr>
            <w:tcW w:w="600" w:type="dxa"/>
            <w:tcBorders>
              <w:top w:val="nil"/>
              <w:left w:val="nil"/>
              <w:bottom w:val="double" w:sz="6" w:space="0" w:color="auto"/>
              <w:right w:val="single" w:sz="4" w:space="0" w:color="BFBFBF"/>
            </w:tcBorders>
            <w:shd w:val="clear" w:color="auto" w:fill="auto"/>
            <w:noWrap/>
            <w:vAlign w:val="center"/>
          </w:tcPr>
          <w:p w14:paraId="3E13A013"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49%</w:t>
            </w:r>
          </w:p>
        </w:tc>
        <w:tc>
          <w:tcPr>
            <w:tcW w:w="600" w:type="dxa"/>
            <w:tcBorders>
              <w:top w:val="nil"/>
              <w:left w:val="nil"/>
              <w:bottom w:val="double" w:sz="6" w:space="0" w:color="auto"/>
              <w:right w:val="single" w:sz="4" w:space="0" w:color="auto"/>
            </w:tcBorders>
            <w:shd w:val="clear" w:color="auto" w:fill="auto"/>
            <w:noWrap/>
            <w:vAlign w:val="center"/>
          </w:tcPr>
          <w:p w14:paraId="11F0D42B"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50%</w:t>
            </w:r>
          </w:p>
        </w:tc>
        <w:tc>
          <w:tcPr>
            <w:tcW w:w="614" w:type="dxa"/>
            <w:tcBorders>
              <w:top w:val="nil"/>
              <w:left w:val="nil"/>
              <w:bottom w:val="double" w:sz="6" w:space="0" w:color="auto"/>
              <w:right w:val="single" w:sz="4" w:space="0" w:color="BFBFBF"/>
            </w:tcBorders>
            <w:shd w:val="clear" w:color="auto" w:fill="auto"/>
            <w:noWrap/>
            <w:vAlign w:val="center"/>
          </w:tcPr>
          <w:p w14:paraId="5F08323D"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11%</w:t>
            </w:r>
          </w:p>
        </w:tc>
        <w:tc>
          <w:tcPr>
            <w:tcW w:w="613" w:type="dxa"/>
            <w:tcBorders>
              <w:top w:val="nil"/>
              <w:left w:val="nil"/>
              <w:bottom w:val="double" w:sz="6" w:space="0" w:color="auto"/>
              <w:right w:val="single" w:sz="4" w:space="0" w:color="BFBFBF"/>
            </w:tcBorders>
            <w:shd w:val="clear" w:color="auto" w:fill="auto"/>
            <w:noWrap/>
            <w:vAlign w:val="center"/>
          </w:tcPr>
          <w:p w14:paraId="587C25FA"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8%</w:t>
            </w:r>
          </w:p>
        </w:tc>
        <w:tc>
          <w:tcPr>
            <w:tcW w:w="613" w:type="dxa"/>
            <w:tcBorders>
              <w:top w:val="nil"/>
              <w:left w:val="nil"/>
              <w:bottom w:val="double" w:sz="6" w:space="0" w:color="auto"/>
              <w:right w:val="nil"/>
            </w:tcBorders>
            <w:shd w:val="clear" w:color="auto" w:fill="auto"/>
            <w:noWrap/>
            <w:vAlign w:val="center"/>
          </w:tcPr>
          <w:p w14:paraId="2DC9BD2A"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10%</w:t>
            </w:r>
          </w:p>
        </w:tc>
        <w:tc>
          <w:tcPr>
            <w:tcW w:w="660" w:type="dxa"/>
            <w:tcBorders>
              <w:top w:val="nil"/>
              <w:left w:val="single" w:sz="4" w:space="0" w:color="auto"/>
              <w:bottom w:val="double" w:sz="6" w:space="0" w:color="auto"/>
              <w:right w:val="single" w:sz="4" w:space="0" w:color="BFBFBF"/>
            </w:tcBorders>
            <w:shd w:val="clear" w:color="auto" w:fill="auto"/>
            <w:noWrap/>
            <w:vAlign w:val="center"/>
          </w:tcPr>
          <w:p w14:paraId="2F6AC9D4" w14:textId="77777777" w:rsidR="006321C3" w:rsidRPr="00B7248F" w:rsidRDefault="006321C3" w:rsidP="00B7248F">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w:t>
            </w:r>
            <w:r w:rsidR="00B7248F" w:rsidRPr="00B7248F">
              <w:rPr>
                <w:rFonts w:ascii="Arial" w:hAnsi="Arial" w:cs="Arial"/>
                <w:b/>
                <w:bCs/>
                <w:color w:val="000000"/>
                <w:sz w:val="16"/>
                <w:szCs w:val="16"/>
                <w:lang w:val="en-AU" w:eastAsia="en-AU"/>
              </w:rPr>
              <w:t>5</w:t>
            </w:r>
            <w:r w:rsidRPr="00B7248F">
              <w:rPr>
                <w:rFonts w:ascii="Arial" w:hAnsi="Arial" w:cs="Arial"/>
                <w:b/>
                <w:bCs/>
                <w:color w:val="000000"/>
                <w:sz w:val="16"/>
                <w:szCs w:val="16"/>
                <w:lang w:val="en-AU" w:eastAsia="en-AU"/>
              </w:rPr>
              <w:t>%</w:t>
            </w:r>
          </w:p>
        </w:tc>
        <w:tc>
          <w:tcPr>
            <w:tcW w:w="660" w:type="dxa"/>
            <w:tcBorders>
              <w:top w:val="nil"/>
              <w:left w:val="nil"/>
              <w:bottom w:val="double" w:sz="6" w:space="0" w:color="auto"/>
              <w:right w:val="single" w:sz="4" w:space="0" w:color="BFBFBF"/>
            </w:tcBorders>
            <w:shd w:val="clear" w:color="auto" w:fill="auto"/>
            <w:noWrap/>
            <w:vAlign w:val="center"/>
          </w:tcPr>
          <w:p w14:paraId="2ECD8E20"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25%</w:t>
            </w:r>
          </w:p>
        </w:tc>
        <w:tc>
          <w:tcPr>
            <w:tcW w:w="660" w:type="dxa"/>
            <w:tcBorders>
              <w:top w:val="nil"/>
              <w:left w:val="nil"/>
              <w:bottom w:val="double" w:sz="6" w:space="0" w:color="auto"/>
              <w:right w:val="double" w:sz="6" w:space="0" w:color="auto"/>
            </w:tcBorders>
            <w:shd w:val="clear" w:color="auto" w:fill="auto"/>
            <w:noWrap/>
            <w:vAlign w:val="center"/>
          </w:tcPr>
          <w:p w14:paraId="1ED23FBD" w14:textId="77777777" w:rsidR="006321C3" w:rsidRPr="00B7248F" w:rsidRDefault="006321C3" w:rsidP="00CA471A">
            <w:pPr>
              <w:spacing w:before="0" w:after="0"/>
              <w:jc w:val="center"/>
              <w:rPr>
                <w:rFonts w:ascii="Arial" w:hAnsi="Arial" w:cs="Arial"/>
                <w:b/>
                <w:bCs/>
                <w:color w:val="000000"/>
                <w:sz w:val="16"/>
                <w:szCs w:val="16"/>
                <w:lang w:val="en-AU" w:eastAsia="en-AU"/>
              </w:rPr>
            </w:pPr>
            <w:r w:rsidRPr="00B7248F">
              <w:rPr>
                <w:rFonts w:ascii="Arial" w:hAnsi="Arial" w:cs="Arial"/>
                <w:b/>
                <w:bCs/>
                <w:color w:val="000000"/>
                <w:sz w:val="16"/>
                <w:szCs w:val="16"/>
                <w:lang w:val="en-AU" w:eastAsia="en-AU"/>
              </w:rPr>
              <w:t>26%</w:t>
            </w:r>
          </w:p>
        </w:tc>
      </w:tr>
    </w:tbl>
    <w:p w14:paraId="7D42AC12" w14:textId="77777777" w:rsidR="003920D8" w:rsidRPr="00B7248F" w:rsidRDefault="00E02C75" w:rsidP="00162EF6">
      <w:pPr>
        <w:pStyle w:val="Para"/>
        <w:spacing w:before="120" w:line="220" w:lineRule="exact"/>
        <w:ind w:left="2160"/>
        <w:rPr>
          <w:sz w:val="20"/>
          <w:lang w:val="en-AU"/>
        </w:rPr>
      </w:pPr>
      <w:r w:rsidRPr="00B7248F">
        <w:rPr>
          <w:sz w:val="20"/>
          <w:lang w:val="en-AU"/>
        </w:rPr>
        <w:t xml:space="preserve">Base: Total respondents, </w:t>
      </w:r>
      <w:r w:rsidR="003D78FE" w:rsidRPr="00B7248F">
        <w:rPr>
          <w:sz w:val="20"/>
          <w:lang w:val="en-AU"/>
        </w:rPr>
        <w:t xml:space="preserve">2014 (n=1,861); </w:t>
      </w:r>
      <w:r w:rsidRPr="00B7248F">
        <w:rPr>
          <w:sz w:val="20"/>
          <w:lang w:val="en-AU"/>
        </w:rPr>
        <w:t>2007 (n=2,061); 2001 (n=2,006)</w:t>
      </w:r>
    </w:p>
    <w:p w14:paraId="01D0387D" w14:textId="77777777" w:rsidR="003920D8" w:rsidRPr="00B7248F" w:rsidRDefault="00E02C75" w:rsidP="00162EF6">
      <w:pPr>
        <w:pStyle w:val="Para"/>
        <w:spacing w:before="120" w:line="220" w:lineRule="exact"/>
        <w:ind w:left="1734" w:firstLine="426"/>
        <w:rPr>
          <w:sz w:val="20"/>
          <w:lang w:val="en-AU"/>
        </w:rPr>
      </w:pPr>
      <w:r w:rsidRPr="00B7248F">
        <w:rPr>
          <w:sz w:val="20"/>
          <w:lang w:val="en-AU"/>
        </w:rPr>
        <w:t>1.  A member of the household could hold more than one concession card.</w:t>
      </w:r>
    </w:p>
    <w:p w14:paraId="2C13C6E3" w14:textId="77777777" w:rsidR="00E02C75" w:rsidRPr="00DA3B75" w:rsidRDefault="00E02C75" w:rsidP="00E02C75">
      <w:pPr>
        <w:pStyle w:val="Para"/>
        <w:rPr>
          <w:highlight w:val="yellow"/>
          <w:lang w:val="en-AU"/>
        </w:rPr>
      </w:pPr>
    </w:p>
    <w:p w14:paraId="0DC1C424" w14:textId="77777777" w:rsidR="003D78FE" w:rsidRPr="00DA3B75" w:rsidRDefault="003D78FE" w:rsidP="00E02C75">
      <w:pPr>
        <w:pStyle w:val="Para"/>
        <w:rPr>
          <w:highlight w:val="yellow"/>
          <w:lang w:val="en-AU"/>
        </w:rPr>
      </w:pPr>
    </w:p>
    <w:p w14:paraId="5D8E631B" w14:textId="77777777" w:rsidR="00FC6BFF" w:rsidRPr="00DA3B75" w:rsidRDefault="00465AC1" w:rsidP="00FC6BFF">
      <w:pPr>
        <w:pStyle w:val="Heading3"/>
        <w:numPr>
          <w:ilvl w:val="0"/>
          <w:numId w:val="0"/>
        </w:numPr>
        <w:spacing w:before="0"/>
        <w:rPr>
          <w:highlight w:val="yellow"/>
          <w:lang w:val="en-AU"/>
        </w:rPr>
      </w:pPr>
      <w:r w:rsidRPr="00DA3B75">
        <w:rPr>
          <w:highlight w:val="yellow"/>
          <w:lang w:val="en-AU"/>
        </w:rPr>
        <w:br w:type="page"/>
      </w:r>
    </w:p>
    <w:p w14:paraId="3A7CEE55" w14:textId="77777777" w:rsidR="003920D8" w:rsidRPr="00C56A53" w:rsidRDefault="00FC6BFF">
      <w:pPr>
        <w:pStyle w:val="Heading3"/>
        <w:tabs>
          <w:tab w:val="clear" w:pos="8517"/>
          <w:tab w:val="num" w:pos="851"/>
        </w:tabs>
        <w:spacing w:before="0"/>
        <w:ind w:hanging="8517"/>
        <w:rPr>
          <w:lang w:val="en-AU"/>
        </w:rPr>
      </w:pPr>
      <w:bookmarkStart w:id="128" w:name="_Toc439198292"/>
      <w:bookmarkStart w:id="129" w:name="_Toc445571675"/>
      <w:r w:rsidRPr="00C56A53">
        <w:rPr>
          <w:lang w:val="en-AU"/>
        </w:rPr>
        <w:lastRenderedPageBreak/>
        <w:t>Registered Motor Vehicles</w:t>
      </w:r>
      <w:bookmarkEnd w:id="128"/>
      <w:bookmarkEnd w:id="129"/>
    </w:p>
    <w:p w14:paraId="65CFFF74" w14:textId="77777777" w:rsidR="00FC6BFF" w:rsidRPr="00C56A53" w:rsidRDefault="00FC6BFF" w:rsidP="00296917">
      <w:pPr>
        <w:pStyle w:val="Para"/>
        <w:spacing w:line="240" w:lineRule="auto"/>
        <w:rPr>
          <w:lang w:val="en-AU"/>
        </w:rPr>
      </w:pPr>
    </w:p>
    <w:p w14:paraId="7787F767" w14:textId="77777777" w:rsidR="009562BE" w:rsidRPr="00C56A53" w:rsidRDefault="009562BE" w:rsidP="00FC6BFF">
      <w:pPr>
        <w:pStyle w:val="Para"/>
        <w:rPr>
          <w:lang w:val="en-AU"/>
        </w:rPr>
      </w:pPr>
      <w:r w:rsidRPr="00C56A53">
        <w:rPr>
          <w:lang w:val="en-AU"/>
        </w:rPr>
        <w:t>Overall, an average of 1.42 persons per household had a vehicle registered in their name, which was marginally higher than in 2007 (1.38</w:t>
      </w:r>
      <w:r w:rsidR="00465AC1" w:rsidRPr="00C56A53">
        <w:rPr>
          <w:lang w:val="en-AU"/>
        </w:rPr>
        <w:t xml:space="preserve"> persons per household</w:t>
      </w:r>
      <w:r w:rsidRPr="00C56A53">
        <w:rPr>
          <w:lang w:val="en-AU"/>
        </w:rPr>
        <w:t>)</w:t>
      </w:r>
      <w:r w:rsidR="0057268F" w:rsidRPr="00C56A53">
        <w:rPr>
          <w:lang w:val="en-AU"/>
        </w:rPr>
        <w:t xml:space="preserve"> – see Table 3.3.8 overleaf</w:t>
      </w:r>
      <w:r w:rsidRPr="00C56A53">
        <w:rPr>
          <w:lang w:val="en-AU"/>
        </w:rPr>
        <w:t>.</w:t>
      </w:r>
    </w:p>
    <w:p w14:paraId="362B2AB2" w14:textId="77777777" w:rsidR="009562BE" w:rsidRPr="00C56A53" w:rsidRDefault="009562BE" w:rsidP="00FC6BFF">
      <w:pPr>
        <w:pStyle w:val="Para"/>
        <w:rPr>
          <w:lang w:val="en-AU"/>
        </w:rPr>
      </w:pPr>
    </w:p>
    <w:p w14:paraId="3111C74E" w14:textId="0015E266" w:rsidR="006221CC" w:rsidRPr="00C56A53" w:rsidRDefault="006221CC" w:rsidP="006221CC">
      <w:pPr>
        <w:pStyle w:val="Para"/>
        <w:rPr>
          <w:lang w:val="en-AU"/>
        </w:rPr>
      </w:pPr>
      <w:r w:rsidRPr="00C56A53">
        <w:rPr>
          <w:lang w:val="en-AU"/>
        </w:rPr>
        <w:t>Non-concession households had the highest average number of persons with a vehicle registered in their name (1.56, compared with 1.2</w:t>
      </w:r>
      <w:r w:rsidR="00C56A53" w:rsidRPr="00C56A53">
        <w:rPr>
          <w:lang w:val="en-AU"/>
        </w:rPr>
        <w:t>6</w:t>
      </w:r>
      <w:r w:rsidRPr="00C56A53">
        <w:rPr>
          <w:lang w:val="en-AU"/>
        </w:rPr>
        <w:t xml:space="preserve"> for concession households).  There was little difference between Melbourne and country Victoria in terms of average number of persons within the household with a vehicle registered in their name (1.4</w:t>
      </w:r>
      <w:r w:rsidR="00C56A53" w:rsidRPr="00C56A53">
        <w:rPr>
          <w:lang w:val="en-AU"/>
        </w:rPr>
        <w:t>3</w:t>
      </w:r>
      <w:r w:rsidRPr="00C56A53">
        <w:rPr>
          <w:lang w:val="en-AU"/>
        </w:rPr>
        <w:t xml:space="preserve"> to 1.40 respectively).</w:t>
      </w:r>
    </w:p>
    <w:p w14:paraId="1217D09C" w14:textId="77777777" w:rsidR="006221CC" w:rsidRPr="00DA3B75" w:rsidRDefault="006221CC" w:rsidP="00FC6BFF">
      <w:pPr>
        <w:pStyle w:val="Para"/>
        <w:rPr>
          <w:highlight w:val="yellow"/>
          <w:lang w:val="en-AU"/>
        </w:rPr>
      </w:pPr>
    </w:p>
    <w:p w14:paraId="36AA98E9" w14:textId="77777777" w:rsidR="00465AC1" w:rsidRPr="00873CF6" w:rsidRDefault="006221CC" w:rsidP="006221CC">
      <w:pPr>
        <w:pStyle w:val="Para"/>
        <w:rPr>
          <w:b/>
          <w:lang w:val="en-AU"/>
        </w:rPr>
      </w:pPr>
      <w:r w:rsidRPr="00873CF6">
        <w:rPr>
          <w:lang w:val="en-AU"/>
        </w:rPr>
        <w:t>When projected to population estimates, the survey results indicate that 3,1</w:t>
      </w:r>
      <w:r w:rsidR="00873CF6" w:rsidRPr="00873CF6">
        <w:rPr>
          <w:lang w:val="en-AU"/>
        </w:rPr>
        <w:t>61</w:t>
      </w:r>
      <w:r w:rsidRPr="00873CF6">
        <w:rPr>
          <w:lang w:val="en-AU"/>
        </w:rPr>
        <w:t xml:space="preserve">,000 Victorians had at least one vehicle registered in their name in 2014. </w:t>
      </w:r>
      <w:r w:rsidR="00296917" w:rsidRPr="00873CF6">
        <w:rPr>
          <w:lang w:val="en-AU"/>
        </w:rPr>
        <w:t>Not surprisingly, Melbourne residents and non-concession households had the most persons</w:t>
      </w:r>
      <w:r w:rsidR="00D97351" w:rsidRPr="00873CF6">
        <w:rPr>
          <w:lang w:val="en-AU"/>
        </w:rPr>
        <w:t xml:space="preserve"> </w:t>
      </w:r>
      <w:r w:rsidR="00296917" w:rsidRPr="00873CF6">
        <w:rPr>
          <w:lang w:val="en-AU"/>
        </w:rPr>
        <w:t>with motor vehicles registered in their name (</w:t>
      </w:r>
      <w:r w:rsidR="009562BE" w:rsidRPr="00873CF6">
        <w:rPr>
          <w:lang w:val="en-AU"/>
        </w:rPr>
        <w:t>2,3</w:t>
      </w:r>
      <w:r w:rsidR="00873CF6" w:rsidRPr="00873CF6">
        <w:rPr>
          <w:lang w:val="en-AU"/>
        </w:rPr>
        <w:t>41</w:t>
      </w:r>
      <w:r w:rsidR="00296917" w:rsidRPr="00873CF6">
        <w:rPr>
          <w:lang w:val="en-AU"/>
        </w:rPr>
        <w:t>,000 and 1,</w:t>
      </w:r>
      <w:r w:rsidR="009562BE" w:rsidRPr="00873CF6">
        <w:rPr>
          <w:lang w:val="en-AU"/>
        </w:rPr>
        <w:t>8</w:t>
      </w:r>
      <w:r w:rsidR="00873CF6" w:rsidRPr="00873CF6">
        <w:rPr>
          <w:lang w:val="en-AU"/>
        </w:rPr>
        <w:t>92</w:t>
      </w:r>
      <w:r w:rsidR="00296917" w:rsidRPr="00873CF6">
        <w:rPr>
          <w:lang w:val="en-AU"/>
        </w:rPr>
        <w:t>,000 respectively)</w:t>
      </w:r>
      <w:r w:rsidR="009562BE" w:rsidRPr="00873CF6">
        <w:rPr>
          <w:lang w:val="en-AU"/>
        </w:rPr>
        <w:t xml:space="preserve">. </w:t>
      </w:r>
    </w:p>
    <w:p w14:paraId="49B8EAE0" w14:textId="77777777" w:rsidR="00FC6BFF" w:rsidRPr="006E3C09" w:rsidRDefault="006321C3" w:rsidP="00BD2674">
      <w:pPr>
        <w:pStyle w:val="Para"/>
        <w:spacing w:before="120" w:after="120"/>
        <w:jc w:val="center"/>
        <w:outlineLvl w:val="0"/>
        <w:rPr>
          <w:b/>
          <w:lang w:val="en-AU"/>
        </w:rPr>
      </w:pPr>
      <w:r w:rsidRPr="00DA3B75">
        <w:rPr>
          <w:b/>
          <w:highlight w:val="yellow"/>
          <w:lang w:val="en-AU"/>
        </w:rPr>
        <w:br w:type="page"/>
      </w:r>
      <w:r w:rsidR="00FC6BFF" w:rsidRPr="006E3C09">
        <w:rPr>
          <w:b/>
          <w:lang w:val="en-AU"/>
        </w:rPr>
        <w:lastRenderedPageBreak/>
        <w:t xml:space="preserve">Table 3.3.8: </w:t>
      </w:r>
      <w:r w:rsidR="00FC6BFF" w:rsidRPr="006E3C09">
        <w:rPr>
          <w:b/>
          <w:u w:val="single"/>
          <w:lang w:val="en-AU"/>
        </w:rPr>
        <w:t>Registered Motor Vehicles by Region and Sample Type</w:t>
      </w:r>
      <w:r w:rsidR="006221CC" w:rsidRPr="006E3C09">
        <w:rPr>
          <w:b/>
          <w:u w:val="single"/>
          <w:lang w:val="en-AU"/>
        </w:rPr>
        <w:t xml:space="preserve"> </w:t>
      </w:r>
    </w:p>
    <w:p w14:paraId="5617711C" w14:textId="77777777" w:rsidR="009562BE" w:rsidRPr="006E3C09" w:rsidRDefault="00C32523" w:rsidP="00D3582F">
      <w:pPr>
        <w:pStyle w:val="Para"/>
        <w:spacing w:line="200" w:lineRule="exact"/>
        <w:ind w:left="-284"/>
        <w:rPr>
          <w:sz w:val="22"/>
          <w:lang w:val="en-AU"/>
        </w:rPr>
      </w:pPr>
      <w:r>
        <w:rPr>
          <w:noProof/>
          <w:sz w:val="20"/>
        </w:rPr>
        <w:pict w14:anchorId="1FC44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95pt;margin-top:6.2pt;width:727.65pt;height:372pt;z-index:251660288;mso-position-horizontal-relative:text;mso-position-vertical-relative:text">
            <v:imagedata r:id="rId24" o:title=""/>
          </v:shape>
        </w:pict>
      </w:r>
    </w:p>
    <w:p w14:paraId="5C5B21ED" w14:textId="77777777" w:rsidR="009562BE" w:rsidRPr="006E3C09" w:rsidRDefault="009562BE" w:rsidP="00D3582F">
      <w:pPr>
        <w:pStyle w:val="Para"/>
        <w:spacing w:line="200" w:lineRule="exact"/>
        <w:ind w:left="-284"/>
        <w:rPr>
          <w:sz w:val="22"/>
          <w:lang w:val="en-AU"/>
        </w:rPr>
      </w:pPr>
    </w:p>
    <w:p w14:paraId="2F316A60" w14:textId="77777777" w:rsidR="006321C3" w:rsidRPr="006E3C09" w:rsidRDefault="006321C3" w:rsidP="00D3582F">
      <w:pPr>
        <w:pStyle w:val="Para"/>
        <w:spacing w:line="200" w:lineRule="exact"/>
        <w:ind w:left="-284"/>
        <w:rPr>
          <w:sz w:val="20"/>
          <w:lang w:val="en-AU"/>
        </w:rPr>
      </w:pPr>
    </w:p>
    <w:p w14:paraId="15CAA039" w14:textId="77777777" w:rsidR="006321C3" w:rsidRPr="006E3C09" w:rsidRDefault="006321C3" w:rsidP="00D3582F">
      <w:pPr>
        <w:pStyle w:val="Para"/>
        <w:spacing w:line="200" w:lineRule="exact"/>
        <w:ind w:left="-284"/>
        <w:rPr>
          <w:sz w:val="20"/>
          <w:lang w:val="en-AU"/>
        </w:rPr>
      </w:pPr>
    </w:p>
    <w:p w14:paraId="197158CA" w14:textId="77777777" w:rsidR="006321C3" w:rsidRPr="006E3C09" w:rsidRDefault="006321C3" w:rsidP="00D3582F">
      <w:pPr>
        <w:pStyle w:val="Para"/>
        <w:spacing w:line="200" w:lineRule="exact"/>
        <w:ind w:left="-284"/>
        <w:rPr>
          <w:sz w:val="20"/>
          <w:lang w:val="en-AU"/>
        </w:rPr>
      </w:pPr>
    </w:p>
    <w:p w14:paraId="2C680C0F" w14:textId="77777777" w:rsidR="006321C3" w:rsidRPr="006E3C09" w:rsidRDefault="006321C3" w:rsidP="00D3582F">
      <w:pPr>
        <w:pStyle w:val="Para"/>
        <w:spacing w:line="200" w:lineRule="exact"/>
        <w:ind w:left="-284"/>
        <w:rPr>
          <w:sz w:val="20"/>
          <w:lang w:val="en-AU"/>
        </w:rPr>
      </w:pPr>
    </w:p>
    <w:p w14:paraId="2EA36AA6" w14:textId="77777777" w:rsidR="006321C3" w:rsidRPr="006E3C09" w:rsidRDefault="006321C3" w:rsidP="00D3582F">
      <w:pPr>
        <w:pStyle w:val="Para"/>
        <w:spacing w:line="200" w:lineRule="exact"/>
        <w:ind w:left="-284"/>
        <w:rPr>
          <w:sz w:val="20"/>
          <w:lang w:val="en-AU"/>
        </w:rPr>
      </w:pPr>
    </w:p>
    <w:p w14:paraId="4E3F3BEB" w14:textId="77777777" w:rsidR="006321C3" w:rsidRPr="006E3C09" w:rsidRDefault="006321C3" w:rsidP="00D3582F">
      <w:pPr>
        <w:pStyle w:val="Para"/>
        <w:spacing w:line="200" w:lineRule="exact"/>
        <w:ind w:left="-284"/>
        <w:rPr>
          <w:sz w:val="20"/>
          <w:lang w:val="en-AU"/>
        </w:rPr>
      </w:pPr>
    </w:p>
    <w:p w14:paraId="6AEA8980" w14:textId="77777777" w:rsidR="006321C3" w:rsidRPr="006E3C09" w:rsidRDefault="006321C3" w:rsidP="00D3582F">
      <w:pPr>
        <w:pStyle w:val="Para"/>
        <w:spacing w:line="200" w:lineRule="exact"/>
        <w:ind w:left="-284"/>
        <w:rPr>
          <w:sz w:val="20"/>
          <w:lang w:val="en-AU"/>
        </w:rPr>
      </w:pPr>
    </w:p>
    <w:p w14:paraId="42A9D941" w14:textId="77777777" w:rsidR="006321C3" w:rsidRPr="006E3C09" w:rsidRDefault="006321C3" w:rsidP="00D3582F">
      <w:pPr>
        <w:pStyle w:val="Para"/>
        <w:spacing w:line="200" w:lineRule="exact"/>
        <w:ind w:left="-284"/>
        <w:rPr>
          <w:sz w:val="20"/>
          <w:lang w:val="en-AU"/>
        </w:rPr>
      </w:pPr>
    </w:p>
    <w:p w14:paraId="09005FDE" w14:textId="77777777" w:rsidR="006321C3" w:rsidRPr="006E3C09" w:rsidRDefault="006321C3" w:rsidP="00D3582F">
      <w:pPr>
        <w:pStyle w:val="Para"/>
        <w:spacing w:line="200" w:lineRule="exact"/>
        <w:ind w:left="-284"/>
        <w:rPr>
          <w:sz w:val="20"/>
          <w:lang w:val="en-AU"/>
        </w:rPr>
      </w:pPr>
    </w:p>
    <w:p w14:paraId="6E6A8589" w14:textId="77777777" w:rsidR="006321C3" w:rsidRPr="006E3C09" w:rsidRDefault="006321C3" w:rsidP="00D3582F">
      <w:pPr>
        <w:pStyle w:val="Para"/>
        <w:spacing w:line="200" w:lineRule="exact"/>
        <w:ind w:left="-284"/>
        <w:rPr>
          <w:sz w:val="20"/>
          <w:lang w:val="en-AU"/>
        </w:rPr>
      </w:pPr>
    </w:p>
    <w:p w14:paraId="0791DA53" w14:textId="77777777" w:rsidR="006321C3" w:rsidRPr="006E3C09" w:rsidRDefault="006321C3" w:rsidP="00D3582F">
      <w:pPr>
        <w:pStyle w:val="Para"/>
        <w:spacing w:line="200" w:lineRule="exact"/>
        <w:ind w:left="-284"/>
        <w:rPr>
          <w:sz w:val="20"/>
          <w:lang w:val="en-AU"/>
        </w:rPr>
      </w:pPr>
    </w:p>
    <w:p w14:paraId="017157E1" w14:textId="77777777" w:rsidR="006321C3" w:rsidRPr="006E3C09" w:rsidRDefault="006321C3" w:rsidP="00D3582F">
      <w:pPr>
        <w:pStyle w:val="Para"/>
        <w:spacing w:line="200" w:lineRule="exact"/>
        <w:ind w:left="-284"/>
        <w:rPr>
          <w:sz w:val="20"/>
          <w:lang w:val="en-AU"/>
        </w:rPr>
      </w:pPr>
    </w:p>
    <w:p w14:paraId="74450F47" w14:textId="77777777" w:rsidR="006321C3" w:rsidRPr="006E3C09" w:rsidRDefault="006321C3" w:rsidP="00D3582F">
      <w:pPr>
        <w:pStyle w:val="Para"/>
        <w:spacing w:line="200" w:lineRule="exact"/>
        <w:ind w:left="-284"/>
        <w:rPr>
          <w:sz w:val="20"/>
          <w:lang w:val="en-AU"/>
        </w:rPr>
      </w:pPr>
    </w:p>
    <w:p w14:paraId="18680E02" w14:textId="77777777" w:rsidR="006321C3" w:rsidRPr="006E3C09" w:rsidRDefault="006321C3" w:rsidP="00D3582F">
      <w:pPr>
        <w:pStyle w:val="Para"/>
        <w:spacing w:line="200" w:lineRule="exact"/>
        <w:ind w:left="-284"/>
        <w:rPr>
          <w:sz w:val="20"/>
          <w:lang w:val="en-AU"/>
        </w:rPr>
      </w:pPr>
    </w:p>
    <w:p w14:paraId="6AEE2170" w14:textId="77777777" w:rsidR="006321C3" w:rsidRPr="006E3C09" w:rsidRDefault="006321C3" w:rsidP="00D3582F">
      <w:pPr>
        <w:pStyle w:val="Para"/>
        <w:spacing w:line="200" w:lineRule="exact"/>
        <w:ind w:left="-284"/>
        <w:rPr>
          <w:sz w:val="20"/>
          <w:lang w:val="en-AU"/>
        </w:rPr>
      </w:pPr>
    </w:p>
    <w:p w14:paraId="4C85C72A" w14:textId="77777777" w:rsidR="006321C3" w:rsidRPr="006E3C09" w:rsidRDefault="006321C3" w:rsidP="00D3582F">
      <w:pPr>
        <w:pStyle w:val="Para"/>
        <w:spacing w:line="200" w:lineRule="exact"/>
        <w:ind w:left="-284"/>
        <w:rPr>
          <w:sz w:val="20"/>
          <w:lang w:val="en-AU"/>
        </w:rPr>
      </w:pPr>
    </w:p>
    <w:p w14:paraId="43366B4D" w14:textId="77777777" w:rsidR="006321C3" w:rsidRPr="006E3C09" w:rsidRDefault="006321C3" w:rsidP="00D3582F">
      <w:pPr>
        <w:pStyle w:val="Para"/>
        <w:spacing w:line="200" w:lineRule="exact"/>
        <w:ind w:left="-284"/>
        <w:rPr>
          <w:sz w:val="20"/>
          <w:lang w:val="en-AU"/>
        </w:rPr>
      </w:pPr>
    </w:p>
    <w:p w14:paraId="19BF4909" w14:textId="77777777" w:rsidR="006321C3" w:rsidRPr="006E3C09" w:rsidRDefault="006321C3" w:rsidP="00D3582F">
      <w:pPr>
        <w:pStyle w:val="Para"/>
        <w:spacing w:line="200" w:lineRule="exact"/>
        <w:ind w:left="-284"/>
        <w:rPr>
          <w:sz w:val="20"/>
          <w:lang w:val="en-AU"/>
        </w:rPr>
      </w:pPr>
    </w:p>
    <w:p w14:paraId="5A618C80" w14:textId="77777777" w:rsidR="006321C3" w:rsidRPr="006E3C09" w:rsidRDefault="006321C3" w:rsidP="00D3582F">
      <w:pPr>
        <w:pStyle w:val="Para"/>
        <w:spacing w:line="200" w:lineRule="exact"/>
        <w:ind w:left="-284"/>
        <w:rPr>
          <w:sz w:val="20"/>
          <w:lang w:val="en-AU"/>
        </w:rPr>
      </w:pPr>
    </w:p>
    <w:p w14:paraId="6B57E71C" w14:textId="77777777" w:rsidR="006321C3" w:rsidRPr="006E3C09" w:rsidRDefault="006321C3" w:rsidP="00D3582F">
      <w:pPr>
        <w:pStyle w:val="Para"/>
        <w:spacing w:line="200" w:lineRule="exact"/>
        <w:ind w:left="-284"/>
        <w:rPr>
          <w:sz w:val="20"/>
          <w:lang w:val="en-AU"/>
        </w:rPr>
      </w:pPr>
    </w:p>
    <w:p w14:paraId="264A0A7F" w14:textId="77777777" w:rsidR="006321C3" w:rsidRPr="006E3C09" w:rsidRDefault="006321C3" w:rsidP="00D3582F">
      <w:pPr>
        <w:pStyle w:val="Para"/>
        <w:spacing w:line="200" w:lineRule="exact"/>
        <w:ind w:left="-284"/>
        <w:rPr>
          <w:sz w:val="20"/>
          <w:lang w:val="en-AU"/>
        </w:rPr>
      </w:pPr>
    </w:p>
    <w:p w14:paraId="01815E37" w14:textId="77777777" w:rsidR="006321C3" w:rsidRPr="006E3C09" w:rsidRDefault="006321C3" w:rsidP="00D3582F">
      <w:pPr>
        <w:pStyle w:val="Para"/>
        <w:spacing w:line="200" w:lineRule="exact"/>
        <w:ind w:left="-284"/>
        <w:rPr>
          <w:sz w:val="20"/>
          <w:lang w:val="en-AU"/>
        </w:rPr>
      </w:pPr>
    </w:p>
    <w:p w14:paraId="5B0820AC" w14:textId="77777777" w:rsidR="006321C3" w:rsidRPr="006E3C09" w:rsidRDefault="006321C3" w:rsidP="00D3582F">
      <w:pPr>
        <w:pStyle w:val="Para"/>
        <w:spacing w:line="200" w:lineRule="exact"/>
        <w:ind w:left="-284"/>
        <w:rPr>
          <w:sz w:val="20"/>
          <w:lang w:val="en-AU"/>
        </w:rPr>
      </w:pPr>
    </w:p>
    <w:p w14:paraId="61DA4545" w14:textId="77777777" w:rsidR="006321C3" w:rsidRPr="006E3C09" w:rsidRDefault="006321C3" w:rsidP="00D3582F">
      <w:pPr>
        <w:pStyle w:val="Para"/>
        <w:spacing w:line="200" w:lineRule="exact"/>
        <w:ind w:left="-284"/>
        <w:rPr>
          <w:sz w:val="20"/>
          <w:lang w:val="en-AU"/>
        </w:rPr>
      </w:pPr>
    </w:p>
    <w:p w14:paraId="0DA044C2" w14:textId="77777777" w:rsidR="006321C3" w:rsidRPr="006E3C09" w:rsidRDefault="006321C3" w:rsidP="00D3582F">
      <w:pPr>
        <w:pStyle w:val="Para"/>
        <w:spacing w:line="200" w:lineRule="exact"/>
        <w:ind w:left="-284"/>
        <w:rPr>
          <w:sz w:val="20"/>
          <w:lang w:val="en-AU"/>
        </w:rPr>
      </w:pPr>
    </w:p>
    <w:p w14:paraId="587A6E0A" w14:textId="77777777" w:rsidR="006321C3" w:rsidRPr="006E3C09" w:rsidRDefault="006321C3" w:rsidP="00D3582F">
      <w:pPr>
        <w:pStyle w:val="Para"/>
        <w:spacing w:line="200" w:lineRule="exact"/>
        <w:ind w:left="-284"/>
        <w:rPr>
          <w:sz w:val="20"/>
          <w:lang w:val="en-AU"/>
        </w:rPr>
      </w:pPr>
    </w:p>
    <w:p w14:paraId="6BDC4BDF" w14:textId="77777777" w:rsidR="006321C3" w:rsidRPr="006E3C09" w:rsidRDefault="006321C3" w:rsidP="00D3582F">
      <w:pPr>
        <w:pStyle w:val="Para"/>
        <w:spacing w:line="200" w:lineRule="exact"/>
        <w:ind w:left="-284"/>
        <w:rPr>
          <w:sz w:val="20"/>
          <w:lang w:val="en-AU"/>
        </w:rPr>
      </w:pPr>
    </w:p>
    <w:p w14:paraId="7D57ACD5" w14:textId="77777777" w:rsidR="006321C3" w:rsidRPr="006E3C09" w:rsidRDefault="006321C3" w:rsidP="00D3582F">
      <w:pPr>
        <w:pStyle w:val="Para"/>
        <w:spacing w:line="200" w:lineRule="exact"/>
        <w:ind w:left="-284"/>
        <w:rPr>
          <w:sz w:val="20"/>
          <w:lang w:val="en-AU"/>
        </w:rPr>
      </w:pPr>
    </w:p>
    <w:p w14:paraId="278E6D47" w14:textId="77777777" w:rsidR="006321C3" w:rsidRPr="006E3C09" w:rsidRDefault="006321C3" w:rsidP="00D3582F">
      <w:pPr>
        <w:pStyle w:val="Para"/>
        <w:spacing w:line="200" w:lineRule="exact"/>
        <w:ind w:left="-284"/>
        <w:rPr>
          <w:sz w:val="20"/>
          <w:lang w:val="en-AU"/>
        </w:rPr>
      </w:pPr>
    </w:p>
    <w:p w14:paraId="1E03070D" w14:textId="77777777" w:rsidR="006321C3" w:rsidRPr="006E3C09" w:rsidRDefault="006321C3" w:rsidP="00D3582F">
      <w:pPr>
        <w:pStyle w:val="Para"/>
        <w:spacing w:line="200" w:lineRule="exact"/>
        <w:ind w:left="-284"/>
        <w:rPr>
          <w:sz w:val="20"/>
          <w:lang w:val="en-AU"/>
        </w:rPr>
      </w:pPr>
    </w:p>
    <w:p w14:paraId="7532316C" w14:textId="77777777" w:rsidR="006321C3" w:rsidRPr="006E3C09" w:rsidRDefault="006321C3" w:rsidP="00D3582F">
      <w:pPr>
        <w:pStyle w:val="Para"/>
        <w:spacing w:line="200" w:lineRule="exact"/>
        <w:ind w:left="-284"/>
        <w:rPr>
          <w:sz w:val="20"/>
          <w:lang w:val="en-AU"/>
        </w:rPr>
      </w:pPr>
    </w:p>
    <w:p w14:paraId="219EE2D0" w14:textId="77777777" w:rsidR="006321C3" w:rsidRPr="006E3C09" w:rsidRDefault="006321C3" w:rsidP="00D3582F">
      <w:pPr>
        <w:pStyle w:val="Para"/>
        <w:spacing w:line="200" w:lineRule="exact"/>
        <w:ind w:left="-284"/>
        <w:rPr>
          <w:sz w:val="20"/>
          <w:lang w:val="en-AU"/>
        </w:rPr>
      </w:pPr>
    </w:p>
    <w:p w14:paraId="677012A9" w14:textId="77777777" w:rsidR="006321C3" w:rsidRPr="006E3C09" w:rsidRDefault="006321C3" w:rsidP="00D3582F">
      <w:pPr>
        <w:pStyle w:val="Para"/>
        <w:spacing w:line="200" w:lineRule="exact"/>
        <w:ind w:left="-284"/>
        <w:rPr>
          <w:sz w:val="20"/>
          <w:lang w:val="en-AU"/>
        </w:rPr>
      </w:pPr>
    </w:p>
    <w:p w14:paraId="5188DA13" w14:textId="77777777" w:rsidR="006321C3" w:rsidRPr="006E3C09" w:rsidRDefault="006321C3" w:rsidP="00D3582F">
      <w:pPr>
        <w:pStyle w:val="Para"/>
        <w:spacing w:line="200" w:lineRule="exact"/>
        <w:ind w:left="-284"/>
        <w:rPr>
          <w:sz w:val="20"/>
          <w:lang w:val="en-AU"/>
        </w:rPr>
      </w:pPr>
    </w:p>
    <w:p w14:paraId="0A22EE56" w14:textId="77777777" w:rsidR="006321C3" w:rsidRPr="006E3C09" w:rsidRDefault="006321C3" w:rsidP="00D3582F">
      <w:pPr>
        <w:pStyle w:val="Para"/>
        <w:spacing w:line="200" w:lineRule="exact"/>
        <w:ind w:left="-284"/>
        <w:rPr>
          <w:sz w:val="20"/>
          <w:lang w:val="en-AU"/>
        </w:rPr>
      </w:pPr>
    </w:p>
    <w:p w14:paraId="791E0E23" w14:textId="77777777" w:rsidR="006321C3" w:rsidRPr="006E3C09" w:rsidRDefault="006321C3" w:rsidP="00D3582F">
      <w:pPr>
        <w:pStyle w:val="Para"/>
        <w:spacing w:line="200" w:lineRule="exact"/>
        <w:ind w:left="-284"/>
        <w:rPr>
          <w:sz w:val="20"/>
          <w:lang w:val="en-AU"/>
        </w:rPr>
      </w:pPr>
    </w:p>
    <w:p w14:paraId="11115E10" w14:textId="77777777" w:rsidR="00FC6BFF" w:rsidRPr="006E3C09" w:rsidRDefault="00FC6BFF" w:rsidP="00BD2674">
      <w:pPr>
        <w:pStyle w:val="Para"/>
        <w:spacing w:line="200" w:lineRule="exact"/>
        <w:ind w:left="720"/>
        <w:rPr>
          <w:sz w:val="20"/>
          <w:lang w:val="en-AU"/>
        </w:rPr>
      </w:pPr>
      <w:r w:rsidRPr="006E3C09">
        <w:rPr>
          <w:sz w:val="20"/>
          <w:lang w:val="en-AU"/>
        </w:rPr>
        <w:t xml:space="preserve">Base: Total respondents, </w:t>
      </w:r>
      <w:r w:rsidR="009562BE" w:rsidRPr="006E3C09">
        <w:rPr>
          <w:sz w:val="20"/>
          <w:lang w:val="en-AU"/>
        </w:rPr>
        <w:t xml:space="preserve">2014 (n=1,861); </w:t>
      </w:r>
      <w:r w:rsidRPr="006E3C09">
        <w:rPr>
          <w:sz w:val="20"/>
          <w:lang w:val="en-AU"/>
        </w:rPr>
        <w:t>2007 (n=2,061)</w:t>
      </w:r>
    </w:p>
    <w:p w14:paraId="62523D57" w14:textId="77777777" w:rsidR="003920D8" w:rsidRPr="009911A5" w:rsidRDefault="006321C3">
      <w:pPr>
        <w:pStyle w:val="Heading3"/>
        <w:tabs>
          <w:tab w:val="clear" w:pos="8517"/>
          <w:tab w:val="num" w:pos="851"/>
        </w:tabs>
        <w:spacing w:before="0"/>
        <w:ind w:hanging="8517"/>
        <w:rPr>
          <w:lang w:val="en-AU"/>
        </w:rPr>
      </w:pPr>
      <w:r w:rsidRPr="00DA3B75">
        <w:rPr>
          <w:highlight w:val="yellow"/>
          <w:lang w:val="en-AU"/>
        </w:rPr>
        <w:br w:type="page"/>
      </w:r>
      <w:bookmarkStart w:id="130" w:name="_Toc439198293"/>
      <w:bookmarkStart w:id="131" w:name="_Toc445571676"/>
      <w:r w:rsidR="00FC6BFF" w:rsidRPr="009911A5">
        <w:rPr>
          <w:lang w:val="en-AU"/>
        </w:rPr>
        <w:lastRenderedPageBreak/>
        <w:t>Date when Home was Built</w:t>
      </w:r>
      <w:bookmarkEnd w:id="130"/>
      <w:bookmarkEnd w:id="131"/>
    </w:p>
    <w:p w14:paraId="08080EEC" w14:textId="77777777" w:rsidR="00FC6BFF" w:rsidRPr="009911A5" w:rsidRDefault="00FC6BFF" w:rsidP="00FC6BFF">
      <w:pPr>
        <w:pStyle w:val="Para"/>
        <w:rPr>
          <w:lang w:val="en-AU"/>
        </w:rPr>
      </w:pPr>
    </w:p>
    <w:p w14:paraId="38311ED2" w14:textId="77777777" w:rsidR="00FC6BFF" w:rsidRPr="009911A5" w:rsidRDefault="00035A07" w:rsidP="00FC6BFF">
      <w:pPr>
        <w:pStyle w:val="Para"/>
        <w:rPr>
          <w:lang w:val="en-AU"/>
        </w:rPr>
      </w:pPr>
      <w:r w:rsidRPr="009911A5">
        <w:rPr>
          <w:lang w:val="en-AU"/>
        </w:rPr>
        <w:t>Overall, t</w:t>
      </w:r>
      <w:r w:rsidR="00296917" w:rsidRPr="009911A5">
        <w:rPr>
          <w:lang w:val="en-AU"/>
        </w:rPr>
        <w:t>he majority of homes were built before 1991 (</w:t>
      </w:r>
      <w:r w:rsidRPr="009911A5">
        <w:rPr>
          <w:lang w:val="en-AU"/>
        </w:rPr>
        <w:t xml:space="preserve">66%), and this was </w:t>
      </w:r>
      <w:r w:rsidR="006C533B" w:rsidRPr="009911A5">
        <w:rPr>
          <w:lang w:val="en-AU"/>
        </w:rPr>
        <w:t xml:space="preserve">generally consistent across </w:t>
      </w:r>
      <w:r w:rsidR="00D3582F" w:rsidRPr="009911A5">
        <w:rPr>
          <w:lang w:val="en-AU"/>
        </w:rPr>
        <w:t>sub-</w:t>
      </w:r>
      <w:r w:rsidR="006C533B" w:rsidRPr="009911A5">
        <w:rPr>
          <w:lang w:val="en-AU"/>
        </w:rPr>
        <w:t>groups</w:t>
      </w:r>
      <w:r w:rsidR="0057268F" w:rsidRPr="009911A5">
        <w:rPr>
          <w:lang w:val="en-AU"/>
        </w:rPr>
        <w:t xml:space="preserve"> (see Table</w:t>
      </w:r>
      <w:r w:rsidR="009911A5" w:rsidRPr="009911A5">
        <w:rPr>
          <w:lang w:val="en-AU"/>
        </w:rPr>
        <w:t>s</w:t>
      </w:r>
      <w:r w:rsidR="0057268F" w:rsidRPr="009911A5">
        <w:rPr>
          <w:lang w:val="en-AU"/>
        </w:rPr>
        <w:t xml:space="preserve"> 3.3.9a</w:t>
      </w:r>
      <w:r w:rsidR="009911A5" w:rsidRPr="009911A5">
        <w:rPr>
          <w:lang w:val="en-AU"/>
        </w:rPr>
        <w:t xml:space="preserve"> and 3.3.9b</w:t>
      </w:r>
      <w:r w:rsidR="0057268F" w:rsidRPr="009911A5">
        <w:rPr>
          <w:lang w:val="en-AU"/>
        </w:rPr>
        <w:t>)</w:t>
      </w:r>
      <w:r w:rsidR="006C533B" w:rsidRPr="009911A5">
        <w:rPr>
          <w:lang w:val="en-AU"/>
        </w:rPr>
        <w:t xml:space="preserve">.  </w:t>
      </w:r>
      <w:r w:rsidRPr="009911A5">
        <w:rPr>
          <w:lang w:val="en-AU"/>
        </w:rPr>
        <w:t xml:space="preserve">Non-concession households were almost twice as likely (15%) </w:t>
      </w:r>
      <w:r w:rsidR="009F4D7B" w:rsidRPr="009911A5">
        <w:rPr>
          <w:lang w:val="en-AU"/>
        </w:rPr>
        <w:t xml:space="preserve">as </w:t>
      </w:r>
      <w:r w:rsidRPr="009911A5">
        <w:rPr>
          <w:lang w:val="en-AU"/>
        </w:rPr>
        <w:t xml:space="preserve">concession households </w:t>
      </w:r>
      <w:r w:rsidR="00465AC1" w:rsidRPr="009911A5">
        <w:rPr>
          <w:lang w:val="en-AU"/>
        </w:rPr>
        <w:t xml:space="preserve">(8%) </w:t>
      </w:r>
      <w:r w:rsidRPr="009911A5">
        <w:rPr>
          <w:lang w:val="en-AU"/>
        </w:rPr>
        <w:t>to live in a home built after 2004</w:t>
      </w:r>
      <w:r w:rsidR="009911A5" w:rsidRPr="009911A5">
        <w:rPr>
          <w:lang w:val="en-AU"/>
        </w:rPr>
        <w:t>.</w:t>
      </w:r>
      <w:r w:rsidRPr="009911A5">
        <w:rPr>
          <w:lang w:val="en-AU"/>
        </w:rPr>
        <w:t xml:space="preserve"> </w:t>
      </w:r>
      <w:r w:rsidR="009F4D7B" w:rsidRPr="009911A5">
        <w:rPr>
          <w:lang w:val="en-AU"/>
        </w:rPr>
        <w:t xml:space="preserve"> </w:t>
      </w:r>
    </w:p>
    <w:p w14:paraId="4F7822C6" w14:textId="77777777" w:rsidR="00035A07" w:rsidRPr="00DA3B75" w:rsidRDefault="00035A07" w:rsidP="00FC6BFF">
      <w:pPr>
        <w:pStyle w:val="Para"/>
        <w:rPr>
          <w:highlight w:val="yellow"/>
          <w:lang w:val="en-AU"/>
        </w:rPr>
      </w:pPr>
    </w:p>
    <w:p w14:paraId="4EDAE084" w14:textId="77777777" w:rsidR="00FC6BFF" w:rsidRPr="009911A5" w:rsidRDefault="00FC6BFF" w:rsidP="00BD2674">
      <w:pPr>
        <w:pStyle w:val="Para"/>
        <w:spacing w:after="120"/>
        <w:jc w:val="center"/>
        <w:outlineLvl w:val="0"/>
        <w:rPr>
          <w:b/>
          <w:u w:val="single"/>
          <w:lang w:val="en-AU"/>
        </w:rPr>
      </w:pPr>
      <w:r w:rsidRPr="009911A5">
        <w:rPr>
          <w:b/>
          <w:lang w:val="en-AU"/>
        </w:rPr>
        <w:t>Table 3.3.9</w:t>
      </w:r>
      <w:r w:rsidR="00494BA4" w:rsidRPr="009911A5">
        <w:rPr>
          <w:b/>
          <w:lang w:val="en-AU"/>
        </w:rPr>
        <w:t>a</w:t>
      </w:r>
      <w:r w:rsidRPr="009911A5">
        <w:rPr>
          <w:b/>
          <w:lang w:val="en-AU"/>
        </w:rPr>
        <w:t xml:space="preserve">: </w:t>
      </w:r>
      <w:r w:rsidRPr="009911A5">
        <w:rPr>
          <w:b/>
          <w:u w:val="single"/>
          <w:lang w:val="en-AU"/>
        </w:rPr>
        <w:t xml:space="preserve">Date when Home was Built by Region and </w:t>
      </w:r>
      <w:r w:rsidR="002370A0" w:rsidRPr="009911A5">
        <w:rPr>
          <w:b/>
          <w:u w:val="single"/>
          <w:lang w:val="en-AU"/>
        </w:rPr>
        <w:t>DHHS Area</w:t>
      </w:r>
    </w:p>
    <w:tbl>
      <w:tblPr>
        <w:tblW w:w="6801" w:type="dxa"/>
        <w:jc w:val="center"/>
        <w:tblLook w:val="0000" w:firstRow="0" w:lastRow="0" w:firstColumn="0" w:lastColumn="0" w:noHBand="0" w:noVBand="0"/>
      </w:tblPr>
      <w:tblGrid>
        <w:gridCol w:w="2717"/>
        <w:gridCol w:w="1021"/>
        <w:gridCol w:w="1021"/>
        <w:gridCol w:w="1021"/>
        <w:gridCol w:w="1021"/>
      </w:tblGrid>
      <w:tr w:rsidR="002370A0" w:rsidRPr="009911A5" w14:paraId="1DB847D0" w14:textId="77777777" w:rsidTr="00BD2674">
        <w:trPr>
          <w:trHeight w:val="240"/>
          <w:jc w:val="center"/>
        </w:trPr>
        <w:tc>
          <w:tcPr>
            <w:tcW w:w="2717" w:type="dxa"/>
            <w:tcBorders>
              <w:top w:val="double" w:sz="6" w:space="0" w:color="auto"/>
              <w:left w:val="double" w:sz="6" w:space="0" w:color="auto"/>
              <w:bottom w:val="single" w:sz="4" w:space="0" w:color="969696"/>
              <w:right w:val="nil"/>
            </w:tcBorders>
            <w:shd w:val="clear" w:color="auto" w:fill="auto"/>
            <w:noWrap/>
            <w:vAlign w:val="center"/>
          </w:tcPr>
          <w:p w14:paraId="3DE418F2" w14:textId="77777777" w:rsidR="002370A0" w:rsidRPr="009911A5" w:rsidRDefault="002370A0" w:rsidP="002370A0">
            <w:pPr>
              <w:spacing w:before="0" w:after="0"/>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Date Home Built</w:t>
            </w:r>
          </w:p>
        </w:tc>
        <w:tc>
          <w:tcPr>
            <w:tcW w:w="1021" w:type="dxa"/>
            <w:tcBorders>
              <w:top w:val="double" w:sz="6" w:space="0" w:color="auto"/>
              <w:left w:val="single" w:sz="4" w:space="0" w:color="auto"/>
              <w:bottom w:val="single" w:sz="4" w:space="0" w:color="969696"/>
              <w:right w:val="single" w:sz="4" w:space="0" w:color="969696"/>
            </w:tcBorders>
            <w:shd w:val="clear" w:color="auto" w:fill="auto"/>
            <w:noWrap/>
            <w:vAlign w:val="center"/>
          </w:tcPr>
          <w:p w14:paraId="729DD274" w14:textId="77777777" w:rsidR="002370A0" w:rsidRPr="009911A5" w:rsidRDefault="002370A0" w:rsidP="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After 2004</w:t>
            </w:r>
          </w:p>
        </w:tc>
        <w:tc>
          <w:tcPr>
            <w:tcW w:w="1021" w:type="dxa"/>
            <w:tcBorders>
              <w:top w:val="double" w:sz="6" w:space="0" w:color="auto"/>
              <w:left w:val="nil"/>
              <w:bottom w:val="single" w:sz="4" w:space="0" w:color="969696"/>
              <w:right w:val="single" w:sz="4" w:space="0" w:color="969696"/>
            </w:tcBorders>
            <w:shd w:val="clear" w:color="auto" w:fill="auto"/>
            <w:noWrap/>
            <w:vAlign w:val="center"/>
          </w:tcPr>
          <w:p w14:paraId="2B9FA47A" w14:textId="77777777" w:rsidR="002370A0" w:rsidRPr="009911A5" w:rsidRDefault="002370A0" w:rsidP="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1991 to 2004</w:t>
            </w:r>
          </w:p>
        </w:tc>
        <w:tc>
          <w:tcPr>
            <w:tcW w:w="1021" w:type="dxa"/>
            <w:tcBorders>
              <w:top w:val="double" w:sz="6" w:space="0" w:color="auto"/>
              <w:left w:val="single" w:sz="4" w:space="0" w:color="auto"/>
              <w:bottom w:val="single" w:sz="4" w:space="0" w:color="969696"/>
              <w:right w:val="single" w:sz="4" w:space="0" w:color="969696"/>
            </w:tcBorders>
            <w:shd w:val="clear" w:color="auto" w:fill="auto"/>
            <w:noWrap/>
            <w:vAlign w:val="center"/>
          </w:tcPr>
          <w:p w14:paraId="2675AB5F" w14:textId="77777777" w:rsidR="002370A0" w:rsidRPr="009911A5" w:rsidRDefault="002370A0" w:rsidP="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Before 1991</w:t>
            </w:r>
          </w:p>
        </w:tc>
        <w:tc>
          <w:tcPr>
            <w:tcW w:w="1021" w:type="dxa"/>
            <w:tcBorders>
              <w:top w:val="double" w:sz="6" w:space="0" w:color="auto"/>
              <w:left w:val="nil"/>
              <w:bottom w:val="single" w:sz="4" w:space="0" w:color="969696"/>
              <w:right w:val="double" w:sz="6" w:space="0" w:color="auto"/>
            </w:tcBorders>
            <w:shd w:val="clear" w:color="auto" w:fill="auto"/>
            <w:noWrap/>
            <w:vAlign w:val="center"/>
          </w:tcPr>
          <w:p w14:paraId="0B3C2731" w14:textId="77777777" w:rsidR="002370A0" w:rsidRPr="009911A5" w:rsidRDefault="002370A0" w:rsidP="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Can't say</w:t>
            </w:r>
          </w:p>
        </w:tc>
      </w:tr>
      <w:tr w:rsidR="002370A0" w:rsidRPr="009911A5" w14:paraId="06C4A953" w14:textId="77777777" w:rsidTr="00BD2674">
        <w:trPr>
          <w:trHeight w:val="225"/>
          <w:jc w:val="center"/>
        </w:trPr>
        <w:tc>
          <w:tcPr>
            <w:tcW w:w="2717" w:type="dxa"/>
            <w:tcBorders>
              <w:top w:val="nil"/>
              <w:left w:val="double" w:sz="6" w:space="0" w:color="auto"/>
              <w:bottom w:val="single" w:sz="4" w:space="0" w:color="969696"/>
              <w:right w:val="nil"/>
            </w:tcBorders>
            <w:shd w:val="clear" w:color="auto" w:fill="auto"/>
            <w:noWrap/>
            <w:vAlign w:val="center"/>
          </w:tcPr>
          <w:p w14:paraId="41A7B534" w14:textId="77777777" w:rsidR="002370A0" w:rsidRPr="009911A5" w:rsidRDefault="002370A0" w:rsidP="002370A0">
            <w:pPr>
              <w:spacing w:before="0" w:after="0"/>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By Region -</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59DF6009" w14:textId="77777777" w:rsidR="002370A0" w:rsidRPr="009911A5" w:rsidRDefault="002370A0" w:rsidP="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 </w:t>
            </w:r>
          </w:p>
        </w:tc>
        <w:tc>
          <w:tcPr>
            <w:tcW w:w="1021" w:type="dxa"/>
            <w:tcBorders>
              <w:top w:val="nil"/>
              <w:left w:val="nil"/>
              <w:bottom w:val="single" w:sz="4" w:space="0" w:color="969696"/>
              <w:right w:val="single" w:sz="4" w:space="0" w:color="969696"/>
            </w:tcBorders>
            <w:shd w:val="clear" w:color="auto" w:fill="auto"/>
            <w:noWrap/>
            <w:vAlign w:val="bottom"/>
          </w:tcPr>
          <w:p w14:paraId="6974126F" w14:textId="77777777" w:rsidR="002370A0" w:rsidRPr="009911A5" w:rsidRDefault="002370A0" w:rsidP="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 </w:t>
            </w:r>
          </w:p>
        </w:tc>
        <w:tc>
          <w:tcPr>
            <w:tcW w:w="1021" w:type="dxa"/>
            <w:tcBorders>
              <w:top w:val="nil"/>
              <w:left w:val="single" w:sz="4" w:space="0" w:color="auto"/>
              <w:bottom w:val="single" w:sz="4" w:space="0" w:color="969696"/>
              <w:right w:val="single" w:sz="4" w:space="0" w:color="969696"/>
            </w:tcBorders>
            <w:shd w:val="clear" w:color="auto" w:fill="auto"/>
            <w:noWrap/>
            <w:vAlign w:val="bottom"/>
          </w:tcPr>
          <w:p w14:paraId="24F40C02" w14:textId="77777777" w:rsidR="002370A0" w:rsidRPr="009911A5" w:rsidRDefault="002370A0" w:rsidP="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 </w:t>
            </w:r>
          </w:p>
        </w:tc>
        <w:tc>
          <w:tcPr>
            <w:tcW w:w="1021" w:type="dxa"/>
            <w:tcBorders>
              <w:top w:val="nil"/>
              <w:left w:val="nil"/>
              <w:bottom w:val="single" w:sz="4" w:space="0" w:color="969696"/>
              <w:right w:val="double" w:sz="6" w:space="0" w:color="auto"/>
            </w:tcBorders>
            <w:shd w:val="clear" w:color="auto" w:fill="auto"/>
            <w:noWrap/>
            <w:vAlign w:val="center"/>
          </w:tcPr>
          <w:p w14:paraId="417D80D8" w14:textId="77777777" w:rsidR="002370A0" w:rsidRPr="009911A5" w:rsidRDefault="002370A0" w:rsidP="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 </w:t>
            </w:r>
          </w:p>
        </w:tc>
      </w:tr>
      <w:tr w:rsidR="002370A0" w:rsidRPr="009911A5" w14:paraId="379E1912"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center"/>
          </w:tcPr>
          <w:p w14:paraId="41A09A3D"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9911A5">
                  <w:rPr>
                    <w:rFonts w:ascii="Arial" w:hAnsi="Arial" w:cs="Arial"/>
                    <w:color w:val="000000"/>
                    <w:sz w:val="16"/>
                    <w:szCs w:val="16"/>
                    <w:lang w:val="en-AU" w:eastAsia="en-AU"/>
                  </w:rPr>
                  <w:t>Melbourne</w:t>
                </w:r>
              </w:smartTag>
            </w:smartTag>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4949DBC5"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11%</w:t>
            </w:r>
          </w:p>
        </w:tc>
        <w:tc>
          <w:tcPr>
            <w:tcW w:w="1021" w:type="dxa"/>
            <w:tcBorders>
              <w:top w:val="nil"/>
              <w:left w:val="nil"/>
              <w:bottom w:val="single" w:sz="4" w:space="0" w:color="969696"/>
              <w:right w:val="single" w:sz="4" w:space="0" w:color="969696"/>
            </w:tcBorders>
            <w:shd w:val="clear" w:color="auto" w:fill="auto"/>
            <w:noWrap/>
            <w:vAlign w:val="center"/>
          </w:tcPr>
          <w:p w14:paraId="3180E497"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18%</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38CE4E65"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66%</w:t>
            </w:r>
          </w:p>
        </w:tc>
        <w:tc>
          <w:tcPr>
            <w:tcW w:w="1021" w:type="dxa"/>
            <w:tcBorders>
              <w:top w:val="nil"/>
              <w:left w:val="nil"/>
              <w:bottom w:val="single" w:sz="4" w:space="0" w:color="969696"/>
              <w:right w:val="double" w:sz="6" w:space="0" w:color="auto"/>
            </w:tcBorders>
            <w:shd w:val="clear" w:color="auto" w:fill="auto"/>
            <w:noWrap/>
            <w:vAlign w:val="center"/>
          </w:tcPr>
          <w:p w14:paraId="5DA254DA"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5%</w:t>
            </w:r>
          </w:p>
        </w:tc>
      </w:tr>
      <w:tr w:rsidR="002370A0" w:rsidRPr="009911A5" w14:paraId="429EDB2E"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center"/>
          </w:tcPr>
          <w:p w14:paraId="47349444"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Country VIC</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4728CE8B"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13%</w:t>
            </w:r>
          </w:p>
        </w:tc>
        <w:tc>
          <w:tcPr>
            <w:tcW w:w="1021" w:type="dxa"/>
            <w:tcBorders>
              <w:top w:val="nil"/>
              <w:left w:val="nil"/>
              <w:bottom w:val="single" w:sz="4" w:space="0" w:color="969696"/>
              <w:right w:val="single" w:sz="4" w:space="0" w:color="969696"/>
            </w:tcBorders>
            <w:shd w:val="clear" w:color="auto" w:fill="auto"/>
            <w:noWrap/>
            <w:vAlign w:val="center"/>
          </w:tcPr>
          <w:p w14:paraId="03887C2C"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18%</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26105703"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65%</w:t>
            </w:r>
          </w:p>
        </w:tc>
        <w:tc>
          <w:tcPr>
            <w:tcW w:w="1021" w:type="dxa"/>
            <w:tcBorders>
              <w:top w:val="nil"/>
              <w:left w:val="nil"/>
              <w:bottom w:val="single" w:sz="4" w:space="0" w:color="969696"/>
              <w:right w:val="double" w:sz="6" w:space="0" w:color="auto"/>
            </w:tcBorders>
            <w:shd w:val="clear" w:color="auto" w:fill="auto"/>
            <w:noWrap/>
            <w:vAlign w:val="center"/>
          </w:tcPr>
          <w:p w14:paraId="5BE6DC50"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3%</w:t>
            </w:r>
          </w:p>
        </w:tc>
      </w:tr>
      <w:tr w:rsidR="002370A0" w:rsidRPr="009911A5" w14:paraId="47F5F2D9"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center"/>
          </w:tcPr>
          <w:p w14:paraId="634B3FB0" w14:textId="7C612CB4" w:rsidR="002370A0" w:rsidRPr="009911A5" w:rsidRDefault="00BC6314" w:rsidP="002370A0">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2370A0" w:rsidRPr="009911A5">
              <w:rPr>
                <w:rFonts w:ascii="Arial" w:hAnsi="Arial" w:cs="Arial"/>
                <w:color w:val="000000"/>
                <w:sz w:val="16"/>
                <w:szCs w:val="16"/>
                <w:lang w:val="en-AU" w:eastAsia="en-AU"/>
              </w:rPr>
              <w:t>s</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58D723D2" w14:textId="77777777" w:rsidR="002370A0" w:rsidRPr="009911A5" w:rsidRDefault="009911A5">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9</w:t>
            </w:r>
            <w:r w:rsidR="002370A0" w:rsidRPr="009911A5">
              <w:rPr>
                <w:rFonts w:ascii="Arial" w:hAnsi="Arial" w:cs="Arial"/>
                <w:color w:val="000000"/>
                <w:sz w:val="16"/>
                <w:szCs w:val="16"/>
                <w:lang w:val="en-AU" w:eastAsia="en-AU"/>
              </w:rPr>
              <w:t>%</w:t>
            </w:r>
          </w:p>
        </w:tc>
        <w:tc>
          <w:tcPr>
            <w:tcW w:w="1021" w:type="dxa"/>
            <w:tcBorders>
              <w:top w:val="nil"/>
              <w:left w:val="nil"/>
              <w:bottom w:val="single" w:sz="4" w:space="0" w:color="969696"/>
              <w:right w:val="single" w:sz="4" w:space="0" w:color="969696"/>
            </w:tcBorders>
            <w:shd w:val="clear" w:color="auto" w:fill="auto"/>
            <w:noWrap/>
            <w:vAlign w:val="center"/>
          </w:tcPr>
          <w:p w14:paraId="508603CF"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w:t>
            </w:r>
            <w:r w:rsidR="009911A5" w:rsidRPr="009911A5">
              <w:rPr>
                <w:rFonts w:ascii="Arial" w:hAnsi="Arial" w:cs="Arial"/>
                <w:color w:val="000000"/>
                <w:sz w:val="16"/>
                <w:szCs w:val="16"/>
                <w:lang w:val="en-AU" w:eastAsia="en-AU"/>
              </w:rPr>
              <w:t>9</w:t>
            </w:r>
            <w:r w:rsidRPr="009911A5">
              <w:rPr>
                <w:rFonts w:ascii="Arial" w:hAnsi="Arial" w:cs="Arial"/>
                <w:color w:val="000000"/>
                <w:sz w:val="16"/>
                <w:szCs w:val="16"/>
                <w:lang w:val="en-AU" w:eastAsia="en-AU"/>
              </w:rPr>
              <w:t>%</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404CF1D8"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w:t>
            </w:r>
            <w:r w:rsidR="009911A5" w:rsidRPr="009911A5">
              <w:rPr>
                <w:rFonts w:ascii="Arial" w:hAnsi="Arial" w:cs="Arial"/>
                <w:color w:val="000000"/>
                <w:sz w:val="16"/>
                <w:szCs w:val="16"/>
                <w:lang w:val="en-AU" w:eastAsia="en-AU"/>
              </w:rPr>
              <w:t>2</w:t>
            </w:r>
            <w:r w:rsidRPr="009911A5">
              <w:rPr>
                <w:rFonts w:ascii="Arial" w:hAnsi="Arial" w:cs="Arial"/>
                <w:color w:val="000000"/>
                <w:sz w:val="16"/>
                <w:szCs w:val="16"/>
                <w:lang w:val="en-AU" w:eastAsia="en-AU"/>
              </w:rPr>
              <w:t>%</w:t>
            </w:r>
          </w:p>
        </w:tc>
        <w:tc>
          <w:tcPr>
            <w:tcW w:w="1021" w:type="dxa"/>
            <w:tcBorders>
              <w:top w:val="nil"/>
              <w:left w:val="nil"/>
              <w:bottom w:val="single" w:sz="4" w:space="0" w:color="969696"/>
              <w:right w:val="double" w:sz="6" w:space="0" w:color="auto"/>
            </w:tcBorders>
            <w:shd w:val="clear" w:color="auto" w:fill="auto"/>
            <w:noWrap/>
            <w:vAlign w:val="center"/>
          </w:tcPr>
          <w:p w14:paraId="62E6B68C" w14:textId="77777777" w:rsidR="002370A0" w:rsidRPr="009911A5" w:rsidRDefault="009911A5">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10</w:t>
            </w:r>
            <w:r w:rsidR="002370A0" w:rsidRPr="009911A5">
              <w:rPr>
                <w:rFonts w:ascii="Arial" w:hAnsi="Arial" w:cs="Arial"/>
                <w:color w:val="000000"/>
                <w:sz w:val="16"/>
                <w:szCs w:val="16"/>
                <w:lang w:val="en-AU" w:eastAsia="en-AU"/>
              </w:rPr>
              <w:t>%</w:t>
            </w:r>
          </w:p>
        </w:tc>
      </w:tr>
      <w:tr w:rsidR="002370A0" w:rsidRPr="009911A5" w14:paraId="3931AC09"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center"/>
          </w:tcPr>
          <w:p w14:paraId="41724E71" w14:textId="77777777" w:rsidR="002370A0" w:rsidRPr="009911A5" w:rsidRDefault="002370A0" w:rsidP="002370A0">
            <w:pPr>
              <w:spacing w:before="0" w:after="0"/>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 xml:space="preserve">By DHHS Areas - </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59381632" w14:textId="6B9C3490" w:rsidR="002370A0" w:rsidRPr="009911A5" w:rsidRDefault="002370A0">
            <w:pPr>
              <w:spacing w:before="0" w:after="0"/>
              <w:jc w:val="center"/>
              <w:rPr>
                <w:rFonts w:ascii="Arial" w:hAnsi="Arial" w:cs="Arial"/>
                <w:color w:val="000000"/>
                <w:sz w:val="16"/>
                <w:szCs w:val="16"/>
                <w:lang w:val="en-AU" w:eastAsia="en-AU"/>
              </w:rPr>
            </w:pPr>
          </w:p>
        </w:tc>
        <w:tc>
          <w:tcPr>
            <w:tcW w:w="1021" w:type="dxa"/>
            <w:tcBorders>
              <w:top w:val="nil"/>
              <w:left w:val="nil"/>
              <w:bottom w:val="single" w:sz="4" w:space="0" w:color="969696"/>
              <w:right w:val="single" w:sz="4" w:space="0" w:color="969696"/>
            </w:tcBorders>
            <w:shd w:val="clear" w:color="auto" w:fill="auto"/>
            <w:noWrap/>
            <w:vAlign w:val="center"/>
          </w:tcPr>
          <w:p w14:paraId="57B87180" w14:textId="62995A18" w:rsidR="002370A0" w:rsidRPr="009911A5" w:rsidRDefault="002370A0">
            <w:pPr>
              <w:spacing w:before="0" w:after="0"/>
              <w:jc w:val="center"/>
              <w:rPr>
                <w:rFonts w:ascii="Arial" w:hAnsi="Arial" w:cs="Arial"/>
                <w:color w:val="000000"/>
                <w:sz w:val="16"/>
                <w:szCs w:val="16"/>
                <w:lang w:val="en-AU" w:eastAsia="en-AU"/>
              </w:rPr>
            </w:pP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59E72692" w14:textId="30222635" w:rsidR="002370A0" w:rsidRPr="009911A5" w:rsidRDefault="002370A0">
            <w:pPr>
              <w:spacing w:before="0" w:after="0"/>
              <w:jc w:val="center"/>
              <w:rPr>
                <w:rFonts w:ascii="Arial" w:hAnsi="Arial" w:cs="Arial"/>
                <w:color w:val="000000"/>
                <w:sz w:val="16"/>
                <w:szCs w:val="16"/>
                <w:lang w:val="en-AU" w:eastAsia="en-AU"/>
              </w:rPr>
            </w:pPr>
          </w:p>
        </w:tc>
        <w:tc>
          <w:tcPr>
            <w:tcW w:w="1021" w:type="dxa"/>
            <w:tcBorders>
              <w:top w:val="nil"/>
              <w:left w:val="nil"/>
              <w:bottom w:val="single" w:sz="4" w:space="0" w:color="969696"/>
              <w:right w:val="double" w:sz="6" w:space="0" w:color="auto"/>
            </w:tcBorders>
            <w:shd w:val="clear" w:color="auto" w:fill="auto"/>
            <w:noWrap/>
            <w:vAlign w:val="center"/>
          </w:tcPr>
          <w:p w14:paraId="13BF9E89" w14:textId="292090C7" w:rsidR="002370A0" w:rsidRPr="009911A5" w:rsidRDefault="002370A0">
            <w:pPr>
              <w:spacing w:before="0" w:after="0"/>
              <w:jc w:val="center"/>
              <w:rPr>
                <w:rFonts w:ascii="Arial" w:hAnsi="Arial" w:cs="Arial"/>
                <w:color w:val="000000"/>
                <w:sz w:val="16"/>
                <w:szCs w:val="16"/>
                <w:lang w:val="en-AU" w:eastAsia="en-AU"/>
              </w:rPr>
            </w:pPr>
          </w:p>
        </w:tc>
      </w:tr>
      <w:tr w:rsidR="002370A0" w:rsidRPr="009911A5" w14:paraId="4A18ED83"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41A1ACF0"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Hume Moreland</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72743A97"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8%</w:t>
            </w:r>
          </w:p>
        </w:tc>
        <w:tc>
          <w:tcPr>
            <w:tcW w:w="1021" w:type="dxa"/>
            <w:tcBorders>
              <w:top w:val="nil"/>
              <w:left w:val="nil"/>
              <w:bottom w:val="single" w:sz="4" w:space="0" w:color="969696"/>
              <w:right w:val="single" w:sz="4" w:space="0" w:color="969696"/>
            </w:tcBorders>
            <w:shd w:val="clear" w:color="auto" w:fill="auto"/>
            <w:noWrap/>
            <w:vAlign w:val="center"/>
          </w:tcPr>
          <w:p w14:paraId="6FF8B707"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w:t>
            </w:r>
            <w:r w:rsidR="009911A5" w:rsidRPr="009911A5">
              <w:rPr>
                <w:rFonts w:ascii="Arial" w:hAnsi="Arial" w:cs="Arial"/>
                <w:color w:val="000000"/>
                <w:sz w:val="16"/>
                <w:szCs w:val="16"/>
                <w:lang w:val="en-AU" w:eastAsia="en-AU"/>
              </w:rPr>
              <w:t>8</w:t>
            </w:r>
            <w:r w:rsidRPr="009911A5">
              <w:rPr>
                <w:rFonts w:ascii="Arial" w:hAnsi="Arial" w:cs="Arial"/>
                <w:color w:val="000000"/>
                <w:sz w:val="16"/>
                <w:szCs w:val="16"/>
                <w:lang w:val="en-AU" w:eastAsia="en-AU"/>
              </w:rPr>
              <w:t>%</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33927145"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w:t>
            </w:r>
            <w:r w:rsidR="009911A5" w:rsidRPr="009911A5">
              <w:rPr>
                <w:rFonts w:ascii="Arial" w:hAnsi="Arial" w:cs="Arial"/>
                <w:color w:val="000000"/>
                <w:sz w:val="16"/>
                <w:szCs w:val="16"/>
                <w:lang w:val="en-AU" w:eastAsia="en-AU"/>
              </w:rPr>
              <w:t>8</w:t>
            </w:r>
            <w:r w:rsidRPr="009911A5">
              <w:rPr>
                <w:rFonts w:ascii="Arial" w:hAnsi="Arial" w:cs="Arial"/>
                <w:color w:val="000000"/>
                <w:sz w:val="16"/>
                <w:szCs w:val="16"/>
                <w:lang w:val="en-AU" w:eastAsia="en-AU"/>
              </w:rPr>
              <w:t>%</w:t>
            </w:r>
          </w:p>
        </w:tc>
        <w:tc>
          <w:tcPr>
            <w:tcW w:w="1021" w:type="dxa"/>
            <w:tcBorders>
              <w:top w:val="nil"/>
              <w:left w:val="nil"/>
              <w:bottom w:val="single" w:sz="4" w:space="0" w:color="969696"/>
              <w:right w:val="double" w:sz="6" w:space="0" w:color="auto"/>
            </w:tcBorders>
            <w:shd w:val="clear" w:color="auto" w:fill="auto"/>
            <w:noWrap/>
            <w:vAlign w:val="center"/>
          </w:tcPr>
          <w:p w14:paraId="141022EF"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w:t>
            </w:r>
          </w:p>
        </w:tc>
      </w:tr>
      <w:tr w:rsidR="002370A0" w:rsidRPr="009911A5" w14:paraId="1054AD20"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395C8764"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North Eastern Melbourne</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2DC2E823"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12%</w:t>
            </w:r>
          </w:p>
        </w:tc>
        <w:tc>
          <w:tcPr>
            <w:tcW w:w="1021" w:type="dxa"/>
            <w:tcBorders>
              <w:top w:val="nil"/>
              <w:left w:val="nil"/>
              <w:bottom w:val="single" w:sz="4" w:space="0" w:color="969696"/>
              <w:right w:val="single" w:sz="4" w:space="0" w:color="969696"/>
            </w:tcBorders>
            <w:shd w:val="clear" w:color="auto" w:fill="auto"/>
            <w:noWrap/>
            <w:vAlign w:val="center"/>
          </w:tcPr>
          <w:p w14:paraId="29505444"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12%</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09BD8E79"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68%</w:t>
            </w:r>
          </w:p>
        </w:tc>
        <w:tc>
          <w:tcPr>
            <w:tcW w:w="1021" w:type="dxa"/>
            <w:tcBorders>
              <w:top w:val="nil"/>
              <w:left w:val="nil"/>
              <w:bottom w:val="single" w:sz="4" w:space="0" w:color="969696"/>
              <w:right w:val="double" w:sz="6" w:space="0" w:color="auto"/>
            </w:tcBorders>
            <w:shd w:val="clear" w:color="auto" w:fill="auto"/>
            <w:noWrap/>
            <w:vAlign w:val="center"/>
          </w:tcPr>
          <w:p w14:paraId="480F5C4C"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8%</w:t>
            </w:r>
          </w:p>
        </w:tc>
      </w:tr>
      <w:tr w:rsidR="002370A0" w:rsidRPr="009911A5" w14:paraId="37C615E2"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1B824C1D"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 xml:space="preserve">Outer </w:t>
            </w:r>
            <w:smartTag w:uri="urn:schemas-microsoft-com:office:smarttags" w:element="place">
              <w:r w:rsidRPr="009911A5">
                <w:rPr>
                  <w:rFonts w:ascii="Arial" w:hAnsi="Arial" w:cs="Arial"/>
                  <w:color w:val="000000"/>
                  <w:sz w:val="16"/>
                  <w:szCs w:val="16"/>
                  <w:lang w:val="en-AU" w:eastAsia="en-AU"/>
                </w:rPr>
                <w:t>Eastern Melbourne</w:t>
              </w:r>
            </w:smartTag>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70AEC3CF"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w:t>
            </w:r>
          </w:p>
        </w:tc>
        <w:tc>
          <w:tcPr>
            <w:tcW w:w="1021" w:type="dxa"/>
            <w:tcBorders>
              <w:top w:val="nil"/>
              <w:left w:val="nil"/>
              <w:bottom w:val="single" w:sz="4" w:space="0" w:color="969696"/>
              <w:right w:val="single" w:sz="4" w:space="0" w:color="969696"/>
            </w:tcBorders>
            <w:shd w:val="clear" w:color="auto" w:fill="auto"/>
            <w:noWrap/>
            <w:vAlign w:val="center"/>
          </w:tcPr>
          <w:p w14:paraId="7B9ABCC7"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w:t>
            </w:r>
            <w:r w:rsidR="009911A5" w:rsidRPr="009911A5">
              <w:rPr>
                <w:rFonts w:ascii="Arial" w:hAnsi="Arial" w:cs="Arial"/>
                <w:color w:val="000000"/>
                <w:sz w:val="16"/>
                <w:szCs w:val="16"/>
                <w:lang w:val="en-AU" w:eastAsia="en-AU"/>
              </w:rPr>
              <w:t>9</w:t>
            </w:r>
            <w:r w:rsidRPr="009911A5">
              <w:rPr>
                <w:rFonts w:ascii="Arial" w:hAnsi="Arial" w:cs="Arial"/>
                <w:color w:val="000000"/>
                <w:sz w:val="16"/>
                <w:szCs w:val="16"/>
                <w:lang w:val="en-AU" w:eastAsia="en-AU"/>
              </w:rPr>
              <w:t>%</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7A4923BD"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72%</w:t>
            </w:r>
          </w:p>
        </w:tc>
        <w:tc>
          <w:tcPr>
            <w:tcW w:w="1021" w:type="dxa"/>
            <w:tcBorders>
              <w:top w:val="nil"/>
              <w:left w:val="nil"/>
              <w:bottom w:val="single" w:sz="4" w:space="0" w:color="969696"/>
              <w:right w:val="double" w:sz="6" w:space="0" w:color="auto"/>
            </w:tcBorders>
            <w:shd w:val="clear" w:color="auto" w:fill="auto"/>
            <w:noWrap/>
            <w:vAlign w:val="center"/>
          </w:tcPr>
          <w:p w14:paraId="62ECF6D4"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4%</w:t>
            </w:r>
          </w:p>
        </w:tc>
      </w:tr>
      <w:tr w:rsidR="002370A0" w:rsidRPr="009911A5" w14:paraId="72745D38"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45424409"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 xml:space="preserve">Inner </w:t>
            </w:r>
            <w:smartTag w:uri="urn:schemas-microsoft-com:office:smarttags" w:element="place">
              <w:r w:rsidRPr="009911A5">
                <w:rPr>
                  <w:rFonts w:ascii="Arial" w:hAnsi="Arial" w:cs="Arial"/>
                  <w:color w:val="000000"/>
                  <w:sz w:val="16"/>
                  <w:szCs w:val="16"/>
                  <w:lang w:val="en-AU" w:eastAsia="en-AU"/>
                </w:rPr>
                <w:t>Eastern Melbourne</w:t>
              </w:r>
            </w:smartTag>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1A38EB4F"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7%</w:t>
            </w:r>
          </w:p>
        </w:tc>
        <w:tc>
          <w:tcPr>
            <w:tcW w:w="1021" w:type="dxa"/>
            <w:tcBorders>
              <w:top w:val="nil"/>
              <w:left w:val="nil"/>
              <w:bottom w:val="single" w:sz="4" w:space="0" w:color="969696"/>
              <w:right w:val="single" w:sz="4" w:space="0" w:color="969696"/>
            </w:tcBorders>
            <w:shd w:val="clear" w:color="auto" w:fill="auto"/>
            <w:noWrap/>
            <w:vAlign w:val="center"/>
          </w:tcPr>
          <w:p w14:paraId="14A7E79B"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12%</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086CD7BD"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77%</w:t>
            </w:r>
          </w:p>
        </w:tc>
        <w:tc>
          <w:tcPr>
            <w:tcW w:w="1021" w:type="dxa"/>
            <w:tcBorders>
              <w:top w:val="nil"/>
              <w:left w:val="nil"/>
              <w:bottom w:val="single" w:sz="4" w:space="0" w:color="969696"/>
              <w:right w:val="double" w:sz="6" w:space="0" w:color="auto"/>
            </w:tcBorders>
            <w:shd w:val="clear" w:color="auto" w:fill="auto"/>
            <w:noWrap/>
            <w:vAlign w:val="center"/>
          </w:tcPr>
          <w:p w14:paraId="529D2A80"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4%</w:t>
            </w:r>
          </w:p>
        </w:tc>
      </w:tr>
      <w:tr w:rsidR="002370A0" w:rsidRPr="009911A5" w14:paraId="01C3209C"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75291CAF"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smartTag w:uri="urn:schemas-microsoft-com:office:smarttags" w:element="place">
              <w:r w:rsidRPr="009911A5">
                <w:rPr>
                  <w:rFonts w:ascii="Arial" w:hAnsi="Arial" w:cs="Arial"/>
                  <w:color w:val="000000"/>
                  <w:sz w:val="16"/>
                  <w:szCs w:val="16"/>
                  <w:lang w:val="en-AU" w:eastAsia="en-AU"/>
                </w:rPr>
                <w:t>Southern Melbourne</w:t>
              </w:r>
            </w:smartTag>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453E62C8"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20%</w:t>
            </w:r>
          </w:p>
        </w:tc>
        <w:tc>
          <w:tcPr>
            <w:tcW w:w="1021" w:type="dxa"/>
            <w:tcBorders>
              <w:top w:val="nil"/>
              <w:left w:val="nil"/>
              <w:bottom w:val="single" w:sz="4" w:space="0" w:color="969696"/>
              <w:right w:val="single" w:sz="4" w:space="0" w:color="969696"/>
            </w:tcBorders>
            <w:shd w:val="clear" w:color="auto" w:fill="auto"/>
            <w:noWrap/>
            <w:vAlign w:val="center"/>
          </w:tcPr>
          <w:p w14:paraId="05605A37"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24%</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5C71B55D"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5</w:t>
            </w:r>
            <w:r w:rsidR="009911A5" w:rsidRPr="009911A5">
              <w:rPr>
                <w:rFonts w:ascii="Arial" w:hAnsi="Arial" w:cs="Arial"/>
                <w:color w:val="000000"/>
                <w:sz w:val="16"/>
                <w:szCs w:val="16"/>
                <w:lang w:val="en-AU" w:eastAsia="en-AU"/>
              </w:rPr>
              <w:t>3</w:t>
            </w:r>
            <w:r w:rsidRPr="009911A5">
              <w:rPr>
                <w:rFonts w:ascii="Arial" w:hAnsi="Arial" w:cs="Arial"/>
                <w:color w:val="000000"/>
                <w:sz w:val="16"/>
                <w:szCs w:val="16"/>
                <w:lang w:val="en-AU" w:eastAsia="en-AU"/>
              </w:rPr>
              <w:t>%</w:t>
            </w:r>
          </w:p>
        </w:tc>
        <w:tc>
          <w:tcPr>
            <w:tcW w:w="1021" w:type="dxa"/>
            <w:tcBorders>
              <w:top w:val="nil"/>
              <w:left w:val="nil"/>
              <w:bottom w:val="single" w:sz="4" w:space="0" w:color="969696"/>
              <w:right w:val="double" w:sz="6" w:space="0" w:color="auto"/>
            </w:tcBorders>
            <w:shd w:val="clear" w:color="auto" w:fill="auto"/>
            <w:noWrap/>
            <w:vAlign w:val="center"/>
          </w:tcPr>
          <w:p w14:paraId="11479245"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3%</w:t>
            </w:r>
          </w:p>
        </w:tc>
      </w:tr>
      <w:tr w:rsidR="002370A0" w:rsidRPr="009911A5" w14:paraId="255900F0"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35C6B559"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Bayside</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2327E569"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9%</w:t>
            </w:r>
          </w:p>
        </w:tc>
        <w:tc>
          <w:tcPr>
            <w:tcW w:w="1021" w:type="dxa"/>
            <w:tcBorders>
              <w:top w:val="nil"/>
              <w:left w:val="nil"/>
              <w:bottom w:val="single" w:sz="4" w:space="0" w:color="969696"/>
              <w:right w:val="single" w:sz="4" w:space="0" w:color="969696"/>
            </w:tcBorders>
            <w:shd w:val="clear" w:color="auto" w:fill="auto"/>
            <w:noWrap/>
            <w:vAlign w:val="center"/>
          </w:tcPr>
          <w:p w14:paraId="4C98C1F7"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21%</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1B55EBE3"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67%</w:t>
            </w:r>
          </w:p>
        </w:tc>
        <w:tc>
          <w:tcPr>
            <w:tcW w:w="1021" w:type="dxa"/>
            <w:tcBorders>
              <w:top w:val="nil"/>
              <w:left w:val="nil"/>
              <w:bottom w:val="single" w:sz="4" w:space="0" w:color="969696"/>
              <w:right w:val="double" w:sz="6" w:space="0" w:color="auto"/>
            </w:tcBorders>
            <w:shd w:val="clear" w:color="auto" w:fill="auto"/>
            <w:noWrap/>
            <w:vAlign w:val="center"/>
          </w:tcPr>
          <w:p w14:paraId="4A471E0F"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4%</w:t>
            </w:r>
          </w:p>
        </w:tc>
      </w:tr>
      <w:tr w:rsidR="002370A0" w:rsidRPr="009911A5" w14:paraId="4E2A99DF"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6285C8B5"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smartTag w:uri="urn:schemas-microsoft-com:office:smarttags" w:element="place">
              <w:r w:rsidRPr="009911A5">
                <w:rPr>
                  <w:rFonts w:ascii="Arial" w:hAnsi="Arial" w:cs="Arial"/>
                  <w:color w:val="000000"/>
                  <w:sz w:val="16"/>
                  <w:szCs w:val="16"/>
                  <w:lang w:val="en-AU" w:eastAsia="en-AU"/>
                </w:rPr>
                <w:t>Western Melbourne</w:t>
              </w:r>
            </w:smartTag>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4171B992"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14%</w:t>
            </w:r>
          </w:p>
        </w:tc>
        <w:tc>
          <w:tcPr>
            <w:tcW w:w="1021" w:type="dxa"/>
            <w:tcBorders>
              <w:top w:val="nil"/>
              <w:left w:val="nil"/>
              <w:bottom w:val="single" w:sz="4" w:space="0" w:color="969696"/>
              <w:right w:val="single" w:sz="4" w:space="0" w:color="969696"/>
            </w:tcBorders>
            <w:shd w:val="clear" w:color="auto" w:fill="auto"/>
            <w:noWrap/>
            <w:vAlign w:val="center"/>
          </w:tcPr>
          <w:p w14:paraId="42E8EC82"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21%</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7CC6023A"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62%</w:t>
            </w:r>
          </w:p>
        </w:tc>
        <w:tc>
          <w:tcPr>
            <w:tcW w:w="1021" w:type="dxa"/>
            <w:tcBorders>
              <w:top w:val="nil"/>
              <w:left w:val="nil"/>
              <w:bottom w:val="single" w:sz="4" w:space="0" w:color="969696"/>
              <w:right w:val="double" w:sz="6" w:space="0" w:color="auto"/>
            </w:tcBorders>
            <w:shd w:val="clear" w:color="auto" w:fill="auto"/>
            <w:noWrap/>
            <w:vAlign w:val="center"/>
          </w:tcPr>
          <w:p w14:paraId="53506474"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3%</w:t>
            </w:r>
          </w:p>
        </w:tc>
      </w:tr>
      <w:tr w:rsidR="002370A0" w:rsidRPr="009911A5" w14:paraId="2B111C26"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535DD0C9"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Brimbank Melton</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511F8184"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18%</w:t>
            </w:r>
          </w:p>
        </w:tc>
        <w:tc>
          <w:tcPr>
            <w:tcW w:w="1021" w:type="dxa"/>
            <w:tcBorders>
              <w:top w:val="nil"/>
              <w:left w:val="nil"/>
              <w:bottom w:val="single" w:sz="4" w:space="0" w:color="969696"/>
              <w:right w:val="single" w:sz="4" w:space="0" w:color="969696"/>
            </w:tcBorders>
            <w:shd w:val="clear" w:color="auto" w:fill="auto"/>
            <w:noWrap/>
            <w:vAlign w:val="center"/>
          </w:tcPr>
          <w:p w14:paraId="40B87E45"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w:t>
            </w:r>
            <w:r w:rsidR="009911A5" w:rsidRPr="009911A5">
              <w:rPr>
                <w:rFonts w:ascii="Arial" w:hAnsi="Arial" w:cs="Arial"/>
                <w:color w:val="000000"/>
                <w:sz w:val="16"/>
                <w:szCs w:val="16"/>
                <w:lang w:val="en-AU" w:eastAsia="en-AU"/>
              </w:rPr>
              <w:t>8</w:t>
            </w:r>
            <w:r w:rsidRPr="009911A5">
              <w:rPr>
                <w:rFonts w:ascii="Arial" w:hAnsi="Arial" w:cs="Arial"/>
                <w:color w:val="000000"/>
                <w:sz w:val="16"/>
                <w:szCs w:val="16"/>
                <w:lang w:val="en-AU" w:eastAsia="en-AU"/>
              </w:rPr>
              <w:t>%</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00D0E454"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55%</w:t>
            </w:r>
          </w:p>
        </w:tc>
        <w:tc>
          <w:tcPr>
            <w:tcW w:w="1021" w:type="dxa"/>
            <w:tcBorders>
              <w:top w:val="nil"/>
              <w:left w:val="nil"/>
              <w:bottom w:val="single" w:sz="4" w:space="0" w:color="969696"/>
              <w:right w:val="double" w:sz="6" w:space="0" w:color="auto"/>
            </w:tcBorders>
            <w:shd w:val="clear" w:color="auto" w:fill="auto"/>
            <w:noWrap/>
            <w:vAlign w:val="center"/>
          </w:tcPr>
          <w:p w14:paraId="68D41406"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8%</w:t>
            </w:r>
          </w:p>
        </w:tc>
      </w:tr>
      <w:tr w:rsidR="002370A0" w:rsidRPr="009911A5" w14:paraId="5B912B3A"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4A71A74F"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Mallee</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052C62CF"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16%</w:t>
            </w:r>
          </w:p>
        </w:tc>
        <w:tc>
          <w:tcPr>
            <w:tcW w:w="1021" w:type="dxa"/>
            <w:tcBorders>
              <w:top w:val="nil"/>
              <w:left w:val="nil"/>
              <w:bottom w:val="single" w:sz="4" w:space="0" w:color="969696"/>
              <w:right w:val="single" w:sz="4" w:space="0" w:color="969696"/>
            </w:tcBorders>
            <w:shd w:val="clear" w:color="auto" w:fill="auto"/>
            <w:noWrap/>
            <w:vAlign w:val="center"/>
          </w:tcPr>
          <w:p w14:paraId="12D76243"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w:t>
            </w:r>
            <w:r w:rsidR="009911A5" w:rsidRPr="009911A5">
              <w:rPr>
                <w:rFonts w:ascii="Arial" w:hAnsi="Arial" w:cs="Arial"/>
                <w:color w:val="000000"/>
                <w:sz w:val="16"/>
                <w:szCs w:val="16"/>
                <w:lang w:val="en-AU" w:eastAsia="en-AU"/>
              </w:rPr>
              <w:t>7</w:t>
            </w:r>
            <w:r w:rsidRPr="009911A5">
              <w:rPr>
                <w:rFonts w:ascii="Arial" w:hAnsi="Arial" w:cs="Arial"/>
                <w:color w:val="000000"/>
                <w:sz w:val="16"/>
                <w:szCs w:val="16"/>
                <w:lang w:val="en-AU" w:eastAsia="en-AU"/>
              </w:rPr>
              <w:t>%</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6BE16D9E" w14:textId="77777777" w:rsidR="002370A0" w:rsidRPr="009911A5" w:rsidRDefault="009911A5">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58</w:t>
            </w:r>
            <w:r w:rsidR="002370A0" w:rsidRPr="009911A5">
              <w:rPr>
                <w:rFonts w:ascii="Arial" w:hAnsi="Arial" w:cs="Arial"/>
                <w:color w:val="000000"/>
                <w:sz w:val="16"/>
                <w:szCs w:val="16"/>
                <w:lang w:val="en-AU" w:eastAsia="en-AU"/>
              </w:rPr>
              <w:t>%</w:t>
            </w:r>
          </w:p>
        </w:tc>
        <w:tc>
          <w:tcPr>
            <w:tcW w:w="1021" w:type="dxa"/>
            <w:tcBorders>
              <w:top w:val="nil"/>
              <w:left w:val="nil"/>
              <w:bottom w:val="single" w:sz="4" w:space="0" w:color="969696"/>
              <w:right w:val="double" w:sz="6" w:space="0" w:color="auto"/>
            </w:tcBorders>
            <w:shd w:val="clear" w:color="auto" w:fill="auto"/>
            <w:noWrap/>
            <w:vAlign w:val="center"/>
          </w:tcPr>
          <w:p w14:paraId="423738F7"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9%</w:t>
            </w:r>
          </w:p>
        </w:tc>
      </w:tr>
      <w:tr w:rsidR="002370A0" w:rsidRPr="009911A5" w14:paraId="6F7E9E63"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6B34458E"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Loddon</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4F5D5198"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10%</w:t>
            </w:r>
          </w:p>
        </w:tc>
        <w:tc>
          <w:tcPr>
            <w:tcW w:w="1021" w:type="dxa"/>
            <w:tcBorders>
              <w:top w:val="nil"/>
              <w:left w:val="nil"/>
              <w:bottom w:val="single" w:sz="4" w:space="0" w:color="969696"/>
              <w:right w:val="single" w:sz="4" w:space="0" w:color="969696"/>
            </w:tcBorders>
            <w:shd w:val="clear" w:color="auto" w:fill="auto"/>
            <w:noWrap/>
            <w:vAlign w:val="center"/>
          </w:tcPr>
          <w:p w14:paraId="4A101B8B"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10%</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66FD8FD7"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79%</w:t>
            </w:r>
          </w:p>
        </w:tc>
        <w:tc>
          <w:tcPr>
            <w:tcW w:w="1021" w:type="dxa"/>
            <w:tcBorders>
              <w:top w:val="nil"/>
              <w:left w:val="nil"/>
              <w:bottom w:val="single" w:sz="4" w:space="0" w:color="969696"/>
              <w:right w:val="double" w:sz="6" w:space="0" w:color="auto"/>
            </w:tcBorders>
            <w:shd w:val="clear" w:color="auto" w:fill="auto"/>
            <w:noWrap/>
            <w:vAlign w:val="center"/>
          </w:tcPr>
          <w:p w14:paraId="28841DF9"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w:t>
            </w:r>
          </w:p>
        </w:tc>
      </w:tr>
      <w:tr w:rsidR="002370A0" w:rsidRPr="009911A5" w14:paraId="76EC8AB9"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678F405C"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9911A5">
                  <w:rPr>
                    <w:rFonts w:ascii="Arial" w:hAnsi="Arial" w:cs="Arial"/>
                    <w:color w:val="000000"/>
                    <w:sz w:val="16"/>
                    <w:szCs w:val="16"/>
                    <w:lang w:val="en-AU" w:eastAsia="en-AU"/>
                  </w:rPr>
                  <w:t>Murray</w:t>
                </w:r>
              </w:smartTag>
            </w:smartTag>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7DA5081F"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12%</w:t>
            </w:r>
          </w:p>
        </w:tc>
        <w:tc>
          <w:tcPr>
            <w:tcW w:w="1021" w:type="dxa"/>
            <w:tcBorders>
              <w:top w:val="nil"/>
              <w:left w:val="nil"/>
              <w:bottom w:val="single" w:sz="4" w:space="0" w:color="969696"/>
              <w:right w:val="single" w:sz="4" w:space="0" w:color="969696"/>
            </w:tcBorders>
            <w:shd w:val="clear" w:color="auto" w:fill="auto"/>
            <w:noWrap/>
            <w:vAlign w:val="center"/>
          </w:tcPr>
          <w:p w14:paraId="3F359362"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w:t>
            </w:r>
            <w:r w:rsidR="009911A5" w:rsidRPr="009911A5">
              <w:rPr>
                <w:rFonts w:ascii="Arial" w:hAnsi="Arial" w:cs="Arial"/>
                <w:color w:val="000000"/>
                <w:sz w:val="16"/>
                <w:szCs w:val="16"/>
                <w:lang w:val="en-AU" w:eastAsia="en-AU"/>
              </w:rPr>
              <w:t>7</w:t>
            </w:r>
            <w:r w:rsidRPr="009911A5">
              <w:rPr>
                <w:rFonts w:ascii="Arial" w:hAnsi="Arial" w:cs="Arial"/>
                <w:color w:val="000000"/>
                <w:sz w:val="16"/>
                <w:szCs w:val="16"/>
                <w:lang w:val="en-AU" w:eastAsia="en-AU"/>
              </w:rPr>
              <w:t>%</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0563F5D7"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71%</w:t>
            </w:r>
          </w:p>
        </w:tc>
        <w:tc>
          <w:tcPr>
            <w:tcW w:w="1021" w:type="dxa"/>
            <w:tcBorders>
              <w:top w:val="nil"/>
              <w:left w:val="nil"/>
              <w:bottom w:val="single" w:sz="4" w:space="0" w:color="969696"/>
              <w:right w:val="double" w:sz="6" w:space="0" w:color="auto"/>
            </w:tcBorders>
            <w:shd w:val="clear" w:color="auto" w:fill="auto"/>
            <w:noWrap/>
            <w:vAlign w:val="center"/>
          </w:tcPr>
          <w:p w14:paraId="66DAE769"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w:t>
            </w:r>
          </w:p>
        </w:tc>
      </w:tr>
      <w:tr w:rsidR="002370A0" w:rsidRPr="009911A5" w14:paraId="36C0AF2E"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6B92C467"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Goulburn</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7885A484"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13%</w:t>
            </w:r>
          </w:p>
        </w:tc>
        <w:tc>
          <w:tcPr>
            <w:tcW w:w="1021" w:type="dxa"/>
            <w:tcBorders>
              <w:top w:val="nil"/>
              <w:left w:val="nil"/>
              <w:bottom w:val="single" w:sz="4" w:space="0" w:color="969696"/>
              <w:right w:val="single" w:sz="4" w:space="0" w:color="969696"/>
            </w:tcBorders>
            <w:shd w:val="clear" w:color="auto" w:fill="auto"/>
            <w:noWrap/>
            <w:vAlign w:val="center"/>
          </w:tcPr>
          <w:p w14:paraId="3A055AF5"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3</w:t>
            </w:r>
            <w:r w:rsidR="009911A5" w:rsidRPr="009911A5">
              <w:rPr>
                <w:rFonts w:ascii="Arial" w:hAnsi="Arial" w:cs="Arial"/>
                <w:color w:val="000000"/>
                <w:sz w:val="16"/>
                <w:szCs w:val="16"/>
                <w:lang w:val="en-AU" w:eastAsia="en-AU"/>
              </w:rPr>
              <w:t>8</w:t>
            </w:r>
            <w:r w:rsidRPr="009911A5">
              <w:rPr>
                <w:rFonts w:ascii="Arial" w:hAnsi="Arial" w:cs="Arial"/>
                <w:color w:val="000000"/>
                <w:sz w:val="16"/>
                <w:szCs w:val="16"/>
                <w:lang w:val="en-AU" w:eastAsia="en-AU"/>
              </w:rPr>
              <w:t>%</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7A7F3E58"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4</w:t>
            </w:r>
            <w:r w:rsidR="009911A5" w:rsidRPr="009911A5">
              <w:rPr>
                <w:rFonts w:ascii="Arial" w:hAnsi="Arial" w:cs="Arial"/>
                <w:color w:val="000000"/>
                <w:sz w:val="16"/>
                <w:szCs w:val="16"/>
                <w:lang w:val="en-AU" w:eastAsia="en-AU"/>
              </w:rPr>
              <w:t>9</w:t>
            </w:r>
            <w:r w:rsidRPr="009911A5">
              <w:rPr>
                <w:rFonts w:ascii="Arial" w:hAnsi="Arial" w:cs="Arial"/>
                <w:color w:val="000000"/>
                <w:sz w:val="16"/>
                <w:szCs w:val="16"/>
                <w:lang w:val="en-AU" w:eastAsia="en-AU"/>
              </w:rPr>
              <w:t>%</w:t>
            </w:r>
          </w:p>
        </w:tc>
        <w:tc>
          <w:tcPr>
            <w:tcW w:w="1021" w:type="dxa"/>
            <w:tcBorders>
              <w:top w:val="nil"/>
              <w:left w:val="nil"/>
              <w:bottom w:val="single" w:sz="4" w:space="0" w:color="969696"/>
              <w:right w:val="double" w:sz="6" w:space="0" w:color="auto"/>
            </w:tcBorders>
            <w:shd w:val="clear" w:color="auto" w:fill="auto"/>
            <w:noWrap/>
            <w:vAlign w:val="center"/>
          </w:tcPr>
          <w:p w14:paraId="7E87B1E6"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w:t>
            </w:r>
          </w:p>
        </w:tc>
      </w:tr>
      <w:tr w:rsidR="002370A0" w:rsidRPr="009911A5" w14:paraId="465BF59D"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190D3D79"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Outer Gippsland</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2BFC028E"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13%</w:t>
            </w:r>
          </w:p>
        </w:tc>
        <w:tc>
          <w:tcPr>
            <w:tcW w:w="1021" w:type="dxa"/>
            <w:tcBorders>
              <w:top w:val="nil"/>
              <w:left w:val="nil"/>
              <w:bottom w:val="single" w:sz="4" w:space="0" w:color="969696"/>
              <w:right w:val="single" w:sz="4" w:space="0" w:color="969696"/>
            </w:tcBorders>
            <w:shd w:val="clear" w:color="auto" w:fill="auto"/>
            <w:noWrap/>
            <w:vAlign w:val="center"/>
          </w:tcPr>
          <w:p w14:paraId="7DFAD2E1"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17%</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1A790504"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67%</w:t>
            </w:r>
          </w:p>
        </w:tc>
        <w:tc>
          <w:tcPr>
            <w:tcW w:w="1021" w:type="dxa"/>
            <w:tcBorders>
              <w:top w:val="nil"/>
              <w:left w:val="nil"/>
              <w:bottom w:val="single" w:sz="4" w:space="0" w:color="969696"/>
              <w:right w:val="double" w:sz="6" w:space="0" w:color="auto"/>
            </w:tcBorders>
            <w:shd w:val="clear" w:color="auto" w:fill="auto"/>
            <w:noWrap/>
            <w:vAlign w:val="center"/>
          </w:tcPr>
          <w:p w14:paraId="2FC226EC"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3%</w:t>
            </w:r>
          </w:p>
        </w:tc>
      </w:tr>
      <w:tr w:rsidR="002370A0" w:rsidRPr="009911A5" w14:paraId="707222B3"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50EA659F"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Inner Gippsland</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4B495995"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w:t>
            </w:r>
            <w:r w:rsidR="009911A5" w:rsidRPr="009911A5">
              <w:rPr>
                <w:rFonts w:ascii="Arial" w:hAnsi="Arial" w:cs="Arial"/>
                <w:color w:val="000000"/>
                <w:sz w:val="16"/>
                <w:szCs w:val="16"/>
                <w:lang w:val="en-AU" w:eastAsia="en-AU"/>
              </w:rPr>
              <w:t>4</w:t>
            </w:r>
            <w:r w:rsidRPr="009911A5">
              <w:rPr>
                <w:rFonts w:ascii="Arial" w:hAnsi="Arial" w:cs="Arial"/>
                <w:color w:val="000000"/>
                <w:sz w:val="16"/>
                <w:szCs w:val="16"/>
                <w:lang w:val="en-AU" w:eastAsia="en-AU"/>
              </w:rPr>
              <w:t>%</w:t>
            </w:r>
          </w:p>
        </w:tc>
        <w:tc>
          <w:tcPr>
            <w:tcW w:w="1021" w:type="dxa"/>
            <w:tcBorders>
              <w:top w:val="nil"/>
              <w:left w:val="nil"/>
              <w:bottom w:val="single" w:sz="4" w:space="0" w:color="969696"/>
              <w:right w:val="single" w:sz="4" w:space="0" w:color="969696"/>
            </w:tcBorders>
            <w:shd w:val="clear" w:color="auto" w:fill="auto"/>
            <w:noWrap/>
            <w:vAlign w:val="center"/>
          </w:tcPr>
          <w:p w14:paraId="57FE7448"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20%</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57BFCF1D"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w:t>
            </w:r>
            <w:r w:rsidR="009911A5" w:rsidRPr="009911A5">
              <w:rPr>
                <w:rFonts w:ascii="Arial" w:hAnsi="Arial" w:cs="Arial"/>
                <w:color w:val="000000"/>
                <w:sz w:val="16"/>
                <w:szCs w:val="16"/>
                <w:lang w:val="en-AU" w:eastAsia="en-AU"/>
              </w:rPr>
              <w:t>3</w:t>
            </w:r>
            <w:r w:rsidRPr="009911A5">
              <w:rPr>
                <w:rFonts w:ascii="Arial" w:hAnsi="Arial" w:cs="Arial"/>
                <w:color w:val="000000"/>
                <w:sz w:val="16"/>
                <w:szCs w:val="16"/>
                <w:lang w:val="en-AU" w:eastAsia="en-AU"/>
              </w:rPr>
              <w:t>%</w:t>
            </w:r>
          </w:p>
        </w:tc>
        <w:tc>
          <w:tcPr>
            <w:tcW w:w="1021" w:type="dxa"/>
            <w:tcBorders>
              <w:top w:val="nil"/>
              <w:left w:val="nil"/>
              <w:bottom w:val="single" w:sz="4" w:space="0" w:color="969696"/>
              <w:right w:val="double" w:sz="6" w:space="0" w:color="auto"/>
            </w:tcBorders>
            <w:shd w:val="clear" w:color="auto" w:fill="auto"/>
            <w:noWrap/>
            <w:vAlign w:val="center"/>
          </w:tcPr>
          <w:p w14:paraId="74796705"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3%</w:t>
            </w:r>
          </w:p>
        </w:tc>
      </w:tr>
      <w:tr w:rsidR="002370A0" w:rsidRPr="009911A5" w14:paraId="682AB1D4"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65AA1ED7"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Western District</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4A6E1B03"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17%</w:t>
            </w:r>
          </w:p>
        </w:tc>
        <w:tc>
          <w:tcPr>
            <w:tcW w:w="1021" w:type="dxa"/>
            <w:tcBorders>
              <w:top w:val="nil"/>
              <w:left w:val="nil"/>
              <w:bottom w:val="single" w:sz="4" w:space="0" w:color="969696"/>
              <w:right w:val="single" w:sz="4" w:space="0" w:color="969696"/>
            </w:tcBorders>
            <w:shd w:val="clear" w:color="auto" w:fill="auto"/>
            <w:noWrap/>
            <w:vAlign w:val="center"/>
          </w:tcPr>
          <w:p w14:paraId="7D0F140F"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w:t>
            </w:r>
            <w:r w:rsidR="009911A5" w:rsidRPr="009911A5">
              <w:rPr>
                <w:rFonts w:ascii="Arial" w:hAnsi="Arial" w:cs="Arial"/>
                <w:color w:val="000000"/>
                <w:sz w:val="16"/>
                <w:szCs w:val="16"/>
                <w:lang w:val="en-AU" w:eastAsia="en-AU"/>
              </w:rPr>
              <w:t>6</w:t>
            </w:r>
            <w:r w:rsidRPr="009911A5">
              <w:rPr>
                <w:rFonts w:ascii="Arial" w:hAnsi="Arial" w:cs="Arial"/>
                <w:color w:val="000000"/>
                <w:sz w:val="16"/>
                <w:szCs w:val="16"/>
                <w:lang w:val="en-AU" w:eastAsia="en-AU"/>
              </w:rPr>
              <w:t>%</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468178B6" w14:textId="77777777" w:rsidR="002370A0" w:rsidRPr="009911A5" w:rsidRDefault="009911A5">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58</w:t>
            </w:r>
            <w:r w:rsidR="002370A0" w:rsidRPr="009911A5">
              <w:rPr>
                <w:rFonts w:ascii="Arial" w:hAnsi="Arial" w:cs="Arial"/>
                <w:color w:val="000000"/>
                <w:sz w:val="16"/>
                <w:szCs w:val="16"/>
                <w:lang w:val="en-AU" w:eastAsia="en-AU"/>
              </w:rPr>
              <w:t>%</w:t>
            </w:r>
          </w:p>
        </w:tc>
        <w:tc>
          <w:tcPr>
            <w:tcW w:w="1021" w:type="dxa"/>
            <w:tcBorders>
              <w:top w:val="nil"/>
              <w:left w:val="nil"/>
              <w:bottom w:val="single" w:sz="4" w:space="0" w:color="969696"/>
              <w:right w:val="double" w:sz="6" w:space="0" w:color="auto"/>
            </w:tcBorders>
            <w:shd w:val="clear" w:color="auto" w:fill="auto"/>
            <w:noWrap/>
            <w:vAlign w:val="center"/>
          </w:tcPr>
          <w:p w14:paraId="7000C24B" w14:textId="77777777" w:rsidR="002370A0" w:rsidRPr="009911A5" w:rsidRDefault="009911A5">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8</w:t>
            </w:r>
            <w:r w:rsidR="002370A0" w:rsidRPr="009911A5">
              <w:rPr>
                <w:rFonts w:ascii="Arial" w:hAnsi="Arial" w:cs="Arial"/>
                <w:color w:val="000000"/>
                <w:sz w:val="16"/>
                <w:szCs w:val="16"/>
                <w:lang w:val="en-AU" w:eastAsia="en-AU"/>
              </w:rPr>
              <w:t>%</w:t>
            </w:r>
          </w:p>
        </w:tc>
      </w:tr>
      <w:tr w:rsidR="002370A0" w:rsidRPr="009911A5" w14:paraId="5EFD80C8"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48F4F226"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Barwon</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77FA775D"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15%</w:t>
            </w:r>
          </w:p>
        </w:tc>
        <w:tc>
          <w:tcPr>
            <w:tcW w:w="1021" w:type="dxa"/>
            <w:tcBorders>
              <w:top w:val="nil"/>
              <w:left w:val="nil"/>
              <w:bottom w:val="single" w:sz="4" w:space="0" w:color="969696"/>
              <w:right w:val="single" w:sz="4" w:space="0" w:color="969696"/>
            </w:tcBorders>
            <w:shd w:val="clear" w:color="auto" w:fill="auto"/>
            <w:noWrap/>
            <w:vAlign w:val="center"/>
          </w:tcPr>
          <w:p w14:paraId="5EC229A3"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16%</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59C43FFC" w14:textId="77777777" w:rsidR="002370A0" w:rsidRPr="009911A5" w:rsidRDefault="009911A5">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64</w:t>
            </w:r>
            <w:r w:rsidR="002370A0" w:rsidRPr="009911A5">
              <w:rPr>
                <w:rFonts w:ascii="Arial" w:hAnsi="Arial" w:cs="Arial"/>
                <w:color w:val="000000"/>
                <w:sz w:val="16"/>
                <w:szCs w:val="16"/>
                <w:lang w:val="en-AU" w:eastAsia="en-AU"/>
              </w:rPr>
              <w:t>%</w:t>
            </w:r>
          </w:p>
        </w:tc>
        <w:tc>
          <w:tcPr>
            <w:tcW w:w="1021" w:type="dxa"/>
            <w:tcBorders>
              <w:top w:val="nil"/>
              <w:left w:val="nil"/>
              <w:bottom w:val="single" w:sz="4" w:space="0" w:color="969696"/>
              <w:right w:val="double" w:sz="6" w:space="0" w:color="auto"/>
            </w:tcBorders>
            <w:shd w:val="clear" w:color="auto" w:fill="auto"/>
            <w:noWrap/>
            <w:vAlign w:val="center"/>
          </w:tcPr>
          <w:p w14:paraId="58D7845B"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4%</w:t>
            </w:r>
          </w:p>
        </w:tc>
      </w:tr>
      <w:tr w:rsidR="002370A0" w:rsidRPr="009911A5" w14:paraId="3AFB0F74" w14:textId="77777777" w:rsidTr="009748AD">
        <w:trPr>
          <w:trHeight w:val="225"/>
          <w:jc w:val="center"/>
        </w:trPr>
        <w:tc>
          <w:tcPr>
            <w:tcW w:w="2717" w:type="dxa"/>
            <w:tcBorders>
              <w:top w:val="nil"/>
              <w:left w:val="double" w:sz="6" w:space="0" w:color="auto"/>
              <w:bottom w:val="single" w:sz="4" w:space="0" w:color="969696"/>
              <w:right w:val="nil"/>
            </w:tcBorders>
            <w:shd w:val="clear" w:color="auto" w:fill="auto"/>
            <w:noWrap/>
            <w:vAlign w:val="bottom"/>
          </w:tcPr>
          <w:p w14:paraId="3E425DCF" w14:textId="77777777" w:rsidR="002370A0" w:rsidRPr="009911A5" w:rsidRDefault="002370A0" w:rsidP="002370A0">
            <w:pPr>
              <w:spacing w:before="0" w:after="0"/>
              <w:ind w:firstLineChars="100" w:firstLine="160"/>
              <w:rPr>
                <w:rFonts w:ascii="Arial" w:hAnsi="Arial" w:cs="Arial"/>
                <w:color w:val="000000"/>
                <w:sz w:val="16"/>
                <w:szCs w:val="16"/>
                <w:lang w:val="en-AU" w:eastAsia="en-AU"/>
              </w:rPr>
            </w:pPr>
            <w:r w:rsidRPr="009911A5">
              <w:rPr>
                <w:rFonts w:ascii="Arial" w:hAnsi="Arial" w:cs="Arial"/>
                <w:color w:val="000000"/>
                <w:sz w:val="16"/>
                <w:szCs w:val="16"/>
                <w:lang w:val="en-AU" w:eastAsia="en-AU"/>
              </w:rPr>
              <w:t>Central Highlands</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1315B049"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9%</w:t>
            </w:r>
          </w:p>
        </w:tc>
        <w:tc>
          <w:tcPr>
            <w:tcW w:w="1021" w:type="dxa"/>
            <w:tcBorders>
              <w:top w:val="nil"/>
              <w:left w:val="nil"/>
              <w:bottom w:val="single" w:sz="4" w:space="0" w:color="969696"/>
              <w:right w:val="single" w:sz="4" w:space="0" w:color="969696"/>
            </w:tcBorders>
            <w:shd w:val="clear" w:color="auto" w:fill="auto"/>
            <w:noWrap/>
            <w:vAlign w:val="center"/>
          </w:tcPr>
          <w:p w14:paraId="42188B14"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18%</w:t>
            </w:r>
          </w:p>
        </w:tc>
        <w:tc>
          <w:tcPr>
            <w:tcW w:w="1021" w:type="dxa"/>
            <w:tcBorders>
              <w:top w:val="nil"/>
              <w:left w:val="single" w:sz="4" w:space="0" w:color="auto"/>
              <w:bottom w:val="single" w:sz="4" w:space="0" w:color="969696"/>
              <w:right w:val="single" w:sz="4" w:space="0" w:color="969696"/>
            </w:tcBorders>
            <w:shd w:val="clear" w:color="auto" w:fill="auto"/>
            <w:noWrap/>
            <w:vAlign w:val="center"/>
          </w:tcPr>
          <w:p w14:paraId="429C5EB3"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70%</w:t>
            </w:r>
          </w:p>
        </w:tc>
        <w:tc>
          <w:tcPr>
            <w:tcW w:w="1021" w:type="dxa"/>
            <w:tcBorders>
              <w:top w:val="nil"/>
              <w:left w:val="nil"/>
              <w:bottom w:val="single" w:sz="4" w:space="0" w:color="969696"/>
              <w:right w:val="double" w:sz="6" w:space="0" w:color="auto"/>
            </w:tcBorders>
            <w:shd w:val="clear" w:color="auto" w:fill="auto"/>
            <w:noWrap/>
            <w:vAlign w:val="center"/>
          </w:tcPr>
          <w:p w14:paraId="03E9CA1B"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3%</w:t>
            </w:r>
          </w:p>
        </w:tc>
      </w:tr>
      <w:tr w:rsidR="002370A0" w:rsidRPr="009911A5" w14:paraId="0309D37D" w14:textId="77777777" w:rsidTr="009748AD">
        <w:trPr>
          <w:trHeight w:val="240"/>
          <w:jc w:val="center"/>
        </w:trPr>
        <w:tc>
          <w:tcPr>
            <w:tcW w:w="2717" w:type="dxa"/>
            <w:tcBorders>
              <w:top w:val="nil"/>
              <w:left w:val="double" w:sz="6" w:space="0" w:color="auto"/>
              <w:bottom w:val="double" w:sz="6" w:space="0" w:color="auto"/>
              <w:right w:val="nil"/>
            </w:tcBorders>
            <w:shd w:val="clear" w:color="auto" w:fill="auto"/>
            <w:noWrap/>
            <w:vAlign w:val="center"/>
          </w:tcPr>
          <w:p w14:paraId="4C8C9DF8" w14:textId="77777777" w:rsidR="002370A0" w:rsidRPr="009911A5" w:rsidRDefault="002370A0" w:rsidP="002370A0">
            <w:pPr>
              <w:spacing w:before="0" w:after="0"/>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Total HHs</w:t>
            </w:r>
          </w:p>
        </w:tc>
        <w:tc>
          <w:tcPr>
            <w:tcW w:w="1021" w:type="dxa"/>
            <w:tcBorders>
              <w:top w:val="nil"/>
              <w:left w:val="single" w:sz="4" w:space="0" w:color="auto"/>
              <w:bottom w:val="double" w:sz="6" w:space="0" w:color="auto"/>
              <w:right w:val="single" w:sz="4" w:space="0" w:color="969696"/>
            </w:tcBorders>
            <w:shd w:val="clear" w:color="auto" w:fill="auto"/>
            <w:noWrap/>
            <w:vAlign w:val="center"/>
          </w:tcPr>
          <w:p w14:paraId="49952236" w14:textId="77777777" w:rsidR="002370A0" w:rsidRPr="009911A5" w:rsidRDefault="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12%</w:t>
            </w:r>
          </w:p>
        </w:tc>
        <w:tc>
          <w:tcPr>
            <w:tcW w:w="1021" w:type="dxa"/>
            <w:tcBorders>
              <w:top w:val="nil"/>
              <w:left w:val="nil"/>
              <w:bottom w:val="double" w:sz="6" w:space="0" w:color="auto"/>
              <w:right w:val="single" w:sz="4" w:space="0" w:color="969696"/>
            </w:tcBorders>
            <w:shd w:val="clear" w:color="auto" w:fill="auto"/>
            <w:noWrap/>
            <w:vAlign w:val="center"/>
          </w:tcPr>
          <w:p w14:paraId="794E59C4" w14:textId="77777777" w:rsidR="002370A0" w:rsidRPr="009911A5" w:rsidRDefault="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18%</w:t>
            </w:r>
          </w:p>
        </w:tc>
        <w:tc>
          <w:tcPr>
            <w:tcW w:w="1021" w:type="dxa"/>
            <w:tcBorders>
              <w:top w:val="nil"/>
              <w:left w:val="single" w:sz="4" w:space="0" w:color="auto"/>
              <w:bottom w:val="double" w:sz="6" w:space="0" w:color="auto"/>
              <w:right w:val="single" w:sz="4" w:space="0" w:color="969696"/>
            </w:tcBorders>
            <w:shd w:val="clear" w:color="auto" w:fill="auto"/>
            <w:noWrap/>
            <w:vAlign w:val="center"/>
          </w:tcPr>
          <w:p w14:paraId="4DD6A079" w14:textId="77777777" w:rsidR="002370A0" w:rsidRPr="009911A5" w:rsidRDefault="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66%</w:t>
            </w:r>
          </w:p>
        </w:tc>
        <w:tc>
          <w:tcPr>
            <w:tcW w:w="1021" w:type="dxa"/>
            <w:tcBorders>
              <w:top w:val="nil"/>
              <w:left w:val="nil"/>
              <w:bottom w:val="double" w:sz="6" w:space="0" w:color="auto"/>
              <w:right w:val="double" w:sz="6" w:space="0" w:color="auto"/>
            </w:tcBorders>
            <w:shd w:val="clear" w:color="auto" w:fill="auto"/>
            <w:noWrap/>
            <w:vAlign w:val="center"/>
          </w:tcPr>
          <w:p w14:paraId="3DD72DEE" w14:textId="77777777" w:rsidR="002370A0" w:rsidRPr="009911A5" w:rsidRDefault="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4%</w:t>
            </w:r>
          </w:p>
        </w:tc>
      </w:tr>
    </w:tbl>
    <w:p w14:paraId="2B031596" w14:textId="77777777" w:rsidR="00494BA4" w:rsidRPr="009911A5" w:rsidRDefault="00494BA4" w:rsidP="00BD2674">
      <w:pPr>
        <w:pStyle w:val="Para"/>
        <w:ind w:left="4320"/>
        <w:rPr>
          <w:sz w:val="20"/>
          <w:lang w:val="en-AU"/>
        </w:rPr>
      </w:pPr>
      <w:r w:rsidRPr="009911A5">
        <w:rPr>
          <w:sz w:val="20"/>
          <w:lang w:val="en-AU"/>
        </w:rPr>
        <w:t>Base: Total respondents, 2014 (n=1,861) 2007 (n=2,061)</w:t>
      </w:r>
    </w:p>
    <w:p w14:paraId="305FF7A8" w14:textId="77777777" w:rsidR="00BC6949" w:rsidRPr="00DA3B75" w:rsidRDefault="00BC6949" w:rsidP="00FC6BFF">
      <w:pPr>
        <w:pStyle w:val="Para"/>
        <w:outlineLvl w:val="0"/>
        <w:rPr>
          <w:b/>
          <w:highlight w:val="yellow"/>
          <w:lang w:val="en-AU"/>
        </w:rPr>
      </w:pPr>
    </w:p>
    <w:p w14:paraId="6CACC28B" w14:textId="77777777" w:rsidR="00494BA4" w:rsidRPr="009911A5" w:rsidRDefault="00494BA4" w:rsidP="003920D8">
      <w:pPr>
        <w:pStyle w:val="Para"/>
        <w:spacing w:after="120"/>
        <w:jc w:val="center"/>
        <w:outlineLvl w:val="0"/>
        <w:rPr>
          <w:b/>
          <w:u w:val="single"/>
          <w:lang w:val="en-AU"/>
        </w:rPr>
      </w:pPr>
      <w:r w:rsidRPr="009911A5">
        <w:rPr>
          <w:b/>
          <w:lang w:val="en-AU"/>
        </w:rPr>
        <w:t xml:space="preserve">Table 3.3.9b: </w:t>
      </w:r>
      <w:r w:rsidRPr="009911A5">
        <w:rPr>
          <w:b/>
          <w:u w:val="single"/>
          <w:lang w:val="en-AU"/>
        </w:rPr>
        <w:t>Date when Home was Built by Concession Status and Ownership Status</w:t>
      </w:r>
    </w:p>
    <w:p w14:paraId="3AB03885" w14:textId="77777777" w:rsidR="002370A0" w:rsidRPr="009911A5" w:rsidRDefault="002370A0" w:rsidP="00FC6BFF">
      <w:pPr>
        <w:pStyle w:val="Para"/>
        <w:outlineLvl w:val="0"/>
        <w:rPr>
          <w:b/>
          <w:lang w:val="en-AU"/>
        </w:rPr>
      </w:pPr>
    </w:p>
    <w:tbl>
      <w:tblPr>
        <w:tblW w:w="6827" w:type="dxa"/>
        <w:jc w:val="center"/>
        <w:tblLook w:val="0000" w:firstRow="0" w:lastRow="0" w:firstColumn="0" w:lastColumn="0" w:noHBand="0" w:noVBand="0"/>
      </w:tblPr>
      <w:tblGrid>
        <w:gridCol w:w="2760"/>
        <w:gridCol w:w="949"/>
        <w:gridCol w:w="1134"/>
        <w:gridCol w:w="992"/>
        <w:gridCol w:w="992"/>
      </w:tblGrid>
      <w:tr w:rsidR="002370A0" w:rsidRPr="009911A5" w14:paraId="26633CEA" w14:textId="77777777" w:rsidTr="003920D8">
        <w:trPr>
          <w:trHeight w:val="240"/>
          <w:jc w:val="center"/>
        </w:trPr>
        <w:tc>
          <w:tcPr>
            <w:tcW w:w="2760" w:type="dxa"/>
            <w:tcBorders>
              <w:top w:val="double" w:sz="6" w:space="0" w:color="auto"/>
              <w:left w:val="double" w:sz="6" w:space="0" w:color="auto"/>
              <w:bottom w:val="single" w:sz="4" w:space="0" w:color="969696"/>
              <w:right w:val="nil"/>
            </w:tcBorders>
            <w:shd w:val="clear" w:color="auto" w:fill="auto"/>
            <w:noWrap/>
            <w:vAlign w:val="center"/>
          </w:tcPr>
          <w:p w14:paraId="1575210F" w14:textId="77777777" w:rsidR="002370A0" w:rsidRPr="009911A5" w:rsidRDefault="002370A0" w:rsidP="002370A0">
            <w:pPr>
              <w:spacing w:before="0" w:after="0"/>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Date Home Built</w:t>
            </w:r>
          </w:p>
        </w:tc>
        <w:tc>
          <w:tcPr>
            <w:tcW w:w="949" w:type="dxa"/>
            <w:tcBorders>
              <w:top w:val="double" w:sz="6" w:space="0" w:color="auto"/>
              <w:left w:val="single" w:sz="4" w:space="0" w:color="auto"/>
              <w:bottom w:val="single" w:sz="4" w:space="0" w:color="969696"/>
              <w:right w:val="single" w:sz="4" w:space="0" w:color="969696"/>
            </w:tcBorders>
            <w:shd w:val="clear" w:color="auto" w:fill="auto"/>
            <w:noWrap/>
            <w:vAlign w:val="center"/>
          </w:tcPr>
          <w:p w14:paraId="4981EEA7" w14:textId="77777777" w:rsidR="002370A0" w:rsidRPr="009911A5" w:rsidRDefault="002370A0" w:rsidP="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After 2004</w:t>
            </w:r>
          </w:p>
        </w:tc>
        <w:tc>
          <w:tcPr>
            <w:tcW w:w="1134" w:type="dxa"/>
            <w:tcBorders>
              <w:top w:val="double" w:sz="6" w:space="0" w:color="auto"/>
              <w:left w:val="nil"/>
              <w:bottom w:val="single" w:sz="4" w:space="0" w:color="969696"/>
              <w:right w:val="single" w:sz="4" w:space="0" w:color="969696"/>
            </w:tcBorders>
            <w:shd w:val="clear" w:color="auto" w:fill="auto"/>
            <w:noWrap/>
            <w:vAlign w:val="center"/>
          </w:tcPr>
          <w:p w14:paraId="18AD4AF9" w14:textId="77777777" w:rsidR="002370A0" w:rsidRPr="009911A5" w:rsidRDefault="002370A0" w:rsidP="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1991 to 2004</w:t>
            </w:r>
          </w:p>
        </w:tc>
        <w:tc>
          <w:tcPr>
            <w:tcW w:w="992" w:type="dxa"/>
            <w:tcBorders>
              <w:top w:val="double" w:sz="6" w:space="0" w:color="auto"/>
              <w:left w:val="single" w:sz="4" w:space="0" w:color="auto"/>
              <w:bottom w:val="single" w:sz="4" w:space="0" w:color="969696"/>
              <w:right w:val="single" w:sz="4" w:space="0" w:color="969696"/>
            </w:tcBorders>
            <w:shd w:val="clear" w:color="auto" w:fill="auto"/>
            <w:noWrap/>
            <w:vAlign w:val="center"/>
          </w:tcPr>
          <w:p w14:paraId="4B21DED0" w14:textId="77777777" w:rsidR="002370A0" w:rsidRPr="009911A5" w:rsidRDefault="002370A0" w:rsidP="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Before 1991</w:t>
            </w:r>
          </w:p>
        </w:tc>
        <w:tc>
          <w:tcPr>
            <w:tcW w:w="992" w:type="dxa"/>
            <w:tcBorders>
              <w:top w:val="double" w:sz="6" w:space="0" w:color="auto"/>
              <w:left w:val="nil"/>
              <w:bottom w:val="single" w:sz="4" w:space="0" w:color="969696"/>
              <w:right w:val="double" w:sz="6" w:space="0" w:color="auto"/>
            </w:tcBorders>
            <w:shd w:val="clear" w:color="auto" w:fill="auto"/>
            <w:noWrap/>
            <w:vAlign w:val="center"/>
          </w:tcPr>
          <w:p w14:paraId="6D6DBFC8" w14:textId="77777777" w:rsidR="002370A0" w:rsidRPr="009911A5" w:rsidRDefault="002370A0" w:rsidP="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Can't say</w:t>
            </w:r>
          </w:p>
        </w:tc>
      </w:tr>
      <w:tr w:rsidR="002370A0" w:rsidRPr="009911A5" w14:paraId="2FC846C1" w14:textId="77777777" w:rsidTr="003920D8">
        <w:trPr>
          <w:trHeight w:val="225"/>
          <w:jc w:val="center"/>
        </w:trPr>
        <w:tc>
          <w:tcPr>
            <w:tcW w:w="2760" w:type="dxa"/>
            <w:tcBorders>
              <w:top w:val="nil"/>
              <w:left w:val="double" w:sz="6" w:space="0" w:color="auto"/>
              <w:bottom w:val="single" w:sz="4" w:space="0" w:color="969696"/>
              <w:right w:val="nil"/>
            </w:tcBorders>
            <w:shd w:val="clear" w:color="auto" w:fill="auto"/>
            <w:noWrap/>
            <w:vAlign w:val="center"/>
          </w:tcPr>
          <w:p w14:paraId="4824AE28" w14:textId="77777777" w:rsidR="002370A0" w:rsidRPr="009911A5" w:rsidRDefault="002370A0" w:rsidP="002370A0">
            <w:pPr>
              <w:spacing w:before="0" w:after="0"/>
              <w:rPr>
                <w:rFonts w:ascii="Arial" w:hAnsi="Arial" w:cs="Arial"/>
                <w:b/>
                <w:bCs/>
                <w:color w:val="000000"/>
                <w:sz w:val="16"/>
                <w:szCs w:val="16"/>
                <w:lang w:val="en-AU" w:eastAsia="en-AU"/>
              </w:rPr>
            </w:pPr>
          </w:p>
        </w:tc>
        <w:tc>
          <w:tcPr>
            <w:tcW w:w="949" w:type="dxa"/>
            <w:tcBorders>
              <w:top w:val="nil"/>
              <w:left w:val="single" w:sz="4" w:space="0" w:color="auto"/>
              <w:bottom w:val="single" w:sz="4" w:space="0" w:color="969696"/>
              <w:right w:val="single" w:sz="4" w:space="0" w:color="969696"/>
            </w:tcBorders>
            <w:shd w:val="clear" w:color="auto" w:fill="auto"/>
            <w:noWrap/>
            <w:vAlign w:val="center"/>
          </w:tcPr>
          <w:p w14:paraId="423A0382" w14:textId="77777777" w:rsidR="002370A0" w:rsidRPr="009911A5" w:rsidRDefault="002370A0" w:rsidP="002370A0">
            <w:pPr>
              <w:spacing w:before="0" w:after="0"/>
              <w:jc w:val="center"/>
              <w:rPr>
                <w:rFonts w:ascii="Arial" w:hAnsi="Arial" w:cs="Arial"/>
                <w:b/>
                <w:bCs/>
                <w:color w:val="000000"/>
                <w:sz w:val="16"/>
                <w:szCs w:val="16"/>
                <w:lang w:val="en-AU" w:eastAsia="en-AU"/>
              </w:rPr>
            </w:pPr>
          </w:p>
        </w:tc>
        <w:tc>
          <w:tcPr>
            <w:tcW w:w="1134" w:type="dxa"/>
            <w:tcBorders>
              <w:top w:val="nil"/>
              <w:left w:val="nil"/>
              <w:bottom w:val="single" w:sz="4" w:space="0" w:color="969696"/>
              <w:right w:val="single" w:sz="4" w:space="0" w:color="969696"/>
            </w:tcBorders>
            <w:shd w:val="clear" w:color="auto" w:fill="auto"/>
            <w:noWrap/>
            <w:vAlign w:val="bottom"/>
          </w:tcPr>
          <w:p w14:paraId="46A556F0" w14:textId="77777777" w:rsidR="002370A0" w:rsidRPr="009911A5" w:rsidRDefault="002370A0" w:rsidP="002370A0">
            <w:pPr>
              <w:spacing w:before="0" w:after="0"/>
              <w:jc w:val="center"/>
              <w:rPr>
                <w:rFonts w:ascii="Arial" w:hAnsi="Arial" w:cs="Arial"/>
                <w:b/>
                <w:bCs/>
                <w:color w:val="000000"/>
                <w:sz w:val="16"/>
                <w:szCs w:val="16"/>
                <w:lang w:val="en-AU" w:eastAsia="en-AU"/>
              </w:rPr>
            </w:pPr>
          </w:p>
        </w:tc>
        <w:tc>
          <w:tcPr>
            <w:tcW w:w="992" w:type="dxa"/>
            <w:tcBorders>
              <w:top w:val="nil"/>
              <w:left w:val="single" w:sz="4" w:space="0" w:color="auto"/>
              <w:bottom w:val="single" w:sz="4" w:space="0" w:color="969696"/>
              <w:right w:val="single" w:sz="4" w:space="0" w:color="969696"/>
            </w:tcBorders>
            <w:shd w:val="clear" w:color="auto" w:fill="auto"/>
            <w:noWrap/>
            <w:vAlign w:val="bottom"/>
          </w:tcPr>
          <w:p w14:paraId="5004FE51" w14:textId="77777777" w:rsidR="002370A0" w:rsidRPr="009911A5" w:rsidRDefault="002370A0" w:rsidP="002370A0">
            <w:pPr>
              <w:spacing w:before="0" w:after="0"/>
              <w:jc w:val="center"/>
              <w:rPr>
                <w:rFonts w:ascii="Arial" w:hAnsi="Arial" w:cs="Arial"/>
                <w:b/>
                <w:bCs/>
                <w:color w:val="000000"/>
                <w:sz w:val="16"/>
                <w:szCs w:val="16"/>
                <w:lang w:val="en-AU" w:eastAsia="en-AU"/>
              </w:rPr>
            </w:pPr>
          </w:p>
        </w:tc>
        <w:tc>
          <w:tcPr>
            <w:tcW w:w="992" w:type="dxa"/>
            <w:tcBorders>
              <w:top w:val="nil"/>
              <w:left w:val="nil"/>
              <w:bottom w:val="single" w:sz="4" w:space="0" w:color="969696"/>
              <w:right w:val="double" w:sz="6" w:space="0" w:color="auto"/>
            </w:tcBorders>
            <w:shd w:val="clear" w:color="auto" w:fill="auto"/>
            <w:noWrap/>
            <w:vAlign w:val="center"/>
          </w:tcPr>
          <w:p w14:paraId="6A9D4E0D" w14:textId="77777777" w:rsidR="002370A0" w:rsidRPr="009911A5" w:rsidRDefault="002370A0" w:rsidP="002370A0">
            <w:pPr>
              <w:spacing w:before="0" w:after="0"/>
              <w:jc w:val="center"/>
              <w:rPr>
                <w:rFonts w:ascii="Arial" w:hAnsi="Arial" w:cs="Arial"/>
                <w:b/>
                <w:bCs/>
                <w:color w:val="000000"/>
                <w:sz w:val="16"/>
                <w:szCs w:val="16"/>
                <w:lang w:val="en-AU" w:eastAsia="en-AU"/>
              </w:rPr>
            </w:pPr>
          </w:p>
        </w:tc>
      </w:tr>
      <w:tr w:rsidR="002370A0" w:rsidRPr="009911A5" w14:paraId="5F69F2E9" w14:textId="77777777" w:rsidTr="003920D8">
        <w:trPr>
          <w:trHeight w:val="225"/>
          <w:jc w:val="center"/>
        </w:trPr>
        <w:tc>
          <w:tcPr>
            <w:tcW w:w="2760" w:type="dxa"/>
            <w:tcBorders>
              <w:top w:val="nil"/>
              <w:left w:val="double" w:sz="6" w:space="0" w:color="auto"/>
              <w:bottom w:val="single" w:sz="4" w:space="0" w:color="969696"/>
              <w:right w:val="nil"/>
            </w:tcBorders>
            <w:shd w:val="clear" w:color="auto" w:fill="auto"/>
            <w:noWrap/>
            <w:vAlign w:val="center"/>
          </w:tcPr>
          <w:p w14:paraId="314F2185" w14:textId="77777777" w:rsidR="002370A0" w:rsidRPr="009911A5" w:rsidRDefault="002370A0" w:rsidP="002370A0">
            <w:pPr>
              <w:spacing w:before="0" w:after="0"/>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By Concession Status -</w:t>
            </w:r>
          </w:p>
        </w:tc>
        <w:tc>
          <w:tcPr>
            <w:tcW w:w="949" w:type="dxa"/>
            <w:tcBorders>
              <w:top w:val="nil"/>
              <w:left w:val="single" w:sz="4" w:space="0" w:color="auto"/>
              <w:bottom w:val="single" w:sz="4" w:space="0" w:color="969696"/>
              <w:right w:val="single" w:sz="4" w:space="0" w:color="969696"/>
            </w:tcBorders>
            <w:shd w:val="clear" w:color="auto" w:fill="auto"/>
            <w:noWrap/>
            <w:vAlign w:val="center"/>
          </w:tcPr>
          <w:p w14:paraId="43C5C920" w14:textId="77777777" w:rsidR="002370A0" w:rsidRPr="009911A5" w:rsidRDefault="002370A0" w:rsidP="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 </w:t>
            </w:r>
          </w:p>
        </w:tc>
        <w:tc>
          <w:tcPr>
            <w:tcW w:w="1134" w:type="dxa"/>
            <w:tcBorders>
              <w:top w:val="nil"/>
              <w:left w:val="nil"/>
              <w:bottom w:val="single" w:sz="4" w:space="0" w:color="969696"/>
              <w:right w:val="single" w:sz="4" w:space="0" w:color="969696"/>
            </w:tcBorders>
            <w:shd w:val="clear" w:color="auto" w:fill="auto"/>
            <w:noWrap/>
            <w:vAlign w:val="bottom"/>
          </w:tcPr>
          <w:p w14:paraId="15C1BA5A" w14:textId="77777777" w:rsidR="002370A0" w:rsidRPr="009911A5" w:rsidRDefault="002370A0" w:rsidP="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 </w:t>
            </w:r>
          </w:p>
        </w:tc>
        <w:tc>
          <w:tcPr>
            <w:tcW w:w="992" w:type="dxa"/>
            <w:tcBorders>
              <w:top w:val="nil"/>
              <w:left w:val="single" w:sz="4" w:space="0" w:color="auto"/>
              <w:bottom w:val="single" w:sz="4" w:space="0" w:color="969696"/>
              <w:right w:val="single" w:sz="4" w:space="0" w:color="969696"/>
            </w:tcBorders>
            <w:shd w:val="clear" w:color="auto" w:fill="auto"/>
            <w:noWrap/>
            <w:vAlign w:val="bottom"/>
          </w:tcPr>
          <w:p w14:paraId="4416CD7C" w14:textId="77777777" w:rsidR="002370A0" w:rsidRPr="009911A5" w:rsidRDefault="002370A0" w:rsidP="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 </w:t>
            </w:r>
          </w:p>
        </w:tc>
        <w:tc>
          <w:tcPr>
            <w:tcW w:w="992" w:type="dxa"/>
            <w:tcBorders>
              <w:top w:val="nil"/>
              <w:left w:val="nil"/>
              <w:bottom w:val="single" w:sz="4" w:space="0" w:color="969696"/>
              <w:right w:val="double" w:sz="6" w:space="0" w:color="auto"/>
            </w:tcBorders>
            <w:shd w:val="clear" w:color="auto" w:fill="auto"/>
            <w:noWrap/>
            <w:vAlign w:val="center"/>
          </w:tcPr>
          <w:p w14:paraId="39D5F021" w14:textId="77777777" w:rsidR="002370A0" w:rsidRPr="009911A5" w:rsidRDefault="002370A0" w:rsidP="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 </w:t>
            </w:r>
          </w:p>
        </w:tc>
      </w:tr>
      <w:tr w:rsidR="002370A0" w:rsidRPr="009911A5" w14:paraId="2EE5EDB7" w14:textId="77777777" w:rsidTr="009748AD">
        <w:trPr>
          <w:trHeight w:val="225"/>
          <w:jc w:val="center"/>
        </w:trPr>
        <w:tc>
          <w:tcPr>
            <w:tcW w:w="2760" w:type="dxa"/>
            <w:tcBorders>
              <w:top w:val="nil"/>
              <w:left w:val="double" w:sz="6" w:space="0" w:color="auto"/>
              <w:bottom w:val="single" w:sz="4" w:space="0" w:color="969696"/>
              <w:right w:val="nil"/>
            </w:tcBorders>
            <w:shd w:val="clear" w:color="auto" w:fill="auto"/>
            <w:noWrap/>
            <w:vAlign w:val="center"/>
          </w:tcPr>
          <w:p w14:paraId="7E98B513" w14:textId="0B057777" w:rsidR="002370A0" w:rsidRPr="009911A5" w:rsidRDefault="00B9793D" w:rsidP="002370A0">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2370A0" w:rsidRPr="009911A5">
              <w:rPr>
                <w:rFonts w:ascii="Arial" w:hAnsi="Arial" w:cs="Arial"/>
                <w:color w:val="000000"/>
                <w:sz w:val="16"/>
                <w:szCs w:val="16"/>
                <w:lang w:val="en-AU" w:eastAsia="en-AU"/>
              </w:rPr>
              <w:t>Aged Concession HHs</w:t>
            </w:r>
          </w:p>
        </w:tc>
        <w:tc>
          <w:tcPr>
            <w:tcW w:w="949" w:type="dxa"/>
            <w:tcBorders>
              <w:top w:val="nil"/>
              <w:left w:val="single" w:sz="4" w:space="0" w:color="auto"/>
              <w:bottom w:val="single" w:sz="4" w:space="0" w:color="969696"/>
              <w:right w:val="single" w:sz="4" w:space="0" w:color="969696"/>
            </w:tcBorders>
            <w:shd w:val="clear" w:color="auto" w:fill="auto"/>
            <w:noWrap/>
            <w:vAlign w:val="center"/>
          </w:tcPr>
          <w:p w14:paraId="43679157"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8%</w:t>
            </w:r>
          </w:p>
        </w:tc>
        <w:tc>
          <w:tcPr>
            <w:tcW w:w="1134" w:type="dxa"/>
            <w:tcBorders>
              <w:top w:val="nil"/>
              <w:left w:val="nil"/>
              <w:bottom w:val="single" w:sz="4" w:space="0" w:color="969696"/>
              <w:right w:val="single" w:sz="4" w:space="0" w:color="969696"/>
            </w:tcBorders>
            <w:shd w:val="clear" w:color="auto" w:fill="auto"/>
            <w:noWrap/>
            <w:vAlign w:val="center"/>
          </w:tcPr>
          <w:p w14:paraId="773F7EC2"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w:t>
            </w:r>
            <w:r w:rsidR="009911A5" w:rsidRPr="009911A5">
              <w:rPr>
                <w:rFonts w:ascii="Arial" w:hAnsi="Arial" w:cs="Arial"/>
                <w:color w:val="000000"/>
                <w:sz w:val="16"/>
                <w:szCs w:val="16"/>
                <w:lang w:val="en-AU" w:eastAsia="en-AU"/>
              </w:rPr>
              <w:t>7</w:t>
            </w:r>
            <w:r w:rsidRPr="009911A5">
              <w:rPr>
                <w:rFonts w:ascii="Arial" w:hAnsi="Arial" w:cs="Arial"/>
                <w:color w:val="000000"/>
                <w:sz w:val="16"/>
                <w:szCs w:val="16"/>
                <w:lang w:val="en-AU" w:eastAsia="en-AU"/>
              </w:rPr>
              <w:t>%</w:t>
            </w:r>
          </w:p>
        </w:tc>
        <w:tc>
          <w:tcPr>
            <w:tcW w:w="992" w:type="dxa"/>
            <w:tcBorders>
              <w:top w:val="nil"/>
              <w:left w:val="single" w:sz="4" w:space="0" w:color="auto"/>
              <w:bottom w:val="single" w:sz="4" w:space="0" w:color="969696"/>
              <w:right w:val="single" w:sz="4" w:space="0" w:color="969696"/>
            </w:tcBorders>
            <w:shd w:val="clear" w:color="auto" w:fill="auto"/>
            <w:noWrap/>
            <w:vAlign w:val="center"/>
          </w:tcPr>
          <w:p w14:paraId="59EED59B"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72%</w:t>
            </w:r>
          </w:p>
        </w:tc>
        <w:tc>
          <w:tcPr>
            <w:tcW w:w="992" w:type="dxa"/>
            <w:tcBorders>
              <w:top w:val="nil"/>
              <w:left w:val="nil"/>
              <w:bottom w:val="single" w:sz="4" w:space="0" w:color="969696"/>
              <w:right w:val="double" w:sz="6" w:space="0" w:color="auto"/>
            </w:tcBorders>
            <w:shd w:val="clear" w:color="auto" w:fill="auto"/>
            <w:noWrap/>
            <w:vAlign w:val="center"/>
          </w:tcPr>
          <w:p w14:paraId="3A858256"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3%</w:t>
            </w:r>
          </w:p>
        </w:tc>
      </w:tr>
      <w:tr w:rsidR="002370A0" w:rsidRPr="009911A5" w14:paraId="19D625BC" w14:textId="77777777" w:rsidTr="009748AD">
        <w:trPr>
          <w:trHeight w:val="225"/>
          <w:jc w:val="center"/>
        </w:trPr>
        <w:tc>
          <w:tcPr>
            <w:tcW w:w="2760" w:type="dxa"/>
            <w:tcBorders>
              <w:top w:val="nil"/>
              <w:left w:val="double" w:sz="6" w:space="0" w:color="auto"/>
              <w:bottom w:val="single" w:sz="4" w:space="0" w:color="969696"/>
              <w:right w:val="nil"/>
            </w:tcBorders>
            <w:shd w:val="clear" w:color="auto" w:fill="auto"/>
            <w:noWrap/>
            <w:vAlign w:val="center"/>
          </w:tcPr>
          <w:p w14:paraId="45DD6277" w14:textId="6BC4BCE3" w:rsidR="002370A0" w:rsidRPr="009911A5" w:rsidRDefault="00B9793D" w:rsidP="002370A0">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2370A0" w:rsidRPr="009911A5">
              <w:rPr>
                <w:rFonts w:ascii="Arial" w:hAnsi="Arial" w:cs="Arial"/>
                <w:color w:val="000000"/>
                <w:sz w:val="16"/>
                <w:szCs w:val="16"/>
                <w:lang w:val="en-AU" w:eastAsia="en-AU"/>
              </w:rPr>
              <w:t>Other Concession HHs</w:t>
            </w:r>
          </w:p>
        </w:tc>
        <w:tc>
          <w:tcPr>
            <w:tcW w:w="949" w:type="dxa"/>
            <w:tcBorders>
              <w:top w:val="nil"/>
              <w:left w:val="single" w:sz="4" w:space="0" w:color="auto"/>
              <w:bottom w:val="single" w:sz="4" w:space="0" w:color="969696"/>
              <w:right w:val="single" w:sz="4" w:space="0" w:color="969696"/>
            </w:tcBorders>
            <w:shd w:val="clear" w:color="auto" w:fill="auto"/>
            <w:noWrap/>
            <w:vAlign w:val="center"/>
          </w:tcPr>
          <w:p w14:paraId="59175907"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8%</w:t>
            </w:r>
          </w:p>
        </w:tc>
        <w:tc>
          <w:tcPr>
            <w:tcW w:w="1134" w:type="dxa"/>
            <w:tcBorders>
              <w:top w:val="nil"/>
              <w:left w:val="nil"/>
              <w:bottom w:val="single" w:sz="4" w:space="0" w:color="969696"/>
              <w:right w:val="single" w:sz="4" w:space="0" w:color="969696"/>
            </w:tcBorders>
            <w:shd w:val="clear" w:color="auto" w:fill="auto"/>
            <w:noWrap/>
            <w:vAlign w:val="center"/>
          </w:tcPr>
          <w:p w14:paraId="6FBF4DA9"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16%</w:t>
            </w:r>
          </w:p>
        </w:tc>
        <w:tc>
          <w:tcPr>
            <w:tcW w:w="992" w:type="dxa"/>
            <w:tcBorders>
              <w:top w:val="nil"/>
              <w:left w:val="single" w:sz="4" w:space="0" w:color="auto"/>
              <w:bottom w:val="single" w:sz="4" w:space="0" w:color="969696"/>
              <w:right w:val="single" w:sz="4" w:space="0" w:color="969696"/>
            </w:tcBorders>
            <w:shd w:val="clear" w:color="auto" w:fill="auto"/>
            <w:noWrap/>
            <w:vAlign w:val="center"/>
          </w:tcPr>
          <w:p w14:paraId="191350B8"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69%</w:t>
            </w:r>
          </w:p>
        </w:tc>
        <w:tc>
          <w:tcPr>
            <w:tcW w:w="992" w:type="dxa"/>
            <w:tcBorders>
              <w:top w:val="nil"/>
              <w:left w:val="nil"/>
              <w:bottom w:val="single" w:sz="4" w:space="0" w:color="969696"/>
              <w:right w:val="double" w:sz="6" w:space="0" w:color="auto"/>
            </w:tcBorders>
            <w:shd w:val="clear" w:color="auto" w:fill="auto"/>
            <w:noWrap/>
            <w:vAlign w:val="center"/>
          </w:tcPr>
          <w:p w14:paraId="150C744B"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8%</w:t>
            </w:r>
          </w:p>
        </w:tc>
      </w:tr>
      <w:tr w:rsidR="002370A0" w:rsidRPr="009911A5" w14:paraId="7614C15F" w14:textId="77777777" w:rsidTr="009748AD">
        <w:trPr>
          <w:trHeight w:val="225"/>
          <w:jc w:val="center"/>
        </w:trPr>
        <w:tc>
          <w:tcPr>
            <w:tcW w:w="2760" w:type="dxa"/>
            <w:tcBorders>
              <w:top w:val="nil"/>
              <w:left w:val="double" w:sz="6" w:space="0" w:color="auto"/>
              <w:bottom w:val="single" w:sz="4" w:space="0" w:color="969696"/>
              <w:right w:val="nil"/>
            </w:tcBorders>
            <w:shd w:val="clear" w:color="auto" w:fill="auto"/>
            <w:noWrap/>
            <w:vAlign w:val="center"/>
          </w:tcPr>
          <w:p w14:paraId="47725186" w14:textId="758F3431" w:rsidR="002370A0" w:rsidRPr="009911A5" w:rsidRDefault="00B9793D" w:rsidP="002370A0">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2370A0" w:rsidRPr="009911A5">
              <w:rPr>
                <w:rFonts w:ascii="Arial" w:hAnsi="Arial" w:cs="Arial"/>
                <w:color w:val="000000"/>
                <w:sz w:val="16"/>
                <w:szCs w:val="16"/>
                <w:lang w:val="en-AU" w:eastAsia="en-AU"/>
              </w:rPr>
              <w:t>Total Concession HHs</w:t>
            </w:r>
          </w:p>
        </w:tc>
        <w:tc>
          <w:tcPr>
            <w:tcW w:w="949" w:type="dxa"/>
            <w:tcBorders>
              <w:top w:val="nil"/>
              <w:left w:val="single" w:sz="4" w:space="0" w:color="auto"/>
              <w:bottom w:val="single" w:sz="4" w:space="0" w:color="969696"/>
              <w:right w:val="single" w:sz="4" w:space="0" w:color="969696"/>
            </w:tcBorders>
            <w:shd w:val="clear" w:color="auto" w:fill="auto"/>
            <w:noWrap/>
            <w:vAlign w:val="center"/>
          </w:tcPr>
          <w:p w14:paraId="07AE4C50"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8%</w:t>
            </w:r>
          </w:p>
        </w:tc>
        <w:tc>
          <w:tcPr>
            <w:tcW w:w="1134" w:type="dxa"/>
            <w:tcBorders>
              <w:top w:val="nil"/>
              <w:left w:val="nil"/>
              <w:bottom w:val="single" w:sz="4" w:space="0" w:color="969696"/>
              <w:right w:val="single" w:sz="4" w:space="0" w:color="969696"/>
            </w:tcBorders>
            <w:shd w:val="clear" w:color="auto" w:fill="auto"/>
            <w:noWrap/>
            <w:vAlign w:val="center"/>
          </w:tcPr>
          <w:p w14:paraId="44B2493E"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17%</w:t>
            </w:r>
          </w:p>
        </w:tc>
        <w:tc>
          <w:tcPr>
            <w:tcW w:w="992" w:type="dxa"/>
            <w:tcBorders>
              <w:top w:val="nil"/>
              <w:left w:val="single" w:sz="4" w:space="0" w:color="auto"/>
              <w:bottom w:val="single" w:sz="4" w:space="0" w:color="969696"/>
              <w:right w:val="single" w:sz="4" w:space="0" w:color="969696"/>
            </w:tcBorders>
            <w:shd w:val="clear" w:color="auto" w:fill="auto"/>
            <w:noWrap/>
            <w:vAlign w:val="center"/>
          </w:tcPr>
          <w:p w14:paraId="06B0A180"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70%</w:t>
            </w:r>
          </w:p>
        </w:tc>
        <w:tc>
          <w:tcPr>
            <w:tcW w:w="992" w:type="dxa"/>
            <w:tcBorders>
              <w:top w:val="nil"/>
              <w:left w:val="nil"/>
              <w:bottom w:val="single" w:sz="4" w:space="0" w:color="969696"/>
              <w:right w:val="double" w:sz="6" w:space="0" w:color="auto"/>
            </w:tcBorders>
            <w:shd w:val="clear" w:color="auto" w:fill="auto"/>
            <w:noWrap/>
            <w:vAlign w:val="center"/>
          </w:tcPr>
          <w:p w14:paraId="41305409" w14:textId="77777777" w:rsidR="002370A0" w:rsidRPr="009911A5" w:rsidRDefault="009911A5">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5</w:t>
            </w:r>
            <w:r w:rsidR="002370A0" w:rsidRPr="009911A5">
              <w:rPr>
                <w:rFonts w:ascii="Arial" w:hAnsi="Arial" w:cs="Arial"/>
                <w:color w:val="000000"/>
                <w:sz w:val="16"/>
                <w:szCs w:val="16"/>
                <w:lang w:val="en-AU" w:eastAsia="en-AU"/>
              </w:rPr>
              <w:t>%</w:t>
            </w:r>
          </w:p>
        </w:tc>
      </w:tr>
      <w:tr w:rsidR="002370A0" w:rsidRPr="009911A5" w14:paraId="5EE75682" w14:textId="77777777" w:rsidTr="009748AD">
        <w:trPr>
          <w:trHeight w:val="225"/>
          <w:jc w:val="center"/>
        </w:trPr>
        <w:tc>
          <w:tcPr>
            <w:tcW w:w="2760" w:type="dxa"/>
            <w:tcBorders>
              <w:top w:val="nil"/>
              <w:left w:val="double" w:sz="6" w:space="0" w:color="auto"/>
              <w:bottom w:val="single" w:sz="4" w:space="0" w:color="969696"/>
              <w:right w:val="nil"/>
            </w:tcBorders>
            <w:shd w:val="clear" w:color="auto" w:fill="auto"/>
            <w:noWrap/>
            <w:vAlign w:val="center"/>
          </w:tcPr>
          <w:p w14:paraId="154B4D21" w14:textId="11D23304" w:rsidR="002370A0" w:rsidRPr="009911A5" w:rsidRDefault="00B9793D" w:rsidP="002370A0">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2370A0" w:rsidRPr="009911A5">
              <w:rPr>
                <w:rFonts w:ascii="Arial" w:hAnsi="Arial" w:cs="Arial"/>
                <w:color w:val="000000"/>
                <w:sz w:val="16"/>
                <w:szCs w:val="16"/>
                <w:lang w:val="en-AU" w:eastAsia="en-AU"/>
              </w:rPr>
              <w:t>Non-Concession HHs</w:t>
            </w:r>
          </w:p>
        </w:tc>
        <w:tc>
          <w:tcPr>
            <w:tcW w:w="949" w:type="dxa"/>
            <w:tcBorders>
              <w:top w:val="nil"/>
              <w:left w:val="single" w:sz="4" w:space="0" w:color="auto"/>
              <w:bottom w:val="single" w:sz="4" w:space="0" w:color="969696"/>
              <w:right w:val="single" w:sz="4" w:space="0" w:color="969696"/>
            </w:tcBorders>
            <w:shd w:val="clear" w:color="auto" w:fill="auto"/>
            <w:noWrap/>
            <w:vAlign w:val="center"/>
          </w:tcPr>
          <w:p w14:paraId="04DAA8F5"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15%</w:t>
            </w:r>
          </w:p>
        </w:tc>
        <w:tc>
          <w:tcPr>
            <w:tcW w:w="1134" w:type="dxa"/>
            <w:tcBorders>
              <w:top w:val="nil"/>
              <w:left w:val="nil"/>
              <w:bottom w:val="single" w:sz="4" w:space="0" w:color="969696"/>
              <w:right w:val="single" w:sz="4" w:space="0" w:color="969696"/>
            </w:tcBorders>
            <w:shd w:val="clear" w:color="auto" w:fill="auto"/>
            <w:noWrap/>
            <w:vAlign w:val="center"/>
          </w:tcPr>
          <w:p w14:paraId="53907ACC"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20%</w:t>
            </w:r>
          </w:p>
        </w:tc>
        <w:tc>
          <w:tcPr>
            <w:tcW w:w="992" w:type="dxa"/>
            <w:tcBorders>
              <w:top w:val="nil"/>
              <w:left w:val="single" w:sz="4" w:space="0" w:color="auto"/>
              <w:bottom w:val="single" w:sz="4" w:space="0" w:color="969696"/>
              <w:right w:val="single" w:sz="4" w:space="0" w:color="969696"/>
            </w:tcBorders>
            <w:shd w:val="clear" w:color="auto" w:fill="auto"/>
            <w:noWrap/>
            <w:vAlign w:val="center"/>
          </w:tcPr>
          <w:p w14:paraId="68C3BC00"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62%</w:t>
            </w:r>
          </w:p>
        </w:tc>
        <w:tc>
          <w:tcPr>
            <w:tcW w:w="992" w:type="dxa"/>
            <w:tcBorders>
              <w:top w:val="nil"/>
              <w:left w:val="nil"/>
              <w:bottom w:val="single" w:sz="4" w:space="0" w:color="969696"/>
              <w:right w:val="double" w:sz="6" w:space="0" w:color="auto"/>
            </w:tcBorders>
            <w:shd w:val="clear" w:color="auto" w:fill="auto"/>
            <w:noWrap/>
            <w:vAlign w:val="center"/>
          </w:tcPr>
          <w:p w14:paraId="38102850"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3%</w:t>
            </w:r>
          </w:p>
        </w:tc>
      </w:tr>
      <w:tr w:rsidR="002370A0" w:rsidRPr="009911A5" w14:paraId="79C23BB4" w14:textId="77777777" w:rsidTr="009748AD">
        <w:trPr>
          <w:trHeight w:val="225"/>
          <w:jc w:val="center"/>
        </w:trPr>
        <w:tc>
          <w:tcPr>
            <w:tcW w:w="2760" w:type="dxa"/>
            <w:tcBorders>
              <w:top w:val="nil"/>
              <w:left w:val="double" w:sz="6" w:space="0" w:color="auto"/>
              <w:bottom w:val="single" w:sz="4" w:space="0" w:color="969696"/>
              <w:right w:val="nil"/>
            </w:tcBorders>
            <w:shd w:val="clear" w:color="auto" w:fill="auto"/>
            <w:noWrap/>
            <w:vAlign w:val="center"/>
          </w:tcPr>
          <w:p w14:paraId="6BEEA412" w14:textId="77777777" w:rsidR="002370A0" w:rsidRPr="009911A5" w:rsidRDefault="002370A0" w:rsidP="002370A0">
            <w:pPr>
              <w:spacing w:before="0" w:after="0"/>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By Ownership Status -</w:t>
            </w:r>
          </w:p>
        </w:tc>
        <w:tc>
          <w:tcPr>
            <w:tcW w:w="949" w:type="dxa"/>
            <w:tcBorders>
              <w:top w:val="nil"/>
              <w:left w:val="single" w:sz="4" w:space="0" w:color="auto"/>
              <w:bottom w:val="single" w:sz="4" w:space="0" w:color="969696"/>
              <w:right w:val="single" w:sz="4" w:space="0" w:color="969696"/>
            </w:tcBorders>
            <w:shd w:val="clear" w:color="auto" w:fill="auto"/>
            <w:noWrap/>
            <w:vAlign w:val="center"/>
          </w:tcPr>
          <w:p w14:paraId="3D19477E" w14:textId="615EEDBE" w:rsidR="002370A0" w:rsidRPr="009911A5" w:rsidRDefault="002370A0">
            <w:pPr>
              <w:spacing w:before="0" w:after="0"/>
              <w:jc w:val="center"/>
              <w:rPr>
                <w:rFonts w:ascii="Arial" w:hAnsi="Arial" w:cs="Arial"/>
                <w:b/>
                <w:bCs/>
                <w:color w:val="000000"/>
                <w:sz w:val="16"/>
                <w:szCs w:val="16"/>
                <w:lang w:val="en-AU" w:eastAsia="en-AU"/>
              </w:rPr>
            </w:pPr>
          </w:p>
        </w:tc>
        <w:tc>
          <w:tcPr>
            <w:tcW w:w="1134" w:type="dxa"/>
            <w:tcBorders>
              <w:top w:val="nil"/>
              <w:left w:val="nil"/>
              <w:bottom w:val="single" w:sz="4" w:space="0" w:color="969696"/>
              <w:right w:val="single" w:sz="4" w:space="0" w:color="969696"/>
            </w:tcBorders>
            <w:shd w:val="clear" w:color="auto" w:fill="auto"/>
            <w:noWrap/>
            <w:vAlign w:val="center"/>
          </w:tcPr>
          <w:p w14:paraId="0DD8777B" w14:textId="11D38EDB" w:rsidR="002370A0" w:rsidRPr="009911A5" w:rsidRDefault="002370A0">
            <w:pPr>
              <w:spacing w:before="0" w:after="0"/>
              <w:jc w:val="center"/>
              <w:rPr>
                <w:rFonts w:ascii="Arial" w:hAnsi="Arial" w:cs="Arial"/>
                <w:color w:val="000000"/>
                <w:sz w:val="16"/>
                <w:szCs w:val="16"/>
                <w:lang w:val="en-AU" w:eastAsia="en-AU"/>
              </w:rPr>
            </w:pPr>
          </w:p>
        </w:tc>
        <w:tc>
          <w:tcPr>
            <w:tcW w:w="992" w:type="dxa"/>
            <w:tcBorders>
              <w:top w:val="nil"/>
              <w:left w:val="single" w:sz="4" w:space="0" w:color="auto"/>
              <w:bottom w:val="single" w:sz="4" w:space="0" w:color="969696"/>
              <w:right w:val="single" w:sz="4" w:space="0" w:color="969696"/>
            </w:tcBorders>
            <w:shd w:val="clear" w:color="auto" w:fill="auto"/>
            <w:noWrap/>
            <w:vAlign w:val="center"/>
          </w:tcPr>
          <w:p w14:paraId="446C60D5" w14:textId="7C1C328F" w:rsidR="002370A0" w:rsidRPr="009911A5" w:rsidRDefault="002370A0">
            <w:pPr>
              <w:spacing w:before="0" w:after="0"/>
              <w:jc w:val="center"/>
              <w:rPr>
                <w:rFonts w:ascii="Arial" w:hAnsi="Arial" w:cs="Arial"/>
                <w:color w:val="000000"/>
                <w:sz w:val="16"/>
                <w:szCs w:val="16"/>
                <w:lang w:val="en-AU" w:eastAsia="en-AU"/>
              </w:rPr>
            </w:pPr>
          </w:p>
        </w:tc>
        <w:tc>
          <w:tcPr>
            <w:tcW w:w="992" w:type="dxa"/>
            <w:tcBorders>
              <w:top w:val="nil"/>
              <w:left w:val="nil"/>
              <w:bottom w:val="single" w:sz="4" w:space="0" w:color="969696"/>
              <w:right w:val="double" w:sz="6" w:space="0" w:color="auto"/>
            </w:tcBorders>
            <w:shd w:val="clear" w:color="auto" w:fill="auto"/>
            <w:noWrap/>
            <w:vAlign w:val="center"/>
          </w:tcPr>
          <w:p w14:paraId="0CCB993C" w14:textId="60CC9155" w:rsidR="002370A0" w:rsidRPr="009911A5" w:rsidRDefault="002370A0">
            <w:pPr>
              <w:spacing w:before="0" w:after="0"/>
              <w:jc w:val="center"/>
              <w:rPr>
                <w:rFonts w:ascii="Arial" w:hAnsi="Arial" w:cs="Arial"/>
                <w:color w:val="000000"/>
                <w:sz w:val="16"/>
                <w:szCs w:val="16"/>
                <w:lang w:val="en-AU" w:eastAsia="en-AU"/>
              </w:rPr>
            </w:pPr>
          </w:p>
        </w:tc>
      </w:tr>
      <w:tr w:rsidR="002370A0" w:rsidRPr="009911A5" w14:paraId="6F75C6D2" w14:textId="77777777" w:rsidTr="009748AD">
        <w:trPr>
          <w:trHeight w:val="225"/>
          <w:jc w:val="center"/>
        </w:trPr>
        <w:tc>
          <w:tcPr>
            <w:tcW w:w="2760" w:type="dxa"/>
            <w:tcBorders>
              <w:top w:val="nil"/>
              <w:left w:val="double" w:sz="6" w:space="0" w:color="auto"/>
              <w:bottom w:val="single" w:sz="4" w:space="0" w:color="969696"/>
              <w:right w:val="nil"/>
            </w:tcBorders>
            <w:shd w:val="clear" w:color="auto" w:fill="auto"/>
            <w:noWrap/>
            <w:vAlign w:val="center"/>
          </w:tcPr>
          <w:p w14:paraId="2B796F57" w14:textId="47FBD3A1" w:rsidR="002370A0" w:rsidRPr="009911A5" w:rsidRDefault="00B9793D" w:rsidP="002370A0">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2370A0" w:rsidRPr="009911A5">
              <w:rPr>
                <w:rFonts w:ascii="Arial" w:hAnsi="Arial" w:cs="Arial"/>
                <w:color w:val="000000"/>
                <w:sz w:val="16"/>
                <w:szCs w:val="16"/>
                <w:lang w:val="en-AU" w:eastAsia="en-AU"/>
              </w:rPr>
              <w:t>Own/paying off</w:t>
            </w:r>
          </w:p>
        </w:tc>
        <w:tc>
          <w:tcPr>
            <w:tcW w:w="949" w:type="dxa"/>
            <w:tcBorders>
              <w:top w:val="nil"/>
              <w:left w:val="single" w:sz="4" w:space="0" w:color="auto"/>
              <w:bottom w:val="single" w:sz="4" w:space="0" w:color="969696"/>
              <w:right w:val="single" w:sz="4" w:space="0" w:color="969696"/>
            </w:tcBorders>
            <w:shd w:val="clear" w:color="auto" w:fill="auto"/>
            <w:noWrap/>
            <w:vAlign w:val="center"/>
          </w:tcPr>
          <w:p w14:paraId="6CB11553"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13%</w:t>
            </w:r>
          </w:p>
        </w:tc>
        <w:tc>
          <w:tcPr>
            <w:tcW w:w="1134" w:type="dxa"/>
            <w:tcBorders>
              <w:top w:val="nil"/>
              <w:left w:val="nil"/>
              <w:bottom w:val="single" w:sz="4" w:space="0" w:color="969696"/>
              <w:right w:val="single" w:sz="4" w:space="0" w:color="969696"/>
            </w:tcBorders>
            <w:shd w:val="clear" w:color="auto" w:fill="auto"/>
            <w:noWrap/>
            <w:vAlign w:val="center"/>
          </w:tcPr>
          <w:p w14:paraId="608BFE3F"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20%</w:t>
            </w:r>
          </w:p>
        </w:tc>
        <w:tc>
          <w:tcPr>
            <w:tcW w:w="992" w:type="dxa"/>
            <w:tcBorders>
              <w:top w:val="nil"/>
              <w:left w:val="single" w:sz="4" w:space="0" w:color="auto"/>
              <w:bottom w:val="single" w:sz="4" w:space="0" w:color="969696"/>
              <w:right w:val="single" w:sz="4" w:space="0" w:color="969696"/>
            </w:tcBorders>
            <w:shd w:val="clear" w:color="auto" w:fill="auto"/>
            <w:noWrap/>
            <w:vAlign w:val="center"/>
          </w:tcPr>
          <w:p w14:paraId="75A5A2B5"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66%</w:t>
            </w:r>
          </w:p>
        </w:tc>
        <w:tc>
          <w:tcPr>
            <w:tcW w:w="992" w:type="dxa"/>
            <w:tcBorders>
              <w:top w:val="nil"/>
              <w:left w:val="nil"/>
              <w:bottom w:val="single" w:sz="4" w:space="0" w:color="969696"/>
              <w:right w:val="double" w:sz="6" w:space="0" w:color="auto"/>
            </w:tcBorders>
            <w:shd w:val="clear" w:color="auto" w:fill="auto"/>
            <w:noWrap/>
            <w:vAlign w:val="center"/>
          </w:tcPr>
          <w:p w14:paraId="6E5FE234"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w:t>
            </w:r>
          </w:p>
        </w:tc>
      </w:tr>
      <w:tr w:rsidR="002370A0" w:rsidRPr="009911A5" w14:paraId="1039C378" w14:textId="77777777" w:rsidTr="009748AD">
        <w:trPr>
          <w:trHeight w:val="225"/>
          <w:jc w:val="center"/>
        </w:trPr>
        <w:tc>
          <w:tcPr>
            <w:tcW w:w="2760" w:type="dxa"/>
            <w:tcBorders>
              <w:top w:val="nil"/>
              <w:left w:val="double" w:sz="6" w:space="0" w:color="auto"/>
              <w:bottom w:val="single" w:sz="4" w:space="0" w:color="969696"/>
              <w:right w:val="nil"/>
            </w:tcBorders>
            <w:shd w:val="clear" w:color="auto" w:fill="auto"/>
            <w:noWrap/>
            <w:vAlign w:val="center"/>
          </w:tcPr>
          <w:p w14:paraId="14594FB7" w14:textId="22F2A3A7" w:rsidR="002370A0" w:rsidRPr="009911A5" w:rsidRDefault="00B9793D" w:rsidP="002370A0">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2370A0" w:rsidRPr="009911A5">
              <w:rPr>
                <w:rFonts w:ascii="Arial" w:hAnsi="Arial" w:cs="Arial"/>
                <w:color w:val="000000"/>
                <w:sz w:val="16"/>
                <w:szCs w:val="16"/>
                <w:lang w:val="en-AU" w:eastAsia="en-AU"/>
              </w:rPr>
              <w:t xml:space="preserve">Rent </w:t>
            </w:r>
            <w:r w:rsidR="00494BA4" w:rsidRPr="009911A5">
              <w:rPr>
                <w:rFonts w:ascii="Arial" w:hAnsi="Arial" w:cs="Arial"/>
                <w:color w:val="000000"/>
                <w:sz w:val="16"/>
                <w:szCs w:val="16"/>
                <w:lang w:val="en-AU" w:eastAsia="en-AU"/>
              </w:rPr>
              <w:t>–</w:t>
            </w:r>
            <w:r w:rsidR="002370A0" w:rsidRPr="009911A5">
              <w:rPr>
                <w:rFonts w:ascii="Arial" w:hAnsi="Arial" w:cs="Arial"/>
                <w:color w:val="000000"/>
                <w:sz w:val="16"/>
                <w:szCs w:val="16"/>
                <w:lang w:val="en-AU" w:eastAsia="en-AU"/>
              </w:rPr>
              <w:t>Private</w:t>
            </w:r>
          </w:p>
        </w:tc>
        <w:tc>
          <w:tcPr>
            <w:tcW w:w="949" w:type="dxa"/>
            <w:tcBorders>
              <w:top w:val="nil"/>
              <w:left w:val="single" w:sz="4" w:space="0" w:color="auto"/>
              <w:bottom w:val="single" w:sz="4" w:space="0" w:color="969696"/>
              <w:right w:val="single" w:sz="4" w:space="0" w:color="969696"/>
            </w:tcBorders>
            <w:shd w:val="clear" w:color="auto" w:fill="auto"/>
            <w:noWrap/>
            <w:vAlign w:val="center"/>
          </w:tcPr>
          <w:p w14:paraId="4153E8D6"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8%</w:t>
            </w:r>
          </w:p>
        </w:tc>
        <w:tc>
          <w:tcPr>
            <w:tcW w:w="1134" w:type="dxa"/>
            <w:tcBorders>
              <w:top w:val="nil"/>
              <w:left w:val="nil"/>
              <w:bottom w:val="single" w:sz="4" w:space="0" w:color="969696"/>
              <w:right w:val="single" w:sz="4" w:space="0" w:color="969696"/>
            </w:tcBorders>
            <w:shd w:val="clear" w:color="auto" w:fill="auto"/>
            <w:noWrap/>
            <w:vAlign w:val="center"/>
          </w:tcPr>
          <w:p w14:paraId="4B182CEA"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11%</w:t>
            </w:r>
          </w:p>
        </w:tc>
        <w:tc>
          <w:tcPr>
            <w:tcW w:w="992" w:type="dxa"/>
            <w:tcBorders>
              <w:top w:val="nil"/>
              <w:left w:val="single" w:sz="4" w:space="0" w:color="auto"/>
              <w:bottom w:val="single" w:sz="4" w:space="0" w:color="969696"/>
              <w:right w:val="single" w:sz="4" w:space="0" w:color="969696"/>
            </w:tcBorders>
            <w:shd w:val="clear" w:color="auto" w:fill="auto"/>
            <w:noWrap/>
            <w:vAlign w:val="center"/>
          </w:tcPr>
          <w:p w14:paraId="797FD84F"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66%</w:t>
            </w:r>
          </w:p>
        </w:tc>
        <w:tc>
          <w:tcPr>
            <w:tcW w:w="992" w:type="dxa"/>
            <w:tcBorders>
              <w:top w:val="nil"/>
              <w:left w:val="nil"/>
              <w:bottom w:val="single" w:sz="4" w:space="0" w:color="969696"/>
              <w:right w:val="double" w:sz="6" w:space="0" w:color="auto"/>
            </w:tcBorders>
            <w:shd w:val="clear" w:color="auto" w:fill="auto"/>
            <w:noWrap/>
            <w:vAlign w:val="center"/>
          </w:tcPr>
          <w:p w14:paraId="389A3D98"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15%</w:t>
            </w:r>
          </w:p>
        </w:tc>
      </w:tr>
      <w:tr w:rsidR="002370A0" w:rsidRPr="009911A5" w14:paraId="544CE61E" w14:textId="77777777" w:rsidTr="009748AD">
        <w:trPr>
          <w:trHeight w:val="225"/>
          <w:jc w:val="center"/>
        </w:trPr>
        <w:tc>
          <w:tcPr>
            <w:tcW w:w="2760" w:type="dxa"/>
            <w:tcBorders>
              <w:top w:val="nil"/>
              <w:left w:val="double" w:sz="6" w:space="0" w:color="auto"/>
              <w:bottom w:val="single" w:sz="4" w:space="0" w:color="969696"/>
              <w:right w:val="nil"/>
            </w:tcBorders>
            <w:shd w:val="clear" w:color="auto" w:fill="auto"/>
            <w:noWrap/>
            <w:vAlign w:val="center"/>
          </w:tcPr>
          <w:p w14:paraId="130C7E81" w14:textId="517D012D" w:rsidR="002370A0" w:rsidRPr="009911A5" w:rsidRDefault="00B9793D" w:rsidP="002370A0">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2370A0" w:rsidRPr="009911A5">
              <w:rPr>
                <w:rFonts w:ascii="Arial" w:hAnsi="Arial" w:cs="Arial"/>
                <w:color w:val="000000"/>
                <w:sz w:val="16"/>
                <w:szCs w:val="16"/>
                <w:lang w:val="en-AU" w:eastAsia="en-AU"/>
              </w:rPr>
              <w:t>Rent- Public</w:t>
            </w:r>
          </w:p>
        </w:tc>
        <w:tc>
          <w:tcPr>
            <w:tcW w:w="949" w:type="dxa"/>
            <w:tcBorders>
              <w:top w:val="nil"/>
              <w:left w:val="single" w:sz="4" w:space="0" w:color="auto"/>
              <w:bottom w:val="single" w:sz="4" w:space="0" w:color="969696"/>
              <w:right w:val="single" w:sz="4" w:space="0" w:color="969696"/>
            </w:tcBorders>
            <w:shd w:val="clear" w:color="auto" w:fill="auto"/>
            <w:noWrap/>
            <w:vAlign w:val="center"/>
          </w:tcPr>
          <w:p w14:paraId="615DDF45" w14:textId="77777777" w:rsidR="002370A0" w:rsidRPr="009911A5" w:rsidRDefault="009911A5">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w:t>
            </w:r>
            <w:r w:rsidR="002370A0" w:rsidRPr="009911A5">
              <w:rPr>
                <w:rFonts w:ascii="Arial" w:hAnsi="Arial" w:cs="Arial"/>
                <w:color w:val="000000"/>
                <w:sz w:val="16"/>
                <w:szCs w:val="16"/>
                <w:lang w:val="en-AU" w:eastAsia="en-AU"/>
              </w:rPr>
              <w:t>%</w:t>
            </w:r>
          </w:p>
        </w:tc>
        <w:tc>
          <w:tcPr>
            <w:tcW w:w="1134" w:type="dxa"/>
            <w:tcBorders>
              <w:top w:val="nil"/>
              <w:left w:val="nil"/>
              <w:bottom w:val="single" w:sz="4" w:space="0" w:color="969696"/>
              <w:right w:val="single" w:sz="4" w:space="0" w:color="969696"/>
            </w:tcBorders>
            <w:shd w:val="clear" w:color="auto" w:fill="auto"/>
            <w:noWrap/>
            <w:vAlign w:val="center"/>
          </w:tcPr>
          <w:p w14:paraId="694B540C"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w:t>
            </w:r>
          </w:p>
        </w:tc>
        <w:tc>
          <w:tcPr>
            <w:tcW w:w="992" w:type="dxa"/>
            <w:tcBorders>
              <w:top w:val="nil"/>
              <w:left w:val="single" w:sz="4" w:space="0" w:color="auto"/>
              <w:bottom w:val="single" w:sz="4" w:space="0" w:color="969696"/>
              <w:right w:val="single" w:sz="4" w:space="0" w:color="969696"/>
            </w:tcBorders>
            <w:shd w:val="clear" w:color="auto" w:fill="auto"/>
            <w:noWrap/>
            <w:vAlign w:val="center"/>
          </w:tcPr>
          <w:p w14:paraId="09E4457A"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67%</w:t>
            </w:r>
          </w:p>
        </w:tc>
        <w:tc>
          <w:tcPr>
            <w:tcW w:w="992" w:type="dxa"/>
            <w:tcBorders>
              <w:top w:val="nil"/>
              <w:left w:val="nil"/>
              <w:bottom w:val="single" w:sz="4" w:space="0" w:color="969696"/>
              <w:right w:val="double" w:sz="6" w:space="0" w:color="auto"/>
            </w:tcBorders>
            <w:shd w:val="clear" w:color="auto" w:fill="auto"/>
            <w:noWrap/>
            <w:vAlign w:val="center"/>
          </w:tcPr>
          <w:p w14:paraId="154A0921" w14:textId="77777777" w:rsidR="002370A0" w:rsidRPr="009911A5" w:rsidRDefault="002370A0">
            <w:pPr>
              <w:spacing w:before="0" w:after="0"/>
              <w:jc w:val="center"/>
              <w:rPr>
                <w:rFonts w:ascii="Arial" w:hAnsi="Arial" w:cs="Arial"/>
                <w:color w:val="000000"/>
                <w:sz w:val="16"/>
                <w:szCs w:val="16"/>
                <w:lang w:val="en-AU" w:eastAsia="en-AU"/>
              </w:rPr>
            </w:pPr>
            <w:r w:rsidRPr="009911A5">
              <w:rPr>
                <w:rFonts w:ascii="Arial" w:hAnsi="Arial" w:cs="Arial"/>
                <w:color w:val="000000"/>
                <w:sz w:val="16"/>
                <w:szCs w:val="16"/>
                <w:lang w:val="en-AU" w:eastAsia="en-AU"/>
              </w:rPr>
              <w:t>2</w:t>
            </w:r>
            <w:r w:rsidR="009911A5" w:rsidRPr="009911A5">
              <w:rPr>
                <w:rFonts w:ascii="Arial" w:hAnsi="Arial" w:cs="Arial"/>
                <w:color w:val="000000"/>
                <w:sz w:val="16"/>
                <w:szCs w:val="16"/>
                <w:lang w:val="en-AU" w:eastAsia="en-AU"/>
              </w:rPr>
              <w:t>1</w:t>
            </w:r>
            <w:r w:rsidRPr="009911A5">
              <w:rPr>
                <w:rFonts w:ascii="Arial" w:hAnsi="Arial" w:cs="Arial"/>
                <w:color w:val="000000"/>
                <w:sz w:val="16"/>
                <w:szCs w:val="16"/>
                <w:lang w:val="en-AU" w:eastAsia="en-AU"/>
              </w:rPr>
              <w:t>%</w:t>
            </w:r>
          </w:p>
        </w:tc>
      </w:tr>
      <w:tr w:rsidR="002370A0" w:rsidRPr="009911A5" w14:paraId="26F614E9" w14:textId="77777777" w:rsidTr="009748AD">
        <w:trPr>
          <w:trHeight w:val="240"/>
          <w:jc w:val="center"/>
        </w:trPr>
        <w:tc>
          <w:tcPr>
            <w:tcW w:w="2760" w:type="dxa"/>
            <w:tcBorders>
              <w:top w:val="nil"/>
              <w:left w:val="double" w:sz="6" w:space="0" w:color="auto"/>
              <w:bottom w:val="double" w:sz="6" w:space="0" w:color="auto"/>
              <w:right w:val="nil"/>
            </w:tcBorders>
            <w:shd w:val="clear" w:color="auto" w:fill="auto"/>
            <w:noWrap/>
            <w:vAlign w:val="center"/>
          </w:tcPr>
          <w:p w14:paraId="2524F068" w14:textId="77777777" w:rsidR="002370A0" w:rsidRPr="009911A5" w:rsidRDefault="002370A0" w:rsidP="002370A0">
            <w:pPr>
              <w:spacing w:before="0" w:after="0"/>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Total HHs</w:t>
            </w:r>
          </w:p>
        </w:tc>
        <w:tc>
          <w:tcPr>
            <w:tcW w:w="949" w:type="dxa"/>
            <w:tcBorders>
              <w:top w:val="nil"/>
              <w:left w:val="single" w:sz="4" w:space="0" w:color="auto"/>
              <w:bottom w:val="double" w:sz="6" w:space="0" w:color="auto"/>
              <w:right w:val="single" w:sz="4" w:space="0" w:color="969696"/>
            </w:tcBorders>
            <w:shd w:val="clear" w:color="auto" w:fill="auto"/>
            <w:noWrap/>
            <w:vAlign w:val="center"/>
          </w:tcPr>
          <w:p w14:paraId="152781A7" w14:textId="77777777" w:rsidR="002370A0" w:rsidRPr="009911A5" w:rsidRDefault="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12%</w:t>
            </w:r>
          </w:p>
        </w:tc>
        <w:tc>
          <w:tcPr>
            <w:tcW w:w="1134" w:type="dxa"/>
            <w:tcBorders>
              <w:top w:val="nil"/>
              <w:left w:val="nil"/>
              <w:bottom w:val="double" w:sz="6" w:space="0" w:color="auto"/>
              <w:right w:val="single" w:sz="4" w:space="0" w:color="969696"/>
            </w:tcBorders>
            <w:shd w:val="clear" w:color="auto" w:fill="auto"/>
            <w:noWrap/>
            <w:vAlign w:val="center"/>
          </w:tcPr>
          <w:p w14:paraId="27A59C2A" w14:textId="77777777" w:rsidR="002370A0" w:rsidRPr="009911A5" w:rsidRDefault="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18%</w:t>
            </w:r>
          </w:p>
        </w:tc>
        <w:tc>
          <w:tcPr>
            <w:tcW w:w="992" w:type="dxa"/>
            <w:tcBorders>
              <w:top w:val="nil"/>
              <w:left w:val="single" w:sz="4" w:space="0" w:color="auto"/>
              <w:bottom w:val="double" w:sz="6" w:space="0" w:color="auto"/>
              <w:right w:val="single" w:sz="4" w:space="0" w:color="969696"/>
            </w:tcBorders>
            <w:shd w:val="clear" w:color="auto" w:fill="auto"/>
            <w:noWrap/>
            <w:vAlign w:val="center"/>
          </w:tcPr>
          <w:p w14:paraId="1764CF74" w14:textId="77777777" w:rsidR="002370A0" w:rsidRPr="009911A5" w:rsidRDefault="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66%</w:t>
            </w:r>
          </w:p>
        </w:tc>
        <w:tc>
          <w:tcPr>
            <w:tcW w:w="992" w:type="dxa"/>
            <w:tcBorders>
              <w:top w:val="nil"/>
              <w:left w:val="nil"/>
              <w:bottom w:val="double" w:sz="6" w:space="0" w:color="auto"/>
              <w:right w:val="double" w:sz="6" w:space="0" w:color="auto"/>
            </w:tcBorders>
            <w:shd w:val="clear" w:color="auto" w:fill="auto"/>
            <w:noWrap/>
            <w:vAlign w:val="center"/>
          </w:tcPr>
          <w:p w14:paraId="1177409A" w14:textId="77777777" w:rsidR="002370A0" w:rsidRPr="009911A5" w:rsidRDefault="002370A0">
            <w:pPr>
              <w:spacing w:before="0" w:after="0"/>
              <w:jc w:val="center"/>
              <w:rPr>
                <w:rFonts w:ascii="Arial" w:hAnsi="Arial" w:cs="Arial"/>
                <w:b/>
                <w:bCs/>
                <w:color w:val="000000"/>
                <w:sz w:val="16"/>
                <w:szCs w:val="16"/>
                <w:lang w:val="en-AU" w:eastAsia="en-AU"/>
              </w:rPr>
            </w:pPr>
            <w:r w:rsidRPr="009911A5">
              <w:rPr>
                <w:rFonts w:ascii="Arial" w:hAnsi="Arial" w:cs="Arial"/>
                <w:b/>
                <w:bCs/>
                <w:color w:val="000000"/>
                <w:sz w:val="16"/>
                <w:szCs w:val="16"/>
                <w:lang w:val="en-AU" w:eastAsia="en-AU"/>
              </w:rPr>
              <w:t>4%</w:t>
            </w:r>
          </w:p>
        </w:tc>
      </w:tr>
    </w:tbl>
    <w:p w14:paraId="498CF4A1" w14:textId="77777777" w:rsidR="00FC6BFF" w:rsidRPr="009911A5" w:rsidRDefault="00FC6BFF" w:rsidP="003920D8">
      <w:pPr>
        <w:pStyle w:val="Para"/>
        <w:ind w:left="4320"/>
        <w:rPr>
          <w:sz w:val="20"/>
          <w:lang w:val="en-AU"/>
        </w:rPr>
      </w:pPr>
      <w:r w:rsidRPr="009911A5">
        <w:rPr>
          <w:sz w:val="20"/>
          <w:lang w:val="en-AU"/>
        </w:rPr>
        <w:t xml:space="preserve">Base: Total respondents, </w:t>
      </w:r>
      <w:r w:rsidR="0058035A" w:rsidRPr="009911A5">
        <w:rPr>
          <w:sz w:val="20"/>
          <w:lang w:val="en-AU"/>
        </w:rPr>
        <w:t xml:space="preserve">2014 (n=1,861) </w:t>
      </w:r>
      <w:r w:rsidRPr="009911A5">
        <w:rPr>
          <w:sz w:val="20"/>
          <w:lang w:val="en-AU"/>
        </w:rPr>
        <w:t>2007 (n=2,061)</w:t>
      </w:r>
    </w:p>
    <w:p w14:paraId="3F9190FE" w14:textId="77777777" w:rsidR="00FC6BFF" w:rsidRPr="009911A5" w:rsidRDefault="00FC6BFF" w:rsidP="00FC6BFF">
      <w:pPr>
        <w:pStyle w:val="Para"/>
        <w:ind w:left="426"/>
        <w:rPr>
          <w:sz w:val="22"/>
          <w:lang w:val="en-AU"/>
        </w:rPr>
      </w:pPr>
    </w:p>
    <w:p w14:paraId="4E742535" w14:textId="77777777" w:rsidR="003920D8" w:rsidRPr="00683AA8" w:rsidRDefault="00465AC1">
      <w:pPr>
        <w:pStyle w:val="Heading3"/>
        <w:tabs>
          <w:tab w:val="clear" w:pos="8517"/>
          <w:tab w:val="num" w:pos="851"/>
        </w:tabs>
        <w:spacing w:before="0"/>
        <w:ind w:hanging="8517"/>
        <w:rPr>
          <w:lang w:val="en-AU"/>
        </w:rPr>
      </w:pPr>
      <w:r w:rsidRPr="00683AA8">
        <w:rPr>
          <w:lang w:val="en-AU"/>
        </w:rPr>
        <w:br w:type="page"/>
      </w:r>
      <w:bookmarkStart w:id="132" w:name="_Toc439198294"/>
      <w:bookmarkStart w:id="133" w:name="_Toc445571677"/>
      <w:r w:rsidR="00FC6BFF" w:rsidRPr="00683AA8">
        <w:rPr>
          <w:lang w:val="en-AU"/>
        </w:rPr>
        <w:lastRenderedPageBreak/>
        <w:t>Number of Bedrooms in the Home</w:t>
      </w:r>
      <w:bookmarkEnd w:id="132"/>
      <w:bookmarkEnd w:id="133"/>
    </w:p>
    <w:p w14:paraId="58C4404A" w14:textId="77777777" w:rsidR="00FC6BFF" w:rsidRPr="00DA3B75" w:rsidRDefault="00FC6BFF" w:rsidP="00FC6BFF">
      <w:pPr>
        <w:pStyle w:val="Para"/>
        <w:rPr>
          <w:highlight w:val="yellow"/>
          <w:lang w:val="en-AU"/>
        </w:rPr>
      </w:pPr>
    </w:p>
    <w:p w14:paraId="7BE32F25" w14:textId="1BBC7349" w:rsidR="00FC6BFF" w:rsidRPr="00683AA8" w:rsidRDefault="00035A07" w:rsidP="00FC6BFF">
      <w:pPr>
        <w:pStyle w:val="Para"/>
        <w:rPr>
          <w:lang w:val="en-AU"/>
        </w:rPr>
      </w:pPr>
      <w:r w:rsidRPr="00683AA8">
        <w:rPr>
          <w:lang w:val="en-AU"/>
        </w:rPr>
        <w:t>Overall, h</w:t>
      </w:r>
      <w:r w:rsidR="00D25C92" w:rsidRPr="00683AA8">
        <w:rPr>
          <w:lang w:val="en-AU"/>
        </w:rPr>
        <w:t>omes most commonly had three bedrooms (52%)</w:t>
      </w:r>
      <w:r w:rsidR="0057268F" w:rsidRPr="00683AA8">
        <w:rPr>
          <w:lang w:val="en-AU"/>
        </w:rPr>
        <w:t xml:space="preserve"> – see Table 3.3.10a</w:t>
      </w:r>
      <w:r w:rsidR="007C3994" w:rsidRPr="00683AA8">
        <w:rPr>
          <w:lang w:val="en-AU"/>
        </w:rPr>
        <w:t>. The next most common category was four or more bedrooms: in total, therefore</w:t>
      </w:r>
      <w:r w:rsidR="00041263">
        <w:rPr>
          <w:lang w:val="en-AU"/>
        </w:rPr>
        <w:t>,</w:t>
      </w:r>
      <w:r w:rsidR="007C3994" w:rsidRPr="00683AA8">
        <w:rPr>
          <w:lang w:val="en-AU"/>
        </w:rPr>
        <w:t xml:space="preserve"> 81% of homes in 2014 had 3 or more bedrooms</w:t>
      </w:r>
      <w:r w:rsidR="00D25C92" w:rsidRPr="00683AA8">
        <w:rPr>
          <w:lang w:val="en-AU"/>
        </w:rPr>
        <w:t>.  As might be expected, the number of bedrooms was higher amongst home</w:t>
      </w:r>
      <w:r w:rsidR="00C212F5" w:rsidRPr="00683AA8">
        <w:rPr>
          <w:lang w:val="en-AU"/>
        </w:rPr>
        <w:t xml:space="preserve"> </w:t>
      </w:r>
      <w:r w:rsidR="00D25C92" w:rsidRPr="00683AA8">
        <w:rPr>
          <w:lang w:val="en-AU"/>
        </w:rPr>
        <w:t>owners/buyers, with 87% having three or more bedrooms, compared with 5</w:t>
      </w:r>
      <w:r w:rsidRPr="00683AA8">
        <w:rPr>
          <w:lang w:val="en-AU"/>
        </w:rPr>
        <w:t>4</w:t>
      </w:r>
      <w:r w:rsidR="00D25C92" w:rsidRPr="00683AA8">
        <w:rPr>
          <w:lang w:val="en-AU"/>
        </w:rPr>
        <w:t>% of private and 5</w:t>
      </w:r>
      <w:r w:rsidRPr="00683AA8">
        <w:rPr>
          <w:lang w:val="en-AU"/>
        </w:rPr>
        <w:t>2</w:t>
      </w:r>
      <w:r w:rsidR="00D25C92" w:rsidRPr="00683AA8">
        <w:rPr>
          <w:lang w:val="en-AU"/>
        </w:rPr>
        <w:t>% of public rental homes.  Public renters were also the most likely group to live in one-bedroom homes (</w:t>
      </w:r>
      <w:r w:rsidRPr="00683AA8">
        <w:rPr>
          <w:lang w:val="en-AU"/>
        </w:rPr>
        <w:t>22</w:t>
      </w:r>
      <w:r w:rsidR="004500B3" w:rsidRPr="00683AA8">
        <w:rPr>
          <w:lang w:val="en-AU"/>
        </w:rPr>
        <w:t>%), compared with 7% of private renters and 1% of owners/buyers.</w:t>
      </w:r>
      <w:r w:rsidR="00D25C92" w:rsidRPr="00683AA8">
        <w:rPr>
          <w:lang w:val="en-AU"/>
        </w:rPr>
        <w:t xml:space="preserve">  </w:t>
      </w:r>
      <w:r w:rsidR="007C3994" w:rsidRPr="00683AA8">
        <w:rPr>
          <w:lang w:val="en-AU"/>
        </w:rPr>
        <w:t>F</w:t>
      </w:r>
      <w:r w:rsidR="00D25C92" w:rsidRPr="00683AA8">
        <w:rPr>
          <w:lang w:val="en-AU"/>
        </w:rPr>
        <w:t>our or more bedrooms w</w:t>
      </w:r>
      <w:r w:rsidR="007C3994" w:rsidRPr="00683AA8">
        <w:rPr>
          <w:lang w:val="en-AU"/>
        </w:rPr>
        <w:t>ere more commonly found</w:t>
      </w:r>
      <w:r w:rsidR="00D25C92" w:rsidRPr="00683AA8">
        <w:rPr>
          <w:lang w:val="en-AU"/>
        </w:rPr>
        <w:t xml:space="preserve"> amongst non-concession (</w:t>
      </w:r>
      <w:r w:rsidRPr="00683AA8">
        <w:rPr>
          <w:lang w:val="en-AU"/>
        </w:rPr>
        <w:t>37</w:t>
      </w:r>
      <w:r w:rsidR="00D25C92" w:rsidRPr="00683AA8">
        <w:rPr>
          <w:lang w:val="en-AU"/>
        </w:rPr>
        <w:t xml:space="preserve">%) than </w:t>
      </w:r>
      <w:r w:rsidR="007C3994" w:rsidRPr="00683AA8">
        <w:rPr>
          <w:lang w:val="en-AU"/>
        </w:rPr>
        <w:t xml:space="preserve">amongst </w:t>
      </w:r>
      <w:r w:rsidR="00D25C92" w:rsidRPr="00683AA8">
        <w:rPr>
          <w:lang w:val="en-AU"/>
        </w:rPr>
        <w:t>concession (</w:t>
      </w:r>
      <w:r w:rsidRPr="00683AA8">
        <w:rPr>
          <w:lang w:val="en-AU"/>
        </w:rPr>
        <w:t>20</w:t>
      </w:r>
      <w:r w:rsidR="00D25C92" w:rsidRPr="00683AA8">
        <w:rPr>
          <w:lang w:val="en-AU"/>
        </w:rPr>
        <w:t>%) households</w:t>
      </w:r>
      <w:r w:rsidR="007C3994" w:rsidRPr="00683AA8">
        <w:rPr>
          <w:lang w:val="en-AU"/>
        </w:rPr>
        <w:t>.  Four or more bedrooms were also more commonly found in more recently built homes than in older homes (</w:t>
      </w:r>
      <w:r w:rsidR="00D25C92" w:rsidRPr="00683AA8">
        <w:rPr>
          <w:lang w:val="en-AU"/>
        </w:rPr>
        <w:t>2</w:t>
      </w:r>
      <w:r w:rsidR="004500B3" w:rsidRPr="00683AA8">
        <w:rPr>
          <w:lang w:val="en-AU"/>
        </w:rPr>
        <w:t>7</w:t>
      </w:r>
      <w:r w:rsidR="00D25C92" w:rsidRPr="00683AA8">
        <w:rPr>
          <w:lang w:val="en-AU"/>
        </w:rPr>
        <w:t xml:space="preserve">% of homes built before 1991 </w:t>
      </w:r>
      <w:r w:rsidR="007C3994" w:rsidRPr="00683AA8">
        <w:rPr>
          <w:lang w:val="en-AU"/>
        </w:rPr>
        <w:t xml:space="preserve">had four or more bedrooms, compared with 35% of those built between 1991 and 2004 and 37% </w:t>
      </w:r>
      <w:r w:rsidR="00D25C92" w:rsidRPr="00683AA8">
        <w:rPr>
          <w:lang w:val="en-AU"/>
        </w:rPr>
        <w:t>of those built after 2004</w:t>
      </w:r>
      <w:r w:rsidR="004500B3" w:rsidRPr="00683AA8">
        <w:rPr>
          <w:lang w:val="en-AU"/>
        </w:rPr>
        <w:t>)</w:t>
      </w:r>
      <w:r w:rsidR="00D25C92" w:rsidRPr="00683AA8">
        <w:rPr>
          <w:lang w:val="en-AU"/>
        </w:rPr>
        <w:t>.</w:t>
      </w:r>
    </w:p>
    <w:p w14:paraId="55949D98" w14:textId="77777777" w:rsidR="00FC6BFF" w:rsidRPr="00DA3B75" w:rsidRDefault="00FC6BFF" w:rsidP="00FC6BFF">
      <w:pPr>
        <w:pStyle w:val="Para"/>
        <w:rPr>
          <w:highlight w:val="yellow"/>
          <w:lang w:val="en-AU"/>
        </w:rPr>
      </w:pPr>
    </w:p>
    <w:p w14:paraId="416EB380" w14:textId="77777777" w:rsidR="00FC6BFF" w:rsidRPr="00683AA8" w:rsidRDefault="00FC6BFF" w:rsidP="003920D8">
      <w:pPr>
        <w:pStyle w:val="Para"/>
        <w:spacing w:after="120"/>
        <w:jc w:val="center"/>
        <w:outlineLvl w:val="0"/>
        <w:rPr>
          <w:b/>
          <w:u w:val="single"/>
          <w:lang w:val="en-AU"/>
        </w:rPr>
      </w:pPr>
      <w:r w:rsidRPr="00683AA8">
        <w:rPr>
          <w:b/>
          <w:lang w:val="en-AU"/>
        </w:rPr>
        <w:t>Table 3.3.</w:t>
      </w:r>
      <w:r w:rsidR="00FF5CB5" w:rsidRPr="00683AA8">
        <w:rPr>
          <w:b/>
          <w:lang w:val="en-AU"/>
        </w:rPr>
        <w:t>10</w:t>
      </w:r>
      <w:r w:rsidR="007C3994" w:rsidRPr="00683AA8">
        <w:rPr>
          <w:b/>
          <w:lang w:val="en-AU"/>
        </w:rPr>
        <w:t>a</w:t>
      </w:r>
      <w:r w:rsidRPr="00683AA8">
        <w:rPr>
          <w:b/>
          <w:lang w:val="en-AU"/>
        </w:rPr>
        <w:t xml:space="preserve">: </w:t>
      </w:r>
      <w:r w:rsidRPr="00683AA8">
        <w:rPr>
          <w:b/>
          <w:u w:val="single"/>
          <w:lang w:val="en-AU"/>
        </w:rPr>
        <w:t xml:space="preserve">Number of Bedrooms in the Home by </w:t>
      </w:r>
      <w:r w:rsidR="007C3994" w:rsidRPr="00683AA8">
        <w:rPr>
          <w:b/>
          <w:u w:val="single"/>
          <w:lang w:val="en-AU"/>
        </w:rPr>
        <w:t>Concession Status</w:t>
      </w:r>
      <w:r w:rsidRPr="00683AA8">
        <w:rPr>
          <w:b/>
          <w:u w:val="single"/>
          <w:lang w:val="en-AU"/>
        </w:rPr>
        <w:t>, Home Ownership Status and Date Built</w:t>
      </w:r>
    </w:p>
    <w:tbl>
      <w:tblPr>
        <w:tblW w:w="7658" w:type="dxa"/>
        <w:jc w:val="center"/>
        <w:tblLook w:val="04A0" w:firstRow="1" w:lastRow="0" w:firstColumn="1" w:lastColumn="0" w:noHBand="0" w:noVBand="1"/>
      </w:tblPr>
      <w:tblGrid>
        <w:gridCol w:w="2858"/>
        <w:gridCol w:w="600"/>
        <w:gridCol w:w="600"/>
        <w:gridCol w:w="600"/>
        <w:gridCol w:w="600"/>
        <w:gridCol w:w="600"/>
        <w:gridCol w:w="600"/>
        <w:gridCol w:w="600"/>
        <w:gridCol w:w="600"/>
      </w:tblGrid>
      <w:tr w:rsidR="007C3994" w:rsidRPr="00683AA8" w14:paraId="5BCF672C" w14:textId="77777777" w:rsidTr="003920D8">
        <w:trPr>
          <w:trHeight w:val="330"/>
          <w:jc w:val="center"/>
        </w:trPr>
        <w:tc>
          <w:tcPr>
            <w:tcW w:w="2858" w:type="dxa"/>
            <w:tcBorders>
              <w:top w:val="double" w:sz="6" w:space="0" w:color="auto"/>
              <w:left w:val="double" w:sz="6" w:space="0" w:color="auto"/>
              <w:bottom w:val="single" w:sz="4" w:space="0" w:color="BFBFBF"/>
              <w:right w:val="nil"/>
            </w:tcBorders>
            <w:shd w:val="clear" w:color="auto" w:fill="auto"/>
            <w:noWrap/>
            <w:vAlign w:val="center"/>
          </w:tcPr>
          <w:p w14:paraId="4EE902D3" w14:textId="77777777" w:rsidR="007C3994" w:rsidRPr="00683AA8" w:rsidRDefault="007C3994" w:rsidP="009E5010">
            <w:pPr>
              <w:spacing w:before="0" w:after="0"/>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No. of Bedrooms</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noWrap/>
            <w:vAlign w:val="center"/>
          </w:tcPr>
          <w:p w14:paraId="5C1E43E0" w14:textId="77777777" w:rsidR="007C3994" w:rsidRPr="00683AA8" w:rsidRDefault="007C3994" w:rsidP="009E5010">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One</w:t>
            </w:r>
          </w:p>
        </w:tc>
        <w:tc>
          <w:tcPr>
            <w:tcW w:w="1200" w:type="dxa"/>
            <w:gridSpan w:val="2"/>
            <w:tcBorders>
              <w:top w:val="double" w:sz="6" w:space="0" w:color="auto"/>
              <w:left w:val="nil"/>
              <w:bottom w:val="single" w:sz="4" w:space="0" w:color="BFBFBF"/>
              <w:right w:val="single" w:sz="4" w:space="0" w:color="BFBFBF"/>
            </w:tcBorders>
            <w:shd w:val="clear" w:color="auto" w:fill="auto"/>
            <w:noWrap/>
            <w:vAlign w:val="center"/>
          </w:tcPr>
          <w:p w14:paraId="101EBF72" w14:textId="77777777" w:rsidR="007C3994" w:rsidRPr="00683AA8" w:rsidRDefault="007C3994" w:rsidP="009E5010">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Two</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noWrap/>
            <w:vAlign w:val="center"/>
          </w:tcPr>
          <w:p w14:paraId="06A32E71" w14:textId="77777777" w:rsidR="007C3994" w:rsidRPr="00683AA8" w:rsidRDefault="007C3994" w:rsidP="009E5010">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Three</w:t>
            </w:r>
          </w:p>
        </w:tc>
        <w:tc>
          <w:tcPr>
            <w:tcW w:w="1200" w:type="dxa"/>
            <w:gridSpan w:val="2"/>
            <w:tcBorders>
              <w:top w:val="double" w:sz="6" w:space="0" w:color="auto"/>
              <w:left w:val="nil"/>
              <w:bottom w:val="single" w:sz="4" w:space="0" w:color="BFBFBF"/>
              <w:right w:val="double" w:sz="6" w:space="0" w:color="000000"/>
            </w:tcBorders>
            <w:shd w:val="clear" w:color="auto" w:fill="auto"/>
            <w:noWrap/>
            <w:vAlign w:val="center"/>
          </w:tcPr>
          <w:p w14:paraId="3D39571A" w14:textId="77777777" w:rsidR="007C3994" w:rsidRPr="00683AA8" w:rsidRDefault="007C3994" w:rsidP="009E5010">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Four or more</w:t>
            </w:r>
          </w:p>
        </w:tc>
      </w:tr>
      <w:tr w:rsidR="007C3994" w:rsidRPr="00683AA8" w14:paraId="783A6AD5"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3EB5DDF3" w14:textId="77777777" w:rsidR="007C3994" w:rsidRPr="00683AA8" w:rsidRDefault="007C3994" w:rsidP="009E5010">
            <w:pPr>
              <w:spacing w:before="0" w:after="0"/>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2107A62"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2D33E9E7"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3BA116C3"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2DF31A7F"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24C43F0"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22D74B2C"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386B8990"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2014</w:t>
            </w:r>
          </w:p>
        </w:tc>
        <w:tc>
          <w:tcPr>
            <w:tcW w:w="600" w:type="dxa"/>
            <w:tcBorders>
              <w:top w:val="nil"/>
              <w:left w:val="nil"/>
              <w:bottom w:val="single" w:sz="4" w:space="0" w:color="BFBFBF"/>
              <w:right w:val="double" w:sz="6" w:space="0" w:color="auto"/>
            </w:tcBorders>
            <w:shd w:val="clear" w:color="auto" w:fill="auto"/>
            <w:noWrap/>
            <w:vAlign w:val="center"/>
          </w:tcPr>
          <w:p w14:paraId="10892418"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2007</w:t>
            </w:r>
          </w:p>
        </w:tc>
      </w:tr>
      <w:tr w:rsidR="007C3994" w:rsidRPr="00683AA8" w14:paraId="69688AE6"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74215D78" w14:textId="77777777" w:rsidR="007C3994" w:rsidRPr="00683AA8" w:rsidRDefault="007C3994" w:rsidP="009E5010">
            <w:pPr>
              <w:spacing w:before="0" w:after="0"/>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By Concession Status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F0BBA9B" w14:textId="77777777" w:rsidR="007C3994" w:rsidRPr="00683AA8" w:rsidRDefault="007C3994"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4002A972" w14:textId="77777777" w:rsidR="007C3994" w:rsidRPr="00683AA8" w:rsidRDefault="007C3994"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412B4BC9" w14:textId="77777777" w:rsidR="007C3994" w:rsidRPr="00683AA8" w:rsidRDefault="007C3994"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350741E6" w14:textId="77777777" w:rsidR="007C3994" w:rsidRPr="00683AA8" w:rsidRDefault="007C3994" w:rsidP="00D10D53">
            <w:pPr>
              <w:spacing w:before="0" w:after="0"/>
              <w:jc w:val="center"/>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277F343" w14:textId="77777777" w:rsidR="007C3994" w:rsidRPr="00683AA8" w:rsidRDefault="007C3994"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7EBC41F4" w14:textId="77777777" w:rsidR="007C3994" w:rsidRPr="00683AA8" w:rsidRDefault="007C3994"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173B2E25" w14:textId="77777777" w:rsidR="007C3994" w:rsidRPr="00683AA8" w:rsidRDefault="007C3994"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546608B3" w14:textId="77777777" w:rsidR="007C3994" w:rsidRPr="00683AA8" w:rsidRDefault="007C3994" w:rsidP="00D10D53">
            <w:pPr>
              <w:spacing w:before="0" w:after="0"/>
              <w:jc w:val="center"/>
              <w:rPr>
                <w:rFonts w:ascii="Arial" w:hAnsi="Arial" w:cs="Arial"/>
                <w:b/>
                <w:bCs/>
                <w:color w:val="000000"/>
                <w:sz w:val="16"/>
                <w:szCs w:val="16"/>
                <w:lang w:val="en-AU" w:eastAsia="en-AU"/>
              </w:rPr>
            </w:pPr>
          </w:p>
        </w:tc>
      </w:tr>
      <w:tr w:rsidR="007C3994" w:rsidRPr="00683AA8" w14:paraId="5974D935"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6AA58B85" w14:textId="77777777" w:rsidR="007C3994" w:rsidRPr="00683AA8" w:rsidRDefault="007C3994" w:rsidP="009E5010">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Aged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BE651B8"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7DD9E8F7"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2BCB45F1" w14:textId="77777777" w:rsidR="007C3994"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19</w:t>
            </w:r>
            <w:r w:rsidR="007C3994" w:rsidRPr="00683AA8">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3046EBEB"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26%</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BD56725"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56%</w:t>
            </w:r>
          </w:p>
        </w:tc>
        <w:tc>
          <w:tcPr>
            <w:tcW w:w="600" w:type="dxa"/>
            <w:tcBorders>
              <w:top w:val="nil"/>
              <w:left w:val="nil"/>
              <w:bottom w:val="single" w:sz="4" w:space="0" w:color="BFBFBF"/>
              <w:right w:val="single" w:sz="4" w:space="0" w:color="auto"/>
            </w:tcBorders>
            <w:shd w:val="clear" w:color="auto" w:fill="auto"/>
            <w:noWrap/>
            <w:vAlign w:val="center"/>
          </w:tcPr>
          <w:p w14:paraId="34E2C8F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56%</w:t>
            </w:r>
          </w:p>
        </w:tc>
        <w:tc>
          <w:tcPr>
            <w:tcW w:w="600" w:type="dxa"/>
            <w:tcBorders>
              <w:top w:val="nil"/>
              <w:left w:val="nil"/>
              <w:bottom w:val="single" w:sz="4" w:space="0" w:color="BFBFBF"/>
              <w:right w:val="single" w:sz="4" w:space="0" w:color="BFBFBF"/>
            </w:tcBorders>
            <w:shd w:val="clear" w:color="auto" w:fill="auto"/>
            <w:noWrap/>
            <w:vAlign w:val="center"/>
          </w:tcPr>
          <w:p w14:paraId="7B43788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21%</w:t>
            </w:r>
          </w:p>
        </w:tc>
        <w:tc>
          <w:tcPr>
            <w:tcW w:w="600" w:type="dxa"/>
            <w:tcBorders>
              <w:top w:val="nil"/>
              <w:left w:val="nil"/>
              <w:bottom w:val="single" w:sz="4" w:space="0" w:color="BFBFBF"/>
              <w:right w:val="double" w:sz="6" w:space="0" w:color="auto"/>
            </w:tcBorders>
            <w:shd w:val="clear" w:color="auto" w:fill="auto"/>
            <w:noWrap/>
            <w:vAlign w:val="center"/>
          </w:tcPr>
          <w:p w14:paraId="6672B41E"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14%</w:t>
            </w:r>
          </w:p>
        </w:tc>
      </w:tr>
      <w:tr w:rsidR="007C3994" w:rsidRPr="00683AA8" w14:paraId="7E40A6C4"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72BDBF2F" w14:textId="77777777" w:rsidR="007C3994" w:rsidRPr="00683AA8" w:rsidRDefault="007C3994" w:rsidP="009E5010">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Other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45C74B8"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19F6A06C"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BFBFBF"/>
            </w:tcBorders>
            <w:shd w:val="clear" w:color="auto" w:fill="auto"/>
            <w:noWrap/>
            <w:vAlign w:val="center"/>
          </w:tcPr>
          <w:p w14:paraId="2575002A"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21%</w:t>
            </w:r>
          </w:p>
        </w:tc>
        <w:tc>
          <w:tcPr>
            <w:tcW w:w="600" w:type="dxa"/>
            <w:tcBorders>
              <w:top w:val="nil"/>
              <w:left w:val="nil"/>
              <w:bottom w:val="single" w:sz="4" w:space="0" w:color="BFBFBF"/>
              <w:right w:val="nil"/>
            </w:tcBorders>
            <w:shd w:val="clear" w:color="auto" w:fill="auto"/>
            <w:noWrap/>
            <w:vAlign w:val="center"/>
          </w:tcPr>
          <w:p w14:paraId="1494163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18%</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023FB7E"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54%</w:t>
            </w:r>
          </w:p>
        </w:tc>
        <w:tc>
          <w:tcPr>
            <w:tcW w:w="600" w:type="dxa"/>
            <w:tcBorders>
              <w:top w:val="nil"/>
              <w:left w:val="nil"/>
              <w:bottom w:val="single" w:sz="4" w:space="0" w:color="BFBFBF"/>
              <w:right w:val="single" w:sz="4" w:space="0" w:color="auto"/>
            </w:tcBorders>
            <w:shd w:val="clear" w:color="auto" w:fill="auto"/>
            <w:noWrap/>
            <w:vAlign w:val="center"/>
          </w:tcPr>
          <w:p w14:paraId="4F73D243"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60%</w:t>
            </w:r>
          </w:p>
        </w:tc>
        <w:tc>
          <w:tcPr>
            <w:tcW w:w="600" w:type="dxa"/>
            <w:tcBorders>
              <w:top w:val="nil"/>
              <w:left w:val="nil"/>
              <w:bottom w:val="single" w:sz="4" w:space="0" w:color="BFBFBF"/>
              <w:right w:val="single" w:sz="4" w:space="0" w:color="BFBFBF"/>
            </w:tcBorders>
            <w:shd w:val="clear" w:color="auto" w:fill="auto"/>
            <w:noWrap/>
            <w:vAlign w:val="center"/>
          </w:tcPr>
          <w:p w14:paraId="295624BD"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19%</w:t>
            </w:r>
          </w:p>
        </w:tc>
        <w:tc>
          <w:tcPr>
            <w:tcW w:w="600" w:type="dxa"/>
            <w:tcBorders>
              <w:top w:val="nil"/>
              <w:left w:val="nil"/>
              <w:bottom w:val="single" w:sz="4" w:space="0" w:color="BFBFBF"/>
              <w:right w:val="double" w:sz="6" w:space="0" w:color="auto"/>
            </w:tcBorders>
            <w:shd w:val="clear" w:color="auto" w:fill="auto"/>
            <w:noWrap/>
            <w:vAlign w:val="center"/>
          </w:tcPr>
          <w:p w14:paraId="68CC3CAD"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15%</w:t>
            </w:r>
          </w:p>
        </w:tc>
      </w:tr>
      <w:tr w:rsidR="007C3994" w:rsidRPr="00683AA8" w14:paraId="0980FE94"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114A98F4" w14:textId="77777777" w:rsidR="007C3994" w:rsidRPr="00683AA8" w:rsidRDefault="007C3994" w:rsidP="009E5010">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Total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5DA83E8"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5B034F1E"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BFBFBF"/>
            </w:tcBorders>
            <w:shd w:val="clear" w:color="auto" w:fill="auto"/>
            <w:noWrap/>
            <w:vAlign w:val="center"/>
          </w:tcPr>
          <w:p w14:paraId="28FF2B36"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20%</w:t>
            </w:r>
          </w:p>
        </w:tc>
        <w:tc>
          <w:tcPr>
            <w:tcW w:w="600" w:type="dxa"/>
            <w:tcBorders>
              <w:top w:val="nil"/>
              <w:left w:val="nil"/>
              <w:bottom w:val="single" w:sz="4" w:space="0" w:color="BFBFBF"/>
              <w:right w:val="nil"/>
            </w:tcBorders>
            <w:shd w:val="clear" w:color="auto" w:fill="auto"/>
            <w:noWrap/>
            <w:vAlign w:val="center"/>
          </w:tcPr>
          <w:p w14:paraId="60296D03"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0480759"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55%</w:t>
            </w:r>
          </w:p>
        </w:tc>
        <w:tc>
          <w:tcPr>
            <w:tcW w:w="600" w:type="dxa"/>
            <w:tcBorders>
              <w:top w:val="nil"/>
              <w:left w:val="nil"/>
              <w:bottom w:val="single" w:sz="4" w:space="0" w:color="BFBFBF"/>
              <w:right w:val="single" w:sz="4" w:space="0" w:color="auto"/>
            </w:tcBorders>
            <w:shd w:val="clear" w:color="auto" w:fill="auto"/>
            <w:noWrap/>
            <w:vAlign w:val="center"/>
          </w:tcPr>
          <w:p w14:paraId="564EB374"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58%</w:t>
            </w:r>
          </w:p>
        </w:tc>
        <w:tc>
          <w:tcPr>
            <w:tcW w:w="600" w:type="dxa"/>
            <w:tcBorders>
              <w:top w:val="nil"/>
              <w:left w:val="nil"/>
              <w:bottom w:val="single" w:sz="4" w:space="0" w:color="BFBFBF"/>
              <w:right w:val="single" w:sz="4" w:space="0" w:color="BFBFBF"/>
            </w:tcBorders>
            <w:shd w:val="clear" w:color="auto" w:fill="auto"/>
            <w:noWrap/>
            <w:vAlign w:val="center"/>
          </w:tcPr>
          <w:p w14:paraId="244745FB"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20%</w:t>
            </w:r>
          </w:p>
        </w:tc>
        <w:tc>
          <w:tcPr>
            <w:tcW w:w="600" w:type="dxa"/>
            <w:tcBorders>
              <w:top w:val="nil"/>
              <w:left w:val="nil"/>
              <w:bottom w:val="single" w:sz="4" w:space="0" w:color="BFBFBF"/>
              <w:right w:val="double" w:sz="6" w:space="0" w:color="auto"/>
            </w:tcBorders>
            <w:shd w:val="clear" w:color="auto" w:fill="auto"/>
            <w:noWrap/>
            <w:vAlign w:val="center"/>
          </w:tcPr>
          <w:p w14:paraId="5D5463AE"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15%</w:t>
            </w:r>
          </w:p>
        </w:tc>
      </w:tr>
      <w:tr w:rsidR="007C3994" w:rsidRPr="00683AA8" w14:paraId="02B23F59"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34B32A9D" w14:textId="77777777" w:rsidR="007C3994" w:rsidRPr="00683AA8" w:rsidRDefault="007C3994" w:rsidP="009E5010">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Non-Concession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876A16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5A19BFA2"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28D988F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14%</w:t>
            </w:r>
          </w:p>
        </w:tc>
        <w:tc>
          <w:tcPr>
            <w:tcW w:w="600" w:type="dxa"/>
            <w:tcBorders>
              <w:top w:val="nil"/>
              <w:left w:val="nil"/>
              <w:bottom w:val="single" w:sz="4" w:space="0" w:color="BFBFBF"/>
              <w:right w:val="nil"/>
            </w:tcBorders>
            <w:shd w:val="clear" w:color="auto" w:fill="auto"/>
            <w:noWrap/>
            <w:vAlign w:val="center"/>
          </w:tcPr>
          <w:p w14:paraId="3C6725EC"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16%</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C269431"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49%</w:t>
            </w:r>
          </w:p>
        </w:tc>
        <w:tc>
          <w:tcPr>
            <w:tcW w:w="600" w:type="dxa"/>
            <w:tcBorders>
              <w:top w:val="nil"/>
              <w:left w:val="nil"/>
              <w:bottom w:val="single" w:sz="4" w:space="0" w:color="BFBFBF"/>
              <w:right w:val="single" w:sz="4" w:space="0" w:color="auto"/>
            </w:tcBorders>
            <w:shd w:val="clear" w:color="auto" w:fill="auto"/>
            <w:noWrap/>
            <w:vAlign w:val="center"/>
          </w:tcPr>
          <w:p w14:paraId="4F10044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55%</w:t>
            </w:r>
          </w:p>
        </w:tc>
        <w:tc>
          <w:tcPr>
            <w:tcW w:w="600" w:type="dxa"/>
            <w:tcBorders>
              <w:top w:val="nil"/>
              <w:left w:val="nil"/>
              <w:bottom w:val="single" w:sz="4" w:space="0" w:color="BFBFBF"/>
              <w:right w:val="single" w:sz="4" w:space="0" w:color="BFBFBF"/>
            </w:tcBorders>
            <w:shd w:val="clear" w:color="auto" w:fill="auto"/>
            <w:noWrap/>
            <w:vAlign w:val="center"/>
          </w:tcPr>
          <w:p w14:paraId="347FED08"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37%</w:t>
            </w:r>
          </w:p>
        </w:tc>
        <w:tc>
          <w:tcPr>
            <w:tcW w:w="600" w:type="dxa"/>
            <w:tcBorders>
              <w:top w:val="nil"/>
              <w:left w:val="nil"/>
              <w:bottom w:val="single" w:sz="4" w:space="0" w:color="BFBFBF"/>
              <w:right w:val="double" w:sz="6" w:space="0" w:color="auto"/>
            </w:tcBorders>
            <w:shd w:val="clear" w:color="auto" w:fill="auto"/>
            <w:noWrap/>
            <w:vAlign w:val="center"/>
          </w:tcPr>
          <w:p w14:paraId="2AB52752"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26%</w:t>
            </w:r>
          </w:p>
        </w:tc>
      </w:tr>
      <w:tr w:rsidR="007C3994" w:rsidRPr="00683AA8" w14:paraId="3DF8A57C"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0B34E28C" w14:textId="77777777" w:rsidR="007C3994" w:rsidRPr="00683AA8" w:rsidRDefault="007C3994" w:rsidP="009E5010">
            <w:pPr>
              <w:spacing w:before="0" w:after="0"/>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By Ownership Status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6E3C498" w14:textId="77777777" w:rsidR="007C3994" w:rsidRPr="00683AA8" w:rsidRDefault="007C3994"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6AF9BA5F"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096FC42E"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1FC5DA6D"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459468B"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6FF3E5C9"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7AC33F0F"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2F572A25" w14:textId="77777777" w:rsidR="007C3994" w:rsidRPr="00683AA8" w:rsidRDefault="007C3994" w:rsidP="00D10D53">
            <w:pPr>
              <w:spacing w:before="0" w:after="0"/>
              <w:jc w:val="center"/>
              <w:rPr>
                <w:rFonts w:ascii="Arial" w:hAnsi="Arial" w:cs="Arial"/>
                <w:color w:val="000000"/>
                <w:sz w:val="16"/>
                <w:szCs w:val="16"/>
                <w:lang w:val="en-AU" w:eastAsia="en-AU"/>
              </w:rPr>
            </w:pPr>
          </w:p>
        </w:tc>
      </w:tr>
      <w:tr w:rsidR="007C3994" w:rsidRPr="00683AA8" w14:paraId="562769BD"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06F149F0" w14:textId="77777777" w:rsidR="007C3994" w:rsidRPr="00683AA8" w:rsidRDefault="007C3994" w:rsidP="009E5010">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Own/paying off</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1AE1F07"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3FE93B24"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718EA79F"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12%</w:t>
            </w:r>
          </w:p>
        </w:tc>
        <w:tc>
          <w:tcPr>
            <w:tcW w:w="600" w:type="dxa"/>
            <w:tcBorders>
              <w:top w:val="nil"/>
              <w:left w:val="nil"/>
              <w:bottom w:val="single" w:sz="4" w:space="0" w:color="BFBFBF"/>
              <w:right w:val="nil"/>
            </w:tcBorders>
            <w:shd w:val="clear" w:color="auto" w:fill="auto"/>
            <w:noWrap/>
            <w:vAlign w:val="center"/>
          </w:tcPr>
          <w:p w14:paraId="08C16CE9"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F7BDAB7"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54%</w:t>
            </w:r>
          </w:p>
        </w:tc>
        <w:tc>
          <w:tcPr>
            <w:tcW w:w="600" w:type="dxa"/>
            <w:tcBorders>
              <w:top w:val="nil"/>
              <w:left w:val="nil"/>
              <w:bottom w:val="single" w:sz="4" w:space="0" w:color="BFBFBF"/>
              <w:right w:val="single" w:sz="4" w:space="0" w:color="auto"/>
            </w:tcBorders>
            <w:shd w:val="clear" w:color="auto" w:fill="auto"/>
            <w:noWrap/>
            <w:vAlign w:val="center"/>
          </w:tcPr>
          <w:p w14:paraId="4D82A7E6"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55%</w:t>
            </w:r>
          </w:p>
        </w:tc>
        <w:tc>
          <w:tcPr>
            <w:tcW w:w="600" w:type="dxa"/>
            <w:tcBorders>
              <w:top w:val="nil"/>
              <w:left w:val="nil"/>
              <w:bottom w:val="single" w:sz="4" w:space="0" w:color="BFBFBF"/>
              <w:right w:val="single" w:sz="4" w:space="0" w:color="BFBFBF"/>
            </w:tcBorders>
            <w:shd w:val="clear" w:color="auto" w:fill="auto"/>
            <w:noWrap/>
            <w:vAlign w:val="center"/>
          </w:tcPr>
          <w:p w14:paraId="2870017E"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33%</w:t>
            </w:r>
          </w:p>
        </w:tc>
        <w:tc>
          <w:tcPr>
            <w:tcW w:w="600" w:type="dxa"/>
            <w:tcBorders>
              <w:top w:val="nil"/>
              <w:left w:val="nil"/>
              <w:bottom w:val="single" w:sz="4" w:space="0" w:color="BFBFBF"/>
              <w:right w:val="double" w:sz="6" w:space="0" w:color="auto"/>
            </w:tcBorders>
            <w:shd w:val="clear" w:color="auto" w:fill="auto"/>
            <w:noWrap/>
            <w:vAlign w:val="center"/>
          </w:tcPr>
          <w:p w14:paraId="6BF5F791"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32%</w:t>
            </w:r>
          </w:p>
        </w:tc>
      </w:tr>
      <w:tr w:rsidR="007C3994" w:rsidRPr="00683AA8" w14:paraId="584D881F"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41105F70" w14:textId="77777777" w:rsidR="007C3994" w:rsidRPr="00683AA8" w:rsidRDefault="007C3994" w:rsidP="009E5010">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 xml:space="preserve">Rent </w:t>
            </w:r>
            <w:r w:rsidR="001C6B8C" w:rsidRPr="00683AA8">
              <w:rPr>
                <w:rFonts w:ascii="Arial" w:hAnsi="Arial" w:cs="Arial"/>
                <w:color w:val="000000"/>
                <w:sz w:val="16"/>
                <w:szCs w:val="16"/>
                <w:lang w:val="en-AU" w:eastAsia="en-AU"/>
              </w:rPr>
              <w:t>–</w:t>
            </w:r>
            <w:r w:rsidRPr="00683AA8">
              <w:rPr>
                <w:rFonts w:ascii="Arial" w:hAnsi="Arial" w:cs="Arial"/>
                <w:color w:val="000000"/>
                <w:sz w:val="16"/>
                <w:szCs w:val="16"/>
                <w:lang w:val="en-AU" w:eastAsia="en-AU"/>
              </w:rPr>
              <w:t>Private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C2A151E"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6578FA09"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BFBFBF"/>
            </w:tcBorders>
            <w:shd w:val="clear" w:color="auto" w:fill="auto"/>
            <w:noWrap/>
            <w:vAlign w:val="center"/>
          </w:tcPr>
          <w:p w14:paraId="6D1D18D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38%</w:t>
            </w:r>
          </w:p>
        </w:tc>
        <w:tc>
          <w:tcPr>
            <w:tcW w:w="600" w:type="dxa"/>
            <w:tcBorders>
              <w:top w:val="nil"/>
              <w:left w:val="nil"/>
              <w:bottom w:val="single" w:sz="4" w:space="0" w:color="BFBFBF"/>
              <w:right w:val="nil"/>
            </w:tcBorders>
            <w:shd w:val="clear" w:color="auto" w:fill="auto"/>
            <w:noWrap/>
            <w:vAlign w:val="center"/>
          </w:tcPr>
          <w:p w14:paraId="104DD2D6"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49E052E"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41%</w:t>
            </w:r>
          </w:p>
        </w:tc>
        <w:tc>
          <w:tcPr>
            <w:tcW w:w="600" w:type="dxa"/>
            <w:tcBorders>
              <w:top w:val="nil"/>
              <w:left w:val="nil"/>
              <w:bottom w:val="single" w:sz="4" w:space="0" w:color="BFBFBF"/>
              <w:right w:val="single" w:sz="4" w:space="0" w:color="auto"/>
            </w:tcBorders>
            <w:shd w:val="clear" w:color="auto" w:fill="auto"/>
            <w:noWrap/>
            <w:vAlign w:val="center"/>
          </w:tcPr>
          <w:p w14:paraId="0D397A59"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44%</w:t>
            </w:r>
          </w:p>
        </w:tc>
        <w:tc>
          <w:tcPr>
            <w:tcW w:w="600" w:type="dxa"/>
            <w:tcBorders>
              <w:top w:val="nil"/>
              <w:left w:val="nil"/>
              <w:bottom w:val="single" w:sz="4" w:space="0" w:color="BFBFBF"/>
              <w:right w:val="single" w:sz="4" w:space="0" w:color="BFBFBF"/>
            </w:tcBorders>
            <w:shd w:val="clear" w:color="auto" w:fill="auto"/>
            <w:noWrap/>
            <w:vAlign w:val="center"/>
          </w:tcPr>
          <w:p w14:paraId="71176A7E"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13%</w:t>
            </w:r>
          </w:p>
        </w:tc>
        <w:tc>
          <w:tcPr>
            <w:tcW w:w="600" w:type="dxa"/>
            <w:tcBorders>
              <w:top w:val="nil"/>
              <w:left w:val="nil"/>
              <w:bottom w:val="single" w:sz="4" w:space="0" w:color="BFBFBF"/>
              <w:right w:val="double" w:sz="6" w:space="0" w:color="auto"/>
            </w:tcBorders>
            <w:shd w:val="clear" w:color="auto" w:fill="auto"/>
            <w:noWrap/>
            <w:vAlign w:val="center"/>
          </w:tcPr>
          <w:p w14:paraId="2A5D4C86"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8%</w:t>
            </w:r>
          </w:p>
        </w:tc>
      </w:tr>
      <w:tr w:rsidR="007C3994" w:rsidRPr="00683AA8" w14:paraId="1DC68A65"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316BE621" w14:textId="77777777" w:rsidR="007C3994" w:rsidRPr="00683AA8" w:rsidRDefault="007C3994" w:rsidP="009E5010">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Rent- Public</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36843CD"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22%</w:t>
            </w:r>
          </w:p>
        </w:tc>
        <w:tc>
          <w:tcPr>
            <w:tcW w:w="600" w:type="dxa"/>
            <w:tcBorders>
              <w:top w:val="nil"/>
              <w:left w:val="nil"/>
              <w:bottom w:val="single" w:sz="4" w:space="0" w:color="BFBFBF"/>
              <w:right w:val="single" w:sz="4" w:space="0" w:color="auto"/>
            </w:tcBorders>
            <w:shd w:val="clear" w:color="auto" w:fill="auto"/>
            <w:noWrap/>
            <w:vAlign w:val="center"/>
          </w:tcPr>
          <w:p w14:paraId="21FDD1B6"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17%</w:t>
            </w:r>
          </w:p>
        </w:tc>
        <w:tc>
          <w:tcPr>
            <w:tcW w:w="600" w:type="dxa"/>
            <w:tcBorders>
              <w:top w:val="nil"/>
              <w:left w:val="nil"/>
              <w:bottom w:val="single" w:sz="4" w:space="0" w:color="BFBFBF"/>
              <w:right w:val="single" w:sz="4" w:space="0" w:color="BFBFBF"/>
            </w:tcBorders>
            <w:shd w:val="clear" w:color="auto" w:fill="auto"/>
            <w:noWrap/>
            <w:vAlign w:val="center"/>
          </w:tcPr>
          <w:p w14:paraId="2162FC79" w14:textId="77777777" w:rsidR="007C3994"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25</w:t>
            </w:r>
            <w:r w:rsidR="007C3994" w:rsidRPr="00683AA8">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6D7C812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C729A4A"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44%</w:t>
            </w:r>
          </w:p>
        </w:tc>
        <w:tc>
          <w:tcPr>
            <w:tcW w:w="600" w:type="dxa"/>
            <w:tcBorders>
              <w:top w:val="nil"/>
              <w:left w:val="nil"/>
              <w:bottom w:val="single" w:sz="4" w:space="0" w:color="BFBFBF"/>
              <w:right w:val="single" w:sz="4" w:space="0" w:color="auto"/>
            </w:tcBorders>
            <w:shd w:val="clear" w:color="auto" w:fill="auto"/>
            <w:noWrap/>
            <w:vAlign w:val="center"/>
          </w:tcPr>
          <w:p w14:paraId="3395F7DA"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45%</w:t>
            </w:r>
          </w:p>
        </w:tc>
        <w:tc>
          <w:tcPr>
            <w:tcW w:w="600" w:type="dxa"/>
            <w:tcBorders>
              <w:top w:val="nil"/>
              <w:left w:val="nil"/>
              <w:bottom w:val="single" w:sz="4" w:space="0" w:color="BFBFBF"/>
              <w:right w:val="single" w:sz="4" w:space="0" w:color="BFBFBF"/>
            </w:tcBorders>
            <w:shd w:val="clear" w:color="auto" w:fill="auto"/>
            <w:noWrap/>
            <w:vAlign w:val="center"/>
          </w:tcPr>
          <w:p w14:paraId="1B524069"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8%</w:t>
            </w:r>
          </w:p>
        </w:tc>
        <w:tc>
          <w:tcPr>
            <w:tcW w:w="600" w:type="dxa"/>
            <w:tcBorders>
              <w:top w:val="nil"/>
              <w:left w:val="nil"/>
              <w:bottom w:val="single" w:sz="4" w:space="0" w:color="BFBFBF"/>
              <w:right w:val="double" w:sz="6" w:space="0" w:color="auto"/>
            </w:tcBorders>
            <w:shd w:val="clear" w:color="auto" w:fill="auto"/>
            <w:noWrap/>
            <w:vAlign w:val="center"/>
          </w:tcPr>
          <w:p w14:paraId="3D7DCA4C"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6%</w:t>
            </w:r>
          </w:p>
        </w:tc>
      </w:tr>
      <w:tr w:rsidR="007C3994" w:rsidRPr="00683AA8" w14:paraId="6AE45587"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64B814CA" w14:textId="77777777" w:rsidR="007C3994" w:rsidRPr="00683AA8" w:rsidRDefault="007C3994" w:rsidP="009E5010">
            <w:pPr>
              <w:spacing w:before="0" w:after="0"/>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By Date Built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50269E5" w14:textId="77777777" w:rsidR="007C3994" w:rsidRPr="00683AA8" w:rsidRDefault="007C3994"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48A527DE"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02F759E7"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664095C2"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6BE1F13"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56BB0673"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5FF34EDB" w14:textId="77777777" w:rsidR="007C3994" w:rsidRPr="00683AA8" w:rsidRDefault="007C3994"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142502AD" w14:textId="77777777" w:rsidR="007C3994" w:rsidRPr="00683AA8" w:rsidRDefault="007C3994" w:rsidP="00D10D53">
            <w:pPr>
              <w:spacing w:before="0" w:after="0"/>
              <w:jc w:val="center"/>
              <w:rPr>
                <w:rFonts w:ascii="Arial" w:hAnsi="Arial" w:cs="Arial"/>
                <w:color w:val="000000"/>
                <w:sz w:val="16"/>
                <w:szCs w:val="16"/>
                <w:lang w:val="en-AU" w:eastAsia="en-AU"/>
              </w:rPr>
            </w:pPr>
          </w:p>
        </w:tc>
      </w:tr>
      <w:tr w:rsidR="007C3994" w:rsidRPr="00683AA8" w14:paraId="2CC17EDD"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54B1FC1A" w14:textId="77777777" w:rsidR="007C3994" w:rsidRPr="00683AA8" w:rsidRDefault="007C3994" w:rsidP="009E5010">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After 2004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B21463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568E89FC"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35506DA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15%</w:t>
            </w:r>
          </w:p>
        </w:tc>
        <w:tc>
          <w:tcPr>
            <w:tcW w:w="600" w:type="dxa"/>
            <w:tcBorders>
              <w:top w:val="nil"/>
              <w:left w:val="nil"/>
              <w:bottom w:val="single" w:sz="4" w:space="0" w:color="BFBFBF"/>
              <w:right w:val="nil"/>
            </w:tcBorders>
            <w:shd w:val="clear" w:color="auto" w:fill="auto"/>
            <w:noWrap/>
            <w:vAlign w:val="center"/>
          </w:tcPr>
          <w:p w14:paraId="698A6E3C"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EB3EF33"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46%</w:t>
            </w:r>
          </w:p>
        </w:tc>
        <w:tc>
          <w:tcPr>
            <w:tcW w:w="600" w:type="dxa"/>
            <w:tcBorders>
              <w:top w:val="nil"/>
              <w:left w:val="nil"/>
              <w:bottom w:val="single" w:sz="4" w:space="0" w:color="BFBFBF"/>
              <w:right w:val="single" w:sz="4" w:space="0" w:color="auto"/>
            </w:tcBorders>
            <w:shd w:val="clear" w:color="auto" w:fill="auto"/>
            <w:noWrap/>
            <w:vAlign w:val="center"/>
          </w:tcPr>
          <w:p w14:paraId="57EC7DF3"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42%</w:t>
            </w:r>
          </w:p>
        </w:tc>
        <w:tc>
          <w:tcPr>
            <w:tcW w:w="600" w:type="dxa"/>
            <w:tcBorders>
              <w:top w:val="nil"/>
              <w:left w:val="nil"/>
              <w:bottom w:val="single" w:sz="4" w:space="0" w:color="BFBFBF"/>
              <w:right w:val="single" w:sz="4" w:space="0" w:color="BFBFBF"/>
            </w:tcBorders>
            <w:shd w:val="clear" w:color="auto" w:fill="auto"/>
            <w:noWrap/>
            <w:vAlign w:val="center"/>
          </w:tcPr>
          <w:p w14:paraId="26A8A806"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37%</w:t>
            </w:r>
          </w:p>
        </w:tc>
        <w:tc>
          <w:tcPr>
            <w:tcW w:w="600" w:type="dxa"/>
            <w:tcBorders>
              <w:top w:val="nil"/>
              <w:left w:val="nil"/>
              <w:bottom w:val="single" w:sz="4" w:space="0" w:color="BFBFBF"/>
              <w:right w:val="double" w:sz="6" w:space="0" w:color="auto"/>
            </w:tcBorders>
            <w:shd w:val="clear" w:color="auto" w:fill="auto"/>
            <w:noWrap/>
            <w:vAlign w:val="center"/>
          </w:tcPr>
          <w:p w14:paraId="2F42B25E"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38%</w:t>
            </w:r>
          </w:p>
        </w:tc>
      </w:tr>
      <w:tr w:rsidR="007C3994" w:rsidRPr="00683AA8" w14:paraId="3DE2067C"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162CBF67" w14:textId="77777777" w:rsidR="007C3994" w:rsidRPr="00683AA8" w:rsidRDefault="007C3994" w:rsidP="009E5010">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1991 to 2004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DB78119"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13E07C25"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260745AD"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17%</w:t>
            </w:r>
          </w:p>
        </w:tc>
        <w:tc>
          <w:tcPr>
            <w:tcW w:w="600" w:type="dxa"/>
            <w:tcBorders>
              <w:top w:val="nil"/>
              <w:left w:val="nil"/>
              <w:bottom w:val="single" w:sz="4" w:space="0" w:color="BFBFBF"/>
              <w:right w:val="nil"/>
            </w:tcBorders>
            <w:shd w:val="clear" w:color="auto" w:fill="auto"/>
            <w:noWrap/>
            <w:vAlign w:val="center"/>
          </w:tcPr>
          <w:p w14:paraId="0008B41A"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8F1EA09"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46%</w:t>
            </w:r>
          </w:p>
        </w:tc>
        <w:tc>
          <w:tcPr>
            <w:tcW w:w="600" w:type="dxa"/>
            <w:tcBorders>
              <w:top w:val="nil"/>
              <w:left w:val="nil"/>
              <w:bottom w:val="single" w:sz="4" w:space="0" w:color="BFBFBF"/>
              <w:right w:val="single" w:sz="4" w:space="0" w:color="auto"/>
            </w:tcBorders>
            <w:shd w:val="clear" w:color="auto" w:fill="auto"/>
            <w:noWrap/>
            <w:vAlign w:val="center"/>
          </w:tcPr>
          <w:p w14:paraId="23AC5C0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52%</w:t>
            </w:r>
          </w:p>
        </w:tc>
        <w:tc>
          <w:tcPr>
            <w:tcW w:w="600" w:type="dxa"/>
            <w:tcBorders>
              <w:top w:val="nil"/>
              <w:left w:val="nil"/>
              <w:bottom w:val="single" w:sz="4" w:space="0" w:color="BFBFBF"/>
              <w:right w:val="single" w:sz="4" w:space="0" w:color="BFBFBF"/>
            </w:tcBorders>
            <w:shd w:val="clear" w:color="auto" w:fill="auto"/>
            <w:noWrap/>
            <w:vAlign w:val="center"/>
          </w:tcPr>
          <w:p w14:paraId="26522F5D"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35%</w:t>
            </w:r>
          </w:p>
        </w:tc>
        <w:tc>
          <w:tcPr>
            <w:tcW w:w="600" w:type="dxa"/>
            <w:tcBorders>
              <w:top w:val="nil"/>
              <w:left w:val="nil"/>
              <w:bottom w:val="single" w:sz="4" w:space="0" w:color="BFBFBF"/>
              <w:right w:val="double" w:sz="6" w:space="0" w:color="auto"/>
            </w:tcBorders>
            <w:shd w:val="clear" w:color="auto" w:fill="auto"/>
            <w:noWrap/>
            <w:vAlign w:val="center"/>
          </w:tcPr>
          <w:p w14:paraId="39EFC193"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31%</w:t>
            </w:r>
          </w:p>
        </w:tc>
      </w:tr>
      <w:tr w:rsidR="007C3994" w:rsidRPr="00683AA8" w14:paraId="29EFEDDA"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231F93F9" w14:textId="77777777" w:rsidR="007C3994" w:rsidRPr="00683AA8" w:rsidRDefault="007C3994" w:rsidP="009E5010">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Before 1991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D7C7188"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7A1C191D"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22FC5BE8" w14:textId="77777777" w:rsidR="007C3994" w:rsidRPr="00683AA8" w:rsidRDefault="007C3994"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w:t>
            </w:r>
            <w:r w:rsidR="00683AA8" w:rsidRPr="00683AA8">
              <w:rPr>
                <w:rFonts w:ascii="Arial" w:hAnsi="Arial" w:cs="Arial"/>
                <w:color w:val="000000"/>
                <w:sz w:val="16"/>
                <w:szCs w:val="16"/>
                <w:lang w:val="en-AU" w:eastAsia="en-AU"/>
              </w:rPr>
              <w:t>5</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465E9C30"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69AAD29"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55%</w:t>
            </w:r>
          </w:p>
        </w:tc>
        <w:tc>
          <w:tcPr>
            <w:tcW w:w="600" w:type="dxa"/>
            <w:tcBorders>
              <w:top w:val="nil"/>
              <w:left w:val="nil"/>
              <w:bottom w:val="single" w:sz="4" w:space="0" w:color="BFBFBF"/>
              <w:right w:val="single" w:sz="4" w:space="0" w:color="auto"/>
            </w:tcBorders>
            <w:shd w:val="clear" w:color="auto" w:fill="auto"/>
            <w:noWrap/>
            <w:vAlign w:val="center"/>
          </w:tcPr>
          <w:p w14:paraId="66F1E1EC"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52%</w:t>
            </w:r>
          </w:p>
        </w:tc>
        <w:tc>
          <w:tcPr>
            <w:tcW w:w="600" w:type="dxa"/>
            <w:tcBorders>
              <w:top w:val="nil"/>
              <w:left w:val="nil"/>
              <w:bottom w:val="single" w:sz="4" w:space="0" w:color="BFBFBF"/>
              <w:right w:val="single" w:sz="4" w:space="0" w:color="BFBFBF"/>
            </w:tcBorders>
            <w:shd w:val="clear" w:color="auto" w:fill="auto"/>
            <w:noWrap/>
            <w:vAlign w:val="center"/>
          </w:tcPr>
          <w:p w14:paraId="68750761"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27%</w:t>
            </w:r>
          </w:p>
        </w:tc>
        <w:tc>
          <w:tcPr>
            <w:tcW w:w="600" w:type="dxa"/>
            <w:tcBorders>
              <w:top w:val="nil"/>
              <w:left w:val="nil"/>
              <w:bottom w:val="single" w:sz="4" w:space="0" w:color="BFBFBF"/>
              <w:right w:val="double" w:sz="6" w:space="0" w:color="auto"/>
            </w:tcBorders>
            <w:shd w:val="clear" w:color="auto" w:fill="auto"/>
            <w:noWrap/>
            <w:vAlign w:val="center"/>
          </w:tcPr>
          <w:p w14:paraId="6CA8FC9C" w14:textId="77777777" w:rsidR="007C3994" w:rsidRPr="00683AA8" w:rsidRDefault="007C3994"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25%</w:t>
            </w:r>
          </w:p>
        </w:tc>
      </w:tr>
      <w:tr w:rsidR="007C3994" w:rsidRPr="00683AA8" w14:paraId="1CBFA93F" w14:textId="77777777" w:rsidTr="00D10D53">
        <w:trPr>
          <w:trHeight w:val="240"/>
          <w:jc w:val="center"/>
        </w:trPr>
        <w:tc>
          <w:tcPr>
            <w:tcW w:w="2858" w:type="dxa"/>
            <w:tcBorders>
              <w:top w:val="nil"/>
              <w:left w:val="double" w:sz="6" w:space="0" w:color="auto"/>
              <w:bottom w:val="double" w:sz="6" w:space="0" w:color="auto"/>
              <w:right w:val="nil"/>
            </w:tcBorders>
            <w:shd w:val="clear" w:color="auto" w:fill="auto"/>
            <w:noWrap/>
            <w:vAlign w:val="center"/>
          </w:tcPr>
          <w:p w14:paraId="74847D5D" w14:textId="77777777" w:rsidR="007C3994" w:rsidRPr="00683AA8" w:rsidRDefault="007C3994" w:rsidP="009E5010">
            <w:pPr>
              <w:spacing w:before="0" w:after="0"/>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Total HHs</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19CA4955"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3%</w:t>
            </w:r>
          </w:p>
        </w:tc>
        <w:tc>
          <w:tcPr>
            <w:tcW w:w="600" w:type="dxa"/>
            <w:tcBorders>
              <w:top w:val="nil"/>
              <w:left w:val="nil"/>
              <w:bottom w:val="double" w:sz="6" w:space="0" w:color="auto"/>
              <w:right w:val="single" w:sz="4" w:space="0" w:color="auto"/>
            </w:tcBorders>
            <w:shd w:val="clear" w:color="auto" w:fill="auto"/>
            <w:noWrap/>
            <w:vAlign w:val="center"/>
          </w:tcPr>
          <w:p w14:paraId="006BEEC4"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3%</w:t>
            </w:r>
          </w:p>
        </w:tc>
        <w:tc>
          <w:tcPr>
            <w:tcW w:w="600" w:type="dxa"/>
            <w:tcBorders>
              <w:top w:val="nil"/>
              <w:left w:val="nil"/>
              <w:bottom w:val="double" w:sz="6" w:space="0" w:color="auto"/>
              <w:right w:val="single" w:sz="4" w:space="0" w:color="BFBFBF"/>
            </w:tcBorders>
            <w:shd w:val="clear" w:color="auto" w:fill="auto"/>
            <w:noWrap/>
            <w:vAlign w:val="center"/>
          </w:tcPr>
          <w:p w14:paraId="47B3811C" w14:textId="77777777" w:rsidR="007C3994" w:rsidRPr="00683AA8" w:rsidRDefault="007C3994" w:rsidP="00683AA8">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1</w:t>
            </w:r>
            <w:r w:rsidR="00683AA8" w:rsidRPr="00683AA8">
              <w:rPr>
                <w:rFonts w:ascii="Arial" w:hAnsi="Arial" w:cs="Arial"/>
                <w:b/>
                <w:bCs/>
                <w:color w:val="000000"/>
                <w:sz w:val="16"/>
                <w:szCs w:val="16"/>
                <w:lang w:val="en-AU" w:eastAsia="en-AU"/>
              </w:rPr>
              <w:t>6</w:t>
            </w:r>
            <w:r w:rsidRPr="00683AA8">
              <w:rPr>
                <w:rFonts w:ascii="Arial" w:hAnsi="Arial" w:cs="Arial"/>
                <w:b/>
                <w:bCs/>
                <w:color w:val="000000"/>
                <w:sz w:val="16"/>
                <w:szCs w:val="16"/>
                <w:lang w:val="en-AU" w:eastAsia="en-AU"/>
              </w:rPr>
              <w:t>%</w:t>
            </w:r>
          </w:p>
        </w:tc>
        <w:tc>
          <w:tcPr>
            <w:tcW w:w="600" w:type="dxa"/>
            <w:tcBorders>
              <w:top w:val="nil"/>
              <w:left w:val="nil"/>
              <w:bottom w:val="double" w:sz="6" w:space="0" w:color="auto"/>
              <w:right w:val="nil"/>
            </w:tcBorders>
            <w:shd w:val="clear" w:color="auto" w:fill="auto"/>
            <w:noWrap/>
            <w:vAlign w:val="center"/>
          </w:tcPr>
          <w:p w14:paraId="4C6CF9F2"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19%</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0BBD9800"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52%</w:t>
            </w:r>
          </w:p>
        </w:tc>
        <w:tc>
          <w:tcPr>
            <w:tcW w:w="600" w:type="dxa"/>
            <w:tcBorders>
              <w:top w:val="nil"/>
              <w:left w:val="nil"/>
              <w:bottom w:val="double" w:sz="6" w:space="0" w:color="auto"/>
              <w:right w:val="single" w:sz="4" w:space="0" w:color="auto"/>
            </w:tcBorders>
            <w:shd w:val="clear" w:color="auto" w:fill="auto"/>
            <w:noWrap/>
            <w:vAlign w:val="center"/>
          </w:tcPr>
          <w:p w14:paraId="037CFEBD"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52%</w:t>
            </w:r>
          </w:p>
        </w:tc>
        <w:tc>
          <w:tcPr>
            <w:tcW w:w="600" w:type="dxa"/>
            <w:tcBorders>
              <w:top w:val="nil"/>
              <w:left w:val="nil"/>
              <w:bottom w:val="double" w:sz="6" w:space="0" w:color="auto"/>
              <w:right w:val="single" w:sz="4" w:space="0" w:color="BFBFBF"/>
            </w:tcBorders>
            <w:shd w:val="clear" w:color="auto" w:fill="auto"/>
            <w:noWrap/>
            <w:vAlign w:val="center"/>
          </w:tcPr>
          <w:p w14:paraId="6D4537C1"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29%</w:t>
            </w:r>
          </w:p>
        </w:tc>
        <w:tc>
          <w:tcPr>
            <w:tcW w:w="600" w:type="dxa"/>
            <w:tcBorders>
              <w:top w:val="nil"/>
              <w:left w:val="nil"/>
              <w:bottom w:val="double" w:sz="6" w:space="0" w:color="auto"/>
              <w:right w:val="double" w:sz="6" w:space="0" w:color="auto"/>
            </w:tcBorders>
            <w:shd w:val="clear" w:color="auto" w:fill="auto"/>
            <w:noWrap/>
            <w:vAlign w:val="center"/>
          </w:tcPr>
          <w:p w14:paraId="1378CF91" w14:textId="77777777" w:rsidR="007C3994" w:rsidRPr="00683AA8" w:rsidRDefault="007C3994"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26%</w:t>
            </w:r>
          </w:p>
        </w:tc>
      </w:tr>
    </w:tbl>
    <w:p w14:paraId="7FCC98DE" w14:textId="77777777" w:rsidR="007C3994" w:rsidRPr="00683AA8" w:rsidRDefault="007C3994" w:rsidP="003920D8">
      <w:pPr>
        <w:pStyle w:val="Para"/>
        <w:ind w:left="3600"/>
        <w:rPr>
          <w:sz w:val="20"/>
          <w:lang w:val="en-AU"/>
        </w:rPr>
      </w:pPr>
      <w:r w:rsidRPr="00683AA8">
        <w:rPr>
          <w:sz w:val="20"/>
          <w:lang w:val="en-AU"/>
        </w:rPr>
        <w:t>Base: Total respondents, 2014 (n= 1,861); 2007 (n=2,061)</w:t>
      </w:r>
    </w:p>
    <w:p w14:paraId="67118BAF" w14:textId="77777777" w:rsidR="007C3994" w:rsidRPr="00683AA8" w:rsidRDefault="007C3994" w:rsidP="003920D8">
      <w:pPr>
        <w:pStyle w:val="Para"/>
        <w:spacing w:after="120"/>
        <w:jc w:val="center"/>
        <w:outlineLvl w:val="0"/>
        <w:rPr>
          <w:b/>
          <w:u w:val="single"/>
          <w:lang w:val="en-AU"/>
        </w:rPr>
      </w:pPr>
      <w:r w:rsidRPr="00683AA8">
        <w:rPr>
          <w:b/>
          <w:lang w:val="en-AU"/>
        </w:rPr>
        <w:lastRenderedPageBreak/>
        <w:t xml:space="preserve">Table 3.3.10a: </w:t>
      </w:r>
      <w:r w:rsidRPr="00683AA8">
        <w:rPr>
          <w:b/>
          <w:u w:val="single"/>
          <w:lang w:val="en-AU"/>
        </w:rPr>
        <w:t>Number of Bedrooms in the Home by Concession Status, Home Ownership Status and Date Built</w:t>
      </w:r>
    </w:p>
    <w:p w14:paraId="2728AF56" w14:textId="77777777" w:rsidR="007C3994" w:rsidRPr="00683AA8" w:rsidRDefault="007C3994" w:rsidP="00C212F5">
      <w:pPr>
        <w:pStyle w:val="Para"/>
        <w:spacing w:after="120"/>
        <w:outlineLvl w:val="0"/>
        <w:rPr>
          <w:b/>
          <w:lang w:val="en-AU"/>
        </w:rPr>
      </w:pPr>
    </w:p>
    <w:tbl>
      <w:tblPr>
        <w:tblW w:w="7658" w:type="dxa"/>
        <w:jc w:val="center"/>
        <w:tblLook w:val="04A0" w:firstRow="1" w:lastRow="0" w:firstColumn="1" w:lastColumn="0" w:noHBand="0" w:noVBand="1"/>
      </w:tblPr>
      <w:tblGrid>
        <w:gridCol w:w="2858"/>
        <w:gridCol w:w="600"/>
        <w:gridCol w:w="600"/>
        <w:gridCol w:w="600"/>
        <w:gridCol w:w="600"/>
        <w:gridCol w:w="600"/>
        <w:gridCol w:w="600"/>
        <w:gridCol w:w="600"/>
        <w:gridCol w:w="600"/>
      </w:tblGrid>
      <w:tr w:rsidR="00BC6949" w:rsidRPr="00683AA8" w14:paraId="141E1017" w14:textId="77777777" w:rsidTr="003920D8">
        <w:trPr>
          <w:trHeight w:val="330"/>
          <w:jc w:val="center"/>
        </w:trPr>
        <w:tc>
          <w:tcPr>
            <w:tcW w:w="2858" w:type="dxa"/>
            <w:tcBorders>
              <w:top w:val="double" w:sz="6" w:space="0" w:color="auto"/>
              <w:left w:val="double" w:sz="6" w:space="0" w:color="auto"/>
              <w:bottom w:val="single" w:sz="4" w:space="0" w:color="BFBFBF"/>
              <w:right w:val="nil"/>
            </w:tcBorders>
            <w:shd w:val="clear" w:color="auto" w:fill="auto"/>
            <w:noWrap/>
            <w:vAlign w:val="center"/>
          </w:tcPr>
          <w:p w14:paraId="5EDB4C42" w14:textId="77777777" w:rsidR="00BC6949" w:rsidRPr="00683AA8" w:rsidRDefault="00BC6949" w:rsidP="00BC6949">
            <w:pPr>
              <w:spacing w:before="0" w:after="0"/>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No. of Bedrooms</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noWrap/>
            <w:vAlign w:val="center"/>
          </w:tcPr>
          <w:p w14:paraId="1E096DE6" w14:textId="77777777" w:rsidR="00BC6949" w:rsidRPr="00683AA8" w:rsidRDefault="00BC6949" w:rsidP="00BC6949">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One</w:t>
            </w:r>
          </w:p>
        </w:tc>
        <w:tc>
          <w:tcPr>
            <w:tcW w:w="1200" w:type="dxa"/>
            <w:gridSpan w:val="2"/>
            <w:tcBorders>
              <w:top w:val="double" w:sz="6" w:space="0" w:color="auto"/>
              <w:left w:val="nil"/>
              <w:bottom w:val="single" w:sz="4" w:space="0" w:color="BFBFBF"/>
              <w:right w:val="single" w:sz="4" w:space="0" w:color="BFBFBF"/>
            </w:tcBorders>
            <w:shd w:val="clear" w:color="auto" w:fill="auto"/>
            <w:noWrap/>
            <w:vAlign w:val="center"/>
          </w:tcPr>
          <w:p w14:paraId="6AC9D5F0" w14:textId="77777777" w:rsidR="00BC6949" w:rsidRPr="00683AA8" w:rsidRDefault="00BC6949" w:rsidP="00BC6949">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Two</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noWrap/>
            <w:vAlign w:val="center"/>
          </w:tcPr>
          <w:p w14:paraId="5C2139AB" w14:textId="77777777" w:rsidR="00BC6949" w:rsidRPr="00683AA8" w:rsidRDefault="00BC6949" w:rsidP="00BC6949">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Three</w:t>
            </w:r>
          </w:p>
        </w:tc>
        <w:tc>
          <w:tcPr>
            <w:tcW w:w="1200" w:type="dxa"/>
            <w:gridSpan w:val="2"/>
            <w:tcBorders>
              <w:top w:val="double" w:sz="6" w:space="0" w:color="auto"/>
              <w:left w:val="nil"/>
              <w:bottom w:val="single" w:sz="4" w:space="0" w:color="BFBFBF"/>
              <w:right w:val="double" w:sz="6" w:space="0" w:color="000000"/>
            </w:tcBorders>
            <w:shd w:val="clear" w:color="auto" w:fill="auto"/>
            <w:noWrap/>
            <w:vAlign w:val="center"/>
          </w:tcPr>
          <w:p w14:paraId="01AE3B1A" w14:textId="77777777" w:rsidR="00BC6949" w:rsidRPr="00683AA8" w:rsidRDefault="00BC6949" w:rsidP="00BC6949">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Four or more</w:t>
            </w:r>
          </w:p>
        </w:tc>
      </w:tr>
      <w:tr w:rsidR="00BC6949" w:rsidRPr="00683AA8" w14:paraId="6EDE083C"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605C0C4F" w14:textId="77777777" w:rsidR="00BC6949" w:rsidRPr="00683AA8" w:rsidRDefault="00BC6949" w:rsidP="00BC6949">
            <w:pPr>
              <w:spacing w:before="0" w:after="0"/>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6512E42"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3368619C"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46756A06"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2171458B"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185A56A"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4F2784A9"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3A19273A"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2014</w:t>
            </w:r>
          </w:p>
        </w:tc>
        <w:tc>
          <w:tcPr>
            <w:tcW w:w="600" w:type="dxa"/>
            <w:tcBorders>
              <w:top w:val="nil"/>
              <w:left w:val="nil"/>
              <w:bottom w:val="single" w:sz="4" w:space="0" w:color="BFBFBF"/>
              <w:right w:val="double" w:sz="6" w:space="0" w:color="auto"/>
            </w:tcBorders>
            <w:shd w:val="clear" w:color="auto" w:fill="auto"/>
            <w:noWrap/>
            <w:vAlign w:val="center"/>
          </w:tcPr>
          <w:p w14:paraId="7202C21F"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2007</w:t>
            </w:r>
          </w:p>
        </w:tc>
      </w:tr>
      <w:tr w:rsidR="00BC6949" w:rsidRPr="00683AA8" w14:paraId="79B554EB"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56EED211" w14:textId="77777777" w:rsidR="00BC6949" w:rsidRPr="00683AA8" w:rsidRDefault="00BC6949" w:rsidP="00BC6949">
            <w:pPr>
              <w:spacing w:before="0" w:after="0"/>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By Region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2FDC226" w14:textId="77777777" w:rsidR="00BC6949" w:rsidRPr="00683AA8"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7C0DFBD3"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3F82CD8E"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18149CD3"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9D11521"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152481F6"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349A6E38"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2383287F" w14:textId="77777777" w:rsidR="00BC6949" w:rsidRPr="00683AA8" w:rsidRDefault="00BC6949" w:rsidP="00D10D53">
            <w:pPr>
              <w:spacing w:before="0" w:after="0"/>
              <w:jc w:val="center"/>
              <w:rPr>
                <w:rFonts w:ascii="Arial" w:hAnsi="Arial" w:cs="Arial"/>
                <w:color w:val="000000"/>
                <w:sz w:val="16"/>
                <w:szCs w:val="16"/>
                <w:lang w:val="en-AU" w:eastAsia="en-AU"/>
              </w:rPr>
            </w:pPr>
          </w:p>
        </w:tc>
      </w:tr>
      <w:tr w:rsidR="00BC6949" w:rsidRPr="00683AA8" w14:paraId="2F144373"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3C87B1D5"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683AA8">
                  <w:rPr>
                    <w:rFonts w:ascii="Arial" w:hAnsi="Arial" w:cs="Arial"/>
                    <w:color w:val="000000"/>
                    <w:sz w:val="16"/>
                    <w:szCs w:val="16"/>
                    <w:lang w:val="en-AU" w:eastAsia="en-AU"/>
                  </w:rPr>
                  <w:t>Melbourne</w:t>
                </w:r>
              </w:smartTag>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CBE18F6"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63D07460"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4F0D6D00"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18%</w:t>
            </w:r>
          </w:p>
        </w:tc>
        <w:tc>
          <w:tcPr>
            <w:tcW w:w="600" w:type="dxa"/>
            <w:tcBorders>
              <w:top w:val="nil"/>
              <w:left w:val="nil"/>
              <w:bottom w:val="single" w:sz="4" w:space="0" w:color="BFBFBF"/>
              <w:right w:val="nil"/>
            </w:tcBorders>
            <w:shd w:val="clear" w:color="auto" w:fill="auto"/>
            <w:noWrap/>
            <w:vAlign w:val="center"/>
          </w:tcPr>
          <w:p w14:paraId="511B88F1"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8616DA1"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49%</w:t>
            </w:r>
          </w:p>
        </w:tc>
        <w:tc>
          <w:tcPr>
            <w:tcW w:w="600" w:type="dxa"/>
            <w:tcBorders>
              <w:top w:val="nil"/>
              <w:left w:val="nil"/>
              <w:bottom w:val="single" w:sz="4" w:space="0" w:color="BFBFBF"/>
              <w:right w:val="single" w:sz="4" w:space="0" w:color="auto"/>
            </w:tcBorders>
            <w:shd w:val="clear" w:color="auto" w:fill="auto"/>
            <w:noWrap/>
            <w:vAlign w:val="center"/>
          </w:tcPr>
          <w:p w14:paraId="3CB7786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50%</w:t>
            </w:r>
          </w:p>
        </w:tc>
        <w:tc>
          <w:tcPr>
            <w:tcW w:w="600" w:type="dxa"/>
            <w:tcBorders>
              <w:top w:val="nil"/>
              <w:left w:val="nil"/>
              <w:bottom w:val="single" w:sz="4" w:space="0" w:color="BFBFBF"/>
              <w:right w:val="single" w:sz="4" w:space="0" w:color="BFBFBF"/>
            </w:tcBorders>
            <w:shd w:val="clear" w:color="auto" w:fill="auto"/>
            <w:noWrap/>
            <w:vAlign w:val="center"/>
          </w:tcPr>
          <w:p w14:paraId="6593DD9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30%</w:t>
            </w:r>
          </w:p>
        </w:tc>
        <w:tc>
          <w:tcPr>
            <w:tcW w:w="600" w:type="dxa"/>
            <w:tcBorders>
              <w:top w:val="nil"/>
              <w:left w:val="nil"/>
              <w:bottom w:val="single" w:sz="4" w:space="0" w:color="BFBFBF"/>
              <w:right w:val="double" w:sz="6" w:space="0" w:color="auto"/>
            </w:tcBorders>
            <w:shd w:val="clear" w:color="auto" w:fill="auto"/>
            <w:noWrap/>
            <w:vAlign w:val="center"/>
          </w:tcPr>
          <w:p w14:paraId="74A9BF13"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27%</w:t>
            </w:r>
          </w:p>
        </w:tc>
      </w:tr>
      <w:tr w:rsidR="00BC6949" w:rsidRPr="00683AA8" w14:paraId="038971FE"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376C5CE2"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Country VIC</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334163A"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10459DE4"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59C7001B" w14:textId="77777777" w:rsidR="00BC6949" w:rsidRPr="00683AA8" w:rsidRDefault="00BC6949"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w:t>
            </w:r>
            <w:r w:rsidR="00683AA8" w:rsidRPr="00683AA8">
              <w:rPr>
                <w:rFonts w:ascii="Arial" w:hAnsi="Arial" w:cs="Arial"/>
                <w:color w:val="000000"/>
                <w:sz w:val="16"/>
                <w:szCs w:val="16"/>
                <w:lang w:val="en-AU" w:eastAsia="en-AU"/>
              </w:rPr>
              <w:t>3</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425BE233"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A01A8E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58%</w:t>
            </w:r>
          </w:p>
        </w:tc>
        <w:tc>
          <w:tcPr>
            <w:tcW w:w="600" w:type="dxa"/>
            <w:tcBorders>
              <w:top w:val="nil"/>
              <w:left w:val="nil"/>
              <w:bottom w:val="single" w:sz="4" w:space="0" w:color="BFBFBF"/>
              <w:right w:val="single" w:sz="4" w:space="0" w:color="auto"/>
            </w:tcBorders>
            <w:shd w:val="clear" w:color="auto" w:fill="auto"/>
            <w:noWrap/>
            <w:vAlign w:val="center"/>
          </w:tcPr>
          <w:p w14:paraId="0CBA633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56%</w:t>
            </w:r>
          </w:p>
        </w:tc>
        <w:tc>
          <w:tcPr>
            <w:tcW w:w="600" w:type="dxa"/>
            <w:tcBorders>
              <w:top w:val="nil"/>
              <w:left w:val="nil"/>
              <w:bottom w:val="single" w:sz="4" w:space="0" w:color="BFBFBF"/>
              <w:right w:val="single" w:sz="4" w:space="0" w:color="BFBFBF"/>
            </w:tcBorders>
            <w:shd w:val="clear" w:color="auto" w:fill="auto"/>
            <w:noWrap/>
            <w:vAlign w:val="center"/>
          </w:tcPr>
          <w:p w14:paraId="657DFE83"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26%</w:t>
            </w:r>
          </w:p>
        </w:tc>
        <w:tc>
          <w:tcPr>
            <w:tcW w:w="600" w:type="dxa"/>
            <w:tcBorders>
              <w:top w:val="nil"/>
              <w:left w:val="nil"/>
              <w:bottom w:val="single" w:sz="4" w:space="0" w:color="BFBFBF"/>
              <w:right w:val="double" w:sz="6" w:space="0" w:color="auto"/>
            </w:tcBorders>
            <w:shd w:val="clear" w:color="auto" w:fill="auto"/>
            <w:noWrap/>
            <w:vAlign w:val="center"/>
          </w:tcPr>
          <w:p w14:paraId="2D99E240"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24%</w:t>
            </w:r>
          </w:p>
        </w:tc>
      </w:tr>
      <w:tr w:rsidR="00BC6949" w:rsidRPr="00683AA8" w14:paraId="198AB34A"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4AE6CE5A" w14:textId="210A9E1B" w:rsidR="00BC6949" w:rsidRPr="00683AA8" w:rsidRDefault="00BC6314" w:rsidP="00BC6949">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BC6949" w:rsidRPr="00683AA8">
              <w:rPr>
                <w:rFonts w:ascii="Arial" w:hAnsi="Arial" w:cs="Arial"/>
                <w:color w:val="000000"/>
                <w:sz w:val="16"/>
                <w:szCs w:val="16"/>
                <w:lang w:val="en-AU" w:eastAsia="en-AU"/>
              </w:rPr>
              <w:t>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3872B90"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439EF71F"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447B48DD" w14:textId="77777777" w:rsidR="00BC6949" w:rsidRPr="00683AA8" w:rsidRDefault="00BC6949"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w:t>
            </w:r>
            <w:r w:rsidR="00683AA8" w:rsidRPr="00683AA8">
              <w:rPr>
                <w:rFonts w:ascii="Arial" w:hAnsi="Arial" w:cs="Arial"/>
                <w:color w:val="000000"/>
                <w:sz w:val="16"/>
                <w:szCs w:val="16"/>
                <w:lang w:val="en-AU" w:eastAsia="en-AU"/>
              </w:rPr>
              <w:t>0</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48A70FA4"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C0FD9C0"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52</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1721660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60%</w:t>
            </w:r>
          </w:p>
        </w:tc>
        <w:tc>
          <w:tcPr>
            <w:tcW w:w="600" w:type="dxa"/>
            <w:tcBorders>
              <w:top w:val="nil"/>
              <w:left w:val="nil"/>
              <w:bottom w:val="single" w:sz="4" w:space="0" w:color="BFBFBF"/>
              <w:right w:val="single" w:sz="4" w:space="0" w:color="BFBFBF"/>
            </w:tcBorders>
            <w:shd w:val="clear" w:color="auto" w:fill="auto"/>
            <w:noWrap/>
            <w:vAlign w:val="center"/>
          </w:tcPr>
          <w:p w14:paraId="7754EF9D" w14:textId="77777777" w:rsidR="00BC6949" w:rsidRPr="00683AA8" w:rsidRDefault="00BC6949"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r w:rsidR="00683AA8" w:rsidRPr="00683AA8">
              <w:rPr>
                <w:rFonts w:ascii="Arial" w:hAnsi="Arial" w:cs="Arial"/>
                <w:color w:val="000000"/>
                <w:sz w:val="16"/>
                <w:szCs w:val="16"/>
                <w:lang w:val="en-AU" w:eastAsia="en-AU"/>
              </w:rPr>
              <w:t>2</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107953A6"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22%</w:t>
            </w:r>
          </w:p>
        </w:tc>
      </w:tr>
      <w:tr w:rsidR="00BC6949" w:rsidRPr="00683AA8" w14:paraId="5AAB6754"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790CE942" w14:textId="77777777" w:rsidR="00BC6949" w:rsidRPr="00683AA8" w:rsidRDefault="00BC6949" w:rsidP="00BC6949">
            <w:pPr>
              <w:spacing w:before="0" w:after="0"/>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 xml:space="preserve">By DHHS Areas -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F5D7ED6"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40D7CD4E"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31EC0307"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463CE747"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981706D"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65C2D312"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7E2852B2" w14:textId="77777777" w:rsidR="00BC6949" w:rsidRPr="00683AA8"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6BF96BD9" w14:textId="77777777" w:rsidR="00BC6949" w:rsidRPr="00683AA8" w:rsidRDefault="00BC6949" w:rsidP="00D10D53">
            <w:pPr>
              <w:spacing w:before="0" w:after="0"/>
              <w:jc w:val="center"/>
              <w:rPr>
                <w:rFonts w:ascii="Arial" w:hAnsi="Arial" w:cs="Arial"/>
                <w:color w:val="000000"/>
                <w:sz w:val="16"/>
                <w:szCs w:val="16"/>
                <w:lang w:val="en-AU" w:eastAsia="en-AU"/>
              </w:rPr>
            </w:pPr>
          </w:p>
        </w:tc>
      </w:tr>
      <w:tr w:rsidR="00BC6949" w:rsidRPr="00683AA8" w14:paraId="080A5033"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7CA7F953"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Hume Moreland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314D000"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607C6AB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017AD3A"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19%</w:t>
            </w:r>
          </w:p>
        </w:tc>
        <w:tc>
          <w:tcPr>
            <w:tcW w:w="600" w:type="dxa"/>
            <w:tcBorders>
              <w:top w:val="nil"/>
              <w:left w:val="nil"/>
              <w:bottom w:val="single" w:sz="4" w:space="0" w:color="BFBFBF"/>
              <w:right w:val="nil"/>
            </w:tcBorders>
            <w:shd w:val="clear" w:color="auto" w:fill="auto"/>
            <w:noWrap/>
            <w:vAlign w:val="center"/>
          </w:tcPr>
          <w:p w14:paraId="475D585F"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314073B" w14:textId="77777777" w:rsidR="00BC6949" w:rsidRPr="00683AA8" w:rsidRDefault="00BC6949"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6</w:t>
            </w:r>
            <w:r w:rsidR="00683AA8" w:rsidRPr="00683AA8">
              <w:rPr>
                <w:rFonts w:ascii="Arial" w:hAnsi="Arial" w:cs="Arial"/>
                <w:color w:val="000000"/>
                <w:sz w:val="16"/>
                <w:szCs w:val="16"/>
                <w:lang w:val="en-AU" w:eastAsia="en-AU"/>
              </w:rPr>
              <w:t>2</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126650A8"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A30F7EC"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17%</w:t>
            </w:r>
          </w:p>
        </w:tc>
        <w:tc>
          <w:tcPr>
            <w:tcW w:w="600" w:type="dxa"/>
            <w:tcBorders>
              <w:top w:val="nil"/>
              <w:left w:val="nil"/>
              <w:bottom w:val="single" w:sz="4" w:space="0" w:color="BFBFBF"/>
              <w:right w:val="double" w:sz="6" w:space="0" w:color="auto"/>
            </w:tcBorders>
            <w:shd w:val="clear" w:color="auto" w:fill="auto"/>
            <w:noWrap/>
            <w:vAlign w:val="center"/>
          </w:tcPr>
          <w:p w14:paraId="43A41018"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026F9B9C"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0EB36216"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North Eastern 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2C6AA41"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6A7E454B"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9354B9B"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19</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5CA2285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3F35452"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44%</w:t>
            </w:r>
          </w:p>
        </w:tc>
        <w:tc>
          <w:tcPr>
            <w:tcW w:w="600" w:type="dxa"/>
            <w:tcBorders>
              <w:top w:val="nil"/>
              <w:left w:val="nil"/>
              <w:bottom w:val="single" w:sz="4" w:space="0" w:color="BFBFBF"/>
              <w:right w:val="single" w:sz="4" w:space="0" w:color="auto"/>
            </w:tcBorders>
            <w:shd w:val="clear" w:color="auto" w:fill="auto"/>
            <w:noWrap/>
            <w:vAlign w:val="center"/>
          </w:tcPr>
          <w:p w14:paraId="38F6B424"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B69A78F" w14:textId="77777777" w:rsidR="00BC6949" w:rsidRPr="00683AA8" w:rsidRDefault="00BC6949"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r w:rsidR="00683AA8" w:rsidRPr="00683AA8">
              <w:rPr>
                <w:rFonts w:ascii="Arial" w:hAnsi="Arial" w:cs="Arial"/>
                <w:color w:val="000000"/>
                <w:sz w:val="16"/>
                <w:szCs w:val="16"/>
                <w:lang w:val="en-AU" w:eastAsia="en-AU"/>
              </w:rPr>
              <w:t>2</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4F4E1B06"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7CA33B0D"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0EB16EC4"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 xml:space="preserve">Outer </w:t>
            </w:r>
            <w:smartTag w:uri="urn:schemas-microsoft-com:office:smarttags" w:element="place">
              <w:r w:rsidRPr="00683AA8">
                <w:rPr>
                  <w:rFonts w:ascii="Arial" w:hAnsi="Arial" w:cs="Arial"/>
                  <w:color w:val="000000"/>
                  <w:sz w:val="16"/>
                  <w:szCs w:val="16"/>
                  <w:lang w:val="en-AU" w:eastAsia="en-AU"/>
                </w:rPr>
                <w:t>Eastern Melbourne</w:t>
              </w:r>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7F3066F"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514AA7C4"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812E312"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479DED59"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0A757EF"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56</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7EE5352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A35F8E2"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35</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4399C18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1FE79D11"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1D1D5317"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 xml:space="preserve">Inner </w:t>
            </w:r>
            <w:smartTag w:uri="urn:schemas-microsoft-com:office:smarttags" w:element="place">
              <w:r w:rsidRPr="00683AA8">
                <w:rPr>
                  <w:rFonts w:ascii="Arial" w:hAnsi="Arial" w:cs="Arial"/>
                  <w:color w:val="000000"/>
                  <w:sz w:val="16"/>
                  <w:szCs w:val="16"/>
                  <w:lang w:val="en-AU" w:eastAsia="en-AU"/>
                </w:rPr>
                <w:t>Eastern Melbourne</w:t>
              </w:r>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9096C74"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4992627A"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FD8AEFA"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14%</w:t>
            </w:r>
          </w:p>
        </w:tc>
        <w:tc>
          <w:tcPr>
            <w:tcW w:w="600" w:type="dxa"/>
            <w:tcBorders>
              <w:top w:val="nil"/>
              <w:left w:val="nil"/>
              <w:bottom w:val="single" w:sz="4" w:space="0" w:color="BFBFBF"/>
              <w:right w:val="nil"/>
            </w:tcBorders>
            <w:shd w:val="clear" w:color="auto" w:fill="auto"/>
            <w:noWrap/>
            <w:vAlign w:val="center"/>
          </w:tcPr>
          <w:p w14:paraId="06BD5955"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918C14F"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41%</w:t>
            </w:r>
          </w:p>
        </w:tc>
        <w:tc>
          <w:tcPr>
            <w:tcW w:w="600" w:type="dxa"/>
            <w:tcBorders>
              <w:top w:val="nil"/>
              <w:left w:val="nil"/>
              <w:bottom w:val="single" w:sz="4" w:space="0" w:color="BFBFBF"/>
              <w:right w:val="single" w:sz="4" w:space="0" w:color="auto"/>
            </w:tcBorders>
            <w:shd w:val="clear" w:color="auto" w:fill="auto"/>
            <w:noWrap/>
            <w:vAlign w:val="center"/>
          </w:tcPr>
          <w:p w14:paraId="35BCCCB7"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7065A3B"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42</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39C0436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5848BEA1"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1381614E"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smartTag w:uri="urn:schemas-microsoft-com:office:smarttags" w:element="place">
              <w:r w:rsidRPr="00683AA8">
                <w:rPr>
                  <w:rFonts w:ascii="Arial" w:hAnsi="Arial" w:cs="Arial"/>
                  <w:color w:val="000000"/>
                  <w:sz w:val="16"/>
                  <w:szCs w:val="16"/>
                  <w:lang w:val="en-AU" w:eastAsia="en-AU"/>
                </w:rPr>
                <w:t>Southern Melbourne</w:t>
              </w:r>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57EB5CA"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4910F906"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B2E3193"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12%</w:t>
            </w:r>
          </w:p>
        </w:tc>
        <w:tc>
          <w:tcPr>
            <w:tcW w:w="600" w:type="dxa"/>
            <w:tcBorders>
              <w:top w:val="nil"/>
              <w:left w:val="nil"/>
              <w:bottom w:val="single" w:sz="4" w:space="0" w:color="BFBFBF"/>
              <w:right w:val="nil"/>
            </w:tcBorders>
            <w:shd w:val="clear" w:color="auto" w:fill="auto"/>
            <w:noWrap/>
            <w:vAlign w:val="center"/>
          </w:tcPr>
          <w:p w14:paraId="26309870"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154D7D5"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52%</w:t>
            </w:r>
          </w:p>
        </w:tc>
        <w:tc>
          <w:tcPr>
            <w:tcW w:w="600" w:type="dxa"/>
            <w:tcBorders>
              <w:top w:val="nil"/>
              <w:left w:val="nil"/>
              <w:bottom w:val="single" w:sz="4" w:space="0" w:color="BFBFBF"/>
              <w:right w:val="single" w:sz="4" w:space="0" w:color="auto"/>
            </w:tcBorders>
            <w:shd w:val="clear" w:color="auto" w:fill="auto"/>
            <w:noWrap/>
            <w:vAlign w:val="center"/>
          </w:tcPr>
          <w:p w14:paraId="1EE8C35F"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29BE7C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35%</w:t>
            </w:r>
          </w:p>
        </w:tc>
        <w:tc>
          <w:tcPr>
            <w:tcW w:w="600" w:type="dxa"/>
            <w:tcBorders>
              <w:top w:val="nil"/>
              <w:left w:val="nil"/>
              <w:bottom w:val="single" w:sz="4" w:space="0" w:color="BFBFBF"/>
              <w:right w:val="double" w:sz="6" w:space="0" w:color="auto"/>
            </w:tcBorders>
            <w:shd w:val="clear" w:color="auto" w:fill="auto"/>
            <w:noWrap/>
            <w:vAlign w:val="center"/>
          </w:tcPr>
          <w:p w14:paraId="1218B0F1"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2A217FCE"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79C5FF5A"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Bayside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BE209DF"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69A17252"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1ABAA79"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22%</w:t>
            </w:r>
          </w:p>
        </w:tc>
        <w:tc>
          <w:tcPr>
            <w:tcW w:w="600" w:type="dxa"/>
            <w:tcBorders>
              <w:top w:val="nil"/>
              <w:left w:val="nil"/>
              <w:bottom w:val="single" w:sz="4" w:space="0" w:color="BFBFBF"/>
              <w:right w:val="nil"/>
            </w:tcBorders>
            <w:shd w:val="clear" w:color="auto" w:fill="auto"/>
            <w:noWrap/>
            <w:vAlign w:val="center"/>
          </w:tcPr>
          <w:p w14:paraId="61B7D95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51ADD43"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48%</w:t>
            </w:r>
          </w:p>
        </w:tc>
        <w:tc>
          <w:tcPr>
            <w:tcW w:w="600" w:type="dxa"/>
            <w:tcBorders>
              <w:top w:val="nil"/>
              <w:left w:val="nil"/>
              <w:bottom w:val="single" w:sz="4" w:space="0" w:color="BFBFBF"/>
              <w:right w:val="single" w:sz="4" w:space="0" w:color="auto"/>
            </w:tcBorders>
            <w:shd w:val="clear" w:color="auto" w:fill="auto"/>
            <w:noWrap/>
            <w:vAlign w:val="center"/>
          </w:tcPr>
          <w:p w14:paraId="52A745A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6290517"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25</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1EB53E3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09D93967"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6230CCEA"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smartTag w:uri="urn:schemas-microsoft-com:office:smarttags" w:element="place">
              <w:r w:rsidRPr="00683AA8">
                <w:rPr>
                  <w:rFonts w:ascii="Arial" w:hAnsi="Arial" w:cs="Arial"/>
                  <w:color w:val="000000"/>
                  <w:sz w:val="16"/>
                  <w:szCs w:val="16"/>
                  <w:lang w:val="en-AU" w:eastAsia="en-AU"/>
                </w:rPr>
                <w:t>Western Melbourne</w:t>
              </w:r>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5320700" w14:textId="77777777" w:rsidR="00BC6949" w:rsidRPr="00683AA8" w:rsidRDefault="00683AA8"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6B43443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E9DF60A" w14:textId="77777777" w:rsidR="00BC6949" w:rsidRPr="00683AA8" w:rsidRDefault="00BC6949"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w:t>
            </w:r>
            <w:r w:rsidR="00683AA8" w:rsidRPr="00683AA8">
              <w:rPr>
                <w:rFonts w:ascii="Arial" w:hAnsi="Arial" w:cs="Arial"/>
                <w:color w:val="000000"/>
                <w:sz w:val="16"/>
                <w:szCs w:val="16"/>
                <w:lang w:val="en-AU" w:eastAsia="en-AU"/>
              </w:rPr>
              <w:t>4</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5CF48651"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BD1C378" w14:textId="77777777" w:rsidR="00BC6949" w:rsidRPr="00683AA8" w:rsidRDefault="00BC6949"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4</w:t>
            </w:r>
            <w:r w:rsidR="00683AA8" w:rsidRPr="00683AA8">
              <w:rPr>
                <w:rFonts w:ascii="Arial" w:hAnsi="Arial" w:cs="Arial"/>
                <w:color w:val="000000"/>
                <w:sz w:val="16"/>
                <w:szCs w:val="16"/>
                <w:lang w:val="en-AU" w:eastAsia="en-AU"/>
              </w:rPr>
              <w:t>8</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2944979B"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778D3F3"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25%</w:t>
            </w:r>
          </w:p>
        </w:tc>
        <w:tc>
          <w:tcPr>
            <w:tcW w:w="600" w:type="dxa"/>
            <w:tcBorders>
              <w:top w:val="nil"/>
              <w:left w:val="nil"/>
              <w:bottom w:val="single" w:sz="4" w:space="0" w:color="BFBFBF"/>
              <w:right w:val="double" w:sz="6" w:space="0" w:color="auto"/>
            </w:tcBorders>
            <w:shd w:val="clear" w:color="auto" w:fill="auto"/>
            <w:noWrap/>
            <w:vAlign w:val="center"/>
          </w:tcPr>
          <w:p w14:paraId="0167E56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4991A514"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6D7BDDBD"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Brimbank Melton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3F67F47"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627DA055"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87CB90B"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13%</w:t>
            </w:r>
          </w:p>
        </w:tc>
        <w:tc>
          <w:tcPr>
            <w:tcW w:w="600" w:type="dxa"/>
            <w:tcBorders>
              <w:top w:val="nil"/>
              <w:left w:val="nil"/>
              <w:bottom w:val="single" w:sz="4" w:space="0" w:color="BFBFBF"/>
              <w:right w:val="nil"/>
            </w:tcBorders>
            <w:shd w:val="clear" w:color="auto" w:fill="auto"/>
            <w:noWrap/>
            <w:vAlign w:val="center"/>
          </w:tcPr>
          <w:p w14:paraId="33D39E82"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874ADF4" w14:textId="77777777" w:rsidR="00BC6949" w:rsidRPr="00683AA8" w:rsidRDefault="00BC6949"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w:t>
            </w:r>
            <w:r w:rsidR="00683AA8" w:rsidRPr="00683AA8">
              <w:rPr>
                <w:rFonts w:ascii="Arial" w:hAnsi="Arial" w:cs="Arial"/>
                <w:color w:val="000000"/>
                <w:sz w:val="16"/>
                <w:szCs w:val="16"/>
                <w:lang w:val="en-AU" w:eastAsia="en-AU"/>
              </w:rPr>
              <w:t>8</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0F42437C"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C23975A"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29%</w:t>
            </w:r>
          </w:p>
        </w:tc>
        <w:tc>
          <w:tcPr>
            <w:tcW w:w="600" w:type="dxa"/>
            <w:tcBorders>
              <w:top w:val="nil"/>
              <w:left w:val="nil"/>
              <w:bottom w:val="single" w:sz="4" w:space="0" w:color="BFBFBF"/>
              <w:right w:val="double" w:sz="6" w:space="0" w:color="auto"/>
            </w:tcBorders>
            <w:shd w:val="clear" w:color="auto" w:fill="auto"/>
            <w:noWrap/>
            <w:vAlign w:val="center"/>
          </w:tcPr>
          <w:p w14:paraId="7C725772"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32D2F72C"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7376C30F"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Mallee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E260BA3"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0499495B"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79FD312" w14:textId="77777777" w:rsidR="00BC6949" w:rsidRPr="00683AA8" w:rsidRDefault="00BC6949"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w:t>
            </w:r>
            <w:r w:rsidR="00683AA8" w:rsidRPr="00683AA8">
              <w:rPr>
                <w:rFonts w:ascii="Arial" w:hAnsi="Arial" w:cs="Arial"/>
                <w:color w:val="000000"/>
                <w:sz w:val="16"/>
                <w:szCs w:val="16"/>
                <w:lang w:val="en-AU" w:eastAsia="en-AU"/>
              </w:rPr>
              <w:t>5</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1971170F"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28E52CC"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55%</w:t>
            </w:r>
          </w:p>
        </w:tc>
        <w:tc>
          <w:tcPr>
            <w:tcW w:w="600" w:type="dxa"/>
            <w:tcBorders>
              <w:top w:val="nil"/>
              <w:left w:val="nil"/>
              <w:bottom w:val="single" w:sz="4" w:space="0" w:color="BFBFBF"/>
              <w:right w:val="single" w:sz="4" w:space="0" w:color="auto"/>
            </w:tcBorders>
            <w:shd w:val="clear" w:color="auto" w:fill="auto"/>
            <w:noWrap/>
            <w:vAlign w:val="center"/>
          </w:tcPr>
          <w:p w14:paraId="490B265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BCB97D9"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21%</w:t>
            </w:r>
          </w:p>
        </w:tc>
        <w:tc>
          <w:tcPr>
            <w:tcW w:w="600" w:type="dxa"/>
            <w:tcBorders>
              <w:top w:val="nil"/>
              <w:left w:val="nil"/>
              <w:bottom w:val="single" w:sz="4" w:space="0" w:color="BFBFBF"/>
              <w:right w:val="double" w:sz="6" w:space="0" w:color="auto"/>
            </w:tcBorders>
            <w:shd w:val="clear" w:color="auto" w:fill="auto"/>
            <w:noWrap/>
            <w:vAlign w:val="center"/>
          </w:tcPr>
          <w:p w14:paraId="5C8D4668"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544BAD25"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62612255"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Loddon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36EFE6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14239CDA"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5451756" w14:textId="77777777" w:rsidR="00BC6949" w:rsidRPr="00683AA8" w:rsidRDefault="00683AA8"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9</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369D044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0BAD171" w14:textId="77777777" w:rsidR="00BC6949" w:rsidRPr="00683AA8" w:rsidRDefault="00BC6949"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6</w:t>
            </w:r>
            <w:r w:rsidR="00683AA8" w:rsidRPr="00683AA8">
              <w:rPr>
                <w:rFonts w:ascii="Arial" w:hAnsi="Arial" w:cs="Arial"/>
                <w:color w:val="000000"/>
                <w:sz w:val="16"/>
                <w:szCs w:val="16"/>
                <w:lang w:val="en-AU" w:eastAsia="en-AU"/>
              </w:rPr>
              <w:t>2</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A01C33A"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0AB667C"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27%</w:t>
            </w:r>
          </w:p>
        </w:tc>
        <w:tc>
          <w:tcPr>
            <w:tcW w:w="600" w:type="dxa"/>
            <w:tcBorders>
              <w:top w:val="nil"/>
              <w:left w:val="nil"/>
              <w:bottom w:val="single" w:sz="4" w:space="0" w:color="BFBFBF"/>
              <w:right w:val="double" w:sz="6" w:space="0" w:color="auto"/>
            </w:tcBorders>
            <w:shd w:val="clear" w:color="auto" w:fill="auto"/>
            <w:noWrap/>
            <w:vAlign w:val="center"/>
          </w:tcPr>
          <w:p w14:paraId="1A87516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4D5F4D25"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763E4984"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683AA8">
                  <w:rPr>
                    <w:rFonts w:ascii="Arial" w:hAnsi="Arial" w:cs="Arial"/>
                    <w:color w:val="000000"/>
                    <w:sz w:val="16"/>
                    <w:szCs w:val="16"/>
                    <w:lang w:val="en-AU" w:eastAsia="en-AU"/>
                  </w:rPr>
                  <w:t>Murray</w:t>
                </w:r>
              </w:smartTag>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E974E6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1DA8A702"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A1BB16B"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15%</w:t>
            </w:r>
          </w:p>
        </w:tc>
        <w:tc>
          <w:tcPr>
            <w:tcW w:w="600" w:type="dxa"/>
            <w:tcBorders>
              <w:top w:val="nil"/>
              <w:left w:val="nil"/>
              <w:bottom w:val="single" w:sz="4" w:space="0" w:color="BFBFBF"/>
              <w:right w:val="nil"/>
            </w:tcBorders>
            <w:shd w:val="clear" w:color="auto" w:fill="auto"/>
            <w:noWrap/>
            <w:vAlign w:val="center"/>
          </w:tcPr>
          <w:p w14:paraId="437250D4"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393B1A1"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52%</w:t>
            </w:r>
          </w:p>
        </w:tc>
        <w:tc>
          <w:tcPr>
            <w:tcW w:w="600" w:type="dxa"/>
            <w:tcBorders>
              <w:top w:val="nil"/>
              <w:left w:val="nil"/>
              <w:bottom w:val="single" w:sz="4" w:space="0" w:color="BFBFBF"/>
              <w:right w:val="single" w:sz="4" w:space="0" w:color="auto"/>
            </w:tcBorders>
            <w:shd w:val="clear" w:color="auto" w:fill="auto"/>
            <w:noWrap/>
            <w:vAlign w:val="center"/>
          </w:tcPr>
          <w:p w14:paraId="24123473"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972D3C6"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33%</w:t>
            </w:r>
          </w:p>
        </w:tc>
        <w:tc>
          <w:tcPr>
            <w:tcW w:w="600" w:type="dxa"/>
            <w:tcBorders>
              <w:top w:val="nil"/>
              <w:left w:val="nil"/>
              <w:bottom w:val="single" w:sz="4" w:space="0" w:color="BFBFBF"/>
              <w:right w:val="double" w:sz="6" w:space="0" w:color="auto"/>
            </w:tcBorders>
            <w:shd w:val="clear" w:color="auto" w:fill="auto"/>
            <w:noWrap/>
            <w:vAlign w:val="center"/>
          </w:tcPr>
          <w:p w14:paraId="75335560"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457A44C8"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5C1F554A"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Goulburn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917D159"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6</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61C71886"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E04BAA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11%</w:t>
            </w:r>
          </w:p>
        </w:tc>
        <w:tc>
          <w:tcPr>
            <w:tcW w:w="600" w:type="dxa"/>
            <w:tcBorders>
              <w:top w:val="nil"/>
              <w:left w:val="nil"/>
              <w:bottom w:val="single" w:sz="4" w:space="0" w:color="BFBFBF"/>
              <w:right w:val="nil"/>
            </w:tcBorders>
            <w:shd w:val="clear" w:color="auto" w:fill="auto"/>
            <w:noWrap/>
            <w:vAlign w:val="center"/>
          </w:tcPr>
          <w:p w14:paraId="067A4B34"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CA3C0E4"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51</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12BAAB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342128B"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32%</w:t>
            </w:r>
          </w:p>
        </w:tc>
        <w:tc>
          <w:tcPr>
            <w:tcW w:w="600" w:type="dxa"/>
            <w:tcBorders>
              <w:top w:val="nil"/>
              <w:left w:val="nil"/>
              <w:bottom w:val="single" w:sz="4" w:space="0" w:color="BFBFBF"/>
              <w:right w:val="double" w:sz="6" w:space="0" w:color="auto"/>
            </w:tcBorders>
            <w:shd w:val="clear" w:color="auto" w:fill="auto"/>
            <w:noWrap/>
            <w:vAlign w:val="center"/>
          </w:tcPr>
          <w:p w14:paraId="68CE17F7"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49D8C0B8"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7EAD95A1"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Outer Gippsland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4522DAF"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3FAF7781"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9885D0A"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19%</w:t>
            </w:r>
          </w:p>
        </w:tc>
        <w:tc>
          <w:tcPr>
            <w:tcW w:w="600" w:type="dxa"/>
            <w:tcBorders>
              <w:top w:val="nil"/>
              <w:left w:val="nil"/>
              <w:bottom w:val="single" w:sz="4" w:space="0" w:color="BFBFBF"/>
              <w:right w:val="nil"/>
            </w:tcBorders>
            <w:shd w:val="clear" w:color="auto" w:fill="auto"/>
            <w:noWrap/>
            <w:vAlign w:val="center"/>
          </w:tcPr>
          <w:p w14:paraId="0F6625EC"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CC987AE"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57%</w:t>
            </w:r>
          </w:p>
        </w:tc>
        <w:tc>
          <w:tcPr>
            <w:tcW w:w="600" w:type="dxa"/>
            <w:tcBorders>
              <w:top w:val="nil"/>
              <w:left w:val="nil"/>
              <w:bottom w:val="single" w:sz="4" w:space="0" w:color="BFBFBF"/>
              <w:right w:val="single" w:sz="4" w:space="0" w:color="auto"/>
            </w:tcBorders>
            <w:shd w:val="clear" w:color="auto" w:fill="auto"/>
            <w:noWrap/>
            <w:vAlign w:val="center"/>
          </w:tcPr>
          <w:p w14:paraId="3A66F9D9"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B8BD94B"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25</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5F1BD575"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7032C6B7"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1B663D2B"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Inner Gippsland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C456ACB"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4E1ED539"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FE6BFA1"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10%</w:t>
            </w:r>
          </w:p>
        </w:tc>
        <w:tc>
          <w:tcPr>
            <w:tcW w:w="600" w:type="dxa"/>
            <w:tcBorders>
              <w:top w:val="nil"/>
              <w:left w:val="nil"/>
              <w:bottom w:val="single" w:sz="4" w:space="0" w:color="BFBFBF"/>
              <w:right w:val="nil"/>
            </w:tcBorders>
            <w:shd w:val="clear" w:color="auto" w:fill="auto"/>
            <w:noWrap/>
            <w:vAlign w:val="center"/>
          </w:tcPr>
          <w:p w14:paraId="225247C0"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997566F"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57</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4DDBB751"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11473D9"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28%</w:t>
            </w:r>
          </w:p>
        </w:tc>
        <w:tc>
          <w:tcPr>
            <w:tcW w:w="600" w:type="dxa"/>
            <w:tcBorders>
              <w:top w:val="nil"/>
              <w:left w:val="nil"/>
              <w:bottom w:val="single" w:sz="4" w:space="0" w:color="BFBFBF"/>
              <w:right w:val="double" w:sz="6" w:space="0" w:color="auto"/>
            </w:tcBorders>
            <w:shd w:val="clear" w:color="auto" w:fill="auto"/>
            <w:noWrap/>
            <w:vAlign w:val="center"/>
          </w:tcPr>
          <w:p w14:paraId="08AD0202"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3A6689DD"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66FE4477"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Western District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39573B4"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57849E80"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5C173B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10%</w:t>
            </w:r>
          </w:p>
        </w:tc>
        <w:tc>
          <w:tcPr>
            <w:tcW w:w="600" w:type="dxa"/>
            <w:tcBorders>
              <w:top w:val="nil"/>
              <w:left w:val="nil"/>
              <w:bottom w:val="single" w:sz="4" w:space="0" w:color="BFBFBF"/>
              <w:right w:val="nil"/>
            </w:tcBorders>
            <w:shd w:val="clear" w:color="auto" w:fill="auto"/>
            <w:noWrap/>
            <w:vAlign w:val="center"/>
          </w:tcPr>
          <w:p w14:paraId="3981C7F7"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2E1324F" w14:textId="77777777" w:rsidR="00BC6949" w:rsidRPr="00683AA8" w:rsidRDefault="00683AA8"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73</w:t>
            </w:r>
            <w:r w:rsidR="00BC6949" w:rsidRPr="00683AA8">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453E9E6"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240F74B" w14:textId="77777777" w:rsidR="00BC6949" w:rsidRPr="00683AA8" w:rsidRDefault="00BC6949" w:rsidP="00683AA8">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w:t>
            </w:r>
            <w:r w:rsidR="00683AA8" w:rsidRPr="00683AA8">
              <w:rPr>
                <w:rFonts w:ascii="Arial" w:hAnsi="Arial" w:cs="Arial"/>
                <w:color w:val="000000"/>
                <w:sz w:val="16"/>
                <w:szCs w:val="16"/>
                <w:lang w:val="en-AU" w:eastAsia="en-AU"/>
              </w:rPr>
              <w:t>5</w:t>
            </w:r>
            <w:r w:rsidRPr="00683AA8">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015BD0D1"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01512335"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0AC3B603"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Barwon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12A3E0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1C9B2B9A"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7E4733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16%</w:t>
            </w:r>
          </w:p>
        </w:tc>
        <w:tc>
          <w:tcPr>
            <w:tcW w:w="600" w:type="dxa"/>
            <w:tcBorders>
              <w:top w:val="nil"/>
              <w:left w:val="nil"/>
              <w:bottom w:val="single" w:sz="4" w:space="0" w:color="BFBFBF"/>
              <w:right w:val="nil"/>
            </w:tcBorders>
            <w:shd w:val="clear" w:color="auto" w:fill="auto"/>
            <w:noWrap/>
            <w:vAlign w:val="center"/>
          </w:tcPr>
          <w:p w14:paraId="622598CA"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7636EF9"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59%</w:t>
            </w:r>
          </w:p>
        </w:tc>
        <w:tc>
          <w:tcPr>
            <w:tcW w:w="600" w:type="dxa"/>
            <w:tcBorders>
              <w:top w:val="nil"/>
              <w:left w:val="nil"/>
              <w:bottom w:val="single" w:sz="4" w:space="0" w:color="BFBFBF"/>
              <w:right w:val="single" w:sz="4" w:space="0" w:color="auto"/>
            </w:tcBorders>
            <w:shd w:val="clear" w:color="auto" w:fill="auto"/>
            <w:noWrap/>
            <w:vAlign w:val="center"/>
          </w:tcPr>
          <w:p w14:paraId="1CA52E63"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7F13CF9"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23%</w:t>
            </w:r>
          </w:p>
        </w:tc>
        <w:tc>
          <w:tcPr>
            <w:tcW w:w="600" w:type="dxa"/>
            <w:tcBorders>
              <w:top w:val="nil"/>
              <w:left w:val="nil"/>
              <w:bottom w:val="single" w:sz="4" w:space="0" w:color="BFBFBF"/>
              <w:right w:val="double" w:sz="6" w:space="0" w:color="auto"/>
            </w:tcBorders>
            <w:shd w:val="clear" w:color="auto" w:fill="auto"/>
            <w:noWrap/>
            <w:vAlign w:val="center"/>
          </w:tcPr>
          <w:p w14:paraId="4CBCC7FD"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45579082"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20C06A1E" w14:textId="77777777" w:rsidR="00BC6949" w:rsidRPr="00683AA8" w:rsidRDefault="00BC6949" w:rsidP="00BC6949">
            <w:pPr>
              <w:spacing w:before="0" w:after="0"/>
              <w:ind w:firstLineChars="100" w:firstLine="160"/>
              <w:rPr>
                <w:rFonts w:ascii="Arial" w:hAnsi="Arial" w:cs="Arial"/>
                <w:color w:val="000000"/>
                <w:sz w:val="16"/>
                <w:szCs w:val="16"/>
                <w:lang w:val="en-AU" w:eastAsia="en-AU"/>
              </w:rPr>
            </w:pPr>
            <w:r w:rsidRPr="00683AA8">
              <w:rPr>
                <w:rFonts w:ascii="Arial" w:hAnsi="Arial" w:cs="Arial"/>
                <w:color w:val="000000"/>
                <w:sz w:val="16"/>
                <w:szCs w:val="16"/>
                <w:lang w:val="en-AU" w:eastAsia="en-AU"/>
              </w:rPr>
              <w:t>Central Highlands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0B3CDC7"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5CEA1835"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BAF8156"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15%</w:t>
            </w:r>
          </w:p>
        </w:tc>
        <w:tc>
          <w:tcPr>
            <w:tcW w:w="600" w:type="dxa"/>
            <w:tcBorders>
              <w:top w:val="nil"/>
              <w:left w:val="nil"/>
              <w:bottom w:val="single" w:sz="4" w:space="0" w:color="BFBFBF"/>
              <w:right w:val="nil"/>
            </w:tcBorders>
            <w:shd w:val="clear" w:color="auto" w:fill="auto"/>
            <w:noWrap/>
            <w:vAlign w:val="center"/>
          </w:tcPr>
          <w:p w14:paraId="37017465"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DDB0A5A"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56%</w:t>
            </w:r>
          </w:p>
        </w:tc>
        <w:tc>
          <w:tcPr>
            <w:tcW w:w="600" w:type="dxa"/>
            <w:tcBorders>
              <w:top w:val="nil"/>
              <w:left w:val="nil"/>
              <w:bottom w:val="single" w:sz="4" w:space="0" w:color="BFBFBF"/>
              <w:right w:val="single" w:sz="4" w:space="0" w:color="auto"/>
            </w:tcBorders>
            <w:shd w:val="clear" w:color="auto" w:fill="auto"/>
            <w:noWrap/>
            <w:vAlign w:val="center"/>
          </w:tcPr>
          <w:p w14:paraId="6728F95B"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9F31005"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26%</w:t>
            </w:r>
          </w:p>
        </w:tc>
        <w:tc>
          <w:tcPr>
            <w:tcW w:w="600" w:type="dxa"/>
            <w:tcBorders>
              <w:top w:val="nil"/>
              <w:left w:val="nil"/>
              <w:bottom w:val="single" w:sz="4" w:space="0" w:color="BFBFBF"/>
              <w:right w:val="double" w:sz="6" w:space="0" w:color="auto"/>
            </w:tcBorders>
            <w:shd w:val="clear" w:color="auto" w:fill="auto"/>
            <w:noWrap/>
            <w:vAlign w:val="center"/>
          </w:tcPr>
          <w:p w14:paraId="6CBA623C" w14:textId="77777777" w:rsidR="00BC6949" w:rsidRPr="00683AA8" w:rsidRDefault="00BC6949" w:rsidP="00D10D53">
            <w:pPr>
              <w:spacing w:before="0" w:after="0"/>
              <w:jc w:val="center"/>
              <w:rPr>
                <w:rFonts w:ascii="Arial" w:hAnsi="Arial" w:cs="Arial"/>
                <w:color w:val="000000"/>
                <w:sz w:val="16"/>
                <w:szCs w:val="16"/>
                <w:lang w:val="en-AU" w:eastAsia="en-AU"/>
              </w:rPr>
            </w:pPr>
            <w:r w:rsidRPr="00683AA8">
              <w:rPr>
                <w:rFonts w:ascii="Arial" w:hAnsi="Arial" w:cs="Arial"/>
                <w:color w:val="000000"/>
                <w:sz w:val="16"/>
                <w:szCs w:val="16"/>
                <w:lang w:val="en-AU" w:eastAsia="en-AU"/>
              </w:rPr>
              <w:t>n/a</w:t>
            </w:r>
          </w:p>
        </w:tc>
      </w:tr>
      <w:tr w:rsidR="00BC6949" w:rsidRPr="00683AA8" w14:paraId="0D3E4B1B" w14:textId="77777777" w:rsidTr="00D10D53">
        <w:trPr>
          <w:trHeight w:val="240"/>
          <w:jc w:val="center"/>
        </w:trPr>
        <w:tc>
          <w:tcPr>
            <w:tcW w:w="2858" w:type="dxa"/>
            <w:tcBorders>
              <w:top w:val="nil"/>
              <w:left w:val="double" w:sz="6" w:space="0" w:color="auto"/>
              <w:bottom w:val="double" w:sz="6" w:space="0" w:color="auto"/>
              <w:right w:val="nil"/>
            </w:tcBorders>
            <w:shd w:val="clear" w:color="auto" w:fill="auto"/>
            <w:noWrap/>
            <w:vAlign w:val="center"/>
          </w:tcPr>
          <w:p w14:paraId="4B4F96AE" w14:textId="77777777" w:rsidR="00BC6949" w:rsidRPr="00683AA8" w:rsidRDefault="00BC6949" w:rsidP="00BC6949">
            <w:pPr>
              <w:spacing w:before="0" w:after="0"/>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Total HHs</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475467AE"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3%</w:t>
            </w:r>
          </w:p>
        </w:tc>
        <w:tc>
          <w:tcPr>
            <w:tcW w:w="600" w:type="dxa"/>
            <w:tcBorders>
              <w:top w:val="nil"/>
              <w:left w:val="nil"/>
              <w:bottom w:val="double" w:sz="6" w:space="0" w:color="auto"/>
              <w:right w:val="single" w:sz="4" w:space="0" w:color="auto"/>
            </w:tcBorders>
            <w:shd w:val="clear" w:color="auto" w:fill="auto"/>
            <w:noWrap/>
            <w:vAlign w:val="center"/>
          </w:tcPr>
          <w:p w14:paraId="0C1A4938"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3%</w:t>
            </w:r>
          </w:p>
        </w:tc>
        <w:tc>
          <w:tcPr>
            <w:tcW w:w="600" w:type="dxa"/>
            <w:tcBorders>
              <w:top w:val="nil"/>
              <w:left w:val="nil"/>
              <w:bottom w:val="double" w:sz="6" w:space="0" w:color="auto"/>
              <w:right w:val="single" w:sz="4" w:space="0" w:color="BFBFBF"/>
            </w:tcBorders>
            <w:shd w:val="clear" w:color="auto" w:fill="auto"/>
            <w:noWrap/>
            <w:vAlign w:val="center"/>
          </w:tcPr>
          <w:p w14:paraId="67779600" w14:textId="77777777" w:rsidR="00BC6949" w:rsidRPr="00683AA8" w:rsidRDefault="00683AA8"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16</w:t>
            </w:r>
            <w:r w:rsidR="00BC6949" w:rsidRPr="00683AA8">
              <w:rPr>
                <w:rFonts w:ascii="Arial" w:hAnsi="Arial" w:cs="Arial"/>
                <w:b/>
                <w:bCs/>
                <w:color w:val="000000"/>
                <w:sz w:val="16"/>
                <w:szCs w:val="16"/>
                <w:lang w:val="en-AU" w:eastAsia="en-AU"/>
              </w:rPr>
              <w:t>%</w:t>
            </w:r>
          </w:p>
        </w:tc>
        <w:tc>
          <w:tcPr>
            <w:tcW w:w="600" w:type="dxa"/>
            <w:tcBorders>
              <w:top w:val="nil"/>
              <w:left w:val="nil"/>
              <w:bottom w:val="double" w:sz="6" w:space="0" w:color="auto"/>
              <w:right w:val="nil"/>
            </w:tcBorders>
            <w:shd w:val="clear" w:color="auto" w:fill="auto"/>
            <w:noWrap/>
            <w:vAlign w:val="center"/>
          </w:tcPr>
          <w:p w14:paraId="71C261BA"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19%</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492C13B5"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52%</w:t>
            </w:r>
          </w:p>
        </w:tc>
        <w:tc>
          <w:tcPr>
            <w:tcW w:w="600" w:type="dxa"/>
            <w:tcBorders>
              <w:top w:val="nil"/>
              <w:left w:val="nil"/>
              <w:bottom w:val="double" w:sz="6" w:space="0" w:color="auto"/>
              <w:right w:val="single" w:sz="4" w:space="0" w:color="auto"/>
            </w:tcBorders>
            <w:shd w:val="clear" w:color="auto" w:fill="auto"/>
            <w:noWrap/>
            <w:vAlign w:val="center"/>
          </w:tcPr>
          <w:p w14:paraId="3AFCD967"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52%</w:t>
            </w:r>
          </w:p>
        </w:tc>
        <w:tc>
          <w:tcPr>
            <w:tcW w:w="600" w:type="dxa"/>
            <w:tcBorders>
              <w:top w:val="nil"/>
              <w:left w:val="nil"/>
              <w:bottom w:val="double" w:sz="6" w:space="0" w:color="auto"/>
              <w:right w:val="single" w:sz="4" w:space="0" w:color="BFBFBF"/>
            </w:tcBorders>
            <w:shd w:val="clear" w:color="auto" w:fill="auto"/>
            <w:noWrap/>
            <w:vAlign w:val="center"/>
          </w:tcPr>
          <w:p w14:paraId="112D054F"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29%</w:t>
            </w:r>
          </w:p>
        </w:tc>
        <w:tc>
          <w:tcPr>
            <w:tcW w:w="600" w:type="dxa"/>
            <w:tcBorders>
              <w:top w:val="nil"/>
              <w:left w:val="nil"/>
              <w:bottom w:val="double" w:sz="6" w:space="0" w:color="auto"/>
              <w:right w:val="double" w:sz="6" w:space="0" w:color="auto"/>
            </w:tcBorders>
            <w:shd w:val="clear" w:color="auto" w:fill="auto"/>
            <w:noWrap/>
            <w:vAlign w:val="center"/>
          </w:tcPr>
          <w:p w14:paraId="073166B8" w14:textId="77777777" w:rsidR="00BC6949" w:rsidRPr="00683AA8" w:rsidRDefault="00BC6949" w:rsidP="00D10D53">
            <w:pPr>
              <w:spacing w:before="0" w:after="0"/>
              <w:jc w:val="center"/>
              <w:rPr>
                <w:rFonts w:ascii="Arial" w:hAnsi="Arial" w:cs="Arial"/>
                <w:b/>
                <w:bCs/>
                <w:color w:val="000000"/>
                <w:sz w:val="16"/>
                <w:szCs w:val="16"/>
                <w:lang w:val="en-AU" w:eastAsia="en-AU"/>
              </w:rPr>
            </w:pPr>
            <w:r w:rsidRPr="00683AA8">
              <w:rPr>
                <w:rFonts w:ascii="Arial" w:hAnsi="Arial" w:cs="Arial"/>
                <w:b/>
                <w:bCs/>
                <w:color w:val="000000"/>
                <w:sz w:val="16"/>
                <w:szCs w:val="16"/>
                <w:lang w:val="en-AU" w:eastAsia="en-AU"/>
              </w:rPr>
              <w:t>26%</w:t>
            </w:r>
          </w:p>
        </w:tc>
      </w:tr>
    </w:tbl>
    <w:p w14:paraId="29D40F5F" w14:textId="77777777" w:rsidR="00FC6BFF" w:rsidRPr="00683AA8" w:rsidRDefault="00FC6BFF" w:rsidP="003920D8">
      <w:pPr>
        <w:pStyle w:val="Para"/>
        <w:ind w:left="3600"/>
        <w:rPr>
          <w:sz w:val="20"/>
          <w:lang w:val="en-AU"/>
        </w:rPr>
      </w:pPr>
      <w:r w:rsidRPr="00683AA8">
        <w:rPr>
          <w:sz w:val="20"/>
          <w:lang w:val="en-AU"/>
        </w:rPr>
        <w:t xml:space="preserve">Base: Total respondents, </w:t>
      </w:r>
      <w:r w:rsidR="00035A07" w:rsidRPr="00683AA8">
        <w:rPr>
          <w:sz w:val="20"/>
          <w:lang w:val="en-AU"/>
        </w:rPr>
        <w:t>2014 (n=</w:t>
      </w:r>
      <w:r w:rsidR="00465AC1" w:rsidRPr="00683AA8">
        <w:rPr>
          <w:sz w:val="20"/>
          <w:lang w:val="en-AU"/>
        </w:rPr>
        <w:t xml:space="preserve"> </w:t>
      </w:r>
      <w:r w:rsidR="00035A07" w:rsidRPr="00683AA8">
        <w:rPr>
          <w:sz w:val="20"/>
          <w:lang w:val="en-AU"/>
        </w:rPr>
        <w:t xml:space="preserve">1,861); </w:t>
      </w:r>
      <w:r w:rsidRPr="00683AA8">
        <w:rPr>
          <w:sz w:val="20"/>
          <w:lang w:val="en-AU"/>
        </w:rPr>
        <w:t>2007 (n=2,061)</w:t>
      </w:r>
    </w:p>
    <w:p w14:paraId="475E6AB4" w14:textId="77777777" w:rsidR="00C212F5" w:rsidRPr="00683AA8" w:rsidRDefault="00D3582F" w:rsidP="00A4234A">
      <w:pPr>
        <w:pStyle w:val="Para"/>
        <w:spacing w:after="120"/>
        <w:outlineLvl w:val="0"/>
        <w:rPr>
          <w:sz w:val="22"/>
          <w:lang w:val="en-AU"/>
        </w:rPr>
      </w:pPr>
      <w:r w:rsidRPr="00683AA8">
        <w:rPr>
          <w:b/>
          <w:lang w:val="en-AU"/>
        </w:rPr>
        <w:br w:type="page"/>
      </w:r>
    </w:p>
    <w:p w14:paraId="0C306844" w14:textId="77777777" w:rsidR="003920D8" w:rsidRPr="00C66393" w:rsidRDefault="00FC6BFF">
      <w:pPr>
        <w:pStyle w:val="Heading3"/>
        <w:tabs>
          <w:tab w:val="clear" w:pos="8517"/>
          <w:tab w:val="num" w:pos="851"/>
        </w:tabs>
        <w:spacing w:before="0"/>
        <w:ind w:hanging="8517"/>
        <w:rPr>
          <w:lang w:val="en-AU"/>
        </w:rPr>
      </w:pPr>
      <w:bookmarkStart w:id="134" w:name="_Toc439198295"/>
      <w:bookmarkStart w:id="135" w:name="_Toc445571678"/>
      <w:r w:rsidRPr="00C66393">
        <w:rPr>
          <w:lang w:val="en-AU"/>
        </w:rPr>
        <w:lastRenderedPageBreak/>
        <w:t>Material from which Home is Built</w:t>
      </w:r>
      <w:bookmarkEnd w:id="134"/>
      <w:bookmarkEnd w:id="135"/>
    </w:p>
    <w:p w14:paraId="381CA942" w14:textId="77777777" w:rsidR="00FC6BFF" w:rsidRPr="00C66393" w:rsidRDefault="00FC6BFF" w:rsidP="00FC6BFF">
      <w:pPr>
        <w:pStyle w:val="Para"/>
        <w:rPr>
          <w:lang w:val="en-AU"/>
        </w:rPr>
      </w:pPr>
    </w:p>
    <w:p w14:paraId="3E96176D" w14:textId="47483C9B" w:rsidR="00FC6BFF" w:rsidRPr="00C66393" w:rsidRDefault="00FE5E18" w:rsidP="00FC6BFF">
      <w:pPr>
        <w:pStyle w:val="Para"/>
        <w:rPr>
          <w:lang w:val="en-AU"/>
        </w:rPr>
      </w:pPr>
      <w:r w:rsidRPr="00C66393">
        <w:rPr>
          <w:lang w:val="en-AU"/>
        </w:rPr>
        <w:t>Overall, brick veneer was the most common material from which homes were built (6</w:t>
      </w:r>
      <w:r w:rsidR="00882A22" w:rsidRPr="00C66393">
        <w:rPr>
          <w:lang w:val="en-AU"/>
        </w:rPr>
        <w:t>5</w:t>
      </w:r>
      <w:r w:rsidRPr="00C66393">
        <w:rPr>
          <w:lang w:val="en-AU"/>
        </w:rPr>
        <w:t>%)</w:t>
      </w:r>
      <w:r w:rsidR="0057268F" w:rsidRPr="00C66393">
        <w:rPr>
          <w:lang w:val="en-AU"/>
        </w:rPr>
        <w:t xml:space="preserve"> – see Table </w:t>
      </w:r>
      <w:r w:rsidR="00390355" w:rsidRPr="00C66393">
        <w:rPr>
          <w:lang w:val="en-AU"/>
        </w:rPr>
        <w:t>3.3.11a.</w:t>
      </w:r>
      <w:r w:rsidR="00FB4973" w:rsidRPr="00C66393">
        <w:rPr>
          <w:lang w:val="en-AU"/>
        </w:rPr>
        <w:t xml:space="preserve">  Brick veneer homes were more common in Melbourne (68%) than in country Victoria (5</w:t>
      </w:r>
      <w:r w:rsidR="00C66393" w:rsidRPr="00C66393">
        <w:rPr>
          <w:lang w:val="en-AU"/>
        </w:rPr>
        <w:t>8</w:t>
      </w:r>
      <w:r w:rsidR="00FB4973" w:rsidRPr="00C66393">
        <w:rPr>
          <w:lang w:val="en-AU"/>
        </w:rPr>
        <w:t>%)</w:t>
      </w:r>
      <w:r w:rsidR="0057268F" w:rsidRPr="00C66393">
        <w:rPr>
          <w:lang w:val="en-AU"/>
        </w:rPr>
        <w:t xml:space="preserve"> – see table 3.3.11b overleaf</w:t>
      </w:r>
      <w:r w:rsidR="00272FFD" w:rsidRPr="00C66393">
        <w:rPr>
          <w:lang w:val="en-AU"/>
        </w:rPr>
        <w:t>.  In contrast, weatherboard/timber homes were more common in country Victoria (2</w:t>
      </w:r>
      <w:r w:rsidR="00C66393" w:rsidRPr="00C66393">
        <w:rPr>
          <w:lang w:val="en-AU"/>
        </w:rPr>
        <w:t>4</w:t>
      </w:r>
      <w:r w:rsidR="00272FFD" w:rsidRPr="00C66393">
        <w:rPr>
          <w:lang w:val="en-AU"/>
        </w:rPr>
        <w:t xml:space="preserve">%) than in Melbourne (17%). </w:t>
      </w:r>
    </w:p>
    <w:p w14:paraId="1F0D9142" w14:textId="77777777" w:rsidR="00FE5E18" w:rsidRPr="00DA3B75" w:rsidRDefault="00FE5E18" w:rsidP="00FC6BFF">
      <w:pPr>
        <w:pStyle w:val="Para"/>
        <w:rPr>
          <w:highlight w:val="yellow"/>
          <w:lang w:val="en-AU"/>
        </w:rPr>
      </w:pPr>
    </w:p>
    <w:p w14:paraId="668A5097" w14:textId="77777777" w:rsidR="007911C3" w:rsidRPr="00BA7D39" w:rsidRDefault="00FE5E18" w:rsidP="00882A22">
      <w:pPr>
        <w:pStyle w:val="Para"/>
        <w:rPr>
          <w:lang w:val="en-AU"/>
        </w:rPr>
      </w:pPr>
      <w:r w:rsidRPr="003D4F18">
        <w:rPr>
          <w:lang w:val="en-AU"/>
        </w:rPr>
        <w:t xml:space="preserve">The material from which homes were built varied by the date built.  </w:t>
      </w:r>
      <w:r w:rsidRPr="00BA7D39">
        <w:rPr>
          <w:lang w:val="en-AU"/>
        </w:rPr>
        <w:t>For example, brick veneer was more common for homes built after 1991 (1991 to 2004: 8</w:t>
      </w:r>
      <w:r w:rsidR="00882A22" w:rsidRPr="00BA7D39">
        <w:rPr>
          <w:lang w:val="en-AU"/>
        </w:rPr>
        <w:t>7</w:t>
      </w:r>
      <w:r w:rsidRPr="00BA7D39">
        <w:rPr>
          <w:lang w:val="en-AU"/>
        </w:rPr>
        <w:t xml:space="preserve">%; after 2004: </w:t>
      </w:r>
      <w:r w:rsidR="00882A22" w:rsidRPr="00BA7D39">
        <w:rPr>
          <w:lang w:val="en-AU"/>
        </w:rPr>
        <w:t>81%</w:t>
      </w:r>
      <w:r w:rsidRPr="00BA7D39">
        <w:rPr>
          <w:lang w:val="en-AU"/>
        </w:rPr>
        <w:t>) than those built before 1991 (5</w:t>
      </w:r>
      <w:r w:rsidR="00882A22" w:rsidRPr="00BA7D39">
        <w:rPr>
          <w:lang w:val="en-AU"/>
        </w:rPr>
        <w:t>7</w:t>
      </w:r>
      <w:r w:rsidRPr="00BA7D39">
        <w:rPr>
          <w:lang w:val="en-AU"/>
        </w:rPr>
        <w:t>%).  Weatherboard/timber was mo</w:t>
      </w:r>
      <w:r w:rsidR="00882A22" w:rsidRPr="00BA7D39">
        <w:rPr>
          <w:lang w:val="en-AU"/>
        </w:rPr>
        <w:t>re</w:t>
      </w:r>
      <w:r w:rsidRPr="00BA7D39">
        <w:rPr>
          <w:lang w:val="en-AU"/>
        </w:rPr>
        <w:t xml:space="preserve"> common in homes built before 1991 (2</w:t>
      </w:r>
      <w:r w:rsidR="00882A22" w:rsidRPr="00BA7D39">
        <w:rPr>
          <w:lang w:val="en-AU"/>
        </w:rPr>
        <w:t>5</w:t>
      </w:r>
      <w:r w:rsidRPr="00BA7D39">
        <w:rPr>
          <w:lang w:val="en-AU"/>
        </w:rPr>
        <w:t xml:space="preserve">%), </w:t>
      </w:r>
      <w:r w:rsidR="00882A22" w:rsidRPr="00BA7D39">
        <w:rPr>
          <w:lang w:val="en-AU"/>
        </w:rPr>
        <w:t>than in homes built from 1991 to 2004 (3%) or after 2004 (7%).</w:t>
      </w:r>
      <w:r w:rsidRPr="00BA7D39">
        <w:rPr>
          <w:lang w:val="en-AU"/>
        </w:rPr>
        <w:t xml:space="preserve">  Double brick/cavity brick was most common amongst homes built before 1991 (1</w:t>
      </w:r>
      <w:r w:rsidR="00882A22" w:rsidRPr="00BA7D39">
        <w:rPr>
          <w:lang w:val="en-AU"/>
        </w:rPr>
        <w:t>2</w:t>
      </w:r>
      <w:r w:rsidRPr="00BA7D39">
        <w:rPr>
          <w:lang w:val="en-AU"/>
        </w:rPr>
        <w:t>%)</w:t>
      </w:r>
      <w:r w:rsidR="00882A22" w:rsidRPr="00BA7D39">
        <w:rPr>
          <w:lang w:val="en-AU"/>
        </w:rPr>
        <w:t>.</w:t>
      </w:r>
    </w:p>
    <w:p w14:paraId="634292DC" w14:textId="77777777" w:rsidR="007911C3" w:rsidRPr="00BA7D39" w:rsidRDefault="007911C3" w:rsidP="00882A22">
      <w:pPr>
        <w:pStyle w:val="Para"/>
        <w:rPr>
          <w:lang w:val="en-AU"/>
        </w:rPr>
      </w:pPr>
    </w:p>
    <w:p w14:paraId="0C08F23E" w14:textId="77777777" w:rsidR="00FC6BFF" w:rsidRPr="00911A1A" w:rsidRDefault="00FC6BFF" w:rsidP="003920D8">
      <w:pPr>
        <w:pStyle w:val="Para"/>
        <w:jc w:val="center"/>
        <w:rPr>
          <w:b/>
          <w:u w:val="single"/>
          <w:lang w:val="en-AU"/>
        </w:rPr>
      </w:pPr>
      <w:r w:rsidRPr="00911A1A">
        <w:rPr>
          <w:b/>
          <w:lang w:val="en-AU"/>
        </w:rPr>
        <w:t>Table 3.3.</w:t>
      </w:r>
      <w:r w:rsidR="00FF5CB5" w:rsidRPr="00911A1A">
        <w:rPr>
          <w:b/>
          <w:lang w:val="en-AU"/>
        </w:rPr>
        <w:t>11</w:t>
      </w:r>
      <w:r w:rsidR="009E5010" w:rsidRPr="00911A1A">
        <w:rPr>
          <w:b/>
          <w:lang w:val="en-AU"/>
        </w:rPr>
        <w:t>a</w:t>
      </w:r>
      <w:r w:rsidRPr="00911A1A">
        <w:rPr>
          <w:b/>
          <w:lang w:val="en-AU"/>
        </w:rPr>
        <w:t xml:space="preserve">: </w:t>
      </w:r>
      <w:r w:rsidRPr="00911A1A">
        <w:rPr>
          <w:b/>
          <w:u w:val="single"/>
          <w:lang w:val="en-AU"/>
        </w:rPr>
        <w:t xml:space="preserve">Material of Home by </w:t>
      </w:r>
      <w:r w:rsidR="009E5010" w:rsidRPr="00911A1A">
        <w:rPr>
          <w:b/>
          <w:u w:val="single"/>
          <w:lang w:val="en-AU"/>
        </w:rPr>
        <w:t>Concession Status</w:t>
      </w:r>
      <w:r w:rsidRPr="00911A1A">
        <w:rPr>
          <w:b/>
          <w:u w:val="single"/>
          <w:lang w:val="en-AU"/>
        </w:rPr>
        <w:t xml:space="preserve"> and Date Built</w:t>
      </w:r>
    </w:p>
    <w:p w14:paraId="4E41F2B7" w14:textId="77777777" w:rsidR="00BC6949" w:rsidRPr="00911A1A" w:rsidRDefault="00BC6949" w:rsidP="00882A22">
      <w:pPr>
        <w:pStyle w:val="Para"/>
        <w:rPr>
          <w:b/>
          <w:lang w:val="en-AU"/>
        </w:rPr>
      </w:pPr>
    </w:p>
    <w:tbl>
      <w:tblPr>
        <w:tblW w:w="11980" w:type="dxa"/>
        <w:jc w:val="center"/>
        <w:tblLook w:val="04A0" w:firstRow="1" w:lastRow="0" w:firstColumn="1" w:lastColumn="0" w:noHBand="0" w:noVBand="1"/>
      </w:tblPr>
      <w:tblGrid>
        <w:gridCol w:w="2160"/>
        <w:gridCol w:w="600"/>
        <w:gridCol w:w="600"/>
        <w:gridCol w:w="600"/>
        <w:gridCol w:w="600"/>
        <w:gridCol w:w="600"/>
        <w:gridCol w:w="600"/>
        <w:gridCol w:w="600"/>
        <w:gridCol w:w="600"/>
        <w:gridCol w:w="600"/>
        <w:gridCol w:w="600"/>
        <w:gridCol w:w="620"/>
        <w:gridCol w:w="620"/>
        <w:gridCol w:w="690"/>
        <w:gridCol w:w="690"/>
        <w:gridCol w:w="600"/>
        <w:gridCol w:w="600"/>
      </w:tblGrid>
      <w:tr w:rsidR="00BC6949" w:rsidRPr="00911A1A" w14:paraId="2A922AB7" w14:textId="77777777" w:rsidTr="00562A28">
        <w:trPr>
          <w:trHeight w:val="510"/>
          <w:jc w:val="center"/>
        </w:trPr>
        <w:tc>
          <w:tcPr>
            <w:tcW w:w="2160" w:type="dxa"/>
            <w:vMerge w:val="restart"/>
            <w:tcBorders>
              <w:top w:val="double" w:sz="6" w:space="0" w:color="auto"/>
              <w:left w:val="double" w:sz="6" w:space="0" w:color="auto"/>
              <w:bottom w:val="single" w:sz="4" w:space="0" w:color="BFBFBF"/>
              <w:right w:val="nil"/>
            </w:tcBorders>
            <w:shd w:val="clear" w:color="auto" w:fill="auto"/>
            <w:vAlign w:val="center"/>
          </w:tcPr>
          <w:p w14:paraId="5309272D" w14:textId="77777777" w:rsidR="00BC6949" w:rsidRPr="00911A1A" w:rsidRDefault="00BC6949" w:rsidP="00BC6949">
            <w:pPr>
              <w:spacing w:before="0" w:after="0"/>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 xml:space="preserve">Material </w:t>
            </w:r>
            <w:r w:rsidR="009E5010" w:rsidRPr="00911A1A">
              <w:rPr>
                <w:rFonts w:ascii="Arial" w:hAnsi="Arial" w:cs="Arial"/>
                <w:b/>
                <w:bCs/>
                <w:color w:val="000000"/>
                <w:sz w:val="16"/>
                <w:szCs w:val="16"/>
                <w:lang w:val="en-AU" w:eastAsia="en-AU"/>
              </w:rPr>
              <w:t xml:space="preserve">of </w:t>
            </w:r>
            <w:r w:rsidRPr="00911A1A">
              <w:rPr>
                <w:rFonts w:ascii="Arial" w:hAnsi="Arial" w:cs="Arial"/>
                <w:b/>
                <w:bCs/>
                <w:color w:val="000000"/>
                <w:sz w:val="16"/>
                <w:szCs w:val="16"/>
                <w:lang w:val="en-AU" w:eastAsia="en-AU"/>
              </w:rPr>
              <w:t xml:space="preserve">Home </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2130DB3E" w14:textId="77777777" w:rsidR="00BC6949" w:rsidRPr="00911A1A" w:rsidRDefault="00BC6949" w:rsidP="00BC6949">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Brick veneer</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6A579098" w14:textId="77777777" w:rsidR="00BC6949" w:rsidRPr="00911A1A" w:rsidRDefault="00BC6949" w:rsidP="00BC6949">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Double brick/ Cavity brick</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3C530477" w14:textId="77777777" w:rsidR="00BC6949" w:rsidRPr="00911A1A" w:rsidRDefault="00BC6949" w:rsidP="00BC6949">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W'board/ Timber</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57DF1CA0" w14:textId="77777777" w:rsidR="00BC6949" w:rsidRPr="00911A1A" w:rsidRDefault="00BC6949" w:rsidP="00BC6949">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Fibro-cement</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255A0656" w14:textId="77777777" w:rsidR="00BC6949" w:rsidRPr="00911A1A" w:rsidRDefault="00BC6949" w:rsidP="00BC6949">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Concrete/ Besser block</w:t>
            </w:r>
          </w:p>
        </w:tc>
        <w:tc>
          <w:tcPr>
            <w:tcW w:w="1240" w:type="dxa"/>
            <w:gridSpan w:val="2"/>
            <w:tcBorders>
              <w:top w:val="double" w:sz="6" w:space="0" w:color="auto"/>
              <w:left w:val="nil"/>
              <w:bottom w:val="single" w:sz="4" w:space="0" w:color="BFBFBF"/>
              <w:right w:val="single" w:sz="4" w:space="0" w:color="BFBFBF"/>
            </w:tcBorders>
            <w:shd w:val="clear" w:color="auto" w:fill="auto"/>
            <w:vAlign w:val="center"/>
          </w:tcPr>
          <w:p w14:paraId="09B1CD6A" w14:textId="77777777" w:rsidR="00BC6949" w:rsidRPr="00911A1A" w:rsidRDefault="00BC6949" w:rsidP="00BC6949">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Steel/  Aluminium</w:t>
            </w:r>
          </w:p>
        </w:tc>
        <w:tc>
          <w:tcPr>
            <w:tcW w:w="138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05220985" w14:textId="77777777" w:rsidR="00BC6949" w:rsidRPr="00911A1A" w:rsidRDefault="00BC6949" w:rsidP="00BC6949">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Other Material</w:t>
            </w:r>
          </w:p>
        </w:tc>
        <w:tc>
          <w:tcPr>
            <w:tcW w:w="1200" w:type="dxa"/>
            <w:gridSpan w:val="2"/>
            <w:tcBorders>
              <w:top w:val="double" w:sz="6" w:space="0" w:color="auto"/>
              <w:left w:val="nil"/>
              <w:bottom w:val="single" w:sz="4" w:space="0" w:color="BFBFBF"/>
              <w:right w:val="double" w:sz="6" w:space="0" w:color="000000"/>
            </w:tcBorders>
            <w:shd w:val="clear" w:color="auto" w:fill="auto"/>
            <w:vAlign w:val="center"/>
          </w:tcPr>
          <w:p w14:paraId="05D3D4AA" w14:textId="77777777" w:rsidR="00BC6949" w:rsidRPr="00911A1A" w:rsidRDefault="00BC6949" w:rsidP="00BC6949">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Can't say</w:t>
            </w:r>
          </w:p>
        </w:tc>
      </w:tr>
      <w:tr w:rsidR="00BC6949" w:rsidRPr="00911A1A" w14:paraId="61D0FA2C" w14:textId="77777777" w:rsidTr="00D10D53">
        <w:trPr>
          <w:trHeight w:val="225"/>
          <w:jc w:val="center"/>
        </w:trPr>
        <w:tc>
          <w:tcPr>
            <w:tcW w:w="2160" w:type="dxa"/>
            <w:vMerge/>
            <w:tcBorders>
              <w:top w:val="double" w:sz="6" w:space="0" w:color="auto"/>
              <w:left w:val="double" w:sz="6" w:space="0" w:color="auto"/>
              <w:bottom w:val="single" w:sz="4" w:space="0" w:color="BFBFBF"/>
              <w:right w:val="nil"/>
            </w:tcBorders>
            <w:vAlign w:val="center"/>
          </w:tcPr>
          <w:p w14:paraId="447D87B8" w14:textId="77777777" w:rsidR="00BC6949" w:rsidRPr="00911A1A" w:rsidRDefault="00BC6949" w:rsidP="00BC6949">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ECC847F"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2703D022"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58547394"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3AE2DCB1"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C3949AB"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2CCBF705"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27D042C0"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7B9D819C"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48230E9"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719B4291"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2007</w:t>
            </w:r>
          </w:p>
        </w:tc>
        <w:tc>
          <w:tcPr>
            <w:tcW w:w="620" w:type="dxa"/>
            <w:tcBorders>
              <w:top w:val="nil"/>
              <w:left w:val="nil"/>
              <w:bottom w:val="single" w:sz="4" w:space="0" w:color="BFBFBF"/>
              <w:right w:val="single" w:sz="4" w:space="0" w:color="BFBFBF"/>
            </w:tcBorders>
            <w:shd w:val="clear" w:color="auto" w:fill="auto"/>
            <w:noWrap/>
            <w:vAlign w:val="center"/>
          </w:tcPr>
          <w:p w14:paraId="6C55B267"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2014</w:t>
            </w:r>
          </w:p>
        </w:tc>
        <w:tc>
          <w:tcPr>
            <w:tcW w:w="620" w:type="dxa"/>
            <w:tcBorders>
              <w:top w:val="nil"/>
              <w:left w:val="nil"/>
              <w:bottom w:val="single" w:sz="4" w:space="0" w:color="BFBFBF"/>
              <w:right w:val="nil"/>
            </w:tcBorders>
            <w:shd w:val="clear" w:color="auto" w:fill="auto"/>
            <w:noWrap/>
            <w:vAlign w:val="center"/>
          </w:tcPr>
          <w:p w14:paraId="2EAA11D4"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2007</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4D7AC7F5"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2014</w:t>
            </w:r>
          </w:p>
        </w:tc>
        <w:tc>
          <w:tcPr>
            <w:tcW w:w="690" w:type="dxa"/>
            <w:tcBorders>
              <w:top w:val="nil"/>
              <w:left w:val="nil"/>
              <w:bottom w:val="single" w:sz="4" w:space="0" w:color="BFBFBF"/>
              <w:right w:val="single" w:sz="4" w:space="0" w:color="auto"/>
            </w:tcBorders>
            <w:shd w:val="clear" w:color="auto" w:fill="auto"/>
            <w:noWrap/>
            <w:vAlign w:val="center"/>
          </w:tcPr>
          <w:p w14:paraId="7A55E8F4"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4CD6C882"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2014</w:t>
            </w:r>
          </w:p>
        </w:tc>
        <w:tc>
          <w:tcPr>
            <w:tcW w:w="600" w:type="dxa"/>
            <w:tcBorders>
              <w:top w:val="nil"/>
              <w:left w:val="nil"/>
              <w:bottom w:val="single" w:sz="4" w:space="0" w:color="BFBFBF"/>
              <w:right w:val="double" w:sz="6" w:space="0" w:color="auto"/>
            </w:tcBorders>
            <w:shd w:val="clear" w:color="auto" w:fill="auto"/>
            <w:noWrap/>
            <w:vAlign w:val="center"/>
          </w:tcPr>
          <w:p w14:paraId="66D70468"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2007</w:t>
            </w:r>
          </w:p>
        </w:tc>
      </w:tr>
      <w:tr w:rsidR="00BC6949" w:rsidRPr="00911A1A" w14:paraId="3BFC8214"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91A5582" w14:textId="77777777" w:rsidR="00BC6949" w:rsidRPr="00911A1A" w:rsidRDefault="00BC6949" w:rsidP="00BC6949">
            <w:pPr>
              <w:spacing w:before="0" w:after="0"/>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By Concession Status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24F28CD"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61DD32BD"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7DF056A5"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0838FDEB"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D71CB29"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618B8C81"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419A1BF0"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502E8F51"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53CFB0E"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2F781FC1"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20" w:type="dxa"/>
            <w:tcBorders>
              <w:top w:val="nil"/>
              <w:left w:val="nil"/>
              <w:bottom w:val="single" w:sz="4" w:space="0" w:color="BFBFBF"/>
              <w:right w:val="single" w:sz="4" w:space="0" w:color="BFBFBF"/>
            </w:tcBorders>
            <w:shd w:val="clear" w:color="auto" w:fill="auto"/>
            <w:noWrap/>
            <w:vAlign w:val="center"/>
          </w:tcPr>
          <w:p w14:paraId="2E66F685"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20" w:type="dxa"/>
            <w:tcBorders>
              <w:top w:val="nil"/>
              <w:left w:val="nil"/>
              <w:bottom w:val="single" w:sz="4" w:space="0" w:color="BFBFBF"/>
              <w:right w:val="nil"/>
            </w:tcBorders>
            <w:shd w:val="clear" w:color="auto" w:fill="auto"/>
            <w:noWrap/>
            <w:vAlign w:val="center"/>
          </w:tcPr>
          <w:p w14:paraId="3F0C2A21"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50B8F759"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90" w:type="dxa"/>
            <w:tcBorders>
              <w:top w:val="nil"/>
              <w:left w:val="nil"/>
              <w:bottom w:val="single" w:sz="4" w:space="0" w:color="BFBFBF"/>
              <w:right w:val="single" w:sz="4" w:space="0" w:color="auto"/>
            </w:tcBorders>
            <w:shd w:val="clear" w:color="auto" w:fill="auto"/>
            <w:noWrap/>
            <w:vAlign w:val="center"/>
          </w:tcPr>
          <w:p w14:paraId="62F5F67C"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10FDD522"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74E623E8" w14:textId="77777777" w:rsidR="00BC6949" w:rsidRPr="00911A1A" w:rsidRDefault="00BC6949" w:rsidP="00D10D53">
            <w:pPr>
              <w:spacing w:before="0" w:after="0"/>
              <w:jc w:val="center"/>
              <w:rPr>
                <w:rFonts w:ascii="Arial" w:hAnsi="Arial" w:cs="Arial"/>
                <w:b/>
                <w:bCs/>
                <w:color w:val="000000"/>
                <w:sz w:val="16"/>
                <w:szCs w:val="16"/>
                <w:lang w:val="en-AU" w:eastAsia="en-AU"/>
              </w:rPr>
            </w:pPr>
          </w:p>
        </w:tc>
      </w:tr>
      <w:tr w:rsidR="00BC6949" w:rsidRPr="00911A1A" w14:paraId="495C5E0B"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61170A69" w14:textId="6B1D2B4B" w:rsidR="00BC6949" w:rsidRPr="00911A1A" w:rsidRDefault="00B9793D" w:rsidP="00BC6949">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BC6949" w:rsidRPr="00911A1A">
              <w:rPr>
                <w:rFonts w:ascii="Arial" w:hAnsi="Arial" w:cs="Arial"/>
                <w:color w:val="000000"/>
                <w:sz w:val="16"/>
                <w:szCs w:val="16"/>
                <w:lang w:val="en-AU" w:eastAsia="en-AU"/>
              </w:rPr>
              <w:t>Aged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BF7537B"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68%</w:t>
            </w:r>
          </w:p>
        </w:tc>
        <w:tc>
          <w:tcPr>
            <w:tcW w:w="600" w:type="dxa"/>
            <w:tcBorders>
              <w:top w:val="nil"/>
              <w:left w:val="nil"/>
              <w:bottom w:val="single" w:sz="4" w:space="0" w:color="BFBFBF"/>
              <w:right w:val="single" w:sz="4" w:space="0" w:color="auto"/>
            </w:tcBorders>
            <w:shd w:val="clear" w:color="auto" w:fill="auto"/>
            <w:noWrap/>
            <w:vAlign w:val="center"/>
          </w:tcPr>
          <w:p w14:paraId="6A4A80C1"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68%</w:t>
            </w:r>
          </w:p>
        </w:tc>
        <w:tc>
          <w:tcPr>
            <w:tcW w:w="600" w:type="dxa"/>
            <w:tcBorders>
              <w:top w:val="nil"/>
              <w:left w:val="nil"/>
              <w:bottom w:val="single" w:sz="4" w:space="0" w:color="BFBFBF"/>
              <w:right w:val="single" w:sz="4" w:space="0" w:color="BFBFBF"/>
            </w:tcBorders>
            <w:shd w:val="clear" w:color="auto" w:fill="auto"/>
            <w:noWrap/>
            <w:vAlign w:val="center"/>
          </w:tcPr>
          <w:p w14:paraId="473A5B9B"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7%</w:t>
            </w:r>
          </w:p>
        </w:tc>
        <w:tc>
          <w:tcPr>
            <w:tcW w:w="600" w:type="dxa"/>
            <w:tcBorders>
              <w:top w:val="nil"/>
              <w:left w:val="nil"/>
              <w:bottom w:val="single" w:sz="4" w:space="0" w:color="BFBFBF"/>
              <w:right w:val="nil"/>
            </w:tcBorders>
            <w:shd w:val="clear" w:color="auto" w:fill="auto"/>
            <w:noWrap/>
            <w:vAlign w:val="center"/>
          </w:tcPr>
          <w:p w14:paraId="24D92DF0"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6%</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AC427DB"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16%</w:t>
            </w:r>
          </w:p>
        </w:tc>
        <w:tc>
          <w:tcPr>
            <w:tcW w:w="600" w:type="dxa"/>
            <w:tcBorders>
              <w:top w:val="nil"/>
              <w:left w:val="nil"/>
              <w:bottom w:val="single" w:sz="4" w:space="0" w:color="BFBFBF"/>
              <w:right w:val="single" w:sz="4" w:space="0" w:color="auto"/>
            </w:tcBorders>
            <w:shd w:val="clear" w:color="auto" w:fill="auto"/>
            <w:noWrap/>
            <w:vAlign w:val="center"/>
          </w:tcPr>
          <w:p w14:paraId="1239C3F8"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18%</w:t>
            </w:r>
          </w:p>
        </w:tc>
        <w:tc>
          <w:tcPr>
            <w:tcW w:w="600" w:type="dxa"/>
            <w:tcBorders>
              <w:top w:val="nil"/>
              <w:left w:val="nil"/>
              <w:bottom w:val="single" w:sz="4" w:space="0" w:color="BFBFBF"/>
              <w:right w:val="single" w:sz="4" w:space="0" w:color="BFBFBF"/>
            </w:tcBorders>
            <w:shd w:val="clear" w:color="auto" w:fill="auto"/>
            <w:noWrap/>
            <w:vAlign w:val="center"/>
          </w:tcPr>
          <w:p w14:paraId="4D1FB88A"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3%</w:t>
            </w:r>
          </w:p>
        </w:tc>
        <w:tc>
          <w:tcPr>
            <w:tcW w:w="600" w:type="dxa"/>
            <w:tcBorders>
              <w:top w:val="nil"/>
              <w:left w:val="nil"/>
              <w:bottom w:val="single" w:sz="4" w:space="0" w:color="BFBFBF"/>
              <w:right w:val="nil"/>
            </w:tcBorders>
            <w:shd w:val="clear" w:color="auto" w:fill="auto"/>
            <w:noWrap/>
            <w:vAlign w:val="center"/>
          </w:tcPr>
          <w:p w14:paraId="54F76FDB"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38B09B6"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78006D32"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20" w:type="dxa"/>
            <w:tcBorders>
              <w:top w:val="nil"/>
              <w:left w:val="nil"/>
              <w:bottom w:val="single" w:sz="4" w:space="0" w:color="BFBFBF"/>
              <w:right w:val="single" w:sz="4" w:space="0" w:color="BFBFBF"/>
            </w:tcBorders>
            <w:shd w:val="clear" w:color="auto" w:fill="auto"/>
            <w:noWrap/>
            <w:vAlign w:val="center"/>
          </w:tcPr>
          <w:p w14:paraId="436A0E73"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56B93236"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19C812B1" w14:textId="77777777" w:rsidR="00BC6949" w:rsidRPr="00911A1A" w:rsidRDefault="00911A1A"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r w:rsidR="00BC6949" w:rsidRPr="00911A1A">
              <w:rPr>
                <w:rFonts w:ascii="Arial" w:hAnsi="Arial" w:cs="Arial"/>
                <w:color w:val="000000"/>
                <w:sz w:val="16"/>
                <w:szCs w:val="16"/>
                <w:lang w:val="en-AU" w:eastAsia="en-AU"/>
              </w:rPr>
              <w:t>%</w:t>
            </w:r>
          </w:p>
        </w:tc>
        <w:tc>
          <w:tcPr>
            <w:tcW w:w="690" w:type="dxa"/>
            <w:tcBorders>
              <w:top w:val="nil"/>
              <w:left w:val="nil"/>
              <w:bottom w:val="single" w:sz="4" w:space="0" w:color="BFBFBF"/>
              <w:right w:val="single" w:sz="4" w:space="0" w:color="auto"/>
            </w:tcBorders>
            <w:shd w:val="clear" w:color="auto" w:fill="auto"/>
            <w:noWrap/>
            <w:vAlign w:val="center"/>
          </w:tcPr>
          <w:p w14:paraId="2B81D84F"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2F541788"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double" w:sz="6" w:space="0" w:color="auto"/>
            </w:tcBorders>
            <w:shd w:val="clear" w:color="auto" w:fill="auto"/>
            <w:noWrap/>
            <w:vAlign w:val="center"/>
          </w:tcPr>
          <w:p w14:paraId="48178529"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r>
      <w:tr w:rsidR="00BC6949" w:rsidRPr="00911A1A" w14:paraId="23A8F8D0"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7790B844" w14:textId="5912D4F4" w:rsidR="00BC6949" w:rsidRPr="00911A1A" w:rsidRDefault="00B9793D" w:rsidP="00BC6949">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BC6949" w:rsidRPr="00911A1A">
              <w:rPr>
                <w:rFonts w:ascii="Arial" w:hAnsi="Arial" w:cs="Arial"/>
                <w:color w:val="000000"/>
                <w:sz w:val="16"/>
                <w:szCs w:val="16"/>
                <w:lang w:val="en-AU" w:eastAsia="en-AU"/>
              </w:rPr>
              <w:t>Other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5F9F49B" w14:textId="77777777" w:rsidR="00BC6949" w:rsidRPr="00911A1A" w:rsidRDefault="00BC6949" w:rsidP="00911A1A">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6</w:t>
            </w:r>
            <w:r w:rsidR="00911A1A" w:rsidRPr="00911A1A">
              <w:rPr>
                <w:rFonts w:ascii="Arial" w:hAnsi="Arial" w:cs="Arial"/>
                <w:color w:val="000000"/>
                <w:sz w:val="16"/>
                <w:szCs w:val="16"/>
                <w:lang w:val="en-AU" w:eastAsia="en-AU"/>
              </w:rPr>
              <w:t>2</w:t>
            </w:r>
            <w:r w:rsidRPr="00911A1A">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61298100"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63%</w:t>
            </w:r>
          </w:p>
        </w:tc>
        <w:tc>
          <w:tcPr>
            <w:tcW w:w="600" w:type="dxa"/>
            <w:tcBorders>
              <w:top w:val="nil"/>
              <w:left w:val="nil"/>
              <w:bottom w:val="single" w:sz="4" w:space="0" w:color="BFBFBF"/>
              <w:right w:val="single" w:sz="4" w:space="0" w:color="BFBFBF"/>
            </w:tcBorders>
            <w:shd w:val="clear" w:color="auto" w:fill="auto"/>
            <w:noWrap/>
            <w:vAlign w:val="center"/>
          </w:tcPr>
          <w:p w14:paraId="1046BAAA"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11%</w:t>
            </w:r>
          </w:p>
        </w:tc>
        <w:tc>
          <w:tcPr>
            <w:tcW w:w="600" w:type="dxa"/>
            <w:tcBorders>
              <w:top w:val="nil"/>
              <w:left w:val="nil"/>
              <w:bottom w:val="single" w:sz="4" w:space="0" w:color="BFBFBF"/>
              <w:right w:val="nil"/>
            </w:tcBorders>
            <w:shd w:val="clear" w:color="auto" w:fill="auto"/>
            <w:noWrap/>
            <w:vAlign w:val="center"/>
          </w:tcPr>
          <w:p w14:paraId="0473C130"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8%</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7C6EF1B"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19%</w:t>
            </w:r>
          </w:p>
        </w:tc>
        <w:tc>
          <w:tcPr>
            <w:tcW w:w="600" w:type="dxa"/>
            <w:tcBorders>
              <w:top w:val="nil"/>
              <w:left w:val="nil"/>
              <w:bottom w:val="single" w:sz="4" w:space="0" w:color="BFBFBF"/>
              <w:right w:val="single" w:sz="4" w:space="0" w:color="auto"/>
            </w:tcBorders>
            <w:shd w:val="clear" w:color="auto" w:fill="auto"/>
            <w:noWrap/>
            <w:vAlign w:val="center"/>
          </w:tcPr>
          <w:p w14:paraId="55CFC024"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19%</w:t>
            </w:r>
          </w:p>
        </w:tc>
        <w:tc>
          <w:tcPr>
            <w:tcW w:w="600" w:type="dxa"/>
            <w:tcBorders>
              <w:top w:val="nil"/>
              <w:left w:val="nil"/>
              <w:bottom w:val="single" w:sz="4" w:space="0" w:color="BFBFBF"/>
              <w:right w:val="single" w:sz="4" w:space="0" w:color="BFBFBF"/>
            </w:tcBorders>
            <w:shd w:val="clear" w:color="auto" w:fill="auto"/>
            <w:noWrap/>
            <w:vAlign w:val="center"/>
          </w:tcPr>
          <w:p w14:paraId="1E0AFD0C"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269A7247"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E1EDB1F"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50C8F91F"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4%</w:t>
            </w:r>
          </w:p>
        </w:tc>
        <w:tc>
          <w:tcPr>
            <w:tcW w:w="620" w:type="dxa"/>
            <w:tcBorders>
              <w:top w:val="nil"/>
              <w:left w:val="nil"/>
              <w:bottom w:val="single" w:sz="4" w:space="0" w:color="BFBFBF"/>
              <w:right w:val="single" w:sz="4" w:space="0" w:color="BFBFBF"/>
            </w:tcBorders>
            <w:shd w:val="clear" w:color="auto" w:fill="auto"/>
            <w:noWrap/>
            <w:vAlign w:val="center"/>
          </w:tcPr>
          <w:p w14:paraId="4909F154"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20" w:type="dxa"/>
            <w:tcBorders>
              <w:top w:val="nil"/>
              <w:left w:val="nil"/>
              <w:bottom w:val="single" w:sz="4" w:space="0" w:color="BFBFBF"/>
              <w:right w:val="nil"/>
            </w:tcBorders>
            <w:shd w:val="clear" w:color="auto" w:fill="auto"/>
            <w:noWrap/>
            <w:vAlign w:val="center"/>
          </w:tcPr>
          <w:p w14:paraId="1D7BFFE8"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39151956"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90" w:type="dxa"/>
            <w:tcBorders>
              <w:top w:val="nil"/>
              <w:left w:val="nil"/>
              <w:bottom w:val="single" w:sz="4" w:space="0" w:color="BFBFBF"/>
              <w:right w:val="single" w:sz="4" w:space="0" w:color="auto"/>
            </w:tcBorders>
            <w:shd w:val="clear" w:color="auto" w:fill="auto"/>
            <w:noWrap/>
            <w:vAlign w:val="center"/>
          </w:tcPr>
          <w:p w14:paraId="7979B89A"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4DABED45"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double" w:sz="6" w:space="0" w:color="auto"/>
            </w:tcBorders>
            <w:shd w:val="clear" w:color="auto" w:fill="auto"/>
            <w:noWrap/>
            <w:vAlign w:val="center"/>
          </w:tcPr>
          <w:p w14:paraId="57BA5DAF"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r>
      <w:tr w:rsidR="00BC6949" w:rsidRPr="00911A1A" w14:paraId="35BB40A3"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45E0F2B" w14:textId="42808675" w:rsidR="00BC6949" w:rsidRPr="00911A1A" w:rsidRDefault="00B9793D" w:rsidP="00BC6949">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BC6949" w:rsidRPr="00911A1A">
              <w:rPr>
                <w:rFonts w:ascii="Arial" w:hAnsi="Arial" w:cs="Arial"/>
                <w:color w:val="000000"/>
                <w:sz w:val="16"/>
                <w:szCs w:val="16"/>
                <w:lang w:val="en-AU" w:eastAsia="en-AU"/>
              </w:rPr>
              <w:t>Total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778A2A9" w14:textId="77777777" w:rsidR="00BC6949" w:rsidRPr="00911A1A" w:rsidRDefault="00BC6949" w:rsidP="00911A1A">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6</w:t>
            </w:r>
            <w:r w:rsidR="00911A1A" w:rsidRPr="00911A1A">
              <w:rPr>
                <w:rFonts w:ascii="Arial" w:hAnsi="Arial" w:cs="Arial"/>
                <w:color w:val="000000"/>
                <w:sz w:val="16"/>
                <w:szCs w:val="16"/>
                <w:lang w:val="en-AU" w:eastAsia="en-AU"/>
              </w:rPr>
              <w:t>5</w:t>
            </w:r>
            <w:r w:rsidRPr="00911A1A">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7A051684"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66%</w:t>
            </w:r>
          </w:p>
        </w:tc>
        <w:tc>
          <w:tcPr>
            <w:tcW w:w="600" w:type="dxa"/>
            <w:tcBorders>
              <w:top w:val="nil"/>
              <w:left w:val="nil"/>
              <w:bottom w:val="single" w:sz="4" w:space="0" w:color="BFBFBF"/>
              <w:right w:val="single" w:sz="4" w:space="0" w:color="BFBFBF"/>
            </w:tcBorders>
            <w:shd w:val="clear" w:color="auto" w:fill="auto"/>
            <w:noWrap/>
            <w:vAlign w:val="center"/>
          </w:tcPr>
          <w:p w14:paraId="303DC016"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4BFEE8D4"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D36E8E2"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18%</w:t>
            </w:r>
          </w:p>
        </w:tc>
        <w:tc>
          <w:tcPr>
            <w:tcW w:w="600" w:type="dxa"/>
            <w:tcBorders>
              <w:top w:val="nil"/>
              <w:left w:val="nil"/>
              <w:bottom w:val="single" w:sz="4" w:space="0" w:color="BFBFBF"/>
              <w:right w:val="single" w:sz="4" w:space="0" w:color="auto"/>
            </w:tcBorders>
            <w:shd w:val="clear" w:color="auto" w:fill="auto"/>
            <w:noWrap/>
            <w:vAlign w:val="center"/>
          </w:tcPr>
          <w:p w14:paraId="0E90CDBE"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18%</w:t>
            </w:r>
          </w:p>
        </w:tc>
        <w:tc>
          <w:tcPr>
            <w:tcW w:w="600" w:type="dxa"/>
            <w:tcBorders>
              <w:top w:val="nil"/>
              <w:left w:val="nil"/>
              <w:bottom w:val="single" w:sz="4" w:space="0" w:color="BFBFBF"/>
              <w:right w:val="single" w:sz="4" w:space="0" w:color="BFBFBF"/>
            </w:tcBorders>
            <w:shd w:val="clear" w:color="auto" w:fill="auto"/>
            <w:noWrap/>
            <w:vAlign w:val="center"/>
          </w:tcPr>
          <w:p w14:paraId="6431A8DE"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nil"/>
            </w:tcBorders>
            <w:shd w:val="clear" w:color="auto" w:fill="auto"/>
            <w:noWrap/>
            <w:vAlign w:val="center"/>
          </w:tcPr>
          <w:p w14:paraId="60284B5A"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4DF9B75"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115B903A"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3%</w:t>
            </w:r>
          </w:p>
        </w:tc>
        <w:tc>
          <w:tcPr>
            <w:tcW w:w="620" w:type="dxa"/>
            <w:tcBorders>
              <w:top w:val="nil"/>
              <w:left w:val="nil"/>
              <w:bottom w:val="single" w:sz="4" w:space="0" w:color="BFBFBF"/>
              <w:right w:val="single" w:sz="4" w:space="0" w:color="BFBFBF"/>
            </w:tcBorders>
            <w:shd w:val="clear" w:color="auto" w:fill="auto"/>
            <w:noWrap/>
            <w:vAlign w:val="center"/>
          </w:tcPr>
          <w:p w14:paraId="00B8C7CF"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20" w:type="dxa"/>
            <w:tcBorders>
              <w:top w:val="nil"/>
              <w:left w:val="nil"/>
              <w:bottom w:val="single" w:sz="4" w:space="0" w:color="BFBFBF"/>
              <w:right w:val="nil"/>
            </w:tcBorders>
            <w:shd w:val="clear" w:color="auto" w:fill="auto"/>
            <w:noWrap/>
            <w:vAlign w:val="center"/>
          </w:tcPr>
          <w:p w14:paraId="4BD5EF4B"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6949F8B2"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90" w:type="dxa"/>
            <w:tcBorders>
              <w:top w:val="nil"/>
              <w:left w:val="nil"/>
              <w:bottom w:val="single" w:sz="4" w:space="0" w:color="BFBFBF"/>
              <w:right w:val="single" w:sz="4" w:space="0" w:color="auto"/>
            </w:tcBorders>
            <w:shd w:val="clear" w:color="auto" w:fill="auto"/>
            <w:noWrap/>
            <w:vAlign w:val="center"/>
          </w:tcPr>
          <w:p w14:paraId="55D6B1E9"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28740B0B"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double" w:sz="6" w:space="0" w:color="auto"/>
            </w:tcBorders>
            <w:shd w:val="clear" w:color="auto" w:fill="auto"/>
            <w:noWrap/>
            <w:vAlign w:val="center"/>
          </w:tcPr>
          <w:p w14:paraId="06D85ED8"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r>
      <w:tr w:rsidR="00BC6949" w:rsidRPr="00911A1A" w14:paraId="2D863F8A"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6BAB8195" w14:textId="57B30CF8" w:rsidR="00BC6949" w:rsidRPr="00911A1A" w:rsidRDefault="00B9793D" w:rsidP="00BC6949">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BC6949" w:rsidRPr="00911A1A">
              <w:rPr>
                <w:rFonts w:ascii="Arial" w:hAnsi="Arial" w:cs="Arial"/>
                <w:color w:val="000000"/>
                <w:sz w:val="16"/>
                <w:szCs w:val="16"/>
                <w:lang w:val="en-AU" w:eastAsia="en-AU"/>
              </w:rPr>
              <w:t>Non-Concession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D971F33"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65%</w:t>
            </w:r>
          </w:p>
        </w:tc>
        <w:tc>
          <w:tcPr>
            <w:tcW w:w="600" w:type="dxa"/>
            <w:tcBorders>
              <w:top w:val="nil"/>
              <w:left w:val="nil"/>
              <w:bottom w:val="single" w:sz="4" w:space="0" w:color="BFBFBF"/>
              <w:right w:val="single" w:sz="4" w:space="0" w:color="auto"/>
            </w:tcBorders>
            <w:shd w:val="clear" w:color="auto" w:fill="auto"/>
            <w:noWrap/>
            <w:vAlign w:val="center"/>
          </w:tcPr>
          <w:p w14:paraId="1994BAED"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62%</w:t>
            </w:r>
          </w:p>
        </w:tc>
        <w:tc>
          <w:tcPr>
            <w:tcW w:w="600" w:type="dxa"/>
            <w:tcBorders>
              <w:top w:val="nil"/>
              <w:left w:val="nil"/>
              <w:bottom w:val="single" w:sz="4" w:space="0" w:color="BFBFBF"/>
              <w:right w:val="single" w:sz="4" w:space="0" w:color="BFBFBF"/>
            </w:tcBorders>
            <w:shd w:val="clear" w:color="auto" w:fill="auto"/>
            <w:noWrap/>
            <w:vAlign w:val="center"/>
          </w:tcPr>
          <w:p w14:paraId="79D3CFF0"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10%</w:t>
            </w:r>
          </w:p>
        </w:tc>
        <w:tc>
          <w:tcPr>
            <w:tcW w:w="600" w:type="dxa"/>
            <w:tcBorders>
              <w:top w:val="nil"/>
              <w:left w:val="nil"/>
              <w:bottom w:val="single" w:sz="4" w:space="0" w:color="BFBFBF"/>
              <w:right w:val="nil"/>
            </w:tcBorders>
            <w:shd w:val="clear" w:color="auto" w:fill="auto"/>
            <w:noWrap/>
            <w:vAlign w:val="center"/>
          </w:tcPr>
          <w:p w14:paraId="4DDD3315"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9FD8113"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19%</w:t>
            </w:r>
          </w:p>
        </w:tc>
        <w:tc>
          <w:tcPr>
            <w:tcW w:w="600" w:type="dxa"/>
            <w:tcBorders>
              <w:top w:val="nil"/>
              <w:left w:val="nil"/>
              <w:bottom w:val="single" w:sz="4" w:space="0" w:color="BFBFBF"/>
              <w:right w:val="single" w:sz="4" w:space="0" w:color="auto"/>
            </w:tcBorders>
            <w:shd w:val="clear" w:color="auto" w:fill="auto"/>
            <w:noWrap/>
            <w:vAlign w:val="center"/>
          </w:tcPr>
          <w:p w14:paraId="4D4D8494"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23%</w:t>
            </w:r>
          </w:p>
        </w:tc>
        <w:tc>
          <w:tcPr>
            <w:tcW w:w="600" w:type="dxa"/>
            <w:tcBorders>
              <w:top w:val="nil"/>
              <w:left w:val="nil"/>
              <w:bottom w:val="single" w:sz="4" w:space="0" w:color="BFBFBF"/>
              <w:right w:val="single" w:sz="4" w:space="0" w:color="BFBFBF"/>
            </w:tcBorders>
            <w:shd w:val="clear" w:color="auto" w:fill="auto"/>
            <w:noWrap/>
            <w:vAlign w:val="center"/>
          </w:tcPr>
          <w:p w14:paraId="31E3F0F7" w14:textId="77777777" w:rsidR="00BC6949" w:rsidRPr="00911A1A" w:rsidRDefault="00911A1A"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r w:rsidR="00BC6949" w:rsidRPr="00911A1A">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10A00D59"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72CCC19"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3C9EC0D6"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20" w:type="dxa"/>
            <w:tcBorders>
              <w:top w:val="nil"/>
              <w:left w:val="nil"/>
              <w:bottom w:val="single" w:sz="4" w:space="0" w:color="BFBFBF"/>
              <w:right w:val="single" w:sz="4" w:space="0" w:color="BFBFBF"/>
            </w:tcBorders>
            <w:shd w:val="clear" w:color="auto" w:fill="auto"/>
            <w:noWrap/>
            <w:vAlign w:val="center"/>
          </w:tcPr>
          <w:p w14:paraId="31589ED8" w14:textId="77777777" w:rsidR="00BC6949" w:rsidRPr="00911A1A" w:rsidRDefault="00911A1A"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2FD29ACA"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3D88F473"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90" w:type="dxa"/>
            <w:tcBorders>
              <w:top w:val="nil"/>
              <w:left w:val="nil"/>
              <w:bottom w:val="single" w:sz="4" w:space="0" w:color="BFBFBF"/>
              <w:right w:val="single" w:sz="4" w:space="0" w:color="auto"/>
            </w:tcBorders>
            <w:shd w:val="clear" w:color="auto" w:fill="auto"/>
            <w:noWrap/>
            <w:vAlign w:val="center"/>
          </w:tcPr>
          <w:p w14:paraId="4A16BB0A"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6512519C"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0AD1CBDB"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r>
      <w:tr w:rsidR="00BC6949" w:rsidRPr="00911A1A" w14:paraId="2793BC56"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124066B4" w14:textId="77777777" w:rsidR="00BC6949" w:rsidRPr="00911A1A" w:rsidRDefault="00BC6949" w:rsidP="00BC6949">
            <w:pPr>
              <w:spacing w:before="0" w:after="0"/>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By Date Built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BB0CB80" w14:textId="77777777" w:rsidR="00BC6949" w:rsidRPr="00911A1A" w:rsidRDefault="00BC6949"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587BCB9C"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203EFEE8"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2BC5DEF4"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106F3DB"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62C601C2"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613E4A37"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2DB1F88C"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F98E129"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4702B49E"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single" w:sz="4" w:space="0" w:color="BFBFBF"/>
            </w:tcBorders>
            <w:shd w:val="clear" w:color="auto" w:fill="auto"/>
            <w:noWrap/>
            <w:vAlign w:val="center"/>
          </w:tcPr>
          <w:p w14:paraId="4DD7D941"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nil"/>
            </w:tcBorders>
            <w:shd w:val="clear" w:color="auto" w:fill="auto"/>
            <w:noWrap/>
            <w:vAlign w:val="center"/>
          </w:tcPr>
          <w:p w14:paraId="6CB673DE"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2E880303"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90" w:type="dxa"/>
            <w:tcBorders>
              <w:top w:val="nil"/>
              <w:left w:val="nil"/>
              <w:bottom w:val="single" w:sz="4" w:space="0" w:color="BFBFBF"/>
              <w:right w:val="single" w:sz="4" w:space="0" w:color="auto"/>
            </w:tcBorders>
            <w:shd w:val="clear" w:color="auto" w:fill="auto"/>
            <w:noWrap/>
            <w:vAlign w:val="center"/>
          </w:tcPr>
          <w:p w14:paraId="32E84B34"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1499DDD0" w14:textId="77777777" w:rsidR="00BC6949" w:rsidRPr="00911A1A" w:rsidRDefault="00BC6949"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6DDF38D2" w14:textId="77777777" w:rsidR="00BC6949" w:rsidRPr="00911A1A" w:rsidRDefault="00BC6949" w:rsidP="00D10D53">
            <w:pPr>
              <w:spacing w:before="0" w:after="0"/>
              <w:jc w:val="center"/>
              <w:rPr>
                <w:rFonts w:ascii="Arial" w:hAnsi="Arial" w:cs="Arial"/>
                <w:color w:val="000000"/>
                <w:sz w:val="16"/>
                <w:szCs w:val="16"/>
                <w:lang w:val="en-AU" w:eastAsia="en-AU"/>
              </w:rPr>
            </w:pPr>
          </w:p>
        </w:tc>
      </w:tr>
      <w:tr w:rsidR="00BC6949" w:rsidRPr="00911A1A" w14:paraId="538BC6C5"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69AD0662" w14:textId="77777777" w:rsidR="00BC6949" w:rsidRPr="00911A1A" w:rsidRDefault="00BC6949" w:rsidP="00BC6949">
            <w:pPr>
              <w:spacing w:before="0" w:after="0"/>
              <w:ind w:firstLineChars="100" w:firstLine="160"/>
              <w:rPr>
                <w:rFonts w:ascii="Arial" w:hAnsi="Arial" w:cs="Arial"/>
                <w:color w:val="000000"/>
                <w:sz w:val="16"/>
                <w:szCs w:val="16"/>
                <w:lang w:val="en-AU" w:eastAsia="en-AU"/>
              </w:rPr>
            </w:pPr>
            <w:r w:rsidRPr="00911A1A">
              <w:rPr>
                <w:rFonts w:ascii="Arial" w:hAnsi="Arial" w:cs="Arial"/>
                <w:color w:val="000000"/>
                <w:sz w:val="16"/>
                <w:szCs w:val="16"/>
                <w:lang w:val="en-AU" w:eastAsia="en-AU"/>
              </w:rPr>
              <w:t>After 2004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DDAC0F5"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81%</w:t>
            </w:r>
          </w:p>
        </w:tc>
        <w:tc>
          <w:tcPr>
            <w:tcW w:w="600" w:type="dxa"/>
            <w:tcBorders>
              <w:top w:val="nil"/>
              <w:left w:val="nil"/>
              <w:bottom w:val="single" w:sz="4" w:space="0" w:color="BFBFBF"/>
              <w:right w:val="single" w:sz="4" w:space="0" w:color="auto"/>
            </w:tcBorders>
            <w:shd w:val="clear" w:color="auto" w:fill="auto"/>
            <w:noWrap/>
            <w:vAlign w:val="center"/>
          </w:tcPr>
          <w:p w14:paraId="3C294B4C"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78%</w:t>
            </w:r>
          </w:p>
        </w:tc>
        <w:tc>
          <w:tcPr>
            <w:tcW w:w="600" w:type="dxa"/>
            <w:tcBorders>
              <w:top w:val="nil"/>
              <w:left w:val="nil"/>
              <w:bottom w:val="single" w:sz="4" w:space="0" w:color="BFBFBF"/>
              <w:right w:val="single" w:sz="4" w:space="0" w:color="BFBFBF"/>
            </w:tcBorders>
            <w:shd w:val="clear" w:color="auto" w:fill="auto"/>
            <w:noWrap/>
            <w:vAlign w:val="center"/>
          </w:tcPr>
          <w:p w14:paraId="173A89B7"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5%</w:t>
            </w:r>
          </w:p>
        </w:tc>
        <w:tc>
          <w:tcPr>
            <w:tcW w:w="600" w:type="dxa"/>
            <w:tcBorders>
              <w:top w:val="nil"/>
              <w:left w:val="nil"/>
              <w:bottom w:val="single" w:sz="4" w:space="0" w:color="BFBFBF"/>
              <w:right w:val="nil"/>
            </w:tcBorders>
            <w:shd w:val="clear" w:color="auto" w:fill="auto"/>
            <w:noWrap/>
            <w:vAlign w:val="center"/>
          </w:tcPr>
          <w:p w14:paraId="3BC1E28F"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81D60D1"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3A17F5BD"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11%</w:t>
            </w:r>
          </w:p>
        </w:tc>
        <w:tc>
          <w:tcPr>
            <w:tcW w:w="600" w:type="dxa"/>
            <w:tcBorders>
              <w:top w:val="nil"/>
              <w:left w:val="nil"/>
              <w:bottom w:val="single" w:sz="4" w:space="0" w:color="BFBFBF"/>
              <w:right w:val="single" w:sz="4" w:space="0" w:color="BFBFBF"/>
            </w:tcBorders>
            <w:shd w:val="clear" w:color="auto" w:fill="auto"/>
            <w:noWrap/>
            <w:vAlign w:val="center"/>
          </w:tcPr>
          <w:p w14:paraId="443B15E6"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29C3E1E9"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ABE7AD0"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587A6F3A"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8%</w:t>
            </w:r>
          </w:p>
        </w:tc>
        <w:tc>
          <w:tcPr>
            <w:tcW w:w="620" w:type="dxa"/>
            <w:tcBorders>
              <w:top w:val="nil"/>
              <w:left w:val="nil"/>
              <w:bottom w:val="single" w:sz="4" w:space="0" w:color="BFBFBF"/>
              <w:right w:val="single" w:sz="4" w:space="0" w:color="BFBFBF"/>
            </w:tcBorders>
            <w:shd w:val="clear" w:color="auto" w:fill="auto"/>
            <w:noWrap/>
            <w:vAlign w:val="center"/>
          </w:tcPr>
          <w:p w14:paraId="6C09F2F6"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20" w:type="dxa"/>
            <w:tcBorders>
              <w:top w:val="nil"/>
              <w:left w:val="nil"/>
              <w:bottom w:val="single" w:sz="4" w:space="0" w:color="BFBFBF"/>
              <w:right w:val="nil"/>
            </w:tcBorders>
            <w:shd w:val="clear" w:color="auto" w:fill="auto"/>
            <w:noWrap/>
            <w:vAlign w:val="center"/>
          </w:tcPr>
          <w:p w14:paraId="54BAC0FA"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1B8A092B"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3%</w:t>
            </w:r>
          </w:p>
        </w:tc>
        <w:tc>
          <w:tcPr>
            <w:tcW w:w="690" w:type="dxa"/>
            <w:tcBorders>
              <w:top w:val="nil"/>
              <w:left w:val="nil"/>
              <w:bottom w:val="single" w:sz="4" w:space="0" w:color="BFBFBF"/>
              <w:right w:val="single" w:sz="4" w:space="0" w:color="auto"/>
            </w:tcBorders>
            <w:shd w:val="clear" w:color="auto" w:fill="auto"/>
            <w:noWrap/>
            <w:vAlign w:val="center"/>
          </w:tcPr>
          <w:p w14:paraId="198E8200"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0B1E0981"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double" w:sz="6" w:space="0" w:color="auto"/>
            </w:tcBorders>
            <w:shd w:val="clear" w:color="auto" w:fill="auto"/>
            <w:noWrap/>
            <w:vAlign w:val="center"/>
          </w:tcPr>
          <w:p w14:paraId="1A5F42A0"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r>
      <w:tr w:rsidR="00BC6949" w:rsidRPr="00911A1A" w14:paraId="67E712B6"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34555AD2" w14:textId="77777777" w:rsidR="00BC6949" w:rsidRPr="00911A1A" w:rsidRDefault="00BC6949" w:rsidP="00BC6949">
            <w:pPr>
              <w:spacing w:before="0" w:after="0"/>
              <w:ind w:firstLineChars="100" w:firstLine="160"/>
              <w:rPr>
                <w:rFonts w:ascii="Arial" w:hAnsi="Arial" w:cs="Arial"/>
                <w:color w:val="000000"/>
                <w:sz w:val="16"/>
                <w:szCs w:val="16"/>
                <w:lang w:val="en-AU" w:eastAsia="en-AU"/>
              </w:rPr>
            </w:pPr>
            <w:r w:rsidRPr="00911A1A">
              <w:rPr>
                <w:rFonts w:ascii="Arial" w:hAnsi="Arial" w:cs="Arial"/>
                <w:color w:val="000000"/>
                <w:sz w:val="16"/>
                <w:szCs w:val="16"/>
                <w:lang w:val="en-AU" w:eastAsia="en-AU"/>
              </w:rPr>
              <w:t>1991 to 2004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989E94E"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87%</w:t>
            </w:r>
          </w:p>
        </w:tc>
        <w:tc>
          <w:tcPr>
            <w:tcW w:w="600" w:type="dxa"/>
            <w:tcBorders>
              <w:top w:val="nil"/>
              <w:left w:val="nil"/>
              <w:bottom w:val="single" w:sz="4" w:space="0" w:color="BFBFBF"/>
              <w:right w:val="single" w:sz="4" w:space="0" w:color="auto"/>
            </w:tcBorders>
            <w:shd w:val="clear" w:color="auto" w:fill="auto"/>
            <w:noWrap/>
            <w:vAlign w:val="center"/>
          </w:tcPr>
          <w:p w14:paraId="4AC825F5"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85%</w:t>
            </w:r>
          </w:p>
        </w:tc>
        <w:tc>
          <w:tcPr>
            <w:tcW w:w="600" w:type="dxa"/>
            <w:tcBorders>
              <w:top w:val="nil"/>
              <w:left w:val="nil"/>
              <w:bottom w:val="single" w:sz="4" w:space="0" w:color="BFBFBF"/>
              <w:right w:val="single" w:sz="4" w:space="0" w:color="BFBFBF"/>
            </w:tcBorders>
            <w:shd w:val="clear" w:color="auto" w:fill="auto"/>
            <w:noWrap/>
            <w:vAlign w:val="center"/>
          </w:tcPr>
          <w:p w14:paraId="7B6512EC"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5%</w:t>
            </w:r>
          </w:p>
        </w:tc>
        <w:tc>
          <w:tcPr>
            <w:tcW w:w="600" w:type="dxa"/>
            <w:tcBorders>
              <w:top w:val="nil"/>
              <w:left w:val="nil"/>
              <w:bottom w:val="single" w:sz="4" w:space="0" w:color="BFBFBF"/>
              <w:right w:val="nil"/>
            </w:tcBorders>
            <w:shd w:val="clear" w:color="auto" w:fill="auto"/>
            <w:noWrap/>
            <w:vAlign w:val="center"/>
          </w:tcPr>
          <w:p w14:paraId="6F93EFA7"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95DC6B1"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3D9C32DE"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BFBFBF"/>
            </w:tcBorders>
            <w:shd w:val="clear" w:color="auto" w:fill="auto"/>
            <w:noWrap/>
            <w:vAlign w:val="center"/>
          </w:tcPr>
          <w:p w14:paraId="2C583BD3"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nil"/>
            </w:tcBorders>
            <w:shd w:val="clear" w:color="auto" w:fill="auto"/>
            <w:noWrap/>
            <w:vAlign w:val="center"/>
          </w:tcPr>
          <w:p w14:paraId="4FFBEAF0"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E70D880"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1A2E5BC7"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20" w:type="dxa"/>
            <w:tcBorders>
              <w:top w:val="nil"/>
              <w:left w:val="nil"/>
              <w:bottom w:val="single" w:sz="4" w:space="0" w:color="BFBFBF"/>
              <w:right w:val="single" w:sz="4" w:space="0" w:color="BFBFBF"/>
            </w:tcBorders>
            <w:shd w:val="clear" w:color="auto" w:fill="auto"/>
            <w:noWrap/>
            <w:vAlign w:val="center"/>
          </w:tcPr>
          <w:p w14:paraId="7F839A63"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76C6B189"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3F95D26D"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90" w:type="dxa"/>
            <w:tcBorders>
              <w:top w:val="nil"/>
              <w:left w:val="nil"/>
              <w:bottom w:val="single" w:sz="4" w:space="0" w:color="BFBFBF"/>
              <w:right w:val="single" w:sz="4" w:space="0" w:color="auto"/>
            </w:tcBorders>
            <w:shd w:val="clear" w:color="auto" w:fill="auto"/>
            <w:noWrap/>
            <w:vAlign w:val="center"/>
          </w:tcPr>
          <w:p w14:paraId="71B66A99"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7E2468F6"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55DBAF76"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r>
      <w:tr w:rsidR="00BC6949" w:rsidRPr="00911A1A" w14:paraId="54D10729"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6C5CFF2" w14:textId="77777777" w:rsidR="00BC6949" w:rsidRPr="00911A1A" w:rsidRDefault="00BC6949" w:rsidP="00BC6949">
            <w:pPr>
              <w:spacing w:before="0" w:after="0"/>
              <w:ind w:firstLineChars="100" w:firstLine="160"/>
              <w:rPr>
                <w:rFonts w:ascii="Arial" w:hAnsi="Arial" w:cs="Arial"/>
                <w:color w:val="000000"/>
                <w:sz w:val="16"/>
                <w:szCs w:val="16"/>
                <w:lang w:val="en-AU" w:eastAsia="en-AU"/>
              </w:rPr>
            </w:pPr>
            <w:r w:rsidRPr="00911A1A">
              <w:rPr>
                <w:rFonts w:ascii="Arial" w:hAnsi="Arial" w:cs="Arial"/>
                <w:color w:val="000000"/>
                <w:sz w:val="16"/>
                <w:szCs w:val="16"/>
                <w:lang w:val="en-AU" w:eastAsia="en-AU"/>
              </w:rPr>
              <w:t>Before 1991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DC74C1C"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57%</w:t>
            </w:r>
          </w:p>
        </w:tc>
        <w:tc>
          <w:tcPr>
            <w:tcW w:w="600" w:type="dxa"/>
            <w:tcBorders>
              <w:top w:val="nil"/>
              <w:left w:val="nil"/>
              <w:bottom w:val="single" w:sz="4" w:space="0" w:color="BFBFBF"/>
              <w:right w:val="single" w:sz="4" w:space="0" w:color="auto"/>
            </w:tcBorders>
            <w:shd w:val="clear" w:color="auto" w:fill="auto"/>
            <w:noWrap/>
            <w:vAlign w:val="center"/>
          </w:tcPr>
          <w:p w14:paraId="31BF95CE"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59%</w:t>
            </w:r>
          </w:p>
        </w:tc>
        <w:tc>
          <w:tcPr>
            <w:tcW w:w="600" w:type="dxa"/>
            <w:tcBorders>
              <w:top w:val="nil"/>
              <w:left w:val="nil"/>
              <w:bottom w:val="single" w:sz="4" w:space="0" w:color="BFBFBF"/>
              <w:right w:val="single" w:sz="4" w:space="0" w:color="BFBFBF"/>
            </w:tcBorders>
            <w:shd w:val="clear" w:color="auto" w:fill="auto"/>
            <w:noWrap/>
            <w:vAlign w:val="center"/>
          </w:tcPr>
          <w:p w14:paraId="1DE2CC31"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12%</w:t>
            </w:r>
          </w:p>
        </w:tc>
        <w:tc>
          <w:tcPr>
            <w:tcW w:w="600" w:type="dxa"/>
            <w:tcBorders>
              <w:top w:val="nil"/>
              <w:left w:val="nil"/>
              <w:bottom w:val="single" w:sz="4" w:space="0" w:color="BFBFBF"/>
              <w:right w:val="nil"/>
            </w:tcBorders>
            <w:shd w:val="clear" w:color="auto" w:fill="auto"/>
            <w:noWrap/>
            <w:vAlign w:val="center"/>
          </w:tcPr>
          <w:p w14:paraId="20C02ACD"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736BA64"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25%</w:t>
            </w:r>
          </w:p>
        </w:tc>
        <w:tc>
          <w:tcPr>
            <w:tcW w:w="600" w:type="dxa"/>
            <w:tcBorders>
              <w:top w:val="nil"/>
              <w:left w:val="nil"/>
              <w:bottom w:val="single" w:sz="4" w:space="0" w:color="BFBFBF"/>
              <w:right w:val="single" w:sz="4" w:space="0" w:color="auto"/>
            </w:tcBorders>
            <w:shd w:val="clear" w:color="auto" w:fill="auto"/>
            <w:noWrap/>
            <w:vAlign w:val="center"/>
          </w:tcPr>
          <w:p w14:paraId="59993F7B"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24%</w:t>
            </w:r>
          </w:p>
        </w:tc>
        <w:tc>
          <w:tcPr>
            <w:tcW w:w="600" w:type="dxa"/>
            <w:tcBorders>
              <w:top w:val="nil"/>
              <w:left w:val="nil"/>
              <w:bottom w:val="single" w:sz="4" w:space="0" w:color="BFBFBF"/>
              <w:right w:val="single" w:sz="4" w:space="0" w:color="BFBFBF"/>
            </w:tcBorders>
            <w:shd w:val="clear" w:color="auto" w:fill="auto"/>
            <w:noWrap/>
            <w:vAlign w:val="center"/>
          </w:tcPr>
          <w:p w14:paraId="67253184"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3%</w:t>
            </w:r>
          </w:p>
        </w:tc>
        <w:tc>
          <w:tcPr>
            <w:tcW w:w="600" w:type="dxa"/>
            <w:tcBorders>
              <w:top w:val="nil"/>
              <w:left w:val="nil"/>
              <w:bottom w:val="single" w:sz="4" w:space="0" w:color="BFBFBF"/>
              <w:right w:val="nil"/>
            </w:tcBorders>
            <w:shd w:val="clear" w:color="auto" w:fill="auto"/>
            <w:noWrap/>
            <w:vAlign w:val="center"/>
          </w:tcPr>
          <w:p w14:paraId="18E97B02"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020BE56"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1332D571"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20" w:type="dxa"/>
            <w:tcBorders>
              <w:top w:val="nil"/>
              <w:left w:val="nil"/>
              <w:bottom w:val="single" w:sz="4" w:space="0" w:color="BFBFBF"/>
              <w:right w:val="single" w:sz="4" w:space="0" w:color="BFBFBF"/>
            </w:tcBorders>
            <w:shd w:val="clear" w:color="auto" w:fill="auto"/>
            <w:noWrap/>
            <w:vAlign w:val="center"/>
          </w:tcPr>
          <w:p w14:paraId="20330E9E"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61C49093"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4CEB34B0"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90" w:type="dxa"/>
            <w:tcBorders>
              <w:top w:val="nil"/>
              <w:left w:val="nil"/>
              <w:bottom w:val="single" w:sz="4" w:space="0" w:color="BFBFBF"/>
              <w:right w:val="single" w:sz="4" w:space="0" w:color="auto"/>
            </w:tcBorders>
            <w:shd w:val="clear" w:color="auto" w:fill="auto"/>
            <w:noWrap/>
            <w:vAlign w:val="center"/>
          </w:tcPr>
          <w:p w14:paraId="7651233E"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21C20387"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2B0E0B37" w14:textId="77777777" w:rsidR="00BC6949" w:rsidRPr="00911A1A" w:rsidRDefault="00BC6949" w:rsidP="00D10D53">
            <w:pPr>
              <w:spacing w:before="0" w:after="0"/>
              <w:jc w:val="center"/>
              <w:rPr>
                <w:rFonts w:ascii="Arial" w:hAnsi="Arial" w:cs="Arial"/>
                <w:color w:val="000000"/>
                <w:sz w:val="16"/>
                <w:szCs w:val="16"/>
                <w:lang w:val="en-AU" w:eastAsia="en-AU"/>
              </w:rPr>
            </w:pPr>
            <w:r w:rsidRPr="00911A1A">
              <w:rPr>
                <w:rFonts w:ascii="Arial" w:hAnsi="Arial" w:cs="Arial"/>
                <w:color w:val="000000"/>
                <w:sz w:val="16"/>
                <w:szCs w:val="16"/>
                <w:lang w:val="en-AU" w:eastAsia="en-AU"/>
              </w:rPr>
              <w:t>*</w:t>
            </w:r>
          </w:p>
        </w:tc>
      </w:tr>
      <w:tr w:rsidR="00BC6949" w:rsidRPr="00911A1A" w14:paraId="182AB576" w14:textId="77777777" w:rsidTr="00D10D53">
        <w:trPr>
          <w:trHeight w:val="240"/>
          <w:jc w:val="center"/>
        </w:trPr>
        <w:tc>
          <w:tcPr>
            <w:tcW w:w="2160" w:type="dxa"/>
            <w:tcBorders>
              <w:top w:val="nil"/>
              <w:left w:val="double" w:sz="6" w:space="0" w:color="auto"/>
              <w:bottom w:val="double" w:sz="6" w:space="0" w:color="auto"/>
              <w:right w:val="nil"/>
            </w:tcBorders>
            <w:shd w:val="clear" w:color="auto" w:fill="auto"/>
            <w:noWrap/>
            <w:vAlign w:val="center"/>
          </w:tcPr>
          <w:p w14:paraId="720C82FD" w14:textId="77777777" w:rsidR="00BC6949" w:rsidRPr="00911A1A" w:rsidRDefault="00BC6949" w:rsidP="00BC6949">
            <w:pPr>
              <w:spacing w:before="0" w:after="0"/>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Total HHs</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650A0E9B"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65%</w:t>
            </w:r>
          </w:p>
        </w:tc>
        <w:tc>
          <w:tcPr>
            <w:tcW w:w="600" w:type="dxa"/>
            <w:tcBorders>
              <w:top w:val="nil"/>
              <w:left w:val="nil"/>
              <w:bottom w:val="double" w:sz="6" w:space="0" w:color="auto"/>
              <w:right w:val="single" w:sz="4" w:space="0" w:color="auto"/>
            </w:tcBorders>
            <w:shd w:val="clear" w:color="auto" w:fill="auto"/>
            <w:noWrap/>
            <w:vAlign w:val="center"/>
          </w:tcPr>
          <w:p w14:paraId="4DDF4353"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64%</w:t>
            </w:r>
          </w:p>
        </w:tc>
        <w:tc>
          <w:tcPr>
            <w:tcW w:w="600" w:type="dxa"/>
            <w:tcBorders>
              <w:top w:val="nil"/>
              <w:left w:val="nil"/>
              <w:bottom w:val="double" w:sz="6" w:space="0" w:color="auto"/>
              <w:right w:val="single" w:sz="4" w:space="0" w:color="BFBFBF"/>
            </w:tcBorders>
            <w:shd w:val="clear" w:color="auto" w:fill="auto"/>
            <w:noWrap/>
            <w:vAlign w:val="center"/>
          </w:tcPr>
          <w:p w14:paraId="09269A07"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9%</w:t>
            </w:r>
          </w:p>
        </w:tc>
        <w:tc>
          <w:tcPr>
            <w:tcW w:w="600" w:type="dxa"/>
            <w:tcBorders>
              <w:top w:val="nil"/>
              <w:left w:val="nil"/>
              <w:bottom w:val="double" w:sz="6" w:space="0" w:color="auto"/>
              <w:right w:val="nil"/>
            </w:tcBorders>
            <w:shd w:val="clear" w:color="auto" w:fill="auto"/>
            <w:noWrap/>
            <w:vAlign w:val="center"/>
          </w:tcPr>
          <w:p w14:paraId="28EFADF9"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9%</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0DF2027A"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18%</w:t>
            </w:r>
          </w:p>
        </w:tc>
        <w:tc>
          <w:tcPr>
            <w:tcW w:w="600" w:type="dxa"/>
            <w:tcBorders>
              <w:top w:val="nil"/>
              <w:left w:val="nil"/>
              <w:bottom w:val="double" w:sz="6" w:space="0" w:color="auto"/>
              <w:right w:val="single" w:sz="4" w:space="0" w:color="auto"/>
            </w:tcBorders>
            <w:shd w:val="clear" w:color="auto" w:fill="auto"/>
            <w:noWrap/>
            <w:vAlign w:val="center"/>
          </w:tcPr>
          <w:p w14:paraId="1855ADB5"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21%</w:t>
            </w:r>
          </w:p>
        </w:tc>
        <w:tc>
          <w:tcPr>
            <w:tcW w:w="600" w:type="dxa"/>
            <w:tcBorders>
              <w:top w:val="nil"/>
              <w:left w:val="nil"/>
              <w:bottom w:val="double" w:sz="6" w:space="0" w:color="auto"/>
              <w:right w:val="single" w:sz="4" w:space="0" w:color="BFBFBF"/>
            </w:tcBorders>
            <w:shd w:val="clear" w:color="auto" w:fill="auto"/>
            <w:noWrap/>
            <w:vAlign w:val="center"/>
          </w:tcPr>
          <w:p w14:paraId="29F5B2C0"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w:t>
            </w:r>
          </w:p>
        </w:tc>
        <w:tc>
          <w:tcPr>
            <w:tcW w:w="600" w:type="dxa"/>
            <w:tcBorders>
              <w:top w:val="nil"/>
              <w:left w:val="nil"/>
              <w:bottom w:val="double" w:sz="6" w:space="0" w:color="auto"/>
              <w:right w:val="nil"/>
            </w:tcBorders>
            <w:shd w:val="clear" w:color="auto" w:fill="auto"/>
            <w:noWrap/>
            <w:vAlign w:val="center"/>
          </w:tcPr>
          <w:p w14:paraId="51D739DA"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48D352AF"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1%</w:t>
            </w:r>
          </w:p>
        </w:tc>
        <w:tc>
          <w:tcPr>
            <w:tcW w:w="600" w:type="dxa"/>
            <w:tcBorders>
              <w:top w:val="nil"/>
              <w:left w:val="nil"/>
              <w:bottom w:val="double" w:sz="6" w:space="0" w:color="auto"/>
              <w:right w:val="single" w:sz="4" w:space="0" w:color="auto"/>
            </w:tcBorders>
            <w:shd w:val="clear" w:color="auto" w:fill="auto"/>
            <w:noWrap/>
            <w:vAlign w:val="center"/>
          </w:tcPr>
          <w:p w14:paraId="6E17F264"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w:t>
            </w:r>
          </w:p>
        </w:tc>
        <w:tc>
          <w:tcPr>
            <w:tcW w:w="620" w:type="dxa"/>
            <w:tcBorders>
              <w:top w:val="nil"/>
              <w:left w:val="nil"/>
              <w:bottom w:val="double" w:sz="6" w:space="0" w:color="auto"/>
              <w:right w:val="single" w:sz="4" w:space="0" w:color="BFBFBF"/>
            </w:tcBorders>
            <w:shd w:val="clear" w:color="auto" w:fill="auto"/>
            <w:noWrap/>
            <w:vAlign w:val="center"/>
          </w:tcPr>
          <w:p w14:paraId="27BAD8F8"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w:t>
            </w:r>
          </w:p>
        </w:tc>
        <w:tc>
          <w:tcPr>
            <w:tcW w:w="620" w:type="dxa"/>
            <w:tcBorders>
              <w:top w:val="nil"/>
              <w:left w:val="nil"/>
              <w:bottom w:val="double" w:sz="6" w:space="0" w:color="auto"/>
              <w:right w:val="nil"/>
            </w:tcBorders>
            <w:shd w:val="clear" w:color="auto" w:fill="auto"/>
            <w:noWrap/>
            <w:vAlign w:val="center"/>
          </w:tcPr>
          <w:p w14:paraId="462278A3"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w:t>
            </w:r>
          </w:p>
        </w:tc>
        <w:tc>
          <w:tcPr>
            <w:tcW w:w="690" w:type="dxa"/>
            <w:tcBorders>
              <w:top w:val="nil"/>
              <w:left w:val="single" w:sz="4" w:space="0" w:color="auto"/>
              <w:bottom w:val="double" w:sz="6" w:space="0" w:color="auto"/>
              <w:right w:val="single" w:sz="4" w:space="0" w:color="BFBFBF"/>
            </w:tcBorders>
            <w:shd w:val="clear" w:color="auto" w:fill="auto"/>
            <w:noWrap/>
            <w:vAlign w:val="center"/>
          </w:tcPr>
          <w:p w14:paraId="337AD730"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w:t>
            </w:r>
          </w:p>
        </w:tc>
        <w:tc>
          <w:tcPr>
            <w:tcW w:w="690" w:type="dxa"/>
            <w:tcBorders>
              <w:top w:val="nil"/>
              <w:left w:val="nil"/>
              <w:bottom w:val="double" w:sz="6" w:space="0" w:color="auto"/>
              <w:right w:val="single" w:sz="4" w:space="0" w:color="auto"/>
            </w:tcBorders>
            <w:shd w:val="clear" w:color="auto" w:fill="auto"/>
            <w:noWrap/>
            <w:vAlign w:val="center"/>
          </w:tcPr>
          <w:p w14:paraId="0A9E1B57"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2%</w:t>
            </w:r>
          </w:p>
        </w:tc>
        <w:tc>
          <w:tcPr>
            <w:tcW w:w="600" w:type="dxa"/>
            <w:tcBorders>
              <w:top w:val="nil"/>
              <w:left w:val="nil"/>
              <w:bottom w:val="double" w:sz="6" w:space="0" w:color="auto"/>
              <w:right w:val="single" w:sz="4" w:space="0" w:color="BFBFBF"/>
            </w:tcBorders>
            <w:shd w:val="clear" w:color="auto" w:fill="auto"/>
            <w:noWrap/>
            <w:vAlign w:val="center"/>
          </w:tcPr>
          <w:p w14:paraId="6E8B9658"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1%</w:t>
            </w:r>
          </w:p>
        </w:tc>
        <w:tc>
          <w:tcPr>
            <w:tcW w:w="600" w:type="dxa"/>
            <w:tcBorders>
              <w:top w:val="nil"/>
              <w:left w:val="nil"/>
              <w:bottom w:val="double" w:sz="6" w:space="0" w:color="auto"/>
              <w:right w:val="double" w:sz="6" w:space="0" w:color="auto"/>
            </w:tcBorders>
            <w:shd w:val="clear" w:color="auto" w:fill="auto"/>
            <w:noWrap/>
            <w:vAlign w:val="center"/>
          </w:tcPr>
          <w:p w14:paraId="7C13A194" w14:textId="77777777" w:rsidR="00BC6949" w:rsidRPr="00911A1A" w:rsidRDefault="00BC6949" w:rsidP="00D10D53">
            <w:pPr>
              <w:spacing w:before="0" w:after="0"/>
              <w:jc w:val="center"/>
              <w:rPr>
                <w:rFonts w:ascii="Arial" w:hAnsi="Arial" w:cs="Arial"/>
                <w:b/>
                <w:bCs/>
                <w:color w:val="000000"/>
                <w:sz w:val="16"/>
                <w:szCs w:val="16"/>
                <w:lang w:val="en-AU" w:eastAsia="en-AU"/>
              </w:rPr>
            </w:pPr>
            <w:r w:rsidRPr="00911A1A">
              <w:rPr>
                <w:rFonts w:ascii="Arial" w:hAnsi="Arial" w:cs="Arial"/>
                <w:b/>
                <w:bCs/>
                <w:color w:val="000000"/>
                <w:sz w:val="16"/>
                <w:szCs w:val="16"/>
                <w:lang w:val="en-AU" w:eastAsia="en-AU"/>
              </w:rPr>
              <w:t>*</w:t>
            </w:r>
          </w:p>
        </w:tc>
      </w:tr>
    </w:tbl>
    <w:p w14:paraId="39802BBC" w14:textId="77777777" w:rsidR="00FC6BFF" w:rsidRPr="00911A1A" w:rsidRDefault="00FC6BFF" w:rsidP="00562A28">
      <w:pPr>
        <w:pStyle w:val="Para"/>
        <w:ind w:left="1440"/>
        <w:rPr>
          <w:sz w:val="20"/>
          <w:lang w:val="en-AU"/>
        </w:rPr>
      </w:pPr>
      <w:r w:rsidRPr="00911A1A">
        <w:rPr>
          <w:sz w:val="20"/>
          <w:lang w:val="en-AU"/>
        </w:rPr>
        <w:t xml:space="preserve">Base: Total respondents, </w:t>
      </w:r>
      <w:r w:rsidR="00882A22" w:rsidRPr="00911A1A">
        <w:rPr>
          <w:sz w:val="20"/>
          <w:lang w:val="en-AU"/>
        </w:rPr>
        <w:t xml:space="preserve">2014 (n=1,861); </w:t>
      </w:r>
      <w:r w:rsidRPr="00911A1A">
        <w:rPr>
          <w:sz w:val="20"/>
          <w:lang w:val="en-AU"/>
        </w:rPr>
        <w:t>2007 (n=2,061)</w:t>
      </w:r>
    </w:p>
    <w:p w14:paraId="051AAA29" w14:textId="77777777" w:rsidR="0057268F" w:rsidRPr="00DA3B75" w:rsidRDefault="0057268F">
      <w:pPr>
        <w:spacing w:before="0" w:after="0"/>
        <w:rPr>
          <w:sz w:val="20"/>
          <w:highlight w:val="yellow"/>
          <w:lang w:val="en-AU"/>
        </w:rPr>
      </w:pPr>
      <w:r w:rsidRPr="00DA3B75">
        <w:rPr>
          <w:sz w:val="20"/>
          <w:highlight w:val="yellow"/>
          <w:lang w:val="en-AU"/>
        </w:rPr>
        <w:br w:type="page"/>
      </w:r>
    </w:p>
    <w:p w14:paraId="6AFE98B8" w14:textId="77777777" w:rsidR="009E5010" w:rsidRPr="00C66393" w:rsidRDefault="009E5010" w:rsidP="00562A28">
      <w:pPr>
        <w:pStyle w:val="Para"/>
        <w:jc w:val="center"/>
        <w:rPr>
          <w:b/>
          <w:u w:val="single"/>
          <w:lang w:val="en-AU"/>
        </w:rPr>
      </w:pPr>
      <w:r w:rsidRPr="00C66393">
        <w:rPr>
          <w:b/>
          <w:lang w:val="en-AU"/>
        </w:rPr>
        <w:lastRenderedPageBreak/>
        <w:t xml:space="preserve">Table 3.3.11b: </w:t>
      </w:r>
      <w:r w:rsidRPr="00C66393">
        <w:rPr>
          <w:b/>
          <w:u w:val="single"/>
          <w:lang w:val="en-AU"/>
        </w:rPr>
        <w:t>Material of Home by Region and Home Ownership Status</w:t>
      </w:r>
    </w:p>
    <w:p w14:paraId="4435C307" w14:textId="77777777" w:rsidR="009E5010" w:rsidRPr="00C66393" w:rsidRDefault="009E5010" w:rsidP="009E5010">
      <w:pPr>
        <w:pStyle w:val="Para"/>
        <w:rPr>
          <w:b/>
          <w:lang w:val="en-AU"/>
        </w:rPr>
      </w:pPr>
    </w:p>
    <w:tbl>
      <w:tblPr>
        <w:tblW w:w="12678" w:type="dxa"/>
        <w:jc w:val="center"/>
        <w:tblLook w:val="04A0" w:firstRow="1" w:lastRow="0" w:firstColumn="1" w:lastColumn="0" w:noHBand="0" w:noVBand="1"/>
      </w:tblPr>
      <w:tblGrid>
        <w:gridCol w:w="2858"/>
        <w:gridCol w:w="600"/>
        <w:gridCol w:w="600"/>
        <w:gridCol w:w="600"/>
        <w:gridCol w:w="600"/>
        <w:gridCol w:w="600"/>
        <w:gridCol w:w="600"/>
        <w:gridCol w:w="600"/>
        <w:gridCol w:w="600"/>
        <w:gridCol w:w="600"/>
        <w:gridCol w:w="600"/>
        <w:gridCol w:w="620"/>
        <w:gridCol w:w="620"/>
        <w:gridCol w:w="690"/>
        <w:gridCol w:w="690"/>
        <w:gridCol w:w="600"/>
        <w:gridCol w:w="600"/>
      </w:tblGrid>
      <w:tr w:rsidR="009E5010" w:rsidRPr="00C66393" w14:paraId="2719C31A" w14:textId="77777777" w:rsidTr="00562A28">
        <w:trPr>
          <w:trHeight w:val="510"/>
          <w:jc w:val="center"/>
        </w:trPr>
        <w:tc>
          <w:tcPr>
            <w:tcW w:w="2858" w:type="dxa"/>
            <w:vMerge w:val="restart"/>
            <w:tcBorders>
              <w:top w:val="double" w:sz="6" w:space="0" w:color="auto"/>
              <w:left w:val="double" w:sz="6" w:space="0" w:color="auto"/>
              <w:bottom w:val="single" w:sz="4" w:space="0" w:color="BFBFBF"/>
              <w:right w:val="nil"/>
            </w:tcBorders>
            <w:shd w:val="clear" w:color="auto" w:fill="auto"/>
            <w:vAlign w:val="center"/>
          </w:tcPr>
          <w:p w14:paraId="5D87CADE" w14:textId="77777777" w:rsidR="009E5010" w:rsidRPr="00C66393" w:rsidRDefault="009E5010" w:rsidP="009E5010">
            <w:pPr>
              <w:spacing w:before="0" w:after="0"/>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 xml:space="preserve">Material of Home </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3D7E92FF" w14:textId="77777777" w:rsidR="009E5010" w:rsidRPr="00C66393" w:rsidRDefault="009E5010" w:rsidP="009E5010">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Brick veneer</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3BDA0D24" w14:textId="77777777" w:rsidR="009E5010" w:rsidRPr="00C66393" w:rsidRDefault="009E5010" w:rsidP="009E5010">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Double brick/ Cavity brick</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3736E303" w14:textId="77777777" w:rsidR="009E5010" w:rsidRPr="00C66393" w:rsidRDefault="009E5010" w:rsidP="009E5010">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W'board/ Timber</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4FAFC820" w14:textId="77777777" w:rsidR="009E5010" w:rsidRPr="00C66393" w:rsidRDefault="009E5010" w:rsidP="009E5010">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Fibro-cement</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259D4BE4" w14:textId="77777777" w:rsidR="009E5010" w:rsidRPr="00C66393" w:rsidRDefault="009E5010" w:rsidP="009E5010">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Concrete/ Besser block</w:t>
            </w:r>
          </w:p>
        </w:tc>
        <w:tc>
          <w:tcPr>
            <w:tcW w:w="1240" w:type="dxa"/>
            <w:gridSpan w:val="2"/>
            <w:tcBorders>
              <w:top w:val="double" w:sz="6" w:space="0" w:color="auto"/>
              <w:left w:val="nil"/>
              <w:bottom w:val="single" w:sz="4" w:space="0" w:color="BFBFBF"/>
              <w:right w:val="single" w:sz="4" w:space="0" w:color="BFBFBF"/>
            </w:tcBorders>
            <w:shd w:val="clear" w:color="auto" w:fill="auto"/>
            <w:vAlign w:val="center"/>
          </w:tcPr>
          <w:p w14:paraId="1E75429F" w14:textId="77777777" w:rsidR="009E5010" w:rsidRPr="00C66393" w:rsidRDefault="009E5010" w:rsidP="009E5010">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Steel/  Aluminium</w:t>
            </w:r>
          </w:p>
        </w:tc>
        <w:tc>
          <w:tcPr>
            <w:tcW w:w="138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13898A9B" w14:textId="77777777" w:rsidR="009E5010" w:rsidRPr="00C66393" w:rsidRDefault="009E5010" w:rsidP="009E5010">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Other Material</w:t>
            </w:r>
          </w:p>
        </w:tc>
        <w:tc>
          <w:tcPr>
            <w:tcW w:w="1200" w:type="dxa"/>
            <w:gridSpan w:val="2"/>
            <w:tcBorders>
              <w:top w:val="double" w:sz="6" w:space="0" w:color="auto"/>
              <w:left w:val="nil"/>
              <w:bottom w:val="single" w:sz="4" w:space="0" w:color="BFBFBF"/>
              <w:right w:val="double" w:sz="6" w:space="0" w:color="000000"/>
            </w:tcBorders>
            <w:shd w:val="clear" w:color="auto" w:fill="auto"/>
            <w:vAlign w:val="center"/>
          </w:tcPr>
          <w:p w14:paraId="1E9722AB" w14:textId="77777777" w:rsidR="009E5010" w:rsidRPr="00C66393" w:rsidRDefault="009E5010" w:rsidP="009E5010">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Can't say</w:t>
            </w:r>
          </w:p>
        </w:tc>
      </w:tr>
      <w:tr w:rsidR="009E5010" w:rsidRPr="00C66393" w14:paraId="5939BEF6" w14:textId="77777777" w:rsidTr="00D10D53">
        <w:trPr>
          <w:trHeight w:val="225"/>
          <w:jc w:val="center"/>
        </w:trPr>
        <w:tc>
          <w:tcPr>
            <w:tcW w:w="2858" w:type="dxa"/>
            <w:vMerge/>
            <w:tcBorders>
              <w:top w:val="double" w:sz="6" w:space="0" w:color="auto"/>
              <w:left w:val="double" w:sz="6" w:space="0" w:color="auto"/>
              <w:bottom w:val="single" w:sz="4" w:space="0" w:color="BFBFBF"/>
              <w:right w:val="nil"/>
            </w:tcBorders>
            <w:vAlign w:val="center"/>
          </w:tcPr>
          <w:p w14:paraId="225E9324" w14:textId="77777777" w:rsidR="009E5010" w:rsidRPr="00C66393" w:rsidRDefault="009E5010" w:rsidP="009E5010">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13F85A0"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1CF611C9"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27150A83"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6D4109CC"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321B883"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6FB07EE2"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6100A9B2"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717B0CC5"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8A5CC1E"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2B9459C4"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2007</w:t>
            </w:r>
          </w:p>
        </w:tc>
        <w:tc>
          <w:tcPr>
            <w:tcW w:w="620" w:type="dxa"/>
            <w:tcBorders>
              <w:top w:val="nil"/>
              <w:left w:val="nil"/>
              <w:bottom w:val="single" w:sz="4" w:space="0" w:color="BFBFBF"/>
              <w:right w:val="single" w:sz="4" w:space="0" w:color="BFBFBF"/>
            </w:tcBorders>
            <w:shd w:val="clear" w:color="auto" w:fill="auto"/>
            <w:noWrap/>
            <w:vAlign w:val="center"/>
          </w:tcPr>
          <w:p w14:paraId="754476E3"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2014</w:t>
            </w:r>
          </w:p>
        </w:tc>
        <w:tc>
          <w:tcPr>
            <w:tcW w:w="620" w:type="dxa"/>
            <w:tcBorders>
              <w:top w:val="nil"/>
              <w:left w:val="nil"/>
              <w:bottom w:val="single" w:sz="4" w:space="0" w:color="BFBFBF"/>
              <w:right w:val="nil"/>
            </w:tcBorders>
            <w:shd w:val="clear" w:color="auto" w:fill="auto"/>
            <w:noWrap/>
            <w:vAlign w:val="center"/>
          </w:tcPr>
          <w:p w14:paraId="5E91D5A1"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2007</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1BBD6260"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2014</w:t>
            </w:r>
          </w:p>
        </w:tc>
        <w:tc>
          <w:tcPr>
            <w:tcW w:w="690" w:type="dxa"/>
            <w:tcBorders>
              <w:top w:val="nil"/>
              <w:left w:val="nil"/>
              <w:bottom w:val="single" w:sz="4" w:space="0" w:color="BFBFBF"/>
              <w:right w:val="single" w:sz="4" w:space="0" w:color="auto"/>
            </w:tcBorders>
            <w:shd w:val="clear" w:color="auto" w:fill="auto"/>
            <w:noWrap/>
            <w:vAlign w:val="center"/>
          </w:tcPr>
          <w:p w14:paraId="4B73AB08"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2F75278D"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2014</w:t>
            </w:r>
          </w:p>
        </w:tc>
        <w:tc>
          <w:tcPr>
            <w:tcW w:w="600" w:type="dxa"/>
            <w:tcBorders>
              <w:top w:val="nil"/>
              <w:left w:val="nil"/>
              <w:bottom w:val="single" w:sz="4" w:space="0" w:color="BFBFBF"/>
              <w:right w:val="double" w:sz="6" w:space="0" w:color="auto"/>
            </w:tcBorders>
            <w:shd w:val="clear" w:color="auto" w:fill="auto"/>
            <w:noWrap/>
            <w:vAlign w:val="center"/>
          </w:tcPr>
          <w:p w14:paraId="3C7B174D" w14:textId="77777777" w:rsidR="009E5010" w:rsidRPr="00C66393" w:rsidRDefault="009E5010" w:rsidP="00D10D5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2007</w:t>
            </w:r>
          </w:p>
        </w:tc>
      </w:tr>
      <w:tr w:rsidR="009E5010" w:rsidRPr="00C66393" w14:paraId="4FDE1D34" w14:textId="77777777" w:rsidTr="00D10D53">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175FC2FA" w14:textId="77777777" w:rsidR="009E5010" w:rsidRPr="00C66393" w:rsidRDefault="009E5010" w:rsidP="009E5010">
            <w:pPr>
              <w:spacing w:before="0" w:after="0"/>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By Region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FC7C1F8" w14:textId="77777777" w:rsidR="009E5010" w:rsidRPr="00C66393" w:rsidRDefault="009E5010"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3D691612"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03807541"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721EE161"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5B92ADE"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4BAE5E64"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7B67F0B3"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5D8A0314"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2A50071"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5F0EB149"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single" w:sz="4" w:space="0" w:color="BFBFBF"/>
            </w:tcBorders>
            <w:shd w:val="clear" w:color="auto" w:fill="auto"/>
            <w:noWrap/>
            <w:vAlign w:val="center"/>
          </w:tcPr>
          <w:p w14:paraId="51B42D3D"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nil"/>
            </w:tcBorders>
            <w:shd w:val="clear" w:color="auto" w:fill="auto"/>
            <w:noWrap/>
            <w:vAlign w:val="center"/>
          </w:tcPr>
          <w:p w14:paraId="08385056"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736E982E"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90" w:type="dxa"/>
            <w:tcBorders>
              <w:top w:val="nil"/>
              <w:left w:val="nil"/>
              <w:bottom w:val="single" w:sz="4" w:space="0" w:color="BFBFBF"/>
              <w:right w:val="single" w:sz="4" w:space="0" w:color="auto"/>
            </w:tcBorders>
            <w:shd w:val="clear" w:color="auto" w:fill="auto"/>
            <w:noWrap/>
            <w:vAlign w:val="center"/>
          </w:tcPr>
          <w:p w14:paraId="74D10B9A"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12B70C8F" w14:textId="77777777" w:rsidR="009E5010" w:rsidRPr="00C66393" w:rsidRDefault="009E5010"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136975EF" w14:textId="77777777" w:rsidR="009E5010" w:rsidRPr="00C66393" w:rsidRDefault="009E5010" w:rsidP="00D10D53">
            <w:pPr>
              <w:spacing w:before="0" w:after="0"/>
              <w:jc w:val="center"/>
              <w:rPr>
                <w:rFonts w:ascii="Arial" w:hAnsi="Arial" w:cs="Arial"/>
                <w:color w:val="000000"/>
                <w:sz w:val="16"/>
                <w:szCs w:val="16"/>
                <w:lang w:val="en-AU" w:eastAsia="en-AU"/>
              </w:rPr>
            </w:pPr>
          </w:p>
        </w:tc>
      </w:tr>
      <w:tr w:rsidR="0054131D" w:rsidRPr="00C66393" w14:paraId="0A7CAEE4"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17132364" w14:textId="1513766F" w:rsidR="009E5010" w:rsidRPr="00C66393" w:rsidRDefault="006616D6" w:rsidP="009E5010">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9E5010" w:rsidRPr="00C66393">
              <w:rPr>
                <w:rFonts w:ascii="Arial" w:hAnsi="Arial" w:cs="Arial"/>
                <w:color w:val="000000"/>
                <w:sz w:val="16"/>
                <w:szCs w:val="16"/>
                <w:lang w:val="en-AU" w:eastAsia="en-AU"/>
              </w:rPr>
              <w:t>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4418274" w14:textId="77777777" w:rsidR="009E5010" w:rsidRPr="00C66393" w:rsidRDefault="009E5010"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68%</w:t>
            </w:r>
          </w:p>
        </w:tc>
        <w:tc>
          <w:tcPr>
            <w:tcW w:w="600" w:type="dxa"/>
            <w:tcBorders>
              <w:top w:val="nil"/>
              <w:left w:val="nil"/>
              <w:bottom w:val="single" w:sz="4" w:space="0" w:color="BFBFBF"/>
              <w:right w:val="single" w:sz="4" w:space="0" w:color="auto"/>
            </w:tcBorders>
            <w:shd w:val="clear" w:color="auto" w:fill="auto"/>
            <w:noWrap/>
            <w:vAlign w:val="center"/>
          </w:tcPr>
          <w:p w14:paraId="70366EC9"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66%</w:t>
            </w:r>
          </w:p>
        </w:tc>
        <w:tc>
          <w:tcPr>
            <w:tcW w:w="600" w:type="dxa"/>
            <w:tcBorders>
              <w:top w:val="nil"/>
              <w:left w:val="nil"/>
              <w:bottom w:val="nil"/>
              <w:right w:val="nil"/>
            </w:tcBorders>
            <w:shd w:val="clear" w:color="auto" w:fill="auto"/>
            <w:noWrap/>
            <w:vAlign w:val="center"/>
          </w:tcPr>
          <w:p w14:paraId="7344FC45" w14:textId="77777777" w:rsidR="009E5010" w:rsidRPr="00C66393" w:rsidRDefault="009E5010">
            <w:pPr>
              <w:spacing w:before="0" w:after="0"/>
              <w:jc w:val="center"/>
              <w:rPr>
                <w:rFonts w:ascii="Arial" w:hAnsi="Arial" w:cs="Arial"/>
                <w:sz w:val="16"/>
                <w:szCs w:val="16"/>
                <w:lang w:val="en-AU" w:eastAsia="en-AU"/>
              </w:rPr>
            </w:pPr>
            <w:r w:rsidRPr="00C66393">
              <w:rPr>
                <w:rFonts w:ascii="Arial" w:hAnsi="Arial" w:cs="Arial"/>
                <w:sz w:val="16"/>
                <w:szCs w:val="16"/>
                <w:lang w:val="en-AU" w:eastAsia="en-AU"/>
              </w:rPr>
              <w:t>10%</w:t>
            </w:r>
          </w:p>
        </w:tc>
        <w:tc>
          <w:tcPr>
            <w:tcW w:w="600" w:type="dxa"/>
            <w:tcBorders>
              <w:top w:val="nil"/>
              <w:left w:val="single" w:sz="4" w:space="0" w:color="BFBFBF"/>
              <w:bottom w:val="single" w:sz="4" w:space="0" w:color="BFBFBF"/>
              <w:right w:val="nil"/>
            </w:tcBorders>
            <w:shd w:val="clear" w:color="auto" w:fill="auto"/>
            <w:noWrap/>
            <w:vAlign w:val="center"/>
          </w:tcPr>
          <w:p w14:paraId="388EC898"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8B24DDA"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17%</w:t>
            </w:r>
          </w:p>
        </w:tc>
        <w:tc>
          <w:tcPr>
            <w:tcW w:w="600" w:type="dxa"/>
            <w:tcBorders>
              <w:top w:val="nil"/>
              <w:left w:val="nil"/>
              <w:bottom w:val="single" w:sz="4" w:space="0" w:color="BFBFBF"/>
              <w:right w:val="single" w:sz="4" w:space="0" w:color="auto"/>
            </w:tcBorders>
            <w:shd w:val="clear" w:color="auto" w:fill="auto"/>
            <w:noWrap/>
            <w:vAlign w:val="center"/>
          </w:tcPr>
          <w:p w14:paraId="4B618DD8"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18%</w:t>
            </w:r>
          </w:p>
        </w:tc>
        <w:tc>
          <w:tcPr>
            <w:tcW w:w="600" w:type="dxa"/>
            <w:tcBorders>
              <w:top w:val="nil"/>
              <w:left w:val="nil"/>
              <w:bottom w:val="single" w:sz="4" w:space="0" w:color="BFBFBF"/>
              <w:right w:val="single" w:sz="4" w:space="0" w:color="BFBFBF"/>
            </w:tcBorders>
            <w:shd w:val="clear" w:color="auto" w:fill="auto"/>
            <w:noWrap/>
            <w:vAlign w:val="center"/>
          </w:tcPr>
          <w:p w14:paraId="788B75A7"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nil"/>
              <w:bottom w:val="single" w:sz="4" w:space="0" w:color="BFBFBF"/>
              <w:right w:val="nil"/>
            </w:tcBorders>
            <w:shd w:val="clear" w:color="auto" w:fill="auto"/>
            <w:noWrap/>
            <w:vAlign w:val="center"/>
          </w:tcPr>
          <w:p w14:paraId="192D6DDF"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EDCD48E"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78D355E7"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20" w:type="dxa"/>
            <w:tcBorders>
              <w:top w:val="nil"/>
              <w:left w:val="nil"/>
              <w:bottom w:val="single" w:sz="4" w:space="0" w:color="BFBFBF"/>
              <w:right w:val="single" w:sz="4" w:space="0" w:color="BFBFBF"/>
            </w:tcBorders>
            <w:shd w:val="clear" w:color="auto" w:fill="auto"/>
            <w:noWrap/>
            <w:vAlign w:val="center"/>
          </w:tcPr>
          <w:p w14:paraId="5E9364BE"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578CC788"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4ECF8592"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90" w:type="dxa"/>
            <w:tcBorders>
              <w:top w:val="nil"/>
              <w:left w:val="nil"/>
              <w:bottom w:val="single" w:sz="4" w:space="0" w:color="BFBFBF"/>
              <w:right w:val="single" w:sz="4" w:space="0" w:color="auto"/>
            </w:tcBorders>
            <w:shd w:val="clear" w:color="auto" w:fill="auto"/>
            <w:noWrap/>
            <w:vAlign w:val="center"/>
          </w:tcPr>
          <w:p w14:paraId="0A4411BA"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7068BE52"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7D5A4101"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r>
      <w:tr w:rsidR="0054131D" w:rsidRPr="00C66393" w14:paraId="56200ED5"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6C4E071D" w14:textId="26B32B1C" w:rsidR="009E5010" w:rsidRPr="00C66393" w:rsidRDefault="006616D6" w:rsidP="009E5010">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9E5010" w:rsidRPr="00C66393">
              <w:rPr>
                <w:rFonts w:ascii="Arial" w:hAnsi="Arial" w:cs="Arial"/>
                <w:color w:val="000000"/>
                <w:sz w:val="16"/>
                <w:szCs w:val="16"/>
                <w:lang w:val="en-AU" w:eastAsia="en-AU"/>
              </w:rPr>
              <w:t>Country VIC</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873DCC6" w14:textId="77777777" w:rsidR="009E5010" w:rsidRPr="00C66393" w:rsidRDefault="009E5010"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5</w:t>
            </w:r>
            <w:r w:rsidR="00C66393" w:rsidRPr="00C66393">
              <w:rPr>
                <w:rFonts w:ascii="Arial" w:hAnsi="Arial" w:cs="Arial"/>
                <w:color w:val="000000"/>
                <w:sz w:val="16"/>
                <w:szCs w:val="16"/>
                <w:lang w:val="en-AU" w:eastAsia="en-AU"/>
              </w:rPr>
              <w:t>8</w:t>
            </w: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FE94782"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58%</w:t>
            </w:r>
          </w:p>
        </w:tc>
        <w:tc>
          <w:tcPr>
            <w:tcW w:w="600" w:type="dxa"/>
            <w:tcBorders>
              <w:top w:val="nil"/>
              <w:left w:val="nil"/>
              <w:bottom w:val="nil"/>
              <w:right w:val="nil"/>
            </w:tcBorders>
            <w:shd w:val="clear" w:color="auto" w:fill="auto"/>
            <w:noWrap/>
            <w:vAlign w:val="center"/>
          </w:tcPr>
          <w:p w14:paraId="13692D2E" w14:textId="77777777" w:rsidR="009E5010" w:rsidRPr="00C66393" w:rsidRDefault="009E5010">
            <w:pPr>
              <w:spacing w:before="0" w:after="0"/>
              <w:jc w:val="center"/>
              <w:rPr>
                <w:rFonts w:ascii="Arial" w:hAnsi="Arial" w:cs="Arial"/>
                <w:sz w:val="16"/>
                <w:szCs w:val="16"/>
                <w:lang w:val="en-AU" w:eastAsia="en-AU"/>
              </w:rPr>
            </w:pPr>
            <w:r w:rsidRPr="00C66393">
              <w:rPr>
                <w:rFonts w:ascii="Arial" w:hAnsi="Arial" w:cs="Arial"/>
                <w:sz w:val="16"/>
                <w:szCs w:val="16"/>
                <w:lang w:val="en-AU" w:eastAsia="en-AU"/>
              </w:rPr>
              <w:t>7%</w:t>
            </w:r>
          </w:p>
        </w:tc>
        <w:tc>
          <w:tcPr>
            <w:tcW w:w="600" w:type="dxa"/>
            <w:tcBorders>
              <w:top w:val="nil"/>
              <w:left w:val="single" w:sz="4" w:space="0" w:color="BFBFBF"/>
              <w:bottom w:val="single" w:sz="4" w:space="0" w:color="BFBFBF"/>
              <w:right w:val="nil"/>
            </w:tcBorders>
            <w:shd w:val="clear" w:color="auto" w:fill="auto"/>
            <w:noWrap/>
            <w:vAlign w:val="center"/>
          </w:tcPr>
          <w:p w14:paraId="44F70737"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3DCAA16"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23%</w:t>
            </w:r>
          </w:p>
        </w:tc>
        <w:tc>
          <w:tcPr>
            <w:tcW w:w="600" w:type="dxa"/>
            <w:tcBorders>
              <w:top w:val="nil"/>
              <w:left w:val="nil"/>
              <w:bottom w:val="single" w:sz="4" w:space="0" w:color="BFBFBF"/>
              <w:right w:val="single" w:sz="4" w:space="0" w:color="auto"/>
            </w:tcBorders>
            <w:shd w:val="clear" w:color="auto" w:fill="auto"/>
            <w:noWrap/>
            <w:vAlign w:val="center"/>
          </w:tcPr>
          <w:p w14:paraId="5375F76A"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28%</w:t>
            </w:r>
          </w:p>
        </w:tc>
        <w:tc>
          <w:tcPr>
            <w:tcW w:w="600" w:type="dxa"/>
            <w:tcBorders>
              <w:top w:val="nil"/>
              <w:left w:val="nil"/>
              <w:bottom w:val="single" w:sz="4" w:space="0" w:color="BFBFBF"/>
              <w:right w:val="single" w:sz="4" w:space="0" w:color="BFBFBF"/>
            </w:tcBorders>
            <w:shd w:val="clear" w:color="auto" w:fill="auto"/>
            <w:noWrap/>
            <w:vAlign w:val="center"/>
          </w:tcPr>
          <w:p w14:paraId="6FA18D26"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23B0DD5F"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3295503"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73AF2336"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20" w:type="dxa"/>
            <w:tcBorders>
              <w:top w:val="nil"/>
              <w:left w:val="nil"/>
              <w:bottom w:val="single" w:sz="4" w:space="0" w:color="BFBFBF"/>
              <w:right w:val="single" w:sz="4" w:space="0" w:color="BFBFBF"/>
            </w:tcBorders>
            <w:shd w:val="clear" w:color="auto" w:fill="auto"/>
            <w:noWrap/>
            <w:vAlign w:val="center"/>
          </w:tcPr>
          <w:p w14:paraId="20E6C7A1"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20" w:type="dxa"/>
            <w:tcBorders>
              <w:top w:val="nil"/>
              <w:left w:val="nil"/>
              <w:bottom w:val="single" w:sz="4" w:space="0" w:color="BFBFBF"/>
              <w:right w:val="nil"/>
            </w:tcBorders>
            <w:shd w:val="clear" w:color="auto" w:fill="auto"/>
            <w:noWrap/>
            <w:vAlign w:val="center"/>
          </w:tcPr>
          <w:p w14:paraId="50852C73"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20072420"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90" w:type="dxa"/>
            <w:tcBorders>
              <w:top w:val="nil"/>
              <w:left w:val="nil"/>
              <w:bottom w:val="single" w:sz="4" w:space="0" w:color="BFBFBF"/>
              <w:right w:val="single" w:sz="4" w:space="0" w:color="auto"/>
            </w:tcBorders>
            <w:shd w:val="clear" w:color="auto" w:fill="auto"/>
            <w:noWrap/>
            <w:vAlign w:val="center"/>
          </w:tcPr>
          <w:p w14:paraId="4D01AC20"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543532EC"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17EF65C6"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r>
      <w:tr w:rsidR="0054131D" w:rsidRPr="00C66393" w14:paraId="620307FB"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26E5DA2C" w14:textId="1A012AF9" w:rsidR="009E5010" w:rsidRPr="00C66393" w:rsidRDefault="006616D6" w:rsidP="009E5010">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BC6314">
              <w:rPr>
                <w:rFonts w:ascii="Arial" w:hAnsi="Arial" w:cs="Arial"/>
                <w:color w:val="000000"/>
                <w:sz w:val="16"/>
                <w:szCs w:val="16"/>
                <w:lang w:val="en-AU" w:eastAsia="en-AU"/>
              </w:rPr>
              <w:t>LPG Household</w:t>
            </w:r>
            <w:r w:rsidR="009E5010" w:rsidRPr="00C66393">
              <w:rPr>
                <w:rFonts w:ascii="Arial" w:hAnsi="Arial" w:cs="Arial"/>
                <w:color w:val="000000"/>
                <w:sz w:val="16"/>
                <w:szCs w:val="16"/>
                <w:lang w:val="en-AU" w:eastAsia="en-AU"/>
              </w:rPr>
              <w:t>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AEF86D3" w14:textId="77777777" w:rsidR="009E5010"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38</w:t>
            </w:r>
            <w:r w:rsidR="009E5010" w:rsidRPr="00C6639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32143960"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28%</w:t>
            </w:r>
          </w:p>
        </w:tc>
        <w:tc>
          <w:tcPr>
            <w:tcW w:w="600" w:type="dxa"/>
            <w:tcBorders>
              <w:top w:val="nil"/>
              <w:left w:val="nil"/>
              <w:bottom w:val="nil"/>
              <w:right w:val="nil"/>
            </w:tcBorders>
            <w:shd w:val="clear" w:color="auto" w:fill="auto"/>
            <w:noWrap/>
            <w:vAlign w:val="center"/>
          </w:tcPr>
          <w:p w14:paraId="4CE9E0DB" w14:textId="77777777" w:rsidR="009E5010" w:rsidRPr="00C66393" w:rsidRDefault="009E5010">
            <w:pPr>
              <w:spacing w:before="0" w:after="0"/>
              <w:jc w:val="center"/>
              <w:rPr>
                <w:rFonts w:ascii="Arial" w:hAnsi="Arial" w:cs="Arial"/>
                <w:sz w:val="16"/>
                <w:szCs w:val="16"/>
                <w:lang w:val="en-AU" w:eastAsia="en-AU"/>
              </w:rPr>
            </w:pPr>
            <w:r w:rsidRPr="00C66393">
              <w:rPr>
                <w:rFonts w:ascii="Arial" w:hAnsi="Arial" w:cs="Arial"/>
                <w:sz w:val="16"/>
                <w:szCs w:val="16"/>
                <w:lang w:val="en-AU" w:eastAsia="en-AU"/>
              </w:rPr>
              <w:t>7%</w:t>
            </w:r>
          </w:p>
        </w:tc>
        <w:tc>
          <w:tcPr>
            <w:tcW w:w="600" w:type="dxa"/>
            <w:tcBorders>
              <w:top w:val="nil"/>
              <w:left w:val="single" w:sz="4" w:space="0" w:color="BFBFBF"/>
              <w:bottom w:val="single" w:sz="4" w:space="0" w:color="BFBFBF"/>
              <w:right w:val="nil"/>
            </w:tcBorders>
            <w:shd w:val="clear" w:color="auto" w:fill="auto"/>
            <w:noWrap/>
            <w:vAlign w:val="center"/>
          </w:tcPr>
          <w:p w14:paraId="43640840"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F9D5F28"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20%</w:t>
            </w:r>
          </w:p>
        </w:tc>
        <w:tc>
          <w:tcPr>
            <w:tcW w:w="600" w:type="dxa"/>
            <w:tcBorders>
              <w:top w:val="nil"/>
              <w:left w:val="nil"/>
              <w:bottom w:val="single" w:sz="4" w:space="0" w:color="BFBFBF"/>
              <w:right w:val="single" w:sz="4" w:space="0" w:color="auto"/>
            </w:tcBorders>
            <w:shd w:val="clear" w:color="auto" w:fill="auto"/>
            <w:noWrap/>
            <w:vAlign w:val="center"/>
          </w:tcPr>
          <w:p w14:paraId="03586E8E"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42%</w:t>
            </w:r>
          </w:p>
        </w:tc>
        <w:tc>
          <w:tcPr>
            <w:tcW w:w="600" w:type="dxa"/>
            <w:tcBorders>
              <w:top w:val="nil"/>
              <w:left w:val="nil"/>
              <w:bottom w:val="single" w:sz="4" w:space="0" w:color="BFBFBF"/>
              <w:right w:val="single" w:sz="4" w:space="0" w:color="BFBFBF"/>
            </w:tcBorders>
            <w:shd w:val="clear" w:color="auto" w:fill="auto"/>
            <w:noWrap/>
            <w:vAlign w:val="center"/>
          </w:tcPr>
          <w:p w14:paraId="7295FC26"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7EF73157"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8%</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C2CDA67"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0FC38EBE"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20" w:type="dxa"/>
            <w:tcBorders>
              <w:top w:val="nil"/>
              <w:left w:val="nil"/>
              <w:bottom w:val="single" w:sz="4" w:space="0" w:color="BFBFBF"/>
              <w:right w:val="single" w:sz="4" w:space="0" w:color="BFBFBF"/>
            </w:tcBorders>
            <w:shd w:val="clear" w:color="auto" w:fill="auto"/>
            <w:noWrap/>
            <w:vAlign w:val="center"/>
          </w:tcPr>
          <w:p w14:paraId="5C47C319"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20" w:type="dxa"/>
            <w:tcBorders>
              <w:top w:val="nil"/>
              <w:left w:val="nil"/>
              <w:bottom w:val="single" w:sz="4" w:space="0" w:color="BFBFBF"/>
              <w:right w:val="nil"/>
            </w:tcBorders>
            <w:shd w:val="clear" w:color="auto" w:fill="auto"/>
            <w:noWrap/>
            <w:vAlign w:val="center"/>
          </w:tcPr>
          <w:p w14:paraId="48147923"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54781280"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90" w:type="dxa"/>
            <w:tcBorders>
              <w:top w:val="nil"/>
              <w:left w:val="nil"/>
              <w:bottom w:val="single" w:sz="4" w:space="0" w:color="BFBFBF"/>
              <w:right w:val="single" w:sz="4" w:space="0" w:color="auto"/>
            </w:tcBorders>
            <w:shd w:val="clear" w:color="auto" w:fill="auto"/>
            <w:noWrap/>
            <w:vAlign w:val="center"/>
          </w:tcPr>
          <w:p w14:paraId="1D6A89BA"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12%</w:t>
            </w:r>
          </w:p>
        </w:tc>
        <w:tc>
          <w:tcPr>
            <w:tcW w:w="600" w:type="dxa"/>
            <w:tcBorders>
              <w:top w:val="nil"/>
              <w:left w:val="nil"/>
              <w:bottom w:val="single" w:sz="4" w:space="0" w:color="BFBFBF"/>
              <w:right w:val="single" w:sz="4" w:space="0" w:color="BFBFBF"/>
            </w:tcBorders>
            <w:shd w:val="clear" w:color="auto" w:fill="auto"/>
            <w:noWrap/>
            <w:vAlign w:val="center"/>
          </w:tcPr>
          <w:p w14:paraId="1B325427"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74D31CC1" w14:textId="77777777" w:rsidR="009E5010" w:rsidRPr="00C66393" w:rsidRDefault="009E5010">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r>
      <w:tr w:rsidR="0054131D" w:rsidRPr="00C66393" w14:paraId="70A62531"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2956095E" w14:textId="77777777" w:rsidR="009E5010" w:rsidRPr="00C66393" w:rsidRDefault="009E5010" w:rsidP="009E5010">
            <w:pPr>
              <w:spacing w:before="0" w:after="0"/>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 xml:space="preserve">By DHHS Areas -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4B2252D" w14:textId="77777777" w:rsidR="009E5010" w:rsidRPr="00C66393" w:rsidRDefault="009E5010" w:rsidP="00600395">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21491ADF" w14:textId="77777777" w:rsidR="009E5010" w:rsidRPr="00C66393" w:rsidRDefault="009E5010">
            <w:pPr>
              <w:spacing w:before="0" w:after="0"/>
              <w:jc w:val="center"/>
              <w:rPr>
                <w:rFonts w:ascii="Arial" w:hAnsi="Arial" w:cs="Arial"/>
                <w:color w:val="000000"/>
                <w:sz w:val="16"/>
                <w:szCs w:val="16"/>
                <w:lang w:val="en-AU" w:eastAsia="en-AU"/>
              </w:rPr>
            </w:pPr>
          </w:p>
        </w:tc>
        <w:tc>
          <w:tcPr>
            <w:tcW w:w="600" w:type="dxa"/>
            <w:tcBorders>
              <w:top w:val="single" w:sz="4" w:space="0" w:color="BFBFBF"/>
              <w:left w:val="nil"/>
              <w:bottom w:val="single" w:sz="4" w:space="0" w:color="BFBFBF"/>
              <w:right w:val="single" w:sz="4" w:space="0" w:color="BFBFBF"/>
            </w:tcBorders>
            <w:shd w:val="clear" w:color="auto" w:fill="auto"/>
            <w:noWrap/>
            <w:vAlign w:val="center"/>
          </w:tcPr>
          <w:p w14:paraId="0C98A998" w14:textId="77777777" w:rsidR="009E5010" w:rsidRPr="00C66393" w:rsidRDefault="009E5010">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57AED1C2" w14:textId="77777777" w:rsidR="009E5010" w:rsidRPr="00C66393" w:rsidRDefault="009E5010">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8B1D963" w14:textId="77777777" w:rsidR="009E5010" w:rsidRPr="00C66393" w:rsidRDefault="009E5010">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09EDA9F9" w14:textId="77777777" w:rsidR="009E5010" w:rsidRPr="00C66393" w:rsidRDefault="009E5010">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7D9E645C" w14:textId="77777777" w:rsidR="009E5010" w:rsidRPr="00C66393" w:rsidRDefault="009E5010">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407D1263" w14:textId="77777777" w:rsidR="009E5010" w:rsidRPr="00C66393" w:rsidRDefault="009E5010">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9372846" w14:textId="77777777" w:rsidR="009E5010" w:rsidRPr="00C66393" w:rsidRDefault="009E5010">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7410C3C4" w14:textId="77777777" w:rsidR="009E5010" w:rsidRPr="00C66393" w:rsidRDefault="009E5010">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single" w:sz="4" w:space="0" w:color="BFBFBF"/>
            </w:tcBorders>
            <w:shd w:val="clear" w:color="auto" w:fill="auto"/>
            <w:noWrap/>
            <w:vAlign w:val="center"/>
          </w:tcPr>
          <w:p w14:paraId="42333B33" w14:textId="77777777" w:rsidR="009E5010" w:rsidRPr="00C66393" w:rsidRDefault="009E5010">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nil"/>
            </w:tcBorders>
            <w:shd w:val="clear" w:color="auto" w:fill="auto"/>
            <w:noWrap/>
            <w:vAlign w:val="center"/>
          </w:tcPr>
          <w:p w14:paraId="4272FD40" w14:textId="77777777" w:rsidR="009E5010" w:rsidRPr="00C66393" w:rsidRDefault="009E5010">
            <w:pPr>
              <w:spacing w:before="0" w:after="0"/>
              <w:jc w:val="center"/>
              <w:rPr>
                <w:rFonts w:ascii="Arial" w:hAnsi="Arial" w:cs="Arial"/>
                <w:color w:val="000000"/>
                <w:sz w:val="16"/>
                <w:szCs w:val="16"/>
                <w:lang w:val="en-AU" w:eastAsia="en-AU"/>
              </w:rPr>
            </w:pP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506A6567" w14:textId="77777777" w:rsidR="009E5010" w:rsidRPr="00C66393" w:rsidRDefault="009E5010">
            <w:pPr>
              <w:spacing w:before="0" w:after="0"/>
              <w:jc w:val="center"/>
              <w:rPr>
                <w:rFonts w:ascii="Arial" w:hAnsi="Arial" w:cs="Arial"/>
                <w:color w:val="000000"/>
                <w:sz w:val="16"/>
                <w:szCs w:val="16"/>
                <w:lang w:val="en-AU" w:eastAsia="en-AU"/>
              </w:rPr>
            </w:pPr>
          </w:p>
        </w:tc>
        <w:tc>
          <w:tcPr>
            <w:tcW w:w="690" w:type="dxa"/>
            <w:tcBorders>
              <w:top w:val="nil"/>
              <w:left w:val="nil"/>
              <w:bottom w:val="single" w:sz="4" w:space="0" w:color="BFBFBF"/>
              <w:right w:val="single" w:sz="4" w:space="0" w:color="auto"/>
            </w:tcBorders>
            <w:shd w:val="clear" w:color="auto" w:fill="auto"/>
            <w:noWrap/>
            <w:vAlign w:val="center"/>
          </w:tcPr>
          <w:p w14:paraId="1CC10280" w14:textId="77777777" w:rsidR="009E5010" w:rsidRPr="00C66393" w:rsidRDefault="009E5010">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3389B96C" w14:textId="77777777" w:rsidR="009E5010" w:rsidRPr="00C66393" w:rsidRDefault="009E5010">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459B44AB" w14:textId="77777777" w:rsidR="009E5010" w:rsidRPr="00C66393" w:rsidRDefault="009E5010">
            <w:pPr>
              <w:spacing w:before="0" w:after="0"/>
              <w:jc w:val="center"/>
              <w:rPr>
                <w:rFonts w:ascii="Arial" w:hAnsi="Arial" w:cs="Arial"/>
                <w:color w:val="000000"/>
                <w:sz w:val="16"/>
                <w:szCs w:val="16"/>
                <w:lang w:val="en-AU" w:eastAsia="en-AU"/>
              </w:rPr>
            </w:pPr>
          </w:p>
        </w:tc>
      </w:tr>
      <w:tr w:rsidR="0054131D" w:rsidRPr="00C66393" w14:paraId="3F6AAE7A"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30EDB72C"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Hume Moreland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A98DBE4"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66%</w:t>
            </w:r>
          </w:p>
        </w:tc>
        <w:tc>
          <w:tcPr>
            <w:tcW w:w="600" w:type="dxa"/>
            <w:tcBorders>
              <w:top w:val="nil"/>
              <w:left w:val="nil"/>
              <w:bottom w:val="single" w:sz="4" w:space="0" w:color="BFBFBF"/>
              <w:right w:val="single" w:sz="4" w:space="0" w:color="auto"/>
            </w:tcBorders>
            <w:shd w:val="clear" w:color="auto" w:fill="auto"/>
            <w:noWrap/>
            <w:vAlign w:val="center"/>
          </w:tcPr>
          <w:p w14:paraId="4538898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501CA4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12%</w:t>
            </w:r>
          </w:p>
        </w:tc>
        <w:tc>
          <w:tcPr>
            <w:tcW w:w="600" w:type="dxa"/>
            <w:tcBorders>
              <w:top w:val="nil"/>
              <w:left w:val="nil"/>
              <w:bottom w:val="single" w:sz="4" w:space="0" w:color="BFBFBF"/>
              <w:right w:val="nil"/>
            </w:tcBorders>
            <w:shd w:val="clear" w:color="auto" w:fill="auto"/>
            <w:noWrap/>
            <w:vAlign w:val="center"/>
          </w:tcPr>
          <w:p w14:paraId="50B8E5E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0586A9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20%</w:t>
            </w:r>
          </w:p>
        </w:tc>
        <w:tc>
          <w:tcPr>
            <w:tcW w:w="600" w:type="dxa"/>
            <w:tcBorders>
              <w:top w:val="nil"/>
              <w:left w:val="nil"/>
              <w:bottom w:val="single" w:sz="4" w:space="0" w:color="BFBFBF"/>
              <w:right w:val="single" w:sz="4" w:space="0" w:color="auto"/>
            </w:tcBorders>
            <w:shd w:val="clear" w:color="auto" w:fill="auto"/>
            <w:noWrap/>
            <w:vAlign w:val="center"/>
          </w:tcPr>
          <w:p w14:paraId="3AFD177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A7AF5F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7A3A0F1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061DED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65ADBC5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551F02DC"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21BDA709"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03BDDA7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90" w:type="dxa"/>
            <w:tcBorders>
              <w:top w:val="nil"/>
              <w:left w:val="nil"/>
              <w:bottom w:val="single" w:sz="4" w:space="0" w:color="BFBFBF"/>
              <w:right w:val="single" w:sz="4" w:space="0" w:color="auto"/>
            </w:tcBorders>
            <w:shd w:val="clear" w:color="auto" w:fill="auto"/>
            <w:noWrap/>
            <w:vAlign w:val="center"/>
          </w:tcPr>
          <w:p w14:paraId="2571D02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A4C583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7DE1183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4AA42C2B"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7AB456A8"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North Eastern 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36D7126"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64%</w:t>
            </w:r>
          </w:p>
        </w:tc>
        <w:tc>
          <w:tcPr>
            <w:tcW w:w="600" w:type="dxa"/>
            <w:tcBorders>
              <w:top w:val="nil"/>
              <w:left w:val="nil"/>
              <w:bottom w:val="single" w:sz="4" w:space="0" w:color="BFBFBF"/>
              <w:right w:val="single" w:sz="4" w:space="0" w:color="auto"/>
            </w:tcBorders>
            <w:shd w:val="clear" w:color="auto" w:fill="auto"/>
            <w:noWrap/>
            <w:vAlign w:val="center"/>
          </w:tcPr>
          <w:p w14:paraId="489AC46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46D7829"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19%</w:t>
            </w:r>
          </w:p>
        </w:tc>
        <w:tc>
          <w:tcPr>
            <w:tcW w:w="600" w:type="dxa"/>
            <w:tcBorders>
              <w:top w:val="nil"/>
              <w:left w:val="nil"/>
              <w:bottom w:val="single" w:sz="4" w:space="0" w:color="BFBFBF"/>
              <w:right w:val="nil"/>
            </w:tcBorders>
            <w:shd w:val="clear" w:color="auto" w:fill="auto"/>
            <w:noWrap/>
            <w:vAlign w:val="center"/>
          </w:tcPr>
          <w:p w14:paraId="26A7A77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8CF7F4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15%</w:t>
            </w:r>
          </w:p>
        </w:tc>
        <w:tc>
          <w:tcPr>
            <w:tcW w:w="600" w:type="dxa"/>
            <w:tcBorders>
              <w:top w:val="nil"/>
              <w:left w:val="nil"/>
              <w:bottom w:val="single" w:sz="4" w:space="0" w:color="BFBFBF"/>
              <w:right w:val="single" w:sz="4" w:space="0" w:color="auto"/>
            </w:tcBorders>
            <w:shd w:val="clear" w:color="auto" w:fill="auto"/>
            <w:noWrap/>
            <w:vAlign w:val="center"/>
          </w:tcPr>
          <w:p w14:paraId="1B52AFD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E30BE4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3F003DE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75287E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043568D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1004B0F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1F06B76C"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5FB7781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90" w:type="dxa"/>
            <w:tcBorders>
              <w:top w:val="nil"/>
              <w:left w:val="nil"/>
              <w:bottom w:val="single" w:sz="4" w:space="0" w:color="BFBFBF"/>
              <w:right w:val="single" w:sz="4" w:space="0" w:color="auto"/>
            </w:tcBorders>
            <w:shd w:val="clear" w:color="auto" w:fill="auto"/>
            <w:noWrap/>
            <w:vAlign w:val="center"/>
          </w:tcPr>
          <w:p w14:paraId="1C86B34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698184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43E8878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62D16ACD"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173F5D91"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 xml:space="preserve">Outer </w:t>
            </w:r>
            <w:smartTag w:uri="urn:schemas-microsoft-com:office:smarttags" w:element="place">
              <w:r w:rsidRPr="00C66393">
                <w:rPr>
                  <w:rFonts w:ascii="Arial" w:hAnsi="Arial" w:cs="Arial"/>
                  <w:color w:val="000000"/>
                  <w:sz w:val="16"/>
                  <w:szCs w:val="16"/>
                  <w:lang w:val="en-AU" w:eastAsia="en-AU"/>
                </w:rPr>
                <w:t>Eastern Melbourne</w:t>
              </w:r>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4F54563"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71%</w:t>
            </w:r>
          </w:p>
        </w:tc>
        <w:tc>
          <w:tcPr>
            <w:tcW w:w="600" w:type="dxa"/>
            <w:tcBorders>
              <w:top w:val="nil"/>
              <w:left w:val="nil"/>
              <w:bottom w:val="single" w:sz="4" w:space="0" w:color="BFBFBF"/>
              <w:right w:val="single" w:sz="4" w:space="0" w:color="auto"/>
            </w:tcBorders>
            <w:shd w:val="clear" w:color="auto" w:fill="auto"/>
            <w:noWrap/>
            <w:vAlign w:val="center"/>
          </w:tcPr>
          <w:p w14:paraId="0073CC4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5703CB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8%</w:t>
            </w:r>
          </w:p>
        </w:tc>
        <w:tc>
          <w:tcPr>
            <w:tcW w:w="600" w:type="dxa"/>
            <w:tcBorders>
              <w:top w:val="nil"/>
              <w:left w:val="nil"/>
              <w:bottom w:val="single" w:sz="4" w:space="0" w:color="BFBFBF"/>
              <w:right w:val="nil"/>
            </w:tcBorders>
            <w:shd w:val="clear" w:color="auto" w:fill="auto"/>
            <w:noWrap/>
            <w:vAlign w:val="center"/>
          </w:tcPr>
          <w:p w14:paraId="6DD64DE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176EA2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15%</w:t>
            </w:r>
          </w:p>
        </w:tc>
        <w:tc>
          <w:tcPr>
            <w:tcW w:w="600" w:type="dxa"/>
            <w:tcBorders>
              <w:top w:val="nil"/>
              <w:left w:val="nil"/>
              <w:bottom w:val="single" w:sz="4" w:space="0" w:color="BFBFBF"/>
              <w:right w:val="single" w:sz="4" w:space="0" w:color="auto"/>
            </w:tcBorders>
            <w:shd w:val="clear" w:color="auto" w:fill="auto"/>
            <w:noWrap/>
            <w:vAlign w:val="center"/>
          </w:tcPr>
          <w:p w14:paraId="5A02FC7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F9D4B6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1063BD1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D5AC89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7ECD440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23B6D8B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38A3E1B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02179E3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5%</w:t>
            </w:r>
          </w:p>
        </w:tc>
        <w:tc>
          <w:tcPr>
            <w:tcW w:w="690" w:type="dxa"/>
            <w:tcBorders>
              <w:top w:val="nil"/>
              <w:left w:val="nil"/>
              <w:bottom w:val="single" w:sz="4" w:space="0" w:color="BFBFBF"/>
              <w:right w:val="single" w:sz="4" w:space="0" w:color="auto"/>
            </w:tcBorders>
            <w:shd w:val="clear" w:color="auto" w:fill="auto"/>
            <w:noWrap/>
            <w:vAlign w:val="center"/>
          </w:tcPr>
          <w:p w14:paraId="5F1CC72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E10AE4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10FA065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63386EF9"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16FB33B6"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 xml:space="preserve">Inner </w:t>
            </w:r>
            <w:smartTag w:uri="urn:schemas-microsoft-com:office:smarttags" w:element="place">
              <w:r w:rsidRPr="00C66393">
                <w:rPr>
                  <w:rFonts w:ascii="Arial" w:hAnsi="Arial" w:cs="Arial"/>
                  <w:color w:val="000000"/>
                  <w:sz w:val="16"/>
                  <w:szCs w:val="16"/>
                  <w:lang w:val="en-AU" w:eastAsia="en-AU"/>
                </w:rPr>
                <w:t>Eastern Melbourne</w:t>
              </w:r>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DFB7C8C"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68%</w:t>
            </w:r>
          </w:p>
        </w:tc>
        <w:tc>
          <w:tcPr>
            <w:tcW w:w="600" w:type="dxa"/>
            <w:tcBorders>
              <w:top w:val="nil"/>
              <w:left w:val="nil"/>
              <w:bottom w:val="single" w:sz="4" w:space="0" w:color="BFBFBF"/>
              <w:right w:val="single" w:sz="4" w:space="0" w:color="auto"/>
            </w:tcBorders>
            <w:shd w:val="clear" w:color="auto" w:fill="auto"/>
            <w:noWrap/>
            <w:vAlign w:val="center"/>
          </w:tcPr>
          <w:p w14:paraId="73E5DFD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4CA661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5%</w:t>
            </w:r>
          </w:p>
        </w:tc>
        <w:tc>
          <w:tcPr>
            <w:tcW w:w="600" w:type="dxa"/>
            <w:tcBorders>
              <w:top w:val="nil"/>
              <w:left w:val="nil"/>
              <w:bottom w:val="single" w:sz="4" w:space="0" w:color="BFBFBF"/>
              <w:right w:val="nil"/>
            </w:tcBorders>
            <w:shd w:val="clear" w:color="auto" w:fill="auto"/>
            <w:noWrap/>
            <w:vAlign w:val="center"/>
          </w:tcPr>
          <w:p w14:paraId="73BC93B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47AE4B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21%</w:t>
            </w:r>
          </w:p>
        </w:tc>
        <w:tc>
          <w:tcPr>
            <w:tcW w:w="600" w:type="dxa"/>
            <w:tcBorders>
              <w:top w:val="nil"/>
              <w:left w:val="nil"/>
              <w:bottom w:val="single" w:sz="4" w:space="0" w:color="BFBFBF"/>
              <w:right w:val="single" w:sz="4" w:space="0" w:color="auto"/>
            </w:tcBorders>
            <w:shd w:val="clear" w:color="auto" w:fill="auto"/>
            <w:noWrap/>
            <w:vAlign w:val="center"/>
          </w:tcPr>
          <w:p w14:paraId="19A5EED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DC79EB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3E1FD32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5F54E3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0EC7AC1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1D22BD9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58CFF04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3C424E0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90" w:type="dxa"/>
            <w:tcBorders>
              <w:top w:val="nil"/>
              <w:left w:val="nil"/>
              <w:bottom w:val="single" w:sz="4" w:space="0" w:color="BFBFBF"/>
              <w:right w:val="single" w:sz="4" w:space="0" w:color="auto"/>
            </w:tcBorders>
            <w:shd w:val="clear" w:color="auto" w:fill="auto"/>
            <w:noWrap/>
            <w:vAlign w:val="center"/>
          </w:tcPr>
          <w:p w14:paraId="56B93CA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B5812F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1CDCF1E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68A7E271"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07063AAD"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Southern 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505A7C3"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82%</w:t>
            </w:r>
          </w:p>
        </w:tc>
        <w:tc>
          <w:tcPr>
            <w:tcW w:w="600" w:type="dxa"/>
            <w:tcBorders>
              <w:top w:val="nil"/>
              <w:left w:val="nil"/>
              <w:bottom w:val="single" w:sz="4" w:space="0" w:color="BFBFBF"/>
              <w:right w:val="single" w:sz="4" w:space="0" w:color="auto"/>
            </w:tcBorders>
            <w:shd w:val="clear" w:color="auto" w:fill="auto"/>
            <w:noWrap/>
            <w:vAlign w:val="center"/>
          </w:tcPr>
          <w:p w14:paraId="15019E1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A19847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7%</w:t>
            </w:r>
          </w:p>
        </w:tc>
        <w:tc>
          <w:tcPr>
            <w:tcW w:w="600" w:type="dxa"/>
            <w:tcBorders>
              <w:top w:val="nil"/>
              <w:left w:val="nil"/>
              <w:bottom w:val="single" w:sz="4" w:space="0" w:color="BFBFBF"/>
              <w:right w:val="nil"/>
            </w:tcBorders>
            <w:shd w:val="clear" w:color="auto" w:fill="auto"/>
            <w:noWrap/>
            <w:vAlign w:val="center"/>
          </w:tcPr>
          <w:p w14:paraId="3FFB62A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A03AA8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auto"/>
            </w:tcBorders>
            <w:shd w:val="clear" w:color="auto" w:fill="auto"/>
            <w:noWrap/>
            <w:vAlign w:val="center"/>
          </w:tcPr>
          <w:p w14:paraId="69B105E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73C767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75997D4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C67388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3EEF532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7E55D209"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20" w:type="dxa"/>
            <w:tcBorders>
              <w:top w:val="nil"/>
              <w:left w:val="nil"/>
              <w:bottom w:val="single" w:sz="4" w:space="0" w:color="BFBFBF"/>
              <w:right w:val="nil"/>
            </w:tcBorders>
            <w:shd w:val="clear" w:color="auto" w:fill="auto"/>
            <w:noWrap/>
            <w:vAlign w:val="center"/>
          </w:tcPr>
          <w:p w14:paraId="3D679F6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4B5BF1B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90" w:type="dxa"/>
            <w:tcBorders>
              <w:top w:val="nil"/>
              <w:left w:val="nil"/>
              <w:bottom w:val="single" w:sz="4" w:space="0" w:color="BFBFBF"/>
              <w:right w:val="single" w:sz="4" w:space="0" w:color="auto"/>
            </w:tcBorders>
            <w:shd w:val="clear" w:color="auto" w:fill="auto"/>
            <w:noWrap/>
            <w:vAlign w:val="center"/>
          </w:tcPr>
          <w:p w14:paraId="2153C5A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5D273E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15B555C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73CA7425"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0BA709A2"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Bayside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22933A4"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66%</w:t>
            </w:r>
          </w:p>
        </w:tc>
        <w:tc>
          <w:tcPr>
            <w:tcW w:w="600" w:type="dxa"/>
            <w:tcBorders>
              <w:top w:val="nil"/>
              <w:left w:val="nil"/>
              <w:bottom w:val="single" w:sz="4" w:space="0" w:color="BFBFBF"/>
              <w:right w:val="single" w:sz="4" w:space="0" w:color="auto"/>
            </w:tcBorders>
            <w:shd w:val="clear" w:color="auto" w:fill="auto"/>
            <w:noWrap/>
            <w:vAlign w:val="center"/>
          </w:tcPr>
          <w:p w14:paraId="21AEDF5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CBBC2E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11%</w:t>
            </w:r>
          </w:p>
        </w:tc>
        <w:tc>
          <w:tcPr>
            <w:tcW w:w="600" w:type="dxa"/>
            <w:tcBorders>
              <w:top w:val="nil"/>
              <w:left w:val="nil"/>
              <w:bottom w:val="single" w:sz="4" w:space="0" w:color="BFBFBF"/>
              <w:right w:val="nil"/>
            </w:tcBorders>
            <w:shd w:val="clear" w:color="auto" w:fill="auto"/>
            <w:noWrap/>
            <w:vAlign w:val="center"/>
          </w:tcPr>
          <w:p w14:paraId="5A30389C"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6F890B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13%</w:t>
            </w:r>
          </w:p>
        </w:tc>
        <w:tc>
          <w:tcPr>
            <w:tcW w:w="600" w:type="dxa"/>
            <w:tcBorders>
              <w:top w:val="nil"/>
              <w:left w:val="nil"/>
              <w:bottom w:val="single" w:sz="4" w:space="0" w:color="BFBFBF"/>
              <w:right w:val="single" w:sz="4" w:space="0" w:color="auto"/>
            </w:tcBorders>
            <w:shd w:val="clear" w:color="auto" w:fill="auto"/>
            <w:noWrap/>
            <w:vAlign w:val="center"/>
          </w:tcPr>
          <w:p w14:paraId="08D4805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B4D5F5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5%</w:t>
            </w:r>
          </w:p>
        </w:tc>
        <w:tc>
          <w:tcPr>
            <w:tcW w:w="600" w:type="dxa"/>
            <w:tcBorders>
              <w:top w:val="nil"/>
              <w:left w:val="nil"/>
              <w:bottom w:val="single" w:sz="4" w:space="0" w:color="BFBFBF"/>
              <w:right w:val="nil"/>
            </w:tcBorders>
            <w:shd w:val="clear" w:color="auto" w:fill="auto"/>
            <w:noWrap/>
            <w:vAlign w:val="center"/>
          </w:tcPr>
          <w:p w14:paraId="424FEB4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F026FC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6B87868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4940C35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5492691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0FD5C589"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90" w:type="dxa"/>
            <w:tcBorders>
              <w:top w:val="nil"/>
              <w:left w:val="nil"/>
              <w:bottom w:val="single" w:sz="4" w:space="0" w:color="BFBFBF"/>
              <w:right w:val="single" w:sz="4" w:space="0" w:color="auto"/>
            </w:tcBorders>
            <w:shd w:val="clear" w:color="auto" w:fill="auto"/>
            <w:noWrap/>
            <w:vAlign w:val="center"/>
          </w:tcPr>
          <w:p w14:paraId="1707E52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4EDB3A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nil"/>
              <w:bottom w:val="single" w:sz="4" w:space="0" w:color="BFBFBF"/>
              <w:right w:val="double" w:sz="6" w:space="0" w:color="auto"/>
            </w:tcBorders>
            <w:shd w:val="clear" w:color="auto" w:fill="auto"/>
            <w:noWrap/>
            <w:vAlign w:val="center"/>
          </w:tcPr>
          <w:p w14:paraId="4E10C10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1C35459B"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38D6B5A4"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Western 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0031458"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56%</w:t>
            </w:r>
          </w:p>
        </w:tc>
        <w:tc>
          <w:tcPr>
            <w:tcW w:w="600" w:type="dxa"/>
            <w:tcBorders>
              <w:top w:val="nil"/>
              <w:left w:val="nil"/>
              <w:bottom w:val="single" w:sz="4" w:space="0" w:color="BFBFBF"/>
              <w:right w:val="single" w:sz="4" w:space="0" w:color="auto"/>
            </w:tcBorders>
            <w:shd w:val="clear" w:color="auto" w:fill="auto"/>
            <w:noWrap/>
            <w:vAlign w:val="center"/>
          </w:tcPr>
          <w:p w14:paraId="31303D8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2B60BF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11%</w:t>
            </w:r>
          </w:p>
        </w:tc>
        <w:tc>
          <w:tcPr>
            <w:tcW w:w="600" w:type="dxa"/>
            <w:tcBorders>
              <w:top w:val="nil"/>
              <w:left w:val="nil"/>
              <w:bottom w:val="single" w:sz="4" w:space="0" w:color="BFBFBF"/>
              <w:right w:val="nil"/>
            </w:tcBorders>
            <w:shd w:val="clear" w:color="auto" w:fill="auto"/>
            <w:noWrap/>
            <w:vAlign w:val="center"/>
          </w:tcPr>
          <w:p w14:paraId="3CF4B52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2D57CA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27%</w:t>
            </w:r>
          </w:p>
        </w:tc>
        <w:tc>
          <w:tcPr>
            <w:tcW w:w="600" w:type="dxa"/>
            <w:tcBorders>
              <w:top w:val="nil"/>
              <w:left w:val="nil"/>
              <w:bottom w:val="single" w:sz="4" w:space="0" w:color="BFBFBF"/>
              <w:right w:val="single" w:sz="4" w:space="0" w:color="auto"/>
            </w:tcBorders>
            <w:shd w:val="clear" w:color="auto" w:fill="auto"/>
            <w:noWrap/>
            <w:vAlign w:val="center"/>
          </w:tcPr>
          <w:p w14:paraId="231B8EA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33B4AF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nil"/>
              <w:bottom w:val="single" w:sz="4" w:space="0" w:color="BFBFBF"/>
              <w:right w:val="nil"/>
            </w:tcBorders>
            <w:shd w:val="clear" w:color="auto" w:fill="auto"/>
            <w:noWrap/>
            <w:vAlign w:val="center"/>
          </w:tcPr>
          <w:p w14:paraId="44B6EFF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91FDC1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164A917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45BBE79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54B03F6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087D516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90" w:type="dxa"/>
            <w:tcBorders>
              <w:top w:val="nil"/>
              <w:left w:val="nil"/>
              <w:bottom w:val="single" w:sz="4" w:space="0" w:color="BFBFBF"/>
              <w:right w:val="single" w:sz="4" w:space="0" w:color="auto"/>
            </w:tcBorders>
            <w:shd w:val="clear" w:color="auto" w:fill="auto"/>
            <w:noWrap/>
            <w:vAlign w:val="center"/>
          </w:tcPr>
          <w:p w14:paraId="4AA9718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174307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41740D7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687BD2DE"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42BC07B3"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Brimbank Melton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280474D"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82%</w:t>
            </w:r>
          </w:p>
        </w:tc>
        <w:tc>
          <w:tcPr>
            <w:tcW w:w="600" w:type="dxa"/>
            <w:tcBorders>
              <w:top w:val="nil"/>
              <w:left w:val="nil"/>
              <w:bottom w:val="single" w:sz="4" w:space="0" w:color="BFBFBF"/>
              <w:right w:val="single" w:sz="4" w:space="0" w:color="auto"/>
            </w:tcBorders>
            <w:shd w:val="clear" w:color="auto" w:fill="auto"/>
            <w:noWrap/>
            <w:vAlign w:val="center"/>
          </w:tcPr>
          <w:p w14:paraId="4E3C36A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70A85A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69B64CB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1A98B1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11%</w:t>
            </w:r>
          </w:p>
        </w:tc>
        <w:tc>
          <w:tcPr>
            <w:tcW w:w="600" w:type="dxa"/>
            <w:tcBorders>
              <w:top w:val="nil"/>
              <w:left w:val="nil"/>
              <w:bottom w:val="single" w:sz="4" w:space="0" w:color="BFBFBF"/>
              <w:right w:val="single" w:sz="4" w:space="0" w:color="auto"/>
            </w:tcBorders>
            <w:shd w:val="clear" w:color="auto" w:fill="auto"/>
            <w:noWrap/>
            <w:vAlign w:val="center"/>
          </w:tcPr>
          <w:p w14:paraId="304A4BF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D52508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49E80B2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601D02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6E9A7BD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378D0E7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3970C9B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36F74D3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90" w:type="dxa"/>
            <w:tcBorders>
              <w:top w:val="nil"/>
              <w:left w:val="nil"/>
              <w:bottom w:val="single" w:sz="4" w:space="0" w:color="BFBFBF"/>
              <w:right w:val="single" w:sz="4" w:space="0" w:color="auto"/>
            </w:tcBorders>
            <w:shd w:val="clear" w:color="auto" w:fill="auto"/>
            <w:noWrap/>
            <w:vAlign w:val="center"/>
          </w:tcPr>
          <w:p w14:paraId="4859373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1A8918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nil"/>
              <w:bottom w:val="single" w:sz="4" w:space="0" w:color="BFBFBF"/>
              <w:right w:val="double" w:sz="6" w:space="0" w:color="auto"/>
            </w:tcBorders>
            <w:shd w:val="clear" w:color="auto" w:fill="auto"/>
            <w:noWrap/>
            <w:vAlign w:val="center"/>
          </w:tcPr>
          <w:p w14:paraId="5AE3994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23830129"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71557094"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Mallee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5CCC71D"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63%</w:t>
            </w:r>
          </w:p>
        </w:tc>
        <w:tc>
          <w:tcPr>
            <w:tcW w:w="600" w:type="dxa"/>
            <w:tcBorders>
              <w:top w:val="nil"/>
              <w:left w:val="nil"/>
              <w:bottom w:val="single" w:sz="4" w:space="0" w:color="BFBFBF"/>
              <w:right w:val="single" w:sz="4" w:space="0" w:color="auto"/>
            </w:tcBorders>
            <w:shd w:val="clear" w:color="auto" w:fill="auto"/>
            <w:noWrap/>
            <w:vAlign w:val="center"/>
          </w:tcPr>
          <w:p w14:paraId="4BFF8C5C"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5B883C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32A3774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422C0E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auto"/>
            </w:tcBorders>
            <w:shd w:val="clear" w:color="auto" w:fill="auto"/>
            <w:noWrap/>
            <w:vAlign w:val="center"/>
          </w:tcPr>
          <w:p w14:paraId="044FDC1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6BAA38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12%</w:t>
            </w:r>
          </w:p>
        </w:tc>
        <w:tc>
          <w:tcPr>
            <w:tcW w:w="600" w:type="dxa"/>
            <w:tcBorders>
              <w:top w:val="nil"/>
              <w:left w:val="nil"/>
              <w:bottom w:val="single" w:sz="4" w:space="0" w:color="BFBFBF"/>
              <w:right w:val="nil"/>
            </w:tcBorders>
            <w:shd w:val="clear" w:color="auto" w:fill="auto"/>
            <w:noWrap/>
            <w:vAlign w:val="center"/>
          </w:tcPr>
          <w:p w14:paraId="4120A86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CE9EF0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5584D24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6384316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61692CE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1AECF2B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90" w:type="dxa"/>
            <w:tcBorders>
              <w:top w:val="nil"/>
              <w:left w:val="nil"/>
              <w:bottom w:val="single" w:sz="4" w:space="0" w:color="BFBFBF"/>
              <w:right w:val="single" w:sz="4" w:space="0" w:color="auto"/>
            </w:tcBorders>
            <w:shd w:val="clear" w:color="auto" w:fill="auto"/>
            <w:noWrap/>
            <w:vAlign w:val="center"/>
          </w:tcPr>
          <w:p w14:paraId="0F27101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8A05CF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6B1BC5E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4D64BE20"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73D05330"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Loddon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A145BB7"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47%</w:t>
            </w:r>
          </w:p>
        </w:tc>
        <w:tc>
          <w:tcPr>
            <w:tcW w:w="600" w:type="dxa"/>
            <w:tcBorders>
              <w:top w:val="nil"/>
              <w:left w:val="nil"/>
              <w:bottom w:val="single" w:sz="4" w:space="0" w:color="BFBFBF"/>
              <w:right w:val="single" w:sz="4" w:space="0" w:color="auto"/>
            </w:tcBorders>
            <w:shd w:val="clear" w:color="auto" w:fill="auto"/>
            <w:noWrap/>
            <w:vAlign w:val="center"/>
          </w:tcPr>
          <w:p w14:paraId="1A0F37F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4E22F2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10%</w:t>
            </w:r>
          </w:p>
        </w:tc>
        <w:tc>
          <w:tcPr>
            <w:tcW w:w="600" w:type="dxa"/>
            <w:tcBorders>
              <w:top w:val="nil"/>
              <w:left w:val="nil"/>
              <w:bottom w:val="single" w:sz="4" w:space="0" w:color="BFBFBF"/>
              <w:right w:val="nil"/>
            </w:tcBorders>
            <w:shd w:val="clear" w:color="auto" w:fill="auto"/>
            <w:noWrap/>
            <w:vAlign w:val="center"/>
          </w:tcPr>
          <w:p w14:paraId="0437EF1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0DD26B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31%</w:t>
            </w:r>
          </w:p>
        </w:tc>
        <w:tc>
          <w:tcPr>
            <w:tcW w:w="600" w:type="dxa"/>
            <w:tcBorders>
              <w:top w:val="nil"/>
              <w:left w:val="nil"/>
              <w:bottom w:val="single" w:sz="4" w:space="0" w:color="BFBFBF"/>
              <w:right w:val="single" w:sz="4" w:space="0" w:color="auto"/>
            </w:tcBorders>
            <w:shd w:val="clear" w:color="auto" w:fill="auto"/>
            <w:noWrap/>
            <w:vAlign w:val="center"/>
          </w:tcPr>
          <w:p w14:paraId="6F232BF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35BB6AC"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w:t>
            </w:r>
          </w:p>
        </w:tc>
        <w:tc>
          <w:tcPr>
            <w:tcW w:w="600" w:type="dxa"/>
            <w:tcBorders>
              <w:top w:val="nil"/>
              <w:left w:val="nil"/>
              <w:bottom w:val="single" w:sz="4" w:space="0" w:color="BFBFBF"/>
              <w:right w:val="nil"/>
            </w:tcBorders>
            <w:shd w:val="clear" w:color="auto" w:fill="auto"/>
            <w:noWrap/>
            <w:vAlign w:val="center"/>
          </w:tcPr>
          <w:p w14:paraId="607BA0A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1CEFB0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7C81765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0DA5BAE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20" w:type="dxa"/>
            <w:tcBorders>
              <w:top w:val="nil"/>
              <w:left w:val="nil"/>
              <w:bottom w:val="single" w:sz="4" w:space="0" w:color="BFBFBF"/>
              <w:right w:val="nil"/>
            </w:tcBorders>
            <w:shd w:val="clear" w:color="auto" w:fill="auto"/>
            <w:noWrap/>
            <w:vAlign w:val="center"/>
          </w:tcPr>
          <w:p w14:paraId="2A01066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045FF51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90" w:type="dxa"/>
            <w:tcBorders>
              <w:top w:val="nil"/>
              <w:left w:val="nil"/>
              <w:bottom w:val="single" w:sz="4" w:space="0" w:color="BFBFBF"/>
              <w:right w:val="single" w:sz="4" w:space="0" w:color="auto"/>
            </w:tcBorders>
            <w:shd w:val="clear" w:color="auto" w:fill="auto"/>
            <w:noWrap/>
            <w:vAlign w:val="center"/>
          </w:tcPr>
          <w:p w14:paraId="7049378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3E3681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061E245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66F8CDEF"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2CDEA506"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C66393">
                  <w:rPr>
                    <w:rFonts w:ascii="Arial" w:hAnsi="Arial" w:cs="Arial"/>
                    <w:color w:val="000000"/>
                    <w:sz w:val="16"/>
                    <w:szCs w:val="16"/>
                    <w:lang w:val="en-AU" w:eastAsia="en-AU"/>
                  </w:rPr>
                  <w:t>Murray</w:t>
                </w:r>
              </w:smartTag>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46D9105"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73%</w:t>
            </w:r>
          </w:p>
        </w:tc>
        <w:tc>
          <w:tcPr>
            <w:tcW w:w="600" w:type="dxa"/>
            <w:tcBorders>
              <w:top w:val="nil"/>
              <w:left w:val="nil"/>
              <w:bottom w:val="single" w:sz="4" w:space="0" w:color="BFBFBF"/>
              <w:right w:val="single" w:sz="4" w:space="0" w:color="auto"/>
            </w:tcBorders>
            <w:shd w:val="clear" w:color="auto" w:fill="auto"/>
            <w:noWrap/>
            <w:vAlign w:val="center"/>
          </w:tcPr>
          <w:p w14:paraId="2A6175B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7ED9B8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14%</w:t>
            </w:r>
          </w:p>
        </w:tc>
        <w:tc>
          <w:tcPr>
            <w:tcW w:w="600" w:type="dxa"/>
            <w:tcBorders>
              <w:top w:val="nil"/>
              <w:left w:val="nil"/>
              <w:bottom w:val="single" w:sz="4" w:space="0" w:color="BFBFBF"/>
              <w:right w:val="nil"/>
            </w:tcBorders>
            <w:shd w:val="clear" w:color="auto" w:fill="auto"/>
            <w:noWrap/>
            <w:vAlign w:val="center"/>
          </w:tcPr>
          <w:p w14:paraId="7175B1FC"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B3A064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13%</w:t>
            </w:r>
          </w:p>
        </w:tc>
        <w:tc>
          <w:tcPr>
            <w:tcW w:w="600" w:type="dxa"/>
            <w:tcBorders>
              <w:top w:val="nil"/>
              <w:left w:val="nil"/>
              <w:bottom w:val="single" w:sz="4" w:space="0" w:color="BFBFBF"/>
              <w:right w:val="single" w:sz="4" w:space="0" w:color="auto"/>
            </w:tcBorders>
            <w:shd w:val="clear" w:color="auto" w:fill="auto"/>
            <w:noWrap/>
            <w:vAlign w:val="center"/>
          </w:tcPr>
          <w:p w14:paraId="0C0EF99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58A6AC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1A301CD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2CFC3F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379EB739"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5EE7D84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7F60FC1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46B34E6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90" w:type="dxa"/>
            <w:tcBorders>
              <w:top w:val="nil"/>
              <w:left w:val="nil"/>
              <w:bottom w:val="single" w:sz="4" w:space="0" w:color="BFBFBF"/>
              <w:right w:val="single" w:sz="4" w:space="0" w:color="auto"/>
            </w:tcBorders>
            <w:shd w:val="clear" w:color="auto" w:fill="auto"/>
            <w:noWrap/>
            <w:vAlign w:val="center"/>
          </w:tcPr>
          <w:p w14:paraId="67D395A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B21893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10995FB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4EB8AB58"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72013259"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Goulburn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2F56915"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73%</w:t>
            </w:r>
          </w:p>
        </w:tc>
        <w:tc>
          <w:tcPr>
            <w:tcW w:w="600" w:type="dxa"/>
            <w:tcBorders>
              <w:top w:val="nil"/>
              <w:left w:val="nil"/>
              <w:bottom w:val="single" w:sz="4" w:space="0" w:color="BFBFBF"/>
              <w:right w:val="single" w:sz="4" w:space="0" w:color="auto"/>
            </w:tcBorders>
            <w:shd w:val="clear" w:color="auto" w:fill="auto"/>
            <w:noWrap/>
            <w:vAlign w:val="center"/>
          </w:tcPr>
          <w:p w14:paraId="0BCD221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7A0E56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528D8A9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B0AAB7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19%</w:t>
            </w:r>
          </w:p>
        </w:tc>
        <w:tc>
          <w:tcPr>
            <w:tcW w:w="600" w:type="dxa"/>
            <w:tcBorders>
              <w:top w:val="nil"/>
              <w:left w:val="nil"/>
              <w:bottom w:val="single" w:sz="4" w:space="0" w:color="BFBFBF"/>
              <w:right w:val="single" w:sz="4" w:space="0" w:color="auto"/>
            </w:tcBorders>
            <w:shd w:val="clear" w:color="auto" w:fill="auto"/>
            <w:noWrap/>
            <w:vAlign w:val="center"/>
          </w:tcPr>
          <w:p w14:paraId="036070D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5D67B1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303D130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20F95B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1AEF3A5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669ED40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20" w:type="dxa"/>
            <w:tcBorders>
              <w:top w:val="nil"/>
              <w:left w:val="nil"/>
              <w:bottom w:val="single" w:sz="4" w:space="0" w:color="BFBFBF"/>
              <w:right w:val="nil"/>
            </w:tcBorders>
            <w:shd w:val="clear" w:color="auto" w:fill="auto"/>
            <w:noWrap/>
            <w:vAlign w:val="center"/>
          </w:tcPr>
          <w:p w14:paraId="763A07D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2B4C568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90" w:type="dxa"/>
            <w:tcBorders>
              <w:top w:val="nil"/>
              <w:left w:val="nil"/>
              <w:bottom w:val="single" w:sz="4" w:space="0" w:color="BFBFBF"/>
              <w:right w:val="single" w:sz="4" w:space="0" w:color="auto"/>
            </w:tcBorders>
            <w:shd w:val="clear" w:color="auto" w:fill="auto"/>
            <w:noWrap/>
            <w:vAlign w:val="center"/>
          </w:tcPr>
          <w:p w14:paraId="2AA0E13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8EE040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5E1E629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30CA4B20"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1D92382C"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Outer Gippsland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D81A45D"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40%</w:t>
            </w:r>
          </w:p>
        </w:tc>
        <w:tc>
          <w:tcPr>
            <w:tcW w:w="600" w:type="dxa"/>
            <w:tcBorders>
              <w:top w:val="nil"/>
              <w:left w:val="nil"/>
              <w:bottom w:val="single" w:sz="4" w:space="0" w:color="BFBFBF"/>
              <w:right w:val="single" w:sz="4" w:space="0" w:color="auto"/>
            </w:tcBorders>
            <w:shd w:val="clear" w:color="auto" w:fill="auto"/>
            <w:noWrap/>
            <w:vAlign w:val="center"/>
          </w:tcPr>
          <w:p w14:paraId="418B35F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4A2F93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nil"/>
              <w:bottom w:val="single" w:sz="4" w:space="0" w:color="BFBFBF"/>
              <w:right w:val="nil"/>
            </w:tcBorders>
            <w:shd w:val="clear" w:color="auto" w:fill="auto"/>
            <w:noWrap/>
            <w:vAlign w:val="center"/>
          </w:tcPr>
          <w:p w14:paraId="4B3F5F5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939547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32%</w:t>
            </w:r>
          </w:p>
        </w:tc>
        <w:tc>
          <w:tcPr>
            <w:tcW w:w="600" w:type="dxa"/>
            <w:tcBorders>
              <w:top w:val="nil"/>
              <w:left w:val="nil"/>
              <w:bottom w:val="single" w:sz="4" w:space="0" w:color="BFBFBF"/>
              <w:right w:val="single" w:sz="4" w:space="0" w:color="auto"/>
            </w:tcBorders>
            <w:shd w:val="clear" w:color="auto" w:fill="auto"/>
            <w:noWrap/>
            <w:vAlign w:val="center"/>
          </w:tcPr>
          <w:p w14:paraId="076A142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B92E0A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18%</w:t>
            </w:r>
          </w:p>
        </w:tc>
        <w:tc>
          <w:tcPr>
            <w:tcW w:w="600" w:type="dxa"/>
            <w:tcBorders>
              <w:top w:val="nil"/>
              <w:left w:val="nil"/>
              <w:bottom w:val="single" w:sz="4" w:space="0" w:color="BFBFBF"/>
              <w:right w:val="nil"/>
            </w:tcBorders>
            <w:shd w:val="clear" w:color="auto" w:fill="auto"/>
            <w:noWrap/>
            <w:vAlign w:val="center"/>
          </w:tcPr>
          <w:p w14:paraId="1CC01B2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0DEE73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5258CAF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3370844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7E90A53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0E1EF2A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5%</w:t>
            </w:r>
          </w:p>
        </w:tc>
        <w:tc>
          <w:tcPr>
            <w:tcW w:w="690" w:type="dxa"/>
            <w:tcBorders>
              <w:top w:val="nil"/>
              <w:left w:val="nil"/>
              <w:bottom w:val="single" w:sz="4" w:space="0" w:color="BFBFBF"/>
              <w:right w:val="single" w:sz="4" w:space="0" w:color="auto"/>
            </w:tcBorders>
            <w:shd w:val="clear" w:color="auto" w:fill="auto"/>
            <w:noWrap/>
            <w:vAlign w:val="center"/>
          </w:tcPr>
          <w:p w14:paraId="544F585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2FBF3F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nil"/>
              <w:bottom w:val="single" w:sz="4" w:space="0" w:color="BFBFBF"/>
              <w:right w:val="double" w:sz="6" w:space="0" w:color="auto"/>
            </w:tcBorders>
            <w:shd w:val="clear" w:color="auto" w:fill="auto"/>
            <w:noWrap/>
            <w:vAlign w:val="center"/>
          </w:tcPr>
          <w:p w14:paraId="16CC259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771D982E"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5BB0E97C"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Inner Gippsland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CFA123D"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49%</w:t>
            </w:r>
          </w:p>
        </w:tc>
        <w:tc>
          <w:tcPr>
            <w:tcW w:w="600" w:type="dxa"/>
            <w:tcBorders>
              <w:top w:val="nil"/>
              <w:left w:val="nil"/>
              <w:bottom w:val="single" w:sz="4" w:space="0" w:color="BFBFBF"/>
              <w:right w:val="single" w:sz="4" w:space="0" w:color="auto"/>
            </w:tcBorders>
            <w:shd w:val="clear" w:color="auto" w:fill="auto"/>
            <w:noWrap/>
            <w:vAlign w:val="center"/>
          </w:tcPr>
          <w:p w14:paraId="109A7FFC"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22CA78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7%</w:t>
            </w:r>
          </w:p>
        </w:tc>
        <w:tc>
          <w:tcPr>
            <w:tcW w:w="600" w:type="dxa"/>
            <w:tcBorders>
              <w:top w:val="nil"/>
              <w:left w:val="nil"/>
              <w:bottom w:val="single" w:sz="4" w:space="0" w:color="BFBFBF"/>
              <w:right w:val="nil"/>
            </w:tcBorders>
            <w:shd w:val="clear" w:color="auto" w:fill="auto"/>
            <w:noWrap/>
            <w:vAlign w:val="center"/>
          </w:tcPr>
          <w:p w14:paraId="5623129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A8C5DE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26%</w:t>
            </w:r>
          </w:p>
        </w:tc>
        <w:tc>
          <w:tcPr>
            <w:tcW w:w="600" w:type="dxa"/>
            <w:tcBorders>
              <w:top w:val="nil"/>
              <w:left w:val="nil"/>
              <w:bottom w:val="single" w:sz="4" w:space="0" w:color="BFBFBF"/>
              <w:right w:val="single" w:sz="4" w:space="0" w:color="auto"/>
            </w:tcBorders>
            <w:shd w:val="clear" w:color="auto" w:fill="auto"/>
            <w:noWrap/>
            <w:vAlign w:val="center"/>
          </w:tcPr>
          <w:p w14:paraId="15FB523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58DE60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0FBDFFB9"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7080EA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5B26400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657445C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20" w:type="dxa"/>
            <w:tcBorders>
              <w:top w:val="nil"/>
              <w:left w:val="nil"/>
              <w:bottom w:val="single" w:sz="4" w:space="0" w:color="BFBFBF"/>
              <w:right w:val="nil"/>
            </w:tcBorders>
            <w:shd w:val="clear" w:color="auto" w:fill="auto"/>
            <w:noWrap/>
            <w:vAlign w:val="center"/>
          </w:tcPr>
          <w:p w14:paraId="38A6DF2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74CCBE6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9%</w:t>
            </w:r>
          </w:p>
        </w:tc>
        <w:tc>
          <w:tcPr>
            <w:tcW w:w="690" w:type="dxa"/>
            <w:tcBorders>
              <w:top w:val="nil"/>
              <w:left w:val="nil"/>
              <w:bottom w:val="single" w:sz="4" w:space="0" w:color="BFBFBF"/>
              <w:right w:val="single" w:sz="4" w:space="0" w:color="auto"/>
            </w:tcBorders>
            <w:shd w:val="clear" w:color="auto" w:fill="auto"/>
            <w:noWrap/>
            <w:vAlign w:val="center"/>
          </w:tcPr>
          <w:p w14:paraId="6DB1555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7233E2C"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nil"/>
              <w:bottom w:val="single" w:sz="4" w:space="0" w:color="BFBFBF"/>
              <w:right w:val="double" w:sz="6" w:space="0" w:color="auto"/>
            </w:tcBorders>
            <w:shd w:val="clear" w:color="auto" w:fill="auto"/>
            <w:noWrap/>
            <w:vAlign w:val="center"/>
          </w:tcPr>
          <w:p w14:paraId="2E1502E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3FF7A469"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4564205C"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Western District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D3A48CF"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57%</w:t>
            </w:r>
          </w:p>
        </w:tc>
        <w:tc>
          <w:tcPr>
            <w:tcW w:w="600" w:type="dxa"/>
            <w:tcBorders>
              <w:top w:val="nil"/>
              <w:left w:val="nil"/>
              <w:bottom w:val="single" w:sz="4" w:space="0" w:color="BFBFBF"/>
              <w:right w:val="single" w:sz="4" w:space="0" w:color="auto"/>
            </w:tcBorders>
            <w:shd w:val="clear" w:color="auto" w:fill="auto"/>
            <w:noWrap/>
            <w:vAlign w:val="center"/>
          </w:tcPr>
          <w:p w14:paraId="3007E97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A936F6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452512E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A536EB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30%</w:t>
            </w:r>
          </w:p>
        </w:tc>
        <w:tc>
          <w:tcPr>
            <w:tcW w:w="600" w:type="dxa"/>
            <w:tcBorders>
              <w:top w:val="nil"/>
              <w:left w:val="nil"/>
              <w:bottom w:val="single" w:sz="4" w:space="0" w:color="BFBFBF"/>
              <w:right w:val="single" w:sz="4" w:space="0" w:color="auto"/>
            </w:tcBorders>
            <w:shd w:val="clear" w:color="auto" w:fill="auto"/>
            <w:noWrap/>
            <w:vAlign w:val="center"/>
          </w:tcPr>
          <w:p w14:paraId="2DCAC51C"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6F8953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19815B3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295069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7A2B0F9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610134C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20" w:type="dxa"/>
            <w:tcBorders>
              <w:top w:val="nil"/>
              <w:left w:val="nil"/>
              <w:bottom w:val="single" w:sz="4" w:space="0" w:color="BFBFBF"/>
              <w:right w:val="nil"/>
            </w:tcBorders>
            <w:shd w:val="clear" w:color="auto" w:fill="auto"/>
            <w:noWrap/>
            <w:vAlign w:val="center"/>
          </w:tcPr>
          <w:p w14:paraId="0652569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1FD09D59"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90" w:type="dxa"/>
            <w:tcBorders>
              <w:top w:val="nil"/>
              <w:left w:val="nil"/>
              <w:bottom w:val="single" w:sz="4" w:space="0" w:color="BFBFBF"/>
              <w:right w:val="single" w:sz="4" w:space="0" w:color="auto"/>
            </w:tcBorders>
            <w:shd w:val="clear" w:color="auto" w:fill="auto"/>
            <w:noWrap/>
            <w:vAlign w:val="center"/>
          </w:tcPr>
          <w:p w14:paraId="2131258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57A0089"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64738D1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0657AD66"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1A6B24D1"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Barwon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B702325"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63%</w:t>
            </w:r>
          </w:p>
        </w:tc>
        <w:tc>
          <w:tcPr>
            <w:tcW w:w="600" w:type="dxa"/>
            <w:tcBorders>
              <w:top w:val="nil"/>
              <w:left w:val="nil"/>
              <w:bottom w:val="single" w:sz="4" w:space="0" w:color="BFBFBF"/>
              <w:right w:val="single" w:sz="4" w:space="0" w:color="auto"/>
            </w:tcBorders>
            <w:shd w:val="clear" w:color="auto" w:fill="auto"/>
            <w:noWrap/>
            <w:vAlign w:val="center"/>
          </w:tcPr>
          <w:p w14:paraId="3801054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A344F89"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8%</w:t>
            </w:r>
          </w:p>
        </w:tc>
        <w:tc>
          <w:tcPr>
            <w:tcW w:w="600" w:type="dxa"/>
            <w:tcBorders>
              <w:top w:val="nil"/>
              <w:left w:val="nil"/>
              <w:bottom w:val="single" w:sz="4" w:space="0" w:color="BFBFBF"/>
              <w:right w:val="nil"/>
            </w:tcBorders>
            <w:shd w:val="clear" w:color="auto" w:fill="auto"/>
            <w:noWrap/>
            <w:vAlign w:val="center"/>
          </w:tcPr>
          <w:p w14:paraId="63DBECF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71EDAC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18%</w:t>
            </w:r>
          </w:p>
        </w:tc>
        <w:tc>
          <w:tcPr>
            <w:tcW w:w="600" w:type="dxa"/>
            <w:tcBorders>
              <w:top w:val="nil"/>
              <w:left w:val="nil"/>
              <w:bottom w:val="single" w:sz="4" w:space="0" w:color="BFBFBF"/>
              <w:right w:val="single" w:sz="4" w:space="0" w:color="auto"/>
            </w:tcBorders>
            <w:shd w:val="clear" w:color="auto" w:fill="auto"/>
            <w:noWrap/>
            <w:vAlign w:val="center"/>
          </w:tcPr>
          <w:p w14:paraId="45BB173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575C76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00" w:type="dxa"/>
            <w:tcBorders>
              <w:top w:val="nil"/>
              <w:left w:val="nil"/>
              <w:bottom w:val="single" w:sz="4" w:space="0" w:color="BFBFBF"/>
              <w:right w:val="nil"/>
            </w:tcBorders>
            <w:shd w:val="clear" w:color="auto" w:fill="auto"/>
            <w:noWrap/>
            <w:vAlign w:val="center"/>
          </w:tcPr>
          <w:p w14:paraId="026EDBD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1F557E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6C3AB9C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23F5C4F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20" w:type="dxa"/>
            <w:tcBorders>
              <w:top w:val="nil"/>
              <w:left w:val="nil"/>
              <w:bottom w:val="single" w:sz="4" w:space="0" w:color="BFBFBF"/>
              <w:right w:val="nil"/>
            </w:tcBorders>
            <w:shd w:val="clear" w:color="auto" w:fill="auto"/>
            <w:noWrap/>
            <w:vAlign w:val="center"/>
          </w:tcPr>
          <w:p w14:paraId="2691D7B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440DC38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90" w:type="dxa"/>
            <w:tcBorders>
              <w:top w:val="nil"/>
              <w:left w:val="nil"/>
              <w:bottom w:val="single" w:sz="4" w:space="0" w:color="BFBFBF"/>
              <w:right w:val="single" w:sz="4" w:space="0" w:color="auto"/>
            </w:tcBorders>
            <w:shd w:val="clear" w:color="auto" w:fill="auto"/>
            <w:noWrap/>
            <w:vAlign w:val="center"/>
          </w:tcPr>
          <w:p w14:paraId="5F13CEE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5F5C6E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10DCEC0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15C3D1F6"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bottom"/>
          </w:tcPr>
          <w:p w14:paraId="6CA3E843"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Central Highlands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71233BF"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61%</w:t>
            </w:r>
          </w:p>
        </w:tc>
        <w:tc>
          <w:tcPr>
            <w:tcW w:w="600" w:type="dxa"/>
            <w:tcBorders>
              <w:top w:val="nil"/>
              <w:left w:val="nil"/>
              <w:bottom w:val="single" w:sz="4" w:space="0" w:color="BFBFBF"/>
              <w:right w:val="single" w:sz="4" w:space="0" w:color="auto"/>
            </w:tcBorders>
            <w:shd w:val="clear" w:color="auto" w:fill="auto"/>
            <w:noWrap/>
            <w:vAlign w:val="center"/>
          </w:tcPr>
          <w:p w14:paraId="4058055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BD0F9F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5%</w:t>
            </w:r>
          </w:p>
        </w:tc>
        <w:tc>
          <w:tcPr>
            <w:tcW w:w="600" w:type="dxa"/>
            <w:tcBorders>
              <w:top w:val="nil"/>
              <w:left w:val="nil"/>
              <w:bottom w:val="single" w:sz="4" w:space="0" w:color="BFBFBF"/>
              <w:right w:val="nil"/>
            </w:tcBorders>
            <w:shd w:val="clear" w:color="auto" w:fill="auto"/>
            <w:noWrap/>
            <w:vAlign w:val="center"/>
          </w:tcPr>
          <w:p w14:paraId="6B11ACF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025DA8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29%</w:t>
            </w:r>
          </w:p>
        </w:tc>
        <w:tc>
          <w:tcPr>
            <w:tcW w:w="600" w:type="dxa"/>
            <w:tcBorders>
              <w:top w:val="nil"/>
              <w:left w:val="nil"/>
              <w:bottom w:val="single" w:sz="4" w:space="0" w:color="BFBFBF"/>
              <w:right w:val="single" w:sz="4" w:space="0" w:color="auto"/>
            </w:tcBorders>
            <w:shd w:val="clear" w:color="auto" w:fill="auto"/>
            <w:noWrap/>
            <w:vAlign w:val="center"/>
          </w:tcPr>
          <w:p w14:paraId="673D092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B94885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00" w:type="dxa"/>
            <w:tcBorders>
              <w:top w:val="nil"/>
              <w:left w:val="nil"/>
              <w:bottom w:val="single" w:sz="4" w:space="0" w:color="BFBFBF"/>
              <w:right w:val="nil"/>
            </w:tcBorders>
            <w:shd w:val="clear" w:color="auto" w:fill="auto"/>
            <w:noWrap/>
            <w:vAlign w:val="center"/>
          </w:tcPr>
          <w:p w14:paraId="7C3F3869"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06406F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386AE32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7799315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4B06150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4362236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90" w:type="dxa"/>
            <w:tcBorders>
              <w:top w:val="nil"/>
              <w:left w:val="nil"/>
              <w:bottom w:val="single" w:sz="4" w:space="0" w:color="BFBFBF"/>
              <w:right w:val="single" w:sz="4" w:space="0" w:color="auto"/>
            </w:tcBorders>
            <w:shd w:val="clear" w:color="auto" w:fill="auto"/>
            <w:noWrap/>
            <w:vAlign w:val="center"/>
          </w:tcPr>
          <w:p w14:paraId="26F43F0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322632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5943B6AC"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n/a</w:t>
            </w:r>
          </w:p>
        </w:tc>
      </w:tr>
      <w:tr w:rsidR="0054131D" w:rsidRPr="00C66393" w14:paraId="5896939A"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145A7CF2" w14:textId="77777777" w:rsidR="00C66393" w:rsidRPr="00C66393" w:rsidRDefault="00C66393" w:rsidP="009E5010">
            <w:pPr>
              <w:spacing w:before="0" w:after="0"/>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By Ownership Status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E781AB1" w14:textId="77777777" w:rsidR="00C66393" w:rsidRPr="00C66393" w:rsidRDefault="00C66393" w:rsidP="00600395">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10A4DCC8" w14:textId="77777777" w:rsidR="00C66393" w:rsidRPr="00C66393" w:rsidRDefault="00C6639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1FB6AE77" w14:textId="77777777" w:rsidR="00C66393" w:rsidRPr="00C66393" w:rsidRDefault="00C6639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3E4FBB7C" w14:textId="77777777" w:rsidR="00C66393" w:rsidRPr="00C66393" w:rsidRDefault="00C6639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3D85CFD" w14:textId="77777777" w:rsidR="00C66393" w:rsidRPr="00C66393" w:rsidRDefault="00C6639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6E7420B0" w14:textId="77777777" w:rsidR="00C66393" w:rsidRPr="00C66393" w:rsidRDefault="00C6639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7816E46A" w14:textId="77777777" w:rsidR="00C66393" w:rsidRPr="00C66393" w:rsidRDefault="00C6639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2145A6AD" w14:textId="77777777" w:rsidR="00C66393" w:rsidRPr="00C66393" w:rsidRDefault="00C6639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818118B" w14:textId="77777777" w:rsidR="00C66393" w:rsidRPr="00C66393" w:rsidRDefault="00C6639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1E65BB0B" w14:textId="77777777" w:rsidR="00C66393" w:rsidRPr="00C66393" w:rsidRDefault="00C66393">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single" w:sz="4" w:space="0" w:color="BFBFBF"/>
            </w:tcBorders>
            <w:shd w:val="clear" w:color="auto" w:fill="auto"/>
            <w:noWrap/>
            <w:vAlign w:val="center"/>
          </w:tcPr>
          <w:p w14:paraId="3FC55BA7" w14:textId="77777777" w:rsidR="00C66393" w:rsidRPr="00C66393" w:rsidRDefault="00C66393">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nil"/>
            </w:tcBorders>
            <w:shd w:val="clear" w:color="auto" w:fill="auto"/>
            <w:noWrap/>
            <w:vAlign w:val="center"/>
          </w:tcPr>
          <w:p w14:paraId="1159FA86" w14:textId="77777777" w:rsidR="00C66393" w:rsidRPr="00C66393" w:rsidRDefault="00C66393">
            <w:pPr>
              <w:spacing w:before="0" w:after="0"/>
              <w:jc w:val="center"/>
              <w:rPr>
                <w:rFonts w:ascii="Arial" w:hAnsi="Arial" w:cs="Arial"/>
                <w:color w:val="000000"/>
                <w:sz w:val="16"/>
                <w:szCs w:val="16"/>
                <w:lang w:val="en-AU" w:eastAsia="en-AU"/>
              </w:rPr>
            </w:pP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43ECACE3" w14:textId="77777777" w:rsidR="00C66393" w:rsidRPr="00C66393" w:rsidRDefault="00C66393">
            <w:pPr>
              <w:spacing w:before="0" w:after="0"/>
              <w:jc w:val="center"/>
              <w:rPr>
                <w:rFonts w:ascii="Arial" w:hAnsi="Arial" w:cs="Arial"/>
                <w:color w:val="000000"/>
                <w:sz w:val="16"/>
                <w:szCs w:val="16"/>
                <w:lang w:val="en-AU" w:eastAsia="en-AU"/>
              </w:rPr>
            </w:pPr>
          </w:p>
        </w:tc>
        <w:tc>
          <w:tcPr>
            <w:tcW w:w="690" w:type="dxa"/>
            <w:tcBorders>
              <w:top w:val="nil"/>
              <w:left w:val="nil"/>
              <w:bottom w:val="single" w:sz="4" w:space="0" w:color="BFBFBF"/>
              <w:right w:val="single" w:sz="4" w:space="0" w:color="auto"/>
            </w:tcBorders>
            <w:shd w:val="clear" w:color="auto" w:fill="auto"/>
            <w:noWrap/>
            <w:vAlign w:val="center"/>
          </w:tcPr>
          <w:p w14:paraId="69B161DF" w14:textId="77777777" w:rsidR="00C66393" w:rsidRPr="00C66393" w:rsidRDefault="00C6639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550486F2" w14:textId="77777777" w:rsidR="00C66393" w:rsidRPr="00C66393" w:rsidRDefault="00C6639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29B9D113" w14:textId="77777777" w:rsidR="00C66393" w:rsidRPr="00C66393" w:rsidRDefault="00C66393">
            <w:pPr>
              <w:spacing w:before="0" w:after="0"/>
              <w:jc w:val="center"/>
              <w:rPr>
                <w:rFonts w:ascii="Arial" w:hAnsi="Arial" w:cs="Arial"/>
                <w:color w:val="000000"/>
                <w:sz w:val="16"/>
                <w:szCs w:val="16"/>
                <w:lang w:val="en-AU" w:eastAsia="en-AU"/>
              </w:rPr>
            </w:pPr>
          </w:p>
        </w:tc>
      </w:tr>
      <w:tr w:rsidR="0054131D" w:rsidRPr="00C66393" w14:paraId="4121E8E9"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23A962A6"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Own/paying off</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43A3CC4"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67%</w:t>
            </w:r>
          </w:p>
        </w:tc>
        <w:tc>
          <w:tcPr>
            <w:tcW w:w="600" w:type="dxa"/>
            <w:tcBorders>
              <w:top w:val="nil"/>
              <w:left w:val="nil"/>
              <w:bottom w:val="single" w:sz="4" w:space="0" w:color="BFBFBF"/>
              <w:right w:val="single" w:sz="4" w:space="0" w:color="auto"/>
            </w:tcBorders>
            <w:shd w:val="clear" w:color="auto" w:fill="auto"/>
            <w:noWrap/>
            <w:vAlign w:val="center"/>
          </w:tcPr>
          <w:p w14:paraId="393A097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63%</w:t>
            </w:r>
          </w:p>
        </w:tc>
        <w:tc>
          <w:tcPr>
            <w:tcW w:w="600" w:type="dxa"/>
            <w:tcBorders>
              <w:top w:val="nil"/>
              <w:left w:val="nil"/>
              <w:bottom w:val="single" w:sz="4" w:space="0" w:color="BFBFBF"/>
              <w:right w:val="single" w:sz="4" w:space="0" w:color="BFBFBF"/>
            </w:tcBorders>
            <w:shd w:val="clear" w:color="auto" w:fill="auto"/>
            <w:noWrap/>
            <w:vAlign w:val="center"/>
          </w:tcPr>
          <w:p w14:paraId="0289E10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8%</w:t>
            </w:r>
          </w:p>
        </w:tc>
        <w:tc>
          <w:tcPr>
            <w:tcW w:w="600" w:type="dxa"/>
            <w:tcBorders>
              <w:top w:val="nil"/>
              <w:left w:val="nil"/>
              <w:bottom w:val="single" w:sz="4" w:space="0" w:color="BFBFBF"/>
              <w:right w:val="nil"/>
            </w:tcBorders>
            <w:shd w:val="clear" w:color="auto" w:fill="auto"/>
            <w:noWrap/>
            <w:vAlign w:val="center"/>
          </w:tcPr>
          <w:p w14:paraId="7E8B090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8%</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6E768C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19%</w:t>
            </w:r>
          </w:p>
        </w:tc>
        <w:tc>
          <w:tcPr>
            <w:tcW w:w="600" w:type="dxa"/>
            <w:tcBorders>
              <w:top w:val="nil"/>
              <w:left w:val="nil"/>
              <w:bottom w:val="single" w:sz="4" w:space="0" w:color="BFBFBF"/>
              <w:right w:val="single" w:sz="4" w:space="0" w:color="auto"/>
            </w:tcBorders>
            <w:shd w:val="clear" w:color="auto" w:fill="auto"/>
            <w:noWrap/>
            <w:vAlign w:val="center"/>
          </w:tcPr>
          <w:p w14:paraId="66AB937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23%</w:t>
            </w:r>
          </w:p>
        </w:tc>
        <w:tc>
          <w:tcPr>
            <w:tcW w:w="600" w:type="dxa"/>
            <w:tcBorders>
              <w:top w:val="nil"/>
              <w:left w:val="nil"/>
              <w:bottom w:val="single" w:sz="4" w:space="0" w:color="BFBFBF"/>
              <w:right w:val="single" w:sz="4" w:space="0" w:color="BFBFBF"/>
            </w:tcBorders>
            <w:shd w:val="clear" w:color="auto" w:fill="auto"/>
            <w:noWrap/>
            <w:vAlign w:val="center"/>
          </w:tcPr>
          <w:p w14:paraId="5F4497F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00" w:type="dxa"/>
            <w:tcBorders>
              <w:top w:val="nil"/>
              <w:left w:val="nil"/>
              <w:bottom w:val="single" w:sz="4" w:space="0" w:color="BFBFBF"/>
              <w:right w:val="nil"/>
            </w:tcBorders>
            <w:shd w:val="clear" w:color="auto" w:fill="auto"/>
            <w:noWrap/>
            <w:vAlign w:val="center"/>
          </w:tcPr>
          <w:p w14:paraId="6586BBD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CE2050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05E774B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20" w:type="dxa"/>
            <w:tcBorders>
              <w:top w:val="nil"/>
              <w:left w:val="nil"/>
              <w:bottom w:val="single" w:sz="4" w:space="0" w:color="BFBFBF"/>
              <w:right w:val="single" w:sz="4" w:space="0" w:color="BFBFBF"/>
            </w:tcBorders>
            <w:shd w:val="clear" w:color="auto" w:fill="auto"/>
            <w:noWrap/>
            <w:vAlign w:val="center"/>
          </w:tcPr>
          <w:p w14:paraId="1B74AF7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20" w:type="dxa"/>
            <w:tcBorders>
              <w:top w:val="nil"/>
              <w:left w:val="nil"/>
              <w:bottom w:val="single" w:sz="4" w:space="0" w:color="BFBFBF"/>
              <w:right w:val="nil"/>
            </w:tcBorders>
            <w:shd w:val="clear" w:color="auto" w:fill="auto"/>
            <w:noWrap/>
            <w:vAlign w:val="center"/>
          </w:tcPr>
          <w:p w14:paraId="667B9FF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2FB5F5F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90" w:type="dxa"/>
            <w:tcBorders>
              <w:top w:val="nil"/>
              <w:left w:val="nil"/>
              <w:bottom w:val="single" w:sz="4" w:space="0" w:color="BFBFBF"/>
              <w:right w:val="single" w:sz="4" w:space="0" w:color="auto"/>
            </w:tcBorders>
            <w:shd w:val="clear" w:color="auto" w:fill="auto"/>
            <w:noWrap/>
            <w:vAlign w:val="center"/>
          </w:tcPr>
          <w:p w14:paraId="72A90580"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5944EF5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449FCA5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r>
      <w:tr w:rsidR="0054131D" w:rsidRPr="00C66393" w14:paraId="29F5805A"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4CF0F7CE"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Rent –Private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35F6669"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56%</w:t>
            </w:r>
          </w:p>
        </w:tc>
        <w:tc>
          <w:tcPr>
            <w:tcW w:w="600" w:type="dxa"/>
            <w:tcBorders>
              <w:top w:val="nil"/>
              <w:left w:val="nil"/>
              <w:bottom w:val="single" w:sz="4" w:space="0" w:color="BFBFBF"/>
              <w:right w:val="single" w:sz="4" w:space="0" w:color="auto"/>
            </w:tcBorders>
            <w:shd w:val="clear" w:color="auto" w:fill="auto"/>
            <w:noWrap/>
            <w:vAlign w:val="center"/>
          </w:tcPr>
          <w:p w14:paraId="0DE8BC6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65%</w:t>
            </w:r>
          </w:p>
        </w:tc>
        <w:tc>
          <w:tcPr>
            <w:tcW w:w="600" w:type="dxa"/>
            <w:tcBorders>
              <w:top w:val="nil"/>
              <w:left w:val="nil"/>
              <w:bottom w:val="single" w:sz="4" w:space="0" w:color="BFBFBF"/>
              <w:right w:val="single" w:sz="4" w:space="0" w:color="BFBFBF"/>
            </w:tcBorders>
            <w:shd w:val="clear" w:color="auto" w:fill="auto"/>
            <w:noWrap/>
            <w:vAlign w:val="center"/>
          </w:tcPr>
          <w:p w14:paraId="3490E20F"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13%</w:t>
            </w:r>
          </w:p>
        </w:tc>
        <w:tc>
          <w:tcPr>
            <w:tcW w:w="600" w:type="dxa"/>
            <w:tcBorders>
              <w:top w:val="nil"/>
              <w:left w:val="nil"/>
              <w:bottom w:val="single" w:sz="4" w:space="0" w:color="BFBFBF"/>
              <w:right w:val="nil"/>
            </w:tcBorders>
            <w:shd w:val="clear" w:color="auto" w:fill="auto"/>
            <w:noWrap/>
            <w:vAlign w:val="center"/>
          </w:tcPr>
          <w:p w14:paraId="353D321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7B771A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21%</w:t>
            </w:r>
          </w:p>
        </w:tc>
        <w:tc>
          <w:tcPr>
            <w:tcW w:w="600" w:type="dxa"/>
            <w:tcBorders>
              <w:top w:val="nil"/>
              <w:left w:val="nil"/>
              <w:bottom w:val="single" w:sz="4" w:space="0" w:color="BFBFBF"/>
              <w:right w:val="single" w:sz="4" w:space="0" w:color="auto"/>
            </w:tcBorders>
            <w:shd w:val="clear" w:color="auto" w:fill="auto"/>
            <w:noWrap/>
            <w:vAlign w:val="center"/>
          </w:tcPr>
          <w:p w14:paraId="238ED5B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19%</w:t>
            </w:r>
          </w:p>
        </w:tc>
        <w:tc>
          <w:tcPr>
            <w:tcW w:w="600" w:type="dxa"/>
            <w:tcBorders>
              <w:top w:val="nil"/>
              <w:left w:val="nil"/>
              <w:bottom w:val="single" w:sz="4" w:space="0" w:color="BFBFBF"/>
              <w:right w:val="single" w:sz="4" w:space="0" w:color="BFBFBF"/>
            </w:tcBorders>
            <w:shd w:val="clear" w:color="auto" w:fill="auto"/>
            <w:noWrap/>
            <w:vAlign w:val="center"/>
          </w:tcPr>
          <w:p w14:paraId="39AA08C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4B207E35"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8969A0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049F280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20" w:type="dxa"/>
            <w:tcBorders>
              <w:top w:val="nil"/>
              <w:left w:val="nil"/>
              <w:bottom w:val="single" w:sz="4" w:space="0" w:color="BFBFBF"/>
              <w:right w:val="single" w:sz="4" w:space="0" w:color="BFBFBF"/>
            </w:tcBorders>
            <w:shd w:val="clear" w:color="auto" w:fill="auto"/>
            <w:noWrap/>
            <w:vAlign w:val="center"/>
          </w:tcPr>
          <w:p w14:paraId="68CE69B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51BA193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6B65883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c>
          <w:tcPr>
            <w:tcW w:w="690" w:type="dxa"/>
            <w:tcBorders>
              <w:top w:val="nil"/>
              <w:left w:val="nil"/>
              <w:bottom w:val="single" w:sz="4" w:space="0" w:color="BFBFBF"/>
              <w:right w:val="single" w:sz="4" w:space="0" w:color="auto"/>
            </w:tcBorders>
            <w:shd w:val="clear" w:color="auto" w:fill="auto"/>
            <w:noWrap/>
            <w:vAlign w:val="center"/>
          </w:tcPr>
          <w:p w14:paraId="31270217"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4088060C"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00" w:type="dxa"/>
            <w:tcBorders>
              <w:top w:val="nil"/>
              <w:left w:val="nil"/>
              <w:bottom w:val="single" w:sz="4" w:space="0" w:color="BFBFBF"/>
              <w:right w:val="double" w:sz="6" w:space="0" w:color="auto"/>
            </w:tcBorders>
            <w:shd w:val="clear" w:color="auto" w:fill="auto"/>
            <w:noWrap/>
            <w:vAlign w:val="center"/>
          </w:tcPr>
          <w:p w14:paraId="3D5CBE1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r>
      <w:tr w:rsidR="0054131D" w:rsidRPr="00C66393" w14:paraId="5DB326CC" w14:textId="77777777" w:rsidTr="006616D6">
        <w:trPr>
          <w:trHeight w:val="225"/>
          <w:jc w:val="center"/>
        </w:trPr>
        <w:tc>
          <w:tcPr>
            <w:tcW w:w="2858" w:type="dxa"/>
            <w:tcBorders>
              <w:top w:val="nil"/>
              <w:left w:val="double" w:sz="6" w:space="0" w:color="auto"/>
              <w:bottom w:val="single" w:sz="4" w:space="0" w:color="BFBFBF"/>
              <w:right w:val="nil"/>
            </w:tcBorders>
            <w:shd w:val="clear" w:color="auto" w:fill="auto"/>
            <w:noWrap/>
            <w:vAlign w:val="center"/>
          </w:tcPr>
          <w:p w14:paraId="4A49CA2C" w14:textId="77777777" w:rsidR="00C66393" w:rsidRPr="00C66393" w:rsidRDefault="00C66393" w:rsidP="009E5010">
            <w:pPr>
              <w:spacing w:before="0" w:after="0"/>
              <w:ind w:firstLineChars="100" w:firstLine="160"/>
              <w:rPr>
                <w:rFonts w:ascii="Arial" w:hAnsi="Arial" w:cs="Arial"/>
                <w:color w:val="000000"/>
                <w:sz w:val="16"/>
                <w:szCs w:val="16"/>
                <w:lang w:val="en-AU" w:eastAsia="en-AU"/>
              </w:rPr>
            </w:pPr>
            <w:r w:rsidRPr="00C66393">
              <w:rPr>
                <w:rFonts w:ascii="Arial" w:hAnsi="Arial" w:cs="Arial"/>
                <w:color w:val="000000"/>
                <w:sz w:val="16"/>
                <w:szCs w:val="16"/>
                <w:lang w:val="en-AU" w:eastAsia="en-AU"/>
              </w:rPr>
              <w:t>Rent- Public</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BDDCCC9" w14:textId="77777777" w:rsidR="00C66393" w:rsidRPr="00C66393" w:rsidRDefault="00C66393" w:rsidP="00600395">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69%</w:t>
            </w:r>
          </w:p>
        </w:tc>
        <w:tc>
          <w:tcPr>
            <w:tcW w:w="600" w:type="dxa"/>
            <w:tcBorders>
              <w:top w:val="nil"/>
              <w:left w:val="nil"/>
              <w:bottom w:val="single" w:sz="4" w:space="0" w:color="BFBFBF"/>
              <w:right w:val="single" w:sz="4" w:space="0" w:color="auto"/>
            </w:tcBorders>
            <w:shd w:val="clear" w:color="auto" w:fill="auto"/>
            <w:noWrap/>
            <w:vAlign w:val="center"/>
          </w:tcPr>
          <w:p w14:paraId="5705E37B"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66%</w:t>
            </w:r>
          </w:p>
        </w:tc>
        <w:tc>
          <w:tcPr>
            <w:tcW w:w="600" w:type="dxa"/>
            <w:tcBorders>
              <w:top w:val="nil"/>
              <w:left w:val="nil"/>
              <w:bottom w:val="single" w:sz="4" w:space="0" w:color="BFBFBF"/>
              <w:right w:val="single" w:sz="4" w:space="0" w:color="BFBFBF"/>
            </w:tcBorders>
            <w:shd w:val="clear" w:color="auto" w:fill="auto"/>
            <w:noWrap/>
            <w:vAlign w:val="center"/>
          </w:tcPr>
          <w:p w14:paraId="17F4C2D2"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15%</w:t>
            </w:r>
          </w:p>
        </w:tc>
        <w:tc>
          <w:tcPr>
            <w:tcW w:w="600" w:type="dxa"/>
            <w:tcBorders>
              <w:top w:val="nil"/>
              <w:left w:val="nil"/>
              <w:bottom w:val="single" w:sz="4" w:space="0" w:color="BFBFBF"/>
              <w:right w:val="nil"/>
            </w:tcBorders>
            <w:shd w:val="clear" w:color="auto" w:fill="auto"/>
            <w:noWrap/>
            <w:vAlign w:val="center"/>
          </w:tcPr>
          <w:p w14:paraId="23E2C3AA"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D790E4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auto"/>
            </w:tcBorders>
            <w:shd w:val="clear" w:color="auto" w:fill="auto"/>
            <w:noWrap/>
            <w:vAlign w:val="center"/>
          </w:tcPr>
          <w:p w14:paraId="38257224"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BFBFBF"/>
            </w:tcBorders>
            <w:shd w:val="clear" w:color="auto" w:fill="auto"/>
            <w:noWrap/>
            <w:vAlign w:val="center"/>
          </w:tcPr>
          <w:p w14:paraId="0F98995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6C3F2BF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E85A321"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77CFF61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14%</w:t>
            </w:r>
          </w:p>
        </w:tc>
        <w:tc>
          <w:tcPr>
            <w:tcW w:w="620" w:type="dxa"/>
            <w:tcBorders>
              <w:top w:val="nil"/>
              <w:left w:val="nil"/>
              <w:bottom w:val="single" w:sz="4" w:space="0" w:color="BFBFBF"/>
              <w:right w:val="single" w:sz="4" w:space="0" w:color="BFBFBF"/>
            </w:tcBorders>
            <w:shd w:val="clear" w:color="auto" w:fill="auto"/>
            <w:noWrap/>
            <w:vAlign w:val="center"/>
          </w:tcPr>
          <w:p w14:paraId="0020A6AD"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20" w:type="dxa"/>
            <w:tcBorders>
              <w:top w:val="nil"/>
              <w:left w:val="nil"/>
              <w:bottom w:val="single" w:sz="4" w:space="0" w:color="BFBFBF"/>
              <w:right w:val="nil"/>
            </w:tcBorders>
            <w:shd w:val="clear" w:color="auto" w:fill="auto"/>
            <w:noWrap/>
            <w:vAlign w:val="center"/>
          </w:tcPr>
          <w:p w14:paraId="7FA6F7E9"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90" w:type="dxa"/>
            <w:tcBorders>
              <w:top w:val="nil"/>
              <w:left w:val="single" w:sz="4" w:space="0" w:color="auto"/>
              <w:bottom w:val="single" w:sz="4" w:space="0" w:color="BFBFBF"/>
              <w:right w:val="single" w:sz="4" w:space="0" w:color="BFBFBF"/>
            </w:tcBorders>
            <w:shd w:val="clear" w:color="auto" w:fill="auto"/>
            <w:noWrap/>
            <w:vAlign w:val="center"/>
          </w:tcPr>
          <w:p w14:paraId="4381A746"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90" w:type="dxa"/>
            <w:tcBorders>
              <w:top w:val="nil"/>
              <w:left w:val="nil"/>
              <w:bottom w:val="single" w:sz="4" w:space="0" w:color="BFBFBF"/>
              <w:right w:val="single" w:sz="4" w:space="0" w:color="auto"/>
            </w:tcBorders>
            <w:shd w:val="clear" w:color="auto" w:fill="auto"/>
            <w:noWrap/>
            <w:vAlign w:val="center"/>
          </w:tcPr>
          <w:p w14:paraId="5FFAF36E"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3959BC58"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4%</w:t>
            </w:r>
          </w:p>
        </w:tc>
        <w:tc>
          <w:tcPr>
            <w:tcW w:w="600" w:type="dxa"/>
            <w:tcBorders>
              <w:top w:val="nil"/>
              <w:left w:val="nil"/>
              <w:bottom w:val="single" w:sz="4" w:space="0" w:color="BFBFBF"/>
              <w:right w:val="double" w:sz="6" w:space="0" w:color="auto"/>
            </w:tcBorders>
            <w:shd w:val="clear" w:color="auto" w:fill="auto"/>
            <w:noWrap/>
            <w:vAlign w:val="center"/>
          </w:tcPr>
          <w:p w14:paraId="429B5FB3" w14:textId="77777777" w:rsidR="00C66393" w:rsidRPr="00C66393" w:rsidRDefault="00C66393">
            <w:pPr>
              <w:spacing w:before="0" w:after="0"/>
              <w:jc w:val="center"/>
              <w:rPr>
                <w:rFonts w:ascii="Arial" w:hAnsi="Arial" w:cs="Arial"/>
                <w:color w:val="000000"/>
                <w:sz w:val="16"/>
                <w:szCs w:val="16"/>
                <w:lang w:val="en-AU" w:eastAsia="en-AU"/>
              </w:rPr>
            </w:pPr>
            <w:r w:rsidRPr="00C66393">
              <w:rPr>
                <w:rFonts w:ascii="Arial" w:hAnsi="Arial" w:cs="Arial"/>
                <w:color w:val="000000"/>
                <w:sz w:val="16"/>
                <w:szCs w:val="16"/>
                <w:lang w:val="en-AU" w:eastAsia="en-AU"/>
              </w:rPr>
              <w:t>2%</w:t>
            </w:r>
          </w:p>
        </w:tc>
      </w:tr>
      <w:tr w:rsidR="0054131D" w:rsidRPr="00C66393" w14:paraId="6D4C798C" w14:textId="77777777" w:rsidTr="006616D6">
        <w:trPr>
          <w:trHeight w:val="240"/>
          <w:jc w:val="center"/>
        </w:trPr>
        <w:tc>
          <w:tcPr>
            <w:tcW w:w="2858" w:type="dxa"/>
            <w:tcBorders>
              <w:top w:val="nil"/>
              <w:left w:val="double" w:sz="6" w:space="0" w:color="auto"/>
              <w:bottom w:val="double" w:sz="6" w:space="0" w:color="auto"/>
              <w:right w:val="nil"/>
            </w:tcBorders>
            <w:shd w:val="clear" w:color="auto" w:fill="auto"/>
            <w:noWrap/>
            <w:vAlign w:val="center"/>
          </w:tcPr>
          <w:p w14:paraId="3CE458F8" w14:textId="77777777" w:rsidR="00C66393" w:rsidRPr="00C66393" w:rsidRDefault="00C66393" w:rsidP="009E5010">
            <w:pPr>
              <w:spacing w:before="0" w:after="0"/>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Total HHs</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1F35FB69" w14:textId="77777777" w:rsidR="00C66393" w:rsidRPr="00C66393" w:rsidRDefault="00C66393" w:rsidP="00600395">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65%</w:t>
            </w:r>
          </w:p>
        </w:tc>
        <w:tc>
          <w:tcPr>
            <w:tcW w:w="600" w:type="dxa"/>
            <w:tcBorders>
              <w:top w:val="nil"/>
              <w:left w:val="nil"/>
              <w:bottom w:val="double" w:sz="6" w:space="0" w:color="auto"/>
              <w:right w:val="single" w:sz="4" w:space="0" w:color="auto"/>
            </w:tcBorders>
            <w:shd w:val="clear" w:color="auto" w:fill="auto"/>
            <w:noWrap/>
            <w:vAlign w:val="center"/>
          </w:tcPr>
          <w:p w14:paraId="74FAB266"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64%</w:t>
            </w:r>
          </w:p>
        </w:tc>
        <w:tc>
          <w:tcPr>
            <w:tcW w:w="600" w:type="dxa"/>
            <w:tcBorders>
              <w:top w:val="nil"/>
              <w:left w:val="nil"/>
              <w:bottom w:val="double" w:sz="6" w:space="0" w:color="auto"/>
              <w:right w:val="single" w:sz="4" w:space="0" w:color="BFBFBF"/>
            </w:tcBorders>
            <w:shd w:val="clear" w:color="auto" w:fill="auto"/>
            <w:noWrap/>
            <w:vAlign w:val="center"/>
          </w:tcPr>
          <w:p w14:paraId="509AE94A"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9%</w:t>
            </w:r>
          </w:p>
        </w:tc>
        <w:tc>
          <w:tcPr>
            <w:tcW w:w="600" w:type="dxa"/>
            <w:tcBorders>
              <w:top w:val="nil"/>
              <w:left w:val="nil"/>
              <w:bottom w:val="double" w:sz="6" w:space="0" w:color="auto"/>
              <w:right w:val="nil"/>
            </w:tcBorders>
            <w:shd w:val="clear" w:color="auto" w:fill="auto"/>
            <w:noWrap/>
            <w:vAlign w:val="center"/>
          </w:tcPr>
          <w:p w14:paraId="61F4ADFF"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9%</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02C401FB"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18%</w:t>
            </w:r>
          </w:p>
        </w:tc>
        <w:tc>
          <w:tcPr>
            <w:tcW w:w="600" w:type="dxa"/>
            <w:tcBorders>
              <w:top w:val="nil"/>
              <w:left w:val="nil"/>
              <w:bottom w:val="double" w:sz="6" w:space="0" w:color="auto"/>
              <w:right w:val="single" w:sz="4" w:space="0" w:color="auto"/>
            </w:tcBorders>
            <w:shd w:val="clear" w:color="auto" w:fill="auto"/>
            <w:noWrap/>
            <w:vAlign w:val="center"/>
          </w:tcPr>
          <w:p w14:paraId="348CB4B4"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21%</w:t>
            </w:r>
          </w:p>
        </w:tc>
        <w:tc>
          <w:tcPr>
            <w:tcW w:w="600" w:type="dxa"/>
            <w:tcBorders>
              <w:top w:val="nil"/>
              <w:left w:val="nil"/>
              <w:bottom w:val="double" w:sz="6" w:space="0" w:color="auto"/>
              <w:right w:val="single" w:sz="4" w:space="0" w:color="BFBFBF"/>
            </w:tcBorders>
            <w:shd w:val="clear" w:color="auto" w:fill="auto"/>
            <w:noWrap/>
            <w:vAlign w:val="center"/>
          </w:tcPr>
          <w:p w14:paraId="14FD31EA"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w:t>
            </w:r>
          </w:p>
        </w:tc>
        <w:tc>
          <w:tcPr>
            <w:tcW w:w="600" w:type="dxa"/>
            <w:tcBorders>
              <w:top w:val="nil"/>
              <w:left w:val="nil"/>
              <w:bottom w:val="double" w:sz="6" w:space="0" w:color="auto"/>
              <w:right w:val="nil"/>
            </w:tcBorders>
            <w:shd w:val="clear" w:color="auto" w:fill="auto"/>
            <w:noWrap/>
            <w:vAlign w:val="center"/>
          </w:tcPr>
          <w:p w14:paraId="5070A44A"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0C5B9343"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1%</w:t>
            </w:r>
          </w:p>
        </w:tc>
        <w:tc>
          <w:tcPr>
            <w:tcW w:w="600" w:type="dxa"/>
            <w:tcBorders>
              <w:top w:val="nil"/>
              <w:left w:val="nil"/>
              <w:bottom w:val="double" w:sz="6" w:space="0" w:color="auto"/>
              <w:right w:val="single" w:sz="4" w:space="0" w:color="auto"/>
            </w:tcBorders>
            <w:shd w:val="clear" w:color="auto" w:fill="auto"/>
            <w:noWrap/>
            <w:vAlign w:val="center"/>
          </w:tcPr>
          <w:p w14:paraId="302D25CA"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w:t>
            </w:r>
          </w:p>
        </w:tc>
        <w:tc>
          <w:tcPr>
            <w:tcW w:w="620" w:type="dxa"/>
            <w:tcBorders>
              <w:top w:val="nil"/>
              <w:left w:val="nil"/>
              <w:bottom w:val="double" w:sz="6" w:space="0" w:color="auto"/>
              <w:right w:val="single" w:sz="4" w:space="0" w:color="BFBFBF"/>
            </w:tcBorders>
            <w:shd w:val="clear" w:color="auto" w:fill="auto"/>
            <w:noWrap/>
            <w:vAlign w:val="center"/>
          </w:tcPr>
          <w:p w14:paraId="4F0F95EA"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w:t>
            </w:r>
          </w:p>
        </w:tc>
        <w:tc>
          <w:tcPr>
            <w:tcW w:w="620" w:type="dxa"/>
            <w:tcBorders>
              <w:top w:val="nil"/>
              <w:left w:val="nil"/>
              <w:bottom w:val="double" w:sz="6" w:space="0" w:color="auto"/>
              <w:right w:val="nil"/>
            </w:tcBorders>
            <w:shd w:val="clear" w:color="auto" w:fill="auto"/>
            <w:noWrap/>
            <w:vAlign w:val="center"/>
          </w:tcPr>
          <w:p w14:paraId="23F7228D"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w:t>
            </w:r>
          </w:p>
        </w:tc>
        <w:tc>
          <w:tcPr>
            <w:tcW w:w="690" w:type="dxa"/>
            <w:tcBorders>
              <w:top w:val="nil"/>
              <w:left w:val="single" w:sz="4" w:space="0" w:color="auto"/>
              <w:bottom w:val="double" w:sz="6" w:space="0" w:color="auto"/>
              <w:right w:val="single" w:sz="4" w:space="0" w:color="BFBFBF"/>
            </w:tcBorders>
            <w:shd w:val="clear" w:color="auto" w:fill="auto"/>
            <w:noWrap/>
            <w:vAlign w:val="center"/>
          </w:tcPr>
          <w:p w14:paraId="5AF54E51"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w:t>
            </w:r>
          </w:p>
        </w:tc>
        <w:tc>
          <w:tcPr>
            <w:tcW w:w="690" w:type="dxa"/>
            <w:tcBorders>
              <w:top w:val="nil"/>
              <w:left w:val="nil"/>
              <w:bottom w:val="double" w:sz="6" w:space="0" w:color="auto"/>
              <w:right w:val="single" w:sz="4" w:space="0" w:color="auto"/>
            </w:tcBorders>
            <w:shd w:val="clear" w:color="auto" w:fill="auto"/>
            <w:noWrap/>
            <w:vAlign w:val="center"/>
          </w:tcPr>
          <w:p w14:paraId="0FCA6420"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2%</w:t>
            </w:r>
          </w:p>
        </w:tc>
        <w:tc>
          <w:tcPr>
            <w:tcW w:w="600" w:type="dxa"/>
            <w:tcBorders>
              <w:top w:val="nil"/>
              <w:left w:val="nil"/>
              <w:bottom w:val="double" w:sz="6" w:space="0" w:color="auto"/>
              <w:right w:val="single" w:sz="4" w:space="0" w:color="BFBFBF"/>
            </w:tcBorders>
            <w:shd w:val="clear" w:color="auto" w:fill="auto"/>
            <w:noWrap/>
            <w:vAlign w:val="center"/>
          </w:tcPr>
          <w:p w14:paraId="626FEC46"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1%</w:t>
            </w:r>
          </w:p>
        </w:tc>
        <w:tc>
          <w:tcPr>
            <w:tcW w:w="600" w:type="dxa"/>
            <w:tcBorders>
              <w:top w:val="nil"/>
              <w:left w:val="nil"/>
              <w:bottom w:val="double" w:sz="6" w:space="0" w:color="auto"/>
              <w:right w:val="double" w:sz="6" w:space="0" w:color="auto"/>
            </w:tcBorders>
            <w:shd w:val="clear" w:color="auto" w:fill="auto"/>
            <w:noWrap/>
            <w:vAlign w:val="center"/>
          </w:tcPr>
          <w:p w14:paraId="7AC832A9" w14:textId="77777777" w:rsidR="00C66393" w:rsidRPr="00C66393" w:rsidRDefault="00C66393">
            <w:pPr>
              <w:spacing w:before="0" w:after="0"/>
              <w:jc w:val="center"/>
              <w:rPr>
                <w:rFonts w:ascii="Arial" w:hAnsi="Arial" w:cs="Arial"/>
                <w:b/>
                <w:bCs/>
                <w:color w:val="000000"/>
                <w:sz w:val="16"/>
                <w:szCs w:val="16"/>
                <w:lang w:val="en-AU" w:eastAsia="en-AU"/>
              </w:rPr>
            </w:pPr>
            <w:r w:rsidRPr="00C66393">
              <w:rPr>
                <w:rFonts w:ascii="Arial" w:hAnsi="Arial" w:cs="Arial"/>
                <w:b/>
                <w:bCs/>
                <w:color w:val="000000"/>
                <w:sz w:val="16"/>
                <w:szCs w:val="16"/>
                <w:lang w:val="en-AU" w:eastAsia="en-AU"/>
              </w:rPr>
              <w:t>*</w:t>
            </w:r>
          </w:p>
        </w:tc>
      </w:tr>
    </w:tbl>
    <w:p w14:paraId="29DFEF50" w14:textId="77777777" w:rsidR="009E5010" w:rsidRPr="00C66393" w:rsidRDefault="009E5010" w:rsidP="00562A28">
      <w:pPr>
        <w:pStyle w:val="Para"/>
        <w:ind w:left="1440"/>
        <w:rPr>
          <w:sz w:val="20"/>
          <w:lang w:val="en-AU"/>
        </w:rPr>
      </w:pPr>
      <w:r w:rsidRPr="00C66393">
        <w:rPr>
          <w:sz w:val="20"/>
          <w:lang w:val="en-AU"/>
        </w:rPr>
        <w:t>Base: Total respondents, 2014 (n=1,861); 2007 (n=2,061)</w:t>
      </w:r>
    </w:p>
    <w:p w14:paraId="0EECA8DB" w14:textId="77777777" w:rsidR="003920D8" w:rsidRPr="00BA7D39" w:rsidRDefault="0085197A">
      <w:pPr>
        <w:pStyle w:val="Heading3"/>
        <w:tabs>
          <w:tab w:val="clear" w:pos="8517"/>
          <w:tab w:val="num" w:pos="851"/>
        </w:tabs>
        <w:spacing w:before="0"/>
        <w:ind w:hanging="8517"/>
        <w:rPr>
          <w:lang w:val="en-AU"/>
        </w:rPr>
      </w:pPr>
      <w:bookmarkStart w:id="136" w:name="_Toc439173151"/>
      <w:bookmarkStart w:id="137" w:name="_Toc439198296"/>
      <w:bookmarkEnd w:id="136"/>
      <w:bookmarkEnd w:id="137"/>
      <w:r w:rsidRPr="00DA3B75">
        <w:rPr>
          <w:highlight w:val="yellow"/>
          <w:lang w:val="en-AU"/>
        </w:rPr>
        <w:br w:type="page"/>
      </w:r>
      <w:bookmarkStart w:id="138" w:name="_Toc439198297"/>
      <w:bookmarkStart w:id="139" w:name="_Toc445571679"/>
      <w:r w:rsidR="00FC6BFF" w:rsidRPr="00BA7D39">
        <w:rPr>
          <w:lang w:val="en-AU"/>
        </w:rPr>
        <w:lastRenderedPageBreak/>
        <w:t>Dwelling Type</w:t>
      </w:r>
      <w:bookmarkEnd w:id="138"/>
      <w:bookmarkEnd w:id="139"/>
    </w:p>
    <w:p w14:paraId="28169667" w14:textId="77777777" w:rsidR="001C7140" w:rsidRPr="00BA7D39" w:rsidRDefault="001C7140" w:rsidP="001C7140">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BA7D39">
        <w:rPr>
          <w:lang w:val="en-AU"/>
        </w:rPr>
        <w:t xml:space="preserve">Dwelling type was a </w:t>
      </w:r>
      <w:r w:rsidRPr="00BA7D39">
        <w:rPr>
          <w:b/>
          <w:lang w:val="en-AU"/>
        </w:rPr>
        <w:t>derived</w:t>
      </w:r>
      <w:r w:rsidRPr="00BA7D39">
        <w:rPr>
          <w:lang w:val="en-AU"/>
        </w:rPr>
        <w:t xml:space="preserve"> survey item in 2014, based on information gathered during the original Single Source interview at the household.</w:t>
      </w:r>
    </w:p>
    <w:p w14:paraId="0594B3C8" w14:textId="77777777" w:rsidR="001C7140" w:rsidRPr="00BA7D39" w:rsidRDefault="001C7140" w:rsidP="00FC6BFF">
      <w:pPr>
        <w:pStyle w:val="Para"/>
        <w:rPr>
          <w:lang w:val="en-AU"/>
        </w:rPr>
      </w:pPr>
    </w:p>
    <w:p w14:paraId="34C1A246" w14:textId="77777777" w:rsidR="00FC6BFF" w:rsidRPr="002D6162" w:rsidRDefault="00942331" w:rsidP="00FC6BFF">
      <w:pPr>
        <w:pStyle w:val="Para"/>
        <w:rPr>
          <w:lang w:val="en-AU"/>
        </w:rPr>
      </w:pPr>
      <w:r w:rsidRPr="002D6162">
        <w:rPr>
          <w:lang w:val="en-AU"/>
        </w:rPr>
        <w:t>The vast majority of respondents lived in separate houses (8</w:t>
      </w:r>
      <w:r w:rsidR="002733E9" w:rsidRPr="002D6162">
        <w:rPr>
          <w:lang w:val="en-AU"/>
        </w:rPr>
        <w:t>0</w:t>
      </w:r>
      <w:r w:rsidRPr="002D6162">
        <w:rPr>
          <w:lang w:val="en-AU"/>
        </w:rPr>
        <w:t xml:space="preserve">%).  </w:t>
      </w:r>
      <w:r w:rsidR="00132B69" w:rsidRPr="002D6162">
        <w:rPr>
          <w:lang w:val="en-AU"/>
        </w:rPr>
        <w:t xml:space="preserve">Not surprisingly, separate houses were more common amongst country </w:t>
      </w:r>
      <w:smartTag w:uri="urn:schemas-microsoft-com:office:smarttags" w:element="State">
        <w:r w:rsidR="00132B69" w:rsidRPr="002D6162">
          <w:rPr>
            <w:lang w:val="en-AU"/>
          </w:rPr>
          <w:t>Victoria</w:t>
        </w:r>
      </w:smartTag>
      <w:r w:rsidR="00132B69" w:rsidRPr="002D6162">
        <w:rPr>
          <w:lang w:val="en-AU"/>
        </w:rPr>
        <w:t xml:space="preserve"> (9</w:t>
      </w:r>
      <w:r w:rsidR="002733E9" w:rsidRPr="002D6162">
        <w:rPr>
          <w:lang w:val="en-AU"/>
        </w:rPr>
        <w:t>0</w:t>
      </w:r>
      <w:r w:rsidR="00132B69" w:rsidRPr="002D6162">
        <w:rPr>
          <w:lang w:val="en-AU"/>
        </w:rPr>
        <w:t xml:space="preserve">%) than </w:t>
      </w:r>
      <w:smartTag w:uri="urn:schemas-microsoft-com:office:smarttags" w:element="City">
        <w:r w:rsidR="00132B69" w:rsidRPr="002D6162">
          <w:rPr>
            <w:lang w:val="en-AU"/>
          </w:rPr>
          <w:t>Melbourne</w:t>
        </w:r>
      </w:smartTag>
      <w:r w:rsidR="00132B69" w:rsidRPr="002D6162">
        <w:rPr>
          <w:lang w:val="en-AU"/>
        </w:rPr>
        <w:t xml:space="preserve"> (</w:t>
      </w:r>
      <w:r w:rsidR="002733E9" w:rsidRPr="002D6162">
        <w:rPr>
          <w:lang w:val="en-AU"/>
        </w:rPr>
        <w:t>76</w:t>
      </w:r>
      <w:r w:rsidR="00132B69" w:rsidRPr="002D6162">
        <w:rPr>
          <w:lang w:val="en-AU"/>
        </w:rPr>
        <w:t xml:space="preserve">%) residents, whilst semi-detached homes were more common in </w:t>
      </w:r>
      <w:smartTag w:uri="urn:schemas-microsoft-com:office:smarttags" w:element="City">
        <w:r w:rsidR="00132B69" w:rsidRPr="002D6162">
          <w:rPr>
            <w:lang w:val="en-AU"/>
          </w:rPr>
          <w:t>Melbourne</w:t>
        </w:r>
      </w:smartTag>
      <w:r w:rsidR="00132B69" w:rsidRPr="002D6162">
        <w:rPr>
          <w:lang w:val="en-AU"/>
        </w:rPr>
        <w:t xml:space="preserve"> (</w:t>
      </w:r>
      <w:r w:rsidR="002733E9" w:rsidRPr="002D6162">
        <w:rPr>
          <w:lang w:val="en-AU"/>
        </w:rPr>
        <w:t>9</w:t>
      </w:r>
      <w:r w:rsidR="00132B69" w:rsidRPr="002D6162">
        <w:rPr>
          <w:lang w:val="en-AU"/>
        </w:rPr>
        <w:t xml:space="preserve">%) than country </w:t>
      </w:r>
      <w:smartTag w:uri="urn:schemas-microsoft-com:office:smarttags" w:element="State">
        <w:smartTag w:uri="urn:schemas-microsoft-com:office:smarttags" w:element="place">
          <w:r w:rsidR="00132B69" w:rsidRPr="002D6162">
            <w:rPr>
              <w:lang w:val="en-AU"/>
            </w:rPr>
            <w:t>Victoria</w:t>
          </w:r>
        </w:smartTag>
      </w:smartTag>
      <w:r w:rsidR="00132B69" w:rsidRPr="002D6162">
        <w:rPr>
          <w:lang w:val="en-AU"/>
        </w:rPr>
        <w:t xml:space="preserve"> (</w:t>
      </w:r>
      <w:r w:rsidR="002733E9" w:rsidRPr="002D6162">
        <w:rPr>
          <w:lang w:val="en-AU"/>
        </w:rPr>
        <w:t>4</w:t>
      </w:r>
      <w:r w:rsidR="00132B69" w:rsidRPr="002D6162">
        <w:rPr>
          <w:lang w:val="en-AU"/>
        </w:rPr>
        <w:t>%).</w:t>
      </w:r>
      <w:r w:rsidR="006134AD" w:rsidRPr="002D6162">
        <w:rPr>
          <w:lang w:val="en-AU"/>
        </w:rPr>
        <w:t xml:space="preserve">  Non-concession households were slightly more likely (82%) than concession households (77%) to live in a separate house.</w:t>
      </w:r>
    </w:p>
    <w:p w14:paraId="037B2E20" w14:textId="77777777" w:rsidR="00132B69" w:rsidRPr="00DA3B75" w:rsidRDefault="00132B69" w:rsidP="00FC6BFF">
      <w:pPr>
        <w:pStyle w:val="Para"/>
        <w:rPr>
          <w:highlight w:val="yellow"/>
          <w:lang w:val="en-AU"/>
        </w:rPr>
      </w:pPr>
    </w:p>
    <w:p w14:paraId="27A53B2C" w14:textId="77777777" w:rsidR="00BB5D81" w:rsidRPr="002D6162" w:rsidRDefault="00132B69" w:rsidP="00FC6BFF">
      <w:pPr>
        <w:pStyle w:val="Para"/>
        <w:rPr>
          <w:lang w:val="en-AU"/>
        </w:rPr>
      </w:pPr>
      <w:r w:rsidRPr="002D6162">
        <w:rPr>
          <w:lang w:val="en-AU"/>
        </w:rPr>
        <w:t>Private and public renters were considerably less likely to live in separate houses (5</w:t>
      </w:r>
      <w:r w:rsidR="006134AD" w:rsidRPr="002D6162">
        <w:rPr>
          <w:lang w:val="en-AU"/>
        </w:rPr>
        <w:t>2</w:t>
      </w:r>
      <w:r w:rsidRPr="002D6162">
        <w:rPr>
          <w:lang w:val="en-AU"/>
        </w:rPr>
        <w:t xml:space="preserve">% and </w:t>
      </w:r>
      <w:r w:rsidR="006134AD" w:rsidRPr="002D6162">
        <w:rPr>
          <w:lang w:val="en-AU"/>
        </w:rPr>
        <w:t>65</w:t>
      </w:r>
      <w:r w:rsidRPr="002D6162">
        <w:rPr>
          <w:lang w:val="en-AU"/>
        </w:rPr>
        <w:t>% respectively) than were home</w:t>
      </w:r>
      <w:r w:rsidR="006134AD" w:rsidRPr="002D6162">
        <w:rPr>
          <w:lang w:val="en-AU"/>
        </w:rPr>
        <w:t xml:space="preserve"> </w:t>
      </w:r>
      <w:r w:rsidRPr="002D6162">
        <w:rPr>
          <w:lang w:val="en-AU"/>
        </w:rPr>
        <w:t>owners/buyers (</w:t>
      </w:r>
      <w:r w:rsidR="006134AD" w:rsidRPr="002D6162">
        <w:rPr>
          <w:lang w:val="en-AU"/>
        </w:rPr>
        <w:t>8</w:t>
      </w:r>
      <w:r w:rsidR="002D6162" w:rsidRPr="002D6162">
        <w:rPr>
          <w:lang w:val="en-AU"/>
        </w:rPr>
        <w:t>4</w:t>
      </w:r>
      <w:r w:rsidRPr="002D6162">
        <w:rPr>
          <w:lang w:val="en-AU"/>
        </w:rPr>
        <w:t>%)</w:t>
      </w:r>
      <w:r w:rsidR="00BB5D81" w:rsidRPr="002D6162">
        <w:rPr>
          <w:lang w:val="en-AU"/>
        </w:rPr>
        <w:t xml:space="preserve">.  </w:t>
      </w:r>
      <w:r w:rsidR="002D6162" w:rsidRPr="002D6162">
        <w:rPr>
          <w:lang w:val="en-AU"/>
        </w:rPr>
        <w:t>O</w:t>
      </w:r>
      <w:r w:rsidR="00BB5D81" w:rsidRPr="002D6162">
        <w:rPr>
          <w:lang w:val="en-AU"/>
        </w:rPr>
        <w:t xml:space="preserve">ne-quarter </w:t>
      </w:r>
      <w:r w:rsidR="006134AD" w:rsidRPr="002D6162">
        <w:rPr>
          <w:lang w:val="en-AU"/>
        </w:rPr>
        <w:t>(2</w:t>
      </w:r>
      <w:r w:rsidR="002D6162" w:rsidRPr="002D6162">
        <w:rPr>
          <w:lang w:val="en-AU"/>
        </w:rPr>
        <w:t>5</w:t>
      </w:r>
      <w:r w:rsidR="006134AD" w:rsidRPr="002D6162">
        <w:rPr>
          <w:lang w:val="en-AU"/>
        </w:rPr>
        <w:t xml:space="preserve">%) </w:t>
      </w:r>
      <w:r w:rsidR="00BB5D81" w:rsidRPr="002D6162">
        <w:rPr>
          <w:lang w:val="en-AU"/>
        </w:rPr>
        <w:t xml:space="preserve">of </w:t>
      </w:r>
      <w:r w:rsidR="006134AD" w:rsidRPr="002D6162">
        <w:rPr>
          <w:lang w:val="en-AU"/>
        </w:rPr>
        <w:t xml:space="preserve">public </w:t>
      </w:r>
      <w:r w:rsidR="00BB5D81" w:rsidRPr="002D6162">
        <w:rPr>
          <w:lang w:val="en-AU"/>
        </w:rPr>
        <w:t xml:space="preserve">renters lived in </w:t>
      </w:r>
      <w:r w:rsidR="006134AD" w:rsidRPr="002D6162">
        <w:rPr>
          <w:lang w:val="en-AU"/>
        </w:rPr>
        <w:t>low rise flats/units, compared with 1</w:t>
      </w:r>
      <w:r w:rsidR="002D6162" w:rsidRPr="002D6162">
        <w:rPr>
          <w:lang w:val="en-AU"/>
        </w:rPr>
        <w:t>9</w:t>
      </w:r>
      <w:r w:rsidR="006134AD" w:rsidRPr="002D6162">
        <w:rPr>
          <w:lang w:val="en-AU"/>
        </w:rPr>
        <w:t xml:space="preserve">% of private renters and 5% of home owners/buyers.  </w:t>
      </w:r>
      <w:r w:rsidR="00CE3364" w:rsidRPr="002D6162">
        <w:rPr>
          <w:lang w:val="en-AU"/>
        </w:rPr>
        <w:t xml:space="preserve">Homes built before 1991 were </w:t>
      </w:r>
      <w:r w:rsidR="006134AD" w:rsidRPr="002D6162">
        <w:rPr>
          <w:lang w:val="en-AU"/>
        </w:rPr>
        <w:t xml:space="preserve">less likely to be semi-detached (6%) than those built </w:t>
      </w:r>
      <w:r w:rsidR="00CE3364" w:rsidRPr="002D6162">
        <w:rPr>
          <w:lang w:val="en-AU"/>
        </w:rPr>
        <w:t>between 1991 and 2004 (1</w:t>
      </w:r>
      <w:r w:rsidR="006134AD" w:rsidRPr="002D6162">
        <w:rPr>
          <w:lang w:val="en-AU"/>
        </w:rPr>
        <w:t>0</w:t>
      </w:r>
      <w:r w:rsidR="00CE3364" w:rsidRPr="002D6162">
        <w:rPr>
          <w:lang w:val="en-AU"/>
        </w:rPr>
        <w:t>%) or after 2004 (1</w:t>
      </w:r>
      <w:r w:rsidR="006134AD" w:rsidRPr="002D6162">
        <w:rPr>
          <w:lang w:val="en-AU"/>
        </w:rPr>
        <w:t>3</w:t>
      </w:r>
      <w:r w:rsidR="00CE3364" w:rsidRPr="002D6162">
        <w:rPr>
          <w:lang w:val="en-AU"/>
        </w:rPr>
        <w:t>%).</w:t>
      </w:r>
    </w:p>
    <w:p w14:paraId="08DBCDA5" w14:textId="77777777" w:rsidR="00132B69" w:rsidRPr="002D6162" w:rsidRDefault="00132B69" w:rsidP="00FC6BFF">
      <w:pPr>
        <w:pStyle w:val="Para"/>
        <w:rPr>
          <w:lang w:val="en-AU"/>
        </w:rPr>
      </w:pPr>
    </w:p>
    <w:p w14:paraId="736CF16E" w14:textId="77777777" w:rsidR="00FC6BFF" w:rsidRPr="00BA7D39" w:rsidRDefault="00FC6BFF" w:rsidP="00562A28">
      <w:pPr>
        <w:pStyle w:val="Para"/>
        <w:spacing w:after="120"/>
        <w:jc w:val="center"/>
        <w:outlineLvl w:val="0"/>
        <w:rPr>
          <w:b/>
          <w:u w:val="single"/>
          <w:lang w:val="en-AU"/>
        </w:rPr>
      </w:pPr>
      <w:r w:rsidRPr="00BA7D39">
        <w:rPr>
          <w:b/>
          <w:lang w:val="en-AU"/>
        </w:rPr>
        <w:t>Table 3.3.</w:t>
      </w:r>
      <w:r w:rsidR="00FF5CB5" w:rsidRPr="00BA7D39">
        <w:rPr>
          <w:b/>
          <w:lang w:val="en-AU"/>
        </w:rPr>
        <w:t>12</w:t>
      </w:r>
      <w:r w:rsidR="000E727E" w:rsidRPr="00BA7D39">
        <w:rPr>
          <w:b/>
          <w:lang w:val="en-AU"/>
        </w:rPr>
        <w:t>a</w:t>
      </w:r>
      <w:r w:rsidRPr="00BA7D39">
        <w:rPr>
          <w:b/>
          <w:lang w:val="en-AU"/>
        </w:rPr>
        <w:t xml:space="preserve">: </w:t>
      </w:r>
      <w:r w:rsidRPr="00BA7D39">
        <w:rPr>
          <w:b/>
          <w:u w:val="single"/>
          <w:lang w:val="en-AU"/>
        </w:rPr>
        <w:t xml:space="preserve">Dwelling Type by </w:t>
      </w:r>
      <w:r w:rsidR="000E727E" w:rsidRPr="00BA7D39">
        <w:rPr>
          <w:b/>
          <w:u w:val="single"/>
          <w:lang w:val="en-AU"/>
        </w:rPr>
        <w:t>Concession Status</w:t>
      </w:r>
      <w:r w:rsidRPr="00BA7D39">
        <w:rPr>
          <w:b/>
          <w:u w:val="single"/>
          <w:lang w:val="en-AU"/>
        </w:rPr>
        <w:t xml:space="preserve"> and Date Built</w:t>
      </w:r>
    </w:p>
    <w:p w14:paraId="3576F588" w14:textId="77777777" w:rsidR="00BC6949" w:rsidRPr="00BA7D39" w:rsidRDefault="00BC6949" w:rsidP="000E727E">
      <w:pPr>
        <w:pStyle w:val="Para"/>
        <w:spacing w:line="140" w:lineRule="exact"/>
        <w:outlineLvl w:val="0"/>
        <w:rPr>
          <w:b/>
          <w:lang w:val="en-AU"/>
        </w:rPr>
      </w:pPr>
    </w:p>
    <w:tbl>
      <w:tblPr>
        <w:tblW w:w="8475" w:type="dxa"/>
        <w:jc w:val="center"/>
        <w:tblLook w:val="04A0" w:firstRow="1" w:lastRow="0" w:firstColumn="1" w:lastColumn="0" w:noHBand="0" w:noVBand="1"/>
      </w:tblPr>
      <w:tblGrid>
        <w:gridCol w:w="2160"/>
        <w:gridCol w:w="600"/>
        <w:gridCol w:w="600"/>
        <w:gridCol w:w="774"/>
        <w:gridCol w:w="741"/>
        <w:gridCol w:w="600"/>
        <w:gridCol w:w="600"/>
        <w:gridCol w:w="600"/>
        <w:gridCol w:w="600"/>
        <w:gridCol w:w="600"/>
        <w:gridCol w:w="600"/>
      </w:tblGrid>
      <w:tr w:rsidR="00B75952" w:rsidRPr="00BA7D39" w14:paraId="6224643F" w14:textId="77777777" w:rsidTr="00562A28">
        <w:trPr>
          <w:trHeight w:val="315"/>
          <w:jc w:val="center"/>
        </w:trPr>
        <w:tc>
          <w:tcPr>
            <w:tcW w:w="2160" w:type="dxa"/>
            <w:vMerge w:val="restart"/>
            <w:tcBorders>
              <w:top w:val="double" w:sz="6" w:space="0" w:color="auto"/>
              <w:left w:val="double" w:sz="6" w:space="0" w:color="auto"/>
              <w:bottom w:val="single" w:sz="4" w:space="0" w:color="BFBFBF"/>
              <w:right w:val="nil"/>
            </w:tcBorders>
            <w:shd w:val="clear" w:color="auto" w:fill="auto"/>
            <w:noWrap/>
            <w:vAlign w:val="center"/>
          </w:tcPr>
          <w:p w14:paraId="2FB643E4" w14:textId="77777777" w:rsidR="00B75952" w:rsidRPr="00BA7D39" w:rsidRDefault="00B75952" w:rsidP="00B75952">
            <w:pPr>
              <w:spacing w:before="0" w:after="0"/>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Dwelling Type</w:t>
            </w:r>
          </w:p>
        </w:tc>
        <w:tc>
          <w:tcPr>
            <w:tcW w:w="1200" w:type="dxa"/>
            <w:gridSpan w:val="2"/>
            <w:vMerge w:val="restart"/>
            <w:tcBorders>
              <w:top w:val="double" w:sz="6" w:space="0" w:color="auto"/>
              <w:left w:val="single" w:sz="4" w:space="0" w:color="auto"/>
              <w:bottom w:val="single" w:sz="4" w:space="0" w:color="BFBFBF"/>
              <w:right w:val="single" w:sz="4" w:space="0" w:color="000000"/>
            </w:tcBorders>
            <w:shd w:val="clear" w:color="auto" w:fill="auto"/>
            <w:vAlign w:val="center"/>
          </w:tcPr>
          <w:p w14:paraId="7E57415D" w14:textId="77777777" w:rsidR="00B75952" w:rsidRPr="00BA7D39" w:rsidRDefault="00B75952" w:rsidP="00B75952">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Separate house</w:t>
            </w:r>
          </w:p>
        </w:tc>
        <w:tc>
          <w:tcPr>
            <w:tcW w:w="1515" w:type="dxa"/>
            <w:gridSpan w:val="2"/>
            <w:vMerge w:val="restart"/>
            <w:tcBorders>
              <w:top w:val="double" w:sz="6" w:space="0" w:color="auto"/>
              <w:left w:val="nil"/>
              <w:bottom w:val="single" w:sz="4" w:space="0" w:color="BFBFBF"/>
              <w:right w:val="single" w:sz="4" w:space="0" w:color="BFBFBF"/>
            </w:tcBorders>
            <w:shd w:val="clear" w:color="auto" w:fill="auto"/>
            <w:vAlign w:val="center"/>
          </w:tcPr>
          <w:p w14:paraId="74738E2F" w14:textId="77777777" w:rsidR="00B75952" w:rsidRPr="00BA7D39" w:rsidRDefault="00B75952" w:rsidP="00B75952">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Dwelling/ non-dwelling combined</w:t>
            </w:r>
          </w:p>
        </w:tc>
        <w:tc>
          <w:tcPr>
            <w:tcW w:w="1200" w:type="dxa"/>
            <w:gridSpan w:val="2"/>
            <w:vMerge w:val="restart"/>
            <w:tcBorders>
              <w:top w:val="double" w:sz="6" w:space="0" w:color="auto"/>
              <w:left w:val="single" w:sz="4" w:space="0" w:color="auto"/>
              <w:bottom w:val="single" w:sz="4" w:space="0" w:color="BFBFBF"/>
              <w:right w:val="single" w:sz="4" w:space="0" w:color="000000"/>
            </w:tcBorders>
            <w:shd w:val="clear" w:color="auto" w:fill="auto"/>
            <w:vAlign w:val="center"/>
          </w:tcPr>
          <w:p w14:paraId="10229597" w14:textId="77777777" w:rsidR="00B75952" w:rsidRPr="00BA7D39" w:rsidRDefault="00B75952" w:rsidP="00B75952">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Semi-detached</w:t>
            </w:r>
          </w:p>
        </w:tc>
        <w:tc>
          <w:tcPr>
            <w:tcW w:w="1200" w:type="dxa"/>
            <w:gridSpan w:val="2"/>
            <w:vMerge w:val="restart"/>
            <w:tcBorders>
              <w:top w:val="double" w:sz="6" w:space="0" w:color="auto"/>
              <w:left w:val="single" w:sz="4" w:space="0" w:color="auto"/>
              <w:bottom w:val="single" w:sz="4" w:space="0" w:color="BFBFBF"/>
              <w:right w:val="single" w:sz="4" w:space="0" w:color="000000"/>
            </w:tcBorders>
            <w:shd w:val="clear" w:color="auto" w:fill="auto"/>
            <w:vAlign w:val="center"/>
          </w:tcPr>
          <w:p w14:paraId="19D186B8" w14:textId="77777777" w:rsidR="00B75952" w:rsidRPr="00BA7D39" w:rsidRDefault="00B75952" w:rsidP="00B75952">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Low rise flats/units</w:t>
            </w:r>
          </w:p>
        </w:tc>
        <w:tc>
          <w:tcPr>
            <w:tcW w:w="1200" w:type="dxa"/>
            <w:gridSpan w:val="2"/>
            <w:vMerge w:val="restart"/>
            <w:tcBorders>
              <w:top w:val="double" w:sz="6" w:space="0" w:color="auto"/>
              <w:left w:val="nil"/>
              <w:bottom w:val="single" w:sz="4" w:space="0" w:color="BFBFBF"/>
              <w:right w:val="double" w:sz="6" w:space="0" w:color="000000"/>
            </w:tcBorders>
            <w:shd w:val="clear" w:color="auto" w:fill="auto"/>
            <w:vAlign w:val="center"/>
          </w:tcPr>
          <w:p w14:paraId="1629F18D" w14:textId="77777777" w:rsidR="00B75952" w:rsidRPr="00BA7D39" w:rsidRDefault="00B75952" w:rsidP="00B75952">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High rise flats/units</w:t>
            </w:r>
          </w:p>
        </w:tc>
      </w:tr>
      <w:tr w:rsidR="00B75952" w:rsidRPr="00BA7D39" w14:paraId="1DA7657A" w14:textId="77777777" w:rsidTr="00562A28">
        <w:trPr>
          <w:trHeight w:val="315"/>
          <w:jc w:val="center"/>
        </w:trPr>
        <w:tc>
          <w:tcPr>
            <w:tcW w:w="2160" w:type="dxa"/>
            <w:vMerge/>
            <w:tcBorders>
              <w:top w:val="double" w:sz="6" w:space="0" w:color="auto"/>
              <w:left w:val="double" w:sz="6" w:space="0" w:color="auto"/>
              <w:bottom w:val="single" w:sz="4" w:space="0" w:color="BFBFBF"/>
              <w:right w:val="nil"/>
            </w:tcBorders>
            <w:vAlign w:val="center"/>
          </w:tcPr>
          <w:p w14:paraId="29269D4E" w14:textId="77777777" w:rsidR="00B75952" w:rsidRPr="00BA7D39" w:rsidRDefault="00B75952" w:rsidP="00B75952">
            <w:pPr>
              <w:spacing w:before="0" w:after="0"/>
              <w:rPr>
                <w:rFonts w:ascii="Arial" w:hAnsi="Arial" w:cs="Arial"/>
                <w:b/>
                <w:bCs/>
                <w:color w:val="000000"/>
                <w:sz w:val="16"/>
                <w:szCs w:val="16"/>
                <w:lang w:val="en-AU" w:eastAsia="en-AU"/>
              </w:rPr>
            </w:pPr>
          </w:p>
        </w:tc>
        <w:tc>
          <w:tcPr>
            <w:tcW w:w="1200" w:type="dxa"/>
            <w:gridSpan w:val="2"/>
            <w:vMerge/>
            <w:tcBorders>
              <w:top w:val="double" w:sz="6" w:space="0" w:color="auto"/>
              <w:left w:val="single" w:sz="4" w:space="0" w:color="auto"/>
              <w:bottom w:val="single" w:sz="4" w:space="0" w:color="BFBFBF"/>
              <w:right w:val="single" w:sz="4" w:space="0" w:color="000000"/>
            </w:tcBorders>
            <w:vAlign w:val="center"/>
          </w:tcPr>
          <w:p w14:paraId="496D79B3" w14:textId="77777777" w:rsidR="00B75952" w:rsidRPr="00BA7D39" w:rsidRDefault="00B75952" w:rsidP="00B75952">
            <w:pPr>
              <w:spacing w:before="0" w:after="0"/>
              <w:rPr>
                <w:rFonts w:ascii="Arial" w:hAnsi="Arial" w:cs="Arial"/>
                <w:b/>
                <w:bCs/>
                <w:color w:val="000000"/>
                <w:sz w:val="16"/>
                <w:szCs w:val="16"/>
                <w:lang w:val="en-AU" w:eastAsia="en-AU"/>
              </w:rPr>
            </w:pPr>
          </w:p>
        </w:tc>
        <w:tc>
          <w:tcPr>
            <w:tcW w:w="1515" w:type="dxa"/>
            <w:gridSpan w:val="2"/>
            <w:vMerge/>
            <w:tcBorders>
              <w:top w:val="double" w:sz="6" w:space="0" w:color="auto"/>
              <w:left w:val="nil"/>
              <w:bottom w:val="single" w:sz="4" w:space="0" w:color="BFBFBF"/>
              <w:right w:val="single" w:sz="4" w:space="0" w:color="BFBFBF"/>
            </w:tcBorders>
            <w:vAlign w:val="center"/>
          </w:tcPr>
          <w:p w14:paraId="07E2A2FE" w14:textId="77777777" w:rsidR="00B75952" w:rsidRPr="00BA7D39" w:rsidRDefault="00B75952" w:rsidP="00B75952">
            <w:pPr>
              <w:spacing w:before="0" w:after="0"/>
              <w:rPr>
                <w:rFonts w:ascii="Arial" w:hAnsi="Arial" w:cs="Arial"/>
                <w:b/>
                <w:bCs/>
                <w:color w:val="000000"/>
                <w:sz w:val="16"/>
                <w:szCs w:val="16"/>
                <w:lang w:val="en-AU" w:eastAsia="en-AU"/>
              </w:rPr>
            </w:pPr>
          </w:p>
        </w:tc>
        <w:tc>
          <w:tcPr>
            <w:tcW w:w="1200" w:type="dxa"/>
            <w:gridSpan w:val="2"/>
            <w:vMerge/>
            <w:tcBorders>
              <w:top w:val="double" w:sz="6" w:space="0" w:color="auto"/>
              <w:left w:val="single" w:sz="4" w:space="0" w:color="auto"/>
              <w:bottom w:val="single" w:sz="4" w:space="0" w:color="BFBFBF"/>
              <w:right w:val="single" w:sz="4" w:space="0" w:color="000000"/>
            </w:tcBorders>
            <w:vAlign w:val="center"/>
          </w:tcPr>
          <w:p w14:paraId="1C93B162" w14:textId="77777777" w:rsidR="00B75952" w:rsidRPr="00BA7D39" w:rsidRDefault="00B75952" w:rsidP="00B75952">
            <w:pPr>
              <w:spacing w:before="0" w:after="0"/>
              <w:rPr>
                <w:rFonts w:ascii="Arial" w:hAnsi="Arial" w:cs="Arial"/>
                <w:b/>
                <w:bCs/>
                <w:color w:val="000000"/>
                <w:sz w:val="16"/>
                <w:szCs w:val="16"/>
                <w:lang w:val="en-AU" w:eastAsia="en-AU"/>
              </w:rPr>
            </w:pPr>
          </w:p>
        </w:tc>
        <w:tc>
          <w:tcPr>
            <w:tcW w:w="1200" w:type="dxa"/>
            <w:gridSpan w:val="2"/>
            <w:vMerge/>
            <w:tcBorders>
              <w:top w:val="double" w:sz="6" w:space="0" w:color="auto"/>
              <w:left w:val="single" w:sz="4" w:space="0" w:color="auto"/>
              <w:bottom w:val="single" w:sz="4" w:space="0" w:color="BFBFBF"/>
              <w:right w:val="single" w:sz="4" w:space="0" w:color="000000"/>
            </w:tcBorders>
            <w:vAlign w:val="center"/>
          </w:tcPr>
          <w:p w14:paraId="6908BE89" w14:textId="77777777" w:rsidR="00B75952" w:rsidRPr="00BA7D39" w:rsidRDefault="00B75952" w:rsidP="00B75952">
            <w:pPr>
              <w:spacing w:before="0" w:after="0"/>
              <w:rPr>
                <w:rFonts w:ascii="Arial" w:hAnsi="Arial" w:cs="Arial"/>
                <w:b/>
                <w:bCs/>
                <w:color w:val="000000"/>
                <w:sz w:val="16"/>
                <w:szCs w:val="16"/>
                <w:lang w:val="en-AU" w:eastAsia="en-AU"/>
              </w:rPr>
            </w:pPr>
          </w:p>
        </w:tc>
        <w:tc>
          <w:tcPr>
            <w:tcW w:w="1200" w:type="dxa"/>
            <w:gridSpan w:val="2"/>
            <w:vMerge/>
            <w:tcBorders>
              <w:top w:val="double" w:sz="6" w:space="0" w:color="auto"/>
              <w:left w:val="nil"/>
              <w:bottom w:val="single" w:sz="4" w:space="0" w:color="BFBFBF"/>
              <w:right w:val="double" w:sz="6" w:space="0" w:color="000000"/>
            </w:tcBorders>
            <w:vAlign w:val="center"/>
          </w:tcPr>
          <w:p w14:paraId="0F8287FB" w14:textId="77777777" w:rsidR="00B75952" w:rsidRPr="00BA7D39" w:rsidRDefault="00B75952" w:rsidP="00B75952">
            <w:pPr>
              <w:spacing w:before="0" w:after="0"/>
              <w:rPr>
                <w:rFonts w:ascii="Arial" w:hAnsi="Arial" w:cs="Arial"/>
                <w:b/>
                <w:bCs/>
                <w:color w:val="000000"/>
                <w:sz w:val="16"/>
                <w:szCs w:val="16"/>
                <w:lang w:val="en-AU" w:eastAsia="en-AU"/>
              </w:rPr>
            </w:pPr>
          </w:p>
        </w:tc>
      </w:tr>
      <w:tr w:rsidR="00B75952" w:rsidRPr="00BA7D39" w14:paraId="2C795962" w14:textId="77777777" w:rsidTr="00D10D53">
        <w:trPr>
          <w:trHeight w:val="225"/>
          <w:jc w:val="center"/>
        </w:trPr>
        <w:tc>
          <w:tcPr>
            <w:tcW w:w="2160" w:type="dxa"/>
            <w:vMerge/>
            <w:tcBorders>
              <w:top w:val="double" w:sz="6" w:space="0" w:color="auto"/>
              <w:left w:val="double" w:sz="6" w:space="0" w:color="auto"/>
              <w:bottom w:val="single" w:sz="4" w:space="0" w:color="BFBFBF"/>
              <w:right w:val="nil"/>
            </w:tcBorders>
            <w:vAlign w:val="center"/>
          </w:tcPr>
          <w:p w14:paraId="39ECC320" w14:textId="77777777" w:rsidR="00B75952" w:rsidRPr="00BA7D39" w:rsidRDefault="00B75952" w:rsidP="00B75952">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B06793E"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52661876"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2007</w:t>
            </w:r>
          </w:p>
        </w:tc>
        <w:tc>
          <w:tcPr>
            <w:tcW w:w="774" w:type="dxa"/>
            <w:tcBorders>
              <w:top w:val="nil"/>
              <w:left w:val="nil"/>
              <w:bottom w:val="single" w:sz="4" w:space="0" w:color="BFBFBF"/>
              <w:right w:val="single" w:sz="4" w:space="0" w:color="BFBFBF"/>
            </w:tcBorders>
            <w:shd w:val="clear" w:color="auto" w:fill="auto"/>
            <w:noWrap/>
            <w:vAlign w:val="center"/>
          </w:tcPr>
          <w:p w14:paraId="31C55803"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2014</w:t>
            </w:r>
          </w:p>
        </w:tc>
        <w:tc>
          <w:tcPr>
            <w:tcW w:w="741" w:type="dxa"/>
            <w:tcBorders>
              <w:top w:val="nil"/>
              <w:left w:val="nil"/>
              <w:bottom w:val="single" w:sz="4" w:space="0" w:color="BFBFBF"/>
              <w:right w:val="nil"/>
            </w:tcBorders>
            <w:shd w:val="clear" w:color="auto" w:fill="auto"/>
            <w:noWrap/>
            <w:vAlign w:val="center"/>
          </w:tcPr>
          <w:p w14:paraId="7ACE2934"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20F9FFC"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3C795632"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15EC993A"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30BF107A"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2CE7D9F6"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2014</w:t>
            </w:r>
          </w:p>
        </w:tc>
        <w:tc>
          <w:tcPr>
            <w:tcW w:w="600" w:type="dxa"/>
            <w:tcBorders>
              <w:top w:val="nil"/>
              <w:left w:val="nil"/>
              <w:bottom w:val="single" w:sz="4" w:space="0" w:color="BFBFBF"/>
              <w:right w:val="double" w:sz="6" w:space="0" w:color="auto"/>
            </w:tcBorders>
            <w:shd w:val="clear" w:color="auto" w:fill="auto"/>
            <w:noWrap/>
            <w:vAlign w:val="center"/>
          </w:tcPr>
          <w:p w14:paraId="55A16A56"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2007</w:t>
            </w:r>
          </w:p>
        </w:tc>
      </w:tr>
      <w:tr w:rsidR="00B75952" w:rsidRPr="00BA7D39" w14:paraId="126C0B2A"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4666CCE8" w14:textId="77777777" w:rsidR="00B75952" w:rsidRPr="00BA7D39" w:rsidRDefault="00B75952" w:rsidP="00B75952">
            <w:pPr>
              <w:spacing w:before="0" w:after="0"/>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By Concession Status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0CFC4FB"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6DC4D62E"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774" w:type="dxa"/>
            <w:tcBorders>
              <w:top w:val="nil"/>
              <w:left w:val="nil"/>
              <w:bottom w:val="single" w:sz="4" w:space="0" w:color="BFBFBF"/>
              <w:right w:val="single" w:sz="4" w:space="0" w:color="BFBFBF"/>
            </w:tcBorders>
            <w:shd w:val="clear" w:color="auto" w:fill="auto"/>
            <w:noWrap/>
            <w:vAlign w:val="center"/>
          </w:tcPr>
          <w:p w14:paraId="33598C70"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741" w:type="dxa"/>
            <w:tcBorders>
              <w:top w:val="nil"/>
              <w:left w:val="nil"/>
              <w:bottom w:val="single" w:sz="4" w:space="0" w:color="BFBFBF"/>
              <w:right w:val="nil"/>
            </w:tcBorders>
            <w:shd w:val="clear" w:color="auto" w:fill="auto"/>
            <w:noWrap/>
            <w:vAlign w:val="center"/>
          </w:tcPr>
          <w:p w14:paraId="0D6D638E"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8910146"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2DEAA73C"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1E1E633E"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0ED20F14"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2B9925AB"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2D46DBD3" w14:textId="77777777" w:rsidR="00B75952" w:rsidRPr="00BA7D39" w:rsidRDefault="00B75952" w:rsidP="00D10D53">
            <w:pPr>
              <w:spacing w:before="0" w:after="0"/>
              <w:jc w:val="center"/>
              <w:rPr>
                <w:rFonts w:ascii="Arial" w:hAnsi="Arial" w:cs="Arial"/>
                <w:color w:val="000000"/>
                <w:sz w:val="16"/>
                <w:szCs w:val="16"/>
                <w:lang w:val="en-AU" w:eastAsia="en-AU"/>
              </w:rPr>
            </w:pPr>
          </w:p>
        </w:tc>
      </w:tr>
      <w:tr w:rsidR="00B75952" w:rsidRPr="00BA7D39" w14:paraId="503C8346"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55F5181B" w14:textId="77777777" w:rsidR="00B75952" w:rsidRPr="00BA7D39" w:rsidRDefault="00B75952" w:rsidP="00B75952">
            <w:pPr>
              <w:spacing w:before="0" w:after="0"/>
              <w:ind w:firstLineChars="100" w:firstLine="160"/>
              <w:rPr>
                <w:rFonts w:ascii="Arial" w:hAnsi="Arial" w:cs="Arial"/>
                <w:color w:val="000000"/>
                <w:sz w:val="16"/>
                <w:szCs w:val="16"/>
                <w:lang w:val="en-AU" w:eastAsia="en-AU"/>
              </w:rPr>
            </w:pPr>
            <w:r w:rsidRPr="00BA7D39">
              <w:rPr>
                <w:rFonts w:ascii="Arial" w:hAnsi="Arial" w:cs="Arial"/>
                <w:color w:val="000000"/>
                <w:sz w:val="16"/>
                <w:szCs w:val="16"/>
                <w:lang w:val="en-AU" w:eastAsia="en-AU"/>
              </w:rPr>
              <w:t>Aged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6AAB972"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80%</w:t>
            </w:r>
          </w:p>
        </w:tc>
        <w:tc>
          <w:tcPr>
            <w:tcW w:w="600" w:type="dxa"/>
            <w:tcBorders>
              <w:top w:val="nil"/>
              <w:left w:val="nil"/>
              <w:bottom w:val="single" w:sz="4" w:space="0" w:color="BFBFBF"/>
              <w:right w:val="single" w:sz="4" w:space="0" w:color="auto"/>
            </w:tcBorders>
            <w:shd w:val="clear" w:color="auto" w:fill="auto"/>
            <w:noWrap/>
            <w:vAlign w:val="center"/>
          </w:tcPr>
          <w:p w14:paraId="4E992AFF"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84%</w:t>
            </w:r>
          </w:p>
        </w:tc>
        <w:tc>
          <w:tcPr>
            <w:tcW w:w="774" w:type="dxa"/>
            <w:tcBorders>
              <w:top w:val="nil"/>
              <w:left w:val="nil"/>
              <w:bottom w:val="single" w:sz="4" w:space="0" w:color="BFBFBF"/>
              <w:right w:val="single" w:sz="4" w:space="0" w:color="BFBFBF"/>
            </w:tcBorders>
            <w:shd w:val="clear" w:color="auto" w:fill="auto"/>
            <w:noWrap/>
            <w:vAlign w:val="center"/>
          </w:tcPr>
          <w:p w14:paraId="651357A5"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741" w:type="dxa"/>
            <w:tcBorders>
              <w:top w:val="nil"/>
              <w:left w:val="nil"/>
              <w:bottom w:val="single" w:sz="4" w:space="0" w:color="BFBFBF"/>
              <w:right w:val="nil"/>
            </w:tcBorders>
            <w:shd w:val="clear" w:color="auto" w:fill="auto"/>
            <w:noWrap/>
            <w:vAlign w:val="center"/>
          </w:tcPr>
          <w:p w14:paraId="32163B12"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9E4EB1F"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auto"/>
            </w:tcBorders>
            <w:shd w:val="clear" w:color="auto" w:fill="auto"/>
            <w:noWrap/>
            <w:vAlign w:val="center"/>
          </w:tcPr>
          <w:p w14:paraId="7E1CC5F8"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13%</w:t>
            </w:r>
          </w:p>
        </w:tc>
        <w:tc>
          <w:tcPr>
            <w:tcW w:w="600" w:type="dxa"/>
            <w:tcBorders>
              <w:top w:val="nil"/>
              <w:left w:val="nil"/>
              <w:bottom w:val="single" w:sz="4" w:space="0" w:color="BFBFBF"/>
              <w:right w:val="single" w:sz="4" w:space="0" w:color="BFBFBF"/>
            </w:tcBorders>
            <w:shd w:val="clear" w:color="auto" w:fill="auto"/>
            <w:noWrap/>
            <w:vAlign w:val="center"/>
          </w:tcPr>
          <w:p w14:paraId="30E3C6C3"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auto"/>
            </w:tcBorders>
            <w:shd w:val="clear" w:color="auto" w:fill="auto"/>
            <w:noWrap/>
            <w:vAlign w:val="center"/>
          </w:tcPr>
          <w:p w14:paraId="2D4CF07F"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7BB300D0"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1D33331C"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r>
      <w:tr w:rsidR="00B75952" w:rsidRPr="00BA7D39" w14:paraId="06E28081"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3C8506EC" w14:textId="77777777" w:rsidR="00B75952" w:rsidRPr="00BA7D39" w:rsidRDefault="00B75952" w:rsidP="00B75952">
            <w:pPr>
              <w:spacing w:before="0" w:after="0"/>
              <w:ind w:firstLineChars="100" w:firstLine="160"/>
              <w:rPr>
                <w:rFonts w:ascii="Arial" w:hAnsi="Arial" w:cs="Arial"/>
                <w:color w:val="000000"/>
                <w:sz w:val="16"/>
                <w:szCs w:val="16"/>
                <w:lang w:val="en-AU" w:eastAsia="en-AU"/>
              </w:rPr>
            </w:pPr>
            <w:r w:rsidRPr="00BA7D39">
              <w:rPr>
                <w:rFonts w:ascii="Arial" w:hAnsi="Arial" w:cs="Arial"/>
                <w:color w:val="000000"/>
                <w:sz w:val="16"/>
                <w:szCs w:val="16"/>
                <w:lang w:val="en-AU" w:eastAsia="en-AU"/>
              </w:rPr>
              <w:t>Other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6675430"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74%</w:t>
            </w:r>
          </w:p>
        </w:tc>
        <w:tc>
          <w:tcPr>
            <w:tcW w:w="600" w:type="dxa"/>
            <w:tcBorders>
              <w:top w:val="nil"/>
              <w:left w:val="nil"/>
              <w:bottom w:val="single" w:sz="4" w:space="0" w:color="BFBFBF"/>
              <w:right w:val="single" w:sz="4" w:space="0" w:color="auto"/>
            </w:tcBorders>
            <w:shd w:val="clear" w:color="auto" w:fill="auto"/>
            <w:noWrap/>
            <w:vAlign w:val="center"/>
          </w:tcPr>
          <w:p w14:paraId="5515A814"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80%</w:t>
            </w:r>
          </w:p>
        </w:tc>
        <w:tc>
          <w:tcPr>
            <w:tcW w:w="774" w:type="dxa"/>
            <w:tcBorders>
              <w:top w:val="nil"/>
              <w:left w:val="nil"/>
              <w:bottom w:val="single" w:sz="4" w:space="0" w:color="BFBFBF"/>
              <w:right w:val="single" w:sz="4" w:space="0" w:color="BFBFBF"/>
            </w:tcBorders>
            <w:shd w:val="clear" w:color="auto" w:fill="auto"/>
            <w:noWrap/>
            <w:vAlign w:val="center"/>
          </w:tcPr>
          <w:p w14:paraId="3ADDDDA9"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741" w:type="dxa"/>
            <w:tcBorders>
              <w:top w:val="nil"/>
              <w:left w:val="nil"/>
              <w:bottom w:val="single" w:sz="4" w:space="0" w:color="BFBFBF"/>
              <w:right w:val="nil"/>
            </w:tcBorders>
            <w:shd w:val="clear" w:color="auto" w:fill="auto"/>
            <w:noWrap/>
            <w:vAlign w:val="center"/>
          </w:tcPr>
          <w:p w14:paraId="6C8D606D"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6B9331B"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auto"/>
            </w:tcBorders>
            <w:shd w:val="clear" w:color="auto" w:fill="auto"/>
            <w:noWrap/>
            <w:vAlign w:val="center"/>
          </w:tcPr>
          <w:p w14:paraId="09EA4FE1"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BFBFBF"/>
            </w:tcBorders>
            <w:shd w:val="clear" w:color="auto" w:fill="auto"/>
            <w:noWrap/>
            <w:vAlign w:val="center"/>
          </w:tcPr>
          <w:p w14:paraId="7D071FA2"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14%</w:t>
            </w:r>
          </w:p>
        </w:tc>
        <w:tc>
          <w:tcPr>
            <w:tcW w:w="600" w:type="dxa"/>
            <w:tcBorders>
              <w:top w:val="nil"/>
              <w:left w:val="nil"/>
              <w:bottom w:val="single" w:sz="4" w:space="0" w:color="BFBFBF"/>
              <w:right w:val="single" w:sz="4" w:space="0" w:color="auto"/>
            </w:tcBorders>
            <w:shd w:val="clear" w:color="auto" w:fill="auto"/>
            <w:noWrap/>
            <w:vAlign w:val="center"/>
          </w:tcPr>
          <w:p w14:paraId="15559333"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BFBFBF"/>
            </w:tcBorders>
            <w:shd w:val="clear" w:color="auto" w:fill="auto"/>
            <w:noWrap/>
            <w:vAlign w:val="center"/>
          </w:tcPr>
          <w:p w14:paraId="0EFCBD0F"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10ED9E67"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3%</w:t>
            </w:r>
          </w:p>
        </w:tc>
      </w:tr>
      <w:tr w:rsidR="00B75952" w:rsidRPr="00BA7D39" w14:paraId="792567F1"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3A689959" w14:textId="77777777" w:rsidR="00B75952" w:rsidRPr="00BA7D39" w:rsidRDefault="00B75952" w:rsidP="00B75952">
            <w:pPr>
              <w:spacing w:before="0" w:after="0"/>
              <w:ind w:firstLineChars="100" w:firstLine="160"/>
              <w:rPr>
                <w:rFonts w:ascii="Arial" w:hAnsi="Arial" w:cs="Arial"/>
                <w:color w:val="000000"/>
                <w:sz w:val="16"/>
                <w:szCs w:val="16"/>
                <w:lang w:val="en-AU" w:eastAsia="en-AU"/>
              </w:rPr>
            </w:pPr>
            <w:r w:rsidRPr="00BA7D39">
              <w:rPr>
                <w:rFonts w:ascii="Arial" w:hAnsi="Arial" w:cs="Arial"/>
                <w:color w:val="000000"/>
                <w:sz w:val="16"/>
                <w:szCs w:val="16"/>
                <w:lang w:val="en-AU" w:eastAsia="en-AU"/>
              </w:rPr>
              <w:t>Total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9CFC5EB"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77%</w:t>
            </w:r>
          </w:p>
        </w:tc>
        <w:tc>
          <w:tcPr>
            <w:tcW w:w="600" w:type="dxa"/>
            <w:tcBorders>
              <w:top w:val="nil"/>
              <w:left w:val="nil"/>
              <w:bottom w:val="single" w:sz="4" w:space="0" w:color="BFBFBF"/>
              <w:right w:val="single" w:sz="4" w:space="0" w:color="auto"/>
            </w:tcBorders>
            <w:shd w:val="clear" w:color="auto" w:fill="auto"/>
            <w:noWrap/>
            <w:vAlign w:val="center"/>
          </w:tcPr>
          <w:p w14:paraId="12E8B95E"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82%</w:t>
            </w:r>
          </w:p>
        </w:tc>
        <w:tc>
          <w:tcPr>
            <w:tcW w:w="774" w:type="dxa"/>
            <w:tcBorders>
              <w:top w:val="nil"/>
              <w:left w:val="nil"/>
              <w:bottom w:val="single" w:sz="4" w:space="0" w:color="BFBFBF"/>
              <w:right w:val="single" w:sz="4" w:space="0" w:color="BFBFBF"/>
            </w:tcBorders>
            <w:shd w:val="clear" w:color="auto" w:fill="auto"/>
            <w:noWrap/>
            <w:vAlign w:val="center"/>
          </w:tcPr>
          <w:p w14:paraId="051BFB55"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741" w:type="dxa"/>
            <w:tcBorders>
              <w:top w:val="nil"/>
              <w:left w:val="nil"/>
              <w:bottom w:val="single" w:sz="4" w:space="0" w:color="BFBFBF"/>
              <w:right w:val="nil"/>
            </w:tcBorders>
            <w:shd w:val="clear" w:color="auto" w:fill="auto"/>
            <w:noWrap/>
            <w:vAlign w:val="center"/>
          </w:tcPr>
          <w:p w14:paraId="1D85977D"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9116550" w14:textId="77777777" w:rsidR="00B75952" w:rsidRPr="00BA7D39" w:rsidRDefault="00BA7D39"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9</w:t>
            </w:r>
            <w:r w:rsidR="00B75952" w:rsidRPr="00BA7D39">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1B686BCE"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12%</w:t>
            </w:r>
          </w:p>
        </w:tc>
        <w:tc>
          <w:tcPr>
            <w:tcW w:w="600" w:type="dxa"/>
            <w:tcBorders>
              <w:top w:val="nil"/>
              <w:left w:val="nil"/>
              <w:bottom w:val="single" w:sz="4" w:space="0" w:color="BFBFBF"/>
              <w:right w:val="single" w:sz="4" w:space="0" w:color="BFBFBF"/>
            </w:tcBorders>
            <w:shd w:val="clear" w:color="auto" w:fill="auto"/>
            <w:noWrap/>
            <w:vAlign w:val="center"/>
          </w:tcPr>
          <w:p w14:paraId="0FFC8B17"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11%</w:t>
            </w:r>
          </w:p>
        </w:tc>
        <w:tc>
          <w:tcPr>
            <w:tcW w:w="600" w:type="dxa"/>
            <w:tcBorders>
              <w:top w:val="nil"/>
              <w:left w:val="nil"/>
              <w:bottom w:val="single" w:sz="4" w:space="0" w:color="BFBFBF"/>
              <w:right w:val="single" w:sz="4" w:space="0" w:color="auto"/>
            </w:tcBorders>
            <w:shd w:val="clear" w:color="auto" w:fill="auto"/>
            <w:noWrap/>
            <w:vAlign w:val="center"/>
          </w:tcPr>
          <w:p w14:paraId="6670AF3F"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0BFFDF14"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721DB7E9"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2%</w:t>
            </w:r>
          </w:p>
        </w:tc>
      </w:tr>
      <w:tr w:rsidR="00B75952" w:rsidRPr="00BA7D39" w14:paraId="6A329DA0"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2B1183F6" w14:textId="77777777" w:rsidR="00B75952" w:rsidRPr="00BA7D39" w:rsidRDefault="00B75952" w:rsidP="00B75952">
            <w:pPr>
              <w:spacing w:before="0" w:after="0"/>
              <w:ind w:firstLineChars="100" w:firstLine="160"/>
              <w:rPr>
                <w:rFonts w:ascii="Arial" w:hAnsi="Arial" w:cs="Arial"/>
                <w:color w:val="000000"/>
                <w:sz w:val="16"/>
                <w:szCs w:val="16"/>
                <w:lang w:val="en-AU" w:eastAsia="en-AU"/>
              </w:rPr>
            </w:pPr>
            <w:r w:rsidRPr="00BA7D39">
              <w:rPr>
                <w:rFonts w:ascii="Arial" w:hAnsi="Arial" w:cs="Arial"/>
                <w:color w:val="000000"/>
                <w:sz w:val="16"/>
                <w:szCs w:val="16"/>
                <w:lang w:val="en-AU" w:eastAsia="en-AU"/>
              </w:rPr>
              <w:t>Non-Concession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A002E23"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82%</w:t>
            </w:r>
          </w:p>
        </w:tc>
        <w:tc>
          <w:tcPr>
            <w:tcW w:w="600" w:type="dxa"/>
            <w:tcBorders>
              <w:top w:val="nil"/>
              <w:left w:val="nil"/>
              <w:bottom w:val="single" w:sz="4" w:space="0" w:color="BFBFBF"/>
              <w:right w:val="single" w:sz="4" w:space="0" w:color="auto"/>
            </w:tcBorders>
            <w:shd w:val="clear" w:color="auto" w:fill="auto"/>
            <w:noWrap/>
            <w:vAlign w:val="center"/>
          </w:tcPr>
          <w:p w14:paraId="53F6D047"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87%</w:t>
            </w:r>
          </w:p>
        </w:tc>
        <w:tc>
          <w:tcPr>
            <w:tcW w:w="774" w:type="dxa"/>
            <w:tcBorders>
              <w:top w:val="nil"/>
              <w:left w:val="nil"/>
              <w:bottom w:val="single" w:sz="4" w:space="0" w:color="BFBFBF"/>
              <w:right w:val="single" w:sz="4" w:space="0" w:color="BFBFBF"/>
            </w:tcBorders>
            <w:shd w:val="clear" w:color="auto" w:fill="auto"/>
            <w:noWrap/>
            <w:vAlign w:val="center"/>
          </w:tcPr>
          <w:p w14:paraId="3EA10C49"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741" w:type="dxa"/>
            <w:tcBorders>
              <w:top w:val="nil"/>
              <w:left w:val="nil"/>
              <w:bottom w:val="single" w:sz="4" w:space="0" w:color="BFBFBF"/>
              <w:right w:val="nil"/>
            </w:tcBorders>
            <w:shd w:val="clear" w:color="auto" w:fill="auto"/>
            <w:noWrap/>
            <w:vAlign w:val="center"/>
          </w:tcPr>
          <w:p w14:paraId="436113DA"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E436909"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7B216C1C"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BFBFBF"/>
            </w:tcBorders>
            <w:shd w:val="clear" w:color="auto" w:fill="auto"/>
            <w:noWrap/>
            <w:vAlign w:val="center"/>
          </w:tcPr>
          <w:p w14:paraId="4C3D7977"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6D69977B"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06E52DF1"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21202B87"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r>
      <w:tr w:rsidR="00B75952" w:rsidRPr="00BA7D39" w14:paraId="6A8675B6"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32D5FD2F" w14:textId="77777777" w:rsidR="00B75952" w:rsidRPr="00BA7D39" w:rsidRDefault="00B75952" w:rsidP="00B75952">
            <w:pPr>
              <w:spacing w:before="0" w:after="0"/>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By Date Built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65EC9CB" w14:textId="77777777" w:rsidR="00B75952" w:rsidRPr="00BA7D39" w:rsidRDefault="00B75952" w:rsidP="00D10D53">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0D7042CC"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774" w:type="dxa"/>
            <w:tcBorders>
              <w:top w:val="nil"/>
              <w:left w:val="nil"/>
              <w:bottom w:val="single" w:sz="4" w:space="0" w:color="BFBFBF"/>
              <w:right w:val="single" w:sz="4" w:space="0" w:color="BFBFBF"/>
            </w:tcBorders>
            <w:shd w:val="clear" w:color="auto" w:fill="auto"/>
            <w:noWrap/>
            <w:vAlign w:val="center"/>
          </w:tcPr>
          <w:p w14:paraId="26BF3B9E"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741" w:type="dxa"/>
            <w:tcBorders>
              <w:top w:val="nil"/>
              <w:left w:val="nil"/>
              <w:bottom w:val="single" w:sz="4" w:space="0" w:color="BFBFBF"/>
              <w:right w:val="nil"/>
            </w:tcBorders>
            <w:shd w:val="clear" w:color="auto" w:fill="auto"/>
            <w:noWrap/>
            <w:vAlign w:val="center"/>
          </w:tcPr>
          <w:p w14:paraId="115ED605"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E454B70"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436C0EC9"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237FFBAE"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7FE700B3"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5C12BF99" w14:textId="77777777" w:rsidR="00B75952" w:rsidRPr="00BA7D39" w:rsidRDefault="00B75952" w:rsidP="00D10D53">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564D3210" w14:textId="77777777" w:rsidR="00B75952" w:rsidRPr="00BA7D39" w:rsidRDefault="00B75952" w:rsidP="00D10D53">
            <w:pPr>
              <w:spacing w:before="0" w:after="0"/>
              <w:jc w:val="center"/>
              <w:rPr>
                <w:rFonts w:ascii="Arial" w:hAnsi="Arial" w:cs="Arial"/>
                <w:color w:val="000000"/>
                <w:sz w:val="16"/>
                <w:szCs w:val="16"/>
                <w:lang w:val="en-AU" w:eastAsia="en-AU"/>
              </w:rPr>
            </w:pPr>
          </w:p>
        </w:tc>
      </w:tr>
      <w:tr w:rsidR="00B75952" w:rsidRPr="00BA7D39" w14:paraId="7A2D332A"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435EC885" w14:textId="77777777" w:rsidR="00B75952" w:rsidRPr="00BA7D39" w:rsidRDefault="00B75952" w:rsidP="00B75952">
            <w:pPr>
              <w:spacing w:before="0" w:after="0"/>
              <w:ind w:firstLineChars="100" w:firstLine="160"/>
              <w:rPr>
                <w:rFonts w:ascii="Arial" w:hAnsi="Arial" w:cs="Arial"/>
                <w:color w:val="000000"/>
                <w:sz w:val="16"/>
                <w:szCs w:val="16"/>
                <w:lang w:val="en-AU" w:eastAsia="en-AU"/>
              </w:rPr>
            </w:pPr>
            <w:r w:rsidRPr="00BA7D39">
              <w:rPr>
                <w:rFonts w:ascii="Arial" w:hAnsi="Arial" w:cs="Arial"/>
                <w:color w:val="000000"/>
                <w:sz w:val="16"/>
                <w:szCs w:val="16"/>
                <w:lang w:val="en-AU" w:eastAsia="en-AU"/>
              </w:rPr>
              <w:t>After 2004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63F6465"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72%</w:t>
            </w:r>
          </w:p>
        </w:tc>
        <w:tc>
          <w:tcPr>
            <w:tcW w:w="600" w:type="dxa"/>
            <w:tcBorders>
              <w:top w:val="nil"/>
              <w:left w:val="nil"/>
              <w:bottom w:val="single" w:sz="4" w:space="0" w:color="BFBFBF"/>
              <w:right w:val="single" w:sz="4" w:space="0" w:color="auto"/>
            </w:tcBorders>
            <w:shd w:val="clear" w:color="auto" w:fill="auto"/>
            <w:noWrap/>
            <w:vAlign w:val="center"/>
          </w:tcPr>
          <w:p w14:paraId="68FB3481"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84%</w:t>
            </w:r>
          </w:p>
        </w:tc>
        <w:tc>
          <w:tcPr>
            <w:tcW w:w="774" w:type="dxa"/>
            <w:tcBorders>
              <w:top w:val="nil"/>
              <w:left w:val="nil"/>
              <w:bottom w:val="single" w:sz="4" w:space="0" w:color="BFBFBF"/>
              <w:right w:val="single" w:sz="4" w:space="0" w:color="BFBFBF"/>
            </w:tcBorders>
            <w:shd w:val="clear" w:color="auto" w:fill="auto"/>
            <w:noWrap/>
            <w:vAlign w:val="center"/>
          </w:tcPr>
          <w:p w14:paraId="081A3373"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741" w:type="dxa"/>
            <w:tcBorders>
              <w:top w:val="nil"/>
              <w:left w:val="nil"/>
              <w:bottom w:val="single" w:sz="4" w:space="0" w:color="BFBFBF"/>
              <w:right w:val="nil"/>
            </w:tcBorders>
            <w:shd w:val="clear" w:color="auto" w:fill="auto"/>
            <w:noWrap/>
            <w:vAlign w:val="center"/>
          </w:tcPr>
          <w:p w14:paraId="70347C8B"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89AE26C"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13%</w:t>
            </w:r>
          </w:p>
        </w:tc>
        <w:tc>
          <w:tcPr>
            <w:tcW w:w="600" w:type="dxa"/>
            <w:tcBorders>
              <w:top w:val="nil"/>
              <w:left w:val="nil"/>
              <w:bottom w:val="single" w:sz="4" w:space="0" w:color="BFBFBF"/>
              <w:right w:val="single" w:sz="4" w:space="0" w:color="auto"/>
            </w:tcBorders>
            <w:shd w:val="clear" w:color="auto" w:fill="auto"/>
            <w:noWrap/>
            <w:vAlign w:val="center"/>
          </w:tcPr>
          <w:p w14:paraId="58ED21E0"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16%</w:t>
            </w:r>
          </w:p>
        </w:tc>
        <w:tc>
          <w:tcPr>
            <w:tcW w:w="600" w:type="dxa"/>
            <w:tcBorders>
              <w:top w:val="nil"/>
              <w:left w:val="nil"/>
              <w:bottom w:val="single" w:sz="4" w:space="0" w:color="BFBFBF"/>
              <w:right w:val="single" w:sz="4" w:space="0" w:color="BFBFBF"/>
            </w:tcBorders>
            <w:shd w:val="clear" w:color="auto" w:fill="auto"/>
            <w:noWrap/>
            <w:vAlign w:val="center"/>
          </w:tcPr>
          <w:p w14:paraId="1C3963A5"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auto"/>
            </w:tcBorders>
            <w:shd w:val="clear" w:color="auto" w:fill="auto"/>
            <w:noWrap/>
            <w:vAlign w:val="center"/>
          </w:tcPr>
          <w:p w14:paraId="60B07F8A"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6E19BFB9"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6CDD204E"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r>
      <w:tr w:rsidR="00B75952" w:rsidRPr="00BA7D39" w14:paraId="2D23A227"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3310C294" w14:textId="77777777" w:rsidR="00B75952" w:rsidRPr="00BA7D39" w:rsidRDefault="00B75952" w:rsidP="00B75952">
            <w:pPr>
              <w:spacing w:before="0" w:after="0"/>
              <w:ind w:firstLineChars="100" w:firstLine="160"/>
              <w:rPr>
                <w:rFonts w:ascii="Arial" w:hAnsi="Arial" w:cs="Arial"/>
                <w:color w:val="000000"/>
                <w:sz w:val="16"/>
                <w:szCs w:val="16"/>
                <w:lang w:val="en-AU" w:eastAsia="en-AU"/>
              </w:rPr>
            </w:pPr>
            <w:r w:rsidRPr="00BA7D39">
              <w:rPr>
                <w:rFonts w:ascii="Arial" w:hAnsi="Arial" w:cs="Arial"/>
                <w:color w:val="000000"/>
                <w:sz w:val="16"/>
                <w:szCs w:val="16"/>
                <w:lang w:val="en-AU" w:eastAsia="en-AU"/>
              </w:rPr>
              <w:t>1991 to 2004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5056608" w14:textId="77777777" w:rsidR="00B75952" w:rsidRPr="00BA7D39" w:rsidRDefault="00B75952" w:rsidP="00BA7D39">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7</w:t>
            </w:r>
            <w:r w:rsidR="00BA7D39" w:rsidRPr="00BA7D39">
              <w:rPr>
                <w:rFonts w:ascii="Arial" w:hAnsi="Arial" w:cs="Arial"/>
                <w:color w:val="000000"/>
                <w:sz w:val="16"/>
                <w:szCs w:val="16"/>
                <w:lang w:val="en-AU" w:eastAsia="en-AU"/>
              </w:rPr>
              <w:t>5</w:t>
            </w:r>
            <w:r w:rsidRPr="00BA7D39">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B281892"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81%</w:t>
            </w:r>
          </w:p>
        </w:tc>
        <w:tc>
          <w:tcPr>
            <w:tcW w:w="774" w:type="dxa"/>
            <w:tcBorders>
              <w:top w:val="nil"/>
              <w:left w:val="nil"/>
              <w:bottom w:val="single" w:sz="4" w:space="0" w:color="BFBFBF"/>
              <w:right w:val="single" w:sz="4" w:space="0" w:color="BFBFBF"/>
            </w:tcBorders>
            <w:shd w:val="clear" w:color="auto" w:fill="auto"/>
            <w:noWrap/>
            <w:vAlign w:val="center"/>
          </w:tcPr>
          <w:p w14:paraId="2C4386CF"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741" w:type="dxa"/>
            <w:tcBorders>
              <w:top w:val="nil"/>
              <w:left w:val="nil"/>
              <w:bottom w:val="single" w:sz="4" w:space="0" w:color="BFBFBF"/>
              <w:right w:val="nil"/>
            </w:tcBorders>
            <w:shd w:val="clear" w:color="auto" w:fill="auto"/>
            <w:noWrap/>
            <w:vAlign w:val="center"/>
          </w:tcPr>
          <w:p w14:paraId="35979103"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2A2E374"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auto"/>
            </w:tcBorders>
            <w:shd w:val="clear" w:color="auto" w:fill="auto"/>
            <w:noWrap/>
            <w:vAlign w:val="center"/>
          </w:tcPr>
          <w:p w14:paraId="0DFC97EF"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17%</w:t>
            </w:r>
          </w:p>
        </w:tc>
        <w:tc>
          <w:tcPr>
            <w:tcW w:w="600" w:type="dxa"/>
            <w:tcBorders>
              <w:top w:val="nil"/>
              <w:left w:val="nil"/>
              <w:bottom w:val="single" w:sz="4" w:space="0" w:color="BFBFBF"/>
              <w:right w:val="single" w:sz="4" w:space="0" w:color="BFBFBF"/>
            </w:tcBorders>
            <w:shd w:val="clear" w:color="auto" w:fill="auto"/>
            <w:noWrap/>
            <w:vAlign w:val="center"/>
          </w:tcPr>
          <w:p w14:paraId="2E5D678B"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auto"/>
            </w:tcBorders>
            <w:shd w:val="clear" w:color="auto" w:fill="auto"/>
            <w:noWrap/>
            <w:vAlign w:val="center"/>
          </w:tcPr>
          <w:p w14:paraId="505A106B"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2A34B94E"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43B5B669"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r>
      <w:tr w:rsidR="00B75952" w:rsidRPr="00BA7D39" w14:paraId="64B0E95B" w14:textId="77777777" w:rsidTr="00D10D53">
        <w:trPr>
          <w:trHeight w:val="225"/>
          <w:jc w:val="center"/>
        </w:trPr>
        <w:tc>
          <w:tcPr>
            <w:tcW w:w="2160" w:type="dxa"/>
            <w:tcBorders>
              <w:top w:val="nil"/>
              <w:left w:val="double" w:sz="6" w:space="0" w:color="auto"/>
              <w:bottom w:val="single" w:sz="4" w:space="0" w:color="BFBFBF"/>
              <w:right w:val="nil"/>
            </w:tcBorders>
            <w:shd w:val="clear" w:color="auto" w:fill="auto"/>
            <w:noWrap/>
            <w:vAlign w:val="center"/>
          </w:tcPr>
          <w:p w14:paraId="4B107AFF" w14:textId="77777777" w:rsidR="00B75952" w:rsidRPr="00BA7D39" w:rsidRDefault="00B75952" w:rsidP="00B75952">
            <w:pPr>
              <w:spacing w:before="0" w:after="0"/>
              <w:ind w:firstLineChars="100" w:firstLine="160"/>
              <w:rPr>
                <w:rFonts w:ascii="Arial" w:hAnsi="Arial" w:cs="Arial"/>
                <w:color w:val="000000"/>
                <w:sz w:val="16"/>
                <w:szCs w:val="16"/>
                <w:lang w:val="en-AU" w:eastAsia="en-AU"/>
              </w:rPr>
            </w:pPr>
            <w:r w:rsidRPr="00BA7D39">
              <w:rPr>
                <w:rFonts w:ascii="Arial" w:hAnsi="Arial" w:cs="Arial"/>
                <w:color w:val="000000"/>
                <w:sz w:val="16"/>
                <w:szCs w:val="16"/>
                <w:lang w:val="en-AU" w:eastAsia="en-AU"/>
              </w:rPr>
              <w:t>Before 1991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24B77C1"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84%</w:t>
            </w:r>
          </w:p>
        </w:tc>
        <w:tc>
          <w:tcPr>
            <w:tcW w:w="600" w:type="dxa"/>
            <w:tcBorders>
              <w:top w:val="nil"/>
              <w:left w:val="nil"/>
              <w:bottom w:val="single" w:sz="4" w:space="0" w:color="BFBFBF"/>
              <w:right w:val="single" w:sz="4" w:space="0" w:color="auto"/>
            </w:tcBorders>
            <w:shd w:val="clear" w:color="auto" w:fill="auto"/>
            <w:noWrap/>
            <w:vAlign w:val="center"/>
          </w:tcPr>
          <w:p w14:paraId="343E0F44"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87%</w:t>
            </w:r>
          </w:p>
        </w:tc>
        <w:tc>
          <w:tcPr>
            <w:tcW w:w="774" w:type="dxa"/>
            <w:tcBorders>
              <w:top w:val="nil"/>
              <w:left w:val="nil"/>
              <w:bottom w:val="single" w:sz="4" w:space="0" w:color="BFBFBF"/>
              <w:right w:val="single" w:sz="4" w:space="0" w:color="BFBFBF"/>
            </w:tcBorders>
            <w:shd w:val="clear" w:color="auto" w:fill="auto"/>
            <w:noWrap/>
            <w:vAlign w:val="center"/>
          </w:tcPr>
          <w:p w14:paraId="4BDC699C"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741" w:type="dxa"/>
            <w:tcBorders>
              <w:top w:val="nil"/>
              <w:left w:val="nil"/>
              <w:bottom w:val="single" w:sz="4" w:space="0" w:color="BFBFBF"/>
              <w:right w:val="nil"/>
            </w:tcBorders>
            <w:shd w:val="clear" w:color="auto" w:fill="auto"/>
            <w:noWrap/>
            <w:vAlign w:val="center"/>
          </w:tcPr>
          <w:p w14:paraId="61CC7191"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B2DB717"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23D5F162"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BFBFBF"/>
            </w:tcBorders>
            <w:shd w:val="clear" w:color="auto" w:fill="auto"/>
            <w:noWrap/>
            <w:vAlign w:val="center"/>
          </w:tcPr>
          <w:p w14:paraId="6199F22C"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69EC7D50"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30906584"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2E9351AB" w14:textId="77777777" w:rsidR="00B75952" w:rsidRPr="00BA7D39" w:rsidRDefault="00B75952" w:rsidP="00D10D53">
            <w:pPr>
              <w:spacing w:before="0" w:after="0"/>
              <w:jc w:val="center"/>
              <w:rPr>
                <w:rFonts w:ascii="Arial" w:hAnsi="Arial" w:cs="Arial"/>
                <w:color w:val="000000"/>
                <w:sz w:val="16"/>
                <w:szCs w:val="16"/>
                <w:lang w:val="en-AU" w:eastAsia="en-AU"/>
              </w:rPr>
            </w:pPr>
            <w:r w:rsidRPr="00BA7D39">
              <w:rPr>
                <w:rFonts w:ascii="Arial" w:hAnsi="Arial" w:cs="Arial"/>
                <w:color w:val="000000"/>
                <w:sz w:val="16"/>
                <w:szCs w:val="16"/>
                <w:lang w:val="en-AU" w:eastAsia="en-AU"/>
              </w:rPr>
              <w:t>1%</w:t>
            </w:r>
          </w:p>
        </w:tc>
      </w:tr>
      <w:tr w:rsidR="00B75952" w:rsidRPr="00BA7D39" w14:paraId="14770C95" w14:textId="77777777" w:rsidTr="00D10D53">
        <w:trPr>
          <w:trHeight w:val="240"/>
          <w:jc w:val="center"/>
        </w:trPr>
        <w:tc>
          <w:tcPr>
            <w:tcW w:w="2160" w:type="dxa"/>
            <w:tcBorders>
              <w:top w:val="nil"/>
              <w:left w:val="double" w:sz="6" w:space="0" w:color="auto"/>
              <w:bottom w:val="double" w:sz="6" w:space="0" w:color="auto"/>
              <w:right w:val="nil"/>
            </w:tcBorders>
            <w:shd w:val="clear" w:color="auto" w:fill="auto"/>
            <w:noWrap/>
            <w:vAlign w:val="center"/>
          </w:tcPr>
          <w:p w14:paraId="71F538E6" w14:textId="77777777" w:rsidR="00B75952" w:rsidRPr="00BA7D39" w:rsidRDefault="00B75952" w:rsidP="00B75952">
            <w:pPr>
              <w:spacing w:before="0" w:after="0"/>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Total HHs</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6794BE85"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80%</w:t>
            </w:r>
          </w:p>
        </w:tc>
        <w:tc>
          <w:tcPr>
            <w:tcW w:w="600" w:type="dxa"/>
            <w:tcBorders>
              <w:top w:val="nil"/>
              <w:left w:val="nil"/>
              <w:bottom w:val="double" w:sz="6" w:space="0" w:color="auto"/>
              <w:right w:val="single" w:sz="4" w:space="0" w:color="auto"/>
            </w:tcBorders>
            <w:shd w:val="clear" w:color="auto" w:fill="auto"/>
            <w:noWrap/>
            <w:vAlign w:val="center"/>
          </w:tcPr>
          <w:p w14:paraId="505DF4F8"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85%</w:t>
            </w:r>
          </w:p>
        </w:tc>
        <w:tc>
          <w:tcPr>
            <w:tcW w:w="774" w:type="dxa"/>
            <w:tcBorders>
              <w:top w:val="nil"/>
              <w:left w:val="nil"/>
              <w:bottom w:val="double" w:sz="6" w:space="0" w:color="auto"/>
              <w:right w:val="single" w:sz="4" w:space="0" w:color="BFBFBF"/>
            </w:tcBorders>
            <w:shd w:val="clear" w:color="auto" w:fill="auto"/>
            <w:noWrap/>
            <w:vAlign w:val="center"/>
          </w:tcPr>
          <w:p w14:paraId="3F8BA336"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w:t>
            </w:r>
          </w:p>
        </w:tc>
        <w:tc>
          <w:tcPr>
            <w:tcW w:w="741" w:type="dxa"/>
            <w:tcBorders>
              <w:top w:val="nil"/>
              <w:left w:val="nil"/>
              <w:bottom w:val="double" w:sz="6" w:space="0" w:color="auto"/>
              <w:right w:val="nil"/>
            </w:tcBorders>
            <w:shd w:val="clear" w:color="auto" w:fill="auto"/>
            <w:noWrap/>
            <w:vAlign w:val="center"/>
          </w:tcPr>
          <w:p w14:paraId="6B0135A4"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2873CB6B"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8%</w:t>
            </w:r>
          </w:p>
        </w:tc>
        <w:tc>
          <w:tcPr>
            <w:tcW w:w="600" w:type="dxa"/>
            <w:tcBorders>
              <w:top w:val="nil"/>
              <w:left w:val="nil"/>
              <w:bottom w:val="double" w:sz="6" w:space="0" w:color="auto"/>
              <w:right w:val="single" w:sz="4" w:space="0" w:color="auto"/>
            </w:tcBorders>
            <w:shd w:val="clear" w:color="auto" w:fill="auto"/>
            <w:noWrap/>
            <w:vAlign w:val="center"/>
          </w:tcPr>
          <w:p w14:paraId="7D4F7EA4"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10%</w:t>
            </w:r>
          </w:p>
        </w:tc>
        <w:tc>
          <w:tcPr>
            <w:tcW w:w="600" w:type="dxa"/>
            <w:tcBorders>
              <w:top w:val="nil"/>
              <w:left w:val="nil"/>
              <w:bottom w:val="double" w:sz="6" w:space="0" w:color="auto"/>
              <w:right w:val="single" w:sz="4" w:space="0" w:color="BFBFBF"/>
            </w:tcBorders>
            <w:shd w:val="clear" w:color="auto" w:fill="auto"/>
            <w:noWrap/>
            <w:vAlign w:val="center"/>
          </w:tcPr>
          <w:p w14:paraId="6DBA5150"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8%</w:t>
            </w:r>
          </w:p>
        </w:tc>
        <w:tc>
          <w:tcPr>
            <w:tcW w:w="600" w:type="dxa"/>
            <w:tcBorders>
              <w:top w:val="nil"/>
              <w:left w:val="nil"/>
              <w:bottom w:val="double" w:sz="6" w:space="0" w:color="auto"/>
              <w:right w:val="single" w:sz="4" w:space="0" w:color="auto"/>
            </w:tcBorders>
            <w:shd w:val="clear" w:color="auto" w:fill="auto"/>
            <w:noWrap/>
            <w:vAlign w:val="center"/>
          </w:tcPr>
          <w:p w14:paraId="1FCE4E18"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4%</w:t>
            </w:r>
          </w:p>
        </w:tc>
        <w:tc>
          <w:tcPr>
            <w:tcW w:w="600" w:type="dxa"/>
            <w:tcBorders>
              <w:top w:val="nil"/>
              <w:left w:val="nil"/>
              <w:bottom w:val="double" w:sz="6" w:space="0" w:color="auto"/>
              <w:right w:val="single" w:sz="4" w:space="0" w:color="BFBFBF"/>
            </w:tcBorders>
            <w:shd w:val="clear" w:color="auto" w:fill="auto"/>
            <w:noWrap/>
            <w:vAlign w:val="center"/>
          </w:tcPr>
          <w:p w14:paraId="4896B514"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1%</w:t>
            </w:r>
          </w:p>
        </w:tc>
        <w:tc>
          <w:tcPr>
            <w:tcW w:w="600" w:type="dxa"/>
            <w:tcBorders>
              <w:top w:val="nil"/>
              <w:left w:val="nil"/>
              <w:bottom w:val="double" w:sz="6" w:space="0" w:color="auto"/>
              <w:right w:val="double" w:sz="6" w:space="0" w:color="auto"/>
            </w:tcBorders>
            <w:shd w:val="clear" w:color="auto" w:fill="auto"/>
            <w:noWrap/>
            <w:vAlign w:val="center"/>
          </w:tcPr>
          <w:p w14:paraId="58AD893F" w14:textId="77777777" w:rsidR="00B75952" w:rsidRPr="00BA7D39" w:rsidRDefault="00B75952" w:rsidP="00D10D53">
            <w:pPr>
              <w:spacing w:before="0" w:after="0"/>
              <w:jc w:val="center"/>
              <w:rPr>
                <w:rFonts w:ascii="Arial" w:hAnsi="Arial" w:cs="Arial"/>
                <w:b/>
                <w:bCs/>
                <w:color w:val="000000"/>
                <w:sz w:val="16"/>
                <w:szCs w:val="16"/>
                <w:lang w:val="en-AU" w:eastAsia="en-AU"/>
              </w:rPr>
            </w:pPr>
            <w:r w:rsidRPr="00BA7D39">
              <w:rPr>
                <w:rFonts w:ascii="Arial" w:hAnsi="Arial" w:cs="Arial"/>
                <w:b/>
                <w:bCs/>
                <w:color w:val="000000"/>
                <w:sz w:val="16"/>
                <w:szCs w:val="16"/>
                <w:lang w:val="en-AU" w:eastAsia="en-AU"/>
              </w:rPr>
              <w:t>1%</w:t>
            </w:r>
          </w:p>
        </w:tc>
      </w:tr>
    </w:tbl>
    <w:p w14:paraId="362A69AD" w14:textId="77777777" w:rsidR="00FC6BFF" w:rsidRPr="00BA7D39" w:rsidRDefault="00FC6BFF" w:rsidP="00562A28">
      <w:pPr>
        <w:pStyle w:val="Para"/>
        <w:ind w:left="3600"/>
        <w:rPr>
          <w:sz w:val="20"/>
          <w:lang w:val="en-AU"/>
        </w:rPr>
      </w:pPr>
      <w:r w:rsidRPr="00BA7D39">
        <w:rPr>
          <w:sz w:val="20"/>
          <w:lang w:val="en-AU"/>
        </w:rPr>
        <w:t xml:space="preserve">Base: Total respondents, </w:t>
      </w:r>
      <w:r w:rsidR="002733E9" w:rsidRPr="00BA7D39">
        <w:rPr>
          <w:sz w:val="20"/>
          <w:lang w:val="en-AU"/>
        </w:rPr>
        <w:t xml:space="preserve">2014 (n=1,861); </w:t>
      </w:r>
      <w:r w:rsidRPr="00BA7D39">
        <w:rPr>
          <w:sz w:val="20"/>
          <w:lang w:val="en-AU"/>
        </w:rPr>
        <w:t>2007 (n=2,061)</w:t>
      </w:r>
    </w:p>
    <w:p w14:paraId="1424D882" w14:textId="77777777" w:rsidR="000E727E" w:rsidRPr="002D6162" w:rsidRDefault="000E727E" w:rsidP="00562A28">
      <w:pPr>
        <w:pStyle w:val="Para"/>
        <w:spacing w:after="120"/>
        <w:jc w:val="center"/>
        <w:outlineLvl w:val="0"/>
        <w:rPr>
          <w:b/>
          <w:u w:val="single"/>
          <w:lang w:val="en-AU"/>
        </w:rPr>
      </w:pPr>
      <w:r w:rsidRPr="002D6162">
        <w:rPr>
          <w:b/>
          <w:lang w:val="en-AU"/>
        </w:rPr>
        <w:lastRenderedPageBreak/>
        <w:t>Table 3.3.12</w:t>
      </w:r>
      <w:r w:rsidR="00D3669F" w:rsidRPr="002D6162">
        <w:rPr>
          <w:b/>
          <w:lang w:val="en-AU"/>
        </w:rPr>
        <w:t>b</w:t>
      </w:r>
      <w:r w:rsidRPr="002D6162">
        <w:rPr>
          <w:b/>
          <w:lang w:val="en-AU"/>
        </w:rPr>
        <w:t xml:space="preserve">: </w:t>
      </w:r>
      <w:r w:rsidRPr="002D6162">
        <w:rPr>
          <w:b/>
          <w:u w:val="single"/>
          <w:lang w:val="en-AU"/>
        </w:rPr>
        <w:t>Dwelling Type by Region</w:t>
      </w:r>
      <w:r w:rsidR="00D3669F" w:rsidRPr="002D6162">
        <w:rPr>
          <w:b/>
          <w:u w:val="single"/>
          <w:lang w:val="en-AU"/>
        </w:rPr>
        <w:t xml:space="preserve"> and</w:t>
      </w:r>
      <w:r w:rsidRPr="002D6162">
        <w:rPr>
          <w:b/>
          <w:u w:val="single"/>
          <w:lang w:val="en-AU"/>
        </w:rPr>
        <w:t xml:space="preserve"> Home Ownership Status</w:t>
      </w:r>
    </w:p>
    <w:p w14:paraId="6492B1B7" w14:textId="77777777" w:rsidR="000E727E" w:rsidRPr="002D6162" w:rsidRDefault="000E727E" w:rsidP="000E727E">
      <w:pPr>
        <w:pStyle w:val="Para"/>
        <w:spacing w:line="160" w:lineRule="exact"/>
        <w:outlineLvl w:val="0"/>
        <w:rPr>
          <w:b/>
          <w:lang w:val="en-AU"/>
        </w:rPr>
      </w:pPr>
    </w:p>
    <w:tbl>
      <w:tblPr>
        <w:tblW w:w="9010" w:type="dxa"/>
        <w:jc w:val="center"/>
        <w:tblLook w:val="04A0" w:firstRow="1" w:lastRow="0" w:firstColumn="1" w:lastColumn="0" w:noHBand="0" w:noVBand="1"/>
      </w:tblPr>
      <w:tblGrid>
        <w:gridCol w:w="2760"/>
        <w:gridCol w:w="600"/>
        <w:gridCol w:w="600"/>
        <w:gridCol w:w="741"/>
        <w:gridCol w:w="709"/>
        <w:gridCol w:w="600"/>
        <w:gridCol w:w="600"/>
        <w:gridCol w:w="600"/>
        <w:gridCol w:w="600"/>
        <w:gridCol w:w="600"/>
        <w:gridCol w:w="600"/>
      </w:tblGrid>
      <w:tr w:rsidR="000E727E" w:rsidRPr="002D6162" w14:paraId="2369B1DF" w14:textId="77777777" w:rsidTr="00562A28">
        <w:trPr>
          <w:trHeight w:val="315"/>
          <w:jc w:val="center"/>
        </w:trPr>
        <w:tc>
          <w:tcPr>
            <w:tcW w:w="2760" w:type="dxa"/>
            <w:vMerge w:val="restart"/>
            <w:tcBorders>
              <w:top w:val="double" w:sz="6" w:space="0" w:color="auto"/>
              <w:left w:val="double" w:sz="6" w:space="0" w:color="auto"/>
              <w:bottom w:val="single" w:sz="4" w:space="0" w:color="BFBFBF"/>
              <w:right w:val="nil"/>
            </w:tcBorders>
            <w:shd w:val="clear" w:color="auto" w:fill="auto"/>
            <w:noWrap/>
            <w:vAlign w:val="center"/>
          </w:tcPr>
          <w:p w14:paraId="6AB8A60D" w14:textId="77777777" w:rsidR="000E727E" w:rsidRPr="002D6162" w:rsidRDefault="000E727E" w:rsidP="00EF37CB">
            <w:pPr>
              <w:spacing w:before="0" w:after="0"/>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Dwelling Type</w:t>
            </w:r>
          </w:p>
        </w:tc>
        <w:tc>
          <w:tcPr>
            <w:tcW w:w="1200" w:type="dxa"/>
            <w:gridSpan w:val="2"/>
            <w:vMerge w:val="restart"/>
            <w:tcBorders>
              <w:top w:val="double" w:sz="6" w:space="0" w:color="auto"/>
              <w:left w:val="single" w:sz="4" w:space="0" w:color="auto"/>
              <w:bottom w:val="single" w:sz="4" w:space="0" w:color="BFBFBF"/>
              <w:right w:val="single" w:sz="4" w:space="0" w:color="000000"/>
            </w:tcBorders>
            <w:shd w:val="clear" w:color="auto" w:fill="auto"/>
            <w:vAlign w:val="center"/>
          </w:tcPr>
          <w:p w14:paraId="48C72221"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Separate house</w:t>
            </w:r>
          </w:p>
        </w:tc>
        <w:tc>
          <w:tcPr>
            <w:tcW w:w="1450" w:type="dxa"/>
            <w:gridSpan w:val="2"/>
            <w:vMerge w:val="restart"/>
            <w:tcBorders>
              <w:top w:val="double" w:sz="6" w:space="0" w:color="auto"/>
              <w:left w:val="nil"/>
              <w:bottom w:val="single" w:sz="4" w:space="0" w:color="BFBFBF"/>
              <w:right w:val="single" w:sz="4" w:space="0" w:color="BFBFBF"/>
            </w:tcBorders>
            <w:shd w:val="clear" w:color="auto" w:fill="auto"/>
            <w:vAlign w:val="center"/>
          </w:tcPr>
          <w:p w14:paraId="1A752AED"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Dwelling/ non-dwelling combined</w:t>
            </w:r>
          </w:p>
        </w:tc>
        <w:tc>
          <w:tcPr>
            <w:tcW w:w="1200" w:type="dxa"/>
            <w:gridSpan w:val="2"/>
            <w:vMerge w:val="restart"/>
            <w:tcBorders>
              <w:top w:val="double" w:sz="6" w:space="0" w:color="auto"/>
              <w:left w:val="single" w:sz="4" w:space="0" w:color="auto"/>
              <w:bottom w:val="single" w:sz="4" w:space="0" w:color="BFBFBF"/>
              <w:right w:val="single" w:sz="4" w:space="0" w:color="000000"/>
            </w:tcBorders>
            <w:shd w:val="clear" w:color="auto" w:fill="auto"/>
            <w:vAlign w:val="center"/>
          </w:tcPr>
          <w:p w14:paraId="1BFC7EE5"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Semi-detached</w:t>
            </w:r>
          </w:p>
        </w:tc>
        <w:tc>
          <w:tcPr>
            <w:tcW w:w="1200" w:type="dxa"/>
            <w:gridSpan w:val="2"/>
            <w:vMerge w:val="restart"/>
            <w:tcBorders>
              <w:top w:val="double" w:sz="6" w:space="0" w:color="auto"/>
              <w:left w:val="single" w:sz="4" w:space="0" w:color="auto"/>
              <w:bottom w:val="single" w:sz="4" w:space="0" w:color="BFBFBF"/>
              <w:right w:val="single" w:sz="4" w:space="0" w:color="000000"/>
            </w:tcBorders>
            <w:shd w:val="clear" w:color="auto" w:fill="auto"/>
            <w:vAlign w:val="center"/>
          </w:tcPr>
          <w:p w14:paraId="409CE4E4"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Low rise flats/units</w:t>
            </w:r>
          </w:p>
        </w:tc>
        <w:tc>
          <w:tcPr>
            <w:tcW w:w="1200" w:type="dxa"/>
            <w:gridSpan w:val="2"/>
            <w:vMerge w:val="restart"/>
            <w:tcBorders>
              <w:top w:val="double" w:sz="6" w:space="0" w:color="auto"/>
              <w:left w:val="nil"/>
              <w:bottom w:val="single" w:sz="4" w:space="0" w:color="BFBFBF"/>
              <w:right w:val="double" w:sz="6" w:space="0" w:color="000000"/>
            </w:tcBorders>
            <w:shd w:val="clear" w:color="auto" w:fill="auto"/>
            <w:vAlign w:val="center"/>
          </w:tcPr>
          <w:p w14:paraId="5E05E687"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High rise flats/units</w:t>
            </w:r>
          </w:p>
        </w:tc>
      </w:tr>
      <w:tr w:rsidR="000E727E" w:rsidRPr="002D6162" w14:paraId="1063CA76" w14:textId="77777777" w:rsidTr="00562A28">
        <w:trPr>
          <w:trHeight w:val="315"/>
          <w:jc w:val="center"/>
        </w:trPr>
        <w:tc>
          <w:tcPr>
            <w:tcW w:w="2760" w:type="dxa"/>
            <w:vMerge/>
            <w:tcBorders>
              <w:top w:val="double" w:sz="6" w:space="0" w:color="auto"/>
              <w:left w:val="double" w:sz="6" w:space="0" w:color="auto"/>
              <w:bottom w:val="single" w:sz="4" w:space="0" w:color="BFBFBF"/>
              <w:right w:val="nil"/>
            </w:tcBorders>
            <w:vAlign w:val="center"/>
          </w:tcPr>
          <w:p w14:paraId="28D96FE9" w14:textId="77777777" w:rsidR="000E727E" w:rsidRPr="002D6162" w:rsidRDefault="000E727E" w:rsidP="00EF37CB">
            <w:pPr>
              <w:spacing w:before="0" w:after="0"/>
              <w:rPr>
                <w:rFonts w:ascii="Arial" w:hAnsi="Arial" w:cs="Arial"/>
                <w:b/>
                <w:bCs/>
                <w:color w:val="000000"/>
                <w:sz w:val="16"/>
                <w:szCs w:val="16"/>
                <w:lang w:val="en-AU" w:eastAsia="en-AU"/>
              </w:rPr>
            </w:pPr>
          </w:p>
        </w:tc>
        <w:tc>
          <w:tcPr>
            <w:tcW w:w="1200" w:type="dxa"/>
            <w:gridSpan w:val="2"/>
            <w:vMerge/>
            <w:tcBorders>
              <w:top w:val="double" w:sz="6" w:space="0" w:color="auto"/>
              <w:left w:val="single" w:sz="4" w:space="0" w:color="auto"/>
              <w:bottom w:val="single" w:sz="4" w:space="0" w:color="BFBFBF"/>
              <w:right w:val="single" w:sz="4" w:space="0" w:color="000000"/>
            </w:tcBorders>
            <w:vAlign w:val="center"/>
          </w:tcPr>
          <w:p w14:paraId="38A70474" w14:textId="77777777" w:rsidR="000E727E" w:rsidRPr="002D6162" w:rsidRDefault="000E727E" w:rsidP="00EF37CB">
            <w:pPr>
              <w:spacing w:before="0" w:after="0"/>
              <w:rPr>
                <w:rFonts w:ascii="Arial" w:hAnsi="Arial" w:cs="Arial"/>
                <w:b/>
                <w:bCs/>
                <w:color w:val="000000"/>
                <w:sz w:val="16"/>
                <w:szCs w:val="16"/>
                <w:lang w:val="en-AU" w:eastAsia="en-AU"/>
              </w:rPr>
            </w:pPr>
          </w:p>
        </w:tc>
        <w:tc>
          <w:tcPr>
            <w:tcW w:w="1450" w:type="dxa"/>
            <w:gridSpan w:val="2"/>
            <w:vMerge/>
            <w:tcBorders>
              <w:top w:val="double" w:sz="6" w:space="0" w:color="auto"/>
              <w:left w:val="nil"/>
              <w:bottom w:val="single" w:sz="4" w:space="0" w:color="BFBFBF"/>
              <w:right w:val="single" w:sz="4" w:space="0" w:color="BFBFBF"/>
            </w:tcBorders>
            <w:vAlign w:val="center"/>
          </w:tcPr>
          <w:p w14:paraId="7A62A290" w14:textId="77777777" w:rsidR="000E727E" w:rsidRPr="002D6162" w:rsidRDefault="000E727E" w:rsidP="00EF37CB">
            <w:pPr>
              <w:spacing w:before="0" w:after="0"/>
              <w:rPr>
                <w:rFonts w:ascii="Arial" w:hAnsi="Arial" w:cs="Arial"/>
                <w:b/>
                <w:bCs/>
                <w:color w:val="000000"/>
                <w:sz w:val="16"/>
                <w:szCs w:val="16"/>
                <w:lang w:val="en-AU" w:eastAsia="en-AU"/>
              </w:rPr>
            </w:pPr>
          </w:p>
        </w:tc>
        <w:tc>
          <w:tcPr>
            <w:tcW w:w="1200" w:type="dxa"/>
            <w:gridSpan w:val="2"/>
            <w:vMerge/>
            <w:tcBorders>
              <w:top w:val="double" w:sz="6" w:space="0" w:color="auto"/>
              <w:left w:val="single" w:sz="4" w:space="0" w:color="auto"/>
              <w:bottom w:val="single" w:sz="4" w:space="0" w:color="BFBFBF"/>
              <w:right w:val="single" w:sz="4" w:space="0" w:color="000000"/>
            </w:tcBorders>
            <w:vAlign w:val="center"/>
          </w:tcPr>
          <w:p w14:paraId="35037901" w14:textId="77777777" w:rsidR="000E727E" w:rsidRPr="002D6162" w:rsidRDefault="000E727E" w:rsidP="00EF37CB">
            <w:pPr>
              <w:spacing w:before="0" w:after="0"/>
              <w:rPr>
                <w:rFonts w:ascii="Arial" w:hAnsi="Arial" w:cs="Arial"/>
                <w:b/>
                <w:bCs/>
                <w:color w:val="000000"/>
                <w:sz w:val="16"/>
                <w:szCs w:val="16"/>
                <w:lang w:val="en-AU" w:eastAsia="en-AU"/>
              </w:rPr>
            </w:pPr>
          </w:p>
        </w:tc>
        <w:tc>
          <w:tcPr>
            <w:tcW w:w="1200" w:type="dxa"/>
            <w:gridSpan w:val="2"/>
            <w:vMerge/>
            <w:tcBorders>
              <w:top w:val="double" w:sz="6" w:space="0" w:color="auto"/>
              <w:left w:val="single" w:sz="4" w:space="0" w:color="auto"/>
              <w:bottom w:val="single" w:sz="4" w:space="0" w:color="BFBFBF"/>
              <w:right w:val="single" w:sz="4" w:space="0" w:color="000000"/>
            </w:tcBorders>
            <w:vAlign w:val="center"/>
          </w:tcPr>
          <w:p w14:paraId="6145FD98" w14:textId="77777777" w:rsidR="000E727E" w:rsidRPr="002D6162" w:rsidRDefault="000E727E" w:rsidP="00EF37CB">
            <w:pPr>
              <w:spacing w:before="0" w:after="0"/>
              <w:rPr>
                <w:rFonts w:ascii="Arial" w:hAnsi="Arial" w:cs="Arial"/>
                <w:b/>
                <w:bCs/>
                <w:color w:val="000000"/>
                <w:sz w:val="16"/>
                <w:szCs w:val="16"/>
                <w:lang w:val="en-AU" w:eastAsia="en-AU"/>
              </w:rPr>
            </w:pPr>
          </w:p>
        </w:tc>
        <w:tc>
          <w:tcPr>
            <w:tcW w:w="1200" w:type="dxa"/>
            <w:gridSpan w:val="2"/>
            <w:vMerge/>
            <w:tcBorders>
              <w:top w:val="double" w:sz="6" w:space="0" w:color="auto"/>
              <w:left w:val="nil"/>
              <w:bottom w:val="single" w:sz="4" w:space="0" w:color="BFBFBF"/>
              <w:right w:val="double" w:sz="6" w:space="0" w:color="000000"/>
            </w:tcBorders>
            <w:vAlign w:val="center"/>
          </w:tcPr>
          <w:p w14:paraId="551E8F14" w14:textId="77777777" w:rsidR="000E727E" w:rsidRPr="002D6162" w:rsidRDefault="000E727E" w:rsidP="00EF37CB">
            <w:pPr>
              <w:spacing w:before="0" w:after="0"/>
              <w:rPr>
                <w:rFonts w:ascii="Arial" w:hAnsi="Arial" w:cs="Arial"/>
                <w:b/>
                <w:bCs/>
                <w:color w:val="000000"/>
                <w:sz w:val="16"/>
                <w:szCs w:val="16"/>
                <w:lang w:val="en-AU" w:eastAsia="en-AU"/>
              </w:rPr>
            </w:pPr>
          </w:p>
        </w:tc>
      </w:tr>
      <w:tr w:rsidR="000E727E" w:rsidRPr="002D6162" w14:paraId="1FC6CF67" w14:textId="77777777" w:rsidTr="00562A28">
        <w:trPr>
          <w:trHeight w:val="225"/>
          <w:jc w:val="center"/>
        </w:trPr>
        <w:tc>
          <w:tcPr>
            <w:tcW w:w="2760" w:type="dxa"/>
            <w:vMerge/>
            <w:tcBorders>
              <w:top w:val="double" w:sz="6" w:space="0" w:color="auto"/>
              <w:left w:val="double" w:sz="6" w:space="0" w:color="auto"/>
              <w:bottom w:val="single" w:sz="4" w:space="0" w:color="BFBFBF"/>
              <w:right w:val="nil"/>
            </w:tcBorders>
            <w:vAlign w:val="center"/>
          </w:tcPr>
          <w:p w14:paraId="5F5ABC53" w14:textId="77777777" w:rsidR="000E727E" w:rsidRPr="002D6162" w:rsidRDefault="000E727E" w:rsidP="00EF37CB">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6F7A37B"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55476BAA"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2007</w:t>
            </w:r>
          </w:p>
        </w:tc>
        <w:tc>
          <w:tcPr>
            <w:tcW w:w="741" w:type="dxa"/>
            <w:tcBorders>
              <w:top w:val="nil"/>
              <w:left w:val="nil"/>
              <w:bottom w:val="single" w:sz="4" w:space="0" w:color="BFBFBF"/>
              <w:right w:val="single" w:sz="4" w:space="0" w:color="BFBFBF"/>
            </w:tcBorders>
            <w:shd w:val="clear" w:color="auto" w:fill="auto"/>
            <w:noWrap/>
            <w:vAlign w:val="center"/>
          </w:tcPr>
          <w:p w14:paraId="2FFA4BA0"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2014</w:t>
            </w:r>
          </w:p>
        </w:tc>
        <w:tc>
          <w:tcPr>
            <w:tcW w:w="709" w:type="dxa"/>
            <w:tcBorders>
              <w:top w:val="nil"/>
              <w:left w:val="nil"/>
              <w:bottom w:val="single" w:sz="4" w:space="0" w:color="BFBFBF"/>
              <w:right w:val="nil"/>
            </w:tcBorders>
            <w:shd w:val="clear" w:color="auto" w:fill="auto"/>
            <w:noWrap/>
            <w:vAlign w:val="center"/>
          </w:tcPr>
          <w:p w14:paraId="3033FE0F"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5A6637C"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6B43644F"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136C29DB"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378E737A"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6EF0DCA5"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2014</w:t>
            </w:r>
          </w:p>
        </w:tc>
        <w:tc>
          <w:tcPr>
            <w:tcW w:w="600" w:type="dxa"/>
            <w:tcBorders>
              <w:top w:val="nil"/>
              <w:left w:val="nil"/>
              <w:bottom w:val="single" w:sz="4" w:space="0" w:color="BFBFBF"/>
              <w:right w:val="double" w:sz="6" w:space="0" w:color="auto"/>
            </w:tcBorders>
            <w:shd w:val="clear" w:color="auto" w:fill="auto"/>
            <w:noWrap/>
            <w:vAlign w:val="center"/>
          </w:tcPr>
          <w:p w14:paraId="294D912A"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2007</w:t>
            </w:r>
          </w:p>
        </w:tc>
      </w:tr>
      <w:tr w:rsidR="000E727E" w:rsidRPr="002D6162" w14:paraId="25D903BE" w14:textId="77777777" w:rsidTr="00562A28">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290F5F69" w14:textId="77777777" w:rsidR="000E727E" w:rsidRPr="002D6162" w:rsidRDefault="000E727E" w:rsidP="00EF37CB">
            <w:pPr>
              <w:spacing w:before="0" w:after="0"/>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By Region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DCC1370" w14:textId="77777777" w:rsidR="000E727E" w:rsidRPr="002D6162" w:rsidRDefault="000E727E" w:rsidP="00EF37C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291296CA" w14:textId="77777777" w:rsidR="000E727E" w:rsidRPr="002D6162" w:rsidRDefault="000E727E" w:rsidP="00EF37C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 </w:t>
            </w:r>
          </w:p>
        </w:tc>
        <w:tc>
          <w:tcPr>
            <w:tcW w:w="741" w:type="dxa"/>
            <w:tcBorders>
              <w:top w:val="nil"/>
              <w:left w:val="nil"/>
              <w:bottom w:val="single" w:sz="4" w:space="0" w:color="BFBFBF"/>
              <w:right w:val="single" w:sz="4" w:space="0" w:color="BFBFBF"/>
            </w:tcBorders>
            <w:shd w:val="clear" w:color="auto" w:fill="auto"/>
            <w:noWrap/>
            <w:vAlign w:val="bottom"/>
          </w:tcPr>
          <w:p w14:paraId="492F9AD3" w14:textId="77777777" w:rsidR="000E727E" w:rsidRPr="002D6162" w:rsidRDefault="000E727E" w:rsidP="00EF37C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 </w:t>
            </w:r>
          </w:p>
        </w:tc>
        <w:tc>
          <w:tcPr>
            <w:tcW w:w="709" w:type="dxa"/>
            <w:tcBorders>
              <w:top w:val="nil"/>
              <w:left w:val="nil"/>
              <w:bottom w:val="single" w:sz="4" w:space="0" w:color="BFBFBF"/>
              <w:right w:val="nil"/>
            </w:tcBorders>
            <w:shd w:val="clear" w:color="auto" w:fill="auto"/>
            <w:noWrap/>
            <w:vAlign w:val="center"/>
          </w:tcPr>
          <w:p w14:paraId="42536984" w14:textId="77777777" w:rsidR="000E727E" w:rsidRPr="002D6162" w:rsidRDefault="000E727E" w:rsidP="00EF37C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 </w:t>
            </w:r>
          </w:p>
        </w:tc>
        <w:tc>
          <w:tcPr>
            <w:tcW w:w="600" w:type="dxa"/>
            <w:tcBorders>
              <w:top w:val="nil"/>
              <w:left w:val="single" w:sz="4" w:space="0" w:color="auto"/>
              <w:bottom w:val="single" w:sz="4" w:space="0" w:color="BFBFBF"/>
              <w:right w:val="single" w:sz="4" w:space="0" w:color="BFBFBF"/>
            </w:tcBorders>
            <w:shd w:val="clear" w:color="auto" w:fill="auto"/>
            <w:noWrap/>
            <w:vAlign w:val="bottom"/>
          </w:tcPr>
          <w:p w14:paraId="1503D721" w14:textId="77777777" w:rsidR="000E727E" w:rsidRPr="002D6162" w:rsidRDefault="000E727E" w:rsidP="00EF37C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4F60CF39" w14:textId="77777777" w:rsidR="000E727E" w:rsidRPr="002D6162" w:rsidRDefault="000E727E" w:rsidP="00EF37C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center"/>
          </w:tcPr>
          <w:p w14:paraId="4FFAAD6D" w14:textId="77777777" w:rsidR="000E727E" w:rsidRPr="002D6162" w:rsidRDefault="000E727E" w:rsidP="00EF37C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5EDC01C4" w14:textId="77777777" w:rsidR="000E727E" w:rsidRPr="002D6162" w:rsidRDefault="000E727E" w:rsidP="00EF37C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bottom"/>
          </w:tcPr>
          <w:p w14:paraId="393CADDF" w14:textId="77777777" w:rsidR="000E727E" w:rsidRPr="002D6162" w:rsidRDefault="000E727E" w:rsidP="00EF37C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 </w:t>
            </w:r>
          </w:p>
        </w:tc>
        <w:tc>
          <w:tcPr>
            <w:tcW w:w="600" w:type="dxa"/>
            <w:tcBorders>
              <w:top w:val="nil"/>
              <w:left w:val="nil"/>
              <w:bottom w:val="single" w:sz="4" w:space="0" w:color="BFBFBF"/>
              <w:right w:val="double" w:sz="6" w:space="0" w:color="auto"/>
            </w:tcBorders>
            <w:shd w:val="clear" w:color="auto" w:fill="auto"/>
            <w:noWrap/>
            <w:vAlign w:val="center"/>
          </w:tcPr>
          <w:p w14:paraId="67E70C8A" w14:textId="77777777" w:rsidR="000E727E" w:rsidRPr="002D6162" w:rsidRDefault="000E727E" w:rsidP="00EF37C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 </w:t>
            </w:r>
          </w:p>
        </w:tc>
      </w:tr>
      <w:tr w:rsidR="00BA7D39" w:rsidRPr="002D6162" w14:paraId="3BE93608"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1171624C"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2D6162">
                  <w:rPr>
                    <w:rFonts w:ascii="Arial" w:hAnsi="Arial" w:cs="Arial"/>
                    <w:color w:val="000000"/>
                    <w:sz w:val="16"/>
                    <w:szCs w:val="16"/>
                    <w:lang w:val="en-AU" w:eastAsia="en-AU"/>
                  </w:rPr>
                  <w:t>Melbourne</w:t>
                </w:r>
              </w:smartTag>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5D4C205" w14:textId="77777777" w:rsidR="00BA7D39" w:rsidRPr="002D6162" w:rsidRDefault="00BA7D39" w:rsidP="00705E2B">
            <w:pPr>
              <w:spacing w:before="0" w:after="0"/>
              <w:jc w:val="center"/>
              <w:rPr>
                <w:rFonts w:ascii="Arial" w:hAnsi="Arial" w:cs="Arial"/>
                <w:sz w:val="16"/>
                <w:szCs w:val="16"/>
              </w:rPr>
            </w:pPr>
            <w:r w:rsidRPr="002D6162">
              <w:rPr>
                <w:rFonts w:ascii="Arial" w:hAnsi="Arial" w:cs="Arial"/>
                <w:color w:val="000000"/>
                <w:sz w:val="16"/>
                <w:szCs w:val="16"/>
                <w:lang w:val="en-AU" w:eastAsia="en-AU"/>
              </w:rPr>
              <w:t>76</w:t>
            </w:r>
            <w:r w:rsidRPr="002D6162">
              <w:rPr>
                <w:rFonts w:ascii="Arial" w:hAnsi="Arial" w:cs="Arial"/>
                <w:sz w:val="16"/>
                <w:szCs w:val="16"/>
              </w:rPr>
              <w:t>%</w:t>
            </w:r>
          </w:p>
        </w:tc>
        <w:tc>
          <w:tcPr>
            <w:tcW w:w="600" w:type="dxa"/>
            <w:tcBorders>
              <w:top w:val="nil"/>
              <w:left w:val="nil"/>
              <w:bottom w:val="single" w:sz="4" w:space="0" w:color="BFBFBF"/>
              <w:right w:val="single" w:sz="4" w:space="0" w:color="auto"/>
            </w:tcBorders>
            <w:shd w:val="clear" w:color="auto" w:fill="auto"/>
            <w:noWrap/>
            <w:vAlign w:val="center"/>
          </w:tcPr>
          <w:p w14:paraId="0E240D71"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82%</w:t>
            </w:r>
          </w:p>
        </w:tc>
        <w:tc>
          <w:tcPr>
            <w:tcW w:w="741" w:type="dxa"/>
            <w:tcBorders>
              <w:top w:val="nil"/>
              <w:left w:val="nil"/>
              <w:bottom w:val="single" w:sz="4" w:space="0" w:color="BFBFBF"/>
              <w:right w:val="single" w:sz="4" w:space="0" w:color="BFBFBF"/>
            </w:tcBorders>
            <w:shd w:val="clear" w:color="auto" w:fill="auto"/>
            <w:noWrap/>
            <w:vAlign w:val="center"/>
          </w:tcPr>
          <w:p w14:paraId="18245071"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442EAEDB"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DF6DD0D"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auto"/>
            </w:tcBorders>
            <w:shd w:val="clear" w:color="auto" w:fill="auto"/>
            <w:noWrap/>
            <w:vAlign w:val="center"/>
          </w:tcPr>
          <w:p w14:paraId="128B1F3B"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12%</w:t>
            </w:r>
          </w:p>
        </w:tc>
        <w:tc>
          <w:tcPr>
            <w:tcW w:w="600" w:type="dxa"/>
            <w:tcBorders>
              <w:top w:val="nil"/>
              <w:left w:val="nil"/>
              <w:bottom w:val="single" w:sz="4" w:space="0" w:color="BFBFBF"/>
              <w:right w:val="single" w:sz="4" w:space="0" w:color="BFBFBF"/>
            </w:tcBorders>
            <w:shd w:val="clear" w:color="auto" w:fill="auto"/>
            <w:noWrap/>
            <w:vAlign w:val="center"/>
          </w:tcPr>
          <w:p w14:paraId="7E39D64C"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auto"/>
            </w:tcBorders>
            <w:shd w:val="clear" w:color="auto" w:fill="auto"/>
            <w:noWrap/>
            <w:vAlign w:val="center"/>
          </w:tcPr>
          <w:p w14:paraId="0BDF26D6"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0AE191B9"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0AA01F9B"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w:t>
            </w:r>
          </w:p>
        </w:tc>
      </w:tr>
      <w:tr w:rsidR="00BA7D39" w:rsidRPr="002D6162" w14:paraId="352A6633"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7CCA97A3"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Country VIC</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328340A"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90%</w:t>
            </w:r>
          </w:p>
        </w:tc>
        <w:tc>
          <w:tcPr>
            <w:tcW w:w="600" w:type="dxa"/>
            <w:tcBorders>
              <w:top w:val="nil"/>
              <w:left w:val="nil"/>
              <w:bottom w:val="single" w:sz="4" w:space="0" w:color="BFBFBF"/>
              <w:right w:val="single" w:sz="4" w:space="0" w:color="auto"/>
            </w:tcBorders>
            <w:shd w:val="clear" w:color="auto" w:fill="auto"/>
            <w:noWrap/>
            <w:vAlign w:val="center"/>
          </w:tcPr>
          <w:p w14:paraId="386125CC"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92%</w:t>
            </w:r>
          </w:p>
        </w:tc>
        <w:tc>
          <w:tcPr>
            <w:tcW w:w="741" w:type="dxa"/>
            <w:tcBorders>
              <w:top w:val="nil"/>
              <w:left w:val="nil"/>
              <w:bottom w:val="single" w:sz="4" w:space="0" w:color="BFBFBF"/>
              <w:right w:val="single" w:sz="4" w:space="0" w:color="BFBFBF"/>
            </w:tcBorders>
            <w:shd w:val="clear" w:color="auto" w:fill="auto"/>
            <w:noWrap/>
            <w:vAlign w:val="center"/>
          </w:tcPr>
          <w:p w14:paraId="01F3C581"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7FEC876D"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0146F31"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1AFA6852"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BFBFBF"/>
            </w:tcBorders>
            <w:shd w:val="clear" w:color="auto" w:fill="auto"/>
            <w:noWrap/>
            <w:vAlign w:val="center"/>
          </w:tcPr>
          <w:p w14:paraId="1380CA23"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4ED76AF8"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392F8629"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6F3A931B"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r>
      <w:tr w:rsidR="00BA7D39" w:rsidRPr="002D6162" w14:paraId="075FBE86"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369F81E1" w14:textId="090F6D17" w:rsidR="00BA7D39" w:rsidRPr="002D6162" w:rsidRDefault="00BC6314" w:rsidP="00EF37CB">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BA7D39" w:rsidRPr="002D6162">
              <w:rPr>
                <w:rFonts w:ascii="Arial" w:hAnsi="Arial" w:cs="Arial"/>
                <w:color w:val="000000"/>
                <w:sz w:val="16"/>
                <w:szCs w:val="16"/>
                <w:lang w:val="en-AU" w:eastAsia="en-AU"/>
              </w:rPr>
              <w:t>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04655EE"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85%</w:t>
            </w:r>
          </w:p>
        </w:tc>
        <w:tc>
          <w:tcPr>
            <w:tcW w:w="600" w:type="dxa"/>
            <w:tcBorders>
              <w:top w:val="nil"/>
              <w:left w:val="nil"/>
              <w:bottom w:val="single" w:sz="4" w:space="0" w:color="BFBFBF"/>
              <w:right w:val="single" w:sz="4" w:space="0" w:color="auto"/>
            </w:tcBorders>
            <w:shd w:val="clear" w:color="auto" w:fill="auto"/>
            <w:noWrap/>
            <w:vAlign w:val="center"/>
          </w:tcPr>
          <w:p w14:paraId="455B3FFC"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96%</w:t>
            </w:r>
          </w:p>
        </w:tc>
        <w:tc>
          <w:tcPr>
            <w:tcW w:w="741" w:type="dxa"/>
            <w:tcBorders>
              <w:top w:val="nil"/>
              <w:left w:val="nil"/>
              <w:bottom w:val="single" w:sz="4" w:space="0" w:color="BFBFBF"/>
              <w:right w:val="single" w:sz="4" w:space="0" w:color="BFBFBF"/>
            </w:tcBorders>
            <w:shd w:val="clear" w:color="auto" w:fill="auto"/>
            <w:noWrap/>
            <w:vAlign w:val="center"/>
          </w:tcPr>
          <w:p w14:paraId="58B28D0C"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54D9F1C8"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81D5920"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28F107C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41C521E2"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auto"/>
            </w:tcBorders>
            <w:shd w:val="clear" w:color="auto" w:fill="auto"/>
            <w:noWrap/>
            <w:vAlign w:val="center"/>
          </w:tcPr>
          <w:p w14:paraId="42B1AFD8"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35B3DC0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4%</w:t>
            </w:r>
          </w:p>
        </w:tc>
        <w:tc>
          <w:tcPr>
            <w:tcW w:w="600" w:type="dxa"/>
            <w:tcBorders>
              <w:top w:val="nil"/>
              <w:left w:val="nil"/>
              <w:bottom w:val="single" w:sz="4" w:space="0" w:color="BFBFBF"/>
              <w:right w:val="double" w:sz="6" w:space="0" w:color="auto"/>
            </w:tcBorders>
            <w:shd w:val="clear" w:color="auto" w:fill="auto"/>
            <w:noWrap/>
            <w:vAlign w:val="center"/>
          </w:tcPr>
          <w:p w14:paraId="500C6A88"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r>
      <w:tr w:rsidR="00BA7D39" w:rsidRPr="002D6162" w14:paraId="11981FAB"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7F1CC95B" w14:textId="77777777" w:rsidR="00BA7D39" w:rsidRPr="002D6162" w:rsidRDefault="00BA7D39" w:rsidP="00EF37CB">
            <w:pPr>
              <w:spacing w:before="0" w:after="0"/>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 xml:space="preserve">By DHHS Areas -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E65AE7C" w14:textId="2552C0A8" w:rsidR="00BA7D39" w:rsidRPr="002D6162" w:rsidRDefault="00BA7D39" w:rsidP="00705E2B">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6DE3796D" w14:textId="77777777" w:rsidR="00BA7D39" w:rsidRPr="002D6162" w:rsidRDefault="00BA7D39" w:rsidP="006616D6">
            <w:pPr>
              <w:spacing w:before="0" w:after="0"/>
              <w:jc w:val="center"/>
              <w:rPr>
                <w:rFonts w:ascii="Arial" w:hAnsi="Arial" w:cs="Arial"/>
                <w:color w:val="000000"/>
                <w:sz w:val="16"/>
                <w:szCs w:val="16"/>
                <w:lang w:val="en-AU" w:eastAsia="en-AU"/>
              </w:rPr>
            </w:pPr>
          </w:p>
        </w:tc>
        <w:tc>
          <w:tcPr>
            <w:tcW w:w="741" w:type="dxa"/>
            <w:tcBorders>
              <w:top w:val="nil"/>
              <w:left w:val="nil"/>
              <w:bottom w:val="single" w:sz="4" w:space="0" w:color="BFBFBF"/>
              <w:right w:val="single" w:sz="4" w:space="0" w:color="BFBFBF"/>
            </w:tcBorders>
            <w:shd w:val="clear" w:color="auto" w:fill="auto"/>
            <w:noWrap/>
            <w:vAlign w:val="center"/>
          </w:tcPr>
          <w:p w14:paraId="4AB63525" w14:textId="77777777" w:rsidR="00BA7D39" w:rsidRPr="002D6162" w:rsidRDefault="00BA7D39" w:rsidP="006616D6">
            <w:pPr>
              <w:spacing w:before="0" w:after="0"/>
              <w:jc w:val="center"/>
              <w:rPr>
                <w:rFonts w:ascii="Arial" w:hAnsi="Arial" w:cs="Arial"/>
                <w:color w:val="000000"/>
                <w:sz w:val="16"/>
                <w:szCs w:val="16"/>
                <w:lang w:val="en-AU" w:eastAsia="en-AU"/>
              </w:rPr>
            </w:pPr>
          </w:p>
        </w:tc>
        <w:tc>
          <w:tcPr>
            <w:tcW w:w="709" w:type="dxa"/>
            <w:tcBorders>
              <w:top w:val="nil"/>
              <w:left w:val="nil"/>
              <w:bottom w:val="single" w:sz="4" w:space="0" w:color="BFBFBF"/>
              <w:right w:val="nil"/>
            </w:tcBorders>
            <w:shd w:val="clear" w:color="auto" w:fill="auto"/>
            <w:noWrap/>
            <w:vAlign w:val="center"/>
          </w:tcPr>
          <w:p w14:paraId="4B21B1AB" w14:textId="77777777" w:rsidR="00BA7D39" w:rsidRPr="002D6162" w:rsidRDefault="00BA7D39" w:rsidP="00600395">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6A9D62B" w14:textId="72B5A35A" w:rsidR="00BA7D39" w:rsidRPr="002D6162" w:rsidRDefault="00BA7D39">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1C8A22CA" w14:textId="77777777" w:rsidR="00BA7D39" w:rsidRPr="002D6162" w:rsidRDefault="00BA7D39">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7A6559D3" w14:textId="77777777" w:rsidR="00BA7D39" w:rsidRPr="002D6162" w:rsidRDefault="00BA7D39">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1D33E792" w14:textId="77777777" w:rsidR="00BA7D39" w:rsidRPr="002D6162" w:rsidRDefault="00BA7D39">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6B477F83" w14:textId="77777777" w:rsidR="00BA7D39" w:rsidRPr="002D6162" w:rsidRDefault="00BA7D39">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30F3BCA0" w14:textId="77777777" w:rsidR="00BA7D39" w:rsidRPr="002D6162" w:rsidRDefault="00BA7D39">
            <w:pPr>
              <w:spacing w:before="0" w:after="0"/>
              <w:jc w:val="center"/>
              <w:rPr>
                <w:rFonts w:ascii="Arial" w:hAnsi="Arial" w:cs="Arial"/>
                <w:color w:val="000000"/>
                <w:sz w:val="16"/>
                <w:szCs w:val="16"/>
                <w:lang w:val="en-AU" w:eastAsia="en-AU"/>
              </w:rPr>
            </w:pPr>
          </w:p>
        </w:tc>
      </w:tr>
      <w:tr w:rsidR="00BA7D39" w:rsidRPr="002D6162" w14:paraId="4B5F475E"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140398EC"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Hume Moreland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90E593E"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88%</w:t>
            </w:r>
          </w:p>
        </w:tc>
        <w:tc>
          <w:tcPr>
            <w:tcW w:w="600" w:type="dxa"/>
            <w:tcBorders>
              <w:top w:val="nil"/>
              <w:left w:val="nil"/>
              <w:bottom w:val="single" w:sz="4" w:space="0" w:color="BFBFBF"/>
              <w:right w:val="single" w:sz="4" w:space="0" w:color="auto"/>
            </w:tcBorders>
            <w:shd w:val="clear" w:color="auto" w:fill="auto"/>
            <w:noWrap/>
            <w:vAlign w:val="center"/>
          </w:tcPr>
          <w:p w14:paraId="6682929C"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3A3F6AE0"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2DF3E50C"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0A6D6C1"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1B8951FA"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E1AAF92"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60CE71E1"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AF3B44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2258FFE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33A2A5E6"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2141CF4C"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North Eastern 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4BA4A88"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78%</w:t>
            </w:r>
          </w:p>
        </w:tc>
        <w:tc>
          <w:tcPr>
            <w:tcW w:w="600" w:type="dxa"/>
            <w:tcBorders>
              <w:top w:val="nil"/>
              <w:left w:val="nil"/>
              <w:bottom w:val="single" w:sz="4" w:space="0" w:color="BFBFBF"/>
              <w:right w:val="single" w:sz="4" w:space="0" w:color="auto"/>
            </w:tcBorders>
            <w:shd w:val="clear" w:color="auto" w:fill="auto"/>
            <w:noWrap/>
            <w:vAlign w:val="center"/>
          </w:tcPr>
          <w:p w14:paraId="29CA3EE4"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4EDB717E"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539DBF3F"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5BEB0D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auto"/>
            </w:tcBorders>
            <w:shd w:val="clear" w:color="auto" w:fill="auto"/>
            <w:noWrap/>
            <w:vAlign w:val="center"/>
          </w:tcPr>
          <w:p w14:paraId="5F9444C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620A552"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auto"/>
            </w:tcBorders>
            <w:shd w:val="clear" w:color="auto" w:fill="auto"/>
            <w:noWrap/>
            <w:vAlign w:val="center"/>
          </w:tcPr>
          <w:p w14:paraId="3D7318C0"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3894F0D"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45AA5C4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65C2464D"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01C33270"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 xml:space="preserve">Outer </w:t>
            </w:r>
            <w:smartTag w:uri="urn:schemas-microsoft-com:office:smarttags" w:element="place">
              <w:r w:rsidRPr="002D6162">
                <w:rPr>
                  <w:rFonts w:ascii="Arial" w:hAnsi="Arial" w:cs="Arial"/>
                  <w:color w:val="000000"/>
                  <w:sz w:val="16"/>
                  <w:szCs w:val="16"/>
                  <w:lang w:val="en-AU" w:eastAsia="en-AU"/>
                </w:rPr>
                <w:t>Eastern Melbourne</w:t>
              </w:r>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872A9E9"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80%</w:t>
            </w:r>
          </w:p>
        </w:tc>
        <w:tc>
          <w:tcPr>
            <w:tcW w:w="600" w:type="dxa"/>
            <w:tcBorders>
              <w:top w:val="nil"/>
              <w:left w:val="nil"/>
              <w:bottom w:val="single" w:sz="4" w:space="0" w:color="BFBFBF"/>
              <w:right w:val="single" w:sz="4" w:space="0" w:color="auto"/>
            </w:tcBorders>
            <w:shd w:val="clear" w:color="auto" w:fill="auto"/>
            <w:noWrap/>
            <w:vAlign w:val="center"/>
          </w:tcPr>
          <w:p w14:paraId="21ED2478"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219CCB64"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17336CDC"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AE3E9D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048FE176"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EC9305B"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2750C749"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0FA062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72CAB658"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25060B47"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690FED62"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 xml:space="preserve">Inner </w:t>
            </w:r>
            <w:smartTag w:uri="urn:schemas-microsoft-com:office:smarttags" w:element="place">
              <w:r w:rsidRPr="002D6162">
                <w:rPr>
                  <w:rFonts w:ascii="Arial" w:hAnsi="Arial" w:cs="Arial"/>
                  <w:color w:val="000000"/>
                  <w:sz w:val="16"/>
                  <w:szCs w:val="16"/>
                  <w:lang w:val="en-AU" w:eastAsia="en-AU"/>
                </w:rPr>
                <w:t>Eastern Melbourne</w:t>
              </w:r>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312BAA5"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80%</w:t>
            </w:r>
          </w:p>
        </w:tc>
        <w:tc>
          <w:tcPr>
            <w:tcW w:w="600" w:type="dxa"/>
            <w:tcBorders>
              <w:top w:val="nil"/>
              <w:left w:val="nil"/>
              <w:bottom w:val="single" w:sz="4" w:space="0" w:color="BFBFBF"/>
              <w:right w:val="single" w:sz="4" w:space="0" w:color="auto"/>
            </w:tcBorders>
            <w:shd w:val="clear" w:color="auto" w:fill="auto"/>
            <w:noWrap/>
            <w:vAlign w:val="center"/>
          </w:tcPr>
          <w:p w14:paraId="208F10F4"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2B8A1F48"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6CDEE14C"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D762023"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auto"/>
            </w:tcBorders>
            <w:shd w:val="clear" w:color="auto" w:fill="auto"/>
            <w:noWrap/>
            <w:vAlign w:val="center"/>
          </w:tcPr>
          <w:p w14:paraId="77BBBE8C"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889E6E9"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auto"/>
            </w:tcBorders>
            <w:shd w:val="clear" w:color="auto" w:fill="auto"/>
            <w:noWrap/>
            <w:vAlign w:val="center"/>
          </w:tcPr>
          <w:p w14:paraId="5D6C61C4"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1EF966A"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7F6A1DCC"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24A47A72"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73EB797B"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smartTag w:uri="urn:schemas-microsoft-com:office:smarttags" w:element="place">
              <w:r w:rsidRPr="002D6162">
                <w:rPr>
                  <w:rFonts w:ascii="Arial" w:hAnsi="Arial" w:cs="Arial"/>
                  <w:color w:val="000000"/>
                  <w:sz w:val="16"/>
                  <w:szCs w:val="16"/>
                  <w:lang w:val="en-AU" w:eastAsia="en-AU"/>
                </w:rPr>
                <w:t>Southern Melbourne</w:t>
              </w:r>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BA069F5"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79%</w:t>
            </w:r>
          </w:p>
        </w:tc>
        <w:tc>
          <w:tcPr>
            <w:tcW w:w="600" w:type="dxa"/>
            <w:tcBorders>
              <w:top w:val="nil"/>
              <w:left w:val="nil"/>
              <w:bottom w:val="single" w:sz="4" w:space="0" w:color="BFBFBF"/>
              <w:right w:val="single" w:sz="4" w:space="0" w:color="auto"/>
            </w:tcBorders>
            <w:shd w:val="clear" w:color="auto" w:fill="auto"/>
            <w:noWrap/>
            <w:vAlign w:val="center"/>
          </w:tcPr>
          <w:p w14:paraId="440DA2A9"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5A26123F"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0196E776"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53A54EA"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auto"/>
            </w:tcBorders>
            <w:shd w:val="clear" w:color="auto" w:fill="auto"/>
            <w:noWrap/>
            <w:vAlign w:val="center"/>
          </w:tcPr>
          <w:p w14:paraId="79D84D94"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A25116C"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7B1A5EFB"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DBAC20A"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40B2C10A"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230A79DF"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54FA2AC6"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Bayside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C47D316"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68%</w:t>
            </w:r>
          </w:p>
        </w:tc>
        <w:tc>
          <w:tcPr>
            <w:tcW w:w="600" w:type="dxa"/>
            <w:tcBorders>
              <w:top w:val="nil"/>
              <w:left w:val="nil"/>
              <w:bottom w:val="single" w:sz="4" w:space="0" w:color="BFBFBF"/>
              <w:right w:val="single" w:sz="4" w:space="0" w:color="auto"/>
            </w:tcBorders>
            <w:shd w:val="clear" w:color="auto" w:fill="auto"/>
            <w:noWrap/>
            <w:vAlign w:val="center"/>
          </w:tcPr>
          <w:p w14:paraId="0A79AEB7"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79304D09"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4D085911"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44DB252"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12%</w:t>
            </w:r>
          </w:p>
        </w:tc>
        <w:tc>
          <w:tcPr>
            <w:tcW w:w="600" w:type="dxa"/>
            <w:tcBorders>
              <w:top w:val="nil"/>
              <w:left w:val="nil"/>
              <w:bottom w:val="single" w:sz="4" w:space="0" w:color="BFBFBF"/>
              <w:right w:val="single" w:sz="4" w:space="0" w:color="auto"/>
            </w:tcBorders>
            <w:shd w:val="clear" w:color="auto" w:fill="auto"/>
            <w:noWrap/>
            <w:vAlign w:val="center"/>
          </w:tcPr>
          <w:p w14:paraId="43BEE920"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E025BB3"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15%</w:t>
            </w:r>
          </w:p>
        </w:tc>
        <w:tc>
          <w:tcPr>
            <w:tcW w:w="600" w:type="dxa"/>
            <w:tcBorders>
              <w:top w:val="nil"/>
              <w:left w:val="nil"/>
              <w:bottom w:val="single" w:sz="4" w:space="0" w:color="BFBFBF"/>
              <w:right w:val="single" w:sz="4" w:space="0" w:color="auto"/>
            </w:tcBorders>
            <w:shd w:val="clear" w:color="auto" w:fill="auto"/>
            <w:noWrap/>
            <w:vAlign w:val="center"/>
          </w:tcPr>
          <w:p w14:paraId="0B84AB29"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BA70228"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510AB68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2086732B"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63F22565"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smartTag w:uri="urn:schemas-microsoft-com:office:smarttags" w:element="place">
              <w:r w:rsidRPr="002D6162">
                <w:rPr>
                  <w:rFonts w:ascii="Arial" w:hAnsi="Arial" w:cs="Arial"/>
                  <w:color w:val="000000"/>
                  <w:sz w:val="16"/>
                  <w:szCs w:val="16"/>
                  <w:lang w:val="en-AU" w:eastAsia="en-AU"/>
                </w:rPr>
                <w:t>Western Melbourne</w:t>
              </w:r>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B91752C"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75%</w:t>
            </w:r>
          </w:p>
        </w:tc>
        <w:tc>
          <w:tcPr>
            <w:tcW w:w="600" w:type="dxa"/>
            <w:tcBorders>
              <w:top w:val="nil"/>
              <w:left w:val="nil"/>
              <w:bottom w:val="single" w:sz="4" w:space="0" w:color="BFBFBF"/>
              <w:right w:val="single" w:sz="4" w:space="0" w:color="auto"/>
            </w:tcBorders>
            <w:shd w:val="clear" w:color="auto" w:fill="auto"/>
            <w:noWrap/>
            <w:vAlign w:val="center"/>
          </w:tcPr>
          <w:p w14:paraId="7648FEE2"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69672580"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35169404"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E39223D"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auto"/>
            </w:tcBorders>
            <w:shd w:val="clear" w:color="auto" w:fill="auto"/>
            <w:noWrap/>
            <w:vAlign w:val="center"/>
          </w:tcPr>
          <w:p w14:paraId="30E34E42"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B3E1A7D"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auto"/>
            </w:tcBorders>
            <w:shd w:val="clear" w:color="auto" w:fill="auto"/>
            <w:noWrap/>
            <w:vAlign w:val="center"/>
          </w:tcPr>
          <w:p w14:paraId="388ADF17"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29D393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4%</w:t>
            </w:r>
          </w:p>
        </w:tc>
        <w:tc>
          <w:tcPr>
            <w:tcW w:w="600" w:type="dxa"/>
            <w:tcBorders>
              <w:top w:val="nil"/>
              <w:left w:val="nil"/>
              <w:bottom w:val="single" w:sz="4" w:space="0" w:color="BFBFBF"/>
              <w:right w:val="double" w:sz="6" w:space="0" w:color="auto"/>
            </w:tcBorders>
            <w:shd w:val="clear" w:color="auto" w:fill="auto"/>
            <w:noWrap/>
            <w:vAlign w:val="center"/>
          </w:tcPr>
          <w:p w14:paraId="24A9C8BB"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42AD79EE"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60FD0C2A"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Brimbank Melton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6C89566"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71%</w:t>
            </w:r>
          </w:p>
        </w:tc>
        <w:tc>
          <w:tcPr>
            <w:tcW w:w="600" w:type="dxa"/>
            <w:tcBorders>
              <w:top w:val="nil"/>
              <w:left w:val="nil"/>
              <w:bottom w:val="single" w:sz="4" w:space="0" w:color="BFBFBF"/>
              <w:right w:val="single" w:sz="4" w:space="0" w:color="auto"/>
            </w:tcBorders>
            <w:shd w:val="clear" w:color="auto" w:fill="auto"/>
            <w:noWrap/>
            <w:vAlign w:val="center"/>
          </w:tcPr>
          <w:p w14:paraId="38186AB5"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1BC276E0"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0E57300B"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1DAC01B"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12%</w:t>
            </w:r>
          </w:p>
        </w:tc>
        <w:tc>
          <w:tcPr>
            <w:tcW w:w="600" w:type="dxa"/>
            <w:tcBorders>
              <w:top w:val="nil"/>
              <w:left w:val="nil"/>
              <w:bottom w:val="single" w:sz="4" w:space="0" w:color="BFBFBF"/>
              <w:right w:val="single" w:sz="4" w:space="0" w:color="auto"/>
            </w:tcBorders>
            <w:shd w:val="clear" w:color="auto" w:fill="auto"/>
            <w:noWrap/>
            <w:vAlign w:val="center"/>
          </w:tcPr>
          <w:p w14:paraId="0008A8CD"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7405D8B"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auto"/>
            </w:tcBorders>
            <w:shd w:val="clear" w:color="auto" w:fill="auto"/>
            <w:noWrap/>
            <w:vAlign w:val="center"/>
          </w:tcPr>
          <w:p w14:paraId="2B51899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2195DF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5237D32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2D18F92F"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142B80B9"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Mallee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3F5E3D7"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76%</w:t>
            </w:r>
          </w:p>
        </w:tc>
        <w:tc>
          <w:tcPr>
            <w:tcW w:w="600" w:type="dxa"/>
            <w:tcBorders>
              <w:top w:val="nil"/>
              <w:left w:val="nil"/>
              <w:bottom w:val="single" w:sz="4" w:space="0" w:color="BFBFBF"/>
              <w:right w:val="single" w:sz="4" w:space="0" w:color="auto"/>
            </w:tcBorders>
            <w:shd w:val="clear" w:color="auto" w:fill="auto"/>
            <w:noWrap/>
            <w:vAlign w:val="center"/>
          </w:tcPr>
          <w:p w14:paraId="6B329681"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0EC4C62E"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2DF39B2B"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5948CE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11%</w:t>
            </w:r>
          </w:p>
        </w:tc>
        <w:tc>
          <w:tcPr>
            <w:tcW w:w="600" w:type="dxa"/>
            <w:tcBorders>
              <w:top w:val="nil"/>
              <w:left w:val="nil"/>
              <w:bottom w:val="single" w:sz="4" w:space="0" w:color="BFBFBF"/>
              <w:right w:val="single" w:sz="4" w:space="0" w:color="auto"/>
            </w:tcBorders>
            <w:shd w:val="clear" w:color="auto" w:fill="auto"/>
            <w:noWrap/>
            <w:vAlign w:val="center"/>
          </w:tcPr>
          <w:p w14:paraId="5EEE29F2"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1CC1362"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3D109B13"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11A0723"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1E909E63"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62E6C749"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321C42E9"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Loddon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13FBF63"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93%</w:t>
            </w:r>
          </w:p>
        </w:tc>
        <w:tc>
          <w:tcPr>
            <w:tcW w:w="600" w:type="dxa"/>
            <w:tcBorders>
              <w:top w:val="nil"/>
              <w:left w:val="nil"/>
              <w:bottom w:val="single" w:sz="4" w:space="0" w:color="BFBFBF"/>
              <w:right w:val="single" w:sz="4" w:space="0" w:color="auto"/>
            </w:tcBorders>
            <w:shd w:val="clear" w:color="auto" w:fill="auto"/>
            <w:noWrap/>
            <w:vAlign w:val="center"/>
          </w:tcPr>
          <w:p w14:paraId="059DEB2C"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16539EED"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2104A1F4"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9C5DC8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46A9C64A"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A28D4E7"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0B7CA1D3"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758D187"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356AF286"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0AA873C4"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4A7815BC"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2D6162">
                  <w:rPr>
                    <w:rFonts w:ascii="Arial" w:hAnsi="Arial" w:cs="Arial"/>
                    <w:color w:val="000000"/>
                    <w:sz w:val="16"/>
                    <w:szCs w:val="16"/>
                    <w:lang w:val="en-AU" w:eastAsia="en-AU"/>
                  </w:rPr>
                  <w:t>Murray</w:t>
                </w:r>
              </w:smartTag>
            </w:smartTag>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BE69B72"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91%</w:t>
            </w:r>
          </w:p>
        </w:tc>
        <w:tc>
          <w:tcPr>
            <w:tcW w:w="600" w:type="dxa"/>
            <w:tcBorders>
              <w:top w:val="nil"/>
              <w:left w:val="nil"/>
              <w:bottom w:val="single" w:sz="4" w:space="0" w:color="BFBFBF"/>
              <w:right w:val="single" w:sz="4" w:space="0" w:color="auto"/>
            </w:tcBorders>
            <w:shd w:val="clear" w:color="auto" w:fill="auto"/>
            <w:noWrap/>
            <w:vAlign w:val="center"/>
          </w:tcPr>
          <w:p w14:paraId="58E64F8F"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16871790"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579FB764"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54B6D7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59B43F68"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2F1614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312ED616"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CD7E16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30F03831"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0BFD28B9"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7B6DD003"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Goulburn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ED1EA91"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90%</w:t>
            </w:r>
          </w:p>
        </w:tc>
        <w:tc>
          <w:tcPr>
            <w:tcW w:w="600" w:type="dxa"/>
            <w:tcBorders>
              <w:top w:val="nil"/>
              <w:left w:val="nil"/>
              <w:bottom w:val="single" w:sz="4" w:space="0" w:color="BFBFBF"/>
              <w:right w:val="single" w:sz="4" w:space="0" w:color="auto"/>
            </w:tcBorders>
            <w:shd w:val="clear" w:color="auto" w:fill="auto"/>
            <w:noWrap/>
            <w:vAlign w:val="center"/>
          </w:tcPr>
          <w:p w14:paraId="162090AC"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7A5AE1B6"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0B91EB0C"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7F2DC6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3AFF8D8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8E6448B"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34E07F09"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3763D89"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0A236C44"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115D87D7"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0A1007A5"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Outer Gippsland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401EE87"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90%</w:t>
            </w:r>
          </w:p>
        </w:tc>
        <w:tc>
          <w:tcPr>
            <w:tcW w:w="600" w:type="dxa"/>
            <w:tcBorders>
              <w:top w:val="nil"/>
              <w:left w:val="nil"/>
              <w:bottom w:val="single" w:sz="4" w:space="0" w:color="BFBFBF"/>
              <w:right w:val="single" w:sz="4" w:space="0" w:color="auto"/>
            </w:tcBorders>
            <w:shd w:val="clear" w:color="auto" w:fill="auto"/>
            <w:noWrap/>
            <w:vAlign w:val="center"/>
          </w:tcPr>
          <w:p w14:paraId="7928839C"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224DFE52"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25225300"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0D6FE38"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42E36E4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A0B7683"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14CE40B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7950D4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3C2C7A53"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24C1443D"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4C30F3BC"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Inner Gippsland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D0348B8"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90%</w:t>
            </w:r>
          </w:p>
        </w:tc>
        <w:tc>
          <w:tcPr>
            <w:tcW w:w="600" w:type="dxa"/>
            <w:tcBorders>
              <w:top w:val="nil"/>
              <w:left w:val="nil"/>
              <w:bottom w:val="single" w:sz="4" w:space="0" w:color="BFBFBF"/>
              <w:right w:val="single" w:sz="4" w:space="0" w:color="auto"/>
            </w:tcBorders>
            <w:shd w:val="clear" w:color="auto" w:fill="auto"/>
            <w:noWrap/>
            <w:vAlign w:val="center"/>
          </w:tcPr>
          <w:p w14:paraId="52097104"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4F418CCE"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20C39953"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ADDBA81"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7748A6ED"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938B78D"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4FE673F7"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6FB991B"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0D2D7A80"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359D1C9C"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2563936E"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Western District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81BB06F"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92%</w:t>
            </w:r>
          </w:p>
        </w:tc>
        <w:tc>
          <w:tcPr>
            <w:tcW w:w="600" w:type="dxa"/>
            <w:tcBorders>
              <w:top w:val="nil"/>
              <w:left w:val="nil"/>
              <w:bottom w:val="single" w:sz="4" w:space="0" w:color="BFBFBF"/>
              <w:right w:val="single" w:sz="4" w:space="0" w:color="auto"/>
            </w:tcBorders>
            <w:shd w:val="clear" w:color="auto" w:fill="auto"/>
            <w:noWrap/>
            <w:vAlign w:val="center"/>
          </w:tcPr>
          <w:p w14:paraId="594C8B7B"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688FE2F2"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73024204"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8AB8711"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27697B82"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4B3E606"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548C25B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F8F6D11"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5C57F69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167C445A"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675F6742"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Barwon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2093FF8"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92%</w:t>
            </w:r>
          </w:p>
        </w:tc>
        <w:tc>
          <w:tcPr>
            <w:tcW w:w="600" w:type="dxa"/>
            <w:tcBorders>
              <w:top w:val="nil"/>
              <w:left w:val="nil"/>
              <w:bottom w:val="single" w:sz="4" w:space="0" w:color="BFBFBF"/>
              <w:right w:val="single" w:sz="4" w:space="0" w:color="auto"/>
            </w:tcBorders>
            <w:shd w:val="clear" w:color="auto" w:fill="auto"/>
            <w:noWrap/>
            <w:vAlign w:val="center"/>
          </w:tcPr>
          <w:p w14:paraId="47E7E3A3"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2614B630"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039E1E57"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3FEAD58"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3C4CFC9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082C461"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63B4BECA"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8082779"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2%</w:t>
            </w:r>
          </w:p>
        </w:tc>
        <w:tc>
          <w:tcPr>
            <w:tcW w:w="600" w:type="dxa"/>
            <w:tcBorders>
              <w:top w:val="nil"/>
              <w:left w:val="nil"/>
              <w:bottom w:val="single" w:sz="4" w:space="0" w:color="BFBFBF"/>
              <w:right w:val="double" w:sz="6" w:space="0" w:color="auto"/>
            </w:tcBorders>
            <w:shd w:val="clear" w:color="auto" w:fill="auto"/>
            <w:noWrap/>
            <w:vAlign w:val="center"/>
          </w:tcPr>
          <w:p w14:paraId="5BDF097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788D3537"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3856E3CC"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Central Highlands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86DDE4D"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86%</w:t>
            </w:r>
          </w:p>
        </w:tc>
        <w:tc>
          <w:tcPr>
            <w:tcW w:w="600" w:type="dxa"/>
            <w:tcBorders>
              <w:top w:val="nil"/>
              <w:left w:val="nil"/>
              <w:bottom w:val="single" w:sz="4" w:space="0" w:color="BFBFBF"/>
              <w:right w:val="single" w:sz="4" w:space="0" w:color="auto"/>
            </w:tcBorders>
            <w:shd w:val="clear" w:color="auto" w:fill="auto"/>
            <w:noWrap/>
            <w:vAlign w:val="center"/>
          </w:tcPr>
          <w:p w14:paraId="29F61DF8"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741" w:type="dxa"/>
            <w:tcBorders>
              <w:top w:val="nil"/>
              <w:left w:val="nil"/>
              <w:bottom w:val="single" w:sz="4" w:space="0" w:color="BFBFBF"/>
              <w:right w:val="single" w:sz="4" w:space="0" w:color="BFBFBF"/>
            </w:tcBorders>
            <w:shd w:val="clear" w:color="auto" w:fill="auto"/>
            <w:noWrap/>
            <w:vAlign w:val="center"/>
          </w:tcPr>
          <w:p w14:paraId="61E87F72"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2F6E15C7"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D46333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79274FC4"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42C1866"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5AB0E72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FA1BFBA"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0B45319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n/a</w:t>
            </w:r>
          </w:p>
        </w:tc>
      </w:tr>
      <w:tr w:rsidR="00BA7D39" w:rsidRPr="002D6162" w14:paraId="799B3F1A"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5C3F6F5F" w14:textId="77777777" w:rsidR="00BA7D39" w:rsidRPr="002D6162" w:rsidRDefault="00BA7D39" w:rsidP="00EF37CB">
            <w:pPr>
              <w:spacing w:before="0" w:after="0"/>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By Ownership Status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8A07B0A" w14:textId="77777777" w:rsidR="00BA7D39" w:rsidRPr="002D6162" w:rsidRDefault="00BA7D39" w:rsidP="00705E2B">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0F9CD4D9" w14:textId="77777777" w:rsidR="00BA7D39" w:rsidRPr="002D6162" w:rsidRDefault="00BA7D39" w:rsidP="006616D6">
            <w:pPr>
              <w:spacing w:before="0" w:after="0"/>
              <w:jc w:val="center"/>
              <w:rPr>
                <w:rFonts w:ascii="Arial" w:hAnsi="Arial" w:cs="Arial"/>
                <w:color w:val="000000"/>
                <w:sz w:val="16"/>
                <w:szCs w:val="16"/>
                <w:lang w:val="en-AU" w:eastAsia="en-AU"/>
              </w:rPr>
            </w:pPr>
          </w:p>
        </w:tc>
        <w:tc>
          <w:tcPr>
            <w:tcW w:w="741" w:type="dxa"/>
            <w:tcBorders>
              <w:top w:val="nil"/>
              <w:left w:val="nil"/>
              <w:bottom w:val="single" w:sz="4" w:space="0" w:color="BFBFBF"/>
              <w:right w:val="single" w:sz="4" w:space="0" w:color="BFBFBF"/>
            </w:tcBorders>
            <w:shd w:val="clear" w:color="auto" w:fill="auto"/>
            <w:noWrap/>
            <w:vAlign w:val="center"/>
          </w:tcPr>
          <w:p w14:paraId="0E9E54BD" w14:textId="77777777" w:rsidR="00BA7D39" w:rsidRPr="002D6162" w:rsidRDefault="00BA7D39" w:rsidP="006616D6">
            <w:pPr>
              <w:spacing w:before="0" w:after="0"/>
              <w:jc w:val="center"/>
              <w:rPr>
                <w:rFonts w:ascii="Arial" w:hAnsi="Arial" w:cs="Arial"/>
                <w:color w:val="000000"/>
                <w:sz w:val="16"/>
                <w:szCs w:val="16"/>
                <w:lang w:val="en-AU" w:eastAsia="en-AU"/>
              </w:rPr>
            </w:pPr>
          </w:p>
        </w:tc>
        <w:tc>
          <w:tcPr>
            <w:tcW w:w="709" w:type="dxa"/>
            <w:tcBorders>
              <w:top w:val="nil"/>
              <w:left w:val="nil"/>
              <w:bottom w:val="single" w:sz="4" w:space="0" w:color="BFBFBF"/>
              <w:right w:val="nil"/>
            </w:tcBorders>
            <w:shd w:val="clear" w:color="auto" w:fill="auto"/>
            <w:noWrap/>
            <w:vAlign w:val="center"/>
          </w:tcPr>
          <w:p w14:paraId="6B258A35" w14:textId="77777777" w:rsidR="00BA7D39" w:rsidRPr="002D6162" w:rsidRDefault="00BA7D39" w:rsidP="00600395">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A341243" w14:textId="77777777" w:rsidR="00BA7D39" w:rsidRPr="002D6162" w:rsidRDefault="00BA7D39">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5AAD4352" w14:textId="77777777" w:rsidR="00BA7D39" w:rsidRPr="002D6162" w:rsidRDefault="00BA7D39">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43FC765B" w14:textId="77777777" w:rsidR="00BA7D39" w:rsidRPr="002D6162" w:rsidRDefault="00BA7D39">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47556B88" w14:textId="77777777" w:rsidR="00BA7D39" w:rsidRPr="002D6162" w:rsidRDefault="00BA7D39">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330B1E84" w14:textId="77777777" w:rsidR="00BA7D39" w:rsidRPr="002D6162" w:rsidRDefault="00BA7D39">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double" w:sz="6" w:space="0" w:color="auto"/>
            </w:tcBorders>
            <w:shd w:val="clear" w:color="auto" w:fill="auto"/>
            <w:noWrap/>
            <w:vAlign w:val="center"/>
          </w:tcPr>
          <w:p w14:paraId="4C9E8D30" w14:textId="77777777" w:rsidR="00BA7D39" w:rsidRPr="002D6162" w:rsidRDefault="00BA7D39">
            <w:pPr>
              <w:spacing w:before="0" w:after="0"/>
              <w:jc w:val="center"/>
              <w:rPr>
                <w:rFonts w:ascii="Arial" w:hAnsi="Arial" w:cs="Arial"/>
                <w:color w:val="000000"/>
                <w:sz w:val="16"/>
                <w:szCs w:val="16"/>
                <w:lang w:val="en-AU" w:eastAsia="en-AU"/>
              </w:rPr>
            </w:pPr>
          </w:p>
        </w:tc>
      </w:tr>
      <w:tr w:rsidR="00BA7D39" w:rsidRPr="002D6162" w14:paraId="0624E999"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53D0D263"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Own/paying off</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D24093E"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8</w:t>
            </w:r>
            <w:r w:rsidR="002D6162">
              <w:rPr>
                <w:rFonts w:ascii="Arial" w:hAnsi="Arial" w:cs="Arial"/>
                <w:color w:val="000000"/>
                <w:sz w:val="16"/>
                <w:szCs w:val="16"/>
                <w:lang w:val="en-AU" w:eastAsia="en-AU"/>
              </w:rPr>
              <w:t>4</w:t>
            </w: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3A834ADE"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93%</w:t>
            </w:r>
          </w:p>
        </w:tc>
        <w:tc>
          <w:tcPr>
            <w:tcW w:w="741" w:type="dxa"/>
            <w:tcBorders>
              <w:top w:val="nil"/>
              <w:left w:val="nil"/>
              <w:bottom w:val="single" w:sz="4" w:space="0" w:color="BFBFBF"/>
              <w:right w:val="single" w:sz="4" w:space="0" w:color="BFBFBF"/>
            </w:tcBorders>
            <w:shd w:val="clear" w:color="auto" w:fill="auto"/>
            <w:noWrap/>
            <w:vAlign w:val="center"/>
          </w:tcPr>
          <w:p w14:paraId="59DBFB17"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673C9664"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A626FE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4D6B5771"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2A066D2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53976376"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71CF9954"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443A2832"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r>
      <w:tr w:rsidR="00BA7D39" w:rsidRPr="002D6162" w14:paraId="386D39C0"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5122477B"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Rent –Private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B1D1CAA"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65%</w:t>
            </w:r>
          </w:p>
        </w:tc>
        <w:tc>
          <w:tcPr>
            <w:tcW w:w="600" w:type="dxa"/>
            <w:tcBorders>
              <w:top w:val="nil"/>
              <w:left w:val="nil"/>
              <w:bottom w:val="single" w:sz="4" w:space="0" w:color="BFBFBF"/>
              <w:right w:val="single" w:sz="4" w:space="0" w:color="auto"/>
            </w:tcBorders>
            <w:shd w:val="clear" w:color="auto" w:fill="auto"/>
            <w:noWrap/>
            <w:vAlign w:val="center"/>
          </w:tcPr>
          <w:p w14:paraId="16E17D94"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59%</w:t>
            </w:r>
          </w:p>
        </w:tc>
        <w:tc>
          <w:tcPr>
            <w:tcW w:w="741" w:type="dxa"/>
            <w:tcBorders>
              <w:top w:val="nil"/>
              <w:left w:val="nil"/>
              <w:bottom w:val="single" w:sz="4" w:space="0" w:color="BFBFBF"/>
              <w:right w:val="single" w:sz="4" w:space="0" w:color="BFBFBF"/>
            </w:tcBorders>
            <w:shd w:val="clear" w:color="auto" w:fill="auto"/>
            <w:noWrap/>
            <w:vAlign w:val="center"/>
          </w:tcPr>
          <w:p w14:paraId="639B45BE"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56CF85F4"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252CC1C"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w:t>
            </w:r>
            <w:r w:rsidR="002D6162" w:rsidRPr="002D6162">
              <w:rPr>
                <w:rFonts w:ascii="Arial" w:hAnsi="Arial" w:cs="Arial"/>
                <w:color w:val="000000"/>
                <w:sz w:val="16"/>
                <w:szCs w:val="16"/>
                <w:lang w:val="en-AU" w:eastAsia="en-AU"/>
              </w:rPr>
              <w:t>1</w:t>
            </w: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6D6D52A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27%</w:t>
            </w:r>
          </w:p>
        </w:tc>
        <w:tc>
          <w:tcPr>
            <w:tcW w:w="600" w:type="dxa"/>
            <w:tcBorders>
              <w:top w:val="nil"/>
              <w:left w:val="nil"/>
              <w:bottom w:val="single" w:sz="4" w:space="0" w:color="BFBFBF"/>
              <w:right w:val="single" w:sz="4" w:space="0" w:color="BFBFBF"/>
            </w:tcBorders>
            <w:shd w:val="clear" w:color="auto" w:fill="auto"/>
            <w:noWrap/>
            <w:vAlign w:val="center"/>
          </w:tcPr>
          <w:p w14:paraId="1608632E"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w:t>
            </w:r>
            <w:r w:rsidR="002D6162" w:rsidRPr="002D6162">
              <w:rPr>
                <w:rFonts w:ascii="Arial" w:hAnsi="Arial" w:cs="Arial"/>
                <w:color w:val="000000"/>
                <w:sz w:val="16"/>
                <w:szCs w:val="16"/>
                <w:lang w:val="en-AU" w:eastAsia="en-AU"/>
              </w:rPr>
              <w:t>9</w:t>
            </w: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AD18A17"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13%</w:t>
            </w:r>
          </w:p>
        </w:tc>
        <w:tc>
          <w:tcPr>
            <w:tcW w:w="600" w:type="dxa"/>
            <w:tcBorders>
              <w:top w:val="nil"/>
              <w:left w:val="nil"/>
              <w:bottom w:val="single" w:sz="4" w:space="0" w:color="BFBFBF"/>
              <w:right w:val="single" w:sz="4" w:space="0" w:color="BFBFBF"/>
            </w:tcBorders>
            <w:shd w:val="clear" w:color="auto" w:fill="auto"/>
            <w:noWrap/>
            <w:vAlign w:val="center"/>
          </w:tcPr>
          <w:p w14:paraId="33AB7EE8"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3%</w:t>
            </w:r>
          </w:p>
        </w:tc>
        <w:tc>
          <w:tcPr>
            <w:tcW w:w="600" w:type="dxa"/>
            <w:tcBorders>
              <w:top w:val="nil"/>
              <w:left w:val="nil"/>
              <w:bottom w:val="single" w:sz="4" w:space="0" w:color="BFBFBF"/>
              <w:right w:val="double" w:sz="6" w:space="0" w:color="auto"/>
            </w:tcBorders>
            <w:shd w:val="clear" w:color="auto" w:fill="auto"/>
            <w:noWrap/>
            <w:vAlign w:val="center"/>
          </w:tcPr>
          <w:p w14:paraId="553048FF"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r>
      <w:tr w:rsidR="00BA7D39" w:rsidRPr="002D6162" w14:paraId="02A4A418" w14:textId="77777777" w:rsidTr="00162EF6">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514D4FCB" w14:textId="77777777" w:rsidR="00BA7D39" w:rsidRPr="002D6162" w:rsidRDefault="00BA7D39" w:rsidP="00EF37CB">
            <w:pPr>
              <w:spacing w:before="0" w:after="0"/>
              <w:ind w:firstLineChars="100" w:firstLine="160"/>
              <w:rPr>
                <w:rFonts w:ascii="Arial" w:hAnsi="Arial" w:cs="Arial"/>
                <w:color w:val="000000"/>
                <w:sz w:val="16"/>
                <w:szCs w:val="16"/>
                <w:lang w:val="en-AU" w:eastAsia="en-AU"/>
              </w:rPr>
            </w:pPr>
            <w:r w:rsidRPr="002D6162">
              <w:rPr>
                <w:rFonts w:ascii="Arial" w:hAnsi="Arial" w:cs="Arial"/>
                <w:color w:val="000000"/>
                <w:sz w:val="16"/>
                <w:szCs w:val="16"/>
                <w:lang w:val="en-AU" w:eastAsia="en-AU"/>
              </w:rPr>
              <w:t>Rent- Public</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DFAFECE" w14:textId="77777777" w:rsidR="00BA7D39" w:rsidRPr="002D6162" w:rsidRDefault="00BA7D39" w:rsidP="00705E2B">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52%</w:t>
            </w:r>
          </w:p>
        </w:tc>
        <w:tc>
          <w:tcPr>
            <w:tcW w:w="600" w:type="dxa"/>
            <w:tcBorders>
              <w:top w:val="nil"/>
              <w:left w:val="nil"/>
              <w:bottom w:val="single" w:sz="4" w:space="0" w:color="BFBFBF"/>
              <w:right w:val="single" w:sz="4" w:space="0" w:color="auto"/>
            </w:tcBorders>
            <w:shd w:val="clear" w:color="auto" w:fill="auto"/>
            <w:noWrap/>
            <w:vAlign w:val="center"/>
          </w:tcPr>
          <w:p w14:paraId="410DF96E"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54%</w:t>
            </w:r>
          </w:p>
        </w:tc>
        <w:tc>
          <w:tcPr>
            <w:tcW w:w="741" w:type="dxa"/>
            <w:tcBorders>
              <w:top w:val="nil"/>
              <w:left w:val="nil"/>
              <w:bottom w:val="single" w:sz="4" w:space="0" w:color="BFBFBF"/>
              <w:right w:val="single" w:sz="4" w:space="0" w:color="BFBFBF"/>
            </w:tcBorders>
            <w:shd w:val="clear" w:color="auto" w:fill="auto"/>
            <w:noWrap/>
            <w:vAlign w:val="center"/>
          </w:tcPr>
          <w:p w14:paraId="5026CD92" w14:textId="77777777" w:rsidR="00BA7D39" w:rsidRPr="002D6162" w:rsidRDefault="00BA7D39" w:rsidP="006616D6">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709" w:type="dxa"/>
            <w:tcBorders>
              <w:top w:val="nil"/>
              <w:left w:val="nil"/>
              <w:bottom w:val="single" w:sz="4" w:space="0" w:color="BFBFBF"/>
              <w:right w:val="nil"/>
            </w:tcBorders>
            <w:shd w:val="clear" w:color="auto" w:fill="auto"/>
            <w:noWrap/>
            <w:vAlign w:val="center"/>
          </w:tcPr>
          <w:p w14:paraId="7BA9475B" w14:textId="77777777" w:rsidR="00BA7D39" w:rsidRPr="002D6162" w:rsidRDefault="00BA7D39" w:rsidP="00600395">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8236ECA" w14:textId="77777777" w:rsidR="00BA7D39" w:rsidRPr="002D6162" w:rsidRDefault="002D6162">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20</w:t>
            </w:r>
            <w:r w:rsidR="00BA7D39" w:rsidRPr="002D6162">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725DF141"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23%</w:t>
            </w:r>
          </w:p>
        </w:tc>
        <w:tc>
          <w:tcPr>
            <w:tcW w:w="600" w:type="dxa"/>
            <w:tcBorders>
              <w:top w:val="nil"/>
              <w:left w:val="nil"/>
              <w:bottom w:val="single" w:sz="4" w:space="0" w:color="BFBFBF"/>
              <w:right w:val="single" w:sz="4" w:space="0" w:color="BFBFBF"/>
            </w:tcBorders>
            <w:shd w:val="clear" w:color="auto" w:fill="auto"/>
            <w:noWrap/>
            <w:vAlign w:val="center"/>
          </w:tcPr>
          <w:p w14:paraId="18FD3B7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2</w:t>
            </w:r>
            <w:r w:rsidR="002D6162" w:rsidRPr="002D6162">
              <w:rPr>
                <w:rFonts w:ascii="Arial" w:hAnsi="Arial" w:cs="Arial"/>
                <w:color w:val="000000"/>
                <w:sz w:val="16"/>
                <w:szCs w:val="16"/>
                <w:lang w:val="en-AU" w:eastAsia="en-AU"/>
              </w:rPr>
              <w:t>5</w:t>
            </w:r>
            <w:r w:rsidRPr="002D6162">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45DEC042"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11%</w:t>
            </w:r>
          </w:p>
        </w:tc>
        <w:tc>
          <w:tcPr>
            <w:tcW w:w="600" w:type="dxa"/>
            <w:tcBorders>
              <w:top w:val="nil"/>
              <w:left w:val="nil"/>
              <w:bottom w:val="single" w:sz="4" w:space="0" w:color="BFBFBF"/>
              <w:right w:val="single" w:sz="4" w:space="0" w:color="BFBFBF"/>
            </w:tcBorders>
            <w:shd w:val="clear" w:color="auto" w:fill="auto"/>
            <w:noWrap/>
            <w:vAlign w:val="center"/>
          </w:tcPr>
          <w:p w14:paraId="0D828C21"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3%</w:t>
            </w:r>
          </w:p>
        </w:tc>
        <w:tc>
          <w:tcPr>
            <w:tcW w:w="600" w:type="dxa"/>
            <w:tcBorders>
              <w:top w:val="nil"/>
              <w:left w:val="nil"/>
              <w:bottom w:val="single" w:sz="4" w:space="0" w:color="BFBFBF"/>
              <w:right w:val="double" w:sz="6" w:space="0" w:color="auto"/>
            </w:tcBorders>
            <w:shd w:val="clear" w:color="auto" w:fill="auto"/>
            <w:noWrap/>
            <w:vAlign w:val="center"/>
          </w:tcPr>
          <w:p w14:paraId="644693E5" w14:textId="77777777" w:rsidR="00BA7D39" w:rsidRPr="002D6162" w:rsidRDefault="00BA7D39">
            <w:pPr>
              <w:spacing w:before="0" w:after="0"/>
              <w:jc w:val="center"/>
              <w:rPr>
                <w:rFonts w:ascii="Arial" w:hAnsi="Arial" w:cs="Arial"/>
                <w:color w:val="000000"/>
                <w:sz w:val="16"/>
                <w:szCs w:val="16"/>
                <w:lang w:val="en-AU" w:eastAsia="en-AU"/>
              </w:rPr>
            </w:pPr>
            <w:r w:rsidRPr="002D6162">
              <w:rPr>
                <w:rFonts w:ascii="Arial" w:hAnsi="Arial" w:cs="Arial"/>
                <w:color w:val="000000"/>
                <w:sz w:val="16"/>
                <w:szCs w:val="16"/>
                <w:lang w:val="en-AU" w:eastAsia="en-AU"/>
              </w:rPr>
              <w:t>12%</w:t>
            </w:r>
          </w:p>
        </w:tc>
      </w:tr>
      <w:tr w:rsidR="00BA7D39" w:rsidRPr="002D6162" w14:paraId="63556086" w14:textId="77777777" w:rsidTr="00162EF6">
        <w:trPr>
          <w:trHeight w:val="240"/>
          <w:jc w:val="center"/>
        </w:trPr>
        <w:tc>
          <w:tcPr>
            <w:tcW w:w="2760" w:type="dxa"/>
            <w:tcBorders>
              <w:top w:val="nil"/>
              <w:left w:val="double" w:sz="6" w:space="0" w:color="auto"/>
              <w:bottom w:val="double" w:sz="6" w:space="0" w:color="auto"/>
              <w:right w:val="nil"/>
            </w:tcBorders>
            <w:shd w:val="clear" w:color="auto" w:fill="auto"/>
            <w:noWrap/>
            <w:vAlign w:val="center"/>
          </w:tcPr>
          <w:p w14:paraId="0137CF6A" w14:textId="77777777" w:rsidR="00BA7D39" w:rsidRPr="002D6162" w:rsidRDefault="00BA7D39" w:rsidP="00EF37CB">
            <w:pPr>
              <w:spacing w:before="0" w:after="0"/>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Total HHs</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551CCCCE" w14:textId="77777777" w:rsidR="00BA7D39" w:rsidRPr="002D6162" w:rsidRDefault="00BA7D39" w:rsidP="00705E2B">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80%</w:t>
            </w:r>
          </w:p>
        </w:tc>
        <w:tc>
          <w:tcPr>
            <w:tcW w:w="600" w:type="dxa"/>
            <w:tcBorders>
              <w:top w:val="nil"/>
              <w:left w:val="nil"/>
              <w:bottom w:val="double" w:sz="6" w:space="0" w:color="auto"/>
              <w:right w:val="single" w:sz="4" w:space="0" w:color="auto"/>
            </w:tcBorders>
            <w:shd w:val="clear" w:color="auto" w:fill="auto"/>
            <w:noWrap/>
            <w:vAlign w:val="center"/>
          </w:tcPr>
          <w:p w14:paraId="4CE9ED9F" w14:textId="77777777" w:rsidR="00BA7D39" w:rsidRPr="002D6162" w:rsidRDefault="00BA7D39" w:rsidP="006616D6">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85%</w:t>
            </w:r>
          </w:p>
        </w:tc>
        <w:tc>
          <w:tcPr>
            <w:tcW w:w="741" w:type="dxa"/>
            <w:tcBorders>
              <w:top w:val="nil"/>
              <w:left w:val="nil"/>
              <w:bottom w:val="double" w:sz="6" w:space="0" w:color="auto"/>
              <w:right w:val="single" w:sz="4" w:space="0" w:color="BFBFBF"/>
            </w:tcBorders>
            <w:shd w:val="clear" w:color="auto" w:fill="auto"/>
            <w:noWrap/>
            <w:vAlign w:val="center"/>
          </w:tcPr>
          <w:p w14:paraId="454DBDFC" w14:textId="77777777" w:rsidR="00BA7D39" w:rsidRPr="002D6162" w:rsidRDefault="00BA7D39" w:rsidP="006616D6">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w:t>
            </w:r>
          </w:p>
        </w:tc>
        <w:tc>
          <w:tcPr>
            <w:tcW w:w="709" w:type="dxa"/>
            <w:tcBorders>
              <w:top w:val="nil"/>
              <w:left w:val="nil"/>
              <w:bottom w:val="double" w:sz="6" w:space="0" w:color="auto"/>
              <w:right w:val="nil"/>
            </w:tcBorders>
            <w:shd w:val="clear" w:color="auto" w:fill="auto"/>
            <w:noWrap/>
            <w:vAlign w:val="center"/>
          </w:tcPr>
          <w:p w14:paraId="527E427D" w14:textId="77777777" w:rsidR="00BA7D39" w:rsidRPr="002D6162" w:rsidRDefault="00BA7D39" w:rsidP="00600395">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50C99C5C" w14:textId="77777777" w:rsidR="00BA7D39" w:rsidRPr="002D6162" w:rsidRDefault="00BA7D39">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8%</w:t>
            </w:r>
          </w:p>
        </w:tc>
        <w:tc>
          <w:tcPr>
            <w:tcW w:w="600" w:type="dxa"/>
            <w:tcBorders>
              <w:top w:val="nil"/>
              <w:left w:val="nil"/>
              <w:bottom w:val="double" w:sz="6" w:space="0" w:color="auto"/>
              <w:right w:val="single" w:sz="4" w:space="0" w:color="auto"/>
            </w:tcBorders>
            <w:shd w:val="clear" w:color="auto" w:fill="auto"/>
            <w:noWrap/>
            <w:vAlign w:val="center"/>
          </w:tcPr>
          <w:p w14:paraId="6180654A" w14:textId="77777777" w:rsidR="00BA7D39" w:rsidRPr="002D6162" w:rsidRDefault="00BA7D39">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10%</w:t>
            </w:r>
          </w:p>
        </w:tc>
        <w:tc>
          <w:tcPr>
            <w:tcW w:w="600" w:type="dxa"/>
            <w:tcBorders>
              <w:top w:val="nil"/>
              <w:left w:val="nil"/>
              <w:bottom w:val="double" w:sz="6" w:space="0" w:color="auto"/>
              <w:right w:val="single" w:sz="4" w:space="0" w:color="BFBFBF"/>
            </w:tcBorders>
            <w:shd w:val="clear" w:color="auto" w:fill="auto"/>
            <w:noWrap/>
            <w:vAlign w:val="center"/>
          </w:tcPr>
          <w:p w14:paraId="15BAA8FE" w14:textId="77777777" w:rsidR="00BA7D39" w:rsidRPr="002D6162" w:rsidRDefault="00BA7D39">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8%</w:t>
            </w:r>
          </w:p>
        </w:tc>
        <w:tc>
          <w:tcPr>
            <w:tcW w:w="600" w:type="dxa"/>
            <w:tcBorders>
              <w:top w:val="nil"/>
              <w:left w:val="nil"/>
              <w:bottom w:val="double" w:sz="6" w:space="0" w:color="auto"/>
              <w:right w:val="single" w:sz="4" w:space="0" w:color="auto"/>
            </w:tcBorders>
            <w:shd w:val="clear" w:color="auto" w:fill="auto"/>
            <w:noWrap/>
            <w:vAlign w:val="center"/>
          </w:tcPr>
          <w:p w14:paraId="34F1DB56" w14:textId="77777777" w:rsidR="00BA7D39" w:rsidRPr="002D6162" w:rsidRDefault="00BA7D39">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4%</w:t>
            </w:r>
          </w:p>
        </w:tc>
        <w:tc>
          <w:tcPr>
            <w:tcW w:w="600" w:type="dxa"/>
            <w:tcBorders>
              <w:top w:val="nil"/>
              <w:left w:val="nil"/>
              <w:bottom w:val="double" w:sz="6" w:space="0" w:color="auto"/>
              <w:right w:val="single" w:sz="4" w:space="0" w:color="BFBFBF"/>
            </w:tcBorders>
            <w:shd w:val="clear" w:color="auto" w:fill="auto"/>
            <w:noWrap/>
            <w:vAlign w:val="center"/>
          </w:tcPr>
          <w:p w14:paraId="3D783B86" w14:textId="77777777" w:rsidR="00BA7D39" w:rsidRPr="002D6162" w:rsidRDefault="00BA7D39">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1%</w:t>
            </w:r>
          </w:p>
        </w:tc>
        <w:tc>
          <w:tcPr>
            <w:tcW w:w="600" w:type="dxa"/>
            <w:tcBorders>
              <w:top w:val="nil"/>
              <w:left w:val="nil"/>
              <w:bottom w:val="double" w:sz="6" w:space="0" w:color="auto"/>
              <w:right w:val="double" w:sz="6" w:space="0" w:color="auto"/>
            </w:tcBorders>
            <w:shd w:val="clear" w:color="auto" w:fill="auto"/>
            <w:noWrap/>
            <w:vAlign w:val="center"/>
          </w:tcPr>
          <w:p w14:paraId="48904FE2" w14:textId="77777777" w:rsidR="00BA7D39" w:rsidRPr="002D6162" w:rsidRDefault="00BA7D39">
            <w:pPr>
              <w:spacing w:before="0" w:after="0"/>
              <w:jc w:val="center"/>
              <w:rPr>
                <w:rFonts w:ascii="Arial" w:hAnsi="Arial" w:cs="Arial"/>
                <w:b/>
                <w:bCs/>
                <w:color w:val="000000"/>
                <w:sz w:val="16"/>
                <w:szCs w:val="16"/>
                <w:lang w:val="en-AU" w:eastAsia="en-AU"/>
              </w:rPr>
            </w:pPr>
            <w:r w:rsidRPr="002D6162">
              <w:rPr>
                <w:rFonts w:ascii="Arial" w:hAnsi="Arial" w:cs="Arial"/>
                <w:b/>
                <w:bCs/>
                <w:color w:val="000000"/>
                <w:sz w:val="16"/>
                <w:szCs w:val="16"/>
                <w:lang w:val="en-AU" w:eastAsia="en-AU"/>
              </w:rPr>
              <w:t>1%</w:t>
            </w:r>
          </w:p>
        </w:tc>
      </w:tr>
    </w:tbl>
    <w:p w14:paraId="5D64E333" w14:textId="77777777" w:rsidR="000E727E" w:rsidRPr="002D6162" w:rsidRDefault="000E727E" w:rsidP="00562A28">
      <w:pPr>
        <w:pStyle w:val="Para"/>
        <w:ind w:left="2880"/>
        <w:rPr>
          <w:sz w:val="20"/>
          <w:lang w:val="en-AU"/>
        </w:rPr>
      </w:pPr>
      <w:r w:rsidRPr="002D6162">
        <w:rPr>
          <w:sz w:val="20"/>
          <w:lang w:val="en-AU"/>
        </w:rPr>
        <w:t>Base: Total respondents, 2014 (n=1,861); 2007 (n=2,061)</w:t>
      </w:r>
    </w:p>
    <w:p w14:paraId="026CF24C" w14:textId="77777777" w:rsidR="003920D8" w:rsidRPr="00E40699" w:rsidRDefault="00D3582F">
      <w:pPr>
        <w:pStyle w:val="Heading3"/>
        <w:tabs>
          <w:tab w:val="clear" w:pos="8517"/>
          <w:tab w:val="num" w:pos="851"/>
        </w:tabs>
        <w:spacing w:before="0"/>
        <w:ind w:hanging="8517"/>
        <w:rPr>
          <w:lang w:val="en-AU"/>
        </w:rPr>
      </w:pPr>
      <w:r w:rsidRPr="00DA3B75">
        <w:rPr>
          <w:b w:val="0"/>
          <w:highlight w:val="yellow"/>
          <w:lang w:val="en-AU"/>
        </w:rPr>
        <w:br w:type="page"/>
      </w:r>
      <w:bookmarkStart w:id="140" w:name="_Toc439173153"/>
      <w:bookmarkStart w:id="141" w:name="_Toc439198298"/>
      <w:bookmarkStart w:id="142" w:name="_Toc439173154"/>
      <w:bookmarkStart w:id="143" w:name="_Toc439198299"/>
      <w:bookmarkStart w:id="144" w:name="_Toc439173155"/>
      <w:bookmarkStart w:id="145" w:name="_Toc439198300"/>
      <w:bookmarkStart w:id="146" w:name="_Toc439198301"/>
      <w:bookmarkStart w:id="147" w:name="_Toc445571680"/>
      <w:bookmarkEnd w:id="140"/>
      <w:bookmarkEnd w:id="141"/>
      <w:bookmarkEnd w:id="142"/>
      <w:bookmarkEnd w:id="143"/>
      <w:bookmarkEnd w:id="144"/>
      <w:bookmarkEnd w:id="145"/>
      <w:r w:rsidR="00FC6BFF" w:rsidRPr="00E40699">
        <w:rPr>
          <w:lang w:val="en-AU"/>
        </w:rPr>
        <w:lastRenderedPageBreak/>
        <w:t>Incidence of Ceiling Insulation</w:t>
      </w:r>
      <w:bookmarkEnd w:id="146"/>
      <w:bookmarkEnd w:id="147"/>
    </w:p>
    <w:p w14:paraId="28980E20" w14:textId="4CFFA754" w:rsidR="00FC6BFF" w:rsidRPr="00E40699" w:rsidRDefault="006134AD" w:rsidP="00D3669F">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E40699">
        <w:rPr>
          <w:lang w:val="en-AU"/>
        </w:rPr>
        <w:t>The 2014 survey added a response category “Insulated but not sure if complete or partial”</w:t>
      </w:r>
      <w:r w:rsidR="00D3669F" w:rsidRPr="00E40699">
        <w:rPr>
          <w:lang w:val="en-AU"/>
        </w:rPr>
        <w:t>. C</w:t>
      </w:r>
      <w:r w:rsidRPr="00E40699">
        <w:rPr>
          <w:lang w:val="en-AU"/>
        </w:rPr>
        <w:t>omparison</w:t>
      </w:r>
      <w:r w:rsidR="006616D6">
        <w:rPr>
          <w:lang w:val="en-AU"/>
        </w:rPr>
        <w:t>s</w:t>
      </w:r>
      <w:r w:rsidRPr="00E40699">
        <w:rPr>
          <w:lang w:val="en-AU"/>
        </w:rPr>
        <w:t xml:space="preserve"> with 2007 results </w:t>
      </w:r>
      <w:r w:rsidR="00A52B0C">
        <w:rPr>
          <w:lang w:val="en-AU"/>
        </w:rPr>
        <w:t xml:space="preserve">therefore </w:t>
      </w:r>
      <w:r w:rsidR="00404095">
        <w:rPr>
          <w:lang w:val="en-AU"/>
        </w:rPr>
        <w:t>require</w:t>
      </w:r>
      <w:r w:rsidRPr="00E40699">
        <w:rPr>
          <w:lang w:val="en-AU"/>
        </w:rPr>
        <w:t xml:space="preserve"> care.</w:t>
      </w:r>
    </w:p>
    <w:p w14:paraId="6C62A429" w14:textId="77777777" w:rsidR="006134AD" w:rsidRPr="00DA3B75" w:rsidRDefault="006134AD" w:rsidP="00FC6BFF">
      <w:pPr>
        <w:pStyle w:val="Para"/>
        <w:rPr>
          <w:highlight w:val="yellow"/>
          <w:lang w:val="en-AU"/>
        </w:rPr>
      </w:pPr>
    </w:p>
    <w:p w14:paraId="1F40B521" w14:textId="22C311C5" w:rsidR="00FC6BFF" w:rsidRPr="00E40699" w:rsidRDefault="006134AD" w:rsidP="00FC6BFF">
      <w:pPr>
        <w:pStyle w:val="Para"/>
        <w:rPr>
          <w:lang w:val="en-AU"/>
        </w:rPr>
      </w:pPr>
      <w:r w:rsidRPr="00E40699">
        <w:rPr>
          <w:lang w:val="en-AU"/>
        </w:rPr>
        <w:t xml:space="preserve">The </w:t>
      </w:r>
      <w:r w:rsidR="00D7504F" w:rsidRPr="00E40699">
        <w:rPr>
          <w:lang w:val="en-AU"/>
        </w:rPr>
        <w:t>great</w:t>
      </w:r>
      <w:r w:rsidRPr="00E40699">
        <w:rPr>
          <w:lang w:val="en-AU"/>
        </w:rPr>
        <w:t xml:space="preserve"> majority </w:t>
      </w:r>
      <w:r w:rsidR="00CE3364" w:rsidRPr="00E40699">
        <w:rPr>
          <w:lang w:val="en-AU"/>
        </w:rPr>
        <w:t>of households (</w:t>
      </w:r>
      <w:r w:rsidR="00A21F55" w:rsidRPr="00E40699">
        <w:rPr>
          <w:lang w:val="en-AU"/>
        </w:rPr>
        <w:t>87%</w:t>
      </w:r>
      <w:r w:rsidR="00CE3364" w:rsidRPr="00E40699">
        <w:rPr>
          <w:lang w:val="en-AU"/>
        </w:rPr>
        <w:t xml:space="preserve">) had some </w:t>
      </w:r>
      <w:r w:rsidR="00D7504F" w:rsidRPr="00E40699">
        <w:rPr>
          <w:lang w:val="en-AU"/>
        </w:rPr>
        <w:t xml:space="preserve">ceiling </w:t>
      </w:r>
      <w:r w:rsidR="00CE3364" w:rsidRPr="00E40699">
        <w:rPr>
          <w:lang w:val="en-AU"/>
        </w:rPr>
        <w:t>insulation</w:t>
      </w:r>
      <w:r w:rsidR="00895F8A" w:rsidRPr="00E40699">
        <w:rPr>
          <w:rStyle w:val="FootnoteReference"/>
          <w:lang w:val="en-AU"/>
        </w:rPr>
        <w:footnoteReference w:id="3"/>
      </w:r>
      <w:r w:rsidR="00CE3364" w:rsidRPr="00E40699">
        <w:rPr>
          <w:lang w:val="en-AU"/>
        </w:rPr>
        <w:t xml:space="preserve">, </w:t>
      </w:r>
      <w:r w:rsidR="00A21F55" w:rsidRPr="00E40699">
        <w:rPr>
          <w:lang w:val="en-AU"/>
        </w:rPr>
        <w:t>an increase of 10 percentage points over 2007</w:t>
      </w:r>
      <w:r w:rsidR="0057268F" w:rsidRPr="00E40699">
        <w:rPr>
          <w:lang w:val="en-AU"/>
        </w:rPr>
        <w:t xml:space="preserve"> – see Table 3.3.13a</w:t>
      </w:r>
      <w:r w:rsidR="00A21F55" w:rsidRPr="00E40699">
        <w:rPr>
          <w:lang w:val="en-AU"/>
        </w:rPr>
        <w:t>.  Non-concession households (90%) were more likely than concession households (8</w:t>
      </w:r>
      <w:r w:rsidR="00E40699" w:rsidRPr="00E40699">
        <w:rPr>
          <w:lang w:val="en-AU"/>
        </w:rPr>
        <w:t>5</w:t>
      </w:r>
      <w:r w:rsidR="00A21F55" w:rsidRPr="00E40699">
        <w:rPr>
          <w:lang w:val="en-AU"/>
        </w:rPr>
        <w:t xml:space="preserve">%) to have some </w:t>
      </w:r>
      <w:r w:rsidR="00E40699" w:rsidRPr="00E40699">
        <w:rPr>
          <w:lang w:val="en-AU"/>
        </w:rPr>
        <w:t xml:space="preserve">ceiling </w:t>
      </w:r>
      <w:r w:rsidR="00390355" w:rsidRPr="00E40699">
        <w:rPr>
          <w:lang w:val="en-AU"/>
        </w:rPr>
        <w:t>insulation.</w:t>
      </w:r>
      <w:r w:rsidR="00D7504F" w:rsidRPr="00E40699">
        <w:rPr>
          <w:lang w:val="en-AU"/>
        </w:rPr>
        <w:t xml:space="preserve">  In particular, just 77% of other concession households reported any extent of ceiling insulation</w:t>
      </w:r>
      <w:r w:rsidR="00A21F55" w:rsidRPr="00E40699">
        <w:rPr>
          <w:lang w:val="en-AU"/>
        </w:rPr>
        <w:t xml:space="preserve">.  </w:t>
      </w:r>
      <w:r w:rsidR="00D7504F" w:rsidRPr="00E40699">
        <w:rPr>
          <w:lang w:val="en-AU"/>
        </w:rPr>
        <w:t>H</w:t>
      </w:r>
      <w:r w:rsidR="00A21F55" w:rsidRPr="00E40699">
        <w:rPr>
          <w:lang w:val="en-AU"/>
        </w:rPr>
        <w:t>ome owners/buyers (95%) were much more likely that private renters (5</w:t>
      </w:r>
      <w:r w:rsidR="00E40699" w:rsidRPr="00E40699">
        <w:rPr>
          <w:lang w:val="en-AU"/>
        </w:rPr>
        <w:t>8</w:t>
      </w:r>
      <w:r w:rsidR="00A21F55" w:rsidRPr="00E40699">
        <w:rPr>
          <w:lang w:val="en-AU"/>
        </w:rPr>
        <w:t>%) or public renters (5</w:t>
      </w:r>
      <w:r w:rsidR="00E40699" w:rsidRPr="00E40699">
        <w:rPr>
          <w:lang w:val="en-AU"/>
        </w:rPr>
        <w:t>5</w:t>
      </w:r>
      <w:r w:rsidR="00A21F55" w:rsidRPr="00E40699">
        <w:rPr>
          <w:lang w:val="en-AU"/>
        </w:rPr>
        <w:t xml:space="preserve">%) to have some </w:t>
      </w:r>
      <w:r w:rsidR="00E40699">
        <w:rPr>
          <w:lang w:val="en-AU"/>
        </w:rPr>
        <w:t xml:space="preserve">ceiling </w:t>
      </w:r>
      <w:r w:rsidR="00A21F55" w:rsidRPr="00E40699">
        <w:rPr>
          <w:lang w:val="en-AU"/>
        </w:rPr>
        <w:t>insulation.</w:t>
      </w:r>
      <w:r w:rsidR="00CE3364" w:rsidRPr="00E40699">
        <w:rPr>
          <w:lang w:val="en-AU"/>
        </w:rPr>
        <w:t xml:space="preserve">  </w:t>
      </w:r>
      <w:r w:rsidR="001E7E08" w:rsidRPr="00E40699">
        <w:rPr>
          <w:lang w:val="en-AU"/>
        </w:rPr>
        <w:t>H</w:t>
      </w:r>
      <w:r w:rsidR="004755F7" w:rsidRPr="00E40699">
        <w:rPr>
          <w:lang w:val="en-AU"/>
        </w:rPr>
        <w:t>omes built before 1991 were less</w:t>
      </w:r>
      <w:r w:rsidR="001E7E08" w:rsidRPr="00E40699">
        <w:rPr>
          <w:lang w:val="en-AU"/>
        </w:rPr>
        <w:t xml:space="preserve"> likely to have any insulation (</w:t>
      </w:r>
      <w:r w:rsidR="00A21F55" w:rsidRPr="00E40699">
        <w:rPr>
          <w:lang w:val="en-AU"/>
        </w:rPr>
        <w:t>87</w:t>
      </w:r>
      <w:r w:rsidR="001E7E08" w:rsidRPr="00E40699">
        <w:rPr>
          <w:lang w:val="en-AU"/>
        </w:rPr>
        <w:t>%)</w:t>
      </w:r>
      <w:r w:rsidR="004755F7" w:rsidRPr="00E40699">
        <w:rPr>
          <w:lang w:val="en-AU"/>
        </w:rPr>
        <w:t xml:space="preserve"> compared with those built between 1991 and 2004 (</w:t>
      </w:r>
      <w:r w:rsidR="00A21F55" w:rsidRPr="00E40699">
        <w:rPr>
          <w:lang w:val="en-AU"/>
        </w:rPr>
        <w:t>93</w:t>
      </w:r>
      <w:r w:rsidR="004755F7" w:rsidRPr="00E40699">
        <w:rPr>
          <w:lang w:val="en-AU"/>
        </w:rPr>
        <w:t>%) or after 2004 (9</w:t>
      </w:r>
      <w:r w:rsidR="00A21F55" w:rsidRPr="00E40699">
        <w:rPr>
          <w:lang w:val="en-AU"/>
        </w:rPr>
        <w:t>4</w:t>
      </w:r>
      <w:r w:rsidR="004755F7" w:rsidRPr="00E40699">
        <w:rPr>
          <w:lang w:val="en-AU"/>
        </w:rPr>
        <w:t>%).</w:t>
      </w:r>
    </w:p>
    <w:p w14:paraId="10716CC3" w14:textId="77777777" w:rsidR="00FC6BFF" w:rsidRPr="008A7031" w:rsidRDefault="00FC6BFF" w:rsidP="00FC6BFF">
      <w:pPr>
        <w:pStyle w:val="Para"/>
        <w:rPr>
          <w:lang w:val="en-AU"/>
        </w:rPr>
      </w:pPr>
    </w:p>
    <w:p w14:paraId="6A662A09" w14:textId="77777777" w:rsidR="00FC6BFF" w:rsidRPr="008A7031" w:rsidRDefault="00FC6BFF" w:rsidP="00562A28">
      <w:pPr>
        <w:pStyle w:val="Para"/>
        <w:jc w:val="center"/>
        <w:outlineLvl w:val="0"/>
        <w:rPr>
          <w:b/>
          <w:lang w:val="en-AU"/>
        </w:rPr>
      </w:pPr>
      <w:r w:rsidRPr="008A7031">
        <w:rPr>
          <w:b/>
          <w:lang w:val="en-AU"/>
        </w:rPr>
        <w:t>Table 3.3.</w:t>
      </w:r>
      <w:r w:rsidR="00FF5CB5" w:rsidRPr="008A7031">
        <w:rPr>
          <w:b/>
          <w:lang w:val="en-AU"/>
        </w:rPr>
        <w:t>13</w:t>
      </w:r>
      <w:r w:rsidR="00D7504F" w:rsidRPr="008A7031">
        <w:rPr>
          <w:b/>
          <w:lang w:val="en-AU"/>
        </w:rPr>
        <w:t>a</w:t>
      </w:r>
      <w:r w:rsidRPr="008A7031">
        <w:rPr>
          <w:b/>
          <w:lang w:val="en-AU"/>
        </w:rPr>
        <w:t xml:space="preserve">: </w:t>
      </w:r>
      <w:r w:rsidRPr="008A7031">
        <w:rPr>
          <w:b/>
          <w:u w:val="single"/>
          <w:lang w:val="en-AU"/>
        </w:rPr>
        <w:t xml:space="preserve">Incidence of Ceiling Insulation by </w:t>
      </w:r>
      <w:r w:rsidR="00D7504F" w:rsidRPr="008A7031">
        <w:rPr>
          <w:b/>
          <w:u w:val="single"/>
          <w:lang w:val="en-AU"/>
        </w:rPr>
        <w:t>Concession Status</w:t>
      </w:r>
      <w:r w:rsidRPr="008A7031">
        <w:rPr>
          <w:b/>
          <w:u w:val="single"/>
          <w:lang w:val="en-AU"/>
        </w:rPr>
        <w:t xml:space="preserve"> and Date Built</w:t>
      </w:r>
    </w:p>
    <w:tbl>
      <w:tblPr>
        <w:tblW w:w="10000" w:type="dxa"/>
        <w:jc w:val="center"/>
        <w:tblLook w:val="04A0" w:firstRow="1" w:lastRow="0" w:firstColumn="1" w:lastColumn="0" w:noHBand="0" w:noVBand="1"/>
      </w:tblPr>
      <w:tblGrid>
        <w:gridCol w:w="2760"/>
        <w:gridCol w:w="600"/>
        <w:gridCol w:w="600"/>
        <w:gridCol w:w="600"/>
        <w:gridCol w:w="600"/>
        <w:gridCol w:w="600"/>
        <w:gridCol w:w="600"/>
        <w:gridCol w:w="600"/>
        <w:gridCol w:w="600"/>
        <w:gridCol w:w="600"/>
        <w:gridCol w:w="600"/>
        <w:gridCol w:w="620"/>
        <w:gridCol w:w="620"/>
      </w:tblGrid>
      <w:tr w:rsidR="00EF37CB" w:rsidRPr="008A7031" w14:paraId="0736CB71" w14:textId="77777777" w:rsidTr="00162EF6">
        <w:trPr>
          <w:trHeight w:val="662"/>
          <w:jc w:val="center"/>
        </w:trPr>
        <w:tc>
          <w:tcPr>
            <w:tcW w:w="2760" w:type="dxa"/>
            <w:vMerge w:val="restart"/>
            <w:tcBorders>
              <w:top w:val="double" w:sz="6" w:space="0" w:color="auto"/>
              <w:left w:val="double" w:sz="6" w:space="0" w:color="auto"/>
              <w:bottom w:val="single" w:sz="4" w:space="0" w:color="BFBFBF"/>
              <w:right w:val="nil"/>
            </w:tcBorders>
            <w:shd w:val="clear" w:color="auto" w:fill="auto"/>
            <w:noWrap/>
            <w:vAlign w:val="center"/>
          </w:tcPr>
          <w:p w14:paraId="5D9084F5" w14:textId="77777777" w:rsidR="00EF37CB" w:rsidRPr="008A7031" w:rsidRDefault="00EF37CB" w:rsidP="00B75952">
            <w:pPr>
              <w:spacing w:before="0" w:after="0"/>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Ceiling Insulation</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0C4981D9"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Completely Insulated</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7B07294F"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Partly Insulated</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5CC8C6D7"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Insulated -unsure if complete or partial*</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1D810BC9"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Total with some insulation</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7AADE426"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Not insulated</w:t>
            </w:r>
          </w:p>
        </w:tc>
        <w:tc>
          <w:tcPr>
            <w:tcW w:w="1240" w:type="dxa"/>
            <w:gridSpan w:val="2"/>
            <w:tcBorders>
              <w:top w:val="double" w:sz="6" w:space="0" w:color="auto"/>
              <w:left w:val="nil"/>
              <w:bottom w:val="single" w:sz="4" w:space="0" w:color="BFBFBF"/>
              <w:right w:val="double" w:sz="6" w:space="0" w:color="000000"/>
            </w:tcBorders>
            <w:shd w:val="clear" w:color="auto" w:fill="auto"/>
            <w:vAlign w:val="center"/>
          </w:tcPr>
          <w:p w14:paraId="7C16869A"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Can't say</w:t>
            </w:r>
          </w:p>
        </w:tc>
      </w:tr>
      <w:tr w:rsidR="00E5447C" w:rsidRPr="008A7031" w14:paraId="58DF27A4" w14:textId="77777777" w:rsidTr="00311020">
        <w:trPr>
          <w:trHeight w:val="291"/>
          <w:jc w:val="center"/>
        </w:trPr>
        <w:tc>
          <w:tcPr>
            <w:tcW w:w="2760" w:type="dxa"/>
            <w:vMerge/>
            <w:tcBorders>
              <w:top w:val="double" w:sz="6" w:space="0" w:color="auto"/>
              <w:left w:val="double" w:sz="6" w:space="0" w:color="auto"/>
              <w:bottom w:val="single" w:sz="4" w:space="0" w:color="BFBFBF"/>
              <w:right w:val="nil"/>
            </w:tcBorders>
            <w:vAlign w:val="center"/>
          </w:tcPr>
          <w:p w14:paraId="5C276D83" w14:textId="77777777" w:rsidR="00EF37CB" w:rsidRPr="008A7031" w:rsidRDefault="00EF37CB" w:rsidP="00B75952">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FA13505"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167BF961"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2D1ABBC2"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75A1B9D2"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8629DE8"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5A50A76B"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6333A16A"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4EC44EC7"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C0EF804"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454D957B"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2007</w:t>
            </w:r>
          </w:p>
        </w:tc>
        <w:tc>
          <w:tcPr>
            <w:tcW w:w="620" w:type="dxa"/>
            <w:tcBorders>
              <w:top w:val="nil"/>
              <w:left w:val="nil"/>
              <w:bottom w:val="single" w:sz="4" w:space="0" w:color="BFBFBF"/>
              <w:right w:val="single" w:sz="4" w:space="0" w:color="BFBFBF"/>
            </w:tcBorders>
            <w:shd w:val="clear" w:color="auto" w:fill="auto"/>
            <w:noWrap/>
            <w:vAlign w:val="center"/>
          </w:tcPr>
          <w:p w14:paraId="4C6C7C54"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2014</w:t>
            </w:r>
          </w:p>
        </w:tc>
        <w:tc>
          <w:tcPr>
            <w:tcW w:w="620" w:type="dxa"/>
            <w:tcBorders>
              <w:top w:val="nil"/>
              <w:left w:val="nil"/>
              <w:bottom w:val="single" w:sz="4" w:space="0" w:color="BFBFBF"/>
              <w:right w:val="double" w:sz="6" w:space="0" w:color="auto"/>
            </w:tcBorders>
            <w:shd w:val="clear" w:color="auto" w:fill="auto"/>
            <w:noWrap/>
            <w:vAlign w:val="center"/>
          </w:tcPr>
          <w:p w14:paraId="78EA8AE3" w14:textId="77777777" w:rsidR="00EF37CB" w:rsidRPr="008A7031" w:rsidRDefault="00EF37CB"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2007</w:t>
            </w:r>
          </w:p>
        </w:tc>
      </w:tr>
      <w:tr w:rsidR="0054131D" w:rsidRPr="00DA3B75" w14:paraId="5166BCD0"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04009E1E" w14:textId="77777777" w:rsidR="00EF37CB" w:rsidRPr="00E40699" w:rsidRDefault="00EF37CB" w:rsidP="00B75952">
            <w:pPr>
              <w:spacing w:before="0" w:after="0"/>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By Concession Status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6BE88B7" w14:textId="77777777" w:rsidR="00EF37CB" w:rsidRPr="00E40699" w:rsidRDefault="00EF37CB" w:rsidP="00B75952">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768FA793" w14:textId="77777777" w:rsidR="00EF37CB" w:rsidRPr="00E40699" w:rsidRDefault="00EF37CB" w:rsidP="00B75952">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bottom"/>
          </w:tcPr>
          <w:p w14:paraId="001C9D1B" w14:textId="77777777" w:rsidR="00EF37CB" w:rsidRPr="00E40699" w:rsidRDefault="00EF37CB" w:rsidP="00B75952">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 </w:t>
            </w:r>
          </w:p>
        </w:tc>
        <w:tc>
          <w:tcPr>
            <w:tcW w:w="600" w:type="dxa"/>
            <w:tcBorders>
              <w:top w:val="nil"/>
              <w:left w:val="nil"/>
              <w:bottom w:val="single" w:sz="4" w:space="0" w:color="BFBFBF"/>
              <w:right w:val="nil"/>
            </w:tcBorders>
            <w:shd w:val="clear" w:color="auto" w:fill="auto"/>
            <w:noWrap/>
            <w:vAlign w:val="center"/>
          </w:tcPr>
          <w:p w14:paraId="64C3BB18" w14:textId="77777777" w:rsidR="00EF37CB" w:rsidRPr="00E40699" w:rsidRDefault="00EF37CB" w:rsidP="00B75952">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3ED80F4" w14:textId="77777777" w:rsidR="00EF37CB" w:rsidRPr="00E40699" w:rsidRDefault="00EF37CB" w:rsidP="00B75952">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0978F4D3" w14:textId="77777777" w:rsidR="00EF37CB" w:rsidRPr="00E40699" w:rsidRDefault="00EF37CB" w:rsidP="00B75952">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bottom"/>
          </w:tcPr>
          <w:p w14:paraId="0054F083" w14:textId="77777777" w:rsidR="00EF37CB" w:rsidRPr="00E40699" w:rsidRDefault="00EF37CB" w:rsidP="00B75952">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 </w:t>
            </w:r>
          </w:p>
        </w:tc>
        <w:tc>
          <w:tcPr>
            <w:tcW w:w="600" w:type="dxa"/>
            <w:tcBorders>
              <w:top w:val="nil"/>
              <w:left w:val="nil"/>
              <w:bottom w:val="single" w:sz="4" w:space="0" w:color="BFBFBF"/>
              <w:right w:val="nil"/>
            </w:tcBorders>
            <w:shd w:val="clear" w:color="auto" w:fill="auto"/>
            <w:noWrap/>
            <w:vAlign w:val="center"/>
          </w:tcPr>
          <w:p w14:paraId="559B8B5C" w14:textId="77777777" w:rsidR="00EF37CB" w:rsidRPr="00E40699" w:rsidRDefault="00EF37CB" w:rsidP="00B75952">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 </w:t>
            </w:r>
          </w:p>
        </w:tc>
        <w:tc>
          <w:tcPr>
            <w:tcW w:w="600" w:type="dxa"/>
            <w:tcBorders>
              <w:top w:val="nil"/>
              <w:left w:val="single" w:sz="4" w:space="0" w:color="auto"/>
              <w:bottom w:val="single" w:sz="2" w:space="0" w:color="BFBFBF" w:themeColor="background1" w:themeShade="BF"/>
              <w:right w:val="single" w:sz="4" w:space="0" w:color="BFBFBF"/>
            </w:tcBorders>
            <w:shd w:val="clear" w:color="auto" w:fill="auto"/>
            <w:noWrap/>
            <w:vAlign w:val="center"/>
          </w:tcPr>
          <w:p w14:paraId="4B3E23FC" w14:textId="77777777" w:rsidR="00EF37CB" w:rsidRPr="00E40699" w:rsidRDefault="00EF37CB" w:rsidP="00B75952">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29F7616D" w14:textId="77777777" w:rsidR="00EF37CB" w:rsidRPr="00E40699" w:rsidRDefault="00EF37CB" w:rsidP="00B75952">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 </w:t>
            </w:r>
          </w:p>
        </w:tc>
        <w:tc>
          <w:tcPr>
            <w:tcW w:w="620" w:type="dxa"/>
            <w:tcBorders>
              <w:top w:val="nil"/>
              <w:left w:val="nil"/>
              <w:bottom w:val="single" w:sz="4" w:space="0" w:color="BFBFBF"/>
              <w:right w:val="single" w:sz="4" w:space="0" w:color="BFBFBF"/>
            </w:tcBorders>
            <w:shd w:val="clear" w:color="auto" w:fill="auto"/>
            <w:noWrap/>
            <w:vAlign w:val="bottom"/>
          </w:tcPr>
          <w:p w14:paraId="12615523" w14:textId="77777777" w:rsidR="00EF37CB" w:rsidRPr="00E40699" w:rsidRDefault="00EF37CB" w:rsidP="00B75952">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 </w:t>
            </w:r>
          </w:p>
        </w:tc>
        <w:tc>
          <w:tcPr>
            <w:tcW w:w="620" w:type="dxa"/>
            <w:tcBorders>
              <w:top w:val="nil"/>
              <w:left w:val="nil"/>
              <w:bottom w:val="single" w:sz="4" w:space="0" w:color="BFBFBF"/>
              <w:right w:val="double" w:sz="6" w:space="0" w:color="auto"/>
            </w:tcBorders>
            <w:shd w:val="clear" w:color="auto" w:fill="auto"/>
            <w:noWrap/>
            <w:vAlign w:val="center"/>
          </w:tcPr>
          <w:p w14:paraId="3B0BDE95" w14:textId="77777777" w:rsidR="00EF37CB" w:rsidRPr="00E40699" w:rsidRDefault="00EF37CB" w:rsidP="00B75952">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 </w:t>
            </w:r>
          </w:p>
        </w:tc>
      </w:tr>
      <w:tr w:rsidR="0054131D" w:rsidRPr="00DA3B75" w14:paraId="41B2E977"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6D666ABA" w14:textId="77777777" w:rsidR="00EF37CB" w:rsidRPr="00E40699" w:rsidRDefault="00EF37CB" w:rsidP="00B75952">
            <w:pPr>
              <w:spacing w:before="0" w:after="0"/>
              <w:ind w:firstLineChars="100" w:firstLine="160"/>
              <w:rPr>
                <w:rFonts w:ascii="Arial" w:hAnsi="Arial" w:cs="Arial"/>
                <w:color w:val="000000"/>
                <w:sz w:val="16"/>
                <w:szCs w:val="16"/>
                <w:lang w:val="en-AU" w:eastAsia="en-AU"/>
              </w:rPr>
            </w:pPr>
            <w:r w:rsidRPr="00E40699">
              <w:rPr>
                <w:rFonts w:ascii="Arial" w:hAnsi="Arial" w:cs="Arial"/>
                <w:color w:val="000000"/>
                <w:sz w:val="16"/>
                <w:szCs w:val="16"/>
                <w:lang w:val="en-AU" w:eastAsia="en-AU"/>
              </w:rPr>
              <w:t>Aged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D194262"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81%</w:t>
            </w:r>
          </w:p>
        </w:tc>
        <w:tc>
          <w:tcPr>
            <w:tcW w:w="600" w:type="dxa"/>
            <w:tcBorders>
              <w:top w:val="nil"/>
              <w:left w:val="nil"/>
              <w:bottom w:val="single" w:sz="4" w:space="0" w:color="BFBFBF"/>
              <w:right w:val="single" w:sz="4" w:space="0" w:color="auto"/>
            </w:tcBorders>
            <w:shd w:val="clear" w:color="auto" w:fill="auto"/>
            <w:noWrap/>
            <w:vAlign w:val="center"/>
          </w:tcPr>
          <w:p w14:paraId="1D1450CB"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74%</w:t>
            </w:r>
          </w:p>
        </w:tc>
        <w:tc>
          <w:tcPr>
            <w:tcW w:w="600" w:type="dxa"/>
            <w:tcBorders>
              <w:top w:val="nil"/>
              <w:left w:val="nil"/>
              <w:bottom w:val="single" w:sz="4" w:space="0" w:color="BFBFBF"/>
              <w:right w:val="single" w:sz="4" w:space="0" w:color="BFBFBF"/>
            </w:tcBorders>
            <w:shd w:val="clear" w:color="auto" w:fill="auto"/>
            <w:noWrap/>
            <w:vAlign w:val="center"/>
          </w:tcPr>
          <w:p w14:paraId="2F6C2F26"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6%</w:t>
            </w:r>
          </w:p>
        </w:tc>
        <w:tc>
          <w:tcPr>
            <w:tcW w:w="600" w:type="dxa"/>
            <w:tcBorders>
              <w:top w:val="nil"/>
              <w:left w:val="nil"/>
              <w:bottom w:val="single" w:sz="4" w:space="0" w:color="BFBFBF"/>
              <w:right w:val="nil"/>
            </w:tcBorders>
            <w:shd w:val="clear" w:color="auto" w:fill="auto"/>
            <w:noWrap/>
            <w:vAlign w:val="center"/>
          </w:tcPr>
          <w:p w14:paraId="64598F82"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AE34BBC" w14:textId="77777777" w:rsidR="00EF37CB" w:rsidRPr="00E40699" w:rsidRDefault="00E40699" w:rsidP="00E40699">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4</w:t>
            </w:r>
            <w:r w:rsidR="00EF37CB" w:rsidRPr="00E40699">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CDD5F82"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3A5F3DD"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92%</w:t>
            </w:r>
          </w:p>
        </w:tc>
        <w:tc>
          <w:tcPr>
            <w:tcW w:w="600" w:type="dxa"/>
            <w:tcBorders>
              <w:top w:val="nil"/>
              <w:left w:val="nil"/>
              <w:bottom w:val="single" w:sz="4" w:space="0" w:color="BFBFBF"/>
              <w:right w:val="nil"/>
            </w:tcBorders>
            <w:shd w:val="clear" w:color="auto" w:fill="auto"/>
            <w:noWrap/>
            <w:vAlign w:val="center"/>
          </w:tcPr>
          <w:p w14:paraId="008945DF"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81%</w:t>
            </w:r>
          </w:p>
        </w:tc>
        <w:tc>
          <w:tcPr>
            <w:tcW w:w="600" w:type="dxa"/>
            <w:tcBorders>
              <w:top w:val="single" w:sz="2" w:space="0" w:color="BFBFBF" w:themeColor="background1" w:themeShade="BF"/>
              <w:left w:val="single" w:sz="4" w:space="0" w:color="auto"/>
              <w:bottom w:val="single" w:sz="2" w:space="0" w:color="BFBFBF" w:themeColor="background1" w:themeShade="BF"/>
              <w:right w:val="single" w:sz="2" w:space="0" w:color="BFBFBF" w:themeColor="background1" w:themeShade="BF"/>
            </w:tcBorders>
            <w:shd w:val="clear" w:color="auto" w:fill="auto"/>
            <w:noWrap/>
            <w:vAlign w:val="center"/>
          </w:tcPr>
          <w:p w14:paraId="2D4A34A9" w14:textId="77777777" w:rsidR="00EF37CB" w:rsidRPr="00E40699" w:rsidRDefault="00EF37CB" w:rsidP="0059723A">
            <w:pPr>
              <w:spacing w:before="0" w:after="0"/>
              <w:jc w:val="center"/>
              <w:rPr>
                <w:rFonts w:ascii="Arial" w:hAnsi="Arial" w:cs="Arial"/>
                <w:sz w:val="16"/>
                <w:szCs w:val="16"/>
                <w:lang w:val="en-AU" w:eastAsia="en-AU"/>
              </w:rPr>
            </w:pPr>
            <w:r w:rsidRPr="00E40699">
              <w:rPr>
                <w:rFonts w:ascii="Arial" w:hAnsi="Arial" w:cs="Arial"/>
                <w:sz w:val="16"/>
                <w:szCs w:val="16"/>
                <w:lang w:val="en-AU" w:eastAsia="en-AU"/>
              </w:rPr>
              <w:t>4%</w:t>
            </w:r>
          </w:p>
        </w:tc>
        <w:tc>
          <w:tcPr>
            <w:tcW w:w="600" w:type="dxa"/>
            <w:tcBorders>
              <w:top w:val="nil"/>
              <w:left w:val="single" w:sz="2" w:space="0" w:color="BFBFBF" w:themeColor="background1" w:themeShade="BF"/>
              <w:bottom w:val="single" w:sz="4" w:space="0" w:color="BFBFBF"/>
              <w:right w:val="single" w:sz="4" w:space="0" w:color="auto"/>
            </w:tcBorders>
            <w:shd w:val="clear" w:color="auto" w:fill="auto"/>
            <w:noWrap/>
            <w:vAlign w:val="center"/>
          </w:tcPr>
          <w:p w14:paraId="12D2F72A"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10%</w:t>
            </w:r>
          </w:p>
        </w:tc>
        <w:tc>
          <w:tcPr>
            <w:tcW w:w="620" w:type="dxa"/>
            <w:tcBorders>
              <w:top w:val="nil"/>
              <w:left w:val="nil"/>
              <w:bottom w:val="single" w:sz="4" w:space="0" w:color="BFBFBF"/>
              <w:right w:val="single" w:sz="4" w:space="0" w:color="BFBFBF"/>
            </w:tcBorders>
            <w:shd w:val="clear" w:color="auto" w:fill="auto"/>
            <w:noWrap/>
            <w:vAlign w:val="center"/>
          </w:tcPr>
          <w:p w14:paraId="4260B4FA"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4%</w:t>
            </w:r>
          </w:p>
        </w:tc>
        <w:tc>
          <w:tcPr>
            <w:tcW w:w="620" w:type="dxa"/>
            <w:tcBorders>
              <w:top w:val="nil"/>
              <w:left w:val="nil"/>
              <w:bottom w:val="single" w:sz="4" w:space="0" w:color="BFBFBF"/>
              <w:right w:val="double" w:sz="6" w:space="0" w:color="auto"/>
            </w:tcBorders>
            <w:shd w:val="clear" w:color="auto" w:fill="auto"/>
            <w:noWrap/>
            <w:vAlign w:val="center"/>
          </w:tcPr>
          <w:p w14:paraId="130BAB2F"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9%</w:t>
            </w:r>
          </w:p>
        </w:tc>
      </w:tr>
      <w:tr w:rsidR="0054131D" w:rsidRPr="00DA3B75" w14:paraId="151D74DA"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07B34756" w14:textId="77777777" w:rsidR="00EF37CB" w:rsidRPr="00E40699" w:rsidRDefault="00EF37CB" w:rsidP="00B75952">
            <w:pPr>
              <w:spacing w:before="0" w:after="0"/>
              <w:ind w:firstLineChars="100" w:firstLine="160"/>
              <w:rPr>
                <w:rFonts w:ascii="Arial" w:hAnsi="Arial" w:cs="Arial"/>
                <w:color w:val="000000"/>
                <w:sz w:val="16"/>
                <w:szCs w:val="16"/>
                <w:lang w:val="en-AU" w:eastAsia="en-AU"/>
              </w:rPr>
            </w:pPr>
            <w:r w:rsidRPr="00E40699">
              <w:rPr>
                <w:rFonts w:ascii="Arial" w:hAnsi="Arial" w:cs="Arial"/>
                <w:color w:val="000000"/>
                <w:sz w:val="16"/>
                <w:szCs w:val="16"/>
                <w:lang w:val="en-AU" w:eastAsia="en-AU"/>
              </w:rPr>
              <w:t>Other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3C45E33"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58%</w:t>
            </w:r>
          </w:p>
        </w:tc>
        <w:tc>
          <w:tcPr>
            <w:tcW w:w="600" w:type="dxa"/>
            <w:tcBorders>
              <w:top w:val="nil"/>
              <w:left w:val="nil"/>
              <w:bottom w:val="single" w:sz="4" w:space="0" w:color="BFBFBF"/>
              <w:right w:val="single" w:sz="4" w:space="0" w:color="auto"/>
            </w:tcBorders>
            <w:shd w:val="clear" w:color="auto" w:fill="auto"/>
            <w:noWrap/>
            <w:vAlign w:val="center"/>
          </w:tcPr>
          <w:p w14:paraId="1F5E8799"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51%</w:t>
            </w:r>
          </w:p>
        </w:tc>
        <w:tc>
          <w:tcPr>
            <w:tcW w:w="600" w:type="dxa"/>
            <w:tcBorders>
              <w:top w:val="nil"/>
              <w:left w:val="nil"/>
              <w:bottom w:val="single" w:sz="4" w:space="0" w:color="BFBFBF"/>
              <w:right w:val="single" w:sz="4" w:space="0" w:color="BFBFBF"/>
            </w:tcBorders>
            <w:shd w:val="clear" w:color="auto" w:fill="auto"/>
            <w:noWrap/>
            <w:vAlign w:val="center"/>
          </w:tcPr>
          <w:p w14:paraId="0884AD7C"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65002AA9"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6%</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2719393" w14:textId="77777777" w:rsidR="00EF37CB" w:rsidRPr="00E40699" w:rsidRDefault="00E40699"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10</w:t>
            </w:r>
            <w:r w:rsidR="00EF37CB" w:rsidRPr="00E40699">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6A3743BE"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52ECBF4"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77%</w:t>
            </w:r>
          </w:p>
        </w:tc>
        <w:tc>
          <w:tcPr>
            <w:tcW w:w="600" w:type="dxa"/>
            <w:tcBorders>
              <w:top w:val="nil"/>
              <w:left w:val="nil"/>
              <w:bottom w:val="single" w:sz="4" w:space="0" w:color="BFBFBF"/>
              <w:right w:val="nil"/>
            </w:tcBorders>
            <w:shd w:val="clear" w:color="auto" w:fill="auto"/>
            <w:noWrap/>
            <w:vAlign w:val="center"/>
          </w:tcPr>
          <w:p w14:paraId="4F533A1D"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57%</w:t>
            </w:r>
          </w:p>
        </w:tc>
        <w:tc>
          <w:tcPr>
            <w:tcW w:w="600" w:type="dxa"/>
            <w:tcBorders>
              <w:top w:val="single" w:sz="2" w:space="0" w:color="BFBFBF" w:themeColor="background1" w:themeShade="BF"/>
              <w:left w:val="single" w:sz="4" w:space="0" w:color="auto"/>
              <w:bottom w:val="single" w:sz="2" w:space="0" w:color="BFBFBF" w:themeColor="background1" w:themeShade="BF"/>
              <w:right w:val="single" w:sz="2" w:space="0" w:color="BFBFBF" w:themeColor="background1" w:themeShade="BF"/>
            </w:tcBorders>
            <w:shd w:val="clear" w:color="auto" w:fill="auto"/>
            <w:noWrap/>
            <w:vAlign w:val="center"/>
          </w:tcPr>
          <w:p w14:paraId="46E948A5" w14:textId="77777777" w:rsidR="00EF37CB" w:rsidRPr="00E40699" w:rsidRDefault="00EF37CB" w:rsidP="00E40699">
            <w:pPr>
              <w:spacing w:before="0" w:after="0"/>
              <w:jc w:val="center"/>
              <w:rPr>
                <w:rFonts w:ascii="Arial" w:hAnsi="Arial" w:cs="Arial"/>
                <w:sz w:val="16"/>
                <w:szCs w:val="16"/>
                <w:lang w:val="en-AU" w:eastAsia="en-AU"/>
              </w:rPr>
            </w:pPr>
            <w:r w:rsidRPr="00E40699">
              <w:rPr>
                <w:rFonts w:ascii="Arial" w:hAnsi="Arial" w:cs="Arial"/>
                <w:sz w:val="16"/>
                <w:szCs w:val="16"/>
                <w:lang w:val="en-AU" w:eastAsia="en-AU"/>
              </w:rPr>
              <w:t>1</w:t>
            </w:r>
            <w:r w:rsidR="00E40699" w:rsidRPr="00E40699">
              <w:rPr>
                <w:rFonts w:ascii="Arial" w:hAnsi="Arial" w:cs="Arial"/>
                <w:sz w:val="16"/>
                <w:szCs w:val="16"/>
                <w:lang w:val="en-AU" w:eastAsia="en-AU"/>
              </w:rPr>
              <w:t>2</w:t>
            </w:r>
            <w:r w:rsidRPr="00E40699">
              <w:rPr>
                <w:rFonts w:ascii="Arial" w:hAnsi="Arial" w:cs="Arial"/>
                <w:sz w:val="16"/>
                <w:szCs w:val="16"/>
                <w:lang w:val="en-AU" w:eastAsia="en-AU"/>
              </w:rPr>
              <w:t>%</w:t>
            </w:r>
          </w:p>
        </w:tc>
        <w:tc>
          <w:tcPr>
            <w:tcW w:w="600" w:type="dxa"/>
            <w:tcBorders>
              <w:top w:val="nil"/>
              <w:left w:val="single" w:sz="2" w:space="0" w:color="BFBFBF" w:themeColor="background1" w:themeShade="BF"/>
              <w:bottom w:val="single" w:sz="4" w:space="0" w:color="BFBFBF"/>
              <w:right w:val="single" w:sz="4" w:space="0" w:color="auto"/>
            </w:tcBorders>
            <w:shd w:val="clear" w:color="auto" w:fill="auto"/>
            <w:noWrap/>
            <w:vAlign w:val="center"/>
          </w:tcPr>
          <w:p w14:paraId="7E94C12C"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20%</w:t>
            </w:r>
          </w:p>
        </w:tc>
        <w:tc>
          <w:tcPr>
            <w:tcW w:w="620" w:type="dxa"/>
            <w:tcBorders>
              <w:top w:val="nil"/>
              <w:left w:val="nil"/>
              <w:bottom w:val="single" w:sz="4" w:space="0" w:color="BFBFBF"/>
              <w:right w:val="single" w:sz="4" w:space="0" w:color="BFBFBF"/>
            </w:tcBorders>
            <w:shd w:val="clear" w:color="auto" w:fill="auto"/>
            <w:noWrap/>
            <w:vAlign w:val="center"/>
          </w:tcPr>
          <w:p w14:paraId="2BC3B005" w14:textId="77777777" w:rsidR="00EF37CB" w:rsidRPr="00E40699" w:rsidRDefault="00EF37CB" w:rsidP="00E40699">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1</w:t>
            </w:r>
            <w:r w:rsidR="00E40699" w:rsidRPr="00E40699">
              <w:rPr>
                <w:rFonts w:ascii="Arial" w:hAnsi="Arial" w:cs="Arial"/>
                <w:color w:val="000000"/>
                <w:sz w:val="16"/>
                <w:szCs w:val="16"/>
                <w:lang w:val="en-AU" w:eastAsia="en-AU"/>
              </w:rPr>
              <w:t>2</w:t>
            </w:r>
            <w:r w:rsidRPr="00E40699">
              <w:rPr>
                <w:rFonts w:ascii="Arial" w:hAnsi="Arial" w:cs="Arial"/>
                <w:color w:val="000000"/>
                <w:sz w:val="16"/>
                <w:szCs w:val="16"/>
                <w:lang w:val="en-AU" w:eastAsia="en-AU"/>
              </w:rPr>
              <w:t>%</w:t>
            </w:r>
          </w:p>
        </w:tc>
        <w:tc>
          <w:tcPr>
            <w:tcW w:w="620" w:type="dxa"/>
            <w:tcBorders>
              <w:top w:val="nil"/>
              <w:left w:val="nil"/>
              <w:bottom w:val="single" w:sz="4" w:space="0" w:color="BFBFBF"/>
              <w:right w:val="double" w:sz="6" w:space="0" w:color="auto"/>
            </w:tcBorders>
            <w:shd w:val="clear" w:color="auto" w:fill="auto"/>
            <w:noWrap/>
            <w:vAlign w:val="center"/>
          </w:tcPr>
          <w:p w14:paraId="0D446D30"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24%</w:t>
            </w:r>
          </w:p>
        </w:tc>
      </w:tr>
      <w:tr w:rsidR="0054131D" w:rsidRPr="00DA3B75" w14:paraId="2D3093A3"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26187B54" w14:textId="77777777" w:rsidR="00EF37CB" w:rsidRPr="00E40699" w:rsidRDefault="00EF37CB" w:rsidP="00B75952">
            <w:pPr>
              <w:spacing w:before="0" w:after="0"/>
              <w:ind w:firstLineChars="100" w:firstLine="160"/>
              <w:rPr>
                <w:rFonts w:ascii="Arial" w:hAnsi="Arial" w:cs="Arial"/>
                <w:color w:val="000000"/>
                <w:sz w:val="16"/>
                <w:szCs w:val="16"/>
                <w:lang w:val="en-AU" w:eastAsia="en-AU"/>
              </w:rPr>
            </w:pPr>
            <w:r w:rsidRPr="00E40699">
              <w:rPr>
                <w:rFonts w:ascii="Arial" w:hAnsi="Arial" w:cs="Arial"/>
                <w:color w:val="000000"/>
                <w:sz w:val="16"/>
                <w:szCs w:val="16"/>
                <w:lang w:val="en-AU" w:eastAsia="en-AU"/>
              </w:rPr>
              <w:t>Total 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4401ED5" w14:textId="77777777" w:rsidR="00EF37CB" w:rsidRPr="00E40699" w:rsidRDefault="00E40699"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70</w:t>
            </w:r>
            <w:r w:rsidR="00EF37CB" w:rsidRPr="00E40699">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7AEB98A2"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63%</w:t>
            </w:r>
          </w:p>
        </w:tc>
        <w:tc>
          <w:tcPr>
            <w:tcW w:w="600" w:type="dxa"/>
            <w:tcBorders>
              <w:top w:val="nil"/>
              <w:left w:val="nil"/>
              <w:bottom w:val="single" w:sz="4" w:space="0" w:color="BFBFBF"/>
              <w:right w:val="single" w:sz="4" w:space="0" w:color="BFBFBF"/>
            </w:tcBorders>
            <w:shd w:val="clear" w:color="auto" w:fill="auto"/>
            <w:noWrap/>
            <w:vAlign w:val="center"/>
          </w:tcPr>
          <w:p w14:paraId="3B4B7517" w14:textId="77777777" w:rsidR="00EF37CB" w:rsidRPr="00E40699" w:rsidRDefault="00E40699"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w:t>
            </w:r>
            <w:r w:rsidR="00EF37CB" w:rsidRPr="00E40699">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58D7BF1B"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7CB6126" w14:textId="77777777" w:rsidR="00EF37CB" w:rsidRPr="00E40699" w:rsidRDefault="00E40699"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w:t>
            </w:r>
            <w:r w:rsidR="00EF37CB" w:rsidRPr="00E40699">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005ACFB1"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6DE6775" w14:textId="77777777" w:rsidR="00EF37CB" w:rsidRPr="00E40699" w:rsidRDefault="00EF37CB" w:rsidP="00E40699">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w:t>
            </w:r>
            <w:r w:rsidR="00E40699" w:rsidRPr="00E40699">
              <w:rPr>
                <w:rFonts w:ascii="Arial" w:hAnsi="Arial" w:cs="Arial"/>
                <w:color w:val="000000"/>
                <w:sz w:val="16"/>
                <w:szCs w:val="16"/>
                <w:lang w:val="en-AU" w:eastAsia="en-AU"/>
              </w:rPr>
              <w:t>5</w:t>
            </w:r>
            <w:r w:rsidRPr="00E40699">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0D33C927"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69%</w:t>
            </w:r>
          </w:p>
        </w:tc>
        <w:tc>
          <w:tcPr>
            <w:tcW w:w="600" w:type="dxa"/>
            <w:tcBorders>
              <w:top w:val="single" w:sz="2" w:space="0" w:color="BFBFBF" w:themeColor="background1" w:themeShade="BF"/>
              <w:left w:val="single" w:sz="4" w:space="0" w:color="auto"/>
              <w:bottom w:val="single" w:sz="2" w:space="0" w:color="BFBFBF" w:themeColor="background1" w:themeShade="BF"/>
              <w:right w:val="single" w:sz="2" w:space="0" w:color="BFBFBF" w:themeColor="background1" w:themeShade="BF"/>
            </w:tcBorders>
            <w:shd w:val="clear" w:color="auto" w:fill="auto"/>
            <w:noWrap/>
            <w:vAlign w:val="center"/>
          </w:tcPr>
          <w:p w14:paraId="16B89046" w14:textId="77777777" w:rsidR="00EF37CB" w:rsidRPr="00E40699" w:rsidRDefault="00E40699" w:rsidP="00E40699">
            <w:pPr>
              <w:spacing w:before="0" w:after="0"/>
              <w:jc w:val="center"/>
              <w:rPr>
                <w:rFonts w:ascii="Arial" w:hAnsi="Arial" w:cs="Arial"/>
                <w:sz w:val="16"/>
                <w:szCs w:val="16"/>
                <w:lang w:val="en-AU" w:eastAsia="en-AU"/>
              </w:rPr>
            </w:pPr>
            <w:r w:rsidRPr="00E40699">
              <w:rPr>
                <w:rFonts w:ascii="Arial" w:hAnsi="Arial" w:cs="Arial"/>
                <w:sz w:val="16"/>
                <w:szCs w:val="16"/>
                <w:lang w:val="en-AU" w:eastAsia="en-AU"/>
              </w:rPr>
              <w:t>8</w:t>
            </w:r>
            <w:r w:rsidR="00EF37CB" w:rsidRPr="00E40699">
              <w:rPr>
                <w:rFonts w:ascii="Arial" w:hAnsi="Arial" w:cs="Arial"/>
                <w:sz w:val="16"/>
                <w:szCs w:val="16"/>
                <w:lang w:val="en-AU" w:eastAsia="en-AU"/>
              </w:rPr>
              <w:t>%</w:t>
            </w:r>
          </w:p>
        </w:tc>
        <w:tc>
          <w:tcPr>
            <w:tcW w:w="600" w:type="dxa"/>
            <w:tcBorders>
              <w:top w:val="nil"/>
              <w:left w:val="single" w:sz="2" w:space="0" w:color="BFBFBF" w:themeColor="background1" w:themeShade="BF"/>
              <w:bottom w:val="single" w:sz="4" w:space="0" w:color="BFBFBF"/>
              <w:right w:val="single" w:sz="4" w:space="0" w:color="auto"/>
            </w:tcBorders>
            <w:shd w:val="clear" w:color="auto" w:fill="auto"/>
            <w:noWrap/>
            <w:vAlign w:val="center"/>
          </w:tcPr>
          <w:p w14:paraId="41837C43"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15%</w:t>
            </w:r>
          </w:p>
        </w:tc>
        <w:tc>
          <w:tcPr>
            <w:tcW w:w="620" w:type="dxa"/>
            <w:tcBorders>
              <w:top w:val="nil"/>
              <w:left w:val="nil"/>
              <w:bottom w:val="single" w:sz="4" w:space="0" w:color="BFBFBF"/>
              <w:right w:val="single" w:sz="4" w:space="0" w:color="BFBFBF"/>
            </w:tcBorders>
            <w:shd w:val="clear" w:color="auto" w:fill="auto"/>
            <w:noWrap/>
            <w:vAlign w:val="center"/>
          </w:tcPr>
          <w:p w14:paraId="6C42DDF8" w14:textId="77777777" w:rsidR="00EF37CB" w:rsidRPr="00E40699" w:rsidRDefault="00E40699"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w:t>
            </w:r>
            <w:r w:rsidR="00EF37CB" w:rsidRPr="00E40699">
              <w:rPr>
                <w:rFonts w:ascii="Arial" w:hAnsi="Arial" w:cs="Arial"/>
                <w:color w:val="000000"/>
                <w:sz w:val="16"/>
                <w:szCs w:val="16"/>
                <w:lang w:val="en-AU" w:eastAsia="en-AU"/>
              </w:rPr>
              <w:t>%</w:t>
            </w:r>
          </w:p>
        </w:tc>
        <w:tc>
          <w:tcPr>
            <w:tcW w:w="620" w:type="dxa"/>
            <w:tcBorders>
              <w:top w:val="nil"/>
              <w:left w:val="nil"/>
              <w:bottom w:val="single" w:sz="4" w:space="0" w:color="BFBFBF"/>
              <w:right w:val="double" w:sz="6" w:space="0" w:color="auto"/>
            </w:tcBorders>
            <w:shd w:val="clear" w:color="auto" w:fill="auto"/>
            <w:noWrap/>
            <w:vAlign w:val="center"/>
          </w:tcPr>
          <w:p w14:paraId="5C4A65CF"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16%</w:t>
            </w:r>
          </w:p>
        </w:tc>
      </w:tr>
      <w:tr w:rsidR="0054131D" w:rsidRPr="00DA3B75" w14:paraId="72E10841"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3B9C9B19" w14:textId="77777777" w:rsidR="00EF37CB" w:rsidRPr="00E40699" w:rsidRDefault="00EF37CB" w:rsidP="00B75952">
            <w:pPr>
              <w:spacing w:before="0" w:after="0"/>
              <w:ind w:firstLineChars="100" w:firstLine="160"/>
              <w:rPr>
                <w:rFonts w:ascii="Arial" w:hAnsi="Arial" w:cs="Arial"/>
                <w:color w:val="000000"/>
                <w:sz w:val="16"/>
                <w:szCs w:val="16"/>
                <w:lang w:val="en-AU" w:eastAsia="en-AU"/>
              </w:rPr>
            </w:pPr>
            <w:r w:rsidRPr="00E40699">
              <w:rPr>
                <w:rFonts w:ascii="Arial" w:hAnsi="Arial" w:cs="Arial"/>
                <w:color w:val="000000"/>
                <w:sz w:val="16"/>
                <w:szCs w:val="16"/>
                <w:lang w:val="en-AU" w:eastAsia="en-AU"/>
              </w:rPr>
              <w:t>Non-Concession HHs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1F6E17B"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74%</w:t>
            </w:r>
          </w:p>
        </w:tc>
        <w:tc>
          <w:tcPr>
            <w:tcW w:w="600" w:type="dxa"/>
            <w:tcBorders>
              <w:top w:val="nil"/>
              <w:left w:val="nil"/>
              <w:bottom w:val="single" w:sz="4" w:space="0" w:color="BFBFBF"/>
              <w:right w:val="single" w:sz="4" w:space="0" w:color="auto"/>
            </w:tcBorders>
            <w:shd w:val="clear" w:color="auto" w:fill="auto"/>
            <w:noWrap/>
            <w:vAlign w:val="center"/>
          </w:tcPr>
          <w:p w14:paraId="7734E586"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74%</w:t>
            </w:r>
          </w:p>
        </w:tc>
        <w:tc>
          <w:tcPr>
            <w:tcW w:w="600" w:type="dxa"/>
            <w:tcBorders>
              <w:top w:val="nil"/>
              <w:left w:val="nil"/>
              <w:bottom w:val="single" w:sz="4" w:space="0" w:color="BFBFBF"/>
              <w:right w:val="single" w:sz="4" w:space="0" w:color="BFBFBF"/>
            </w:tcBorders>
            <w:shd w:val="clear" w:color="auto" w:fill="auto"/>
            <w:noWrap/>
            <w:vAlign w:val="center"/>
          </w:tcPr>
          <w:p w14:paraId="43564E93"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611148C6"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F21B8EE"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7BC07CF7"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2870F56"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90%</w:t>
            </w:r>
          </w:p>
        </w:tc>
        <w:tc>
          <w:tcPr>
            <w:tcW w:w="600" w:type="dxa"/>
            <w:tcBorders>
              <w:top w:val="nil"/>
              <w:left w:val="nil"/>
              <w:bottom w:val="single" w:sz="4" w:space="0" w:color="BFBFBF"/>
              <w:right w:val="nil"/>
            </w:tcBorders>
            <w:shd w:val="clear" w:color="auto" w:fill="auto"/>
            <w:noWrap/>
            <w:vAlign w:val="center"/>
          </w:tcPr>
          <w:p w14:paraId="3264169B"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81%</w:t>
            </w:r>
          </w:p>
        </w:tc>
        <w:tc>
          <w:tcPr>
            <w:tcW w:w="600" w:type="dxa"/>
            <w:tcBorders>
              <w:top w:val="single" w:sz="2" w:space="0" w:color="BFBFBF" w:themeColor="background1" w:themeShade="BF"/>
              <w:left w:val="single" w:sz="4" w:space="0" w:color="auto"/>
              <w:bottom w:val="single" w:sz="2" w:space="0" w:color="BFBFBF" w:themeColor="background1" w:themeShade="BF"/>
              <w:right w:val="single" w:sz="2" w:space="0" w:color="BFBFBF" w:themeColor="background1" w:themeShade="BF"/>
            </w:tcBorders>
            <w:shd w:val="clear" w:color="auto" w:fill="auto"/>
            <w:noWrap/>
            <w:vAlign w:val="center"/>
          </w:tcPr>
          <w:p w14:paraId="44C41346" w14:textId="77777777" w:rsidR="00EF37CB" w:rsidRPr="00E40699" w:rsidRDefault="00E40699" w:rsidP="0059723A">
            <w:pPr>
              <w:spacing w:before="0" w:after="0"/>
              <w:jc w:val="center"/>
              <w:rPr>
                <w:rFonts w:ascii="Arial" w:hAnsi="Arial" w:cs="Arial"/>
                <w:sz w:val="16"/>
                <w:szCs w:val="16"/>
                <w:lang w:val="en-AU" w:eastAsia="en-AU"/>
              </w:rPr>
            </w:pPr>
            <w:r w:rsidRPr="00E40699">
              <w:rPr>
                <w:rFonts w:ascii="Arial" w:hAnsi="Arial" w:cs="Arial"/>
                <w:sz w:val="16"/>
                <w:szCs w:val="16"/>
                <w:lang w:val="en-AU" w:eastAsia="en-AU"/>
              </w:rPr>
              <w:t>6</w:t>
            </w:r>
            <w:r w:rsidR="00EF37CB" w:rsidRPr="00E40699">
              <w:rPr>
                <w:rFonts w:ascii="Arial" w:hAnsi="Arial" w:cs="Arial"/>
                <w:sz w:val="16"/>
                <w:szCs w:val="16"/>
                <w:lang w:val="en-AU" w:eastAsia="en-AU"/>
              </w:rPr>
              <w:t>%</w:t>
            </w:r>
          </w:p>
        </w:tc>
        <w:tc>
          <w:tcPr>
            <w:tcW w:w="600" w:type="dxa"/>
            <w:tcBorders>
              <w:top w:val="nil"/>
              <w:left w:val="single" w:sz="2" w:space="0" w:color="BFBFBF" w:themeColor="background1" w:themeShade="BF"/>
              <w:bottom w:val="single" w:sz="4" w:space="0" w:color="BFBFBF"/>
              <w:right w:val="single" w:sz="4" w:space="0" w:color="auto"/>
            </w:tcBorders>
            <w:shd w:val="clear" w:color="auto" w:fill="auto"/>
            <w:noWrap/>
            <w:vAlign w:val="center"/>
          </w:tcPr>
          <w:p w14:paraId="31242B8A"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9%</w:t>
            </w:r>
          </w:p>
        </w:tc>
        <w:tc>
          <w:tcPr>
            <w:tcW w:w="620" w:type="dxa"/>
            <w:tcBorders>
              <w:top w:val="nil"/>
              <w:left w:val="nil"/>
              <w:bottom w:val="single" w:sz="4" w:space="0" w:color="BFBFBF"/>
              <w:right w:val="single" w:sz="4" w:space="0" w:color="BFBFBF"/>
            </w:tcBorders>
            <w:shd w:val="clear" w:color="auto" w:fill="auto"/>
            <w:noWrap/>
            <w:vAlign w:val="center"/>
          </w:tcPr>
          <w:p w14:paraId="53A70F12"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6%</w:t>
            </w:r>
          </w:p>
        </w:tc>
        <w:tc>
          <w:tcPr>
            <w:tcW w:w="620" w:type="dxa"/>
            <w:tcBorders>
              <w:top w:val="nil"/>
              <w:left w:val="nil"/>
              <w:bottom w:val="single" w:sz="4" w:space="0" w:color="BFBFBF"/>
              <w:right w:val="double" w:sz="6" w:space="0" w:color="auto"/>
            </w:tcBorders>
            <w:shd w:val="clear" w:color="auto" w:fill="auto"/>
            <w:noWrap/>
            <w:vAlign w:val="center"/>
          </w:tcPr>
          <w:p w14:paraId="4AF9F962"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10%</w:t>
            </w:r>
          </w:p>
        </w:tc>
      </w:tr>
      <w:tr w:rsidR="0054131D" w:rsidRPr="00DA3B75" w14:paraId="0E09889D"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3E0695C8" w14:textId="77777777" w:rsidR="00EF37CB" w:rsidRPr="00E40699" w:rsidRDefault="00EF37CB" w:rsidP="00B75952">
            <w:pPr>
              <w:spacing w:before="0" w:after="0"/>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By Date Built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DACF05A" w14:textId="77777777" w:rsidR="00EF37CB" w:rsidRPr="00E40699" w:rsidRDefault="00EF37CB" w:rsidP="0059723A">
            <w:pPr>
              <w:spacing w:before="0" w:after="0"/>
              <w:jc w:val="center"/>
              <w:rPr>
                <w:rFonts w:ascii="Arial" w:hAnsi="Arial" w:cs="Arial"/>
                <w:b/>
                <w:bCs/>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0E8D663E" w14:textId="77777777" w:rsidR="00EF37CB" w:rsidRPr="00E40699" w:rsidRDefault="00EF37CB" w:rsidP="0059723A">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61981F2E" w14:textId="77777777" w:rsidR="00EF37CB" w:rsidRPr="00E40699" w:rsidRDefault="00EF37CB" w:rsidP="0059723A">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23F10C91" w14:textId="77777777" w:rsidR="00EF37CB" w:rsidRPr="00E40699" w:rsidRDefault="00EF37CB" w:rsidP="0059723A">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17BDCE2" w14:textId="77777777" w:rsidR="00EF37CB" w:rsidRPr="00E40699" w:rsidRDefault="00EF37CB" w:rsidP="0059723A">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37D5AB82" w14:textId="77777777" w:rsidR="00EF37CB" w:rsidRPr="00E40699" w:rsidRDefault="00EF37CB" w:rsidP="0059723A">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1B21792A" w14:textId="77777777" w:rsidR="00EF37CB" w:rsidRPr="00E40699" w:rsidRDefault="00EF37CB" w:rsidP="0059723A">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6E31F90D" w14:textId="77777777" w:rsidR="00EF37CB" w:rsidRPr="00E40699" w:rsidRDefault="00EF37CB" w:rsidP="0059723A">
            <w:pPr>
              <w:spacing w:before="0" w:after="0"/>
              <w:jc w:val="center"/>
              <w:rPr>
                <w:rFonts w:ascii="Arial" w:hAnsi="Arial" w:cs="Arial"/>
                <w:color w:val="000000"/>
                <w:sz w:val="16"/>
                <w:szCs w:val="16"/>
                <w:lang w:val="en-AU" w:eastAsia="en-AU"/>
              </w:rPr>
            </w:pPr>
          </w:p>
        </w:tc>
        <w:tc>
          <w:tcPr>
            <w:tcW w:w="600" w:type="dxa"/>
            <w:tcBorders>
              <w:top w:val="single" w:sz="2" w:space="0" w:color="BFBFBF" w:themeColor="background1" w:themeShade="BF"/>
              <w:left w:val="single" w:sz="4" w:space="0" w:color="auto"/>
              <w:bottom w:val="single" w:sz="4" w:space="0" w:color="BFBFBF"/>
              <w:right w:val="single" w:sz="4" w:space="0" w:color="BFBFBF"/>
            </w:tcBorders>
            <w:shd w:val="clear" w:color="auto" w:fill="auto"/>
            <w:noWrap/>
            <w:vAlign w:val="center"/>
          </w:tcPr>
          <w:p w14:paraId="0E2C5BCA" w14:textId="77777777" w:rsidR="00EF37CB" w:rsidRPr="00E40699" w:rsidRDefault="00EF37CB" w:rsidP="0059723A">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56CA15CB" w14:textId="77777777" w:rsidR="00EF37CB" w:rsidRPr="00E40699" w:rsidRDefault="00EF37CB" w:rsidP="0059723A">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single" w:sz="4" w:space="0" w:color="BFBFBF"/>
            </w:tcBorders>
            <w:shd w:val="clear" w:color="auto" w:fill="auto"/>
            <w:noWrap/>
            <w:vAlign w:val="center"/>
          </w:tcPr>
          <w:p w14:paraId="21B2FC8B" w14:textId="77777777" w:rsidR="00EF37CB" w:rsidRPr="00E40699" w:rsidRDefault="00EF37CB" w:rsidP="0059723A">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double" w:sz="6" w:space="0" w:color="auto"/>
            </w:tcBorders>
            <w:shd w:val="clear" w:color="auto" w:fill="auto"/>
            <w:noWrap/>
            <w:vAlign w:val="center"/>
          </w:tcPr>
          <w:p w14:paraId="6A8F1445" w14:textId="77777777" w:rsidR="00EF37CB" w:rsidRPr="00E40699" w:rsidRDefault="00EF37CB" w:rsidP="0059723A">
            <w:pPr>
              <w:spacing w:before="0" w:after="0"/>
              <w:jc w:val="center"/>
              <w:rPr>
                <w:rFonts w:ascii="Arial" w:hAnsi="Arial" w:cs="Arial"/>
                <w:color w:val="000000"/>
                <w:sz w:val="16"/>
                <w:szCs w:val="16"/>
                <w:lang w:val="en-AU" w:eastAsia="en-AU"/>
              </w:rPr>
            </w:pPr>
          </w:p>
        </w:tc>
      </w:tr>
      <w:tr w:rsidR="00EF37CB" w:rsidRPr="00DA3B75" w14:paraId="5BB8497E" w14:textId="77777777" w:rsidTr="0059723A">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1ECAB7F1" w14:textId="77777777" w:rsidR="00EF37CB" w:rsidRPr="00E40699" w:rsidRDefault="00EF37CB" w:rsidP="00B75952">
            <w:pPr>
              <w:spacing w:before="0" w:after="0"/>
              <w:ind w:firstLineChars="100" w:firstLine="160"/>
              <w:rPr>
                <w:rFonts w:ascii="Arial" w:hAnsi="Arial" w:cs="Arial"/>
                <w:color w:val="000000"/>
                <w:sz w:val="16"/>
                <w:szCs w:val="16"/>
                <w:lang w:val="en-AU" w:eastAsia="en-AU"/>
              </w:rPr>
            </w:pPr>
            <w:r w:rsidRPr="00E40699">
              <w:rPr>
                <w:rFonts w:ascii="Arial" w:hAnsi="Arial" w:cs="Arial"/>
                <w:color w:val="000000"/>
                <w:sz w:val="16"/>
                <w:szCs w:val="16"/>
                <w:lang w:val="en-AU" w:eastAsia="en-AU"/>
              </w:rPr>
              <w:t>After 2004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1FF6846"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83%</w:t>
            </w:r>
          </w:p>
        </w:tc>
        <w:tc>
          <w:tcPr>
            <w:tcW w:w="600" w:type="dxa"/>
            <w:tcBorders>
              <w:top w:val="nil"/>
              <w:left w:val="nil"/>
              <w:bottom w:val="single" w:sz="4" w:space="0" w:color="BFBFBF"/>
              <w:right w:val="single" w:sz="4" w:space="0" w:color="auto"/>
            </w:tcBorders>
            <w:shd w:val="clear" w:color="auto" w:fill="auto"/>
            <w:noWrap/>
            <w:vAlign w:val="center"/>
          </w:tcPr>
          <w:p w14:paraId="1E502976"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91%</w:t>
            </w:r>
          </w:p>
        </w:tc>
        <w:tc>
          <w:tcPr>
            <w:tcW w:w="600" w:type="dxa"/>
            <w:tcBorders>
              <w:top w:val="nil"/>
              <w:left w:val="nil"/>
              <w:bottom w:val="single" w:sz="4" w:space="0" w:color="BFBFBF"/>
              <w:right w:val="single" w:sz="4" w:space="0" w:color="BFBFBF"/>
            </w:tcBorders>
            <w:shd w:val="clear" w:color="auto" w:fill="auto"/>
            <w:noWrap/>
            <w:vAlign w:val="center"/>
          </w:tcPr>
          <w:p w14:paraId="04535A27"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0CB64C2F"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8955B86" w14:textId="77777777" w:rsidR="00EF37CB" w:rsidRPr="00E40699" w:rsidRDefault="00E40699" w:rsidP="00E40699">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w:t>
            </w:r>
            <w:r w:rsidR="00EF37CB" w:rsidRPr="00E40699">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24E50337"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0B91F2A"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94%</w:t>
            </w:r>
          </w:p>
        </w:tc>
        <w:tc>
          <w:tcPr>
            <w:tcW w:w="600" w:type="dxa"/>
            <w:tcBorders>
              <w:top w:val="nil"/>
              <w:left w:val="nil"/>
              <w:bottom w:val="single" w:sz="4" w:space="0" w:color="BFBFBF"/>
              <w:right w:val="nil"/>
            </w:tcBorders>
            <w:shd w:val="clear" w:color="auto" w:fill="auto"/>
            <w:noWrap/>
            <w:vAlign w:val="center"/>
          </w:tcPr>
          <w:p w14:paraId="58ED3AFD"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91%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FFCE69D"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4427C6CA"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4%</w:t>
            </w:r>
          </w:p>
        </w:tc>
        <w:tc>
          <w:tcPr>
            <w:tcW w:w="620" w:type="dxa"/>
            <w:tcBorders>
              <w:top w:val="nil"/>
              <w:left w:val="nil"/>
              <w:bottom w:val="single" w:sz="4" w:space="0" w:color="BFBFBF"/>
              <w:right w:val="single" w:sz="4" w:space="0" w:color="BFBFBF"/>
            </w:tcBorders>
            <w:shd w:val="clear" w:color="auto" w:fill="auto"/>
            <w:noWrap/>
            <w:vAlign w:val="center"/>
          </w:tcPr>
          <w:p w14:paraId="4501FE3C"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4%</w:t>
            </w:r>
          </w:p>
        </w:tc>
        <w:tc>
          <w:tcPr>
            <w:tcW w:w="620" w:type="dxa"/>
            <w:tcBorders>
              <w:top w:val="nil"/>
              <w:left w:val="nil"/>
              <w:bottom w:val="single" w:sz="4" w:space="0" w:color="BFBFBF"/>
              <w:right w:val="double" w:sz="6" w:space="0" w:color="auto"/>
            </w:tcBorders>
            <w:shd w:val="clear" w:color="auto" w:fill="auto"/>
            <w:noWrap/>
            <w:vAlign w:val="center"/>
          </w:tcPr>
          <w:p w14:paraId="78832F3E"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4%</w:t>
            </w:r>
          </w:p>
        </w:tc>
      </w:tr>
      <w:tr w:rsidR="00EF37CB" w:rsidRPr="00DA3B75" w14:paraId="2C1E6A3E" w14:textId="77777777" w:rsidTr="0059723A">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47E85D3C" w14:textId="77777777" w:rsidR="00EF37CB" w:rsidRPr="00E40699" w:rsidRDefault="00EF37CB" w:rsidP="00B75952">
            <w:pPr>
              <w:spacing w:before="0" w:after="0"/>
              <w:ind w:firstLineChars="100" w:firstLine="160"/>
              <w:rPr>
                <w:rFonts w:ascii="Arial" w:hAnsi="Arial" w:cs="Arial"/>
                <w:color w:val="000000"/>
                <w:sz w:val="16"/>
                <w:szCs w:val="16"/>
                <w:lang w:val="en-AU" w:eastAsia="en-AU"/>
              </w:rPr>
            </w:pPr>
            <w:r w:rsidRPr="00E40699">
              <w:rPr>
                <w:rFonts w:ascii="Arial" w:hAnsi="Arial" w:cs="Arial"/>
                <w:color w:val="000000"/>
                <w:sz w:val="16"/>
                <w:szCs w:val="16"/>
                <w:lang w:val="en-AU" w:eastAsia="en-AU"/>
              </w:rPr>
              <w:t>1991 to 2004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84DA74E"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84%</w:t>
            </w:r>
          </w:p>
        </w:tc>
        <w:tc>
          <w:tcPr>
            <w:tcW w:w="600" w:type="dxa"/>
            <w:tcBorders>
              <w:top w:val="nil"/>
              <w:left w:val="nil"/>
              <w:bottom w:val="single" w:sz="4" w:space="0" w:color="BFBFBF"/>
              <w:right w:val="single" w:sz="4" w:space="0" w:color="auto"/>
            </w:tcBorders>
            <w:shd w:val="clear" w:color="auto" w:fill="auto"/>
            <w:noWrap/>
            <w:vAlign w:val="center"/>
          </w:tcPr>
          <w:p w14:paraId="16183361"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84%</w:t>
            </w:r>
          </w:p>
        </w:tc>
        <w:tc>
          <w:tcPr>
            <w:tcW w:w="600" w:type="dxa"/>
            <w:tcBorders>
              <w:top w:val="nil"/>
              <w:left w:val="nil"/>
              <w:bottom w:val="single" w:sz="4" w:space="0" w:color="BFBFBF"/>
              <w:right w:val="single" w:sz="4" w:space="0" w:color="BFBFBF"/>
            </w:tcBorders>
            <w:shd w:val="clear" w:color="auto" w:fill="auto"/>
            <w:noWrap/>
            <w:vAlign w:val="center"/>
          </w:tcPr>
          <w:p w14:paraId="3977D420"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451198D4"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F20E89D"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3C88A295"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0D1F5E9"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93%</w:t>
            </w:r>
          </w:p>
        </w:tc>
        <w:tc>
          <w:tcPr>
            <w:tcW w:w="600" w:type="dxa"/>
            <w:tcBorders>
              <w:top w:val="nil"/>
              <w:left w:val="nil"/>
              <w:bottom w:val="single" w:sz="4" w:space="0" w:color="BFBFBF"/>
              <w:right w:val="nil"/>
            </w:tcBorders>
            <w:shd w:val="clear" w:color="auto" w:fill="auto"/>
            <w:noWrap/>
            <w:vAlign w:val="center"/>
          </w:tcPr>
          <w:p w14:paraId="71D3C5EE"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88%</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45D36F1"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6711A293"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5%</w:t>
            </w:r>
          </w:p>
        </w:tc>
        <w:tc>
          <w:tcPr>
            <w:tcW w:w="620" w:type="dxa"/>
            <w:tcBorders>
              <w:top w:val="nil"/>
              <w:left w:val="nil"/>
              <w:bottom w:val="single" w:sz="4" w:space="0" w:color="BFBFBF"/>
              <w:right w:val="single" w:sz="4" w:space="0" w:color="BFBFBF"/>
            </w:tcBorders>
            <w:shd w:val="clear" w:color="auto" w:fill="auto"/>
            <w:noWrap/>
            <w:vAlign w:val="center"/>
          </w:tcPr>
          <w:p w14:paraId="2A96D83E"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6%</w:t>
            </w:r>
          </w:p>
        </w:tc>
        <w:tc>
          <w:tcPr>
            <w:tcW w:w="620" w:type="dxa"/>
            <w:tcBorders>
              <w:top w:val="nil"/>
              <w:left w:val="nil"/>
              <w:bottom w:val="single" w:sz="4" w:space="0" w:color="BFBFBF"/>
              <w:right w:val="double" w:sz="6" w:space="0" w:color="auto"/>
            </w:tcBorders>
            <w:shd w:val="clear" w:color="auto" w:fill="auto"/>
            <w:noWrap/>
            <w:vAlign w:val="center"/>
          </w:tcPr>
          <w:p w14:paraId="77F27925"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w:t>
            </w:r>
          </w:p>
        </w:tc>
      </w:tr>
      <w:tr w:rsidR="00EF37CB" w:rsidRPr="00DA3B75" w14:paraId="0EC00343" w14:textId="77777777" w:rsidTr="0059723A">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25DE9249" w14:textId="77777777" w:rsidR="00EF37CB" w:rsidRPr="00E40699" w:rsidRDefault="00EF37CB" w:rsidP="00B75952">
            <w:pPr>
              <w:spacing w:before="0" w:after="0"/>
              <w:ind w:firstLineChars="100" w:firstLine="160"/>
              <w:rPr>
                <w:rFonts w:ascii="Arial" w:hAnsi="Arial" w:cs="Arial"/>
                <w:color w:val="000000"/>
                <w:sz w:val="16"/>
                <w:szCs w:val="16"/>
                <w:lang w:val="en-AU" w:eastAsia="en-AU"/>
              </w:rPr>
            </w:pPr>
            <w:r w:rsidRPr="00E40699">
              <w:rPr>
                <w:rFonts w:ascii="Arial" w:hAnsi="Arial" w:cs="Arial"/>
                <w:color w:val="000000"/>
                <w:sz w:val="16"/>
                <w:szCs w:val="16"/>
                <w:lang w:val="en-AU" w:eastAsia="en-AU"/>
              </w:rPr>
              <w:t>Before 1991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69EB21D" w14:textId="77777777" w:rsidR="00EF37CB" w:rsidRPr="00E40699" w:rsidRDefault="00E40699"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70</w:t>
            </w:r>
            <w:r w:rsidR="00EF37CB" w:rsidRPr="00E40699">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7123FA31"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68%</w:t>
            </w:r>
          </w:p>
        </w:tc>
        <w:tc>
          <w:tcPr>
            <w:tcW w:w="600" w:type="dxa"/>
            <w:tcBorders>
              <w:top w:val="nil"/>
              <w:left w:val="nil"/>
              <w:bottom w:val="single" w:sz="4" w:space="0" w:color="BFBFBF"/>
              <w:right w:val="single" w:sz="4" w:space="0" w:color="BFBFBF"/>
            </w:tcBorders>
            <w:shd w:val="clear" w:color="auto" w:fill="auto"/>
            <w:noWrap/>
            <w:vAlign w:val="center"/>
          </w:tcPr>
          <w:p w14:paraId="0C422D14"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11%</w:t>
            </w:r>
          </w:p>
        </w:tc>
        <w:tc>
          <w:tcPr>
            <w:tcW w:w="600" w:type="dxa"/>
            <w:tcBorders>
              <w:top w:val="nil"/>
              <w:left w:val="nil"/>
              <w:bottom w:val="single" w:sz="4" w:space="0" w:color="BFBFBF"/>
              <w:right w:val="nil"/>
            </w:tcBorders>
            <w:shd w:val="clear" w:color="auto" w:fill="auto"/>
            <w:noWrap/>
            <w:vAlign w:val="center"/>
          </w:tcPr>
          <w:p w14:paraId="61C814BB"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3D03A2D" w14:textId="77777777" w:rsidR="00EF37CB" w:rsidRPr="00E40699" w:rsidRDefault="00E40699"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6</w:t>
            </w:r>
            <w:r w:rsidR="00EF37CB" w:rsidRPr="00E40699">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7654ADEE"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9A17EA5"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87%</w:t>
            </w:r>
          </w:p>
        </w:tc>
        <w:tc>
          <w:tcPr>
            <w:tcW w:w="600" w:type="dxa"/>
            <w:tcBorders>
              <w:top w:val="nil"/>
              <w:left w:val="nil"/>
              <w:bottom w:val="single" w:sz="4" w:space="0" w:color="BFBFBF"/>
              <w:right w:val="nil"/>
            </w:tcBorders>
            <w:shd w:val="clear" w:color="auto" w:fill="auto"/>
            <w:noWrap/>
            <w:vAlign w:val="center"/>
          </w:tcPr>
          <w:p w14:paraId="33844B18"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76%</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541B8AC"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7556A055"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12%</w:t>
            </w:r>
          </w:p>
        </w:tc>
        <w:tc>
          <w:tcPr>
            <w:tcW w:w="620" w:type="dxa"/>
            <w:tcBorders>
              <w:top w:val="nil"/>
              <w:left w:val="nil"/>
              <w:bottom w:val="single" w:sz="4" w:space="0" w:color="BFBFBF"/>
              <w:right w:val="single" w:sz="4" w:space="0" w:color="BFBFBF"/>
            </w:tcBorders>
            <w:shd w:val="clear" w:color="auto" w:fill="auto"/>
            <w:noWrap/>
            <w:vAlign w:val="center"/>
          </w:tcPr>
          <w:p w14:paraId="1751D4D8"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7%</w:t>
            </w:r>
          </w:p>
        </w:tc>
        <w:tc>
          <w:tcPr>
            <w:tcW w:w="620" w:type="dxa"/>
            <w:tcBorders>
              <w:top w:val="nil"/>
              <w:left w:val="nil"/>
              <w:bottom w:val="single" w:sz="4" w:space="0" w:color="BFBFBF"/>
              <w:right w:val="double" w:sz="6" w:space="0" w:color="auto"/>
            </w:tcBorders>
            <w:shd w:val="clear" w:color="auto" w:fill="auto"/>
            <w:noWrap/>
            <w:vAlign w:val="center"/>
          </w:tcPr>
          <w:p w14:paraId="395F0E9A" w14:textId="77777777" w:rsidR="00EF37CB" w:rsidRPr="00E40699" w:rsidRDefault="00EF37CB" w:rsidP="0059723A">
            <w:pPr>
              <w:spacing w:before="0" w:after="0"/>
              <w:jc w:val="center"/>
              <w:rPr>
                <w:rFonts w:ascii="Arial" w:hAnsi="Arial" w:cs="Arial"/>
                <w:color w:val="000000"/>
                <w:sz w:val="16"/>
                <w:szCs w:val="16"/>
                <w:lang w:val="en-AU" w:eastAsia="en-AU"/>
              </w:rPr>
            </w:pPr>
            <w:r w:rsidRPr="00E40699">
              <w:rPr>
                <w:rFonts w:ascii="Arial" w:hAnsi="Arial" w:cs="Arial"/>
                <w:color w:val="000000"/>
                <w:sz w:val="16"/>
                <w:szCs w:val="16"/>
                <w:lang w:val="en-AU" w:eastAsia="en-AU"/>
              </w:rPr>
              <w:t>12%</w:t>
            </w:r>
          </w:p>
        </w:tc>
      </w:tr>
      <w:tr w:rsidR="00EF37CB" w:rsidRPr="00DA3B75" w14:paraId="4D257538" w14:textId="77777777" w:rsidTr="0059723A">
        <w:trPr>
          <w:trHeight w:val="240"/>
          <w:jc w:val="center"/>
        </w:trPr>
        <w:tc>
          <w:tcPr>
            <w:tcW w:w="2760" w:type="dxa"/>
            <w:tcBorders>
              <w:top w:val="nil"/>
              <w:left w:val="double" w:sz="6" w:space="0" w:color="auto"/>
              <w:bottom w:val="double" w:sz="6" w:space="0" w:color="auto"/>
              <w:right w:val="nil"/>
            </w:tcBorders>
            <w:shd w:val="clear" w:color="auto" w:fill="auto"/>
            <w:noWrap/>
            <w:vAlign w:val="center"/>
          </w:tcPr>
          <w:p w14:paraId="7749E898" w14:textId="77777777" w:rsidR="00EF37CB" w:rsidRPr="00E40699" w:rsidRDefault="00EF37CB" w:rsidP="00B75952">
            <w:pPr>
              <w:spacing w:before="0" w:after="0"/>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Total HHs</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696D0574"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72%</w:t>
            </w:r>
          </w:p>
        </w:tc>
        <w:tc>
          <w:tcPr>
            <w:tcW w:w="600" w:type="dxa"/>
            <w:tcBorders>
              <w:top w:val="nil"/>
              <w:left w:val="nil"/>
              <w:bottom w:val="double" w:sz="6" w:space="0" w:color="auto"/>
              <w:right w:val="single" w:sz="4" w:space="0" w:color="auto"/>
            </w:tcBorders>
            <w:shd w:val="clear" w:color="auto" w:fill="auto"/>
            <w:noWrap/>
            <w:vAlign w:val="center"/>
          </w:tcPr>
          <w:p w14:paraId="16772542"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69%</w:t>
            </w:r>
          </w:p>
        </w:tc>
        <w:tc>
          <w:tcPr>
            <w:tcW w:w="600" w:type="dxa"/>
            <w:tcBorders>
              <w:top w:val="nil"/>
              <w:left w:val="nil"/>
              <w:bottom w:val="double" w:sz="6" w:space="0" w:color="auto"/>
              <w:right w:val="single" w:sz="4" w:space="0" w:color="BFBFBF"/>
            </w:tcBorders>
            <w:shd w:val="clear" w:color="auto" w:fill="auto"/>
            <w:noWrap/>
            <w:vAlign w:val="center"/>
          </w:tcPr>
          <w:p w14:paraId="73DD20F3"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8%</w:t>
            </w:r>
          </w:p>
        </w:tc>
        <w:tc>
          <w:tcPr>
            <w:tcW w:w="600" w:type="dxa"/>
            <w:tcBorders>
              <w:top w:val="nil"/>
              <w:left w:val="nil"/>
              <w:bottom w:val="double" w:sz="6" w:space="0" w:color="auto"/>
              <w:right w:val="nil"/>
            </w:tcBorders>
            <w:shd w:val="clear" w:color="auto" w:fill="auto"/>
            <w:noWrap/>
            <w:vAlign w:val="center"/>
          </w:tcPr>
          <w:p w14:paraId="05461187"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7%</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6C1B1645"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7%</w:t>
            </w:r>
          </w:p>
        </w:tc>
        <w:tc>
          <w:tcPr>
            <w:tcW w:w="600" w:type="dxa"/>
            <w:tcBorders>
              <w:top w:val="nil"/>
              <w:left w:val="nil"/>
              <w:bottom w:val="double" w:sz="6" w:space="0" w:color="auto"/>
              <w:right w:val="single" w:sz="4" w:space="0" w:color="auto"/>
            </w:tcBorders>
            <w:shd w:val="clear" w:color="auto" w:fill="auto"/>
            <w:noWrap/>
            <w:vAlign w:val="center"/>
          </w:tcPr>
          <w:p w14:paraId="6632580A"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n/a</w:t>
            </w:r>
          </w:p>
        </w:tc>
        <w:tc>
          <w:tcPr>
            <w:tcW w:w="600" w:type="dxa"/>
            <w:tcBorders>
              <w:top w:val="nil"/>
              <w:left w:val="nil"/>
              <w:bottom w:val="double" w:sz="6" w:space="0" w:color="auto"/>
              <w:right w:val="single" w:sz="4" w:space="0" w:color="BFBFBF"/>
            </w:tcBorders>
            <w:shd w:val="clear" w:color="auto" w:fill="auto"/>
            <w:noWrap/>
            <w:vAlign w:val="center"/>
          </w:tcPr>
          <w:p w14:paraId="346864F4"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87%</w:t>
            </w:r>
          </w:p>
        </w:tc>
        <w:tc>
          <w:tcPr>
            <w:tcW w:w="600" w:type="dxa"/>
            <w:tcBorders>
              <w:top w:val="nil"/>
              <w:left w:val="nil"/>
              <w:bottom w:val="double" w:sz="6" w:space="0" w:color="auto"/>
              <w:right w:val="nil"/>
            </w:tcBorders>
            <w:shd w:val="clear" w:color="auto" w:fill="auto"/>
            <w:noWrap/>
            <w:vAlign w:val="center"/>
          </w:tcPr>
          <w:p w14:paraId="23F5BF02"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77%</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25AD6574"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5%</w:t>
            </w:r>
          </w:p>
        </w:tc>
        <w:tc>
          <w:tcPr>
            <w:tcW w:w="600" w:type="dxa"/>
            <w:tcBorders>
              <w:top w:val="nil"/>
              <w:left w:val="nil"/>
              <w:bottom w:val="double" w:sz="6" w:space="0" w:color="auto"/>
              <w:right w:val="single" w:sz="4" w:space="0" w:color="auto"/>
            </w:tcBorders>
            <w:shd w:val="clear" w:color="auto" w:fill="auto"/>
            <w:noWrap/>
            <w:vAlign w:val="center"/>
          </w:tcPr>
          <w:p w14:paraId="0819CFB0"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11%</w:t>
            </w:r>
          </w:p>
        </w:tc>
        <w:tc>
          <w:tcPr>
            <w:tcW w:w="620" w:type="dxa"/>
            <w:tcBorders>
              <w:top w:val="nil"/>
              <w:left w:val="nil"/>
              <w:bottom w:val="double" w:sz="6" w:space="0" w:color="auto"/>
              <w:right w:val="single" w:sz="4" w:space="0" w:color="BFBFBF"/>
            </w:tcBorders>
            <w:shd w:val="clear" w:color="auto" w:fill="auto"/>
            <w:noWrap/>
            <w:vAlign w:val="center"/>
          </w:tcPr>
          <w:p w14:paraId="61413D6C"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7%</w:t>
            </w:r>
          </w:p>
        </w:tc>
        <w:tc>
          <w:tcPr>
            <w:tcW w:w="620" w:type="dxa"/>
            <w:tcBorders>
              <w:top w:val="nil"/>
              <w:left w:val="nil"/>
              <w:bottom w:val="double" w:sz="6" w:space="0" w:color="auto"/>
              <w:right w:val="double" w:sz="6" w:space="0" w:color="auto"/>
            </w:tcBorders>
            <w:shd w:val="clear" w:color="auto" w:fill="auto"/>
            <w:noWrap/>
            <w:vAlign w:val="center"/>
          </w:tcPr>
          <w:p w14:paraId="1EDE31B3" w14:textId="77777777" w:rsidR="00EF37CB" w:rsidRPr="00E40699" w:rsidRDefault="00EF37CB" w:rsidP="0059723A">
            <w:pPr>
              <w:spacing w:before="0" w:after="0"/>
              <w:jc w:val="center"/>
              <w:rPr>
                <w:rFonts w:ascii="Arial" w:hAnsi="Arial" w:cs="Arial"/>
                <w:b/>
                <w:bCs/>
                <w:color w:val="000000"/>
                <w:sz w:val="16"/>
                <w:szCs w:val="16"/>
                <w:lang w:val="en-AU" w:eastAsia="en-AU"/>
              </w:rPr>
            </w:pPr>
            <w:r w:rsidRPr="00E40699">
              <w:rPr>
                <w:rFonts w:ascii="Arial" w:hAnsi="Arial" w:cs="Arial"/>
                <w:b/>
                <w:bCs/>
                <w:color w:val="000000"/>
                <w:sz w:val="16"/>
                <w:szCs w:val="16"/>
                <w:lang w:val="en-AU" w:eastAsia="en-AU"/>
              </w:rPr>
              <w:t>12%</w:t>
            </w:r>
          </w:p>
        </w:tc>
      </w:tr>
    </w:tbl>
    <w:p w14:paraId="310ED357" w14:textId="77777777" w:rsidR="00FC6BFF" w:rsidRPr="00ED01FD" w:rsidRDefault="00FC6BFF" w:rsidP="00562A28">
      <w:pPr>
        <w:pStyle w:val="Para"/>
        <w:ind w:left="2880"/>
        <w:rPr>
          <w:sz w:val="20"/>
          <w:lang w:val="en-AU"/>
        </w:rPr>
      </w:pPr>
      <w:r w:rsidRPr="00ED01FD">
        <w:rPr>
          <w:sz w:val="20"/>
          <w:lang w:val="en-AU"/>
        </w:rPr>
        <w:t xml:space="preserve">Base: Total respondents, </w:t>
      </w:r>
      <w:r w:rsidR="006134AD" w:rsidRPr="00ED01FD">
        <w:rPr>
          <w:sz w:val="20"/>
          <w:lang w:val="en-AU"/>
        </w:rPr>
        <w:t xml:space="preserve">2014 (n=1,861); </w:t>
      </w:r>
      <w:r w:rsidRPr="00ED01FD">
        <w:rPr>
          <w:sz w:val="20"/>
          <w:lang w:val="en-AU"/>
        </w:rPr>
        <w:t>2007 (n=2,061)</w:t>
      </w:r>
    </w:p>
    <w:p w14:paraId="20CE7CF6" w14:textId="77777777" w:rsidR="00D7504F" w:rsidRPr="00ED01FD" w:rsidRDefault="00D7504F" w:rsidP="00562A28">
      <w:pPr>
        <w:pStyle w:val="Para"/>
        <w:jc w:val="center"/>
        <w:outlineLvl w:val="0"/>
        <w:rPr>
          <w:b/>
          <w:lang w:val="en-AU"/>
        </w:rPr>
      </w:pPr>
      <w:r w:rsidRPr="00ED01FD">
        <w:rPr>
          <w:b/>
          <w:lang w:val="en-AU"/>
        </w:rPr>
        <w:lastRenderedPageBreak/>
        <w:t>Table 3.3.13</w:t>
      </w:r>
      <w:r w:rsidR="00EF37CB" w:rsidRPr="00ED01FD">
        <w:rPr>
          <w:b/>
          <w:lang w:val="en-AU"/>
        </w:rPr>
        <w:t>b</w:t>
      </w:r>
      <w:r w:rsidRPr="00ED01FD">
        <w:rPr>
          <w:b/>
          <w:lang w:val="en-AU"/>
        </w:rPr>
        <w:t xml:space="preserve">: </w:t>
      </w:r>
      <w:r w:rsidRPr="00ED01FD">
        <w:rPr>
          <w:b/>
          <w:u w:val="single"/>
          <w:lang w:val="en-AU"/>
        </w:rPr>
        <w:t>Incidence of Ceiling Insulation by Region</w:t>
      </w:r>
      <w:r w:rsidR="00EF37CB" w:rsidRPr="00ED01FD">
        <w:rPr>
          <w:b/>
          <w:u w:val="single"/>
          <w:lang w:val="en-AU"/>
        </w:rPr>
        <w:t xml:space="preserve"> and</w:t>
      </w:r>
      <w:r w:rsidRPr="00ED01FD">
        <w:rPr>
          <w:b/>
          <w:u w:val="single"/>
          <w:lang w:val="en-AU"/>
        </w:rPr>
        <w:t xml:space="preserve"> Home Ownership Status</w:t>
      </w:r>
    </w:p>
    <w:p w14:paraId="2C9CA05E" w14:textId="77777777" w:rsidR="00D7504F" w:rsidRPr="00DA3B75" w:rsidRDefault="00D7504F" w:rsidP="00EF37CB">
      <w:pPr>
        <w:pStyle w:val="Para"/>
        <w:spacing w:line="140" w:lineRule="exact"/>
        <w:rPr>
          <w:highlight w:val="yellow"/>
          <w:lang w:val="en-AU"/>
        </w:rPr>
      </w:pPr>
    </w:p>
    <w:tbl>
      <w:tblPr>
        <w:tblW w:w="10401" w:type="dxa"/>
        <w:jc w:val="center"/>
        <w:tblLook w:val="04A0" w:firstRow="1" w:lastRow="0" w:firstColumn="1" w:lastColumn="0" w:noHBand="0" w:noVBand="1"/>
      </w:tblPr>
      <w:tblGrid>
        <w:gridCol w:w="2760"/>
        <w:gridCol w:w="600"/>
        <w:gridCol w:w="600"/>
        <w:gridCol w:w="600"/>
        <w:gridCol w:w="600"/>
        <w:gridCol w:w="817"/>
        <w:gridCol w:w="784"/>
        <w:gridCol w:w="600"/>
        <w:gridCol w:w="600"/>
        <w:gridCol w:w="600"/>
        <w:gridCol w:w="600"/>
        <w:gridCol w:w="620"/>
        <w:gridCol w:w="620"/>
      </w:tblGrid>
      <w:tr w:rsidR="00D7504F" w:rsidRPr="00ED01FD" w14:paraId="4FA99001" w14:textId="77777777" w:rsidTr="00562A28">
        <w:trPr>
          <w:trHeight w:val="794"/>
          <w:jc w:val="center"/>
        </w:trPr>
        <w:tc>
          <w:tcPr>
            <w:tcW w:w="2760" w:type="dxa"/>
            <w:vMerge w:val="restart"/>
            <w:tcBorders>
              <w:top w:val="double" w:sz="6" w:space="0" w:color="auto"/>
              <w:left w:val="double" w:sz="6" w:space="0" w:color="auto"/>
              <w:bottom w:val="single" w:sz="4" w:space="0" w:color="BFBFBF"/>
              <w:right w:val="nil"/>
            </w:tcBorders>
            <w:shd w:val="clear" w:color="auto" w:fill="auto"/>
            <w:noWrap/>
            <w:vAlign w:val="center"/>
          </w:tcPr>
          <w:p w14:paraId="0FC0F611" w14:textId="77777777" w:rsidR="00D7504F" w:rsidRPr="00162EF6" w:rsidRDefault="00D7504F" w:rsidP="00ED01FD">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Ceiling Insulation</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78AC9B53"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Completely Insulated</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10CFC55A"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Partly Insulated</w:t>
            </w:r>
          </w:p>
        </w:tc>
        <w:tc>
          <w:tcPr>
            <w:tcW w:w="1601"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0DD2CD76"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 xml:space="preserve">Insulated </w:t>
            </w:r>
            <w:r w:rsidR="00EF37CB" w:rsidRPr="00162EF6">
              <w:rPr>
                <w:rFonts w:ascii="Arial" w:hAnsi="Arial" w:cs="Arial"/>
                <w:b/>
                <w:color w:val="000000"/>
                <w:sz w:val="16"/>
                <w:szCs w:val="16"/>
                <w:lang w:val="en-AU" w:eastAsia="en-AU"/>
              </w:rPr>
              <w:t>-un</w:t>
            </w:r>
            <w:r w:rsidRPr="00162EF6">
              <w:rPr>
                <w:rFonts w:ascii="Arial" w:hAnsi="Arial" w:cs="Arial"/>
                <w:b/>
                <w:color w:val="000000"/>
                <w:sz w:val="16"/>
                <w:szCs w:val="16"/>
                <w:lang w:val="en-AU" w:eastAsia="en-AU"/>
              </w:rPr>
              <w:t>sure if complete or partial*</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6B20F172"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Total with some insulation</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69DB8A7D"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Not insulated</w:t>
            </w:r>
          </w:p>
        </w:tc>
        <w:tc>
          <w:tcPr>
            <w:tcW w:w="1240" w:type="dxa"/>
            <w:gridSpan w:val="2"/>
            <w:tcBorders>
              <w:top w:val="double" w:sz="6" w:space="0" w:color="auto"/>
              <w:left w:val="nil"/>
              <w:bottom w:val="single" w:sz="4" w:space="0" w:color="BFBFBF"/>
              <w:right w:val="double" w:sz="6" w:space="0" w:color="000000"/>
            </w:tcBorders>
            <w:shd w:val="clear" w:color="auto" w:fill="auto"/>
            <w:vAlign w:val="center"/>
          </w:tcPr>
          <w:p w14:paraId="265CC2CA"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Can't say</w:t>
            </w:r>
          </w:p>
        </w:tc>
      </w:tr>
      <w:tr w:rsidR="00D7504F" w:rsidRPr="00ED01FD" w14:paraId="07137423" w14:textId="77777777" w:rsidTr="00562A28">
        <w:trPr>
          <w:trHeight w:val="345"/>
          <w:jc w:val="center"/>
        </w:trPr>
        <w:tc>
          <w:tcPr>
            <w:tcW w:w="2760" w:type="dxa"/>
            <w:vMerge/>
            <w:tcBorders>
              <w:top w:val="double" w:sz="6" w:space="0" w:color="auto"/>
              <w:left w:val="double" w:sz="6" w:space="0" w:color="auto"/>
              <w:bottom w:val="single" w:sz="4" w:space="0" w:color="BFBFBF"/>
              <w:right w:val="nil"/>
            </w:tcBorders>
            <w:vAlign w:val="center"/>
          </w:tcPr>
          <w:p w14:paraId="37066149" w14:textId="77777777" w:rsidR="00D7504F" w:rsidRPr="00162EF6" w:rsidRDefault="00D7504F" w:rsidP="00ED01FD">
            <w:pPr>
              <w:spacing w:before="0" w:after="0"/>
              <w:jc w:val="center"/>
              <w:rPr>
                <w:rFonts w:ascii="Arial" w:hAnsi="Arial" w:cs="Arial"/>
                <w:b/>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ACF0F14"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448238C6"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52C8DAD8"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7E808547"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2007</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2385FBD1"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2014</w:t>
            </w:r>
          </w:p>
        </w:tc>
        <w:tc>
          <w:tcPr>
            <w:tcW w:w="784" w:type="dxa"/>
            <w:tcBorders>
              <w:top w:val="nil"/>
              <w:left w:val="nil"/>
              <w:bottom w:val="single" w:sz="4" w:space="0" w:color="BFBFBF"/>
              <w:right w:val="single" w:sz="4" w:space="0" w:color="auto"/>
            </w:tcBorders>
            <w:shd w:val="clear" w:color="auto" w:fill="auto"/>
            <w:noWrap/>
            <w:vAlign w:val="center"/>
          </w:tcPr>
          <w:p w14:paraId="661A40B0"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18308FE2"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1A0C92D1"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F691ADD"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2E38804E"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2007</w:t>
            </w:r>
          </w:p>
        </w:tc>
        <w:tc>
          <w:tcPr>
            <w:tcW w:w="620" w:type="dxa"/>
            <w:tcBorders>
              <w:top w:val="nil"/>
              <w:left w:val="nil"/>
              <w:bottom w:val="single" w:sz="4" w:space="0" w:color="BFBFBF"/>
              <w:right w:val="single" w:sz="4" w:space="0" w:color="BFBFBF"/>
            </w:tcBorders>
            <w:shd w:val="clear" w:color="auto" w:fill="auto"/>
            <w:noWrap/>
            <w:vAlign w:val="center"/>
          </w:tcPr>
          <w:p w14:paraId="489EF917"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2014</w:t>
            </w:r>
          </w:p>
        </w:tc>
        <w:tc>
          <w:tcPr>
            <w:tcW w:w="620" w:type="dxa"/>
            <w:tcBorders>
              <w:top w:val="nil"/>
              <w:left w:val="nil"/>
              <w:bottom w:val="single" w:sz="4" w:space="0" w:color="BFBFBF"/>
              <w:right w:val="double" w:sz="6" w:space="0" w:color="auto"/>
            </w:tcBorders>
            <w:shd w:val="clear" w:color="auto" w:fill="auto"/>
            <w:noWrap/>
            <w:vAlign w:val="center"/>
          </w:tcPr>
          <w:p w14:paraId="15C6CF82" w14:textId="77777777" w:rsidR="00D7504F" w:rsidRPr="00162EF6" w:rsidRDefault="00D7504F" w:rsidP="00EF37C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2007</w:t>
            </w:r>
          </w:p>
        </w:tc>
      </w:tr>
      <w:tr w:rsidR="00D7504F" w:rsidRPr="00ED01FD" w14:paraId="08B6B895" w14:textId="77777777" w:rsidTr="00562A28">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105B2840" w14:textId="77777777" w:rsidR="00D7504F" w:rsidRPr="00ED01FD" w:rsidRDefault="00D7504F" w:rsidP="00162EF6">
            <w:pPr>
              <w:spacing w:before="0" w:after="0"/>
              <w:rPr>
                <w:rFonts w:ascii="Arial" w:hAnsi="Arial" w:cs="Arial"/>
                <w:color w:val="000000"/>
                <w:sz w:val="16"/>
                <w:szCs w:val="16"/>
                <w:lang w:val="en-AU" w:eastAsia="en-AU"/>
              </w:rPr>
            </w:pPr>
            <w:r w:rsidRPr="00162EF6">
              <w:rPr>
                <w:rFonts w:ascii="Arial" w:hAnsi="Arial" w:cs="Arial"/>
                <w:b/>
                <w:color w:val="000000"/>
                <w:sz w:val="16"/>
                <w:szCs w:val="16"/>
                <w:lang w:val="en-AU" w:eastAsia="en-AU"/>
              </w:rPr>
              <w:t>By Region</w:t>
            </w:r>
            <w:r w:rsidRPr="00ED01FD">
              <w:rPr>
                <w:rFonts w:ascii="Arial" w:hAnsi="Arial" w:cs="Arial"/>
                <w:color w:val="000000"/>
                <w:sz w:val="16"/>
                <w:szCs w:val="16"/>
                <w:lang w:val="en-AU" w:eastAsia="en-AU"/>
              </w:rPr>
              <w:t xml:space="preserve">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423E84F"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4093D5FF"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bottom"/>
          </w:tcPr>
          <w:p w14:paraId="0285736E"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c>
          <w:tcPr>
            <w:tcW w:w="600" w:type="dxa"/>
            <w:tcBorders>
              <w:top w:val="nil"/>
              <w:left w:val="nil"/>
              <w:bottom w:val="single" w:sz="4" w:space="0" w:color="BFBFBF"/>
              <w:right w:val="nil"/>
            </w:tcBorders>
            <w:shd w:val="clear" w:color="auto" w:fill="auto"/>
            <w:noWrap/>
            <w:vAlign w:val="center"/>
          </w:tcPr>
          <w:p w14:paraId="54A9E3A1"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148E78D3"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c>
          <w:tcPr>
            <w:tcW w:w="784" w:type="dxa"/>
            <w:tcBorders>
              <w:top w:val="nil"/>
              <w:left w:val="nil"/>
              <w:bottom w:val="single" w:sz="4" w:space="0" w:color="BFBFBF"/>
              <w:right w:val="single" w:sz="4" w:space="0" w:color="auto"/>
            </w:tcBorders>
            <w:shd w:val="clear" w:color="auto" w:fill="auto"/>
            <w:noWrap/>
            <w:vAlign w:val="bottom"/>
          </w:tcPr>
          <w:p w14:paraId="38BDFF42"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BFBFBF"/>
            </w:tcBorders>
            <w:shd w:val="clear" w:color="auto" w:fill="auto"/>
            <w:noWrap/>
            <w:vAlign w:val="bottom"/>
          </w:tcPr>
          <w:p w14:paraId="6BF66130"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c>
          <w:tcPr>
            <w:tcW w:w="600" w:type="dxa"/>
            <w:tcBorders>
              <w:top w:val="nil"/>
              <w:left w:val="nil"/>
              <w:bottom w:val="single" w:sz="4" w:space="0" w:color="BFBFBF"/>
              <w:right w:val="nil"/>
            </w:tcBorders>
            <w:shd w:val="clear" w:color="auto" w:fill="auto"/>
            <w:noWrap/>
            <w:vAlign w:val="center"/>
          </w:tcPr>
          <w:p w14:paraId="65FB62F3"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c>
          <w:tcPr>
            <w:tcW w:w="600" w:type="dxa"/>
            <w:tcBorders>
              <w:top w:val="single" w:sz="4" w:space="0" w:color="BFBFBF"/>
              <w:left w:val="single" w:sz="4" w:space="0" w:color="auto"/>
              <w:bottom w:val="single" w:sz="4" w:space="0" w:color="BFBFBF"/>
              <w:right w:val="single" w:sz="4" w:space="0" w:color="BFBFBF"/>
            </w:tcBorders>
            <w:shd w:val="clear" w:color="auto" w:fill="auto"/>
            <w:noWrap/>
            <w:vAlign w:val="center"/>
          </w:tcPr>
          <w:p w14:paraId="780FEF7F"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c>
          <w:tcPr>
            <w:tcW w:w="600" w:type="dxa"/>
            <w:tcBorders>
              <w:top w:val="nil"/>
              <w:left w:val="nil"/>
              <w:bottom w:val="single" w:sz="4" w:space="0" w:color="BFBFBF"/>
              <w:right w:val="single" w:sz="4" w:space="0" w:color="auto"/>
            </w:tcBorders>
            <w:shd w:val="clear" w:color="auto" w:fill="auto"/>
            <w:noWrap/>
            <w:vAlign w:val="center"/>
          </w:tcPr>
          <w:p w14:paraId="1663D892"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c>
          <w:tcPr>
            <w:tcW w:w="620" w:type="dxa"/>
            <w:tcBorders>
              <w:top w:val="nil"/>
              <w:left w:val="nil"/>
              <w:bottom w:val="single" w:sz="4" w:space="0" w:color="BFBFBF"/>
              <w:right w:val="single" w:sz="4" w:space="0" w:color="BFBFBF"/>
            </w:tcBorders>
            <w:shd w:val="clear" w:color="auto" w:fill="auto"/>
            <w:noWrap/>
            <w:vAlign w:val="bottom"/>
          </w:tcPr>
          <w:p w14:paraId="0F780F37"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c>
          <w:tcPr>
            <w:tcW w:w="620" w:type="dxa"/>
            <w:tcBorders>
              <w:top w:val="nil"/>
              <w:left w:val="nil"/>
              <w:bottom w:val="single" w:sz="4" w:space="0" w:color="BFBFBF"/>
              <w:right w:val="double" w:sz="6" w:space="0" w:color="auto"/>
            </w:tcBorders>
            <w:shd w:val="clear" w:color="auto" w:fill="auto"/>
            <w:noWrap/>
            <w:vAlign w:val="center"/>
          </w:tcPr>
          <w:p w14:paraId="0BEC70F9" w14:textId="77777777" w:rsidR="00D7504F" w:rsidRPr="00ED01FD" w:rsidRDefault="00D7504F" w:rsidP="00EF37C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 </w:t>
            </w:r>
          </w:p>
        </w:tc>
      </w:tr>
      <w:tr w:rsidR="0054131D" w:rsidRPr="00ED01FD" w14:paraId="67F70E1C"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64D3E17A" w14:textId="69250060"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F7DEBC0"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72%</w:t>
            </w:r>
          </w:p>
        </w:tc>
        <w:tc>
          <w:tcPr>
            <w:tcW w:w="600" w:type="dxa"/>
            <w:tcBorders>
              <w:top w:val="nil"/>
              <w:left w:val="nil"/>
              <w:bottom w:val="single" w:sz="4" w:space="0" w:color="BFBFBF"/>
              <w:right w:val="single" w:sz="4" w:space="0" w:color="auto"/>
            </w:tcBorders>
            <w:shd w:val="clear" w:color="auto" w:fill="auto"/>
            <w:noWrap/>
            <w:vAlign w:val="center"/>
          </w:tcPr>
          <w:p w14:paraId="0CC9E3D8"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69%</w:t>
            </w:r>
          </w:p>
        </w:tc>
        <w:tc>
          <w:tcPr>
            <w:tcW w:w="600" w:type="dxa"/>
            <w:tcBorders>
              <w:top w:val="nil"/>
              <w:left w:val="nil"/>
              <w:bottom w:val="single" w:sz="4" w:space="0" w:color="BFBFBF"/>
              <w:right w:val="single" w:sz="4" w:space="0" w:color="BFBFBF"/>
            </w:tcBorders>
            <w:shd w:val="clear" w:color="auto" w:fill="auto"/>
            <w:noWrap/>
            <w:vAlign w:val="center"/>
          </w:tcPr>
          <w:p w14:paraId="383686B3"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w:t>
            </w:r>
          </w:p>
        </w:tc>
        <w:tc>
          <w:tcPr>
            <w:tcW w:w="600" w:type="dxa"/>
            <w:tcBorders>
              <w:top w:val="nil"/>
              <w:left w:val="nil"/>
              <w:bottom w:val="single" w:sz="4" w:space="0" w:color="BFBFBF"/>
              <w:right w:val="nil"/>
            </w:tcBorders>
            <w:shd w:val="clear" w:color="auto" w:fill="auto"/>
            <w:noWrap/>
            <w:vAlign w:val="center"/>
          </w:tcPr>
          <w:p w14:paraId="1EDA4178"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360E542A"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784" w:type="dxa"/>
            <w:tcBorders>
              <w:top w:val="nil"/>
              <w:left w:val="nil"/>
              <w:bottom w:val="single" w:sz="4" w:space="0" w:color="BFBFBF"/>
              <w:right w:val="single" w:sz="4" w:space="0" w:color="auto"/>
            </w:tcBorders>
            <w:shd w:val="clear" w:color="auto" w:fill="auto"/>
            <w:noWrap/>
            <w:vAlign w:val="center"/>
          </w:tcPr>
          <w:p w14:paraId="5EBF923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65A3D32"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87%</w:t>
            </w:r>
          </w:p>
        </w:tc>
        <w:tc>
          <w:tcPr>
            <w:tcW w:w="600" w:type="dxa"/>
            <w:tcBorders>
              <w:top w:val="nil"/>
              <w:left w:val="nil"/>
              <w:bottom w:val="single" w:sz="4" w:space="0" w:color="BFBFBF"/>
              <w:right w:val="nil"/>
            </w:tcBorders>
            <w:shd w:val="clear" w:color="auto" w:fill="auto"/>
            <w:noWrap/>
            <w:vAlign w:val="center"/>
          </w:tcPr>
          <w:p w14:paraId="7EEA9DD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76%</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9B68340"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39D5D3A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11%</w:t>
            </w:r>
          </w:p>
        </w:tc>
        <w:tc>
          <w:tcPr>
            <w:tcW w:w="620" w:type="dxa"/>
            <w:tcBorders>
              <w:top w:val="nil"/>
              <w:left w:val="nil"/>
              <w:bottom w:val="single" w:sz="4" w:space="0" w:color="BFBFBF"/>
              <w:right w:val="single" w:sz="4" w:space="0" w:color="BFBFBF"/>
            </w:tcBorders>
            <w:shd w:val="clear" w:color="auto" w:fill="auto"/>
            <w:noWrap/>
            <w:vAlign w:val="center"/>
          </w:tcPr>
          <w:p w14:paraId="5B25068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620" w:type="dxa"/>
            <w:tcBorders>
              <w:top w:val="nil"/>
              <w:left w:val="nil"/>
              <w:bottom w:val="single" w:sz="4" w:space="0" w:color="BFBFBF"/>
              <w:right w:val="double" w:sz="6" w:space="0" w:color="auto"/>
            </w:tcBorders>
            <w:shd w:val="clear" w:color="auto" w:fill="auto"/>
            <w:noWrap/>
            <w:vAlign w:val="center"/>
          </w:tcPr>
          <w:p w14:paraId="3679567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13%</w:t>
            </w:r>
          </w:p>
        </w:tc>
      </w:tr>
      <w:tr w:rsidR="0054131D" w:rsidRPr="00ED01FD" w14:paraId="7844B089"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0BE5442F" w14:textId="4B8C62C7"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Country VIC</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57563C9"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73%</w:t>
            </w:r>
          </w:p>
        </w:tc>
        <w:tc>
          <w:tcPr>
            <w:tcW w:w="600" w:type="dxa"/>
            <w:tcBorders>
              <w:top w:val="nil"/>
              <w:left w:val="nil"/>
              <w:bottom w:val="single" w:sz="4" w:space="0" w:color="BFBFBF"/>
              <w:right w:val="single" w:sz="4" w:space="0" w:color="auto"/>
            </w:tcBorders>
            <w:shd w:val="clear" w:color="auto" w:fill="auto"/>
            <w:noWrap/>
            <w:vAlign w:val="center"/>
          </w:tcPr>
          <w:p w14:paraId="3382165F"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70%</w:t>
            </w:r>
          </w:p>
        </w:tc>
        <w:tc>
          <w:tcPr>
            <w:tcW w:w="600" w:type="dxa"/>
            <w:tcBorders>
              <w:top w:val="nil"/>
              <w:left w:val="nil"/>
              <w:bottom w:val="single" w:sz="4" w:space="0" w:color="BFBFBF"/>
              <w:right w:val="single" w:sz="4" w:space="0" w:color="BFBFBF"/>
            </w:tcBorders>
            <w:shd w:val="clear" w:color="auto" w:fill="auto"/>
            <w:noWrap/>
            <w:vAlign w:val="center"/>
          </w:tcPr>
          <w:p w14:paraId="20A11A33"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w:t>
            </w:r>
          </w:p>
        </w:tc>
        <w:tc>
          <w:tcPr>
            <w:tcW w:w="600" w:type="dxa"/>
            <w:tcBorders>
              <w:top w:val="nil"/>
              <w:left w:val="nil"/>
              <w:bottom w:val="single" w:sz="4" w:space="0" w:color="BFBFBF"/>
              <w:right w:val="nil"/>
            </w:tcBorders>
            <w:shd w:val="clear" w:color="auto" w:fill="auto"/>
            <w:noWrap/>
            <w:vAlign w:val="center"/>
          </w:tcPr>
          <w:p w14:paraId="5F76C847"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6AEE3D02"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784" w:type="dxa"/>
            <w:tcBorders>
              <w:top w:val="nil"/>
              <w:left w:val="nil"/>
              <w:bottom w:val="single" w:sz="4" w:space="0" w:color="BFBFBF"/>
              <w:right w:val="single" w:sz="4" w:space="0" w:color="auto"/>
            </w:tcBorders>
            <w:shd w:val="clear" w:color="auto" w:fill="auto"/>
            <w:noWrap/>
            <w:vAlign w:val="center"/>
          </w:tcPr>
          <w:p w14:paraId="50A7612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047C11B"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88%</w:t>
            </w:r>
          </w:p>
        </w:tc>
        <w:tc>
          <w:tcPr>
            <w:tcW w:w="600" w:type="dxa"/>
            <w:tcBorders>
              <w:top w:val="nil"/>
              <w:left w:val="nil"/>
              <w:bottom w:val="single" w:sz="4" w:space="0" w:color="BFBFBF"/>
              <w:right w:val="nil"/>
            </w:tcBorders>
            <w:shd w:val="clear" w:color="auto" w:fill="auto"/>
            <w:noWrap/>
            <w:vAlign w:val="center"/>
          </w:tcPr>
          <w:p w14:paraId="1BC806C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78%</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3B884DD"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38CDEF32"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11%</w:t>
            </w:r>
          </w:p>
        </w:tc>
        <w:tc>
          <w:tcPr>
            <w:tcW w:w="620" w:type="dxa"/>
            <w:tcBorders>
              <w:top w:val="nil"/>
              <w:left w:val="nil"/>
              <w:bottom w:val="single" w:sz="4" w:space="0" w:color="BFBFBF"/>
              <w:right w:val="single" w:sz="4" w:space="0" w:color="BFBFBF"/>
            </w:tcBorders>
            <w:shd w:val="clear" w:color="auto" w:fill="auto"/>
            <w:noWrap/>
            <w:vAlign w:val="center"/>
          </w:tcPr>
          <w:p w14:paraId="4F5E33F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w:t>
            </w:r>
          </w:p>
        </w:tc>
        <w:tc>
          <w:tcPr>
            <w:tcW w:w="620" w:type="dxa"/>
            <w:tcBorders>
              <w:top w:val="nil"/>
              <w:left w:val="nil"/>
              <w:bottom w:val="single" w:sz="4" w:space="0" w:color="BFBFBF"/>
              <w:right w:val="double" w:sz="6" w:space="0" w:color="auto"/>
            </w:tcBorders>
            <w:shd w:val="clear" w:color="auto" w:fill="auto"/>
            <w:noWrap/>
            <w:vAlign w:val="center"/>
          </w:tcPr>
          <w:p w14:paraId="6BFD8783"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10%</w:t>
            </w:r>
          </w:p>
        </w:tc>
      </w:tr>
      <w:tr w:rsidR="0054131D" w:rsidRPr="00ED01FD" w14:paraId="122B7EBD"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7E357306" w14:textId="29995D7E"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BC6314">
              <w:rPr>
                <w:rFonts w:ascii="Arial" w:hAnsi="Arial" w:cs="Arial"/>
                <w:color w:val="000000"/>
                <w:sz w:val="16"/>
                <w:szCs w:val="16"/>
                <w:lang w:val="en-AU" w:eastAsia="en-AU"/>
              </w:rPr>
              <w:t>LPG Household</w:t>
            </w:r>
            <w:r w:rsidR="00ED01FD" w:rsidRPr="00ED01FD">
              <w:rPr>
                <w:rFonts w:ascii="Arial" w:hAnsi="Arial" w:cs="Arial"/>
                <w:color w:val="000000"/>
                <w:sz w:val="16"/>
                <w:szCs w:val="16"/>
                <w:lang w:val="en-AU" w:eastAsia="en-AU"/>
              </w:rPr>
              <w:t>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38AA5BD"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77%</w:t>
            </w:r>
          </w:p>
        </w:tc>
        <w:tc>
          <w:tcPr>
            <w:tcW w:w="600" w:type="dxa"/>
            <w:tcBorders>
              <w:top w:val="nil"/>
              <w:left w:val="nil"/>
              <w:bottom w:val="single" w:sz="4" w:space="0" w:color="BFBFBF"/>
              <w:right w:val="single" w:sz="4" w:space="0" w:color="auto"/>
            </w:tcBorders>
            <w:shd w:val="clear" w:color="auto" w:fill="auto"/>
            <w:noWrap/>
            <w:vAlign w:val="center"/>
          </w:tcPr>
          <w:p w14:paraId="5905278A"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71%</w:t>
            </w:r>
          </w:p>
        </w:tc>
        <w:tc>
          <w:tcPr>
            <w:tcW w:w="600" w:type="dxa"/>
            <w:tcBorders>
              <w:top w:val="nil"/>
              <w:left w:val="nil"/>
              <w:bottom w:val="single" w:sz="4" w:space="0" w:color="BFBFBF"/>
              <w:right w:val="single" w:sz="4" w:space="0" w:color="BFBFBF"/>
            </w:tcBorders>
            <w:shd w:val="clear" w:color="auto" w:fill="auto"/>
            <w:noWrap/>
            <w:vAlign w:val="center"/>
          </w:tcPr>
          <w:p w14:paraId="35CAB7D8"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12%</w:t>
            </w:r>
          </w:p>
        </w:tc>
        <w:tc>
          <w:tcPr>
            <w:tcW w:w="600" w:type="dxa"/>
            <w:tcBorders>
              <w:top w:val="nil"/>
              <w:left w:val="nil"/>
              <w:bottom w:val="single" w:sz="4" w:space="0" w:color="BFBFBF"/>
              <w:right w:val="nil"/>
            </w:tcBorders>
            <w:shd w:val="clear" w:color="auto" w:fill="auto"/>
            <w:noWrap/>
            <w:vAlign w:val="center"/>
          </w:tcPr>
          <w:p w14:paraId="3CFBA3B9"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1CC4CA46"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2%</w:t>
            </w:r>
          </w:p>
        </w:tc>
        <w:tc>
          <w:tcPr>
            <w:tcW w:w="784" w:type="dxa"/>
            <w:tcBorders>
              <w:top w:val="nil"/>
              <w:left w:val="nil"/>
              <w:bottom w:val="single" w:sz="4" w:space="0" w:color="BFBFBF"/>
              <w:right w:val="single" w:sz="4" w:space="0" w:color="auto"/>
            </w:tcBorders>
            <w:shd w:val="clear" w:color="auto" w:fill="auto"/>
            <w:noWrap/>
            <w:vAlign w:val="center"/>
          </w:tcPr>
          <w:p w14:paraId="44909FA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B4949F7"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91%</w:t>
            </w:r>
          </w:p>
        </w:tc>
        <w:tc>
          <w:tcPr>
            <w:tcW w:w="600" w:type="dxa"/>
            <w:tcBorders>
              <w:top w:val="nil"/>
              <w:left w:val="nil"/>
              <w:bottom w:val="single" w:sz="4" w:space="0" w:color="BFBFBF"/>
              <w:right w:val="nil"/>
            </w:tcBorders>
            <w:shd w:val="clear" w:color="auto" w:fill="auto"/>
            <w:noWrap/>
            <w:vAlign w:val="center"/>
          </w:tcPr>
          <w:p w14:paraId="45A77E7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78%</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5AA9CAD"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auto"/>
            </w:tcBorders>
            <w:shd w:val="clear" w:color="auto" w:fill="auto"/>
            <w:noWrap/>
            <w:vAlign w:val="center"/>
          </w:tcPr>
          <w:p w14:paraId="3D497AB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15%</w:t>
            </w:r>
          </w:p>
        </w:tc>
        <w:tc>
          <w:tcPr>
            <w:tcW w:w="620" w:type="dxa"/>
            <w:tcBorders>
              <w:top w:val="nil"/>
              <w:left w:val="nil"/>
              <w:bottom w:val="single" w:sz="4" w:space="0" w:color="BFBFBF"/>
              <w:right w:val="single" w:sz="4" w:space="0" w:color="BFBFBF"/>
            </w:tcBorders>
            <w:shd w:val="clear" w:color="auto" w:fill="auto"/>
            <w:noWrap/>
            <w:vAlign w:val="center"/>
          </w:tcPr>
          <w:p w14:paraId="46F52DC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w:t>
            </w:r>
          </w:p>
        </w:tc>
        <w:tc>
          <w:tcPr>
            <w:tcW w:w="620" w:type="dxa"/>
            <w:tcBorders>
              <w:top w:val="nil"/>
              <w:left w:val="nil"/>
              <w:bottom w:val="single" w:sz="4" w:space="0" w:color="BFBFBF"/>
              <w:right w:val="double" w:sz="6" w:space="0" w:color="auto"/>
            </w:tcBorders>
            <w:shd w:val="clear" w:color="auto" w:fill="auto"/>
            <w:noWrap/>
            <w:vAlign w:val="center"/>
          </w:tcPr>
          <w:p w14:paraId="46E9CB5D"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r>
      <w:tr w:rsidR="0054131D" w:rsidRPr="00ED01FD" w14:paraId="7403D08E"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29A9C4DF" w14:textId="77777777" w:rsidR="00ED01FD" w:rsidRPr="00162EF6" w:rsidRDefault="00ED01FD" w:rsidP="00162EF6">
            <w:pPr>
              <w:spacing w:before="0" w:after="0"/>
              <w:rPr>
                <w:rFonts w:ascii="Arial" w:hAnsi="Arial" w:cs="Arial"/>
                <w:b/>
                <w:color w:val="000000"/>
                <w:sz w:val="16"/>
                <w:szCs w:val="16"/>
                <w:lang w:val="en-AU" w:eastAsia="en-AU"/>
              </w:rPr>
            </w:pPr>
            <w:r w:rsidRPr="00162EF6">
              <w:rPr>
                <w:rFonts w:ascii="Arial" w:hAnsi="Arial" w:cs="Arial"/>
                <w:b/>
                <w:color w:val="000000"/>
                <w:sz w:val="16"/>
                <w:szCs w:val="16"/>
                <w:lang w:val="en-AU" w:eastAsia="en-AU"/>
              </w:rPr>
              <w:t xml:space="preserve">By DHHS Areas -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0F258EE" w14:textId="77777777" w:rsidR="00ED01FD" w:rsidRPr="00ED01FD" w:rsidRDefault="00ED01FD" w:rsidP="00705E2B">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1C4A8BF6" w14:textId="276144CB" w:rsidR="00ED01FD" w:rsidRPr="00ED01FD" w:rsidRDefault="00ED01FD" w:rsidP="006616D6">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72E82C9D" w14:textId="77777777" w:rsidR="00ED01FD" w:rsidRPr="00ED01FD" w:rsidRDefault="00ED01FD" w:rsidP="006616D6">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5004717B" w14:textId="5998D5D8" w:rsidR="00ED01FD" w:rsidRPr="00ED01FD" w:rsidRDefault="00ED01FD" w:rsidP="00600395">
            <w:pPr>
              <w:spacing w:before="0" w:after="0"/>
              <w:jc w:val="center"/>
              <w:rPr>
                <w:rFonts w:ascii="Arial" w:hAnsi="Arial" w:cs="Arial"/>
                <w:color w:val="000000"/>
                <w:sz w:val="16"/>
                <w:szCs w:val="16"/>
                <w:lang w:val="en-AU" w:eastAsia="en-AU"/>
              </w:rPr>
            </w:pP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55824BA2" w14:textId="77777777" w:rsidR="00ED01FD" w:rsidRPr="00ED01FD" w:rsidRDefault="00ED01FD">
            <w:pPr>
              <w:spacing w:before="0" w:after="0"/>
              <w:jc w:val="center"/>
              <w:rPr>
                <w:rFonts w:ascii="Arial" w:hAnsi="Arial" w:cs="Arial"/>
                <w:color w:val="000000"/>
                <w:sz w:val="16"/>
                <w:szCs w:val="16"/>
                <w:lang w:val="en-AU" w:eastAsia="en-AU"/>
              </w:rPr>
            </w:pPr>
          </w:p>
        </w:tc>
        <w:tc>
          <w:tcPr>
            <w:tcW w:w="784" w:type="dxa"/>
            <w:tcBorders>
              <w:top w:val="nil"/>
              <w:left w:val="nil"/>
              <w:bottom w:val="single" w:sz="4" w:space="0" w:color="BFBFBF"/>
              <w:right w:val="single" w:sz="4" w:space="0" w:color="auto"/>
            </w:tcBorders>
            <w:shd w:val="clear" w:color="auto" w:fill="auto"/>
            <w:noWrap/>
            <w:vAlign w:val="center"/>
          </w:tcPr>
          <w:p w14:paraId="029C586D" w14:textId="57509EDA" w:rsidR="00ED01FD" w:rsidRPr="00ED01FD" w:rsidRDefault="00ED01FD">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42F90784" w14:textId="77777777" w:rsidR="00ED01FD" w:rsidRPr="00ED01FD" w:rsidRDefault="00ED01FD">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66A23C74" w14:textId="4AEAF3CD" w:rsidR="00ED01FD" w:rsidRPr="00ED01FD" w:rsidRDefault="00ED01FD">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8F61563" w14:textId="77777777" w:rsidR="00ED01FD" w:rsidRPr="00ED01FD" w:rsidRDefault="00ED01FD">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139F82B6" w14:textId="3297DAD0" w:rsidR="00ED01FD" w:rsidRPr="00ED01FD" w:rsidRDefault="00ED01FD">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single" w:sz="4" w:space="0" w:color="BFBFBF"/>
            </w:tcBorders>
            <w:shd w:val="clear" w:color="auto" w:fill="auto"/>
            <w:noWrap/>
            <w:vAlign w:val="center"/>
          </w:tcPr>
          <w:p w14:paraId="69662A73" w14:textId="77777777" w:rsidR="00ED01FD" w:rsidRPr="00ED01FD" w:rsidRDefault="00ED01FD">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double" w:sz="6" w:space="0" w:color="auto"/>
            </w:tcBorders>
            <w:shd w:val="clear" w:color="auto" w:fill="auto"/>
            <w:noWrap/>
            <w:vAlign w:val="center"/>
          </w:tcPr>
          <w:p w14:paraId="0F776FAC" w14:textId="06B22127" w:rsidR="00ED01FD" w:rsidRPr="00ED01FD" w:rsidRDefault="00ED01FD">
            <w:pPr>
              <w:spacing w:before="0" w:after="0"/>
              <w:jc w:val="center"/>
              <w:rPr>
                <w:rFonts w:ascii="Arial" w:hAnsi="Arial" w:cs="Arial"/>
                <w:color w:val="000000"/>
                <w:sz w:val="16"/>
                <w:szCs w:val="16"/>
                <w:lang w:val="en-AU" w:eastAsia="en-AU"/>
              </w:rPr>
            </w:pPr>
          </w:p>
        </w:tc>
      </w:tr>
      <w:tr w:rsidR="0054131D" w:rsidRPr="00ED01FD" w14:paraId="1CE9E881"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5164C4D5" w14:textId="63067403"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Hume Moreland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1DFF2ED"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71%</w:t>
            </w:r>
          </w:p>
        </w:tc>
        <w:tc>
          <w:tcPr>
            <w:tcW w:w="600" w:type="dxa"/>
            <w:tcBorders>
              <w:top w:val="nil"/>
              <w:left w:val="nil"/>
              <w:bottom w:val="single" w:sz="4" w:space="0" w:color="BFBFBF"/>
              <w:right w:val="single" w:sz="4" w:space="0" w:color="auto"/>
            </w:tcBorders>
            <w:shd w:val="clear" w:color="auto" w:fill="auto"/>
            <w:noWrap/>
            <w:vAlign w:val="center"/>
          </w:tcPr>
          <w:p w14:paraId="277735E1"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35AD307"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600" w:type="dxa"/>
            <w:tcBorders>
              <w:top w:val="nil"/>
              <w:left w:val="nil"/>
              <w:bottom w:val="single" w:sz="4" w:space="0" w:color="BFBFBF"/>
              <w:right w:val="nil"/>
            </w:tcBorders>
            <w:shd w:val="clear" w:color="auto" w:fill="auto"/>
            <w:noWrap/>
            <w:vAlign w:val="center"/>
          </w:tcPr>
          <w:p w14:paraId="6E5E88A9"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3BADA26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12%</w:t>
            </w:r>
          </w:p>
        </w:tc>
        <w:tc>
          <w:tcPr>
            <w:tcW w:w="784" w:type="dxa"/>
            <w:tcBorders>
              <w:top w:val="nil"/>
              <w:left w:val="nil"/>
              <w:bottom w:val="single" w:sz="4" w:space="0" w:color="BFBFBF"/>
              <w:right w:val="single" w:sz="4" w:space="0" w:color="auto"/>
            </w:tcBorders>
            <w:shd w:val="clear" w:color="auto" w:fill="auto"/>
            <w:noWrap/>
            <w:vAlign w:val="center"/>
          </w:tcPr>
          <w:p w14:paraId="0F3CD9C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C7BB19D"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88%</w:t>
            </w:r>
          </w:p>
        </w:tc>
        <w:tc>
          <w:tcPr>
            <w:tcW w:w="600" w:type="dxa"/>
            <w:tcBorders>
              <w:top w:val="nil"/>
              <w:left w:val="nil"/>
              <w:bottom w:val="single" w:sz="4" w:space="0" w:color="BFBFBF"/>
              <w:right w:val="nil"/>
            </w:tcBorders>
            <w:shd w:val="clear" w:color="auto" w:fill="auto"/>
            <w:noWrap/>
            <w:vAlign w:val="center"/>
          </w:tcPr>
          <w:p w14:paraId="2059935A"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776A9D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0E5E047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47DDB932"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620" w:type="dxa"/>
            <w:tcBorders>
              <w:top w:val="nil"/>
              <w:left w:val="nil"/>
              <w:bottom w:val="single" w:sz="4" w:space="0" w:color="BFBFBF"/>
              <w:right w:val="double" w:sz="6" w:space="0" w:color="auto"/>
            </w:tcBorders>
            <w:shd w:val="clear" w:color="auto" w:fill="auto"/>
            <w:noWrap/>
            <w:vAlign w:val="center"/>
          </w:tcPr>
          <w:p w14:paraId="201691F3"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3E741A0F"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54894C71" w14:textId="099D8A2F"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North Eastern 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2467201"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71%</w:t>
            </w:r>
          </w:p>
        </w:tc>
        <w:tc>
          <w:tcPr>
            <w:tcW w:w="600" w:type="dxa"/>
            <w:tcBorders>
              <w:top w:val="nil"/>
              <w:left w:val="nil"/>
              <w:bottom w:val="single" w:sz="4" w:space="0" w:color="BFBFBF"/>
              <w:right w:val="single" w:sz="4" w:space="0" w:color="auto"/>
            </w:tcBorders>
            <w:shd w:val="clear" w:color="auto" w:fill="auto"/>
            <w:noWrap/>
            <w:vAlign w:val="center"/>
          </w:tcPr>
          <w:p w14:paraId="539059DE"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3D47AC1"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69762789"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74D7A26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w:t>
            </w:r>
          </w:p>
        </w:tc>
        <w:tc>
          <w:tcPr>
            <w:tcW w:w="784" w:type="dxa"/>
            <w:tcBorders>
              <w:top w:val="nil"/>
              <w:left w:val="nil"/>
              <w:bottom w:val="single" w:sz="4" w:space="0" w:color="BFBFBF"/>
              <w:right w:val="single" w:sz="4" w:space="0" w:color="auto"/>
            </w:tcBorders>
            <w:shd w:val="clear" w:color="auto" w:fill="auto"/>
            <w:noWrap/>
            <w:vAlign w:val="center"/>
          </w:tcPr>
          <w:p w14:paraId="0F7E88B7"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44F7D9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88%</w:t>
            </w:r>
          </w:p>
        </w:tc>
        <w:tc>
          <w:tcPr>
            <w:tcW w:w="600" w:type="dxa"/>
            <w:tcBorders>
              <w:top w:val="nil"/>
              <w:left w:val="nil"/>
              <w:bottom w:val="single" w:sz="4" w:space="0" w:color="BFBFBF"/>
              <w:right w:val="nil"/>
            </w:tcBorders>
            <w:shd w:val="clear" w:color="auto" w:fill="auto"/>
            <w:noWrap/>
            <w:vAlign w:val="center"/>
          </w:tcPr>
          <w:p w14:paraId="7892E58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67C185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51BE0F7A"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0364A7A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w:t>
            </w:r>
          </w:p>
        </w:tc>
        <w:tc>
          <w:tcPr>
            <w:tcW w:w="620" w:type="dxa"/>
            <w:tcBorders>
              <w:top w:val="nil"/>
              <w:left w:val="nil"/>
              <w:bottom w:val="single" w:sz="4" w:space="0" w:color="BFBFBF"/>
              <w:right w:val="double" w:sz="6" w:space="0" w:color="auto"/>
            </w:tcBorders>
            <w:shd w:val="clear" w:color="auto" w:fill="auto"/>
            <w:noWrap/>
            <w:vAlign w:val="center"/>
          </w:tcPr>
          <w:p w14:paraId="4781179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53A3B072"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07188F7D" w14:textId="7BCAE08C"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Outer Eastern 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4456050"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73%</w:t>
            </w:r>
          </w:p>
        </w:tc>
        <w:tc>
          <w:tcPr>
            <w:tcW w:w="600" w:type="dxa"/>
            <w:tcBorders>
              <w:top w:val="nil"/>
              <w:left w:val="nil"/>
              <w:bottom w:val="single" w:sz="4" w:space="0" w:color="BFBFBF"/>
              <w:right w:val="single" w:sz="4" w:space="0" w:color="auto"/>
            </w:tcBorders>
            <w:shd w:val="clear" w:color="auto" w:fill="auto"/>
            <w:noWrap/>
            <w:vAlign w:val="center"/>
          </w:tcPr>
          <w:p w14:paraId="048CB5DB"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5294F67"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11%</w:t>
            </w:r>
          </w:p>
        </w:tc>
        <w:tc>
          <w:tcPr>
            <w:tcW w:w="600" w:type="dxa"/>
            <w:tcBorders>
              <w:top w:val="nil"/>
              <w:left w:val="nil"/>
              <w:bottom w:val="single" w:sz="4" w:space="0" w:color="BFBFBF"/>
              <w:right w:val="nil"/>
            </w:tcBorders>
            <w:shd w:val="clear" w:color="auto" w:fill="auto"/>
            <w:noWrap/>
            <w:vAlign w:val="center"/>
          </w:tcPr>
          <w:p w14:paraId="3CD7E8C7"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4209E346"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784" w:type="dxa"/>
            <w:tcBorders>
              <w:top w:val="nil"/>
              <w:left w:val="nil"/>
              <w:bottom w:val="single" w:sz="4" w:space="0" w:color="BFBFBF"/>
              <w:right w:val="single" w:sz="4" w:space="0" w:color="auto"/>
            </w:tcBorders>
            <w:shd w:val="clear" w:color="auto" w:fill="auto"/>
            <w:noWrap/>
            <w:vAlign w:val="center"/>
          </w:tcPr>
          <w:p w14:paraId="1060CB20"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C5D442B"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91%</w:t>
            </w:r>
          </w:p>
        </w:tc>
        <w:tc>
          <w:tcPr>
            <w:tcW w:w="600" w:type="dxa"/>
            <w:tcBorders>
              <w:top w:val="nil"/>
              <w:left w:val="nil"/>
              <w:bottom w:val="single" w:sz="4" w:space="0" w:color="BFBFBF"/>
              <w:right w:val="nil"/>
            </w:tcBorders>
            <w:shd w:val="clear" w:color="auto" w:fill="auto"/>
            <w:noWrap/>
            <w:vAlign w:val="center"/>
          </w:tcPr>
          <w:p w14:paraId="510D12A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D91028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3F1A0267"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63DB06DA"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620" w:type="dxa"/>
            <w:tcBorders>
              <w:top w:val="nil"/>
              <w:left w:val="nil"/>
              <w:bottom w:val="single" w:sz="4" w:space="0" w:color="BFBFBF"/>
              <w:right w:val="double" w:sz="6" w:space="0" w:color="auto"/>
            </w:tcBorders>
            <w:shd w:val="clear" w:color="auto" w:fill="auto"/>
            <w:noWrap/>
            <w:vAlign w:val="center"/>
          </w:tcPr>
          <w:p w14:paraId="64A2C670"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3C629F2B"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49B4E59F" w14:textId="311552E5"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Inner Eastern 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BD9E74B"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76%</w:t>
            </w:r>
          </w:p>
        </w:tc>
        <w:tc>
          <w:tcPr>
            <w:tcW w:w="600" w:type="dxa"/>
            <w:tcBorders>
              <w:top w:val="nil"/>
              <w:left w:val="nil"/>
              <w:bottom w:val="single" w:sz="4" w:space="0" w:color="BFBFBF"/>
              <w:right w:val="single" w:sz="4" w:space="0" w:color="auto"/>
            </w:tcBorders>
            <w:shd w:val="clear" w:color="auto" w:fill="auto"/>
            <w:noWrap/>
            <w:vAlign w:val="center"/>
          </w:tcPr>
          <w:p w14:paraId="318AFC9E"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C0A011B"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11%</w:t>
            </w:r>
          </w:p>
        </w:tc>
        <w:tc>
          <w:tcPr>
            <w:tcW w:w="600" w:type="dxa"/>
            <w:tcBorders>
              <w:top w:val="nil"/>
              <w:left w:val="nil"/>
              <w:bottom w:val="single" w:sz="4" w:space="0" w:color="BFBFBF"/>
              <w:right w:val="nil"/>
            </w:tcBorders>
            <w:shd w:val="clear" w:color="auto" w:fill="auto"/>
            <w:noWrap/>
            <w:vAlign w:val="center"/>
          </w:tcPr>
          <w:p w14:paraId="66D93C20"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36E4973B"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w:t>
            </w:r>
          </w:p>
        </w:tc>
        <w:tc>
          <w:tcPr>
            <w:tcW w:w="784" w:type="dxa"/>
            <w:tcBorders>
              <w:top w:val="nil"/>
              <w:left w:val="nil"/>
              <w:bottom w:val="single" w:sz="4" w:space="0" w:color="BFBFBF"/>
              <w:right w:val="single" w:sz="4" w:space="0" w:color="auto"/>
            </w:tcBorders>
            <w:shd w:val="clear" w:color="auto" w:fill="auto"/>
            <w:noWrap/>
            <w:vAlign w:val="center"/>
          </w:tcPr>
          <w:p w14:paraId="7A8A72B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C5FF73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93%</w:t>
            </w:r>
          </w:p>
        </w:tc>
        <w:tc>
          <w:tcPr>
            <w:tcW w:w="600" w:type="dxa"/>
            <w:tcBorders>
              <w:top w:val="nil"/>
              <w:left w:val="nil"/>
              <w:bottom w:val="single" w:sz="4" w:space="0" w:color="BFBFBF"/>
              <w:right w:val="nil"/>
            </w:tcBorders>
            <w:shd w:val="clear" w:color="auto" w:fill="auto"/>
            <w:noWrap/>
            <w:vAlign w:val="center"/>
          </w:tcPr>
          <w:p w14:paraId="789B513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986B3B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3FA886E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3F4C6AF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620" w:type="dxa"/>
            <w:tcBorders>
              <w:top w:val="nil"/>
              <w:left w:val="nil"/>
              <w:bottom w:val="single" w:sz="4" w:space="0" w:color="BFBFBF"/>
              <w:right w:val="double" w:sz="6" w:space="0" w:color="auto"/>
            </w:tcBorders>
            <w:shd w:val="clear" w:color="auto" w:fill="auto"/>
            <w:noWrap/>
            <w:vAlign w:val="center"/>
          </w:tcPr>
          <w:p w14:paraId="71B15DA6"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154F8B1A"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2E8103D2" w14:textId="1A19F4BC"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Southern 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67C68E8"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78%</w:t>
            </w:r>
          </w:p>
        </w:tc>
        <w:tc>
          <w:tcPr>
            <w:tcW w:w="600" w:type="dxa"/>
            <w:tcBorders>
              <w:top w:val="nil"/>
              <w:left w:val="nil"/>
              <w:bottom w:val="single" w:sz="4" w:space="0" w:color="BFBFBF"/>
              <w:right w:val="single" w:sz="4" w:space="0" w:color="auto"/>
            </w:tcBorders>
            <w:shd w:val="clear" w:color="auto" w:fill="auto"/>
            <w:noWrap/>
            <w:vAlign w:val="center"/>
          </w:tcPr>
          <w:p w14:paraId="0DD1490D"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0EC371D"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710B20A2"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52EFE38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784" w:type="dxa"/>
            <w:tcBorders>
              <w:top w:val="nil"/>
              <w:left w:val="nil"/>
              <w:bottom w:val="single" w:sz="4" w:space="0" w:color="BFBFBF"/>
              <w:right w:val="single" w:sz="4" w:space="0" w:color="auto"/>
            </w:tcBorders>
            <w:shd w:val="clear" w:color="auto" w:fill="auto"/>
            <w:noWrap/>
            <w:vAlign w:val="center"/>
          </w:tcPr>
          <w:p w14:paraId="57F8BBD6"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C4ADC00"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89%</w:t>
            </w:r>
          </w:p>
        </w:tc>
        <w:tc>
          <w:tcPr>
            <w:tcW w:w="600" w:type="dxa"/>
            <w:tcBorders>
              <w:top w:val="nil"/>
              <w:left w:val="nil"/>
              <w:bottom w:val="single" w:sz="4" w:space="0" w:color="BFBFBF"/>
              <w:right w:val="nil"/>
            </w:tcBorders>
            <w:shd w:val="clear" w:color="auto" w:fill="auto"/>
            <w:noWrap/>
            <w:vAlign w:val="center"/>
          </w:tcPr>
          <w:p w14:paraId="5EE6F55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D5F08D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21E3BC3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38B91B3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620" w:type="dxa"/>
            <w:tcBorders>
              <w:top w:val="nil"/>
              <w:left w:val="nil"/>
              <w:bottom w:val="single" w:sz="4" w:space="0" w:color="BFBFBF"/>
              <w:right w:val="double" w:sz="6" w:space="0" w:color="auto"/>
            </w:tcBorders>
            <w:shd w:val="clear" w:color="auto" w:fill="auto"/>
            <w:noWrap/>
            <w:vAlign w:val="center"/>
          </w:tcPr>
          <w:p w14:paraId="3057045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0D8582A3"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27982F13" w14:textId="70CE8618"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Bayside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452C273"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70%</w:t>
            </w:r>
          </w:p>
        </w:tc>
        <w:tc>
          <w:tcPr>
            <w:tcW w:w="600" w:type="dxa"/>
            <w:tcBorders>
              <w:top w:val="nil"/>
              <w:left w:val="nil"/>
              <w:bottom w:val="single" w:sz="4" w:space="0" w:color="BFBFBF"/>
              <w:right w:val="single" w:sz="4" w:space="0" w:color="auto"/>
            </w:tcBorders>
            <w:shd w:val="clear" w:color="auto" w:fill="auto"/>
            <w:noWrap/>
            <w:vAlign w:val="center"/>
          </w:tcPr>
          <w:p w14:paraId="45FA6163"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176E1DE"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600" w:type="dxa"/>
            <w:tcBorders>
              <w:top w:val="nil"/>
              <w:left w:val="nil"/>
              <w:bottom w:val="single" w:sz="4" w:space="0" w:color="BFBFBF"/>
              <w:right w:val="nil"/>
            </w:tcBorders>
            <w:shd w:val="clear" w:color="auto" w:fill="auto"/>
            <w:noWrap/>
            <w:vAlign w:val="center"/>
          </w:tcPr>
          <w:p w14:paraId="38C3BF64"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48922C9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w:t>
            </w:r>
          </w:p>
        </w:tc>
        <w:tc>
          <w:tcPr>
            <w:tcW w:w="784" w:type="dxa"/>
            <w:tcBorders>
              <w:top w:val="nil"/>
              <w:left w:val="nil"/>
              <w:bottom w:val="single" w:sz="4" w:space="0" w:color="BFBFBF"/>
              <w:right w:val="single" w:sz="4" w:space="0" w:color="auto"/>
            </w:tcBorders>
            <w:shd w:val="clear" w:color="auto" w:fill="auto"/>
            <w:noWrap/>
            <w:vAlign w:val="center"/>
          </w:tcPr>
          <w:p w14:paraId="2AC50E0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4B7B10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83%</w:t>
            </w:r>
          </w:p>
        </w:tc>
        <w:tc>
          <w:tcPr>
            <w:tcW w:w="600" w:type="dxa"/>
            <w:tcBorders>
              <w:top w:val="nil"/>
              <w:left w:val="nil"/>
              <w:bottom w:val="single" w:sz="4" w:space="0" w:color="BFBFBF"/>
              <w:right w:val="nil"/>
            </w:tcBorders>
            <w:shd w:val="clear" w:color="auto" w:fill="auto"/>
            <w:noWrap/>
            <w:vAlign w:val="center"/>
          </w:tcPr>
          <w:p w14:paraId="760E4F5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E07F1D0"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auto"/>
            </w:tcBorders>
            <w:shd w:val="clear" w:color="auto" w:fill="auto"/>
            <w:noWrap/>
            <w:vAlign w:val="center"/>
          </w:tcPr>
          <w:p w14:paraId="31D48D9B"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4249535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w:t>
            </w:r>
          </w:p>
        </w:tc>
        <w:tc>
          <w:tcPr>
            <w:tcW w:w="620" w:type="dxa"/>
            <w:tcBorders>
              <w:top w:val="nil"/>
              <w:left w:val="nil"/>
              <w:bottom w:val="single" w:sz="4" w:space="0" w:color="BFBFBF"/>
              <w:right w:val="double" w:sz="6" w:space="0" w:color="auto"/>
            </w:tcBorders>
            <w:shd w:val="clear" w:color="auto" w:fill="auto"/>
            <w:noWrap/>
            <w:vAlign w:val="center"/>
          </w:tcPr>
          <w:p w14:paraId="121011B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1A1A2307"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55F16E2C" w14:textId="3DFB3098"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Western Melbourne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A1C6859"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68%</w:t>
            </w:r>
          </w:p>
        </w:tc>
        <w:tc>
          <w:tcPr>
            <w:tcW w:w="600" w:type="dxa"/>
            <w:tcBorders>
              <w:top w:val="nil"/>
              <w:left w:val="nil"/>
              <w:bottom w:val="single" w:sz="4" w:space="0" w:color="BFBFBF"/>
              <w:right w:val="single" w:sz="4" w:space="0" w:color="auto"/>
            </w:tcBorders>
            <w:shd w:val="clear" w:color="auto" w:fill="auto"/>
            <w:noWrap/>
            <w:vAlign w:val="center"/>
          </w:tcPr>
          <w:p w14:paraId="1EDBFA6C"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822BDC6"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11%</w:t>
            </w:r>
          </w:p>
        </w:tc>
        <w:tc>
          <w:tcPr>
            <w:tcW w:w="600" w:type="dxa"/>
            <w:tcBorders>
              <w:top w:val="nil"/>
              <w:left w:val="nil"/>
              <w:bottom w:val="single" w:sz="4" w:space="0" w:color="BFBFBF"/>
              <w:right w:val="nil"/>
            </w:tcBorders>
            <w:shd w:val="clear" w:color="auto" w:fill="auto"/>
            <w:noWrap/>
            <w:vAlign w:val="center"/>
          </w:tcPr>
          <w:p w14:paraId="67D74C23"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4990DA9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784" w:type="dxa"/>
            <w:tcBorders>
              <w:top w:val="nil"/>
              <w:left w:val="nil"/>
              <w:bottom w:val="single" w:sz="4" w:space="0" w:color="BFBFBF"/>
              <w:right w:val="single" w:sz="4" w:space="0" w:color="auto"/>
            </w:tcBorders>
            <w:shd w:val="clear" w:color="auto" w:fill="auto"/>
            <w:noWrap/>
            <w:vAlign w:val="center"/>
          </w:tcPr>
          <w:p w14:paraId="551FBB8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D6B46D3"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82%</w:t>
            </w:r>
          </w:p>
        </w:tc>
        <w:tc>
          <w:tcPr>
            <w:tcW w:w="600" w:type="dxa"/>
            <w:tcBorders>
              <w:top w:val="nil"/>
              <w:left w:val="nil"/>
              <w:bottom w:val="single" w:sz="4" w:space="0" w:color="BFBFBF"/>
              <w:right w:val="nil"/>
            </w:tcBorders>
            <w:shd w:val="clear" w:color="auto" w:fill="auto"/>
            <w:noWrap/>
            <w:vAlign w:val="center"/>
          </w:tcPr>
          <w:p w14:paraId="5788D96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808381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2E5C28F0"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209B589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11%</w:t>
            </w:r>
          </w:p>
        </w:tc>
        <w:tc>
          <w:tcPr>
            <w:tcW w:w="620" w:type="dxa"/>
            <w:tcBorders>
              <w:top w:val="nil"/>
              <w:left w:val="nil"/>
              <w:bottom w:val="single" w:sz="4" w:space="0" w:color="BFBFBF"/>
              <w:right w:val="double" w:sz="6" w:space="0" w:color="auto"/>
            </w:tcBorders>
            <w:shd w:val="clear" w:color="auto" w:fill="auto"/>
            <w:noWrap/>
            <w:vAlign w:val="center"/>
          </w:tcPr>
          <w:p w14:paraId="02A1F3F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0710255B"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77BE8F85" w14:textId="68840405"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Brimbank Melton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494D933"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71%</w:t>
            </w:r>
          </w:p>
        </w:tc>
        <w:tc>
          <w:tcPr>
            <w:tcW w:w="600" w:type="dxa"/>
            <w:tcBorders>
              <w:top w:val="nil"/>
              <w:left w:val="nil"/>
              <w:bottom w:val="single" w:sz="4" w:space="0" w:color="BFBFBF"/>
              <w:right w:val="single" w:sz="4" w:space="0" w:color="auto"/>
            </w:tcBorders>
            <w:shd w:val="clear" w:color="auto" w:fill="auto"/>
            <w:noWrap/>
            <w:vAlign w:val="center"/>
          </w:tcPr>
          <w:p w14:paraId="3D5D6B58"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3EBE570"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4BCDC4B1"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2FFF8D53"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w:t>
            </w:r>
          </w:p>
        </w:tc>
        <w:tc>
          <w:tcPr>
            <w:tcW w:w="784" w:type="dxa"/>
            <w:tcBorders>
              <w:top w:val="nil"/>
              <w:left w:val="nil"/>
              <w:bottom w:val="single" w:sz="4" w:space="0" w:color="BFBFBF"/>
              <w:right w:val="single" w:sz="4" w:space="0" w:color="auto"/>
            </w:tcBorders>
            <w:shd w:val="clear" w:color="auto" w:fill="auto"/>
            <w:noWrap/>
            <w:vAlign w:val="center"/>
          </w:tcPr>
          <w:p w14:paraId="79DD668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DB2CD17"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86%</w:t>
            </w:r>
          </w:p>
        </w:tc>
        <w:tc>
          <w:tcPr>
            <w:tcW w:w="600" w:type="dxa"/>
            <w:tcBorders>
              <w:top w:val="nil"/>
              <w:left w:val="nil"/>
              <w:bottom w:val="single" w:sz="4" w:space="0" w:color="BFBFBF"/>
              <w:right w:val="nil"/>
            </w:tcBorders>
            <w:shd w:val="clear" w:color="auto" w:fill="auto"/>
            <w:noWrap/>
            <w:vAlign w:val="center"/>
          </w:tcPr>
          <w:p w14:paraId="0F72BE0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FEFED40"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auto"/>
            </w:tcBorders>
            <w:shd w:val="clear" w:color="auto" w:fill="auto"/>
            <w:noWrap/>
            <w:vAlign w:val="center"/>
          </w:tcPr>
          <w:p w14:paraId="726D95A0"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7112121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w:t>
            </w:r>
          </w:p>
        </w:tc>
        <w:tc>
          <w:tcPr>
            <w:tcW w:w="620" w:type="dxa"/>
            <w:tcBorders>
              <w:top w:val="nil"/>
              <w:left w:val="nil"/>
              <w:bottom w:val="single" w:sz="4" w:space="0" w:color="BFBFBF"/>
              <w:right w:val="double" w:sz="6" w:space="0" w:color="auto"/>
            </w:tcBorders>
            <w:shd w:val="clear" w:color="auto" w:fill="auto"/>
            <w:noWrap/>
            <w:vAlign w:val="center"/>
          </w:tcPr>
          <w:p w14:paraId="5D4DA71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2DC48CA0"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1175BB2D" w14:textId="2B9B14A0"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Mallee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C9A59C7"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73%</w:t>
            </w:r>
          </w:p>
        </w:tc>
        <w:tc>
          <w:tcPr>
            <w:tcW w:w="600" w:type="dxa"/>
            <w:tcBorders>
              <w:top w:val="nil"/>
              <w:left w:val="nil"/>
              <w:bottom w:val="single" w:sz="4" w:space="0" w:color="BFBFBF"/>
              <w:right w:val="single" w:sz="4" w:space="0" w:color="auto"/>
            </w:tcBorders>
            <w:shd w:val="clear" w:color="auto" w:fill="auto"/>
            <w:noWrap/>
            <w:vAlign w:val="center"/>
          </w:tcPr>
          <w:p w14:paraId="78731C7A"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31877D1"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0CB984BD"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44260B3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2%</w:t>
            </w:r>
          </w:p>
        </w:tc>
        <w:tc>
          <w:tcPr>
            <w:tcW w:w="784" w:type="dxa"/>
            <w:tcBorders>
              <w:top w:val="nil"/>
              <w:left w:val="nil"/>
              <w:bottom w:val="single" w:sz="4" w:space="0" w:color="BFBFBF"/>
              <w:right w:val="single" w:sz="4" w:space="0" w:color="auto"/>
            </w:tcBorders>
            <w:shd w:val="clear" w:color="auto" w:fill="auto"/>
            <w:noWrap/>
            <w:vAlign w:val="center"/>
          </w:tcPr>
          <w:p w14:paraId="028944E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725186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84%</w:t>
            </w:r>
          </w:p>
        </w:tc>
        <w:tc>
          <w:tcPr>
            <w:tcW w:w="600" w:type="dxa"/>
            <w:tcBorders>
              <w:top w:val="nil"/>
              <w:left w:val="nil"/>
              <w:bottom w:val="single" w:sz="4" w:space="0" w:color="BFBFBF"/>
              <w:right w:val="nil"/>
            </w:tcBorders>
            <w:shd w:val="clear" w:color="auto" w:fill="auto"/>
            <w:noWrap/>
            <w:vAlign w:val="center"/>
          </w:tcPr>
          <w:p w14:paraId="1526E48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019816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3D864A5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63E00550"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14%</w:t>
            </w:r>
          </w:p>
        </w:tc>
        <w:tc>
          <w:tcPr>
            <w:tcW w:w="620" w:type="dxa"/>
            <w:tcBorders>
              <w:top w:val="nil"/>
              <w:left w:val="nil"/>
              <w:bottom w:val="single" w:sz="4" w:space="0" w:color="BFBFBF"/>
              <w:right w:val="double" w:sz="6" w:space="0" w:color="auto"/>
            </w:tcBorders>
            <w:shd w:val="clear" w:color="auto" w:fill="auto"/>
            <w:noWrap/>
            <w:vAlign w:val="center"/>
          </w:tcPr>
          <w:p w14:paraId="2438AFF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2BB5FF5E"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6853986F" w14:textId="1393C59D"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Loddon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A0BD102"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63%</w:t>
            </w:r>
          </w:p>
        </w:tc>
        <w:tc>
          <w:tcPr>
            <w:tcW w:w="600" w:type="dxa"/>
            <w:tcBorders>
              <w:top w:val="nil"/>
              <w:left w:val="nil"/>
              <w:bottom w:val="single" w:sz="4" w:space="0" w:color="BFBFBF"/>
              <w:right w:val="single" w:sz="4" w:space="0" w:color="auto"/>
            </w:tcBorders>
            <w:shd w:val="clear" w:color="auto" w:fill="auto"/>
            <w:noWrap/>
            <w:vAlign w:val="center"/>
          </w:tcPr>
          <w:p w14:paraId="625E2F23"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524343C1"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10%</w:t>
            </w:r>
          </w:p>
        </w:tc>
        <w:tc>
          <w:tcPr>
            <w:tcW w:w="600" w:type="dxa"/>
            <w:tcBorders>
              <w:top w:val="nil"/>
              <w:left w:val="nil"/>
              <w:bottom w:val="single" w:sz="4" w:space="0" w:color="BFBFBF"/>
              <w:right w:val="nil"/>
            </w:tcBorders>
            <w:shd w:val="clear" w:color="auto" w:fill="auto"/>
            <w:noWrap/>
            <w:vAlign w:val="center"/>
          </w:tcPr>
          <w:p w14:paraId="798B2E7B"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6B83300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13%</w:t>
            </w:r>
          </w:p>
        </w:tc>
        <w:tc>
          <w:tcPr>
            <w:tcW w:w="784" w:type="dxa"/>
            <w:tcBorders>
              <w:top w:val="nil"/>
              <w:left w:val="nil"/>
              <w:bottom w:val="single" w:sz="4" w:space="0" w:color="BFBFBF"/>
              <w:right w:val="single" w:sz="4" w:space="0" w:color="auto"/>
            </w:tcBorders>
            <w:shd w:val="clear" w:color="auto" w:fill="auto"/>
            <w:noWrap/>
            <w:vAlign w:val="center"/>
          </w:tcPr>
          <w:p w14:paraId="22D736D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560BBE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86%</w:t>
            </w:r>
          </w:p>
        </w:tc>
        <w:tc>
          <w:tcPr>
            <w:tcW w:w="600" w:type="dxa"/>
            <w:tcBorders>
              <w:top w:val="nil"/>
              <w:left w:val="nil"/>
              <w:bottom w:val="single" w:sz="4" w:space="0" w:color="BFBFBF"/>
              <w:right w:val="nil"/>
            </w:tcBorders>
            <w:shd w:val="clear" w:color="auto" w:fill="auto"/>
            <w:noWrap/>
            <w:vAlign w:val="center"/>
          </w:tcPr>
          <w:p w14:paraId="5B14DA1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A0084E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10F7106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713DC0CB"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w:t>
            </w:r>
          </w:p>
        </w:tc>
        <w:tc>
          <w:tcPr>
            <w:tcW w:w="620" w:type="dxa"/>
            <w:tcBorders>
              <w:top w:val="nil"/>
              <w:left w:val="nil"/>
              <w:bottom w:val="single" w:sz="4" w:space="0" w:color="BFBFBF"/>
              <w:right w:val="double" w:sz="6" w:space="0" w:color="auto"/>
            </w:tcBorders>
            <w:shd w:val="clear" w:color="auto" w:fill="auto"/>
            <w:noWrap/>
            <w:vAlign w:val="center"/>
          </w:tcPr>
          <w:p w14:paraId="691A297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48B35244"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00128F05" w14:textId="2710E2E4"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Ovens Murray</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3056C6F"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80%</w:t>
            </w:r>
          </w:p>
        </w:tc>
        <w:tc>
          <w:tcPr>
            <w:tcW w:w="600" w:type="dxa"/>
            <w:tcBorders>
              <w:top w:val="nil"/>
              <w:left w:val="nil"/>
              <w:bottom w:val="single" w:sz="4" w:space="0" w:color="BFBFBF"/>
              <w:right w:val="single" w:sz="4" w:space="0" w:color="auto"/>
            </w:tcBorders>
            <w:shd w:val="clear" w:color="auto" w:fill="auto"/>
            <w:noWrap/>
            <w:vAlign w:val="center"/>
          </w:tcPr>
          <w:p w14:paraId="621DD250"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D1A356F"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6180AC27"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2059434A"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w:t>
            </w:r>
          </w:p>
        </w:tc>
        <w:tc>
          <w:tcPr>
            <w:tcW w:w="784" w:type="dxa"/>
            <w:tcBorders>
              <w:top w:val="nil"/>
              <w:left w:val="nil"/>
              <w:bottom w:val="single" w:sz="4" w:space="0" w:color="BFBFBF"/>
              <w:right w:val="single" w:sz="4" w:space="0" w:color="auto"/>
            </w:tcBorders>
            <w:shd w:val="clear" w:color="auto" w:fill="auto"/>
            <w:noWrap/>
            <w:vAlign w:val="center"/>
          </w:tcPr>
          <w:p w14:paraId="1B772FA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66C9F6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93%</w:t>
            </w:r>
          </w:p>
        </w:tc>
        <w:tc>
          <w:tcPr>
            <w:tcW w:w="600" w:type="dxa"/>
            <w:tcBorders>
              <w:top w:val="nil"/>
              <w:left w:val="nil"/>
              <w:bottom w:val="single" w:sz="4" w:space="0" w:color="BFBFBF"/>
              <w:right w:val="nil"/>
            </w:tcBorders>
            <w:shd w:val="clear" w:color="auto" w:fill="auto"/>
            <w:noWrap/>
            <w:vAlign w:val="center"/>
          </w:tcPr>
          <w:p w14:paraId="502BAB3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6549920"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66833E4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53F9524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3%</w:t>
            </w:r>
          </w:p>
        </w:tc>
        <w:tc>
          <w:tcPr>
            <w:tcW w:w="620" w:type="dxa"/>
            <w:tcBorders>
              <w:top w:val="nil"/>
              <w:left w:val="nil"/>
              <w:bottom w:val="single" w:sz="4" w:space="0" w:color="BFBFBF"/>
              <w:right w:val="double" w:sz="6" w:space="0" w:color="auto"/>
            </w:tcBorders>
            <w:shd w:val="clear" w:color="auto" w:fill="auto"/>
            <w:noWrap/>
            <w:vAlign w:val="center"/>
          </w:tcPr>
          <w:p w14:paraId="1ED767B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75D840E0"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2267D2AC" w14:textId="4DDD09E9"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Goulburn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409CD68"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82%</w:t>
            </w:r>
          </w:p>
        </w:tc>
        <w:tc>
          <w:tcPr>
            <w:tcW w:w="600" w:type="dxa"/>
            <w:tcBorders>
              <w:top w:val="nil"/>
              <w:left w:val="nil"/>
              <w:bottom w:val="single" w:sz="4" w:space="0" w:color="BFBFBF"/>
              <w:right w:val="single" w:sz="4" w:space="0" w:color="auto"/>
            </w:tcBorders>
            <w:shd w:val="clear" w:color="auto" w:fill="auto"/>
            <w:noWrap/>
            <w:vAlign w:val="center"/>
          </w:tcPr>
          <w:p w14:paraId="0719B5BF"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005E2540"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w:t>
            </w:r>
          </w:p>
        </w:tc>
        <w:tc>
          <w:tcPr>
            <w:tcW w:w="600" w:type="dxa"/>
            <w:tcBorders>
              <w:top w:val="nil"/>
              <w:left w:val="nil"/>
              <w:bottom w:val="single" w:sz="4" w:space="0" w:color="BFBFBF"/>
              <w:right w:val="nil"/>
            </w:tcBorders>
            <w:shd w:val="clear" w:color="auto" w:fill="auto"/>
            <w:noWrap/>
            <w:vAlign w:val="center"/>
          </w:tcPr>
          <w:p w14:paraId="36C7B8F4"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270F450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784" w:type="dxa"/>
            <w:tcBorders>
              <w:top w:val="nil"/>
              <w:left w:val="nil"/>
              <w:bottom w:val="single" w:sz="4" w:space="0" w:color="BFBFBF"/>
              <w:right w:val="single" w:sz="4" w:space="0" w:color="auto"/>
            </w:tcBorders>
            <w:shd w:val="clear" w:color="auto" w:fill="auto"/>
            <w:noWrap/>
            <w:vAlign w:val="center"/>
          </w:tcPr>
          <w:p w14:paraId="0FD8045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D2B85E6"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94%</w:t>
            </w:r>
          </w:p>
        </w:tc>
        <w:tc>
          <w:tcPr>
            <w:tcW w:w="600" w:type="dxa"/>
            <w:tcBorders>
              <w:top w:val="nil"/>
              <w:left w:val="nil"/>
              <w:bottom w:val="single" w:sz="4" w:space="0" w:color="BFBFBF"/>
              <w:right w:val="nil"/>
            </w:tcBorders>
            <w:shd w:val="clear" w:color="auto" w:fill="auto"/>
            <w:noWrap/>
            <w:vAlign w:val="center"/>
          </w:tcPr>
          <w:p w14:paraId="39BCB1E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701D3B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3C24FE4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723BFD53"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2%</w:t>
            </w:r>
          </w:p>
        </w:tc>
        <w:tc>
          <w:tcPr>
            <w:tcW w:w="620" w:type="dxa"/>
            <w:tcBorders>
              <w:top w:val="nil"/>
              <w:left w:val="nil"/>
              <w:bottom w:val="single" w:sz="4" w:space="0" w:color="BFBFBF"/>
              <w:right w:val="double" w:sz="6" w:space="0" w:color="auto"/>
            </w:tcBorders>
            <w:shd w:val="clear" w:color="auto" w:fill="auto"/>
            <w:noWrap/>
            <w:vAlign w:val="center"/>
          </w:tcPr>
          <w:p w14:paraId="02724BF2"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669A8834"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043DD9E7" w14:textId="33D21B9E"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Outer Gippsland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3DD1529"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71%</w:t>
            </w:r>
          </w:p>
        </w:tc>
        <w:tc>
          <w:tcPr>
            <w:tcW w:w="600" w:type="dxa"/>
            <w:tcBorders>
              <w:top w:val="nil"/>
              <w:left w:val="nil"/>
              <w:bottom w:val="single" w:sz="4" w:space="0" w:color="BFBFBF"/>
              <w:right w:val="single" w:sz="4" w:space="0" w:color="auto"/>
            </w:tcBorders>
            <w:shd w:val="clear" w:color="auto" w:fill="auto"/>
            <w:noWrap/>
            <w:vAlign w:val="center"/>
          </w:tcPr>
          <w:p w14:paraId="6381A01B"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EE82052"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10%</w:t>
            </w:r>
          </w:p>
        </w:tc>
        <w:tc>
          <w:tcPr>
            <w:tcW w:w="600" w:type="dxa"/>
            <w:tcBorders>
              <w:top w:val="nil"/>
              <w:left w:val="nil"/>
              <w:bottom w:val="single" w:sz="4" w:space="0" w:color="BFBFBF"/>
              <w:right w:val="nil"/>
            </w:tcBorders>
            <w:shd w:val="clear" w:color="auto" w:fill="auto"/>
            <w:noWrap/>
            <w:vAlign w:val="center"/>
          </w:tcPr>
          <w:p w14:paraId="2A2CD4F0"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14F1CB70"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784" w:type="dxa"/>
            <w:tcBorders>
              <w:top w:val="nil"/>
              <w:left w:val="nil"/>
              <w:bottom w:val="single" w:sz="4" w:space="0" w:color="BFBFBF"/>
              <w:right w:val="single" w:sz="4" w:space="0" w:color="auto"/>
            </w:tcBorders>
            <w:shd w:val="clear" w:color="auto" w:fill="auto"/>
            <w:noWrap/>
            <w:vAlign w:val="center"/>
          </w:tcPr>
          <w:p w14:paraId="1B164FC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1FF085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85%</w:t>
            </w:r>
          </w:p>
        </w:tc>
        <w:tc>
          <w:tcPr>
            <w:tcW w:w="600" w:type="dxa"/>
            <w:tcBorders>
              <w:top w:val="nil"/>
              <w:left w:val="nil"/>
              <w:bottom w:val="single" w:sz="4" w:space="0" w:color="BFBFBF"/>
              <w:right w:val="nil"/>
            </w:tcBorders>
            <w:shd w:val="clear" w:color="auto" w:fill="auto"/>
            <w:noWrap/>
            <w:vAlign w:val="center"/>
          </w:tcPr>
          <w:p w14:paraId="6FF0C2C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26D5B2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auto"/>
            </w:tcBorders>
            <w:shd w:val="clear" w:color="auto" w:fill="auto"/>
            <w:noWrap/>
            <w:vAlign w:val="center"/>
          </w:tcPr>
          <w:p w14:paraId="384FDC8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6ACC520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w:t>
            </w:r>
          </w:p>
        </w:tc>
        <w:tc>
          <w:tcPr>
            <w:tcW w:w="620" w:type="dxa"/>
            <w:tcBorders>
              <w:top w:val="nil"/>
              <w:left w:val="nil"/>
              <w:bottom w:val="single" w:sz="4" w:space="0" w:color="BFBFBF"/>
              <w:right w:val="double" w:sz="6" w:space="0" w:color="auto"/>
            </w:tcBorders>
            <w:shd w:val="clear" w:color="auto" w:fill="auto"/>
            <w:noWrap/>
            <w:vAlign w:val="center"/>
          </w:tcPr>
          <w:p w14:paraId="3B73DAB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7554105B"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5168180B" w14:textId="1E7A4C6D"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Inner Gippsland</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16F4014"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66%</w:t>
            </w:r>
          </w:p>
        </w:tc>
        <w:tc>
          <w:tcPr>
            <w:tcW w:w="600" w:type="dxa"/>
            <w:tcBorders>
              <w:top w:val="nil"/>
              <w:left w:val="nil"/>
              <w:bottom w:val="single" w:sz="4" w:space="0" w:color="BFBFBF"/>
              <w:right w:val="single" w:sz="4" w:space="0" w:color="auto"/>
            </w:tcBorders>
            <w:shd w:val="clear" w:color="auto" w:fill="auto"/>
            <w:noWrap/>
            <w:vAlign w:val="center"/>
          </w:tcPr>
          <w:p w14:paraId="43FA1030"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B4BE1DE"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17%</w:t>
            </w:r>
          </w:p>
        </w:tc>
        <w:tc>
          <w:tcPr>
            <w:tcW w:w="600" w:type="dxa"/>
            <w:tcBorders>
              <w:top w:val="nil"/>
              <w:left w:val="nil"/>
              <w:bottom w:val="single" w:sz="4" w:space="0" w:color="BFBFBF"/>
              <w:right w:val="nil"/>
            </w:tcBorders>
            <w:shd w:val="clear" w:color="auto" w:fill="auto"/>
            <w:noWrap/>
            <w:vAlign w:val="center"/>
          </w:tcPr>
          <w:p w14:paraId="5924F915"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7A74892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w:t>
            </w:r>
          </w:p>
        </w:tc>
        <w:tc>
          <w:tcPr>
            <w:tcW w:w="784" w:type="dxa"/>
            <w:tcBorders>
              <w:top w:val="nil"/>
              <w:left w:val="nil"/>
              <w:bottom w:val="single" w:sz="4" w:space="0" w:color="BFBFBF"/>
              <w:right w:val="single" w:sz="4" w:space="0" w:color="auto"/>
            </w:tcBorders>
            <w:shd w:val="clear" w:color="auto" w:fill="auto"/>
            <w:noWrap/>
            <w:vAlign w:val="center"/>
          </w:tcPr>
          <w:p w14:paraId="63BE4D92"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16B2C11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91%</w:t>
            </w:r>
          </w:p>
        </w:tc>
        <w:tc>
          <w:tcPr>
            <w:tcW w:w="600" w:type="dxa"/>
            <w:tcBorders>
              <w:top w:val="nil"/>
              <w:left w:val="nil"/>
              <w:bottom w:val="single" w:sz="4" w:space="0" w:color="BFBFBF"/>
              <w:right w:val="nil"/>
            </w:tcBorders>
            <w:shd w:val="clear" w:color="auto" w:fill="auto"/>
            <w:noWrap/>
            <w:vAlign w:val="center"/>
          </w:tcPr>
          <w:p w14:paraId="62A579A6"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138B24B"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771CAAA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21CCC156"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620" w:type="dxa"/>
            <w:tcBorders>
              <w:top w:val="nil"/>
              <w:left w:val="nil"/>
              <w:bottom w:val="single" w:sz="4" w:space="0" w:color="BFBFBF"/>
              <w:right w:val="double" w:sz="6" w:space="0" w:color="auto"/>
            </w:tcBorders>
            <w:shd w:val="clear" w:color="auto" w:fill="auto"/>
            <w:noWrap/>
            <w:vAlign w:val="center"/>
          </w:tcPr>
          <w:p w14:paraId="4721C37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048F1563"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35045D62" w14:textId="54D2A4C6"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Western District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37F48DB"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70%</w:t>
            </w:r>
          </w:p>
        </w:tc>
        <w:tc>
          <w:tcPr>
            <w:tcW w:w="600" w:type="dxa"/>
            <w:tcBorders>
              <w:top w:val="nil"/>
              <w:left w:val="nil"/>
              <w:bottom w:val="single" w:sz="4" w:space="0" w:color="BFBFBF"/>
              <w:right w:val="single" w:sz="4" w:space="0" w:color="auto"/>
            </w:tcBorders>
            <w:shd w:val="clear" w:color="auto" w:fill="auto"/>
            <w:noWrap/>
            <w:vAlign w:val="center"/>
          </w:tcPr>
          <w:p w14:paraId="451A9B47"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28C3C298"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w:t>
            </w:r>
          </w:p>
        </w:tc>
        <w:tc>
          <w:tcPr>
            <w:tcW w:w="600" w:type="dxa"/>
            <w:tcBorders>
              <w:top w:val="nil"/>
              <w:left w:val="nil"/>
              <w:bottom w:val="single" w:sz="4" w:space="0" w:color="BFBFBF"/>
              <w:right w:val="nil"/>
            </w:tcBorders>
            <w:shd w:val="clear" w:color="auto" w:fill="auto"/>
            <w:noWrap/>
            <w:vAlign w:val="center"/>
          </w:tcPr>
          <w:p w14:paraId="790D05DA"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03A664B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784" w:type="dxa"/>
            <w:tcBorders>
              <w:top w:val="nil"/>
              <w:left w:val="nil"/>
              <w:bottom w:val="single" w:sz="4" w:space="0" w:color="BFBFBF"/>
              <w:right w:val="single" w:sz="4" w:space="0" w:color="auto"/>
            </w:tcBorders>
            <w:shd w:val="clear" w:color="auto" w:fill="auto"/>
            <w:noWrap/>
            <w:vAlign w:val="center"/>
          </w:tcPr>
          <w:p w14:paraId="2172CFA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4C95B16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82%</w:t>
            </w:r>
          </w:p>
        </w:tc>
        <w:tc>
          <w:tcPr>
            <w:tcW w:w="600" w:type="dxa"/>
            <w:tcBorders>
              <w:top w:val="nil"/>
              <w:left w:val="nil"/>
              <w:bottom w:val="single" w:sz="4" w:space="0" w:color="BFBFBF"/>
              <w:right w:val="nil"/>
            </w:tcBorders>
            <w:shd w:val="clear" w:color="auto" w:fill="auto"/>
            <w:noWrap/>
            <w:vAlign w:val="center"/>
          </w:tcPr>
          <w:p w14:paraId="25C2C36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BCF5F92"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15%</w:t>
            </w:r>
          </w:p>
        </w:tc>
        <w:tc>
          <w:tcPr>
            <w:tcW w:w="600" w:type="dxa"/>
            <w:tcBorders>
              <w:top w:val="nil"/>
              <w:left w:val="nil"/>
              <w:bottom w:val="single" w:sz="4" w:space="0" w:color="BFBFBF"/>
              <w:right w:val="single" w:sz="4" w:space="0" w:color="auto"/>
            </w:tcBorders>
            <w:shd w:val="clear" w:color="auto" w:fill="auto"/>
            <w:noWrap/>
            <w:vAlign w:val="center"/>
          </w:tcPr>
          <w:p w14:paraId="1D92485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0FEF204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3%</w:t>
            </w:r>
          </w:p>
        </w:tc>
        <w:tc>
          <w:tcPr>
            <w:tcW w:w="620" w:type="dxa"/>
            <w:tcBorders>
              <w:top w:val="nil"/>
              <w:left w:val="nil"/>
              <w:bottom w:val="single" w:sz="4" w:space="0" w:color="BFBFBF"/>
              <w:right w:val="double" w:sz="6" w:space="0" w:color="auto"/>
            </w:tcBorders>
            <w:shd w:val="clear" w:color="auto" w:fill="auto"/>
            <w:noWrap/>
            <w:vAlign w:val="center"/>
          </w:tcPr>
          <w:p w14:paraId="63B7283A"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435F552B"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0034220E" w14:textId="30081C18"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Barwon</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B0B1134"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79%</w:t>
            </w:r>
          </w:p>
        </w:tc>
        <w:tc>
          <w:tcPr>
            <w:tcW w:w="600" w:type="dxa"/>
            <w:tcBorders>
              <w:top w:val="nil"/>
              <w:left w:val="nil"/>
              <w:bottom w:val="single" w:sz="4" w:space="0" w:color="BFBFBF"/>
              <w:right w:val="single" w:sz="4" w:space="0" w:color="auto"/>
            </w:tcBorders>
            <w:shd w:val="clear" w:color="auto" w:fill="auto"/>
            <w:noWrap/>
            <w:vAlign w:val="center"/>
          </w:tcPr>
          <w:p w14:paraId="229FF8D9"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E1A4F8E"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026AF9AB"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5CF8CAF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w:t>
            </w:r>
          </w:p>
        </w:tc>
        <w:tc>
          <w:tcPr>
            <w:tcW w:w="784" w:type="dxa"/>
            <w:tcBorders>
              <w:top w:val="nil"/>
              <w:left w:val="nil"/>
              <w:bottom w:val="single" w:sz="4" w:space="0" w:color="BFBFBF"/>
              <w:right w:val="single" w:sz="4" w:space="0" w:color="auto"/>
            </w:tcBorders>
            <w:shd w:val="clear" w:color="auto" w:fill="auto"/>
            <w:noWrap/>
            <w:vAlign w:val="center"/>
          </w:tcPr>
          <w:p w14:paraId="4F90631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137558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90%</w:t>
            </w:r>
          </w:p>
        </w:tc>
        <w:tc>
          <w:tcPr>
            <w:tcW w:w="600" w:type="dxa"/>
            <w:tcBorders>
              <w:top w:val="nil"/>
              <w:left w:val="nil"/>
              <w:bottom w:val="single" w:sz="4" w:space="0" w:color="BFBFBF"/>
              <w:right w:val="nil"/>
            </w:tcBorders>
            <w:shd w:val="clear" w:color="auto" w:fill="auto"/>
            <w:noWrap/>
            <w:vAlign w:val="center"/>
          </w:tcPr>
          <w:p w14:paraId="72D82D5F"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A518AE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554B71D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4A5B842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w:t>
            </w:r>
          </w:p>
        </w:tc>
        <w:tc>
          <w:tcPr>
            <w:tcW w:w="620" w:type="dxa"/>
            <w:tcBorders>
              <w:top w:val="nil"/>
              <w:left w:val="nil"/>
              <w:bottom w:val="single" w:sz="4" w:space="0" w:color="BFBFBF"/>
              <w:right w:val="double" w:sz="6" w:space="0" w:color="auto"/>
            </w:tcBorders>
            <w:shd w:val="clear" w:color="auto" w:fill="auto"/>
            <w:noWrap/>
            <w:vAlign w:val="center"/>
          </w:tcPr>
          <w:p w14:paraId="33EA6CD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487AFD86"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bottom"/>
          </w:tcPr>
          <w:p w14:paraId="3B532844" w14:textId="422A883B"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Central Highlands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03C83C9"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74%</w:t>
            </w:r>
          </w:p>
        </w:tc>
        <w:tc>
          <w:tcPr>
            <w:tcW w:w="600" w:type="dxa"/>
            <w:tcBorders>
              <w:top w:val="nil"/>
              <w:left w:val="nil"/>
              <w:bottom w:val="single" w:sz="4" w:space="0" w:color="BFBFBF"/>
              <w:right w:val="single" w:sz="4" w:space="0" w:color="auto"/>
            </w:tcBorders>
            <w:shd w:val="clear" w:color="auto" w:fill="auto"/>
            <w:noWrap/>
            <w:vAlign w:val="center"/>
          </w:tcPr>
          <w:p w14:paraId="2C9869A6"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6E19BE8D"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6CB006C1"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38000ABB"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784" w:type="dxa"/>
            <w:tcBorders>
              <w:top w:val="nil"/>
              <w:left w:val="nil"/>
              <w:bottom w:val="single" w:sz="4" w:space="0" w:color="BFBFBF"/>
              <w:right w:val="single" w:sz="4" w:space="0" w:color="auto"/>
            </w:tcBorders>
            <w:shd w:val="clear" w:color="auto" w:fill="auto"/>
            <w:noWrap/>
            <w:vAlign w:val="center"/>
          </w:tcPr>
          <w:p w14:paraId="74A88212"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F92DA1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87%</w:t>
            </w:r>
          </w:p>
        </w:tc>
        <w:tc>
          <w:tcPr>
            <w:tcW w:w="600" w:type="dxa"/>
            <w:tcBorders>
              <w:top w:val="nil"/>
              <w:left w:val="nil"/>
              <w:bottom w:val="single" w:sz="4" w:space="0" w:color="BFBFBF"/>
              <w:right w:val="nil"/>
            </w:tcBorders>
            <w:shd w:val="clear" w:color="auto" w:fill="auto"/>
            <w:noWrap/>
            <w:vAlign w:val="center"/>
          </w:tcPr>
          <w:p w14:paraId="3FC5470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E43751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4CEFFC7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20" w:type="dxa"/>
            <w:tcBorders>
              <w:top w:val="nil"/>
              <w:left w:val="nil"/>
              <w:bottom w:val="single" w:sz="4" w:space="0" w:color="BFBFBF"/>
              <w:right w:val="single" w:sz="4" w:space="0" w:color="BFBFBF"/>
            </w:tcBorders>
            <w:shd w:val="clear" w:color="auto" w:fill="auto"/>
            <w:noWrap/>
            <w:vAlign w:val="center"/>
          </w:tcPr>
          <w:p w14:paraId="2DB5973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w:t>
            </w:r>
          </w:p>
        </w:tc>
        <w:tc>
          <w:tcPr>
            <w:tcW w:w="620" w:type="dxa"/>
            <w:tcBorders>
              <w:top w:val="nil"/>
              <w:left w:val="nil"/>
              <w:bottom w:val="single" w:sz="4" w:space="0" w:color="BFBFBF"/>
              <w:right w:val="double" w:sz="6" w:space="0" w:color="auto"/>
            </w:tcBorders>
            <w:shd w:val="clear" w:color="auto" w:fill="auto"/>
            <w:noWrap/>
            <w:vAlign w:val="center"/>
          </w:tcPr>
          <w:p w14:paraId="2A779424"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r>
      <w:tr w:rsidR="0054131D" w:rsidRPr="00ED01FD" w14:paraId="26AE3E37"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315CCC5B" w14:textId="77777777" w:rsidR="00ED01FD" w:rsidRPr="00162EF6" w:rsidRDefault="00ED01FD" w:rsidP="00162EF6">
            <w:pPr>
              <w:spacing w:before="0" w:after="0"/>
              <w:rPr>
                <w:rFonts w:ascii="Arial" w:hAnsi="Arial" w:cs="Arial"/>
                <w:b/>
                <w:color w:val="000000"/>
                <w:sz w:val="16"/>
                <w:szCs w:val="16"/>
                <w:lang w:val="en-AU" w:eastAsia="en-AU"/>
              </w:rPr>
            </w:pPr>
            <w:r w:rsidRPr="00162EF6">
              <w:rPr>
                <w:rFonts w:ascii="Arial" w:hAnsi="Arial" w:cs="Arial"/>
                <w:b/>
                <w:color w:val="000000"/>
                <w:sz w:val="16"/>
                <w:szCs w:val="16"/>
                <w:lang w:val="en-AU" w:eastAsia="en-AU"/>
              </w:rPr>
              <w:t>By Ownership Status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0188E42" w14:textId="77777777" w:rsidR="00ED01FD" w:rsidRPr="00ED01FD" w:rsidRDefault="00ED01FD" w:rsidP="00705E2B">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59165397" w14:textId="7AAE827F" w:rsidR="00ED01FD" w:rsidRPr="00ED01FD" w:rsidRDefault="00ED01FD" w:rsidP="006616D6">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4891AAFC" w14:textId="77777777" w:rsidR="00ED01FD" w:rsidRPr="00ED01FD" w:rsidRDefault="00ED01FD" w:rsidP="006616D6">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17596B4D" w14:textId="13D13E39" w:rsidR="00ED01FD" w:rsidRPr="00ED01FD" w:rsidRDefault="00ED01FD" w:rsidP="00600395">
            <w:pPr>
              <w:spacing w:before="0" w:after="0"/>
              <w:jc w:val="center"/>
              <w:rPr>
                <w:rFonts w:ascii="Arial" w:hAnsi="Arial" w:cs="Arial"/>
                <w:color w:val="000000"/>
                <w:sz w:val="16"/>
                <w:szCs w:val="16"/>
                <w:lang w:val="en-AU" w:eastAsia="en-AU"/>
              </w:rPr>
            </w:pP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5C763613" w14:textId="77777777" w:rsidR="00ED01FD" w:rsidRPr="00ED01FD" w:rsidRDefault="00ED01FD">
            <w:pPr>
              <w:spacing w:before="0" w:after="0"/>
              <w:jc w:val="center"/>
              <w:rPr>
                <w:rFonts w:ascii="Arial" w:hAnsi="Arial" w:cs="Arial"/>
                <w:color w:val="000000"/>
                <w:sz w:val="16"/>
                <w:szCs w:val="16"/>
                <w:lang w:val="en-AU" w:eastAsia="en-AU"/>
              </w:rPr>
            </w:pPr>
          </w:p>
        </w:tc>
        <w:tc>
          <w:tcPr>
            <w:tcW w:w="784" w:type="dxa"/>
            <w:tcBorders>
              <w:top w:val="nil"/>
              <w:left w:val="nil"/>
              <w:bottom w:val="single" w:sz="4" w:space="0" w:color="BFBFBF"/>
              <w:right w:val="single" w:sz="4" w:space="0" w:color="auto"/>
            </w:tcBorders>
            <w:shd w:val="clear" w:color="auto" w:fill="auto"/>
            <w:noWrap/>
            <w:vAlign w:val="center"/>
          </w:tcPr>
          <w:p w14:paraId="3E054D38" w14:textId="5D4CBC64" w:rsidR="00ED01FD" w:rsidRPr="00ED01FD" w:rsidRDefault="00ED01FD">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BFBFBF"/>
            </w:tcBorders>
            <w:shd w:val="clear" w:color="auto" w:fill="auto"/>
            <w:noWrap/>
            <w:vAlign w:val="center"/>
          </w:tcPr>
          <w:p w14:paraId="6C7040C5" w14:textId="77777777" w:rsidR="00ED01FD" w:rsidRPr="00ED01FD" w:rsidRDefault="00ED01FD">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nil"/>
            </w:tcBorders>
            <w:shd w:val="clear" w:color="auto" w:fill="auto"/>
            <w:noWrap/>
            <w:vAlign w:val="center"/>
          </w:tcPr>
          <w:p w14:paraId="2971C732" w14:textId="63E41E32" w:rsidR="00ED01FD" w:rsidRPr="00ED01FD" w:rsidRDefault="00ED01FD">
            <w:pPr>
              <w:spacing w:before="0" w:after="0"/>
              <w:jc w:val="center"/>
              <w:rPr>
                <w:rFonts w:ascii="Arial" w:hAnsi="Arial" w:cs="Arial"/>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CF385EF" w14:textId="77777777" w:rsidR="00ED01FD" w:rsidRPr="00ED01FD" w:rsidRDefault="00ED01FD">
            <w:pPr>
              <w:spacing w:before="0" w:after="0"/>
              <w:jc w:val="center"/>
              <w:rPr>
                <w:rFonts w:ascii="Arial" w:hAnsi="Arial" w:cs="Arial"/>
                <w:color w:val="000000"/>
                <w:sz w:val="16"/>
                <w:szCs w:val="16"/>
                <w:lang w:val="en-AU" w:eastAsia="en-AU"/>
              </w:rPr>
            </w:pPr>
          </w:p>
        </w:tc>
        <w:tc>
          <w:tcPr>
            <w:tcW w:w="600" w:type="dxa"/>
            <w:tcBorders>
              <w:top w:val="nil"/>
              <w:left w:val="nil"/>
              <w:bottom w:val="single" w:sz="4" w:space="0" w:color="BFBFBF"/>
              <w:right w:val="single" w:sz="4" w:space="0" w:color="auto"/>
            </w:tcBorders>
            <w:shd w:val="clear" w:color="auto" w:fill="auto"/>
            <w:noWrap/>
            <w:vAlign w:val="center"/>
          </w:tcPr>
          <w:p w14:paraId="7565E136" w14:textId="41674426" w:rsidR="00ED01FD" w:rsidRPr="00ED01FD" w:rsidRDefault="00ED01FD">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single" w:sz="4" w:space="0" w:color="BFBFBF"/>
            </w:tcBorders>
            <w:shd w:val="clear" w:color="auto" w:fill="auto"/>
            <w:noWrap/>
            <w:vAlign w:val="center"/>
          </w:tcPr>
          <w:p w14:paraId="607DC814" w14:textId="77777777" w:rsidR="00ED01FD" w:rsidRPr="00ED01FD" w:rsidRDefault="00ED01FD">
            <w:pPr>
              <w:spacing w:before="0" w:after="0"/>
              <w:jc w:val="center"/>
              <w:rPr>
                <w:rFonts w:ascii="Arial" w:hAnsi="Arial" w:cs="Arial"/>
                <w:color w:val="000000"/>
                <w:sz w:val="16"/>
                <w:szCs w:val="16"/>
                <w:lang w:val="en-AU" w:eastAsia="en-AU"/>
              </w:rPr>
            </w:pPr>
          </w:p>
        </w:tc>
        <w:tc>
          <w:tcPr>
            <w:tcW w:w="620" w:type="dxa"/>
            <w:tcBorders>
              <w:top w:val="nil"/>
              <w:left w:val="nil"/>
              <w:bottom w:val="single" w:sz="4" w:space="0" w:color="BFBFBF"/>
              <w:right w:val="double" w:sz="6" w:space="0" w:color="auto"/>
            </w:tcBorders>
            <w:shd w:val="clear" w:color="auto" w:fill="auto"/>
            <w:noWrap/>
            <w:vAlign w:val="center"/>
          </w:tcPr>
          <w:p w14:paraId="5471A405" w14:textId="31AE336E" w:rsidR="00ED01FD" w:rsidRPr="00ED01FD" w:rsidRDefault="00ED01FD">
            <w:pPr>
              <w:spacing w:before="0" w:after="0"/>
              <w:jc w:val="center"/>
              <w:rPr>
                <w:rFonts w:ascii="Arial" w:hAnsi="Arial" w:cs="Arial"/>
                <w:color w:val="000000"/>
                <w:sz w:val="16"/>
                <w:szCs w:val="16"/>
                <w:lang w:val="en-AU" w:eastAsia="en-AU"/>
              </w:rPr>
            </w:pPr>
          </w:p>
        </w:tc>
      </w:tr>
      <w:tr w:rsidR="0054131D" w:rsidRPr="00ED01FD" w14:paraId="6372B2ED"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05959B20" w14:textId="74B90C28"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Own/paying off</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76CD79E"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80%</w:t>
            </w:r>
          </w:p>
        </w:tc>
        <w:tc>
          <w:tcPr>
            <w:tcW w:w="600" w:type="dxa"/>
            <w:tcBorders>
              <w:top w:val="nil"/>
              <w:left w:val="nil"/>
              <w:bottom w:val="single" w:sz="4" w:space="0" w:color="BFBFBF"/>
              <w:right w:val="single" w:sz="4" w:space="0" w:color="auto"/>
            </w:tcBorders>
            <w:shd w:val="clear" w:color="auto" w:fill="auto"/>
            <w:noWrap/>
            <w:vAlign w:val="center"/>
          </w:tcPr>
          <w:p w14:paraId="05989CB2"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81%</w:t>
            </w:r>
          </w:p>
        </w:tc>
        <w:tc>
          <w:tcPr>
            <w:tcW w:w="600" w:type="dxa"/>
            <w:tcBorders>
              <w:top w:val="nil"/>
              <w:left w:val="nil"/>
              <w:bottom w:val="single" w:sz="4" w:space="0" w:color="BFBFBF"/>
              <w:right w:val="single" w:sz="4" w:space="0" w:color="BFBFBF"/>
            </w:tcBorders>
            <w:shd w:val="clear" w:color="auto" w:fill="auto"/>
            <w:noWrap/>
            <w:vAlign w:val="center"/>
          </w:tcPr>
          <w:p w14:paraId="4AC01967"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469B5BDC"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511FDFC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784" w:type="dxa"/>
            <w:tcBorders>
              <w:top w:val="nil"/>
              <w:left w:val="nil"/>
              <w:bottom w:val="single" w:sz="4" w:space="0" w:color="BFBFBF"/>
              <w:right w:val="single" w:sz="4" w:space="0" w:color="auto"/>
            </w:tcBorders>
            <w:shd w:val="clear" w:color="auto" w:fill="auto"/>
            <w:noWrap/>
            <w:vAlign w:val="center"/>
          </w:tcPr>
          <w:p w14:paraId="4ED90C3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7B59C66"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95%</w:t>
            </w:r>
          </w:p>
        </w:tc>
        <w:tc>
          <w:tcPr>
            <w:tcW w:w="600" w:type="dxa"/>
            <w:tcBorders>
              <w:top w:val="nil"/>
              <w:left w:val="nil"/>
              <w:bottom w:val="single" w:sz="4" w:space="0" w:color="BFBFBF"/>
              <w:right w:val="nil"/>
            </w:tcBorders>
            <w:shd w:val="clear" w:color="auto" w:fill="auto"/>
            <w:noWrap/>
            <w:vAlign w:val="center"/>
          </w:tcPr>
          <w:p w14:paraId="0D3DE4C7"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89%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A7E532D"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7B49B79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w:t>
            </w:r>
          </w:p>
        </w:tc>
        <w:tc>
          <w:tcPr>
            <w:tcW w:w="620" w:type="dxa"/>
            <w:tcBorders>
              <w:top w:val="nil"/>
              <w:left w:val="nil"/>
              <w:bottom w:val="single" w:sz="4" w:space="0" w:color="BFBFBF"/>
              <w:right w:val="single" w:sz="4" w:space="0" w:color="BFBFBF"/>
            </w:tcBorders>
            <w:shd w:val="clear" w:color="auto" w:fill="auto"/>
            <w:noWrap/>
            <w:vAlign w:val="center"/>
          </w:tcPr>
          <w:p w14:paraId="5616132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2%</w:t>
            </w:r>
          </w:p>
        </w:tc>
        <w:tc>
          <w:tcPr>
            <w:tcW w:w="620" w:type="dxa"/>
            <w:tcBorders>
              <w:top w:val="nil"/>
              <w:left w:val="nil"/>
              <w:bottom w:val="single" w:sz="4" w:space="0" w:color="BFBFBF"/>
              <w:right w:val="double" w:sz="6" w:space="0" w:color="auto"/>
            </w:tcBorders>
            <w:shd w:val="clear" w:color="auto" w:fill="auto"/>
            <w:noWrap/>
            <w:vAlign w:val="center"/>
          </w:tcPr>
          <w:p w14:paraId="27EA52A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r>
      <w:tr w:rsidR="0054131D" w:rsidRPr="00ED01FD" w14:paraId="29924A09"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42472682" w14:textId="7A145ABB"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Rent –Private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E9D1F18"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41%</w:t>
            </w:r>
          </w:p>
        </w:tc>
        <w:tc>
          <w:tcPr>
            <w:tcW w:w="600" w:type="dxa"/>
            <w:tcBorders>
              <w:top w:val="nil"/>
              <w:left w:val="nil"/>
              <w:bottom w:val="single" w:sz="4" w:space="0" w:color="BFBFBF"/>
              <w:right w:val="single" w:sz="4" w:space="0" w:color="auto"/>
            </w:tcBorders>
            <w:shd w:val="clear" w:color="auto" w:fill="auto"/>
            <w:noWrap/>
            <w:vAlign w:val="center"/>
          </w:tcPr>
          <w:p w14:paraId="2CBEBBB4"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27%</w:t>
            </w:r>
          </w:p>
        </w:tc>
        <w:tc>
          <w:tcPr>
            <w:tcW w:w="600" w:type="dxa"/>
            <w:tcBorders>
              <w:top w:val="nil"/>
              <w:left w:val="nil"/>
              <w:bottom w:val="single" w:sz="4" w:space="0" w:color="BFBFBF"/>
              <w:right w:val="single" w:sz="4" w:space="0" w:color="BFBFBF"/>
            </w:tcBorders>
            <w:shd w:val="clear" w:color="auto" w:fill="auto"/>
            <w:noWrap/>
            <w:vAlign w:val="center"/>
          </w:tcPr>
          <w:p w14:paraId="2C33B605"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w:t>
            </w:r>
          </w:p>
        </w:tc>
        <w:tc>
          <w:tcPr>
            <w:tcW w:w="600" w:type="dxa"/>
            <w:tcBorders>
              <w:top w:val="nil"/>
              <w:left w:val="nil"/>
              <w:bottom w:val="single" w:sz="4" w:space="0" w:color="BFBFBF"/>
              <w:right w:val="nil"/>
            </w:tcBorders>
            <w:shd w:val="clear" w:color="auto" w:fill="auto"/>
            <w:noWrap/>
            <w:vAlign w:val="center"/>
          </w:tcPr>
          <w:p w14:paraId="56DA982F"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6%</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1B0D3006"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12%</w:t>
            </w:r>
          </w:p>
        </w:tc>
        <w:tc>
          <w:tcPr>
            <w:tcW w:w="784" w:type="dxa"/>
            <w:tcBorders>
              <w:top w:val="nil"/>
              <w:left w:val="nil"/>
              <w:bottom w:val="single" w:sz="4" w:space="0" w:color="BFBFBF"/>
              <w:right w:val="single" w:sz="4" w:space="0" w:color="auto"/>
            </w:tcBorders>
            <w:shd w:val="clear" w:color="auto" w:fill="auto"/>
            <w:noWrap/>
            <w:vAlign w:val="center"/>
          </w:tcPr>
          <w:p w14:paraId="63F80DB3"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3E327CB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58%</w:t>
            </w:r>
          </w:p>
        </w:tc>
        <w:tc>
          <w:tcPr>
            <w:tcW w:w="600" w:type="dxa"/>
            <w:tcBorders>
              <w:top w:val="nil"/>
              <w:left w:val="nil"/>
              <w:bottom w:val="single" w:sz="4" w:space="0" w:color="BFBFBF"/>
              <w:right w:val="nil"/>
            </w:tcBorders>
            <w:shd w:val="clear" w:color="auto" w:fill="auto"/>
            <w:noWrap/>
            <w:vAlign w:val="center"/>
          </w:tcPr>
          <w:p w14:paraId="31E77FE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33%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92196D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15%</w:t>
            </w:r>
          </w:p>
        </w:tc>
        <w:tc>
          <w:tcPr>
            <w:tcW w:w="600" w:type="dxa"/>
            <w:tcBorders>
              <w:top w:val="nil"/>
              <w:left w:val="nil"/>
              <w:bottom w:val="single" w:sz="4" w:space="0" w:color="BFBFBF"/>
              <w:right w:val="single" w:sz="4" w:space="0" w:color="auto"/>
            </w:tcBorders>
            <w:shd w:val="clear" w:color="auto" w:fill="auto"/>
            <w:noWrap/>
            <w:vAlign w:val="center"/>
          </w:tcPr>
          <w:p w14:paraId="38A436C8"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28%</w:t>
            </w:r>
          </w:p>
        </w:tc>
        <w:tc>
          <w:tcPr>
            <w:tcW w:w="620" w:type="dxa"/>
            <w:tcBorders>
              <w:top w:val="nil"/>
              <w:left w:val="nil"/>
              <w:bottom w:val="single" w:sz="4" w:space="0" w:color="BFBFBF"/>
              <w:right w:val="single" w:sz="4" w:space="0" w:color="BFBFBF"/>
            </w:tcBorders>
            <w:shd w:val="clear" w:color="auto" w:fill="auto"/>
            <w:noWrap/>
            <w:vAlign w:val="center"/>
          </w:tcPr>
          <w:p w14:paraId="0ED6627D"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27%</w:t>
            </w:r>
          </w:p>
        </w:tc>
        <w:tc>
          <w:tcPr>
            <w:tcW w:w="620" w:type="dxa"/>
            <w:tcBorders>
              <w:top w:val="nil"/>
              <w:left w:val="nil"/>
              <w:bottom w:val="single" w:sz="4" w:space="0" w:color="BFBFBF"/>
              <w:right w:val="double" w:sz="6" w:space="0" w:color="auto"/>
            </w:tcBorders>
            <w:shd w:val="clear" w:color="auto" w:fill="auto"/>
            <w:noWrap/>
            <w:vAlign w:val="center"/>
          </w:tcPr>
          <w:p w14:paraId="518D01FE"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39%</w:t>
            </w:r>
          </w:p>
        </w:tc>
      </w:tr>
      <w:tr w:rsidR="0054131D" w:rsidRPr="00ED01FD" w14:paraId="590EA81B" w14:textId="77777777" w:rsidTr="00A52B0C">
        <w:trPr>
          <w:trHeight w:val="225"/>
          <w:jc w:val="center"/>
        </w:trPr>
        <w:tc>
          <w:tcPr>
            <w:tcW w:w="2760" w:type="dxa"/>
            <w:tcBorders>
              <w:top w:val="nil"/>
              <w:left w:val="double" w:sz="6" w:space="0" w:color="auto"/>
              <w:bottom w:val="single" w:sz="4" w:space="0" w:color="BFBFBF"/>
              <w:right w:val="nil"/>
            </w:tcBorders>
            <w:shd w:val="clear" w:color="auto" w:fill="auto"/>
            <w:noWrap/>
            <w:vAlign w:val="center"/>
          </w:tcPr>
          <w:p w14:paraId="6C2F1029" w14:textId="79E9B00A" w:rsidR="00ED01FD" w:rsidRPr="00ED01FD" w:rsidRDefault="006616D6" w:rsidP="00162EF6">
            <w:pPr>
              <w:spacing w:before="0" w:after="0"/>
              <w:rPr>
                <w:rFonts w:ascii="Arial" w:hAnsi="Arial" w:cs="Arial"/>
                <w:color w:val="000000"/>
                <w:sz w:val="16"/>
                <w:szCs w:val="16"/>
                <w:lang w:val="en-AU" w:eastAsia="en-AU"/>
              </w:rPr>
            </w:pPr>
            <w:r>
              <w:rPr>
                <w:rFonts w:ascii="Arial" w:hAnsi="Arial" w:cs="Arial"/>
                <w:color w:val="000000"/>
                <w:sz w:val="16"/>
                <w:szCs w:val="16"/>
                <w:lang w:val="en-AU" w:eastAsia="en-AU"/>
              </w:rPr>
              <w:t xml:space="preserve">   </w:t>
            </w:r>
            <w:r w:rsidR="00ED01FD" w:rsidRPr="00ED01FD">
              <w:rPr>
                <w:rFonts w:ascii="Arial" w:hAnsi="Arial" w:cs="Arial"/>
                <w:color w:val="000000"/>
                <w:sz w:val="16"/>
                <w:szCs w:val="16"/>
                <w:lang w:val="en-AU" w:eastAsia="en-AU"/>
              </w:rPr>
              <w:t>Rent- Public</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48BED61" w14:textId="77777777" w:rsidR="00ED01FD" w:rsidRPr="00ED01FD" w:rsidRDefault="00ED01FD" w:rsidP="00705E2B">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38%</w:t>
            </w:r>
          </w:p>
        </w:tc>
        <w:tc>
          <w:tcPr>
            <w:tcW w:w="600" w:type="dxa"/>
            <w:tcBorders>
              <w:top w:val="nil"/>
              <w:left w:val="nil"/>
              <w:bottom w:val="single" w:sz="4" w:space="0" w:color="BFBFBF"/>
              <w:right w:val="single" w:sz="4" w:space="0" w:color="auto"/>
            </w:tcBorders>
            <w:shd w:val="clear" w:color="auto" w:fill="auto"/>
            <w:noWrap/>
            <w:vAlign w:val="center"/>
          </w:tcPr>
          <w:p w14:paraId="671E7F13"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39%</w:t>
            </w:r>
          </w:p>
        </w:tc>
        <w:tc>
          <w:tcPr>
            <w:tcW w:w="600" w:type="dxa"/>
            <w:tcBorders>
              <w:top w:val="nil"/>
              <w:left w:val="nil"/>
              <w:bottom w:val="single" w:sz="4" w:space="0" w:color="BFBFBF"/>
              <w:right w:val="single" w:sz="4" w:space="0" w:color="BFBFBF"/>
            </w:tcBorders>
            <w:shd w:val="clear" w:color="auto" w:fill="auto"/>
            <w:noWrap/>
            <w:vAlign w:val="center"/>
          </w:tcPr>
          <w:p w14:paraId="17FDD7C4" w14:textId="77777777" w:rsidR="00ED01FD" w:rsidRPr="00ED01FD" w:rsidRDefault="00ED01FD" w:rsidP="006616D6">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004B4835" w14:textId="77777777" w:rsidR="00ED01FD" w:rsidRPr="00ED01FD" w:rsidRDefault="00ED01FD" w:rsidP="00600395">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w:t>
            </w:r>
          </w:p>
        </w:tc>
        <w:tc>
          <w:tcPr>
            <w:tcW w:w="817" w:type="dxa"/>
            <w:tcBorders>
              <w:top w:val="nil"/>
              <w:left w:val="single" w:sz="4" w:space="0" w:color="auto"/>
              <w:bottom w:val="single" w:sz="4" w:space="0" w:color="BFBFBF"/>
              <w:right w:val="single" w:sz="4" w:space="0" w:color="BFBFBF"/>
            </w:tcBorders>
            <w:shd w:val="clear" w:color="auto" w:fill="auto"/>
            <w:noWrap/>
            <w:vAlign w:val="center"/>
          </w:tcPr>
          <w:p w14:paraId="631DD01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16%</w:t>
            </w:r>
          </w:p>
        </w:tc>
        <w:tc>
          <w:tcPr>
            <w:tcW w:w="784" w:type="dxa"/>
            <w:tcBorders>
              <w:top w:val="nil"/>
              <w:left w:val="nil"/>
              <w:bottom w:val="single" w:sz="4" w:space="0" w:color="BFBFBF"/>
              <w:right w:val="single" w:sz="4" w:space="0" w:color="auto"/>
            </w:tcBorders>
            <w:shd w:val="clear" w:color="auto" w:fill="auto"/>
            <w:noWrap/>
            <w:vAlign w:val="center"/>
          </w:tcPr>
          <w:p w14:paraId="09C54DCA"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n/a</w:t>
            </w:r>
          </w:p>
        </w:tc>
        <w:tc>
          <w:tcPr>
            <w:tcW w:w="600" w:type="dxa"/>
            <w:tcBorders>
              <w:top w:val="nil"/>
              <w:left w:val="nil"/>
              <w:bottom w:val="single" w:sz="4" w:space="0" w:color="BFBFBF"/>
              <w:right w:val="single" w:sz="4" w:space="0" w:color="BFBFBF"/>
            </w:tcBorders>
            <w:shd w:val="clear" w:color="auto" w:fill="auto"/>
            <w:noWrap/>
            <w:vAlign w:val="center"/>
          </w:tcPr>
          <w:p w14:paraId="71460629"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55%</w:t>
            </w:r>
          </w:p>
        </w:tc>
        <w:tc>
          <w:tcPr>
            <w:tcW w:w="600" w:type="dxa"/>
            <w:tcBorders>
              <w:top w:val="nil"/>
              <w:left w:val="nil"/>
              <w:bottom w:val="single" w:sz="4" w:space="0" w:color="BFBFBF"/>
              <w:right w:val="nil"/>
            </w:tcBorders>
            <w:shd w:val="clear" w:color="auto" w:fill="auto"/>
            <w:noWrap/>
            <w:vAlign w:val="center"/>
          </w:tcPr>
          <w:p w14:paraId="2667538C"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43%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4FCF70D"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17%</w:t>
            </w:r>
          </w:p>
        </w:tc>
        <w:tc>
          <w:tcPr>
            <w:tcW w:w="600" w:type="dxa"/>
            <w:tcBorders>
              <w:top w:val="nil"/>
              <w:left w:val="nil"/>
              <w:bottom w:val="single" w:sz="4" w:space="0" w:color="BFBFBF"/>
              <w:right w:val="single" w:sz="4" w:space="0" w:color="auto"/>
            </w:tcBorders>
            <w:shd w:val="clear" w:color="auto" w:fill="auto"/>
            <w:noWrap/>
            <w:vAlign w:val="center"/>
          </w:tcPr>
          <w:p w14:paraId="579E9BB7"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25%</w:t>
            </w:r>
          </w:p>
        </w:tc>
        <w:tc>
          <w:tcPr>
            <w:tcW w:w="620" w:type="dxa"/>
            <w:tcBorders>
              <w:top w:val="nil"/>
              <w:left w:val="nil"/>
              <w:bottom w:val="single" w:sz="4" w:space="0" w:color="BFBFBF"/>
              <w:right w:val="single" w:sz="4" w:space="0" w:color="BFBFBF"/>
            </w:tcBorders>
            <w:shd w:val="clear" w:color="auto" w:fill="auto"/>
            <w:noWrap/>
            <w:vAlign w:val="center"/>
          </w:tcPr>
          <w:p w14:paraId="7AC8AE31"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28%</w:t>
            </w:r>
          </w:p>
        </w:tc>
        <w:tc>
          <w:tcPr>
            <w:tcW w:w="620" w:type="dxa"/>
            <w:tcBorders>
              <w:top w:val="nil"/>
              <w:left w:val="nil"/>
              <w:bottom w:val="single" w:sz="4" w:space="0" w:color="BFBFBF"/>
              <w:right w:val="double" w:sz="6" w:space="0" w:color="auto"/>
            </w:tcBorders>
            <w:shd w:val="clear" w:color="auto" w:fill="auto"/>
            <w:noWrap/>
            <w:vAlign w:val="center"/>
          </w:tcPr>
          <w:p w14:paraId="7FCF9185" w14:textId="77777777" w:rsidR="00ED01FD" w:rsidRPr="00ED01FD" w:rsidRDefault="00ED01FD">
            <w:pPr>
              <w:spacing w:before="0" w:after="0"/>
              <w:jc w:val="center"/>
              <w:rPr>
                <w:rFonts w:ascii="Arial" w:hAnsi="Arial" w:cs="Arial"/>
                <w:color w:val="000000"/>
                <w:sz w:val="16"/>
                <w:szCs w:val="16"/>
                <w:lang w:val="en-AU" w:eastAsia="en-AU"/>
              </w:rPr>
            </w:pPr>
            <w:r w:rsidRPr="00ED01FD">
              <w:rPr>
                <w:rFonts w:ascii="Arial" w:hAnsi="Arial" w:cs="Arial"/>
                <w:color w:val="000000"/>
                <w:sz w:val="16"/>
                <w:szCs w:val="16"/>
                <w:lang w:val="en-AU" w:eastAsia="en-AU"/>
              </w:rPr>
              <w:t>32%</w:t>
            </w:r>
          </w:p>
        </w:tc>
      </w:tr>
      <w:tr w:rsidR="00ED01FD" w:rsidRPr="00ED01FD" w14:paraId="1383BA5B" w14:textId="77777777" w:rsidTr="00162EF6">
        <w:trPr>
          <w:trHeight w:val="240"/>
          <w:jc w:val="center"/>
        </w:trPr>
        <w:tc>
          <w:tcPr>
            <w:tcW w:w="2760" w:type="dxa"/>
            <w:tcBorders>
              <w:top w:val="nil"/>
              <w:left w:val="double" w:sz="6" w:space="0" w:color="auto"/>
              <w:bottom w:val="double" w:sz="6" w:space="0" w:color="auto"/>
              <w:right w:val="nil"/>
            </w:tcBorders>
            <w:shd w:val="clear" w:color="auto" w:fill="auto"/>
            <w:noWrap/>
            <w:vAlign w:val="center"/>
          </w:tcPr>
          <w:p w14:paraId="2253F957" w14:textId="77777777" w:rsidR="00ED01FD" w:rsidRPr="00162EF6" w:rsidRDefault="00ED01FD" w:rsidP="00162EF6">
            <w:pPr>
              <w:spacing w:before="0" w:after="0"/>
              <w:rPr>
                <w:rFonts w:ascii="Arial" w:hAnsi="Arial" w:cs="Arial"/>
                <w:b/>
                <w:color w:val="000000"/>
                <w:sz w:val="16"/>
                <w:szCs w:val="16"/>
                <w:lang w:val="en-AU" w:eastAsia="en-AU"/>
              </w:rPr>
            </w:pPr>
            <w:r w:rsidRPr="00162EF6">
              <w:rPr>
                <w:rFonts w:ascii="Arial" w:hAnsi="Arial" w:cs="Arial"/>
                <w:b/>
                <w:color w:val="000000"/>
                <w:sz w:val="16"/>
                <w:szCs w:val="16"/>
                <w:lang w:val="en-AU" w:eastAsia="en-AU"/>
              </w:rPr>
              <w:t>Total HHs</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0A9136CE" w14:textId="77777777" w:rsidR="00ED01FD" w:rsidRPr="00162EF6" w:rsidRDefault="00ED01FD" w:rsidP="00705E2B">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72%</w:t>
            </w:r>
          </w:p>
        </w:tc>
        <w:tc>
          <w:tcPr>
            <w:tcW w:w="600" w:type="dxa"/>
            <w:tcBorders>
              <w:top w:val="nil"/>
              <w:left w:val="nil"/>
              <w:bottom w:val="double" w:sz="6" w:space="0" w:color="auto"/>
              <w:right w:val="single" w:sz="4" w:space="0" w:color="auto"/>
            </w:tcBorders>
            <w:shd w:val="clear" w:color="auto" w:fill="auto"/>
            <w:noWrap/>
            <w:vAlign w:val="center"/>
          </w:tcPr>
          <w:p w14:paraId="7FF03926" w14:textId="77777777" w:rsidR="00ED01FD" w:rsidRPr="00162EF6" w:rsidRDefault="00ED01FD" w:rsidP="006616D6">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69%</w:t>
            </w:r>
          </w:p>
        </w:tc>
        <w:tc>
          <w:tcPr>
            <w:tcW w:w="600" w:type="dxa"/>
            <w:tcBorders>
              <w:top w:val="nil"/>
              <w:left w:val="nil"/>
              <w:bottom w:val="double" w:sz="6" w:space="0" w:color="auto"/>
              <w:right w:val="single" w:sz="4" w:space="0" w:color="BFBFBF"/>
            </w:tcBorders>
            <w:shd w:val="clear" w:color="auto" w:fill="auto"/>
            <w:noWrap/>
            <w:vAlign w:val="center"/>
          </w:tcPr>
          <w:p w14:paraId="3DCD6F79" w14:textId="77777777" w:rsidR="00ED01FD" w:rsidRPr="00162EF6" w:rsidRDefault="00ED01FD" w:rsidP="006616D6">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8%</w:t>
            </w:r>
          </w:p>
        </w:tc>
        <w:tc>
          <w:tcPr>
            <w:tcW w:w="600" w:type="dxa"/>
            <w:tcBorders>
              <w:top w:val="nil"/>
              <w:left w:val="nil"/>
              <w:bottom w:val="double" w:sz="6" w:space="0" w:color="auto"/>
              <w:right w:val="nil"/>
            </w:tcBorders>
            <w:shd w:val="clear" w:color="auto" w:fill="auto"/>
            <w:noWrap/>
            <w:vAlign w:val="center"/>
          </w:tcPr>
          <w:p w14:paraId="0D3A5ACA" w14:textId="77777777" w:rsidR="00ED01FD" w:rsidRPr="00162EF6" w:rsidRDefault="00ED01FD" w:rsidP="00600395">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7%</w:t>
            </w:r>
          </w:p>
        </w:tc>
        <w:tc>
          <w:tcPr>
            <w:tcW w:w="817" w:type="dxa"/>
            <w:tcBorders>
              <w:top w:val="nil"/>
              <w:left w:val="single" w:sz="4" w:space="0" w:color="auto"/>
              <w:bottom w:val="double" w:sz="6" w:space="0" w:color="auto"/>
              <w:right w:val="single" w:sz="4" w:space="0" w:color="BFBFBF"/>
            </w:tcBorders>
            <w:shd w:val="clear" w:color="auto" w:fill="auto"/>
            <w:noWrap/>
            <w:vAlign w:val="center"/>
          </w:tcPr>
          <w:p w14:paraId="12B9A518" w14:textId="77777777" w:rsidR="00ED01FD" w:rsidRPr="00162EF6" w:rsidRDefault="00ED01FD">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7%</w:t>
            </w:r>
          </w:p>
        </w:tc>
        <w:tc>
          <w:tcPr>
            <w:tcW w:w="784" w:type="dxa"/>
            <w:tcBorders>
              <w:top w:val="nil"/>
              <w:left w:val="nil"/>
              <w:bottom w:val="double" w:sz="6" w:space="0" w:color="auto"/>
              <w:right w:val="single" w:sz="4" w:space="0" w:color="auto"/>
            </w:tcBorders>
            <w:shd w:val="clear" w:color="auto" w:fill="auto"/>
            <w:noWrap/>
            <w:vAlign w:val="center"/>
          </w:tcPr>
          <w:p w14:paraId="76FF358C" w14:textId="77777777" w:rsidR="00ED01FD" w:rsidRPr="00162EF6" w:rsidRDefault="00ED01FD">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n/a</w:t>
            </w:r>
          </w:p>
        </w:tc>
        <w:tc>
          <w:tcPr>
            <w:tcW w:w="600" w:type="dxa"/>
            <w:tcBorders>
              <w:top w:val="nil"/>
              <w:left w:val="nil"/>
              <w:bottom w:val="double" w:sz="6" w:space="0" w:color="auto"/>
              <w:right w:val="single" w:sz="4" w:space="0" w:color="BFBFBF"/>
            </w:tcBorders>
            <w:shd w:val="clear" w:color="auto" w:fill="auto"/>
            <w:noWrap/>
            <w:vAlign w:val="center"/>
          </w:tcPr>
          <w:p w14:paraId="37B64607" w14:textId="77777777" w:rsidR="00ED01FD" w:rsidRPr="00162EF6" w:rsidRDefault="00ED01FD">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87%</w:t>
            </w:r>
          </w:p>
        </w:tc>
        <w:tc>
          <w:tcPr>
            <w:tcW w:w="600" w:type="dxa"/>
            <w:tcBorders>
              <w:top w:val="nil"/>
              <w:left w:val="nil"/>
              <w:bottom w:val="double" w:sz="6" w:space="0" w:color="auto"/>
              <w:right w:val="nil"/>
            </w:tcBorders>
            <w:shd w:val="clear" w:color="auto" w:fill="auto"/>
            <w:noWrap/>
            <w:vAlign w:val="center"/>
          </w:tcPr>
          <w:p w14:paraId="66A95248" w14:textId="77777777" w:rsidR="00ED01FD" w:rsidRPr="00162EF6" w:rsidRDefault="00ED01FD">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77%</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08C688E6" w14:textId="77777777" w:rsidR="00ED01FD" w:rsidRPr="00162EF6" w:rsidRDefault="00ED01FD">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5%</w:t>
            </w:r>
          </w:p>
        </w:tc>
        <w:tc>
          <w:tcPr>
            <w:tcW w:w="600" w:type="dxa"/>
            <w:tcBorders>
              <w:top w:val="nil"/>
              <w:left w:val="nil"/>
              <w:bottom w:val="double" w:sz="6" w:space="0" w:color="auto"/>
              <w:right w:val="single" w:sz="4" w:space="0" w:color="auto"/>
            </w:tcBorders>
            <w:shd w:val="clear" w:color="auto" w:fill="auto"/>
            <w:noWrap/>
            <w:vAlign w:val="center"/>
          </w:tcPr>
          <w:p w14:paraId="437E92E1" w14:textId="77777777" w:rsidR="00ED01FD" w:rsidRPr="00162EF6" w:rsidRDefault="00ED01FD">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11%</w:t>
            </w:r>
          </w:p>
        </w:tc>
        <w:tc>
          <w:tcPr>
            <w:tcW w:w="620" w:type="dxa"/>
            <w:tcBorders>
              <w:top w:val="nil"/>
              <w:left w:val="nil"/>
              <w:bottom w:val="double" w:sz="6" w:space="0" w:color="auto"/>
              <w:right w:val="single" w:sz="4" w:space="0" w:color="BFBFBF"/>
            </w:tcBorders>
            <w:shd w:val="clear" w:color="auto" w:fill="auto"/>
            <w:noWrap/>
            <w:vAlign w:val="center"/>
          </w:tcPr>
          <w:p w14:paraId="69D5ABD6" w14:textId="77777777" w:rsidR="00ED01FD" w:rsidRPr="00162EF6" w:rsidRDefault="00ED01FD">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7%</w:t>
            </w:r>
          </w:p>
        </w:tc>
        <w:tc>
          <w:tcPr>
            <w:tcW w:w="620" w:type="dxa"/>
            <w:tcBorders>
              <w:top w:val="nil"/>
              <w:left w:val="nil"/>
              <w:bottom w:val="double" w:sz="6" w:space="0" w:color="auto"/>
              <w:right w:val="double" w:sz="6" w:space="0" w:color="auto"/>
            </w:tcBorders>
            <w:shd w:val="clear" w:color="auto" w:fill="auto"/>
            <w:noWrap/>
            <w:vAlign w:val="center"/>
          </w:tcPr>
          <w:p w14:paraId="452E1260" w14:textId="77777777" w:rsidR="00ED01FD" w:rsidRPr="00162EF6" w:rsidRDefault="00ED01FD">
            <w:pPr>
              <w:spacing w:before="0" w:after="0"/>
              <w:jc w:val="center"/>
              <w:rPr>
                <w:rFonts w:ascii="Arial" w:hAnsi="Arial" w:cs="Arial"/>
                <w:b/>
                <w:color w:val="000000"/>
                <w:sz w:val="16"/>
                <w:szCs w:val="16"/>
                <w:lang w:val="en-AU" w:eastAsia="en-AU"/>
              </w:rPr>
            </w:pPr>
            <w:r w:rsidRPr="00162EF6">
              <w:rPr>
                <w:rFonts w:ascii="Arial" w:hAnsi="Arial" w:cs="Arial"/>
                <w:b/>
                <w:color w:val="000000"/>
                <w:sz w:val="16"/>
                <w:szCs w:val="16"/>
                <w:lang w:val="en-AU" w:eastAsia="en-AU"/>
              </w:rPr>
              <w:t>12%</w:t>
            </w:r>
          </w:p>
        </w:tc>
      </w:tr>
    </w:tbl>
    <w:p w14:paraId="3F90E17E" w14:textId="77777777" w:rsidR="00D7504F" w:rsidRPr="00162EF6" w:rsidRDefault="00D7504F" w:rsidP="00162EF6">
      <w:pPr>
        <w:pStyle w:val="Para"/>
        <w:ind w:left="2880"/>
        <w:rPr>
          <w:sz w:val="20"/>
          <w:lang w:val="en-AU"/>
        </w:rPr>
      </w:pPr>
      <w:r w:rsidRPr="00162EF6">
        <w:rPr>
          <w:sz w:val="20"/>
          <w:lang w:val="en-AU"/>
        </w:rPr>
        <w:t>Base: Total respondents, 2014 (n=1,861); 2007 (n=2,061)</w:t>
      </w:r>
    </w:p>
    <w:p w14:paraId="34276D99" w14:textId="77777777" w:rsidR="00E02C75" w:rsidRPr="00BA3A0A" w:rsidRDefault="00E02C75" w:rsidP="00FC6BFF">
      <w:pPr>
        <w:pStyle w:val="Heading2"/>
        <w:rPr>
          <w:lang w:val="en-AU"/>
        </w:rPr>
      </w:pPr>
      <w:bookmarkStart w:id="148" w:name="_Toc439173157"/>
      <w:bookmarkStart w:id="149" w:name="_Toc439198302"/>
      <w:bookmarkEnd w:id="148"/>
      <w:bookmarkEnd w:id="149"/>
      <w:r w:rsidRPr="00DA3B75">
        <w:rPr>
          <w:highlight w:val="yellow"/>
          <w:lang w:val="en-AU"/>
        </w:rPr>
        <w:br w:type="page"/>
      </w:r>
      <w:bookmarkStart w:id="150" w:name="_Toc439198303"/>
      <w:bookmarkStart w:id="151" w:name="_Toc445571681"/>
      <w:r w:rsidRPr="00BA3A0A">
        <w:rPr>
          <w:lang w:val="en-AU"/>
        </w:rPr>
        <w:lastRenderedPageBreak/>
        <w:t>RESPONDENT PROFILE</w:t>
      </w:r>
      <w:bookmarkEnd w:id="150"/>
      <w:bookmarkEnd w:id="151"/>
    </w:p>
    <w:p w14:paraId="67A463B7" w14:textId="77777777" w:rsidR="00E02C75" w:rsidRPr="00BA3A0A" w:rsidRDefault="00E02C75" w:rsidP="00E02C75">
      <w:pPr>
        <w:pStyle w:val="Para"/>
        <w:rPr>
          <w:lang w:val="en-AU"/>
        </w:rPr>
      </w:pPr>
    </w:p>
    <w:p w14:paraId="28925B38" w14:textId="77777777" w:rsidR="003920D8" w:rsidRPr="00BA3A0A" w:rsidRDefault="00E02C75">
      <w:pPr>
        <w:pStyle w:val="Heading3"/>
        <w:tabs>
          <w:tab w:val="clear" w:pos="8517"/>
          <w:tab w:val="num" w:pos="851"/>
        </w:tabs>
        <w:ind w:hanging="8517"/>
        <w:rPr>
          <w:lang w:val="en-AU"/>
        </w:rPr>
      </w:pPr>
      <w:bookmarkStart w:id="152" w:name="_Toc439198304"/>
      <w:bookmarkStart w:id="153" w:name="_Toc445571682"/>
      <w:r w:rsidRPr="00BA3A0A">
        <w:rPr>
          <w:lang w:val="en-AU"/>
        </w:rPr>
        <w:t>Length of Time Holding a Concession Card</w:t>
      </w:r>
      <w:bookmarkEnd w:id="152"/>
      <w:bookmarkEnd w:id="153"/>
    </w:p>
    <w:p w14:paraId="11C230DD" w14:textId="77777777" w:rsidR="00E02C75" w:rsidRPr="00BA3A0A" w:rsidRDefault="00E02C75" w:rsidP="00E02C75">
      <w:pPr>
        <w:pStyle w:val="Para"/>
        <w:rPr>
          <w:lang w:val="en-AU"/>
        </w:rPr>
      </w:pPr>
    </w:p>
    <w:p w14:paraId="61D946A1" w14:textId="73462ADE" w:rsidR="00E02C75" w:rsidRPr="00BA3A0A" w:rsidRDefault="00E02C75" w:rsidP="00E02C75">
      <w:pPr>
        <w:pStyle w:val="Para"/>
        <w:rPr>
          <w:lang w:val="en-AU"/>
        </w:rPr>
      </w:pPr>
      <w:r w:rsidRPr="00BA3A0A">
        <w:rPr>
          <w:lang w:val="en-AU"/>
        </w:rPr>
        <w:t>The majority (8</w:t>
      </w:r>
      <w:r w:rsidR="0038517E" w:rsidRPr="00BA3A0A">
        <w:rPr>
          <w:lang w:val="en-AU"/>
        </w:rPr>
        <w:t>9</w:t>
      </w:r>
      <w:r w:rsidRPr="00BA3A0A">
        <w:rPr>
          <w:lang w:val="en-AU"/>
        </w:rPr>
        <w:t>%) of respondents who held a concession card had held it for 2 years or more at the time of the 20</w:t>
      </w:r>
      <w:r w:rsidR="0038517E" w:rsidRPr="00BA3A0A">
        <w:rPr>
          <w:lang w:val="en-AU"/>
        </w:rPr>
        <w:t>14</w:t>
      </w:r>
      <w:r w:rsidRPr="00BA3A0A">
        <w:rPr>
          <w:lang w:val="en-AU"/>
        </w:rPr>
        <w:t xml:space="preserve"> survey, and 9</w:t>
      </w:r>
      <w:r w:rsidR="008A7031" w:rsidRPr="00BA3A0A">
        <w:rPr>
          <w:lang w:val="en-AU"/>
        </w:rPr>
        <w:t>2</w:t>
      </w:r>
      <w:r w:rsidRPr="00BA3A0A">
        <w:rPr>
          <w:lang w:val="en-AU"/>
        </w:rPr>
        <w:t xml:space="preserve">% of </w:t>
      </w:r>
      <w:r w:rsidR="00513F11" w:rsidRPr="00BA3A0A">
        <w:rPr>
          <w:lang w:val="en-AU"/>
        </w:rPr>
        <w:t xml:space="preserve">aged concession </w:t>
      </w:r>
      <w:r w:rsidR="00041263">
        <w:rPr>
          <w:lang w:val="en-AU"/>
        </w:rPr>
        <w:t xml:space="preserve">card </w:t>
      </w:r>
      <w:r w:rsidR="00513F11" w:rsidRPr="00BA3A0A">
        <w:rPr>
          <w:lang w:val="en-AU"/>
        </w:rPr>
        <w:t>holder</w:t>
      </w:r>
      <w:r w:rsidRPr="00BA3A0A">
        <w:rPr>
          <w:lang w:val="en-AU"/>
        </w:rPr>
        <w:t>s had held their card for this long</w:t>
      </w:r>
      <w:r w:rsidR="0057268F" w:rsidRPr="00BA3A0A">
        <w:rPr>
          <w:lang w:val="en-AU"/>
        </w:rPr>
        <w:t xml:space="preserve"> (see Table 3.4.1)</w:t>
      </w:r>
      <w:r w:rsidRPr="00BA3A0A">
        <w:rPr>
          <w:lang w:val="en-AU"/>
        </w:rPr>
        <w:t xml:space="preserve">.  </w:t>
      </w:r>
      <w:r w:rsidR="0055008C" w:rsidRPr="00BA3A0A">
        <w:rPr>
          <w:lang w:val="en-AU"/>
        </w:rPr>
        <w:t>Other concession</w:t>
      </w:r>
      <w:r w:rsidRPr="00BA3A0A">
        <w:rPr>
          <w:lang w:val="en-AU"/>
        </w:rPr>
        <w:t xml:space="preserve"> card holders tend</w:t>
      </w:r>
      <w:r w:rsidR="00A501E0" w:rsidRPr="00BA3A0A">
        <w:rPr>
          <w:lang w:val="en-AU"/>
        </w:rPr>
        <w:t>ed</w:t>
      </w:r>
      <w:r w:rsidRPr="00BA3A0A">
        <w:rPr>
          <w:lang w:val="en-AU"/>
        </w:rPr>
        <w:t xml:space="preserve"> to </w:t>
      </w:r>
      <w:r w:rsidR="00A501E0" w:rsidRPr="00BA3A0A">
        <w:rPr>
          <w:lang w:val="en-AU"/>
        </w:rPr>
        <w:t>hold</w:t>
      </w:r>
      <w:r w:rsidRPr="00BA3A0A">
        <w:rPr>
          <w:lang w:val="en-AU"/>
        </w:rPr>
        <w:t xml:space="preserve"> their concession cards for a </w:t>
      </w:r>
      <w:r w:rsidR="0038517E" w:rsidRPr="00BA3A0A">
        <w:rPr>
          <w:lang w:val="en-AU"/>
        </w:rPr>
        <w:t xml:space="preserve">slightly </w:t>
      </w:r>
      <w:r w:rsidRPr="00BA3A0A">
        <w:rPr>
          <w:lang w:val="en-AU"/>
        </w:rPr>
        <w:t xml:space="preserve">shorter term, with </w:t>
      </w:r>
      <w:r w:rsidR="00BA3A0A" w:rsidRPr="00BA3A0A">
        <w:rPr>
          <w:lang w:val="en-AU"/>
        </w:rPr>
        <w:t>85</w:t>
      </w:r>
      <w:r w:rsidR="0038517E" w:rsidRPr="00BA3A0A">
        <w:rPr>
          <w:lang w:val="en-AU"/>
        </w:rPr>
        <w:t xml:space="preserve">% </w:t>
      </w:r>
      <w:r w:rsidRPr="00BA3A0A">
        <w:rPr>
          <w:lang w:val="en-AU"/>
        </w:rPr>
        <w:t xml:space="preserve">having </w:t>
      </w:r>
      <w:r w:rsidR="0038517E" w:rsidRPr="00BA3A0A">
        <w:rPr>
          <w:lang w:val="en-AU"/>
        </w:rPr>
        <w:t>held</w:t>
      </w:r>
      <w:r w:rsidRPr="00BA3A0A">
        <w:rPr>
          <w:lang w:val="en-AU"/>
        </w:rPr>
        <w:t xml:space="preserve"> their card for 2 years or more and </w:t>
      </w:r>
      <w:r w:rsidR="00295848" w:rsidRPr="00BA3A0A">
        <w:rPr>
          <w:lang w:val="en-AU"/>
        </w:rPr>
        <w:t>6</w:t>
      </w:r>
      <w:r w:rsidRPr="00BA3A0A">
        <w:rPr>
          <w:lang w:val="en-AU"/>
        </w:rPr>
        <w:t xml:space="preserve">% for 6 months or less.  This is not surprising as many </w:t>
      </w:r>
      <w:r w:rsidR="0055008C" w:rsidRPr="00BA3A0A">
        <w:rPr>
          <w:lang w:val="en-AU"/>
        </w:rPr>
        <w:t>other concession</w:t>
      </w:r>
      <w:r w:rsidRPr="00BA3A0A">
        <w:rPr>
          <w:lang w:val="en-AU"/>
        </w:rPr>
        <w:t xml:space="preserve"> card holders would have </w:t>
      </w:r>
      <w:r w:rsidR="00041263">
        <w:rPr>
          <w:lang w:val="en-AU"/>
        </w:rPr>
        <w:t xml:space="preserve">a </w:t>
      </w:r>
      <w:r w:rsidRPr="00BA3A0A">
        <w:rPr>
          <w:lang w:val="en-AU"/>
        </w:rPr>
        <w:t xml:space="preserve">Health Care </w:t>
      </w:r>
      <w:r w:rsidR="00041263">
        <w:rPr>
          <w:lang w:val="en-AU"/>
        </w:rPr>
        <w:t>C</w:t>
      </w:r>
      <w:r w:rsidRPr="00BA3A0A">
        <w:rPr>
          <w:lang w:val="en-AU"/>
        </w:rPr>
        <w:t>ard due to currently being unemployed.</w:t>
      </w:r>
    </w:p>
    <w:p w14:paraId="67777F1A" w14:textId="77777777" w:rsidR="00E02C75" w:rsidRPr="00DA3B75" w:rsidRDefault="00E02C75" w:rsidP="00E02C75">
      <w:pPr>
        <w:pStyle w:val="Para"/>
        <w:rPr>
          <w:highlight w:val="yellow"/>
          <w:lang w:val="en-AU"/>
        </w:rPr>
      </w:pPr>
    </w:p>
    <w:p w14:paraId="6E5408DF" w14:textId="65E78E0B" w:rsidR="00E02C75" w:rsidRPr="00BA3A0A" w:rsidRDefault="00E02C75" w:rsidP="00E02C75">
      <w:pPr>
        <w:pStyle w:val="Para"/>
        <w:rPr>
          <w:lang w:val="en-AU"/>
        </w:rPr>
      </w:pPr>
      <w:r w:rsidRPr="00BA3A0A">
        <w:rPr>
          <w:lang w:val="en-AU"/>
        </w:rPr>
        <w:t xml:space="preserve">Amongst </w:t>
      </w:r>
      <w:r w:rsidR="0055008C" w:rsidRPr="00BA3A0A">
        <w:rPr>
          <w:lang w:val="en-AU"/>
        </w:rPr>
        <w:t>other concession</w:t>
      </w:r>
      <w:r w:rsidRPr="00BA3A0A">
        <w:rPr>
          <w:lang w:val="en-AU"/>
        </w:rPr>
        <w:t xml:space="preserve"> households, the length of time holding </w:t>
      </w:r>
      <w:r w:rsidR="00A972CA" w:rsidRPr="00BA3A0A">
        <w:rPr>
          <w:lang w:val="en-AU"/>
        </w:rPr>
        <w:t xml:space="preserve">a </w:t>
      </w:r>
      <w:r w:rsidRPr="00BA3A0A">
        <w:rPr>
          <w:lang w:val="en-AU"/>
        </w:rPr>
        <w:t>concession card has been on the rise since 1996</w:t>
      </w:r>
      <w:r w:rsidR="00A501E0" w:rsidRPr="00BA3A0A">
        <w:rPr>
          <w:lang w:val="en-AU"/>
        </w:rPr>
        <w:t>, indicating that holding th</w:t>
      </w:r>
      <w:r w:rsidR="00041263">
        <w:rPr>
          <w:lang w:val="en-AU"/>
        </w:rPr>
        <w:t>ese</w:t>
      </w:r>
      <w:r w:rsidR="00A501E0" w:rsidRPr="00BA3A0A">
        <w:rPr>
          <w:lang w:val="en-AU"/>
        </w:rPr>
        <w:t xml:space="preserve"> form</w:t>
      </w:r>
      <w:r w:rsidR="00041263">
        <w:rPr>
          <w:lang w:val="en-AU"/>
        </w:rPr>
        <w:t>s</w:t>
      </w:r>
      <w:r w:rsidR="00A501E0" w:rsidRPr="00BA3A0A">
        <w:rPr>
          <w:lang w:val="en-AU"/>
        </w:rPr>
        <w:t xml:space="preserve"> of concession </w:t>
      </w:r>
      <w:r w:rsidR="00192367" w:rsidRPr="00BA3A0A">
        <w:rPr>
          <w:lang w:val="en-AU"/>
        </w:rPr>
        <w:t xml:space="preserve">card </w:t>
      </w:r>
      <w:r w:rsidR="00A501E0" w:rsidRPr="00BA3A0A">
        <w:rPr>
          <w:lang w:val="en-AU"/>
        </w:rPr>
        <w:t>is becoming a long term proposition for many</w:t>
      </w:r>
      <w:r w:rsidRPr="00BA3A0A">
        <w:rPr>
          <w:lang w:val="en-AU"/>
        </w:rPr>
        <w:t>.</w:t>
      </w:r>
    </w:p>
    <w:p w14:paraId="28E53997" w14:textId="77777777" w:rsidR="00E02C75" w:rsidRPr="00DA3B75" w:rsidRDefault="00E02C75" w:rsidP="00E02C75">
      <w:pPr>
        <w:pStyle w:val="Para"/>
        <w:rPr>
          <w:highlight w:val="yellow"/>
          <w:lang w:val="en-AU"/>
        </w:rPr>
      </w:pPr>
    </w:p>
    <w:p w14:paraId="7CDF22F4" w14:textId="77777777" w:rsidR="00E02C75" w:rsidRPr="008A7031" w:rsidRDefault="00E02C75" w:rsidP="00562A28">
      <w:pPr>
        <w:pStyle w:val="Para"/>
        <w:jc w:val="center"/>
        <w:outlineLvl w:val="0"/>
        <w:rPr>
          <w:b/>
          <w:u w:val="single"/>
          <w:lang w:val="en-AU"/>
        </w:rPr>
      </w:pPr>
      <w:r w:rsidRPr="008A7031">
        <w:rPr>
          <w:b/>
          <w:lang w:val="en-AU"/>
        </w:rPr>
        <w:t xml:space="preserve">Table 3.4.1: </w:t>
      </w:r>
      <w:r w:rsidRPr="008A7031">
        <w:rPr>
          <w:b/>
          <w:u w:val="single"/>
          <w:lang w:val="en-AU"/>
        </w:rPr>
        <w:t xml:space="preserve">Length of Time Holding a Concession card by </w:t>
      </w:r>
      <w:r w:rsidR="000E08E8" w:rsidRPr="008A7031">
        <w:rPr>
          <w:b/>
          <w:u w:val="single"/>
          <w:lang w:val="en-AU"/>
        </w:rPr>
        <w:t>Concession Status</w:t>
      </w:r>
    </w:p>
    <w:p w14:paraId="174CE753" w14:textId="77777777" w:rsidR="00295848" w:rsidRPr="008A7031" w:rsidRDefault="00295848" w:rsidP="00E02C75">
      <w:pPr>
        <w:pStyle w:val="Para"/>
        <w:outlineLvl w:val="0"/>
        <w:rPr>
          <w:b/>
          <w:u w:val="single"/>
          <w:lang w:val="en-AU"/>
        </w:rPr>
      </w:pPr>
    </w:p>
    <w:tbl>
      <w:tblPr>
        <w:tblW w:w="10220" w:type="dxa"/>
        <w:jc w:val="center"/>
        <w:tblLook w:val="04A0" w:firstRow="1" w:lastRow="0" w:firstColumn="1" w:lastColumn="0" w:noHBand="0" w:noVBand="1"/>
      </w:tblPr>
      <w:tblGrid>
        <w:gridCol w:w="3020"/>
        <w:gridCol w:w="600"/>
        <w:gridCol w:w="600"/>
        <w:gridCol w:w="600"/>
        <w:gridCol w:w="600"/>
        <w:gridCol w:w="600"/>
        <w:gridCol w:w="600"/>
        <w:gridCol w:w="600"/>
        <w:gridCol w:w="600"/>
        <w:gridCol w:w="600"/>
        <w:gridCol w:w="600"/>
        <w:gridCol w:w="600"/>
        <w:gridCol w:w="600"/>
      </w:tblGrid>
      <w:tr w:rsidR="00B75952" w:rsidRPr="008A7031" w14:paraId="749E8A4D" w14:textId="77777777" w:rsidTr="00562A28">
        <w:trPr>
          <w:trHeight w:val="240"/>
          <w:jc w:val="center"/>
        </w:trPr>
        <w:tc>
          <w:tcPr>
            <w:tcW w:w="3020" w:type="dxa"/>
            <w:vMerge w:val="restart"/>
            <w:tcBorders>
              <w:top w:val="double" w:sz="6" w:space="0" w:color="auto"/>
              <w:left w:val="double" w:sz="6" w:space="0" w:color="auto"/>
              <w:bottom w:val="single" w:sz="4" w:space="0" w:color="BFBFBF"/>
              <w:right w:val="nil"/>
            </w:tcBorders>
            <w:shd w:val="clear" w:color="auto" w:fill="auto"/>
            <w:vAlign w:val="center"/>
          </w:tcPr>
          <w:p w14:paraId="7C531837" w14:textId="77777777" w:rsidR="00B75952" w:rsidRPr="008A7031" w:rsidRDefault="00B75952" w:rsidP="00B75952">
            <w:pPr>
              <w:spacing w:before="0" w:after="0"/>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Length of time holding concession card</w:t>
            </w:r>
          </w:p>
        </w:tc>
        <w:tc>
          <w:tcPr>
            <w:tcW w:w="240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1AD4F79C" w14:textId="77777777" w:rsidR="00B75952" w:rsidRPr="008A7031" w:rsidRDefault="00B75952"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Aged Concession HHs</w:t>
            </w:r>
          </w:p>
        </w:tc>
        <w:tc>
          <w:tcPr>
            <w:tcW w:w="2400" w:type="dxa"/>
            <w:gridSpan w:val="4"/>
            <w:tcBorders>
              <w:top w:val="double" w:sz="6" w:space="0" w:color="auto"/>
              <w:left w:val="nil"/>
              <w:bottom w:val="single" w:sz="4" w:space="0" w:color="BFBFBF"/>
              <w:right w:val="single" w:sz="4" w:space="0" w:color="000000"/>
            </w:tcBorders>
            <w:shd w:val="clear" w:color="auto" w:fill="auto"/>
            <w:noWrap/>
            <w:vAlign w:val="center"/>
          </w:tcPr>
          <w:p w14:paraId="772BD870" w14:textId="77777777" w:rsidR="00B75952" w:rsidRPr="008A7031" w:rsidRDefault="00B75952"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Other Concession HHs</w:t>
            </w:r>
          </w:p>
        </w:tc>
        <w:tc>
          <w:tcPr>
            <w:tcW w:w="2400" w:type="dxa"/>
            <w:gridSpan w:val="4"/>
            <w:tcBorders>
              <w:top w:val="double" w:sz="6" w:space="0" w:color="auto"/>
              <w:left w:val="nil"/>
              <w:bottom w:val="single" w:sz="4" w:space="0" w:color="BFBFBF"/>
              <w:right w:val="double" w:sz="6" w:space="0" w:color="000000"/>
            </w:tcBorders>
            <w:shd w:val="clear" w:color="auto" w:fill="auto"/>
            <w:noWrap/>
            <w:vAlign w:val="center"/>
          </w:tcPr>
          <w:p w14:paraId="681B2670" w14:textId="77777777" w:rsidR="00B75952" w:rsidRPr="008A7031" w:rsidRDefault="00B75952" w:rsidP="00B75952">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Total Concession HHs</w:t>
            </w:r>
          </w:p>
        </w:tc>
      </w:tr>
      <w:tr w:rsidR="00B75952" w:rsidRPr="008A7031" w14:paraId="532EBE39" w14:textId="77777777" w:rsidTr="00D10D53">
        <w:trPr>
          <w:trHeight w:val="225"/>
          <w:jc w:val="center"/>
        </w:trPr>
        <w:tc>
          <w:tcPr>
            <w:tcW w:w="3020" w:type="dxa"/>
            <w:vMerge/>
            <w:tcBorders>
              <w:top w:val="double" w:sz="6" w:space="0" w:color="auto"/>
              <w:left w:val="double" w:sz="6" w:space="0" w:color="auto"/>
              <w:bottom w:val="single" w:sz="4" w:space="0" w:color="BFBFBF"/>
              <w:right w:val="nil"/>
            </w:tcBorders>
            <w:vAlign w:val="center"/>
          </w:tcPr>
          <w:p w14:paraId="012C903B" w14:textId="77777777" w:rsidR="00B75952" w:rsidRPr="008A7031" w:rsidRDefault="00B75952" w:rsidP="00B75952">
            <w:pPr>
              <w:spacing w:before="0" w:after="0"/>
              <w:rPr>
                <w:rFonts w:ascii="Arial" w:hAnsi="Arial" w:cs="Arial"/>
                <w:b/>
                <w:bCs/>
                <w:color w:val="000000"/>
                <w:sz w:val="16"/>
                <w:szCs w:val="16"/>
                <w:lang w:val="en-AU" w:eastAsia="en-AU"/>
              </w:rPr>
            </w:pP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5A5DC69"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67056BBB"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5602C421"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2001</w:t>
            </w:r>
          </w:p>
        </w:tc>
        <w:tc>
          <w:tcPr>
            <w:tcW w:w="600" w:type="dxa"/>
            <w:tcBorders>
              <w:top w:val="nil"/>
              <w:left w:val="nil"/>
              <w:bottom w:val="single" w:sz="4" w:space="0" w:color="BFBFBF"/>
              <w:right w:val="single" w:sz="4" w:space="0" w:color="auto"/>
            </w:tcBorders>
            <w:shd w:val="clear" w:color="auto" w:fill="auto"/>
            <w:noWrap/>
            <w:vAlign w:val="center"/>
          </w:tcPr>
          <w:p w14:paraId="432B0A64"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1996</w:t>
            </w:r>
          </w:p>
        </w:tc>
        <w:tc>
          <w:tcPr>
            <w:tcW w:w="600" w:type="dxa"/>
            <w:tcBorders>
              <w:top w:val="nil"/>
              <w:left w:val="nil"/>
              <w:bottom w:val="single" w:sz="4" w:space="0" w:color="BFBFBF"/>
              <w:right w:val="single" w:sz="4" w:space="0" w:color="BFBFBF"/>
            </w:tcBorders>
            <w:shd w:val="clear" w:color="auto" w:fill="auto"/>
            <w:noWrap/>
            <w:vAlign w:val="center"/>
          </w:tcPr>
          <w:p w14:paraId="653A8773"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116B40EA"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5AA60754"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2001</w:t>
            </w:r>
          </w:p>
        </w:tc>
        <w:tc>
          <w:tcPr>
            <w:tcW w:w="600" w:type="dxa"/>
            <w:tcBorders>
              <w:top w:val="nil"/>
              <w:left w:val="nil"/>
              <w:bottom w:val="single" w:sz="4" w:space="0" w:color="BFBFBF"/>
              <w:right w:val="single" w:sz="4" w:space="0" w:color="auto"/>
            </w:tcBorders>
            <w:shd w:val="clear" w:color="auto" w:fill="auto"/>
            <w:noWrap/>
            <w:vAlign w:val="center"/>
          </w:tcPr>
          <w:p w14:paraId="2E7415CE"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1996</w:t>
            </w:r>
          </w:p>
        </w:tc>
        <w:tc>
          <w:tcPr>
            <w:tcW w:w="600" w:type="dxa"/>
            <w:tcBorders>
              <w:top w:val="nil"/>
              <w:left w:val="nil"/>
              <w:bottom w:val="single" w:sz="4" w:space="0" w:color="BFBFBF"/>
              <w:right w:val="single" w:sz="4" w:space="0" w:color="BFBFBF"/>
            </w:tcBorders>
            <w:shd w:val="clear" w:color="auto" w:fill="auto"/>
            <w:noWrap/>
            <w:vAlign w:val="center"/>
          </w:tcPr>
          <w:p w14:paraId="36755614"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BFBFBF"/>
            </w:tcBorders>
            <w:shd w:val="clear" w:color="auto" w:fill="auto"/>
            <w:noWrap/>
            <w:vAlign w:val="center"/>
          </w:tcPr>
          <w:p w14:paraId="4E7419BA"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570BD3F4"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2001</w:t>
            </w:r>
          </w:p>
        </w:tc>
        <w:tc>
          <w:tcPr>
            <w:tcW w:w="600" w:type="dxa"/>
            <w:tcBorders>
              <w:top w:val="nil"/>
              <w:left w:val="nil"/>
              <w:bottom w:val="single" w:sz="4" w:space="0" w:color="BFBFBF"/>
              <w:right w:val="double" w:sz="6" w:space="0" w:color="auto"/>
            </w:tcBorders>
            <w:shd w:val="clear" w:color="auto" w:fill="auto"/>
            <w:noWrap/>
            <w:vAlign w:val="center"/>
          </w:tcPr>
          <w:p w14:paraId="7BCF1A3E" w14:textId="77777777" w:rsidR="00B75952" w:rsidRPr="008A7031" w:rsidRDefault="00B75952" w:rsidP="00D10D53">
            <w:pPr>
              <w:spacing w:before="0" w:after="0"/>
              <w:jc w:val="center"/>
              <w:rPr>
                <w:rFonts w:ascii="Arial" w:hAnsi="Arial" w:cs="Arial"/>
                <w:b/>
                <w:bCs/>
                <w:color w:val="000000"/>
                <w:sz w:val="16"/>
                <w:szCs w:val="16"/>
                <w:lang w:val="en-AU" w:eastAsia="en-AU"/>
              </w:rPr>
            </w:pPr>
            <w:r w:rsidRPr="008A7031">
              <w:rPr>
                <w:rFonts w:ascii="Arial" w:hAnsi="Arial" w:cs="Arial"/>
                <w:b/>
                <w:bCs/>
                <w:color w:val="000000"/>
                <w:sz w:val="16"/>
                <w:szCs w:val="16"/>
                <w:lang w:val="en-AU" w:eastAsia="en-AU"/>
              </w:rPr>
              <w:t>1996</w:t>
            </w:r>
          </w:p>
        </w:tc>
      </w:tr>
      <w:tr w:rsidR="00B75952" w:rsidRPr="008A7031" w14:paraId="24ECEA7D" w14:textId="77777777" w:rsidTr="00D10D53">
        <w:trPr>
          <w:trHeight w:val="225"/>
          <w:jc w:val="center"/>
        </w:trPr>
        <w:tc>
          <w:tcPr>
            <w:tcW w:w="3020" w:type="dxa"/>
            <w:tcBorders>
              <w:top w:val="nil"/>
              <w:left w:val="double" w:sz="6" w:space="0" w:color="auto"/>
              <w:bottom w:val="single" w:sz="4" w:space="0" w:color="BFBFBF"/>
              <w:right w:val="nil"/>
            </w:tcBorders>
            <w:shd w:val="clear" w:color="auto" w:fill="auto"/>
            <w:noWrap/>
            <w:vAlign w:val="center"/>
          </w:tcPr>
          <w:p w14:paraId="43447ABB" w14:textId="77777777" w:rsidR="00B75952" w:rsidRPr="008A7031" w:rsidRDefault="00B75952" w:rsidP="00B75952">
            <w:pPr>
              <w:spacing w:before="0" w:after="0"/>
              <w:rPr>
                <w:rFonts w:ascii="Arial" w:hAnsi="Arial" w:cs="Arial"/>
                <w:color w:val="000000"/>
                <w:sz w:val="16"/>
                <w:szCs w:val="16"/>
                <w:lang w:val="en-AU" w:eastAsia="en-AU"/>
              </w:rPr>
            </w:pPr>
            <w:r w:rsidRPr="008A7031">
              <w:rPr>
                <w:rFonts w:ascii="Arial" w:hAnsi="Arial" w:cs="Arial"/>
                <w:color w:val="000000"/>
                <w:sz w:val="16"/>
                <w:szCs w:val="16"/>
                <w:lang w:val="en-AU" w:eastAsia="en-AU"/>
              </w:rPr>
              <w:t>Less than 4 months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5253299"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6F12E92D"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43885C22"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614356B2"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2%</w:t>
            </w:r>
          </w:p>
        </w:tc>
        <w:tc>
          <w:tcPr>
            <w:tcW w:w="600" w:type="dxa"/>
            <w:tcBorders>
              <w:top w:val="single" w:sz="4" w:space="0" w:color="BFBFBF"/>
              <w:left w:val="nil"/>
              <w:bottom w:val="single" w:sz="4" w:space="0" w:color="BFBFBF"/>
              <w:right w:val="nil"/>
            </w:tcBorders>
            <w:shd w:val="clear" w:color="auto" w:fill="auto"/>
            <w:noWrap/>
            <w:vAlign w:val="center"/>
          </w:tcPr>
          <w:p w14:paraId="6F61DC67" w14:textId="77777777" w:rsidR="00B75952" w:rsidRPr="008A7031" w:rsidRDefault="00B75952" w:rsidP="00D10D53">
            <w:pPr>
              <w:spacing w:before="0" w:after="0"/>
              <w:jc w:val="center"/>
              <w:rPr>
                <w:rFonts w:ascii="Arial" w:hAnsi="Arial" w:cs="Arial"/>
                <w:sz w:val="16"/>
                <w:szCs w:val="16"/>
                <w:lang w:val="en-AU" w:eastAsia="en-AU"/>
              </w:rPr>
            </w:pPr>
            <w:r w:rsidRPr="008A7031">
              <w:rPr>
                <w:rFonts w:ascii="Arial" w:hAnsi="Arial" w:cs="Arial"/>
                <w:sz w:val="16"/>
                <w:szCs w:val="16"/>
                <w:lang w:val="en-AU" w:eastAsia="en-AU"/>
              </w:rPr>
              <w:t>2%</w:t>
            </w:r>
          </w:p>
        </w:tc>
        <w:tc>
          <w:tcPr>
            <w:tcW w:w="600" w:type="dxa"/>
            <w:tcBorders>
              <w:top w:val="nil"/>
              <w:left w:val="single" w:sz="4" w:space="0" w:color="BFBFBF"/>
              <w:bottom w:val="single" w:sz="4" w:space="0" w:color="BFBFBF"/>
              <w:right w:val="single" w:sz="4" w:space="0" w:color="BFBFBF"/>
            </w:tcBorders>
            <w:shd w:val="clear" w:color="auto" w:fill="auto"/>
            <w:noWrap/>
            <w:vAlign w:val="center"/>
          </w:tcPr>
          <w:p w14:paraId="18515148"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02A8065C"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0308AAAD"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BFBFBF"/>
            </w:tcBorders>
            <w:shd w:val="clear" w:color="auto" w:fill="auto"/>
            <w:noWrap/>
            <w:vAlign w:val="center"/>
          </w:tcPr>
          <w:p w14:paraId="7E886B9D"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529562C9"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47FB9BDA"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3%</w:t>
            </w:r>
          </w:p>
        </w:tc>
        <w:tc>
          <w:tcPr>
            <w:tcW w:w="600" w:type="dxa"/>
            <w:tcBorders>
              <w:top w:val="nil"/>
              <w:left w:val="nil"/>
              <w:bottom w:val="single" w:sz="4" w:space="0" w:color="BFBFBF"/>
              <w:right w:val="double" w:sz="6" w:space="0" w:color="auto"/>
            </w:tcBorders>
            <w:shd w:val="clear" w:color="auto" w:fill="auto"/>
            <w:noWrap/>
            <w:vAlign w:val="center"/>
          </w:tcPr>
          <w:p w14:paraId="1A96C414"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4%</w:t>
            </w:r>
          </w:p>
        </w:tc>
      </w:tr>
      <w:tr w:rsidR="00B75952" w:rsidRPr="008A7031" w14:paraId="5E021EAE" w14:textId="77777777" w:rsidTr="00D10D53">
        <w:trPr>
          <w:trHeight w:val="225"/>
          <w:jc w:val="center"/>
        </w:trPr>
        <w:tc>
          <w:tcPr>
            <w:tcW w:w="3020" w:type="dxa"/>
            <w:tcBorders>
              <w:top w:val="nil"/>
              <w:left w:val="double" w:sz="6" w:space="0" w:color="auto"/>
              <w:bottom w:val="single" w:sz="4" w:space="0" w:color="BFBFBF"/>
              <w:right w:val="nil"/>
            </w:tcBorders>
            <w:shd w:val="clear" w:color="auto" w:fill="auto"/>
            <w:noWrap/>
            <w:vAlign w:val="center"/>
          </w:tcPr>
          <w:p w14:paraId="2FEC923B" w14:textId="77777777" w:rsidR="00B75952" w:rsidRPr="008A7031" w:rsidRDefault="00B75952" w:rsidP="00B75952">
            <w:pPr>
              <w:spacing w:before="0" w:after="0"/>
              <w:rPr>
                <w:rFonts w:ascii="Arial" w:hAnsi="Arial" w:cs="Arial"/>
                <w:color w:val="000000"/>
                <w:sz w:val="16"/>
                <w:szCs w:val="16"/>
                <w:lang w:val="en-AU" w:eastAsia="en-AU"/>
              </w:rPr>
            </w:pPr>
            <w:r w:rsidRPr="008A7031">
              <w:rPr>
                <w:rFonts w:ascii="Arial" w:hAnsi="Arial" w:cs="Arial"/>
                <w:color w:val="000000"/>
                <w:sz w:val="16"/>
                <w:szCs w:val="16"/>
                <w:lang w:val="en-AU" w:eastAsia="en-AU"/>
              </w:rPr>
              <w:t>4-6 months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1B2AC97"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5E93D773"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68BD3243"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auto"/>
            </w:tcBorders>
            <w:shd w:val="clear" w:color="auto" w:fill="auto"/>
            <w:noWrap/>
            <w:vAlign w:val="center"/>
          </w:tcPr>
          <w:p w14:paraId="3D3E2C3A"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1%</w:t>
            </w:r>
          </w:p>
        </w:tc>
        <w:tc>
          <w:tcPr>
            <w:tcW w:w="600" w:type="dxa"/>
            <w:tcBorders>
              <w:top w:val="single" w:sz="4" w:space="0" w:color="BFBFBF"/>
              <w:left w:val="nil"/>
              <w:bottom w:val="single" w:sz="4" w:space="0" w:color="BFBFBF"/>
              <w:right w:val="nil"/>
            </w:tcBorders>
            <w:shd w:val="clear" w:color="auto" w:fill="auto"/>
            <w:noWrap/>
            <w:vAlign w:val="center"/>
          </w:tcPr>
          <w:p w14:paraId="15337887" w14:textId="77777777" w:rsidR="00B75952" w:rsidRPr="008A7031" w:rsidRDefault="00B75952" w:rsidP="00D10D53">
            <w:pPr>
              <w:spacing w:before="0" w:after="0"/>
              <w:jc w:val="center"/>
              <w:rPr>
                <w:rFonts w:ascii="Arial" w:hAnsi="Arial" w:cs="Arial"/>
                <w:sz w:val="16"/>
                <w:szCs w:val="16"/>
                <w:lang w:val="en-AU" w:eastAsia="en-AU"/>
              </w:rPr>
            </w:pPr>
            <w:r w:rsidRPr="008A7031">
              <w:rPr>
                <w:rFonts w:ascii="Arial" w:hAnsi="Arial" w:cs="Arial"/>
                <w:sz w:val="16"/>
                <w:szCs w:val="16"/>
                <w:lang w:val="en-AU" w:eastAsia="en-AU"/>
              </w:rPr>
              <w:t>4%</w:t>
            </w:r>
          </w:p>
        </w:tc>
        <w:tc>
          <w:tcPr>
            <w:tcW w:w="600" w:type="dxa"/>
            <w:tcBorders>
              <w:top w:val="nil"/>
              <w:left w:val="single" w:sz="4" w:space="0" w:color="BFBFBF"/>
              <w:bottom w:val="single" w:sz="4" w:space="0" w:color="BFBFBF"/>
              <w:right w:val="single" w:sz="4" w:space="0" w:color="BFBFBF"/>
            </w:tcBorders>
            <w:shd w:val="clear" w:color="auto" w:fill="auto"/>
            <w:noWrap/>
            <w:vAlign w:val="center"/>
          </w:tcPr>
          <w:p w14:paraId="72A38325"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05EB13D0"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2663BF4C"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BFBFBF"/>
            </w:tcBorders>
            <w:shd w:val="clear" w:color="auto" w:fill="auto"/>
            <w:noWrap/>
            <w:vAlign w:val="center"/>
          </w:tcPr>
          <w:p w14:paraId="5BAE8AF1"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52153291"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1241B78D"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3%</w:t>
            </w:r>
          </w:p>
        </w:tc>
        <w:tc>
          <w:tcPr>
            <w:tcW w:w="600" w:type="dxa"/>
            <w:tcBorders>
              <w:top w:val="nil"/>
              <w:left w:val="nil"/>
              <w:bottom w:val="single" w:sz="4" w:space="0" w:color="BFBFBF"/>
              <w:right w:val="double" w:sz="6" w:space="0" w:color="auto"/>
            </w:tcBorders>
            <w:shd w:val="clear" w:color="auto" w:fill="auto"/>
            <w:noWrap/>
            <w:vAlign w:val="center"/>
          </w:tcPr>
          <w:p w14:paraId="7E2B4BA6"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3%</w:t>
            </w:r>
          </w:p>
        </w:tc>
      </w:tr>
      <w:tr w:rsidR="00B75952" w:rsidRPr="008A7031" w14:paraId="2B2D5AF1" w14:textId="77777777" w:rsidTr="00D10D53">
        <w:trPr>
          <w:trHeight w:val="225"/>
          <w:jc w:val="center"/>
        </w:trPr>
        <w:tc>
          <w:tcPr>
            <w:tcW w:w="3020" w:type="dxa"/>
            <w:tcBorders>
              <w:top w:val="nil"/>
              <w:left w:val="double" w:sz="6" w:space="0" w:color="auto"/>
              <w:bottom w:val="single" w:sz="4" w:space="0" w:color="BFBFBF"/>
              <w:right w:val="nil"/>
            </w:tcBorders>
            <w:shd w:val="clear" w:color="auto" w:fill="auto"/>
            <w:noWrap/>
            <w:vAlign w:val="center"/>
          </w:tcPr>
          <w:p w14:paraId="125FF153" w14:textId="77777777" w:rsidR="00B75952" w:rsidRPr="008A7031" w:rsidRDefault="00B75952" w:rsidP="00B75952">
            <w:pPr>
              <w:spacing w:before="0" w:after="0"/>
              <w:rPr>
                <w:rFonts w:ascii="Arial" w:hAnsi="Arial" w:cs="Arial"/>
                <w:color w:val="000000"/>
                <w:sz w:val="16"/>
                <w:szCs w:val="16"/>
                <w:lang w:val="en-AU" w:eastAsia="en-AU"/>
              </w:rPr>
            </w:pPr>
            <w:r w:rsidRPr="008A7031">
              <w:rPr>
                <w:rFonts w:ascii="Arial" w:hAnsi="Arial" w:cs="Arial"/>
                <w:color w:val="000000"/>
                <w:sz w:val="16"/>
                <w:szCs w:val="16"/>
                <w:lang w:val="en-AU" w:eastAsia="en-AU"/>
              </w:rPr>
              <w:t>7-12 months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5B9B727"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40B3F6E9"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531414C5"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446DB863"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2%</w:t>
            </w:r>
          </w:p>
        </w:tc>
        <w:tc>
          <w:tcPr>
            <w:tcW w:w="600" w:type="dxa"/>
            <w:tcBorders>
              <w:top w:val="single" w:sz="4" w:space="0" w:color="BFBFBF"/>
              <w:left w:val="nil"/>
              <w:bottom w:val="single" w:sz="4" w:space="0" w:color="BFBFBF"/>
              <w:right w:val="nil"/>
            </w:tcBorders>
            <w:shd w:val="clear" w:color="auto" w:fill="auto"/>
            <w:noWrap/>
            <w:vAlign w:val="center"/>
          </w:tcPr>
          <w:p w14:paraId="40477A3E" w14:textId="77777777" w:rsidR="00B75952" w:rsidRPr="008A7031" w:rsidRDefault="00B75952" w:rsidP="00D10D53">
            <w:pPr>
              <w:spacing w:before="0" w:after="0"/>
              <w:jc w:val="center"/>
              <w:rPr>
                <w:rFonts w:ascii="Arial" w:hAnsi="Arial" w:cs="Arial"/>
                <w:sz w:val="16"/>
                <w:szCs w:val="16"/>
                <w:lang w:val="en-AU" w:eastAsia="en-AU"/>
              </w:rPr>
            </w:pPr>
            <w:r w:rsidRPr="008A7031">
              <w:rPr>
                <w:rFonts w:ascii="Arial" w:hAnsi="Arial" w:cs="Arial"/>
                <w:sz w:val="16"/>
                <w:szCs w:val="16"/>
                <w:lang w:val="en-AU" w:eastAsia="en-AU"/>
              </w:rPr>
              <w:t>4%</w:t>
            </w:r>
          </w:p>
        </w:tc>
        <w:tc>
          <w:tcPr>
            <w:tcW w:w="600" w:type="dxa"/>
            <w:tcBorders>
              <w:top w:val="nil"/>
              <w:left w:val="single" w:sz="4" w:space="0" w:color="BFBFBF"/>
              <w:bottom w:val="single" w:sz="4" w:space="0" w:color="BFBFBF"/>
              <w:right w:val="single" w:sz="4" w:space="0" w:color="BFBFBF"/>
            </w:tcBorders>
            <w:shd w:val="clear" w:color="auto" w:fill="auto"/>
            <w:noWrap/>
            <w:vAlign w:val="center"/>
          </w:tcPr>
          <w:p w14:paraId="112972EB"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BFBFBF"/>
            </w:tcBorders>
            <w:shd w:val="clear" w:color="auto" w:fill="auto"/>
            <w:noWrap/>
            <w:vAlign w:val="center"/>
          </w:tcPr>
          <w:p w14:paraId="7E2A6567"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3B811DEC"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15%</w:t>
            </w:r>
          </w:p>
        </w:tc>
        <w:tc>
          <w:tcPr>
            <w:tcW w:w="600" w:type="dxa"/>
            <w:tcBorders>
              <w:top w:val="nil"/>
              <w:left w:val="nil"/>
              <w:bottom w:val="single" w:sz="4" w:space="0" w:color="BFBFBF"/>
              <w:right w:val="single" w:sz="4" w:space="0" w:color="BFBFBF"/>
            </w:tcBorders>
            <w:shd w:val="clear" w:color="auto" w:fill="auto"/>
            <w:noWrap/>
            <w:vAlign w:val="center"/>
          </w:tcPr>
          <w:p w14:paraId="6365CA2A"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53098885"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2FC7394C"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4%</w:t>
            </w:r>
          </w:p>
        </w:tc>
        <w:tc>
          <w:tcPr>
            <w:tcW w:w="600" w:type="dxa"/>
            <w:tcBorders>
              <w:top w:val="nil"/>
              <w:left w:val="nil"/>
              <w:bottom w:val="single" w:sz="4" w:space="0" w:color="BFBFBF"/>
              <w:right w:val="double" w:sz="6" w:space="0" w:color="auto"/>
            </w:tcBorders>
            <w:shd w:val="clear" w:color="auto" w:fill="auto"/>
            <w:noWrap/>
            <w:vAlign w:val="center"/>
          </w:tcPr>
          <w:p w14:paraId="08EDF06E"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8%</w:t>
            </w:r>
          </w:p>
        </w:tc>
      </w:tr>
      <w:tr w:rsidR="00B75952" w:rsidRPr="008A7031" w14:paraId="1EA5DE5E" w14:textId="77777777" w:rsidTr="00D10D53">
        <w:trPr>
          <w:trHeight w:val="225"/>
          <w:jc w:val="center"/>
        </w:trPr>
        <w:tc>
          <w:tcPr>
            <w:tcW w:w="3020" w:type="dxa"/>
            <w:tcBorders>
              <w:top w:val="nil"/>
              <w:left w:val="double" w:sz="6" w:space="0" w:color="auto"/>
              <w:bottom w:val="single" w:sz="4" w:space="0" w:color="BFBFBF"/>
              <w:right w:val="nil"/>
            </w:tcBorders>
            <w:shd w:val="clear" w:color="auto" w:fill="auto"/>
            <w:noWrap/>
            <w:vAlign w:val="center"/>
          </w:tcPr>
          <w:p w14:paraId="0606A51F" w14:textId="77777777" w:rsidR="00B75952" w:rsidRPr="008A7031" w:rsidRDefault="00B75952" w:rsidP="00B75952">
            <w:pPr>
              <w:spacing w:before="0" w:after="0"/>
              <w:rPr>
                <w:rFonts w:ascii="Arial" w:hAnsi="Arial" w:cs="Arial"/>
                <w:color w:val="000000"/>
                <w:sz w:val="16"/>
                <w:szCs w:val="16"/>
                <w:lang w:val="en-AU" w:eastAsia="en-AU"/>
              </w:rPr>
            </w:pPr>
            <w:r w:rsidRPr="008A7031">
              <w:rPr>
                <w:rFonts w:ascii="Arial" w:hAnsi="Arial" w:cs="Arial"/>
                <w:color w:val="000000"/>
                <w:sz w:val="16"/>
                <w:szCs w:val="16"/>
                <w:lang w:val="en-AU" w:eastAsia="en-AU"/>
              </w:rPr>
              <w:t>Over 1 year to less than 2 years</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7F95A5F"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440CCC9F"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3A12CEFF"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7E9BE14D"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5%</w:t>
            </w:r>
          </w:p>
        </w:tc>
        <w:tc>
          <w:tcPr>
            <w:tcW w:w="600" w:type="dxa"/>
            <w:tcBorders>
              <w:top w:val="single" w:sz="4" w:space="0" w:color="BFBFBF"/>
              <w:left w:val="nil"/>
              <w:bottom w:val="single" w:sz="4" w:space="0" w:color="BFBFBF"/>
              <w:right w:val="nil"/>
            </w:tcBorders>
            <w:shd w:val="clear" w:color="auto" w:fill="auto"/>
            <w:noWrap/>
            <w:vAlign w:val="center"/>
          </w:tcPr>
          <w:p w14:paraId="3D1F50EB" w14:textId="77777777" w:rsidR="00B75952" w:rsidRPr="008A7031" w:rsidRDefault="00B75952" w:rsidP="00D10D53">
            <w:pPr>
              <w:spacing w:before="0" w:after="0"/>
              <w:jc w:val="center"/>
              <w:rPr>
                <w:rFonts w:ascii="Arial" w:hAnsi="Arial" w:cs="Arial"/>
                <w:sz w:val="16"/>
                <w:szCs w:val="16"/>
                <w:lang w:val="en-AU" w:eastAsia="en-AU"/>
              </w:rPr>
            </w:pPr>
            <w:r w:rsidRPr="008A7031">
              <w:rPr>
                <w:rFonts w:ascii="Arial" w:hAnsi="Arial" w:cs="Arial"/>
                <w:sz w:val="16"/>
                <w:szCs w:val="16"/>
                <w:lang w:val="en-AU" w:eastAsia="en-AU"/>
              </w:rPr>
              <w:t>5%</w:t>
            </w:r>
          </w:p>
        </w:tc>
        <w:tc>
          <w:tcPr>
            <w:tcW w:w="600" w:type="dxa"/>
            <w:tcBorders>
              <w:top w:val="nil"/>
              <w:left w:val="single" w:sz="4" w:space="0" w:color="BFBFBF"/>
              <w:bottom w:val="single" w:sz="4" w:space="0" w:color="BFBFBF"/>
              <w:right w:val="single" w:sz="4" w:space="0" w:color="BFBFBF"/>
            </w:tcBorders>
            <w:shd w:val="clear" w:color="auto" w:fill="auto"/>
            <w:noWrap/>
            <w:vAlign w:val="center"/>
          </w:tcPr>
          <w:p w14:paraId="75700A47"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10%</w:t>
            </w:r>
          </w:p>
        </w:tc>
        <w:tc>
          <w:tcPr>
            <w:tcW w:w="600" w:type="dxa"/>
            <w:tcBorders>
              <w:top w:val="nil"/>
              <w:left w:val="nil"/>
              <w:bottom w:val="single" w:sz="4" w:space="0" w:color="BFBFBF"/>
              <w:right w:val="single" w:sz="4" w:space="0" w:color="BFBFBF"/>
            </w:tcBorders>
            <w:shd w:val="clear" w:color="auto" w:fill="auto"/>
            <w:noWrap/>
            <w:vAlign w:val="center"/>
          </w:tcPr>
          <w:p w14:paraId="66474DDC"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12%</w:t>
            </w:r>
          </w:p>
        </w:tc>
        <w:tc>
          <w:tcPr>
            <w:tcW w:w="600" w:type="dxa"/>
            <w:tcBorders>
              <w:top w:val="nil"/>
              <w:left w:val="nil"/>
              <w:bottom w:val="single" w:sz="4" w:space="0" w:color="BFBFBF"/>
              <w:right w:val="single" w:sz="4" w:space="0" w:color="auto"/>
            </w:tcBorders>
            <w:shd w:val="clear" w:color="auto" w:fill="auto"/>
            <w:noWrap/>
            <w:vAlign w:val="center"/>
          </w:tcPr>
          <w:p w14:paraId="5882EBBA"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11%</w:t>
            </w:r>
          </w:p>
        </w:tc>
        <w:tc>
          <w:tcPr>
            <w:tcW w:w="600" w:type="dxa"/>
            <w:tcBorders>
              <w:top w:val="nil"/>
              <w:left w:val="nil"/>
              <w:bottom w:val="single" w:sz="4" w:space="0" w:color="BFBFBF"/>
              <w:right w:val="single" w:sz="4" w:space="0" w:color="BFBFBF"/>
            </w:tcBorders>
            <w:shd w:val="clear" w:color="auto" w:fill="auto"/>
            <w:noWrap/>
            <w:vAlign w:val="center"/>
          </w:tcPr>
          <w:p w14:paraId="319A339C"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BFBFBF"/>
            </w:tcBorders>
            <w:shd w:val="clear" w:color="auto" w:fill="auto"/>
            <w:noWrap/>
            <w:vAlign w:val="center"/>
          </w:tcPr>
          <w:p w14:paraId="03BAB6E0"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BFBFBF"/>
            </w:tcBorders>
            <w:shd w:val="clear" w:color="auto" w:fill="auto"/>
            <w:noWrap/>
            <w:vAlign w:val="center"/>
          </w:tcPr>
          <w:p w14:paraId="2D0662A1"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7%</w:t>
            </w:r>
          </w:p>
        </w:tc>
        <w:tc>
          <w:tcPr>
            <w:tcW w:w="600" w:type="dxa"/>
            <w:tcBorders>
              <w:top w:val="nil"/>
              <w:left w:val="nil"/>
              <w:bottom w:val="single" w:sz="4" w:space="0" w:color="BFBFBF"/>
              <w:right w:val="double" w:sz="6" w:space="0" w:color="auto"/>
            </w:tcBorders>
            <w:shd w:val="clear" w:color="auto" w:fill="auto"/>
            <w:noWrap/>
            <w:vAlign w:val="center"/>
          </w:tcPr>
          <w:p w14:paraId="69027741"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7%</w:t>
            </w:r>
          </w:p>
        </w:tc>
      </w:tr>
      <w:tr w:rsidR="00B75952" w:rsidRPr="008A7031" w14:paraId="4A14AB68" w14:textId="77777777" w:rsidTr="00D10D53">
        <w:trPr>
          <w:trHeight w:val="225"/>
          <w:jc w:val="center"/>
        </w:trPr>
        <w:tc>
          <w:tcPr>
            <w:tcW w:w="3020" w:type="dxa"/>
            <w:tcBorders>
              <w:top w:val="nil"/>
              <w:left w:val="double" w:sz="6" w:space="0" w:color="auto"/>
              <w:bottom w:val="single" w:sz="4" w:space="0" w:color="BFBFBF"/>
              <w:right w:val="nil"/>
            </w:tcBorders>
            <w:shd w:val="clear" w:color="auto" w:fill="auto"/>
            <w:noWrap/>
            <w:vAlign w:val="center"/>
          </w:tcPr>
          <w:p w14:paraId="5C508940" w14:textId="77777777" w:rsidR="00B75952" w:rsidRPr="008A7031" w:rsidRDefault="00B75952" w:rsidP="00B75952">
            <w:pPr>
              <w:spacing w:before="0" w:after="0"/>
              <w:rPr>
                <w:rFonts w:ascii="Arial" w:hAnsi="Arial" w:cs="Arial"/>
                <w:color w:val="000000"/>
                <w:sz w:val="16"/>
                <w:szCs w:val="16"/>
                <w:lang w:val="en-AU" w:eastAsia="en-AU"/>
              </w:rPr>
            </w:pPr>
            <w:r w:rsidRPr="008A7031">
              <w:rPr>
                <w:rFonts w:ascii="Arial" w:hAnsi="Arial" w:cs="Arial"/>
                <w:color w:val="000000"/>
                <w:sz w:val="16"/>
                <w:szCs w:val="16"/>
                <w:lang w:val="en-AU" w:eastAsia="en-AU"/>
              </w:rPr>
              <w:t>2 years or more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8AE3292" w14:textId="77777777" w:rsidR="00B75952" w:rsidRPr="008A7031" w:rsidRDefault="00B75952" w:rsidP="008A7031">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9</w:t>
            </w:r>
            <w:r w:rsidR="008A7031" w:rsidRPr="008A7031">
              <w:rPr>
                <w:rFonts w:ascii="Arial" w:hAnsi="Arial" w:cs="Arial"/>
                <w:color w:val="000000"/>
                <w:sz w:val="16"/>
                <w:szCs w:val="16"/>
                <w:lang w:val="en-AU" w:eastAsia="en-AU"/>
              </w:rPr>
              <w:t>2</w:t>
            </w:r>
            <w:r w:rsidRPr="008A7031">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6DD6C81A"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92%</w:t>
            </w:r>
          </w:p>
        </w:tc>
        <w:tc>
          <w:tcPr>
            <w:tcW w:w="600" w:type="dxa"/>
            <w:tcBorders>
              <w:top w:val="nil"/>
              <w:left w:val="nil"/>
              <w:bottom w:val="single" w:sz="4" w:space="0" w:color="BFBFBF"/>
              <w:right w:val="single" w:sz="4" w:space="0" w:color="BFBFBF"/>
            </w:tcBorders>
            <w:shd w:val="clear" w:color="auto" w:fill="auto"/>
            <w:noWrap/>
            <w:vAlign w:val="center"/>
          </w:tcPr>
          <w:p w14:paraId="63C78F12"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91%</w:t>
            </w:r>
          </w:p>
        </w:tc>
        <w:tc>
          <w:tcPr>
            <w:tcW w:w="600" w:type="dxa"/>
            <w:tcBorders>
              <w:top w:val="nil"/>
              <w:left w:val="nil"/>
              <w:bottom w:val="single" w:sz="4" w:space="0" w:color="BFBFBF"/>
              <w:right w:val="single" w:sz="4" w:space="0" w:color="auto"/>
            </w:tcBorders>
            <w:shd w:val="clear" w:color="auto" w:fill="auto"/>
            <w:noWrap/>
            <w:vAlign w:val="center"/>
          </w:tcPr>
          <w:p w14:paraId="79C888AA"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90%</w:t>
            </w:r>
          </w:p>
        </w:tc>
        <w:tc>
          <w:tcPr>
            <w:tcW w:w="600" w:type="dxa"/>
            <w:tcBorders>
              <w:top w:val="single" w:sz="4" w:space="0" w:color="BFBFBF"/>
              <w:left w:val="nil"/>
              <w:bottom w:val="single" w:sz="4" w:space="0" w:color="BFBFBF"/>
              <w:right w:val="nil"/>
            </w:tcBorders>
            <w:shd w:val="clear" w:color="auto" w:fill="auto"/>
            <w:noWrap/>
            <w:vAlign w:val="center"/>
          </w:tcPr>
          <w:p w14:paraId="1D2FEDE0" w14:textId="77777777" w:rsidR="00B75952" w:rsidRPr="008A7031" w:rsidRDefault="00B75952" w:rsidP="008A7031">
            <w:pPr>
              <w:spacing w:before="0" w:after="0"/>
              <w:jc w:val="center"/>
              <w:rPr>
                <w:rFonts w:ascii="Arial" w:hAnsi="Arial" w:cs="Arial"/>
                <w:sz w:val="16"/>
                <w:szCs w:val="16"/>
                <w:lang w:val="en-AU" w:eastAsia="en-AU"/>
              </w:rPr>
            </w:pPr>
            <w:r w:rsidRPr="008A7031">
              <w:rPr>
                <w:rFonts w:ascii="Arial" w:hAnsi="Arial" w:cs="Arial"/>
                <w:sz w:val="16"/>
                <w:szCs w:val="16"/>
                <w:lang w:val="en-AU" w:eastAsia="en-AU"/>
              </w:rPr>
              <w:t>8</w:t>
            </w:r>
            <w:r w:rsidR="008A7031" w:rsidRPr="008A7031">
              <w:rPr>
                <w:rFonts w:ascii="Arial" w:hAnsi="Arial" w:cs="Arial"/>
                <w:sz w:val="16"/>
                <w:szCs w:val="16"/>
                <w:lang w:val="en-AU" w:eastAsia="en-AU"/>
              </w:rPr>
              <w:t>5</w:t>
            </w:r>
            <w:r w:rsidRPr="008A7031">
              <w:rPr>
                <w:rFonts w:ascii="Arial" w:hAnsi="Arial" w:cs="Arial"/>
                <w:sz w:val="16"/>
                <w:szCs w:val="16"/>
                <w:lang w:val="en-AU" w:eastAsia="en-AU"/>
              </w:rPr>
              <w:t>%</w:t>
            </w:r>
          </w:p>
        </w:tc>
        <w:tc>
          <w:tcPr>
            <w:tcW w:w="600" w:type="dxa"/>
            <w:tcBorders>
              <w:top w:val="nil"/>
              <w:left w:val="single" w:sz="4" w:space="0" w:color="BFBFBF"/>
              <w:bottom w:val="single" w:sz="4" w:space="0" w:color="BFBFBF"/>
              <w:right w:val="single" w:sz="4" w:space="0" w:color="BFBFBF"/>
            </w:tcBorders>
            <w:shd w:val="clear" w:color="auto" w:fill="auto"/>
            <w:noWrap/>
            <w:vAlign w:val="center"/>
          </w:tcPr>
          <w:p w14:paraId="52C577A0"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72%</w:t>
            </w:r>
          </w:p>
        </w:tc>
        <w:tc>
          <w:tcPr>
            <w:tcW w:w="600" w:type="dxa"/>
            <w:tcBorders>
              <w:top w:val="nil"/>
              <w:left w:val="nil"/>
              <w:bottom w:val="single" w:sz="4" w:space="0" w:color="BFBFBF"/>
              <w:right w:val="single" w:sz="4" w:space="0" w:color="BFBFBF"/>
            </w:tcBorders>
            <w:shd w:val="clear" w:color="auto" w:fill="auto"/>
            <w:noWrap/>
            <w:vAlign w:val="center"/>
          </w:tcPr>
          <w:p w14:paraId="7C8B1960"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68%</w:t>
            </w:r>
          </w:p>
        </w:tc>
        <w:tc>
          <w:tcPr>
            <w:tcW w:w="600" w:type="dxa"/>
            <w:tcBorders>
              <w:top w:val="nil"/>
              <w:left w:val="nil"/>
              <w:bottom w:val="single" w:sz="4" w:space="0" w:color="BFBFBF"/>
              <w:right w:val="single" w:sz="4" w:space="0" w:color="auto"/>
            </w:tcBorders>
            <w:shd w:val="clear" w:color="auto" w:fill="auto"/>
            <w:noWrap/>
            <w:vAlign w:val="center"/>
          </w:tcPr>
          <w:p w14:paraId="7F59796C"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60%</w:t>
            </w:r>
          </w:p>
        </w:tc>
        <w:tc>
          <w:tcPr>
            <w:tcW w:w="600" w:type="dxa"/>
            <w:tcBorders>
              <w:top w:val="nil"/>
              <w:left w:val="nil"/>
              <w:bottom w:val="single" w:sz="4" w:space="0" w:color="BFBFBF"/>
              <w:right w:val="single" w:sz="4" w:space="0" w:color="BFBFBF"/>
            </w:tcBorders>
            <w:shd w:val="clear" w:color="auto" w:fill="auto"/>
            <w:noWrap/>
            <w:vAlign w:val="center"/>
          </w:tcPr>
          <w:p w14:paraId="269426B0"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89%</w:t>
            </w:r>
          </w:p>
        </w:tc>
        <w:tc>
          <w:tcPr>
            <w:tcW w:w="600" w:type="dxa"/>
            <w:tcBorders>
              <w:top w:val="nil"/>
              <w:left w:val="nil"/>
              <w:bottom w:val="single" w:sz="4" w:space="0" w:color="BFBFBF"/>
              <w:right w:val="single" w:sz="4" w:space="0" w:color="BFBFBF"/>
            </w:tcBorders>
            <w:shd w:val="clear" w:color="auto" w:fill="auto"/>
            <w:noWrap/>
            <w:vAlign w:val="center"/>
          </w:tcPr>
          <w:p w14:paraId="1C9CEA8F"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82%</w:t>
            </w:r>
          </w:p>
        </w:tc>
        <w:tc>
          <w:tcPr>
            <w:tcW w:w="600" w:type="dxa"/>
            <w:tcBorders>
              <w:top w:val="nil"/>
              <w:left w:val="nil"/>
              <w:bottom w:val="single" w:sz="4" w:space="0" w:color="BFBFBF"/>
              <w:right w:val="single" w:sz="4" w:space="0" w:color="BFBFBF"/>
            </w:tcBorders>
            <w:shd w:val="clear" w:color="auto" w:fill="auto"/>
            <w:noWrap/>
            <w:vAlign w:val="center"/>
          </w:tcPr>
          <w:p w14:paraId="4ADF2167"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80%</w:t>
            </w:r>
          </w:p>
        </w:tc>
        <w:tc>
          <w:tcPr>
            <w:tcW w:w="600" w:type="dxa"/>
            <w:tcBorders>
              <w:top w:val="nil"/>
              <w:left w:val="nil"/>
              <w:bottom w:val="single" w:sz="4" w:space="0" w:color="BFBFBF"/>
              <w:right w:val="double" w:sz="6" w:space="0" w:color="auto"/>
            </w:tcBorders>
            <w:shd w:val="clear" w:color="auto" w:fill="auto"/>
            <w:noWrap/>
            <w:vAlign w:val="center"/>
          </w:tcPr>
          <w:p w14:paraId="6D1141C2"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77%</w:t>
            </w:r>
          </w:p>
        </w:tc>
      </w:tr>
      <w:tr w:rsidR="00B75952" w:rsidRPr="008A7031" w14:paraId="6D9102F8" w14:textId="77777777" w:rsidTr="00D10D53">
        <w:trPr>
          <w:trHeight w:val="240"/>
          <w:jc w:val="center"/>
        </w:trPr>
        <w:tc>
          <w:tcPr>
            <w:tcW w:w="3020" w:type="dxa"/>
            <w:tcBorders>
              <w:top w:val="nil"/>
              <w:left w:val="double" w:sz="6" w:space="0" w:color="auto"/>
              <w:bottom w:val="double" w:sz="6" w:space="0" w:color="auto"/>
              <w:right w:val="nil"/>
            </w:tcBorders>
            <w:shd w:val="clear" w:color="auto" w:fill="auto"/>
            <w:noWrap/>
            <w:vAlign w:val="center"/>
          </w:tcPr>
          <w:p w14:paraId="16009F68" w14:textId="77777777" w:rsidR="00B75952" w:rsidRPr="008A7031" w:rsidRDefault="00B75952" w:rsidP="00B75952">
            <w:pPr>
              <w:spacing w:before="0" w:after="0"/>
              <w:rPr>
                <w:rFonts w:ascii="Arial" w:hAnsi="Arial" w:cs="Arial"/>
                <w:color w:val="000000"/>
                <w:sz w:val="16"/>
                <w:szCs w:val="16"/>
                <w:lang w:val="en-AU" w:eastAsia="en-AU"/>
              </w:rPr>
            </w:pPr>
            <w:r w:rsidRPr="008A7031">
              <w:rPr>
                <w:rFonts w:ascii="Arial" w:hAnsi="Arial" w:cs="Arial"/>
                <w:color w:val="000000"/>
                <w:sz w:val="16"/>
                <w:szCs w:val="16"/>
                <w:lang w:val="en-AU" w:eastAsia="en-AU"/>
              </w:rPr>
              <w:t>Can't Say</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30F01E77"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06CD923A"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2%</w:t>
            </w:r>
          </w:p>
        </w:tc>
        <w:tc>
          <w:tcPr>
            <w:tcW w:w="600" w:type="dxa"/>
            <w:tcBorders>
              <w:top w:val="nil"/>
              <w:left w:val="nil"/>
              <w:bottom w:val="double" w:sz="6" w:space="0" w:color="auto"/>
              <w:right w:val="single" w:sz="4" w:space="0" w:color="BFBFBF"/>
            </w:tcBorders>
            <w:shd w:val="clear" w:color="auto" w:fill="auto"/>
            <w:noWrap/>
            <w:vAlign w:val="center"/>
          </w:tcPr>
          <w:p w14:paraId="176F6A21"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2%</w:t>
            </w:r>
          </w:p>
        </w:tc>
        <w:tc>
          <w:tcPr>
            <w:tcW w:w="600" w:type="dxa"/>
            <w:tcBorders>
              <w:top w:val="nil"/>
              <w:left w:val="nil"/>
              <w:bottom w:val="double" w:sz="6" w:space="0" w:color="auto"/>
              <w:right w:val="single" w:sz="4" w:space="0" w:color="auto"/>
            </w:tcBorders>
            <w:shd w:val="clear" w:color="auto" w:fill="auto"/>
            <w:noWrap/>
            <w:vAlign w:val="center"/>
          </w:tcPr>
          <w:p w14:paraId="28472A2A"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w:t>
            </w:r>
          </w:p>
        </w:tc>
        <w:tc>
          <w:tcPr>
            <w:tcW w:w="600" w:type="dxa"/>
            <w:tcBorders>
              <w:top w:val="single" w:sz="4" w:space="0" w:color="BFBFBF"/>
              <w:left w:val="nil"/>
              <w:bottom w:val="double" w:sz="6" w:space="0" w:color="auto"/>
              <w:right w:val="single" w:sz="4" w:space="0" w:color="BFBFBF"/>
            </w:tcBorders>
            <w:shd w:val="clear" w:color="auto" w:fill="auto"/>
            <w:noWrap/>
            <w:vAlign w:val="center"/>
          </w:tcPr>
          <w:p w14:paraId="4D294D3F"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4485485F"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3%</w:t>
            </w:r>
          </w:p>
        </w:tc>
        <w:tc>
          <w:tcPr>
            <w:tcW w:w="600" w:type="dxa"/>
            <w:tcBorders>
              <w:top w:val="nil"/>
              <w:left w:val="nil"/>
              <w:bottom w:val="double" w:sz="6" w:space="0" w:color="auto"/>
              <w:right w:val="single" w:sz="4" w:space="0" w:color="BFBFBF"/>
            </w:tcBorders>
            <w:shd w:val="clear" w:color="auto" w:fill="auto"/>
            <w:noWrap/>
            <w:vAlign w:val="center"/>
          </w:tcPr>
          <w:p w14:paraId="48364039"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4%</w:t>
            </w:r>
          </w:p>
        </w:tc>
        <w:tc>
          <w:tcPr>
            <w:tcW w:w="600" w:type="dxa"/>
            <w:tcBorders>
              <w:top w:val="nil"/>
              <w:left w:val="nil"/>
              <w:bottom w:val="double" w:sz="6" w:space="0" w:color="auto"/>
              <w:right w:val="single" w:sz="4" w:space="0" w:color="auto"/>
            </w:tcBorders>
            <w:shd w:val="clear" w:color="auto" w:fill="auto"/>
            <w:noWrap/>
            <w:vAlign w:val="center"/>
          </w:tcPr>
          <w:p w14:paraId="644AB122"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207A4ACF"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w:t>
            </w:r>
          </w:p>
        </w:tc>
        <w:tc>
          <w:tcPr>
            <w:tcW w:w="600" w:type="dxa"/>
            <w:tcBorders>
              <w:top w:val="nil"/>
              <w:left w:val="nil"/>
              <w:bottom w:val="double" w:sz="6" w:space="0" w:color="auto"/>
              <w:right w:val="single" w:sz="4" w:space="0" w:color="BFBFBF"/>
            </w:tcBorders>
            <w:shd w:val="clear" w:color="auto" w:fill="auto"/>
            <w:noWrap/>
            <w:vAlign w:val="center"/>
          </w:tcPr>
          <w:p w14:paraId="0E94986E"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3%</w:t>
            </w:r>
          </w:p>
        </w:tc>
        <w:tc>
          <w:tcPr>
            <w:tcW w:w="600" w:type="dxa"/>
            <w:tcBorders>
              <w:top w:val="nil"/>
              <w:left w:val="nil"/>
              <w:bottom w:val="double" w:sz="6" w:space="0" w:color="auto"/>
              <w:right w:val="single" w:sz="4" w:space="0" w:color="BFBFBF"/>
            </w:tcBorders>
            <w:shd w:val="clear" w:color="auto" w:fill="auto"/>
            <w:noWrap/>
            <w:vAlign w:val="center"/>
          </w:tcPr>
          <w:p w14:paraId="75A87465"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3%</w:t>
            </w:r>
          </w:p>
        </w:tc>
        <w:tc>
          <w:tcPr>
            <w:tcW w:w="600" w:type="dxa"/>
            <w:tcBorders>
              <w:top w:val="nil"/>
              <w:left w:val="nil"/>
              <w:bottom w:val="double" w:sz="6" w:space="0" w:color="auto"/>
              <w:right w:val="double" w:sz="6" w:space="0" w:color="auto"/>
            </w:tcBorders>
            <w:shd w:val="clear" w:color="auto" w:fill="auto"/>
            <w:noWrap/>
            <w:vAlign w:val="center"/>
          </w:tcPr>
          <w:p w14:paraId="5A864EFC" w14:textId="77777777" w:rsidR="00B75952" w:rsidRPr="008A7031" w:rsidRDefault="00B75952" w:rsidP="00D10D53">
            <w:pPr>
              <w:spacing w:before="0" w:after="0"/>
              <w:jc w:val="center"/>
              <w:rPr>
                <w:rFonts w:ascii="Arial" w:hAnsi="Arial" w:cs="Arial"/>
                <w:color w:val="000000"/>
                <w:sz w:val="16"/>
                <w:szCs w:val="16"/>
                <w:lang w:val="en-AU" w:eastAsia="en-AU"/>
              </w:rPr>
            </w:pPr>
            <w:r w:rsidRPr="008A7031">
              <w:rPr>
                <w:rFonts w:ascii="Arial" w:hAnsi="Arial" w:cs="Arial"/>
                <w:color w:val="000000"/>
                <w:sz w:val="16"/>
                <w:szCs w:val="16"/>
                <w:lang w:val="en-AU" w:eastAsia="en-AU"/>
              </w:rPr>
              <w:t>*</w:t>
            </w:r>
          </w:p>
        </w:tc>
      </w:tr>
    </w:tbl>
    <w:p w14:paraId="6F2BD3BC" w14:textId="77777777" w:rsidR="00E02C75" w:rsidRPr="008A7031" w:rsidRDefault="00295848" w:rsidP="00562A28">
      <w:pPr>
        <w:pStyle w:val="Para"/>
        <w:ind w:left="2160"/>
        <w:rPr>
          <w:sz w:val="20"/>
          <w:lang w:val="en-AU"/>
        </w:rPr>
      </w:pPr>
      <w:r w:rsidRPr="008A7031">
        <w:rPr>
          <w:sz w:val="20"/>
          <w:lang w:val="en-AU"/>
        </w:rPr>
        <w:t>B</w:t>
      </w:r>
      <w:r w:rsidR="00E02C75" w:rsidRPr="008A7031">
        <w:rPr>
          <w:sz w:val="20"/>
          <w:lang w:val="en-AU"/>
        </w:rPr>
        <w:t xml:space="preserve">ase: Total respondents holding a concession card, </w:t>
      </w:r>
      <w:r w:rsidR="0038517E" w:rsidRPr="008A7031">
        <w:rPr>
          <w:sz w:val="20"/>
          <w:lang w:val="en-AU"/>
        </w:rPr>
        <w:t>2014 (n=1,</w:t>
      </w:r>
      <w:r w:rsidR="008A7031">
        <w:rPr>
          <w:sz w:val="20"/>
          <w:lang w:val="en-AU"/>
        </w:rPr>
        <w:t>008</w:t>
      </w:r>
      <w:r w:rsidR="0038517E" w:rsidRPr="008A7031">
        <w:rPr>
          <w:sz w:val="20"/>
          <w:lang w:val="en-AU"/>
        </w:rPr>
        <w:t xml:space="preserve">); </w:t>
      </w:r>
      <w:r w:rsidR="00E02C75" w:rsidRPr="008A7031">
        <w:rPr>
          <w:sz w:val="20"/>
          <w:lang w:val="en-AU"/>
        </w:rPr>
        <w:t>2007 (n=1,026); 2001 (n=998); 1996 (n=985)</w:t>
      </w:r>
    </w:p>
    <w:p w14:paraId="7F66C602" w14:textId="77777777" w:rsidR="00E02C75" w:rsidRPr="00DA3B75" w:rsidRDefault="00E02C75" w:rsidP="00E02C75">
      <w:pPr>
        <w:pStyle w:val="Para"/>
        <w:ind w:firstLine="720"/>
        <w:rPr>
          <w:sz w:val="20"/>
          <w:highlight w:val="yellow"/>
          <w:lang w:val="en-AU"/>
        </w:rPr>
      </w:pPr>
    </w:p>
    <w:p w14:paraId="24C73E87" w14:textId="77777777" w:rsidR="003920D8" w:rsidRPr="00D2313D" w:rsidRDefault="00E02C75">
      <w:pPr>
        <w:pStyle w:val="Heading3"/>
        <w:tabs>
          <w:tab w:val="clear" w:pos="8517"/>
          <w:tab w:val="num" w:pos="851"/>
        </w:tabs>
        <w:ind w:hanging="8517"/>
        <w:rPr>
          <w:lang w:val="en-AU"/>
        </w:rPr>
      </w:pPr>
      <w:r w:rsidRPr="00D2313D">
        <w:rPr>
          <w:lang w:val="en-AU"/>
        </w:rPr>
        <w:br w:type="page"/>
      </w:r>
      <w:bookmarkStart w:id="154" w:name="_Toc439198305"/>
      <w:bookmarkStart w:id="155" w:name="_Toc445571683"/>
      <w:r w:rsidRPr="00D2313D">
        <w:rPr>
          <w:lang w:val="en-AU"/>
        </w:rPr>
        <w:lastRenderedPageBreak/>
        <w:t>Employment Status</w:t>
      </w:r>
      <w:bookmarkEnd w:id="154"/>
      <w:bookmarkEnd w:id="155"/>
    </w:p>
    <w:p w14:paraId="0AB68801" w14:textId="003CF56B" w:rsidR="00E02C75" w:rsidRPr="00D2313D" w:rsidRDefault="00E02C75" w:rsidP="00E02C75">
      <w:pPr>
        <w:pStyle w:val="Para"/>
        <w:rPr>
          <w:lang w:val="en-AU"/>
        </w:rPr>
      </w:pPr>
      <w:r w:rsidRPr="00D2313D">
        <w:rPr>
          <w:lang w:val="en-AU"/>
        </w:rPr>
        <w:t>At the time of the 20</w:t>
      </w:r>
      <w:r w:rsidR="00295848" w:rsidRPr="00D2313D">
        <w:rPr>
          <w:lang w:val="en-AU"/>
        </w:rPr>
        <w:t>14</w:t>
      </w:r>
      <w:r w:rsidRPr="00D2313D">
        <w:rPr>
          <w:lang w:val="en-AU"/>
        </w:rPr>
        <w:t xml:space="preserve"> survey, 4</w:t>
      </w:r>
      <w:r w:rsidR="00D2313D" w:rsidRPr="00D2313D">
        <w:rPr>
          <w:lang w:val="en-AU"/>
        </w:rPr>
        <w:t>8</w:t>
      </w:r>
      <w:r w:rsidRPr="00D2313D">
        <w:rPr>
          <w:lang w:val="en-AU"/>
        </w:rPr>
        <w:t>% of all respondents were employed with 5</w:t>
      </w:r>
      <w:r w:rsidR="00D2313D" w:rsidRPr="00D2313D">
        <w:rPr>
          <w:lang w:val="en-AU"/>
        </w:rPr>
        <w:t>1</w:t>
      </w:r>
      <w:r w:rsidRPr="00D2313D">
        <w:rPr>
          <w:lang w:val="en-AU"/>
        </w:rPr>
        <w:t>%</w:t>
      </w:r>
      <w:r w:rsidR="00A501E0" w:rsidRPr="00D2313D">
        <w:rPr>
          <w:lang w:val="en-AU"/>
        </w:rPr>
        <w:t xml:space="preserve"> not </w:t>
      </w:r>
      <w:r w:rsidRPr="00D2313D">
        <w:rPr>
          <w:lang w:val="en-AU"/>
        </w:rPr>
        <w:t>employed</w:t>
      </w:r>
      <w:r w:rsidR="00295848" w:rsidRPr="00D2313D">
        <w:rPr>
          <w:lang w:val="en-AU"/>
        </w:rPr>
        <w:t>, which was virtually unchanged from 2007</w:t>
      </w:r>
      <w:r w:rsidR="0057268F" w:rsidRPr="00D2313D">
        <w:rPr>
          <w:lang w:val="en-AU"/>
        </w:rPr>
        <w:t xml:space="preserve"> (see Table 3.4.2 overleaf)</w:t>
      </w:r>
      <w:r w:rsidRPr="00D2313D">
        <w:rPr>
          <w:lang w:val="en-AU"/>
        </w:rPr>
        <w:t>. Pensioners/retirees (3</w:t>
      </w:r>
      <w:r w:rsidR="00295848" w:rsidRPr="00D2313D">
        <w:rPr>
          <w:lang w:val="en-AU"/>
        </w:rPr>
        <w:t>7</w:t>
      </w:r>
      <w:r w:rsidRPr="00D2313D">
        <w:rPr>
          <w:lang w:val="en-AU"/>
        </w:rPr>
        <w:t>%) and those undertaking home duties (</w:t>
      </w:r>
      <w:r w:rsidR="00295848" w:rsidRPr="00D2313D">
        <w:rPr>
          <w:lang w:val="en-AU"/>
        </w:rPr>
        <w:t>9</w:t>
      </w:r>
      <w:r w:rsidRPr="00D2313D">
        <w:rPr>
          <w:lang w:val="en-AU"/>
        </w:rPr>
        <w:t xml:space="preserve">%) comprised the majority of </w:t>
      </w:r>
      <w:r w:rsidR="00A501E0" w:rsidRPr="00D2313D">
        <w:rPr>
          <w:lang w:val="en-AU"/>
        </w:rPr>
        <w:t xml:space="preserve">those not </w:t>
      </w:r>
      <w:r w:rsidRPr="00D2313D">
        <w:rPr>
          <w:lang w:val="en-AU"/>
        </w:rPr>
        <w:t>employed</w:t>
      </w:r>
      <w:r w:rsidR="00A501E0" w:rsidRPr="00D2313D">
        <w:rPr>
          <w:lang w:val="en-AU"/>
        </w:rPr>
        <w:t>,</w:t>
      </w:r>
      <w:r w:rsidRPr="00D2313D">
        <w:rPr>
          <w:lang w:val="en-AU"/>
        </w:rPr>
        <w:t xml:space="preserve"> while only 3% were looking for work and 2% were studying.  Of those in paid employment, half (5</w:t>
      </w:r>
      <w:r w:rsidR="00295848" w:rsidRPr="00D2313D">
        <w:rPr>
          <w:lang w:val="en-AU"/>
        </w:rPr>
        <w:t>0</w:t>
      </w:r>
      <w:r w:rsidRPr="00D2313D">
        <w:rPr>
          <w:lang w:val="en-AU"/>
        </w:rPr>
        <w:t xml:space="preserve">%) worked full-time, </w:t>
      </w:r>
      <w:r w:rsidR="00295848" w:rsidRPr="00D2313D">
        <w:rPr>
          <w:lang w:val="en-AU"/>
        </w:rPr>
        <w:t>40</w:t>
      </w:r>
      <w:r w:rsidRPr="00D2313D">
        <w:rPr>
          <w:lang w:val="en-AU"/>
        </w:rPr>
        <w:t xml:space="preserve">% worked part-time and </w:t>
      </w:r>
      <w:r w:rsidR="00295848" w:rsidRPr="00D2313D">
        <w:rPr>
          <w:lang w:val="en-AU"/>
        </w:rPr>
        <w:t>8</w:t>
      </w:r>
      <w:r w:rsidRPr="00D2313D">
        <w:rPr>
          <w:lang w:val="en-AU"/>
        </w:rPr>
        <w:t>% were self-employed.</w:t>
      </w:r>
    </w:p>
    <w:p w14:paraId="178C425E" w14:textId="77777777" w:rsidR="00E02C75" w:rsidRPr="00DA3B75" w:rsidRDefault="00E02C75" w:rsidP="00E02C75">
      <w:pPr>
        <w:pStyle w:val="Para"/>
        <w:rPr>
          <w:highlight w:val="yellow"/>
          <w:lang w:val="en-AU"/>
        </w:rPr>
      </w:pPr>
    </w:p>
    <w:p w14:paraId="7ADAC5DE" w14:textId="77777777" w:rsidR="00E02C75" w:rsidRPr="00D2313D" w:rsidRDefault="00E02C75" w:rsidP="00E02C75">
      <w:pPr>
        <w:pStyle w:val="Para"/>
        <w:rPr>
          <w:lang w:val="en-AU"/>
        </w:rPr>
      </w:pPr>
      <w:r w:rsidRPr="00D2313D">
        <w:rPr>
          <w:lang w:val="en-AU"/>
        </w:rPr>
        <w:t>As expected, the large majority (</w:t>
      </w:r>
      <w:r w:rsidR="00295848" w:rsidRPr="00D2313D">
        <w:rPr>
          <w:lang w:val="en-AU"/>
        </w:rPr>
        <w:t>92</w:t>
      </w:r>
      <w:r w:rsidRPr="00D2313D">
        <w:rPr>
          <w:lang w:val="en-AU"/>
        </w:rPr>
        <w:t xml:space="preserve">%) of </w:t>
      </w:r>
      <w:r w:rsidR="000F1EBE" w:rsidRPr="00D2313D">
        <w:rPr>
          <w:lang w:val="en-AU"/>
        </w:rPr>
        <w:t xml:space="preserve">respondents from </w:t>
      </w:r>
      <w:r w:rsidR="00513F11" w:rsidRPr="00D2313D">
        <w:rPr>
          <w:lang w:val="en-AU"/>
        </w:rPr>
        <w:t>aged concession household</w:t>
      </w:r>
      <w:r w:rsidRPr="00D2313D">
        <w:rPr>
          <w:lang w:val="en-AU"/>
        </w:rPr>
        <w:t xml:space="preserve">s were retired </w:t>
      </w:r>
      <w:r w:rsidR="000F1EBE" w:rsidRPr="00D2313D">
        <w:rPr>
          <w:lang w:val="en-AU"/>
        </w:rPr>
        <w:t xml:space="preserve">or pensioners </w:t>
      </w:r>
      <w:r w:rsidRPr="00D2313D">
        <w:rPr>
          <w:lang w:val="en-AU"/>
        </w:rPr>
        <w:t xml:space="preserve">compared with </w:t>
      </w:r>
      <w:r w:rsidR="00295848" w:rsidRPr="00D2313D">
        <w:rPr>
          <w:lang w:val="en-AU"/>
        </w:rPr>
        <w:t xml:space="preserve">just over </w:t>
      </w:r>
      <w:r w:rsidRPr="00D2313D">
        <w:rPr>
          <w:lang w:val="en-AU"/>
        </w:rPr>
        <w:t xml:space="preserve">one-third </w:t>
      </w:r>
      <w:r w:rsidR="00295848" w:rsidRPr="00D2313D">
        <w:rPr>
          <w:lang w:val="en-AU"/>
        </w:rPr>
        <w:t>(3</w:t>
      </w:r>
      <w:r w:rsidR="00D2313D" w:rsidRPr="00D2313D">
        <w:rPr>
          <w:lang w:val="en-AU"/>
        </w:rPr>
        <w:t>4</w:t>
      </w:r>
      <w:r w:rsidR="00295848" w:rsidRPr="00D2313D">
        <w:rPr>
          <w:lang w:val="en-AU"/>
        </w:rPr>
        <w:t xml:space="preserve">%) </w:t>
      </w:r>
      <w:r w:rsidRPr="00D2313D">
        <w:rPr>
          <w:lang w:val="en-AU"/>
        </w:rPr>
        <w:t xml:space="preserve">of </w:t>
      </w:r>
      <w:r w:rsidR="000F1EBE" w:rsidRPr="00D2313D">
        <w:rPr>
          <w:lang w:val="en-AU"/>
        </w:rPr>
        <w:t xml:space="preserve">respondents from </w:t>
      </w:r>
      <w:r w:rsidR="0055008C" w:rsidRPr="00D2313D">
        <w:rPr>
          <w:lang w:val="en-AU"/>
        </w:rPr>
        <w:t>other concession household</w:t>
      </w:r>
      <w:r w:rsidRPr="00D2313D">
        <w:rPr>
          <w:lang w:val="en-AU"/>
        </w:rPr>
        <w:t>s. A</w:t>
      </w:r>
      <w:r w:rsidR="008818BD" w:rsidRPr="00D2313D">
        <w:rPr>
          <w:lang w:val="en-AU"/>
        </w:rPr>
        <w:t>nother one-third (3</w:t>
      </w:r>
      <w:r w:rsidR="00D2313D" w:rsidRPr="00D2313D">
        <w:rPr>
          <w:lang w:val="en-AU"/>
        </w:rPr>
        <w:t>3</w:t>
      </w:r>
      <w:r w:rsidR="008818BD" w:rsidRPr="00D2313D">
        <w:rPr>
          <w:lang w:val="en-AU"/>
        </w:rPr>
        <w:t>%) of respondents from other concession households were employed, though primarily on a part-time</w:t>
      </w:r>
      <w:r w:rsidR="004909F3" w:rsidRPr="00D2313D">
        <w:rPr>
          <w:lang w:val="en-AU"/>
        </w:rPr>
        <w:t xml:space="preserve"> basis</w:t>
      </w:r>
      <w:r w:rsidR="008818BD" w:rsidRPr="00D2313D">
        <w:rPr>
          <w:lang w:val="en-AU"/>
        </w:rPr>
        <w:t xml:space="preserve"> (2</w:t>
      </w:r>
      <w:r w:rsidR="00D2313D" w:rsidRPr="00D2313D">
        <w:rPr>
          <w:lang w:val="en-AU"/>
        </w:rPr>
        <w:t>2</w:t>
      </w:r>
      <w:r w:rsidR="008818BD" w:rsidRPr="00D2313D">
        <w:rPr>
          <w:lang w:val="en-AU"/>
        </w:rPr>
        <w:t>% of all</w:t>
      </w:r>
      <w:r w:rsidRPr="00D2313D">
        <w:rPr>
          <w:lang w:val="en-AU"/>
        </w:rPr>
        <w:t xml:space="preserve"> </w:t>
      </w:r>
      <w:r w:rsidR="008818BD" w:rsidRPr="00D2313D">
        <w:rPr>
          <w:lang w:val="en-AU"/>
        </w:rPr>
        <w:t>other concession households).</w:t>
      </w:r>
      <w:r w:rsidRPr="00D2313D">
        <w:rPr>
          <w:lang w:val="en-AU"/>
        </w:rPr>
        <w:t xml:space="preserve"> </w:t>
      </w:r>
    </w:p>
    <w:p w14:paraId="35E5DEEB" w14:textId="77777777" w:rsidR="00E02C75" w:rsidRPr="00D2313D" w:rsidRDefault="00E02C75" w:rsidP="00E02C75">
      <w:pPr>
        <w:pStyle w:val="Para"/>
        <w:rPr>
          <w:lang w:val="en-AU"/>
        </w:rPr>
      </w:pPr>
    </w:p>
    <w:p w14:paraId="4EA5AE38" w14:textId="77777777" w:rsidR="00E02C75" w:rsidRPr="00D2313D" w:rsidRDefault="008818BD" w:rsidP="00E02C75">
      <w:pPr>
        <w:pStyle w:val="Para"/>
        <w:rPr>
          <w:lang w:val="en-AU"/>
        </w:rPr>
      </w:pPr>
      <w:r w:rsidRPr="00D2313D">
        <w:rPr>
          <w:lang w:val="en-AU"/>
        </w:rPr>
        <w:t xml:space="preserve">Since 1996, the </w:t>
      </w:r>
      <w:r w:rsidR="00E02C75" w:rsidRPr="00D2313D">
        <w:rPr>
          <w:lang w:val="en-AU"/>
        </w:rPr>
        <w:t>proportio</w:t>
      </w:r>
      <w:r w:rsidRPr="00D2313D">
        <w:rPr>
          <w:lang w:val="en-AU"/>
        </w:rPr>
        <w:t>n</w:t>
      </w:r>
      <w:r w:rsidR="003074F6" w:rsidRPr="00D2313D">
        <w:rPr>
          <w:lang w:val="en-AU"/>
        </w:rPr>
        <w:t xml:space="preserve"> of respondents reporting that they</w:t>
      </w:r>
      <w:r w:rsidR="00FF55D5" w:rsidRPr="00D2313D">
        <w:rPr>
          <w:lang w:val="en-AU"/>
        </w:rPr>
        <w:t xml:space="preserve"> </w:t>
      </w:r>
      <w:r w:rsidR="003074F6" w:rsidRPr="00D2313D">
        <w:rPr>
          <w:lang w:val="en-AU"/>
        </w:rPr>
        <w:t>undertake</w:t>
      </w:r>
      <w:r w:rsidRPr="00D2313D">
        <w:rPr>
          <w:lang w:val="en-AU"/>
        </w:rPr>
        <w:t xml:space="preserve"> home duties trended downward </w:t>
      </w:r>
      <w:r w:rsidR="00E02C75" w:rsidRPr="00D2313D">
        <w:rPr>
          <w:lang w:val="en-AU"/>
        </w:rPr>
        <w:t xml:space="preserve">across all </w:t>
      </w:r>
      <w:r w:rsidR="003074F6" w:rsidRPr="00D2313D">
        <w:rPr>
          <w:lang w:val="en-AU"/>
        </w:rPr>
        <w:t>groups</w:t>
      </w:r>
      <w:r w:rsidR="00E02C75" w:rsidRPr="00D2313D">
        <w:rPr>
          <w:lang w:val="en-AU"/>
        </w:rPr>
        <w:t xml:space="preserve">, whilst the opposite trend is evident for </w:t>
      </w:r>
      <w:r w:rsidR="003074F6" w:rsidRPr="00D2313D">
        <w:rPr>
          <w:lang w:val="en-AU"/>
        </w:rPr>
        <w:t xml:space="preserve">the proportion reporting that they are </w:t>
      </w:r>
      <w:r w:rsidR="00E02C75" w:rsidRPr="00D2313D">
        <w:rPr>
          <w:lang w:val="en-AU"/>
        </w:rPr>
        <w:t>pensioners/retirees</w:t>
      </w:r>
      <w:r w:rsidRPr="00D2313D">
        <w:rPr>
          <w:lang w:val="en-AU"/>
        </w:rPr>
        <w:t>,</w:t>
      </w:r>
      <w:r w:rsidR="00E02C75" w:rsidRPr="00D2313D">
        <w:rPr>
          <w:lang w:val="en-AU"/>
        </w:rPr>
        <w:t xml:space="preserve"> indicating an ageing population.  </w:t>
      </w:r>
    </w:p>
    <w:p w14:paraId="451973CF" w14:textId="77777777" w:rsidR="00E02C75" w:rsidRPr="00D2313D" w:rsidRDefault="00E02C75" w:rsidP="00E02C75">
      <w:pPr>
        <w:pStyle w:val="Para"/>
        <w:rPr>
          <w:lang w:val="en-AU"/>
        </w:rPr>
      </w:pPr>
    </w:p>
    <w:p w14:paraId="7C7CA164" w14:textId="77777777" w:rsidR="00E02C75" w:rsidRPr="00D2313D" w:rsidRDefault="008818BD" w:rsidP="00E02C75">
      <w:pPr>
        <w:pStyle w:val="Para"/>
        <w:rPr>
          <w:lang w:val="en-AU"/>
        </w:rPr>
      </w:pPr>
      <w:r w:rsidRPr="00D2313D">
        <w:rPr>
          <w:lang w:val="en-AU"/>
        </w:rPr>
        <w:t>There was little difference between respondents from Melbourne and country Victoria in terms of likelihood to</w:t>
      </w:r>
      <w:r w:rsidR="00D2313D" w:rsidRPr="00D2313D">
        <w:rPr>
          <w:lang w:val="en-AU"/>
        </w:rPr>
        <w:t xml:space="preserve"> be employed in some fashion (48% and 47</w:t>
      </w:r>
      <w:r w:rsidRPr="00D2313D">
        <w:rPr>
          <w:lang w:val="en-AU"/>
        </w:rPr>
        <w:t>% respectively), though those from Melbourne were more likely to be employed on a full time basis (25%, compared with 20% for those in country Victoria).</w:t>
      </w:r>
    </w:p>
    <w:p w14:paraId="54486752" w14:textId="77777777" w:rsidR="00E02C75" w:rsidRPr="00DA3B75" w:rsidRDefault="00E02C75" w:rsidP="00E02C75">
      <w:pPr>
        <w:pStyle w:val="Para"/>
        <w:rPr>
          <w:highlight w:val="yellow"/>
          <w:lang w:val="en-AU"/>
        </w:rPr>
      </w:pPr>
    </w:p>
    <w:p w14:paraId="78B0A780" w14:textId="77777777" w:rsidR="00E02C75" w:rsidRPr="00D2313D" w:rsidRDefault="007911C3" w:rsidP="00562A28">
      <w:pPr>
        <w:pStyle w:val="Para"/>
        <w:spacing w:after="120"/>
        <w:jc w:val="center"/>
        <w:outlineLvl w:val="0"/>
        <w:rPr>
          <w:lang w:val="en-AU"/>
        </w:rPr>
      </w:pPr>
      <w:r w:rsidRPr="00DA3B75">
        <w:rPr>
          <w:b/>
          <w:highlight w:val="yellow"/>
          <w:lang w:val="en-AU"/>
        </w:rPr>
        <w:br w:type="page"/>
      </w:r>
      <w:r w:rsidR="00E02C75" w:rsidRPr="00D2313D">
        <w:rPr>
          <w:b/>
          <w:lang w:val="en-AU"/>
        </w:rPr>
        <w:lastRenderedPageBreak/>
        <w:t xml:space="preserve">Table 3.4.2: </w:t>
      </w:r>
      <w:r w:rsidR="00E02C75" w:rsidRPr="00D2313D">
        <w:rPr>
          <w:b/>
          <w:u w:val="single"/>
          <w:lang w:val="en-AU"/>
        </w:rPr>
        <w:t xml:space="preserve">Employment Status by </w:t>
      </w:r>
      <w:r w:rsidR="00FF55D5" w:rsidRPr="00D2313D">
        <w:rPr>
          <w:b/>
          <w:u w:val="single"/>
          <w:lang w:val="en-AU"/>
        </w:rPr>
        <w:t>Concession Status</w:t>
      </w:r>
    </w:p>
    <w:p w14:paraId="2C16DD3A" w14:textId="77777777" w:rsidR="008818BD" w:rsidRPr="00D2313D" w:rsidRDefault="008818BD" w:rsidP="00731A9E">
      <w:pPr>
        <w:pStyle w:val="Para"/>
        <w:spacing w:line="240" w:lineRule="auto"/>
        <w:ind w:left="-284"/>
        <w:rPr>
          <w:sz w:val="22"/>
          <w:lang w:val="en-AU"/>
        </w:rPr>
      </w:pPr>
    </w:p>
    <w:tbl>
      <w:tblPr>
        <w:tblW w:w="14093" w:type="dxa"/>
        <w:jc w:val="center"/>
        <w:tblLook w:val="04A0" w:firstRow="1" w:lastRow="0" w:firstColumn="1" w:lastColumn="0" w:noHBand="0" w:noVBand="1"/>
      </w:tblPr>
      <w:tblGrid>
        <w:gridCol w:w="2833"/>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B75952" w:rsidRPr="00D2313D" w14:paraId="2F7F911E" w14:textId="77777777" w:rsidTr="00562A28">
        <w:trPr>
          <w:trHeight w:val="325"/>
          <w:jc w:val="center"/>
        </w:trPr>
        <w:tc>
          <w:tcPr>
            <w:tcW w:w="2833" w:type="dxa"/>
            <w:vMerge w:val="restart"/>
            <w:tcBorders>
              <w:top w:val="double" w:sz="6" w:space="0" w:color="auto"/>
              <w:left w:val="double" w:sz="6" w:space="0" w:color="auto"/>
              <w:bottom w:val="single" w:sz="4" w:space="0" w:color="BFBFBF"/>
              <w:right w:val="nil"/>
            </w:tcBorders>
            <w:shd w:val="clear" w:color="auto" w:fill="auto"/>
            <w:noWrap/>
            <w:vAlign w:val="center"/>
          </w:tcPr>
          <w:p w14:paraId="0431BA23" w14:textId="77777777" w:rsidR="00B75952" w:rsidRPr="00D2313D" w:rsidRDefault="00B75952" w:rsidP="00B75952">
            <w:pPr>
              <w:spacing w:before="0" w:after="0"/>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Employment Status</w:t>
            </w:r>
          </w:p>
        </w:tc>
        <w:tc>
          <w:tcPr>
            <w:tcW w:w="2251"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02BE8FCF" w14:textId="77777777" w:rsidR="00B75952" w:rsidRPr="00D2313D" w:rsidRDefault="00B75952" w:rsidP="00B75952">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Aged Concession HHs</w:t>
            </w:r>
          </w:p>
        </w:tc>
        <w:tc>
          <w:tcPr>
            <w:tcW w:w="2251" w:type="dxa"/>
            <w:gridSpan w:val="4"/>
            <w:tcBorders>
              <w:top w:val="double" w:sz="6" w:space="0" w:color="auto"/>
              <w:left w:val="nil"/>
              <w:bottom w:val="single" w:sz="4" w:space="0" w:color="BFBFBF"/>
              <w:right w:val="single" w:sz="4" w:space="0" w:color="BFBFBF"/>
            </w:tcBorders>
            <w:shd w:val="clear" w:color="auto" w:fill="auto"/>
            <w:noWrap/>
            <w:vAlign w:val="center"/>
          </w:tcPr>
          <w:p w14:paraId="639FA96D" w14:textId="77777777" w:rsidR="00B75952" w:rsidRPr="00D2313D" w:rsidRDefault="00B75952" w:rsidP="00B75952">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Other Concession HHs</w:t>
            </w:r>
          </w:p>
        </w:tc>
        <w:tc>
          <w:tcPr>
            <w:tcW w:w="2251"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7F33A166" w14:textId="77777777" w:rsidR="00B75952" w:rsidRPr="00D2313D" w:rsidRDefault="00B75952" w:rsidP="00B75952">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Total Concession HHs</w:t>
            </w:r>
          </w:p>
        </w:tc>
        <w:tc>
          <w:tcPr>
            <w:tcW w:w="2251" w:type="dxa"/>
            <w:gridSpan w:val="4"/>
            <w:tcBorders>
              <w:top w:val="double" w:sz="6" w:space="0" w:color="auto"/>
              <w:left w:val="nil"/>
              <w:bottom w:val="single" w:sz="4" w:space="0" w:color="BFBFBF"/>
              <w:right w:val="single" w:sz="4" w:space="0" w:color="BFBFBF"/>
            </w:tcBorders>
            <w:shd w:val="clear" w:color="auto" w:fill="auto"/>
            <w:noWrap/>
            <w:vAlign w:val="center"/>
          </w:tcPr>
          <w:p w14:paraId="7AC3BEFC" w14:textId="77777777" w:rsidR="00B75952" w:rsidRPr="00D2313D" w:rsidRDefault="00B75952" w:rsidP="00B75952">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Non-Concession HHs</w:t>
            </w:r>
          </w:p>
        </w:tc>
        <w:tc>
          <w:tcPr>
            <w:tcW w:w="2251" w:type="dxa"/>
            <w:gridSpan w:val="4"/>
            <w:tcBorders>
              <w:top w:val="double" w:sz="6" w:space="0" w:color="auto"/>
              <w:left w:val="single" w:sz="4" w:space="0" w:color="auto"/>
              <w:bottom w:val="single" w:sz="4" w:space="0" w:color="BFBFBF"/>
              <w:right w:val="double" w:sz="6" w:space="0" w:color="000000"/>
            </w:tcBorders>
            <w:shd w:val="clear" w:color="auto" w:fill="auto"/>
            <w:noWrap/>
            <w:vAlign w:val="center"/>
          </w:tcPr>
          <w:p w14:paraId="4282D058" w14:textId="77777777" w:rsidR="00B75952" w:rsidRPr="00D2313D" w:rsidRDefault="00B75952" w:rsidP="00B75952">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Total HHs</w:t>
            </w:r>
          </w:p>
        </w:tc>
      </w:tr>
      <w:tr w:rsidR="00B75952" w:rsidRPr="00D2313D" w14:paraId="4CFB254F" w14:textId="77777777" w:rsidTr="0059723A">
        <w:trPr>
          <w:trHeight w:val="244"/>
          <w:jc w:val="center"/>
        </w:trPr>
        <w:tc>
          <w:tcPr>
            <w:tcW w:w="2833" w:type="dxa"/>
            <w:vMerge/>
            <w:tcBorders>
              <w:top w:val="double" w:sz="6" w:space="0" w:color="auto"/>
              <w:left w:val="double" w:sz="6" w:space="0" w:color="auto"/>
              <w:bottom w:val="single" w:sz="4" w:space="0" w:color="BFBFBF"/>
              <w:right w:val="nil"/>
            </w:tcBorders>
            <w:vAlign w:val="center"/>
          </w:tcPr>
          <w:p w14:paraId="4BEEFADF" w14:textId="77777777" w:rsidR="00B75952" w:rsidRPr="00D2313D" w:rsidRDefault="00B75952" w:rsidP="00B75952">
            <w:pPr>
              <w:spacing w:before="0" w:after="0"/>
              <w:rPr>
                <w:rFonts w:ascii="Arial" w:hAnsi="Arial" w:cs="Arial"/>
                <w:b/>
                <w:bCs/>
                <w:color w:val="000000"/>
                <w:sz w:val="16"/>
                <w:szCs w:val="16"/>
                <w:lang w:val="en-AU" w:eastAsia="en-AU"/>
              </w:rPr>
            </w:pP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2A1B2816"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2014</w:t>
            </w:r>
          </w:p>
        </w:tc>
        <w:tc>
          <w:tcPr>
            <w:tcW w:w="563" w:type="dxa"/>
            <w:tcBorders>
              <w:top w:val="nil"/>
              <w:left w:val="nil"/>
              <w:bottom w:val="single" w:sz="4" w:space="0" w:color="BFBFBF"/>
              <w:right w:val="single" w:sz="4" w:space="0" w:color="BFBFBF"/>
            </w:tcBorders>
            <w:shd w:val="clear" w:color="auto" w:fill="auto"/>
            <w:noWrap/>
            <w:vAlign w:val="center"/>
          </w:tcPr>
          <w:p w14:paraId="6EDD9D1F"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2007</w:t>
            </w:r>
          </w:p>
        </w:tc>
        <w:tc>
          <w:tcPr>
            <w:tcW w:w="563" w:type="dxa"/>
            <w:tcBorders>
              <w:top w:val="nil"/>
              <w:left w:val="nil"/>
              <w:bottom w:val="single" w:sz="4" w:space="0" w:color="BFBFBF"/>
              <w:right w:val="single" w:sz="4" w:space="0" w:color="BFBFBF"/>
            </w:tcBorders>
            <w:shd w:val="clear" w:color="auto" w:fill="auto"/>
            <w:noWrap/>
            <w:vAlign w:val="center"/>
          </w:tcPr>
          <w:p w14:paraId="46E192E4"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2001</w:t>
            </w:r>
          </w:p>
        </w:tc>
        <w:tc>
          <w:tcPr>
            <w:tcW w:w="563" w:type="dxa"/>
            <w:tcBorders>
              <w:top w:val="nil"/>
              <w:left w:val="nil"/>
              <w:bottom w:val="single" w:sz="4" w:space="0" w:color="BFBFBF"/>
              <w:right w:val="single" w:sz="4" w:space="0" w:color="auto"/>
            </w:tcBorders>
            <w:shd w:val="clear" w:color="auto" w:fill="auto"/>
            <w:noWrap/>
            <w:vAlign w:val="center"/>
          </w:tcPr>
          <w:p w14:paraId="56CD0C91"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1996</w:t>
            </w:r>
          </w:p>
        </w:tc>
        <w:tc>
          <w:tcPr>
            <w:tcW w:w="563" w:type="dxa"/>
            <w:tcBorders>
              <w:top w:val="nil"/>
              <w:left w:val="nil"/>
              <w:bottom w:val="single" w:sz="4" w:space="0" w:color="BFBFBF"/>
              <w:right w:val="single" w:sz="4" w:space="0" w:color="BFBFBF"/>
            </w:tcBorders>
            <w:shd w:val="clear" w:color="auto" w:fill="auto"/>
            <w:noWrap/>
            <w:vAlign w:val="center"/>
          </w:tcPr>
          <w:p w14:paraId="13680B6B"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2014</w:t>
            </w:r>
          </w:p>
        </w:tc>
        <w:tc>
          <w:tcPr>
            <w:tcW w:w="563" w:type="dxa"/>
            <w:tcBorders>
              <w:top w:val="nil"/>
              <w:left w:val="nil"/>
              <w:bottom w:val="single" w:sz="4" w:space="0" w:color="BFBFBF"/>
              <w:right w:val="single" w:sz="4" w:space="0" w:color="BFBFBF"/>
            </w:tcBorders>
            <w:shd w:val="clear" w:color="auto" w:fill="auto"/>
            <w:noWrap/>
            <w:vAlign w:val="center"/>
          </w:tcPr>
          <w:p w14:paraId="198ABB33"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2007</w:t>
            </w:r>
          </w:p>
        </w:tc>
        <w:tc>
          <w:tcPr>
            <w:tcW w:w="563" w:type="dxa"/>
            <w:tcBorders>
              <w:top w:val="nil"/>
              <w:left w:val="nil"/>
              <w:bottom w:val="single" w:sz="4" w:space="0" w:color="BFBFBF"/>
              <w:right w:val="single" w:sz="4" w:space="0" w:color="BFBFBF"/>
            </w:tcBorders>
            <w:shd w:val="clear" w:color="auto" w:fill="auto"/>
            <w:noWrap/>
            <w:vAlign w:val="center"/>
          </w:tcPr>
          <w:p w14:paraId="7A3C5742"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2001</w:t>
            </w:r>
          </w:p>
        </w:tc>
        <w:tc>
          <w:tcPr>
            <w:tcW w:w="563" w:type="dxa"/>
            <w:tcBorders>
              <w:top w:val="nil"/>
              <w:left w:val="nil"/>
              <w:bottom w:val="single" w:sz="4" w:space="0" w:color="BFBFBF"/>
              <w:right w:val="nil"/>
            </w:tcBorders>
            <w:shd w:val="clear" w:color="auto" w:fill="auto"/>
            <w:noWrap/>
            <w:vAlign w:val="center"/>
          </w:tcPr>
          <w:p w14:paraId="77EC86F8"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1996</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4802CC02"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2014</w:t>
            </w:r>
          </w:p>
        </w:tc>
        <w:tc>
          <w:tcPr>
            <w:tcW w:w="563" w:type="dxa"/>
            <w:tcBorders>
              <w:top w:val="nil"/>
              <w:left w:val="nil"/>
              <w:bottom w:val="single" w:sz="4" w:space="0" w:color="BFBFBF"/>
              <w:right w:val="single" w:sz="4" w:space="0" w:color="BFBFBF"/>
            </w:tcBorders>
            <w:shd w:val="clear" w:color="auto" w:fill="auto"/>
            <w:noWrap/>
            <w:vAlign w:val="center"/>
          </w:tcPr>
          <w:p w14:paraId="2E594291"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2007</w:t>
            </w:r>
          </w:p>
        </w:tc>
        <w:tc>
          <w:tcPr>
            <w:tcW w:w="563" w:type="dxa"/>
            <w:tcBorders>
              <w:top w:val="nil"/>
              <w:left w:val="nil"/>
              <w:bottom w:val="single" w:sz="4" w:space="0" w:color="BFBFBF"/>
              <w:right w:val="single" w:sz="4" w:space="0" w:color="BFBFBF"/>
            </w:tcBorders>
            <w:shd w:val="clear" w:color="auto" w:fill="auto"/>
            <w:noWrap/>
            <w:vAlign w:val="center"/>
          </w:tcPr>
          <w:p w14:paraId="315B8659"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2001</w:t>
            </w:r>
          </w:p>
        </w:tc>
        <w:tc>
          <w:tcPr>
            <w:tcW w:w="563" w:type="dxa"/>
            <w:tcBorders>
              <w:top w:val="nil"/>
              <w:left w:val="nil"/>
              <w:bottom w:val="single" w:sz="4" w:space="0" w:color="BFBFBF"/>
              <w:right w:val="single" w:sz="4" w:space="0" w:color="auto"/>
            </w:tcBorders>
            <w:shd w:val="clear" w:color="auto" w:fill="auto"/>
            <w:noWrap/>
            <w:vAlign w:val="center"/>
          </w:tcPr>
          <w:p w14:paraId="1F3DDDB9"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1996</w:t>
            </w:r>
          </w:p>
        </w:tc>
        <w:tc>
          <w:tcPr>
            <w:tcW w:w="563" w:type="dxa"/>
            <w:tcBorders>
              <w:top w:val="nil"/>
              <w:left w:val="nil"/>
              <w:bottom w:val="single" w:sz="4" w:space="0" w:color="BFBFBF"/>
              <w:right w:val="single" w:sz="4" w:space="0" w:color="BFBFBF"/>
            </w:tcBorders>
            <w:shd w:val="clear" w:color="auto" w:fill="auto"/>
            <w:noWrap/>
            <w:vAlign w:val="center"/>
          </w:tcPr>
          <w:p w14:paraId="236FD06F"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2014</w:t>
            </w:r>
          </w:p>
        </w:tc>
        <w:tc>
          <w:tcPr>
            <w:tcW w:w="563" w:type="dxa"/>
            <w:tcBorders>
              <w:top w:val="nil"/>
              <w:left w:val="nil"/>
              <w:bottom w:val="single" w:sz="4" w:space="0" w:color="BFBFBF"/>
              <w:right w:val="single" w:sz="4" w:space="0" w:color="BFBFBF"/>
            </w:tcBorders>
            <w:shd w:val="clear" w:color="auto" w:fill="auto"/>
            <w:noWrap/>
            <w:vAlign w:val="center"/>
          </w:tcPr>
          <w:p w14:paraId="139BFE14"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2007</w:t>
            </w:r>
          </w:p>
        </w:tc>
        <w:tc>
          <w:tcPr>
            <w:tcW w:w="563" w:type="dxa"/>
            <w:tcBorders>
              <w:top w:val="nil"/>
              <w:left w:val="nil"/>
              <w:bottom w:val="single" w:sz="4" w:space="0" w:color="BFBFBF"/>
              <w:right w:val="single" w:sz="4" w:space="0" w:color="BFBFBF"/>
            </w:tcBorders>
            <w:shd w:val="clear" w:color="auto" w:fill="auto"/>
            <w:noWrap/>
            <w:vAlign w:val="center"/>
          </w:tcPr>
          <w:p w14:paraId="626F113E"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2001</w:t>
            </w:r>
          </w:p>
        </w:tc>
        <w:tc>
          <w:tcPr>
            <w:tcW w:w="563" w:type="dxa"/>
            <w:tcBorders>
              <w:top w:val="nil"/>
              <w:left w:val="nil"/>
              <w:bottom w:val="single" w:sz="4" w:space="0" w:color="BFBFBF"/>
              <w:right w:val="nil"/>
            </w:tcBorders>
            <w:shd w:val="clear" w:color="auto" w:fill="auto"/>
            <w:noWrap/>
            <w:vAlign w:val="center"/>
          </w:tcPr>
          <w:p w14:paraId="59F55868"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1996</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344D624D"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2014</w:t>
            </w:r>
          </w:p>
        </w:tc>
        <w:tc>
          <w:tcPr>
            <w:tcW w:w="563" w:type="dxa"/>
            <w:tcBorders>
              <w:top w:val="nil"/>
              <w:left w:val="nil"/>
              <w:bottom w:val="single" w:sz="4" w:space="0" w:color="BFBFBF"/>
              <w:right w:val="single" w:sz="4" w:space="0" w:color="BFBFBF"/>
            </w:tcBorders>
            <w:shd w:val="clear" w:color="auto" w:fill="auto"/>
            <w:noWrap/>
            <w:vAlign w:val="center"/>
          </w:tcPr>
          <w:p w14:paraId="17C0F99E"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2007</w:t>
            </w:r>
          </w:p>
        </w:tc>
        <w:tc>
          <w:tcPr>
            <w:tcW w:w="563" w:type="dxa"/>
            <w:tcBorders>
              <w:top w:val="nil"/>
              <w:left w:val="nil"/>
              <w:bottom w:val="single" w:sz="4" w:space="0" w:color="BFBFBF"/>
              <w:right w:val="single" w:sz="4" w:space="0" w:color="BFBFBF"/>
            </w:tcBorders>
            <w:shd w:val="clear" w:color="auto" w:fill="auto"/>
            <w:noWrap/>
            <w:vAlign w:val="center"/>
          </w:tcPr>
          <w:p w14:paraId="6134ED7A"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2001</w:t>
            </w:r>
          </w:p>
        </w:tc>
        <w:tc>
          <w:tcPr>
            <w:tcW w:w="563" w:type="dxa"/>
            <w:tcBorders>
              <w:top w:val="nil"/>
              <w:left w:val="nil"/>
              <w:bottom w:val="single" w:sz="4" w:space="0" w:color="BFBFBF"/>
              <w:right w:val="double" w:sz="6" w:space="0" w:color="auto"/>
            </w:tcBorders>
            <w:shd w:val="clear" w:color="auto" w:fill="auto"/>
            <w:noWrap/>
            <w:vAlign w:val="center"/>
          </w:tcPr>
          <w:p w14:paraId="46873B4F"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1996</w:t>
            </w:r>
          </w:p>
        </w:tc>
      </w:tr>
      <w:tr w:rsidR="00B75952" w:rsidRPr="00D2313D" w14:paraId="178D242E" w14:textId="77777777" w:rsidTr="0059723A">
        <w:trPr>
          <w:trHeight w:val="244"/>
          <w:jc w:val="center"/>
        </w:trPr>
        <w:tc>
          <w:tcPr>
            <w:tcW w:w="2833" w:type="dxa"/>
            <w:tcBorders>
              <w:top w:val="nil"/>
              <w:left w:val="double" w:sz="6" w:space="0" w:color="auto"/>
              <w:bottom w:val="single" w:sz="4" w:space="0" w:color="BFBFBF"/>
              <w:right w:val="nil"/>
            </w:tcBorders>
            <w:shd w:val="clear" w:color="auto" w:fill="auto"/>
            <w:noWrap/>
            <w:vAlign w:val="center"/>
          </w:tcPr>
          <w:p w14:paraId="59D318D8" w14:textId="77777777" w:rsidR="00B75952" w:rsidRPr="00D2313D" w:rsidRDefault="00B75952" w:rsidP="00B75952">
            <w:pPr>
              <w:spacing w:before="0" w:after="0"/>
              <w:rPr>
                <w:rFonts w:ascii="Arial" w:hAnsi="Arial" w:cs="Arial"/>
                <w:color w:val="000000"/>
                <w:sz w:val="16"/>
                <w:szCs w:val="16"/>
                <w:lang w:val="en-AU" w:eastAsia="en-AU"/>
              </w:rPr>
            </w:pPr>
            <w:r w:rsidRPr="00D2313D">
              <w:rPr>
                <w:rFonts w:ascii="Arial" w:hAnsi="Arial" w:cs="Arial"/>
                <w:color w:val="000000"/>
                <w:sz w:val="16"/>
                <w:szCs w:val="16"/>
                <w:lang w:val="en-AU" w:eastAsia="en-AU"/>
              </w:rPr>
              <w:t>Full Time Employment</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126D0BC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7C6AC8E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27AA5BC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auto"/>
            </w:tcBorders>
            <w:shd w:val="clear" w:color="auto" w:fill="auto"/>
            <w:noWrap/>
            <w:vAlign w:val="center"/>
          </w:tcPr>
          <w:p w14:paraId="4D8F9F8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19E9089E"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w:t>
            </w:r>
          </w:p>
        </w:tc>
        <w:tc>
          <w:tcPr>
            <w:tcW w:w="563" w:type="dxa"/>
            <w:tcBorders>
              <w:top w:val="nil"/>
              <w:left w:val="nil"/>
              <w:bottom w:val="single" w:sz="4" w:space="0" w:color="BFBFBF"/>
              <w:right w:val="single" w:sz="4" w:space="0" w:color="BFBFBF"/>
            </w:tcBorders>
            <w:shd w:val="clear" w:color="auto" w:fill="auto"/>
            <w:noWrap/>
            <w:vAlign w:val="center"/>
          </w:tcPr>
          <w:p w14:paraId="1BFC5CC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6%</w:t>
            </w:r>
          </w:p>
        </w:tc>
        <w:tc>
          <w:tcPr>
            <w:tcW w:w="563" w:type="dxa"/>
            <w:tcBorders>
              <w:top w:val="nil"/>
              <w:left w:val="nil"/>
              <w:bottom w:val="single" w:sz="4" w:space="0" w:color="BFBFBF"/>
              <w:right w:val="single" w:sz="4" w:space="0" w:color="BFBFBF"/>
            </w:tcBorders>
            <w:shd w:val="clear" w:color="auto" w:fill="auto"/>
            <w:noWrap/>
            <w:vAlign w:val="center"/>
          </w:tcPr>
          <w:p w14:paraId="3B8128A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4%</w:t>
            </w:r>
          </w:p>
        </w:tc>
        <w:tc>
          <w:tcPr>
            <w:tcW w:w="563" w:type="dxa"/>
            <w:tcBorders>
              <w:top w:val="nil"/>
              <w:left w:val="nil"/>
              <w:bottom w:val="single" w:sz="4" w:space="0" w:color="BFBFBF"/>
              <w:right w:val="nil"/>
            </w:tcBorders>
            <w:shd w:val="clear" w:color="auto" w:fill="auto"/>
            <w:noWrap/>
            <w:vAlign w:val="center"/>
          </w:tcPr>
          <w:p w14:paraId="65012BAA"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7%</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78F4FDE8" w14:textId="77777777" w:rsidR="00B75952" w:rsidRPr="00D2313D" w:rsidRDefault="00D2313D"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r w:rsidR="00B75952"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69BDB5B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single" w:sz="4" w:space="0" w:color="BFBFBF"/>
            </w:tcBorders>
            <w:shd w:val="clear" w:color="auto" w:fill="auto"/>
            <w:noWrap/>
            <w:vAlign w:val="center"/>
          </w:tcPr>
          <w:p w14:paraId="2DF1719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single" w:sz="4" w:space="0" w:color="auto"/>
            </w:tcBorders>
            <w:shd w:val="clear" w:color="auto" w:fill="auto"/>
            <w:noWrap/>
            <w:vAlign w:val="center"/>
          </w:tcPr>
          <w:p w14:paraId="229EAF14"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single" w:sz="4" w:space="0" w:color="BFBFBF"/>
            </w:tcBorders>
            <w:shd w:val="clear" w:color="auto" w:fill="auto"/>
            <w:noWrap/>
            <w:vAlign w:val="center"/>
          </w:tcPr>
          <w:p w14:paraId="3CAF5F38" w14:textId="77777777" w:rsidR="00B75952" w:rsidRPr="00D2313D" w:rsidRDefault="00B75952" w:rsidP="00D2313D">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4</w:t>
            </w:r>
            <w:r w:rsidR="00D2313D" w:rsidRPr="00D2313D">
              <w:rPr>
                <w:rFonts w:ascii="Arial" w:hAnsi="Arial" w:cs="Arial"/>
                <w:color w:val="000000"/>
                <w:sz w:val="16"/>
                <w:szCs w:val="16"/>
                <w:lang w:val="en-AU" w:eastAsia="en-AU"/>
              </w:rPr>
              <w:t>1</w:t>
            </w: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2EE4AFBA"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42%</w:t>
            </w:r>
          </w:p>
        </w:tc>
        <w:tc>
          <w:tcPr>
            <w:tcW w:w="563" w:type="dxa"/>
            <w:tcBorders>
              <w:top w:val="nil"/>
              <w:left w:val="nil"/>
              <w:bottom w:val="single" w:sz="4" w:space="0" w:color="BFBFBF"/>
              <w:right w:val="single" w:sz="4" w:space="0" w:color="BFBFBF"/>
            </w:tcBorders>
            <w:shd w:val="clear" w:color="auto" w:fill="auto"/>
            <w:noWrap/>
            <w:vAlign w:val="center"/>
          </w:tcPr>
          <w:p w14:paraId="163637E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36%</w:t>
            </w:r>
          </w:p>
        </w:tc>
        <w:tc>
          <w:tcPr>
            <w:tcW w:w="563" w:type="dxa"/>
            <w:tcBorders>
              <w:top w:val="nil"/>
              <w:left w:val="nil"/>
              <w:bottom w:val="single" w:sz="4" w:space="0" w:color="BFBFBF"/>
              <w:right w:val="nil"/>
            </w:tcBorders>
            <w:shd w:val="clear" w:color="auto" w:fill="auto"/>
            <w:noWrap/>
            <w:vAlign w:val="center"/>
          </w:tcPr>
          <w:p w14:paraId="390A8D4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45%</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64D9BA4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24%</w:t>
            </w:r>
          </w:p>
        </w:tc>
        <w:tc>
          <w:tcPr>
            <w:tcW w:w="563" w:type="dxa"/>
            <w:tcBorders>
              <w:top w:val="nil"/>
              <w:left w:val="nil"/>
              <w:bottom w:val="single" w:sz="4" w:space="0" w:color="BFBFBF"/>
              <w:right w:val="single" w:sz="4" w:space="0" w:color="BFBFBF"/>
            </w:tcBorders>
            <w:shd w:val="clear" w:color="auto" w:fill="auto"/>
            <w:noWrap/>
            <w:vAlign w:val="center"/>
          </w:tcPr>
          <w:p w14:paraId="0FCBEA1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26%</w:t>
            </w:r>
          </w:p>
        </w:tc>
        <w:tc>
          <w:tcPr>
            <w:tcW w:w="563" w:type="dxa"/>
            <w:tcBorders>
              <w:top w:val="nil"/>
              <w:left w:val="nil"/>
              <w:bottom w:val="single" w:sz="4" w:space="0" w:color="BFBFBF"/>
              <w:right w:val="single" w:sz="4" w:space="0" w:color="BFBFBF"/>
            </w:tcBorders>
            <w:shd w:val="clear" w:color="auto" w:fill="auto"/>
            <w:noWrap/>
            <w:vAlign w:val="center"/>
          </w:tcPr>
          <w:p w14:paraId="1CE06C5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23%</w:t>
            </w:r>
          </w:p>
        </w:tc>
        <w:tc>
          <w:tcPr>
            <w:tcW w:w="563" w:type="dxa"/>
            <w:tcBorders>
              <w:top w:val="nil"/>
              <w:left w:val="nil"/>
              <w:bottom w:val="single" w:sz="4" w:space="0" w:color="BFBFBF"/>
              <w:right w:val="double" w:sz="6" w:space="0" w:color="auto"/>
            </w:tcBorders>
            <w:shd w:val="clear" w:color="auto" w:fill="auto"/>
            <w:noWrap/>
            <w:vAlign w:val="center"/>
          </w:tcPr>
          <w:p w14:paraId="68A831D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28%</w:t>
            </w:r>
          </w:p>
        </w:tc>
      </w:tr>
      <w:tr w:rsidR="00B75952" w:rsidRPr="00D2313D" w14:paraId="3A8695FD" w14:textId="77777777" w:rsidTr="0059723A">
        <w:trPr>
          <w:trHeight w:val="244"/>
          <w:jc w:val="center"/>
        </w:trPr>
        <w:tc>
          <w:tcPr>
            <w:tcW w:w="2833" w:type="dxa"/>
            <w:tcBorders>
              <w:top w:val="nil"/>
              <w:left w:val="double" w:sz="6" w:space="0" w:color="auto"/>
              <w:bottom w:val="single" w:sz="4" w:space="0" w:color="BFBFBF"/>
              <w:right w:val="nil"/>
            </w:tcBorders>
            <w:shd w:val="clear" w:color="auto" w:fill="auto"/>
            <w:noWrap/>
            <w:vAlign w:val="center"/>
          </w:tcPr>
          <w:p w14:paraId="1CB1C417" w14:textId="77777777" w:rsidR="00B75952" w:rsidRPr="00D2313D" w:rsidRDefault="00B75952" w:rsidP="00B75952">
            <w:pPr>
              <w:spacing w:before="0" w:after="0"/>
              <w:rPr>
                <w:rFonts w:ascii="Arial" w:hAnsi="Arial" w:cs="Arial"/>
                <w:color w:val="000000"/>
                <w:sz w:val="16"/>
                <w:szCs w:val="16"/>
                <w:lang w:val="en-AU" w:eastAsia="en-AU"/>
              </w:rPr>
            </w:pPr>
            <w:r w:rsidRPr="00D2313D">
              <w:rPr>
                <w:rFonts w:ascii="Arial" w:hAnsi="Arial" w:cs="Arial"/>
                <w:color w:val="000000"/>
                <w:sz w:val="16"/>
                <w:szCs w:val="16"/>
                <w:lang w:val="en-AU" w:eastAsia="en-AU"/>
              </w:rPr>
              <w:t>Part Time Employment</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6ABC75DA" w14:textId="77777777" w:rsidR="00B75952" w:rsidRPr="00D2313D" w:rsidRDefault="00D2313D" w:rsidP="00D2313D">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w:t>
            </w:r>
            <w:r w:rsidR="00B75952"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5B0221AE"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single" w:sz="4" w:space="0" w:color="BFBFBF"/>
            </w:tcBorders>
            <w:shd w:val="clear" w:color="auto" w:fill="auto"/>
            <w:noWrap/>
            <w:vAlign w:val="center"/>
          </w:tcPr>
          <w:p w14:paraId="7BD3093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single" w:sz="4" w:space="0" w:color="auto"/>
            </w:tcBorders>
            <w:shd w:val="clear" w:color="auto" w:fill="auto"/>
            <w:noWrap/>
            <w:vAlign w:val="center"/>
          </w:tcPr>
          <w:p w14:paraId="6A15909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single" w:sz="4" w:space="0" w:color="BFBFBF"/>
              <w:right w:val="single" w:sz="4" w:space="0" w:color="BFBFBF"/>
            </w:tcBorders>
            <w:shd w:val="clear" w:color="auto" w:fill="auto"/>
            <w:noWrap/>
            <w:vAlign w:val="center"/>
          </w:tcPr>
          <w:p w14:paraId="5858FCBF" w14:textId="77777777" w:rsidR="00B75952" w:rsidRPr="00D2313D" w:rsidRDefault="00B75952" w:rsidP="00D2313D">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r w:rsidR="00D2313D" w:rsidRPr="00D2313D">
              <w:rPr>
                <w:rFonts w:ascii="Arial" w:hAnsi="Arial" w:cs="Arial"/>
                <w:color w:val="000000"/>
                <w:sz w:val="16"/>
                <w:szCs w:val="16"/>
                <w:lang w:val="en-AU" w:eastAsia="en-AU"/>
              </w:rPr>
              <w:t>2</w:t>
            </w: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68E509F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13%</w:t>
            </w:r>
          </w:p>
        </w:tc>
        <w:tc>
          <w:tcPr>
            <w:tcW w:w="563" w:type="dxa"/>
            <w:tcBorders>
              <w:top w:val="nil"/>
              <w:left w:val="nil"/>
              <w:bottom w:val="single" w:sz="4" w:space="0" w:color="BFBFBF"/>
              <w:right w:val="single" w:sz="4" w:space="0" w:color="BFBFBF"/>
            </w:tcBorders>
            <w:shd w:val="clear" w:color="auto" w:fill="auto"/>
            <w:noWrap/>
            <w:vAlign w:val="center"/>
          </w:tcPr>
          <w:p w14:paraId="35BB6B9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14%</w:t>
            </w:r>
          </w:p>
        </w:tc>
        <w:tc>
          <w:tcPr>
            <w:tcW w:w="563" w:type="dxa"/>
            <w:tcBorders>
              <w:top w:val="nil"/>
              <w:left w:val="nil"/>
              <w:bottom w:val="single" w:sz="4" w:space="0" w:color="BFBFBF"/>
              <w:right w:val="nil"/>
            </w:tcBorders>
            <w:shd w:val="clear" w:color="auto" w:fill="auto"/>
            <w:noWrap/>
            <w:vAlign w:val="center"/>
          </w:tcPr>
          <w:p w14:paraId="721B888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12%</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2551628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13%</w:t>
            </w:r>
          </w:p>
        </w:tc>
        <w:tc>
          <w:tcPr>
            <w:tcW w:w="563" w:type="dxa"/>
            <w:tcBorders>
              <w:top w:val="nil"/>
              <w:left w:val="nil"/>
              <w:bottom w:val="single" w:sz="4" w:space="0" w:color="BFBFBF"/>
              <w:right w:val="single" w:sz="4" w:space="0" w:color="BFBFBF"/>
            </w:tcBorders>
            <w:shd w:val="clear" w:color="auto" w:fill="auto"/>
            <w:noWrap/>
            <w:vAlign w:val="center"/>
          </w:tcPr>
          <w:p w14:paraId="3E3CE95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7%</w:t>
            </w:r>
          </w:p>
        </w:tc>
        <w:tc>
          <w:tcPr>
            <w:tcW w:w="563" w:type="dxa"/>
            <w:tcBorders>
              <w:top w:val="nil"/>
              <w:left w:val="nil"/>
              <w:bottom w:val="single" w:sz="4" w:space="0" w:color="BFBFBF"/>
              <w:right w:val="single" w:sz="4" w:space="0" w:color="BFBFBF"/>
            </w:tcBorders>
            <w:shd w:val="clear" w:color="auto" w:fill="auto"/>
            <w:noWrap/>
            <w:vAlign w:val="center"/>
          </w:tcPr>
          <w:p w14:paraId="41D1BAA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8%</w:t>
            </w:r>
          </w:p>
        </w:tc>
        <w:tc>
          <w:tcPr>
            <w:tcW w:w="563" w:type="dxa"/>
            <w:tcBorders>
              <w:top w:val="nil"/>
              <w:left w:val="nil"/>
              <w:bottom w:val="single" w:sz="4" w:space="0" w:color="BFBFBF"/>
              <w:right w:val="single" w:sz="4" w:space="0" w:color="auto"/>
            </w:tcBorders>
            <w:shd w:val="clear" w:color="auto" w:fill="auto"/>
            <w:noWrap/>
            <w:vAlign w:val="center"/>
          </w:tcPr>
          <w:p w14:paraId="25F35E8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6%</w:t>
            </w:r>
          </w:p>
        </w:tc>
        <w:tc>
          <w:tcPr>
            <w:tcW w:w="563" w:type="dxa"/>
            <w:tcBorders>
              <w:top w:val="nil"/>
              <w:left w:val="nil"/>
              <w:bottom w:val="single" w:sz="4" w:space="0" w:color="BFBFBF"/>
              <w:right w:val="single" w:sz="4" w:space="0" w:color="BFBFBF"/>
            </w:tcBorders>
            <w:shd w:val="clear" w:color="auto" w:fill="auto"/>
            <w:noWrap/>
            <w:vAlign w:val="center"/>
          </w:tcPr>
          <w:p w14:paraId="047E5F8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24%</w:t>
            </w:r>
          </w:p>
        </w:tc>
        <w:tc>
          <w:tcPr>
            <w:tcW w:w="563" w:type="dxa"/>
            <w:tcBorders>
              <w:top w:val="nil"/>
              <w:left w:val="nil"/>
              <w:bottom w:val="single" w:sz="4" w:space="0" w:color="BFBFBF"/>
              <w:right w:val="single" w:sz="4" w:space="0" w:color="BFBFBF"/>
            </w:tcBorders>
            <w:shd w:val="clear" w:color="auto" w:fill="auto"/>
            <w:noWrap/>
            <w:vAlign w:val="center"/>
          </w:tcPr>
          <w:p w14:paraId="7F23628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19%</w:t>
            </w:r>
          </w:p>
        </w:tc>
        <w:tc>
          <w:tcPr>
            <w:tcW w:w="563" w:type="dxa"/>
            <w:tcBorders>
              <w:top w:val="nil"/>
              <w:left w:val="nil"/>
              <w:bottom w:val="single" w:sz="4" w:space="0" w:color="BFBFBF"/>
              <w:right w:val="single" w:sz="4" w:space="0" w:color="BFBFBF"/>
            </w:tcBorders>
            <w:shd w:val="clear" w:color="auto" w:fill="auto"/>
            <w:noWrap/>
            <w:vAlign w:val="center"/>
          </w:tcPr>
          <w:p w14:paraId="0B87E6DB"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21%</w:t>
            </w:r>
          </w:p>
        </w:tc>
        <w:tc>
          <w:tcPr>
            <w:tcW w:w="563" w:type="dxa"/>
            <w:tcBorders>
              <w:top w:val="nil"/>
              <w:left w:val="nil"/>
              <w:bottom w:val="single" w:sz="4" w:space="0" w:color="BFBFBF"/>
              <w:right w:val="nil"/>
            </w:tcBorders>
            <w:shd w:val="clear" w:color="auto" w:fill="auto"/>
            <w:noWrap/>
            <w:vAlign w:val="center"/>
          </w:tcPr>
          <w:p w14:paraId="77B02550"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16%</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3B947263"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19%</w:t>
            </w:r>
          </w:p>
        </w:tc>
        <w:tc>
          <w:tcPr>
            <w:tcW w:w="563" w:type="dxa"/>
            <w:tcBorders>
              <w:top w:val="nil"/>
              <w:left w:val="nil"/>
              <w:bottom w:val="single" w:sz="4" w:space="0" w:color="BFBFBF"/>
              <w:right w:val="single" w:sz="4" w:space="0" w:color="BFBFBF"/>
            </w:tcBorders>
            <w:shd w:val="clear" w:color="auto" w:fill="auto"/>
            <w:noWrap/>
            <w:vAlign w:val="center"/>
          </w:tcPr>
          <w:p w14:paraId="48F5116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14%</w:t>
            </w:r>
          </w:p>
        </w:tc>
        <w:tc>
          <w:tcPr>
            <w:tcW w:w="563" w:type="dxa"/>
            <w:tcBorders>
              <w:top w:val="nil"/>
              <w:left w:val="nil"/>
              <w:bottom w:val="single" w:sz="4" w:space="0" w:color="BFBFBF"/>
              <w:right w:val="single" w:sz="4" w:space="0" w:color="BFBFBF"/>
            </w:tcBorders>
            <w:shd w:val="clear" w:color="auto" w:fill="auto"/>
            <w:noWrap/>
            <w:vAlign w:val="center"/>
          </w:tcPr>
          <w:p w14:paraId="7CA9D3F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16%</w:t>
            </w:r>
          </w:p>
        </w:tc>
        <w:tc>
          <w:tcPr>
            <w:tcW w:w="563" w:type="dxa"/>
            <w:tcBorders>
              <w:top w:val="nil"/>
              <w:left w:val="nil"/>
              <w:bottom w:val="single" w:sz="4" w:space="0" w:color="BFBFBF"/>
              <w:right w:val="double" w:sz="6" w:space="0" w:color="auto"/>
            </w:tcBorders>
            <w:shd w:val="clear" w:color="auto" w:fill="auto"/>
            <w:noWrap/>
            <w:vAlign w:val="center"/>
          </w:tcPr>
          <w:p w14:paraId="1A3691D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12%</w:t>
            </w:r>
          </w:p>
        </w:tc>
      </w:tr>
      <w:tr w:rsidR="00B75952" w:rsidRPr="00D2313D" w14:paraId="21F089C5" w14:textId="77777777" w:rsidTr="0059723A">
        <w:trPr>
          <w:trHeight w:val="244"/>
          <w:jc w:val="center"/>
        </w:trPr>
        <w:tc>
          <w:tcPr>
            <w:tcW w:w="2833" w:type="dxa"/>
            <w:tcBorders>
              <w:top w:val="nil"/>
              <w:left w:val="double" w:sz="6" w:space="0" w:color="auto"/>
              <w:bottom w:val="single" w:sz="4" w:space="0" w:color="BFBFBF"/>
              <w:right w:val="nil"/>
            </w:tcBorders>
            <w:shd w:val="clear" w:color="auto" w:fill="auto"/>
            <w:noWrap/>
            <w:vAlign w:val="center"/>
          </w:tcPr>
          <w:p w14:paraId="5834E86B" w14:textId="77777777" w:rsidR="00B75952" w:rsidRPr="00D2313D" w:rsidRDefault="00B75952" w:rsidP="00B75952">
            <w:pPr>
              <w:spacing w:before="0" w:after="0"/>
              <w:rPr>
                <w:rFonts w:ascii="Arial" w:hAnsi="Arial" w:cs="Arial"/>
                <w:color w:val="000000"/>
                <w:sz w:val="16"/>
                <w:szCs w:val="16"/>
                <w:lang w:val="en-AU" w:eastAsia="en-AU"/>
              </w:rPr>
            </w:pPr>
            <w:r w:rsidRPr="00D2313D">
              <w:rPr>
                <w:rFonts w:ascii="Arial" w:hAnsi="Arial" w:cs="Arial"/>
                <w:color w:val="000000"/>
                <w:sz w:val="16"/>
                <w:szCs w:val="16"/>
                <w:lang w:val="en-AU" w:eastAsia="en-AU"/>
              </w:rPr>
              <w:t>Self Employed</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00C5451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2AF82C4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0DC70D4A"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auto"/>
            </w:tcBorders>
            <w:shd w:val="clear" w:color="auto" w:fill="auto"/>
            <w:noWrap/>
            <w:vAlign w:val="center"/>
          </w:tcPr>
          <w:p w14:paraId="2855940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761CC55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single" w:sz="4" w:space="0" w:color="BFBFBF"/>
            </w:tcBorders>
            <w:shd w:val="clear" w:color="auto" w:fill="auto"/>
            <w:noWrap/>
            <w:vAlign w:val="center"/>
          </w:tcPr>
          <w:p w14:paraId="48CAA4C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w:t>
            </w:r>
          </w:p>
        </w:tc>
        <w:tc>
          <w:tcPr>
            <w:tcW w:w="563" w:type="dxa"/>
            <w:tcBorders>
              <w:top w:val="nil"/>
              <w:left w:val="nil"/>
              <w:bottom w:val="single" w:sz="4" w:space="0" w:color="BFBFBF"/>
              <w:right w:val="single" w:sz="4" w:space="0" w:color="BFBFBF"/>
            </w:tcBorders>
            <w:shd w:val="clear" w:color="auto" w:fill="auto"/>
            <w:noWrap/>
            <w:vAlign w:val="center"/>
          </w:tcPr>
          <w:p w14:paraId="2120618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nil"/>
            </w:tcBorders>
            <w:shd w:val="clear" w:color="auto" w:fill="auto"/>
            <w:noWrap/>
            <w:vAlign w:val="center"/>
          </w:tcPr>
          <w:p w14:paraId="724B305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498A7CCE" w14:textId="77777777" w:rsidR="00B75952" w:rsidRPr="00D2313D" w:rsidRDefault="00D2313D"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r w:rsidR="00B75952"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60E2C6C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single" w:sz="4" w:space="0" w:color="BFBFBF"/>
            </w:tcBorders>
            <w:shd w:val="clear" w:color="auto" w:fill="auto"/>
            <w:noWrap/>
            <w:vAlign w:val="center"/>
          </w:tcPr>
          <w:p w14:paraId="76F06EE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single" w:sz="4" w:space="0" w:color="BFBFBF"/>
              <w:right w:val="single" w:sz="4" w:space="0" w:color="auto"/>
            </w:tcBorders>
            <w:shd w:val="clear" w:color="auto" w:fill="auto"/>
            <w:noWrap/>
            <w:vAlign w:val="center"/>
          </w:tcPr>
          <w:p w14:paraId="00DB46A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single" w:sz="4" w:space="0" w:color="BFBFBF"/>
            </w:tcBorders>
            <w:shd w:val="clear" w:color="auto" w:fill="auto"/>
            <w:noWrap/>
            <w:vAlign w:val="center"/>
          </w:tcPr>
          <w:p w14:paraId="773200BA" w14:textId="77777777" w:rsidR="00B75952" w:rsidRPr="00D2313D" w:rsidRDefault="00D2313D"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w:t>
            </w:r>
            <w:r w:rsidR="00B75952"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5452E924"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11%</w:t>
            </w:r>
          </w:p>
        </w:tc>
        <w:tc>
          <w:tcPr>
            <w:tcW w:w="563" w:type="dxa"/>
            <w:tcBorders>
              <w:top w:val="nil"/>
              <w:left w:val="nil"/>
              <w:bottom w:val="single" w:sz="4" w:space="0" w:color="BFBFBF"/>
              <w:right w:val="single" w:sz="4" w:space="0" w:color="BFBFBF"/>
            </w:tcBorders>
            <w:shd w:val="clear" w:color="auto" w:fill="auto"/>
            <w:noWrap/>
            <w:vAlign w:val="center"/>
          </w:tcPr>
          <w:p w14:paraId="0BC6DBFA"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8%</w:t>
            </w:r>
          </w:p>
        </w:tc>
        <w:tc>
          <w:tcPr>
            <w:tcW w:w="563" w:type="dxa"/>
            <w:tcBorders>
              <w:top w:val="nil"/>
              <w:left w:val="nil"/>
              <w:bottom w:val="single" w:sz="4" w:space="0" w:color="BFBFBF"/>
              <w:right w:val="nil"/>
            </w:tcBorders>
            <w:shd w:val="clear" w:color="auto" w:fill="auto"/>
            <w:noWrap/>
            <w:vAlign w:val="center"/>
          </w:tcPr>
          <w:p w14:paraId="66F1CDC0"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7%</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656F26F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4%</w:t>
            </w:r>
          </w:p>
        </w:tc>
        <w:tc>
          <w:tcPr>
            <w:tcW w:w="563" w:type="dxa"/>
            <w:tcBorders>
              <w:top w:val="nil"/>
              <w:left w:val="nil"/>
              <w:bottom w:val="single" w:sz="4" w:space="0" w:color="BFBFBF"/>
              <w:right w:val="single" w:sz="4" w:space="0" w:color="BFBFBF"/>
            </w:tcBorders>
            <w:shd w:val="clear" w:color="auto" w:fill="auto"/>
            <w:noWrap/>
            <w:vAlign w:val="center"/>
          </w:tcPr>
          <w:p w14:paraId="743711B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7%</w:t>
            </w:r>
          </w:p>
        </w:tc>
        <w:tc>
          <w:tcPr>
            <w:tcW w:w="563" w:type="dxa"/>
            <w:tcBorders>
              <w:top w:val="nil"/>
              <w:left w:val="nil"/>
              <w:bottom w:val="single" w:sz="4" w:space="0" w:color="BFBFBF"/>
              <w:right w:val="single" w:sz="4" w:space="0" w:color="BFBFBF"/>
            </w:tcBorders>
            <w:shd w:val="clear" w:color="auto" w:fill="auto"/>
            <w:noWrap/>
            <w:vAlign w:val="center"/>
          </w:tcPr>
          <w:p w14:paraId="7FAEC170"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w:t>
            </w:r>
          </w:p>
        </w:tc>
        <w:tc>
          <w:tcPr>
            <w:tcW w:w="563" w:type="dxa"/>
            <w:tcBorders>
              <w:top w:val="nil"/>
              <w:left w:val="nil"/>
              <w:bottom w:val="single" w:sz="4" w:space="0" w:color="BFBFBF"/>
              <w:right w:val="double" w:sz="6" w:space="0" w:color="auto"/>
            </w:tcBorders>
            <w:shd w:val="clear" w:color="auto" w:fill="auto"/>
            <w:noWrap/>
            <w:vAlign w:val="center"/>
          </w:tcPr>
          <w:p w14:paraId="6E3FD58E"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w:t>
            </w:r>
          </w:p>
        </w:tc>
      </w:tr>
      <w:tr w:rsidR="00B75952" w:rsidRPr="00D2313D" w14:paraId="277CE548" w14:textId="77777777" w:rsidTr="0059723A">
        <w:trPr>
          <w:trHeight w:val="244"/>
          <w:jc w:val="center"/>
        </w:trPr>
        <w:tc>
          <w:tcPr>
            <w:tcW w:w="2833" w:type="dxa"/>
            <w:tcBorders>
              <w:top w:val="nil"/>
              <w:left w:val="double" w:sz="6" w:space="0" w:color="auto"/>
              <w:bottom w:val="single" w:sz="4" w:space="0" w:color="BFBFBF"/>
              <w:right w:val="nil"/>
            </w:tcBorders>
            <w:shd w:val="clear" w:color="auto" w:fill="auto"/>
            <w:noWrap/>
            <w:vAlign w:val="center"/>
          </w:tcPr>
          <w:p w14:paraId="23E214AC" w14:textId="77777777" w:rsidR="00B75952" w:rsidRPr="00D2313D" w:rsidRDefault="00B75952" w:rsidP="00B75952">
            <w:pPr>
              <w:spacing w:before="0" w:after="0"/>
              <w:rPr>
                <w:rFonts w:ascii="Arial" w:hAnsi="Arial" w:cs="Arial"/>
                <w:color w:val="000000"/>
                <w:sz w:val="16"/>
                <w:szCs w:val="16"/>
                <w:lang w:val="en-AU" w:eastAsia="en-AU"/>
              </w:rPr>
            </w:pPr>
            <w:r w:rsidRPr="00D2313D">
              <w:rPr>
                <w:rFonts w:ascii="Arial" w:hAnsi="Arial" w:cs="Arial"/>
                <w:color w:val="000000"/>
                <w:sz w:val="16"/>
                <w:szCs w:val="16"/>
                <w:lang w:val="en-AU" w:eastAsia="en-AU"/>
              </w:rPr>
              <w:t>Employed -Other</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333FD69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33190D7E"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single" w:sz="4" w:space="0" w:color="BFBFBF"/>
            </w:tcBorders>
            <w:shd w:val="clear" w:color="auto" w:fill="auto"/>
            <w:noWrap/>
            <w:vAlign w:val="center"/>
          </w:tcPr>
          <w:p w14:paraId="6327670C"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single" w:sz="4" w:space="0" w:color="auto"/>
            </w:tcBorders>
            <w:shd w:val="clear" w:color="auto" w:fill="auto"/>
            <w:noWrap/>
            <w:vAlign w:val="center"/>
          </w:tcPr>
          <w:p w14:paraId="79A9341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single" w:sz="4" w:space="0" w:color="BFBFBF"/>
            </w:tcBorders>
            <w:shd w:val="clear" w:color="auto" w:fill="auto"/>
            <w:noWrap/>
            <w:vAlign w:val="center"/>
          </w:tcPr>
          <w:p w14:paraId="6B4126EE"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single" w:sz="4" w:space="0" w:color="BFBFBF"/>
            </w:tcBorders>
            <w:shd w:val="clear" w:color="auto" w:fill="auto"/>
            <w:noWrap/>
            <w:vAlign w:val="center"/>
          </w:tcPr>
          <w:p w14:paraId="3D7F75F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single" w:sz="4" w:space="0" w:color="BFBFBF"/>
            </w:tcBorders>
            <w:shd w:val="clear" w:color="auto" w:fill="auto"/>
            <w:noWrap/>
            <w:vAlign w:val="center"/>
          </w:tcPr>
          <w:p w14:paraId="5DDD682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nil"/>
            </w:tcBorders>
            <w:shd w:val="clear" w:color="auto" w:fill="auto"/>
            <w:noWrap/>
            <w:vAlign w:val="center"/>
          </w:tcPr>
          <w:p w14:paraId="11F1C82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03988984" w14:textId="77777777" w:rsidR="00B75952" w:rsidRPr="00D2313D" w:rsidRDefault="00D2313D"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r w:rsidR="00B75952"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0DE03E6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single" w:sz="4" w:space="0" w:color="BFBFBF"/>
            </w:tcBorders>
            <w:shd w:val="clear" w:color="auto" w:fill="auto"/>
            <w:noWrap/>
            <w:vAlign w:val="center"/>
          </w:tcPr>
          <w:p w14:paraId="6EC6F11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single" w:sz="4" w:space="0" w:color="auto"/>
            </w:tcBorders>
            <w:shd w:val="clear" w:color="auto" w:fill="auto"/>
            <w:noWrap/>
            <w:vAlign w:val="center"/>
          </w:tcPr>
          <w:p w14:paraId="611D2E3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single" w:sz="4" w:space="0" w:color="BFBFBF"/>
            </w:tcBorders>
            <w:shd w:val="clear" w:color="auto" w:fill="auto"/>
            <w:noWrap/>
            <w:vAlign w:val="center"/>
          </w:tcPr>
          <w:p w14:paraId="3781F86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single" w:sz="4" w:space="0" w:color="BFBFBF"/>
              <w:right w:val="single" w:sz="4" w:space="0" w:color="BFBFBF"/>
            </w:tcBorders>
            <w:shd w:val="clear" w:color="auto" w:fill="auto"/>
            <w:noWrap/>
            <w:vAlign w:val="center"/>
          </w:tcPr>
          <w:p w14:paraId="1024334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single" w:sz="4" w:space="0" w:color="BFBFBF"/>
            </w:tcBorders>
            <w:shd w:val="clear" w:color="auto" w:fill="auto"/>
            <w:noWrap/>
            <w:vAlign w:val="center"/>
          </w:tcPr>
          <w:p w14:paraId="57D0282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nil"/>
            </w:tcBorders>
            <w:shd w:val="clear" w:color="auto" w:fill="auto"/>
            <w:noWrap/>
            <w:vAlign w:val="center"/>
          </w:tcPr>
          <w:p w14:paraId="67A10F3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28D1DA3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single" w:sz="4" w:space="0" w:color="BFBFBF"/>
              <w:right w:val="single" w:sz="4" w:space="0" w:color="BFBFBF"/>
            </w:tcBorders>
            <w:shd w:val="clear" w:color="auto" w:fill="auto"/>
            <w:noWrap/>
            <w:vAlign w:val="center"/>
          </w:tcPr>
          <w:p w14:paraId="15AE62E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single" w:sz="4" w:space="0" w:color="BFBFBF"/>
            </w:tcBorders>
            <w:shd w:val="clear" w:color="auto" w:fill="auto"/>
            <w:noWrap/>
            <w:vAlign w:val="center"/>
          </w:tcPr>
          <w:p w14:paraId="5E1409DC"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c>
          <w:tcPr>
            <w:tcW w:w="563" w:type="dxa"/>
            <w:tcBorders>
              <w:top w:val="nil"/>
              <w:left w:val="nil"/>
              <w:bottom w:val="single" w:sz="4" w:space="0" w:color="BFBFBF"/>
              <w:right w:val="double" w:sz="6" w:space="0" w:color="auto"/>
            </w:tcBorders>
            <w:shd w:val="clear" w:color="auto" w:fill="auto"/>
            <w:noWrap/>
            <w:vAlign w:val="center"/>
          </w:tcPr>
          <w:p w14:paraId="41CB18A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n/a</w:t>
            </w:r>
          </w:p>
        </w:tc>
      </w:tr>
      <w:tr w:rsidR="00B75952" w:rsidRPr="00D2313D" w14:paraId="6849FEE8" w14:textId="77777777" w:rsidTr="0059723A">
        <w:trPr>
          <w:trHeight w:val="244"/>
          <w:jc w:val="center"/>
        </w:trPr>
        <w:tc>
          <w:tcPr>
            <w:tcW w:w="2833" w:type="dxa"/>
            <w:tcBorders>
              <w:top w:val="nil"/>
              <w:left w:val="double" w:sz="6" w:space="0" w:color="auto"/>
              <w:bottom w:val="single" w:sz="4" w:space="0" w:color="BFBFBF"/>
              <w:right w:val="nil"/>
            </w:tcBorders>
            <w:shd w:val="clear" w:color="auto" w:fill="auto"/>
            <w:noWrap/>
            <w:vAlign w:val="center"/>
          </w:tcPr>
          <w:p w14:paraId="7D74BA3E" w14:textId="77777777" w:rsidR="00B75952" w:rsidRPr="00D2313D" w:rsidRDefault="00B75952" w:rsidP="00B75952">
            <w:pPr>
              <w:spacing w:before="0" w:after="0"/>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Total Employed</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0219DA7B"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5%</w:t>
            </w:r>
          </w:p>
        </w:tc>
        <w:tc>
          <w:tcPr>
            <w:tcW w:w="563" w:type="dxa"/>
            <w:tcBorders>
              <w:top w:val="nil"/>
              <w:left w:val="nil"/>
              <w:bottom w:val="single" w:sz="4" w:space="0" w:color="BFBFBF"/>
              <w:right w:val="single" w:sz="4" w:space="0" w:color="BFBFBF"/>
            </w:tcBorders>
            <w:shd w:val="clear" w:color="auto" w:fill="auto"/>
            <w:noWrap/>
            <w:vAlign w:val="center"/>
          </w:tcPr>
          <w:p w14:paraId="34DF6133"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3%</w:t>
            </w:r>
          </w:p>
        </w:tc>
        <w:tc>
          <w:tcPr>
            <w:tcW w:w="563" w:type="dxa"/>
            <w:tcBorders>
              <w:top w:val="nil"/>
              <w:left w:val="nil"/>
              <w:bottom w:val="single" w:sz="4" w:space="0" w:color="BFBFBF"/>
              <w:right w:val="single" w:sz="4" w:space="0" w:color="BFBFBF"/>
            </w:tcBorders>
            <w:shd w:val="clear" w:color="auto" w:fill="auto"/>
            <w:noWrap/>
            <w:vAlign w:val="center"/>
          </w:tcPr>
          <w:p w14:paraId="78A0A410"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w:t>
            </w:r>
          </w:p>
        </w:tc>
        <w:tc>
          <w:tcPr>
            <w:tcW w:w="563" w:type="dxa"/>
            <w:tcBorders>
              <w:top w:val="nil"/>
              <w:left w:val="nil"/>
              <w:bottom w:val="single" w:sz="4" w:space="0" w:color="BFBFBF"/>
              <w:right w:val="single" w:sz="4" w:space="0" w:color="auto"/>
            </w:tcBorders>
            <w:shd w:val="clear" w:color="auto" w:fill="auto"/>
            <w:noWrap/>
            <w:vAlign w:val="center"/>
          </w:tcPr>
          <w:p w14:paraId="45C2F60B"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w:t>
            </w:r>
          </w:p>
        </w:tc>
        <w:tc>
          <w:tcPr>
            <w:tcW w:w="563" w:type="dxa"/>
            <w:tcBorders>
              <w:top w:val="nil"/>
              <w:left w:val="nil"/>
              <w:bottom w:val="single" w:sz="4" w:space="0" w:color="BFBFBF"/>
              <w:right w:val="single" w:sz="4" w:space="0" w:color="BFBFBF"/>
            </w:tcBorders>
            <w:shd w:val="clear" w:color="auto" w:fill="auto"/>
            <w:noWrap/>
            <w:vAlign w:val="center"/>
          </w:tcPr>
          <w:p w14:paraId="6365E421" w14:textId="77777777" w:rsidR="00B75952" w:rsidRPr="00D2313D" w:rsidRDefault="00D2313D"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33</w:t>
            </w:r>
            <w:r w:rsidR="00B75952" w:rsidRPr="00D2313D">
              <w:rPr>
                <w:rFonts w:ascii="Arial" w:hAnsi="Arial" w:cs="Arial"/>
                <w:b/>
                <w:bCs/>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56EDA18D"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24%</w:t>
            </w:r>
          </w:p>
        </w:tc>
        <w:tc>
          <w:tcPr>
            <w:tcW w:w="563" w:type="dxa"/>
            <w:tcBorders>
              <w:top w:val="nil"/>
              <w:left w:val="nil"/>
              <w:bottom w:val="single" w:sz="4" w:space="0" w:color="BFBFBF"/>
              <w:right w:val="single" w:sz="4" w:space="0" w:color="BFBFBF"/>
            </w:tcBorders>
            <w:shd w:val="clear" w:color="auto" w:fill="auto"/>
            <w:noWrap/>
            <w:vAlign w:val="center"/>
          </w:tcPr>
          <w:p w14:paraId="755B76B6"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21%</w:t>
            </w:r>
          </w:p>
        </w:tc>
        <w:tc>
          <w:tcPr>
            <w:tcW w:w="563" w:type="dxa"/>
            <w:tcBorders>
              <w:top w:val="nil"/>
              <w:left w:val="nil"/>
              <w:bottom w:val="single" w:sz="4" w:space="0" w:color="BFBFBF"/>
              <w:right w:val="nil"/>
            </w:tcBorders>
            <w:shd w:val="clear" w:color="auto" w:fill="auto"/>
            <w:noWrap/>
            <w:vAlign w:val="center"/>
          </w:tcPr>
          <w:p w14:paraId="50E611D0"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23%</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25462F68" w14:textId="77777777" w:rsidR="00B75952" w:rsidRPr="00D2313D" w:rsidRDefault="00D2313D"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19</w:t>
            </w:r>
            <w:r w:rsidR="00B75952" w:rsidRPr="00D2313D">
              <w:rPr>
                <w:rFonts w:ascii="Arial" w:hAnsi="Arial" w:cs="Arial"/>
                <w:b/>
                <w:bCs/>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10957044"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13%</w:t>
            </w:r>
          </w:p>
        </w:tc>
        <w:tc>
          <w:tcPr>
            <w:tcW w:w="563" w:type="dxa"/>
            <w:tcBorders>
              <w:top w:val="nil"/>
              <w:left w:val="nil"/>
              <w:bottom w:val="single" w:sz="4" w:space="0" w:color="BFBFBF"/>
              <w:right w:val="single" w:sz="4" w:space="0" w:color="BFBFBF"/>
            </w:tcBorders>
            <w:shd w:val="clear" w:color="auto" w:fill="auto"/>
            <w:noWrap/>
            <w:vAlign w:val="center"/>
          </w:tcPr>
          <w:p w14:paraId="50009F1E"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11%</w:t>
            </w:r>
          </w:p>
        </w:tc>
        <w:tc>
          <w:tcPr>
            <w:tcW w:w="563" w:type="dxa"/>
            <w:tcBorders>
              <w:top w:val="nil"/>
              <w:left w:val="nil"/>
              <w:bottom w:val="single" w:sz="4" w:space="0" w:color="BFBFBF"/>
              <w:right w:val="single" w:sz="4" w:space="0" w:color="auto"/>
            </w:tcBorders>
            <w:shd w:val="clear" w:color="auto" w:fill="auto"/>
            <w:noWrap/>
            <w:vAlign w:val="center"/>
          </w:tcPr>
          <w:p w14:paraId="42E52780"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11%</w:t>
            </w:r>
          </w:p>
        </w:tc>
        <w:tc>
          <w:tcPr>
            <w:tcW w:w="563" w:type="dxa"/>
            <w:tcBorders>
              <w:top w:val="nil"/>
              <w:left w:val="nil"/>
              <w:bottom w:val="single" w:sz="4" w:space="0" w:color="BFBFBF"/>
              <w:right w:val="single" w:sz="4" w:space="0" w:color="BFBFBF"/>
            </w:tcBorders>
            <w:shd w:val="clear" w:color="auto" w:fill="auto"/>
            <w:noWrap/>
            <w:vAlign w:val="center"/>
          </w:tcPr>
          <w:p w14:paraId="6C293F07" w14:textId="77777777" w:rsidR="00B75952" w:rsidRPr="00D2313D" w:rsidRDefault="00D2313D"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71</w:t>
            </w:r>
            <w:r w:rsidR="00B75952" w:rsidRPr="00D2313D">
              <w:rPr>
                <w:rFonts w:ascii="Arial" w:hAnsi="Arial" w:cs="Arial"/>
                <w:b/>
                <w:bCs/>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0563CE1B"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71%</w:t>
            </w:r>
          </w:p>
        </w:tc>
        <w:tc>
          <w:tcPr>
            <w:tcW w:w="563" w:type="dxa"/>
            <w:tcBorders>
              <w:top w:val="nil"/>
              <w:left w:val="nil"/>
              <w:bottom w:val="single" w:sz="4" w:space="0" w:color="BFBFBF"/>
              <w:right w:val="single" w:sz="4" w:space="0" w:color="BFBFBF"/>
            </w:tcBorders>
            <w:shd w:val="clear" w:color="auto" w:fill="auto"/>
            <w:noWrap/>
            <w:vAlign w:val="center"/>
          </w:tcPr>
          <w:p w14:paraId="60E69E46"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65%</w:t>
            </w:r>
          </w:p>
        </w:tc>
        <w:tc>
          <w:tcPr>
            <w:tcW w:w="563" w:type="dxa"/>
            <w:tcBorders>
              <w:top w:val="nil"/>
              <w:left w:val="nil"/>
              <w:bottom w:val="single" w:sz="4" w:space="0" w:color="BFBFBF"/>
              <w:right w:val="nil"/>
            </w:tcBorders>
            <w:shd w:val="clear" w:color="auto" w:fill="auto"/>
            <w:noWrap/>
            <w:vAlign w:val="center"/>
          </w:tcPr>
          <w:p w14:paraId="0A52D3AD"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67%</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268F4B12" w14:textId="77777777" w:rsidR="00B75952" w:rsidRPr="00D2313D" w:rsidRDefault="00B75952" w:rsidP="00D2313D">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4</w:t>
            </w:r>
            <w:r w:rsidR="00D2313D" w:rsidRPr="00D2313D">
              <w:rPr>
                <w:rFonts w:ascii="Arial" w:hAnsi="Arial" w:cs="Arial"/>
                <w:b/>
                <w:bCs/>
                <w:color w:val="000000"/>
                <w:sz w:val="16"/>
                <w:szCs w:val="16"/>
                <w:lang w:val="en-AU" w:eastAsia="en-AU"/>
              </w:rPr>
              <w:t>8</w:t>
            </w:r>
            <w:r w:rsidRPr="00D2313D">
              <w:rPr>
                <w:rFonts w:ascii="Arial" w:hAnsi="Arial" w:cs="Arial"/>
                <w:b/>
                <w:bCs/>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623FC65B"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47%</w:t>
            </w:r>
          </w:p>
        </w:tc>
        <w:tc>
          <w:tcPr>
            <w:tcW w:w="563" w:type="dxa"/>
            <w:tcBorders>
              <w:top w:val="nil"/>
              <w:left w:val="nil"/>
              <w:bottom w:val="single" w:sz="4" w:space="0" w:color="BFBFBF"/>
              <w:right w:val="single" w:sz="4" w:space="0" w:color="BFBFBF"/>
            </w:tcBorders>
            <w:shd w:val="clear" w:color="auto" w:fill="auto"/>
            <w:noWrap/>
            <w:vAlign w:val="center"/>
          </w:tcPr>
          <w:p w14:paraId="43A98293"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44%</w:t>
            </w:r>
          </w:p>
        </w:tc>
        <w:tc>
          <w:tcPr>
            <w:tcW w:w="563" w:type="dxa"/>
            <w:tcBorders>
              <w:top w:val="nil"/>
              <w:left w:val="nil"/>
              <w:bottom w:val="single" w:sz="4" w:space="0" w:color="BFBFBF"/>
              <w:right w:val="double" w:sz="6" w:space="0" w:color="auto"/>
            </w:tcBorders>
            <w:shd w:val="clear" w:color="auto" w:fill="auto"/>
            <w:noWrap/>
            <w:vAlign w:val="center"/>
          </w:tcPr>
          <w:p w14:paraId="5903225C"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44%</w:t>
            </w:r>
          </w:p>
        </w:tc>
      </w:tr>
      <w:tr w:rsidR="00B75952" w:rsidRPr="00D2313D" w14:paraId="61F2F3C7" w14:textId="77777777" w:rsidTr="0059723A">
        <w:trPr>
          <w:trHeight w:val="244"/>
          <w:jc w:val="center"/>
        </w:trPr>
        <w:tc>
          <w:tcPr>
            <w:tcW w:w="2833" w:type="dxa"/>
            <w:tcBorders>
              <w:top w:val="nil"/>
              <w:left w:val="double" w:sz="6" w:space="0" w:color="auto"/>
              <w:bottom w:val="single" w:sz="4" w:space="0" w:color="BFBFBF"/>
              <w:right w:val="nil"/>
            </w:tcBorders>
            <w:shd w:val="clear" w:color="auto" w:fill="auto"/>
            <w:noWrap/>
            <w:vAlign w:val="center"/>
          </w:tcPr>
          <w:p w14:paraId="79C5022A" w14:textId="77777777" w:rsidR="00B75952" w:rsidRPr="00D2313D" w:rsidRDefault="00B75952" w:rsidP="00B75952">
            <w:pPr>
              <w:spacing w:before="0" w:after="0"/>
              <w:rPr>
                <w:rFonts w:ascii="Arial" w:hAnsi="Arial" w:cs="Arial"/>
                <w:color w:val="000000"/>
                <w:sz w:val="16"/>
                <w:szCs w:val="16"/>
                <w:lang w:val="en-AU" w:eastAsia="en-AU"/>
              </w:rPr>
            </w:pPr>
            <w:r w:rsidRPr="00D2313D">
              <w:rPr>
                <w:rFonts w:ascii="Arial" w:hAnsi="Arial" w:cs="Arial"/>
                <w:color w:val="000000"/>
                <w:sz w:val="16"/>
                <w:szCs w:val="16"/>
                <w:lang w:val="en-AU" w:eastAsia="en-AU"/>
              </w:rPr>
              <w:t>Home Duties</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15F0F714"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single" w:sz="4" w:space="0" w:color="BFBFBF"/>
            </w:tcBorders>
            <w:shd w:val="clear" w:color="auto" w:fill="auto"/>
            <w:noWrap/>
            <w:vAlign w:val="center"/>
          </w:tcPr>
          <w:p w14:paraId="58436A7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w:t>
            </w:r>
          </w:p>
        </w:tc>
        <w:tc>
          <w:tcPr>
            <w:tcW w:w="563" w:type="dxa"/>
            <w:tcBorders>
              <w:top w:val="nil"/>
              <w:left w:val="nil"/>
              <w:bottom w:val="single" w:sz="4" w:space="0" w:color="BFBFBF"/>
              <w:right w:val="single" w:sz="4" w:space="0" w:color="BFBFBF"/>
            </w:tcBorders>
            <w:shd w:val="clear" w:color="auto" w:fill="auto"/>
            <w:noWrap/>
            <w:vAlign w:val="center"/>
          </w:tcPr>
          <w:p w14:paraId="2D576963"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11%</w:t>
            </w:r>
          </w:p>
        </w:tc>
        <w:tc>
          <w:tcPr>
            <w:tcW w:w="563" w:type="dxa"/>
            <w:tcBorders>
              <w:top w:val="nil"/>
              <w:left w:val="nil"/>
              <w:bottom w:val="single" w:sz="4" w:space="0" w:color="BFBFBF"/>
              <w:right w:val="single" w:sz="4" w:space="0" w:color="auto"/>
            </w:tcBorders>
            <w:shd w:val="clear" w:color="auto" w:fill="auto"/>
            <w:noWrap/>
            <w:vAlign w:val="center"/>
          </w:tcPr>
          <w:p w14:paraId="0D72C9DE"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13%</w:t>
            </w:r>
          </w:p>
        </w:tc>
        <w:tc>
          <w:tcPr>
            <w:tcW w:w="563" w:type="dxa"/>
            <w:tcBorders>
              <w:top w:val="nil"/>
              <w:left w:val="nil"/>
              <w:bottom w:val="single" w:sz="4" w:space="0" w:color="BFBFBF"/>
              <w:right w:val="single" w:sz="4" w:space="0" w:color="BFBFBF"/>
            </w:tcBorders>
            <w:shd w:val="clear" w:color="auto" w:fill="auto"/>
            <w:noWrap/>
            <w:vAlign w:val="center"/>
          </w:tcPr>
          <w:p w14:paraId="07B70765" w14:textId="77777777" w:rsidR="00B75952" w:rsidRPr="00D2313D" w:rsidRDefault="00D2313D"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16</w:t>
            </w:r>
            <w:r w:rsidR="00B75952"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13A3549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27%</w:t>
            </w:r>
          </w:p>
        </w:tc>
        <w:tc>
          <w:tcPr>
            <w:tcW w:w="563" w:type="dxa"/>
            <w:tcBorders>
              <w:top w:val="nil"/>
              <w:left w:val="nil"/>
              <w:bottom w:val="single" w:sz="4" w:space="0" w:color="BFBFBF"/>
              <w:right w:val="single" w:sz="4" w:space="0" w:color="BFBFBF"/>
            </w:tcBorders>
            <w:shd w:val="clear" w:color="auto" w:fill="auto"/>
            <w:noWrap/>
            <w:vAlign w:val="center"/>
          </w:tcPr>
          <w:p w14:paraId="7BF09604"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32%</w:t>
            </w:r>
          </w:p>
        </w:tc>
        <w:tc>
          <w:tcPr>
            <w:tcW w:w="563" w:type="dxa"/>
            <w:tcBorders>
              <w:top w:val="nil"/>
              <w:left w:val="nil"/>
              <w:bottom w:val="single" w:sz="4" w:space="0" w:color="BFBFBF"/>
              <w:right w:val="nil"/>
            </w:tcBorders>
            <w:shd w:val="clear" w:color="auto" w:fill="auto"/>
            <w:noWrap/>
            <w:vAlign w:val="center"/>
          </w:tcPr>
          <w:p w14:paraId="57B8190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38%</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4CA41773"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9%</w:t>
            </w:r>
          </w:p>
        </w:tc>
        <w:tc>
          <w:tcPr>
            <w:tcW w:w="563" w:type="dxa"/>
            <w:tcBorders>
              <w:top w:val="nil"/>
              <w:left w:val="nil"/>
              <w:bottom w:val="single" w:sz="4" w:space="0" w:color="BFBFBF"/>
              <w:right w:val="single" w:sz="4" w:space="0" w:color="BFBFBF"/>
            </w:tcBorders>
            <w:shd w:val="clear" w:color="auto" w:fill="auto"/>
            <w:noWrap/>
            <w:vAlign w:val="center"/>
          </w:tcPr>
          <w:p w14:paraId="4E2479A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15%</w:t>
            </w:r>
          </w:p>
        </w:tc>
        <w:tc>
          <w:tcPr>
            <w:tcW w:w="563" w:type="dxa"/>
            <w:tcBorders>
              <w:top w:val="nil"/>
              <w:left w:val="nil"/>
              <w:bottom w:val="single" w:sz="4" w:space="0" w:color="BFBFBF"/>
              <w:right w:val="single" w:sz="4" w:space="0" w:color="BFBFBF"/>
            </w:tcBorders>
            <w:shd w:val="clear" w:color="auto" w:fill="auto"/>
            <w:noWrap/>
            <w:vAlign w:val="center"/>
          </w:tcPr>
          <w:p w14:paraId="685CFF6B"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21%</w:t>
            </w:r>
          </w:p>
        </w:tc>
        <w:tc>
          <w:tcPr>
            <w:tcW w:w="563" w:type="dxa"/>
            <w:tcBorders>
              <w:top w:val="nil"/>
              <w:left w:val="nil"/>
              <w:bottom w:val="single" w:sz="4" w:space="0" w:color="BFBFBF"/>
              <w:right w:val="single" w:sz="4" w:space="0" w:color="auto"/>
            </w:tcBorders>
            <w:shd w:val="clear" w:color="auto" w:fill="auto"/>
            <w:noWrap/>
            <w:vAlign w:val="center"/>
          </w:tcPr>
          <w:p w14:paraId="52BFABB3"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24%</w:t>
            </w:r>
          </w:p>
        </w:tc>
        <w:tc>
          <w:tcPr>
            <w:tcW w:w="563" w:type="dxa"/>
            <w:tcBorders>
              <w:top w:val="nil"/>
              <w:left w:val="nil"/>
              <w:bottom w:val="single" w:sz="4" w:space="0" w:color="BFBFBF"/>
              <w:right w:val="single" w:sz="4" w:space="0" w:color="BFBFBF"/>
            </w:tcBorders>
            <w:shd w:val="clear" w:color="auto" w:fill="auto"/>
            <w:noWrap/>
            <w:vAlign w:val="center"/>
          </w:tcPr>
          <w:p w14:paraId="1E2AC73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9%</w:t>
            </w:r>
          </w:p>
        </w:tc>
        <w:tc>
          <w:tcPr>
            <w:tcW w:w="563" w:type="dxa"/>
            <w:tcBorders>
              <w:top w:val="nil"/>
              <w:left w:val="nil"/>
              <w:bottom w:val="single" w:sz="4" w:space="0" w:color="BFBFBF"/>
              <w:right w:val="single" w:sz="4" w:space="0" w:color="BFBFBF"/>
            </w:tcBorders>
            <w:shd w:val="clear" w:color="auto" w:fill="auto"/>
            <w:noWrap/>
            <w:vAlign w:val="center"/>
          </w:tcPr>
          <w:p w14:paraId="6A299D5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14%</w:t>
            </w:r>
          </w:p>
        </w:tc>
        <w:tc>
          <w:tcPr>
            <w:tcW w:w="563" w:type="dxa"/>
            <w:tcBorders>
              <w:top w:val="nil"/>
              <w:left w:val="nil"/>
              <w:bottom w:val="single" w:sz="4" w:space="0" w:color="BFBFBF"/>
              <w:right w:val="single" w:sz="4" w:space="0" w:color="BFBFBF"/>
            </w:tcBorders>
            <w:shd w:val="clear" w:color="auto" w:fill="auto"/>
            <w:noWrap/>
            <w:vAlign w:val="center"/>
          </w:tcPr>
          <w:p w14:paraId="5985DEF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21%</w:t>
            </w:r>
          </w:p>
        </w:tc>
        <w:tc>
          <w:tcPr>
            <w:tcW w:w="563" w:type="dxa"/>
            <w:tcBorders>
              <w:top w:val="nil"/>
              <w:left w:val="nil"/>
              <w:bottom w:val="single" w:sz="4" w:space="0" w:color="BFBFBF"/>
              <w:right w:val="nil"/>
            </w:tcBorders>
            <w:shd w:val="clear" w:color="auto" w:fill="auto"/>
            <w:noWrap/>
            <w:vAlign w:val="center"/>
          </w:tcPr>
          <w:p w14:paraId="7FC73A5C"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21%</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1916E81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9%</w:t>
            </w:r>
          </w:p>
        </w:tc>
        <w:tc>
          <w:tcPr>
            <w:tcW w:w="563" w:type="dxa"/>
            <w:tcBorders>
              <w:top w:val="nil"/>
              <w:left w:val="nil"/>
              <w:bottom w:val="single" w:sz="4" w:space="0" w:color="BFBFBF"/>
              <w:right w:val="single" w:sz="4" w:space="0" w:color="BFBFBF"/>
            </w:tcBorders>
            <w:shd w:val="clear" w:color="auto" w:fill="auto"/>
            <w:noWrap/>
            <w:vAlign w:val="center"/>
          </w:tcPr>
          <w:p w14:paraId="1ED1856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15%</w:t>
            </w:r>
          </w:p>
        </w:tc>
        <w:tc>
          <w:tcPr>
            <w:tcW w:w="563" w:type="dxa"/>
            <w:tcBorders>
              <w:top w:val="nil"/>
              <w:left w:val="nil"/>
              <w:bottom w:val="single" w:sz="4" w:space="0" w:color="BFBFBF"/>
              <w:right w:val="single" w:sz="4" w:space="0" w:color="BFBFBF"/>
            </w:tcBorders>
            <w:shd w:val="clear" w:color="auto" w:fill="auto"/>
            <w:noWrap/>
            <w:vAlign w:val="center"/>
          </w:tcPr>
          <w:p w14:paraId="66F7A73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21%</w:t>
            </w:r>
          </w:p>
        </w:tc>
        <w:tc>
          <w:tcPr>
            <w:tcW w:w="563" w:type="dxa"/>
            <w:tcBorders>
              <w:top w:val="nil"/>
              <w:left w:val="nil"/>
              <w:bottom w:val="single" w:sz="4" w:space="0" w:color="BFBFBF"/>
              <w:right w:val="double" w:sz="6" w:space="0" w:color="auto"/>
            </w:tcBorders>
            <w:shd w:val="clear" w:color="auto" w:fill="auto"/>
            <w:noWrap/>
            <w:vAlign w:val="center"/>
          </w:tcPr>
          <w:p w14:paraId="45D6F14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22%</w:t>
            </w:r>
          </w:p>
        </w:tc>
      </w:tr>
      <w:tr w:rsidR="00B75952" w:rsidRPr="00D2313D" w14:paraId="2795CC23" w14:textId="77777777" w:rsidTr="0059723A">
        <w:trPr>
          <w:trHeight w:val="244"/>
          <w:jc w:val="center"/>
        </w:trPr>
        <w:tc>
          <w:tcPr>
            <w:tcW w:w="2833" w:type="dxa"/>
            <w:tcBorders>
              <w:top w:val="nil"/>
              <w:left w:val="double" w:sz="6" w:space="0" w:color="auto"/>
              <w:bottom w:val="single" w:sz="4" w:space="0" w:color="BFBFBF"/>
              <w:right w:val="nil"/>
            </w:tcBorders>
            <w:shd w:val="clear" w:color="auto" w:fill="auto"/>
            <w:noWrap/>
            <w:vAlign w:val="center"/>
          </w:tcPr>
          <w:p w14:paraId="407F01F8" w14:textId="77777777" w:rsidR="00B75952" w:rsidRPr="00D2313D" w:rsidRDefault="00B75952" w:rsidP="00B75952">
            <w:pPr>
              <w:spacing w:before="0" w:after="0"/>
              <w:rPr>
                <w:rFonts w:ascii="Arial" w:hAnsi="Arial" w:cs="Arial"/>
                <w:color w:val="000000"/>
                <w:sz w:val="16"/>
                <w:szCs w:val="16"/>
                <w:lang w:val="en-AU" w:eastAsia="en-AU"/>
              </w:rPr>
            </w:pPr>
            <w:r w:rsidRPr="00D2313D">
              <w:rPr>
                <w:rFonts w:ascii="Arial" w:hAnsi="Arial" w:cs="Arial"/>
                <w:color w:val="000000"/>
                <w:sz w:val="16"/>
                <w:szCs w:val="16"/>
                <w:lang w:val="en-AU" w:eastAsia="en-AU"/>
              </w:rPr>
              <w:t>Studying</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637B576A"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0DD572E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50A6936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auto"/>
            </w:tcBorders>
            <w:shd w:val="clear" w:color="auto" w:fill="auto"/>
            <w:noWrap/>
            <w:vAlign w:val="center"/>
          </w:tcPr>
          <w:p w14:paraId="21720E8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2FA3C2F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4%</w:t>
            </w:r>
          </w:p>
        </w:tc>
        <w:tc>
          <w:tcPr>
            <w:tcW w:w="563" w:type="dxa"/>
            <w:tcBorders>
              <w:top w:val="nil"/>
              <w:left w:val="nil"/>
              <w:bottom w:val="single" w:sz="4" w:space="0" w:color="BFBFBF"/>
              <w:right w:val="single" w:sz="4" w:space="0" w:color="BFBFBF"/>
            </w:tcBorders>
            <w:shd w:val="clear" w:color="auto" w:fill="auto"/>
            <w:noWrap/>
            <w:vAlign w:val="center"/>
          </w:tcPr>
          <w:p w14:paraId="387B052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w:t>
            </w:r>
          </w:p>
        </w:tc>
        <w:tc>
          <w:tcPr>
            <w:tcW w:w="563" w:type="dxa"/>
            <w:tcBorders>
              <w:top w:val="nil"/>
              <w:left w:val="nil"/>
              <w:bottom w:val="single" w:sz="4" w:space="0" w:color="BFBFBF"/>
              <w:right w:val="single" w:sz="4" w:space="0" w:color="BFBFBF"/>
            </w:tcBorders>
            <w:shd w:val="clear" w:color="auto" w:fill="auto"/>
            <w:noWrap/>
            <w:vAlign w:val="center"/>
          </w:tcPr>
          <w:p w14:paraId="62815BF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7%</w:t>
            </w:r>
          </w:p>
        </w:tc>
        <w:tc>
          <w:tcPr>
            <w:tcW w:w="563" w:type="dxa"/>
            <w:tcBorders>
              <w:top w:val="nil"/>
              <w:left w:val="nil"/>
              <w:bottom w:val="single" w:sz="4" w:space="0" w:color="BFBFBF"/>
              <w:right w:val="nil"/>
            </w:tcBorders>
            <w:shd w:val="clear" w:color="auto" w:fill="auto"/>
            <w:noWrap/>
            <w:vAlign w:val="center"/>
          </w:tcPr>
          <w:p w14:paraId="17B218C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6%</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266D626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single" w:sz="4" w:space="0" w:color="BFBFBF"/>
            </w:tcBorders>
            <w:shd w:val="clear" w:color="auto" w:fill="auto"/>
            <w:noWrap/>
            <w:vAlign w:val="center"/>
          </w:tcPr>
          <w:p w14:paraId="4D6520F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single" w:sz="4" w:space="0" w:color="BFBFBF"/>
            </w:tcBorders>
            <w:shd w:val="clear" w:color="auto" w:fill="auto"/>
            <w:noWrap/>
            <w:vAlign w:val="center"/>
          </w:tcPr>
          <w:p w14:paraId="3BAFC21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single" w:sz="4" w:space="0" w:color="auto"/>
            </w:tcBorders>
            <w:shd w:val="clear" w:color="auto" w:fill="auto"/>
            <w:noWrap/>
            <w:vAlign w:val="center"/>
          </w:tcPr>
          <w:p w14:paraId="60B58B9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single" w:sz="4" w:space="0" w:color="BFBFBF"/>
            </w:tcBorders>
            <w:shd w:val="clear" w:color="auto" w:fill="auto"/>
            <w:noWrap/>
            <w:vAlign w:val="center"/>
          </w:tcPr>
          <w:p w14:paraId="2FB962F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single" w:sz="4" w:space="0" w:color="BFBFBF"/>
            </w:tcBorders>
            <w:shd w:val="clear" w:color="auto" w:fill="auto"/>
            <w:noWrap/>
            <w:vAlign w:val="center"/>
          </w:tcPr>
          <w:p w14:paraId="76169DA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single" w:sz="4" w:space="0" w:color="BFBFBF"/>
              <w:right w:val="single" w:sz="4" w:space="0" w:color="BFBFBF"/>
            </w:tcBorders>
            <w:shd w:val="clear" w:color="auto" w:fill="auto"/>
            <w:noWrap/>
            <w:vAlign w:val="center"/>
          </w:tcPr>
          <w:p w14:paraId="5CAA2C03"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nil"/>
            </w:tcBorders>
            <w:shd w:val="clear" w:color="auto" w:fill="auto"/>
            <w:noWrap/>
            <w:vAlign w:val="center"/>
          </w:tcPr>
          <w:p w14:paraId="0767591E"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22D28833"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single" w:sz="4" w:space="0" w:color="BFBFBF"/>
            </w:tcBorders>
            <w:shd w:val="clear" w:color="auto" w:fill="auto"/>
            <w:noWrap/>
            <w:vAlign w:val="center"/>
          </w:tcPr>
          <w:p w14:paraId="01BFDE2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single" w:sz="4" w:space="0" w:color="BFBFBF"/>
            </w:tcBorders>
            <w:shd w:val="clear" w:color="auto" w:fill="auto"/>
            <w:noWrap/>
            <w:vAlign w:val="center"/>
          </w:tcPr>
          <w:p w14:paraId="38B9440C"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double" w:sz="6" w:space="0" w:color="auto"/>
            </w:tcBorders>
            <w:shd w:val="clear" w:color="auto" w:fill="auto"/>
            <w:noWrap/>
            <w:vAlign w:val="center"/>
          </w:tcPr>
          <w:p w14:paraId="367452B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r>
      <w:tr w:rsidR="00B75952" w:rsidRPr="00D2313D" w14:paraId="50E73EE4" w14:textId="77777777" w:rsidTr="0059723A">
        <w:trPr>
          <w:trHeight w:val="244"/>
          <w:jc w:val="center"/>
        </w:trPr>
        <w:tc>
          <w:tcPr>
            <w:tcW w:w="2833" w:type="dxa"/>
            <w:tcBorders>
              <w:top w:val="nil"/>
              <w:left w:val="double" w:sz="6" w:space="0" w:color="auto"/>
              <w:bottom w:val="single" w:sz="4" w:space="0" w:color="BFBFBF"/>
              <w:right w:val="nil"/>
            </w:tcBorders>
            <w:shd w:val="clear" w:color="auto" w:fill="auto"/>
            <w:noWrap/>
            <w:vAlign w:val="center"/>
          </w:tcPr>
          <w:p w14:paraId="38C52126" w14:textId="77777777" w:rsidR="00B75952" w:rsidRPr="00D2313D" w:rsidRDefault="00B75952" w:rsidP="00B75952">
            <w:pPr>
              <w:spacing w:before="0" w:after="0"/>
              <w:rPr>
                <w:rFonts w:ascii="Arial" w:hAnsi="Arial" w:cs="Arial"/>
                <w:color w:val="000000"/>
                <w:sz w:val="16"/>
                <w:szCs w:val="16"/>
                <w:lang w:val="en-AU" w:eastAsia="en-AU"/>
              </w:rPr>
            </w:pPr>
            <w:r w:rsidRPr="00D2313D">
              <w:rPr>
                <w:rFonts w:ascii="Arial" w:hAnsi="Arial" w:cs="Arial"/>
                <w:color w:val="000000"/>
                <w:sz w:val="16"/>
                <w:szCs w:val="16"/>
                <w:lang w:val="en-AU" w:eastAsia="en-AU"/>
              </w:rPr>
              <w:t>Looking for Work</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7D957EC0"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6B2C84A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single" w:sz="4" w:space="0" w:color="BFBFBF"/>
              <w:right w:val="single" w:sz="4" w:space="0" w:color="BFBFBF"/>
            </w:tcBorders>
            <w:shd w:val="clear" w:color="auto" w:fill="auto"/>
            <w:noWrap/>
            <w:vAlign w:val="center"/>
          </w:tcPr>
          <w:p w14:paraId="25EB0E0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auto"/>
            </w:tcBorders>
            <w:shd w:val="clear" w:color="auto" w:fill="auto"/>
            <w:noWrap/>
            <w:vAlign w:val="center"/>
          </w:tcPr>
          <w:p w14:paraId="458533E0"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2223E75A" w14:textId="77777777" w:rsidR="00B75952" w:rsidRPr="00D2313D" w:rsidRDefault="00D2313D"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10</w:t>
            </w:r>
            <w:r w:rsidR="00B75952"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566F2C6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11%</w:t>
            </w:r>
          </w:p>
        </w:tc>
        <w:tc>
          <w:tcPr>
            <w:tcW w:w="563" w:type="dxa"/>
            <w:tcBorders>
              <w:top w:val="nil"/>
              <w:left w:val="nil"/>
              <w:bottom w:val="single" w:sz="4" w:space="0" w:color="BFBFBF"/>
              <w:right w:val="single" w:sz="4" w:space="0" w:color="BFBFBF"/>
            </w:tcBorders>
            <w:shd w:val="clear" w:color="auto" w:fill="auto"/>
            <w:noWrap/>
            <w:vAlign w:val="center"/>
          </w:tcPr>
          <w:p w14:paraId="02075AEA"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10%</w:t>
            </w:r>
          </w:p>
        </w:tc>
        <w:tc>
          <w:tcPr>
            <w:tcW w:w="563" w:type="dxa"/>
            <w:tcBorders>
              <w:top w:val="nil"/>
              <w:left w:val="nil"/>
              <w:bottom w:val="single" w:sz="4" w:space="0" w:color="BFBFBF"/>
              <w:right w:val="nil"/>
            </w:tcBorders>
            <w:shd w:val="clear" w:color="auto" w:fill="auto"/>
            <w:noWrap/>
            <w:vAlign w:val="center"/>
          </w:tcPr>
          <w:p w14:paraId="6F37814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14%</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3F67321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w:t>
            </w:r>
          </w:p>
        </w:tc>
        <w:tc>
          <w:tcPr>
            <w:tcW w:w="563" w:type="dxa"/>
            <w:tcBorders>
              <w:top w:val="nil"/>
              <w:left w:val="nil"/>
              <w:bottom w:val="single" w:sz="4" w:space="0" w:color="BFBFBF"/>
              <w:right w:val="single" w:sz="4" w:space="0" w:color="BFBFBF"/>
            </w:tcBorders>
            <w:shd w:val="clear" w:color="auto" w:fill="auto"/>
            <w:noWrap/>
            <w:vAlign w:val="center"/>
          </w:tcPr>
          <w:p w14:paraId="74F9C790"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w:t>
            </w:r>
          </w:p>
        </w:tc>
        <w:tc>
          <w:tcPr>
            <w:tcW w:w="563" w:type="dxa"/>
            <w:tcBorders>
              <w:top w:val="nil"/>
              <w:left w:val="nil"/>
              <w:bottom w:val="single" w:sz="4" w:space="0" w:color="BFBFBF"/>
              <w:right w:val="single" w:sz="4" w:space="0" w:color="BFBFBF"/>
            </w:tcBorders>
            <w:shd w:val="clear" w:color="auto" w:fill="auto"/>
            <w:noWrap/>
            <w:vAlign w:val="center"/>
          </w:tcPr>
          <w:p w14:paraId="2D69E164"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w:t>
            </w:r>
          </w:p>
        </w:tc>
        <w:tc>
          <w:tcPr>
            <w:tcW w:w="563" w:type="dxa"/>
            <w:tcBorders>
              <w:top w:val="nil"/>
              <w:left w:val="nil"/>
              <w:bottom w:val="single" w:sz="4" w:space="0" w:color="BFBFBF"/>
              <w:right w:val="single" w:sz="4" w:space="0" w:color="auto"/>
            </w:tcBorders>
            <w:shd w:val="clear" w:color="auto" w:fill="auto"/>
            <w:noWrap/>
            <w:vAlign w:val="center"/>
          </w:tcPr>
          <w:p w14:paraId="51F87964"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7%</w:t>
            </w:r>
          </w:p>
        </w:tc>
        <w:tc>
          <w:tcPr>
            <w:tcW w:w="563" w:type="dxa"/>
            <w:tcBorders>
              <w:top w:val="nil"/>
              <w:left w:val="nil"/>
              <w:bottom w:val="single" w:sz="4" w:space="0" w:color="BFBFBF"/>
              <w:right w:val="single" w:sz="4" w:space="0" w:color="BFBFBF"/>
            </w:tcBorders>
            <w:shd w:val="clear" w:color="auto" w:fill="auto"/>
            <w:noWrap/>
            <w:vAlign w:val="center"/>
          </w:tcPr>
          <w:p w14:paraId="4455D6C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single" w:sz="4" w:space="0" w:color="BFBFBF"/>
            </w:tcBorders>
            <w:shd w:val="clear" w:color="auto" w:fill="auto"/>
            <w:noWrap/>
            <w:vAlign w:val="center"/>
          </w:tcPr>
          <w:p w14:paraId="2C1D8E40"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single" w:sz="4" w:space="0" w:color="BFBFBF"/>
            </w:tcBorders>
            <w:shd w:val="clear" w:color="auto" w:fill="auto"/>
            <w:noWrap/>
            <w:vAlign w:val="center"/>
          </w:tcPr>
          <w:p w14:paraId="04E6EDB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single" w:sz="4" w:space="0" w:color="BFBFBF"/>
              <w:right w:val="nil"/>
            </w:tcBorders>
            <w:shd w:val="clear" w:color="auto" w:fill="auto"/>
            <w:noWrap/>
            <w:vAlign w:val="center"/>
          </w:tcPr>
          <w:p w14:paraId="2A395AD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755FDFF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single" w:sz="4" w:space="0" w:color="BFBFBF"/>
            </w:tcBorders>
            <w:shd w:val="clear" w:color="auto" w:fill="auto"/>
            <w:noWrap/>
            <w:vAlign w:val="center"/>
          </w:tcPr>
          <w:p w14:paraId="7A21224F"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single" w:sz="4" w:space="0" w:color="BFBFBF"/>
              <w:right w:val="single" w:sz="4" w:space="0" w:color="BFBFBF"/>
            </w:tcBorders>
            <w:shd w:val="clear" w:color="auto" w:fill="auto"/>
            <w:noWrap/>
            <w:vAlign w:val="center"/>
          </w:tcPr>
          <w:p w14:paraId="642E277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single" w:sz="4" w:space="0" w:color="BFBFBF"/>
              <w:right w:val="double" w:sz="6" w:space="0" w:color="auto"/>
            </w:tcBorders>
            <w:shd w:val="clear" w:color="auto" w:fill="auto"/>
            <w:noWrap/>
            <w:vAlign w:val="center"/>
          </w:tcPr>
          <w:p w14:paraId="59ACAFF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r>
      <w:tr w:rsidR="00B75952" w:rsidRPr="00D2313D" w14:paraId="53AC7C88" w14:textId="77777777" w:rsidTr="0059723A">
        <w:trPr>
          <w:trHeight w:val="244"/>
          <w:jc w:val="center"/>
        </w:trPr>
        <w:tc>
          <w:tcPr>
            <w:tcW w:w="2833" w:type="dxa"/>
            <w:tcBorders>
              <w:top w:val="nil"/>
              <w:left w:val="double" w:sz="6" w:space="0" w:color="auto"/>
              <w:bottom w:val="single" w:sz="4" w:space="0" w:color="BFBFBF"/>
              <w:right w:val="nil"/>
            </w:tcBorders>
            <w:shd w:val="clear" w:color="auto" w:fill="auto"/>
            <w:noWrap/>
            <w:vAlign w:val="center"/>
          </w:tcPr>
          <w:p w14:paraId="52649874" w14:textId="77777777" w:rsidR="00B75952" w:rsidRPr="00D2313D" w:rsidRDefault="00B75952" w:rsidP="00B75952">
            <w:pPr>
              <w:spacing w:before="0" w:after="0"/>
              <w:rPr>
                <w:rFonts w:ascii="Arial" w:hAnsi="Arial" w:cs="Arial"/>
                <w:color w:val="000000"/>
                <w:sz w:val="16"/>
                <w:szCs w:val="16"/>
                <w:lang w:val="en-AU" w:eastAsia="en-AU"/>
              </w:rPr>
            </w:pPr>
            <w:r w:rsidRPr="00D2313D">
              <w:rPr>
                <w:rFonts w:ascii="Arial" w:hAnsi="Arial" w:cs="Arial"/>
                <w:color w:val="000000"/>
                <w:sz w:val="16"/>
                <w:szCs w:val="16"/>
                <w:lang w:val="en-AU" w:eastAsia="en-AU"/>
              </w:rPr>
              <w:t>Retired/Pensioner</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78397BFE"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92%</w:t>
            </w:r>
          </w:p>
        </w:tc>
        <w:tc>
          <w:tcPr>
            <w:tcW w:w="563" w:type="dxa"/>
            <w:tcBorders>
              <w:top w:val="nil"/>
              <w:left w:val="nil"/>
              <w:bottom w:val="single" w:sz="4" w:space="0" w:color="BFBFBF"/>
              <w:right w:val="single" w:sz="4" w:space="0" w:color="BFBFBF"/>
            </w:tcBorders>
            <w:shd w:val="clear" w:color="auto" w:fill="auto"/>
            <w:noWrap/>
            <w:vAlign w:val="center"/>
          </w:tcPr>
          <w:p w14:paraId="5056C804"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89%</w:t>
            </w:r>
          </w:p>
        </w:tc>
        <w:tc>
          <w:tcPr>
            <w:tcW w:w="563" w:type="dxa"/>
            <w:tcBorders>
              <w:top w:val="nil"/>
              <w:left w:val="nil"/>
              <w:bottom w:val="single" w:sz="4" w:space="0" w:color="BFBFBF"/>
              <w:right w:val="single" w:sz="4" w:space="0" w:color="BFBFBF"/>
            </w:tcBorders>
            <w:shd w:val="clear" w:color="auto" w:fill="auto"/>
            <w:noWrap/>
            <w:vAlign w:val="center"/>
          </w:tcPr>
          <w:p w14:paraId="2C442E53"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87%</w:t>
            </w:r>
          </w:p>
        </w:tc>
        <w:tc>
          <w:tcPr>
            <w:tcW w:w="563" w:type="dxa"/>
            <w:tcBorders>
              <w:top w:val="nil"/>
              <w:left w:val="nil"/>
              <w:bottom w:val="single" w:sz="4" w:space="0" w:color="BFBFBF"/>
              <w:right w:val="single" w:sz="4" w:space="0" w:color="auto"/>
            </w:tcBorders>
            <w:shd w:val="clear" w:color="auto" w:fill="auto"/>
            <w:noWrap/>
            <w:vAlign w:val="center"/>
          </w:tcPr>
          <w:p w14:paraId="4EB1FD1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82%</w:t>
            </w:r>
          </w:p>
        </w:tc>
        <w:tc>
          <w:tcPr>
            <w:tcW w:w="563" w:type="dxa"/>
            <w:tcBorders>
              <w:top w:val="nil"/>
              <w:left w:val="nil"/>
              <w:bottom w:val="single" w:sz="4" w:space="0" w:color="BFBFBF"/>
              <w:right w:val="single" w:sz="4" w:space="0" w:color="BFBFBF"/>
            </w:tcBorders>
            <w:shd w:val="clear" w:color="auto" w:fill="auto"/>
            <w:noWrap/>
            <w:vAlign w:val="center"/>
          </w:tcPr>
          <w:p w14:paraId="1D4669FE" w14:textId="77777777" w:rsidR="00B75952" w:rsidRPr="00D2313D" w:rsidRDefault="00B75952" w:rsidP="00D2313D">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r w:rsidR="00D2313D" w:rsidRPr="00D2313D">
              <w:rPr>
                <w:rFonts w:ascii="Arial" w:hAnsi="Arial" w:cs="Arial"/>
                <w:color w:val="000000"/>
                <w:sz w:val="16"/>
                <w:szCs w:val="16"/>
                <w:lang w:val="en-AU" w:eastAsia="en-AU"/>
              </w:rPr>
              <w:t>4</w:t>
            </w:r>
            <w:r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315CEF9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31%</w:t>
            </w:r>
          </w:p>
        </w:tc>
        <w:tc>
          <w:tcPr>
            <w:tcW w:w="563" w:type="dxa"/>
            <w:tcBorders>
              <w:top w:val="nil"/>
              <w:left w:val="nil"/>
              <w:bottom w:val="single" w:sz="4" w:space="0" w:color="BFBFBF"/>
              <w:right w:val="single" w:sz="4" w:space="0" w:color="BFBFBF"/>
            </w:tcBorders>
            <w:shd w:val="clear" w:color="auto" w:fill="auto"/>
            <w:noWrap/>
            <w:vAlign w:val="center"/>
          </w:tcPr>
          <w:p w14:paraId="555F73A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28%</w:t>
            </w:r>
          </w:p>
        </w:tc>
        <w:tc>
          <w:tcPr>
            <w:tcW w:w="563" w:type="dxa"/>
            <w:tcBorders>
              <w:top w:val="nil"/>
              <w:left w:val="nil"/>
              <w:bottom w:val="single" w:sz="4" w:space="0" w:color="BFBFBF"/>
              <w:right w:val="nil"/>
            </w:tcBorders>
            <w:shd w:val="clear" w:color="auto" w:fill="auto"/>
            <w:noWrap/>
            <w:vAlign w:val="center"/>
          </w:tcPr>
          <w:p w14:paraId="49E4AFA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16%</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653449CD" w14:textId="77777777" w:rsidR="00B75952" w:rsidRPr="00D2313D" w:rsidRDefault="00D2313D"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63</w:t>
            </w:r>
            <w:r w:rsidR="00B75952" w:rsidRPr="00D2313D">
              <w:rPr>
                <w:rFonts w:ascii="Arial" w:hAnsi="Arial" w:cs="Arial"/>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2200220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62%</w:t>
            </w:r>
          </w:p>
        </w:tc>
        <w:tc>
          <w:tcPr>
            <w:tcW w:w="563" w:type="dxa"/>
            <w:tcBorders>
              <w:top w:val="nil"/>
              <w:left w:val="nil"/>
              <w:bottom w:val="single" w:sz="4" w:space="0" w:color="BFBFBF"/>
              <w:right w:val="single" w:sz="4" w:space="0" w:color="BFBFBF"/>
            </w:tcBorders>
            <w:shd w:val="clear" w:color="auto" w:fill="auto"/>
            <w:noWrap/>
            <w:vAlign w:val="center"/>
          </w:tcPr>
          <w:p w14:paraId="7A26373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59%</w:t>
            </w:r>
          </w:p>
        </w:tc>
        <w:tc>
          <w:tcPr>
            <w:tcW w:w="563" w:type="dxa"/>
            <w:tcBorders>
              <w:top w:val="nil"/>
              <w:left w:val="nil"/>
              <w:bottom w:val="single" w:sz="4" w:space="0" w:color="BFBFBF"/>
              <w:right w:val="single" w:sz="4" w:space="0" w:color="auto"/>
            </w:tcBorders>
            <w:shd w:val="clear" w:color="auto" w:fill="auto"/>
            <w:noWrap/>
            <w:vAlign w:val="center"/>
          </w:tcPr>
          <w:p w14:paraId="2722110E"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53%</w:t>
            </w:r>
          </w:p>
        </w:tc>
        <w:tc>
          <w:tcPr>
            <w:tcW w:w="563" w:type="dxa"/>
            <w:tcBorders>
              <w:top w:val="nil"/>
              <w:left w:val="nil"/>
              <w:bottom w:val="single" w:sz="4" w:space="0" w:color="BFBFBF"/>
              <w:right w:val="single" w:sz="4" w:space="0" w:color="BFBFBF"/>
            </w:tcBorders>
            <w:shd w:val="clear" w:color="auto" w:fill="auto"/>
            <w:noWrap/>
            <w:vAlign w:val="center"/>
          </w:tcPr>
          <w:p w14:paraId="60F4FD2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15%</w:t>
            </w:r>
          </w:p>
        </w:tc>
        <w:tc>
          <w:tcPr>
            <w:tcW w:w="563" w:type="dxa"/>
            <w:tcBorders>
              <w:top w:val="nil"/>
              <w:left w:val="nil"/>
              <w:bottom w:val="single" w:sz="4" w:space="0" w:color="BFBFBF"/>
              <w:right w:val="single" w:sz="4" w:space="0" w:color="BFBFBF"/>
            </w:tcBorders>
            <w:shd w:val="clear" w:color="auto" w:fill="auto"/>
            <w:noWrap/>
            <w:vAlign w:val="center"/>
          </w:tcPr>
          <w:p w14:paraId="31A0D4C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10%</w:t>
            </w:r>
          </w:p>
        </w:tc>
        <w:tc>
          <w:tcPr>
            <w:tcW w:w="563" w:type="dxa"/>
            <w:tcBorders>
              <w:top w:val="nil"/>
              <w:left w:val="nil"/>
              <w:bottom w:val="single" w:sz="4" w:space="0" w:color="BFBFBF"/>
              <w:right w:val="single" w:sz="4" w:space="0" w:color="BFBFBF"/>
            </w:tcBorders>
            <w:shd w:val="clear" w:color="auto" w:fill="auto"/>
            <w:noWrap/>
            <w:vAlign w:val="center"/>
          </w:tcPr>
          <w:p w14:paraId="020FA9B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8%</w:t>
            </w:r>
          </w:p>
        </w:tc>
        <w:tc>
          <w:tcPr>
            <w:tcW w:w="563" w:type="dxa"/>
            <w:tcBorders>
              <w:top w:val="nil"/>
              <w:left w:val="nil"/>
              <w:bottom w:val="single" w:sz="4" w:space="0" w:color="BFBFBF"/>
              <w:right w:val="nil"/>
            </w:tcBorders>
            <w:shd w:val="clear" w:color="auto" w:fill="auto"/>
            <w:noWrap/>
            <w:vAlign w:val="center"/>
          </w:tcPr>
          <w:p w14:paraId="2DEDA52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7%</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10E55EFA"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37%</w:t>
            </w:r>
          </w:p>
        </w:tc>
        <w:tc>
          <w:tcPr>
            <w:tcW w:w="563" w:type="dxa"/>
            <w:tcBorders>
              <w:top w:val="nil"/>
              <w:left w:val="nil"/>
              <w:bottom w:val="single" w:sz="4" w:space="0" w:color="BFBFBF"/>
              <w:right w:val="single" w:sz="4" w:space="0" w:color="BFBFBF"/>
            </w:tcBorders>
            <w:shd w:val="clear" w:color="auto" w:fill="auto"/>
            <w:noWrap/>
            <w:vAlign w:val="center"/>
          </w:tcPr>
          <w:p w14:paraId="4A7961D4"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31%</w:t>
            </w:r>
          </w:p>
        </w:tc>
        <w:tc>
          <w:tcPr>
            <w:tcW w:w="563" w:type="dxa"/>
            <w:tcBorders>
              <w:top w:val="nil"/>
              <w:left w:val="nil"/>
              <w:bottom w:val="single" w:sz="4" w:space="0" w:color="BFBFBF"/>
              <w:right w:val="single" w:sz="4" w:space="0" w:color="BFBFBF"/>
            </w:tcBorders>
            <w:shd w:val="clear" w:color="auto" w:fill="auto"/>
            <w:noWrap/>
            <w:vAlign w:val="center"/>
          </w:tcPr>
          <w:p w14:paraId="2DAAE70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28%</w:t>
            </w:r>
          </w:p>
        </w:tc>
        <w:tc>
          <w:tcPr>
            <w:tcW w:w="563" w:type="dxa"/>
            <w:tcBorders>
              <w:top w:val="nil"/>
              <w:left w:val="nil"/>
              <w:bottom w:val="single" w:sz="4" w:space="0" w:color="BFBFBF"/>
              <w:right w:val="double" w:sz="6" w:space="0" w:color="auto"/>
            </w:tcBorders>
            <w:shd w:val="clear" w:color="auto" w:fill="auto"/>
            <w:noWrap/>
            <w:vAlign w:val="center"/>
          </w:tcPr>
          <w:p w14:paraId="106D7EF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26%</w:t>
            </w:r>
          </w:p>
        </w:tc>
      </w:tr>
      <w:tr w:rsidR="00B75952" w:rsidRPr="00D2313D" w14:paraId="5A06183B" w14:textId="77777777" w:rsidTr="0059723A">
        <w:trPr>
          <w:trHeight w:val="244"/>
          <w:jc w:val="center"/>
        </w:trPr>
        <w:tc>
          <w:tcPr>
            <w:tcW w:w="2833" w:type="dxa"/>
            <w:tcBorders>
              <w:top w:val="nil"/>
              <w:left w:val="double" w:sz="6" w:space="0" w:color="auto"/>
              <w:bottom w:val="single" w:sz="4" w:space="0" w:color="BFBFBF"/>
              <w:right w:val="nil"/>
            </w:tcBorders>
            <w:shd w:val="clear" w:color="auto" w:fill="auto"/>
            <w:noWrap/>
            <w:vAlign w:val="center"/>
          </w:tcPr>
          <w:p w14:paraId="1B324D18" w14:textId="77777777" w:rsidR="00B75952" w:rsidRPr="00D2313D" w:rsidRDefault="00B75952" w:rsidP="00B75952">
            <w:pPr>
              <w:spacing w:before="0" w:after="0"/>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Total Not Employed</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73C44378"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94%</w:t>
            </w:r>
          </w:p>
        </w:tc>
        <w:tc>
          <w:tcPr>
            <w:tcW w:w="563" w:type="dxa"/>
            <w:tcBorders>
              <w:top w:val="nil"/>
              <w:left w:val="nil"/>
              <w:bottom w:val="single" w:sz="4" w:space="0" w:color="BFBFBF"/>
              <w:right w:val="single" w:sz="4" w:space="0" w:color="BFBFBF"/>
            </w:tcBorders>
            <w:shd w:val="clear" w:color="auto" w:fill="auto"/>
            <w:noWrap/>
            <w:vAlign w:val="center"/>
          </w:tcPr>
          <w:p w14:paraId="4B5D43CF"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97%</w:t>
            </w:r>
          </w:p>
        </w:tc>
        <w:tc>
          <w:tcPr>
            <w:tcW w:w="563" w:type="dxa"/>
            <w:tcBorders>
              <w:top w:val="nil"/>
              <w:left w:val="nil"/>
              <w:bottom w:val="single" w:sz="4" w:space="0" w:color="BFBFBF"/>
              <w:right w:val="single" w:sz="4" w:space="0" w:color="BFBFBF"/>
            </w:tcBorders>
            <w:shd w:val="clear" w:color="auto" w:fill="auto"/>
            <w:noWrap/>
            <w:vAlign w:val="center"/>
          </w:tcPr>
          <w:p w14:paraId="53FF47B8"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98%</w:t>
            </w:r>
          </w:p>
        </w:tc>
        <w:tc>
          <w:tcPr>
            <w:tcW w:w="563" w:type="dxa"/>
            <w:tcBorders>
              <w:top w:val="nil"/>
              <w:left w:val="nil"/>
              <w:bottom w:val="single" w:sz="4" w:space="0" w:color="BFBFBF"/>
              <w:right w:val="single" w:sz="4" w:space="0" w:color="auto"/>
            </w:tcBorders>
            <w:shd w:val="clear" w:color="auto" w:fill="auto"/>
            <w:noWrap/>
            <w:vAlign w:val="center"/>
          </w:tcPr>
          <w:p w14:paraId="036F50CA"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96%</w:t>
            </w:r>
          </w:p>
        </w:tc>
        <w:tc>
          <w:tcPr>
            <w:tcW w:w="563" w:type="dxa"/>
            <w:tcBorders>
              <w:top w:val="nil"/>
              <w:left w:val="nil"/>
              <w:bottom w:val="single" w:sz="4" w:space="0" w:color="BFBFBF"/>
              <w:right w:val="single" w:sz="4" w:space="0" w:color="BFBFBF"/>
            </w:tcBorders>
            <w:shd w:val="clear" w:color="auto" w:fill="auto"/>
            <w:noWrap/>
            <w:vAlign w:val="center"/>
          </w:tcPr>
          <w:p w14:paraId="607AFAEC" w14:textId="77777777" w:rsidR="00B75952" w:rsidRPr="00D2313D" w:rsidRDefault="00D2313D"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64</w:t>
            </w:r>
            <w:r w:rsidR="00B75952" w:rsidRPr="00D2313D">
              <w:rPr>
                <w:rFonts w:ascii="Arial" w:hAnsi="Arial" w:cs="Arial"/>
                <w:b/>
                <w:bCs/>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68F909A5"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76%</w:t>
            </w:r>
          </w:p>
        </w:tc>
        <w:tc>
          <w:tcPr>
            <w:tcW w:w="563" w:type="dxa"/>
            <w:tcBorders>
              <w:top w:val="nil"/>
              <w:left w:val="nil"/>
              <w:bottom w:val="single" w:sz="4" w:space="0" w:color="BFBFBF"/>
              <w:right w:val="single" w:sz="4" w:space="0" w:color="BFBFBF"/>
            </w:tcBorders>
            <w:shd w:val="clear" w:color="auto" w:fill="auto"/>
            <w:noWrap/>
            <w:vAlign w:val="center"/>
          </w:tcPr>
          <w:p w14:paraId="34F3FDF2"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77%</w:t>
            </w:r>
          </w:p>
        </w:tc>
        <w:tc>
          <w:tcPr>
            <w:tcW w:w="563" w:type="dxa"/>
            <w:tcBorders>
              <w:top w:val="nil"/>
              <w:left w:val="nil"/>
              <w:bottom w:val="single" w:sz="4" w:space="0" w:color="BFBFBF"/>
              <w:right w:val="nil"/>
            </w:tcBorders>
            <w:shd w:val="clear" w:color="auto" w:fill="auto"/>
            <w:noWrap/>
            <w:vAlign w:val="center"/>
          </w:tcPr>
          <w:p w14:paraId="0F620230"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74%</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3DFA93AD" w14:textId="77777777" w:rsidR="00B75952" w:rsidRPr="00D2313D" w:rsidRDefault="00D2313D"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79</w:t>
            </w:r>
            <w:r w:rsidR="00B75952" w:rsidRPr="00D2313D">
              <w:rPr>
                <w:rFonts w:ascii="Arial" w:hAnsi="Arial" w:cs="Arial"/>
                <w:b/>
                <w:bCs/>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51001C14"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87%</w:t>
            </w:r>
          </w:p>
        </w:tc>
        <w:tc>
          <w:tcPr>
            <w:tcW w:w="563" w:type="dxa"/>
            <w:tcBorders>
              <w:top w:val="nil"/>
              <w:left w:val="nil"/>
              <w:bottom w:val="single" w:sz="4" w:space="0" w:color="BFBFBF"/>
              <w:right w:val="single" w:sz="4" w:space="0" w:color="BFBFBF"/>
            </w:tcBorders>
            <w:shd w:val="clear" w:color="auto" w:fill="auto"/>
            <w:noWrap/>
            <w:vAlign w:val="center"/>
          </w:tcPr>
          <w:p w14:paraId="0C420901"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88%</w:t>
            </w:r>
          </w:p>
        </w:tc>
        <w:tc>
          <w:tcPr>
            <w:tcW w:w="563" w:type="dxa"/>
            <w:tcBorders>
              <w:top w:val="nil"/>
              <w:left w:val="nil"/>
              <w:bottom w:val="single" w:sz="4" w:space="0" w:color="BFBFBF"/>
              <w:right w:val="single" w:sz="4" w:space="0" w:color="auto"/>
            </w:tcBorders>
            <w:shd w:val="clear" w:color="auto" w:fill="auto"/>
            <w:noWrap/>
            <w:vAlign w:val="center"/>
          </w:tcPr>
          <w:p w14:paraId="5C6027C1"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87%</w:t>
            </w:r>
          </w:p>
        </w:tc>
        <w:tc>
          <w:tcPr>
            <w:tcW w:w="563" w:type="dxa"/>
            <w:tcBorders>
              <w:top w:val="nil"/>
              <w:left w:val="nil"/>
              <w:bottom w:val="single" w:sz="4" w:space="0" w:color="BFBFBF"/>
              <w:right w:val="single" w:sz="4" w:space="0" w:color="BFBFBF"/>
            </w:tcBorders>
            <w:shd w:val="clear" w:color="auto" w:fill="auto"/>
            <w:noWrap/>
            <w:vAlign w:val="center"/>
          </w:tcPr>
          <w:p w14:paraId="6FE20063"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28%</w:t>
            </w:r>
          </w:p>
        </w:tc>
        <w:tc>
          <w:tcPr>
            <w:tcW w:w="563" w:type="dxa"/>
            <w:tcBorders>
              <w:top w:val="nil"/>
              <w:left w:val="nil"/>
              <w:bottom w:val="single" w:sz="4" w:space="0" w:color="BFBFBF"/>
              <w:right w:val="single" w:sz="4" w:space="0" w:color="BFBFBF"/>
            </w:tcBorders>
            <w:shd w:val="clear" w:color="auto" w:fill="auto"/>
            <w:noWrap/>
            <w:vAlign w:val="center"/>
          </w:tcPr>
          <w:p w14:paraId="4C35B7AC"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29%</w:t>
            </w:r>
          </w:p>
        </w:tc>
        <w:tc>
          <w:tcPr>
            <w:tcW w:w="563" w:type="dxa"/>
            <w:tcBorders>
              <w:top w:val="nil"/>
              <w:left w:val="nil"/>
              <w:bottom w:val="single" w:sz="4" w:space="0" w:color="BFBFBF"/>
              <w:right w:val="single" w:sz="4" w:space="0" w:color="BFBFBF"/>
            </w:tcBorders>
            <w:shd w:val="clear" w:color="auto" w:fill="auto"/>
            <w:noWrap/>
            <w:vAlign w:val="center"/>
          </w:tcPr>
          <w:p w14:paraId="43D415EE"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34%</w:t>
            </w:r>
          </w:p>
        </w:tc>
        <w:tc>
          <w:tcPr>
            <w:tcW w:w="563" w:type="dxa"/>
            <w:tcBorders>
              <w:top w:val="nil"/>
              <w:left w:val="nil"/>
              <w:bottom w:val="single" w:sz="4" w:space="0" w:color="BFBFBF"/>
              <w:right w:val="nil"/>
            </w:tcBorders>
            <w:shd w:val="clear" w:color="auto" w:fill="auto"/>
            <w:noWrap/>
            <w:vAlign w:val="center"/>
          </w:tcPr>
          <w:p w14:paraId="3A5A1A23"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32%</w:t>
            </w:r>
          </w:p>
        </w:tc>
        <w:tc>
          <w:tcPr>
            <w:tcW w:w="563" w:type="dxa"/>
            <w:tcBorders>
              <w:top w:val="nil"/>
              <w:left w:val="single" w:sz="4" w:space="0" w:color="auto"/>
              <w:bottom w:val="single" w:sz="4" w:space="0" w:color="BFBFBF"/>
              <w:right w:val="single" w:sz="4" w:space="0" w:color="BFBFBF"/>
            </w:tcBorders>
            <w:shd w:val="clear" w:color="auto" w:fill="auto"/>
            <w:noWrap/>
            <w:vAlign w:val="center"/>
          </w:tcPr>
          <w:p w14:paraId="2DA97FEA" w14:textId="77777777" w:rsidR="00B75952" w:rsidRPr="00D2313D" w:rsidRDefault="00B75952" w:rsidP="00D2313D">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5</w:t>
            </w:r>
            <w:r w:rsidR="00D2313D" w:rsidRPr="00D2313D">
              <w:rPr>
                <w:rFonts w:ascii="Arial" w:hAnsi="Arial" w:cs="Arial"/>
                <w:b/>
                <w:bCs/>
                <w:color w:val="000000"/>
                <w:sz w:val="16"/>
                <w:szCs w:val="16"/>
                <w:lang w:val="en-AU" w:eastAsia="en-AU"/>
              </w:rPr>
              <w:t>1</w:t>
            </w:r>
            <w:r w:rsidRPr="00D2313D">
              <w:rPr>
                <w:rFonts w:ascii="Arial" w:hAnsi="Arial" w:cs="Arial"/>
                <w:b/>
                <w:bCs/>
                <w:color w:val="000000"/>
                <w:sz w:val="16"/>
                <w:szCs w:val="16"/>
                <w:lang w:val="en-AU" w:eastAsia="en-AU"/>
              </w:rPr>
              <w:t>%</w:t>
            </w:r>
          </w:p>
        </w:tc>
        <w:tc>
          <w:tcPr>
            <w:tcW w:w="563" w:type="dxa"/>
            <w:tcBorders>
              <w:top w:val="nil"/>
              <w:left w:val="nil"/>
              <w:bottom w:val="single" w:sz="4" w:space="0" w:color="BFBFBF"/>
              <w:right w:val="single" w:sz="4" w:space="0" w:color="BFBFBF"/>
            </w:tcBorders>
            <w:shd w:val="clear" w:color="auto" w:fill="auto"/>
            <w:noWrap/>
            <w:vAlign w:val="center"/>
          </w:tcPr>
          <w:p w14:paraId="5A9D0D9F"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53%</w:t>
            </w:r>
          </w:p>
        </w:tc>
        <w:tc>
          <w:tcPr>
            <w:tcW w:w="563" w:type="dxa"/>
            <w:tcBorders>
              <w:top w:val="nil"/>
              <w:left w:val="nil"/>
              <w:bottom w:val="single" w:sz="4" w:space="0" w:color="BFBFBF"/>
              <w:right w:val="single" w:sz="4" w:space="0" w:color="BFBFBF"/>
            </w:tcBorders>
            <w:shd w:val="clear" w:color="auto" w:fill="auto"/>
            <w:noWrap/>
            <w:vAlign w:val="center"/>
          </w:tcPr>
          <w:p w14:paraId="56206FE4"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55%</w:t>
            </w:r>
          </w:p>
        </w:tc>
        <w:tc>
          <w:tcPr>
            <w:tcW w:w="563" w:type="dxa"/>
            <w:tcBorders>
              <w:top w:val="nil"/>
              <w:left w:val="nil"/>
              <w:bottom w:val="single" w:sz="4" w:space="0" w:color="BFBFBF"/>
              <w:right w:val="double" w:sz="6" w:space="0" w:color="auto"/>
            </w:tcBorders>
            <w:shd w:val="clear" w:color="auto" w:fill="auto"/>
            <w:noWrap/>
            <w:vAlign w:val="center"/>
          </w:tcPr>
          <w:p w14:paraId="35716395" w14:textId="77777777" w:rsidR="00B75952" w:rsidRPr="00D2313D" w:rsidRDefault="00B75952" w:rsidP="0059723A">
            <w:pPr>
              <w:spacing w:before="0" w:after="0"/>
              <w:jc w:val="center"/>
              <w:rPr>
                <w:rFonts w:ascii="Arial" w:hAnsi="Arial" w:cs="Arial"/>
                <w:b/>
                <w:bCs/>
                <w:color w:val="000000"/>
                <w:sz w:val="16"/>
                <w:szCs w:val="16"/>
                <w:lang w:val="en-AU" w:eastAsia="en-AU"/>
              </w:rPr>
            </w:pPr>
            <w:r w:rsidRPr="00D2313D">
              <w:rPr>
                <w:rFonts w:ascii="Arial" w:hAnsi="Arial" w:cs="Arial"/>
                <w:b/>
                <w:bCs/>
                <w:color w:val="000000"/>
                <w:sz w:val="16"/>
                <w:szCs w:val="16"/>
                <w:lang w:val="en-AU" w:eastAsia="en-AU"/>
              </w:rPr>
              <w:t>44%</w:t>
            </w:r>
          </w:p>
        </w:tc>
      </w:tr>
      <w:tr w:rsidR="00B75952" w:rsidRPr="00D2313D" w14:paraId="3C0E7C17" w14:textId="77777777" w:rsidTr="0059723A">
        <w:trPr>
          <w:trHeight w:val="260"/>
          <w:jc w:val="center"/>
        </w:trPr>
        <w:tc>
          <w:tcPr>
            <w:tcW w:w="2833" w:type="dxa"/>
            <w:tcBorders>
              <w:top w:val="nil"/>
              <w:left w:val="double" w:sz="6" w:space="0" w:color="auto"/>
              <w:bottom w:val="double" w:sz="6" w:space="0" w:color="auto"/>
              <w:right w:val="nil"/>
            </w:tcBorders>
            <w:shd w:val="clear" w:color="auto" w:fill="auto"/>
            <w:noWrap/>
            <w:vAlign w:val="center"/>
          </w:tcPr>
          <w:p w14:paraId="36DC65C0" w14:textId="77777777" w:rsidR="00B75952" w:rsidRPr="00D2313D" w:rsidRDefault="00B75952" w:rsidP="00B75952">
            <w:pPr>
              <w:spacing w:before="0" w:after="0"/>
              <w:rPr>
                <w:rFonts w:ascii="Arial" w:hAnsi="Arial" w:cs="Arial"/>
                <w:color w:val="000000"/>
                <w:sz w:val="16"/>
                <w:szCs w:val="16"/>
                <w:lang w:val="en-AU" w:eastAsia="en-AU"/>
              </w:rPr>
            </w:pPr>
            <w:r w:rsidRPr="00D2313D">
              <w:rPr>
                <w:rFonts w:ascii="Arial" w:hAnsi="Arial" w:cs="Arial"/>
                <w:color w:val="000000"/>
                <w:sz w:val="16"/>
                <w:szCs w:val="16"/>
                <w:lang w:val="en-AU" w:eastAsia="en-AU"/>
              </w:rPr>
              <w:t>Other</w:t>
            </w:r>
          </w:p>
        </w:tc>
        <w:tc>
          <w:tcPr>
            <w:tcW w:w="563" w:type="dxa"/>
            <w:tcBorders>
              <w:top w:val="nil"/>
              <w:left w:val="single" w:sz="4" w:space="0" w:color="auto"/>
              <w:bottom w:val="double" w:sz="6" w:space="0" w:color="auto"/>
              <w:right w:val="single" w:sz="4" w:space="0" w:color="BFBFBF"/>
            </w:tcBorders>
            <w:shd w:val="clear" w:color="auto" w:fill="auto"/>
            <w:noWrap/>
            <w:vAlign w:val="center"/>
          </w:tcPr>
          <w:p w14:paraId="40385A2E"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double" w:sz="6" w:space="0" w:color="auto"/>
              <w:right w:val="single" w:sz="4" w:space="0" w:color="BFBFBF"/>
            </w:tcBorders>
            <w:shd w:val="clear" w:color="auto" w:fill="auto"/>
            <w:noWrap/>
            <w:vAlign w:val="center"/>
          </w:tcPr>
          <w:p w14:paraId="4CE871F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double" w:sz="6" w:space="0" w:color="auto"/>
              <w:right w:val="single" w:sz="4" w:space="0" w:color="BFBFBF"/>
            </w:tcBorders>
            <w:shd w:val="clear" w:color="auto" w:fill="auto"/>
            <w:noWrap/>
            <w:vAlign w:val="center"/>
          </w:tcPr>
          <w:p w14:paraId="0C69407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double" w:sz="6" w:space="0" w:color="auto"/>
              <w:right w:val="single" w:sz="4" w:space="0" w:color="auto"/>
            </w:tcBorders>
            <w:shd w:val="clear" w:color="auto" w:fill="auto"/>
            <w:noWrap/>
            <w:vAlign w:val="center"/>
          </w:tcPr>
          <w:p w14:paraId="3CD9E08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double" w:sz="6" w:space="0" w:color="auto"/>
              <w:right w:val="single" w:sz="4" w:space="0" w:color="BFBFBF"/>
            </w:tcBorders>
            <w:shd w:val="clear" w:color="auto" w:fill="auto"/>
            <w:noWrap/>
            <w:vAlign w:val="center"/>
          </w:tcPr>
          <w:p w14:paraId="0D868A3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nil"/>
              <w:bottom w:val="double" w:sz="6" w:space="0" w:color="auto"/>
              <w:right w:val="single" w:sz="4" w:space="0" w:color="BFBFBF"/>
            </w:tcBorders>
            <w:shd w:val="clear" w:color="auto" w:fill="auto"/>
            <w:noWrap/>
            <w:vAlign w:val="center"/>
          </w:tcPr>
          <w:p w14:paraId="7D70E8D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double" w:sz="6" w:space="0" w:color="auto"/>
              <w:right w:val="single" w:sz="4" w:space="0" w:color="BFBFBF"/>
            </w:tcBorders>
            <w:shd w:val="clear" w:color="auto" w:fill="auto"/>
            <w:noWrap/>
            <w:vAlign w:val="center"/>
          </w:tcPr>
          <w:p w14:paraId="6FA0AAC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double" w:sz="6" w:space="0" w:color="auto"/>
              <w:right w:val="nil"/>
            </w:tcBorders>
            <w:shd w:val="clear" w:color="auto" w:fill="auto"/>
            <w:noWrap/>
            <w:vAlign w:val="center"/>
          </w:tcPr>
          <w:p w14:paraId="01C3D90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3%</w:t>
            </w:r>
          </w:p>
        </w:tc>
        <w:tc>
          <w:tcPr>
            <w:tcW w:w="563" w:type="dxa"/>
            <w:tcBorders>
              <w:top w:val="nil"/>
              <w:left w:val="single" w:sz="4" w:space="0" w:color="auto"/>
              <w:bottom w:val="double" w:sz="6" w:space="0" w:color="auto"/>
              <w:right w:val="single" w:sz="4" w:space="0" w:color="BFBFBF"/>
            </w:tcBorders>
            <w:shd w:val="clear" w:color="auto" w:fill="auto"/>
            <w:noWrap/>
            <w:vAlign w:val="center"/>
          </w:tcPr>
          <w:p w14:paraId="5169A17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double" w:sz="6" w:space="0" w:color="auto"/>
              <w:right w:val="single" w:sz="4" w:space="0" w:color="BFBFBF"/>
            </w:tcBorders>
            <w:shd w:val="clear" w:color="auto" w:fill="auto"/>
            <w:noWrap/>
            <w:vAlign w:val="center"/>
          </w:tcPr>
          <w:p w14:paraId="5C63DD05"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double" w:sz="6" w:space="0" w:color="auto"/>
              <w:right w:val="single" w:sz="4" w:space="0" w:color="BFBFBF"/>
            </w:tcBorders>
            <w:shd w:val="clear" w:color="auto" w:fill="auto"/>
            <w:noWrap/>
            <w:vAlign w:val="center"/>
          </w:tcPr>
          <w:p w14:paraId="7E22FFA6"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double" w:sz="6" w:space="0" w:color="auto"/>
              <w:right w:val="single" w:sz="4" w:space="0" w:color="auto"/>
            </w:tcBorders>
            <w:shd w:val="clear" w:color="auto" w:fill="auto"/>
            <w:noWrap/>
            <w:vAlign w:val="center"/>
          </w:tcPr>
          <w:p w14:paraId="1FB686A8"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2%</w:t>
            </w:r>
          </w:p>
        </w:tc>
        <w:tc>
          <w:tcPr>
            <w:tcW w:w="563" w:type="dxa"/>
            <w:tcBorders>
              <w:top w:val="nil"/>
              <w:left w:val="nil"/>
              <w:bottom w:val="double" w:sz="6" w:space="0" w:color="auto"/>
              <w:right w:val="single" w:sz="4" w:space="0" w:color="BFBFBF"/>
            </w:tcBorders>
            <w:shd w:val="clear" w:color="auto" w:fill="auto"/>
            <w:noWrap/>
            <w:vAlign w:val="center"/>
          </w:tcPr>
          <w:p w14:paraId="38589E8B"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double" w:sz="6" w:space="0" w:color="auto"/>
              <w:right w:val="single" w:sz="4" w:space="0" w:color="BFBFBF"/>
            </w:tcBorders>
            <w:shd w:val="clear" w:color="auto" w:fill="auto"/>
            <w:noWrap/>
            <w:vAlign w:val="center"/>
          </w:tcPr>
          <w:p w14:paraId="3AC70739"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double" w:sz="6" w:space="0" w:color="auto"/>
              <w:right w:val="single" w:sz="4" w:space="0" w:color="BFBFBF"/>
            </w:tcBorders>
            <w:shd w:val="clear" w:color="auto" w:fill="auto"/>
            <w:noWrap/>
            <w:vAlign w:val="center"/>
          </w:tcPr>
          <w:p w14:paraId="006CEF8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double" w:sz="6" w:space="0" w:color="auto"/>
              <w:right w:val="nil"/>
            </w:tcBorders>
            <w:shd w:val="clear" w:color="auto" w:fill="auto"/>
            <w:noWrap/>
            <w:vAlign w:val="center"/>
          </w:tcPr>
          <w:p w14:paraId="6E2E9F87"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single" w:sz="4" w:space="0" w:color="auto"/>
              <w:bottom w:val="double" w:sz="6" w:space="0" w:color="auto"/>
              <w:right w:val="single" w:sz="4" w:space="0" w:color="BFBFBF"/>
            </w:tcBorders>
            <w:shd w:val="clear" w:color="auto" w:fill="auto"/>
            <w:noWrap/>
            <w:vAlign w:val="center"/>
          </w:tcPr>
          <w:p w14:paraId="0DAAFDCD"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double" w:sz="6" w:space="0" w:color="auto"/>
              <w:right w:val="single" w:sz="4" w:space="0" w:color="BFBFBF"/>
            </w:tcBorders>
            <w:shd w:val="clear" w:color="auto" w:fill="auto"/>
            <w:noWrap/>
            <w:vAlign w:val="center"/>
          </w:tcPr>
          <w:p w14:paraId="73D754F2"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w:t>
            </w:r>
          </w:p>
        </w:tc>
        <w:tc>
          <w:tcPr>
            <w:tcW w:w="563" w:type="dxa"/>
            <w:tcBorders>
              <w:top w:val="nil"/>
              <w:left w:val="nil"/>
              <w:bottom w:val="double" w:sz="6" w:space="0" w:color="auto"/>
              <w:right w:val="single" w:sz="4" w:space="0" w:color="BFBFBF"/>
            </w:tcBorders>
            <w:shd w:val="clear" w:color="auto" w:fill="auto"/>
            <w:noWrap/>
            <w:vAlign w:val="center"/>
          </w:tcPr>
          <w:p w14:paraId="26E2BFF3"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c>
          <w:tcPr>
            <w:tcW w:w="563" w:type="dxa"/>
            <w:tcBorders>
              <w:top w:val="nil"/>
              <w:left w:val="nil"/>
              <w:bottom w:val="double" w:sz="6" w:space="0" w:color="auto"/>
              <w:right w:val="double" w:sz="6" w:space="0" w:color="auto"/>
            </w:tcBorders>
            <w:shd w:val="clear" w:color="auto" w:fill="auto"/>
            <w:noWrap/>
            <w:vAlign w:val="center"/>
          </w:tcPr>
          <w:p w14:paraId="63EAA6D1" w14:textId="77777777" w:rsidR="00B75952" w:rsidRPr="00D2313D" w:rsidRDefault="00B75952" w:rsidP="0059723A">
            <w:pPr>
              <w:spacing w:before="0" w:after="0"/>
              <w:jc w:val="center"/>
              <w:rPr>
                <w:rFonts w:ascii="Arial" w:hAnsi="Arial" w:cs="Arial"/>
                <w:color w:val="000000"/>
                <w:sz w:val="16"/>
                <w:szCs w:val="16"/>
                <w:lang w:val="en-AU" w:eastAsia="en-AU"/>
              </w:rPr>
            </w:pPr>
            <w:r w:rsidRPr="00D2313D">
              <w:rPr>
                <w:rFonts w:ascii="Arial" w:hAnsi="Arial" w:cs="Arial"/>
                <w:color w:val="000000"/>
                <w:sz w:val="16"/>
                <w:szCs w:val="16"/>
                <w:lang w:val="en-AU" w:eastAsia="en-AU"/>
              </w:rPr>
              <w:t>1%</w:t>
            </w:r>
          </w:p>
        </w:tc>
      </w:tr>
    </w:tbl>
    <w:p w14:paraId="12BB41DE" w14:textId="77777777" w:rsidR="00731A9E" w:rsidRPr="00D2313D" w:rsidRDefault="00731A9E" w:rsidP="00162EF6">
      <w:pPr>
        <w:pStyle w:val="Para"/>
        <w:spacing w:before="120" w:line="240" w:lineRule="auto"/>
        <w:ind w:firstLine="284"/>
        <w:rPr>
          <w:sz w:val="20"/>
          <w:lang w:val="en-AU"/>
        </w:rPr>
      </w:pPr>
      <w:r w:rsidRPr="00D2313D">
        <w:rPr>
          <w:sz w:val="20"/>
          <w:lang w:val="en-AU"/>
        </w:rPr>
        <w:t xml:space="preserve">Base: Total respondents, </w:t>
      </w:r>
      <w:r w:rsidR="008818BD" w:rsidRPr="00D2313D">
        <w:rPr>
          <w:sz w:val="20"/>
          <w:lang w:val="en-AU"/>
        </w:rPr>
        <w:t xml:space="preserve">2014 (n=1,861); </w:t>
      </w:r>
      <w:r w:rsidRPr="00D2313D">
        <w:rPr>
          <w:sz w:val="20"/>
          <w:lang w:val="en-AU"/>
        </w:rPr>
        <w:t>2007 (n=2,061); 2001 (n=2,006); 1996 (n=2,000)</w:t>
      </w:r>
    </w:p>
    <w:p w14:paraId="34DAAE60" w14:textId="77777777" w:rsidR="008818BD" w:rsidRPr="00DA3B75" w:rsidRDefault="008818BD" w:rsidP="00731A9E">
      <w:pPr>
        <w:pStyle w:val="Para"/>
        <w:spacing w:line="240" w:lineRule="auto"/>
        <w:ind w:left="-284"/>
        <w:rPr>
          <w:sz w:val="22"/>
          <w:highlight w:val="yellow"/>
          <w:lang w:val="en-AU"/>
        </w:rPr>
      </w:pPr>
    </w:p>
    <w:p w14:paraId="446072B7" w14:textId="77777777" w:rsidR="008818BD" w:rsidRPr="00DA3B75" w:rsidRDefault="008818BD" w:rsidP="00731A9E">
      <w:pPr>
        <w:pStyle w:val="Para"/>
        <w:spacing w:line="240" w:lineRule="auto"/>
        <w:ind w:left="-284"/>
        <w:rPr>
          <w:sz w:val="22"/>
          <w:highlight w:val="yellow"/>
          <w:lang w:val="en-AU"/>
        </w:rPr>
      </w:pPr>
    </w:p>
    <w:p w14:paraId="431DA827" w14:textId="77777777" w:rsidR="00731A9E" w:rsidRPr="00DA3B75" w:rsidRDefault="00731A9E" w:rsidP="00731A9E">
      <w:pPr>
        <w:pStyle w:val="Para"/>
        <w:rPr>
          <w:highlight w:val="yellow"/>
          <w:lang w:val="en-AU"/>
        </w:rPr>
      </w:pPr>
    </w:p>
    <w:p w14:paraId="63C8B98E" w14:textId="77777777" w:rsidR="003920D8" w:rsidRPr="00BC2F7A" w:rsidRDefault="007911C3">
      <w:pPr>
        <w:pStyle w:val="Heading3"/>
        <w:tabs>
          <w:tab w:val="clear" w:pos="8517"/>
          <w:tab w:val="num" w:pos="851"/>
        </w:tabs>
        <w:ind w:hanging="8517"/>
        <w:rPr>
          <w:lang w:val="en-AU"/>
        </w:rPr>
      </w:pPr>
      <w:r w:rsidRPr="00DA3B75">
        <w:rPr>
          <w:highlight w:val="yellow"/>
          <w:lang w:val="en-AU"/>
        </w:rPr>
        <w:br w:type="page"/>
      </w:r>
      <w:bookmarkStart w:id="156" w:name="_Toc439198306"/>
      <w:bookmarkStart w:id="157" w:name="_Toc445571684"/>
      <w:r w:rsidR="00E02C75" w:rsidRPr="00BC2F7A">
        <w:rPr>
          <w:lang w:val="en-AU"/>
        </w:rPr>
        <w:lastRenderedPageBreak/>
        <w:t>Income Sources</w:t>
      </w:r>
      <w:bookmarkEnd w:id="156"/>
      <w:bookmarkEnd w:id="157"/>
    </w:p>
    <w:p w14:paraId="1B99971A" w14:textId="050BCE99" w:rsidR="00E02C75" w:rsidRPr="00BC2F7A" w:rsidRDefault="007F704F" w:rsidP="00E02C75">
      <w:pPr>
        <w:pStyle w:val="Para"/>
        <w:rPr>
          <w:lang w:val="en-AU"/>
        </w:rPr>
      </w:pPr>
      <w:r w:rsidRPr="00BC2F7A">
        <w:rPr>
          <w:lang w:val="en-AU"/>
        </w:rPr>
        <w:t>Half (50%) of all respondents reported employment</w:t>
      </w:r>
      <w:r w:rsidR="00EE4920" w:rsidRPr="00BC2F7A">
        <w:rPr>
          <w:lang w:val="en-AU"/>
        </w:rPr>
        <w:t xml:space="preserve"> as an income source</w:t>
      </w:r>
      <w:r w:rsidRPr="00BC2F7A">
        <w:rPr>
          <w:lang w:val="en-AU"/>
        </w:rPr>
        <w:t>, and 45% reported government benefits</w:t>
      </w:r>
      <w:r w:rsidR="00EE4920" w:rsidRPr="00BC2F7A">
        <w:rPr>
          <w:lang w:val="en-AU"/>
        </w:rPr>
        <w:t xml:space="preserve"> as an income source</w:t>
      </w:r>
      <w:r w:rsidR="0057268F" w:rsidRPr="00BC2F7A">
        <w:rPr>
          <w:lang w:val="en-AU"/>
        </w:rPr>
        <w:t xml:space="preserve"> (see Table 3.4.3)</w:t>
      </w:r>
      <w:r w:rsidRPr="00BC2F7A">
        <w:rPr>
          <w:lang w:val="en-AU"/>
        </w:rPr>
        <w:t>.</w:t>
      </w:r>
      <w:r w:rsidR="00E02C75" w:rsidRPr="00BC2F7A">
        <w:rPr>
          <w:lang w:val="en-AU"/>
        </w:rPr>
        <w:t xml:space="preserve">  Not surprisingly, the </w:t>
      </w:r>
      <w:r w:rsidR="00DB50C7" w:rsidRPr="00BC2F7A">
        <w:rPr>
          <w:lang w:val="en-AU"/>
        </w:rPr>
        <w:t>great</w:t>
      </w:r>
      <w:r w:rsidR="005B095B" w:rsidRPr="00BC2F7A">
        <w:rPr>
          <w:lang w:val="en-AU"/>
        </w:rPr>
        <w:t xml:space="preserve"> </w:t>
      </w:r>
      <w:r w:rsidR="00E02C75" w:rsidRPr="00BC2F7A">
        <w:rPr>
          <w:lang w:val="en-AU"/>
        </w:rPr>
        <w:t xml:space="preserve">majority of </w:t>
      </w:r>
      <w:r w:rsidRPr="00BC2F7A">
        <w:rPr>
          <w:lang w:val="en-AU"/>
        </w:rPr>
        <w:t>respondent</w:t>
      </w:r>
      <w:r w:rsidR="005B095B" w:rsidRPr="00BC2F7A">
        <w:rPr>
          <w:lang w:val="en-AU"/>
        </w:rPr>
        <w:t>s</w:t>
      </w:r>
      <w:r w:rsidRPr="00BC2F7A">
        <w:rPr>
          <w:lang w:val="en-AU"/>
        </w:rPr>
        <w:t xml:space="preserve"> </w:t>
      </w:r>
      <w:r w:rsidR="005B095B" w:rsidRPr="00BC2F7A">
        <w:rPr>
          <w:lang w:val="en-AU"/>
        </w:rPr>
        <w:t xml:space="preserve">in </w:t>
      </w:r>
      <w:r w:rsidR="00E02C75" w:rsidRPr="00BC2F7A">
        <w:rPr>
          <w:lang w:val="en-AU"/>
        </w:rPr>
        <w:t xml:space="preserve">concession households </w:t>
      </w:r>
      <w:r w:rsidR="005B095B" w:rsidRPr="00BC2F7A">
        <w:rPr>
          <w:lang w:val="en-AU"/>
        </w:rPr>
        <w:t xml:space="preserve">derived </w:t>
      </w:r>
      <w:r w:rsidR="00E02C75" w:rsidRPr="00BC2F7A">
        <w:rPr>
          <w:lang w:val="en-AU"/>
        </w:rPr>
        <w:t>income</w:t>
      </w:r>
      <w:r w:rsidR="005B095B" w:rsidRPr="00BC2F7A">
        <w:rPr>
          <w:lang w:val="en-AU"/>
        </w:rPr>
        <w:t xml:space="preserve"> from</w:t>
      </w:r>
      <w:r w:rsidR="00E02C75" w:rsidRPr="00BC2F7A">
        <w:rPr>
          <w:lang w:val="en-AU"/>
        </w:rPr>
        <w:t xml:space="preserve"> government benefits (</w:t>
      </w:r>
      <w:r w:rsidR="00BC2F7A" w:rsidRPr="00BC2F7A">
        <w:rPr>
          <w:lang w:val="en-AU"/>
        </w:rPr>
        <w:t>89</w:t>
      </w:r>
      <w:r w:rsidR="00E02C75" w:rsidRPr="00BC2F7A">
        <w:rPr>
          <w:lang w:val="en-AU"/>
        </w:rPr>
        <w:t xml:space="preserve">%) while </w:t>
      </w:r>
      <w:r w:rsidR="005B095B" w:rsidRPr="00BC2F7A">
        <w:rPr>
          <w:lang w:val="en-AU"/>
        </w:rPr>
        <w:t xml:space="preserve">most respondents in </w:t>
      </w:r>
      <w:r w:rsidR="00E02C75" w:rsidRPr="00BC2F7A">
        <w:rPr>
          <w:lang w:val="en-AU"/>
        </w:rPr>
        <w:t>non-concession households</w:t>
      </w:r>
      <w:r w:rsidR="005B095B" w:rsidRPr="00BC2F7A">
        <w:rPr>
          <w:lang w:val="en-AU"/>
        </w:rPr>
        <w:t xml:space="preserve"> derived income from </w:t>
      </w:r>
      <w:r w:rsidR="00E02C75" w:rsidRPr="00BC2F7A">
        <w:rPr>
          <w:lang w:val="en-AU"/>
        </w:rPr>
        <w:t>employment (7</w:t>
      </w:r>
      <w:r w:rsidR="00BC2F7A" w:rsidRPr="00BC2F7A">
        <w:rPr>
          <w:lang w:val="en-AU"/>
        </w:rPr>
        <w:t>4</w:t>
      </w:r>
      <w:r w:rsidR="00E02C75" w:rsidRPr="00BC2F7A">
        <w:rPr>
          <w:lang w:val="en-AU"/>
        </w:rPr>
        <w:t>%).</w:t>
      </w:r>
      <w:r w:rsidR="00741345" w:rsidRPr="00BC2F7A">
        <w:rPr>
          <w:rStyle w:val="FootnoteReference"/>
          <w:lang w:val="en-AU"/>
        </w:rPr>
        <w:footnoteReference w:id="4"/>
      </w:r>
    </w:p>
    <w:p w14:paraId="6E468C6C" w14:textId="77777777" w:rsidR="00E02C75" w:rsidRPr="00BC2F7A" w:rsidRDefault="00E02C75" w:rsidP="00E02C75">
      <w:pPr>
        <w:pStyle w:val="Para"/>
        <w:rPr>
          <w:lang w:val="en-AU"/>
        </w:rPr>
      </w:pPr>
    </w:p>
    <w:p w14:paraId="2385EC1E" w14:textId="77777777" w:rsidR="00E02C75" w:rsidRPr="00BC2F7A" w:rsidRDefault="005B095B" w:rsidP="00E02C75">
      <w:pPr>
        <w:pStyle w:val="Para"/>
        <w:rPr>
          <w:lang w:val="en-AU"/>
        </w:rPr>
      </w:pPr>
      <w:r w:rsidRPr="00BC2F7A">
        <w:rPr>
          <w:lang w:val="en-AU"/>
        </w:rPr>
        <w:t>The proportion of respondents in aged concession households reporting self-funded income has risen in every survey since 1996, and substantially since the last survey (47% in 2014, compared with 21% in 2007).</w:t>
      </w:r>
      <w:r w:rsidR="00E02C75" w:rsidRPr="00BC2F7A">
        <w:rPr>
          <w:lang w:val="en-AU"/>
        </w:rPr>
        <w:t xml:space="preserve"> </w:t>
      </w:r>
      <w:r w:rsidRPr="00BC2F7A">
        <w:rPr>
          <w:lang w:val="en-AU"/>
        </w:rPr>
        <w:t xml:space="preserve"> </w:t>
      </w:r>
      <w:r w:rsidR="00277A88" w:rsidRPr="00BC2F7A">
        <w:rPr>
          <w:lang w:val="en-AU"/>
        </w:rPr>
        <w:t>T</w:t>
      </w:r>
      <w:r w:rsidRPr="00BC2F7A">
        <w:rPr>
          <w:lang w:val="en-AU"/>
        </w:rPr>
        <w:t xml:space="preserve">he proportion </w:t>
      </w:r>
      <w:r w:rsidR="00277A88" w:rsidRPr="00BC2F7A">
        <w:rPr>
          <w:lang w:val="en-AU"/>
        </w:rPr>
        <w:t xml:space="preserve">of respondents receiving income from more than one of </w:t>
      </w:r>
      <w:r w:rsidRPr="00BC2F7A">
        <w:rPr>
          <w:lang w:val="en-AU"/>
        </w:rPr>
        <w:t>the three major categories (employment, government benefits, self</w:t>
      </w:r>
      <w:r w:rsidR="003212C1" w:rsidRPr="00BC2F7A">
        <w:rPr>
          <w:lang w:val="en-AU"/>
        </w:rPr>
        <w:t>-</w:t>
      </w:r>
      <w:r w:rsidRPr="00BC2F7A">
        <w:rPr>
          <w:lang w:val="en-AU"/>
        </w:rPr>
        <w:t xml:space="preserve">funded) </w:t>
      </w:r>
      <w:r w:rsidR="00277A88" w:rsidRPr="00BC2F7A">
        <w:rPr>
          <w:lang w:val="en-AU"/>
        </w:rPr>
        <w:t xml:space="preserve">appears to have </w:t>
      </w:r>
      <w:r w:rsidR="003212C1" w:rsidRPr="00BC2F7A">
        <w:rPr>
          <w:lang w:val="en-AU"/>
        </w:rPr>
        <w:t>increased from the 1996 baseline</w:t>
      </w:r>
      <w:r w:rsidR="00277A88" w:rsidRPr="00BC2F7A">
        <w:rPr>
          <w:lang w:val="en-AU"/>
        </w:rPr>
        <w:t>, particularly since 2007</w:t>
      </w:r>
      <w:r w:rsidR="003212C1" w:rsidRPr="00BC2F7A">
        <w:rPr>
          <w:lang w:val="en-AU"/>
        </w:rPr>
        <w:t>.</w:t>
      </w:r>
      <w:r w:rsidRPr="00BC2F7A">
        <w:rPr>
          <w:lang w:val="en-AU"/>
        </w:rPr>
        <w:t xml:space="preserve"> </w:t>
      </w:r>
    </w:p>
    <w:p w14:paraId="63C00F7E" w14:textId="77777777" w:rsidR="005B095B" w:rsidRPr="00BC2F7A" w:rsidRDefault="005B095B" w:rsidP="00E02C75">
      <w:pPr>
        <w:pStyle w:val="Para"/>
        <w:rPr>
          <w:lang w:val="en-AU"/>
        </w:rPr>
      </w:pPr>
    </w:p>
    <w:p w14:paraId="5A1F3162" w14:textId="77777777" w:rsidR="00E02C75" w:rsidRPr="00BC2F7A" w:rsidRDefault="005B095B" w:rsidP="00E02C75">
      <w:pPr>
        <w:pStyle w:val="Para"/>
        <w:rPr>
          <w:lang w:val="en-AU"/>
        </w:rPr>
      </w:pPr>
      <w:r w:rsidRPr="00BC2F7A">
        <w:rPr>
          <w:lang w:val="en-AU"/>
        </w:rPr>
        <w:t>Respondents from Melbourne were equally likely to those fr</w:t>
      </w:r>
      <w:r w:rsidR="00380FC7" w:rsidRPr="00BC2F7A">
        <w:rPr>
          <w:lang w:val="en-AU"/>
        </w:rPr>
        <w:t>om c</w:t>
      </w:r>
      <w:r w:rsidRPr="00BC2F7A">
        <w:rPr>
          <w:lang w:val="en-AU"/>
        </w:rPr>
        <w:t>ountry Victoria to obtain income from employment (each 50%), but somewhat less likely to receive government benefits (4</w:t>
      </w:r>
      <w:r w:rsidR="00BC2F7A" w:rsidRPr="00BC2F7A">
        <w:rPr>
          <w:lang w:val="en-AU"/>
        </w:rPr>
        <w:t>3</w:t>
      </w:r>
      <w:r w:rsidRPr="00BC2F7A">
        <w:rPr>
          <w:lang w:val="en-AU"/>
        </w:rPr>
        <w:t xml:space="preserve">% and </w:t>
      </w:r>
      <w:r w:rsidR="00BC2F7A" w:rsidRPr="00BC2F7A">
        <w:rPr>
          <w:lang w:val="en-AU"/>
        </w:rPr>
        <w:t>49</w:t>
      </w:r>
      <w:r w:rsidRPr="00BC2F7A">
        <w:rPr>
          <w:lang w:val="en-AU"/>
        </w:rPr>
        <w:t>% respectively).</w:t>
      </w:r>
    </w:p>
    <w:p w14:paraId="79B669EB" w14:textId="77777777" w:rsidR="00E02C75" w:rsidRPr="00DA3B75" w:rsidRDefault="00E02C75" w:rsidP="00E02C75">
      <w:pPr>
        <w:pStyle w:val="Para"/>
        <w:rPr>
          <w:highlight w:val="yellow"/>
          <w:lang w:val="en-AU"/>
        </w:rPr>
      </w:pPr>
    </w:p>
    <w:p w14:paraId="660A5D19" w14:textId="77777777" w:rsidR="00E02C75" w:rsidRPr="00BC2F7A" w:rsidRDefault="00E02C75" w:rsidP="00162EF6">
      <w:pPr>
        <w:pStyle w:val="Para"/>
        <w:spacing w:after="120"/>
        <w:jc w:val="center"/>
        <w:outlineLvl w:val="0"/>
        <w:rPr>
          <w:b/>
          <w:u w:val="single"/>
          <w:lang w:val="en-AU"/>
        </w:rPr>
      </w:pPr>
      <w:r w:rsidRPr="00BC2F7A">
        <w:rPr>
          <w:b/>
          <w:lang w:val="en-AU"/>
        </w:rPr>
        <w:t xml:space="preserve">Table 3.4.3: </w:t>
      </w:r>
      <w:r w:rsidRPr="00BC2F7A">
        <w:rPr>
          <w:b/>
          <w:u w:val="single"/>
          <w:lang w:val="en-AU"/>
        </w:rPr>
        <w:t xml:space="preserve">Income Sources of Main Respondent by </w:t>
      </w:r>
      <w:r w:rsidR="00DD0ED3" w:rsidRPr="00BC2F7A">
        <w:rPr>
          <w:b/>
          <w:u w:val="single"/>
          <w:lang w:val="en-AU"/>
        </w:rPr>
        <w:t>Concession Status</w:t>
      </w:r>
    </w:p>
    <w:tbl>
      <w:tblPr>
        <w:tblW w:w="14525" w:type="dxa"/>
        <w:jc w:val="center"/>
        <w:tblLook w:val="04A0" w:firstRow="1" w:lastRow="0" w:firstColumn="1" w:lastColumn="0" w:noHBand="0" w:noVBand="1"/>
      </w:tblPr>
      <w:tblGrid>
        <w:gridCol w:w="2920"/>
        <w:gridCol w:w="580"/>
        <w:gridCol w:w="580"/>
        <w:gridCol w:w="580"/>
        <w:gridCol w:w="581"/>
        <w:gridCol w:w="580"/>
        <w:gridCol w:w="580"/>
        <w:gridCol w:w="580"/>
        <w:gridCol w:w="581"/>
        <w:gridCol w:w="580"/>
        <w:gridCol w:w="580"/>
        <w:gridCol w:w="580"/>
        <w:gridCol w:w="581"/>
        <w:gridCol w:w="580"/>
        <w:gridCol w:w="580"/>
        <w:gridCol w:w="580"/>
        <w:gridCol w:w="581"/>
        <w:gridCol w:w="580"/>
        <w:gridCol w:w="580"/>
        <w:gridCol w:w="580"/>
        <w:gridCol w:w="581"/>
      </w:tblGrid>
      <w:tr w:rsidR="00B75952" w:rsidRPr="00BC2F7A" w14:paraId="03B61133" w14:textId="77777777" w:rsidTr="00562A28">
        <w:trPr>
          <w:trHeight w:val="240"/>
          <w:jc w:val="center"/>
        </w:trPr>
        <w:tc>
          <w:tcPr>
            <w:tcW w:w="2920" w:type="dxa"/>
            <w:vMerge w:val="restart"/>
            <w:tcBorders>
              <w:top w:val="double" w:sz="6" w:space="0" w:color="auto"/>
              <w:left w:val="double" w:sz="6" w:space="0" w:color="auto"/>
              <w:bottom w:val="single" w:sz="4" w:space="0" w:color="BFBFBF"/>
              <w:right w:val="nil"/>
            </w:tcBorders>
            <w:shd w:val="clear" w:color="auto" w:fill="auto"/>
            <w:noWrap/>
            <w:vAlign w:val="center"/>
          </w:tcPr>
          <w:p w14:paraId="0EEF6845" w14:textId="77777777" w:rsidR="00B75952" w:rsidRPr="00BC2F7A" w:rsidRDefault="00B75952" w:rsidP="00BC2F7A">
            <w:pPr>
              <w:spacing w:before="0" w:after="0"/>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Income Sources</w:t>
            </w:r>
          </w:p>
        </w:tc>
        <w:tc>
          <w:tcPr>
            <w:tcW w:w="2321"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117FE7AD"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Aged Concession HHs</w:t>
            </w:r>
          </w:p>
        </w:tc>
        <w:tc>
          <w:tcPr>
            <w:tcW w:w="2321" w:type="dxa"/>
            <w:gridSpan w:val="4"/>
            <w:tcBorders>
              <w:top w:val="double" w:sz="6" w:space="0" w:color="auto"/>
              <w:left w:val="nil"/>
              <w:bottom w:val="single" w:sz="4" w:space="0" w:color="BFBFBF"/>
              <w:right w:val="single" w:sz="4" w:space="0" w:color="BFBFBF"/>
            </w:tcBorders>
            <w:shd w:val="clear" w:color="auto" w:fill="auto"/>
            <w:noWrap/>
            <w:vAlign w:val="center"/>
          </w:tcPr>
          <w:p w14:paraId="72E78BB2"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Other Concession HHs</w:t>
            </w:r>
          </w:p>
        </w:tc>
        <w:tc>
          <w:tcPr>
            <w:tcW w:w="2321"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37E7202E"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Total Concession HHs</w:t>
            </w:r>
          </w:p>
        </w:tc>
        <w:tc>
          <w:tcPr>
            <w:tcW w:w="2321" w:type="dxa"/>
            <w:gridSpan w:val="4"/>
            <w:tcBorders>
              <w:top w:val="double" w:sz="6" w:space="0" w:color="auto"/>
              <w:left w:val="nil"/>
              <w:bottom w:val="single" w:sz="4" w:space="0" w:color="BFBFBF"/>
              <w:right w:val="single" w:sz="4" w:space="0" w:color="000000"/>
            </w:tcBorders>
            <w:shd w:val="clear" w:color="auto" w:fill="auto"/>
            <w:noWrap/>
            <w:vAlign w:val="center"/>
          </w:tcPr>
          <w:p w14:paraId="38CA4992"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Non-Concession HHs</w:t>
            </w:r>
          </w:p>
        </w:tc>
        <w:tc>
          <w:tcPr>
            <w:tcW w:w="2321" w:type="dxa"/>
            <w:gridSpan w:val="4"/>
            <w:tcBorders>
              <w:top w:val="double" w:sz="6" w:space="0" w:color="auto"/>
              <w:left w:val="nil"/>
              <w:bottom w:val="single" w:sz="4" w:space="0" w:color="BFBFBF"/>
              <w:right w:val="double" w:sz="6" w:space="0" w:color="000000"/>
            </w:tcBorders>
            <w:shd w:val="clear" w:color="auto" w:fill="auto"/>
            <w:noWrap/>
            <w:vAlign w:val="center"/>
          </w:tcPr>
          <w:p w14:paraId="43753D1B"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Total HHs</w:t>
            </w:r>
          </w:p>
        </w:tc>
      </w:tr>
      <w:tr w:rsidR="00BC2F7A" w:rsidRPr="00BC2F7A" w14:paraId="2CD7CF79" w14:textId="77777777" w:rsidTr="0059723A">
        <w:trPr>
          <w:trHeight w:val="225"/>
          <w:jc w:val="center"/>
        </w:trPr>
        <w:tc>
          <w:tcPr>
            <w:tcW w:w="2920" w:type="dxa"/>
            <w:vMerge/>
            <w:tcBorders>
              <w:top w:val="double" w:sz="6" w:space="0" w:color="auto"/>
              <w:left w:val="double" w:sz="6" w:space="0" w:color="auto"/>
              <w:bottom w:val="single" w:sz="4" w:space="0" w:color="BFBFBF"/>
              <w:right w:val="nil"/>
            </w:tcBorders>
            <w:vAlign w:val="center"/>
          </w:tcPr>
          <w:p w14:paraId="7ABE8394" w14:textId="77777777" w:rsidR="00B75952" w:rsidRPr="00BC2F7A" w:rsidRDefault="00B75952" w:rsidP="00BC2F7A">
            <w:pPr>
              <w:spacing w:before="0" w:after="0"/>
              <w:rPr>
                <w:rFonts w:ascii="Arial" w:hAnsi="Arial" w:cs="Arial"/>
                <w:b/>
                <w:bCs/>
                <w:color w:val="000000"/>
                <w:sz w:val="16"/>
                <w:szCs w:val="16"/>
                <w:lang w:val="en-AU" w:eastAsia="en-AU"/>
              </w:rPr>
            </w:pP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79CAAB7D"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2014</w:t>
            </w:r>
          </w:p>
        </w:tc>
        <w:tc>
          <w:tcPr>
            <w:tcW w:w="580" w:type="dxa"/>
            <w:tcBorders>
              <w:top w:val="nil"/>
              <w:left w:val="nil"/>
              <w:bottom w:val="single" w:sz="4" w:space="0" w:color="BFBFBF"/>
              <w:right w:val="single" w:sz="4" w:space="0" w:color="BFBFBF"/>
            </w:tcBorders>
            <w:shd w:val="clear" w:color="auto" w:fill="auto"/>
            <w:noWrap/>
            <w:vAlign w:val="center"/>
          </w:tcPr>
          <w:p w14:paraId="6F21DBCF"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2007</w:t>
            </w:r>
          </w:p>
        </w:tc>
        <w:tc>
          <w:tcPr>
            <w:tcW w:w="580" w:type="dxa"/>
            <w:tcBorders>
              <w:top w:val="nil"/>
              <w:left w:val="nil"/>
              <w:bottom w:val="single" w:sz="4" w:space="0" w:color="BFBFBF"/>
              <w:right w:val="single" w:sz="4" w:space="0" w:color="BFBFBF"/>
            </w:tcBorders>
            <w:shd w:val="clear" w:color="auto" w:fill="auto"/>
            <w:noWrap/>
            <w:vAlign w:val="center"/>
          </w:tcPr>
          <w:p w14:paraId="00FA88B8"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2001</w:t>
            </w:r>
          </w:p>
        </w:tc>
        <w:tc>
          <w:tcPr>
            <w:tcW w:w="580" w:type="dxa"/>
            <w:tcBorders>
              <w:top w:val="nil"/>
              <w:left w:val="nil"/>
              <w:bottom w:val="single" w:sz="4" w:space="0" w:color="BFBFBF"/>
              <w:right w:val="single" w:sz="4" w:space="0" w:color="auto"/>
            </w:tcBorders>
            <w:shd w:val="clear" w:color="auto" w:fill="auto"/>
            <w:noWrap/>
            <w:vAlign w:val="center"/>
          </w:tcPr>
          <w:p w14:paraId="265B9957"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1996</w:t>
            </w:r>
          </w:p>
        </w:tc>
        <w:tc>
          <w:tcPr>
            <w:tcW w:w="580" w:type="dxa"/>
            <w:tcBorders>
              <w:top w:val="nil"/>
              <w:left w:val="nil"/>
              <w:bottom w:val="single" w:sz="4" w:space="0" w:color="BFBFBF"/>
              <w:right w:val="single" w:sz="4" w:space="0" w:color="BFBFBF"/>
            </w:tcBorders>
            <w:shd w:val="clear" w:color="auto" w:fill="auto"/>
            <w:noWrap/>
            <w:vAlign w:val="center"/>
          </w:tcPr>
          <w:p w14:paraId="231675AD"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2014</w:t>
            </w:r>
          </w:p>
        </w:tc>
        <w:tc>
          <w:tcPr>
            <w:tcW w:w="580" w:type="dxa"/>
            <w:tcBorders>
              <w:top w:val="nil"/>
              <w:left w:val="nil"/>
              <w:bottom w:val="single" w:sz="4" w:space="0" w:color="BFBFBF"/>
              <w:right w:val="single" w:sz="4" w:space="0" w:color="BFBFBF"/>
            </w:tcBorders>
            <w:shd w:val="clear" w:color="auto" w:fill="auto"/>
            <w:noWrap/>
            <w:vAlign w:val="center"/>
          </w:tcPr>
          <w:p w14:paraId="2FAD2F60"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2007</w:t>
            </w:r>
          </w:p>
        </w:tc>
        <w:tc>
          <w:tcPr>
            <w:tcW w:w="580" w:type="dxa"/>
            <w:tcBorders>
              <w:top w:val="nil"/>
              <w:left w:val="nil"/>
              <w:bottom w:val="single" w:sz="4" w:space="0" w:color="BFBFBF"/>
              <w:right w:val="single" w:sz="4" w:space="0" w:color="BFBFBF"/>
            </w:tcBorders>
            <w:shd w:val="clear" w:color="auto" w:fill="auto"/>
            <w:noWrap/>
            <w:vAlign w:val="center"/>
          </w:tcPr>
          <w:p w14:paraId="21FF3694"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2001</w:t>
            </w:r>
          </w:p>
        </w:tc>
        <w:tc>
          <w:tcPr>
            <w:tcW w:w="580" w:type="dxa"/>
            <w:tcBorders>
              <w:top w:val="nil"/>
              <w:left w:val="nil"/>
              <w:bottom w:val="single" w:sz="4" w:space="0" w:color="BFBFBF"/>
              <w:right w:val="nil"/>
            </w:tcBorders>
            <w:shd w:val="clear" w:color="auto" w:fill="auto"/>
            <w:noWrap/>
            <w:vAlign w:val="center"/>
          </w:tcPr>
          <w:p w14:paraId="56DD8C8A"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1996</w:t>
            </w: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0C65783E"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2014</w:t>
            </w:r>
          </w:p>
        </w:tc>
        <w:tc>
          <w:tcPr>
            <w:tcW w:w="580" w:type="dxa"/>
            <w:tcBorders>
              <w:top w:val="nil"/>
              <w:left w:val="nil"/>
              <w:bottom w:val="single" w:sz="4" w:space="0" w:color="BFBFBF"/>
              <w:right w:val="single" w:sz="4" w:space="0" w:color="BFBFBF"/>
            </w:tcBorders>
            <w:shd w:val="clear" w:color="auto" w:fill="auto"/>
            <w:noWrap/>
            <w:vAlign w:val="center"/>
          </w:tcPr>
          <w:p w14:paraId="2BC2A61C"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2007</w:t>
            </w:r>
          </w:p>
        </w:tc>
        <w:tc>
          <w:tcPr>
            <w:tcW w:w="580" w:type="dxa"/>
            <w:tcBorders>
              <w:top w:val="nil"/>
              <w:left w:val="nil"/>
              <w:bottom w:val="single" w:sz="4" w:space="0" w:color="BFBFBF"/>
              <w:right w:val="single" w:sz="4" w:space="0" w:color="BFBFBF"/>
            </w:tcBorders>
            <w:shd w:val="clear" w:color="auto" w:fill="auto"/>
            <w:noWrap/>
            <w:vAlign w:val="center"/>
          </w:tcPr>
          <w:p w14:paraId="656B53DD"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2001</w:t>
            </w:r>
          </w:p>
        </w:tc>
        <w:tc>
          <w:tcPr>
            <w:tcW w:w="580" w:type="dxa"/>
            <w:tcBorders>
              <w:top w:val="nil"/>
              <w:left w:val="nil"/>
              <w:bottom w:val="single" w:sz="4" w:space="0" w:color="BFBFBF"/>
              <w:right w:val="single" w:sz="4" w:space="0" w:color="auto"/>
            </w:tcBorders>
            <w:shd w:val="clear" w:color="auto" w:fill="auto"/>
            <w:noWrap/>
            <w:vAlign w:val="center"/>
          </w:tcPr>
          <w:p w14:paraId="617D415D"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1996</w:t>
            </w:r>
          </w:p>
        </w:tc>
        <w:tc>
          <w:tcPr>
            <w:tcW w:w="580" w:type="dxa"/>
            <w:tcBorders>
              <w:top w:val="nil"/>
              <w:left w:val="nil"/>
              <w:bottom w:val="single" w:sz="4" w:space="0" w:color="BFBFBF"/>
              <w:right w:val="single" w:sz="4" w:space="0" w:color="BFBFBF"/>
            </w:tcBorders>
            <w:shd w:val="clear" w:color="auto" w:fill="auto"/>
            <w:noWrap/>
            <w:vAlign w:val="center"/>
          </w:tcPr>
          <w:p w14:paraId="1D418533"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2014</w:t>
            </w:r>
          </w:p>
        </w:tc>
        <w:tc>
          <w:tcPr>
            <w:tcW w:w="580" w:type="dxa"/>
            <w:tcBorders>
              <w:top w:val="nil"/>
              <w:left w:val="nil"/>
              <w:bottom w:val="single" w:sz="4" w:space="0" w:color="BFBFBF"/>
              <w:right w:val="single" w:sz="4" w:space="0" w:color="BFBFBF"/>
            </w:tcBorders>
            <w:shd w:val="clear" w:color="auto" w:fill="auto"/>
            <w:noWrap/>
            <w:vAlign w:val="center"/>
          </w:tcPr>
          <w:p w14:paraId="759FA507"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2007</w:t>
            </w:r>
          </w:p>
        </w:tc>
        <w:tc>
          <w:tcPr>
            <w:tcW w:w="580" w:type="dxa"/>
            <w:tcBorders>
              <w:top w:val="nil"/>
              <w:left w:val="nil"/>
              <w:bottom w:val="single" w:sz="4" w:space="0" w:color="BFBFBF"/>
              <w:right w:val="single" w:sz="4" w:space="0" w:color="BFBFBF"/>
            </w:tcBorders>
            <w:shd w:val="clear" w:color="auto" w:fill="auto"/>
            <w:noWrap/>
            <w:vAlign w:val="center"/>
          </w:tcPr>
          <w:p w14:paraId="088B03E5"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2001</w:t>
            </w:r>
          </w:p>
        </w:tc>
        <w:tc>
          <w:tcPr>
            <w:tcW w:w="580" w:type="dxa"/>
            <w:tcBorders>
              <w:top w:val="nil"/>
              <w:left w:val="nil"/>
              <w:bottom w:val="single" w:sz="4" w:space="0" w:color="BFBFBF"/>
              <w:right w:val="single" w:sz="4" w:space="0" w:color="auto"/>
            </w:tcBorders>
            <w:shd w:val="clear" w:color="auto" w:fill="auto"/>
            <w:noWrap/>
            <w:vAlign w:val="center"/>
          </w:tcPr>
          <w:p w14:paraId="58210F87"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1996</w:t>
            </w:r>
          </w:p>
        </w:tc>
        <w:tc>
          <w:tcPr>
            <w:tcW w:w="580" w:type="dxa"/>
            <w:tcBorders>
              <w:top w:val="nil"/>
              <w:left w:val="nil"/>
              <w:bottom w:val="single" w:sz="4" w:space="0" w:color="BFBFBF"/>
              <w:right w:val="single" w:sz="4" w:space="0" w:color="BFBFBF"/>
            </w:tcBorders>
            <w:shd w:val="clear" w:color="auto" w:fill="auto"/>
            <w:noWrap/>
            <w:vAlign w:val="center"/>
          </w:tcPr>
          <w:p w14:paraId="075D95BF"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2014</w:t>
            </w:r>
          </w:p>
        </w:tc>
        <w:tc>
          <w:tcPr>
            <w:tcW w:w="580" w:type="dxa"/>
            <w:tcBorders>
              <w:top w:val="nil"/>
              <w:left w:val="nil"/>
              <w:bottom w:val="single" w:sz="4" w:space="0" w:color="BFBFBF"/>
              <w:right w:val="single" w:sz="4" w:space="0" w:color="BFBFBF"/>
            </w:tcBorders>
            <w:shd w:val="clear" w:color="auto" w:fill="auto"/>
            <w:noWrap/>
            <w:vAlign w:val="center"/>
          </w:tcPr>
          <w:p w14:paraId="2C4682DA"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2007</w:t>
            </w:r>
          </w:p>
        </w:tc>
        <w:tc>
          <w:tcPr>
            <w:tcW w:w="580" w:type="dxa"/>
            <w:tcBorders>
              <w:top w:val="nil"/>
              <w:left w:val="nil"/>
              <w:bottom w:val="single" w:sz="4" w:space="0" w:color="BFBFBF"/>
              <w:right w:val="single" w:sz="4" w:space="0" w:color="BFBFBF"/>
            </w:tcBorders>
            <w:shd w:val="clear" w:color="auto" w:fill="auto"/>
            <w:noWrap/>
            <w:vAlign w:val="center"/>
          </w:tcPr>
          <w:p w14:paraId="28169D18"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2001</w:t>
            </w:r>
          </w:p>
        </w:tc>
        <w:tc>
          <w:tcPr>
            <w:tcW w:w="580" w:type="dxa"/>
            <w:tcBorders>
              <w:top w:val="nil"/>
              <w:left w:val="nil"/>
              <w:bottom w:val="single" w:sz="4" w:space="0" w:color="BFBFBF"/>
              <w:right w:val="double" w:sz="6" w:space="0" w:color="auto"/>
            </w:tcBorders>
            <w:shd w:val="clear" w:color="auto" w:fill="auto"/>
            <w:noWrap/>
            <w:vAlign w:val="center"/>
          </w:tcPr>
          <w:p w14:paraId="06956888" w14:textId="77777777" w:rsidR="00B75952" w:rsidRPr="00BC2F7A" w:rsidRDefault="00B75952" w:rsidP="00BC2F7A">
            <w:pPr>
              <w:spacing w:before="0" w:after="0"/>
              <w:jc w:val="center"/>
              <w:rPr>
                <w:rFonts w:ascii="Arial" w:hAnsi="Arial" w:cs="Arial"/>
                <w:b/>
                <w:bCs/>
                <w:color w:val="000000"/>
                <w:sz w:val="16"/>
                <w:szCs w:val="16"/>
                <w:lang w:val="en-AU" w:eastAsia="en-AU"/>
              </w:rPr>
            </w:pPr>
            <w:r w:rsidRPr="00BC2F7A">
              <w:rPr>
                <w:rFonts w:ascii="Arial" w:hAnsi="Arial" w:cs="Arial"/>
                <w:b/>
                <w:bCs/>
                <w:color w:val="000000"/>
                <w:sz w:val="16"/>
                <w:szCs w:val="16"/>
                <w:lang w:val="en-AU" w:eastAsia="en-AU"/>
              </w:rPr>
              <w:t>1996</w:t>
            </w:r>
          </w:p>
        </w:tc>
      </w:tr>
      <w:tr w:rsidR="00BC2F7A" w:rsidRPr="00BC2F7A" w14:paraId="45D9397F" w14:textId="77777777" w:rsidTr="0059723A">
        <w:trPr>
          <w:trHeight w:val="225"/>
          <w:jc w:val="center"/>
        </w:trPr>
        <w:tc>
          <w:tcPr>
            <w:tcW w:w="2920" w:type="dxa"/>
            <w:tcBorders>
              <w:top w:val="nil"/>
              <w:left w:val="double" w:sz="6" w:space="0" w:color="auto"/>
              <w:bottom w:val="single" w:sz="4" w:space="0" w:color="BFBFBF"/>
              <w:right w:val="nil"/>
            </w:tcBorders>
            <w:shd w:val="clear" w:color="auto" w:fill="auto"/>
            <w:noWrap/>
            <w:vAlign w:val="center"/>
          </w:tcPr>
          <w:p w14:paraId="6E3F12EC" w14:textId="77777777" w:rsidR="00B75952" w:rsidRPr="00BC2F7A" w:rsidRDefault="00B75952" w:rsidP="00BC2F7A">
            <w:pPr>
              <w:spacing w:before="0" w:after="0"/>
              <w:rPr>
                <w:rFonts w:ascii="Arial" w:hAnsi="Arial" w:cs="Arial"/>
                <w:color w:val="000000"/>
                <w:sz w:val="16"/>
                <w:szCs w:val="16"/>
                <w:lang w:val="en-AU" w:eastAsia="en-AU"/>
              </w:rPr>
            </w:pPr>
            <w:r w:rsidRPr="00BC2F7A">
              <w:rPr>
                <w:rFonts w:ascii="Arial" w:hAnsi="Arial" w:cs="Arial"/>
                <w:color w:val="000000"/>
                <w:sz w:val="16"/>
                <w:szCs w:val="16"/>
                <w:lang w:val="en-AU" w:eastAsia="en-AU"/>
              </w:rPr>
              <w:t>Wages/ Salary/ Income from Employment</w:t>
            </w: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04C5C9E5"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7%</w:t>
            </w:r>
          </w:p>
        </w:tc>
        <w:tc>
          <w:tcPr>
            <w:tcW w:w="580" w:type="dxa"/>
            <w:tcBorders>
              <w:top w:val="nil"/>
              <w:left w:val="nil"/>
              <w:bottom w:val="single" w:sz="4" w:space="0" w:color="BFBFBF"/>
              <w:right w:val="single" w:sz="4" w:space="0" w:color="BFBFBF"/>
            </w:tcBorders>
            <w:shd w:val="clear" w:color="auto" w:fill="auto"/>
            <w:noWrap/>
            <w:vAlign w:val="center"/>
          </w:tcPr>
          <w:p w14:paraId="32DF07DF"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single" w:sz="4" w:space="0" w:color="BFBFBF"/>
              <w:right w:val="single" w:sz="4" w:space="0" w:color="BFBFBF"/>
            </w:tcBorders>
            <w:shd w:val="clear" w:color="auto" w:fill="auto"/>
            <w:noWrap/>
            <w:vAlign w:val="center"/>
          </w:tcPr>
          <w:p w14:paraId="313DB9E6"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auto"/>
            </w:tcBorders>
            <w:shd w:val="clear" w:color="auto" w:fill="auto"/>
            <w:noWrap/>
            <w:vAlign w:val="center"/>
          </w:tcPr>
          <w:p w14:paraId="281175C3"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w:t>
            </w:r>
          </w:p>
        </w:tc>
        <w:tc>
          <w:tcPr>
            <w:tcW w:w="580" w:type="dxa"/>
            <w:tcBorders>
              <w:top w:val="nil"/>
              <w:left w:val="nil"/>
              <w:bottom w:val="single" w:sz="4" w:space="0" w:color="BFBFBF"/>
              <w:right w:val="single" w:sz="4" w:space="0" w:color="BFBFBF"/>
            </w:tcBorders>
            <w:shd w:val="clear" w:color="auto" w:fill="auto"/>
            <w:noWrap/>
            <w:vAlign w:val="center"/>
          </w:tcPr>
          <w:p w14:paraId="40DF7F13"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r w:rsidR="00BC2F7A" w:rsidRPr="00BC2F7A">
              <w:rPr>
                <w:rFonts w:ascii="Arial" w:hAnsi="Arial" w:cs="Arial"/>
                <w:color w:val="000000"/>
                <w:sz w:val="16"/>
                <w:szCs w:val="16"/>
                <w:lang w:val="en-AU" w:eastAsia="en-AU"/>
              </w:rPr>
              <w:t>5</w:t>
            </w:r>
            <w:r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591ACF72"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22%</w:t>
            </w:r>
          </w:p>
        </w:tc>
        <w:tc>
          <w:tcPr>
            <w:tcW w:w="580" w:type="dxa"/>
            <w:tcBorders>
              <w:top w:val="nil"/>
              <w:left w:val="nil"/>
              <w:bottom w:val="single" w:sz="4" w:space="0" w:color="BFBFBF"/>
              <w:right w:val="single" w:sz="4" w:space="0" w:color="BFBFBF"/>
            </w:tcBorders>
            <w:shd w:val="clear" w:color="auto" w:fill="auto"/>
            <w:noWrap/>
            <w:vAlign w:val="center"/>
          </w:tcPr>
          <w:p w14:paraId="7495368E"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21%</w:t>
            </w:r>
          </w:p>
        </w:tc>
        <w:tc>
          <w:tcPr>
            <w:tcW w:w="580" w:type="dxa"/>
            <w:tcBorders>
              <w:top w:val="nil"/>
              <w:left w:val="nil"/>
              <w:bottom w:val="single" w:sz="4" w:space="0" w:color="BFBFBF"/>
              <w:right w:val="nil"/>
            </w:tcBorders>
            <w:shd w:val="clear" w:color="auto" w:fill="auto"/>
            <w:noWrap/>
            <w:vAlign w:val="center"/>
          </w:tcPr>
          <w:p w14:paraId="1B5AE63E"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22%</w:t>
            </w: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093F875B"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w:t>
            </w:r>
            <w:r w:rsidR="00BC2F7A" w:rsidRPr="00BC2F7A">
              <w:rPr>
                <w:rFonts w:ascii="Arial" w:hAnsi="Arial" w:cs="Arial"/>
                <w:color w:val="000000"/>
                <w:sz w:val="16"/>
                <w:szCs w:val="16"/>
                <w:lang w:val="en-AU" w:eastAsia="en-AU"/>
              </w:rPr>
              <w:t>1</w:t>
            </w:r>
            <w:r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653875B0"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12%</w:t>
            </w:r>
          </w:p>
        </w:tc>
        <w:tc>
          <w:tcPr>
            <w:tcW w:w="580" w:type="dxa"/>
            <w:tcBorders>
              <w:top w:val="nil"/>
              <w:left w:val="nil"/>
              <w:bottom w:val="single" w:sz="4" w:space="0" w:color="BFBFBF"/>
              <w:right w:val="single" w:sz="4" w:space="0" w:color="BFBFBF"/>
            </w:tcBorders>
            <w:shd w:val="clear" w:color="auto" w:fill="auto"/>
            <w:noWrap/>
            <w:vAlign w:val="center"/>
          </w:tcPr>
          <w:p w14:paraId="4207D3A7"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11%</w:t>
            </w:r>
          </w:p>
        </w:tc>
        <w:tc>
          <w:tcPr>
            <w:tcW w:w="580" w:type="dxa"/>
            <w:tcBorders>
              <w:top w:val="nil"/>
              <w:left w:val="nil"/>
              <w:bottom w:val="single" w:sz="4" w:space="0" w:color="BFBFBF"/>
              <w:right w:val="single" w:sz="4" w:space="0" w:color="auto"/>
            </w:tcBorders>
            <w:shd w:val="clear" w:color="auto" w:fill="auto"/>
            <w:noWrap/>
            <w:vAlign w:val="center"/>
          </w:tcPr>
          <w:p w14:paraId="414F8B07"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11%</w:t>
            </w:r>
          </w:p>
        </w:tc>
        <w:tc>
          <w:tcPr>
            <w:tcW w:w="580" w:type="dxa"/>
            <w:tcBorders>
              <w:top w:val="nil"/>
              <w:left w:val="nil"/>
              <w:bottom w:val="single" w:sz="4" w:space="0" w:color="BFBFBF"/>
              <w:right w:val="single" w:sz="4" w:space="0" w:color="BFBFBF"/>
            </w:tcBorders>
            <w:shd w:val="clear" w:color="auto" w:fill="auto"/>
            <w:noWrap/>
            <w:vAlign w:val="center"/>
          </w:tcPr>
          <w:p w14:paraId="239571D2"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7</w:t>
            </w:r>
            <w:r w:rsidR="00BC2F7A" w:rsidRPr="00BC2F7A">
              <w:rPr>
                <w:rFonts w:ascii="Arial" w:hAnsi="Arial" w:cs="Arial"/>
                <w:color w:val="000000"/>
                <w:sz w:val="16"/>
                <w:szCs w:val="16"/>
                <w:lang w:val="en-AU" w:eastAsia="en-AU"/>
              </w:rPr>
              <w:t>4</w:t>
            </w:r>
            <w:r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373C5CCE"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73%</w:t>
            </w:r>
          </w:p>
        </w:tc>
        <w:tc>
          <w:tcPr>
            <w:tcW w:w="580" w:type="dxa"/>
            <w:tcBorders>
              <w:top w:val="nil"/>
              <w:left w:val="nil"/>
              <w:bottom w:val="single" w:sz="4" w:space="0" w:color="BFBFBF"/>
              <w:right w:val="single" w:sz="4" w:space="0" w:color="BFBFBF"/>
            </w:tcBorders>
            <w:shd w:val="clear" w:color="auto" w:fill="auto"/>
            <w:noWrap/>
            <w:vAlign w:val="center"/>
          </w:tcPr>
          <w:p w14:paraId="21C12AAC"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68%</w:t>
            </w:r>
          </w:p>
        </w:tc>
        <w:tc>
          <w:tcPr>
            <w:tcW w:w="580" w:type="dxa"/>
            <w:tcBorders>
              <w:top w:val="nil"/>
              <w:left w:val="nil"/>
              <w:bottom w:val="single" w:sz="4" w:space="0" w:color="BFBFBF"/>
              <w:right w:val="single" w:sz="4" w:space="0" w:color="auto"/>
            </w:tcBorders>
            <w:shd w:val="clear" w:color="auto" w:fill="auto"/>
            <w:noWrap/>
            <w:vAlign w:val="center"/>
          </w:tcPr>
          <w:p w14:paraId="0A8EC82D"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70%</w:t>
            </w:r>
          </w:p>
        </w:tc>
        <w:tc>
          <w:tcPr>
            <w:tcW w:w="580" w:type="dxa"/>
            <w:tcBorders>
              <w:top w:val="nil"/>
              <w:left w:val="nil"/>
              <w:bottom w:val="single" w:sz="4" w:space="0" w:color="BFBFBF"/>
              <w:right w:val="single" w:sz="4" w:space="0" w:color="BFBFBF"/>
            </w:tcBorders>
            <w:shd w:val="clear" w:color="auto" w:fill="auto"/>
            <w:noWrap/>
            <w:vAlign w:val="center"/>
          </w:tcPr>
          <w:p w14:paraId="22A228F6"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50%</w:t>
            </w:r>
          </w:p>
        </w:tc>
        <w:tc>
          <w:tcPr>
            <w:tcW w:w="580" w:type="dxa"/>
            <w:tcBorders>
              <w:top w:val="nil"/>
              <w:left w:val="nil"/>
              <w:bottom w:val="single" w:sz="4" w:space="0" w:color="BFBFBF"/>
              <w:right w:val="single" w:sz="4" w:space="0" w:color="BFBFBF"/>
            </w:tcBorders>
            <w:shd w:val="clear" w:color="auto" w:fill="auto"/>
            <w:noWrap/>
            <w:vAlign w:val="center"/>
          </w:tcPr>
          <w:p w14:paraId="420A2B33"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48%</w:t>
            </w:r>
          </w:p>
        </w:tc>
        <w:tc>
          <w:tcPr>
            <w:tcW w:w="580" w:type="dxa"/>
            <w:tcBorders>
              <w:top w:val="nil"/>
              <w:left w:val="nil"/>
              <w:bottom w:val="single" w:sz="4" w:space="0" w:color="BFBFBF"/>
              <w:right w:val="single" w:sz="4" w:space="0" w:color="BFBFBF"/>
            </w:tcBorders>
            <w:shd w:val="clear" w:color="auto" w:fill="auto"/>
            <w:noWrap/>
            <w:vAlign w:val="center"/>
          </w:tcPr>
          <w:p w14:paraId="1B282875"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46%</w:t>
            </w:r>
          </w:p>
        </w:tc>
        <w:tc>
          <w:tcPr>
            <w:tcW w:w="580" w:type="dxa"/>
            <w:tcBorders>
              <w:top w:val="nil"/>
              <w:left w:val="nil"/>
              <w:bottom w:val="single" w:sz="4" w:space="0" w:color="BFBFBF"/>
              <w:right w:val="double" w:sz="6" w:space="0" w:color="auto"/>
            </w:tcBorders>
            <w:shd w:val="clear" w:color="auto" w:fill="auto"/>
            <w:noWrap/>
            <w:vAlign w:val="center"/>
          </w:tcPr>
          <w:p w14:paraId="6EA4DDAD"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46%</w:t>
            </w:r>
          </w:p>
        </w:tc>
      </w:tr>
      <w:tr w:rsidR="00BC2F7A" w:rsidRPr="00BC2F7A" w14:paraId="1D09B333" w14:textId="77777777" w:rsidTr="0059723A">
        <w:trPr>
          <w:trHeight w:val="225"/>
          <w:jc w:val="center"/>
        </w:trPr>
        <w:tc>
          <w:tcPr>
            <w:tcW w:w="2920" w:type="dxa"/>
            <w:tcBorders>
              <w:top w:val="nil"/>
              <w:left w:val="double" w:sz="6" w:space="0" w:color="auto"/>
              <w:bottom w:val="single" w:sz="4" w:space="0" w:color="BFBFBF"/>
              <w:right w:val="nil"/>
            </w:tcBorders>
            <w:shd w:val="clear" w:color="auto" w:fill="auto"/>
            <w:noWrap/>
            <w:vAlign w:val="center"/>
          </w:tcPr>
          <w:p w14:paraId="397F9C85" w14:textId="77777777" w:rsidR="00B75952" w:rsidRPr="00BC2F7A" w:rsidRDefault="00B75952" w:rsidP="00BC2F7A">
            <w:pPr>
              <w:spacing w:before="0" w:after="0"/>
              <w:rPr>
                <w:rFonts w:ascii="Arial" w:hAnsi="Arial" w:cs="Arial"/>
                <w:color w:val="000000"/>
                <w:sz w:val="16"/>
                <w:szCs w:val="16"/>
                <w:lang w:val="en-AU" w:eastAsia="en-AU"/>
              </w:rPr>
            </w:pPr>
            <w:r w:rsidRPr="00BC2F7A">
              <w:rPr>
                <w:rFonts w:ascii="Arial" w:hAnsi="Arial" w:cs="Arial"/>
                <w:color w:val="000000"/>
                <w:sz w:val="16"/>
                <w:szCs w:val="16"/>
                <w:lang w:val="en-AU" w:eastAsia="en-AU"/>
              </w:rPr>
              <w:t>Pensions/ Other Govt Benefits</w:t>
            </w: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6FA47CEB" w14:textId="77777777" w:rsidR="00B75952" w:rsidRPr="00BC2F7A" w:rsidRDefault="00BC2F7A"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96</w:t>
            </w:r>
            <w:r w:rsidR="00B75952"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14594513"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92%</w:t>
            </w:r>
          </w:p>
        </w:tc>
        <w:tc>
          <w:tcPr>
            <w:tcW w:w="580" w:type="dxa"/>
            <w:tcBorders>
              <w:top w:val="nil"/>
              <w:left w:val="nil"/>
              <w:bottom w:val="single" w:sz="4" w:space="0" w:color="BFBFBF"/>
              <w:right w:val="single" w:sz="4" w:space="0" w:color="BFBFBF"/>
            </w:tcBorders>
            <w:shd w:val="clear" w:color="auto" w:fill="auto"/>
            <w:noWrap/>
            <w:vAlign w:val="center"/>
          </w:tcPr>
          <w:p w14:paraId="3FBBAD90"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93%</w:t>
            </w:r>
          </w:p>
        </w:tc>
        <w:tc>
          <w:tcPr>
            <w:tcW w:w="580" w:type="dxa"/>
            <w:tcBorders>
              <w:top w:val="nil"/>
              <w:left w:val="nil"/>
              <w:bottom w:val="single" w:sz="4" w:space="0" w:color="BFBFBF"/>
              <w:right w:val="single" w:sz="4" w:space="0" w:color="auto"/>
            </w:tcBorders>
            <w:shd w:val="clear" w:color="auto" w:fill="auto"/>
            <w:noWrap/>
            <w:vAlign w:val="center"/>
          </w:tcPr>
          <w:p w14:paraId="1DFE47FA"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96%</w:t>
            </w:r>
          </w:p>
        </w:tc>
        <w:tc>
          <w:tcPr>
            <w:tcW w:w="580" w:type="dxa"/>
            <w:tcBorders>
              <w:top w:val="nil"/>
              <w:left w:val="nil"/>
              <w:bottom w:val="single" w:sz="4" w:space="0" w:color="BFBFBF"/>
              <w:right w:val="single" w:sz="4" w:space="0" w:color="BFBFBF"/>
            </w:tcBorders>
            <w:shd w:val="clear" w:color="auto" w:fill="auto"/>
            <w:noWrap/>
            <w:vAlign w:val="center"/>
          </w:tcPr>
          <w:p w14:paraId="3F1C136B"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8</w:t>
            </w:r>
            <w:r w:rsidR="00BC2F7A" w:rsidRPr="00BC2F7A">
              <w:rPr>
                <w:rFonts w:ascii="Arial" w:hAnsi="Arial" w:cs="Arial"/>
                <w:color w:val="000000"/>
                <w:sz w:val="16"/>
                <w:szCs w:val="16"/>
                <w:lang w:val="en-AU" w:eastAsia="en-AU"/>
              </w:rPr>
              <w:t>2</w:t>
            </w:r>
            <w:r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3321C24B"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78%</w:t>
            </w:r>
          </w:p>
        </w:tc>
        <w:tc>
          <w:tcPr>
            <w:tcW w:w="580" w:type="dxa"/>
            <w:tcBorders>
              <w:top w:val="nil"/>
              <w:left w:val="nil"/>
              <w:bottom w:val="single" w:sz="4" w:space="0" w:color="BFBFBF"/>
              <w:right w:val="single" w:sz="4" w:space="0" w:color="BFBFBF"/>
            </w:tcBorders>
            <w:shd w:val="clear" w:color="auto" w:fill="auto"/>
            <w:noWrap/>
            <w:vAlign w:val="center"/>
          </w:tcPr>
          <w:p w14:paraId="31278998"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79%</w:t>
            </w:r>
          </w:p>
        </w:tc>
        <w:tc>
          <w:tcPr>
            <w:tcW w:w="580" w:type="dxa"/>
            <w:tcBorders>
              <w:top w:val="nil"/>
              <w:left w:val="nil"/>
              <w:bottom w:val="single" w:sz="4" w:space="0" w:color="BFBFBF"/>
              <w:right w:val="nil"/>
            </w:tcBorders>
            <w:shd w:val="clear" w:color="auto" w:fill="auto"/>
            <w:noWrap/>
            <w:vAlign w:val="center"/>
          </w:tcPr>
          <w:p w14:paraId="54D65798"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78%</w:t>
            </w: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3DEB5815" w14:textId="77777777" w:rsidR="00B75952" w:rsidRPr="00BC2F7A" w:rsidRDefault="00BC2F7A"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89</w:t>
            </w:r>
            <w:r w:rsidR="00B75952"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089EECC2"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85%</w:t>
            </w:r>
          </w:p>
        </w:tc>
        <w:tc>
          <w:tcPr>
            <w:tcW w:w="580" w:type="dxa"/>
            <w:tcBorders>
              <w:top w:val="nil"/>
              <w:left w:val="nil"/>
              <w:bottom w:val="single" w:sz="4" w:space="0" w:color="BFBFBF"/>
              <w:right w:val="single" w:sz="4" w:space="0" w:color="BFBFBF"/>
            </w:tcBorders>
            <w:shd w:val="clear" w:color="auto" w:fill="auto"/>
            <w:noWrap/>
            <w:vAlign w:val="center"/>
          </w:tcPr>
          <w:p w14:paraId="53ED7AC2"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86%</w:t>
            </w:r>
          </w:p>
        </w:tc>
        <w:tc>
          <w:tcPr>
            <w:tcW w:w="580" w:type="dxa"/>
            <w:tcBorders>
              <w:top w:val="nil"/>
              <w:left w:val="nil"/>
              <w:bottom w:val="single" w:sz="4" w:space="0" w:color="BFBFBF"/>
              <w:right w:val="single" w:sz="4" w:space="0" w:color="auto"/>
            </w:tcBorders>
            <w:shd w:val="clear" w:color="auto" w:fill="auto"/>
            <w:noWrap/>
            <w:vAlign w:val="center"/>
          </w:tcPr>
          <w:p w14:paraId="588B4BBA"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88%</w:t>
            </w:r>
          </w:p>
        </w:tc>
        <w:tc>
          <w:tcPr>
            <w:tcW w:w="580" w:type="dxa"/>
            <w:tcBorders>
              <w:top w:val="nil"/>
              <w:left w:val="nil"/>
              <w:bottom w:val="single" w:sz="4" w:space="0" w:color="BFBFBF"/>
              <w:right w:val="single" w:sz="4" w:space="0" w:color="BFBFBF"/>
            </w:tcBorders>
            <w:shd w:val="clear" w:color="auto" w:fill="auto"/>
            <w:noWrap/>
            <w:vAlign w:val="center"/>
          </w:tcPr>
          <w:p w14:paraId="72E503F2"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8%</w:t>
            </w:r>
          </w:p>
        </w:tc>
        <w:tc>
          <w:tcPr>
            <w:tcW w:w="580" w:type="dxa"/>
            <w:tcBorders>
              <w:top w:val="nil"/>
              <w:left w:val="nil"/>
              <w:bottom w:val="single" w:sz="4" w:space="0" w:color="BFBFBF"/>
              <w:right w:val="single" w:sz="4" w:space="0" w:color="BFBFBF"/>
            </w:tcBorders>
            <w:shd w:val="clear" w:color="auto" w:fill="auto"/>
            <w:noWrap/>
            <w:vAlign w:val="center"/>
          </w:tcPr>
          <w:p w14:paraId="56D551E6"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6%</w:t>
            </w:r>
          </w:p>
        </w:tc>
        <w:tc>
          <w:tcPr>
            <w:tcW w:w="580" w:type="dxa"/>
            <w:tcBorders>
              <w:top w:val="nil"/>
              <w:left w:val="nil"/>
              <w:bottom w:val="single" w:sz="4" w:space="0" w:color="BFBFBF"/>
              <w:right w:val="single" w:sz="4" w:space="0" w:color="BFBFBF"/>
            </w:tcBorders>
            <w:shd w:val="clear" w:color="auto" w:fill="auto"/>
            <w:noWrap/>
            <w:vAlign w:val="center"/>
          </w:tcPr>
          <w:p w14:paraId="50B3CF7A"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single" w:sz="4" w:space="0" w:color="BFBFBF"/>
              <w:right w:val="single" w:sz="4" w:space="0" w:color="auto"/>
            </w:tcBorders>
            <w:shd w:val="clear" w:color="auto" w:fill="auto"/>
            <w:noWrap/>
            <w:vAlign w:val="center"/>
          </w:tcPr>
          <w:p w14:paraId="1D2B5CE1"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5%</w:t>
            </w:r>
          </w:p>
        </w:tc>
        <w:tc>
          <w:tcPr>
            <w:tcW w:w="580" w:type="dxa"/>
            <w:tcBorders>
              <w:top w:val="nil"/>
              <w:left w:val="nil"/>
              <w:bottom w:val="single" w:sz="4" w:space="0" w:color="BFBFBF"/>
              <w:right w:val="single" w:sz="4" w:space="0" w:color="BFBFBF"/>
            </w:tcBorders>
            <w:shd w:val="clear" w:color="auto" w:fill="auto"/>
            <w:noWrap/>
            <w:vAlign w:val="center"/>
          </w:tcPr>
          <w:p w14:paraId="2396EA3F"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45%</w:t>
            </w:r>
          </w:p>
        </w:tc>
        <w:tc>
          <w:tcPr>
            <w:tcW w:w="580" w:type="dxa"/>
            <w:tcBorders>
              <w:top w:val="nil"/>
              <w:left w:val="nil"/>
              <w:bottom w:val="single" w:sz="4" w:space="0" w:color="BFBFBF"/>
              <w:right w:val="single" w:sz="4" w:space="0" w:color="BFBFBF"/>
            </w:tcBorders>
            <w:shd w:val="clear" w:color="auto" w:fill="auto"/>
            <w:noWrap/>
            <w:vAlign w:val="center"/>
          </w:tcPr>
          <w:p w14:paraId="6FA549CD"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38%</w:t>
            </w:r>
          </w:p>
        </w:tc>
        <w:tc>
          <w:tcPr>
            <w:tcW w:w="580" w:type="dxa"/>
            <w:tcBorders>
              <w:top w:val="nil"/>
              <w:left w:val="nil"/>
              <w:bottom w:val="single" w:sz="4" w:space="0" w:color="BFBFBF"/>
              <w:right w:val="single" w:sz="4" w:space="0" w:color="BFBFBF"/>
            </w:tcBorders>
            <w:shd w:val="clear" w:color="auto" w:fill="auto"/>
            <w:noWrap/>
            <w:vAlign w:val="center"/>
          </w:tcPr>
          <w:p w14:paraId="330D3249"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35%</w:t>
            </w:r>
          </w:p>
        </w:tc>
        <w:tc>
          <w:tcPr>
            <w:tcW w:w="580" w:type="dxa"/>
            <w:tcBorders>
              <w:top w:val="nil"/>
              <w:left w:val="nil"/>
              <w:bottom w:val="single" w:sz="4" w:space="0" w:color="BFBFBF"/>
              <w:right w:val="double" w:sz="6" w:space="0" w:color="auto"/>
            </w:tcBorders>
            <w:shd w:val="clear" w:color="auto" w:fill="auto"/>
            <w:noWrap/>
            <w:vAlign w:val="center"/>
          </w:tcPr>
          <w:p w14:paraId="1C4EFB41"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39%</w:t>
            </w:r>
          </w:p>
        </w:tc>
      </w:tr>
      <w:tr w:rsidR="00BC2F7A" w:rsidRPr="00BC2F7A" w14:paraId="1B9EF0D4" w14:textId="77777777" w:rsidTr="0059723A">
        <w:trPr>
          <w:trHeight w:val="225"/>
          <w:jc w:val="center"/>
        </w:trPr>
        <w:tc>
          <w:tcPr>
            <w:tcW w:w="2920" w:type="dxa"/>
            <w:tcBorders>
              <w:top w:val="nil"/>
              <w:left w:val="double" w:sz="6" w:space="0" w:color="auto"/>
              <w:bottom w:val="single" w:sz="4" w:space="0" w:color="BFBFBF"/>
              <w:right w:val="nil"/>
            </w:tcBorders>
            <w:shd w:val="clear" w:color="auto" w:fill="auto"/>
            <w:noWrap/>
            <w:vAlign w:val="center"/>
          </w:tcPr>
          <w:p w14:paraId="182C630D" w14:textId="39D33D87" w:rsidR="00B75952" w:rsidRPr="00BC2F7A" w:rsidRDefault="00BC6314" w:rsidP="00BC2F7A">
            <w:pPr>
              <w:spacing w:before="0" w:after="0"/>
              <w:rPr>
                <w:rFonts w:ascii="Arial" w:hAnsi="Arial" w:cs="Arial"/>
                <w:color w:val="000000"/>
                <w:sz w:val="16"/>
                <w:szCs w:val="16"/>
                <w:lang w:val="en-AU" w:eastAsia="en-AU"/>
              </w:rPr>
            </w:pPr>
            <w:r w:rsidRPr="00BC2F7A">
              <w:rPr>
                <w:rFonts w:ascii="Arial" w:hAnsi="Arial" w:cs="Arial"/>
                <w:color w:val="000000"/>
                <w:sz w:val="16"/>
                <w:szCs w:val="16"/>
                <w:lang w:val="en-AU" w:eastAsia="en-AU"/>
              </w:rPr>
              <w:t>Self-Funded</w:t>
            </w: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79E0B40C"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47%</w:t>
            </w:r>
          </w:p>
        </w:tc>
        <w:tc>
          <w:tcPr>
            <w:tcW w:w="580" w:type="dxa"/>
            <w:tcBorders>
              <w:top w:val="nil"/>
              <w:left w:val="nil"/>
              <w:bottom w:val="single" w:sz="4" w:space="0" w:color="BFBFBF"/>
              <w:right w:val="single" w:sz="4" w:space="0" w:color="BFBFBF"/>
            </w:tcBorders>
            <w:shd w:val="clear" w:color="auto" w:fill="auto"/>
            <w:noWrap/>
            <w:vAlign w:val="center"/>
          </w:tcPr>
          <w:p w14:paraId="3C6837C1"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21%</w:t>
            </w:r>
          </w:p>
        </w:tc>
        <w:tc>
          <w:tcPr>
            <w:tcW w:w="580" w:type="dxa"/>
            <w:tcBorders>
              <w:top w:val="nil"/>
              <w:left w:val="nil"/>
              <w:bottom w:val="single" w:sz="4" w:space="0" w:color="BFBFBF"/>
              <w:right w:val="single" w:sz="4" w:space="0" w:color="BFBFBF"/>
            </w:tcBorders>
            <w:shd w:val="clear" w:color="auto" w:fill="auto"/>
            <w:noWrap/>
            <w:vAlign w:val="center"/>
          </w:tcPr>
          <w:p w14:paraId="052FC9A6"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19%</w:t>
            </w:r>
          </w:p>
        </w:tc>
        <w:tc>
          <w:tcPr>
            <w:tcW w:w="580" w:type="dxa"/>
            <w:tcBorders>
              <w:top w:val="nil"/>
              <w:left w:val="nil"/>
              <w:bottom w:val="single" w:sz="4" w:space="0" w:color="BFBFBF"/>
              <w:right w:val="single" w:sz="4" w:space="0" w:color="auto"/>
            </w:tcBorders>
            <w:shd w:val="clear" w:color="auto" w:fill="auto"/>
            <w:noWrap/>
            <w:vAlign w:val="center"/>
          </w:tcPr>
          <w:p w14:paraId="15579350"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16%</w:t>
            </w:r>
          </w:p>
        </w:tc>
        <w:tc>
          <w:tcPr>
            <w:tcW w:w="580" w:type="dxa"/>
            <w:tcBorders>
              <w:top w:val="nil"/>
              <w:left w:val="nil"/>
              <w:bottom w:val="single" w:sz="4" w:space="0" w:color="BFBFBF"/>
              <w:right w:val="single" w:sz="4" w:space="0" w:color="BFBFBF"/>
            </w:tcBorders>
            <w:shd w:val="clear" w:color="auto" w:fill="auto"/>
            <w:noWrap/>
            <w:vAlign w:val="center"/>
          </w:tcPr>
          <w:p w14:paraId="5BBB2BC4"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r w:rsidR="00BC2F7A" w:rsidRPr="00BC2F7A">
              <w:rPr>
                <w:rFonts w:ascii="Arial" w:hAnsi="Arial" w:cs="Arial"/>
                <w:color w:val="000000"/>
                <w:sz w:val="16"/>
                <w:szCs w:val="16"/>
                <w:lang w:val="en-AU" w:eastAsia="en-AU"/>
              </w:rPr>
              <w:t>1</w:t>
            </w:r>
            <w:r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368AF7E3"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7%</w:t>
            </w:r>
          </w:p>
        </w:tc>
        <w:tc>
          <w:tcPr>
            <w:tcW w:w="580" w:type="dxa"/>
            <w:tcBorders>
              <w:top w:val="nil"/>
              <w:left w:val="nil"/>
              <w:bottom w:val="single" w:sz="4" w:space="0" w:color="BFBFBF"/>
              <w:right w:val="single" w:sz="4" w:space="0" w:color="BFBFBF"/>
            </w:tcBorders>
            <w:shd w:val="clear" w:color="auto" w:fill="auto"/>
            <w:noWrap/>
            <w:vAlign w:val="center"/>
          </w:tcPr>
          <w:p w14:paraId="0C5498B5"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8%</w:t>
            </w:r>
          </w:p>
        </w:tc>
        <w:tc>
          <w:tcPr>
            <w:tcW w:w="580" w:type="dxa"/>
            <w:tcBorders>
              <w:top w:val="nil"/>
              <w:left w:val="nil"/>
              <w:bottom w:val="single" w:sz="4" w:space="0" w:color="BFBFBF"/>
              <w:right w:val="nil"/>
            </w:tcBorders>
            <w:shd w:val="clear" w:color="auto" w:fill="auto"/>
            <w:noWrap/>
            <w:vAlign w:val="center"/>
          </w:tcPr>
          <w:p w14:paraId="2473180B"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6E6E31FD"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29%</w:t>
            </w:r>
          </w:p>
        </w:tc>
        <w:tc>
          <w:tcPr>
            <w:tcW w:w="580" w:type="dxa"/>
            <w:tcBorders>
              <w:top w:val="nil"/>
              <w:left w:val="nil"/>
              <w:bottom w:val="single" w:sz="4" w:space="0" w:color="BFBFBF"/>
              <w:right w:val="single" w:sz="4" w:space="0" w:color="BFBFBF"/>
            </w:tcBorders>
            <w:shd w:val="clear" w:color="auto" w:fill="auto"/>
            <w:noWrap/>
            <w:vAlign w:val="center"/>
          </w:tcPr>
          <w:p w14:paraId="1480A881"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14%</w:t>
            </w:r>
          </w:p>
        </w:tc>
        <w:tc>
          <w:tcPr>
            <w:tcW w:w="580" w:type="dxa"/>
            <w:tcBorders>
              <w:top w:val="nil"/>
              <w:left w:val="nil"/>
              <w:bottom w:val="single" w:sz="4" w:space="0" w:color="BFBFBF"/>
              <w:right w:val="single" w:sz="4" w:space="0" w:color="BFBFBF"/>
            </w:tcBorders>
            <w:shd w:val="clear" w:color="auto" w:fill="auto"/>
            <w:noWrap/>
            <w:vAlign w:val="center"/>
          </w:tcPr>
          <w:p w14:paraId="26CD1E6D"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14%</w:t>
            </w:r>
          </w:p>
        </w:tc>
        <w:tc>
          <w:tcPr>
            <w:tcW w:w="580" w:type="dxa"/>
            <w:tcBorders>
              <w:top w:val="nil"/>
              <w:left w:val="nil"/>
              <w:bottom w:val="single" w:sz="4" w:space="0" w:color="BFBFBF"/>
              <w:right w:val="single" w:sz="4" w:space="0" w:color="auto"/>
            </w:tcBorders>
            <w:shd w:val="clear" w:color="auto" w:fill="auto"/>
            <w:noWrap/>
            <w:vAlign w:val="center"/>
          </w:tcPr>
          <w:p w14:paraId="261512F7"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10%</w:t>
            </w:r>
          </w:p>
        </w:tc>
        <w:tc>
          <w:tcPr>
            <w:tcW w:w="580" w:type="dxa"/>
            <w:tcBorders>
              <w:top w:val="nil"/>
              <w:left w:val="nil"/>
              <w:bottom w:val="single" w:sz="4" w:space="0" w:color="BFBFBF"/>
              <w:right w:val="single" w:sz="4" w:space="0" w:color="BFBFBF"/>
            </w:tcBorders>
            <w:shd w:val="clear" w:color="auto" w:fill="auto"/>
            <w:noWrap/>
            <w:vAlign w:val="center"/>
          </w:tcPr>
          <w:p w14:paraId="11855FA1" w14:textId="77777777" w:rsidR="00B75952" w:rsidRPr="00BC2F7A" w:rsidRDefault="00BC2F7A"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29</w:t>
            </w:r>
            <w:r w:rsidR="00B75952"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44B26B6B"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15%</w:t>
            </w:r>
          </w:p>
        </w:tc>
        <w:tc>
          <w:tcPr>
            <w:tcW w:w="580" w:type="dxa"/>
            <w:tcBorders>
              <w:top w:val="nil"/>
              <w:left w:val="nil"/>
              <w:bottom w:val="single" w:sz="4" w:space="0" w:color="BFBFBF"/>
              <w:right w:val="single" w:sz="4" w:space="0" w:color="BFBFBF"/>
            </w:tcBorders>
            <w:shd w:val="clear" w:color="auto" w:fill="auto"/>
            <w:noWrap/>
            <w:vAlign w:val="center"/>
          </w:tcPr>
          <w:p w14:paraId="0BCFD01A"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15%</w:t>
            </w:r>
          </w:p>
        </w:tc>
        <w:tc>
          <w:tcPr>
            <w:tcW w:w="580" w:type="dxa"/>
            <w:tcBorders>
              <w:top w:val="nil"/>
              <w:left w:val="nil"/>
              <w:bottom w:val="single" w:sz="4" w:space="0" w:color="BFBFBF"/>
              <w:right w:val="single" w:sz="4" w:space="0" w:color="auto"/>
            </w:tcBorders>
            <w:shd w:val="clear" w:color="auto" w:fill="auto"/>
            <w:noWrap/>
            <w:vAlign w:val="center"/>
          </w:tcPr>
          <w:p w14:paraId="3E6F1BF5"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12%</w:t>
            </w:r>
          </w:p>
        </w:tc>
        <w:tc>
          <w:tcPr>
            <w:tcW w:w="580" w:type="dxa"/>
            <w:tcBorders>
              <w:top w:val="nil"/>
              <w:left w:val="nil"/>
              <w:bottom w:val="single" w:sz="4" w:space="0" w:color="BFBFBF"/>
              <w:right w:val="single" w:sz="4" w:space="0" w:color="BFBFBF"/>
            </w:tcBorders>
            <w:shd w:val="clear" w:color="auto" w:fill="auto"/>
            <w:noWrap/>
            <w:vAlign w:val="center"/>
          </w:tcPr>
          <w:p w14:paraId="47906DC8"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29%</w:t>
            </w:r>
          </w:p>
        </w:tc>
        <w:tc>
          <w:tcPr>
            <w:tcW w:w="580" w:type="dxa"/>
            <w:tcBorders>
              <w:top w:val="nil"/>
              <w:left w:val="nil"/>
              <w:bottom w:val="single" w:sz="4" w:space="0" w:color="BFBFBF"/>
              <w:right w:val="single" w:sz="4" w:space="0" w:color="BFBFBF"/>
            </w:tcBorders>
            <w:shd w:val="clear" w:color="auto" w:fill="auto"/>
            <w:noWrap/>
            <w:vAlign w:val="center"/>
          </w:tcPr>
          <w:p w14:paraId="0AD05B17"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15%</w:t>
            </w:r>
          </w:p>
        </w:tc>
        <w:tc>
          <w:tcPr>
            <w:tcW w:w="580" w:type="dxa"/>
            <w:tcBorders>
              <w:top w:val="nil"/>
              <w:left w:val="nil"/>
              <w:bottom w:val="single" w:sz="4" w:space="0" w:color="BFBFBF"/>
              <w:right w:val="single" w:sz="4" w:space="0" w:color="BFBFBF"/>
            </w:tcBorders>
            <w:shd w:val="clear" w:color="auto" w:fill="auto"/>
            <w:noWrap/>
            <w:vAlign w:val="center"/>
          </w:tcPr>
          <w:p w14:paraId="76433521"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15%</w:t>
            </w:r>
          </w:p>
        </w:tc>
        <w:tc>
          <w:tcPr>
            <w:tcW w:w="580" w:type="dxa"/>
            <w:tcBorders>
              <w:top w:val="nil"/>
              <w:left w:val="nil"/>
              <w:bottom w:val="single" w:sz="4" w:space="0" w:color="BFBFBF"/>
              <w:right w:val="double" w:sz="6" w:space="0" w:color="auto"/>
            </w:tcBorders>
            <w:shd w:val="clear" w:color="auto" w:fill="auto"/>
            <w:noWrap/>
            <w:vAlign w:val="center"/>
          </w:tcPr>
          <w:p w14:paraId="0B5A2089"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11%</w:t>
            </w:r>
          </w:p>
        </w:tc>
      </w:tr>
      <w:tr w:rsidR="00BC2F7A" w:rsidRPr="00BC2F7A" w14:paraId="2191F4EF" w14:textId="77777777" w:rsidTr="0059723A">
        <w:trPr>
          <w:trHeight w:val="225"/>
          <w:jc w:val="center"/>
        </w:trPr>
        <w:tc>
          <w:tcPr>
            <w:tcW w:w="2920" w:type="dxa"/>
            <w:tcBorders>
              <w:top w:val="nil"/>
              <w:left w:val="double" w:sz="6" w:space="0" w:color="auto"/>
              <w:bottom w:val="single" w:sz="4" w:space="0" w:color="BFBFBF"/>
              <w:right w:val="nil"/>
            </w:tcBorders>
            <w:shd w:val="clear" w:color="auto" w:fill="auto"/>
            <w:noWrap/>
            <w:vAlign w:val="center"/>
          </w:tcPr>
          <w:p w14:paraId="3B89AC50" w14:textId="77777777" w:rsidR="00B75952" w:rsidRPr="00BC2F7A" w:rsidRDefault="00B75952" w:rsidP="00BC2F7A">
            <w:pPr>
              <w:spacing w:before="0" w:after="0"/>
              <w:rPr>
                <w:rFonts w:ascii="Arial" w:hAnsi="Arial" w:cs="Arial"/>
                <w:color w:val="000000"/>
                <w:sz w:val="16"/>
                <w:szCs w:val="16"/>
                <w:lang w:val="en-AU" w:eastAsia="en-AU"/>
              </w:rPr>
            </w:pPr>
            <w:r w:rsidRPr="00BC2F7A">
              <w:rPr>
                <w:rFonts w:ascii="Arial" w:hAnsi="Arial" w:cs="Arial"/>
                <w:color w:val="000000"/>
                <w:sz w:val="16"/>
                <w:szCs w:val="16"/>
                <w:lang w:val="en-AU" w:eastAsia="en-AU"/>
              </w:rPr>
              <w:t>Other Sources</w:t>
            </w: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2BA454DA"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5A57F63A"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7B8DF066"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auto"/>
            </w:tcBorders>
            <w:shd w:val="clear" w:color="auto" w:fill="auto"/>
            <w:noWrap/>
            <w:vAlign w:val="center"/>
          </w:tcPr>
          <w:p w14:paraId="0F4C7763"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038CCE09"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4BC8E42B"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74E62899"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nil"/>
            </w:tcBorders>
            <w:shd w:val="clear" w:color="auto" w:fill="auto"/>
            <w:noWrap/>
            <w:vAlign w:val="center"/>
          </w:tcPr>
          <w:p w14:paraId="3CB073C3"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w:t>
            </w: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5855D52F"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6FE041A4"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09431B0E"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auto"/>
            </w:tcBorders>
            <w:shd w:val="clear" w:color="auto" w:fill="auto"/>
            <w:noWrap/>
            <w:vAlign w:val="center"/>
          </w:tcPr>
          <w:p w14:paraId="6E719FE8"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18106D7C"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4944FE98"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single" w:sz="4" w:space="0" w:color="BFBFBF"/>
              <w:right w:val="single" w:sz="4" w:space="0" w:color="BFBFBF"/>
            </w:tcBorders>
            <w:shd w:val="clear" w:color="auto" w:fill="auto"/>
            <w:noWrap/>
            <w:vAlign w:val="center"/>
          </w:tcPr>
          <w:p w14:paraId="76E7F12C"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auto"/>
            </w:tcBorders>
            <w:shd w:val="clear" w:color="auto" w:fill="auto"/>
            <w:noWrap/>
            <w:vAlign w:val="center"/>
          </w:tcPr>
          <w:p w14:paraId="3B1C0AAA"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single" w:sz="4" w:space="0" w:color="BFBFBF"/>
              <w:right w:val="single" w:sz="4" w:space="0" w:color="BFBFBF"/>
            </w:tcBorders>
            <w:shd w:val="clear" w:color="auto" w:fill="auto"/>
            <w:noWrap/>
            <w:vAlign w:val="center"/>
          </w:tcPr>
          <w:p w14:paraId="3DD1E1F7"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37D6A223"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w:t>
            </w:r>
          </w:p>
        </w:tc>
        <w:tc>
          <w:tcPr>
            <w:tcW w:w="580" w:type="dxa"/>
            <w:tcBorders>
              <w:top w:val="nil"/>
              <w:left w:val="nil"/>
              <w:bottom w:val="single" w:sz="4" w:space="0" w:color="BFBFBF"/>
              <w:right w:val="single" w:sz="4" w:space="0" w:color="BFBFBF"/>
            </w:tcBorders>
            <w:shd w:val="clear" w:color="auto" w:fill="auto"/>
            <w:noWrap/>
            <w:vAlign w:val="center"/>
          </w:tcPr>
          <w:p w14:paraId="4016F7A6"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double" w:sz="6" w:space="0" w:color="auto"/>
            </w:tcBorders>
            <w:shd w:val="clear" w:color="auto" w:fill="auto"/>
            <w:noWrap/>
            <w:vAlign w:val="center"/>
          </w:tcPr>
          <w:p w14:paraId="4C277A77"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w:t>
            </w:r>
          </w:p>
        </w:tc>
      </w:tr>
      <w:tr w:rsidR="00BC2F7A" w:rsidRPr="00BC2F7A" w14:paraId="6A3614A8" w14:textId="77777777" w:rsidTr="0059723A">
        <w:trPr>
          <w:trHeight w:val="225"/>
          <w:jc w:val="center"/>
        </w:trPr>
        <w:tc>
          <w:tcPr>
            <w:tcW w:w="2920" w:type="dxa"/>
            <w:tcBorders>
              <w:top w:val="nil"/>
              <w:left w:val="double" w:sz="6" w:space="0" w:color="auto"/>
              <w:bottom w:val="single" w:sz="4" w:space="0" w:color="BFBFBF"/>
              <w:right w:val="nil"/>
            </w:tcBorders>
            <w:shd w:val="clear" w:color="auto" w:fill="auto"/>
            <w:noWrap/>
            <w:vAlign w:val="center"/>
          </w:tcPr>
          <w:p w14:paraId="776E3629" w14:textId="77777777" w:rsidR="00B75952" w:rsidRPr="00BC2F7A" w:rsidRDefault="00B75952" w:rsidP="00BC2F7A">
            <w:pPr>
              <w:spacing w:before="0" w:after="0"/>
              <w:rPr>
                <w:rFonts w:ascii="Arial" w:hAnsi="Arial" w:cs="Arial"/>
                <w:color w:val="000000"/>
                <w:sz w:val="16"/>
                <w:szCs w:val="16"/>
                <w:lang w:val="en-AU" w:eastAsia="en-AU"/>
              </w:rPr>
            </w:pPr>
            <w:r w:rsidRPr="00BC2F7A">
              <w:rPr>
                <w:rFonts w:ascii="Arial" w:hAnsi="Arial" w:cs="Arial"/>
                <w:color w:val="000000"/>
                <w:sz w:val="16"/>
                <w:szCs w:val="16"/>
                <w:lang w:val="en-AU" w:eastAsia="en-AU"/>
              </w:rPr>
              <w:t>None</w:t>
            </w: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5A20ABB8"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3268902E"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BFBFBF"/>
            </w:tcBorders>
            <w:shd w:val="clear" w:color="auto" w:fill="auto"/>
            <w:noWrap/>
            <w:vAlign w:val="center"/>
          </w:tcPr>
          <w:p w14:paraId="7070027C"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single" w:sz="4" w:space="0" w:color="BFBFBF"/>
              <w:right w:val="single" w:sz="4" w:space="0" w:color="auto"/>
            </w:tcBorders>
            <w:shd w:val="clear" w:color="auto" w:fill="auto"/>
            <w:noWrap/>
            <w:vAlign w:val="center"/>
          </w:tcPr>
          <w:p w14:paraId="141C3DB8"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1A787A43"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1AF71B95"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single" w:sz="4" w:space="0" w:color="BFBFBF"/>
              <w:right w:val="single" w:sz="4" w:space="0" w:color="BFBFBF"/>
            </w:tcBorders>
            <w:shd w:val="clear" w:color="auto" w:fill="auto"/>
            <w:noWrap/>
            <w:vAlign w:val="center"/>
          </w:tcPr>
          <w:p w14:paraId="14E9E24C"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w:t>
            </w:r>
          </w:p>
        </w:tc>
        <w:tc>
          <w:tcPr>
            <w:tcW w:w="580" w:type="dxa"/>
            <w:tcBorders>
              <w:top w:val="nil"/>
              <w:left w:val="nil"/>
              <w:bottom w:val="single" w:sz="4" w:space="0" w:color="BFBFBF"/>
              <w:right w:val="nil"/>
            </w:tcBorders>
            <w:shd w:val="clear" w:color="auto" w:fill="auto"/>
            <w:noWrap/>
            <w:vAlign w:val="center"/>
          </w:tcPr>
          <w:p w14:paraId="6B9B35CE"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4%</w:t>
            </w:r>
          </w:p>
        </w:tc>
        <w:tc>
          <w:tcPr>
            <w:tcW w:w="580" w:type="dxa"/>
            <w:tcBorders>
              <w:top w:val="nil"/>
              <w:left w:val="single" w:sz="4" w:space="0" w:color="auto"/>
              <w:bottom w:val="single" w:sz="4" w:space="0" w:color="BFBFBF"/>
              <w:right w:val="single" w:sz="4" w:space="0" w:color="BFBFBF"/>
            </w:tcBorders>
            <w:shd w:val="clear" w:color="auto" w:fill="auto"/>
            <w:noWrap/>
            <w:vAlign w:val="center"/>
          </w:tcPr>
          <w:p w14:paraId="3C6C0284"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BFBFBF"/>
            </w:tcBorders>
            <w:shd w:val="clear" w:color="auto" w:fill="auto"/>
            <w:noWrap/>
            <w:vAlign w:val="center"/>
          </w:tcPr>
          <w:p w14:paraId="16A96456"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w:t>
            </w:r>
          </w:p>
        </w:tc>
        <w:tc>
          <w:tcPr>
            <w:tcW w:w="580" w:type="dxa"/>
            <w:tcBorders>
              <w:top w:val="nil"/>
              <w:left w:val="nil"/>
              <w:bottom w:val="single" w:sz="4" w:space="0" w:color="BFBFBF"/>
              <w:right w:val="single" w:sz="4" w:space="0" w:color="BFBFBF"/>
            </w:tcBorders>
            <w:shd w:val="clear" w:color="auto" w:fill="auto"/>
            <w:noWrap/>
            <w:vAlign w:val="center"/>
          </w:tcPr>
          <w:p w14:paraId="7B7AFDAC"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single" w:sz="4" w:space="0" w:color="BFBFBF"/>
              <w:right w:val="single" w:sz="4" w:space="0" w:color="auto"/>
            </w:tcBorders>
            <w:shd w:val="clear" w:color="auto" w:fill="auto"/>
            <w:noWrap/>
            <w:vAlign w:val="center"/>
          </w:tcPr>
          <w:p w14:paraId="3862A5CC"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single" w:sz="4" w:space="0" w:color="BFBFBF"/>
              <w:right w:val="single" w:sz="4" w:space="0" w:color="BFBFBF"/>
            </w:tcBorders>
            <w:shd w:val="clear" w:color="auto" w:fill="auto"/>
            <w:noWrap/>
            <w:vAlign w:val="center"/>
          </w:tcPr>
          <w:p w14:paraId="3B7F55C2"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7%</w:t>
            </w:r>
          </w:p>
        </w:tc>
        <w:tc>
          <w:tcPr>
            <w:tcW w:w="580" w:type="dxa"/>
            <w:tcBorders>
              <w:top w:val="nil"/>
              <w:left w:val="nil"/>
              <w:bottom w:val="single" w:sz="4" w:space="0" w:color="BFBFBF"/>
              <w:right w:val="single" w:sz="4" w:space="0" w:color="BFBFBF"/>
            </w:tcBorders>
            <w:shd w:val="clear" w:color="auto" w:fill="auto"/>
            <w:noWrap/>
            <w:vAlign w:val="center"/>
          </w:tcPr>
          <w:p w14:paraId="1F09B45E"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6%</w:t>
            </w:r>
          </w:p>
        </w:tc>
        <w:tc>
          <w:tcPr>
            <w:tcW w:w="580" w:type="dxa"/>
            <w:tcBorders>
              <w:top w:val="nil"/>
              <w:left w:val="nil"/>
              <w:bottom w:val="single" w:sz="4" w:space="0" w:color="BFBFBF"/>
              <w:right w:val="single" w:sz="4" w:space="0" w:color="BFBFBF"/>
            </w:tcBorders>
            <w:shd w:val="clear" w:color="auto" w:fill="auto"/>
            <w:noWrap/>
            <w:vAlign w:val="center"/>
          </w:tcPr>
          <w:p w14:paraId="5259392A"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14%</w:t>
            </w:r>
          </w:p>
        </w:tc>
        <w:tc>
          <w:tcPr>
            <w:tcW w:w="580" w:type="dxa"/>
            <w:tcBorders>
              <w:top w:val="nil"/>
              <w:left w:val="nil"/>
              <w:bottom w:val="single" w:sz="4" w:space="0" w:color="BFBFBF"/>
              <w:right w:val="single" w:sz="4" w:space="0" w:color="auto"/>
            </w:tcBorders>
            <w:shd w:val="clear" w:color="auto" w:fill="auto"/>
            <w:noWrap/>
            <w:vAlign w:val="center"/>
          </w:tcPr>
          <w:p w14:paraId="43F2D0E1"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14%</w:t>
            </w:r>
          </w:p>
        </w:tc>
        <w:tc>
          <w:tcPr>
            <w:tcW w:w="580" w:type="dxa"/>
            <w:tcBorders>
              <w:top w:val="nil"/>
              <w:left w:val="nil"/>
              <w:bottom w:val="single" w:sz="4" w:space="0" w:color="BFBFBF"/>
              <w:right w:val="single" w:sz="4" w:space="0" w:color="BFBFBF"/>
            </w:tcBorders>
            <w:shd w:val="clear" w:color="auto" w:fill="auto"/>
            <w:noWrap/>
            <w:vAlign w:val="center"/>
          </w:tcPr>
          <w:p w14:paraId="554432A9"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4%</w:t>
            </w:r>
          </w:p>
        </w:tc>
        <w:tc>
          <w:tcPr>
            <w:tcW w:w="580" w:type="dxa"/>
            <w:tcBorders>
              <w:top w:val="nil"/>
              <w:left w:val="nil"/>
              <w:bottom w:val="single" w:sz="4" w:space="0" w:color="BFBFBF"/>
              <w:right w:val="single" w:sz="4" w:space="0" w:color="BFBFBF"/>
            </w:tcBorders>
            <w:shd w:val="clear" w:color="auto" w:fill="auto"/>
            <w:noWrap/>
            <w:vAlign w:val="center"/>
          </w:tcPr>
          <w:p w14:paraId="34585EF4"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4%</w:t>
            </w:r>
          </w:p>
        </w:tc>
        <w:tc>
          <w:tcPr>
            <w:tcW w:w="580" w:type="dxa"/>
            <w:tcBorders>
              <w:top w:val="nil"/>
              <w:left w:val="nil"/>
              <w:bottom w:val="single" w:sz="4" w:space="0" w:color="BFBFBF"/>
              <w:right w:val="single" w:sz="4" w:space="0" w:color="BFBFBF"/>
            </w:tcBorders>
            <w:shd w:val="clear" w:color="auto" w:fill="auto"/>
            <w:noWrap/>
            <w:vAlign w:val="center"/>
          </w:tcPr>
          <w:p w14:paraId="3D3F7D26"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9%</w:t>
            </w:r>
          </w:p>
        </w:tc>
        <w:tc>
          <w:tcPr>
            <w:tcW w:w="580" w:type="dxa"/>
            <w:tcBorders>
              <w:top w:val="nil"/>
              <w:left w:val="nil"/>
              <w:bottom w:val="single" w:sz="4" w:space="0" w:color="BFBFBF"/>
              <w:right w:val="double" w:sz="6" w:space="0" w:color="auto"/>
            </w:tcBorders>
            <w:shd w:val="clear" w:color="auto" w:fill="auto"/>
            <w:noWrap/>
            <w:vAlign w:val="center"/>
          </w:tcPr>
          <w:p w14:paraId="47B0F1B9"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10%</w:t>
            </w:r>
          </w:p>
        </w:tc>
      </w:tr>
      <w:tr w:rsidR="00BC2F7A" w:rsidRPr="00BC2F7A" w14:paraId="059C9D83" w14:textId="77777777" w:rsidTr="0059723A">
        <w:trPr>
          <w:trHeight w:val="240"/>
          <w:jc w:val="center"/>
        </w:trPr>
        <w:tc>
          <w:tcPr>
            <w:tcW w:w="2920" w:type="dxa"/>
            <w:tcBorders>
              <w:top w:val="nil"/>
              <w:left w:val="double" w:sz="6" w:space="0" w:color="auto"/>
              <w:bottom w:val="double" w:sz="6" w:space="0" w:color="auto"/>
              <w:right w:val="nil"/>
            </w:tcBorders>
            <w:shd w:val="clear" w:color="auto" w:fill="auto"/>
            <w:noWrap/>
            <w:vAlign w:val="center"/>
          </w:tcPr>
          <w:p w14:paraId="37C351B1" w14:textId="77777777" w:rsidR="00B75952" w:rsidRPr="00BC2F7A" w:rsidRDefault="00B75952" w:rsidP="00BC2F7A">
            <w:pPr>
              <w:spacing w:before="0" w:after="0"/>
              <w:rPr>
                <w:rFonts w:ascii="Arial" w:hAnsi="Arial" w:cs="Arial"/>
                <w:color w:val="000000"/>
                <w:sz w:val="16"/>
                <w:szCs w:val="16"/>
                <w:lang w:val="en-AU" w:eastAsia="en-AU"/>
              </w:rPr>
            </w:pPr>
            <w:r w:rsidRPr="00BC2F7A">
              <w:rPr>
                <w:rFonts w:ascii="Arial" w:hAnsi="Arial" w:cs="Arial"/>
                <w:color w:val="000000"/>
                <w:sz w:val="16"/>
                <w:szCs w:val="16"/>
                <w:lang w:val="en-AU" w:eastAsia="en-AU"/>
              </w:rPr>
              <w:t>Can’t Say</w:t>
            </w:r>
          </w:p>
        </w:tc>
        <w:tc>
          <w:tcPr>
            <w:tcW w:w="580" w:type="dxa"/>
            <w:tcBorders>
              <w:top w:val="nil"/>
              <w:left w:val="single" w:sz="4" w:space="0" w:color="auto"/>
              <w:bottom w:val="double" w:sz="6" w:space="0" w:color="auto"/>
              <w:right w:val="single" w:sz="4" w:space="0" w:color="BFBFBF"/>
            </w:tcBorders>
            <w:shd w:val="clear" w:color="auto" w:fill="auto"/>
            <w:noWrap/>
            <w:vAlign w:val="center"/>
          </w:tcPr>
          <w:p w14:paraId="5B21B2EA"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double" w:sz="6" w:space="0" w:color="auto"/>
              <w:right w:val="single" w:sz="4" w:space="0" w:color="BFBFBF"/>
            </w:tcBorders>
            <w:shd w:val="clear" w:color="auto" w:fill="auto"/>
            <w:noWrap/>
            <w:vAlign w:val="center"/>
          </w:tcPr>
          <w:p w14:paraId="36D99D04"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double" w:sz="6" w:space="0" w:color="auto"/>
              <w:right w:val="single" w:sz="4" w:space="0" w:color="BFBFBF"/>
            </w:tcBorders>
            <w:shd w:val="clear" w:color="auto" w:fill="auto"/>
            <w:noWrap/>
            <w:vAlign w:val="center"/>
          </w:tcPr>
          <w:p w14:paraId="55696C68"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double" w:sz="6" w:space="0" w:color="auto"/>
              <w:right w:val="single" w:sz="4" w:space="0" w:color="auto"/>
            </w:tcBorders>
            <w:shd w:val="clear" w:color="auto" w:fill="auto"/>
            <w:noWrap/>
            <w:vAlign w:val="center"/>
          </w:tcPr>
          <w:p w14:paraId="4870B656"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double" w:sz="6" w:space="0" w:color="auto"/>
              <w:right w:val="single" w:sz="4" w:space="0" w:color="BFBFBF"/>
            </w:tcBorders>
            <w:shd w:val="clear" w:color="auto" w:fill="auto"/>
            <w:noWrap/>
            <w:vAlign w:val="center"/>
          </w:tcPr>
          <w:p w14:paraId="270FD1F1"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double" w:sz="6" w:space="0" w:color="auto"/>
              <w:right w:val="single" w:sz="4" w:space="0" w:color="BFBFBF"/>
            </w:tcBorders>
            <w:shd w:val="clear" w:color="auto" w:fill="auto"/>
            <w:noWrap/>
            <w:vAlign w:val="center"/>
          </w:tcPr>
          <w:p w14:paraId="24F5D615"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double" w:sz="6" w:space="0" w:color="auto"/>
              <w:right w:val="single" w:sz="4" w:space="0" w:color="BFBFBF"/>
            </w:tcBorders>
            <w:shd w:val="clear" w:color="auto" w:fill="auto"/>
            <w:noWrap/>
            <w:vAlign w:val="center"/>
          </w:tcPr>
          <w:p w14:paraId="06229AB4"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w:t>
            </w:r>
          </w:p>
        </w:tc>
        <w:tc>
          <w:tcPr>
            <w:tcW w:w="580" w:type="dxa"/>
            <w:tcBorders>
              <w:top w:val="nil"/>
              <w:left w:val="nil"/>
              <w:bottom w:val="double" w:sz="6" w:space="0" w:color="auto"/>
              <w:right w:val="nil"/>
            </w:tcBorders>
            <w:shd w:val="clear" w:color="auto" w:fill="auto"/>
            <w:noWrap/>
            <w:vAlign w:val="center"/>
          </w:tcPr>
          <w:p w14:paraId="7895B245"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single" w:sz="4" w:space="0" w:color="auto"/>
              <w:bottom w:val="double" w:sz="6" w:space="0" w:color="auto"/>
              <w:right w:val="single" w:sz="4" w:space="0" w:color="BFBFBF"/>
            </w:tcBorders>
            <w:shd w:val="clear" w:color="auto" w:fill="auto"/>
            <w:noWrap/>
            <w:vAlign w:val="center"/>
          </w:tcPr>
          <w:p w14:paraId="21E4FAD4"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double" w:sz="6" w:space="0" w:color="auto"/>
              <w:right w:val="single" w:sz="4" w:space="0" w:color="BFBFBF"/>
            </w:tcBorders>
            <w:shd w:val="clear" w:color="auto" w:fill="auto"/>
            <w:noWrap/>
            <w:vAlign w:val="center"/>
          </w:tcPr>
          <w:p w14:paraId="687750EF"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double" w:sz="6" w:space="0" w:color="auto"/>
              <w:right w:val="single" w:sz="4" w:space="0" w:color="BFBFBF"/>
            </w:tcBorders>
            <w:shd w:val="clear" w:color="auto" w:fill="auto"/>
            <w:noWrap/>
            <w:vAlign w:val="center"/>
          </w:tcPr>
          <w:p w14:paraId="4468CA53"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1%</w:t>
            </w:r>
          </w:p>
        </w:tc>
        <w:tc>
          <w:tcPr>
            <w:tcW w:w="580" w:type="dxa"/>
            <w:tcBorders>
              <w:top w:val="nil"/>
              <w:left w:val="nil"/>
              <w:bottom w:val="double" w:sz="6" w:space="0" w:color="auto"/>
              <w:right w:val="single" w:sz="4" w:space="0" w:color="auto"/>
            </w:tcBorders>
            <w:shd w:val="clear" w:color="auto" w:fill="auto"/>
            <w:noWrap/>
            <w:vAlign w:val="center"/>
          </w:tcPr>
          <w:p w14:paraId="0326A268"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double" w:sz="6" w:space="0" w:color="auto"/>
              <w:right w:val="single" w:sz="4" w:space="0" w:color="BFBFBF"/>
            </w:tcBorders>
            <w:shd w:val="clear" w:color="auto" w:fill="auto"/>
            <w:noWrap/>
            <w:vAlign w:val="center"/>
          </w:tcPr>
          <w:p w14:paraId="7C31117F"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double" w:sz="6" w:space="0" w:color="auto"/>
              <w:right w:val="single" w:sz="4" w:space="0" w:color="BFBFBF"/>
            </w:tcBorders>
            <w:shd w:val="clear" w:color="auto" w:fill="auto"/>
            <w:noWrap/>
            <w:vAlign w:val="center"/>
          </w:tcPr>
          <w:p w14:paraId="01792B4E"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double" w:sz="6" w:space="0" w:color="auto"/>
              <w:right w:val="single" w:sz="4" w:space="0" w:color="BFBFBF"/>
            </w:tcBorders>
            <w:shd w:val="clear" w:color="auto" w:fill="auto"/>
            <w:noWrap/>
            <w:vAlign w:val="center"/>
          </w:tcPr>
          <w:p w14:paraId="207F049D"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double" w:sz="6" w:space="0" w:color="auto"/>
              <w:right w:val="single" w:sz="4" w:space="0" w:color="auto"/>
            </w:tcBorders>
            <w:shd w:val="clear" w:color="auto" w:fill="auto"/>
            <w:noWrap/>
            <w:vAlign w:val="center"/>
          </w:tcPr>
          <w:p w14:paraId="43E0B422"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double" w:sz="6" w:space="0" w:color="auto"/>
              <w:right w:val="single" w:sz="4" w:space="0" w:color="BFBFBF"/>
            </w:tcBorders>
            <w:shd w:val="clear" w:color="auto" w:fill="auto"/>
            <w:noWrap/>
            <w:vAlign w:val="center"/>
          </w:tcPr>
          <w:p w14:paraId="1E6B4B11"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c>
          <w:tcPr>
            <w:tcW w:w="580" w:type="dxa"/>
            <w:tcBorders>
              <w:top w:val="nil"/>
              <w:left w:val="nil"/>
              <w:bottom w:val="double" w:sz="6" w:space="0" w:color="auto"/>
              <w:right w:val="single" w:sz="4" w:space="0" w:color="BFBFBF"/>
            </w:tcBorders>
            <w:shd w:val="clear" w:color="auto" w:fill="auto"/>
            <w:noWrap/>
            <w:vAlign w:val="center"/>
          </w:tcPr>
          <w:p w14:paraId="152B8AB8"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3%</w:t>
            </w:r>
          </w:p>
        </w:tc>
        <w:tc>
          <w:tcPr>
            <w:tcW w:w="580" w:type="dxa"/>
            <w:tcBorders>
              <w:top w:val="nil"/>
              <w:left w:val="nil"/>
              <w:bottom w:val="double" w:sz="6" w:space="0" w:color="auto"/>
              <w:right w:val="single" w:sz="4" w:space="0" w:color="BFBFBF"/>
            </w:tcBorders>
            <w:shd w:val="clear" w:color="auto" w:fill="auto"/>
            <w:noWrap/>
            <w:vAlign w:val="center"/>
          </w:tcPr>
          <w:p w14:paraId="42756985"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2%</w:t>
            </w:r>
          </w:p>
        </w:tc>
        <w:tc>
          <w:tcPr>
            <w:tcW w:w="580" w:type="dxa"/>
            <w:tcBorders>
              <w:top w:val="nil"/>
              <w:left w:val="nil"/>
              <w:bottom w:val="double" w:sz="6" w:space="0" w:color="auto"/>
              <w:right w:val="double" w:sz="6" w:space="0" w:color="auto"/>
            </w:tcBorders>
            <w:shd w:val="clear" w:color="auto" w:fill="auto"/>
            <w:noWrap/>
            <w:vAlign w:val="center"/>
          </w:tcPr>
          <w:p w14:paraId="2D5DE165" w14:textId="77777777" w:rsidR="00B75952" w:rsidRPr="00BC2F7A" w:rsidRDefault="00B75952" w:rsidP="00BC2F7A">
            <w:pPr>
              <w:spacing w:before="0" w:after="0"/>
              <w:jc w:val="center"/>
              <w:rPr>
                <w:rFonts w:ascii="Arial" w:hAnsi="Arial" w:cs="Arial"/>
                <w:color w:val="000000"/>
                <w:sz w:val="16"/>
                <w:szCs w:val="16"/>
                <w:lang w:val="en-AU" w:eastAsia="en-AU"/>
              </w:rPr>
            </w:pPr>
            <w:r w:rsidRPr="00BC2F7A">
              <w:rPr>
                <w:rFonts w:ascii="Arial" w:hAnsi="Arial" w:cs="Arial"/>
                <w:color w:val="000000"/>
                <w:sz w:val="16"/>
                <w:szCs w:val="16"/>
                <w:lang w:val="en-AU" w:eastAsia="en-AU"/>
              </w:rPr>
              <w:t>-</w:t>
            </w:r>
          </w:p>
        </w:tc>
      </w:tr>
    </w:tbl>
    <w:p w14:paraId="64535872" w14:textId="77777777" w:rsidR="00E02C75" w:rsidRPr="00BC2F7A" w:rsidRDefault="00E02C75" w:rsidP="00162EF6">
      <w:pPr>
        <w:pStyle w:val="Para"/>
        <w:spacing w:before="60" w:line="240" w:lineRule="auto"/>
        <w:ind w:left="-425" w:firstLine="425"/>
        <w:rPr>
          <w:sz w:val="20"/>
          <w:lang w:val="en-AU"/>
        </w:rPr>
      </w:pPr>
      <w:r w:rsidRPr="00BC2F7A">
        <w:rPr>
          <w:sz w:val="20"/>
          <w:lang w:val="en-AU"/>
        </w:rPr>
        <w:t xml:space="preserve">Base: Total respondents, </w:t>
      </w:r>
      <w:r w:rsidR="008818BD" w:rsidRPr="00BC2F7A">
        <w:rPr>
          <w:sz w:val="20"/>
          <w:lang w:val="en-AU"/>
        </w:rPr>
        <w:t xml:space="preserve">2014 (n=1,861); </w:t>
      </w:r>
      <w:r w:rsidRPr="00BC2F7A">
        <w:rPr>
          <w:sz w:val="20"/>
          <w:lang w:val="en-AU"/>
        </w:rPr>
        <w:t>2007 (n=2,061); 2001 (n=2,006); 1996 (n=2,000)</w:t>
      </w:r>
    </w:p>
    <w:p w14:paraId="5CC9EF6C" w14:textId="77777777" w:rsidR="003920D8" w:rsidRPr="0070127D" w:rsidRDefault="00E02C75">
      <w:pPr>
        <w:pStyle w:val="Heading3"/>
        <w:tabs>
          <w:tab w:val="clear" w:pos="8517"/>
          <w:tab w:val="num" w:pos="851"/>
        </w:tabs>
        <w:ind w:hanging="8517"/>
        <w:rPr>
          <w:lang w:val="en-AU"/>
        </w:rPr>
      </w:pPr>
      <w:bookmarkStart w:id="158" w:name="_Toc439198307"/>
      <w:bookmarkStart w:id="159" w:name="_Toc445571685"/>
      <w:r w:rsidRPr="0070127D">
        <w:rPr>
          <w:lang w:val="en-AU"/>
        </w:rPr>
        <w:lastRenderedPageBreak/>
        <w:t>Personal Income</w:t>
      </w:r>
      <w:bookmarkEnd w:id="158"/>
      <w:bookmarkEnd w:id="159"/>
    </w:p>
    <w:p w14:paraId="49F2DAE0" w14:textId="77777777" w:rsidR="00E02C75" w:rsidRPr="00DA3B75" w:rsidRDefault="00E02C75" w:rsidP="00E02C75">
      <w:pPr>
        <w:pStyle w:val="Para"/>
        <w:rPr>
          <w:highlight w:val="yellow"/>
          <w:lang w:val="en-AU"/>
        </w:rPr>
      </w:pPr>
    </w:p>
    <w:p w14:paraId="04C398A6" w14:textId="77777777" w:rsidR="00E02C75" w:rsidRPr="0070127D" w:rsidRDefault="00E02C75" w:rsidP="00E02C75">
      <w:pPr>
        <w:pStyle w:val="Para"/>
        <w:rPr>
          <w:lang w:val="en-AU"/>
        </w:rPr>
      </w:pPr>
      <w:r w:rsidRPr="0070127D">
        <w:rPr>
          <w:lang w:val="en-AU"/>
        </w:rPr>
        <w:t xml:space="preserve">As expected, the average personal income </w:t>
      </w:r>
      <w:r w:rsidR="009B4A3D" w:rsidRPr="0070127D">
        <w:rPr>
          <w:lang w:val="en-AU"/>
        </w:rPr>
        <w:t xml:space="preserve">from employment </w:t>
      </w:r>
      <w:r w:rsidRPr="0070127D">
        <w:rPr>
          <w:lang w:val="en-AU"/>
        </w:rPr>
        <w:t xml:space="preserve">amongst </w:t>
      </w:r>
      <w:r w:rsidR="00DD0ED3" w:rsidRPr="0070127D">
        <w:rPr>
          <w:lang w:val="en-AU"/>
        </w:rPr>
        <w:t xml:space="preserve">respondents from </w:t>
      </w:r>
      <w:r w:rsidRPr="0070127D">
        <w:rPr>
          <w:lang w:val="en-AU"/>
        </w:rPr>
        <w:t xml:space="preserve">non-concession households was considerably higher than that </w:t>
      </w:r>
      <w:r w:rsidR="00DD0ED3" w:rsidRPr="0070127D">
        <w:rPr>
          <w:lang w:val="en-AU"/>
        </w:rPr>
        <w:t>amongst respondents from</w:t>
      </w:r>
      <w:r w:rsidRPr="0070127D">
        <w:rPr>
          <w:lang w:val="en-AU"/>
        </w:rPr>
        <w:t xml:space="preserve"> concession households – a mean of $</w:t>
      </w:r>
      <w:r w:rsidR="001F7166" w:rsidRPr="0070127D">
        <w:rPr>
          <w:lang w:val="en-AU"/>
        </w:rPr>
        <w:t>73</w:t>
      </w:r>
      <w:r w:rsidRPr="0070127D">
        <w:rPr>
          <w:lang w:val="en-AU"/>
        </w:rPr>
        <w:t>,</w:t>
      </w:r>
      <w:r w:rsidR="001F7166" w:rsidRPr="0070127D">
        <w:rPr>
          <w:lang w:val="en-AU"/>
        </w:rPr>
        <w:t>9</w:t>
      </w:r>
      <w:r w:rsidRPr="0070127D">
        <w:rPr>
          <w:lang w:val="en-AU"/>
        </w:rPr>
        <w:t>00 per annum compared with $</w:t>
      </w:r>
      <w:r w:rsidR="001F7166" w:rsidRPr="0070127D">
        <w:rPr>
          <w:lang w:val="en-AU"/>
        </w:rPr>
        <w:t>35</w:t>
      </w:r>
      <w:r w:rsidRPr="0070127D">
        <w:rPr>
          <w:lang w:val="en-AU"/>
        </w:rPr>
        <w:t>,</w:t>
      </w:r>
      <w:r w:rsidR="0070127D" w:rsidRPr="0070127D">
        <w:rPr>
          <w:lang w:val="en-AU"/>
        </w:rPr>
        <w:t>1</w:t>
      </w:r>
      <w:r w:rsidRPr="0070127D">
        <w:rPr>
          <w:lang w:val="en-AU"/>
        </w:rPr>
        <w:t>00, respectively</w:t>
      </w:r>
      <w:r w:rsidR="0057268F" w:rsidRPr="0070127D">
        <w:rPr>
          <w:lang w:val="en-AU"/>
        </w:rPr>
        <w:t xml:space="preserve"> (see Table 3.4.4)</w:t>
      </w:r>
      <w:r w:rsidRPr="0070127D">
        <w:rPr>
          <w:lang w:val="en-AU"/>
        </w:rPr>
        <w:t xml:space="preserve">.  </w:t>
      </w:r>
      <w:r w:rsidR="003A6E0F" w:rsidRPr="0070127D">
        <w:rPr>
          <w:lang w:val="en-AU"/>
        </w:rPr>
        <w:t xml:space="preserve">This considerable difference reflects both the fact that respondents from concession households were much less likely to be employed, and, if employed, were much less likely to be working full-time than respondents in non-concession households.  </w:t>
      </w:r>
      <w:r w:rsidRPr="0070127D">
        <w:rPr>
          <w:lang w:val="en-AU"/>
        </w:rPr>
        <w:t>At the time of the 20</w:t>
      </w:r>
      <w:r w:rsidR="001F7166" w:rsidRPr="0070127D">
        <w:rPr>
          <w:lang w:val="en-AU"/>
        </w:rPr>
        <w:t>14</w:t>
      </w:r>
      <w:r w:rsidRPr="0070127D">
        <w:rPr>
          <w:lang w:val="en-AU"/>
        </w:rPr>
        <w:t xml:space="preserve"> survey, </w:t>
      </w:r>
      <w:r w:rsidR="001F7166" w:rsidRPr="0070127D">
        <w:rPr>
          <w:lang w:val="en-AU"/>
        </w:rPr>
        <w:t>almost two</w:t>
      </w:r>
      <w:r w:rsidRPr="0070127D">
        <w:rPr>
          <w:lang w:val="en-AU"/>
        </w:rPr>
        <w:t>-third</w:t>
      </w:r>
      <w:r w:rsidR="001F7166" w:rsidRPr="0070127D">
        <w:rPr>
          <w:lang w:val="en-AU"/>
        </w:rPr>
        <w:t>s</w:t>
      </w:r>
      <w:r w:rsidRPr="0070127D">
        <w:rPr>
          <w:lang w:val="en-AU"/>
        </w:rPr>
        <w:t xml:space="preserve"> (</w:t>
      </w:r>
      <w:r w:rsidR="001F7166" w:rsidRPr="0070127D">
        <w:rPr>
          <w:lang w:val="en-AU"/>
        </w:rPr>
        <w:t>6</w:t>
      </w:r>
      <w:r w:rsidRPr="0070127D">
        <w:rPr>
          <w:lang w:val="en-AU"/>
        </w:rPr>
        <w:t xml:space="preserve">1%) of </w:t>
      </w:r>
      <w:r w:rsidR="001F7166" w:rsidRPr="0070127D">
        <w:rPr>
          <w:lang w:val="en-AU"/>
        </w:rPr>
        <w:t xml:space="preserve">respondents from </w:t>
      </w:r>
      <w:r w:rsidRPr="0070127D">
        <w:rPr>
          <w:lang w:val="en-AU"/>
        </w:rPr>
        <w:t xml:space="preserve">non-concession </w:t>
      </w:r>
      <w:r w:rsidR="001F7166" w:rsidRPr="0070127D">
        <w:rPr>
          <w:lang w:val="en-AU"/>
        </w:rPr>
        <w:t>households</w:t>
      </w:r>
      <w:r w:rsidRPr="0070127D">
        <w:rPr>
          <w:lang w:val="en-AU"/>
        </w:rPr>
        <w:t xml:space="preserve"> earned $50,000 or more per annum compared with only </w:t>
      </w:r>
      <w:r w:rsidR="001F7166" w:rsidRPr="0070127D">
        <w:rPr>
          <w:lang w:val="en-AU"/>
        </w:rPr>
        <w:t>9</w:t>
      </w:r>
      <w:r w:rsidRPr="0070127D">
        <w:rPr>
          <w:lang w:val="en-AU"/>
        </w:rPr>
        <w:t xml:space="preserve">% of </w:t>
      </w:r>
      <w:r w:rsidR="001F7166" w:rsidRPr="0070127D">
        <w:rPr>
          <w:lang w:val="en-AU"/>
        </w:rPr>
        <w:t xml:space="preserve">those from </w:t>
      </w:r>
      <w:r w:rsidRPr="0070127D">
        <w:rPr>
          <w:lang w:val="en-AU"/>
        </w:rPr>
        <w:t xml:space="preserve">concession </w:t>
      </w:r>
      <w:r w:rsidR="001F7166" w:rsidRPr="0070127D">
        <w:rPr>
          <w:lang w:val="en-AU"/>
        </w:rPr>
        <w:t>households</w:t>
      </w:r>
      <w:r w:rsidRPr="0070127D">
        <w:rPr>
          <w:lang w:val="en-AU"/>
        </w:rPr>
        <w:t xml:space="preserve">.  </w:t>
      </w:r>
    </w:p>
    <w:p w14:paraId="5EC3C08A" w14:textId="77777777" w:rsidR="00E02C75" w:rsidRPr="0070127D" w:rsidRDefault="00E02C75" w:rsidP="00E02C75">
      <w:pPr>
        <w:pStyle w:val="Para"/>
        <w:rPr>
          <w:lang w:val="en-AU"/>
        </w:rPr>
      </w:pPr>
    </w:p>
    <w:p w14:paraId="16BE5CBB" w14:textId="687E19B7" w:rsidR="00E02C75" w:rsidRPr="0070127D" w:rsidRDefault="001F7166" w:rsidP="00E02C75">
      <w:pPr>
        <w:pStyle w:val="Para"/>
        <w:rPr>
          <w:lang w:val="en-AU"/>
        </w:rPr>
      </w:pPr>
      <w:r w:rsidRPr="0070127D">
        <w:rPr>
          <w:lang w:val="en-AU"/>
        </w:rPr>
        <w:t>Respondents from Melbourne i</w:t>
      </w:r>
      <w:r w:rsidR="00E02C75" w:rsidRPr="0070127D">
        <w:rPr>
          <w:lang w:val="en-AU"/>
        </w:rPr>
        <w:t>n paid employment had highe</w:t>
      </w:r>
      <w:r w:rsidRPr="0070127D">
        <w:rPr>
          <w:lang w:val="en-AU"/>
        </w:rPr>
        <w:t>r</w:t>
      </w:r>
      <w:r w:rsidR="00E02C75" w:rsidRPr="0070127D">
        <w:rPr>
          <w:lang w:val="en-AU"/>
        </w:rPr>
        <w:t xml:space="preserve"> average personal income from wages or salaries ($</w:t>
      </w:r>
      <w:r w:rsidRPr="0070127D">
        <w:rPr>
          <w:lang w:val="en-AU"/>
        </w:rPr>
        <w:t>71</w:t>
      </w:r>
      <w:r w:rsidR="00E02C75" w:rsidRPr="0070127D">
        <w:rPr>
          <w:lang w:val="en-AU"/>
        </w:rPr>
        <w:t>,</w:t>
      </w:r>
      <w:r w:rsidR="0070127D" w:rsidRPr="0070127D">
        <w:rPr>
          <w:lang w:val="en-AU"/>
        </w:rPr>
        <w:t>5</w:t>
      </w:r>
      <w:r w:rsidR="00E02C75" w:rsidRPr="0070127D">
        <w:rPr>
          <w:lang w:val="en-AU"/>
        </w:rPr>
        <w:t>00 per annum)</w:t>
      </w:r>
      <w:r w:rsidRPr="0070127D">
        <w:rPr>
          <w:lang w:val="en-AU"/>
        </w:rPr>
        <w:t xml:space="preserve"> than those from country Victoria ($53,700</w:t>
      </w:r>
      <w:r w:rsidR="006C7DE1">
        <w:rPr>
          <w:lang w:val="en-AU"/>
        </w:rPr>
        <w:t xml:space="preserve"> per annum</w:t>
      </w:r>
      <w:r w:rsidRPr="0070127D">
        <w:rPr>
          <w:lang w:val="en-AU"/>
        </w:rPr>
        <w:t>).</w:t>
      </w:r>
    </w:p>
    <w:p w14:paraId="1FF8294F" w14:textId="77777777" w:rsidR="00E02C75" w:rsidRPr="00DA3B75" w:rsidRDefault="00E02C75" w:rsidP="00E02C75">
      <w:pPr>
        <w:pStyle w:val="Para"/>
        <w:rPr>
          <w:highlight w:val="yellow"/>
          <w:lang w:val="en-AU"/>
        </w:rPr>
      </w:pPr>
    </w:p>
    <w:p w14:paraId="0E557818" w14:textId="77777777" w:rsidR="00E02C75" w:rsidRPr="0070127D" w:rsidRDefault="00E02C75" w:rsidP="00562A28">
      <w:pPr>
        <w:pStyle w:val="Para"/>
        <w:jc w:val="center"/>
        <w:outlineLvl w:val="0"/>
        <w:rPr>
          <w:b/>
          <w:u w:val="single"/>
          <w:lang w:val="en-AU"/>
        </w:rPr>
      </w:pPr>
      <w:r w:rsidRPr="0070127D">
        <w:rPr>
          <w:b/>
          <w:lang w:val="en-AU"/>
        </w:rPr>
        <w:t xml:space="preserve">Table 3.4.4: </w:t>
      </w:r>
      <w:r w:rsidRPr="0070127D">
        <w:rPr>
          <w:b/>
          <w:u w:val="single"/>
          <w:lang w:val="en-AU"/>
        </w:rPr>
        <w:t>Personal Income</w:t>
      </w:r>
      <w:r w:rsidR="003212C1" w:rsidRPr="0070127D">
        <w:rPr>
          <w:b/>
          <w:u w:val="single"/>
          <w:lang w:val="en-AU"/>
        </w:rPr>
        <w:t>*</w:t>
      </w:r>
      <w:r w:rsidRPr="0070127D">
        <w:rPr>
          <w:b/>
          <w:u w:val="single"/>
          <w:lang w:val="en-AU"/>
        </w:rPr>
        <w:t xml:space="preserve"> of Main Respondent (from employment)</w:t>
      </w:r>
    </w:p>
    <w:p w14:paraId="7FECF3A0" w14:textId="77777777" w:rsidR="00E02C75" w:rsidRPr="0070127D" w:rsidRDefault="00E02C75" w:rsidP="00E02C75">
      <w:pPr>
        <w:pStyle w:val="Para"/>
        <w:rPr>
          <w:lang w:val="en-AU"/>
        </w:rPr>
      </w:pPr>
    </w:p>
    <w:tbl>
      <w:tblPr>
        <w:tblW w:w="14375" w:type="dxa"/>
        <w:jc w:val="center"/>
        <w:tblLook w:val="04A0" w:firstRow="1" w:lastRow="0" w:firstColumn="1" w:lastColumn="0" w:noHBand="0" w:noVBand="1"/>
      </w:tblPr>
      <w:tblGrid>
        <w:gridCol w:w="2755"/>
        <w:gridCol w:w="572"/>
        <w:gridCol w:w="572"/>
        <w:gridCol w:w="603"/>
        <w:gridCol w:w="603"/>
        <w:gridCol w:w="572"/>
        <w:gridCol w:w="572"/>
        <w:gridCol w:w="603"/>
        <w:gridCol w:w="603"/>
        <w:gridCol w:w="572"/>
        <w:gridCol w:w="572"/>
        <w:gridCol w:w="603"/>
        <w:gridCol w:w="603"/>
        <w:gridCol w:w="572"/>
        <w:gridCol w:w="572"/>
        <w:gridCol w:w="603"/>
        <w:gridCol w:w="603"/>
        <w:gridCol w:w="572"/>
        <w:gridCol w:w="572"/>
        <w:gridCol w:w="603"/>
        <w:gridCol w:w="603"/>
      </w:tblGrid>
      <w:tr w:rsidR="00B75952" w:rsidRPr="0070127D" w14:paraId="62ADE38E" w14:textId="77777777" w:rsidTr="00562A28">
        <w:trPr>
          <w:trHeight w:val="264"/>
          <w:jc w:val="center"/>
        </w:trPr>
        <w:tc>
          <w:tcPr>
            <w:tcW w:w="2755" w:type="dxa"/>
            <w:vMerge w:val="restart"/>
            <w:tcBorders>
              <w:top w:val="double" w:sz="6" w:space="0" w:color="auto"/>
              <w:left w:val="double" w:sz="6" w:space="0" w:color="auto"/>
              <w:bottom w:val="single" w:sz="4" w:space="0" w:color="BFBFBF"/>
              <w:right w:val="nil"/>
            </w:tcBorders>
            <w:shd w:val="clear" w:color="auto" w:fill="auto"/>
            <w:noWrap/>
            <w:vAlign w:val="center"/>
          </w:tcPr>
          <w:p w14:paraId="404B4932" w14:textId="77777777" w:rsidR="00B75952" w:rsidRPr="0070127D" w:rsidRDefault="00B75952" w:rsidP="00B75952">
            <w:pPr>
              <w:spacing w:before="0" w:after="0"/>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Income</w:t>
            </w:r>
          </w:p>
        </w:tc>
        <w:tc>
          <w:tcPr>
            <w:tcW w:w="2322"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2343D79C"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Aged Concession HHs</w:t>
            </w:r>
          </w:p>
        </w:tc>
        <w:tc>
          <w:tcPr>
            <w:tcW w:w="2322" w:type="dxa"/>
            <w:gridSpan w:val="4"/>
            <w:tcBorders>
              <w:top w:val="double" w:sz="6" w:space="0" w:color="auto"/>
              <w:left w:val="nil"/>
              <w:bottom w:val="single" w:sz="4" w:space="0" w:color="BFBFBF"/>
              <w:right w:val="single" w:sz="4" w:space="0" w:color="BFBFBF"/>
            </w:tcBorders>
            <w:shd w:val="clear" w:color="auto" w:fill="auto"/>
            <w:noWrap/>
            <w:vAlign w:val="center"/>
          </w:tcPr>
          <w:p w14:paraId="7CB34A58"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Other Concession HHs</w:t>
            </w:r>
          </w:p>
        </w:tc>
        <w:tc>
          <w:tcPr>
            <w:tcW w:w="2328"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05380789"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Total Concession HHs</w:t>
            </w:r>
          </w:p>
        </w:tc>
        <w:tc>
          <w:tcPr>
            <w:tcW w:w="2322" w:type="dxa"/>
            <w:gridSpan w:val="4"/>
            <w:tcBorders>
              <w:top w:val="double" w:sz="6" w:space="0" w:color="auto"/>
              <w:left w:val="nil"/>
              <w:bottom w:val="single" w:sz="4" w:space="0" w:color="BFBFBF"/>
              <w:right w:val="single" w:sz="4" w:space="0" w:color="000000"/>
            </w:tcBorders>
            <w:shd w:val="clear" w:color="auto" w:fill="auto"/>
            <w:noWrap/>
            <w:vAlign w:val="center"/>
          </w:tcPr>
          <w:p w14:paraId="5185C618"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Non-Concession HHs</w:t>
            </w:r>
          </w:p>
        </w:tc>
        <w:tc>
          <w:tcPr>
            <w:tcW w:w="2326" w:type="dxa"/>
            <w:gridSpan w:val="4"/>
            <w:tcBorders>
              <w:top w:val="double" w:sz="6" w:space="0" w:color="auto"/>
              <w:left w:val="nil"/>
              <w:bottom w:val="single" w:sz="4" w:space="0" w:color="BFBFBF"/>
              <w:right w:val="double" w:sz="6" w:space="0" w:color="000000"/>
            </w:tcBorders>
            <w:shd w:val="clear" w:color="auto" w:fill="auto"/>
            <w:noWrap/>
            <w:vAlign w:val="center"/>
          </w:tcPr>
          <w:p w14:paraId="140D70D2"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Total HHs</w:t>
            </w:r>
          </w:p>
        </w:tc>
      </w:tr>
      <w:tr w:rsidR="00B75952" w:rsidRPr="0070127D" w14:paraId="29631D94" w14:textId="77777777" w:rsidTr="00562A28">
        <w:trPr>
          <w:trHeight w:val="247"/>
          <w:jc w:val="center"/>
        </w:trPr>
        <w:tc>
          <w:tcPr>
            <w:tcW w:w="2755" w:type="dxa"/>
            <w:vMerge/>
            <w:tcBorders>
              <w:top w:val="double" w:sz="6" w:space="0" w:color="auto"/>
              <w:left w:val="double" w:sz="6" w:space="0" w:color="auto"/>
              <w:bottom w:val="single" w:sz="4" w:space="0" w:color="BFBFBF"/>
              <w:right w:val="nil"/>
            </w:tcBorders>
            <w:vAlign w:val="center"/>
          </w:tcPr>
          <w:p w14:paraId="43FFB26D" w14:textId="77777777" w:rsidR="00B75952" w:rsidRPr="0070127D" w:rsidRDefault="00B75952" w:rsidP="00B75952">
            <w:pPr>
              <w:spacing w:before="0" w:after="0"/>
              <w:rPr>
                <w:rFonts w:ascii="Arial" w:hAnsi="Arial" w:cs="Arial"/>
                <w:b/>
                <w:bCs/>
                <w:color w:val="000000"/>
                <w:sz w:val="16"/>
                <w:szCs w:val="16"/>
                <w:lang w:val="en-AU" w:eastAsia="en-AU"/>
              </w:rPr>
            </w:pP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436CD265"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2014</w:t>
            </w:r>
          </w:p>
        </w:tc>
        <w:tc>
          <w:tcPr>
            <w:tcW w:w="559" w:type="dxa"/>
            <w:tcBorders>
              <w:top w:val="nil"/>
              <w:left w:val="nil"/>
              <w:bottom w:val="single" w:sz="4" w:space="0" w:color="BFBFBF"/>
              <w:right w:val="single" w:sz="4" w:space="0" w:color="BFBFBF"/>
            </w:tcBorders>
            <w:shd w:val="clear" w:color="auto" w:fill="auto"/>
            <w:noWrap/>
            <w:vAlign w:val="center"/>
          </w:tcPr>
          <w:p w14:paraId="40D03B84"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2007</w:t>
            </w:r>
          </w:p>
        </w:tc>
        <w:tc>
          <w:tcPr>
            <w:tcW w:w="603" w:type="dxa"/>
            <w:tcBorders>
              <w:top w:val="nil"/>
              <w:left w:val="nil"/>
              <w:bottom w:val="single" w:sz="4" w:space="0" w:color="BFBFBF"/>
              <w:right w:val="single" w:sz="4" w:space="0" w:color="BFBFBF"/>
            </w:tcBorders>
            <w:shd w:val="clear" w:color="auto" w:fill="auto"/>
            <w:noWrap/>
            <w:vAlign w:val="center"/>
          </w:tcPr>
          <w:p w14:paraId="0F881418"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2001</w:t>
            </w:r>
          </w:p>
        </w:tc>
        <w:tc>
          <w:tcPr>
            <w:tcW w:w="603" w:type="dxa"/>
            <w:tcBorders>
              <w:top w:val="nil"/>
              <w:left w:val="nil"/>
              <w:bottom w:val="single" w:sz="4" w:space="0" w:color="BFBFBF"/>
              <w:right w:val="single" w:sz="4" w:space="0" w:color="auto"/>
            </w:tcBorders>
            <w:shd w:val="clear" w:color="auto" w:fill="auto"/>
            <w:noWrap/>
            <w:vAlign w:val="center"/>
          </w:tcPr>
          <w:p w14:paraId="727787BA"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1996</w:t>
            </w:r>
          </w:p>
        </w:tc>
        <w:tc>
          <w:tcPr>
            <w:tcW w:w="559" w:type="dxa"/>
            <w:tcBorders>
              <w:top w:val="nil"/>
              <w:left w:val="nil"/>
              <w:bottom w:val="single" w:sz="4" w:space="0" w:color="BFBFBF"/>
              <w:right w:val="single" w:sz="4" w:space="0" w:color="BFBFBF"/>
            </w:tcBorders>
            <w:shd w:val="clear" w:color="auto" w:fill="auto"/>
            <w:noWrap/>
            <w:vAlign w:val="center"/>
          </w:tcPr>
          <w:p w14:paraId="6E9ECE72"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2014</w:t>
            </w:r>
          </w:p>
        </w:tc>
        <w:tc>
          <w:tcPr>
            <w:tcW w:w="559" w:type="dxa"/>
            <w:tcBorders>
              <w:top w:val="nil"/>
              <w:left w:val="nil"/>
              <w:bottom w:val="single" w:sz="4" w:space="0" w:color="BFBFBF"/>
              <w:right w:val="single" w:sz="4" w:space="0" w:color="BFBFBF"/>
            </w:tcBorders>
            <w:shd w:val="clear" w:color="auto" w:fill="auto"/>
            <w:noWrap/>
            <w:vAlign w:val="center"/>
          </w:tcPr>
          <w:p w14:paraId="5D62F08F"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2007</w:t>
            </w:r>
          </w:p>
        </w:tc>
        <w:tc>
          <w:tcPr>
            <w:tcW w:w="603" w:type="dxa"/>
            <w:tcBorders>
              <w:top w:val="nil"/>
              <w:left w:val="nil"/>
              <w:bottom w:val="single" w:sz="4" w:space="0" w:color="BFBFBF"/>
              <w:right w:val="single" w:sz="4" w:space="0" w:color="BFBFBF"/>
            </w:tcBorders>
            <w:shd w:val="clear" w:color="auto" w:fill="auto"/>
            <w:noWrap/>
            <w:vAlign w:val="center"/>
          </w:tcPr>
          <w:p w14:paraId="37B3959C"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2001</w:t>
            </w:r>
          </w:p>
        </w:tc>
        <w:tc>
          <w:tcPr>
            <w:tcW w:w="603" w:type="dxa"/>
            <w:tcBorders>
              <w:top w:val="nil"/>
              <w:left w:val="nil"/>
              <w:bottom w:val="single" w:sz="4" w:space="0" w:color="BFBFBF"/>
              <w:right w:val="nil"/>
            </w:tcBorders>
            <w:shd w:val="clear" w:color="auto" w:fill="auto"/>
            <w:noWrap/>
            <w:vAlign w:val="center"/>
          </w:tcPr>
          <w:p w14:paraId="7F7F5E94"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1996</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545C5CF5"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2014</w:t>
            </w:r>
          </w:p>
        </w:tc>
        <w:tc>
          <w:tcPr>
            <w:tcW w:w="559" w:type="dxa"/>
            <w:tcBorders>
              <w:top w:val="nil"/>
              <w:left w:val="nil"/>
              <w:bottom w:val="single" w:sz="4" w:space="0" w:color="BFBFBF"/>
              <w:right w:val="single" w:sz="4" w:space="0" w:color="BFBFBF"/>
            </w:tcBorders>
            <w:shd w:val="clear" w:color="auto" w:fill="auto"/>
            <w:noWrap/>
            <w:vAlign w:val="center"/>
          </w:tcPr>
          <w:p w14:paraId="76671352"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2007</w:t>
            </w:r>
          </w:p>
        </w:tc>
        <w:tc>
          <w:tcPr>
            <w:tcW w:w="603" w:type="dxa"/>
            <w:tcBorders>
              <w:top w:val="nil"/>
              <w:left w:val="nil"/>
              <w:bottom w:val="single" w:sz="4" w:space="0" w:color="BFBFBF"/>
              <w:right w:val="single" w:sz="4" w:space="0" w:color="BFBFBF"/>
            </w:tcBorders>
            <w:shd w:val="clear" w:color="auto" w:fill="auto"/>
            <w:noWrap/>
            <w:vAlign w:val="center"/>
          </w:tcPr>
          <w:p w14:paraId="6B5D1557"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2001</w:t>
            </w:r>
          </w:p>
        </w:tc>
        <w:tc>
          <w:tcPr>
            <w:tcW w:w="603" w:type="dxa"/>
            <w:tcBorders>
              <w:top w:val="nil"/>
              <w:left w:val="nil"/>
              <w:bottom w:val="single" w:sz="4" w:space="0" w:color="BFBFBF"/>
              <w:right w:val="single" w:sz="4" w:space="0" w:color="auto"/>
            </w:tcBorders>
            <w:shd w:val="clear" w:color="auto" w:fill="auto"/>
            <w:noWrap/>
            <w:vAlign w:val="center"/>
          </w:tcPr>
          <w:p w14:paraId="6D08A1D0"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1996</w:t>
            </w:r>
          </w:p>
        </w:tc>
        <w:tc>
          <w:tcPr>
            <w:tcW w:w="559" w:type="dxa"/>
            <w:tcBorders>
              <w:top w:val="nil"/>
              <w:left w:val="nil"/>
              <w:bottom w:val="single" w:sz="4" w:space="0" w:color="BFBFBF"/>
              <w:right w:val="single" w:sz="4" w:space="0" w:color="BFBFBF"/>
            </w:tcBorders>
            <w:shd w:val="clear" w:color="auto" w:fill="auto"/>
            <w:noWrap/>
            <w:vAlign w:val="center"/>
          </w:tcPr>
          <w:p w14:paraId="7F34A876"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2014</w:t>
            </w:r>
          </w:p>
        </w:tc>
        <w:tc>
          <w:tcPr>
            <w:tcW w:w="559" w:type="dxa"/>
            <w:tcBorders>
              <w:top w:val="nil"/>
              <w:left w:val="nil"/>
              <w:bottom w:val="single" w:sz="4" w:space="0" w:color="BFBFBF"/>
              <w:right w:val="single" w:sz="4" w:space="0" w:color="BFBFBF"/>
            </w:tcBorders>
            <w:shd w:val="clear" w:color="auto" w:fill="auto"/>
            <w:noWrap/>
            <w:vAlign w:val="center"/>
          </w:tcPr>
          <w:p w14:paraId="222FB978"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2007</w:t>
            </w:r>
          </w:p>
        </w:tc>
        <w:tc>
          <w:tcPr>
            <w:tcW w:w="603" w:type="dxa"/>
            <w:tcBorders>
              <w:top w:val="nil"/>
              <w:left w:val="nil"/>
              <w:bottom w:val="single" w:sz="4" w:space="0" w:color="BFBFBF"/>
              <w:right w:val="single" w:sz="4" w:space="0" w:color="BFBFBF"/>
            </w:tcBorders>
            <w:shd w:val="clear" w:color="auto" w:fill="auto"/>
            <w:noWrap/>
            <w:vAlign w:val="center"/>
          </w:tcPr>
          <w:p w14:paraId="1BEAFB26"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2001</w:t>
            </w:r>
          </w:p>
        </w:tc>
        <w:tc>
          <w:tcPr>
            <w:tcW w:w="603" w:type="dxa"/>
            <w:tcBorders>
              <w:top w:val="nil"/>
              <w:left w:val="nil"/>
              <w:bottom w:val="single" w:sz="4" w:space="0" w:color="BFBFBF"/>
              <w:right w:val="single" w:sz="4" w:space="0" w:color="auto"/>
            </w:tcBorders>
            <w:shd w:val="clear" w:color="auto" w:fill="auto"/>
            <w:noWrap/>
            <w:vAlign w:val="center"/>
          </w:tcPr>
          <w:p w14:paraId="20B1B061"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1996</w:t>
            </w:r>
          </w:p>
        </w:tc>
        <w:tc>
          <w:tcPr>
            <w:tcW w:w="559" w:type="dxa"/>
            <w:tcBorders>
              <w:top w:val="nil"/>
              <w:left w:val="nil"/>
              <w:bottom w:val="single" w:sz="4" w:space="0" w:color="BFBFBF"/>
              <w:right w:val="single" w:sz="4" w:space="0" w:color="BFBFBF"/>
            </w:tcBorders>
            <w:shd w:val="clear" w:color="auto" w:fill="auto"/>
            <w:noWrap/>
            <w:vAlign w:val="center"/>
          </w:tcPr>
          <w:p w14:paraId="5BC84F54"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2014</w:t>
            </w:r>
          </w:p>
        </w:tc>
        <w:tc>
          <w:tcPr>
            <w:tcW w:w="559" w:type="dxa"/>
            <w:tcBorders>
              <w:top w:val="nil"/>
              <w:left w:val="nil"/>
              <w:bottom w:val="single" w:sz="4" w:space="0" w:color="BFBFBF"/>
              <w:right w:val="single" w:sz="4" w:space="0" w:color="BFBFBF"/>
            </w:tcBorders>
            <w:shd w:val="clear" w:color="auto" w:fill="auto"/>
            <w:noWrap/>
            <w:vAlign w:val="center"/>
          </w:tcPr>
          <w:p w14:paraId="2E983E68"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2007</w:t>
            </w:r>
          </w:p>
        </w:tc>
        <w:tc>
          <w:tcPr>
            <w:tcW w:w="603" w:type="dxa"/>
            <w:tcBorders>
              <w:top w:val="nil"/>
              <w:left w:val="nil"/>
              <w:bottom w:val="single" w:sz="4" w:space="0" w:color="BFBFBF"/>
              <w:right w:val="single" w:sz="4" w:space="0" w:color="BFBFBF"/>
            </w:tcBorders>
            <w:shd w:val="clear" w:color="auto" w:fill="auto"/>
            <w:noWrap/>
            <w:vAlign w:val="center"/>
          </w:tcPr>
          <w:p w14:paraId="219EDD0C"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2001</w:t>
            </w:r>
          </w:p>
        </w:tc>
        <w:tc>
          <w:tcPr>
            <w:tcW w:w="603" w:type="dxa"/>
            <w:tcBorders>
              <w:top w:val="nil"/>
              <w:left w:val="nil"/>
              <w:bottom w:val="single" w:sz="4" w:space="0" w:color="BFBFBF"/>
              <w:right w:val="double" w:sz="6" w:space="0" w:color="auto"/>
            </w:tcBorders>
            <w:shd w:val="clear" w:color="auto" w:fill="auto"/>
            <w:noWrap/>
            <w:vAlign w:val="center"/>
          </w:tcPr>
          <w:p w14:paraId="6692D0DA"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1996</w:t>
            </w:r>
          </w:p>
        </w:tc>
      </w:tr>
      <w:tr w:rsidR="00B75952" w:rsidRPr="0070127D" w14:paraId="241D907A" w14:textId="77777777" w:rsidTr="00562A28">
        <w:trPr>
          <w:trHeight w:val="247"/>
          <w:jc w:val="center"/>
        </w:trPr>
        <w:tc>
          <w:tcPr>
            <w:tcW w:w="2755" w:type="dxa"/>
            <w:tcBorders>
              <w:top w:val="nil"/>
              <w:left w:val="double" w:sz="6" w:space="0" w:color="auto"/>
              <w:bottom w:val="single" w:sz="4" w:space="0" w:color="BFBFBF"/>
              <w:right w:val="nil"/>
            </w:tcBorders>
            <w:shd w:val="clear" w:color="auto" w:fill="auto"/>
            <w:noWrap/>
            <w:vAlign w:val="center"/>
          </w:tcPr>
          <w:p w14:paraId="5A727D32" w14:textId="77777777" w:rsidR="00B75952" w:rsidRPr="0070127D" w:rsidRDefault="00B75952" w:rsidP="00B75952">
            <w:pPr>
              <w:spacing w:before="0" w:after="0"/>
              <w:rPr>
                <w:rFonts w:ascii="Arial" w:hAnsi="Arial" w:cs="Arial"/>
                <w:color w:val="000000"/>
                <w:sz w:val="16"/>
                <w:szCs w:val="16"/>
                <w:lang w:val="en-AU" w:eastAsia="en-AU"/>
              </w:rPr>
            </w:pPr>
            <w:r w:rsidRPr="0070127D">
              <w:rPr>
                <w:rFonts w:ascii="Arial" w:hAnsi="Arial" w:cs="Arial"/>
                <w:color w:val="000000"/>
                <w:sz w:val="16"/>
                <w:szCs w:val="16"/>
                <w:lang w:val="en-AU" w:eastAsia="en-AU"/>
              </w:rPr>
              <w:t>Less than $10,000</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7539DD79"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4%</w:t>
            </w:r>
          </w:p>
        </w:tc>
        <w:tc>
          <w:tcPr>
            <w:tcW w:w="559" w:type="dxa"/>
            <w:tcBorders>
              <w:top w:val="nil"/>
              <w:left w:val="nil"/>
              <w:bottom w:val="single" w:sz="4" w:space="0" w:color="BFBFBF"/>
              <w:right w:val="single" w:sz="4" w:space="0" w:color="BFBFBF"/>
            </w:tcBorders>
            <w:shd w:val="clear" w:color="auto" w:fill="auto"/>
            <w:noWrap/>
            <w:vAlign w:val="center"/>
          </w:tcPr>
          <w:p w14:paraId="47F263E4"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11%</w:t>
            </w:r>
          </w:p>
        </w:tc>
        <w:tc>
          <w:tcPr>
            <w:tcW w:w="603" w:type="dxa"/>
            <w:tcBorders>
              <w:top w:val="nil"/>
              <w:left w:val="nil"/>
              <w:bottom w:val="single" w:sz="4" w:space="0" w:color="BFBFBF"/>
              <w:right w:val="single" w:sz="4" w:space="0" w:color="BFBFBF"/>
            </w:tcBorders>
            <w:shd w:val="clear" w:color="auto" w:fill="auto"/>
            <w:noWrap/>
            <w:vAlign w:val="center"/>
          </w:tcPr>
          <w:p w14:paraId="38EF0243"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9%</w:t>
            </w:r>
          </w:p>
        </w:tc>
        <w:tc>
          <w:tcPr>
            <w:tcW w:w="603" w:type="dxa"/>
            <w:tcBorders>
              <w:top w:val="nil"/>
              <w:left w:val="nil"/>
              <w:bottom w:val="single" w:sz="4" w:space="0" w:color="BFBFBF"/>
              <w:right w:val="single" w:sz="4" w:space="0" w:color="auto"/>
            </w:tcBorders>
            <w:shd w:val="clear" w:color="auto" w:fill="auto"/>
            <w:noWrap/>
            <w:vAlign w:val="center"/>
          </w:tcPr>
          <w:p w14:paraId="4436956A"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65%</w:t>
            </w:r>
          </w:p>
        </w:tc>
        <w:tc>
          <w:tcPr>
            <w:tcW w:w="559" w:type="dxa"/>
            <w:tcBorders>
              <w:top w:val="nil"/>
              <w:left w:val="nil"/>
              <w:bottom w:val="single" w:sz="4" w:space="0" w:color="BFBFBF"/>
              <w:right w:val="single" w:sz="4" w:space="0" w:color="BFBFBF"/>
            </w:tcBorders>
            <w:shd w:val="clear" w:color="auto" w:fill="auto"/>
            <w:noWrap/>
            <w:vAlign w:val="center"/>
          </w:tcPr>
          <w:p w14:paraId="7D0ECB83"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6%</w:t>
            </w:r>
          </w:p>
        </w:tc>
        <w:tc>
          <w:tcPr>
            <w:tcW w:w="559" w:type="dxa"/>
            <w:tcBorders>
              <w:top w:val="nil"/>
              <w:left w:val="nil"/>
              <w:bottom w:val="single" w:sz="4" w:space="0" w:color="BFBFBF"/>
              <w:right w:val="single" w:sz="4" w:space="0" w:color="BFBFBF"/>
            </w:tcBorders>
            <w:shd w:val="clear" w:color="auto" w:fill="auto"/>
            <w:noWrap/>
            <w:vAlign w:val="center"/>
          </w:tcPr>
          <w:p w14:paraId="3BA24FC9"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9%</w:t>
            </w:r>
          </w:p>
        </w:tc>
        <w:tc>
          <w:tcPr>
            <w:tcW w:w="603" w:type="dxa"/>
            <w:tcBorders>
              <w:top w:val="nil"/>
              <w:left w:val="nil"/>
              <w:bottom w:val="single" w:sz="4" w:space="0" w:color="BFBFBF"/>
              <w:right w:val="single" w:sz="4" w:space="0" w:color="BFBFBF"/>
            </w:tcBorders>
            <w:shd w:val="clear" w:color="auto" w:fill="auto"/>
            <w:noWrap/>
            <w:vAlign w:val="center"/>
          </w:tcPr>
          <w:p w14:paraId="5CDB9AC6"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23%</w:t>
            </w:r>
          </w:p>
        </w:tc>
        <w:tc>
          <w:tcPr>
            <w:tcW w:w="603" w:type="dxa"/>
            <w:tcBorders>
              <w:top w:val="nil"/>
              <w:left w:val="nil"/>
              <w:bottom w:val="single" w:sz="4" w:space="0" w:color="BFBFBF"/>
              <w:right w:val="nil"/>
            </w:tcBorders>
            <w:shd w:val="clear" w:color="auto" w:fill="auto"/>
            <w:noWrap/>
            <w:vAlign w:val="center"/>
          </w:tcPr>
          <w:p w14:paraId="6FCD8614"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52%</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3A9D998A"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c>
          <w:tcPr>
            <w:tcW w:w="559" w:type="dxa"/>
            <w:tcBorders>
              <w:top w:val="nil"/>
              <w:left w:val="nil"/>
              <w:bottom w:val="single" w:sz="4" w:space="0" w:color="BFBFBF"/>
              <w:right w:val="single" w:sz="4" w:space="0" w:color="BFBFBF"/>
            </w:tcBorders>
            <w:shd w:val="clear" w:color="auto" w:fill="auto"/>
            <w:noWrap/>
            <w:vAlign w:val="center"/>
          </w:tcPr>
          <w:p w14:paraId="4B1808BE"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9%</w:t>
            </w:r>
          </w:p>
        </w:tc>
        <w:tc>
          <w:tcPr>
            <w:tcW w:w="603" w:type="dxa"/>
            <w:tcBorders>
              <w:top w:val="nil"/>
              <w:left w:val="nil"/>
              <w:bottom w:val="single" w:sz="4" w:space="0" w:color="BFBFBF"/>
              <w:right w:val="single" w:sz="4" w:space="0" w:color="BFBFBF"/>
            </w:tcBorders>
            <w:shd w:val="clear" w:color="auto" w:fill="auto"/>
            <w:noWrap/>
            <w:vAlign w:val="center"/>
          </w:tcPr>
          <w:p w14:paraId="7414310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22%</w:t>
            </w:r>
          </w:p>
        </w:tc>
        <w:tc>
          <w:tcPr>
            <w:tcW w:w="603" w:type="dxa"/>
            <w:tcBorders>
              <w:top w:val="nil"/>
              <w:left w:val="nil"/>
              <w:bottom w:val="single" w:sz="4" w:space="0" w:color="BFBFBF"/>
              <w:right w:val="single" w:sz="4" w:space="0" w:color="auto"/>
            </w:tcBorders>
            <w:shd w:val="clear" w:color="auto" w:fill="auto"/>
            <w:noWrap/>
            <w:vAlign w:val="center"/>
          </w:tcPr>
          <w:p w14:paraId="45AA72E6"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59%</w:t>
            </w:r>
          </w:p>
        </w:tc>
        <w:tc>
          <w:tcPr>
            <w:tcW w:w="559" w:type="dxa"/>
            <w:tcBorders>
              <w:top w:val="nil"/>
              <w:left w:val="nil"/>
              <w:bottom w:val="single" w:sz="4" w:space="0" w:color="BFBFBF"/>
              <w:right w:val="single" w:sz="4" w:space="0" w:color="BFBFBF"/>
            </w:tcBorders>
            <w:shd w:val="clear" w:color="auto" w:fill="auto"/>
            <w:noWrap/>
            <w:vAlign w:val="center"/>
          </w:tcPr>
          <w:p w14:paraId="3706BDC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w:t>
            </w:r>
          </w:p>
        </w:tc>
        <w:tc>
          <w:tcPr>
            <w:tcW w:w="559" w:type="dxa"/>
            <w:tcBorders>
              <w:top w:val="nil"/>
              <w:left w:val="nil"/>
              <w:bottom w:val="single" w:sz="4" w:space="0" w:color="BFBFBF"/>
              <w:right w:val="single" w:sz="4" w:space="0" w:color="BFBFBF"/>
            </w:tcBorders>
            <w:shd w:val="clear" w:color="auto" w:fill="auto"/>
            <w:noWrap/>
            <w:vAlign w:val="center"/>
          </w:tcPr>
          <w:p w14:paraId="18ABDF3A"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4%</w:t>
            </w:r>
          </w:p>
        </w:tc>
        <w:tc>
          <w:tcPr>
            <w:tcW w:w="603" w:type="dxa"/>
            <w:tcBorders>
              <w:top w:val="nil"/>
              <w:left w:val="nil"/>
              <w:bottom w:val="single" w:sz="4" w:space="0" w:color="BFBFBF"/>
              <w:right w:val="single" w:sz="4" w:space="0" w:color="BFBFBF"/>
            </w:tcBorders>
            <w:shd w:val="clear" w:color="auto" w:fill="auto"/>
            <w:noWrap/>
            <w:vAlign w:val="center"/>
          </w:tcPr>
          <w:p w14:paraId="149F7CAE"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7%</w:t>
            </w:r>
          </w:p>
        </w:tc>
        <w:tc>
          <w:tcPr>
            <w:tcW w:w="603" w:type="dxa"/>
            <w:tcBorders>
              <w:top w:val="nil"/>
              <w:left w:val="nil"/>
              <w:bottom w:val="single" w:sz="4" w:space="0" w:color="BFBFBF"/>
              <w:right w:val="single" w:sz="4" w:space="0" w:color="auto"/>
            </w:tcBorders>
            <w:shd w:val="clear" w:color="auto" w:fill="auto"/>
            <w:noWrap/>
            <w:vAlign w:val="center"/>
          </w:tcPr>
          <w:p w14:paraId="457ED310"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13%</w:t>
            </w:r>
          </w:p>
        </w:tc>
        <w:tc>
          <w:tcPr>
            <w:tcW w:w="559" w:type="dxa"/>
            <w:tcBorders>
              <w:top w:val="nil"/>
              <w:left w:val="nil"/>
              <w:bottom w:val="single" w:sz="4" w:space="0" w:color="BFBFBF"/>
              <w:right w:val="single" w:sz="4" w:space="0" w:color="BFBFBF"/>
            </w:tcBorders>
            <w:shd w:val="clear" w:color="auto" w:fill="auto"/>
            <w:noWrap/>
            <w:vAlign w:val="center"/>
          </w:tcPr>
          <w:p w14:paraId="2D73DAF7"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w:t>
            </w:r>
          </w:p>
        </w:tc>
        <w:tc>
          <w:tcPr>
            <w:tcW w:w="559" w:type="dxa"/>
            <w:tcBorders>
              <w:top w:val="nil"/>
              <w:left w:val="nil"/>
              <w:bottom w:val="single" w:sz="4" w:space="0" w:color="BFBFBF"/>
              <w:right w:val="single" w:sz="4" w:space="0" w:color="BFBFBF"/>
            </w:tcBorders>
            <w:shd w:val="clear" w:color="auto" w:fill="auto"/>
            <w:noWrap/>
            <w:vAlign w:val="center"/>
          </w:tcPr>
          <w:p w14:paraId="50A3FA84"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c>
          <w:tcPr>
            <w:tcW w:w="603" w:type="dxa"/>
            <w:tcBorders>
              <w:top w:val="nil"/>
              <w:left w:val="nil"/>
              <w:bottom w:val="single" w:sz="4" w:space="0" w:color="BFBFBF"/>
              <w:right w:val="single" w:sz="4" w:space="0" w:color="BFBFBF"/>
            </w:tcBorders>
            <w:shd w:val="clear" w:color="auto" w:fill="auto"/>
            <w:noWrap/>
            <w:vAlign w:val="center"/>
          </w:tcPr>
          <w:p w14:paraId="3DCE6A0D"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9%</w:t>
            </w:r>
          </w:p>
        </w:tc>
        <w:tc>
          <w:tcPr>
            <w:tcW w:w="603" w:type="dxa"/>
            <w:tcBorders>
              <w:top w:val="nil"/>
              <w:left w:val="nil"/>
              <w:bottom w:val="single" w:sz="4" w:space="0" w:color="BFBFBF"/>
              <w:right w:val="double" w:sz="6" w:space="0" w:color="auto"/>
            </w:tcBorders>
            <w:shd w:val="clear" w:color="auto" w:fill="auto"/>
            <w:noWrap/>
            <w:vAlign w:val="center"/>
          </w:tcPr>
          <w:p w14:paraId="32C7553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32%</w:t>
            </w:r>
          </w:p>
        </w:tc>
      </w:tr>
      <w:tr w:rsidR="00B75952" w:rsidRPr="0070127D" w14:paraId="289CCFF4" w14:textId="77777777" w:rsidTr="00562A28">
        <w:trPr>
          <w:trHeight w:val="247"/>
          <w:jc w:val="center"/>
        </w:trPr>
        <w:tc>
          <w:tcPr>
            <w:tcW w:w="2755" w:type="dxa"/>
            <w:tcBorders>
              <w:top w:val="nil"/>
              <w:left w:val="double" w:sz="6" w:space="0" w:color="auto"/>
              <w:bottom w:val="single" w:sz="4" w:space="0" w:color="BFBFBF"/>
              <w:right w:val="nil"/>
            </w:tcBorders>
            <w:shd w:val="clear" w:color="auto" w:fill="auto"/>
            <w:noWrap/>
            <w:vAlign w:val="center"/>
          </w:tcPr>
          <w:p w14:paraId="1D3C5C35" w14:textId="77777777" w:rsidR="00B75952" w:rsidRPr="0070127D" w:rsidRDefault="00B75952" w:rsidP="00B75952">
            <w:pPr>
              <w:spacing w:before="0" w:after="0"/>
              <w:rPr>
                <w:rFonts w:ascii="Arial" w:hAnsi="Arial" w:cs="Arial"/>
                <w:color w:val="000000"/>
                <w:sz w:val="16"/>
                <w:szCs w:val="16"/>
                <w:lang w:val="en-AU" w:eastAsia="en-AU"/>
              </w:rPr>
            </w:pPr>
            <w:r w:rsidRPr="0070127D">
              <w:rPr>
                <w:rFonts w:ascii="Arial" w:hAnsi="Arial" w:cs="Arial"/>
                <w:color w:val="000000"/>
                <w:sz w:val="16"/>
                <w:szCs w:val="16"/>
                <w:lang w:val="en-AU" w:eastAsia="en-AU"/>
              </w:rPr>
              <w:t>$10,000-$19,999</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2FAA2676" w14:textId="77777777" w:rsidR="00B75952" w:rsidRPr="0070127D" w:rsidRDefault="00B75952" w:rsidP="0070127D">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w:t>
            </w:r>
            <w:r w:rsidR="0070127D" w:rsidRPr="0070127D">
              <w:rPr>
                <w:rFonts w:ascii="Arial" w:hAnsi="Arial" w:cs="Arial"/>
                <w:color w:val="000000"/>
                <w:sz w:val="16"/>
                <w:szCs w:val="16"/>
                <w:lang w:val="en-AU" w:eastAsia="en-AU"/>
              </w:rPr>
              <w:t>1</w:t>
            </w: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2D92421A"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28%</w:t>
            </w:r>
          </w:p>
        </w:tc>
        <w:tc>
          <w:tcPr>
            <w:tcW w:w="603" w:type="dxa"/>
            <w:tcBorders>
              <w:top w:val="nil"/>
              <w:left w:val="nil"/>
              <w:bottom w:val="single" w:sz="4" w:space="0" w:color="BFBFBF"/>
              <w:right w:val="single" w:sz="4" w:space="0" w:color="BFBFBF"/>
            </w:tcBorders>
            <w:shd w:val="clear" w:color="auto" w:fill="auto"/>
            <w:noWrap/>
            <w:vAlign w:val="center"/>
          </w:tcPr>
          <w:p w14:paraId="5EFEB2FD"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58%</w:t>
            </w:r>
          </w:p>
        </w:tc>
        <w:tc>
          <w:tcPr>
            <w:tcW w:w="603" w:type="dxa"/>
            <w:tcBorders>
              <w:top w:val="nil"/>
              <w:left w:val="nil"/>
              <w:bottom w:val="single" w:sz="4" w:space="0" w:color="BFBFBF"/>
              <w:right w:val="single" w:sz="4" w:space="0" w:color="auto"/>
            </w:tcBorders>
            <w:shd w:val="clear" w:color="auto" w:fill="auto"/>
            <w:noWrap/>
            <w:vAlign w:val="center"/>
          </w:tcPr>
          <w:p w14:paraId="6C25820D"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25%</w:t>
            </w:r>
          </w:p>
        </w:tc>
        <w:tc>
          <w:tcPr>
            <w:tcW w:w="559" w:type="dxa"/>
            <w:tcBorders>
              <w:top w:val="nil"/>
              <w:left w:val="nil"/>
              <w:bottom w:val="single" w:sz="4" w:space="0" w:color="BFBFBF"/>
              <w:right w:val="single" w:sz="4" w:space="0" w:color="BFBFBF"/>
            </w:tcBorders>
            <w:shd w:val="clear" w:color="auto" w:fill="auto"/>
            <w:noWrap/>
            <w:vAlign w:val="center"/>
          </w:tcPr>
          <w:p w14:paraId="75FB2D5F" w14:textId="77777777" w:rsidR="00B75952" w:rsidRPr="0070127D" w:rsidRDefault="00B75952" w:rsidP="0070127D">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w:t>
            </w:r>
            <w:r w:rsidR="0070127D" w:rsidRPr="0070127D">
              <w:rPr>
                <w:rFonts w:ascii="Arial" w:hAnsi="Arial" w:cs="Arial"/>
                <w:color w:val="000000"/>
                <w:sz w:val="16"/>
                <w:szCs w:val="16"/>
                <w:lang w:val="en-AU" w:eastAsia="en-AU"/>
              </w:rPr>
              <w:t>4</w:t>
            </w: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40089112"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35%</w:t>
            </w:r>
          </w:p>
        </w:tc>
        <w:tc>
          <w:tcPr>
            <w:tcW w:w="603" w:type="dxa"/>
            <w:tcBorders>
              <w:top w:val="nil"/>
              <w:left w:val="nil"/>
              <w:bottom w:val="single" w:sz="4" w:space="0" w:color="BFBFBF"/>
              <w:right w:val="single" w:sz="4" w:space="0" w:color="BFBFBF"/>
            </w:tcBorders>
            <w:shd w:val="clear" w:color="auto" w:fill="auto"/>
            <w:noWrap/>
            <w:vAlign w:val="center"/>
          </w:tcPr>
          <w:p w14:paraId="23B2273F"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36%</w:t>
            </w:r>
          </w:p>
        </w:tc>
        <w:tc>
          <w:tcPr>
            <w:tcW w:w="603" w:type="dxa"/>
            <w:tcBorders>
              <w:top w:val="nil"/>
              <w:left w:val="nil"/>
              <w:bottom w:val="single" w:sz="4" w:space="0" w:color="BFBFBF"/>
              <w:right w:val="nil"/>
            </w:tcBorders>
            <w:shd w:val="clear" w:color="auto" w:fill="auto"/>
            <w:noWrap/>
            <w:vAlign w:val="center"/>
          </w:tcPr>
          <w:p w14:paraId="04986F36"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29%</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66EF1D7E" w14:textId="77777777" w:rsidR="00B75952" w:rsidRPr="0070127D" w:rsidRDefault="00B75952" w:rsidP="0070127D">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w:t>
            </w:r>
            <w:r w:rsidR="0070127D" w:rsidRPr="0070127D">
              <w:rPr>
                <w:rFonts w:ascii="Arial" w:hAnsi="Arial" w:cs="Arial"/>
                <w:color w:val="000000"/>
                <w:sz w:val="16"/>
                <w:szCs w:val="16"/>
                <w:lang w:val="en-AU" w:eastAsia="en-AU"/>
              </w:rPr>
              <w:t>5</w:t>
            </w: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7E4B516C"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34%</w:t>
            </w:r>
          </w:p>
        </w:tc>
        <w:tc>
          <w:tcPr>
            <w:tcW w:w="603" w:type="dxa"/>
            <w:tcBorders>
              <w:top w:val="nil"/>
              <w:left w:val="nil"/>
              <w:bottom w:val="single" w:sz="4" w:space="0" w:color="BFBFBF"/>
              <w:right w:val="single" w:sz="4" w:space="0" w:color="BFBFBF"/>
            </w:tcBorders>
            <w:shd w:val="clear" w:color="auto" w:fill="auto"/>
            <w:noWrap/>
            <w:vAlign w:val="center"/>
          </w:tcPr>
          <w:p w14:paraId="2A7F9698"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38%</w:t>
            </w:r>
          </w:p>
        </w:tc>
        <w:tc>
          <w:tcPr>
            <w:tcW w:w="603" w:type="dxa"/>
            <w:tcBorders>
              <w:top w:val="nil"/>
              <w:left w:val="nil"/>
              <w:bottom w:val="single" w:sz="4" w:space="0" w:color="BFBFBF"/>
              <w:right w:val="single" w:sz="4" w:space="0" w:color="auto"/>
            </w:tcBorders>
            <w:shd w:val="clear" w:color="auto" w:fill="auto"/>
            <w:noWrap/>
            <w:vAlign w:val="center"/>
          </w:tcPr>
          <w:p w14:paraId="7BC11085"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27%</w:t>
            </w:r>
          </w:p>
        </w:tc>
        <w:tc>
          <w:tcPr>
            <w:tcW w:w="559" w:type="dxa"/>
            <w:tcBorders>
              <w:top w:val="nil"/>
              <w:left w:val="nil"/>
              <w:bottom w:val="single" w:sz="4" w:space="0" w:color="BFBFBF"/>
              <w:right w:val="single" w:sz="4" w:space="0" w:color="BFBFBF"/>
            </w:tcBorders>
            <w:shd w:val="clear" w:color="auto" w:fill="auto"/>
            <w:noWrap/>
            <w:vAlign w:val="center"/>
          </w:tcPr>
          <w:p w14:paraId="38A3AD36"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4%</w:t>
            </w:r>
          </w:p>
        </w:tc>
        <w:tc>
          <w:tcPr>
            <w:tcW w:w="559" w:type="dxa"/>
            <w:tcBorders>
              <w:top w:val="nil"/>
              <w:left w:val="nil"/>
              <w:bottom w:val="single" w:sz="4" w:space="0" w:color="BFBFBF"/>
              <w:right w:val="single" w:sz="4" w:space="0" w:color="BFBFBF"/>
            </w:tcBorders>
            <w:shd w:val="clear" w:color="auto" w:fill="auto"/>
            <w:noWrap/>
            <w:vAlign w:val="center"/>
          </w:tcPr>
          <w:p w14:paraId="7A38C3DC"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8%</w:t>
            </w:r>
          </w:p>
        </w:tc>
        <w:tc>
          <w:tcPr>
            <w:tcW w:w="603" w:type="dxa"/>
            <w:tcBorders>
              <w:top w:val="nil"/>
              <w:left w:val="nil"/>
              <w:bottom w:val="single" w:sz="4" w:space="0" w:color="BFBFBF"/>
              <w:right w:val="single" w:sz="4" w:space="0" w:color="BFBFBF"/>
            </w:tcBorders>
            <w:shd w:val="clear" w:color="auto" w:fill="auto"/>
            <w:noWrap/>
            <w:vAlign w:val="center"/>
          </w:tcPr>
          <w:p w14:paraId="6EBEC78E"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15%</w:t>
            </w:r>
          </w:p>
        </w:tc>
        <w:tc>
          <w:tcPr>
            <w:tcW w:w="603" w:type="dxa"/>
            <w:tcBorders>
              <w:top w:val="nil"/>
              <w:left w:val="nil"/>
              <w:bottom w:val="single" w:sz="4" w:space="0" w:color="BFBFBF"/>
              <w:right w:val="single" w:sz="4" w:space="0" w:color="auto"/>
            </w:tcBorders>
            <w:shd w:val="clear" w:color="auto" w:fill="auto"/>
            <w:noWrap/>
            <w:vAlign w:val="center"/>
          </w:tcPr>
          <w:p w14:paraId="27FA7D83"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17%</w:t>
            </w:r>
          </w:p>
        </w:tc>
        <w:tc>
          <w:tcPr>
            <w:tcW w:w="559" w:type="dxa"/>
            <w:tcBorders>
              <w:top w:val="nil"/>
              <w:left w:val="nil"/>
              <w:bottom w:val="single" w:sz="4" w:space="0" w:color="BFBFBF"/>
              <w:right w:val="single" w:sz="4" w:space="0" w:color="BFBFBF"/>
            </w:tcBorders>
            <w:shd w:val="clear" w:color="auto" w:fill="auto"/>
            <w:noWrap/>
            <w:vAlign w:val="center"/>
          </w:tcPr>
          <w:p w14:paraId="4FADC5DC"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6%</w:t>
            </w:r>
          </w:p>
        </w:tc>
        <w:tc>
          <w:tcPr>
            <w:tcW w:w="559" w:type="dxa"/>
            <w:tcBorders>
              <w:top w:val="nil"/>
              <w:left w:val="nil"/>
              <w:bottom w:val="single" w:sz="4" w:space="0" w:color="BFBFBF"/>
              <w:right w:val="single" w:sz="4" w:space="0" w:color="BFBFBF"/>
            </w:tcBorders>
            <w:shd w:val="clear" w:color="auto" w:fill="auto"/>
            <w:noWrap/>
            <w:vAlign w:val="center"/>
          </w:tcPr>
          <w:p w14:paraId="588C5666"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10%</w:t>
            </w:r>
          </w:p>
        </w:tc>
        <w:tc>
          <w:tcPr>
            <w:tcW w:w="603" w:type="dxa"/>
            <w:tcBorders>
              <w:top w:val="nil"/>
              <w:left w:val="nil"/>
              <w:bottom w:val="single" w:sz="4" w:space="0" w:color="BFBFBF"/>
              <w:right w:val="single" w:sz="4" w:space="0" w:color="BFBFBF"/>
            </w:tcBorders>
            <w:shd w:val="clear" w:color="auto" w:fill="auto"/>
            <w:noWrap/>
            <w:vAlign w:val="center"/>
          </w:tcPr>
          <w:p w14:paraId="1ADB59DA"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17%</w:t>
            </w:r>
          </w:p>
        </w:tc>
        <w:tc>
          <w:tcPr>
            <w:tcW w:w="603" w:type="dxa"/>
            <w:tcBorders>
              <w:top w:val="nil"/>
              <w:left w:val="nil"/>
              <w:bottom w:val="single" w:sz="4" w:space="0" w:color="BFBFBF"/>
              <w:right w:val="double" w:sz="6" w:space="0" w:color="auto"/>
            </w:tcBorders>
            <w:shd w:val="clear" w:color="auto" w:fill="auto"/>
            <w:noWrap/>
            <w:vAlign w:val="center"/>
          </w:tcPr>
          <w:p w14:paraId="6C12CF04"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21%</w:t>
            </w:r>
          </w:p>
        </w:tc>
      </w:tr>
      <w:tr w:rsidR="00B75952" w:rsidRPr="0070127D" w14:paraId="4B266950" w14:textId="77777777" w:rsidTr="00562A28">
        <w:trPr>
          <w:trHeight w:val="247"/>
          <w:jc w:val="center"/>
        </w:trPr>
        <w:tc>
          <w:tcPr>
            <w:tcW w:w="2755" w:type="dxa"/>
            <w:tcBorders>
              <w:top w:val="nil"/>
              <w:left w:val="double" w:sz="6" w:space="0" w:color="auto"/>
              <w:bottom w:val="single" w:sz="4" w:space="0" w:color="BFBFBF"/>
              <w:right w:val="nil"/>
            </w:tcBorders>
            <w:shd w:val="clear" w:color="auto" w:fill="auto"/>
            <w:noWrap/>
            <w:vAlign w:val="center"/>
          </w:tcPr>
          <w:p w14:paraId="22E29517" w14:textId="77777777" w:rsidR="00B75952" w:rsidRPr="0070127D" w:rsidRDefault="00B75952" w:rsidP="00B75952">
            <w:pPr>
              <w:spacing w:before="0" w:after="0"/>
              <w:rPr>
                <w:rFonts w:ascii="Arial" w:hAnsi="Arial" w:cs="Arial"/>
                <w:color w:val="000000"/>
                <w:sz w:val="16"/>
                <w:szCs w:val="16"/>
                <w:lang w:val="en-AU" w:eastAsia="en-AU"/>
              </w:rPr>
            </w:pPr>
            <w:r w:rsidRPr="0070127D">
              <w:rPr>
                <w:rFonts w:ascii="Arial" w:hAnsi="Arial" w:cs="Arial"/>
                <w:color w:val="000000"/>
                <w:sz w:val="16"/>
                <w:szCs w:val="16"/>
                <w:lang w:val="en-AU" w:eastAsia="en-AU"/>
              </w:rPr>
              <w:t>$20,000-$29,999</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697E57D6"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13%</w:t>
            </w:r>
          </w:p>
        </w:tc>
        <w:tc>
          <w:tcPr>
            <w:tcW w:w="559" w:type="dxa"/>
            <w:tcBorders>
              <w:top w:val="nil"/>
              <w:left w:val="nil"/>
              <w:bottom w:val="single" w:sz="4" w:space="0" w:color="BFBFBF"/>
              <w:right w:val="single" w:sz="4" w:space="0" w:color="BFBFBF"/>
            </w:tcBorders>
            <w:shd w:val="clear" w:color="auto" w:fill="auto"/>
            <w:noWrap/>
            <w:vAlign w:val="center"/>
          </w:tcPr>
          <w:p w14:paraId="2EFCADB2"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14%</w:t>
            </w:r>
          </w:p>
        </w:tc>
        <w:tc>
          <w:tcPr>
            <w:tcW w:w="603" w:type="dxa"/>
            <w:tcBorders>
              <w:top w:val="nil"/>
              <w:left w:val="nil"/>
              <w:bottom w:val="single" w:sz="4" w:space="0" w:color="BFBFBF"/>
              <w:right w:val="single" w:sz="4" w:space="0" w:color="BFBFBF"/>
            </w:tcBorders>
            <w:shd w:val="clear" w:color="auto" w:fill="auto"/>
            <w:noWrap/>
            <w:vAlign w:val="center"/>
          </w:tcPr>
          <w:p w14:paraId="2EA0504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14%</w:t>
            </w:r>
          </w:p>
        </w:tc>
        <w:tc>
          <w:tcPr>
            <w:tcW w:w="603" w:type="dxa"/>
            <w:tcBorders>
              <w:top w:val="nil"/>
              <w:left w:val="nil"/>
              <w:bottom w:val="single" w:sz="4" w:space="0" w:color="BFBFBF"/>
              <w:right w:val="single" w:sz="4" w:space="0" w:color="auto"/>
            </w:tcBorders>
            <w:shd w:val="clear" w:color="auto" w:fill="auto"/>
            <w:noWrap/>
            <w:vAlign w:val="center"/>
          </w:tcPr>
          <w:p w14:paraId="573523CA"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4%</w:t>
            </w:r>
          </w:p>
        </w:tc>
        <w:tc>
          <w:tcPr>
            <w:tcW w:w="559" w:type="dxa"/>
            <w:tcBorders>
              <w:top w:val="nil"/>
              <w:left w:val="nil"/>
              <w:bottom w:val="single" w:sz="4" w:space="0" w:color="BFBFBF"/>
              <w:right w:val="single" w:sz="4" w:space="0" w:color="BFBFBF"/>
            </w:tcBorders>
            <w:shd w:val="clear" w:color="auto" w:fill="auto"/>
            <w:noWrap/>
            <w:vAlign w:val="center"/>
          </w:tcPr>
          <w:p w14:paraId="2CAACE5B" w14:textId="77777777" w:rsidR="00B75952" w:rsidRPr="0070127D" w:rsidRDefault="00B75952" w:rsidP="0070127D">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w:t>
            </w:r>
            <w:r w:rsidR="0070127D" w:rsidRPr="0070127D">
              <w:rPr>
                <w:rFonts w:ascii="Arial" w:hAnsi="Arial" w:cs="Arial"/>
                <w:color w:val="000000"/>
                <w:sz w:val="16"/>
                <w:szCs w:val="16"/>
                <w:lang w:val="en-AU" w:eastAsia="en-AU"/>
              </w:rPr>
              <w:t>6</w:t>
            </w: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2FBB47F6"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23%</w:t>
            </w:r>
          </w:p>
        </w:tc>
        <w:tc>
          <w:tcPr>
            <w:tcW w:w="603" w:type="dxa"/>
            <w:tcBorders>
              <w:top w:val="nil"/>
              <w:left w:val="nil"/>
              <w:bottom w:val="single" w:sz="4" w:space="0" w:color="BFBFBF"/>
              <w:right w:val="single" w:sz="4" w:space="0" w:color="BFBFBF"/>
            </w:tcBorders>
            <w:shd w:val="clear" w:color="auto" w:fill="auto"/>
            <w:noWrap/>
            <w:vAlign w:val="center"/>
          </w:tcPr>
          <w:p w14:paraId="3EC4661C"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24%</w:t>
            </w:r>
          </w:p>
        </w:tc>
        <w:tc>
          <w:tcPr>
            <w:tcW w:w="603" w:type="dxa"/>
            <w:tcBorders>
              <w:top w:val="nil"/>
              <w:left w:val="nil"/>
              <w:bottom w:val="single" w:sz="4" w:space="0" w:color="BFBFBF"/>
              <w:right w:val="nil"/>
            </w:tcBorders>
            <w:shd w:val="clear" w:color="auto" w:fill="auto"/>
            <w:noWrap/>
            <w:vAlign w:val="center"/>
          </w:tcPr>
          <w:p w14:paraId="0F8E0D6D"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7%</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57A5CC7D" w14:textId="77777777" w:rsidR="00B75952" w:rsidRPr="0070127D" w:rsidRDefault="00B75952" w:rsidP="0070127D">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w:t>
            </w:r>
            <w:r w:rsidR="0070127D" w:rsidRPr="0070127D">
              <w:rPr>
                <w:rFonts w:ascii="Arial" w:hAnsi="Arial" w:cs="Arial"/>
                <w:color w:val="000000"/>
                <w:sz w:val="16"/>
                <w:szCs w:val="16"/>
                <w:lang w:val="en-AU" w:eastAsia="en-AU"/>
              </w:rPr>
              <w:t>4</w:t>
            </w: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0EA2B29A"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22%</w:t>
            </w:r>
          </w:p>
        </w:tc>
        <w:tc>
          <w:tcPr>
            <w:tcW w:w="603" w:type="dxa"/>
            <w:tcBorders>
              <w:top w:val="nil"/>
              <w:left w:val="nil"/>
              <w:bottom w:val="single" w:sz="4" w:space="0" w:color="BFBFBF"/>
              <w:right w:val="single" w:sz="4" w:space="0" w:color="BFBFBF"/>
            </w:tcBorders>
            <w:shd w:val="clear" w:color="auto" w:fill="auto"/>
            <w:noWrap/>
            <w:vAlign w:val="center"/>
          </w:tcPr>
          <w:p w14:paraId="12AA7399"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24%</w:t>
            </w:r>
          </w:p>
        </w:tc>
        <w:tc>
          <w:tcPr>
            <w:tcW w:w="603" w:type="dxa"/>
            <w:tcBorders>
              <w:top w:val="nil"/>
              <w:left w:val="nil"/>
              <w:bottom w:val="single" w:sz="4" w:space="0" w:color="BFBFBF"/>
              <w:right w:val="single" w:sz="4" w:space="0" w:color="auto"/>
            </w:tcBorders>
            <w:shd w:val="clear" w:color="auto" w:fill="auto"/>
            <w:noWrap/>
            <w:vAlign w:val="center"/>
          </w:tcPr>
          <w:p w14:paraId="30216A28"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c>
          <w:tcPr>
            <w:tcW w:w="559" w:type="dxa"/>
            <w:tcBorders>
              <w:top w:val="nil"/>
              <w:left w:val="nil"/>
              <w:bottom w:val="single" w:sz="4" w:space="0" w:color="BFBFBF"/>
              <w:right w:val="single" w:sz="4" w:space="0" w:color="BFBFBF"/>
            </w:tcBorders>
            <w:shd w:val="clear" w:color="auto" w:fill="auto"/>
            <w:noWrap/>
            <w:vAlign w:val="center"/>
          </w:tcPr>
          <w:p w14:paraId="0CF25581"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7%</w:t>
            </w:r>
          </w:p>
        </w:tc>
        <w:tc>
          <w:tcPr>
            <w:tcW w:w="559" w:type="dxa"/>
            <w:tcBorders>
              <w:top w:val="nil"/>
              <w:left w:val="nil"/>
              <w:bottom w:val="single" w:sz="4" w:space="0" w:color="BFBFBF"/>
              <w:right w:val="single" w:sz="4" w:space="0" w:color="BFBFBF"/>
            </w:tcBorders>
            <w:shd w:val="clear" w:color="auto" w:fill="auto"/>
            <w:noWrap/>
            <w:vAlign w:val="center"/>
          </w:tcPr>
          <w:p w14:paraId="47C6E897"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14%</w:t>
            </w:r>
          </w:p>
        </w:tc>
        <w:tc>
          <w:tcPr>
            <w:tcW w:w="603" w:type="dxa"/>
            <w:tcBorders>
              <w:top w:val="nil"/>
              <w:left w:val="nil"/>
              <w:bottom w:val="single" w:sz="4" w:space="0" w:color="BFBFBF"/>
              <w:right w:val="single" w:sz="4" w:space="0" w:color="BFBFBF"/>
            </w:tcBorders>
            <w:shd w:val="clear" w:color="auto" w:fill="auto"/>
            <w:noWrap/>
            <w:vAlign w:val="center"/>
          </w:tcPr>
          <w:p w14:paraId="34D5C192"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17%</w:t>
            </w:r>
          </w:p>
        </w:tc>
        <w:tc>
          <w:tcPr>
            <w:tcW w:w="603" w:type="dxa"/>
            <w:tcBorders>
              <w:top w:val="nil"/>
              <w:left w:val="nil"/>
              <w:bottom w:val="single" w:sz="4" w:space="0" w:color="BFBFBF"/>
              <w:right w:val="single" w:sz="4" w:space="0" w:color="auto"/>
            </w:tcBorders>
            <w:shd w:val="clear" w:color="auto" w:fill="auto"/>
            <w:noWrap/>
            <w:vAlign w:val="center"/>
          </w:tcPr>
          <w:p w14:paraId="076FDA48"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20%</w:t>
            </w:r>
          </w:p>
        </w:tc>
        <w:tc>
          <w:tcPr>
            <w:tcW w:w="559" w:type="dxa"/>
            <w:tcBorders>
              <w:top w:val="nil"/>
              <w:left w:val="nil"/>
              <w:bottom w:val="single" w:sz="4" w:space="0" w:color="BFBFBF"/>
              <w:right w:val="single" w:sz="4" w:space="0" w:color="BFBFBF"/>
            </w:tcBorders>
            <w:shd w:val="clear" w:color="auto" w:fill="auto"/>
            <w:noWrap/>
            <w:vAlign w:val="center"/>
          </w:tcPr>
          <w:p w14:paraId="6915A045"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10%</w:t>
            </w:r>
          </w:p>
        </w:tc>
        <w:tc>
          <w:tcPr>
            <w:tcW w:w="559" w:type="dxa"/>
            <w:tcBorders>
              <w:top w:val="nil"/>
              <w:left w:val="nil"/>
              <w:bottom w:val="single" w:sz="4" w:space="0" w:color="BFBFBF"/>
              <w:right w:val="single" w:sz="4" w:space="0" w:color="BFBFBF"/>
            </w:tcBorders>
            <w:shd w:val="clear" w:color="auto" w:fill="auto"/>
            <w:noWrap/>
            <w:vAlign w:val="center"/>
          </w:tcPr>
          <w:p w14:paraId="7DB26608"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15%</w:t>
            </w:r>
          </w:p>
        </w:tc>
        <w:tc>
          <w:tcPr>
            <w:tcW w:w="603" w:type="dxa"/>
            <w:tcBorders>
              <w:top w:val="nil"/>
              <w:left w:val="nil"/>
              <w:bottom w:val="single" w:sz="4" w:space="0" w:color="BFBFBF"/>
              <w:right w:val="single" w:sz="4" w:space="0" w:color="BFBFBF"/>
            </w:tcBorders>
            <w:shd w:val="clear" w:color="auto" w:fill="auto"/>
            <w:noWrap/>
            <w:vAlign w:val="center"/>
          </w:tcPr>
          <w:p w14:paraId="4001417C"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18%</w:t>
            </w:r>
          </w:p>
        </w:tc>
        <w:tc>
          <w:tcPr>
            <w:tcW w:w="603" w:type="dxa"/>
            <w:tcBorders>
              <w:top w:val="nil"/>
              <w:left w:val="nil"/>
              <w:bottom w:val="single" w:sz="4" w:space="0" w:color="BFBFBF"/>
              <w:right w:val="double" w:sz="6" w:space="0" w:color="auto"/>
            </w:tcBorders>
            <w:shd w:val="clear" w:color="auto" w:fill="auto"/>
            <w:noWrap/>
            <w:vAlign w:val="center"/>
          </w:tcPr>
          <w:p w14:paraId="0B3A0033"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14%</w:t>
            </w:r>
          </w:p>
        </w:tc>
      </w:tr>
      <w:tr w:rsidR="00B75952" w:rsidRPr="0070127D" w14:paraId="63E93CB6" w14:textId="77777777" w:rsidTr="00562A28">
        <w:trPr>
          <w:trHeight w:val="247"/>
          <w:jc w:val="center"/>
        </w:trPr>
        <w:tc>
          <w:tcPr>
            <w:tcW w:w="2755" w:type="dxa"/>
            <w:tcBorders>
              <w:top w:val="nil"/>
              <w:left w:val="double" w:sz="6" w:space="0" w:color="auto"/>
              <w:bottom w:val="single" w:sz="4" w:space="0" w:color="BFBFBF"/>
              <w:right w:val="nil"/>
            </w:tcBorders>
            <w:shd w:val="clear" w:color="auto" w:fill="auto"/>
            <w:noWrap/>
            <w:vAlign w:val="center"/>
          </w:tcPr>
          <w:p w14:paraId="1BA2F22A" w14:textId="77777777" w:rsidR="00B75952" w:rsidRPr="0070127D" w:rsidRDefault="00B75952" w:rsidP="00B75952">
            <w:pPr>
              <w:spacing w:before="0" w:after="0"/>
              <w:rPr>
                <w:rFonts w:ascii="Arial" w:hAnsi="Arial" w:cs="Arial"/>
                <w:color w:val="000000"/>
                <w:sz w:val="16"/>
                <w:szCs w:val="16"/>
                <w:lang w:val="en-AU" w:eastAsia="en-AU"/>
              </w:rPr>
            </w:pPr>
            <w:r w:rsidRPr="0070127D">
              <w:rPr>
                <w:rFonts w:ascii="Arial" w:hAnsi="Arial" w:cs="Arial"/>
                <w:color w:val="000000"/>
                <w:sz w:val="16"/>
                <w:szCs w:val="16"/>
                <w:lang w:val="en-AU" w:eastAsia="en-AU"/>
              </w:rPr>
              <w:t>$30,000-$39,999</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5530EF67"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33%</w:t>
            </w:r>
          </w:p>
        </w:tc>
        <w:tc>
          <w:tcPr>
            <w:tcW w:w="559" w:type="dxa"/>
            <w:tcBorders>
              <w:top w:val="nil"/>
              <w:left w:val="nil"/>
              <w:bottom w:val="single" w:sz="4" w:space="0" w:color="BFBFBF"/>
              <w:right w:val="single" w:sz="4" w:space="0" w:color="BFBFBF"/>
            </w:tcBorders>
            <w:shd w:val="clear" w:color="auto" w:fill="auto"/>
            <w:noWrap/>
            <w:vAlign w:val="center"/>
          </w:tcPr>
          <w:p w14:paraId="515D1A75"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9%</w:t>
            </w:r>
          </w:p>
        </w:tc>
        <w:tc>
          <w:tcPr>
            <w:tcW w:w="603" w:type="dxa"/>
            <w:tcBorders>
              <w:top w:val="nil"/>
              <w:left w:val="nil"/>
              <w:bottom w:val="single" w:sz="4" w:space="0" w:color="BFBFBF"/>
              <w:right w:val="single" w:sz="4" w:space="0" w:color="BFBFBF"/>
            </w:tcBorders>
            <w:shd w:val="clear" w:color="auto" w:fill="auto"/>
            <w:noWrap/>
            <w:vAlign w:val="center"/>
          </w:tcPr>
          <w:p w14:paraId="7BCCE4C0"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19%</w:t>
            </w:r>
          </w:p>
        </w:tc>
        <w:tc>
          <w:tcPr>
            <w:tcW w:w="603" w:type="dxa"/>
            <w:tcBorders>
              <w:top w:val="nil"/>
              <w:left w:val="nil"/>
              <w:bottom w:val="single" w:sz="4" w:space="0" w:color="BFBFBF"/>
              <w:right w:val="single" w:sz="4" w:space="0" w:color="auto"/>
            </w:tcBorders>
            <w:shd w:val="clear" w:color="auto" w:fill="auto"/>
            <w:noWrap/>
            <w:vAlign w:val="center"/>
          </w:tcPr>
          <w:p w14:paraId="7E708951"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3E50D419" w14:textId="77777777" w:rsidR="00B75952" w:rsidRPr="0070127D" w:rsidRDefault="00B75952" w:rsidP="0070127D">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w:t>
            </w:r>
            <w:r w:rsidR="0070127D" w:rsidRPr="0070127D">
              <w:rPr>
                <w:rFonts w:ascii="Arial" w:hAnsi="Arial" w:cs="Arial"/>
                <w:color w:val="000000"/>
                <w:sz w:val="16"/>
                <w:szCs w:val="16"/>
                <w:lang w:val="en-AU" w:eastAsia="en-AU"/>
              </w:rPr>
              <w:t>2</w:t>
            </w: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3DE59DAC"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14%</w:t>
            </w:r>
          </w:p>
        </w:tc>
        <w:tc>
          <w:tcPr>
            <w:tcW w:w="603" w:type="dxa"/>
            <w:tcBorders>
              <w:top w:val="nil"/>
              <w:left w:val="nil"/>
              <w:bottom w:val="single" w:sz="4" w:space="0" w:color="BFBFBF"/>
              <w:right w:val="single" w:sz="4" w:space="0" w:color="BFBFBF"/>
            </w:tcBorders>
            <w:shd w:val="clear" w:color="auto" w:fill="auto"/>
            <w:noWrap/>
            <w:vAlign w:val="center"/>
          </w:tcPr>
          <w:p w14:paraId="2CDE9A1D"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c>
          <w:tcPr>
            <w:tcW w:w="603" w:type="dxa"/>
            <w:tcBorders>
              <w:top w:val="nil"/>
              <w:left w:val="nil"/>
              <w:bottom w:val="single" w:sz="4" w:space="0" w:color="BFBFBF"/>
              <w:right w:val="nil"/>
            </w:tcBorders>
            <w:shd w:val="clear" w:color="auto" w:fill="auto"/>
            <w:noWrap/>
            <w:vAlign w:val="center"/>
          </w:tcPr>
          <w:p w14:paraId="72CB2113"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75C0CE3C" w14:textId="77777777" w:rsidR="00B75952" w:rsidRPr="0070127D" w:rsidRDefault="00B75952" w:rsidP="0070127D">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w:t>
            </w:r>
            <w:r w:rsidR="0070127D" w:rsidRPr="0070127D">
              <w:rPr>
                <w:rFonts w:ascii="Arial" w:hAnsi="Arial" w:cs="Arial"/>
                <w:color w:val="000000"/>
                <w:sz w:val="16"/>
                <w:szCs w:val="16"/>
                <w:lang w:val="en-AU" w:eastAsia="en-AU"/>
              </w:rPr>
              <w:t>4</w:t>
            </w: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00B4C937"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14%</w:t>
            </w:r>
          </w:p>
        </w:tc>
        <w:tc>
          <w:tcPr>
            <w:tcW w:w="603" w:type="dxa"/>
            <w:tcBorders>
              <w:top w:val="nil"/>
              <w:left w:val="nil"/>
              <w:bottom w:val="single" w:sz="4" w:space="0" w:color="BFBFBF"/>
              <w:right w:val="single" w:sz="4" w:space="0" w:color="BFBFBF"/>
            </w:tcBorders>
            <w:shd w:val="clear" w:color="auto" w:fill="auto"/>
            <w:noWrap/>
            <w:vAlign w:val="center"/>
          </w:tcPr>
          <w:p w14:paraId="3297E85F"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6%</w:t>
            </w:r>
          </w:p>
        </w:tc>
        <w:tc>
          <w:tcPr>
            <w:tcW w:w="603" w:type="dxa"/>
            <w:tcBorders>
              <w:top w:val="nil"/>
              <w:left w:val="nil"/>
              <w:bottom w:val="single" w:sz="4" w:space="0" w:color="BFBFBF"/>
              <w:right w:val="single" w:sz="4" w:space="0" w:color="auto"/>
            </w:tcBorders>
            <w:shd w:val="clear" w:color="auto" w:fill="auto"/>
            <w:noWrap/>
            <w:vAlign w:val="center"/>
          </w:tcPr>
          <w:p w14:paraId="08BA507E"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w:t>
            </w:r>
          </w:p>
        </w:tc>
        <w:tc>
          <w:tcPr>
            <w:tcW w:w="559" w:type="dxa"/>
            <w:tcBorders>
              <w:top w:val="nil"/>
              <w:left w:val="nil"/>
              <w:bottom w:val="single" w:sz="4" w:space="0" w:color="BFBFBF"/>
              <w:right w:val="single" w:sz="4" w:space="0" w:color="BFBFBF"/>
            </w:tcBorders>
            <w:shd w:val="clear" w:color="auto" w:fill="auto"/>
            <w:noWrap/>
            <w:vAlign w:val="center"/>
          </w:tcPr>
          <w:p w14:paraId="6EAEB7C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6%</w:t>
            </w:r>
          </w:p>
        </w:tc>
        <w:tc>
          <w:tcPr>
            <w:tcW w:w="559" w:type="dxa"/>
            <w:tcBorders>
              <w:top w:val="nil"/>
              <w:left w:val="nil"/>
              <w:bottom w:val="single" w:sz="4" w:space="0" w:color="BFBFBF"/>
              <w:right w:val="single" w:sz="4" w:space="0" w:color="BFBFBF"/>
            </w:tcBorders>
            <w:shd w:val="clear" w:color="auto" w:fill="auto"/>
            <w:noWrap/>
            <w:vAlign w:val="center"/>
          </w:tcPr>
          <w:p w14:paraId="3FCDC9EA"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11%</w:t>
            </w:r>
          </w:p>
        </w:tc>
        <w:tc>
          <w:tcPr>
            <w:tcW w:w="603" w:type="dxa"/>
            <w:tcBorders>
              <w:top w:val="nil"/>
              <w:left w:val="nil"/>
              <w:bottom w:val="single" w:sz="4" w:space="0" w:color="BFBFBF"/>
              <w:right w:val="single" w:sz="4" w:space="0" w:color="BFBFBF"/>
            </w:tcBorders>
            <w:shd w:val="clear" w:color="auto" w:fill="auto"/>
            <w:noWrap/>
            <w:vAlign w:val="center"/>
          </w:tcPr>
          <w:p w14:paraId="54C7EC19"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17%</w:t>
            </w:r>
          </w:p>
        </w:tc>
        <w:tc>
          <w:tcPr>
            <w:tcW w:w="603" w:type="dxa"/>
            <w:tcBorders>
              <w:top w:val="nil"/>
              <w:left w:val="nil"/>
              <w:bottom w:val="single" w:sz="4" w:space="0" w:color="BFBFBF"/>
              <w:right w:val="single" w:sz="4" w:space="0" w:color="auto"/>
            </w:tcBorders>
            <w:shd w:val="clear" w:color="auto" w:fill="auto"/>
            <w:noWrap/>
            <w:vAlign w:val="center"/>
          </w:tcPr>
          <w:p w14:paraId="14B96FF9"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13%</w:t>
            </w:r>
          </w:p>
        </w:tc>
        <w:tc>
          <w:tcPr>
            <w:tcW w:w="559" w:type="dxa"/>
            <w:tcBorders>
              <w:top w:val="nil"/>
              <w:left w:val="nil"/>
              <w:bottom w:val="single" w:sz="4" w:space="0" w:color="BFBFBF"/>
              <w:right w:val="single" w:sz="4" w:space="0" w:color="BFBFBF"/>
            </w:tcBorders>
            <w:shd w:val="clear" w:color="auto" w:fill="auto"/>
            <w:noWrap/>
            <w:vAlign w:val="center"/>
          </w:tcPr>
          <w:p w14:paraId="290964B9" w14:textId="77777777" w:rsidR="00B75952" w:rsidRPr="0070127D" w:rsidRDefault="0070127D"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10</w:t>
            </w:r>
            <w:r w:rsidR="00B75952"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6869C8B3"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12%</w:t>
            </w:r>
          </w:p>
        </w:tc>
        <w:tc>
          <w:tcPr>
            <w:tcW w:w="603" w:type="dxa"/>
            <w:tcBorders>
              <w:top w:val="nil"/>
              <w:left w:val="nil"/>
              <w:bottom w:val="single" w:sz="4" w:space="0" w:color="BFBFBF"/>
              <w:right w:val="single" w:sz="4" w:space="0" w:color="BFBFBF"/>
            </w:tcBorders>
            <w:shd w:val="clear" w:color="auto" w:fill="auto"/>
            <w:noWrap/>
            <w:vAlign w:val="center"/>
          </w:tcPr>
          <w:p w14:paraId="3D455D69"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16%</w:t>
            </w:r>
          </w:p>
        </w:tc>
        <w:tc>
          <w:tcPr>
            <w:tcW w:w="603" w:type="dxa"/>
            <w:tcBorders>
              <w:top w:val="nil"/>
              <w:left w:val="nil"/>
              <w:bottom w:val="single" w:sz="4" w:space="0" w:color="BFBFBF"/>
              <w:right w:val="double" w:sz="6" w:space="0" w:color="auto"/>
            </w:tcBorders>
            <w:shd w:val="clear" w:color="auto" w:fill="auto"/>
            <w:noWrap/>
            <w:vAlign w:val="center"/>
          </w:tcPr>
          <w:p w14:paraId="291D4B94"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8%</w:t>
            </w:r>
          </w:p>
        </w:tc>
      </w:tr>
      <w:tr w:rsidR="00B75952" w:rsidRPr="0070127D" w14:paraId="2F5A11AF" w14:textId="77777777" w:rsidTr="00562A28">
        <w:trPr>
          <w:trHeight w:val="247"/>
          <w:jc w:val="center"/>
        </w:trPr>
        <w:tc>
          <w:tcPr>
            <w:tcW w:w="2755" w:type="dxa"/>
            <w:tcBorders>
              <w:top w:val="nil"/>
              <w:left w:val="double" w:sz="6" w:space="0" w:color="auto"/>
              <w:bottom w:val="single" w:sz="4" w:space="0" w:color="BFBFBF"/>
              <w:right w:val="nil"/>
            </w:tcBorders>
            <w:shd w:val="clear" w:color="auto" w:fill="auto"/>
            <w:noWrap/>
            <w:vAlign w:val="center"/>
          </w:tcPr>
          <w:p w14:paraId="05CB0B0E" w14:textId="77777777" w:rsidR="00B75952" w:rsidRPr="0070127D" w:rsidRDefault="00B75952" w:rsidP="00B75952">
            <w:pPr>
              <w:spacing w:before="0" w:after="0"/>
              <w:rPr>
                <w:rFonts w:ascii="Arial" w:hAnsi="Arial" w:cs="Arial"/>
                <w:color w:val="000000"/>
                <w:sz w:val="16"/>
                <w:szCs w:val="16"/>
                <w:lang w:val="en-AU" w:eastAsia="en-AU"/>
              </w:rPr>
            </w:pPr>
            <w:r w:rsidRPr="0070127D">
              <w:rPr>
                <w:rFonts w:ascii="Arial" w:hAnsi="Arial" w:cs="Arial"/>
                <w:color w:val="000000"/>
                <w:sz w:val="16"/>
                <w:szCs w:val="16"/>
                <w:lang w:val="en-AU" w:eastAsia="en-AU"/>
              </w:rPr>
              <w:t>$40,000-$49,999</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5973D201"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10%</w:t>
            </w:r>
          </w:p>
        </w:tc>
        <w:tc>
          <w:tcPr>
            <w:tcW w:w="559" w:type="dxa"/>
            <w:tcBorders>
              <w:top w:val="nil"/>
              <w:left w:val="nil"/>
              <w:bottom w:val="single" w:sz="4" w:space="0" w:color="BFBFBF"/>
              <w:right w:val="single" w:sz="4" w:space="0" w:color="BFBFBF"/>
            </w:tcBorders>
            <w:shd w:val="clear" w:color="auto" w:fill="auto"/>
            <w:noWrap/>
            <w:vAlign w:val="center"/>
          </w:tcPr>
          <w:p w14:paraId="4B4C59DD"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w:t>
            </w:r>
          </w:p>
        </w:tc>
        <w:tc>
          <w:tcPr>
            <w:tcW w:w="603" w:type="dxa"/>
            <w:tcBorders>
              <w:top w:val="nil"/>
              <w:left w:val="nil"/>
              <w:bottom w:val="single" w:sz="4" w:space="0" w:color="BFBFBF"/>
              <w:right w:val="single" w:sz="4" w:space="0" w:color="BFBFBF"/>
            </w:tcBorders>
            <w:shd w:val="clear" w:color="auto" w:fill="auto"/>
            <w:noWrap/>
            <w:vAlign w:val="center"/>
          </w:tcPr>
          <w:p w14:paraId="4B204388"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w:t>
            </w:r>
          </w:p>
        </w:tc>
        <w:tc>
          <w:tcPr>
            <w:tcW w:w="603" w:type="dxa"/>
            <w:tcBorders>
              <w:top w:val="nil"/>
              <w:left w:val="nil"/>
              <w:bottom w:val="single" w:sz="4" w:space="0" w:color="BFBFBF"/>
              <w:right w:val="single" w:sz="4" w:space="0" w:color="auto"/>
            </w:tcBorders>
            <w:shd w:val="clear" w:color="auto" w:fill="auto"/>
            <w:noWrap/>
            <w:vAlign w:val="center"/>
          </w:tcPr>
          <w:p w14:paraId="2FCBA6DA"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32CCC8FF"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18%</w:t>
            </w:r>
          </w:p>
        </w:tc>
        <w:tc>
          <w:tcPr>
            <w:tcW w:w="559" w:type="dxa"/>
            <w:tcBorders>
              <w:top w:val="nil"/>
              <w:left w:val="nil"/>
              <w:bottom w:val="single" w:sz="4" w:space="0" w:color="BFBFBF"/>
              <w:right w:val="single" w:sz="4" w:space="0" w:color="BFBFBF"/>
            </w:tcBorders>
            <w:shd w:val="clear" w:color="auto" w:fill="auto"/>
            <w:noWrap/>
            <w:vAlign w:val="center"/>
          </w:tcPr>
          <w:p w14:paraId="7547A345"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8%</w:t>
            </w:r>
          </w:p>
        </w:tc>
        <w:tc>
          <w:tcPr>
            <w:tcW w:w="603" w:type="dxa"/>
            <w:tcBorders>
              <w:top w:val="nil"/>
              <w:left w:val="nil"/>
              <w:bottom w:val="single" w:sz="4" w:space="0" w:color="BFBFBF"/>
              <w:right w:val="single" w:sz="4" w:space="0" w:color="BFBFBF"/>
            </w:tcBorders>
            <w:shd w:val="clear" w:color="auto" w:fill="auto"/>
            <w:noWrap/>
            <w:vAlign w:val="center"/>
          </w:tcPr>
          <w:p w14:paraId="584F7697"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4%</w:t>
            </w:r>
          </w:p>
        </w:tc>
        <w:tc>
          <w:tcPr>
            <w:tcW w:w="603" w:type="dxa"/>
            <w:tcBorders>
              <w:top w:val="nil"/>
              <w:left w:val="nil"/>
              <w:bottom w:val="single" w:sz="4" w:space="0" w:color="BFBFBF"/>
              <w:right w:val="nil"/>
            </w:tcBorders>
            <w:shd w:val="clear" w:color="auto" w:fill="auto"/>
            <w:noWrap/>
            <w:vAlign w:val="center"/>
          </w:tcPr>
          <w:p w14:paraId="7B8567AD"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47E75C78"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17%</w:t>
            </w:r>
          </w:p>
        </w:tc>
        <w:tc>
          <w:tcPr>
            <w:tcW w:w="559" w:type="dxa"/>
            <w:tcBorders>
              <w:top w:val="nil"/>
              <w:left w:val="nil"/>
              <w:bottom w:val="single" w:sz="4" w:space="0" w:color="BFBFBF"/>
              <w:right w:val="single" w:sz="4" w:space="0" w:color="BFBFBF"/>
            </w:tcBorders>
            <w:shd w:val="clear" w:color="auto" w:fill="auto"/>
            <w:noWrap/>
            <w:vAlign w:val="center"/>
          </w:tcPr>
          <w:p w14:paraId="11D354E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7%</w:t>
            </w:r>
          </w:p>
        </w:tc>
        <w:tc>
          <w:tcPr>
            <w:tcW w:w="603" w:type="dxa"/>
            <w:tcBorders>
              <w:top w:val="nil"/>
              <w:left w:val="nil"/>
              <w:bottom w:val="single" w:sz="4" w:space="0" w:color="BFBFBF"/>
              <w:right w:val="single" w:sz="4" w:space="0" w:color="BFBFBF"/>
            </w:tcBorders>
            <w:shd w:val="clear" w:color="auto" w:fill="auto"/>
            <w:noWrap/>
            <w:vAlign w:val="center"/>
          </w:tcPr>
          <w:p w14:paraId="736D6F5E"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3%</w:t>
            </w:r>
          </w:p>
        </w:tc>
        <w:tc>
          <w:tcPr>
            <w:tcW w:w="603" w:type="dxa"/>
            <w:tcBorders>
              <w:top w:val="nil"/>
              <w:left w:val="nil"/>
              <w:bottom w:val="single" w:sz="4" w:space="0" w:color="BFBFBF"/>
              <w:right w:val="single" w:sz="4" w:space="0" w:color="auto"/>
            </w:tcBorders>
            <w:shd w:val="clear" w:color="auto" w:fill="auto"/>
            <w:noWrap/>
            <w:vAlign w:val="center"/>
          </w:tcPr>
          <w:p w14:paraId="48566B99"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366AAF90"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11%</w:t>
            </w:r>
          </w:p>
        </w:tc>
        <w:tc>
          <w:tcPr>
            <w:tcW w:w="559" w:type="dxa"/>
            <w:tcBorders>
              <w:top w:val="nil"/>
              <w:left w:val="nil"/>
              <w:bottom w:val="single" w:sz="4" w:space="0" w:color="BFBFBF"/>
              <w:right w:val="single" w:sz="4" w:space="0" w:color="BFBFBF"/>
            </w:tcBorders>
            <w:shd w:val="clear" w:color="auto" w:fill="auto"/>
            <w:noWrap/>
            <w:vAlign w:val="center"/>
          </w:tcPr>
          <w:p w14:paraId="35DDFF21"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14%</w:t>
            </w:r>
          </w:p>
        </w:tc>
        <w:tc>
          <w:tcPr>
            <w:tcW w:w="603" w:type="dxa"/>
            <w:tcBorders>
              <w:top w:val="nil"/>
              <w:left w:val="nil"/>
              <w:bottom w:val="single" w:sz="4" w:space="0" w:color="BFBFBF"/>
              <w:right w:val="single" w:sz="4" w:space="0" w:color="BFBFBF"/>
            </w:tcBorders>
            <w:shd w:val="clear" w:color="auto" w:fill="auto"/>
            <w:noWrap/>
            <w:vAlign w:val="center"/>
          </w:tcPr>
          <w:p w14:paraId="20916A55"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13%</w:t>
            </w:r>
          </w:p>
        </w:tc>
        <w:tc>
          <w:tcPr>
            <w:tcW w:w="603" w:type="dxa"/>
            <w:tcBorders>
              <w:top w:val="nil"/>
              <w:left w:val="nil"/>
              <w:bottom w:val="single" w:sz="4" w:space="0" w:color="BFBFBF"/>
              <w:right w:val="single" w:sz="4" w:space="0" w:color="auto"/>
            </w:tcBorders>
            <w:shd w:val="clear" w:color="auto" w:fill="auto"/>
            <w:noWrap/>
            <w:vAlign w:val="center"/>
          </w:tcPr>
          <w:p w14:paraId="05A91473"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8%</w:t>
            </w:r>
          </w:p>
        </w:tc>
        <w:tc>
          <w:tcPr>
            <w:tcW w:w="559" w:type="dxa"/>
            <w:tcBorders>
              <w:top w:val="nil"/>
              <w:left w:val="nil"/>
              <w:bottom w:val="single" w:sz="4" w:space="0" w:color="BFBFBF"/>
              <w:right w:val="single" w:sz="4" w:space="0" w:color="BFBFBF"/>
            </w:tcBorders>
            <w:shd w:val="clear" w:color="auto" w:fill="auto"/>
            <w:noWrap/>
            <w:vAlign w:val="center"/>
          </w:tcPr>
          <w:p w14:paraId="428243E3"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12%</w:t>
            </w:r>
          </w:p>
        </w:tc>
        <w:tc>
          <w:tcPr>
            <w:tcW w:w="559" w:type="dxa"/>
            <w:tcBorders>
              <w:top w:val="nil"/>
              <w:left w:val="nil"/>
              <w:bottom w:val="single" w:sz="4" w:space="0" w:color="BFBFBF"/>
              <w:right w:val="single" w:sz="4" w:space="0" w:color="BFBFBF"/>
            </w:tcBorders>
            <w:shd w:val="clear" w:color="auto" w:fill="auto"/>
            <w:noWrap/>
            <w:vAlign w:val="center"/>
          </w:tcPr>
          <w:p w14:paraId="1A733994"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13%</w:t>
            </w:r>
          </w:p>
        </w:tc>
        <w:tc>
          <w:tcPr>
            <w:tcW w:w="603" w:type="dxa"/>
            <w:tcBorders>
              <w:top w:val="nil"/>
              <w:left w:val="nil"/>
              <w:bottom w:val="single" w:sz="4" w:space="0" w:color="BFBFBF"/>
              <w:right w:val="single" w:sz="4" w:space="0" w:color="BFBFBF"/>
            </w:tcBorders>
            <w:shd w:val="clear" w:color="auto" w:fill="auto"/>
            <w:noWrap/>
            <w:vAlign w:val="center"/>
          </w:tcPr>
          <w:p w14:paraId="51749BA3"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12%</w:t>
            </w:r>
          </w:p>
        </w:tc>
        <w:tc>
          <w:tcPr>
            <w:tcW w:w="603" w:type="dxa"/>
            <w:tcBorders>
              <w:top w:val="nil"/>
              <w:left w:val="nil"/>
              <w:bottom w:val="single" w:sz="4" w:space="0" w:color="BFBFBF"/>
              <w:right w:val="double" w:sz="6" w:space="0" w:color="auto"/>
            </w:tcBorders>
            <w:shd w:val="clear" w:color="auto" w:fill="auto"/>
            <w:noWrap/>
            <w:vAlign w:val="center"/>
          </w:tcPr>
          <w:p w14:paraId="018390E3"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r>
      <w:tr w:rsidR="00B75952" w:rsidRPr="0070127D" w14:paraId="08B667CC" w14:textId="77777777" w:rsidTr="00562A28">
        <w:trPr>
          <w:trHeight w:val="247"/>
          <w:jc w:val="center"/>
        </w:trPr>
        <w:tc>
          <w:tcPr>
            <w:tcW w:w="2755" w:type="dxa"/>
            <w:tcBorders>
              <w:top w:val="nil"/>
              <w:left w:val="double" w:sz="6" w:space="0" w:color="auto"/>
              <w:bottom w:val="single" w:sz="4" w:space="0" w:color="BFBFBF"/>
              <w:right w:val="nil"/>
            </w:tcBorders>
            <w:shd w:val="clear" w:color="auto" w:fill="auto"/>
            <w:noWrap/>
            <w:vAlign w:val="center"/>
          </w:tcPr>
          <w:p w14:paraId="2D65296A" w14:textId="77777777" w:rsidR="00B75952" w:rsidRPr="0070127D" w:rsidRDefault="00B75952" w:rsidP="00B75952">
            <w:pPr>
              <w:spacing w:before="0" w:after="0"/>
              <w:rPr>
                <w:rFonts w:ascii="Arial" w:hAnsi="Arial" w:cs="Arial"/>
                <w:color w:val="000000"/>
                <w:sz w:val="16"/>
                <w:szCs w:val="16"/>
                <w:lang w:val="en-AU" w:eastAsia="en-AU"/>
              </w:rPr>
            </w:pPr>
            <w:r w:rsidRPr="0070127D">
              <w:rPr>
                <w:rFonts w:ascii="Arial" w:hAnsi="Arial" w:cs="Arial"/>
                <w:color w:val="000000"/>
                <w:sz w:val="16"/>
                <w:szCs w:val="16"/>
                <w:lang w:val="en-AU" w:eastAsia="en-AU"/>
              </w:rPr>
              <w:t>$50,000 or more</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1CF28763"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4%</w:t>
            </w:r>
          </w:p>
        </w:tc>
        <w:tc>
          <w:tcPr>
            <w:tcW w:w="559" w:type="dxa"/>
            <w:tcBorders>
              <w:top w:val="nil"/>
              <w:left w:val="nil"/>
              <w:bottom w:val="single" w:sz="4" w:space="0" w:color="BFBFBF"/>
              <w:right w:val="single" w:sz="4" w:space="0" w:color="BFBFBF"/>
            </w:tcBorders>
            <w:shd w:val="clear" w:color="auto" w:fill="auto"/>
            <w:noWrap/>
            <w:vAlign w:val="center"/>
          </w:tcPr>
          <w:p w14:paraId="1F40A1D1"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6%</w:t>
            </w:r>
          </w:p>
        </w:tc>
        <w:tc>
          <w:tcPr>
            <w:tcW w:w="603" w:type="dxa"/>
            <w:tcBorders>
              <w:top w:val="nil"/>
              <w:left w:val="nil"/>
              <w:bottom w:val="single" w:sz="4" w:space="0" w:color="BFBFBF"/>
              <w:right w:val="single" w:sz="4" w:space="0" w:color="BFBFBF"/>
            </w:tcBorders>
            <w:shd w:val="clear" w:color="auto" w:fill="auto"/>
            <w:noWrap/>
            <w:vAlign w:val="center"/>
          </w:tcPr>
          <w:p w14:paraId="0D8C9DA4"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w:t>
            </w:r>
          </w:p>
        </w:tc>
        <w:tc>
          <w:tcPr>
            <w:tcW w:w="603" w:type="dxa"/>
            <w:tcBorders>
              <w:top w:val="nil"/>
              <w:left w:val="nil"/>
              <w:bottom w:val="single" w:sz="4" w:space="0" w:color="BFBFBF"/>
              <w:right w:val="single" w:sz="4" w:space="0" w:color="auto"/>
            </w:tcBorders>
            <w:shd w:val="clear" w:color="auto" w:fill="auto"/>
            <w:noWrap/>
            <w:vAlign w:val="center"/>
          </w:tcPr>
          <w:p w14:paraId="66885C14"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18415601"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10%</w:t>
            </w:r>
          </w:p>
        </w:tc>
        <w:tc>
          <w:tcPr>
            <w:tcW w:w="559" w:type="dxa"/>
            <w:tcBorders>
              <w:top w:val="nil"/>
              <w:left w:val="nil"/>
              <w:bottom w:val="single" w:sz="4" w:space="0" w:color="BFBFBF"/>
              <w:right w:val="single" w:sz="4" w:space="0" w:color="BFBFBF"/>
            </w:tcBorders>
            <w:shd w:val="clear" w:color="auto" w:fill="auto"/>
            <w:noWrap/>
            <w:vAlign w:val="center"/>
          </w:tcPr>
          <w:p w14:paraId="1D8D215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3%</w:t>
            </w:r>
          </w:p>
        </w:tc>
        <w:tc>
          <w:tcPr>
            <w:tcW w:w="603" w:type="dxa"/>
            <w:tcBorders>
              <w:top w:val="nil"/>
              <w:left w:val="nil"/>
              <w:bottom w:val="single" w:sz="4" w:space="0" w:color="BFBFBF"/>
              <w:right w:val="single" w:sz="4" w:space="0" w:color="BFBFBF"/>
            </w:tcBorders>
            <w:shd w:val="clear" w:color="auto" w:fill="auto"/>
            <w:noWrap/>
            <w:vAlign w:val="center"/>
          </w:tcPr>
          <w:p w14:paraId="4A45745A"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w:t>
            </w:r>
          </w:p>
        </w:tc>
        <w:tc>
          <w:tcPr>
            <w:tcW w:w="603" w:type="dxa"/>
            <w:tcBorders>
              <w:top w:val="nil"/>
              <w:left w:val="nil"/>
              <w:bottom w:val="single" w:sz="4" w:space="0" w:color="BFBFBF"/>
              <w:right w:val="nil"/>
            </w:tcBorders>
            <w:shd w:val="clear" w:color="auto" w:fill="auto"/>
            <w:noWrap/>
            <w:vAlign w:val="center"/>
          </w:tcPr>
          <w:p w14:paraId="658D87C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019F748E"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9%</w:t>
            </w:r>
          </w:p>
        </w:tc>
        <w:tc>
          <w:tcPr>
            <w:tcW w:w="559" w:type="dxa"/>
            <w:tcBorders>
              <w:top w:val="nil"/>
              <w:left w:val="nil"/>
              <w:bottom w:val="single" w:sz="4" w:space="0" w:color="BFBFBF"/>
              <w:right w:val="single" w:sz="4" w:space="0" w:color="BFBFBF"/>
            </w:tcBorders>
            <w:shd w:val="clear" w:color="auto" w:fill="auto"/>
            <w:noWrap/>
            <w:vAlign w:val="center"/>
          </w:tcPr>
          <w:p w14:paraId="5D471E16"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3%</w:t>
            </w:r>
          </w:p>
        </w:tc>
        <w:tc>
          <w:tcPr>
            <w:tcW w:w="603" w:type="dxa"/>
            <w:tcBorders>
              <w:top w:val="nil"/>
              <w:left w:val="nil"/>
              <w:bottom w:val="single" w:sz="4" w:space="0" w:color="BFBFBF"/>
              <w:right w:val="single" w:sz="4" w:space="0" w:color="BFBFBF"/>
            </w:tcBorders>
            <w:shd w:val="clear" w:color="auto" w:fill="auto"/>
            <w:noWrap/>
            <w:vAlign w:val="center"/>
          </w:tcPr>
          <w:p w14:paraId="0C5A1C2C"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w:t>
            </w:r>
          </w:p>
        </w:tc>
        <w:tc>
          <w:tcPr>
            <w:tcW w:w="603" w:type="dxa"/>
            <w:tcBorders>
              <w:top w:val="nil"/>
              <w:left w:val="nil"/>
              <w:bottom w:val="single" w:sz="4" w:space="0" w:color="BFBFBF"/>
              <w:right w:val="single" w:sz="4" w:space="0" w:color="auto"/>
            </w:tcBorders>
            <w:shd w:val="clear" w:color="auto" w:fill="auto"/>
            <w:noWrap/>
            <w:vAlign w:val="center"/>
          </w:tcPr>
          <w:p w14:paraId="77F76B52"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69DD107D"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61%</w:t>
            </w:r>
          </w:p>
        </w:tc>
        <w:tc>
          <w:tcPr>
            <w:tcW w:w="559" w:type="dxa"/>
            <w:tcBorders>
              <w:top w:val="nil"/>
              <w:left w:val="nil"/>
              <w:bottom w:val="single" w:sz="4" w:space="0" w:color="BFBFBF"/>
              <w:right w:val="single" w:sz="4" w:space="0" w:color="BFBFBF"/>
            </w:tcBorders>
            <w:shd w:val="clear" w:color="auto" w:fill="auto"/>
            <w:noWrap/>
            <w:vAlign w:val="center"/>
          </w:tcPr>
          <w:p w14:paraId="60CE743C"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31%</w:t>
            </w:r>
          </w:p>
        </w:tc>
        <w:tc>
          <w:tcPr>
            <w:tcW w:w="603" w:type="dxa"/>
            <w:tcBorders>
              <w:top w:val="nil"/>
              <w:left w:val="nil"/>
              <w:bottom w:val="single" w:sz="4" w:space="0" w:color="BFBFBF"/>
              <w:right w:val="single" w:sz="4" w:space="0" w:color="BFBFBF"/>
            </w:tcBorders>
            <w:shd w:val="clear" w:color="auto" w:fill="auto"/>
            <w:noWrap/>
            <w:vAlign w:val="center"/>
          </w:tcPr>
          <w:p w14:paraId="6B4E000E"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21%</w:t>
            </w:r>
          </w:p>
        </w:tc>
        <w:tc>
          <w:tcPr>
            <w:tcW w:w="603" w:type="dxa"/>
            <w:tcBorders>
              <w:top w:val="nil"/>
              <w:left w:val="nil"/>
              <w:bottom w:val="single" w:sz="4" w:space="0" w:color="BFBFBF"/>
              <w:right w:val="single" w:sz="4" w:space="0" w:color="auto"/>
            </w:tcBorders>
            <w:shd w:val="clear" w:color="auto" w:fill="auto"/>
            <w:noWrap/>
            <w:vAlign w:val="center"/>
          </w:tcPr>
          <w:p w14:paraId="2A650642"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8%</w:t>
            </w:r>
          </w:p>
        </w:tc>
        <w:tc>
          <w:tcPr>
            <w:tcW w:w="559" w:type="dxa"/>
            <w:tcBorders>
              <w:top w:val="nil"/>
              <w:left w:val="nil"/>
              <w:bottom w:val="single" w:sz="4" w:space="0" w:color="BFBFBF"/>
              <w:right w:val="single" w:sz="4" w:space="0" w:color="BFBFBF"/>
            </w:tcBorders>
            <w:shd w:val="clear" w:color="auto" w:fill="auto"/>
            <w:noWrap/>
            <w:vAlign w:val="center"/>
          </w:tcPr>
          <w:p w14:paraId="00ADDE7C" w14:textId="77777777" w:rsidR="00B75952" w:rsidRPr="0070127D" w:rsidRDefault="00B75952" w:rsidP="0070127D">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r w:rsidR="0070127D" w:rsidRPr="0070127D">
              <w:rPr>
                <w:rFonts w:ascii="Arial" w:hAnsi="Arial" w:cs="Arial"/>
                <w:color w:val="000000"/>
                <w:sz w:val="16"/>
                <w:szCs w:val="16"/>
                <w:lang w:val="en-AU" w:eastAsia="en-AU"/>
              </w:rPr>
              <w:t>1</w:t>
            </w:r>
            <w:r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293CD99F"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29%</w:t>
            </w:r>
          </w:p>
        </w:tc>
        <w:tc>
          <w:tcPr>
            <w:tcW w:w="603" w:type="dxa"/>
            <w:tcBorders>
              <w:top w:val="nil"/>
              <w:left w:val="nil"/>
              <w:bottom w:val="single" w:sz="4" w:space="0" w:color="BFBFBF"/>
              <w:right w:val="single" w:sz="4" w:space="0" w:color="BFBFBF"/>
            </w:tcBorders>
            <w:shd w:val="clear" w:color="auto" w:fill="auto"/>
            <w:noWrap/>
            <w:vAlign w:val="center"/>
          </w:tcPr>
          <w:p w14:paraId="1E756070"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20%</w:t>
            </w:r>
          </w:p>
        </w:tc>
        <w:tc>
          <w:tcPr>
            <w:tcW w:w="603" w:type="dxa"/>
            <w:tcBorders>
              <w:top w:val="nil"/>
              <w:left w:val="nil"/>
              <w:bottom w:val="single" w:sz="4" w:space="0" w:color="BFBFBF"/>
              <w:right w:val="double" w:sz="6" w:space="0" w:color="auto"/>
            </w:tcBorders>
            <w:shd w:val="clear" w:color="auto" w:fill="auto"/>
            <w:noWrap/>
            <w:vAlign w:val="center"/>
          </w:tcPr>
          <w:p w14:paraId="18016618"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r>
      <w:tr w:rsidR="00B75952" w:rsidRPr="0070127D" w14:paraId="5A2878A4" w14:textId="77777777" w:rsidTr="00562A28">
        <w:trPr>
          <w:trHeight w:val="247"/>
          <w:jc w:val="center"/>
        </w:trPr>
        <w:tc>
          <w:tcPr>
            <w:tcW w:w="2755" w:type="dxa"/>
            <w:tcBorders>
              <w:top w:val="nil"/>
              <w:left w:val="double" w:sz="6" w:space="0" w:color="auto"/>
              <w:bottom w:val="single" w:sz="4" w:space="0" w:color="BFBFBF"/>
              <w:right w:val="nil"/>
            </w:tcBorders>
            <w:shd w:val="clear" w:color="auto" w:fill="auto"/>
            <w:noWrap/>
            <w:vAlign w:val="center"/>
          </w:tcPr>
          <w:p w14:paraId="58B8BA5D" w14:textId="77777777" w:rsidR="00B75952" w:rsidRPr="0070127D" w:rsidRDefault="00B75952" w:rsidP="00B75952">
            <w:pPr>
              <w:spacing w:before="0" w:after="0"/>
              <w:rPr>
                <w:rFonts w:ascii="Arial" w:hAnsi="Arial" w:cs="Arial"/>
                <w:color w:val="000000"/>
                <w:sz w:val="16"/>
                <w:szCs w:val="16"/>
                <w:lang w:val="en-AU" w:eastAsia="en-AU"/>
              </w:rPr>
            </w:pPr>
            <w:r w:rsidRPr="0070127D">
              <w:rPr>
                <w:rFonts w:ascii="Arial" w:hAnsi="Arial" w:cs="Arial"/>
                <w:color w:val="000000"/>
                <w:sz w:val="16"/>
                <w:szCs w:val="16"/>
                <w:lang w:val="en-AU" w:eastAsia="en-AU"/>
              </w:rPr>
              <w:t>Can’t say</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41D25B4A" w14:textId="77777777" w:rsidR="00B75952" w:rsidRPr="0070127D" w:rsidRDefault="0070127D" w:rsidP="0070127D">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13%</w:t>
            </w:r>
          </w:p>
        </w:tc>
        <w:tc>
          <w:tcPr>
            <w:tcW w:w="559" w:type="dxa"/>
            <w:tcBorders>
              <w:top w:val="nil"/>
              <w:left w:val="nil"/>
              <w:bottom w:val="single" w:sz="4" w:space="0" w:color="BFBFBF"/>
              <w:right w:val="single" w:sz="4" w:space="0" w:color="BFBFBF"/>
            </w:tcBorders>
            <w:shd w:val="clear" w:color="auto" w:fill="auto"/>
            <w:noWrap/>
            <w:vAlign w:val="center"/>
          </w:tcPr>
          <w:p w14:paraId="3E04EB6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32%</w:t>
            </w:r>
          </w:p>
        </w:tc>
        <w:tc>
          <w:tcPr>
            <w:tcW w:w="603" w:type="dxa"/>
            <w:tcBorders>
              <w:top w:val="nil"/>
              <w:left w:val="nil"/>
              <w:bottom w:val="single" w:sz="4" w:space="0" w:color="BFBFBF"/>
              <w:right w:val="single" w:sz="4" w:space="0" w:color="BFBFBF"/>
            </w:tcBorders>
            <w:shd w:val="clear" w:color="auto" w:fill="auto"/>
            <w:noWrap/>
            <w:vAlign w:val="center"/>
          </w:tcPr>
          <w:p w14:paraId="5DC830ED"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w:t>
            </w:r>
          </w:p>
        </w:tc>
        <w:tc>
          <w:tcPr>
            <w:tcW w:w="603" w:type="dxa"/>
            <w:tcBorders>
              <w:top w:val="nil"/>
              <w:left w:val="nil"/>
              <w:bottom w:val="single" w:sz="4" w:space="0" w:color="BFBFBF"/>
              <w:right w:val="single" w:sz="4" w:space="0" w:color="auto"/>
            </w:tcBorders>
            <w:shd w:val="clear" w:color="auto" w:fill="auto"/>
            <w:noWrap/>
            <w:vAlign w:val="center"/>
          </w:tcPr>
          <w:p w14:paraId="6409D1C2"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c>
          <w:tcPr>
            <w:tcW w:w="559" w:type="dxa"/>
            <w:tcBorders>
              <w:top w:val="nil"/>
              <w:left w:val="nil"/>
              <w:bottom w:val="single" w:sz="4" w:space="0" w:color="BFBFBF"/>
              <w:right w:val="single" w:sz="4" w:space="0" w:color="BFBFBF"/>
            </w:tcBorders>
            <w:shd w:val="clear" w:color="auto" w:fill="auto"/>
            <w:noWrap/>
            <w:vAlign w:val="center"/>
          </w:tcPr>
          <w:p w14:paraId="67C0DB43" w14:textId="77777777" w:rsidR="00B75952" w:rsidRPr="0070127D" w:rsidRDefault="0070127D"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c>
          <w:tcPr>
            <w:tcW w:w="559" w:type="dxa"/>
            <w:tcBorders>
              <w:top w:val="nil"/>
              <w:left w:val="nil"/>
              <w:bottom w:val="single" w:sz="4" w:space="0" w:color="BFBFBF"/>
              <w:right w:val="single" w:sz="4" w:space="0" w:color="BFBFBF"/>
            </w:tcBorders>
            <w:shd w:val="clear" w:color="auto" w:fill="auto"/>
            <w:noWrap/>
            <w:vAlign w:val="center"/>
          </w:tcPr>
          <w:p w14:paraId="6CA886BC"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8%</w:t>
            </w:r>
          </w:p>
        </w:tc>
        <w:tc>
          <w:tcPr>
            <w:tcW w:w="603" w:type="dxa"/>
            <w:tcBorders>
              <w:top w:val="nil"/>
              <w:left w:val="nil"/>
              <w:bottom w:val="single" w:sz="4" w:space="0" w:color="BFBFBF"/>
              <w:right w:val="single" w:sz="4" w:space="0" w:color="BFBFBF"/>
            </w:tcBorders>
            <w:shd w:val="clear" w:color="auto" w:fill="auto"/>
            <w:noWrap/>
            <w:vAlign w:val="center"/>
          </w:tcPr>
          <w:p w14:paraId="1845BBA2"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c>
          <w:tcPr>
            <w:tcW w:w="603" w:type="dxa"/>
            <w:tcBorders>
              <w:top w:val="nil"/>
              <w:left w:val="nil"/>
              <w:bottom w:val="single" w:sz="4" w:space="0" w:color="BFBFBF"/>
              <w:right w:val="nil"/>
            </w:tcBorders>
            <w:shd w:val="clear" w:color="auto" w:fill="auto"/>
            <w:noWrap/>
            <w:vAlign w:val="center"/>
          </w:tcPr>
          <w:p w14:paraId="463BE787"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c>
          <w:tcPr>
            <w:tcW w:w="559" w:type="dxa"/>
            <w:tcBorders>
              <w:top w:val="nil"/>
              <w:left w:val="single" w:sz="4" w:space="0" w:color="auto"/>
              <w:bottom w:val="single" w:sz="4" w:space="0" w:color="BFBFBF"/>
              <w:right w:val="single" w:sz="4" w:space="0" w:color="BFBFBF"/>
            </w:tcBorders>
            <w:shd w:val="clear" w:color="auto" w:fill="auto"/>
            <w:noWrap/>
            <w:vAlign w:val="center"/>
          </w:tcPr>
          <w:p w14:paraId="032E104C" w14:textId="77777777" w:rsidR="00B75952" w:rsidRPr="0070127D" w:rsidRDefault="0070127D"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7%</w:t>
            </w:r>
          </w:p>
        </w:tc>
        <w:tc>
          <w:tcPr>
            <w:tcW w:w="559" w:type="dxa"/>
            <w:tcBorders>
              <w:top w:val="nil"/>
              <w:left w:val="nil"/>
              <w:bottom w:val="single" w:sz="4" w:space="0" w:color="BFBFBF"/>
              <w:right w:val="single" w:sz="4" w:space="0" w:color="BFBFBF"/>
            </w:tcBorders>
            <w:shd w:val="clear" w:color="auto" w:fill="auto"/>
            <w:noWrap/>
            <w:vAlign w:val="center"/>
          </w:tcPr>
          <w:p w14:paraId="1933D674"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11%</w:t>
            </w:r>
          </w:p>
        </w:tc>
        <w:tc>
          <w:tcPr>
            <w:tcW w:w="603" w:type="dxa"/>
            <w:tcBorders>
              <w:top w:val="nil"/>
              <w:left w:val="nil"/>
              <w:bottom w:val="single" w:sz="4" w:space="0" w:color="BFBFBF"/>
              <w:right w:val="single" w:sz="4" w:space="0" w:color="BFBFBF"/>
            </w:tcBorders>
            <w:shd w:val="clear" w:color="auto" w:fill="auto"/>
            <w:noWrap/>
            <w:vAlign w:val="center"/>
          </w:tcPr>
          <w:p w14:paraId="74B6E560"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c>
          <w:tcPr>
            <w:tcW w:w="603" w:type="dxa"/>
            <w:tcBorders>
              <w:top w:val="nil"/>
              <w:left w:val="nil"/>
              <w:bottom w:val="single" w:sz="4" w:space="0" w:color="BFBFBF"/>
              <w:right w:val="single" w:sz="4" w:space="0" w:color="auto"/>
            </w:tcBorders>
            <w:shd w:val="clear" w:color="auto" w:fill="auto"/>
            <w:noWrap/>
            <w:vAlign w:val="center"/>
          </w:tcPr>
          <w:p w14:paraId="278A7E6D"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5%</w:t>
            </w:r>
          </w:p>
        </w:tc>
        <w:tc>
          <w:tcPr>
            <w:tcW w:w="559" w:type="dxa"/>
            <w:tcBorders>
              <w:top w:val="nil"/>
              <w:left w:val="nil"/>
              <w:bottom w:val="single" w:sz="4" w:space="0" w:color="BFBFBF"/>
              <w:right w:val="single" w:sz="4" w:space="0" w:color="BFBFBF"/>
            </w:tcBorders>
            <w:shd w:val="clear" w:color="auto" w:fill="auto"/>
            <w:noWrap/>
            <w:vAlign w:val="center"/>
          </w:tcPr>
          <w:p w14:paraId="0720DA77" w14:textId="77777777" w:rsidR="00B75952" w:rsidRPr="0070127D" w:rsidRDefault="0070127D" w:rsidP="0070127D">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8</w:t>
            </w:r>
            <w:r w:rsidR="00B75952" w:rsidRPr="0070127D">
              <w:rPr>
                <w:rFonts w:ascii="Arial" w:hAnsi="Arial" w:cs="Arial"/>
                <w:color w:val="000000"/>
                <w:sz w:val="16"/>
                <w:szCs w:val="16"/>
                <w:lang w:val="en-AU" w:eastAsia="en-AU"/>
              </w:rPr>
              <w:t>%</w:t>
            </w:r>
          </w:p>
        </w:tc>
        <w:tc>
          <w:tcPr>
            <w:tcW w:w="559" w:type="dxa"/>
            <w:tcBorders>
              <w:top w:val="nil"/>
              <w:left w:val="nil"/>
              <w:bottom w:val="single" w:sz="4" w:space="0" w:color="BFBFBF"/>
              <w:right w:val="single" w:sz="4" w:space="0" w:color="BFBFBF"/>
            </w:tcBorders>
            <w:shd w:val="clear" w:color="auto" w:fill="auto"/>
            <w:noWrap/>
            <w:vAlign w:val="center"/>
          </w:tcPr>
          <w:p w14:paraId="1269C9E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17%</w:t>
            </w:r>
          </w:p>
        </w:tc>
        <w:tc>
          <w:tcPr>
            <w:tcW w:w="603" w:type="dxa"/>
            <w:tcBorders>
              <w:top w:val="nil"/>
              <w:left w:val="nil"/>
              <w:bottom w:val="single" w:sz="4" w:space="0" w:color="BFBFBF"/>
              <w:right w:val="single" w:sz="4" w:space="0" w:color="BFBFBF"/>
            </w:tcBorders>
            <w:shd w:val="clear" w:color="auto" w:fill="auto"/>
            <w:noWrap/>
            <w:vAlign w:val="center"/>
          </w:tcPr>
          <w:p w14:paraId="7F74092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9%</w:t>
            </w:r>
          </w:p>
        </w:tc>
        <w:tc>
          <w:tcPr>
            <w:tcW w:w="603" w:type="dxa"/>
            <w:tcBorders>
              <w:top w:val="nil"/>
              <w:left w:val="nil"/>
              <w:bottom w:val="single" w:sz="4" w:space="0" w:color="BFBFBF"/>
              <w:right w:val="single" w:sz="4" w:space="0" w:color="auto"/>
            </w:tcBorders>
            <w:shd w:val="clear" w:color="auto" w:fill="auto"/>
            <w:noWrap/>
            <w:vAlign w:val="center"/>
          </w:tcPr>
          <w:p w14:paraId="2190BDCB"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7%</w:t>
            </w:r>
          </w:p>
        </w:tc>
        <w:tc>
          <w:tcPr>
            <w:tcW w:w="559" w:type="dxa"/>
            <w:tcBorders>
              <w:top w:val="nil"/>
              <w:left w:val="nil"/>
              <w:bottom w:val="single" w:sz="4" w:space="0" w:color="BFBFBF"/>
              <w:right w:val="single" w:sz="4" w:space="0" w:color="BFBFBF"/>
            </w:tcBorders>
            <w:shd w:val="clear" w:color="auto" w:fill="auto"/>
            <w:noWrap/>
            <w:vAlign w:val="center"/>
          </w:tcPr>
          <w:p w14:paraId="48CDE24C"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8%</w:t>
            </w:r>
          </w:p>
        </w:tc>
        <w:tc>
          <w:tcPr>
            <w:tcW w:w="559" w:type="dxa"/>
            <w:tcBorders>
              <w:top w:val="nil"/>
              <w:left w:val="nil"/>
              <w:bottom w:val="single" w:sz="4" w:space="0" w:color="BFBFBF"/>
              <w:right w:val="single" w:sz="4" w:space="0" w:color="BFBFBF"/>
            </w:tcBorders>
            <w:shd w:val="clear" w:color="auto" w:fill="auto"/>
            <w:noWrap/>
            <w:vAlign w:val="center"/>
          </w:tcPr>
          <w:p w14:paraId="1D6F5760"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16%</w:t>
            </w:r>
          </w:p>
        </w:tc>
        <w:tc>
          <w:tcPr>
            <w:tcW w:w="603" w:type="dxa"/>
            <w:tcBorders>
              <w:top w:val="nil"/>
              <w:left w:val="nil"/>
              <w:bottom w:val="single" w:sz="4" w:space="0" w:color="BFBFBF"/>
              <w:right w:val="single" w:sz="4" w:space="0" w:color="BFBFBF"/>
            </w:tcBorders>
            <w:shd w:val="clear" w:color="auto" w:fill="auto"/>
            <w:noWrap/>
            <w:vAlign w:val="center"/>
          </w:tcPr>
          <w:p w14:paraId="5377C894"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9%</w:t>
            </w:r>
          </w:p>
        </w:tc>
        <w:tc>
          <w:tcPr>
            <w:tcW w:w="603" w:type="dxa"/>
            <w:tcBorders>
              <w:top w:val="nil"/>
              <w:left w:val="nil"/>
              <w:bottom w:val="single" w:sz="4" w:space="0" w:color="BFBFBF"/>
              <w:right w:val="double" w:sz="6" w:space="0" w:color="auto"/>
            </w:tcBorders>
            <w:shd w:val="clear" w:color="auto" w:fill="auto"/>
            <w:noWrap/>
            <w:vAlign w:val="center"/>
          </w:tcPr>
          <w:p w14:paraId="3556B347" w14:textId="77777777" w:rsidR="00B75952" w:rsidRPr="0070127D" w:rsidRDefault="00B75952" w:rsidP="00B75952">
            <w:pPr>
              <w:spacing w:before="0" w:after="0"/>
              <w:jc w:val="center"/>
              <w:rPr>
                <w:rFonts w:ascii="Arial" w:hAnsi="Arial" w:cs="Arial"/>
                <w:color w:val="000000"/>
                <w:sz w:val="16"/>
                <w:szCs w:val="16"/>
                <w:lang w:val="en-AU" w:eastAsia="en-AU"/>
              </w:rPr>
            </w:pPr>
            <w:r w:rsidRPr="0070127D">
              <w:rPr>
                <w:rFonts w:ascii="Arial" w:hAnsi="Arial" w:cs="Arial"/>
                <w:color w:val="000000"/>
                <w:sz w:val="16"/>
                <w:szCs w:val="16"/>
                <w:lang w:val="en-AU" w:eastAsia="en-AU"/>
              </w:rPr>
              <w:t>6%</w:t>
            </w:r>
          </w:p>
        </w:tc>
      </w:tr>
      <w:tr w:rsidR="00B75952" w:rsidRPr="0070127D" w14:paraId="42C1A1B0" w14:textId="77777777" w:rsidTr="00562A28">
        <w:trPr>
          <w:trHeight w:val="264"/>
          <w:jc w:val="center"/>
        </w:trPr>
        <w:tc>
          <w:tcPr>
            <w:tcW w:w="2755" w:type="dxa"/>
            <w:tcBorders>
              <w:top w:val="nil"/>
              <w:left w:val="double" w:sz="6" w:space="0" w:color="auto"/>
              <w:bottom w:val="double" w:sz="6" w:space="0" w:color="auto"/>
              <w:right w:val="nil"/>
            </w:tcBorders>
            <w:shd w:val="clear" w:color="auto" w:fill="auto"/>
            <w:noWrap/>
            <w:vAlign w:val="center"/>
          </w:tcPr>
          <w:p w14:paraId="5DA92137" w14:textId="77777777" w:rsidR="00B75952" w:rsidRPr="0070127D" w:rsidRDefault="00B75952" w:rsidP="00B75952">
            <w:pPr>
              <w:spacing w:before="0" w:after="0"/>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Mean ($’000)</w:t>
            </w:r>
          </w:p>
        </w:tc>
        <w:tc>
          <w:tcPr>
            <w:tcW w:w="559" w:type="dxa"/>
            <w:tcBorders>
              <w:top w:val="nil"/>
              <w:left w:val="single" w:sz="4" w:space="0" w:color="auto"/>
              <w:bottom w:val="double" w:sz="6" w:space="0" w:color="auto"/>
              <w:right w:val="single" w:sz="4" w:space="0" w:color="BFBFBF"/>
            </w:tcBorders>
            <w:shd w:val="clear" w:color="auto" w:fill="auto"/>
            <w:noWrap/>
            <w:vAlign w:val="center"/>
          </w:tcPr>
          <w:p w14:paraId="3C6C1B90" w14:textId="77777777" w:rsidR="00B75952" w:rsidRPr="0070127D" w:rsidRDefault="00B75952" w:rsidP="0070127D">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30.</w:t>
            </w:r>
            <w:r w:rsidR="0070127D">
              <w:rPr>
                <w:rFonts w:ascii="Arial" w:hAnsi="Arial" w:cs="Arial"/>
                <w:b/>
                <w:bCs/>
                <w:color w:val="000000"/>
                <w:sz w:val="16"/>
                <w:szCs w:val="16"/>
                <w:lang w:val="en-AU" w:eastAsia="en-AU"/>
              </w:rPr>
              <w:t>1</w:t>
            </w:r>
          </w:p>
        </w:tc>
        <w:tc>
          <w:tcPr>
            <w:tcW w:w="559" w:type="dxa"/>
            <w:tcBorders>
              <w:top w:val="nil"/>
              <w:left w:val="nil"/>
              <w:bottom w:val="double" w:sz="6" w:space="0" w:color="auto"/>
              <w:right w:val="single" w:sz="4" w:space="0" w:color="BFBFBF"/>
            </w:tcBorders>
            <w:shd w:val="clear" w:color="auto" w:fill="auto"/>
            <w:noWrap/>
            <w:vAlign w:val="center"/>
          </w:tcPr>
          <w:p w14:paraId="1A6A4253"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22.8</w:t>
            </w:r>
          </w:p>
        </w:tc>
        <w:tc>
          <w:tcPr>
            <w:tcW w:w="603" w:type="dxa"/>
            <w:tcBorders>
              <w:top w:val="nil"/>
              <w:left w:val="nil"/>
              <w:bottom w:val="double" w:sz="6" w:space="0" w:color="auto"/>
              <w:right w:val="single" w:sz="4" w:space="0" w:color="BFBFBF"/>
            </w:tcBorders>
            <w:shd w:val="clear" w:color="auto" w:fill="auto"/>
            <w:noWrap/>
            <w:vAlign w:val="center"/>
          </w:tcPr>
          <w:p w14:paraId="797F29EA"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19.6</w:t>
            </w:r>
          </w:p>
        </w:tc>
        <w:tc>
          <w:tcPr>
            <w:tcW w:w="603" w:type="dxa"/>
            <w:tcBorders>
              <w:top w:val="nil"/>
              <w:left w:val="nil"/>
              <w:bottom w:val="double" w:sz="6" w:space="0" w:color="auto"/>
              <w:right w:val="single" w:sz="4" w:space="0" w:color="auto"/>
            </w:tcBorders>
            <w:shd w:val="clear" w:color="auto" w:fill="auto"/>
            <w:noWrap/>
            <w:vAlign w:val="center"/>
          </w:tcPr>
          <w:p w14:paraId="1E77E5F4"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11.0</w:t>
            </w:r>
          </w:p>
        </w:tc>
        <w:tc>
          <w:tcPr>
            <w:tcW w:w="559" w:type="dxa"/>
            <w:tcBorders>
              <w:top w:val="nil"/>
              <w:left w:val="nil"/>
              <w:bottom w:val="double" w:sz="6" w:space="0" w:color="auto"/>
              <w:right w:val="single" w:sz="4" w:space="0" w:color="BFBFBF"/>
            </w:tcBorders>
            <w:shd w:val="clear" w:color="auto" w:fill="auto"/>
            <w:noWrap/>
            <w:vAlign w:val="center"/>
          </w:tcPr>
          <w:p w14:paraId="78BD8380" w14:textId="77777777" w:rsidR="00B75952" w:rsidRPr="0070127D" w:rsidRDefault="00B75952" w:rsidP="0070127D">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36.</w:t>
            </w:r>
            <w:r w:rsidR="0070127D">
              <w:rPr>
                <w:rFonts w:ascii="Arial" w:hAnsi="Arial" w:cs="Arial"/>
                <w:b/>
                <w:bCs/>
                <w:color w:val="000000"/>
                <w:sz w:val="16"/>
                <w:szCs w:val="16"/>
                <w:lang w:val="en-AU" w:eastAsia="en-AU"/>
              </w:rPr>
              <w:t>1</w:t>
            </w:r>
          </w:p>
        </w:tc>
        <w:tc>
          <w:tcPr>
            <w:tcW w:w="559" w:type="dxa"/>
            <w:tcBorders>
              <w:top w:val="nil"/>
              <w:left w:val="nil"/>
              <w:bottom w:val="double" w:sz="6" w:space="0" w:color="auto"/>
              <w:right w:val="single" w:sz="4" w:space="0" w:color="BFBFBF"/>
            </w:tcBorders>
            <w:shd w:val="clear" w:color="auto" w:fill="auto"/>
            <w:noWrap/>
            <w:vAlign w:val="center"/>
          </w:tcPr>
          <w:p w14:paraId="196AB8BE"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24.1</w:t>
            </w:r>
          </w:p>
        </w:tc>
        <w:tc>
          <w:tcPr>
            <w:tcW w:w="603" w:type="dxa"/>
            <w:tcBorders>
              <w:top w:val="nil"/>
              <w:left w:val="nil"/>
              <w:bottom w:val="double" w:sz="6" w:space="0" w:color="auto"/>
              <w:right w:val="single" w:sz="4" w:space="0" w:color="BFBFBF"/>
            </w:tcBorders>
            <w:shd w:val="clear" w:color="auto" w:fill="auto"/>
            <w:noWrap/>
            <w:vAlign w:val="center"/>
          </w:tcPr>
          <w:p w14:paraId="2E3E1296"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19.1</w:t>
            </w:r>
          </w:p>
        </w:tc>
        <w:tc>
          <w:tcPr>
            <w:tcW w:w="603" w:type="dxa"/>
            <w:tcBorders>
              <w:top w:val="nil"/>
              <w:left w:val="nil"/>
              <w:bottom w:val="double" w:sz="6" w:space="0" w:color="auto"/>
              <w:right w:val="nil"/>
            </w:tcBorders>
            <w:shd w:val="clear" w:color="auto" w:fill="auto"/>
            <w:noWrap/>
            <w:vAlign w:val="center"/>
          </w:tcPr>
          <w:p w14:paraId="1E5BDBDC"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12.5</w:t>
            </w:r>
          </w:p>
        </w:tc>
        <w:tc>
          <w:tcPr>
            <w:tcW w:w="559" w:type="dxa"/>
            <w:tcBorders>
              <w:top w:val="nil"/>
              <w:left w:val="single" w:sz="4" w:space="0" w:color="auto"/>
              <w:bottom w:val="double" w:sz="6" w:space="0" w:color="auto"/>
              <w:right w:val="single" w:sz="4" w:space="0" w:color="BFBFBF"/>
            </w:tcBorders>
            <w:shd w:val="clear" w:color="auto" w:fill="auto"/>
            <w:noWrap/>
            <w:vAlign w:val="center"/>
          </w:tcPr>
          <w:p w14:paraId="450E58D2" w14:textId="77777777" w:rsidR="00B75952" w:rsidRPr="0070127D" w:rsidRDefault="00B75952" w:rsidP="0070127D">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35.</w:t>
            </w:r>
            <w:r w:rsidR="0070127D">
              <w:rPr>
                <w:rFonts w:ascii="Arial" w:hAnsi="Arial" w:cs="Arial"/>
                <w:b/>
                <w:bCs/>
                <w:color w:val="000000"/>
                <w:sz w:val="16"/>
                <w:szCs w:val="16"/>
                <w:lang w:val="en-AU" w:eastAsia="en-AU"/>
              </w:rPr>
              <w:t>1</w:t>
            </w:r>
          </w:p>
        </w:tc>
        <w:tc>
          <w:tcPr>
            <w:tcW w:w="559" w:type="dxa"/>
            <w:tcBorders>
              <w:top w:val="nil"/>
              <w:left w:val="nil"/>
              <w:bottom w:val="double" w:sz="6" w:space="0" w:color="auto"/>
              <w:right w:val="single" w:sz="4" w:space="0" w:color="BFBFBF"/>
            </w:tcBorders>
            <w:shd w:val="clear" w:color="auto" w:fill="auto"/>
            <w:noWrap/>
            <w:vAlign w:val="center"/>
          </w:tcPr>
          <w:p w14:paraId="52723838"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24</w:t>
            </w:r>
            <w:r w:rsidR="00DD0ED3" w:rsidRPr="0070127D">
              <w:rPr>
                <w:rFonts w:ascii="Arial" w:hAnsi="Arial" w:cs="Arial"/>
                <w:b/>
                <w:bCs/>
                <w:color w:val="000000"/>
                <w:sz w:val="16"/>
                <w:szCs w:val="16"/>
                <w:lang w:val="en-AU" w:eastAsia="en-AU"/>
              </w:rPr>
              <w:t>.0</w:t>
            </w:r>
          </w:p>
        </w:tc>
        <w:tc>
          <w:tcPr>
            <w:tcW w:w="603" w:type="dxa"/>
            <w:tcBorders>
              <w:top w:val="nil"/>
              <w:left w:val="nil"/>
              <w:bottom w:val="double" w:sz="6" w:space="0" w:color="auto"/>
              <w:right w:val="single" w:sz="4" w:space="0" w:color="BFBFBF"/>
            </w:tcBorders>
            <w:shd w:val="clear" w:color="auto" w:fill="auto"/>
            <w:noWrap/>
            <w:vAlign w:val="center"/>
          </w:tcPr>
          <w:p w14:paraId="02E3A493"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19.1</w:t>
            </w:r>
          </w:p>
        </w:tc>
        <w:tc>
          <w:tcPr>
            <w:tcW w:w="603" w:type="dxa"/>
            <w:tcBorders>
              <w:top w:val="nil"/>
              <w:left w:val="nil"/>
              <w:bottom w:val="double" w:sz="6" w:space="0" w:color="auto"/>
              <w:right w:val="single" w:sz="4" w:space="0" w:color="auto"/>
            </w:tcBorders>
            <w:shd w:val="clear" w:color="auto" w:fill="auto"/>
            <w:noWrap/>
            <w:vAlign w:val="center"/>
          </w:tcPr>
          <w:p w14:paraId="722D41EA"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11.8</w:t>
            </w:r>
          </w:p>
        </w:tc>
        <w:tc>
          <w:tcPr>
            <w:tcW w:w="559" w:type="dxa"/>
            <w:tcBorders>
              <w:top w:val="nil"/>
              <w:left w:val="nil"/>
              <w:bottom w:val="double" w:sz="6" w:space="0" w:color="auto"/>
              <w:right w:val="single" w:sz="4" w:space="0" w:color="BFBFBF"/>
            </w:tcBorders>
            <w:shd w:val="clear" w:color="auto" w:fill="auto"/>
            <w:noWrap/>
            <w:vAlign w:val="center"/>
          </w:tcPr>
          <w:p w14:paraId="4D4695C9"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73.9</w:t>
            </w:r>
          </w:p>
        </w:tc>
        <w:tc>
          <w:tcPr>
            <w:tcW w:w="559" w:type="dxa"/>
            <w:tcBorders>
              <w:top w:val="nil"/>
              <w:left w:val="nil"/>
              <w:bottom w:val="double" w:sz="6" w:space="0" w:color="auto"/>
              <w:right w:val="single" w:sz="4" w:space="0" w:color="BFBFBF"/>
            </w:tcBorders>
            <w:shd w:val="clear" w:color="auto" w:fill="auto"/>
            <w:noWrap/>
            <w:vAlign w:val="center"/>
          </w:tcPr>
          <w:p w14:paraId="27ED2074"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52</w:t>
            </w:r>
            <w:r w:rsidR="00DD0ED3" w:rsidRPr="0070127D">
              <w:rPr>
                <w:rFonts w:ascii="Arial" w:hAnsi="Arial" w:cs="Arial"/>
                <w:b/>
                <w:bCs/>
                <w:color w:val="000000"/>
                <w:sz w:val="16"/>
                <w:szCs w:val="16"/>
                <w:lang w:val="en-AU" w:eastAsia="en-AU"/>
              </w:rPr>
              <w:t>.0</w:t>
            </w:r>
          </w:p>
        </w:tc>
        <w:tc>
          <w:tcPr>
            <w:tcW w:w="603" w:type="dxa"/>
            <w:tcBorders>
              <w:top w:val="nil"/>
              <w:left w:val="nil"/>
              <w:bottom w:val="double" w:sz="6" w:space="0" w:color="auto"/>
              <w:right w:val="single" w:sz="4" w:space="0" w:color="BFBFBF"/>
            </w:tcBorders>
            <w:shd w:val="clear" w:color="auto" w:fill="auto"/>
            <w:noWrap/>
            <w:vAlign w:val="center"/>
          </w:tcPr>
          <w:p w14:paraId="4F02D336"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35.0</w:t>
            </w:r>
          </w:p>
        </w:tc>
        <w:tc>
          <w:tcPr>
            <w:tcW w:w="603" w:type="dxa"/>
            <w:tcBorders>
              <w:top w:val="nil"/>
              <w:left w:val="nil"/>
              <w:bottom w:val="double" w:sz="6" w:space="0" w:color="auto"/>
              <w:right w:val="single" w:sz="4" w:space="0" w:color="auto"/>
            </w:tcBorders>
            <w:shd w:val="clear" w:color="auto" w:fill="auto"/>
            <w:noWrap/>
            <w:vAlign w:val="center"/>
          </w:tcPr>
          <w:p w14:paraId="3A6DACFD"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27.3</w:t>
            </w:r>
          </w:p>
        </w:tc>
        <w:tc>
          <w:tcPr>
            <w:tcW w:w="559" w:type="dxa"/>
            <w:tcBorders>
              <w:top w:val="nil"/>
              <w:left w:val="nil"/>
              <w:bottom w:val="double" w:sz="6" w:space="0" w:color="auto"/>
              <w:right w:val="single" w:sz="4" w:space="0" w:color="BFBFBF"/>
            </w:tcBorders>
            <w:shd w:val="clear" w:color="auto" w:fill="auto"/>
            <w:noWrap/>
            <w:vAlign w:val="center"/>
          </w:tcPr>
          <w:p w14:paraId="1C922EBE" w14:textId="77777777" w:rsidR="00B75952" w:rsidRPr="0070127D" w:rsidRDefault="0070127D" w:rsidP="00B75952">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66.5</w:t>
            </w:r>
          </w:p>
        </w:tc>
        <w:tc>
          <w:tcPr>
            <w:tcW w:w="559" w:type="dxa"/>
            <w:tcBorders>
              <w:top w:val="nil"/>
              <w:left w:val="nil"/>
              <w:bottom w:val="double" w:sz="6" w:space="0" w:color="auto"/>
              <w:right w:val="single" w:sz="4" w:space="0" w:color="BFBFBF"/>
            </w:tcBorders>
            <w:shd w:val="clear" w:color="auto" w:fill="auto"/>
            <w:noWrap/>
            <w:vAlign w:val="center"/>
          </w:tcPr>
          <w:p w14:paraId="2F17F7C8"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46.4</w:t>
            </w:r>
          </w:p>
        </w:tc>
        <w:tc>
          <w:tcPr>
            <w:tcW w:w="603" w:type="dxa"/>
            <w:tcBorders>
              <w:top w:val="nil"/>
              <w:left w:val="nil"/>
              <w:bottom w:val="double" w:sz="6" w:space="0" w:color="auto"/>
              <w:right w:val="single" w:sz="4" w:space="0" w:color="BFBFBF"/>
            </w:tcBorders>
            <w:shd w:val="clear" w:color="auto" w:fill="auto"/>
            <w:noWrap/>
            <w:vAlign w:val="center"/>
          </w:tcPr>
          <w:p w14:paraId="45897571"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33.4</w:t>
            </w:r>
          </w:p>
        </w:tc>
        <w:tc>
          <w:tcPr>
            <w:tcW w:w="603" w:type="dxa"/>
            <w:tcBorders>
              <w:top w:val="nil"/>
              <w:left w:val="nil"/>
              <w:bottom w:val="double" w:sz="6" w:space="0" w:color="auto"/>
              <w:right w:val="double" w:sz="6" w:space="0" w:color="auto"/>
            </w:tcBorders>
            <w:shd w:val="clear" w:color="auto" w:fill="auto"/>
            <w:noWrap/>
            <w:vAlign w:val="center"/>
          </w:tcPr>
          <w:p w14:paraId="456B5C52" w14:textId="77777777" w:rsidR="00B75952" w:rsidRPr="0070127D" w:rsidRDefault="00B75952" w:rsidP="00B75952">
            <w:pPr>
              <w:spacing w:before="0" w:after="0"/>
              <w:jc w:val="center"/>
              <w:rPr>
                <w:rFonts w:ascii="Arial" w:hAnsi="Arial" w:cs="Arial"/>
                <w:b/>
                <w:bCs/>
                <w:color w:val="000000"/>
                <w:sz w:val="16"/>
                <w:szCs w:val="16"/>
                <w:lang w:val="en-AU" w:eastAsia="en-AU"/>
              </w:rPr>
            </w:pPr>
            <w:r w:rsidRPr="0070127D">
              <w:rPr>
                <w:rFonts w:ascii="Arial" w:hAnsi="Arial" w:cs="Arial"/>
                <w:b/>
                <w:bCs/>
                <w:color w:val="000000"/>
                <w:sz w:val="16"/>
                <w:szCs w:val="16"/>
                <w:lang w:val="en-AU" w:eastAsia="en-AU"/>
              </w:rPr>
              <w:t>20.3</w:t>
            </w:r>
          </w:p>
        </w:tc>
      </w:tr>
    </w:tbl>
    <w:p w14:paraId="1964A5FF" w14:textId="77777777" w:rsidR="00E02C75" w:rsidRPr="0070127D" w:rsidRDefault="00E02C75" w:rsidP="00E02C75">
      <w:pPr>
        <w:pStyle w:val="Para"/>
        <w:rPr>
          <w:sz w:val="20"/>
          <w:lang w:val="en-AU"/>
        </w:rPr>
      </w:pPr>
      <w:r w:rsidRPr="0070127D">
        <w:rPr>
          <w:sz w:val="20"/>
          <w:lang w:val="en-AU"/>
        </w:rPr>
        <w:t xml:space="preserve">Base: Total respondents who have income from employment, </w:t>
      </w:r>
      <w:r w:rsidR="00BC2F7A" w:rsidRPr="0070127D">
        <w:rPr>
          <w:sz w:val="20"/>
          <w:lang w:val="en-AU"/>
        </w:rPr>
        <w:t>2014 (n=6</w:t>
      </w:r>
      <w:r w:rsidR="00104894" w:rsidRPr="0070127D">
        <w:rPr>
          <w:sz w:val="20"/>
          <w:lang w:val="en-AU"/>
        </w:rPr>
        <w:t>9</w:t>
      </w:r>
      <w:r w:rsidR="00BC2F7A" w:rsidRPr="0070127D">
        <w:rPr>
          <w:sz w:val="20"/>
          <w:lang w:val="en-AU"/>
        </w:rPr>
        <w:t xml:space="preserve">3), </w:t>
      </w:r>
      <w:r w:rsidRPr="0070127D">
        <w:rPr>
          <w:sz w:val="20"/>
          <w:lang w:val="en-AU"/>
        </w:rPr>
        <w:t>2007 (n=831); 2001 (n=767); 1996 (n=1,195)</w:t>
      </w:r>
    </w:p>
    <w:p w14:paraId="4540DEEF" w14:textId="77777777" w:rsidR="00E02C75" w:rsidRPr="0070127D" w:rsidRDefault="003212C1" w:rsidP="00E02C75">
      <w:pPr>
        <w:pStyle w:val="Para"/>
        <w:rPr>
          <w:sz w:val="20"/>
          <w:lang w:val="en-AU"/>
        </w:rPr>
      </w:pPr>
      <w:r w:rsidRPr="0070127D">
        <w:rPr>
          <w:sz w:val="20"/>
          <w:lang w:val="en-AU"/>
        </w:rPr>
        <w:t>*</w:t>
      </w:r>
      <w:r w:rsidR="00571077" w:rsidRPr="0070127D">
        <w:rPr>
          <w:sz w:val="20"/>
          <w:lang w:val="en-AU"/>
        </w:rPr>
        <w:t xml:space="preserve"> Estimated using mid-point of income ranges</w:t>
      </w:r>
      <w:r w:rsidRPr="0070127D">
        <w:rPr>
          <w:sz w:val="20"/>
          <w:lang w:val="en-AU"/>
        </w:rPr>
        <w:t>.</w:t>
      </w:r>
    </w:p>
    <w:p w14:paraId="64B5529C" w14:textId="77777777" w:rsidR="003920D8" w:rsidRPr="00C96E1F" w:rsidRDefault="00E02C75">
      <w:pPr>
        <w:pStyle w:val="Heading3"/>
        <w:tabs>
          <w:tab w:val="clear" w:pos="8517"/>
          <w:tab w:val="num" w:pos="851"/>
        </w:tabs>
        <w:spacing w:before="0"/>
        <w:ind w:hanging="8517"/>
        <w:rPr>
          <w:lang w:val="en-AU"/>
        </w:rPr>
      </w:pPr>
      <w:r w:rsidRPr="0070127D">
        <w:rPr>
          <w:lang w:val="en-AU"/>
        </w:rPr>
        <w:br w:type="page"/>
      </w:r>
      <w:bookmarkStart w:id="160" w:name="_Toc439198308"/>
      <w:bookmarkStart w:id="161" w:name="_Toc445571686"/>
      <w:r w:rsidRPr="00C96E1F">
        <w:rPr>
          <w:lang w:val="en-AU"/>
        </w:rPr>
        <w:lastRenderedPageBreak/>
        <w:t>Derived Personal Income</w:t>
      </w:r>
      <w:bookmarkEnd w:id="160"/>
      <w:bookmarkEnd w:id="161"/>
    </w:p>
    <w:p w14:paraId="1B2F1812" w14:textId="77777777" w:rsidR="003C11D3" w:rsidRPr="00C96E1F" w:rsidRDefault="003C11D3" w:rsidP="00E02C75">
      <w:pPr>
        <w:pStyle w:val="Para"/>
        <w:rPr>
          <w:lang w:val="en-AU"/>
        </w:rPr>
      </w:pPr>
    </w:p>
    <w:p w14:paraId="78BB2581" w14:textId="77777777" w:rsidR="00380FC7" w:rsidRPr="00C96E1F" w:rsidRDefault="00380FC7" w:rsidP="00380FC7">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C96E1F">
        <w:rPr>
          <w:lang w:val="en-AU"/>
        </w:rPr>
        <w:t xml:space="preserve">Total personal income was a </w:t>
      </w:r>
      <w:r w:rsidRPr="00C96E1F">
        <w:rPr>
          <w:b/>
          <w:lang w:val="en-AU"/>
        </w:rPr>
        <w:t>derived</w:t>
      </w:r>
      <w:r w:rsidRPr="00C96E1F">
        <w:rPr>
          <w:lang w:val="en-AU"/>
        </w:rPr>
        <w:t xml:space="preserve"> survey item.  Respondents were asked to indicate from a list of ranges the level of any income that they </w:t>
      </w:r>
      <w:r w:rsidR="00B802A6" w:rsidRPr="00C96E1F">
        <w:rPr>
          <w:lang w:val="en-AU"/>
        </w:rPr>
        <w:t>(</w:t>
      </w:r>
      <w:r w:rsidRPr="00C96E1F">
        <w:rPr>
          <w:lang w:val="en-AU"/>
        </w:rPr>
        <w:t>and other household members</w:t>
      </w:r>
      <w:r w:rsidR="00B802A6" w:rsidRPr="00C96E1F">
        <w:rPr>
          <w:lang w:val="en-AU"/>
        </w:rPr>
        <w:t>)</w:t>
      </w:r>
      <w:r w:rsidRPr="00C96E1F">
        <w:rPr>
          <w:lang w:val="en-AU"/>
        </w:rPr>
        <w:t xml:space="preserve"> received.  For those receiving income from employment, the midpoint of each of the selected income ranges was used to </w:t>
      </w:r>
      <w:r w:rsidR="00B802A6" w:rsidRPr="00C96E1F">
        <w:rPr>
          <w:lang w:val="en-AU"/>
        </w:rPr>
        <w:t>estimate</w:t>
      </w:r>
      <w:r w:rsidRPr="00C96E1F">
        <w:rPr>
          <w:lang w:val="en-AU"/>
        </w:rPr>
        <w:t xml:space="preserve"> the </w:t>
      </w:r>
      <w:r w:rsidR="00B802A6" w:rsidRPr="00C96E1F">
        <w:rPr>
          <w:lang w:val="en-AU"/>
        </w:rPr>
        <w:t>respondent’s per</w:t>
      </w:r>
      <w:r w:rsidR="00572CB1" w:rsidRPr="00C96E1F">
        <w:rPr>
          <w:lang w:val="en-AU"/>
        </w:rPr>
        <w:t>s</w:t>
      </w:r>
      <w:r w:rsidR="00B802A6" w:rsidRPr="00C96E1F">
        <w:rPr>
          <w:lang w:val="en-AU"/>
        </w:rPr>
        <w:t>onal</w:t>
      </w:r>
      <w:r w:rsidRPr="00C96E1F">
        <w:rPr>
          <w:lang w:val="en-AU"/>
        </w:rPr>
        <w:t xml:space="preserve"> income received from employment.  </w:t>
      </w:r>
      <w:r w:rsidR="00B802A6" w:rsidRPr="00C96E1F">
        <w:rPr>
          <w:lang w:val="en-AU"/>
        </w:rPr>
        <w:t xml:space="preserve">Additional components of the calculation were obtained or derived from DSS sources, ABS, DVA and Roy Morgan Single Source.    </w:t>
      </w:r>
    </w:p>
    <w:p w14:paraId="3E9AC431" w14:textId="77777777" w:rsidR="00380FC7" w:rsidRPr="00C96E1F" w:rsidRDefault="00380FC7" w:rsidP="00380FC7">
      <w:pPr>
        <w:pStyle w:val="Para"/>
        <w:pBdr>
          <w:top w:val="double" w:sz="4" w:space="1" w:color="auto"/>
          <w:left w:val="double" w:sz="4" w:space="4" w:color="auto"/>
          <w:bottom w:val="double" w:sz="4" w:space="1" w:color="auto"/>
          <w:right w:val="double" w:sz="4" w:space="4" w:color="auto"/>
        </w:pBdr>
        <w:shd w:val="pct12" w:color="auto" w:fill="FFFFFF"/>
        <w:rPr>
          <w:lang w:val="en-AU"/>
        </w:rPr>
      </w:pPr>
    </w:p>
    <w:p w14:paraId="52656F3B" w14:textId="77777777" w:rsidR="00B802A6" w:rsidRPr="00C96E1F" w:rsidRDefault="00B802A6" w:rsidP="00B802A6">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C96E1F">
        <w:rPr>
          <w:lang w:val="en-AU"/>
        </w:rPr>
        <w:t>Please note the following factors when drawing comparisons between the various surveys:</w:t>
      </w:r>
    </w:p>
    <w:p w14:paraId="186905B3" w14:textId="77777777" w:rsidR="00B802A6" w:rsidRPr="00C96E1F" w:rsidRDefault="00B802A6" w:rsidP="00B802A6">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C96E1F">
        <w:rPr>
          <w:lang w:val="en-AU"/>
        </w:rPr>
        <w:t>-  Other income was excluded from the calculation of derived personal income in the 2007, 2001 and 1996 surveys</w:t>
      </w:r>
    </w:p>
    <w:p w14:paraId="100C60A6" w14:textId="77777777" w:rsidR="00B802A6" w:rsidRPr="00C96E1F" w:rsidRDefault="00B802A6" w:rsidP="00B802A6">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C96E1F">
        <w:rPr>
          <w:lang w:val="en-AU"/>
        </w:rPr>
        <w:t>-  Self-funded income was excluded from the calculation of derived personal income in the 2001 and 1996 surveys</w:t>
      </w:r>
    </w:p>
    <w:p w14:paraId="45E471C2" w14:textId="77777777" w:rsidR="00B802A6" w:rsidRPr="00DA3B75" w:rsidRDefault="00B802A6" w:rsidP="00B802A6">
      <w:pPr>
        <w:pStyle w:val="Para"/>
        <w:pBdr>
          <w:top w:val="double" w:sz="4" w:space="1" w:color="auto"/>
          <w:left w:val="double" w:sz="4" w:space="4" w:color="auto"/>
          <w:bottom w:val="double" w:sz="4" w:space="1" w:color="auto"/>
          <w:right w:val="double" w:sz="4" w:space="4" w:color="auto"/>
        </w:pBdr>
        <w:shd w:val="pct12" w:color="auto" w:fill="FFFFFF"/>
        <w:rPr>
          <w:highlight w:val="yellow"/>
          <w:lang w:val="en-AU"/>
        </w:rPr>
      </w:pPr>
    </w:p>
    <w:p w14:paraId="67ECF4D1" w14:textId="77777777" w:rsidR="00B802A6" w:rsidRPr="00DA3B75" w:rsidRDefault="00B802A6" w:rsidP="00E02C75">
      <w:pPr>
        <w:pStyle w:val="Para"/>
        <w:rPr>
          <w:highlight w:val="yellow"/>
          <w:lang w:val="en-AU"/>
        </w:rPr>
      </w:pPr>
    </w:p>
    <w:p w14:paraId="0878F1DC" w14:textId="77777777" w:rsidR="003C11D3" w:rsidRPr="00F9751F" w:rsidRDefault="003C11D3" w:rsidP="00E02C75">
      <w:pPr>
        <w:pStyle w:val="Para"/>
        <w:rPr>
          <w:lang w:val="en-AU"/>
        </w:rPr>
      </w:pPr>
      <w:r w:rsidRPr="00F9751F">
        <w:rPr>
          <w:lang w:val="en-AU"/>
        </w:rPr>
        <w:t>More than half (5</w:t>
      </w:r>
      <w:r w:rsidR="00F9751F" w:rsidRPr="00F9751F">
        <w:rPr>
          <w:lang w:val="en-AU"/>
        </w:rPr>
        <w:t>7</w:t>
      </w:r>
      <w:r w:rsidRPr="00F9751F">
        <w:rPr>
          <w:lang w:val="en-AU"/>
        </w:rPr>
        <w:t xml:space="preserve">%) of </w:t>
      </w:r>
      <w:r w:rsidR="00E02C75" w:rsidRPr="00F9751F">
        <w:rPr>
          <w:lang w:val="en-AU"/>
        </w:rPr>
        <w:t xml:space="preserve">concession household respondents had total </w:t>
      </w:r>
      <w:r w:rsidRPr="00F9751F">
        <w:rPr>
          <w:lang w:val="en-AU"/>
        </w:rPr>
        <w:t xml:space="preserve">derived </w:t>
      </w:r>
      <w:r w:rsidR="00E02C75" w:rsidRPr="00F9751F">
        <w:rPr>
          <w:lang w:val="en-AU"/>
        </w:rPr>
        <w:t xml:space="preserve">personal incomes </w:t>
      </w:r>
      <w:r w:rsidRPr="00F9751F">
        <w:rPr>
          <w:lang w:val="en-AU"/>
        </w:rPr>
        <w:t>below $30,000 per annum</w:t>
      </w:r>
      <w:r w:rsidR="00E02C75" w:rsidRPr="00F9751F">
        <w:rPr>
          <w:lang w:val="en-AU"/>
        </w:rPr>
        <w:t xml:space="preserve">, with the proportion </w:t>
      </w:r>
      <w:r w:rsidRPr="00F9751F">
        <w:rPr>
          <w:lang w:val="en-AU"/>
        </w:rPr>
        <w:t>among those from other concession households (6</w:t>
      </w:r>
      <w:r w:rsidR="00F9751F" w:rsidRPr="00F9751F">
        <w:rPr>
          <w:lang w:val="en-AU"/>
        </w:rPr>
        <w:t>4</w:t>
      </w:r>
      <w:r w:rsidRPr="00F9751F">
        <w:rPr>
          <w:lang w:val="en-AU"/>
        </w:rPr>
        <w:t>%) higher than in aged concession households (51%)</w:t>
      </w:r>
      <w:r w:rsidR="008A1C90" w:rsidRPr="00F9751F">
        <w:rPr>
          <w:lang w:val="en-AU"/>
        </w:rPr>
        <w:t xml:space="preserve"> – see Table 3.4.5 overleaf</w:t>
      </w:r>
      <w:r w:rsidRPr="00F9751F">
        <w:rPr>
          <w:lang w:val="en-AU"/>
        </w:rPr>
        <w:t xml:space="preserve">.  The mean income for respondents from other concession households was $31,100, compared with </w:t>
      </w:r>
      <w:r w:rsidR="000C2489" w:rsidRPr="00F9751F">
        <w:rPr>
          <w:lang w:val="en-AU"/>
        </w:rPr>
        <w:t>$</w:t>
      </w:r>
      <w:r w:rsidR="00F9751F" w:rsidRPr="00F9751F">
        <w:rPr>
          <w:lang w:val="en-AU"/>
        </w:rPr>
        <w:t>32,3</w:t>
      </w:r>
      <w:r w:rsidRPr="00F9751F">
        <w:rPr>
          <w:lang w:val="en-AU"/>
        </w:rPr>
        <w:t>00 for respondents from aged concession households.  In contrast, only 3</w:t>
      </w:r>
      <w:r w:rsidR="00F9751F" w:rsidRPr="00F9751F">
        <w:rPr>
          <w:lang w:val="en-AU"/>
        </w:rPr>
        <w:t>5</w:t>
      </w:r>
      <w:r w:rsidRPr="00F9751F">
        <w:rPr>
          <w:lang w:val="en-AU"/>
        </w:rPr>
        <w:t xml:space="preserve">% of respondents from non-concession households had </w:t>
      </w:r>
      <w:r w:rsidR="00B802A6" w:rsidRPr="00F9751F">
        <w:rPr>
          <w:lang w:val="en-AU"/>
        </w:rPr>
        <w:t xml:space="preserve">a </w:t>
      </w:r>
      <w:r w:rsidRPr="00F9751F">
        <w:rPr>
          <w:lang w:val="en-AU"/>
        </w:rPr>
        <w:t xml:space="preserve">total </w:t>
      </w:r>
      <w:r w:rsidR="00B802A6" w:rsidRPr="00F9751F">
        <w:rPr>
          <w:lang w:val="en-AU"/>
        </w:rPr>
        <w:t xml:space="preserve">estimated </w:t>
      </w:r>
      <w:r w:rsidRPr="00F9751F">
        <w:rPr>
          <w:lang w:val="en-AU"/>
        </w:rPr>
        <w:t>personal income below $30,000</w:t>
      </w:r>
      <w:r w:rsidR="00B802A6" w:rsidRPr="00F9751F">
        <w:rPr>
          <w:lang w:val="en-AU"/>
        </w:rPr>
        <w:t xml:space="preserve">.  The estimated </w:t>
      </w:r>
      <w:r w:rsidRPr="00F9751F">
        <w:rPr>
          <w:lang w:val="en-AU"/>
        </w:rPr>
        <w:t xml:space="preserve">mean </w:t>
      </w:r>
      <w:r w:rsidR="00B802A6" w:rsidRPr="00F9751F">
        <w:rPr>
          <w:lang w:val="en-AU"/>
        </w:rPr>
        <w:t xml:space="preserve">personal </w:t>
      </w:r>
      <w:r w:rsidRPr="00F9751F">
        <w:rPr>
          <w:lang w:val="en-AU"/>
        </w:rPr>
        <w:t xml:space="preserve">income </w:t>
      </w:r>
      <w:r w:rsidR="00B802A6" w:rsidRPr="00F9751F">
        <w:rPr>
          <w:lang w:val="en-AU"/>
        </w:rPr>
        <w:t>for respondents from non-concession households was</w:t>
      </w:r>
      <w:r w:rsidRPr="00F9751F">
        <w:rPr>
          <w:lang w:val="en-AU"/>
        </w:rPr>
        <w:t xml:space="preserve"> $67,</w:t>
      </w:r>
      <w:r w:rsidR="00F9751F" w:rsidRPr="00F9751F">
        <w:rPr>
          <w:lang w:val="en-AU"/>
        </w:rPr>
        <w:t>0</w:t>
      </w:r>
      <w:r w:rsidRPr="00F9751F">
        <w:rPr>
          <w:lang w:val="en-AU"/>
        </w:rPr>
        <w:t xml:space="preserve">00 per annum. </w:t>
      </w:r>
    </w:p>
    <w:p w14:paraId="22E34909" w14:textId="77777777" w:rsidR="003C11D3" w:rsidRPr="00F9751F" w:rsidRDefault="003C11D3" w:rsidP="00E02C75">
      <w:pPr>
        <w:pStyle w:val="Para"/>
        <w:rPr>
          <w:lang w:val="en-AU"/>
        </w:rPr>
      </w:pPr>
    </w:p>
    <w:p w14:paraId="04759605" w14:textId="77777777" w:rsidR="000C2489" w:rsidRPr="00F9751F" w:rsidRDefault="000C2489" w:rsidP="00E02C75">
      <w:pPr>
        <w:pStyle w:val="Para"/>
        <w:rPr>
          <w:lang w:val="en-AU"/>
        </w:rPr>
      </w:pPr>
      <w:r w:rsidRPr="00F9751F">
        <w:rPr>
          <w:lang w:val="en-AU"/>
        </w:rPr>
        <w:t>Respondents from Melbourne were more likely than those from country Victoria to have personal income of $50,000 per annum or higher (37% and 2</w:t>
      </w:r>
      <w:r w:rsidR="00F9751F" w:rsidRPr="00F9751F">
        <w:rPr>
          <w:lang w:val="en-AU"/>
        </w:rPr>
        <w:t>5</w:t>
      </w:r>
      <w:r w:rsidRPr="00F9751F">
        <w:rPr>
          <w:lang w:val="en-AU"/>
        </w:rPr>
        <w:t xml:space="preserve">% respectively).  The average </w:t>
      </w:r>
      <w:r w:rsidR="00B802A6" w:rsidRPr="00F9751F">
        <w:rPr>
          <w:lang w:val="en-AU"/>
        </w:rPr>
        <w:t xml:space="preserve">estimated personal </w:t>
      </w:r>
      <w:r w:rsidRPr="00F9751F">
        <w:rPr>
          <w:lang w:val="en-AU"/>
        </w:rPr>
        <w:t>income for Melbourne</w:t>
      </w:r>
      <w:r w:rsidR="00F9751F" w:rsidRPr="00F9751F">
        <w:rPr>
          <w:lang w:val="en-AU"/>
        </w:rPr>
        <w:t xml:space="preserve"> respondents was $52,900, compared with $43,3</w:t>
      </w:r>
      <w:r w:rsidRPr="00F9751F">
        <w:rPr>
          <w:lang w:val="en-AU"/>
        </w:rPr>
        <w:t>00 for respondents from country Victoria.</w:t>
      </w:r>
    </w:p>
    <w:p w14:paraId="2E08F6B0" w14:textId="77777777" w:rsidR="00B802A6" w:rsidRPr="00DA3B75" w:rsidRDefault="00B802A6" w:rsidP="00E02C75">
      <w:pPr>
        <w:pStyle w:val="Para"/>
        <w:rPr>
          <w:highlight w:val="yellow"/>
          <w:lang w:val="en-AU"/>
        </w:rPr>
      </w:pPr>
      <w:r w:rsidRPr="00DA3B75">
        <w:rPr>
          <w:highlight w:val="yellow"/>
          <w:lang w:val="en-AU"/>
        </w:rPr>
        <w:br w:type="page"/>
      </w:r>
    </w:p>
    <w:p w14:paraId="28EC929C" w14:textId="77777777" w:rsidR="000C2489" w:rsidRPr="00DA3B75" w:rsidRDefault="000C2489" w:rsidP="00E02C75">
      <w:pPr>
        <w:pStyle w:val="Para"/>
        <w:rPr>
          <w:highlight w:val="yellow"/>
          <w:lang w:val="en-AU"/>
        </w:rPr>
      </w:pPr>
    </w:p>
    <w:p w14:paraId="16C127E4" w14:textId="77777777" w:rsidR="00E02C75" w:rsidRPr="00F9751F" w:rsidRDefault="00E02C75" w:rsidP="00562A28">
      <w:pPr>
        <w:pStyle w:val="Para"/>
        <w:spacing w:after="120"/>
        <w:jc w:val="center"/>
        <w:outlineLvl w:val="0"/>
        <w:rPr>
          <w:b/>
          <w:u w:val="single"/>
          <w:lang w:val="en-AU"/>
        </w:rPr>
      </w:pPr>
      <w:r w:rsidRPr="00F9751F">
        <w:rPr>
          <w:b/>
          <w:lang w:val="en-AU"/>
        </w:rPr>
        <w:t xml:space="preserve">Table 3.4.5: </w:t>
      </w:r>
      <w:r w:rsidRPr="00F9751F">
        <w:rPr>
          <w:b/>
          <w:u w:val="single"/>
          <w:lang w:val="en-AU"/>
        </w:rPr>
        <w:t>Derived Personal Income of Main Respondent</w:t>
      </w:r>
      <w:r w:rsidR="0031565E" w:rsidRPr="00F9751F">
        <w:rPr>
          <w:b/>
          <w:u w:val="single"/>
          <w:lang w:val="en-AU"/>
        </w:rPr>
        <w:t xml:space="preserve"> (from all sources)</w:t>
      </w:r>
    </w:p>
    <w:tbl>
      <w:tblPr>
        <w:tblW w:w="12620" w:type="dxa"/>
        <w:jc w:val="center"/>
        <w:tblLook w:val="04A0" w:firstRow="1" w:lastRow="0" w:firstColumn="1" w:lastColumn="0" w:noHBand="0" w:noVBand="1"/>
      </w:tblPr>
      <w:tblGrid>
        <w:gridCol w:w="3020"/>
        <w:gridCol w:w="600"/>
        <w:gridCol w:w="600"/>
        <w:gridCol w:w="600"/>
        <w:gridCol w:w="600"/>
        <w:gridCol w:w="600"/>
        <w:gridCol w:w="600"/>
        <w:gridCol w:w="600"/>
        <w:gridCol w:w="600"/>
        <w:gridCol w:w="600"/>
        <w:gridCol w:w="600"/>
        <w:gridCol w:w="600"/>
        <w:gridCol w:w="600"/>
        <w:gridCol w:w="600"/>
        <w:gridCol w:w="600"/>
        <w:gridCol w:w="600"/>
        <w:gridCol w:w="600"/>
      </w:tblGrid>
      <w:tr w:rsidR="00EA09AE" w:rsidRPr="00F9751F" w14:paraId="4CBC297F" w14:textId="77777777" w:rsidTr="00562A28">
        <w:trPr>
          <w:trHeight w:val="851"/>
          <w:jc w:val="center"/>
        </w:trPr>
        <w:tc>
          <w:tcPr>
            <w:tcW w:w="3020" w:type="dxa"/>
            <w:tcBorders>
              <w:top w:val="double" w:sz="6" w:space="0" w:color="auto"/>
              <w:left w:val="double" w:sz="6" w:space="0" w:color="auto"/>
              <w:bottom w:val="single" w:sz="4" w:space="0" w:color="BFBFBF"/>
              <w:right w:val="nil"/>
            </w:tcBorders>
            <w:shd w:val="clear" w:color="auto" w:fill="auto"/>
            <w:noWrap/>
            <w:vAlign w:val="center"/>
          </w:tcPr>
          <w:p w14:paraId="0B2418AB" w14:textId="77777777" w:rsidR="00EA09AE" w:rsidRPr="00F9751F" w:rsidRDefault="00EA09AE" w:rsidP="00AF5671">
            <w:pPr>
              <w:spacing w:before="0" w:after="0"/>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Derived Personal income</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02D30C80" w14:textId="77777777" w:rsidR="00EA09AE" w:rsidRPr="00F9751F" w:rsidRDefault="00EA09AE" w:rsidP="00AF5671">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Aged Concession HHs</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75933CB3" w14:textId="77777777" w:rsidR="00EA09AE" w:rsidRPr="00F9751F" w:rsidRDefault="00EA09AE" w:rsidP="00AF5671">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Other Concession HHs</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2C8C93B2" w14:textId="77777777" w:rsidR="00EA09AE" w:rsidRPr="00F9751F" w:rsidRDefault="00EA09AE" w:rsidP="00AF5671">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Total Concession HHs</w:t>
            </w:r>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280AD707" w14:textId="77777777" w:rsidR="00EA09AE" w:rsidRPr="00F9751F" w:rsidRDefault="00EA09AE" w:rsidP="00AF5671">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Non-Concession HHs</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42E7E655" w14:textId="77777777" w:rsidR="00EA09AE" w:rsidRPr="00F9751F" w:rsidRDefault="00EA09AE" w:rsidP="00AF5671">
            <w:pPr>
              <w:spacing w:before="0" w:after="0"/>
              <w:jc w:val="center"/>
              <w:rPr>
                <w:rFonts w:ascii="Arial" w:hAnsi="Arial" w:cs="Arial"/>
                <w:b/>
                <w:bCs/>
                <w:color w:val="000000"/>
                <w:sz w:val="16"/>
                <w:szCs w:val="16"/>
                <w:lang w:val="en-AU" w:eastAsia="en-AU"/>
              </w:rPr>
            </w:pPr>
            <w:smartTag w:uri="urn:schemas-microsoft-com:office:smarttags" w:element="City">
              <w:smartTag w:uri="urn:schemas-microsoft-com:office:smarttags" w:element="place">
                <w:r w:rsidRPr="00F9751F">
                  <w:rPr>
                    <w:rFonts w:ascii="Arial" w:hAnsi="Arial" w:cs="Arial"/>
                    <w:b/>
                    <w:bCs/>
                    <w:color w:val="000000"/>
                    <w:sz w:val="16"/>
                    <w:szCs w:val="16"/>
                    <w:lang w:val="en-AU" w:eastAsia="en-AU"/>
                  </w:rPr>
                  <w:t>Melbourne</w:t>
                </w:r>
              </w:smartTag>
            </w:smartTag>
          </w:p>
        </w:tc>
        <w:tc>
          <w:tcPr>
            <w:tcW w:w="1200" w:type="dxa"/>
            <w:gridSpan w:val="2"/>
            <w:tcBorders>
              <w:top w:val="double" w:sz="6" w:space="0" w:color="auto"/>
              <w:left w:val="nil"/>
              <w:bottom w:val="single" w:sz="4" w:space="0" w:color="BFBFBF"/>
              <w:right w:val="single" w:sz="4" w:space="0" w:color="BFBFBF"/>
            </w:tcBorders>
            <w:shd w:val="clear" w:color="auto" w:fill="auto"/>
            <w:vAlign w:val="center"/>
          </w:tcPr>
          <w:p w14:paraId="557C2CF6" w14:textId="77777777" w:rsidR="00EA09AE" w:rsidRPr="00F9751F" w:rsidRDefault="00EA09AE" w:rsidP="00AF5671">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Total Country Vic</w:t>
            </w:r>
            <w:r w:rsidR="00B40CD4" w:rsidRPr="00F9751F">
              <w:rPr>
                <w:rFonts w:ascii="Arial" w:hAnsi="Arial" w:cs="Arial"/>
                <w:bCs/>
                <w:color w:val="000000"/>
                <w:sz w:val="16"/>
                <w:szCs w:val="16"/>
                <w:vertAlign w:val="superscript"/>
                <w:lang w:val="en-AU" w:eastAsia="en-AU"/>
              </w:rPr>
              <w:t>1</w:t>
            </w:r>
          </w:p>
        </w:tc>
        <w:tc>
          <w:tcPr>
            <w:tcW w:w="1200" w:type="dxa"/>
            <w:gridSpan w:val="2"/>
            <w:tcBorders>
              <w:top w:val="double" w:sz="6" w:space="0" w:color="auto"/>
              <w:left w:val="single" w:sz="4" w:space="0" w:color="auto"/>
              <w:bottom w:val="single" w:sz="4" w:space="0" w:color="BFBFBF"/>
              <w:right w:val="single" w:sz="4" w:space="0" w:color="000000"/>
            </w:tcBorders>
            <w:shd w:val="clear" w:color="auto" w:fill="auto"/>
            <w:vAlign w:val="center"/>
          </w:tcPr>
          <w:p w14:paraId="17D5AA4B" w14:textId="77777777" w:rsidR="00EA09AE" w:rsidRPr="00F9751F" w:rsidRDefault="00EA09AE" w:rsidP="00AF5671">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 xml:space="preserve">LPG </w:t>
            </w:r>
            <w:r w:rsidR="00B40CD4" w:rsidRPr="00F9751F">
              <w:rPr>
                <w:rFonts w:ascii="Arial" w:hAnsi="Arial" w:cs="Arial"/>
                <w:b/>
                <w:bCs/>
                <w:color w:val="000000"/>
                <w:sz w:val="16"/>
                <w:szCs w:val="16"/>
                <w:lang w:val="en-AU" w:eastAsia="en-AU"/>
              </w:rPr>
              <w:t>Households</w:t>
            </w:r>
            <w:r w:rsidR="00B40CD4" w:rsidRPr="00F9751F">
              <w:rPr>
                <w:rFonts w:ascii="Arial" w:hAnsi="Arial" w:cs="Arial"/>
                <w:bCs/>
                <w:color w:val="000000"/>
                <w:sz w:val="16"/>
                <w:szCs w:val="16"/>
                <w:vertAlign w:val="superscript"/>
                <w:lang w:val="en-AU" w:eastAsia="en-AU"/>
              </w:rPr>
              <w:t>2</w:t>
            </w:r>
          </w:p>
        </w:tc>
        <w:tc>
          <w:tcPr>
            <w:tcW w:w="1200" w:type="dxa"/>
            <w:gridSpan w:val="2"/>
            <w:tcBorders>
              <w:top w:val="double" w:sz="6" w:space="0" w:color="auto"/>
              <w:left w:val="nil"/>
              <w:bottom w:val="single" w:sz="4" w:space="0" w:color="BFBFBF"/>
              <w:right w:val="double" w:sz="6" w:space="0" w:color="000000"/>
            </w:tcBorders>
            <w:shd w:val="clear" w:color="auto" w:fill="auto"/>
            <w:noWrap/>
            <w:vAlign w:val="center"/>
          </w:tcPr>
          <w:p w14:paraId="7AF2B950" w14:textId="77777777" w:rsidR="00EA09AE" w:rsidRPr="00F9751F" w:rsidRDefault="00EA09AE" w:rsidP="00AF5671">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Total HHs</w:t>
            </w:r>
          </w:p>
        </w:tc>
      </w:tr>
      <w:tr w:rsidR="0054131D" w:rsidRPr="00F9751F" w14:paraId="2322BA61" w14:textId="77777777" w:rsidTr="00600395">
        <w:trPr>
          <w:trHeight w:val="283"/>
          <w:jc w:val="center"/>
        </w:trPr>
        <w:tc>
          <w:tcPr>
            <w:tcW w:w="3020" w:type="dxa"/>
            <w:tcBorders>
              <w:top w:val="nil"/>
              <w:left w:val="double" w:sz="6" w:space="0" w:color="auto"/>
              <w:bottom w:val="single" w:sz="4" w:space="0" w:color="BFBFBF"/>
              <w:right w:val="nil"/>
            </w:tcBorders>
            <w:shd w:val="clear" w:color="auto" w:fill="auto"/>
            <w:noWrap/>
            <w:vAlign w:val="center"/>
          </w:tcPr>
          <w:p w14:paraId="6990DBA7" w14:textId="77777777" w:rsidR="00EA09AE" w:rsidRPr="00F9751F" w:rsidRDefault="00EA09AE" w:rsidP="00EA09AE">
            <w:pPr>
              <w:spacing w:before="0" w:after="0"/>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 </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54792CC"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55D782FC"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47C8E685"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01406884"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EF64E85"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6A2F117E"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2ABEF790"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7B2C16F1"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5790E44"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70252423"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5BE83FF5"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2014</w:t>
            </w:r>
          </w:p>
        </w:tc>
        <w:tc>
          <w:tcPr>
            <w:tcW w:w="600" w:type="dxa"/>
            <w:tcBorders>
              <w:top w:val="nil"/>
              <w:left w:val="nil"/>
              <w:bottom w:val="single" w:sz="4" w:space="0" w:color="BFBFBF"/>
              <w:right w:val="nil"/>
            </w:tcBorders>
            <w:shd w:val="clear" w:color="auto" w:fill="auto"/>
            <w:noWrap/>
            <w:vAlign w:val="center"/>
          </w:tcPr>
          <w:p w14:paraId="77EA93E9"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2007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D393FC9"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2014</w:t>
            </w:r>
          </w:p>
        </w:tc>
        <w:tc>
          <w:tcPr>
            <w:tcW w:w="600" w:type="dxa"/>
            <w:tcBorders>
              <w:top w:val="nil"/>
              <w:left w:val="nil"/>
              <w:bottom w:val="single" w:sz="4" w:space="0" w:color="BFBFBF"/>
              <w:right w:val="single" w:sz="4" w:space="0" w:color="auto"/>
            </w:tcBorders>
            <w:shd w:val="clear" w:color="auto" w:fill="auto"/>
            <w:noWrap/>
            <w:vAlign w:val="center"/>
          </w:tcPr>
          <w:p w14:paraId="185102D3"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2007</w:t>
            </w:r>
          </w:p>
        </w:tc>
        <w:tc>
          <w:tcPr>
            <w:tcW w:w="600" w:type="dxa"/>
            <w:tcBorders>
              <w:top w:val="nil"/>
              <w:left w:val="nil"/>
              <w:bottom w:val="single" w:sz="4" w:space="0" w:color="BFBFBF"/>
              <w:right w:val="single" w:sz="4" w:space="0" w:color="BFBFBF"/>
            </w:tcBorders>
            <w:shd w:val="clear" w:color="auto" w:fill="auto"/>
            <w:noWrap/>
            <w:vAlign w:val="center"/>
          </w:tcPr>
          <w:p w14:paraId="76E6156B"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2014</w:t>
            </w:r>
          </w:p>
        </w:tc>
        <w:tc>
          <w:tcPr>
            <w:tcW w:w="600" w:type="dxa"/>
            <w:tcBorders>
              <w:top w:val="nil"/>
              <w:left w:val="nil"/>
              <w:bottom w:val="single" w:sz="4" w:space="0" w:color="BFBFBF"/>
              <w:right w:val="double" w:sz="6" w:space="0" w:color="auto"/>
            </w:tcBorders>
            <w:shd w:val="clear" w:color="auto" w:fill="auto"/>
            <w:noWrap/>
            <w:vAlign w:val="center"/>
          </w:tcPr>
          <w:p w14:paraId="73D08F9F"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2007</w:t>
            </w:r>
          </w:p>
        </w:tc>
      </w:tr>
      <w:tr w:rsidR="0054131D" w:rsidRPr="00F9751F" w14:paraId="359A260B" w14:textId="77777777" w:rsidTr="00600395">
        <w:trPr>
          <w:trHeight w:val="283"/>
          <w:jc w:val="center"/>
        </w:trPr>
        <w:tc>
          <w:tcPr>
            <w:tcW w:w="3020" w:type="dxa"/>
            <w:tcBorders>
              <w:top w:val="nil"/>
              <w:left w:val="double" w:sz="6" w:space="0" w:color="auto"/>
              <w:bottom w:val="single" w:sz="4" w:space="0" w:color="BFBFBF"/>
              <w:right w:val="nil"/>
            </w:tcBorders>
            <w:shd w:val="clear" w:color="auto" w:fill="auto"/>
            <w:noWrap/>
            <w:vAlign w:val="center"/>
          </w:tcPr>
          <w:p w14:paraId="0654D935" w14:textId="77777777" w:rsidR="00EA09AE" w:rsidRPr="00F9751F" w:rsidRDefault="00EA09AE" w:rsidP="00EA09AE">
            <w:pPr>
              <w:spacing w:before="0" w:after="0"/>
              <w:rPr>
                <w:rFonts w:ascii="Arial" w:hAnsi="Arial" w:cs="Arial"/>
                <w:color w:val="000000"/>
                <w:sz w:val="16"/>
                <w:szCs w:val="16"/>
                <w:lang w:val="en-AU" w:eastAsia="en-AU"/>
              </w:rPr>
            </w:pPr>
            <w:r w:rsidRPr="00F9751F">
              <w:rPr>
                <w:rFonts w:ascii="Arial" w:hAnsi="Arial" w:cs="Arial"/>
                <w:color w:val="000000"/>
                <w:sz w:val="16"/>
                <w:szCs w:val="16"/>
                <w:lang w:val="en-AU" w:eastAsia="en-AU"/>
              </w:rPr>
              <w:t>No income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01D820D"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0712DE41"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BFBFBF"/>
            </w:tcBorders>
            <w:shd w:val="clear" w:color="auto" w:fill="auto"/>
            <w:noWrap/>
            <w:vAlign w:val="center"/>
          </w:tcPr>
          <w:p w14:paraId="79E5198F"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65128922"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7%</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323DA8F"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6184676E"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2F80CBBE"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9%</w:t>
            </w:r>
          </w:p>
        </w:tc>
        <w:tc>
          <w:tcPr>
            <w:tcW w:w="600" w:type="dxa"/>
            <w:tcBorders>
              <w:top w:val="nil"/>
              <w:left w:val="nil"/>
              <w:bottom w:val="single" w:sz="4" w:space="0" w:color="BFBFBF"/>
              <w:right w:val="nil"/>
            </w:tcBorders>
            <w:shd w:val="clear" w:color="auto" w:fill="auto"/>
            <w:noWrap/>
            <w:vAlign w:val="center"/>
          </w:tcPr>
          <w:p w14:paraId="7B14F742"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16%</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E5EAADD"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6%</w:t>
            </w:r>
          </w:p>
        </w:tc>
        <w:tc>
          <w:tcPr>
            <w:tcW w:w="600" w:type="dxa"/>
            <w:tcBorders>
              <w:top w:val="nil"/>
              <w:left w:val="nil"/>
              <w:bottom w:val="single" w:sz="4" w:space="0" w:color="BFBFBF"/>
              <w:right w:val="single" w:sz="4" w:space="0" w:color="auto"/>
            </w:tcBorders>
            <w:shd w:val="clear" w:color="auto" w:fill="auto"/>
            <w:noWrap/>
            <w:vAlign w:val="center"/>
          </w:tcPr>
          <w:p w14:paraId="40CDE548"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12%</w:t>
            </w:r>
          </w:p>
        </w:tc>
        <w:tc>
          <w:tcPr>
            <w:tcW w:w="600" w:type="dxa"/>
            <w:tcBorders>
              <w:top w:val="nil"/>
              <w:left w:val="nil"/>
              <w:bottom w:val="single" w:sz="4" w:space="0" w:color="BFBFBF"/>
              <w:right w:val="single" w:sz="4" w:space="0" w:color="BFBFBF"/>
            </w:tcBorders>
            <w:shd w:val="clear" w:color="auto" w:fill="auto"/>
            <w:noWrap/>
            <w:vAlign w:val="center"/>
          </w:tcPr>
          <w:p w14:paraId="35E1E4E2"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361670E4"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5F5BCEA" w14:textId="77777777" w:rsidR="00EA09AE" w:rsidRPr="00F9751F" w:rsidRDefault="00F9751F"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9</w:t>
            </w:r>
            <w:r w:rsidR="00EA09AE"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0F5D0792"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7EF8261B"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5%</w:t>
            </w:r>
          </w:p>
        </w:tc>
        <w:tc>
          <w:tcPr>
            <w:tcW w:w="600" w:type="dxa"/>
            <w:tcBorders>
              <w:top w:val="nil"/>
              <w:left w:val="nil"/>
              <w:bottom w:val="single" w:sz="4" w:space="0" w:color="BFBFBF"/>
              <w:right w:val="double" w:sz="6" w:space="0" w:color="auto"/>
            </w:tcBorders>
            <w:shd w:val="clear" w:color="auto" w:fill="auto"/>
            <w:noWrap/>
            <w:vAlign w:val="center"/>
          </w:tcPr>
          <w:p w14:paraId="10DAD13F"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11%</w:t>
            </w:r>
          </w:p>
        </w:tc>
      </w:tr>
      <w:tr w:rsidR="0054131D" w:rsidRPr="00F9751F" w14:paraId="369DAFCA" w14:textId="77777777" w:rsidTr="00600395">
        <w:trPr>
          <w:trHeight w:val="283"/>
          <w:jc w:val="center"/>
        </w:trPr>
        <w:tc>
          <w:tcPr>
            <w:tcW w:w="3020" w:type="dxa"/>
            <w:tcBorders>
              <w:top w:val="nil"/>
              <w:left w:val="double" w:sz="6" w:space="0" w:color="auto"/>
              <w:bottom w:val="single" w:sz="4" w:space="0" w:color="BFBFBF"/>
              <w:right w:val="nil"/>
            </w:tcBorders>
            <w:shd w:val="clear" w:color="auto" w:fill="auto"/>
            <w:noWrap/>
            <w:vAlign w:val="center"/>
          </w:tcPr>
          <w:p w14:paraId="75B24AC3" w14:textId="77777777" w:rsidR="00EA09AE" w:rsidRPr="00F9751F" w:rsidRDefault="00EA09AE" w:rsidP="00EA09AE">
            <w:pPr>
              <w:spacing w:before="0" w:after="0"/>
              <w:rPr>
                <w:rFonts w:ascii="Arial" w:hAnsi="Arial" w:cs="Arial"/>
                <w:color w:val="000000"/>
                <w:sz w:val="16"/>
                <w:szCs w:val="16"/>
                <w:lang w:val="en-AU" w:eastAsia="en-AU"/>
              </w:rPr>
            </w:pPr>
            <w:r w:rsidRPr="00F9751F">
              <w:rPr>
                <w:rFonts w:ascii="Arial" w:hAnsi="Arial" w:cs="Arial"/>
                <w:color w:val="000000"/>
                <w:sz w:val="16"/>
                <w:szCs w:val="16"/>
                <w:lang w:val="en-AU" w:eastAsia="en-AU"/>
              </w:rPr>
              <w:t>Less than $10,000</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3EB01B7"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79ADB274"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17A3F857"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087AE02D"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CF6C528"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1F6932E"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7B792B17"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72771A52"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E39BD7D"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68274E6E"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46F8D2FD"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nil"/>
            </w:tcBorders>
            <w:shd w:val="clear" w:color="auto" w:fill="auto"/>
            <w:noWrap/>
            <w:vAlign w:val="center"/>
          </w:tcPr>
          <w:p w14:paraId="52C30582"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3%</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EB71EA6" w14:textId="77777777" w:rsidR="00EA09AE" w:rsidRPr="00F9751F" w:rsidRDefault="00F9751F"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721F98A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41300A0C"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double" w:sz="6" w:space="0" w:color="auto"/>
            </w:tcBorders>
            <w:shd w:val="clear" w:color="auto" w:fill="auto"/>
            <w:noWrap/>
            <w:vAlign w:val="center"/>
          </w:tcPr>
          <w:p w14:paraId="6AFE3E01"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w:t>
            </w:r>
          </w:p>
        </w:tc>
      </w:tr>
      <w:tr w:rsidR="0054131D" w:rsidRPr="00F9751F" w14:paraId="173D6CDB" w14:textId="77777777" w:rsidTr="00600395">
        <w:trPr>
          <w:trHeight w:val="283"/>
          <w:jc w:val="center"/>
        </w:trPr>
        <w:tc>
          <w:tcPr>
            <w:tcW w:w="3020" w:type="dxa"/>
            <w:tcBorders>
              <w:top w:val="nil"/>
              <w:left w:val="double" w:sz="6" w:space="0" w:color="auto"/>
              <w:bottom w:val="single" w:sz="4" w:space="0" w:color="BFBFBF"/>
              <w:right w:val="nil"/>
            </w:tcBorders>
            <w:shd w:val="clear" w:color="auto" w:fill="auto"/>
            <w:noWrap/>
            <w:vAlign w:val="center"/>
          </w:tcPr>
          <w:p w14:paraId="5A6DA2EF" w14:textId="77777777" w:rsidR="00EA09AE" w:rsidRPr="00F9751F" w:rsidRDefault="00EA09AE" w:rsidP="00EA09AE">
            <w:pPr>
              <w:spacing w:before="0" w:after="0"/>
              <w:rPr>
                <w:rFonts w:ascii="Arial" w:hAnsi="Arial" w:cs="Arial"/>
                <w:color w:val="000000"/>
                <w:sz w:val="16"/>
                <w:szCs w:val="16"/>
                <w:lang w:val="en-AU" w:eastAsia="en-AU"/>
              </w:rPr>
            </w:pPr>
            <w:r w:rsidRPr="00F9751F">
              <w:rPr>
                <w:rFonts w:ascii="Arial" w:hAnsi="Arial" w:cs="Arial"/>
                <w:color w:val="000000"/>
                <w:sz w:val="16"/>
                <w:szCs w:val="16"/>
                <w:lang w:val="en-AU" w:eastAsia="en-AU"/>
              </w:rPr>
              <w:t>$10,000-$19,999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B10A0C3"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07F42EF0"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78%</w:t>
            </w:r>
          </w:p>
        </w:tc>
        <w:tc>
          <w:tcPr>
            <w:tcW w:w="600" w:type="dxa"/>
            <w:tcBorders>
              <w:top w:val="nil"/>
              <w:left w:val="nil"/>
              <w:bottom w:val="single" w:sz="4" w:space="0" w:color="BFBFBF"/>
              <w:right w:val="single" w:sz="4" w:space="0" w:color="BFBFBF"/>
            </w:tcBorders>
            <w:shd w:val="clear" w:color="auto" w:fill="auto"/>
            <w:noWrap/>
            <w:vAlign w:val="center"/>
          </w:tcPr>
          <w:p w14:paraId="3DB95559" w14:textId="77777777" w:rsidR="00EA09AE" w:rsidRPr="00F9751F" w:rsidRDefault="00EA09AE" w:rsidP="00B63143">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5</w:t>
            </w:r>
            <w:r w:rsidR="00B63143" w:rsidRPr="00F9751F">
              <w:rPr>
                <w:rFonts w:ascii="Arial" w:hAnsi="Arial" w:cs="Arial"/>
                <w:color w:val="000000"/>
                <w:sz w:val="16"/>
                <w:szCs w:val="16"/>
                <w:lang w:val="en-AU" w:eastAsia="en-AU"/>
              </w:rPr>
              <w:t>5</w:t>
            </w: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0A0C1EF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71%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E0C7EDD" w14:textId="77777777" w:rsidR="00EA09AE" w:rsidRPr="00F9751F" w:rsidRDefault="00EA09AE" w:rsidP="00B63143">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w:t>
            </w:r>
            <w:r w:rsidR="00B63143" w:rsidRPr="00F9751F">
              <w:rPr>
                <w:rFonts w:ascii="Arial" w:hAnsi="Arial" w:cs="Arial"/>
                <w:color w:val="000000"/>
                <w:sz w:val="16"/>
                <w:szCs w:val="16"/>
                <w:lang w:val="en-AU" w:eastAsia="en-AU"/>
              </w:rPr>
              <w:t>7</w:t>
            </w: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106BA04E"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75%</w:t>
            </w:r>
          </w:p>
        </w:tc>
        <w:tc>
          <w:tcPr>
            <w:tcW w:w="600" w:type="dxa"/>
            <w:tcBorders>
              <w:top w:val="nil"/>
              <w:left w:val="nil"/>
              <w:bottom w:val="single" w:sz="4" w:space="0" w:color="BFBFBF"/>
              <w:right w:val="single" w:sz="4" w:space="0" w:color="BFBFBF"/>
            </w:tcBorders>
            <w:shd w:val="clear" w:color="auto" w:fill="auto"/>
            <w:noWrap/>
            <w:vAlign w:val="center"/>
          </w:tcPr>
          <w:p w14:paraId="0BF196C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3%</w:t>
            </w:r>
          </w:p>
        </w:tc>
        <w:tc>
          <w:tcPr>
            <w:tcW w:w="600" w:type="dxa"/>
            <w:tcBorders>
              <w:top w:val="nil"/>
              <w:left w:val="nil"/>
              <w:bottom w:val="single" w:sz="4" w:space="0" w:color="BFBFBF"/>
              <w:right w:val="nil"/>
            </w:tcBorders>
            <w:shd w:val="clear" w:color="auto" w:fill="auto"/>
            <w:noWrap/>
            <w:vAlign w:val="center"/>
          </w:tcPr>
          <w:p w14:paraId="4E31D384"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16%</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88C418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13%</w:t>
            </w:r>
          </w:p>
        </w:tc>
        <w:tc>
          <w:tcPr>
            <w:tcW w:w="600" w:type="dxa"/>
            <w:tcBorders>
              <w:top w:val="nil"/>
              <w:left w:val="nil"/>
              <w:bottom w:val="single" w:sz="4" w:space="0" w:color="BFBFBF"/>
              <w:right w:val="single" w:sz="4" w:space="0" w:color="auto"/>
            </w:tcBorders>
            <w:shd w:val="clear" w:color="auto" w:fill="auto"/>
            <w:noWrap/>
            <w:vAlign w:val="center"/>
          </w:tcPr>
          <w:p w14:paraId="67BA91F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37%</w:t>
            </w:r>
          </w:p>
        </w:tc>
        <w:tc>
          <w:tcPr>
            <w:tcW w:w="600" w:type="dxa"/>
            <w:tcBorders>
              <w:top w:val="nil"/>
              <w:left w:val="nil"/>
              <w:bottom w:val="single" w:sz="4" w:space="0" w:color="BFBFBF"/>
              <w:right w:val="single" w:sz="4" w:space="0" w:color="BFBFBF"/>
            </w:tcBorders>
            <w:shd w:val="clear" w:color="auto" w:fill="auto"/>
            <w:noWrap/>
            <w:vAlign w:val="center"/>
          </w:tcPr>
          <w:p w14:paraId="7B7E73DD"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18%</w:t>
            </w:r>
          </w:p>
        </w:tc>
        <w:tc>
          <w:tcPr>
            <w:tcW w:w="600" w:type="dxa"/>
            <w:tcBorders>
              <w:top w:val="nil"/>
              <w:left w:val="nil"/>
              <w:bottom w:val="single" w:sz="4" w:space="0" w:color="BFBFBF"/>
              <w:right w:val="nil"/>
            </w:tcBorders>
            <w:shd w:val="clear" w:color="auto" w:fill="auto"/>
            <w:noWrap/>
            <w:vAlign w:val="center"/>
          </w:tcPr>
          <w:p w14:paraId="3D2FDBE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46%</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013CEB5" w14:textId="77777777" w:rsidR="00EA09AE" w:rsidRPr="00F9751F" w:rsidRDefault="00EA09AE" w:rsidP="00F9751F">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r w:rsidR="00F9751F" w:rsidRPr="00F9751F">
              <w:rPr>
                <w:rFonts w:ascii="Arial" w:hAnsi="Arial" w:cs="Arial"/>
                <w:color w:val="000000"/>
                <w:sz w:val="16"/>
                <w:szCs w:val="16"/>
                <w:lang w:val="en-AU" w:eastAsia="en-AU"/>
              </w:rPr>
              <w:t>6</w:t>
            </w: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42EDF2E2"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61%</w:t>
            </w:r>
          </w:p>
        </w:tc>
        <w:tc>
          <w:tcPr>
            <w:tcW w:w="600" w:type="dxa"/>
            <w:tcBorders>
              <w:top w:val="nil"/>
              <w:left w:val="nil"/>
              <w:bottom w:val="single" w:sz="4" w:space="0" w:color="BFBFBF"/>
              <w:right w:val="single" w:sz="4" w:space="0" w:color="BFBFBF"/>
            </w:tcBorders>
            <w:shd w:val="clear" w:color="auto" w:fill="auto"/>
            <w:noWrap/>
            <w:vAlign w:val="center"/>
          </w:tcPr>
          <w:p w14:paraId="3D8BAF21" w14:textId="77777777" w:rsidR="00EA09AE" w:rsidRPr="00F9751F" w:rsidRDefault="00EA09AE" w:rsidP="00B63143">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r w:rsidR="00B63143" w:rsidRPr="00F9751F">
              <w:rPr>
                <w:rFonts w:ascii="Arial" w:hAnsi="Arial" w:cs="Arial"/>
                <w:color w:val="000000"/>
                <w:sz w:val="16"/>
                <w:szCs w:val="16"/>
                <w:lang w:val="en-AU" w:eastAsia="en-AU"/>
              </w:rPr>
              <w:t>4</w:t>
            </w: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32CA557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40%</w:t>
            </w:r>
          </w:p>
        </w:tc>
      </w:tr>
      <w:tr w:rsidR="0054131D" w:rsidRPr="00F9751F" w14:paraId="523B570A" w14:textId="77777777" w:rsidTr="00600395">
        <w:trPr>
          <w:trHeight w:val="283"/>
          <w:jc w:val="center"/>
        </w:trPr>
        <w:tc>
          <w:tcPr>
            <w:tcW w:w="3020" w:type="dxa"/>
            <w:tcBorders>
              <w:top w:val="nil"/>
              <w:left w:val="double" w:sz="6" w:space="0" w:color="auto"/>
              <w:bottom w:val="single" w:sz="4" w:space="0" w:color="BFBFBF"/>
              <w:right w:val="nil"/>
            </w:tcBorders>
            <w:shd w:val="clear" w:color="auto" w:fill="auto"/>
            <w:noWrap/>
            <w:vAlign w:val="center"/>
          </w:tcPr>
          <w:p w14:paraId="2A85D0FF" w14:textId="77777777" w:rsidR="00EA09AE" w:rsidRPr="00F9751F" w:rsidRDefault="00EA09AE" w:rsidP="00EA09AE">
            <w:pPr>
              <w:spacing w:before="0" w:after="0"/>
              <w:rPr>
                <w:rFonts w:ascii="Arial" w:hAnsi="Arial" w:cs="Arial"/>
                <w:color w:val="000000"/>
                <w:sz w:val="16"/>
                <w:szCs w:val="16"/>
                <w:lang w:val="en-AU" w:eastAsia="en-AU"/>
              </w:rPr>
            </w:pPr>
            <w:r w:rsidRPr="00F9751F">
              <w:rPr>
                <w:rFonts w:ascii="Arial" w:hAnsi="Arial" w:cs="Arial"/>
                <w:color w:val="000000"/>
                <w:sz w:val="16"/>
                <w:szCs w:val="16"/>
                <w:lang w:val="en-AU" w:eastAsia="en-AU"/>
              </w:rPr>
              <w:t>$20,000-$29,999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AAF8C65" w14:textId="77777777" w:rsidR="00EA09AE" w:rsidRPr="00F9751F" w:rsidRDefault="00EA09AE" w:rsidP="00B63143">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5</w:t>
            </w:r>
            <w:r w:rsidR="00B63143" w:rsidRPr="00F9751F">
              <w:rPr>
                <w:rFonts w:ascii="Arial" w:hAnsi="Arial" w:cs="Arial"/>
                <w:color w:val="000000"/>
                <w:sz w:val="16"/>
                <w:szCs w:val="16"/>
                <w:lang w:val="en-AU" w:eastAsia="en-AU"/>
              </w:rPr>
              <w:t>0</w:t>
            </w: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6BA9DCA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17%</w:t>
            </w:r>
          </w:p>
        </w:tc>
        <w:tc>
          <w:tcPr>
            <w:tcW w:w="600" w:type="dxa"/>
            <w:tcBorders>
              <w:top w:val="nil"/>
              <w:left w:val="nil"/>
              <w:bottom w:val="single" w:sz="4" w:space="0" w:color="BFBFBF"/>
              <w:right w:val="single" w:sz="4" w:space="0" w:color="BFBFBF"/>
            </w:tcBorders>
            <w:shd w:val="clear" w:color="auto" w:fill="auto"/>
            <w:noWrap/>
            <w:vAlign w:val="center"/>
          </w:tcPr>
          <w:p w14:paraId="6E82C3F6" w14:textId="77777777" w:rsidR="00EA09AE" w:rsidRPr="00F9751F" w:rsidRDefault="00B63143"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7</w:t>
            </w:r>
            <w:r w:rsidR="00EA09AE" w:rsidRPr="00F9751F">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29A4B7B8"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F28D15B"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29%</w:t>
            </w:r>
          </w:p>
        </w:tc>
        <w:tc>
          <w:tcPr>
            <w:tcW w:w="600" w:type="dxa"/>
            <w:tcBorders>
              <w:top w:val="nil"/>
              <w:left w:val="nil"/>
              <w:bottom w:val="single" w:sz="4" w:space="0" w:color="BFBFBF"/>
              <w:right w:val="single" w:sz="4" w:space="0" w:color="auto"/>
            </w:tcBorders>
            <w:shd w:val="clear" w:color="auto" w:fill="auto"/>
            <w:noWrap/>
            <w:vAlign w:val="center"/>
          </w:tcPr>
          <w:p w14:paraId="4BF45CC9"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13%</w:t>
            </w:r>
          </w:p>
        </w:tc>
        <w:tc>
          <w:tcPr>
            <w:tcW w:w="600" w:type="dxa"/>
            <w:tcBorders>
              <w:top w:val="nil"/>
              <w:left w:val="nil"/>
              <w:bottom w:val="single" w:sz="4" w:space="0" w:color="BFBFBF"/>
              <w:right w:val="single" w:sz="4" w:space="0" w:color="BFBFBF"/>
            </w:tcBorders>
            <w:shd w:val="clear" w:color="auto" w:fill="auto"/>
            <w:noWrap/>
            <w:vAlign w:val="center"/>
          </w:tcPr>
          <w:p w14:paraId="789864DB"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21%</w:t>
            </w:r>
          </w:p>
        </w:tc>
        <w:tc>
          <w:tcPr>
            <w:tcW w:w="600" w:type="dxa"/>
            <w:tcBorders>
              <w:top w:val="nil"/>
              <w:left w:val="nil"/>
              <w:bottom w:val="single" w:sz="4" w:space="0" w:color="BFBFBF"/>
              <w:right w:val="nil"/>
            </w:tcBorders>
            <w:shd w:val="clear" w:color="auto" w:fill="auto"/>
            <w:noWrap/>
            <w:vAlign w:val="center"/>
          </w:tcPr>
          <w:p w14:paraId="09621D99"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10%</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41629C3"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24%</w:t>
            </w:r>
          </w:p>
        </w:tc>
        <w:tc>
          <w:tcPr>
            <w:tcW w:w="600" w:type="dxa"/>
            <w:tcBorders>
              <w:top w:val="nil"/>
              <w:left w:val="nil"/>
              <w:bottom w:val="single" w:sz="4" w:space="0" w:color="BFBFBF"/>
              <w:right w:val="single" w:sz="4" w:space="0" w:color="auto"/>
            </w:tcBorders>
            <w:shd w:val="clear" w:color="auto" w:fill="auto"/>
            <w:noWrap/>
            <w:vAlign w:val="center"/>
          </w:tcPr>
          <w:p w14:paraId="314CD3A4"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11%</w:t>
            </w:r>
          </w:p>
        </w:tc>
        <w:tc>
          <w:tcPr>
            <w:tcW w:w="600" w:type="dxa"/>
            <w:tcBorders>
              <w:top w:val="nil"/>
              <w:left w:val="nil"/>
              <w:bottom w:val="single" w:sz="4" w:space="0" w:color="BFBFBF"/>
              <w:right w:val="single" w:sz="4" w:space="0" w:color="BFBFBF"/>
            </w:tcBorders>
            <w:shd w:val="clear" w:color="auto" w:fill="auto"/>
            <w:noWrap/>
            <w:vAlign w:val="center"/>
          </w:tcPr>
          <w:p w14:paraId="6B5FFE1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27%</w:t>
            </w:r>
          </w:p>
        </w:tc>
        <w:tc>
          <w:tcPr>
            <w:tcW w:w="600" w:type="dxa"/>
            <w:tcBorders>
              <w:top w:val="nil"/>
              <w:left w:val="nil"/>
              <w:bottom w:val="single" w:sz="4" w:space="0" w:color="BFBFBF"/>
              <w:right w:val="nil"/>
            </w:tcBorders>
            <w:shd w:val="clear" w:color="auto" w:fill="auto"/>
            <w:noWrap/>
            <w:vAlign w:val="center"/>
          </w:tcPr>
          <w:p w14:paraId="5CA38515"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8355079" w14:textId="77777777" w:rsidR="00EA09AE" w:rsidRPr="00F9751F" w:rsidRDefault="00EA09AE" w:rsidP="00F9751F">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w:t>
            </w:r>
            <w:r w:rsidR="00F9751F" w:rsidRPr="00F9751F">
              <w:rPr>
                <w:rFonts w:ascii="Arial" w:hAnsi="Arial" w:cs="Arial"/>
                <w:color w:val="000000"/>
                <w:sz w:val="16"/>
                <w:szCs w:val="16"/>
                <w:lang w:val="en-AU" w:eastAsia="en-AU"/>
              </w:rPr>
              <w:t>2</w:t>
            </w: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005CDD45"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8%</w:t>
            </w:r>
          </w:p>
        </w:tc>
        <w:tc>
          <w:tcPr>
            <w:tcW w:w="600" w:type="dxa"/>
            <w:tcBorders>
              <w:top w:val="nil"/>
              <w:left w:val="nil"/>
              <w:bottom w:val="single" w:sz="4" w:space="0" w:color="BFBFBF"/>
              <w:right w:val="single" w:sz="4" w:space="0" w:color="BFBFBF"/>
            </w:tcBorders>
            <w:shd w:val="clear" w:color="auto" w:fill="auto"/>
            <w:noWrap/>
            <w:vAlign w:val="center"/>
          </w:tcPr>
          <w:p w14:paraId="05A15319"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25%</w:t>
            </w:r>
          </w:p>
        </w:tc>
        <w:tc>
          <w:tcPr>
            <w:tcW w:w="600" w:type="dxa"/>
            <w:tcBorders>
              <w:top w:val="nil"/>
              <w:left w:val="nil"/>
              <w:bottom w:val="single" w:sz="4" w:space="0" w:color="BFBFBF"/>
              <w:right w:val="double" w:sz="6" w:space="0" w:color="auto"/>
            </w:tcBorders>
            <w:shd w:val="clear" w:color="auto" w:fill="auto"/>
            <w:noWrap/>
            <w:vAlign w:val="center"/>
          </w:tcPr>
          <w:p w14:paraId="18FD8DF3"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11%</w:t>
            </w:r>
          </w:p>
        </w:tc>
      </w:tr>
      <w:tr w:rsidR="0054131D" w:rsidRPr="00F9751F" w14:paraId="4EAD3E2A" w14:textId="77777777" w:rsidTr="00600395">
        <w:trPr>
          <w:trHeight w:val="283"/>
          <w:jc w:val="center"/>
        </w:trPr>
        <w:tc>
          <w:tcPr>
            <w:tcW w:w="3020" w:type="dxa"/>
            <w:tcBorders>
              <w:top w:val="nil"/>
              <w:left w:val="double" w:sz="6" w:space="0" w:color="auto"/>
              <w:bottom w:val="single" w:sz="4" w:space="0" w:color="BFBFBF"/>
              <w:right w:val="nil"/>
            </w:tcBorders>
            <w:shd w:val="clear" w:color="auto" w:fill="auto"/>
            <w:noWrap/>
            <w:vAlign w:val="center"/>
          </w:tcPr>
          <w:p w14:paraId="4986F14A" w14:textId="77777777" w:rsidR="00EA09AE" w:rsidRPr="00F9751F" w:rsidRDefault="00EA09AE" w:rsidP="00EA09AE">
            <w:pPr>
              <w:spacing w:before="0" w:after="0"/>
              <w:rPr>
                <w:rFonts w:ascii="Arial" w:hAnsi="Arial" w:cs="Arial"/>
                <w:color w:val="000000"/>
                <w:sz w:val="16"/>
                <w:szCs w:val="16"/>
                <w:lang w:val="en-AU" w:eastAsia="en-AU"/>
              </w:rPr>
            </w:pPr>
            <w:r w:rsidRPr="00F9751F">
              <w:rPr>
                <w:rFonts w:ascii="Arial" w:hAnsi="Arial" w:cs="Arial"/>
                <w:color w:val="000000"/>
                <w:sz w:val="16"/>
                <w:szCs w:val="16"/>
                <w:lang w:val="en-AU" w:eastAsia="en-AU"/>
              </w:rPr>
              <w:t>$30,000-$39,999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8E36D29"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27DFB07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0%</w:t>
            </w:r>
          </w:p>
        </w:tc>
        <w:tc>
          <w:tcPr>
            <w:tcW w:w="600" w:type="dxa"/>
            <w:tcBorders>
              <w:top w:val="nil"/>
              <w:left w:val="nil"/>
              <w:bottom w:val="single" w:sz="4" w:space="0" w:color="BFBFBF"/>
              <w:right w:val="single" w:sz="4" w:space="0" w:color="BFBFBF"/>
            </w:tcBorders>
            <w:shd w:val="clear" w:color="auto" w:fill="auto"/>
            <w:noWrap/>
            <w:vAlign w:val="center"/>
          </w:tcPr>
          <w:p w14:paraId="4B816E4A" w14:textId="77777777" w:rsidR="00EA09AE" w:rsidRPr="00F9751F" w:rsidRDefault="00B63143"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7</w:t>
            </w:r>
            <w:r w:rsidR="00EA09AE" w:rsidRPr="00F9751F">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3F70FB67"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6C69752F"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4%</w:t>
            </w:r>
          </w:p>
        </w:tc>
        <w:tc>
          <w:tcPr>
            <w:tcW w:w="600" w:type="dxa"/>
            <w:tcBorders>
              <w:top w:val="nil"/>
              <w:left w:val="nil"/>
              <w:bottom w:val="single" w:sz="4" w:space="0" w:color="BFBFBF"/>
              <w:right w:val="single" w:sz="4" w:space="0" w:color="auto"/>
            </w:tcBorders>
            <w:shd w:val="clear" w:color="auto" w:fill="auto"/>
            <w:noWrap/>
            <w:vAlign w:val="center"/>
          </w:tcPr>
          <w:p w14:paraId="24C172F4"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2C63BD41"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4%</w:t>
            </w:r>
          </w:p>
        </w:tc>
        <w:tc>
          <w:tcPr>
            <w:tcW w:w="600" w:type="dxa"/>
            <w:tcBorders>
              <w:top w:val="nil"/>
              <w:left w:val="nil"/>
              <w:bottom w:val="single" w:sz="4" w:space="0" w:color="BFBFBF"/>
              <w:right w:val="nil"/>
            </w:tcBorders>
            <w:shd w:val="clear" w:color="auto" w:fill="auto"/>
            <w:noWrap/>
            <w:vAlign w:val="center"/>
          </w:tcPr>
          <w:p w14:paraId="09602C73"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995F658"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3%</w:t>
            </w:r>
          </w:p>
        </w:tc>
        <w:tc>
          <w:tcPr>
            <w:tcW w:w="600" w:type="dxa"/>
            <w:tcBorders>
              <w:top w:val="nil"/>
              <w:left w:val="nil"/>
              <w:bottom w:val="single" w:sz="4" w:space="0" w:color="BFBFBF"/>
              <w:right w:val="single" w:sz="4" w:space="0" w:color="auto"/>
            </w:tcBorders>
            <w:shd w:val="clear" w:color="auto" w:fill="auto"/>
            <w:noWrap/>
            <w:vAlign w:val="center"/>
          </w:tcPr>
          <w:p w14:paraId="19185B2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BFBFBF"/>
            </w:tcBorders>
            <w:shd w:val="clear" w:color="auto" w:fill="auto"/>
            <w:noWrap/>
            <w:vAlign w:val="center"/>
          </w:tcPr>
          <w:p w14:paraId="566D77BA"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5%</w:t>
            </w:r>
          </w:p>
        </w:tc>
        <w:tc>
          <w:tcPr>
            <w:tcW w:w="600" w:type="dxa"/>
            <w:tcBorders>
              <w:top w:val="nil"/>
              <w:left w:val="nil"/>
              <w:bottom w:val="single" w:sz="4" w:space="0" w:color="BFBFBF"/>
              <w:right w:val="nil"/>
            </w:tcBorders>
            <w:shd w:val="clear" w:color="auto" w:fill="auto"/>
            <w:noWrap/>
            <w:vAlign w:val="center"/>
          </w:tcPr>
          <w:p w14:paraId="4096F9E1"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8%</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AFD085F"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58372A55"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BFBFBF"/>
            </w:tcBorders>
            <w:shd w:val="clear" w:color="auto" w:fill="auto"/>
            <w:noWrap/>
            <w:vAlign w:val="center"/>
          </w:tcPr>
          <w:p w14:paraId="575FE89A"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4%</w:t>
            </w:r>
          </w:p>
        </w:tc>
        <w:tc>
          <w:tcPr>
            <w:tcW w:w="600" w:type="dxa"/>
            <w:tcBorders>
              <w:top w:val="nil"/>
              <w:left w:val="nil"/>
              <w:bottom w:val="single" w:sz="4" w:space="0" w:color="BFBFBF"/>
              <w:right w:val="double" w:sz="6" w:space="0" w:color="auto"/>
            </w:tcBorders>
            <w:shd w:val="clear" w:color="auto" w:fill="auto"/>
            <w:noWrap/>
            <w:vAlign w:val="center"/>
          </w:tcPr>
          <w:p w14:paraId="156B411A"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6%</w:t>
            </w:r>
          </w:p>
        </w:tc>
      </w:tr>
      <w:tr w:rsidR="0054131D" w:rsidRPr="00F9751F" w14:paraId="247153CF" w14:textId="77777777" w:rsidTr="00600395">
        <w:trPr>
          <w:trHeight w:val="283"/>
          <w:jc w:val="center"/>
        </w:trPr>
        <w:tc>
          <w:tcPr>
            <w:tcW w:w="3020" w:type="dxa"/>
            <w:tcBorders>
              <w:top w:val="nil"/>
              <w:left w:val="double" w:sz="6" w:space="0" w:color="auto"/>
              <w:bottom w:val="single" w:sz="4" w:space="0" w:color="BFBFBF"/>
              <w:right w:val="nil"/>
            </w:tcBorders>
            <w:shd w:val="clear" w:color="auto" w:fill="auto"/>
            <w:noWrap/>
            <w:vAlign w:val="center"/>
          </w:tcPr>
          <w:p w14:paraId="6736A22E" w14:textId="77777777" w:rsidR="00EA09AE" w:rsidRPr="00F9751F" w:rsidRDefault="00EA09AE" w:rsidP="00EA09AE">
            <w:pPr>
              <w:spacing w:before="0" w:after="0"/>
              <w:rPr>
                <w:rFonts w:ascii="Arial" w:hAnsi="Arial" w:cs="Arial"/>
                <w:color w:val="000000"/>
                <w:sz w:val="16"/>
                <w:szCs w:val="16"/>
                <w:lang w:val="en-AU" w:eastAsia="en-AU"/>
              </w:rPr>
            </w:pPr>
            <w:r w:rsidRPr="00F9751F">
              <w:rPr>
                <w:rFonts w:ascii="Arial" w:hAnsi="Arial" w:cs="Arial"/>
                <w:color w:val="000000"/>
                <w:sz w:val="16"/>
                <w:szCs w:val="16"/>
                <w:lang w:val="en-AU" w:eastAsia="en-AU"/>
              </w:rPr>
              <w:t>$40,000-$49,999</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35F89F25"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43%</w:t>
            </w:r>
          </w:p>
        </w:tc>
        <w:tc>
          <w:tcPr>
            <w:tcW w:w="600" w:type="dxa"/>
            <w:tcBorders>
              <w:top w:val="nil"/>
              <w:left w:val="nil"/>
              <w:bottom w:val="single" w:sz="4" w:space="0" w:color="BFBFBF"/>
              <w:right w:val="single" w:sz="4" w:space="0" w:color="auto"/>
            </w:tcBorders>
            <w:shd w:val="clear" w:color="auto" w:fill="auto"/>
            <w:noWrap/>
            <w:vAlign w:val="center"/>
          </w:tcPr>
          <w:p w14:paraId="1DFE1F84"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390BD2F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15%</w:t>
            </w:r>
          </w:p>
        </w:tc>
        <w:tc>
          <w:tcPr>
            <w:tcW w:w="600" w:type="dxa"/>
            <w:tcBorders>
              <w:top w:val="nil"/>
              <w:left w:val="nil"/>
              <w:bottom w:val="single" w:sz="4" w:space="0" w:color="BFBFBF"/>
              <w:right w:val="nil"/>
            </w:tcBorders>
            <w:shd w:val="clear" w:color="auto" w:fill="auto"/>
            <w:noWrap/>
            <w:vAlign w:val="center"/>
          </w:tcPr>
          <w:p w14:paraId="15A8F033"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D139D49" w14:textId="77777777" w:rsidR="00EA09AE" w:rsidRPr="00F9751F" w:rsidRDefault="00B63143"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30</w:t>
            </w:r>
            <w:r w:rsidR="00EA09AE"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4485BB4E"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w:t>
            </w:r>
          </w:p>
        </w:tc>
        <w:tc>
          <w:tcPr>
            <w:tcW w:w="600" w:type="dxa"/>
            <w:tcBorders>
              <w:top w:val="nil"/>
              <w:left w:val="nil"/>
              <w:bottom w:val="single" w:sz="4" w:space="0" w:color="BFBFBF"/>
              <w:right w:val="single" w:sz="4" w:space="0" w:color="BFBFBF"/>
            </w:tcBorders>
            <w:shd w:val="clear" w:color="auto" w:fill="auto"/>
            <w:noWrap/>
            <w:vAlign w:val="center"/>
          </w:tcPr>
          <w:p w14:paraId="596F8B9B"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8%</w:t>
            </w:r>
          </w:p>
        </w:tc>
        <w:tc>
          <w:tcPr>
            <w:tcW w:w="600" w:type="dxa"/>
            <w:tcBorders>
              <w:top w:val="nil"/>
              <w:left w:val="nil"/>
              <w:bottom w:val="single" w:sz="4" w:space="0" w:color="BFBFBF"/>
              <w:right w:val="nil"/>
            </w:tcBorders>
            <w:shd w:val="clear" w:color="auto" w:fill="auto"/>
            <w:noWrap/>
            <w:vAlign w:val="center"/>
          </w:tcPr>
          <w:p w14:paraId="274BA535"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C0DAB50"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16%</w:t>
            </w:r>
          </w:p>
        </w:tc>
        <w:tc>
          <w:tcPr>
            <w:tcW w:w="600" w:type="dxa"/>
            <w:tcBorders>
              <w:top w:val="nil"/>
              <w:left w:val="nil"/>
              <w:bottom w:val="single" w:sz="4" w:space="0" w:color="BFBFBF"/>
              <w:right w:val="single" w:sz="4" w:space="0" w:color="auto"/>
            </w:tcBorders>
            <w:shd w:val="clear" w:color="auto" w:fill="auto"/>
            <w:noWrap/>
            <w:vAlign w:val="center"/>
          </w:tcPr>
          <w:p w14:paraId="5371D35C"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15%</w:t>
            </w:r>
          </w:p>
        </w:tc>
        <w:tc>
          <w:tcPr>
            <w:tcW w:w="600" w:type="dxa"/>
            <w:tcBorders>
              <w:top w:val="nil"/>
              <w:left w:val="nil"/>
              <w:bottom w:val="single" w:sz="4" w:space="0" w:color="BFBFBF"/>
              <w:right w:val="single" w:sz="4" w:space="0" w:color="BFBFBF"/>
            </w:tcBorders>
            <w:shd w:val="clear" w:color="auto" w:fill="auto"/>
            <w:noWrap/>
            <w:vAlign w:val="center"/>
          </w:tcPr>
          <w:p w14:paraId="50C64C35"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21%</w:t>
            </w:r>
          </w:p>
        </w:tc>
        <w:tc>
          <w:tcPr>
            <w:tcW w:w="600" w:type="dxa"/>
            <w:tcBorders>
              <w:top w:val="nil"/>
              <w:left w:val="nil"/>
              <w:bottom w:val="single" w:sz="4" w:space="0" w:color="BFBFBF"/>
              <w:right w:val="nil"/>
            </w:tcBorders>
            <w:shd w:val="clear" w:color="auto" w:fill="auto"/>
            <w:noWrap/>
            <w:vAlign w:val="center"/>
          </w:tcPr>
          <w:p w14:paraId="62667AA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107C13A4"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16%</w:t>
            </w:r>
          </w:p>
        </w:tc>
        <w:tc>
          <w:tcPr>
            <w:tcW w:w="600" w:type="dxa"/>
            <w:tcBorders>
              <w:top w:val="nil"/>
              <w:left w:val="nil"/>
              <w:bottom w:val="single" w:sz="4" w:space="0" w:color="BFBFBF"/>
              <w:right w:val="single" w:sz="4" w:space="0" w:color="auto"/>
            </w:tcBorders>
            <w:shd w:val="clear" w:color="auto" w:fill="auto"/>
            <w:noWrap/>
            <w:vAlign w:val="center"/>
          </w:tcPr>
          <w:p w14:paraId="030A2C2F"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11%</w:t>
            </w:r>
          </w:p>
        </w:tc>
        <w:tc>
          <w:tcPr>
            <w:tcW w:w="600" w:type="dxa"/>
            <w:tcBorders>
              <w:top w:val="nil"/>
              <w:left w:val="nil"/>
              <w:bottom w:val="single" w:sz="4" w:space="0" w:color="BFBFBF"/>
              <w:right w:val="single" w:sz="4" w:space="0" w:color="BFBFBF"/>
            </w:tcBorders>
            <w:shd w:val="clear" w:color="auto" w:fill="auto"/>
            <w:noWrap/>
            <w:vAlign w:val="center"/>
          </w:tcPr>
          <w:p w14:paraId="384DC3FE" w14:textId="77777777" w:rsidR="00EA09AE" w:rsidRPr="00F9751F" w:rsidRDefault="00EA09AE" w:rsidP="00B63143">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r w:rsidR="00B63143" w:rsidRPr="00F9751F">
              <w:rPr>
                <w:rFonts w:ascii="Arial" w:hAnsi="Arial" w:cs="Arial"/>
                <w:color w:val="000000"/>
                <w:sz w:val="16"/>
                <w:szCs w:val="16"/>
                <w:lang w:val="en-AU" w:eastAsia="en-AU"/>
              </w:rPr>
              <w:t>8</w:t>
            </w: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1A64B49B"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14%</w:t>
            </w:r>
          </w:p>
        </w:tc>
      </w:tr>
      <w:tr w:rsidR="0054131D" w:rsidRPr="00F9751F" w14:paraId="5993ED94" w14:textId="77777777" w:rsidTr="00600395">
        <w:trPr>
          <w:trHeight w:val="283"/>
          <w:jc w:val="center"/>
        </w:trPr>
        <w:tc>
          <w:tcPr>
            <w:tcW w:w="3020" w:type="dxa"/>
            <w:tcBorders>
              <w:top w:val="nil"/>
              <w:left w:val="double" w:sz="6" w:space="0" w:color="auto"/>
              <w:bottom w:val="single" w:sz="4" w:space="0" w:color="BFBFBF"/>
              <w:right w:val="nil"/>
            </w:tcBorders>
            <w:shd w:val="clear" w:color="auto" w:fill="auto"/>
            <w:noWrap/>
            <w:vAlign w:val="center"/>
          </w:tcPr>
          <w:p w14:paraId="2AA8FA34" w14:textId="77777777" w:rsidR="00EA09AE" w:rsidRPr="00F9751F" w:rsidRDefault="00EA09AE" w:rsidP="00EA09AE">
            <w:pPr>
              <w:spacing w:before="0" w:after="0"/>
              <w:rPr>
                <w:rFonts w:ascii="Arial" w:hAnsi="Arial" w:cs="Arial"/>
                <w:color w:val="000000"/>
                <w:sz w:val="16"/>
                <w:szCs w:val="16"/>
                <w:lang w:val="en-AU" w:eastAsia="en-AU"/>
              </w:rPr>
            </w:pPr>
            <w:r w:rsidRPr="00F9751F">
              <w:rPr>
                <w:rFonts w:ascii="Arial" w:hAnsi="Arial" w:cs="Arial"/>
                <w:color w:val="000000"/>
                <w:sz w:val="16"/>
                <w:szCs w:val="16"/>
                <w:lang w:val="en-AU" w:eastAsia="en-AU"/>
              </w:rPr>
              <w:t>$50,000 or more</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F9353BD"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5%</w:t>
            </w:r>
          </w:p>
        </w:tc>
        <w:tc>
          <w:tcPr>
            <w:tcW w:w="600" w:type="dxa"/>
            <w:tcBorders>
              <w:top w:val="nil"/>
              <w:left w:val="nil"/>
              <w:bottom w:val="single" w:sz="4" w:space="0" w:color="BFBFBF"/>
              <w:right w:val="single" w:sz="4" w:space="0" w:color="auto"/>
            </w:tcBorders>
            <w:shd w:val="clear" w:color="auto" w:fill="auto"/>
            <w:noWrap/>
            <w:vAlign w:val="center"/>
          </w:tcPr>
          <w:p w14:paraId="42005200"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2156A9C3"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14%</w:t>
            </w:r>
          </w:p>
        </w:tc>
        <w:tc>
          <w:tcPr>
            <w:tcW w:w="600" w:type="dxa"/>
            <w:tcBorders>
              <w:top w:val="nil"/>
              <w:left w:val="nil"/>
              <w:bottom w:val="single" w:sz="4" w:space="0" w:color="BFBFBF"/>
              <w:right w:val="nil"/>
            </w:tcBorders>
            <w:shd w:val="clear" w:color="auto" w:fill="auto"/>
            <w:noWrap/>
            <w:vAlign w:val="center"/>
          </w:tcPr>
          <w:p w14:paraId="14BB5690"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1F4990B"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9%</w:t>
            </w:r>
          </w:p>
        </w:tc>
        <w:tc>
          <w:tcPr>
            <w:tcW w:w="600" w:type="dxa"/>
            <w:tcBorders>
              <w:top w:val="nil"/>
              <w:left w:val="nil"/>
              <w:bottom w:val="single" w:sz="4" w:space="0" w:color="BFBFBF"/>
              <w:right w:val="single" w:sz="4" w:space="0" w:color="auto"/>
            </w:tcBorders>
            <w:shd w:val="clear" w:color="auto" w:fill="auto"/>
            <w:noWrap/>
            <w:vAlign w:val="center"/>
          </w:tcPr>
          <w:p w14:paraId="4FA026D1"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BFBFBF"/>
            </w:tcBorders>
            <w:shd w:val="clear" w:color="auto" w:fill="auto"/>
            <w:noWrap/>
            <w:vAlign w:val="center"/>
          </w:tcPr>
          <w:p w14:paraId="4DFE0873"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54%</w:t>
            </w:r>
          </w:p>
        </w:tc>
        <w:tc>
          <w:tcPr>
            <w:tcW w:w="600" w:type="dxa"/>
            <w:tcBorders>
              <w:top w:val="nil"/>
              <w:left w:val="nil"/>
              <w:bottom w:val="single" w:sz="4" w:space="0" w:color="BFBFBF"/>
              <w:right w:val="nil"/>
            </w:tcBorders>
            <w:shd w:val="clear" w:color="auto" w:fill="auto"/>
            <w:noWrap/>
            <w:vAlign w:val="center"/>
          </w:tcPr>
          <w:p w14:paraId="25970C87"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24%</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EC86E56"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37%</w:t>
            </w:r>
          </w:p>
        </w:tc>
        <w:tc>
          <w:tcPr>
            <w:tcW w:w="600" w:type="dxa"/>
            <w:tcBorders>
              <w:top w:val="nil"/>
              <w:left w:val="nil"/>
              <w:bottom w:val="single" w:sz="4" w:space="0" w:color="BFBFBF"/>
              <w:right w:val="single" w:sz="4" w:space="0" w:color="auto"/>
            </w:tcBorders>
            <w:shd w:val="clear" w:color="auto" w:fill="auto"/>
            <w:noWrap/>
            <w:vAlign w:val="center"/>
          </w:tcPr>
          <w:p w14:paraId="5A3DA42B"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17%</w:t>
            </w:r>
          </w:p>
        </w:tc>
        <w:tc>
          <w:tcPr>
            <w:tcW w:w="600" w:type="dxa"/>
            <w:tcBorders>
              <w:top w:val="nil"/>
              <w:left w:val="nil"/>
              <w:bottom w:val="single" w:sz="4" w:space="0" w:color="BFBFBF"/>
              <w:right w:val="single" w:sz="4" w:space="0" w:color="BFBFBF"/>
            </w:tcBorders>
            <w:shd w:val="clear" w:color="auto" w:fill="auto"/>
            <w:noWrap/>
            <w:vAlign w:val="center"/>
          </w:tcPr>
          <w:p w14:paraId="09CFF80A" w14:textId="77777777" w:rsidR="00EA09AE" w:rsidRPr="00F9751F" w:rsidRDefault="00EA09AE" w:rsidP="00F9751F">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2</w:t>
            </w:r>
            <w:r w:rsidR="00F9751F" w:rsidRPr="00F9751F">
              <w:rPr>
                <w:rFonts w:ascii="Arial" w:hAnsi="Arial" w:cs="Arial"/>
                <w:color w:val="000000"/>
                <w:sz w:val="16"/>
                <w:szCs w:val="16"/>
                <w:lang w:val="en-AU" w:eastAsia="en-AU"/>
              </w:rPr>
              <w:t>5</w:t>
            </w: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0A6B5920"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11%</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5346CAA9" w14:textId="77777777" w:rsidR="00EA09AE" w:rsidRPr="00F9751F" w:rsidRDefault="00EA09AE" w:rsidP="00F9751F">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3</w:t>
            </w:r>
            <w:r w:rsidR="00F9751F" w:rsidRPr="00F9751F">
              <w:rPr>
                <w:rFonts w:ascii="Arial" w:hAnsi="Arial" w:cs="Arial"/>
                <w:color w:val="000000"/>
                <w:sz w:val="16"/>
                <w:szCs w:val="16"/>
                <w:lang w:val="en-AU" w:eastAsia="en-AU"/>
              </w:rPr>
              <w:t>1</w:t>
            </w: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DD98B69"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7%</w:t>
            </w:r>
          </w:p>
        </w:tc>
        <w:tc>
          <w:tcPr>
            <w:tcW w:w="600" w:type="dxa"/>
            <w:tcBorders>
              <w:top w:val="nil"/>
              <w:left w:val="nil"/>
              <w:bottom w:val="single" w:sz="4" w:space="0" w:color="BFBFBF"/>
              <w:right w:val="single" w:sz="4" w:space="0" w:color="BFBFBF"/>
            </w:tcBorders>
            <w:shd w:val="clear" w:color="auto" w:fill="auto"/>
            <w:noWrap/>
            <w:vAlign w:val="center"/>
          </w:tcPr>
          <w:p w14:paraId="7DC62910" w14:textId="77777777" w:rsidR="00EA09AE" w:rsidRPr="00F9751F" w:rsidRDefault="00EA09AE" w:rsidP="00B63143">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3</w:t>
            </w:r>
            <w:r w:rsidR="00B63143" w:rsidRPr="00F9751F">
              <w:rPr>
                <w:rFonts w:ascii="Arial" w:hAnsi="Arial" w:cs="Arial"/>
                <w:color w:val="000000"/>
                <w:sz w:val="16"/>
                <w:szCs w:val="16"/>
                <w:lang w:val="en-AU" w:eastAsia="en-AU"/>
              </w:rPr>
              <w:t>4</w:t>
            </w: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3622368F"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15%</w:t>
            </w:r>
          </w:p>
        </w:tc>
      </w:tr>
      <w:tr w:rsidR="0054131D" w:rsidRPr="00F9751F" w14:paraId="0524F6A2" w14:textId="77777777" w:rsidTr="00600395">
        <w:trPr>
          <w:trHeight w:val="283"/>
          <w:jc w:val="center"/>
        </w:trPr>
        <w:tc>
          <w:tcPr>
            <w:tcW w:w="3020" w:type="dxa"/>
            <w:tcBorders>
              <w:top w:val="nil"/>
              <w:left w:val="double" w:sz="6" w:space="0" w:color="auto"/>
              <w:bottom w:val="single" w:sz="4" w:space="0" w:color="BFBFBF"/>
              <w:right w:val="nil"/>
            </w:tcBorders>
            <w:shd w:val="clear" w:color="auto" w:fill="auto"/>
            <w:noWrap/>
            <w:vAlign w:val="center"/>
          </w:tcPr>
          <w:p w14:paraId="1B0E3A9B" w14:textId="77777777" w:rsidR="00EA09AE" w:rsidRPr="00F9751F" w:rsidRDefault="00EA09AE" w:rsidP="00EA09AE">
            <w:pPr>
              <w:spacing w:before="0" w:after="0"/>
              <w:rPr>
                <w:rFonts w:ascii="Arial" w:hAnsi="Arial" w:cs="Arial"/>
                <w:color w:val="000000"/>
                <w:sz w:val="16"/>
                <w:szCs w:val="16"/>
                <w:lang w:val="en-AU" w:eastAsia="en-AU"/>
              </w:rPr>
            </w:pPr>
            <w:r w:rsidRPr="00F9751F">
              <w:rPr>
                <w:rFonts w:ascii="Arial" w:hAnsi="Arial" w:cs="Arial"/>
                <w:color w:val="000000"/>
                <w:sz w:val="16"/>
                <w:szCs w:val="16"/>
                <w:lang w:val="en-AU" w:eastAsia="en-AU"/>
              </w:rPr>
              <w:t>Can't say</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0BEB1F1C"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56151DA2"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031EACFE"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4ADF3748"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7058A909"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1459B3FC"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05A8BCF"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3CB2660E"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23020978"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auto"/>
            </w:tcBorders>
            <w:shd w:val="clear" w:color="auto" w:fill="auto"/>
            <w:noWrap/>
            <w:vAlign w:val="center"/>
          </w:tcPr>
          <w:p w14:paraId="20320707"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3A44677E"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nil"/>
            </w:tcBorders>
            <w:shd w:val="clear" w:color="auto" w:fill="auto"/>
            <w:noWrap/>
            <w:vAlign w:val="center"/>
          </w:tcPr>
          <w:p w14:paraId="6D431F58"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single" w:sz="4" w:space="0" w:color="auto"/>
              <w:bottom w:val="single" w:sz="4" w:space="0" w:color="BFBFBF"/>
              <w:right w:val="single" w:sz="4" w:space="0" w:color="BFBFBF"/>
            </w:tcBorders>
            <w:shd w:val="clear" w:color="auto" w:fill="auto"/>
            <w:noWrap/>
            <w:vAlign w:val="center"/>
          </w:tcPr>
          <w:p w14:paraId="43165340" w14:textId="77777777" w:rsidR="00EA09AE" w:rsidRPr="00F9751F" w:rsidRDefault="00F9751F"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1%</w:t>
            </w:r>
          </w:p>
        </w:tc>
        <w:tc>
          <w:tcPr>
            <w:tcW w:w="600" w:type="dxa"/>
            <w:tcBorders>
              <w:top w:val="nil"/>
              <w:left w:val="nil"/>
              <w:bottom w:val="single" w:sz="4" w:space="0" w:color="BFBFBF"/>
              <w:right w:val="single" w:sz="4" w:space="0" w:color="auto"/>
            </w:tcBorders>
            <w:shd w:val="clear" w:color="auto" w:fill="auto"/>
            <w:noWrap/>
            <w:vAlign w:val="center"/>
          </w:tcPr>
          <w:p w14:paraId="4A84A7D3"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single" w:sz="4" w:space="0" w:color="BFBFBF"/>
            </w:tcBorders>
            <w:shd w:val="clear" w:color="auto" w:fill="auto"/>
            <w:noWrap/>
            <w:vAlign w:val="center"/>
          </w:tcPr>
          <w:p w14:paraId="5E2720DE"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c>
          <w:tcPr>
            <w:tcW w:w="600" w:type="dxa"/>
            <w:tcBorders>
              <w:top w:val="nil"/>
              <w:left w:val="nil"/>
              <w:bottom w:val="single" w:sz="4" w:space="0" w:color="BFBFBF"/>
              <w:right w:val="double" w:sz="6" w:space="0" w:color="auto"/>
            </w:tcBorders>
            <w:shd w:val="clear" w:color="auto" w:fill="auto"/>
            <w:noWrap/>
            <w:vAlign w:val="center"/>
          </w:tcPr>
          <w:p w14:paraId="1E24CEF9" w14:textId="77777777" w:rsidR="00EA09AE" w:rsidRPr="00F9751F" w:rsidRDefault="00EA09AE" w:rsidP="00EA09AE">
            <w:pPr>
              <w:spacing w:before="0" w:after="0"/>
              <w:jc w:val="center"/>
              <w:rPr>
                <w:rFonts w:ascii="Arial" w:hAnsi="Arial" w:cs="Arial"/>
                <w:color w:val="000000"/>
                <w:sz w:val="16"/>
                <w:szCs w:val="16"/>
                <w:lang w:val="en-AU" w:eastAsia="en-AU"/>
              </w:rPr>
            </w:pPr>
            <w:r w:rsidRPr="00F9751F">
              <w:rPr>
                <w:rFonts w:ascii="Arial" w:hAnsi="Arial" w:cs="Arial"/>
                <w:color w:val="000000"/>
                <w:sz w:val="16"/>
                <w:szCs w:val="16"/>
                <w:lang w:val="en-AU" w:eastAsia="en-AU"/>
              </w:rPr>
              <w:t>*</w:t>
            </w:r>
          </w:p>
        </w:tc>
      </w:tr>
      <w:tr w:rsidR="0054131D" w:rsidRPr="00F9751F" w14:paraId="051265B1" w14:textId="77777777" w:rsidTr="00600395">
        <w:trPr>
          <w:trHeight w:val="283"/>
          <w:jc w:val="center"/>
        </w:trPr>
        <w:tc>
          <w:tcPr>
            <w:tcW w:w="3020" w:type="dxa"/>
            <w:tcBorders>
              <w:top w:val="nil"/>
              <w:left w:val="double" w:sz="6" w:space="0" w:color="auto"/>
              <w:bottom w:val="double" w:sz="6" w:space="0" w:color="auto"/>
              <w:right w:val="nil"/>
            </w:tcBorders>
            <w:shd w:val="clear" w:color="auto" w:fill="auto"/>
            <w:noWrap/>
            <w:vAlign w:val="center"/>
          </w:tcPr>
          <w:p w14:paraId="761665F6" w14:textId="77777777" w:rsidR="00EA09AE" w:rsidRPr="00F9751F" w:rsidRDefault="00EA09AE" w:rsidP="00EA09AE">
            <w:pPr>
              <w:spacing w:before="0" w:after="0"/>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Mean ($’000)</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545288A6" w14:textId="77777777" w:rsidR="00EA09AE" w:rsidRPr="00F9751F" w:rsidRDefault="00EA09AE" w:rsidP="00B63143">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32.</w:t>
            </w:r>
            <w:r w:rsidR="00B63143" w:rsidRPr="00F9751F">
              <w:rPr>
                <w:rFonts w:ascii="Arial" w:hAnsi="Arial" w:cs="Arial"/>
                <w:b/>
                <w:bCs/>
                <w:color w:val="000000"/>
                <w:sz w:val="16"/>
                <w:szCs w:val="16"/>
                <w:lang w:val="en-AU" w:eastAsia="en-AU"/>
              </w:rPr>
              <w:t>3</w:t>
            </w:r>
          </w:p>
        </w:tc>
        <w:tc>
          <w:tcPr>
            <w:tcW w:w="600" w:type="dxa"/>
            <w:tcBorders>
              <w:top w:val="nil"/>
              <w:left w:val="nil"/>
              <w:bottom w:val="double" w:sz="6" w:space="0" w:color="auto"/>
              <w:right w:val="single" w:sz="4" w:space="0" w:color="auto"/>
            </w:tcBorders>
            <w:shd w:val="clear" w:color="auto" w:fill="auto"/>
            <w:noWrap/>
            <w:vAlign w:val="center"/>
          </w:tcPr>
          <w:p w14:paraId="7D5132ED"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22.1</w:t>
            </w:r>
          </w:p>
        </w:tc>
        <w:tc>
          <w:tcPr>
            <w:tcW w:w="600" w:type="dxa"/>
            <w:tcBorders>
              <w:top w:val="nil"/>
              <w:left w:val="nil"/>
              <w:bottom w:val="double" w:sz="6" w:space="0" w:color="auto"/>
              <w:right w:val="single" w:sz="4" w:space="0" w:color="BFBFBF"/>
            </w:tcBorders>
            <w:shd w:val="clear" w:color="auto" w:fill="auto"/>
            <w:noWrap/>
            <w:vAlign w:val="center"/>
          </w:tcPr>
          <w:p w14:paraId="2F1B9A25"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31.1</w:t>
            </w:r>
          </w:p>
        </w:tc>
        <w:tc>
          <w:tcPr>
            <w:tcW w:w="600" w:type="dxa"/>
            <w:tcBorders>
              <w:top w:val="nil"/>
              <w:left w:val="nil"/>
              <w:bottom w:val="double" w:sz="6" w:space="0" w:color="auto"/>
              <w:right w:val="nil"/>
            </w:tcBorders>
            <w:shd w:val="clear" w:color="auto" w:fill="auto"/>
            <w:noWrap/>
            <w:vAlign w:val="center"/>
          </w:tcPr>
          <w:p w14:paraId="50F55495"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23.3</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6EBABB7B" w14:textId="77777777" w:rsidR="00EA09AE" w:rsidRPr="00F9751F" w:rsidRDefault="00EA09AE" w:rsidP="00B63143">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31.</w:t>
            </w:r>
            <w:r w:rsidR="00B63143" w:rsidRPr="00F9751F">
              <w:rPr>
                <w:rFonts w:ascii="Arial" w:hAnsi="Arial" w:cs="Arial"/>
                <w:b/>
                <w:bCs/>
                <w:color w:val="000000"/>
                <w:sz w:val="16"/>
                <w:szCs w:val="16"/>
                <w:lang w:val="en-AU" w:eastAsia="en-AU"/>
              </w:rPr>
              <w:t>8</w:t>
            </w:r>
          </w:p>
        </w:tc>
        <w:tc>
          <w:tcPr>
            <w:tcW w:w="600" w:type="dxa"/>
            <w:tcBorders>
              <w:top w:val="nil"/>
              <w:left w:val="nil"/>
              <w:bottom w:val="double" w:sz="6" w:space="0" w:color="auto"/>
              <w:right w:val="single" w:sz="4" w:space="0" w:color="auto"/>
            </w:tcBorders>
            <w:shd w:val="clear" w:color="auto" w:fill="auto"/>
            <w:noWrap/>
            <w:vAlign w:val="center"/>
          </w:tcPr>
          <w:p w14:paraId="0CB75858"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22.7</w:t>
            </w:r>
          </w:p>
        </w:tc>
        <w:tc>
          <w:tcPr>
            <w:tcW w:w="600" w:type="dxa"/>
            <w:tcBorders>
              <w:top w:val="nil"/>
              <w:left w:val="nil"/>
              <w:bottom w:val="double" w:sz="6" w:space="0" w:color="auto"/>
              <w:right w:val="single" w:sz="4" w:space="0" w:color="BFBFBF"/>
            </w:tcBorders>
            <w:shd w:val="clear" w:color="auto" w:fill="auto"/>
            <w:noWrap/>
            <w:vAlign w:val="center"/>
          </w:tcPr>
          <w:p w14:paraId="70C4E8C7" w14:textId="77777777" w:rsidR="00EA09AE" w:rsidRPr="00F9751F" w:rsidRDefault="00EA09AE" w:rsidP="00B63143">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67.</w:t>
            </w:r>
            <w:r w:rsidR="00B63143" w:rsidRPr="00F9751F">
              <w:rPr>
                <w:rFonts w:ascii="Arial" w:hAnsi="Arial" w:cs="Arial"/>
                <w:b/>
                <w:bCs/>
                <w:color w:val="000000"/>
                <w:sz w:val="16"/>
                <w:szCs w:val="16"/>
                <w:lang w:val="en-AU" w:eastAsia="en-AU"/>
              </w:rPr>
              <w:t>0</w:t>
            </w:r>
          </w:p>
        </w:tc>
        <w:tc>
          <w:tcPr>
            <w:tcW w:w="600" w:type="dxa"/>
            <w:tcBorders>
              <w:top w:val="nil"/>
              <w:left w:val="nil"/>
              <w:bottom w:val="double" w:sz="6" w:space="0" w:color="auto"/>
              <w:right w:val="nil"/>
            </w:tcBorders>
            <w:shd w:val="clear" w:color="auto" w:fill="auto"/>
            <w:noWrap/>
            <w:vAlign w:val="center"/>
          </w:tcPr>
          <w:p w14:paraId="4D231F11"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39.1</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576BA3EB" w14:textId="77777777" w:rsidR="00EA09AE" w:rsidRPr="00F9751F" w:rsidRDefault="00EA09AE" w:rsidP="00F9751F">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52.</w:t>
            </w:r>
            <w:r w:rsidR="00F9751F" w:rsidRPr="00F9751F">
              <w:rPr>
                <w:rFonts w:ascii="Arial" w:hAnsi="Arial" w:cs="Arial"/>
                <w:b/>
                <w:bCs/>
                <w:color w:val="000000"/>
                <w:sz w:val="16"/>
                <w:szCs w:val="16"/>
                <w:lang w:val="en-AU" w:eastAsia="en-AU"/>
              </w:rPr>
              <w:t>9</w:t>
            </w:r>
          </w:p>
        </w:tc>
        <w:tc>
          <w:tcPr>
            <w:tcW w:w="600" w:type="dxa"/>
            <w:tcBorders>
              <w:top w:val="nil"/>
              <w:left w:val="nil"/>
              <w:bottom w:val="double" w:sz="6" w:space="0" w:color="auto"/>
              <w:right w:val="single" w:sz="4" w:space="0" w:color="auto"/>
            </w:tcBorders>
            <w:shd w:val="clear" w:color="auto" w:fill="auto"/>
            <w:noWrap/>
            <w:vAlign w:val="center"/>
          </w:tcPr>
          <w:p w14:paraId="577C58EB" w14:textId="22F04D9C"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31</w:t>
            </w:r>
            <w:r w:rsidR="00EF772B">
              <w:rPr>
                <w:rFonts w:ascii="Arial" w:hAnsi="Arial" w:cs="Arial"/>
                <w:b/>
                <w:bCs/>
                <w:color w:val="000000"/>
                <w:sz w:val="16"/>
                <w:szCs w:val="16"/>
                <w:lang w:val="en-AU" w:eastAsia="en-AU"/>
              </w:rPr>
              <w:t>.0</w:t>
            </w:r>
          </w:p>
        </w:tc>
        <w:tc>
          <w:tcPr>
            <w:tcW w:w="600" w:type="dxa"/>
            <w:tcBorders>
              <w:top w:val="nil"/>
              <w:left w:val="nil"/>
              <w:bottom w:val="double" w:sz="6" w:space="0" w:color="auto"/>
              <w:right w:val="single" w:sz="4" w:space="0" w:color="BFBFBF"/>
            </w:tcBorders>
            <w:shd w:val="clear" w:color="auto" w:fill="auto"/>
            <w:noWrap/>
            <w:vAlign w:val="center"/>
          </w:tcPr>
          <w:p w14:paraId="586C1473" w14:textId="77777777" w:rsidR="00EA09AE" w:rsidRPr="00F9751F" w:rsidRDefault="00EA09AE" w:rsidP="00F9751F">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43.</w:t>
            </w:r>
            <w:r w:rsidR="00F9751F" w:rsidRPr="00F9751F">
              <w:rPr>
                <w:rFonts w:ascii="Arial" w:hAnsi="Arial" w:cs="Arial"/>
                <w:b/>
                <w:bCs/>
                <w:color w:val="000000"/>
                <w:sz w:val="16"/>
                <w:szCs w:val="16"/>
                <w:lang w:val="en-AU" w:eastAsia="en-AU"/>
              </w:rPr>
              <w:t>3</w:t>
            </w:r>
          </w:p>
        </w:tc>
        <w:tc>
          <w:tcPr>
            <w:tcW w:w="600" w:type="dxa"/>
            <w:tcBorders>
              <w:top w:val="nil"/>
              <w:left w:val="nil"/>
              <w:bottom w:val="double" w:sz="6" w:space="0" w:color="auto"/>
              <w:right w:val="nil"/>
            </w:tcBorders>
            <w:shd w:val="clear" w:color="auto" w:fill="auto"/>
            <w:noWrap/>
            <w:vAlign w:val="center"/>
          </w:tcPr>
          <w:p w14:paraId="45595AE4"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26.1</w:t>
            </w:r>
          </w:p>
        </w:tc>
        <w:tc>
          <w:tcPr>
            <w:tcW w:w="600" w:type="dxa"/>
            <w:tcBorders>
              <w:top w:val="nil"/>
              <w:left w:val="single" w:sz="4" w:space="0" w:color="auto"/>
              <w:bottom w:val="double" w:sz="6" w:space="0" w:color="auto"/>
              <w:right w:val="single" w:sz="4" w:space="0" w:color="BFBFBF"/>
            </w:tcBorders>
            <w:shd w:val="clear" w:color="auto" w:fill="auto"/>
            <w:noWrap/>
            <w:vAlign w:val="center"/>
          </w:tcPr>
          <w:p w14:paraId="1000B1E0"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50.1</w:t>
            </w:r>
          </w:p>
        </w:tc>
        <w:tc>
          <w:tcPr>
            <w:tcW w:w="600" w:type="dxa"/>
            <w:tcBorders>
              <w:top w:val="nil"/>
              <w:left w:val="nil"/>
              <w:bottom w:val="double" w:sz="6" w:space="0" w:color="auto"/>
              <w:right w:val="single" w:sz="4" w:space="0" w:color="auto"/>
            </w:tcBorders>
            <w:shd w:val="clear" w:color="auto" w:fill="auto"/>
            <w:noWrap/>
            <w:vAlign w:val="center"/>
          </w:tcPr>
          <w:p w14:paraId="05B49813"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23.8</w:t>
            </w:r>
          </w:p>
        </w:tc>
        <w:tc>
          <w:tcPr>
            <w:tcW w:w="600" w:type="dxa"/>
            <w:tcBorders>
              <w:top w:val="nil"/>
              <w:left w:val="nil"/>
              <w:bottom w:val="double" w:sz="6" w:space="0" w:color="auto"/>
              <w:right w:val="single" w:sz="4" w:space="0" w:color="BFBFBF"/>
            </w:tcBorders>
            <w:shd w:val="clear" w:color="auto" w:fill="auto"/>
            <w:noWrap/>
            <w:vAlign w:val="center"/>
          </w:tcPr>
          <w:p w14:paraId="7C3ABF21" w14:textId="77777777" w:rsidR="00EA09AE" w:rsidRPr="00F9751F" w:rsidRDefault="00EA09AE" w:rsidP="00F9751F">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5</w:t>
            </w:r>
            <w:r w:rsidR="00F9751F" w:rsidRPr="00F9751F">
              <w:rPr>
                <w:rFonts w:ascii="Arial" w:hAnsi="Arial" w:cs="Arial"/>
                <w:b/>
                <w:bCs/>
                <w:color w:val="000000"/>
                <w:sz w:val="16"/>
                <w:szCs w:val="16"/>
                <w:lang w:val="en-AU" w:eastAsia="en-AU"/>
              </w:rPr>
              <w:t>1</w:t>
            </w:r>
            <w:r w:rsidRPr="00F9751F">
              <w:rPr>
                <w:rFonts w:ascii="Arial" w:hAnsi="Arial" w:cs="Arial"/>
                <w:b/>
                <w:bCs/>
                <w:color w:val="000000"/>
                <w:sz w:val="16"/>
                <w:szCs w:val="16"/>
                <w:lang w:val="en-AU" w:eastAsia="en-AU"/>
              </w:rPr>
              <w:t>.</w:t>
            </w:r>
            <w:r w:rsidR="00F9751F" w:rsidRPr="00F9751F">
              <w:rPr>
                <w:rFonts w:ascii="Arial" w:hAnsi="Arial" w:cs="Arial"/>
                <w:b/>
                <w:bCs/>
                <w:color w:val="000000"/>
                <w:sz w:val="16"/>
                <w:szCs w:val="16"/>
                <w:lang w:val="en-AU" w:eastAsia="en-AU"/>
              </w:rPr>
              <w:t>0</w:t>
            </w:r>
          </w:p>
        </w:tc>
        <w:tc>
          <w:tcPr>
            <w:tcW w:w="600" w:type="dxa"/>
            <w:tcBorders>
              <w:top w:val="nil"/>
              <w:left w:val="nil"/>
              <w:bottom w:val="double" w:sz="6" w:space="0" w:color="auto"/>
              <w:right w:val="double" w:sz="6" w:space="0" w:color="auto"/>
            </w:tcBorders>
            <w:shd w:val="clear" w:color="auto" w:fill="auto"/>
            <w:noWrap/>
            <w:vAlign w:val="center"/>
          </w:tcPr>
          <w:p w14:paraId="74C357F6" w14:textId="77777777" w:rsidR="00EA09AE" w:rsidRPr="00F9751F" w:rsidRDefault="00EA09AE" w:rsidP="00EA09AE">
            <w:pPr>
              <w:spacing w:before="0" w:after="0"/>
              <w:jc w:val="center"/>
              <w:rPr>
                <w:rFonts w:ascii="Arial" w:hAnsi="Arial" w:cs="Arial"/>
                <w:b/>
                <w:bCs/>
                <w:color w:val="000000"/>
                <w:sz w:val="16"/>
                <w:szCs w:val="16"/>
                <w:lang w:val="en-AU" w:eastAsia="en-AU"/>
              </w:rPr>
            </w:pPr>
            <w:r w:rsidRPr="00F9751F">
              <w:rPr>
                <w:rFonts w:ascii="Arial" w:hAnsi="Arial" w:cs="Arial"/>
                <w:b/>
                <w:bCs/>
                <w:color w:val="000000"/>
                <w:sz w:val="16"/>
                <w:szCs w:val="16"/>
                <w:lang w:val="en-AU" w:eastAsia="en-AU"/>
              </w:rPr>
              <w:t>32.4</w:t>
            </w:r>
          </w:p>
        </w:tc>
      </w:tr>
    </w:tbl>
    <w:p w14:paraId="2DD3EB61" w14:textId="77777777" w:rsidR="00E02C75" w:rsidRPr="00F9751F" w:rsidRDefault="00E02C75" w:rsidP="00162EF6">
      <w:pPr>
        <w:pStyle w:val="Para"/>
        <w:spacing w:before="120" w:line="240" w:lineRule="auto"/>
        <w:ind w:left="1440"/>
        <w:rPr>
          <w:sz w:val="20"/>
          <w:lang w:val="en-AU"/>
        </w:rPr>
      </w:pPr>
      <w:r w:rsidRPr="00F9751F">
        <w:rPr>
          <w:sz w:val="20"/>
          <w:lang w:val="en-AU"/>
        </w:rPr>
        <w:t xml:space="preserve">Base: Total respondents, </w:t>
      </w:r>
      <w:r w:rsidR="009E3A32" w:rsidRPr="00F9751F">
        <w:rPr>
          <w:sz w:val="20"/>
          <w:lang w:val="en-AU"/>
        </w:rPr>
        <w:t xml:space="preserve">2014 (n=1,861); </w:t>
      </w:r>
      <w:r w:rsidRPr="00F9751F">
        <w:rPr>
          <w:sz w:val="20"/>
          <w:lang w:val="en-AU"/>
        </w:rPr>
        <w:t>2007 (n=2,061)</w:t>
      </w:r>
    </w:p>
    <w:p w14:paraId="35F9A4EE" w14:textId="77777777" w:rsidR="00AF5671" w:rsidRPr="00F9751F" w:rsidRDefault="00AF5671" w:rsidP="00162EF6">
      <w:pPr>
        <w:pStyle w:val="Para"/>
        <w:spacing w:before="120" w:line="240" w:lineRule="auto"/>
        <w:ind w:left="1440"/>
        <w:rPr>
          <w:sz w:val="20"/>
          <w:lang w:val="en-AU"/>
        </w:rPr>
      </w:pPr>
      <w:r w:rsidRPr="00F9751F">
        <w:rPr>
          <w:sz w:val="20"/>
          <w:lang w:val="en-AU"/>
        </w:rPr>
        <w:t>1: Country VIC in 2014 includes most of regional VIC.  In previous years, only 4 regional centres were sampled.</w:t>
      </w:r>
    </w:p>
    <w:p w14:paraId="45391D3F" w14:textId="77777777" w:rsidR="00AF5671" w:rsidRPr="00CD48A8" w:rsidRDefault="00AF5671" w:rsidP="00162EF6">
      <w:pPr>
        <w:pStyle w:val="Para"/>
        <w:spacing w:before="120" w:line="240" w:lineRule="auto"/>
        <w:ind w:left="1440"/>
        <w:rPr>
          <w:sz w:val="20"/>
          <w:lang w:val="en-AU"/>
        </w:rPr>
      </w:pPr>
      <w:r w:rsidRPr="00F9751F">
        <w:rPr>
          <w:sz w:val="20"/>
          <w:lang w:val="en-AU"/>
        </w:rPr>
        <w:t>2: In 2014 LPG households are a subset of the main sample based on their responses.  In 2007 they formed a separate geographic stratum.</w:t>
      </w:r>
    </w:p>
    <w:p w14:paraId="3B23CB1C" w14:textId="77777777" w:rsidR="00B40CD4" w:rsidRPr="00EA09AE" w:rsidRDefault="00B40CD4" w:rsidP="00E02C75">
      <w:pPr>
        <w:pStyle w:val="Para"/>
        <w:ind w:left="90"/>
        <w:rPr>
          <w:sz w:val="20"/>
          <w:lang w:val="en-AU"/>
        </w:rPr>
      </w:pPr>
    </w:p>
    <w:p w14:paraId="6733C71D" w14:textId="77777777" w:rsidR="00E02C75" w:rsidRPr="00212261" w:rsidRDefault="00E02C75" w:rsidP="00E02C75">
      <w:pPr>
        <w:pStyle w:val="Heading1"/>
        <w:rPr>
          <w:lang w:val="en-AU"/>
        </w:rPr>
      </w:pPr>
      <w:r w:rsidRPr="00212261">
        <w:rPr>
          <w:lang w:val="en-AU"/>
        </w:rPr>
        <w:br w:type="page"/>
      </w:r>
      <w:bookmarkStart w:id="162" w:name="_Toc439198309"/>
      <w:bookmarkStart w:id="163" w:name="_Toc445571687"/>
      <w:r w:rsidRPr="00212261">
        <w:rPr>
          <w:lang w:val="en-AU"/>
        </w:rPr>
        <w:lastRenderedPageBreak/>
        <w:t>ENERGY CONSUMPTION AND EXPENDITURE</w:t>
      </w:r>
      <w:bookmarkEnd w:id="162"/>
      <w:bookmarkEnd w:id="163"/>
    </w:p>
    <w:p w14:paraId="486A8A7D" w14:textId="77777777" w:rsidR="00E02C75" w:rsidRPr="006F00AC" w:rsidRDefault="00E02C75" w:rsidP="009748AD">
      <w:pPr>
        <w:pStyle w:val="Heading2"/>
        <w:spacing w:before="480"/>
        <w:ind w:left="578" w:hanging="578"/>
        <w:rPr>
          <w:lang w:val="en-AU"/>
        </w:rPr>
      </w:pPr>
      <w:bookmarkStart w:id="164" w:name="_Toc439173165"/>
      <w:bookmarkStart w:id="165" w:name="_Toc439198310"/>
      <w:bookmarkStart w:id="166" w:name="_Toc439198311"/>
      <w:bookmarkStart w:id="167" w:name="_Toc445571688"/>
      <w:bookmarkEnd w:id="164"/>
      <w:bookmarkEnd w:id="165"/>
      <w:r w:rsidRPr="006F00AC">
        <w:rPr>
          <w:lang w:val="en-AU"/>
        </w:rPr>
        <w:t>USE OF ELECTRICITY AND GAS</w:t>
      </w:r>
      <w:bookmarkEnd w:id="166"/>
      <w:bookmarkEnd w:id="167"/>
    </w:p>
    <w:p w14:paraId="3A4FA6EA" w14:textId="77777777" w:rsidR="0099218A" w:rsidRPr="006F00AC" w:rsidRDefault="0099218A" w:rsidP="0099218A">
      <w:pPr>
        <w:pStyle w:val="Para"/>
        <w:ind w:left="576"/>
        <w:rPr>
          <w:lang w:val="en-AU"/>
        </w:rPr>
      </w:pPr>
    </w:p>
    <w:p w14:paraId="1CC3401E" w14:textId="3A5FC86F" w:rsidR="0099218A" w:rsidRPr="006F00AC" w:rsidRDefault="0099218A" w:rsidP="0099218A">
      <w:pPr>
        <w:pStyle w:val="Para"/>
        <w:rPr>
          <w:lang w:val="en-AU"/>
        </w:rPr>
      </w:pPr>
      <w:r w:rsidRPr="006F00AC">
        <w:rPr>
          <w:lang w:val="en-AU"/>
        </w:rPr>
        <w:t>NB. This section is based on respondent survey data</w:t>
      </w:r>
      <w:r w:rsidR="00022E1D">
        <w:rPr>
          <w:lang w:val="en-AU"/>
        </w:rPr>
        <w:t xml:space="preserve"> from the telephone interview</w:t>
      </w:r>
      <w:r w:rsidRPr="006F00AC">
        <w:rPr>
          <w:lang w:val="en-AU"/>
        </w:rPr>
        <w:t>.</w:t>
      </w:r>
    </w:p>
    <w:p w14:paraId="097F81F7" w14:textId="77777777" w:rsidR="0099218A" w:rsidRPr="006F00AC" w:rsidRDefault="0099218A" w:rsidP="0099218A">
      <w:pPr>
        <w:pStyle w:val="Para"/>
        <w:rPr>
          <w:lang w:val="en-AU"/>
        </w:rPr>
      </w:pPr>
    </w:p>
    <w:p w14:paraId="7BA983A5" w14:textId="31017782" w:rsidR="003920D8" w:rsidRPr="006F00AC" w:rsidRDefault="00E02C75" w:rsidP="009748AD">
      <w:pPr>
        <w:pStyle w:val="Heading3"/>
        <w:tabs>
          <w:tab w:val="clear" w:pos="8517"/>
          <w:tab w:val="num" w:pos="851"/>
        </w:tabs>
        <w:spacing w:before="120"/>
        <w:ind w:hanging="8517"/>
        <w:rPr>
          <w:lang w:val="en-AU"/>
        </w:rPr>
      </w:pPr>
      <w:bookmarkStart w:id="168" w:name="_Toc439198312"/>
      <w:bookmarkStart w:id="169" w:name="_Toc445571689"/>
      <w:r w:rsidRPr="006F00AC">
        <w:rPr>
          <w:lang w:val="en-AU"/>
        </w:rPr>
        <w:t xml:space="preserve">Incidence of </w:t>
      </w:r>
      <w:r w:rsidR="0099218A" w:rsidRPr="006F00AC">
        <w:rPr>
          <w:lang w:val="en-AU"/>
        </w:rPr>
        <w:t xml:space="preserve">Electricity </w:t>
      </w:r>
      <w:r w:rsidRPr="006F00AC">
        <w:rPr>
          <w:lang w:val="en-AU"/>
        </w:rPr>
        <w:t>Use</w:t>
      </w:r>
      <w:bookmarkEnd w:id="168"/>
      <w:bookmarkEnd w:id="169"/>
    </w:p>
    <w:p w14:paraId="07172BB3" w14:textId="77777777" w:rsidR="0099218A" w:rsidRPr="006F00AC" w:rsidRDefault="0099218A" w:rsidP="00E02C75">
      <w:pPr>
        <w:pStyle w:val="Para"/>
        <w:rPr>
          <w:lang w:val="en-AU"/>
        </w:rPr>
      </w:pPr>
      <w:r w:rsidRPr="006F00AC">
        <w:rPr>
          <w:lang w:val="en-AU"/>
        </w:rPr>
        <w:t>As in previous surveys, incidence of electricity use was close to universal in 2014 (99%, compared with 99% in 2007 and 100% in 2001), with no differences evident by region or sample type.</w:t>
      </w:r>
    </w:p>
    <w:p w14:paraId="1EF41E50" w14:textId="77777777" w:rsidR="0099218A" w:rsidRPr="006F00AC" w:rsidRDefault="0099218A" w:rsidP="00E02C75">
      <w:pPr>
        <w:pStyle w:val="Para"/>
        <w:rPr>
          <w:lang w:val="en-AU"/>
        </w:rPr>
      </w:pPr>
    </w:p>
    <w:p w14:paraId="090D86A9" w14:textId="77777777" w:rsidR="0099218A" w:rsidRPr="006F00AC" w:rsidRDefault="0099218A" w:rsidP="009748AD">
      <w:pPr>
        <w:pStyle w:val="Heading3"/>
        <w:tabs>
          <w:tab w:val="clear" w:pos="8517"/>
          <w:tab w:val="num" w:pos="851"/>
        </w:tabs>
        <w:spacing w:before="120"/>
        <w:ind w:hanging="8517"/>
        <w:rPr>
          <w:lang w:val="en-AU"/>
        </w:rPr>
      </w:pPr>
      <w:bookmarkStart w:id="170" w:name="_Toc445571690"/>
      <w:r w:rsidRPr="006F00AC">
        <w:rPr>
          <w:lang w:val="en-AU"/>
        </w:rPr>
        <w:t>Incidence of Gas Use</w:t>
      </w:r>
      <w:bookmarkEnd w:id="170"/>
    </w:p>
    <w:p w14:paraId="2D0D1098" w14:textId="77777777" w:rsidR="00744DC0" w:rsidRPr="003835AE" w:rsidRDefault="00E02C75" w:rsidP="00E02C75">
      <w:pPr>
        <w:pStyle w:val="Para"/>
        <w:rPr>
          <w:lang w:val="en-AU"/>
        </w:rPr>
      </w:pPr>
      <w:r w:rsidRPr="003835AE">
        <w:rPr>
          <w:lang w:val="en-AU"/>
        </w:rPr>
        <w:t xml:space="preserve">Incidence of mains gas usage in households around Victoria </w:t>
      </w:r>
      <w:r w:rsidR="00744DC0" w:rsidRPr="003835AE">
        <w:rPr>
          <w:lang w:val="en-AU"/>
        </w:rPr>
        <w:t xml:space="preserve">in 2014 </w:t>
      </w:r>
      <w:r w:rsidRPr="003835AE">
        <w:rPr>
          <w:lang w:val="en-AU"/>
        </w:rPr>
        <w:t xml:space="preserve">remains </w:t>
      </w:r>
      <w:r w:rsidR="00744DC0" w:rsidRPr="003835AE">
        <w:rPr>
          <w:lang w:val="en-AU"/>
        </w:rPr>
        <w:t xml:space="preserve">unchanged from 2007 at </w:t>
      </w:r>
      <w:r w:rsidRPr="003835AE">
        <w:rPr>
          <w:lang w:val="en-AU"/>
        </w:rPr>
        <w:t>88%</w:t>
      </w:r>
      <w:r w:rsidR="008A1C90" w:rsidRPr="003835AE">
        <w:rPr>
          <w:lang w:val="en-AU"/>
        </w:rPr>
        <w:t xml:space="preserve"> (see Table 4.1.</w:t>
      </w:r>
      <w:r w:rsidR="0099218A" w:rsidRPr="003835AE">
        <w:rPr>
          <w:lang w:val="en-AU"/>
        </w:rPr>
        <w:t>2</w:t>
      </w:r>
      <w:r w:rsidR="008A1C90" w:rsidRPr="003835AE">
        <w:rPr>
          <w:lang w:val="en-AU"/>
        </w:rPr>
        <w:t>.1 overleaf)</w:t>
      </w:r>
      <w:r w:rsidR="00744DC0" w:rsidRPr="003835AE">
        <w:rPr>
          <w:lang w:val="en-AU"/>
        </w:rPr>
        <w:t>.</w:t>
      </w:r>
      <w:r w:rsidRPr="003835AE">
        <w:rPr>
          <w:lang w:val="en-AU"/>
        </w:rPr>
        <w:t xml:space="preserve">  </w:t>
      </w:r>
      <w:r w:rsidR="00F13D5E" w:rsidRPr="003835AE">
        <w:rPr>
          <w:lang w:val="en-AU"/>
        </w:rPr>
        <w:t>Th</w:t>
      </w:r>
      <w:r w:rsidR="00744DC0" w:rsidRPr="003835AE">
        <w:rPr>
          <w:lang w:val="en-AU"/>
        </w:rPr>
        <w:t>ese</w:t>
      </w:r>
      <w:r w:rsidR="00F13D5E" w:rsidRPr="003835AE">
        <w:rPr>
          <w:lang w:val="en-AU"/>
        </w:rPr>
        <w:t xml:space="preserve"> result</w:t>
      </w:r>
      <w:r w:rsidR="00744DC0" w:rsidRPr="003835AE">
        <w:rPr>
          <w:lang w:val="en-AU"/>
        </w:rPr>
        <w:t>s</w:t>
      </w:r>
      <w:r w:rsidR="00F13D5E" w:rsidRPr="003835AE">
        <w:rPr>
          <w:lang w:val="en-AU"/>
        </w:rPr>
        <w:t xml:space="preserve"> </w:t>
      </w:r>
      <w:r w:rsidR="00744DC0" w:rsidRPr="003835AE">
        <w:rPr>
          <w:lang w:val="en-AU"/>
        </w:rPr>
        <w:t xml:space="preserve">are </w:t>
      </w:r>
      <w:r w:rsidR="00F13D5E" w:rsidRPr="003835AE">
        <w:rPr>
          <w:lang w:val="en-AU"/>
        </w:rPr>
        <w:t>slightly lower than observed in 2001 (94%), but the difference is primarily</w:t>
      </w:r>
      <w:r w:rsidRPr="003835AE">
        <w:rPr>
          <w:lang w:val="en-AU"/>
        </w:rPr>
        <w:t xml:space="preserve"> due to the inclusion of respondents from solely LPG gas regions in 2007</w:t>
      </w:r>
      <w:r w:rsidR="00744DC0" w:rsidRPr="003835AE">
        <w:rPr>
          <w:lang w:val="en-AU"/>
        </w:rPr>
        <w:t xml:space="preserve"> and the extension of the sample in 2014 to cover most of the population of regional/rural Victoria</w:t>
      </w:r>
      <w:r w:rsidRPr="003835AE">
        <w:rPr>
          <w:lang w:val="en-AU"/>
        </w:rPr>
        <w:t>.  As such, the 20</w:t>
      </w:r>
      <w:r w:rsidR="00744DC0" w:rsidRPr="003835AE">
        <w:rPr>
          <w:lang w:val="en-AU"/>
        </w:rPr>
        <w:t>14 and 20</w:t>
      </w:r>
      <w:r w:rsidRPr="003835AE">
        <w:rPr>
          <w:lang w:val="en-AU"/>
        </w:rPr>
        <w:t>07 figure</w:t>
      </w:r>
      <w:r w:rsidR="00744DC0" w:rsidRPr="003835AE">
        <w:rPr>
          <w:lang w:val="en-AU"/>
        </w:rPr>
        <w:t>s</w:t>
      </w:r>
      <w:r w:rsidRPr="003835AE">
        <w:rPr>
          <w:lang w:val="en-AU"/>
        </w:rPr>
        <w:t xml:space="preserve"> </w:t>
      </w:r>
      <w:r w:rsidR="00744DC0" w:rsidRPr="003835AE">
        <w:rPr>
          <w:lang w:val="en-AU"/>
        </w:rPr>
        <w:t xml:space="preserve">are </w:t>
      </w:r>
      <w:r w:rsidRPr="003835AE">
        <w:rPr>
          <w:lang w:val="en-AU"/>
        </w:rPr>
        <w:t>more likely to show the actual proportion of mains gas users than was the case in previous years.</w:t>
      </w:r>
    </w:p>
    <w:p w14:paraId="69425269" w14:textId="77777777" w:rsidR="00744DC0" w:rsidRPr="003835AE" w:rsidRDefault="00744DC0" w:rsidP="00E02C75">
      <w:pPr>
        <w:pStyle w:val="Para"/>
        <w:rPr>
          <w:lang w:val="en-AU"/>
        </w:rPr>
      </w:pPr>
    </w:p>
    <w:p w14:paraId="30607304" w14:textId="77777777" w:rsidR="008305D7" w:rsidRPr="00BD7F52" w:rsidRDefault="008305D7" w:rsidP="00E02C75">
      <w:pPr>
        <w:pStyle w:val="Para"/>
        <w:rPr>
          <w:lang w:val="en-AU"/>
        </w:rPr>
      </w:pPr>
      <w:r w:rsidRPr="003835AE">
        <w:rPr>
          <w:lang w:val="en-AU"/>
        </w:rPr>
        <w:t>As would be expected, households in Melbourne (9</w:t>
      </w:r>
      <w:r w:rsidR="00BD7F52">
        <w:rPr>
          <w:lang w:val="en-AU"/>
        </w:rPr>
        <w:t>4</w:t>
      </w:r>
      <w:r w:rsidRPr="003835AE">
        <w:rPr>
          <w:lang w:val="en-AU"/>
        </w:rPr>
        <w:t>%) were more likely to use mains gas than those in country Victoria (7</w:t>
      </w:r>
      <w:r w:rsidR="00BD7F52">
        <w:rPr>
          <w:lang w:val="en-AU"/>
        </w:rPr>
        <w:t>2</w:t>
      </w:r>
      <w:r w:rsidRPr="003835AE">
        <w:rPr>
          <w:lang w:val="en-AU"/>
        </w:rPr>
        <w:t>%), with these proportions closely matching the results of the 2007 survey (94% and 76% respectively</w:t>
      </w:r>
      <w:r w:rsidRPr="00BD7F52">
        <w:rPr>
          <w:lang w:val="en-AU"/>
        </w:rPr>
        <w:t xml:space="preserve">).  </w:t>
      </w:r>
      <w:r w:rsidR="00952F0A" w:rsidRPr="00BD7F52">
        <w:rPr>
          <w:lang w:val="en-AU"/>
        </w:rPr>
        <w:t xml:space="preserve">Homes built </w:t>
      </w:r>
      <w:r w:rsidR="006F00AC" w:rsidRPr="00BD7F52">
        <w:rPr>
          <w:lang w:val="en-AU"/>
        </w:rPr>
        <w:t xml:space="preserve">prior to 1991 (87%) were less likely to use mains gas than homes built from </w:t>
      </w:r>
      <w:r w:rsidR="00952F0A" w:rsidRPr="00BD7F52">
        <w:rPr>
          <w:lang w:val="en-AU"/>
        </w:rPr>
        <w:t xml:space="preserve">1991 to 2004 (91%) or </w:t>
      </w:r>
      <w:r w:rsidR="006F00AC" w:rsidRPr="00BD7F52">
        <w:rPr>
          <w:lang w:val="en-AU"/>
        </w:rPr>
        <w:t>after 2014 (9</w:t>
      </w:r>
      <w:r w:rsidR="00BD7F52" w:rsidRPr="00BD7F52">
        <w:rPr>
          <w:lang w:val="en-AU"/>
        </w:rPr>
        <w:t>3</w:t>
      </w:r>
      <w:r w:rsidR="006F00AC" w:rsidRPr="00BD7F52">
        <w:rPr>
          <w:lang w:val="en-AU"/>
        </w:rPr>
        <w:t>%).</w:t>
      </w:r>
    </w:p>
    <w:p w14:paraId="7F29375E" w14:textId="77777777" w:rsidR="006F00AC" w:rsidRPr="00BD7F52" w:rsidRDefault="006F00AC" w:rsidP="00E02C75">
      <w:pPr>
        <w:pStyle w:val="Para"/>
        <w:rPr>
          <w:highlight w:val="yellow"/>
          <w:lang w:val="en-AU"/>
        </w:rPr>
      </w:pPr>
    </w:p>
    <w:p w14:paraId="6B3E05F6" w14:textId="20528B59" w:rsidR="008305D7" w:rsidRPr="003835AE" w:rsidRDefault="008305D7" w:rsidP="00E02C75">
      <w:pPr>
        <w:pStyle w:val="Para"/>
        <w:rPr>
          <w:lang w:val="en-AU"/>
        </w:rPr>
      </w:pPr>
      <w:r w:rsidRPr="00BD7F52">
        <w:rPr>
          <w:lang w:val="en-AU"/>
        </w:rPr>
        <w:t xml:space="preserve">Cylinder gas was reported as being used in </w:t>
      </w:r>
      <w:r w:rsidR="00A96179">
        <w:rPr>
          <w:lang w:val="en-AU"/>
        </w:rPr>
        <w:t>21</w:t>
      </w:r>
      <w:r w:rsidRPr="00BD7F52">
        <w:rPr>
          <w:lang w:val="en-AU"/>
        </w:rPr>
        <w:t xml:space="preserve">% of households in country Victoria and, surprisingly, 14% of Melbourne households (up from just 2% in 2007).  While the wording of the question specifically excluded the use of cylinder gas for barbeques, patio heaters or similar, it seems likely that </w:t>
      </w:r>
      <w:r w:rsidRPr="00BD7F52">
        <w:rPr>
          <w:lang w:val="en-AU"/>
        </w:rPr>
        <w:lastRenderedPageBreak/>
        <w:t>some respondents misunderstood the question and included these applications when answering.</w:t>
      </w:r>
      <w:r w:rsidR="00D62601" w:rsidRPr="00BD7F52">
        <w:rPr>
          <w:lang w:val="en-AU"/>
        </w:rPr>
        <w:t xml:space="preserve">  </w:t>
      </w:r>
      <w:r w:rsidR="00022E1D">
        <w:rPr>
          <w:lang w:val="en-AU"/>
        </w:rPr>
        <w:t>Therefore, the analysis of cylinder gas usage in this report (including</w:t>
      </w:r>
      <w:r w:rsidR="00D62601" w:rsidRPr="00BD7F52">
        <w:rPr>
          <w:lang w:val="en-AU"/>
        </w:rPr>
        <w:t xml:space="preserve"> Table</w:t>
      </w:r>
      <w:r w:rsidR="008345EB" w:rsidRPr="00BD7F52">
        <w:rPr>
          <w:lang w:val="en-AU"/>
        </w:rPr>
        <w:t>s</w:t>
      </w:r>
      <w:r w:rsidR="00D62601" w:rsidRPr="00BD7F52">
        <w:rPr>
          <w:lang w:val="en-AU"/>
        </w:rPr>
        <w:t xml:space="preserve"> 4.1.2.1</w:t>
      </w:r>
      <w:r w:rsidR="008345EB" w:rsidRPr="00BD7F52">
        <w:rPr>
          <w:lang w:val="en-AU"/>
        </w:rPr>
        <w:t>, 4.1.2.2 and 4.1.2.3</w:t>
      </w:r>
      <w:r w:rsidR="00D62601" w:rsidRPr="00BD7F52">
        <w:rPr>
          <w:lang w:val="en-AU"/>
        </w:rPr>
        <w:t xml:space="preserve"> overleaf</w:t>
      </w:r>
      <w:r w:rsidR="00022E1D">
        <w:rPr>
          <w:lang w:val="en-AU"/>
        </w:rPr>
        <w:t>)</w:t>
      </w:r>
      <w:r w:rsidR="00D62601" w:rsidRPr="00BD7F52">
        <w:rPr>
          <w:lang w:val="en-AU"/>
        </w:rPr>
        <w:t xml:space="preserve"> uses an adjusted definition for ‘Use Cylinder Gas’ in 2014, namely “Said used cylinder gas </w:t>
      </w:r>
      <w:r w:rsidR="00D62601" w:rsidRPr="00BD7F52">
        <w:rPr>
          <w:u w:val="single"/>
          <w:lang w:val="en-AU"/>
        </w:rPr>
        <w:t>and</w:t>
      </w:r>
      <w:r w:rsidR="00D62601" w:rsidRPr="00BD7F52">
        <w:rPr>
          <w:lang w:val="en-AU"/>
        </w:rPr>
        <w:t xml:space="preserve"> did not </w:t>
      </w:r>
      <w:r w:rsidR="008345EB" w:rsidRPr="00BD7F52">
        <w:rPr>
          <w:lang w:val="en-AU"/>
        </w:rPr>
        <w:t xml:space="preserve">subsequently </w:t>
      </w:r>
      <w:r w:rsidR="00D62601" w:rsidRPr="00BD7F52">
        <w:rPr>
          <w:lang w:val="en-AU"/>
        </w:rPr>
        <w:t xml:space="preserve">provide </w:t>
      </w:r>
      <w:r w:rsidR="008345EB" w:rsidRPr="00BD7F52">
        <w:rPr>
          <w:lang w:val="en-AU"/>
        </w:rPr>
        <w:t xml:space="preserve">a </w:t>
      </w:r>
      <w:r w:rsidR="00D62601" w:rsidRPr="00BD7F52">
        <w:rPr>
          <w:lang w:val="en-AU"/>
        </w:rPr>
        <w:t>consent form indicating used mains gas”.</w:t>
      </w:r>
      <w:r w:rsidRPr="00BD7F52">
        <w:rPr>
          <w:lang w:val="en-AU"/>
        </w:rPr>
        <w:t xml:space="preserve">  </w:t>
      </w:r>
      <w:r w:rsidR="008345EB" w:rsidRPr="00BD7F52">
        <w:rPr>
          <w:lang w:val="en-AU"/>
        </w:rPr>
        <w:t>That is, the definition used for ‘LPG Households’ throughout this report.</w:t>
      </w:r>
      <w:r w:rsidR="00BD7F52" w:rsidRPr="00BD7F52">
        <w:rPr>
          <w:lang w:val="en-AU"/>
        </w:rPr>
        <w:t xml:space="preserve">  This adjusted definition indicates that cylinder gas was being used in 11% of households in country Victoria, and just 1% of households in Melbourne.</w:t>
      </w:r>
      <w:r w:rsidR="00BD7F52">
        <w:rPr>
          <w:lang w:val="en-AU"/>
        </w:rPr>
        <w:t xml:space="preserve"> </w:t>
      </w:r>
    </w:p>
    <w:p w14:paraId="45778F1A" w14:textId="77777777" w:rsidR="00E02C75" w:rsidRPr="003835AE" w:rsidRDefault="00E02C75" w:rsidP="00E02C75">
      <w:pPr>
        <w:pStyle w:val="Para"/>
        <w:rPr>
          <w:lang w:val="en-AU"/>
        </w:rPr>
      </w:pPr>
    </w:p>
    <w:p w14:paraId="16B99F1B" w14:textId="19B895FF" w:rsidR="00E02C75" w:rsidRPr="003835AE" w:rsidRDefault="00E02C75" w:rsidP="00562A28">
      <w:pPr>
        <w:pStyle w:val="Para"/>
        <w:jc w:val="center"/>
        <w:outlineLvl w:val="0"/>
        <w:rPr>
          <w:b/>
          <w:u w:val="single"/>
          <w:lang w:val="en-AU"/>
        </w:rPr>
      </w:pPr>
      <w:r w:rsidRPr="003835AE">
        <w:rPr>
          <w:b/>
          <w:lang w:val="en-AU"/>
        </w:rPr>
        <w:br w:type="page"/>
      </w:r>
      <w:r w:rsidRPr="003835AE">
        <w:rPr>
          <w:b/>
          <w:lang w:val="en-AU"/>
        </w:rPr>
        <w:lastRenderedPageBreak/>
        <w:t>Table 4.1.</w:t>
      </w:r>
      <w:r w:rsidR="0099218A" w:rsidRPr="003835AE">
        <w:rPr>
          <w:b/>
          <w:lang w:val="en-AU"/>
        </w:rPr>
        <w:t>2</w:t>
      </w:r>
      <w:r w:rsidRPr="003835AE">
        <w:rPr>
          <w:b/>
          <w:lang w:val="en-AU"/>
        </w:rPr>
        <w:t xml:space="preserve">.1: </w:t>
      </w:r>
      <w:r w:rsidRPr="003835AE">
        <w:rPr>
          <w:b/>
          <w:u w:val="single"/>
          <w:lang w:val="en-AU"/>
        </w:rPr>
        <w:t>Use of Gas in Household by Region</w:t>
      </w:r>
    </w:p>
    <w:p w14:paraId="6A198D4C" w14:textId="77777777" w:rsidR="00EA09AE" w:rsidRPr="003835AE" w:rsidRDefault="00EA09AE" w:rsidP="00E02C75">
      <w:pPr>
        <w:pStyle w:val="Para"/>
        <w:outlineLvl w:val="0"/>
        <w:rPr>
          <w:b/>
          <w:lang w:val="en-AU"/>
        </w:rPr>
      </w:pPr>
    </w:p>
    <w:tbl>
      <w:tblPr>
        <w:tblW w:w="12128" w:type="dxa"/>
        <w:jc w:val="center"/>
        <w:tblLook w:val="04A0" w:firstRow="1" w:lastRow="0" w:firstColumn="1" w:lastColumn="0" w:noHBand="0" w:noVBand="1"/>
      </w:tblPr>
      <w:tblGrid>
        <w:gridCol w:w="2706"/>
        <w:gridCol w:w="626"/>
        <w:gridCol w:w="572"/>
        <w:gridCol w:w="572"/>
        <w:gridCol w:w="572"/>
        <w:gridCol w:w="626"/>
        <w:gridCol w:w="626"/>
        <w:gridCol w:w="572"/>
        <w:gridCol w:w="572"/>
        <w:gridCol w:w="626"/>
        <w:gridCol w:w="626"/>
        <w:gridCol w:w="572"/>
        <w:gridCol w:w="572"/>
        <w:gridCol w:w="572"/>
        <w:gridCol w:w="572"/>
        <w:gridCol w:w="572"/>
        <w:gridCol w:w="572"/>
      </w:tblGrid>
      <w:tr w:rsidR="00744DC0" w:rsidRPr="003835AE" w14:paraId="3949D1F9" w14:textId="77777777" w:rsidTr="00562A28">
        <w:trPr>
          <w:trHeight w:val="240"/>
          <w:jc w:val="center"/>
        </w:trPr>
        <w:tc>
          <w:tcPr>
            <w:tcW w:w="2706" w:type="dxa"/>
            <w:vMerge w:val="restart"/>
            <w:tcBorders>
              <w:top w:val="double" w:sz="6" w:space="0" w:color="auto"/>
              <w:left w:val="double" w:sz="6" w:space="0" w:color="auto"/>
              <w:bottom w:val="single" w:sz="4" w:space="0" w:color="BFBFBF"/>
              <w:right w:val="nil"/>
            </w:tcBorders>
            <w:shd w:val="clear" w:color="auto" w:fill="auto"/>
            <w:noWrap/>
            <w:vAlign w:val="center"/>
          </w:tcPr>
          <w:p w14:paraId="714E892E" w14:textId="77777777" w:rsidR="00744DC0" w:rsidRPr="003835AE" w:rsidRDefault="00744DC0" w:rsidP="00744DC0">
            <w:pPr>
              <w:spacing w:before="0" w:after="0"/>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Gas Use</w:t>
            </w:r>
          </w:p>
        </w:tc>
        <w:tc>
          <w:tcPr>
            <w:tcW w:w="2342"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6CF18B1E"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Use Mains Gas</w:t>
            </w:r>
          </w:p>
        </w:tc>
        <w:tc>
          <w:tcPr>
            <w:tcW w:w="2396" w:type="dxa"/>
            <w:gridSpan w:val="4"/>
            <w:tcBorders>
              <w:top w:val="double" w:sz="6" w:space="0" w:color="auto"/>
              <w:left w:val="nil"/>
              <w:bottom w:val="single" w:sz="4" w:space="0" w:color="BFBFBF"/>
              <w:right w:val="single" w:sz="4" w:space="0" w:color="BFBFBF"/>
            </w:tcBorders>
            <w:shd w:val="clear" w:color="auto" w:fill="auto"/>
            <w:noWrap/>
            <w:vAlign w:val="center"/>
          </w:tcPr>
          <w:p w14:paraId="0972DCD6"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Use Cylinder Gas</w:t>
            </w:r>
          </w:p>
        </w:tc>
        <w:tc>
          <w:tcPr>
            <w:tcW w:w="2396"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168EB69E"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Total Use Gas</w:t>
            </w:r>
          </w:p>
        </w:tc>
        <w:tc>
          <w:tcPr>
            <w:tcW w:w="2288" w:type="dxa"/>
            <w:gridSpan w:val="4"/>
            <w:tcBorders>
              <w:top w:val="double" w:sz="6" w:space="0" w:color="auto"/>
              <w:left w:val="nil"/>
              <w:bottom w:val="single" w:sz="4" w:space="0" w:color="BFBFBF"/>
              <w:right w:val="double" w:sz="6" w:space="0" w:color="000000"/>
            </w:tcBorders>
            <w:shd w:val="clear" w:color="auto" w:fill="auto"/>
            <w:noWrap/>
            <w:vAlign w:val="center"/>
          </w:tcPr>
          <w:p w14:paraId="7C0079B3"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Don't Use Gas</w:t>
            </w:r>
          </w:p>
        </w:tc>
      </w:tr>
      <w:tr w:rsidR="00744DC0" w:rsidRPr="003835AE" w14:paraId="2AE551D8" w14:textId="77777777" w:rsidTr="00562A28">
        <w:trPr>
          <w:trHeight w:val="225"/>
          <w:jc w:val="center"/>
        </w:trPr>
        <w:tc>
          <w:tcPr>
            <w:tcW w:w="2706" w:type="dxa"/>
            <w:vMerge/>
            <w:tcBorders>
              <w:top w:val="double" w:sz="6" w:space="0" w:color="auto"/>
              <w:left w:val="double" w:sz="6" w:space="0" w:color="auto"/>
              <w:bottom w:val="single" w:sz="4" w:space="0" w:color="BFBFBF"/>
              <w:right w:val="nil"/>
            </w:tcBorders>
            <w:vAlign w:val="center"/>
          </w:tcPr>
          <w:p w14:paraId="6009005E" w14:textId="77777777" w:rsidR="00744DC0" w:rsidRPr="003835AE" w:rsidRDefault="00744DC0" w:rsidP="00744DC0">
            <w:pPr>
              <w:spacing w:before="0" w:after="0"/>
              <w:rPr>
                <w:rFonts w:ascii="Arial" w:hAnsi="Arial" w:cs="Arial"/>
                <w:b/>
                <w:bCs/>
                <w:color w:val="000000"/>
                <w:sz w:val="16"/>
                <w:szCs w:val="16"/>
                <w:lang w:val="en-AU" w:eastAsia="en-AU"/>
              </w:rPr>
            </w:pP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545FF7DB"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2014</w:t>
            </w:r>
          </w:p>
        </w:tc>
        <w:tc>
          <w:tcPr>
            <w:tcW w:w="572" w:type="dxa"/>
            <w:tcBorders>
              <w:top w:val="nil"/>
              <w:left w:val="nil"/>
              <w:bottom w:val="single" w:sz="4" w:space="0" w:color="BFBFBF"/>
              <w:right w:val="single" w:sz="4" w:space="0" w:color="BFBFBF"/>
            </w:tcBorders>
            <w:shd w:val="clear" w:color="auto" w:fill="auto"/>
            <w:noWrap/>
            <w:vAlign w:val="center"/>
          </w:tcPr>
          <w:p w14:paraId="00B46102"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2007</w:t>
            </w:r>
          </w:p>
        </w:tc>
        <w:tc>
          <w:tcPr>
            <w:tcW w:w="572" w:type="dxa"/>
            <w:tcBorders>
              <w:top w:val="nil"/>
              <w:left w:val="nil"/>
              <w:bottom w:val="single" w:sz="4" w:space="0" w:color="BFBFBF"/>
              <w:right w:val="single" w:sz="4" w:space="0" w:color="BFBFBF"/>
            </w:tcBorders>
            <w:shd w:val="clear" w:color="auto" w:fill="auto"/>
            <w:noWrap/>
            <w:vAlign w:val="center"/>
          </w:tcPr>
          <w:p w14:paraId="22FA320A"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2001</w:t>
            </w:r>
          </w:p>
        </w:tc>
        <w:tc>
          <w:tcPr>
            <w:tcW w:w="572" w:type="dxa"/>
            <w:tcBorders>
              <w:top w:val="nil"/>
              <w:left w:val="nil"/>
              <w:bottom w:val="single" w:sz="4" w:space="0" w:color="BFBFBF"/>
              <w:right w:val="single" w:sz="4" w:space="0" w:color="auto"/>
            </w:tcBorders>
            <w:shd w:val="clear" w:color="auto" w:fill="auto"/>
            <w:noWrap/>
            <w:vAlign w:val="center"/>
          </w:tcPr>
          <w:p w14:paraId="735E78D5"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1996</w:t>
            </w:r>
          </w:p>
        </w:tc>
        <w:tc>
          <w:tcPr>
            <w:tcW w:w="626" w:type="dxa"/>
            <w:tcBorders>
              <w:top w:val="nil"/>
              <w:left w:val="nil"/>
              <w:bottom w:val="single" w:sz="4" w:space="0" w:color="BFBFBF"/>
              <w:right w:val="single" w:sz="4" w:space="0" w:color="BFBFBF"/>
            </w:tcBorders>
            <w:shd w:val="clear" w:color="auto" w:fill="auto"/>
            <w:noWrap/>
            <w:vAlign w:val="center"/>
          </w:tcPr>
          <w:p w14:paraId="0A4E6880"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2014</w:t>
            </w:r>
          </w:p>
        </w:tc>
        <w:tc>
          <w:tcPr>
            <w:tcW w:w="626" w:type="dxa"/>
            <w:tcBorders>
              <w:top w:val="nil"/>
              <w:left w:val="nil"/>
              <w:bottom w:val="single" w:sz="4" w:space="0" w:color="BFBFBF"/>
              <w:right w:val="single" w:sz="4" w:space="0" w:color="BFBFBF"/>
            </w:tcBorders>
            <w:shd w:val="clear" w:color="auto" w:fill="auto"/>
            <w:noWrap/>
            <w:vAlign w:val="center"/>
          </w:tcPr>
          <w:p w14:paraId="7D0B9B96"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2007</w:t>
            </w:r>
          </w:p>
        </w:tc>
        <w:tc>
          <w:tcPr>
            <w:tcW w:w="572" w:type="dxa"/>
            <w:tcBorders>
              <w:top w:val="nil"/>
              <w:left w:val="nil"/>
              <w:bottom w:val="single" w:sz="4" w:space="0" w:color="BFBFBF"/>
              <w:right w:val="single" w:sz="4" w:space="0" w:color="BFBFBF"/>
            </w:tcBorders>
            <w:shd w:val="clear" w:color="auto" w:fill="auto"/>
            <w:noWrap/>
            <w:vAlign w:val="center"/>
          </w:tcPr>
          <w:p w14:paraId="415CC653"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2001</w:t>
            </w:r>
          </w:p>
        </w:tc>
        <w:tc>
          <w:tcPr>
            <w:tcW w:w="572" w:type="dxa"/>
            <w:tcBorders>
              <w:top w:val="nil"/>
              <w:left w:val="nil"/>
              <w:bottom w:val="single" w:sz="4" w:space="0" w:color="BFBFBF"/>
              <w:right w:val="nil"/>
            </w:tcBorders>
            <w:shd w:val="clear" w:color="auto" w:fill="auto"/>
            <w:noWrap/>
            <w:vAlign w:val="center"/>
          </w:tcPr>
          <w:p w14:paraId="1F31294F"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1996</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3C0A764B"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2014</w:t>
            </w:r>
          </w:p>
        </w:tc>
        <w:tc>
          <w:tcPr>
            <w:tcW w:w="626" w:type="dxa"/>
            <w:tcBorders>
              <w:top w:val="nil"/>
              <w:left w:val="nil"/>
              <w:bottom w:val="single" w:sz="4" w:space="0" w:color="BFBFBF"/>
              <w:right w:val="single" w:sz="4" w:space="0" w:color="BFBFBF"/>
            </w:tcBorders>
            <w:shd w:val="clear" w:color="auto" w:fill="auto"/>
            <w:noWrap/>
            <w:vAlign w:val="center"/>
          </w:tcPr>
          <w:p w14:paraId="7868F6BB"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2007</w:t>
            </w:r>
          </w:p>
        </w:tc>
        <w:tc>
          <w:tcPr>
            <w:tcW w:w="572" w:type="dxa"/>
            <w:tcBorders>
              <w:top w:val="nil"/>
              <w:left w:val="nil"/>
              <w:bottom w:val="single" w:sz="4" w:space="0" w:color="BFBFBF"/>
              <w:right w:val="single" w:sz="4" w:space="0" w:color="BFBFBF"/>
            </w:tcBorders>
            <w:shd w:val="clear" w:color="auto" w:fill="auto"/>
            <w:noWrap/>
            <w:vAlign w:val="center"/>
          </w:tcPr>
          <w:p w14:paraId="6DCE5BD1"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2001</w:t>
            </w:r>
          </w:p>
        </w:tc>
        <w:tc>
          <w:tcPr>
            <w:tcW w:w="572" w:type="dxa"/>
            <w:tcBorders>
              <w:top w:val="nil"/>
              <w:left w:val="nil"/>
              <w:bottom w:val="single" w:sz="4" w:space="0" w:color="BFBFBF"/>
              <w:right w:val="single" w:sz="4" w:space="0" w:color="auto"/>
            </w:tcBorders>
            <w:shd w:val="clear" w:color="auto" w:fill="auto"/>
            <w:noWrap/>
            <w:vAlign w:val="center"/>
          </w:tcPr>
          <w:p w14:paraId="20A552BE"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1996</w:t>
            </w:r>
          </w:p>
        </w:tc>
        <w:tc>
          <w:tcPr>
            <w:tcW w:w="572" w:type="dxa"/>
            <w:tcBorders>
              <w:top w:val="nil"/>
              <w:left w:val="nil"/>
              <w:bottom w:val="single" w:sz="4" w:space="0" w:color="BFBFBF"/>
              <w:right w:val="single" w:sz="4" w:space="0" w:color="BFBFBF"/>
            </w:tcBorders>
            <w:shd w:val="clear" w:color="auto" w:fill="auto"/>
            <w:noWrap/>
            <w:vAlign w:val="center"/>
          </w:tcPr>
          <w:p w14:paraId="01641992"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2014</w:t>
            </w:r>
          </w:p>
        </w:tc>
        <w:tc>
          <w:tcPr>
            <w:tcW w:w="572" w:type="dxa"/>
            <w:tcBorders>
              <w:top w:val="nil"/>
              <w:left w:val="nil"/>
              <w:bottom w:val="single" w:sz="4" w:space="0" w:color="BFBFBF"/>
              <w:right w:val="single" w:sz="4" w:space="0" w:color="BFBFBF"/>
            </w:tcBorders>
            <w:shd w:val="clear" w:color="auto" w:fill="auto"/>
            <w:noWrap/>
            <w:vAlign w:val="center"/>
          </w:tcPr>
          <w:p w14:paraId="7835A1A5"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2007</w:t>
            </w:r>
          </w:p>
        </w:tc>
        <w:tc>
          <w:tcPr>
            <w:tcW w:w="572" w:type="dxa"/>
            <w:tcBorders>
              <w:top w:val="nil"/>
              <w:left w:val="nil"/>
              <w:bottom w:val="single" w:sz="4" w:space="0" w:color="BFBFBF"/>
              <w:right w:val="single" w:sz="4" w:space="0" w:color="BFBFBF"/>
            </w:tcBorders>
            <w:shd w:val="clear" w:color="auto" w:fill="auto"/>
            <w:noWrap/>
            <w:vAlign w:val="center"/>
          </w:tcPr>
          <w:p w14:paraId="3C872C35"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2001</w:t>
            </w:r>
          </w:p>
        </w:tc>
        <w:tc>
          <w:tcPr>
            <w:tcW w:w="572" w:type="dxa"/>
            <w:tcBorders>
              <w:top w:val="nil"/>
              <w:left w:val="nil"/>
              <w:bottom w:val="single" w:sz="4" w:space="0" w:color="BFBFBF"/>
              <w:right w:val="double" w:sz="6" w:space="0" w:color="auto"/>
            </w:tcBorders>
            <w:shd w:val="clear" w:color="auto" w:fill="auto"/>
            <w:noWrap/>
            <w:vAlign w:val="center"/>
          </w:tcPr>
          <w:p w14:paraId="28B7B69C" w14:textId="77777777" w:rsidR="00744DC0" w:rsidRPr="003835AE" w:rsidRDefault="00744DC0" w:rsidP="00744DC0">
            <w:pPr>
              <w:spacing w:before="0" w:after="0"/>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1996</w:t>
            </w:r>
          </w:p>
        </w:tc>
      </w:tr>
      <w:tr w:rsidR="00744DC0" w:rsidRPr="003835AE" w14:paraId="015B47A7" w14:textId="77777777" w:rsidTr="00562A28">
        <w:trPr>
          <w:trHeight w:val="225"/>
          <w:jc w:val="center"/>
        </w:trPr>
        <w:tc>
          <w:tcPr>
            <w:tcW w:w="2706" w:type="dxa"/>
            <w:tcBorders>
              <w:top w:val="nil"/>
              <w:left w:val="double" w:sz="6" w:space="0" w:color="auto"/>
              <w:bottom w:val="single" w:sz="4" w:space="0" w:color="BFBFBF"/>
              <w:right w:val="nil"/>
            </w:tcBorders>
            <w:shd w:val="clear" w:color="auto" w:fill="auto"/>
            <w:noWrap/>
            <w:vAlign w:val="center"/>
          </w:tcPr>
          <w:p w14:paraId="3A8196C6" w14:textId="77777777" w:rsidR="00744DC0" w:rsidRPr="003835AE" w:rsidRDefault="00744DC0" w:rsidP="00744DC0">
            <w:pPr>
              <w:spacing w:before="0" w:after="0"/>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By Region -</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1881F277" w14:textId="77777777" w:rsidR="00744DC0" w:rsidRPr="003835AE" w:rsidRDefault="00744DC0" w:rsidP="00744DC0">
            <w:pPr>
              <w:spacing w:before="0" w:after="0"/>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4C3F6C1D"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382366CF"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572" w:type="dxa"/>
            <w:tcBorders>
              <w:top w:val="nil"/>
              <w:left w:val="nil"/>
              <w:bottom w:val="single" w:sz="4" w:space="0" w:color="BFBFBF"/>
              <w:right w:val="single" w:sz="4" w:space="0" w:color="auto"/>
            </w:tcBorders>
            <w:shd w:val="clear" w:color="auto" w:fill="auto"/>
            <w:noWrap/>
            <w:vAlign w:val="center"/>
          </w:tcPr>
          <w:p w14:paraId="412BD79C"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626" w:type="dxa"/>
            <w:tcBorders>
              <w:top w:val="nil"/>
              <w:left w:val="nil"/>
              <w:bottom w:val="single" w:sz="4" w:space="0" w:color="BFBFBF"/>
              <w:right w:val="single" w:sz="4" w:space="0" w:color="BFBFBF"/>
            </w:tcBorders>
            <w:shd w:val="clear" w:color="auto" w:fill="auto"/>
            <w:noWrap/>
            <w:vAlign w:val="center"/>
          </w:tcPr>
          <w:p w14:paraId="49FB4F4B" w14:textId="77777777" w:rsidR="00744DC0" w:rsidRPr="003835AE" w:rsidRDefault="00744DC0" w:rsidP="00744DC0">
            <w:pPr>
              <w:spacing w:before="0" w:after="0"/>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626" w:type="dxa"/>
            <w:tcBorders>
              <w:top w:val="nil"/>
              <w:left w:val="nil"/>
              <w:bottom w:val="single" w:sz="4" w:space="0" w:color="BFBFBF"/>
              <w:right w:val="single" w:sz="4" w:space="0" w:color="BFBFBF"/>
            </w:tcBorders>
            <w:shd w:val="clear" w:color="auto" w:fill="auto"/>
            <w:noWrap/>
            <w:vAlign w:val="center"/>
          </w:tcPr>
          <w:p w14:paraId="491DBEFF"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153512CF"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572" w:type="dxa"/>
            <w:tcBorders>
              <w:top w:val="nil"/>
              <w:left w:val="nil"/>
              <w:bottom w:val="single" w:sz="4" w:space="0" w:color="BFBFBF"/>
              <w:right w:val="nil"/>
            </w:tcBorders>
            <w:shd w:val="clear" w:color="auto" w:fill="auto"/>
            <w:noWrap/>
            <w:vAlign w:val="center"/>
          </w:tcPr>
          <w:p w14:paraId="301F3E55"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39A70005" w14:textId="77777777" w:rsidR="00744DC0" w:rsidRPr="003835AE" w:rsidRDefault="00744DC0" w:rsidP="00744DC0">
            <w:pPr>
              <w:spacing w:before="0" w:after="0"/>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626" w:type="dxa"/>
            <w:tcBorders>
              <w:top w:val="nil"/>
              <w:left w:val="nil"/>
              <w:bottom w:val="single" w:sz="4" w:space="0" w:color="BFBFBF"/>
              <w:right w:val="single" w:sz="4" w:space="0" w:color="BFBFBF"/>
            </w:tcBorders>
            <w:shd w:val="clear" w:color="auto" w:fill="auto"/>
            <w:noWrap/>
            <w:vAlign w:val="center"/>
          </w:tcPr>
          <w:p w14:paraId="56B8A20C"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042D8539"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572" w:type="dxa"/>
            <w:tcBorders>
              <w:top w:val="nil"/>
              <w:left w:val="nil"/>
              <w:bottom w:val="single" w:sz="4" w:space="0" w:color="BFBFBF"/>
              <w:right w:val="single" w:sz="4" w:space="0" w:color="auto"/>
            </w:tcBorders>
            <w:shd w:val="clear" w:color="auto" w:fill="auto"/>
            <w:noWrap/>
            <w:vAlign w:val="center"/>
          </w:tcPr>
          <w:p w14:paraId="615C8D88"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36AE9298" w14:textId="77777777" w:rsidR="00744DC0" w:rsidRPr="003835AE" w:rsidRDefault="00744DC0" w:rsidP="00744DC0">
            <w:pPr>
              <w:spacing w:before="0" w:after="0"/>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623A922E"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7C06DB0E"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c>
          <w:tcPr>
            <w:tcW w:w="572" w:type="dxa"/>
            <w:tcBorders>
              <w:top w:val="nil"/>
              <w:left w:val="nil"/>
              <w:bottom w:val="single" w:sz="4" w:space="0" w:color="BFBFBF"/>
              <w:right w:val="double" w:sz="6" w:space="0" w:color="auto"/>
            </w:tcBorders>
            <w:shd w:val="clear" w:color="auto" w:fill="auto"/>
            <w:noWrap/>
            <w:vAlign w:val="center"/>
          </w:tcPr>
          <w:p w14:paraId="2E0E9AF4" w14:textId="77777777" w:rsidR="00744DC0" w:rsidRPr="003835AE" w:rsidRDefault="00744DC0" w:rsidP="00744DC0">
            <w:pPr>
              <w:spacing w:before="0" w:after="0"/>
              <w:jc w:val="right"/>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w:t>
            </w:r>
          </w:p>
        </w:tc>
      </w:tr>
      <w:tr w:rsidR="00D62601" w:rsidRPr="003835AE" w14:paraId="1763BA2B" w14:textId="77777777" w:rsidTr="00D62601">
        <w:trPr>
          <w:trHeight w:val="225"/>
          <w:jc w:val="center"/>
        </w:trPr>
        <w:tc>
          <w:tcPr>
            <w:tcW w:w="2706" w:type="dxa"/>
            <w:tcBorders>
              <w:top w:val="nil"/>
              <w:left w:val="double" w:sz="6" w:space="0" w:color="auto"/>
              <w:bottom w:val="single" w:sz="4" w:space="0" w:color="BFBFBF"/>
              <w:right w:val="nil"/>
            </w:tcBorders>
            <w:shd w:val="clear" w:color="auto" w:fill="auto"/>
            <w:noWrap/>
            <w:vAlign w:val="center"/>
          </w:tcPr>
          <w:p w14:paraId="25D8904F" w14:textId="77777777" w:rsidR="00D62601" w:rsidRPr="003835AE" w:rsidRDefault="00D62601" w:rsidP="00162EF6">
            <w:pPr>
              <w:spacing w:before="0" w:after="0"/>
              <w:ind w:firstLineChars="144" w:firstLine="230"/>
              <w:rPr>
                <w:rFonts w:ascii="Arial" w:hAnsi="Arial" w:cs="Arial"/>
                <w:color w:val="000000"/>
                <w:sz w:val="16"/>
                <w:szCs w:val="16"/>
                <w:lang w:val="en-AU" w:eastAsia="en-AU"/>
              </w:rPr>
            </w:pPr>
            <w:smartTag w:uri="urn:schemas-microsoft-com:office:smarttags" w:element="City">
              <w:smartTag w:uri="urn:schemas-microsoft-com:office:smarttags" w:element="place">
                <w:r w:rsidRPr="003835AE">
                  <w:rPr>
                    <w:rFonts w:ascii="Arial" w:hAnsi="Arial" w:cs="Arial"/>
                    <w:color w:val="000000"/>
                    <w:sz w:val="16"/>
                    <w:szCs w:val="16"/>
                    <w:lang w:val="en-AU" w:eastAsia="en-AU"/>
                  </w:rPr>
                  <w:t>Melbourne</w:t>
                </w:r>
              </w:smartTag>
            </w:smartTag>
          </w:p>
        </w:tc>
        <w:tc>
          <w:tcPr>
            <w:tcW w:w="626" w:type="dxa"/>
            <w:tcBorders>
              <w:top w:val="nil"/>
              <w:left w:val="single" w:sz="4" w:space="0" w:color="auto"/>
              <w:bottom w:val="single" w:sz="4" w:space="0" w:color="BFBFBF"/>
              <w:right w:val="single" w:sz="4" w:space="0" w:color="BFBFBF"/>
            </w:tcBorders>
            <w:shd w:val="clear" w:color="auto" w:fill="auto"/>
            <w:noWrap/>
          </w:tcPr>
          <w:p w14:paraId="0024FAD9" w14:textId="77777777" w:rsidR="00D62601" w:rsidRPr="003835AE" w:rsidRDefault="00D62601" w:rsidP="00A872AD">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w:t>
            </w:r>
            <w:r w:rsidR="00A872AD">
              <w:rPr>
                <w:rFonts w:ascii="Arial" w:hAnsi="Arial" w:cs="Arial"/>
                <w:color w:val="000000"/>
                <w:sz w:val="16"/>
                <w:szCs w:val="16"/>
                <w:lang w:val="en-AU" w:eastAsia="en-AU"/>
              </w:rPr>
              <w:t>4</w:t>
            </w:r>
            <w:r w:rsidRPr="003835AE">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25B81523"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94%</w:t>
            </w:r>
          </w:p>
        </w:tc>
        <w:tc>
          <w:tcPr>
            <w:tcW w:w="572" w:type="dxa"/>
            <w:tcBorders>
              <w:top w:val="nil"/>
              <w:left w:val="nil"/>
              <w:bottom w:val="single" w:sz="4" w:space="0" w:color="BFBFBF"/>
              <w:right w:val="single" w:sz="4" w:space="0" w:color="BFBFBF"/>
            </w:tcBorders>
            <w:shd w:val="clear" w:color="auto" w:fill="auto"/>
            <w:noWrap/>
            <w:vAlign w:val="center"/>
          </w:tcPr>
          <w:p w14:paraId="220FA7B0"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94%</w:t>
            </w:r>
          </w:p>
        </w:tc>
        <w:tc>
          <w:tcPr>
            <w:tcW w:w="572" w:type="dxa"/>
            <w:tcBorders>
              <w:top w:val="nil"/>
              <w:left w:val="nil"/>
              <w:bottom w:val="single" w:sz="4" w:space="0" w:color="BFBFBF"/>
              <w:right w:val="single" w:sz="4" w:space="0" w:color="auto"/>
            </w:tcBorders>
            <w:shd w:val="clear" w:color="auto" w:fill="auto"/>
            <w:noWrap/>
            <w:vAlign w:val="center"/>
          </w:tcPr>
          <w:p w14:paraId="4DA0CB7D"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90%</w:t>
            </w:r>
          </w:p>
        </w:tc>
        <w:tc>
          <w:tcPr>
            <w:tcW w:w="626" w:type="dxa"/>
            <w:tcBorders>
              <w:top w:val="nil"/>
              <w:left w:val="nil"/>
              <w:bottom w:val="single" w:sz="4" w:space="0" w:color="BFBFBF"/>
              <w:right w:val="single" w:sz="4" w:space="0" w:color="BFBFBF"/>
            </w:tcBorders>
            <w:shd w:val="clear" w:color="auto" w:fill="auto"/>
            <w:noWrap/>
          </w:tcPr>
          <w:p w14:paraId="2CAB539D" w14:textId="77777777" w:rsidR="00D62601" w:rsidRPr="003835AE" w:rsidRDefault="00A872AD" w:rsidP="00D62601">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1</w:t>
            </w:r>
            <w:r w:rsidR="00D62601" w:rsidRPr="003835AE">
              <w:rPr>
                <w:rFonts w:ascii="Arial" w:hAnsi="Arial" w:cs="Arial"/>
                <w:color w:val="000000"/>
                <w:sz w:val="16"/>
                <w:szCs w:val="16"/>
                <w:lang w:val="en-AU" w:eastAsia="en-AU"/>
              </w:rPr>
              <w:t>%</w:t>
            </w:r>
          </w:p>
        </w:tc>
        <w:tc>
          <w:tcPr>
            <w:tcW w:w="626" w:type="dxa"/>
            <w:tcBorders>
              <w:top w:val="nil"/>
              <w:left w:val="nil"/>
              <w:bottom w:val="single" w:sz="4" w:space="0" w:color="BFBFBF"/>
              <w:right w:val="single" w:sz="4" w:space="0" w:color="BFBFBF"/>
            </w:tcBorders>
            <w:shd w:val="clear" w:color="auto" w:fill="auto"/>
            <w:noWrap/>
            <w:vAlign w:val="center"/>
          </w:tcPr>
          <w:p w14:paraId="43B37E0F"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2%</w:t>
            </w:r>
          </w:p>
        </w:tc>
        <w:tc>
          <w:tcPr>
            <w:tcW w:w="572" w:type="dxa"/>
            <w:tcBorders>
              <w:top w:val="nil"/>
              <w:left w:val="nil"/>
              <w:bottom w:val="single" w:sz="4" w:space="0" w:color="BFBFBF"/>
              <w:right w:val="single" w:sz="4" w:space="0" w:color="BFBFBF"/>
            </w:tcBorders>
            <w:shd w:val="clear" w:color="auto" w:fill="auto"/>
            <w:noWrap/>
            <w:vAlign w:val="center"/>
          </w:tcPr>
          <w:p w14:paraId="57F7DEFD"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5B326C12"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w:t>
            </w:r>
          </w:p>
        </w:tc>
        <w:tc>
          <w:tcPr>
            <w:tcW w:w="626" w:type="dxa"/>
            <w:tcBorders>
              <w:top w:val="nil"/>
              <w:left w:val="single" w:sz="4" w:space="0" w:color="auto"/>
              <w:bottom w:val="single" w:sz="4" w:space="0" w:color="BFBFBF"/>
              <w:right w:val="single" w:sz="4" w:space="0" w:color="BFBFBF"/>
            </w:tcBorders>
            <w:shd w:val="clear" w:color="auto" w:fill="auto"/>
            <w:noWrap/>
          </w:tcPr>
          <w:p w14:paraId="3868D86A" w14:textId="77777777" w:rsidR="00D62601" w:rsidRPr="003835AE" w:rsidRDefault="00D62601" w:rsidP="00A872AD">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w:t>
            </w:r>
            <w:r w:rsidR="00A872AD">
              <w:rPr>
                <w:rFonts w:ascii="Arial" w:hAnsi="Arial" w:cs="Arial"/>
                <w:color w:val="000000"/>
                <w:sz w:val="16"/>
                <w:szCs w:val="16"/>
                <w:lang w:val="en-AU" w:eastAsia="en-AU"/>
              </w:rPr>
              <w:t>5</w:t>
            </w:r>
            <w:r w:rsidRPr="003835AE">
              <w:rPr>
                <w:rFonts w:ascii="Arial" w:hAnsi="Arial" w:cs="Arial"/>
                <w:color w:val="000000"/>
                <w:sz w:val="16"/>
                <w:szCs w:val="16"/>
                <w:lang w:val="en-AU" w:eastAsia="en-AU"/>
              </w:rPr>
              <w:t>%</w:t>
            </w:r>
          </w:p>
        </w:tc>
        <w:tc>
          <w:tcPr>
            <w:tcW w:w="626" w:type="dxa"/>
            <w:tcBorders>
              <w:top w:val="nil"/>
              <w:left w:val="nil"/>
              <w:bottom w:val="single" w:sz="4" w:space="0" w:color="BFBFBF"/>
              <w:right w:val="single" w:sz="4" w:space="0" w:color="BFBFBF"/>
            </w:tcBorders>
            <w:shd w:val="clear" w:color="auto" w:fill="auto"/>
            <w:noWrap/>
            <w:vAlign w:val="center"/>
          </w:tcPr>
          <w:p w14:paraId="2943273C"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94%</w:t>
            </w:r>
          </w:p>
        </w:tc>
        <w:tc>
          <w:tcPr>
            <w:tcW w:w="572" w:type="dxa"/>
            <w:tcBorders>
              <w:top w:val="nil"/>
              <w:left w:val="nil"/>
              <w:bottom w:val="single" w:sz="4" w:space="0" w:color="BFBFBF"/>
              <w:right w:val="single" w:sz="4" w:space="0" w:color="BFBFBF"/>
            </w:tcBorders>
            <w:shd w:val="clear" w:color="auto" w:fill="auto"/>
            <w:noWrap/>
            <w:vAlign w:val="center"/>
          </w:tcPr>
          <w:p w14:paraId="104502A4"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94%</w:t>
            </w:r>
          </w:p>
        </w:tc>
        <w:tc>
          <w:tcPr>
            <w:tcW w:w="572" w:type="dxa"/>
            <w:tcBorders>
              <w:top w:val="nil"/>
              <w:left w:val="nil"/>
              <w:bottom w:val="single" w:sz="4" w:space="0" w:color="BFBFBF"/>
              <w:right w:val="single" w:sz="4" w:space="0" w:color="auto"/>
            </w:tcBorders>
            <w:shd w:val="clear" w:color="auto" w:fill="auto"/>
            <w:noWrap/>
            <w:vAlign w:val="center"/>
          </w:tcPr>
          <w:p w14:paraId="4282F8E3"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90%</w:t>
            </w:r>
          </w:p>
        </w:tc>
        <w:tc>
          <w:tcPr>
            <w:tcW w:w="572" w:type="dxa"/>
            <w:tcBorders>
              <w:top w:val="nil"/>
              <w:left w:val="nil"/>
              <w:bottom w:val="single" w:sz="4" w:space="0" w:color="BFBFBF"/>
              <w:right w:val="single" w:sz="4" w:space="0" w:color="BFBFBF"/>
            </w:tcBorders>
            <w:shd w:val="clear" w:color="auto" w:fill="auto"/>
            <w:noWrap/>
          </w:tcPr>
          <w:p w14:paraId="3592F5DB" w14:textId="77777777" w:rsidR="00D62601" w:rsidRPr="003835AE" w:rsidRDefault="00A872AD" w:rsidP="00D62601">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5</w:t>
            </w:r>
            <w:r w:rsidR="00D62601" w:rsidRPr="003835AE">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61EEA0C8"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6%</w:t>
            </w:r>
          </w:p>
        </w:tc>
        <w:tc>
          <w:tcPr>
            <w:tcW w:w="572" w:type="dxa"/>
            <w:tcBorders>
              <w:top w:val="nil"/>
              <w:left w:val="nil"/>
              <w:bottom w:val="single" w:sz="4" w:space="0" w:color="BFBFBF"/>
              <w:right w:val="single" w:sz="4" w:space="0" w:color="BFBFBF"/>
            </w:tcBorders>
            <w:shd w:val="clear" w:color="auto" w:fill="auto"/>
            <w:noWrap/>
            <w:vAlign w:val="center"/>
          </w:tcPr>
          <w:p w14:paraId="1A9B0AC6"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6%</w:t>
            </w:r>
          </w:p>
        </w:tc>
        <w:tc>
          <w:tcPr>
            <w:tcW w:w="572" w:type="dxa"/>
            <w:tcBorders>
              <w:top w:val="nil"/>
              <w:left w:val="nil"/>
              <w:bottom w:val="single" w:sz="4" w:space="0" w:color="BFBFBF"/>
              <w:right w:val="double" w:sz="6" w:space="0" w:color="auto"/>
            </w:tcBorders>
            <w:shd w:val="clear" w:color="auto" w:fill="auto"/>
            <w:noWrap/>
            <w:vAlign w:val="center"/>
          </w:tcPr>
          <w:p w14:paraId="48F919E8"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10%</w:t>
            </w:r>
          </w:p>
        </w:tc>
      </w:tr>
      <w:tr w:rsidR="00D62601" w:rsidRPr="003835AE" w14:paraId="2B681604" w14:textId="77777777" w:rsidTr="00D62601">
        <w:trPr>
          <w:trHeight w:val="225"/>
          <w:jc w:val="center"/>
        </w:trPr>
        <w:tc>
          <w:tcPr>
            <w:tcW w:w="2706" w:type="dxa"/>
            <w:tcBorders>
              <w:top w:val="nil"/>
              <w:left w:val="double" w:sz="6" w:space="0" w:color="auto"/>
              <w:bottom w:val="single" w:sz="4" w:space="0" w:color="BFBFBF"/>
              <w:right w:val="nil"/>
            </w:tcBorders>
            <w:shd w:val="clear" w:color="auto" w:fill="auto"/>
            <w:noWrap/>
            <w:vAlign w:val="center"/>
          </w:tcPr>
          <w:p w14:paraId="67E9B1C6" w14:textId="77777777" w:rsidR="00D62601" w:rsidRPr="003835AE" w:rsidRDefault="00D62601" w:rsidP="00162EF6">
            <w:pPr>
              <w:spacing w:before="0" w:after="0"/>
              <w:ind w:firstLineChars="144" w:firstLine="230"/>
              <w:rPr>
                <w:rFonts w:ascii="Arial" w:hAnsi="Arial" w:cs="Arial"/>
                <w:color w:val="000000"/>
                <w:sz w:val="16"/>
                <w:szCs w:val="16"/>
                <w:lang w:val="en-AU" w:eastAsia="en-AU"/>
              </w:rPr>
            </w:pPr>
            <w:r w:rsidRPr="003835AE">
              <w:rPr>
                <w:rFonts w:ascii="Arial" w:hAnsi="Arial" w:cs="Arial"/>
                <w:color w:val="000000"/>
                <w:sz w:val="16"/>
                <w:szCs w:val="16"/>
                <w:lang w:val="en-AU" w:eastAsia="en-AU"/>
              </w:rPr>
              <w:t>VIC Country</w:t>
            </w:r>
            <w:r w:rsidRPr="003835AE">
              <w:rPr>
                <w:rFonts w:ascii="Arial" w:hAnsi="Arial" w:cs="Arial"/>
                <w:color w:val="000000"/>
                <w:sz w:val="16"/>
                <w:szCs w:val="16"/>
                <w:vertAlign w:val="superscript"/>
                <w:lang w:val="en-AU" w:eastAsia="en-AU"/>
              </w:rPr>
              <w:t>1</w:t>
            </w:r>
          </w:p>
        </w:tc>
        <w:tc>
          <w:tcPr>
            <w:tcW w:w="626" w:type="dxa"/>
            <w:tcBorders>
              <w:top w:val="nil"/>
              <w:left w:val="single" w:sz="4" w:space="0" w:color="auto"/>
              <w:bottom w:val="single" w:sz="4" w:space="0" w:color="BFBFBF"/>
              <w:right w:val="single" w:sz="4" w:space="0" w:color="BFBFBF"/>
            </w:tcBorders>
            <w:shd w:val="clear" w:color="auto" w:fill="auto"/>
            <w:noWrap/>
          </w:tcPr>
          <w:p w14:paraId="0B55F4F1" w14:textId="77777777" w:rsidR="00D62601" w:rsidRPr="003835AE" w:rsidRDefault="00D62601" w:rsidP="00A872AD">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7</w:t>
            </w:r>
            <w:r w:rsidR="00A872AD">
              <w:rPr>
                <w:rFonts w:ascii="Arial" w:hAnsi="Arial" w:cs="Arial"/>
                <w:color w:val="000000"/>
                <w:sz w:val="16"/>
                <w:szCs w:val="16"/>
                <w:lang w:val="en-AU" w:eastAsia="en-AU"/>
              </w:rPr>
              <w:t>2</w:t>
            </w:r>
            <w:r w:rsidRPr="003835AE">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7BA26643"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76%</w:t>
            </w:r>
          </w:p>
        </w:tc>
        <w:tc>
          <w:tcPr>
            <w:tcW w:w="572" w:type="dxa"/>
            <w:tcBorders>
              <w:top w:val="nil"/>
              <w:left w:val="nil"/>
              <w:bottom w:val="single" w:sz="4" w:space="0" w:color="BFBFBF"/>
              <w:right w:val="single" w:sz="4" w:space="0" w:color="BFBFBF"/>
            </w:tcBorders>
            <w:shd w:val="clear" w:color="auto" w:fill="auto"/>
            <w:noWrap/>
            <w:vAlign w:val="center"/>
          </w:tcPr>
          <w:p w14:paraId="203A18B2"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94%</w:t>
            </w:r>
          </w:p>
        </w:tc>
        <w:tc>
          <w:tcPr>
            <w:tcW w:w="572" w:type="dxa"/>
            <w:tcBorders>
              <w:top w:val="nil"/>
              <w:left w:val="nil"/>
              <w:bottom w:val="single" w:sz="4" w:space="0" w:color="BFBFBF"/>
              <w:right w:val="single" w:sz="4" w:space="0" w:color="auto"/>
            </w:tcBorders>
            <w:shd w:val="clear" w:color="auto" w:fill="auto"/>
            <w:noWrap/>
            <w:vAlign w:val="center"/>
          </w:tcPr>
          <w:p w14:paraId="6FD21DFB"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92%</w:t>
            </w:r>
          </w:p>
        </w:tc>
        <w:tc>
          <w:tcPr>
            <w:tcW w:w="626" w:type="dxa"/>
            <w:tcBorders>
              <w:top w:val="nil"/>
              <w:left w:val="nil"/>
              <w:bottom w:val="single" w:sz="4" w:space="0" w:color="BFBFBF"/>
              <w:right w:val="single" w:sz="4" w:space="0" w:color="BFBFBF"/>
            </w:tcBorders>
            <w:shd w:val="clear" w:color="auto" w:fill="auto"/>
            <w:noWrap/>
          </w:tcPr>
          <w:p w14:paraId="6AD524A9" w14:textId="77777777" w:rsidR="00D62601" w:rsidRPr="003835AE" w:rsidRDefault="00D62601" w:rsidP="00A872AD">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w:t>
            </w:r>
            <w:r w:rsidR="00A872AD">
              <w:rPr>
                <w:rFonts w:ascii="Arial" w:hAnsi="Arial" w:cs="Arial"/>
                <w:color w:val="000000"/>
                <w:sz w:val="16"/>
                <w:szCs w:val="16"/>
                <w:lang w:val="en-AU" w:eastAsia="en-AU"/>
              </w:rPr>
              <w:t>1</w:t>
            </w:r>
            <w:r w:rsidRPr="003835AE">
              <w:rPr>
                <w:rFonts w:ascii="Arial" w:hAnsi="Arial" w:cs="Arial"/>
                <w:color w:val="000000"/>
                <w:sz w:val="16"/>
                <w:szCs w:val="16"/>
                <w:lang w:val="en-AU" w:eastAsia="en-AU"/>
              </w:rPr>
              <w:t>%</w:t>
            </w:r>
          </w:p>
        </w:tc>
        <w:tc>
          <w:tcPr>
            <w:tcW w:w="626" w:type="dxa"/>
            <w:tcBorders>
              <w:top w:val="nil"/>
              <w:left w:val="nil"/>
              <w:bottom w:val="single" w:sz="4" w:space="0" w:color="BFBFBF"/>
              <w:right w:val="single" w:sz="4" w:space="0" w:color="BFBFBF"/>
            </w:tcBorders>
            <w:shd w:val="clear" w:color="auto" w:fill="auto"/>
            <w:noWrap/>
            <w:vAlign w:val="center"/>
          </w:tcPr>
          <w:p w14:paraId="0DEC589D"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24%</w:t>
            </w:r>
          </w:p>
        </w:tc>
        <w:tc>
          <w:tcPr>
            <w:tcW w:w="572" w:type="dxa"/>
            <w:tcBorders>
              <w:top w:val="nil"/>
              <w:left w:val="nil"/>
              <w:bottom w:val="single" w:sz="4" w:space="0" w:color="BFBFBF"/>
              <w:right w:val="single" w:sz="4" w:space="0" w:color="BFBFBF"/>
            </w:tcBorders>
            <w:shd w:val="clear" w:color="auto" w:fill="auto"/>
            <w:noWrap/>
            <w:vAlign w:val="center"/>
          </w:tcPr>
          <w:p w14:paraId="3F104432"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w:t>
            </w:r>
          </w:p>
        </w:tc>
        <w:tc>
          <w:tcPr>
            <w:tcW w:w="572" w:type="dxa"/>
            <w:tcBorders>
              <w:top w:val="nil"/>
              <w:left w:val="nil"/>
              <w:bottom w:val="single" w:sz="4" w:space="0" w:color="BFBFBF"/>
              <w:right w:val="nil"/>
            </w:tcBorders>
            <w:shd w:val="clear" w:color="auto" w:fill="auto"/>
            <w:noWrap/>
            <w:vAlign w:val="center"/>
          </w:tcPr>
          <w:p w14:paraId="6E14FEBD"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2%</w:t>
            </w:r>
          </w:p>
        </w:tc>
        <w:tc>
          <w:tcPr>
            <w:tcW w:w="626" w:type="dxa"/>
            <w:tcBorders>
              <w:top w:val="nil"/>
              <w:left w:val="single" w:sz="4" w:space="0" w:color="auto"/>
              <w:bottom w:val="single" w:sz="4" w:space="0" w:color="BFBFBF"/>
              <w:right w:val="single" w:sz="4" w:space="0" w:color="BFBFBF"/>
            </w:tcBorders>
            <w:shd w:val="clear" w:color="auto" w:fill="auto"/>
            <w:noWrap/>
          </w:tcPr>
          <w:p w14:paraId="367D8AED" w14:textId="77777777" w:rsidR="00D62601" w:rsidRPr="003835AE" w:rsidRDefault="00D62601" w:rsidP="00D62601">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83%</w:t>
            </w:r>
          </w:p>
        </w:tc>
        <w:tc>
          <w:tcPr>
            <w:tcW w:w="626" w:type="dxa"/>
            <w:tcBorders>
              <w:top w:val="nil"/>
              <w:left w:val="nil"/>
              <w:bottom w:val="single" w:sz="4" w:space="0" w:color="BFBFBF"/>
              <w:right w:val="single" w:sz="4" w:space="0" w:color="BFBFBF"/>
            </w:tcBorders>
            <w:shd w:val="clear" w:color="auto" w:fill="auto"/>
            <w:noWrap/>
            <w:vAlign w:val="center"/>
          </w:tcPr>
          <w:p w14:paraId="09478017"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97%</w:t>
            </w:r>
          </w:p>
        </w:tc>
        <w:tc>
          <w:tcPr>
            <w:tcW w:w="572" w:type="dxa"/>
            <w:tcBorders>
              <w:top w:val="nil"/>
              <w:left w:val="nil"/>
              <w:bottom w:val="single" w:sz="4" w:space="0" w:color="BFBFBF"/>
              <w:right w:val="single" w:sz="4" w:space="0" w:color="BFBFBF"/>
            </w:tcBorders>
            <w:shd w:val="clear" w:color="auto" w:fill="auto"/>
            <w:noWrap/>
            <w:vAlign w:val="center"/>
          </w:tcPr>
          <w:p w14:paraId="1709AB9A"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95%</w:t>
            </w:r>
          </w:p>
        </w:tc>
        <w:tc>
          <w:tcPr>
            <w:tcW w:w="572" w:type="dxa"/>
            <w:tcBorders>
              <w:top w:val="nil"/>
              <w:left w:val="nil"/>
              <w:bottom w:val="single" w:sz="4" w:space="0" w:color="BFBFBF"/>
              <w:right w:val="single" w:sz="4" w:space="0" w:color="auto"/>
            </w:tcBorders>
            <w:shd w:val="clear" w:color="auto" w:fill="auto"/>
            <w:noWrap/>
            <w:vAlign w:val="center"/>
          </w:tcPr>
          <w:p w14:paraId="69090417"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93%</w:t>
            </w:r>
          </w:p>
        </w:tc>
        <w:tc>
          <w:tcPr>
            <w:tcW w:w="572" w:type="dxa"/>
            <w:tcBorders>
              <w:top w:val="nil"/>
              <w:left w:val="nil"/>
              <w:bottom w:val="single" w:sz="4" w:space="0" w:color="BFBFBF"/>
              <w:right w:val="single" w:sz="4" w:space="0" w:color="BFBFBF"/>
            </w:tcBorders>
            <w:shd w:val="clear" w:color="auto" w:fill="auto"/>
            <w:noWrap/>
          </w:tcPr>
          <w:p w14:paraId="19EEDBB2" w14:textId="77777777" w:rsidR="00D62601" w:rsidRPr="003835AE" w:rsidRDefault="00D62601" w:rsidP="00D62601">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17%</w:t>
            </w:r>
          </w:p>
        </w:tc>
        <w:tc>
          <w:tcPr>
            <w:tcW w:w="572" w:type="dxa"/>
            <w:tcBorders>
              <w:top w:val="nil"/>
              <w:left w:val="nil"/>
              <w:bottom w:val="single" w:sz="4" w:space="0" w:color="BFBFBF"/>
              <w:right w:val="single" w:sz="4" w:space="0" w:color="BFBFBF"/>
            </w:tcBorders>
            <w:shd w:val="clear" w:color="auto" w:fill="auto"/>
            <w:noWrap/>
            <w:vAlign w:val="center"/>
          </w:tcPr>
          <w:p w14:paraId="7B6F005F"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3%</w:t>
            </w:r>
          </w:p>
        </w:tc>
        <w:tc>
          <w:tcPr>
            <w:tcW w:w="572" w:type="dxa"/>
            <w:tcBorders>
              <w:top w:val="nil"/>
              <w:left w:val="nil"/>
              <w:bottom w:val="single" w:sz="4" w:space="0" w:color="BFBFBF"/>
              <w:right w:val="single" w:sz="4" w:space="0" w:color="BFBFBF"/>
            </w:tcBorders>
            <w:shd w:val="clear" w:color="auto" w:fill="auto"/>
            <w:noWrap/>
            <w:vAlign w:val="center"/>
          </w:tcPr>
          <w:p w14:paraId="6C6E2C01"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5%</w:t>
            </w:r>
          </w:p>
        </w:tc>
        <w:tc>
          <w:tcPr>
            <w:tcW w:w="572" w:type="dxa"/>
            <w:tcBorders>
              <w:top w:val="nil"/>
              <w:left w:val="nil"/>
              <w:bottom w:val="single" w:sz="4" w:space="0" w:color="BFBFBF"/>
              <w:right w:val="double" w:sz="6" w:space="0" w:color="auto"/>
            </w:tcBorders>
            <w:shd w:val="clear" w:color="auto" w:fill="auto"/>
            <w:noWrap/>
            <w:vAlign w:val="center"/>
          </w:tcPr>
          <w:p w14:paraId="599B06FE"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7%</w:t>
            </w:r>
          </w:p>
        </w:tc>
      </w:tr>
      <w:tr w:rsidR="00D62601" w:rsidRPr="003835AE" w14:paraId="74A49644" w14:textId="77777777" w:rsidTr="00D62601">
        <w:trPr>
          <w:trHeight w:val="225"/>
          <w:jc w:val="center"/>
        </w:trPr>
        <w:tc>
          <w:tcPr>
            <w:tcW w:w="2706" w:type="dxa"/>
            <w:tcBorders>
              <w:top w:val="nil"/>
              <w:left w:val="double" w:sz="6" w:space="0" w:color="auto"/>
              <w:bottom w:val="single" w:sz="4" w:space="0" w:color="BFBFBF"/>
              <w:right w:val="nil"/>
            </w:tcBorders>
            <w:shd w:val="clear" w:color="auto" w:fill="auto"/>
            <w:noWrap/>
            <w:vAlign w:val="center"/>
          </w:tcPr>
          <w:p w14:paraId="532165D4" w14:textId="77777777" w:rsidR="00D62601" w:rsidRPr="003835AE" w:rsidRDefault="00D62601" w:rsidP="00162EF6">
            <w:pPr>
              <w:spacing w:before="0" w:after="0"/>
              <w:ind w:firstLineChars="144" w:firstLine="230"/>
              <w:rPr>
                <w:rFonts w:ascii="Arial" w:hAnsi="Arial" w:cs="Arial"/>
                <w:color w:val="000000"/>
                <w:sz w:val="16"/>
                <w:szCs w:val="16"/>
                <w:lang w:val="en-AU" w:eastAsia="en-AU"/>
              </w:rPr>
            </w:pPr>
            <w:r w:rsidRPr="003835AE">
              <w:rPr>
                <w:rFonts w:ascii="Arial" w:hAnsi="Arial" w:cs="Arial"/>
                <w:color w:val="000000"/>
                <w:sz w:val="16"/>
                <w:szCs w:val="16"/>
                <w:lang w:val="en-AU" w:eastAsia="en-AU"/>
              </w:rPr>
              <w:t>LPG Households</w:t>
            </w:r>
            <w:r w:rsidRPr="003835AE">
              <w:rPr>
                <w:rFonts w:ascii="Arial" w:hAnsi="Arial" w:cs="Arial"/>
                <w:color w:val="000000"/>
                <w:sz w:val="16"/>
                <w:szCs w:val="16"/>
                <w:vertAlign w:val="superscript"/>
                <w:lang w:val="en-AU" w:eastAsia="en-AU"/>
              </w:rPr>
              <w:t>2</w:t>
            </w:r>
          </w:p>
        </w:tc>
        <w:tc>
          <w:tcPr>
            <w:tcW w:w="626" w:type="dxa"/>
            <w:tcBorders>
              <w:top w:val="nil"/>
              <w:left w:val="single" w:sz="4" w:space="0" w:color="auto"/>
              <w:bottom w:val="single" w:sz="4" w:space="0" w:color="BFBFBF"/>
              <w:right w:val="single" w:sz="4" w:space="0" w:color="BFBFBF"/>
            </w:tcBorders>
            <w:shd w:val="clear" w:color="auto" w:fill="auto"/>
            <w:noWrap/>
          </w:tcPr>
          <w:p w14:paraId="434C4FB4" w14:textId="77777777" w:rsidR="00D62601" w:rsidRPr="003835AE" w:rsidRDefault="00A872AD" w:rsidP="00A872AD">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3</w:t>
            </w:r>
            <w:r w:rsidR="00D62601" w:rsidRPr="003835AE">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619A967D"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2%</w:t>
            </w:r>
          </w:p>
        </w:tc>
        <w:tc>
          <w:tcPr>
            <w:tcW w:w="572" w:type="dxa"/>
            <w:tcBorders>
              <w:top w:val="nil"/>
              <w:left w:val="nil"/>
              <w:bottom w:val="single" w:sz="4" w:space="0" w:color="BFBFBF"/>
              <w:right w:val="single" w:sz="4" w:space="0" w:color="BFBFBF"/>
            </w:tcBorders>
            <w:shd w:val="clear" w:color="auto" w:fill="auto"/>
            <w:noWrap/>
            <w:vAlign w:val="center"/>
          </w:tcPr>
          <w:p w14:paraId="028C1B0C"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53F64279"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nil"/>
              <w:bottom w:val="single" w:sz="4" w:space="0" w:color="BFBFBF"/>
              <w:right w:val="single" w:sz="4" w:space="0" w:color="BFBFBF"/>
            </w:tcBorders>
            <w:shd w:val="clear" w:color="auto" w:fill="auto"/>
            <w:noWrap/>
          </w:tcPr>
          <w:p w14:paraId="2960EEC2" w14:textId="77777777" w:rsidR="00D62601" w:rsidRPr="003835AE" w:rsidRDefault="00D62601" w:rsidP="00D62601">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100%</w:t>
            </w:r>
          </w:p>
        </w:tc>
        <w:tc>
          <w:tcPr>
            <w:tcW w:w="626" w:type="dxa"/>
            <w:tcBorders>
              <w:top w:val="nil"/>
              <w:left w:val="nil"/>
              <w:bottom w:val="single" w:sz="4" w:space="0" w:color="BFBFBF"/>
              <w:right w:val="single" w:sz="4" w:space="0" w:color="BFBFBF"/>
            </w:tcBorders>
            <w:shd w:val="clear" w:color="auto" w:fill="auto"/>
            <w:noWrap/>
            <w:vAlign w:val="center"/>
          </w:tcPr>
          <w:p w14:paraId="06B447F2"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100%</w:t>
            </w:r>
          </w:p>
        </w:tc>
        <w:tc>
          <w:tcPr>
            <w:tcW w:w="572" w:type="dxa"/>
            <w:tcBorders>
              <w:top w:val="nil"/>
              <w:left w:val="nil"/>
              <w:bottom w:val="single" w:sz="4" w:space="0" w:color="BFBFBF"/>
              <w:right w:val="single" w:sz="4" w:space="0" w:color="BFBFBF"/>
            </w:tcBorders>
            <w:shd w:val="clear" w:color="auto" w:fill="auto"/>
            <w:noWrap/>
            <w:vAlign w:val="center"/>
          </w:tcPr>
          <w:p w14:paraId="4D38BC9F"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14A8F1F6"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tcPr>
          <w:p w14:paraId="305727CF" w14:textId="77777777" w:rsidR="00D62601" w:rsidRPr="003835AE" w:rsidRDefault="00D62601" w:rsidP="00D62601">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100%</w:t>
            </w:r>
          </w:p>
        </w:tc>
        <w:tc>
          <w:tcPr>
            <w:tcW w:w="626" w:type="dxa"/>
            <w:tcBorders>
              <w:top w:val="nil"/>
              <w:left w:val="nil"/>
              <w:bottom w:val="single" w:sz="4" w:space="0" w:color="BFBFBF"/>
              <w:right w:val="single" w:sz="4" w:space="0" w:color="BFBFBF"/>
            </w:tcBorders>
            <w:shd w:val="clear" w:color="auto" w:fill="auto"/>
            <w:noWrap/>
            <w:vAlign w:val="center"/>
          </w:tcPr>
          <w:p w14:paraId="1A9F07F1"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100%</w:t>
            </w:r>
          </w:p>
        </w:tc>
        <w:tc>
          <w:tcPr>
            <w:tcW w:w="572" w:type="dxa"/>
            <w:tcBorders>
              <w:top w:val="nil"/>
              <w:left w:val="nil"/>
              <w:bottom w:val="single" w:sz="4" w:space="0" w:color="BFBFBF"/>
              <w:right w:val="single" w:sz="4" w:space="0" w:color="BFBFBF"/>
            </w:tcBorders>
            <w:shd w:val="clear" w:color="auto" w:fill="auto"/>
            <w:noWrap/>
            <w:vAlign w:val="center"/>
          </w:tcPr>
          <w:p w14:paraId="620076ED"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46DF3BC9"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tcPr>
          <w:p w14:paraId="7D05781D" w14:textId="77777777" w:rsidR="00D62601" w:rsidRPr="003835AE" w:rsidRDefault="00D62601" w:rsidP="00D62601">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55DDF887"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3F9446F5"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3672FEC5"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D62601" w:rsidRPr="003835AE" w14:paraId="0D1FCCAA" w14:textId="77777777" w:rsidTr="00D62601">
        <w:trPr>
          <w:trHeight w:val="225"/>
          <w:jc w:val="center"/>
        </w:trPr>
        <w:tc>
          <w:tcPr>
            <w:tcW w:w="2706" w:type="dxa"/>
            <w:tcBorders>
              <w:top w:val="nil"/>
              <w:left w:val="double" w:sz="6" w:space="0" w:color="auto"/>
              <w:bottom w:val="single" w:sz="4" w:space="0" w:color="BFBFBF"/>
              <w:right w:val="nil"/>
            </w:tcBorders>
            <w:shd w:val="clear" w:color="auto" w:fill="auto"/>
            <w:noWrap/>
            <w:vAlign w:val="center"/>
          </w:tcPr>
          <w:p w14:paraId="6925B293" w14:textId="77777777" w:rsidR="00D62601" w:rsidRPr="003835AE" w:rsidRDefault="00D62601" w:rsidP="00744DC0">
            <w:pPr>
              <w:spacing w:before="0" w:after="0"/>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 xml:space="preserve">By DHHS Area - </w:t>
            </w:r>
          </w:p>
        </w:tc>
        <w:tc>
          <w:tcPr>
            <w:tcW w:w="626" w:type="dxa"/>
            <w:tcBorders>
              <w:top w:val="nil"/>
              <w:left w:val="single" w:sz="4" w:space="0" w:color="auto"/>
              <w:bottom w:val="single" w:sz="4" w:space="0" w:color="BFBFBF"/>
              <w:right w:val="single" w:sz="4" w:space="0" w:color="BFBFBF"/>
            </w:tcBorders>
            <w:shd w:val="clear" w:color="auto" w:fill="auto"/>
            <w:noWrap/>
          </w:tcPr>
          <w:p w14:paraId="6640A59D" w14:textId="77777777" w:rsidR="00D62601" w:rsidRPr="003835AE" w:rsidRDefault="00D62601" w:rsidP="00D62601">
            <w:pPr>
              <w:spacing w:before="0" w:after="0"/>
              <w:jc w:val="center"/>
              <w:rPr>
                <w:rFonts w:ascii="Arial" w:hAnsi="Arial" w:cs="Arial"/>
                <w:color w:val="000000"/>
                <w:sz w:val="16"/>
                <w:szCs w:val="16"/>
                <w:lang w:val="en-AU" w:eastAsia="en-AU"/>
              </w:rPr>
            </w:pPr>
          </w:p>
        </w:tc>
        <w:tc>
          <w:tcPr>
            <w:tcW w:w="572" w:type="dxa"/>
            <w:tcBorders>
              <w:top w:val="nil"/>
              <w:left w:val="nil"/>
              <w:bottom w:val="single" w:sz="4" w:space="0" w:color="BFBFBF"/>
              <w:right w:val="single" w:sz="4" w:space="0" w:color="BFBFBF"/>
            </w:tcBorders>
            <w:shd w:val="clear" w:color="auto" w:fill="auto"/>
            <w:noWrap/>
            <w:vAlign w:val="center"/>
          </w:tcPr>
          <w:p w14:paraId="591E6DAC"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7F624010"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c>
          <w:tcPr>
            <w:tcW w:w="572" w:type="dxa"/>
            <w:tcBorders>
              <w:top w:val="nil"/>
              <w:left w:val="nil"/>
              <w:bottom w:val="single" w:sz="4" w:space="0" w:color="BFBFBF"/>
              <w:right w:val="single" w:sz="4" w:space="0" w:color="auto"/>
            </w:tcBorders>
            <w:shd w:val="clear" w:color="auto" w:fill="auto"/>
            <w:noWrap/>
            <w:vAlign w:val="center"/>
          </w:tcPr>
          <w:p w14:paraId="7740AB2F"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c>
          <w:tcPr>
            <w:tcW w:w="626" w:type="dxa"/>
            <w:tcBorders>
              <w:top w:val="nil"/>
              <w:left w:val="nil"/>
              <w:bottom w:val="single" w:sz="4" w:space="0" w:color="BFBFBF"/>
              <w:right w:val="single" w:sz="4" w:space="0" w:color="BFBFBF"/>
            </w:tcBorders>
            <w:shd w:val="clear" w:color="auto" w:fill="auto"/>
            <w:noWrap/>
          </w:tcPr>
          <w:p w14:paraId="06F41035" w14:textId="77777777" w:rsidR="00D62601" w:rsidRPr="003835AE" w:rsidRDefault="00D62601" w:rsidP="00D62601">
            <w:pPr>
              <w:spacing w:before="0" w:after="0"/>
              <w:jc w:val="center"/>
              <w:rPr>
                <w:rFonts w:ascii="Arial" w:hAnsi="Arial" w:cs="Arial"/>
                <w:color w:val="000000"/>
                <w:sz w:val="16"/>
                <w:szCs w:val="16"/>
                <w:lang w:val="en-AU" w:eastAsia="en-AU"/>
              </w:rPr>
            </w:pPr>
          </w:p>
        </w:tc>
        <w:tc>
          <w:tcPr>
            <w:tcW w:w="626" w:type="dxa"/>
            <w:tcBorders>
              <w:top w:val="nil"/>
              <w:left w:val="nil"/>
              <w:bottom w:val="single" w:sz="4" w:space="0" w:color="BFBFBF"/>
              <w:right w:val="single" w:sz="4" w:space="0" w:color="BFBFBF"/>
            </w:tcBorders>
            <w:shd w:val="clear" w:color="auto" w:fill="auto"/>
            <w:noWrap/>
            <w:vAlign w:val="center"/>
          </w:tcPr>
          <w:p w14:paraId="5C1E648B"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1504178B"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c>
          <w:tcPr>
            <w:tcW w:w="572" w:type="dxa"/>
            <w:tcBorders>
              <w:top w:val="nil"/>
              <w:left w:val="nil"/>
              <w:bottom w:val="single" w:sz="4" w:space="0" w:color="BFBFBF"/>
              <w:right w:val="nil"/>
            </w:tcBorders>
            <w:shd w:val="clear" w:color="auto" w:fill="auto"/>
            <w:noWrap/>
            <w:vAlign w:val="center"/>
          </w:tcPr>
          <w:p w14:paraId="5907EA50"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c>
          <w:tcPr>
            <w:tcW w:w="626" w:type="dxa"/>
            <w:tcBorders>
              <w:top w:val="nil"/>
              <w:left w:val="single" w:sz="4" w:space="0" w:color="auto"/>
              <w:bottom w:val="single" w:sz="4" w:space="0" w:color="BFBFBF"/>
              <w:right w:val="single" w:sz="4" w:space="0" w:color="BFBFBF"/>
            </w:tcBorders>
            <w:shd w:val="clear" w:color="auto" w:fill="auto"/>
            <w:noWrap/>
          </w:tcPr>
          <w:p w14:paraId="1FB4EF75" w14:textId="77777777" w:rsidR="00D62601" w:rsidRPr="003835AE" w:rsidRDefault="00D62601" w:rsidP="00D62601">
            <w:pPr>
              <w:spacing w:before="0" w:after="0"/>
              <w:jc w:val="center"/>
              <w:rPr>
                <w:rFonts w:ascii="Arial" w:hAnsi="Arial" w:cs="Arial"/>
                <w:color w:val="000000"/>
                <w:sz w:val="16"/>
                <w:szCs w:val="16"/>
                <w:lang w:val="en-AU" w:eastAsia="en-AU"/>
              </w:rPr>
            </w:pPr>
          </w:p>
        </w:tc>
        <w:tc>
          <w:tcPr>
            <w:tcW w:w="626" w:type="dxa"/>
            <w:tcBorders>
              <w:top w:val="nil"/>
              <w:left w:val="nil"/>
              <w:bottom w:val="single" w:sz="4" w:space="0" w:color="BFBFBF"/>
              <w:right w:val="single" w:sz="4" w:space="0" w:color="BFBFBF"/>
            </w:tcBorders>
            <w:shd w:val="clear" w:color="auto" w:fill="auto"/>
            <w:noWrap/>
            <w:vAlign w:val="center"/>
          </w:tcPr>
          <w:p w14:paraId="7B5320A9"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3F18E656"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c>
          <w:tcPr>
            <w:tcW w:w="572" w:type="dxa"/>
            <w:tcBorders>
              <w:top w:val="nil"/>
              <w:left w:val="nil"/>
              <w:bottom w:val="single" w:sz="4" w:space="0" w:color="BFBFBF"/>
              <w:right w:val="single" w:sz="4" w:space="0" w:color="auto"/>
            </w:tcBorders>
            <w:shd w:val="clear" w:color="auto" w:fill="auto"/>
            <w:noWrap/>
            <w:vAlign w:val="center"/>
          </w:tcPr>
          <w:p w14:paraId="39493D4C"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tcPr>
          <w:p w14:paraId="49C14E19" w14:textId="77777777" w:rsidR="00D62601" w:rsidRPr="003835AE" w:rsidRDefault="00D62601" w:rsidP="00D62601">
            <w:pPr>
              <w:spacing w:before="0" w:after="0"/>
              <w:jc w:val="center"/>
              <w:rPr>
                <w:rFonts w:ascii="Arial" w:hAnsi="Arial" w:cs="Arial"/>
                <w:color w:val="000000"/>
                <w:sz w:val="16"/>
                <w:szCs w:val="16"/>
                <w:lang w:val="en-AU" w:eastAsia="en-AU"/>
              </w:rPr>
            </w:pPr>
          </w:p>
        </w:tc>
        <w:tc>
          <w:tcPr>
            <w:tcW w:w="572" w:type="dxa"/>
            <w:tcBorders>
              <w:top w:val="nil"/>
              <w:left w:val="nil"/>
              <w:bottom w:val="single" w:sz="4" w:space="0" w:color="BFBFBF"/>
              <w:right w:val="single" w:sz="4" w:space="0" w:color="BFBFBF"/>
            </w:tcBorders>
            <w:shd w:val="clear" w:color="auto" w:fill="auto"/>
            <w:noWrap/>
            <w:vAlign w:val="center"/>
          </w:tcPr>
          <w:p w14:paraId="17DDE57C"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36B975B4"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c>
          <w:tcPr>
            <w:tcW w:w="572" w:type="dxa"/>
            <w:tcBorders>
              <w:top w:val="nil"/>
              <w:left w:val="nil"/>
              <w:bottom w:val="single" w:sz="4" w:space="0" w:color="BFBFBF"/>
              <w:right w:val="double" w:sz="6" w:space="0" w:color="auto"/>
            </w:tcBorders>
            <w:shd w:val="clear" w:color="auto" w:fill="auto"/>
            <w:noWrap/>
            <w:vAlign w:val="center"/>
          </w:tcPr>
          <w:p w14:paraId="03E541F3" w14:textId="77777777" w:rsidR="00D62601" w:rsidRPr="003835AE" w:rsidRDefault="00D62601" w:rsidP="00744DC0">
            <w:pPr>
              <w:spacing w:before="0" w:after="0"/>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 </w:t>
            </w:r>
          </w:p>
        </w:tc>
      </w:tr>
      <w:tr w:rsidR="00A872AD" w:rsidRPr="003835AE" w14:paraId="4BFE9F73"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17FB50E1"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Hume Moreland</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1F5A8748" w14:textId="77777777" w:rsidR="00A872AD" w:rsidRDefault="00A872AD" w:rsidP="00162EF6">
            <w:pPr>
              <w:contextualSpacing/>
              <w:jc w:val="center"/>
              <w:rPr>
                <w:rFonts w:ascii="Arial" w:hAnsi="Arial" w:cs="Arial"/>
                <w:sz w:val="16"/>
                <w:szCs w:val="16"/>
              </w:rPr>
            </w:pPr>
            <w:r>
              <w:rPr>
                <w:rFonts w:ascii="Arial" w:hAnsi="Arial" w:cs="Arial"/>
                <w:sz w:val="16"/>
                <w:szCs w:val="16"/>
              </w:rPr>
              <w:t>100%</w:t>
            </w:r>
          </w:p>
        </w:tc>
        <w:tc>
          <w:tcPr>
            <w:tcW w:w="572" w:type="dxa"/>
            <w:tcBorders>
              <w:top w:val="nil"/>
              <w:left w:val="nil"/>
              <w:bottom w:val="single" w:sz="4" w:space="0" w:color="BFBFBF"/>
              <w:right w:val="single" w:sz="4" w:space="0" w:color="BFBFBF"/>
            </w:tcBorders>
            <w:shd w:val="clear" w:color="auto" w:fill="auto"/>
            <w:noWrap/>
            <w:vAlign w:val="center"/>
          </w:tcPr>
          <w:p w14:paraId="6F0489D4"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C287E7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58880C78" w14:textId="77777777" w:rsidR="00A872AD" w:rsidRDefault="00A872AD" w:rsidP="00162EF6">
            <w:pPr>
              <w:contextualSpacing/>
              <w:jc w:val="center"/>
              <w:rPr>
                <w:rFonts w:ascii="Arial" w:hAnsi="Arial" w:cs="Arial"/>
                <w:sz w:val="16"/>
                <w:szCs w:val="16"/>
              </w:rPr>
            </w:pPr>
            <w:r>
              <w:rPr>
                <w:rFonts w:ascii="Arial" w:hAnsi="Arial" w:cs="Arial"/>
                <w:sz w:val="16"/>
                <w:szCs w:val="16"/>
              </w:rPr>
              <w:t>-</w:t>
            </w:r>
          </w:p>
        </w:tc>
        <w:tc>
          <w:tcPr>
            <w:tcW w:w="626" w:type="dxa"/>
            <w:tcBorders>
              <w:top w:val="nil"/>
              <w:left w:val="nil"/>
              <w:bottom w:val="single" w:sz="4" w:space="0" w:color="BFBFBF"/>
              <w:right w:val="single" w:sz="4" w:space="0" w:color="BFBFBF"/>
            </w:tcBorders>
            <w:shd w:val="clear" w:color="auto" w:fill="auto"/>
            <w:noWrap/>
            <w:vAlign w:val="center"/>
          </w:tcPr>
          <w:p w14:paraId="765339B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w:t>
            </w:r>
          </w:p>
        </w:tc>
        <w:tc>
          <w:tcPr>
            <w:tcW w:w="626" w:type="dxa"/>
            <w:tcBorders>
              <w:top w:val="nil"/>
              <w:left w:val="nil"/>
              <w:bottom w:val="single" w:sz="4" w:space="0" w:color="BFBFBF"/>
              <w:right w:val="single" w:sz="4" w:space="0" w:color="BFBFBF"/>
            </w:tcBorders>
            <w:shd w:val="clear" w:color="auto" w:fill="auto"/>
            <w:noWrap/>
            <w:vAlign w:val="center"/>
          </w:tcPr>
          <w:p w14:paraId="71DB52A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05FE39F8"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0502913A"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4E89FF0A" w14:textId="77777777" w:rsidR="00A872AD" w:rsidRDefault="00A872AD" w:rsidP="00162EF6">
            <w:pPr>
              <w:contextualSpacing/>
              <w:jc w:val="center"/>
              <w:rPr>
                <w:rFonts w:ascii="Arial" w:hAnsi="Arial" w:cs="Arial"/>
                <w:sz w:val="16"/>
                <w:szCs w:val="16"/>
              </w:rPr>
            </w:pPr>
            <w:r>
              <w:rPr>
                <w:rFonts w:ascii="Arial" w:hAnsi="Arial" w:cs="Arial"/>
                <w:sz w:val="16"/>
                <w:szCs w:val="16"/>
              </w:rPr>
              <w:t>100%</w:t>
            </w:r>
          </w:p>
        </w:tc>
        <w:tc>
          <w:tcPr>
            <w:tcW w:w="626" w:type="dxa"/>
            <w:tcBorders>
              <w:top w:val="nil"/>
              <w:left w:val="nil"/>
              <w:bottom w:val="single" w:sz="4" w:space="0" w:color="BFBFBF"/>
              <w:right w:val="single" w:sz="4" w:space="0" w:color="BFBFBF"/>
            </w:tcBorders>
            <w:shd w:val="clear" w:color="auto" w:fill="auto"/>
            <w:noWrap/>
            <w:vAlign w:val="center"/>
          </w:tcPr>
          <w:p w14:paraId="1F09F97A"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CB484C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1457914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7E6C29D9" w14:textId="77777777" w:rsidR="00A872AD" w:rsidRDefault="00A872AD" w:rsidP="00162EF6">
            <w:pPr>
              <w:contextualSpacing/>
              <w:jc w:val="center"/>
              <w:rPr>
                <w:rFonts w:ascii="Arial" w:hAnsi="Arial" w:cs="Arial"/>
                <w:sz w:val="16"/>
                <w:szCs w:val="16"/>
              </w:rPr>
            </w:pPr>
            <w:r>
              <w:rPr>
                <w:rFonts w:ascii="Arial" w:hAnsi="Arial" w:cs="Arial"/>
                <w:sz w:val="16"/>
                <w:szCs w:val="16"/>
              </w:rPr>
              <w:t>-</w:t>
            </w:r>
          </w:p>
        </w:tc>
        <w:tc>
          <w:tcPr>
            <w:tcW w:w="572" w:type="dxa"/>
            <w:tcBorders>
              <w:top w:val="nil"/>
              <w:left w:val="nil"/>
              <w:bottom w:val="single" w:sz="4" w:space="0" w:color="BFBFBF"/>
              <w:right w:val="single" w:sz="4" w:space="0" w:color="BFBFBF"/>
            </w:tcBorders>
            <w:shd w:val="clear" w:color="auto" w:fill="auto"/>
            <w:noWrap/>
            <w:vAlign w:val="center"/>
          </w:tcPr>
          <w:p w14:paraId="168E75BA"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724718D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2C90D9C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5DE6E7DC"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0237CC8F"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North Eastern Melbourne</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31AF2BE5" w14:textId="77777777" w:rsidR="00A872AD" w:rsidRDefault="00A872AD" w:rsidP="00162EF6">
            <w:pPr>
              <w:contextualSpacing/>
              <w:jc w:val="center"/>
              <w:rPr>
                <w:rFonts w:ascii="Arial" w:hAnsi="Arial" w:cs="Arial"/>
                <w:sz w:val="16"/>
                <w:szCs w:val="16"/>
              </w:rPr>
            </w:pPr>
            <w:r>
              <w:rPr>
                <w:rFonts w:ascii="Arial" w:hAnsi="Arial" w:cs="Arial"/>
                <w:sz w:val="16"/>
                <w:szCs w:val="16"/>
              </w:rPr>
              <w:t>94%</w:t>
            </w:r>
          </w:p>
        </w:tc>
        <w:tc>
          <w:tcPr>
            <w:tcW w:w="572" w:type="dxa"/>
            <w:tcBorders>
              <w:top w:val="nil"/>
              <w:left w:val="nil"/>
              <w:bottom w:val="single" w:sz="4" w:space="0" w:color="BFBFBF"/>
              <w:right w:val="single" w:sz="4" w:space="0" w:color="BFBFBF"/>
            </w:tcBorders>
            <w:shd w:val="clear" w:color="auto" w:fill="auto"/>
            <w:noWrap/>
            <w:vAlign w:val="center"/>
          </w:tcPr>
          <w:p w14:paraId="2833AE8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1BB8D0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731EBF93" w14:textId="77777777" w:rsidR="00A872AD" w:rsidRDefault="00A872AD" w:rsidP="00162EF6">
            <w:pPr>
              <w:contextualSpacing/>
              <w:jc w:val="center"/>
              <w:rPr>
                <w:rFonts w:ascii="Arial" w:hAnsi="Arial" w:cs="Arial"/>
                <w:sz w:val="16"/>
                <w:szCs w:val="16"/>
              </w:rPr>
            </w:pPr>
            <w:r>
              <w:rPr>
                <w:rFonts w:ascii="Arial" w:hAnsi="Arial" w:cs="Arial"/>
                <w:sz w:val="16"/>
                <w:szCs w:val="16"/>
              </w:rPr>
              <w:t>1%</w:t>
            </w:r>
          </w:p>
        </w:tc>
        <w:tc>
          <w:tcPr>
            <w:tcW w:w="626" w:type="dxa"/>
            <w:tcBorders>
              <w:top w:val="nil"/>
              <w:left w:val="nil"/>
              <w:bottom w:val="single" w:sz="4" w:space="0" w:color="BFBFBF"/>
              <w:right w:val="single" w:sz="4" w:space="0" w:color="BFBFBF"/>
            </w:tcBorders>
            <w:shd w:val="clear" w:color="auto" w:fill="auto"/>
            <w:noWrap/>
            <w:vAlign w:val="center"/>
          </w:tcPr>
          <w:p w14:paraId="7DA86FC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5%</w:t>
            </w:r>
          </w:p>
        </w:tc>
        <w:tc>
          <w:tcPr>
            <w:tcW w:w="626" w:type="dxa"/>
            <w:tcBorders>
              <w:top w:val="nil"/>
              <w:left w:val="nil"/>
              <w:bottom w:val="single" w:sz="4" w:space="0" w:color="BFBFBF"/>
              <w:right w:val="single" w:sz="4" w:space="0" w:color="BFBFBF"/>
            </w:tcBorders>
            <w:shd w:val="clear" w:color="auto" w:fill="auto"/>
            <w:noWrap/>
            <w:vAlign w:val="center"/>
          </w:tcPr>
          <w:p w14:paraId="41D4E50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F643A1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6315E67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5A382A97" w14:textId="77777777" w:rsidR="00A872AD" w:rsidRDefault="00A872AD" w:rsidP="00162EF6">
            <w:pPr>
              <w:contextualSpacing/>
              <w:jc w:val="center"/>
              <w:rPr>
                <w:rFonts w:ascii="Arial" w:hAnsi="Arial" w:cs="Arial"/>
                <w:sz w:val="16"/>
                <w:szCs w:val="16"/>
              </w:rPr>
            </w:pPr>
            <w:r>
              <w:rPr>
                <w:rFonts w:ascii="Arial" w:hAnsi="Arial" w:cs="Arial"/>
                <w:sz w:val="16"/>
                <w:szCs w:val="16"/>
              </w:rPr>
              <w:t>96%</w:t>
            </w:r>
          </w:p>
        </w:tc>
        <w:tc>
          <w:tcPr>
            <w:tcW w:w="626" w:type="dxa"/>
            <w:tcBorders>
              <w:top w:val="nil"/>
              <w:left w:val="nil"/>
              <w:bottom w:val="single" w:sz="4" w:space="0" w:color="BFBFBF"/>
              <w:right w:val="single" w:sz="4" w:space="0" w:color="BFBFBF"/>
            </w:tcBorders>
            <w:shd w:val="clear" w:color="auto" w:fill="auto"/>
            <w:noWrap/>
            <w:vAlign w:val="center"/>
          </w:tcPr>
          <w:p w14:paraId="37C6D340"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1A30368"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45C69FB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FEA481B" w14:textId="77777777" w:rsidR="00A872AD" w:rsidRDefault="00A872AD" w:rsidP="00162EF6">
            <w:pPr>
              <w:contextualSpacing/>
              <w:jc w:val="center"/>
              <w:rPr>
                <w:rFonts w:ascii="Arial" w:hAnsi="Arial" w:cs="Arial"/>
                <w:sz w:val="16"/>
                <w:szCs w:val="16"/>
              </w:rPr>
            </w:pPr>
            <w:r>
              <w:rPr>
                <w:rFonts w:ascii="Arial" w:hAnsi="Arial" w:cs="Arial"/>
                <w:sz w:val="16"/>
                <w:szCs w:val="16"/>
              </w:rPr>
              <w:t>4%</w:t>
            </w:r>
          </w:p>
        </w:tc>
        <w:tc>
          <w:tcPr>
            <w:tcW w:w="572" w:type="dxa"/>
            <w:tcBorders>
              <w:top w:val="nil"/>
              <w:left w:val="nil"/>
              <w:bottom w:val="single" w:sz="4" w:space="0" w:color="BFBFBF"/>
              <w:right w:val="single" w:sz="4" w:space="0" w:color="BFBFBF"/>
            </w:tcBorders>
            <w:shd w:val="clear" w:color="auto" w:fill="auto"/>
            <w:noWrap/>
            <w:vAlign w:val="center"/>
          </w:tcPr>
          <w:p w14:paraId="09DD341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062408A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2F6C041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32C490F0"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7E59D183"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 xml:space="preserve">Outer </w:t>
            </w:r>
            <w:smartTag w:uri="urn:schemas-microsoft-com:office:smarttags" w:element="place">
              <w:r w:rsidRPr="003835AE">
                <w:rPr>
                  <w:rFonts w:ascii="Arial" w:hAnsi="Arial" w:cs="Arial"/>
                  <w:color w:val="000000"/>
                  <w:sz w:val="16"/>
                  <w:szCs w:val="16"/>
                  <w:lang w:val="en-AU" w:eastAsia="en-AU"/>
                </w:rPr>
                <w:t>Eastern Melbourne</w:t>
              </w:r>
            </w:smartTag>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56C792B0" w14:textId="77777777" w:rsidR="00A872AD" w:rsidRDefault="00A872AD" w:rsidP="00162EF6">
            <w:pPr>
              <w:contextualSpacing/>
              <w:jc w:val="center"/>
              <w:rPr>
                <w:rFonts w:ascii="Arial" w:hAnsi="Arial" w:cs="Arial"/>
                <w:sz w:val="16"/>
                <w:szCs w:val="16"/>
              </w:rPr>
            </w:pPr>
            <w:r>
              <w:rPr>
                <w:rFonts w:ascii="Arial" w:hAnsi="Arial" w:cs="Arial"/>
                <w:sz w:val="16"/>
                <w:szCs w:val="16"/>
              </w:rPr>
              <w:t>97%</w:t>
            </w:r>
          </w:p>
        </w:tc>
        <w:tc>
          <w:tcPr>
            <w:tcW w:w="572" w:type="dxa"/>
            <w:tcBorders>
              <w:top w:val="nil"/>
              <w:left w:val="nil"/>
              <w:bottom w:val="single" w:sz="4" w:space="0" w:color="BFBFBF"/>
              <w:right w:val="single" w:sz="4" w:space="0" w:color="BFBFBF"/>
            </w:tcBorders>
            <w:shd w:val="clear" w:color="auto" w:fill="auto"/>
            <w:noWrap/>
            <w:vAlign w:val="center"/>
          </w:tcPr>
          <w:p w14:paraId="41534CC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33B4EB7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3EB95200" w14:textId="77777777" w:rsidR="00A872AD" w:rsidRDefault="00A872AD" w:rsidP="00162EF6">
            <w:pPr>
              <w:contextualSpacing/>
              <w:jc w:val="center"/>
              <w:rPr>
                <w:rFonts w:ascii="Arial" w:hAnsi="Arial" w:cs="Arial"/>
                <w:sz w:val="16"/>
                <w:szCs w:val="16"/>
              </w:rPr>
            </w:pPr>
            <w:r>
              <w:rPr>
                <w:rFonts w:ascii="Arial" w:hAnsi="Arial" w:cs="Arial"/>
                <w:sz w:val="16"/>
                <w:szCs w:val="16"/>
              </w:rPr>
              <w:t>0%</w:t>
            </w:r>
          </w:p>
        </w:tc>
        <w:tc>
          <w:tcPr>
            <w:tcW w:w="626" w:type="dxa"/>
            <w:tcBorders>
              <w:top w:val="nil"/>
              <w:left w:val="nil"/>
              <w:bottom w:val="single" w:sz="4" w:space="0" w:color="BFBFBF"/>
              <w:right w:val="single" w:sz="4" w:space="0" w:color="BFBFBF"/>
            </w:tcBorders>
            <w:shd w:val="clear" w:color="auto" w:fill="auto"/>
            <w:noWrap/>
            <w:vAlign w:val="center"/>
          </w:tcPr>
          <w:p w14:paraId="668B9ED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3%</w:t>
            </w:r>
          </w:p>
        </w:tc>
        <w:tc>
          <w:tcPr>
            <w:tcW w:w="626" w:type="dxa"/>
            <w:tcBorders>
              <w:top w:val="nil"/>
              <w:left w:val="nil"/>
              <w:bottom w:val="single" w:sz="4" w:space="0" w:color="BFBFBF"/>
              <w:right w:val="single" w:sz="4" w:space="0" w:color="BFBFBF"/>
            </w:tcBorders>
            <w:shd w:val="clear" w:color="auto" w:fill="auto"/>
            <w:noWrap/>
            <w:vAlign w:val="center"/>
          </w:tcPr>
          <w:p w14:paraId="1558A97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0569350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3023693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59883480" w14:textId="77777777" w:rsidR="00A872AD" w:rsidRDefault="00A872AD" w:rsidP="00162EF6">
            <w:pPr>
              <w:contextualSpacing/>
              <w:jc w:val="center"/>
              <w:rPr>
                <w:rFonts w:ascii="Arial" w:hAnsi="Arial" w:cs="Arial"/>
                <w:sz w:val="16"/>
                <w:szCs w:val="16"/>
              </w:rPr>
            </w:pPr>
            <w:r>
              <w:rPr>
                <w:rFonts w:ascii="Arial" w:hAnsi="Arial" w:cs="Arial"/>
                <w:sz w:val="16"/>
                <w:szCs w:val="16"/>
              </w:rPr>
              <w:t>97%</w:t>
            </w:r>
          </w:p>
        </w:tc>
        <w:tc>
          <w:tcPr>
            <w:tcW w:w="626" w:type="dxa"/>
            <w:tcBorders>
              <w:top w:val="nil"/>
              <w:left w:val="nil"/>
              <w:bottom w:val="single" w:sz="4" w:space="0" w:color="BFBFBF"/>
              <w:right w:val="single" w:sz="4" w:space="0" w:color="BFBFBF"/>
            </w:tcBorders>
            <w:shd w:val="clear" w:color="auto" w:fill="auto"/>
            <w:noWrap/>
            <w:vAlign w:val="center"/>
          </w:tcPr>
          <w:p w14:paraId="5953045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0D96DE4"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1059B53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C89122F" w14:textId="77777777" w:rsidR="00A872AD" w:rsidRDefault="00A872AD" w:rsidP="00162EF6">
            <w:pPr>
              <w:contextualSpacing/>
              <w:jc w:val="center"/>
              <w:rPr>
                <w:rFonts w:ascii="Arial" w:hAnsi="Arial" w:cs="Arial"/>
                <w:sz w:val="16"/>
                <w:szCs w:val="16"/>
              </w:rPr>
            </w:pPr>
            <w:r>
              <w:rPr>
                <w:rFonts w:ascii="Arial" w:hAnsi="Arial" w:cs="Arial"/>
                <w:sz w:val="16"/>
                <w:szCs w:val="16"/>
              </w:rPr>
              <w:t>3%</w:t>
            </w:r>
          </w:p>
        </w:tc>
        <w:tc>
          <w:tcPr>
            <w:tcW w:w="572" w:type="dxa"/>
            <w:tcBorders>
              <w:top w:val="nil"/>
              <w:left w:val="nil"/>
              <w:bottom w:val="single" w:sz="4" w:space="0" w:color="BFBFBF"/>
              <w:right w:val="single" w:sz="4" w:space="0" w:color="BFBFBF"/>
            </w:tcBorders>
            <w:shd w:val="clear" w:color="auto" w:fill="auto"/>
            <w:noWrap/>
            <w:vAlign w:val="center"/>
          </w:tcPr>
          <w:p w14:paraId="118B78C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2EA6479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3C15FE2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27A6185F"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39F90E72"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 xml:space="preserve">Inner </w:t>
            </w:r>
            <w:smartTag w:uri="urn:schemas-microsoft-com:office:smarttags" w:element="place">
              <w:r w:rsidRPr="003835AE">
                <w:rPr>
                  <w:rFonts w:ascii="Arial" w:hAnsi="Arial" w:cs="Arial"/>
                  <w:color w:val="000000"/>
                  <w:sz w:val="16"/>
                  <w:szCs w:val="16"/>
                  <w:lang w:val="en-AU" w:eastAsia="en-AU"/>
                </w:rPr>
                <w:t>Eastern Melbourne</w:t>
              </w:r>
            </w:smartTag>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22ABFB4A" w14:textId="77777777" w:rsidR="00A872AD" w:rsidRDefault="00A872AD" w:rsidP="00162EF6">
            <w:pPr>
              <w:contextualSpacing/>
              <w:jc w:val="center"/>
              <w:rPr>
                <w:rFonts w:ascii="Arial" w:hAnsi="Arial" w:cs="Arial"/>
                <w:sz w:val="16"/>
                <w:szCs w:val="16"/>
              </w:rPr>
            </w:pPr>
            <w:r>
              <w:rPr>
                <w:rFonts w:ascii="Arial" w:hAnsi="Arial" w:cs="Arial"/>
                <w:sz w:val="16"/>
                <w:szCs w:val="16"/>
              </w:rPr>
              <w:t>96%</w:t>
            </w:r>
          </w:p>
        </w:tc>
        <w:tc>
          <w:tcPr>
            <w:tcW w:w="572" w:type="dxa"/>
            <w:tcBorders>
              <w:top w:val="nil"/>
              <w:left w:val="nil"/>
              <w:bottom w:val="single" w:sz="4" w:space="0" w:color="BFBFBF"/>
              <w:right w:val="single" w:sz="4" w:space="0" w:color="BFBFBF"/>
            </w:tcBorders>
            <w:shd w:val="clear" w:color="auto" w:fill="auto"/>
            <w:noWrap/>
            <w:vAlign w:val="center"/>
          </w:tcPr>
          <w:p w14:paraId="3AD4117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74AFA67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119172E8" w14:textId="77777777" w:rsidR="00A872AD" w:rsidRDefault="00A872AD" w:rsidP="00162EF6">
            <w:pPr>
              <w:contextualSpacing/>
              <w:jc w:val="center"/>
              <w:rPr>
                <w:rFonts w:ascii="Arial" w:hAnsi="Arial" w:cs="Arial"/>
                <w:sz w:val="16"/>
                <w:szCs w:val="16"/>
              </w:rPr>
            </w:pPr>
            <w:r>
              <w:rPr>
                <w:rFonts w:ascii="Arial" w:hAnsi="Arial" w:cs="Arial"/>
                <w:sz w:val="16"/>
                <w:szCs w:val="16"/>
              </w:rPr>
              <w:t>1%</w:t>
            </w:r>
          </w:p>
        </w:tc>
        <w:tc>
          <w:tcPr>
            <w:tcW w:w="626" w:type="dxa"/>
            <w:tcBorders>
              <w:top w:val="nil"/>
              <w:left w:val="nil"/>
              <w:bottom w:val="single" w:sz="4" w:space="0" w:color="BFBFBF"/>
              <w:right w:val="single" w:sz="4" w:space="0" w:color="BFBFBF"/>
            </w:tcBorders>
            <w:shd w:val="clear" w:color="auto" w:fill="auto"/>
            <w:noWrap/>
            <w:vAlign w:val="center"/>
          </w:tcPr>
          <w:p w14:paraId="13F1DBC4"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3%</w:t>
            </w:r>
          </w:p>
        </w:tc>
        <w:tc>
          <w:tcPr>
            <w:tcW w:w="626" w:type="dxa"/>
            <w:tcBorders>
              <w:top w:val="nil"/>
              <w:left w:val="nil"/>
              <w:bottom w:val="single" w:sz="4" w:space="0" w:color="BFBFBF"/>
              <w:right w:val="single" w:sz="4" w:space="0" w:color="BFBFBF"/>
            </w:tcBorders>
            <w:shd w:val="clear" w:color="auto" w:fill="auto"/>
            <w:noWrap/>
            <w:vAlign w:val="center"/>
          </w:tcPr>
          <w:p w14:paraId="4088AB7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627F0F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5553242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719F5E8F" w14:textId="77777777" w:rsidR="00A872AD" w:rsidRDefault="00A872AD" w:rsidP="00162EF6">
            <w:pPr>
              <w:contextualSpacing/>
              <w:jc w:val="center"/>
              <w:rPr>
                <w:rFonts w:ascii="Arial" w:hAnsi="Arial" w:cs="Arial"/>
                <w:sz w:val="16"/>
                <w:szCs w:val="16"/>
              </w:rPr>
            </w:pPr>
            <w:r>
              <w:rPr>
                <w:rFonts w:ascii="Arial" w:hAnsi="Arial" w:cs="Arial"/>
                <w:sz w:val="16"/>
                <w:szCs w:val="16"/>
              </w:rPr>
              <w:t>96%</w:t>
            </w:r>
          </w:p>
        </w:tc>
        <w:tc>
          <w:tcPr>
            <w:tcW w:w="626" w:type="dxa"/>
            <w:tcBorders>
              <w:top w:val="nil"/>
              <w:left w:val="nil"/>
              <w:bottom w:val="single" w:sz="4" w:space="0" w:color="BFBFBF"/>
              <w:right w:val="single" w:sz="4" w:space="0" w:color="BFBFBF"/>
            </w:tcBorders>
            <w:shd w:val="clear" w:color="auto" w:fill="auto"/>
            <w:noWrap/>
            <w:vAlign w:val="center"/>
          </w:tcPr>
          <w:p w14:paraId="09FB8518"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12DA7F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1F92463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99C7363" w14:textId="77777777" w:rsidR="00A872AD" w:rsidRDefault="00A872AD" w:rsidP="00162EF6">
            <w:pPr>
              <w:contextualSpacing/>
              <w:jc w:val="center"/>
              <w:rPr>
                <w:rFonts w:ascii="Arial" w:hAnsi="Arial" w:cs="Arial"/>
                <w:sz w:val="16"/>
                <w:szCs w:val="16"/>
              </w:rPr>
            </w:pPr>
            <w:r>
              <w:rPr>
                <w:rFonts w:ascii="Arial" w:hAnsi="Arial" w:cs="Arial"/>
                <w:sz w:val="16"/>
                <w:szCs w:val="16"/>
              </w:rPr>
              <w:t>4%</w:t>
            </w:r>
          </w:p>
        </w:tc>
        <w:tc>
          <w:tcPr>
            <w:tcW w:w="572" w:type="dxa"/>
            <w:tcBorders>
              <w:top w:val="nil"/>
              <w:left w:val="nil"/>
              <w:bottom w:val="single" w:sz="4" w:space="0" w:color="BFBFBF"/>
              <w:right w:val="single" w:sz="4" w:space="0" w:color="BFBFBF"/>
            </w:tcBorders>
            <w:shd w:val="clear" w:color="auto" w:fill="auto"/>
            <w:noWrap/>
            <w:vAlign w:val="center"/>
          </w:tcPr>
          <w:p w14:paraId="12037AC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2A89E7A8"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0788D6D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43F5E3F0"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2A01C570"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smartTag w:uri="urn:schemas-microsoft-com:office:smarttags" w:element="place">
              <w:r w:rsidRPr="003835AE">
                <w:rPr>
                  <w:rFonts w:ascii="Arial" w:hAnsi="Arial" w:cs="Arial"/>
                  <w:color w:val="000000"/>
                  <w:sz w:val="16"/>
                  <w:szCs w:val="16"/>
                  <w:lang w:val="en-AU" w:eastAsia="en-AU"/>
                </w:rPr>
                <w:t>Southern Melbourne</w:t>
              </w:r>
            </w:smartTag>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210013C2" w14:textId="77777777" w:rsidR="00A872AD" w:rsidRDefault="00A872AD" w:rsidP="00162EF6">
            <w:pPr>
              <w:contextualSpacing/>
              <w:jc w:val="center"/>
              <w:rPr>
                <w:rFonts w:ascii="Arial" w:hAnsi="Arial" w:cs="Arial"/>
                <w:sz w:val="16"/>
                <w:szCs w:val="16"/>
              </w:rPr>
            </w:pPr>
            <w:r>
              <w:rPr>
                <w:rFonts w:ascii="Arial" w:hAnsi="Arial" w:cs="Arial"/>
                <w:sz w:val="16"/>
                <w:szCs w:val="16"/>
              </w:rPr>
              <w:t>89%</w:t>
            </w:r>
          </w:p>
        </w:tc>
        <w:tc>
          <w:tcPr>
            <w:tcW w:w="572" w:type="dxa"/>
            <w:tcBorders>
              <w:top w:val="nil"/>
              <w:left w:val="nil"/>
              <w:bottom w:val="single" w:sz="4" w:space="0" w:color="BFBFBF"/>
              <w:right w:val="single" w:sz="4" w:space="0" w:color="BFBFBF"/>
            </w:tcBorders>
            <w:shd w:val="clear" w:color="auto" w:fill="auto"/>
            <w:noWrap/>
            <w:vAlign w:val="center"/>
          </w:tcPr>
          <w:p w14:paraId="1B02CA8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5214B3A"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794FDF43" w14:textId="77777777" w:rsidR="00A872AD" w:rsidRDefault="00A872AD" w:rsidP="00162EF6">
            <w:pPr>
              <w:contextualSpacing/>
              <w:jc w:val="center"/>
              <w:rPr>
                <w:rFonts w:ascii="Arial" w:hAnsi="Arial" w:cs="Arial"/>
                <w:sz w:val="16"/>
                <w:szCs w:val="16"/>
              </w:rPr>
            </w:pPr>
            <w:r>
              <w:rPr>
                <w:rFonts w:ascii="Arial" w:hAnsi="Arial" w:cs="Arial"/>
                <w:sz w:val="16"/>
                <w:szCs w:val="16"/>
              </w:rPr>
              <w:t>5%</w:t>
            </w:r>
          </w:p>
        </w:tc>
        <w:tc>
          <w:tcPr>
            <w:tcW w:w="626" w:type="dxa"/>
            <w:tcBorders>
              <w:top w:val="nil"/>
              <w:left w:val="nil"/>
              <w:bottom w:val="single" w:sz="4" w:space="0" w:color="BFBFBF"/>
              <w:right w:val="single" w:sz="4" w:space="0" w:color="BFBFBF"/>
            </w:tcBorders>
            <w:shd w:val="clear" w:color="auto" w:fill="auto"/>
            <w:noWrap/>
            <w:vAlign w:val="center"/>
          </w:tcPr>
          <w:p w14:paraId="0834FC76"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7%</w:t>
            </w:r>
          </w:p>
        </w:tc>
        <w:tc>
          <w:tcPr>
            <w:tcW w:w="626" w:type="dxa"/>
            <w:tcBorders>
              <w:top w:val="nil"/>
              <w:left w:val="nil"/>
              <w:bottom w:val="single" w:sz="4" w:space="0" w:color="BFBFBF"/>
              <w:right w:val="single" w:sz="4" w:space="0" w:color="BFBFBF"/>
            </w:tcBorders>
            <w:shd w:val="clear" w:color="auto" w:fill="auto"/>
            <w:noWrap/>
            <w:vAlign w:val="center"/>
          </w:tcPr>
          <w:p w14:paraId="73C5FCBA"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0D7D5ED0"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1DAB132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470989FE" w14:textId="77777777" w:rsidR="00A872AD" w:rsidRDefault="00A872AD" w:rsidP="00162EF6">
            <w:pPr>
              <w:contextualSpacing/>
              <w:jc w:val="center"/>
              <w:rPr>
                <w:rFonts w:ascii="Arial" w:hAnsi="Arial" w:cs="Arial"/>
                <w:sz w:val="16"/>
                <w:szCs w:val="16"/>
              </w:rPr>
            </w:pPr>
            <w:r>
              <w:rPr>
                <w:rFonts w:ascii="Arial" w:hAnsi="Arial" w:cs="Arial"/>
                <w:sz w:val="16"/>
                <w:szCs w:val="16"/>
              </w:rPr>
              <w:t>93%</w:t>
            </w:r>
          </w:p>
        </w:tc>
        <w:tc>
          <w:tcPr>
            <w:tcW w:w="626" w:type="dxa"/>
            <w:tcBorders>
              <w:top w:val="nil"/>
              <w:left w:val="nil"/>
              <w:bottom w:val="single" w:sz="4" w:space="0" w:color="BFBFBF"/>
              <w:right w:val="single" w:sz="4" w:space="0" w:color="BFBFBF"/>
            </w:tcBorders>
            <w:shd w:val="clear" w:color="auto" w:fill="auto"/>
            <w:noWrap/>
            <w:vAlign w:val="center"/>
          </w:tcPr>
          <w:p w14:paraId="53FFA72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1BD0AE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1C589B3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0E4819AD" w14:textId="77777777" w:rsidR="00A872AD" w:rsidRDefault="00A872AD" w:rsidP="00162EF6">
            <w:pPr>
              <w:contextualSpacing/>
              <w:jc w:val="center"/>
              <w:rPr>
                <w:rFonts w:ascii="Arial" w:hAnsi="Arial" w:cs="Arial"/>
                <w:sz w:val="16"/>
                <w:szCs w:val="16"/>
              </w:rPr>
            </w:pPr>
            <w:r>
              <w:rPr>
                <w:rFonts w:ascii="Arial" w:hAnsi="Arial" w:cs="Arial"/>
                <w:sz w:val="16"/>
                <w:szCs w:val="16"/>
              </w:rPr>
              <w:t>7%</w:t>
            </w:r>
          </w:p>
        </w:tc>
        <w:tc>
          <w:tcPr>
            <w:tcW w:w="572" w:type="dxa"/>
            <w:tcBorders>
              <w:top w:val="nil"/>
              <w:left w:val="nil"/>
              <w:bottom w:val="single" w:sz="4" w:space="0" w:color="BFBFBF"/>
              <w:right w:val="single" w:sz="4" w:space="0" w:color="BFBFBF"/>
            </w:tcBorders>
            <w:shd w:val="clear" w:color="auto" w:fill="auto"/>
            <w:noWrap/>
            <w:vAlign w:val="center"/>
          </w:tcPr>
          <w:p w14:paraId="7F0DC34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E08AAC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3D8C21B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5B3610D0"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4B363718"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Bayside</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79EC6370" w14:textId="77777777" w:rsidR="00A872AD" w:rsidRDefault="00A872AD" w:rsidP="00162EF6">
            <w:pPr>
              <w:contextualSpacing/>
              <w:jc w:val="center"/>
              <w:rPr>
                <w:rFonts w:ascii="Arial" w:hAnsi="Arial" w:cs="Arial"/>
                <w:sz w:val="16"/>
                <w:szCs w:val="16"/>
              </w:rPr>
            </w:pPr>
            <w:r>
              <w:rPr>
                <w:rFonts w:ascii="Arial" w:hAnsi="Arial" w:cs="Arial"/>
                <w:sz w:val="16"/>
                <w:szCs w:val="16"/>
              </w:rPr>
              <w:t>92%</w:t>
            </w:r>
          </w:p>
        </w:tc>
        <w:tc>
          <w:tcPr>
            <w:tcW w:w="572" w:type="dxa"/>
            <w:tcBorders>
              <w:top w:val="nil"/>
              <w:left w:val="nil"/>
              <w:bottom w:val="single" w:sz="4" w:space="0" w:color="BFBFBF"/>
              <w:right w:val="single" w:sz="4" w:space="0" w:color="BFBFBF"/>
            </w:tcBorders>
            <w:shd w:val="clear" w:color="auto" w:fill="auto"/>
            <w:noWrap/>
            <w:vAlign w:val="center"/>
          </w:tcPr>
          <w:p w14:paraId="7CAFCA14"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7EE84DF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3104ABF7" w14:textId="77777777" w:rsidR="00A872AD" w:rsidRDefault="00A872AD" w:rsidP="00162EF6">
            <w:pPr>
              <w:contextualSpacing/>
              <w:jc w:val="center"/>
              <w:rPr>
                <w:rFonts w:ascii="Arial" w:hAnsi="Arial" w:cs="Arial"/>
                <w:sz w:val="16"/>
                <w:szCs w:val="16"/>
              </w:rPr>
            </w:pPr>
            <w:r>
              <w:rPr>
                <w:rFonts w:ascii="Arial" w:hAnsi="Arial" w:cs="Arial"/>
                <w:sz w:val="16"/>
                <w:szCs w:val="16"/>
              </w:rPr>
              <w:t>0%</w:t>
            </w:r>
          </w:p>
        </w:tc>
        <w:tc>
          <w:tcPr>
            <w:tcW w:w="626" w:type="dxa"/>
            <w:tcBorders>
              <w:top w:val="nil"/>
              <w:left w:val="nil"/>
              <w:bottom w:val="single" w:sz="4" w:space="0" w:color="BFBFBF"/>
              <w:right w:val="single" w:sz="4" w:space="0" w:color="BFBFBF"/>
            </w:tcBorders>
            <w:shd w:val="clear" w:color="auto" w:fill="auto"/>
            <w:noWrap/>
            <w:vAlign w:val="center"/>
          </w:tcPr>
          <w:p w14:paraId="1B460078"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4%</w:t>
            </w:r>
          </w:p>
        </w:tc>
        <w:tc>
          <w:tcPr>
            <w:tcW w:w="626" w:type="dxa"/>
            <w:tcBorders>
              <w:top w:val="nil"/>
              <w:left w:val="nil"/>
              <w:bottom w:val="single" w:sz="4" w:space="0" w:color="BFBFBF"/>
              <w:right w:val="single" w:sz="4" w:space="0" w:color="BFBFBF"/>
            </w:tcBorders>
            <w:shd w:val="clear" w:color="auto" w:fill="auto"/>
            <w:noWrap/>
            <w:vAlign w:val="center"/>
          </w:tcPr>
          <w:p w14:paraId="678CB7F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C7B27D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3BB384F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7101FF14" w14:textId="77777777" w:rsidR="00A872AD" w:rsidRDefault="00A872AD" w:rsidP="00162EF6">
            <w:pPr>
              <w:contextualSpacing/>
              <w:jc w:val="center"/>
              <w:rPr>
                <w:rFonts w:ascii="Arial" w:hAnsi="Arial" w:cs="Arial"/>
                <w:sz w:val="16"/>
                <w:szCs w:val="16"/>
              </w:rPr>
            </w:pPr>
            <w:r>
              <w:rPr>
                <w:rFonts w:ascii="Arial" w:hAnsi="Arial" w:cs="Arial"/>
                <w:sz w:val="16"/>
                <w:szCs w:val="16"/>
              </w:rPr>
              <w:t>93%</w:t>
            </w:r>
          </w:p>
        </w:tc>
        <w:tc>
          <w:tcPr>
            <w:tcW w:w="626" w:type="dxa"/>
            <w:tcBorders>
              <w:top w:val="nil"/>
              <w:left w:val="nil"/>
              <w:bottom w:val="single" w:sz="4" w:space="0" w:color="BFBFBF"/>
              <w:right w:val="single" w:sz="4" w:space="0" w:color="BFBFBF"/>
            </w:tcBorders>
            <w:shd w:val="clear" w:color="auto" w:fill="auto"/>
            <w:noWrap/>
            <w:vAlign w:val="center"/>
          </w:tcPr>
          <w:p w14:paraId="74A3974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2F05AA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19D3D334"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E5A2D62" w14:textId="77777777" w:rsidR="00A872AD" w:rsidRDefault="00A872AD" w:rsidP="00162EF6">
            <w:pPr>
              <w:contextualSpacing/>
              <w:jc w:val="center"/>
              <w:rPr>
                <w:rFonts w:ascii="Arial" w:hAnsi="Arial" w:cs="Arial"/>
                <w:sz w:val="16"/>
                <w:szCs w:val="16"/>
              </w:rPr>
            </w:pPr>
            <w:r>
              <w:rPr>
                <w:rFonts w:ascii="Arial" w:hAnsi="Arial" w:cs="Arial"/>
                <w:sz w:val="16"/>
                <w:szCs w:val="16"/>
              </w:rPr>
              <w:t>7%</w:t>
            </w:r>
          </w:p>
        </w:tc>
        <w:tc>
          <w:tcPr>
            <w:tcW w:w="572" w:type="dxa"/>
            <w:tcBorders>
              <w:top w:val="nil"/>
              <w:left w:val="nil"/>
              <w:bottom w:val="single" w:sz="4" w:space="0" w:color="BFBFBF"/>
              <w:right w:val="single" w:sz="4" w:space="0" w:color="BFBFBF"/>
            </w:tcBorders>
            <w:shd w:val="clear" w:color="auto" w:fill="auto"/>
            <w:noWrap/>
            <w:vAlign w:val="center"/>
          </w:tcPr>
          <w:p w14:paraId="148BEAF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6C28C0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0083CC0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2CCD155D"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442FDC39"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smartTag w:uri="urn:schemas-microsoft-com:office:smarttags" w:element="place">
              <w:r w:rsidRPr="003835AE">
                <w:rPr>
                  <w:rFonts w:ascii="Arial" w:hAnsi="Arial" w:cs="Arial"/>
                  <w:color w:val="000000"/>
                  <w:sz w:val="16"/>
                  <w:szCs w:val="16"/>
                  <w:lang w:val="en-AU" w:eastAsia="en-AU"/>
                </w:rPr>
                <w:t>Western Melbourne</w:t>
              </w:r>
            </w:smartTag>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7B2041C8" w14:textId="77777777" w:rsidR="00A872AD" w:rsidRDefault="00A872AD" w:rsidP="00162EF6">
            <w:pPr>
              <w:contextualSpacing/>
              <w:jc w:val="center"/>
              <w:rPr>
                <w:rFonts w:ascii="Arial" w:hAnsi="Arial" w:cs="Arial"/>
                <w:sz w:val="16"/>
                <w:szCs w:val="16"/>
              </w:rPr>
            </w:pPr>
            <w:r>
              <w:rPr>
                <w:rFonts w:ascii="Arial" w:hAnsi="Arial" w:cs="Arial"/>
                <w:sz w:val="16"/>
                <w:szCs w:val="16"/>
              </w:rPr>
              <w:t>92%</w:t>
            </w:r>
          </w:p>
        </w:tc>
        <w:tc>
          <w:tcPr>
            <w:tcW w:w="572" w:type="dxa"/>
            <w:tcBorders>
              <w:top w:val="nil"/>
              <w:left w:val="nil"/>
              <w:bottom w:val="single" w:sz="4" w:space="0" w:color="BFBFBF"/>
              <w:right w:val="single" w:sz="4" w:space="0" w:color="BFBFBF"/>
            </w:tcBorders>
            <w:shd w:val="clear" w:color="auto" w:fill="auto"/>
            <w:noWrap/>
            <w:vAlign w:val="center"/>
          </w:tcPr>
          <w:p w14:paraId="1F88960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5EFAA6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66695642" w14:textId="77777777" w:rsidR="00A872AD" w:rsidRDefault="00A872AD" w:rsidP="00162EF6">
            <w:pPr>
              <w:contextualSpacing/>
              <w:jc w:val="center"/>
              <w:rPr>
                <w:rFonts w:ascii="Arial" w:hAnsi="Arial" w:cs="Arial"/>
                <w:sz w:val="16"/>
                <w:szCs w:val="16"/>
              </w:rPr>
            </w:pPr>
            <w:r>
              <w:rPr>
                <w:rFonts w:ascii="Arial" w:hAnsi="Arial" w:cs="Arial"/>
                <w:sz w:val="16"/>
                <w:szCs w:val="16"/>
              </w:rPr>
              <w:t>2%</w:t>
            </w:r>
          </w:p>
        </w:tc>
        <w:tc>
          <w:tcPr>
            <w:tcW w:w="626" w:type="dxa"/>
            <w:tcBorders>
              <w:top w:val="nil"/>
              <w:left w:val="nil"/>
              <w:bottom w:val="single" w:sz="4" w:space="0" w:color="BFBFBF"/>
              <w:right w:val="single" w:sz="4" w:space="0" w:color="BFBFBF"/>
            </w:tcBorders>
            <w:shd w:val="clear" w:color="auto" w:fill="auto"/>
            <w:noWrap/>
            <w:vAlign w:val="center"/>
          </w:tcPr>
          <w:p w14:paraId="721F133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6%</w:t>
            </w:r>
          </w:p>
        </w:tc>
        <w:tc>
          <w:tcPr>
            <w:tcW w:w="626" w:type="dxa"/>
            <w:tcBorders>
              <w:top w:val="nil"/>
              <w:left w:val="nil"/>
              <w:bottom w:val="single" w:sz="4" w:space="0" w:color="BFBFBF"/>
              <w:right w:val="single" w:sz="4" w:space="0" w:color="BFBFBF"/>
            </w:tcBorders>
            <w:shd w:val="clear" w:color="auto" w:fill="auto"/>
            <w:noWrap/>
            <w:vAlign w:val="center"/>
          </w:tcPr>
          <w:p w14:paraId="2D302A40"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2BD19F0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23CDEDB0"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2E244A3C" w14:textId="77777777" w:rsidR="00A872AD" w:rsidRDefault="00A872AD" w:rsidP="00162EF6">
            <w:pPr>
              <w:contextualSpacing/>
              <w:jc w:val="center"/>
              <w:rPr>
                <w:rFonts w:ascii="Arial" w:hAnsi="Arial" w:cs="Arial"/>
                <w:sz w:val="16"/>
                <w:szCs w:val="16"/>
              </w:rPr>
            </w:pPr>
            <w:r>
              <w:rPr>
                <w:rFonts w:ascii="Arial" w:hAnsi="Arial" w:cs="Arial"/>
                <w:sz w:val="16"/>
                <w:szCs w:val="16"/>
              </w:rPr>
              <w:t>94%</w:t>
            </w:r>
          </w:p>
        </w:tc>
        <w:tc>
          <w:tcPr>
            <w:tcW w:w="626" w:type="dxa"/>
            <w:tcBorders>
              <w:top w:val="nil"/>
              <w:left w:val="nil"/>
              <w:bottom w:val="single" w:sz="4" w:space="0" w:color="BFBFBF"/>
              <w:right w:val="single" w:sz="4" w:space="0" w:color="BFBFBF"/>
            </w:tcBorders>
            <w:shd w:val="clear" w:color="auto" w:fill="auto"/>
            <w:noWrap/>
            <w:vAlign w:val="center"/>
          </w:tcPr>
          <w:p w14:paraId="4140BCB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B944E9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33979A5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A0A0C3F" w14:textId="77777777" w:rsidR="00A872AD" w:rsidRDefault="00A872AD" w:rsidP="00162EF6">
            <w:pPr>
              <w:contextualSpacing/>
              <w:jc w:val="center"/>
              <w:rPr>
                <w:rFonts w:ascii="Arial" w:hAnsi="Arial" w:cs="Arial"/>
                <w:sz w:val="16"/>
                <w:szCs w:val="16"/>
              </w:rPr>
            </w:pPr>
            <w:r>
              <w:rPr>
                <w:rFonts w:ascii="Arial" w:hAnsi="Arial" w:cs="Arial"/>
                <w:sz w:val="16"/>
                <w:szCs w:val="16"/>
              </w:rPr>
              <w:t>6%</w:t>
            </w:r>
          </w:p>
        </w:tc>
        <w:tc>
          <w:tcPr>
            <w:tcW w:w="572" w:type="dxa"/>
            <w:tcBorders>
              <w:top w:val="nil"/>
              <w:left w:val="nil"/>
              <w:bottom w:val="single" w:sz="4" w:space="0" w:color="BFBFBF"/>
              <w:right w:val="single" w:sz="4" w:space="0" w:color="BFBFBF"/>
            </w:tcBorders>
            <w:shd w:val="clear" w:color="auto" w:fill="auto"/>
            <w:noWrap/>
            <w:vAlign w:val="center"/>
          </w:tcPr>
          <w:p w14:paraId="4E84AFA4"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3530FDA"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3493FFE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568E8EEC"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52B95F76"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Brimbank Melton</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2C900111" w14:textId="77777777" w:rsidR="00A872AD" w:rsidRDefault="00A872AD" w:rsidP="00162EF6">
            <w:pPr>
              <w:contextualSpacing/>
              <w:jc w:val="center"/>
              <w:rPr>
                <w:rFonts w:ascii="Arial" w:hAnsi="Arial" w:cs="Arial"/>
                <w:sz w:val="16"/>
                <w:szCs w:val="16"/>
              </w:rPr>
            </w:pPr>
            <w:r>
              <w:rPr>
                <w:rFonts w:ascii="Arial" w:hAnsi="Arial" w:cs="Arial"/>
                <w:sz w:val="16"/>
                <w:szCs w:val="16"/>
              </w:rPr>
              <w:t>95%</w:t>
            </w:r>
          </w:p>
        </w:tc>
        <w:tc>
          <w:tcPr>
            <w:tcW w:w="572" w:type="dxa"/>
            <w:tcBorders>
              <w:top w:val="nil"/>
              <w:left w:val="nil"/>
              <w:bottom w:val="single" w:sz="4" w:space="0" w:color="BFBFBF"/>
              <w:right w:val="single" w:sz="4" w:space="0" w:color="BFBFBF"/>
            </w:tcBorders>
            <w:shd w:val="clear" w:color="auto" w:fill="auto"/>
            <w:noWrap/>
            <w:vAlign w:val="center"/>
          </w:tcPr>
          <w:p w14:paraId="2B85C2C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58EA28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0BFD6159" w14:textId="77777777" w:rsidR="00A872AD" w:rsidRDefault="00A872AD" w:rsidP="00162EF6">
            <w:pPr>
              <w:contextualSpacing/>
              <w:jc w:val="center"/>
              <w:rPr>
                <w:rFonts w:ascii="Arial" w:hAnsi="Arial" w:cs="Arial"/>
                <w:sz w:val="16"/>
                <w:szCs w:val="16"/>
              </w:rPr>
            </w:pPr>
            <w:r>
              <w:rPr>
                <w:rFonts w:ascii="Arial" w:hAnsi="Arial" w:cs="Arial"/>
                <w:sz w:val="16"/>
                <w:szCs w:val="16"/>
              </w:rPr>
              <w:t>-</w:t>
            </w:r>
          </w:p>
        </w:tc>
        <w:tc>
          <w:tcPr>
            <w:tcW w:w="626" w:type="dxa"/>
            <w:tcBorders>
              <w:top w:val="nil"/>
              <w:left w:val="nil"/>
              <w:bottom w:val="single" w:sz="4" w:space="0" w:color="BFBFBF"/>
              <w:right w:val="single" w:sz="4" w:space="0" w:color="BFBFBF"/>
            </w:tcBorders>
            <w:shd w:val="clear" w:color="auto" w:fill="auto"/>
            <w:noWrap/>
            <w:vAlign w:val="center"/>
          </w:tcPr>
          <w:p w14:paraId="128C3A1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w:t>
            </w:r>
          </w:p>
        </w:tc>
        <w:tc>
          <w:tcPr>
            <w:tcW w:w="626" w:type="dxa"/>
            <w:tcBorders>
              <w:top w:val="nil"/>
              <w:left w:val="nil"/>
              <w:bottom w:val="single" w:sz="4" w:space="0" w:color="BFBFBF"/>
              <w:right w:val="single" w:sz="4" w:space="0" w:color="BFBFBF"/>
            </w:tcBorders>
            <w:shd w:val="clear" w:color="auto" w:fill="auto"/>
            <w:noWrap/>
            <w:vAlign w:val="center"/>
          </w:tcPr>
          <w:p w14:paraId="289C9AD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AEDA6F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2A2C132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77E861F6" w14:textId="77777777" w:rsidR="00A872AD" w:rsidRDefault="00A872AD" w:rsidP="00162EF6">
            <w:pPr>
              <w:contextualSpacing/>
              <w:jc w:val="center"/>
              <w:rPr>
                <w:rFonts w:ascii="Arial" w:hAnsi="Arial" w:cs="Arial"/>
                <w:sz w:val="16"/>
                <w:szCs w:val="16"/>
              </w:rPr>
            </w:pPr>
            <w:r>
              <w:rPr>
                <w:rFonts w:ascii="Arial" w:hAnsi="Arial" w:cs="Arial"/>
                <w:sz w:val="16"/>
                <w:szCs w:val="16"/>
              </w:rPr>
              <w:t>95%</w:t>
            </w:r>
          </w:p>
        </w:tc>
        <w:tc>
          <w:tcPr>
            <w:tcW w:w="626" w:type="dxa"/>
            <w:tcBorders>
              <w:top w:val="nil"/>
              <w:left w:val="nil"/>
              <w:bottom w:val="single" w:sz="4" w:space="0" w:color="BFBFBF"/>
              <w:right w:val="single" w:sz="4" w:space="0" w:color="BFBFBF"/>
            </w:tcBorders>
            <w:shd w:val="clear" w:color="auto" w:fill="auto"/>
            <w:noWrap/>
            <w:vAlign w:val="center"/>
          </w:tcPr>
          <w:p w14:paraId="2903188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76D1883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5F63087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75485B20" w14:textId="77777777" w:rsidR="00A872AD" w:rsidRDefault="00A872AD" w:rsidP="00162EF6">
            <w:pPr>
              <w:contextualSpacing/>
              <w:jc w:val="center"/>
              <w:rPr>
                <w:rFonts w:ascii="Arial" w:hAnsi="Arial" w:cs="Arial"/>
                <w:sz w:val="16"/>
                <w:szCs w:val="16"/>
              </w:rPr>
            </w:pPr>
            <w:r>
              <w:rPr>
                <w:rFonts w:ascii="Arial" w:hAnsi="Arial" w:cs="Arial"/>
                <w:sz w:val="16"/>
                <w:szCs w:val="16"/>
              </w:rPr>
              <w:t>5%</w:t>
            </w:r>
          </w:p>
        </w:tc>
        <w:tc>
          <w:tcPr>
            <w:tcW w:w="572" w:type="dxa"/>
            <w:tcBorders>
              <w:top w:val="nil"/>
              <w:left w:val="nil"/>
              <w:bottom w:val="single" w:sz="4" w:space="0" w:color="BFBFBF"/>
              <w:right w:val="single" w:sz="4" w:space="0" w:color="BFBFBF"/>
            </w:tcBorders>
            <w:shd w:val="clear" w:color="auto" w:fill="auto"/>
            <w:noWrap/>
            <w:vAlign w:val="center"/>
          </w:tcPr>
          <w:p w14:paraId="73DCC6A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77BE8B9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63FF5C8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34FA0059"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360DDDAF"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Mallee</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4CFE5645" w14:textId="77777777" w:rsidR="00A872AD" w:rsidRDefault="00A872AD" w:rsidP="00162EF6">
            <w:pPr>
              <w:contextualSpacing/>
              <w:jc w:val="center"/>
              <w:rPr>
                <w:rFonts w:ascii="Arial" w:hAnsi="Arial" w:cs="Arial"/>
                <w:sz w:val="16"/>
                <w:szCs w:val="16"/>
              </w:rPr>
            </w:pPr>
            <w:r>
              <w:rPr>
                <w:rFonts w:ascii="Arial" w:hAnsi="Arial" w:cs="Arial"/>
                <w:sz w:val="16"/>
                <w:szCs w:val="16"/>
              </w:rPr>
              <w:t>36%</w:t>
            </w:r>
          </w:p>
        </w:tc>
        <w:tc>
          <w:tcPr>
            <w:tcW w:w="572" w:type="dxa"/>
            <w:tcBorders>
              <w:top w:val="nil"/>
              <w:left w:val="nil"/>
              <w:bottom w:val="single" w:sz="4" w:space="0" w:color="BFBFBF"/>
              <w:right w:val="single" w:sz="4" w:space="0" w:color="BFBFBF"/>
            </w:tcBorders>
            <w:shd w:val="clear" w:color="auto" w:fill="auto"/>
            <w:noWrap/>
            <w:vAlign w:val="center"/>
          </w:tcPr>
          <w:p w14:paraId="54406AC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64D731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2444290C" w14:textId="77777777" w:rsidR="00A872AD" w:rsidRDefault="00A872AD" w:rsidP="00162EF6">
            <w:pPr>
              <w:contextualSpacing/>
              <w:jc w:val="center"/>
              <w:rPr>
                <w:rFonts w:ascii="Arial" w:hAnsi="Arial" w:cs="Arial"/>
                <w:sz w:val="16"/>
                <w:szCs w:val="16"/>
              </w:rPr>
            </w:pPr>
            <w:r>
              <w:rPr>
                <w:rFonts w:ascii="Arial" w:hAnsi="Arial" w:cs="Arial"/>
                <w:sz w:val="16"/>
                <w:szCs w:val="16"/>
              </w:rPr>
              <w:t>17%</w:t>
            </w:r>
          </w:p>
        </w:tc>
        <w:tc>
          <w:tcPr>
            <w:tcW w:w="626" w:type="dxa"/>
            <w:tcBorders>
              <w:top w:val="nil"/>
              <w:left w:val="nil"/>
              <w:bottom w:val="single" w:sz="4" w:space="0" w:color="BFBFBF"/>
              <w:right w:val="single" w:sz="4" w:space="0" w:color="BFBFBF"/>
            </w:tcBorders>
            <w:shd w:val="clear" w:color="auto" w:fill="auto"/>
            <w:noWrap/>
            <w:vAlign w:val="center"/>
          </w:tcPr>
          <w:p w14:paraId="65E76AFA"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20%</w:t>
            </w:r>
          </w:p>
        </w:tc>
        <w:tc>
          <w:tcPr>
            <w:tcW w:w="626" w:type="dxa"/>
            <w:tcBorders>
              <w:top w:val="nil"/>
              <w:left w:val="nil"/>
              <w:bottom w:val="single" w:sz="4" w:space="0" w:color="BFBFBF"/>
              <w:right w:val="single" w:sz="4" w:space="0" w:color="BFBFBF"/>
            </w:tcBorders>
            <w:shd w:val="clear" w:color="auto" w:fill="auto"/>
            <w:noWrap/>
            <w:vAlign w:val="center"/>
          </w:tcPr>
          <w:p w14:paraId="79FFECC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A2CA1E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4D4D147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2117978A" w14:textId="77777777" w:rsidR="00A872AD" w:rsidRDefault="00A872AD" w:rsidP="00162EF6">
            <w:pPr>
              <w:contextualSpacing/>
              <w:jc w:val="center"/>
              <w:rPr>
                <w:rFonts w:ascii="Arial" w:hAnsi="Arial" w:cs="Arial"/>
                <w:sz w:val="16"/>
                <w:szCs w:val="16"/>
              </w:rPr>
            </w:pPr>
            <w:r>
              <w:rPr>
                <w:rFonts w:ascii="Arial" w:hAnsi="Arial" w:cs="Arial"/>
                <w:sz w:val="16"/>
                <w:szCs w:val="16"/>
              </w:rPr>
              <w:t>54%</w:t>
            </w:r>
          </w:p>
        </w:tc>
        <w:tc>
          <w:tcPr>
            <w:tcW w:w="626" w:type="dxa"/>
            <w:tcBorders>
              <w:top w:val="nil"/>
              <w:left w:val="nil"/>
              <w:bottom w:val="single" w:sz="4" w:space="0" w:color="BFBFBF"/>
              <w:right w:val="single" w:sz="4" w:space="0" w:color="BFBFBF"/>
            </w:tcBorders>
            <w:shd w:val="clear" w:color="auto" w:fill="auto"/>
            <w:noWrap/>
            <w:vAlign w:val="center"/>
          </w:tcPr>
          <w:p w14:paraId="211D4F58"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7C799E0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60AFB806"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0339D6A" w14:textId="77777777" w:rsidR="00A872AD" w:rsidRDefault="00A872AD" w:rsidP="00162EF6">
            <w:pPr>
              <w:contextualSpacing/>
              <w:jc w:val="center"/>
              <w:rPr>
                <w:rFonts w:ascii="Arial" w:hAnsi="Arial" w:cs="Arial"/>
                <w:sz w:val="16"/>
                <w:szCs w:val="16"/>
              </w:rPr>
            </w:pPr>
            <w:r>
              <w:rPr>
                <w:rFonts w:ascii="Arial" w:hAnsi="Arial" w:cs="Arial"/>
                <w:sz w:val="16"/>
                <w:szCs w:val="16"/>
              </w:rPr>
              <w:t>46%</w:t>
            </w:r>
          </w:p>
        </w:tc>
        <w:tc>
          <w:tcPr>
            <w:tcW w:w="572" w:type="dxa"/>
            <w:tcBorders>
              <w:top w:val="nil"/>
              <w:left w:val="nil"/>
              <w:bottom w:val="single" w:sz="4" w:space="0" w:color="BFBFBF"/>
              <w:right w:val="single" w:sz="4" w:space="0" w:color="BFBFBF"/>
            </w:tcBorders>
            <w:shd w:val="clear" w:color="auto" w:fill="auto"/>
            <w:noWrap/>
            <w:vAlign w:val="center"/>
          </w:tcPr>
          <w:p w14:paraId="672AC02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E1B61E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2B88AA4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044BDBCA"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75EC2EE5"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Loddon</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00CFFBDC" w14:textId="77777777" w:rsidR="00A872AD" w:rsidRDefault="00A872AD" w:rsidP="00162EF6">
            <w:pPr>
              <w:contextualSpacing/>
              <w:jc w:val="center"/>
              <w:rPr>
                <w:rFonts w:ascii="Arial" w:hAnsi="Arial" w:cs="Arial"/>
                <w:sz w:val="16"/>
                <w:szCs w:val="16"/>
              </w:rPr>
            </w:pPr>
            <w:r>
              <w:rPr>
                <w:rFonts w:ascii="Arial" w:hAnsi="Arial" w:cs="Arial"/>
                <w:sz w:val="16"/>
                <w:szCs w:val="16"/>
              </w:rPr>
              <w:t>69%</w:t>
            </w:r>
          </w:p>
        </w:tc>
        <w:tc>
          <w:tcPr>
            <w:tcW w:w="572" w:type="dxa"/>
            <w:tcBorders>
              <w:top w:val="nil"/>
              <w:left w:val="nil"/>
              <w:bottom w:val="single" w:sz="4" w:space="0" w:color="BFBFBF"/>
              <w:right w:val="single" w:sz="4" w:space="0" w:color="BFBFBF"/>
            </w:tcBorders>
            <w:shd w:val="clear" w:color="auto" w:fill="auto"/>
            <w:noWrap/>
            <w:vAlign w:val="center"/>
          </w:tcPr>
          <w:p w14:paraId="45FDD35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35A218E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26A17EB4" w14:textId="77777777" w:rsidR="00A872AD" w:rsidRDefault="00A872AD" w:rsidP="00162EF6">
            <w:pPr>
              <w:contextualSpacing/>
              <w:jc w:val="center"/>
              <w:rPr>
                <w:rFonts w:ascii="Arial" w:hAnsi="Arial" w:cs="Arial"/>
                <w:sz w:val="16"/>
                <w:szCs w:val="16"/>
              </w:rPr>
            </w:pPr>
            <w:r>
              <w:rPr>
                <w:rFonts w:ascii="Arial" w:hAnsi="Arial" w:cs="Arial"/>
                <w:sz w:val="16"/>
                <w:szCs w:val="16"/>
              </w:rPr>
              <w:t>9%</w:t>
            </w:r>
          </w:p>
        </w:tc>
        <w:tc>
          <w:tcPr>
            <w:tcW w:w="626" w:type="dxa"/>
            <w:tcBorders>
              <w:top w:val="nil"/>
              <w:left w:val="nil"/>
              <w:bottom w:val="single" w:sz="4" w:space="0" w:color="BFBFBF"/>
              <w:right w:val="single" w:sz="4" w:space="0" w:color="BFBFBF"/>
            </w:tcBorders>
            <w:shd w:val="clear" w:color="auto" w:fill="auto"/>
            <w:noWrap/>
            <w:vAlign w:val="center"/>
          </w:tcPr>
          <w:p w14:paraId="1C8688B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14%</w:t>
            </w:r>
          </w:p>
        </w:tc>
        <w:tc>
          <w:tcPr>
            <w:tcW w:w="626" w:type="dxa"/>
            <w:tcBorders>
              <w:top w:val="nil"/>
              <w:left w:val="nil"/>
              <w:bottom w:val="single" w:sz="4" w:space="0" w:color="BFBFBF"/>
              <w:right w:val="single" w:sz="4" w:space="0" w:color="BFBFBF"/>
            </w:tcBorders>
            <w:shd w:val="clear" w:color="auto" w:fill="auto"/>
            <w:noWrap/>
            <w:vAlign w:val="center"/>
          </w:tcPr>
          <w:p w14:paraId="7038DA8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0256B40"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46906538"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2C87EF8F" w14:textId="77777777" w:rsidR="00A872AD" w:rsidRDefault="00A872AD" w:rsidP="00162EF6">
            <w:pPr>
              <w:contextualSpacing/>
              <w:jc w:val="center"/>
              <w:rPr>
                <w:rFonts w:ascii="Arial" w:hAnsi="Arial" w:cs="Arial"/>
                <w:sz w:val="16"/>
                <w:szCs w:val="16"/>
              </w:rPr>
            </w:pPr>
            <w:r>
              <w:rPr>
                <w:rFonts w:ascii="Arial" w:hAnsi="Arial" w:cs="Arial"/>
                <w:sz w:val="16"/>
                <w:szCs w:val="16"/>
              </w:rPr>
              <w:t>78%</w:t>
            </w:r>
          </w:p>
        </w:tc>
        <w:tc>
          <w:tcPr>
            <w:tcW w:w="626" w:type="dxa"/>
            <w:tcBorders>
              <w:top w:val="nil"/>
              <w:left w:val="nil"/>
              <w:bottom w:val="single" w:sz="4" w:space="0" w:color="BFBFBF"/>
              <w:right w:val="single" w:sz="4" w:space="0" w:color="BFBFBF"/>
            </w:tcBorders>
            <w:shd w:val="clear" w:color="auto" w:fill="auto"/>
            <w:noWrap/>
            <w:vAlign w:val="center"/>
          </w:tcPr>
          <w:p w14:paraId="75FE0F1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2E961D3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4FEC30A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331471A8" w14:textId="77777777" w:rsidR="00A872AD" w:rsidRDefault="00A872AD" w:rsidP="00162EF6">
            <w:pPr>
              <w:contextualSpacing/>
              <w:jc w:val="center"/>
              <w:rPr>
                <w:rFonts w:ascii="Arial" w:hAnsi="Arial" w:cs="Arial"/>
                <w:sz w:val="16"/>
                <w:szCs w:val="16"/>
              </w:rPr>
            </w:pPr>
            <w:r>
              <w:rPr>
                <w:rFonts w:ascii="Arial" w:hAnsi="Arial" w:cs="Arial"/>
                <w:sz w:val="16"/>
                <w:szCs w:val="16"/>
              </w:rPr>
              <w:t>22%</w:t>
            </w:r>
          </w:p>
        </w:tc>
        <w:tc>
          <w:tcPr>
            <w:tcW w:w="572" w:type="dxa"/>
            <w:tcBorders>
              <w:top w:val="nil"/>
              <w:left w:val="nil"/>
              <w:bottom w:val="single" w:sz="4" w:space="0" w:color="BFBFBF"/>
              <w:right w:val="single" w:sz="4" w:space="0" w:color="BFBFBF"/>
            </w:tcBorders>
            <w:shd w:val="clear" w:color="auto" w:fill="auto"/>
            <w:noWrap/>
            <w:vAlign w:val="center"/>
          </w:tcPr>
          <w:p w14:paraId="325909D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CDAF504"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16F65C9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31DC3E03"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6D3B854F"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3835AE">
                  <w:rPr>
                    <w:rFonts w:ascii="Arial" w:hAnsi="Arial" w:cs="Arial"/>
                    <w:color w:val="000000"/>
                    <w:sz w:val="16"/>
                    <w:szCs w:val="16"/>
                    <w:lang w:val="en-AU" w:eastAsia="en-AU"/>
                  </w:rPr>
                  <w:t>Murray</w:t>
                </w:r>
              </w:smartTag>
            </w:smartTag>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1F7618FE" w14:textId="77777777" w:rsidR="00A872AD" w:rsidRDefault="00A872AD" w:rsidP="00162EF6">
            <w:pPr>
              <w:contextualSpacing/>
              <w:jc w:val="center"/>
              <w:rPr>
                <w:rFonts w:ascii="Arial" w:hAnsi="Arial" w:cs="Arial"/>
                <w:sz w:val="16"/>
                <w:szCs w:val="16"/>
              </w:rPr>
            </w:pPr>
            <w:r>
              <w:rPr>
                <w:rFonts w:ascii="Arial" w:hAnsi="Arial" w:cs="Arial"/>
                <w:sz w:val="16"/>
                <w:szCs w:val="16"/>
              </w:rPr>
              <w:t>81%</w:t>
            </w:r>
          </w:p>
        </w:tc>
        <w:tc>
          <w:tcPr>
            <w:tcW w:w="572" w:type="dxa"/>
            <w:tcBorders>
              <w:top w:val="nil"/>
              <w:left w:val="nil"/>
              <w:bottom w:val="single" w:sz="4" w:space="0" w:color="BFBFBF"/>
              <w:right w:val="single" w:sz="4" w:space="0" w:color="BFBFBF"/>
            </w:tcBorders>
            <w:shd w:val="clear" w:color="auto" w:fill="auto"/>
            <w:noWrap/>
            <w:vAlign w:val="center"/>
          </w:tcPr>
          <w:p w14:paraId="10A99454"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4AC1C0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69BB22C2" w14:textId="77777777" w:rsidR="00A872AD" w:rsidRDefault="00A872AD" w:rsidP="00162EF6">
            <w:pPr>
              <w:contextualSpacing/>
              <w:jc w:val="center"/>
              <w:rPr>
                <w:rFonts w:ascii="Arial" w:hAnsi="Arial" w:cs="Arial"/>
                <w:sz w:val="16"/>
                <w:szCs w:val="16"/>
              </w:rPr>
            </w:pPr>
            <w:r>
              <w:rPr>
                <w:rFonts w:ascii="Arial" w:hAnsi="Arial" w:cs="Arial"/>
                <w:sz w:val="16"/>
                <w:szCs w:val="16"/>
              </w:rPr>
              <w:t>3%</w:t>
            </w:r>
          </w:p>
        </w:tc>
        <w:tc>
          <w:tcPr>
            <w:tcW w:w="626" w:type="dxa"/>
            <w:tcBorders>
              <w:top w:val="nil"/>
              <w:left w:val="nil"/>
              <w:bottom w:val="single" w:sz="4" w:space="0" w:color="BFBFBF"/>
              <w:right w:val="single" w:sz="4" w:space="0" w:color="BFBFBF"/>
            </w:tcBorders>
            <w:shd w:val="clear" w:color="auto" w:fill="auto"/>
            <w:noWrap/>
            <w:vAlign w:val="center"/>
          </w:tcPr>
          <w:p w14:paraId="4B3168D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w:t>
            </w:r>
          </w:p>
        </w:tc>
        <w:tc>
          <w:tcPr>
            <w:tcW w:w="626" w:type="dxa"/>
            <w:tcBorders>
              <w:top w:val="nil"/>
              <w:left w:val="nil"/>
              <w:bottom w:val="single" w:sz="4" w:space="0" w:color="BFBFBF"/>
              <w:right w:val="single" w:sz="4" w:space="0" w:color="BFBFBF"/>
            </w:tcBorders>
            <w:shd w:val="clear" w:color="auto" w:fill="auto"/>
            <w:noWrap/>
            <w:vAlign w:val="center"/>
          </w:tcPr>
          <w:p w14:paraId="4190877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0AA3F1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7E4250A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511D22EF" w14:textId="77777777" w:rsidR="00A872AD" w:rsidRDefault="00A872AD" w:rsidP="00162EF6">
            <w:pPr>
              <w:contextualSpacing/>
              <w:jc w:val="center"/>
              <w:rPr>
                <w:rFonts w:ascii="Arial" w:hAnsi="Arial" w:cs="Arial"/>
                <w:sz w:val="16"/>
                <w:szCs w:val="16"/>
              </w:rPr>
            </w:pPr>
            <w:r>
              <w:rPr>
                <w:rFonts w:ascii="Arial" w:hAnsi="Arial" w:cs="Arial"/>
                <w:sz w:val="16"/>
                <w:szCs w:val="16"/>
              </w:rPr>
              <w:t>84%</w:t>
            </w:r>
          </w:p>
        </w:tc>
        <w:tc>
          <w:tcPr>
            <w:tcW w:w="626" w:type="dxa"/>
            <w:tcBorders>
              <w:top w:val="nil"/>
              <w:left w:val="nil"/>
              <w:bottom w:val="single" w:sz="4" w:space="0" w:color="BFBFBF"/>
              <w:right w:val="single" w:sz="4" w:space="0" w:color="BFBFBF"/>
            </w:tcBorders>
            <w:shd w:val="clear" w:color="auto" w:fill="auto"/>
            <w:noWrap/>
            <w:vAlign w:val="center"/>
          </w:tcPr>
          <w:p w14:paraId="65D205D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537BD5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0668569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BCF262A" w14:textId="77777777" w:rsidR="00A872AD" w:rsidRDefault="00A872AD" w:rsidP="00162EF6">
            <w:pPr>
              <w:contextualSpacing/>
              <w:jc w:val="center"/>
              <w:rPr>
                <w:rFonts w:ascii="Arial" w:hAnsi="Arial" w:cs="Arial"/>
                <w:sz w:val="16"/>
                <w:szCs w:val="16"/>
              </w:rPr>
            </w:pPr>
            <w:r>
              <w:rPr>
                <w:rFonts w:ascii="Arial" w:hAnsi="Arial" w:cs="Arial"/>
                <w:sz w:val="16"/>
                <w:szCs w:val="16"/>
              </w:rPr>
              <w:t>16%</w:t>
            </w:r>
          </w:p>
        </w:tc>
        <w:tc>
          <w:tcPr>
            <w:tcW w:w="572" w:type="dxa"/>
            <w:tcBorders>
              <w:top w:val="nil"/>
              <w:left w:val="nil"/>
              <w:bottom w:val="single" w:sz="4" w:space="0" w:color="BFBFBF"/>
              <w:right w:val="single" w:sz="4" w:space="0" w:color="BFBFBF"/>
            </w:tcBorders>
            <w:shd w:val="clear" w:color="auto" w:fill="auto"/>
            <w:noWrap/>
            <w:vAlign w:val="center"/>
          </w:tcPr>
          <w:p w14:paraId="04F7F96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38274CF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56C07F30"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4B9536C5"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6943D04E"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Goulburn</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699B2AA8" w14:textId="77777777" w:rsidR="00A872AD" w:rsidRDefault="00A872AD" w:rsidP="00162EF6">
            <w:pPr>
              <w:contextualSpacing/>
              <w:jc w:val="center"/>
              <w:rPr>
                <w:rFonts w:ascii="Arial" w:hAnsi="Arial" w:cs="Arial"/>
                <w:sz w:val="16"/>
                <w:szCs w:val="16"/>
              </w:rPr>
            </w:pPr>
            <w:r>
              <w:rPr>
                <w:rFonts w:ascii="Arial" w:hAnsi="Arial" w:cs="Arial"/>
                <w:sz w:val="16"/>
                <w:szCs w:val="16"/>
              </w:rPr>
              <w:t>79%</w:t>
            </w:r>
          </w:p>
        </w:tc>
        <w:tc>
          <w:tcPr>
            <w:tcW w:w="572" w:type="dxa"/>
            <w:tcBorders>
              <w:top w:val="nil"/>
              <w:left w:val="nil"/>
              <w:bottom w:val="single" w:sz="4" w:space="0" w:color="BFBFBF"/>
              <w:right w:val="single" w:sz="4" w:space="0" w:color="BFBFBF"/>
            </w:tcBorders>
            <w:shd w:val="clear" w:color="auto" w:fill="auto"/>
            <w:noWrap/>
            <w:vAlign w:val="center"/>
          </w:tcPr>
          <w:p w14:paraId="00C0659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70055326"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1753D317" w14:textId="77777777" w:rsidR="00A872AD" w:rsidRDefault="00A872AD" w:rsidP="00162EF6">
            <w:pPr>
              <w:contextualSpacing/>
              <w:jc w:val="center"/>
              <w:rPr>
                <w:rFonts w:ascii="Arial" w:hAnsi="Arial" w:cs="Arial"/>
                <w:sz w:val="16"/>
                <w:szCs w:val="16"/>
              </w:rPr>
            </w:pPr>
            <w:r>
              <w:rPr>
                <w:rFonts w:ascii="Arial" w:hAnsi="Arial" w:cs="Arial"/>
                <w:sz w:val="16"/>
                <w:szCs w:val="16"/>
              </w:rPr>
              <w:t>9%</w:t>
            </w:r>
          </w:p>
        </w:tc>
        <w:tc>
          <w:tcPr>
            <w:tcW w:w="626" w:type="dxa"/>
            <w:tcBorders>
              <w:top w:val="nil"/>
              <w:left w:val="nil"/>
              <w:bottom w:val="single" w:sz="4" w:space="0" w:color="BFBFBF"/>
              <w:right w:val="single" w:sz="4" w:space="0" w:color="BFBFBF"/>
            </w:tcBorders>
            <w:shd w:val="clear" w:color="auto" w:fill="auto"/>
            <w:noWrap/>
            <w:vAlign w:val="center"/>
          </w:tcPr>
          <w:p w14:paraId="05D5E928"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w:t>
            </w:r>
          </w:p>
        </w:tc>
        <w:tc>
          <w:tcPr>
            <w:tcW w:w="626" w:type="dxa"/>
            <w:tcBorders>
              <w:top w:val="nil"/>
              <w:left w:val="nil"/>
              <w:bottom w:val="single" w:sz="4" w:space="0" w:color="BFBFBF"/>
              <w:right w:val="single" w:sz="4" w:space="0" w:color="BFBFBF"/>
            </w:tcBorders>
            <w:shd w:val="clear" w:color="auto" w:fill="auto"/>
            <w:noWrap/>
            <w:vAlign w:val="center"/>
          </w:tcPr>
          <w:p w14:paraId="7A5E682A"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2CEFBC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299E107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2FEB1CF2" w14:textId="77777777" w:rsidR="00A872AD" w:rsidRDefault="00A872AD" w:rsidP="00162EF6">
            <w:pPr>
              <w:contextualSpacing/>
              <w:jc w:val="center"/>
              <w:rPr>
                <w:rFonts w:ascii="Arial" w:hAnsi="Arial" w:cs="Arial"/>
                <w:sz w:val="16"/>
                <w:szCs w:val="16"/>
              </w:rPr>
            </w:pPr>
            <w:r>
              <w:rPr>
                <w:rFonts w:ascii="Arial" w:hAnsi="Arial" w:cs="Arial"/>
                <w:sz w:val="16"/>
                <w:szCs w:val="16"/>
              </w:rPr>
              <w:t>88%</w:t>
            </w:r>
          </w:p>
        </w:tc>
        <w:tc>
          <w:tcPr>
            <w:tcW w:w="626" w:type="dxa"/>
            <w:tcBorders>
              <w:top w:val="nil"/>
              <w:left w:val="nil"/>
              <w:bottom w:val="single" w:sz="4" w:space="0" w:color="BFBFBF"/>
              <w:right w:val="single" w:sz="4" w:space="0" w:color="BFBFBF"/>
            </w:tcBorders>
            <w:shd w:val="clear" w:color="auto" w:fill="auto"/>
            <w:noWrap/>
            <w:vAlign w:val="center"/>
          </w:tcPr>
          <w:p w14:paraId="69C236B8"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ABA23A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31F5E22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0F2E0DE" w14:textId="77777777" w:rsidR="00A872AD" w:rsidRDefault="00A872AD" w:rsidP="00162EF6">
            <w:pPr>
              <w:contextualSpacing/>
              <w:jc w:val="center"/>
              <w:rPr>
                <w:rFonts w:ascii="Arial" w:hAnsi="Arial" w:cs="Arial"/>
                <w:sz w:val="16"/>
                <w:szCs w:val="16"/>
              </w:rPr>
            </w:pPr>
            <w:r>
              <w:rPr>
                <w:rFonts w:ascii="Arial" w:hAnsi="Arial" w:cs="Arial"/>
                <w:sz w:val="16"/>
                <w:szCs w:val="16"/>
              </w:rPr>
              <w:t>12%</w:t>
            </w:r>
          </w:p>
        </w:tc>
        <w:tc>
          <w:tcPr>
            <w:tcW w:w="572" w:type="dxa"/>
            <w:tcBorders>
              <w:top w:val="nil"/>
              <w:left w:val="nil"/>
              <w:bottom w:val="single" w:sz="4" w:space="0" w:color="BFBFBF"/>
              <w:right w:val="single" w:sz="4" w:space="0" w:color="BFBFBF"/>
            </w:tcBorders>
            <w:shd w:val="clear" w:color="auto" w:fill="auto"/>
            <w:noWrap/>
            <w:vAlign w:val="center"/>
          </w:tcPr>
          <w:p w14:paraId="40A97C8A"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11B967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5A6764D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093A788A"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3662FE28"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Outer Gippsland</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0EBD0F2A" w14:textId="77777777" w:rsidR="00A872AD" w:rsidRDefault="00A872AD" w:rsidP="00162EF6">
            <w:pPr>
              <w:contextualSpacing/>
              <w:jc w:val="center"/>
              <w:rPr>
                <w:rFonts w:ascii="Arial" w:hAnsi="Arial" w:cs="Arial"/>
                <w:sz w:val="16"/>
                <w:szCs w:val="16"/>
              </w:rPr>
            </w:pPr>
            <w:r>
              <w:rPr>
                <w:rFonts w:ascii="Arial" w:hAnsi="Arial" w:cs="Arial"/>
                <w:sz w:val="16"/>
                <w:szCs w:val="16"/>
              </w:rPr>
              <w:t>34%</w:t>
            </w:r>
          </w:p>
        </w:tc>
        <w:tc>
          <w:tcPr>
            <w:tcW w:w="572" w:type="dxa"/>
            <w:tcBorders>
              <w:top w:val="nil"/>
              <w:left w:val="nil"/>
              <w:bottom w:val="single" w:sz="4" w:space="0" w:color="BFBFBF"/>
              <w:right w:val="single" w:sz="4" w:space="0" w:color="BFBFBF"/>
            </w:tcBorders>
            <w:shd w:val="clear" w:color="auto" w:fill="auto"/>
            <w:noWrap/>
            <w:vAlign w:val="center"/>
          </w:tcPr>
          <w:p w14:paraId="05FB6E7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9C890A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3E62724B" w14:textId="77777777" w:rsidR="00A872AD" w:rsidRDefault="00A872AD" w:rsidP="00162EF6">
            <w:pPr>
              <w:contextualSpacing/>
              <w:jc w:val="center"/>
              <w:rPr>
                <w:rFonts w:ascii="Arial" w:hAnsi="Arial" w:cs="Arial"/>
                <w:sz w:val="16"/>
                <w:szCs w:val="16"/>
              </w:rPr>
            </w:pPr>
            <w:r>
              <w:rPr>
                <w:rFonts w:ascii="Arial" w:hAnsi="Arial" w:cs="Arial"/>
                <w:sz w:val="16"/>
                <w:szCs w:val="16"/>
              </w:rPr>
              <w:t>24%</w:t>
            </w:r>
          </w:p>
        </w:tc>
        <w:tc>
          <w:tcPr>
            <w:tcW w:w="626" w:type="dxa"/>
            <w:tcBorders>
              <w:top w:val="nil"/>
              <w:left w:val="nil"/>
              <w:bottom w:val="single" w:sz="4" w:space="0" w:color="BFBFBF"/>
              <w:right w:val="single" w:sz="4" w:space="0" w:color="BFBFBF"/>
            </w:tcBorders>
            <w:shd w:val="clear" w:color="auto" w:fill="auto"/>
            <w:noWrap/>
            <w:vAlign w:val="center"/>
          </w:tcPr>
          <w:p w14:paraId="61C78B5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26%</w:t>
            </w:r>
          </w:p>
        </w:tc>
        <w:tc>
          <w:tcPr>
            <w:tcW w:w="626" w:type="dxa"/>
            <w:tcBorders>
              <w:top w:val="nil"/>
              <w:left w:val="nil"/>
              <w:bottom w:val="single" w:sz="4" w:space="0" w:color="BFBFBF"/>
              <w:right w:val="single" w:sz="4" w:space="0" w:color="BFBFBF"/>
            </w:tcBorders>
            <w:shd w:val="clear" w:color="auto" w:fill="auto"/>
            <w:noWrap/>
            <w:vAlign w:val="center"/>
          </w:tcPr>
          <w:p w14:paraId="3F39C8F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26DED02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4CE4DCC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02F7CD37" w14:textId="77777777" w:rsidR="00A872AD" w:rsidRDefault="00A872AD" w:rsidP="00162EF6">
            <w:pPr>
              <w:contextualSpacing/>
              <w:jc w:val="center"/>
              <w:rPr>
                <w:rFonts w:ascii="Arial" w:hAnsi="Arial" w:cs="Arial"/>
                <w:sz w:val="16"/>
                <w:szCs w:val="16"/>
              </w:rPr>
            </w:pPr>
            <w:r>
              <w:rPr>
                <w:rFonts w:ascii="Arial" w:hAnsi="Arial" w:cs="Arial"/>
                <w:sz w:val="16"/>
                <w:szCs w:val="16"/>
              </w:rPr>
              <w:t>56%</w:t>
            </w:r>
          </w:p>
        </w:tc>
        <w:tc>
          <w:tcPr>
            <w:tcW w:w="626" w:type="dxa"/>
            <w:tcBorders>
              <w:top w:val="nil"/>
              <w:left w:val="nil"/>
              <w:bottom w:val="single" w:sz="4" w:space="0" w:color="BFBFBF"/>
              <w:right w:val="single" w:sz="4" w:space="0" w:color="BFBFBF"/>
            </w:tcBorders>
            <w:shd w:val="clear" w:color="auto" w:fill="auto"/>
            <w:noWrap/>
            <w:vAlign w:val="center"/>
          </w:tcPr>
          <w:p w14:paraId="77886C8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7B9588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2C872FC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93FD5BB" w14:textId="77777777" w:rsidR="00A872AD" w:rsidRDefault="00A872AD" w:rsidP="00162EF6">
            <w:pPr>
              <w:contextualSpacing/>
              <w:jc w:val="center"/>
              <w:rPr>
                <w:rFonts w:ascii="Arial" w:hAnsi="Arial" w:cs="Arial"/>
                <w:sz w:val="16"/>
                <w:szCs w:val="16"/>
              </w:rPr>
            </w:pPr>
            <w:r>
              <w:rPr>
                <w:rFonts w:ascii="Arial" w:hAnsi="Arial" w:cs="Arial"/>
                <w:sz w:val="16"/>
                <w:szCs w:val="16"/>
              </w:rPr>
              <w:t>44%</w:t>
            </w:r>
          </w:p>
        </w:tc>
        <w:tc>
          <w:tcPr>
            <w:tcW w:w="572" w:type="dxa"/>
            <w:tcBorders>
              <w:top w:val="nil"/>
              <w:left w:val="nil"/>
              <w:bottom w:val="single" w:sz="4" w:space="0" w:color="BFBFBF"/>
              <w:right w:val="single" w:sz="4" w:space="0" w:color="BFBFBF"/>
            </w:tcBorders>
            <w:shd w:val="clear" w:color="auto" w:fill="auto"/>
            <w:noWrap/>
            <w:vAlign w:val="center"/>
          </w:tcPr>
          <w:p w14:paraId="00F73FE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285A3F28"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29359FA6"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07022E16"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232EFE12"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Inner Gippsland</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5CD5AFA6" w14:textId="77777777" w:rsidR="00A872AD" w:rsidRDefault="00A872AD" w:rsidP="00162EF6">
            <w:pPr>
              <w:contextualSpacing/>
              <w:jc w:val="center"/>
              <w:rPr>
                <w:rFonts w:ascii="Arial" w:hAnsi="Arial" w:cs="Arial"/>
                <w:sz w:val="16"/>
                <w:szCs w:val="16"/>
              </w:rPr>
            </w:pPr>
            <w:r>
              <w:rPr>
                <w:rFonts w:ascii="Arial" w:hAnsi="Arial" w:cs="Arial"/>
                <w:sz w:val="16"/>
                <w:szCs w:val="16"/>
              </w:rPr>
              <w:t>65%</w:t>
            </w:r>
          </w:p>
        </w:tc>
        <w:tc>
          <w:tcPr>
            <w:tcW w:w="572" w:type="dxa"/>
            <w:tcBorders>
              <w:top w:val="nil"/>
              <w:left w:val="nil"/>
              <w:bottom w:val="single" w:sz="4" w:space="0" w:color="BFBFBF"/>
              <w:right w:val="single" w:sz="4" w:space="0" w:color="BFBFBF"/>
            </w:tcBorders>
            <w:shd w:val="clear" w:color="auto" w:fill="auto"/>
            <w:noWrap/>
            <w:vAlign w:val="center"/>
          </w:tcPr>
          <w:p w14:paraId="0CC050D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8EA9FC0"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6BFF5972" w14:textId="77777777" w:rsidR="00A872AD" w:rsidRDefault="00A872AD" w:rsidP="00162EF6">
            <w:pPr>
              <w:contextualSpacing/>
              <w:jc w:val="center"/>
              <w:rPr>
                <w:rFonts w:ascii="Arial" w:hAnsi="Arial" w:cs="Arial"/>
                <w:sz w:val="16"/>
                <w:szCs w:val="16"/>
              </w:rPr>
            </w:pPr>
            <w:r>
              <w:rPr>
                <w:rFonts w:ascii="Arial" w:hAnsi="Arial" w:cs="Arial"/>
                <w:sz w:val="16"/>
                <w:szCs w:val="16"/>
              </w:rPr>
              <w:t>17%</w:t>
            </w:r>
          </w:p>
        </w:tc>
        <w:tc>
          <w:tcPr>
            <w:tcW w:w="626" w:type="dxa"/>
            <w:tcBorders>
              <w:top w:val="nil"/>
              <w:left w:val="nil"/>
              <w:bottom w:val="single" w:sz="4" w:space="0" w:color="BFBFBF"/>
              <w:right w:val="single" w:sz="4" w:space="0" w:color="BFBFBF"/>
            </w:tcBorders>
            <w:shd w:val="clear" w:color="auto" w:fill="auto"/>
            <w:noWrap/>
            <w:vAlign w:val="center"/>
          </w:tcPr>
          <w:p w14:paraId="3E175C4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18%</w:t>
            </w:r>
          </w:p>
        </w:tc>
        <w:tc>
          <w:tcPr>
            <w:tcW w:w="626" w:type="dxa"/>
            <w:tcBorders>
              <w:top w:val="nil"/>
              <w:left w:val="nil"/>
              <w:bottom w:val="single" w:sz="4" w:space="0" w:color="BFBFBF"/>
              <w:right w:val="single" w:sz="4" w:space="0" w:color="BFBFBF"/>
            </w:tcBorders>
            <w:shd w:val="clear" w:color="auto" w:fill="auto"/>
            <w:noWrap/>
            <w:vAlign w:val="center"/>
          </w:tcPr>
          <w:p w14:paraId="213CF9C6"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3B46E7D0"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2A37E9F6"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3E173C36" w14:textId="77777777" w:rsidR="00A872AD" w:rsidRDefault="00A872AD" w:rsidP="00162EF6">
            <w:pPr>
              <w:contextualSpacing/>
              <w:jc w:val="center"/>
              <w:rPr>
                <w:rFonts w:ascii="Arial" w:hAnsi="Arial" w:cs="Arial"/>
                <w:sz w:val="16"/>
                <w:szCs w:val="16"/>
              </w:rPr>
            </w:pPr>
            <w:r>
              <w:rPr>
                <w:rFonts w:ascii="Arial" w:hAnsi="Arial" w:cs="Arial"/>
                <w:sz w:val="16"/>
                <w:szCs w:val="16"/>
              </w:rPr>
              <w:t>82%</w:t>
            </w:r>
          </w:p>
        </w:tc>
        <w:tc>
          <w:tcPr>
            <w:tcW w:w="626" w:type="dxa"/>
            <w:tcBorders>
              <w:top w:val="nil"/>
              <w:left w:val="nil"/>
              <w:bottom w:val="single" w:sz="4" w:space="0" w:color="BFBFBF"/>
              <w:right w:val="single" w:sz="4" w:space="0" w:color="BFBFBF"/>
            </w:tcBorders>
            <w:shd w:val="clear" w:color="auto" w:fill="auto"/>
            <w:noWrap/>
            <w:vAlign w:val="center"/>
          </w:tcPr>
          <w:p w14:paraId="1C6DC626"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3A57742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4810AA0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258AE68" w14:textId="77777777" w:rsidR="00A872AD" w:rsidRDefault="00A872AD" w:rsidP="00162EF6">
            <w:pPr>
              <w:contextualSpacing/>
              <w:jc w:val="center"/>
              <w:rPr>
                <w:rFonts w:ascii="Arial" w:hAnsi="Arial" w:cs="Arial"/>
                <w:sz w:val="16"/>
                <w:szCs w:val="16"/>
              </w:rPr>
            </w:pPr>
            <w:r>
              <w:rPr>
                <w:rFonts w:ascii="Arial" w:hAnsi="Arial" w:cs="Arial"/>
                <w:sz w:val="16"/>
                <w:szCs w:val="16"/>
              </w:rPr>
              <w:t>18%</w:t>
            </w:r>
          </w:p>
        </w:tc>
        <w:tc>
          <w:tcPr>
            <w:tcW w:w="572" w:type="dxa"/>
            <w:tcBorders>
              <w:top w:val="nil"/>
              <w:left w:val="nil"/>
              <w:bottom w:val="single" w:sz="4" w:space="0" w:color="BFBFBF"/>
              <w:right w:val="single" w:sz="4" w:space="0" w:color="BFBFBF"/>
            </w:tcBorders>
            <w:shd w:val="clear" w:color="auto" w:fill="auto"/>
            <w:noWrap/>
            <w:vAlign w:val="center"/>
          </w:tcPr>
          <w:p w14:paraId="5F27A50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0EF2977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0BA9AA98"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4A466FE7"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79AEC38D"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Western District</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4090F5F4" w14:textId="77777777" w:rsidR="00A872AD" w:rsidRDefault="00A872AD" w:rsidP="00162EF6">
            <w:pPr>
              <w:contextualSpacing/>
              <w:jc w:val="center"/>
              <w:rPr>
                <w:rFonts w:ascii="Arial" w:hAnsi="Arial" w:cs="Arial"/>
                <w:sz w:val="16"/>
                <w:szCs w:val="16"/>
              </w:rPr>
            </w:pPr>
            <w:r>
              <w:rPr>
                <w:rFonts w:ascii="Arial" w:hAnsi="Arial" w:cs="Arial"/>
                <w:sz w:val="16"/>
                <w:szCs w:val="16"/>
              </w:rPr>
              <w:t>88%</w:t>
            </w:r>
          </w:p>
        </w:tc>
        <w:tc>
          <w:tcPr>
            <w:tcW w:w="572" w:type="dxa"/>
            <w:tcBorders>
              <w:top w:val="nil"/>
              <w:left w:val="nil"/>
              <w:bottom w:val="single" w:sz="4" w:space="0" w:color="BFBFBF"/>
              <w:right w:val="single" w:sz="4" w:space="0" w:color="BFBFBF"/>
            </w:tcBorders>
            <w:shd w:val="clear" w:color="auto" w:fill="auto"/>
            <w:noWrap/>
            <w:vAlign w:val="center"/>
          </w:tcPr>
          <w:p w14:paraId="143863B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52552CC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28A4BAD2" w14:textId="77777777" w:rsidR="00A872AD" w:rsidRDefault="00A872AD" w:rsidP="00162EF6">
            <w:pPr>
              <w:contextualSpacing/>
              <w:jc w:val="center"/>
              <w:rPr>
                <w:rFonts w:ascii="Arial" w:hAnsi="Arial" w:cs="Arial"/>
                <w:sz w:val="16"/>
                <w:szCs w:val="16"/>
              </w:rPr>
            </w:pPr>
            <w:r>
              <w:rPr>
                <w:rFonts w:ascii="Arial" w:hAnsi="Arial" w:cs="Arial"/>
                <w:sz w:val="16"/>
                <w:szCs w:val="16"/>
              </w:rPr>
              <w:t>10%</w:t>
            </w:r>
          </w:p>
        </w:tc>
        <w:tc>
          <w:tcPr>
            <w:tcW w:w="626" w:type="dxa"/>
            <w:tcBorders>
              <w:top w:val="nil"/>
              <w:left w:val="nil"/>
              <w:bottom w:val="single" w:sz="4" w:space="0" w:color="BFBFBF"/>
              <w:right w:val="single" w:sz="4" w:space="0" w:color="BFBFBF"/>
            </w:tcBorders>
            <w:shd w:val="clear" w:color="auto" w:fill="auto"/>
            <w:noWrap/>
            <w:vAlign w:val="center"/>
          </w:tcPr>
          <w:p w14:paraId="529FD7EA"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7%</w:t>
            </w:r>
          </w:p>
        </w:tc>
        <w:tc>
          <w:tcPr>
            <w:tcW w:w="626" w:type="dxa"/>
            <w:tcBorders>
              <w:top w:val="nil"/>
              <w:left w:val="nil"/>
              <w:bottom w:val="single" w:sz="4" w:space="0" w:color="BFBFBF"/>
              <w:right w:val="single" w:sz="4" w:space="0" w:color="BFBFBF"/>
            </w:tcBorders>
            <w:shd w:val="clear" w:color="auto" w:fill="auto"/>
            <w:noWrap/>
            <w:vAlign w:val="center"/>
          </w:tcPr>
          <w:p w14:paraId="592B0CB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3949B9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5722673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5DDDB37E" w14:textId="77777777" w:rsidR="00A872AD" w:rsidRDefault="00A872AD" w:rsidP="00162EF6">
            <w:pPr>
              <w:contextualSpacing/>
              <w:jc w:val="center"/>
              <w:rPr>
                <w:rFonts w:ascii="Arial" w:hAnsi="Arial" w:cs="Arial"/>
                <w:sz w:val="16"/>
                <w:szCs w:val="16"/>
              </w:rPr>
            </w:pPr>
            <w:r>
              <w:rPr>
                <w:rFonts w:ascii="Arial" w:hAnsi="Arial" w:cs="Arial"/>
                <w:sz w:val="16"/>
                <w:szCs w:val="16"/>
              </w:rPr>
              <w:t>98%</w:t>
            </w:r>
          </w:p>
        </w:tc>
        <w:tc>
          <w:tcPr>
            <w:tcW w:w="626" w:type="dxa"/>
            <w:tcBorders>
              <w:top w:val="nil"/>
              <w:left w:val="nil"/>
              <w:bottom w:val="single" w:sz="4" w:space="0" w:color="BFBFBF"/>
              <w:right w:val="single" w:sz="4" w:space="0" w:color="BFBFBF"/>
            </w:tcBorders>
            <w:shd w:val="clear" w:color="auto" w:fill="auto"/>
            <w:noWrap/>
            <w:vAlign w:val="center"/>
          </w:tcPr>
          <w:p w14:paraId="1D3BC9CF"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9B9C64B"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06F8F8A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867C423" w14:textId="77777777" w:rsidR="00A872AD" w:rsidRDefault="00A872AD" w:rsidP="00162EF6">
            <w:pPr>
              <w:contextualSpacing/>
              <w:jc w:val="center"/>
              <w:rPr>
                <w:rFonts w:ascii="Arial" w:hAnsi="Arial" w:cs="Arial"/>
                <w:sz w:val="16"/>
                <w:szCs w:val="16"/>
              </w:rPr>
            </w:pPr>
            <w:r>
              <w:rPr>
                <w:rFonts w:ascii="Arial" w:hAnsi="Arial" w:cs="Arial"/>
                <w:sz w:val="16"/>
                <w:szCs w:val="16"/>
              </w:rPr>
              <w:t>2%</w:t>
            </w:r>
          </w:p>
        </w:tc>
        <w:tc>
          <w:tcPr>
            <w:tcW w:w="572" w:type="dxa"/>
            <w:tcBorders>
              <w:top w:val="nil"/>
              <w:left w:val="nil"/>
              <w:bottom w:val="single" w:sz="4" w:space="0" w:color="BFBFBF"/>
              <w:right w:val="single" w:sz="4" w:space="0" w:color="BFBFBF"/>
            </w:tcBorders>
            <w:shd w:val="clear" w:color="auto" w:fill="auto"/>
            <w:noWrap/>
            <w:vAlign w:val="center"/>
          </w:tcPr>
          <w:p w14:paraId="5FDC1F4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AA98360"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7421A86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13A9C770"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0B3FCDC2"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Barwon</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29C540FA" w14:textId="77777777" w:rsidR="00A872AD" w:rsidRDefault="00A872AD" w:rsidP="00162EF6">
            <w:pPr>
              <w:contextualSpacing/>
              <w:jc w:val="center"/>
              <w:rPr>
                <w:rFonts w:ascii="Arial" w:hAnsi="Arial" w:cs="Arial"/>
                <w:sz w:val="16"/>
                <w:szCs w:val="16"/>
              </w:rPr>
            </w:pPr>
            <w:r>
              <w:rPr>
                <w:rFonts w:ascii="Arial" w:hAnsi="Arial" w:cs="Arial"/>
                <w:sz w:val="16"/>
                <w:szCs w:val="16"/>
              </w:rPr>
              <w:t>81%</w:t>
            </w:r>
          </w:p>
        </w:tc>
        <w:tc>
          <w:tcPr>
            <w:tcW w:w="572" w:type="dxa"/>
            <w:tcBorders>
              <w:top w:val="nil"/>
              <w:left w:val="nil"/>
              <w:bottom w:val="single" w:sz="4" w:space="0" w:color="BFBFBF"/>
              <w:right w:val="single" w:sz="4" w:space="0" w:color="BFBFBF"/>
            </w:tcBorders>
            <w:shd w:val="clear" w:color="auto" w:fill="auto"/>
            <w:noWrap/>
            <w:vAlign w:val="center"/>
          </w:tcPr>
          <w:p w14:paraId="0F5A84D3"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EA6498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6C5E8BD7" w14:textId="77777777" w:rsidR="00A872AD" w:rsidRDefault="00A872AD" w:rsidP="00162EF6">
            <w:pPr>
              <w:contextualSpacing/>
              <w:jc w:val="center"/>
              <w:rPr>
                <w:rFonts w:ascii="Arial" w:hAnsi="Arial" w:cs="Arial"/>
                <w:sz w:val="16"/>
                <w:szCs w:val="16"/>
              </w:rPr>
            </w:pPr>
            <w:r>
              <w:rPr>
                <w:rFonts w:ascii="Arial" w:hAnsi="Arial" w:cs="Arial"/>
                <w:sz w:val="16"/>
                <w:szCs w:val="16"/>
              </w:rPr>
              <w:t>7%</w:t>
            </w:r>
          </w:p>
        </w:tc>
        <w:tc>
          <w:tcPr>
            <w:tcW w:w="626" w:type="dxa"/>
            <w:tcBorders>
              <w:top w:val="nil"/>
              <w:left w:val="nil"/>
              <w:bottom w:val="single" w:sz="4" w:space="0" w:color="BFBFBF"/>
              <w:right w:val="single" w:sz="4" w:space="0" w:color="BFBFBF"/>
            </w:tcBorders>
            <w:shd w:val="clear" w:color="auto" w:fill="auto"/>
            <w:noWrap/>
            <w:vAlign w:val="center"/>
          </w:tcPr>
          <w:p w14:paraId="022796D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9%</w:t>
            </w:r>
          </w:p>
        </w:tc>
        <w:tc>
          <w:tcPr>
            <w:tcW w:w="626" w:type="dxa"/>
            <w:tcBorders>
              <w:top w:val="nil"/>
              <w:left w:val="nil"/>
              <w:bottom w:val="single" w:sz="4" w:space="0" w:color="BFBFBF"/>
              <w:right w:val="single" w:sz="4" w:space="0" w:color="BFBFBF"/>
            </w:tcBorders>
            <w:shd w:val="clear" w:color="auto" w:fill="auto"/>
            <w:noWrap/>
            <w:vAlign w:val="center"/>
          </w:tcPr>
          <w:p w14:paraId="43D37B8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233671F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7ABFCB20"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2AE0911F" w14:textId="77777777" w:rsidR="00A872AD" w:rsidRDefault="00A872AD" w:rsidP="00162EF6">
            <w:pPr>
              <w:contextualSpacing/>
              <w:jc w:val="center"/>
              <w:rPr>
                <w:rFonts w:ascii="Arial" w:hAnsi="Arial" w:cs="Arial"/>
                <w:sz w:val="16"/>
                <w:szCs w:val="16"/>
              </w:rPr>
            </w:pPr>
            <w:r>
              <w:rPr>
                <w:rFonts w:ascii="Arial" w:hAnsi="Arial" w:cs="Arial"/>
                <w:sz w:val="16"/>
                <w:szCs w:val="16"/>
              </w:rPr>
              <w:t>88%</w:t>
            </w:r>
          </w:p>
        </w:tc>
        <w:tc>
          <w:tcPr>
            <w:tcW w:w="626" w:type="dxa"/>
            <w:tcBorders>
              <w:top w:val="nil"/>
              <w:left w:val="nil"/>
              <w:bottom w:val="single" w:sz="4" w:space="0" w:color="BFBFBF"/>
              <w:right w:val="single" w:sz="4" w:space="0" w:color="BFBFBF"/>
            </w:tcBorders>
            <w:shd w:val="clear" w:color="auto" w:fill="auto"/>
            <w:noWrap/>
            <w:vAlign w:val="center"/>
          </w:tcPr>
          <w:p w14:paraId="042C2DE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2DE9B004"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79124CA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4E13ECF9" w14:textId="77777777" w:rsidR="00A872AD" w:rsidRDefault="00A872AD" w:rsidP="00162EF6">
            <w:pPr>
              <w:contextualSpacing/>
              <w:jc w:val="center"/>
              <w:rPr>
                <w:rFonts w:ascii="Arial" w:hAnsi="Arial" w:cs="Arial"/>
                <w:sz w:val="16"/>
                <w:szCs w:val="16"/>
              </w:rPr>
            </w:pPr>
            <w:r>
              <w:rPr>
                <w:rFonts w:ascii="Arial" w:hAnsi="Arial" w:cs="Arial"/>
                <w:sz w:val="16"/>
                <w:szCs w:val="16"/>
              </w:rPr>
              <w:t>12%</w:t>
            </w:r>
          </w:p>
        </w:tc>
        <w:tc>
          <w:tcPr>
            <w:tcW w:w="572" w:type="dxa"/>
            <w:tcBorders>
              <w:top w:val="nil"/>
              <w:left w:val="nil"/>
              <w:bottom w:val="single" w:sz="4" w:space="0" w:color="BFBFBF"/>
              <w:right w:val="single" w:sz="4" w:space="0" w:color="BFBFBF"/>
            </w:tcBorders>
            <w:shd w:val="clear" w:color="auto" w:fill="auto"/>
            <w:noWrap/>
            <w:vAlign w:val="center"/>
          </w:tcPr>
          <w:p w14:paraId="6D76F6C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07E626D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236C7AA5"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3E7678B1" w14:textId="77777777" w:rsidTr="00162EF6">
        <w:trPr>
          <w:trHeight w:val="255"/>
          <w:jc w:val="center"/>
        </w:trPr>
        <w:tc>
          <w:tcPr>
            <w:tcW w:w="2706" w:type="dxa"/>
            <w:tcBorders>
              <w:top w:val="nil"/>
              <w:left w:val="double" w:sz="6" w:space="0" w:color="auto"/>
              <w:bottom w:val="single" w:sz="4" w:space="0" w:color="BFBFBF"/>
              <w:right w:val="nil"/>
            </w:tcBorders>
            <w:shd w:val="clear" w:color="auto" w:fill="auto"/>
            <w:noWrap/>
            <w:vAlign w:val="center"/>
          </w:tcPr>
          <w:p w14:paraId="7354CFB4" w14:textId="77777777" w:rsidR="00A872AD" w:rsidRPr="003835AE" w:rsidRDefault="00A872AD" w:rsidP="00162EF6">
            <w:pPr>
              <w:spacing w:before="0" w:after="0"/>
              <w:ind w:firstLineChars="144" w:firstLine="230"/>
              <w:contextualSpacing/>
              <w:rPr>
                <w:rFonts w:ascii="Arial" w:hAnsi="Arial" w:cs="Arial"/>
                <w:color w:val="000000"/>
                <w:sz w:val="16"/>
                <w:szCs w:val="16"/>
                <w:lang w:val="en-AU" w:eastAsia="en-AU"/>
              </w:rPr>
            </w:pPr>
            <w:r w:rsidRPr="003835AE">
              <w:rPr>
                <w:rFonts w:ascii="Arial" w:hAnsi="Arial" w:cs="Arial"/>
                <w:color w:val="000000"/>
                <w:sz w:val="16"/>
                <w:szCs w:val="16"/>
                <w:lang w:val="en-AU" w:eastAsia="en-AU"/>
              </w:rPr>
              <w:t>Central Highlands</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17B11930" w14:textId="77777777" w:rsidR="00A872AD" w:rsidRDefault="00A872AD" w:rsidP="00162EF6">
            <w:pPr>
              <w:contextualSpacing/>
              <w:jc w:val="center"/>
              <w:rPr>
                <w:rFonts w:ascii="Arial" w:hAnsi="Arial" w:cs="Arial"/>
                <w:sz w:val="16"/>
                <w:szCs w:val="16"/>
              </w:rPr>
            </w:pPr>
            <w:r>
              <w:rPr>
                <w:rFonts w:ascii="Arial" w:hAnsi="Arial" w:cs="Arial"/>
                <w:sz w:val="16"/>
                <w:szCs w:val="16"/>
              </w:rPr>
              <w:t>81%</w:t>
            </w:r>
          </w:p>
        </w:tc>
        <w:tc>
          <w:tcPr>
            <w:tcW w:w="572" w:type="dxa"/>
            <w:tcBorders>
              <w:top w:val="nil"/>
              <w:left w:val="nil"/>
              <w:bottom w:val="single" w:sz="4" w:space="0" w:color="BFBFBF"/>
              <w:right w:val="single" w:sz="4" w:space="0" w:color="BFBFBF"/>
            </w:tcBorders>
            <w:shd w:val="clear" w:color="auto" w:fill="auto"/>
            <w:noWrap/>
            <w:vAlign w:val="center"/>
          </w:tcPr>
          <w:p w14:paraId="00201664"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A07A68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428CB60E" w14:textId="77777777" w:rsidR="00A872AD" w:rsidRDefault="00A872AD" w:rsidP="00162EF6">
            <w:pPr>
              <w:contextualSpacing/>
              <w:jc w:val="center"/>
              <w:rPr>
                <w:rFonts w:ascii="Arial" w:hAnsi="Arial" w:cs="Arial"/>
                <w:sz w:val="16"/>
                <w:szCs w:val="16"/>
              </w:rPr>
            </w:pPr>
            <w:r>
              <w:rPr>
                <w:rFonts w:ascii="Arial" w:hAnsi="Arial" w:cs="Arial"/>
                <w:sz w:val="16"/>
                <w:szCs w:val="16"/>
              </w:rPr>
              <w:t>11%</w:t>
            </w:r>
          </w:p>
        </w:tc>
        <w:tc>
          <w:tcPr>
            <w:tcW w:w="626" w:type="dxa"/>
            <w:tcBorders>
              <w:top w:val="nil"/>
              <w:left w:val="nil"/>
              <w:bottom w:val="single" w:sz="4" w:space="0" w:color="BFBFBF"/>
              <w:right w:val="single" w:sz="4" w:space="0" w:color="BFBFBF"/>
            </w:tcBorders>
            <w:shd w:val="clear" w:color="auto" w:fill="auto"/>
            <w:noWrap/>
            <w:vAlign w:val="center"/>
          </w:tcPr>
          <w:p w14:paraId="2B31089C"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10%</w:t>
            </w:r>
          </w:p>
        </w:tc>
        <w:tc>
          <w:tcPr>
            <w:tcW w:w="626" w:type="dxa"/>
            <w:tcBorders>
              <w:top w:val="nil"/>
              <w:left w:val="nil"/>
              <w:bottom w:val="single" w:sz="4" w:space="0" w:color="BFBFBF"/>
              <w:right w:val="single" w:sz="4" w:space="0" w:color="BFBFBF"/>
            </w:tcBorders>
            <w:shd w:val="clear" w:color="auto" w:fill="auto"/>
            <w:noWrap/>
            <w:vAlign w:val="center"/>
          </w:tcPr>
          <w:p w14:paraId="1324142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6A24E617"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nil"/>
            </w:tcBorders>
            <w:shd w:val="clear" w:color="auto" w:fill="auto"/>
            <w:noWrap/>
            <w:vAlign w:val="center"/>
          </w:tcPr>
          <w:p w14:paraId="249BF1B9"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626" w:type="dxa"/>
            <w:tcBorders>
              <w:top w:val="nil"/>
              <w:left w:val="single" w:sz="4" w:space="0" w:color="auto"/>
              <w:bottom w:val="single" w:sz="4" w:space="0" w:color="BFBFBF"/>
              <w:right w:val="single" w:sz="4" w:space="0" w:color="BFBFBF"/>
            </w:tcBorders>
            <w:shd w:val="clear" w:color="auto" w:fill="auto"/>
            <w:noWrap/>
            <w:vAlign w:val="center"/>
          </w:tcPr>
          <w:p w14:paraId="0D95193B" w14:textId="77777777" w:rsidR="00A872AD" w:rsidRDefault="00A872AD" w:rsidP="00162EF6">
            <w:pPr>
              <w:contextualSpacing/>
              <w:jc w:val="center"/>
              <w:rPr>
                <w:rFonts w:ascii="Arial" w:hAnsi="Arial" w:cs="Arial"/>
                <w:sz w:val="16"/>
                <w:szCs w:val="16"/>
              </w:rPr>
            </w:pPr>
            <w:r>
              <w:rPr>
                <w:rFonts w:ascii="Arial" w:hAnsi="Arial" w:cs="Arial"/>
                <w:sz w:val="16"/>
                <w:szCs w:val="16"/>
              </w:rPr>
              <w:t>92%</w:t>
            </w:r>
          </w:p>
        </w:tc>
        <w:tc>
          <w:tcPr>
            <w:tcW w:w="626" w:type="dxa"/>
            <w:tcBorders>
              <w:top w:val="nil"/>
              <w:left w:val="nil"/>
              <w:bottom w:val="single" w:sz="4" w:space="0" w:color="BFBFBF"/>
              <w:right w:val="single" w:sz="4" w:space="0" w:color="BFBFBF"/>
            </w:tcBorders>
            <w:shd w:val="clear" w:color="auto" w:fill="auto"/>
            <w:noWrap/>
            <w:vAlign w:val="center"/>
          </w:tcPr>
          <w:p w14:paraId="2BF5A9CD"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0A7FEE40"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auto"/>
            </w:tcBorders>
            <w:shd w:val="clear" w:color="auto" w:fill="auto"/>
            <w:noWrap/>
            <w:vAlign w:val="center"/>
          </w:tcPr>
          <w:p w14:paraId="68E3B961"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034BBDEC" w14:textId="77777777" w:rsidR="00A872AD" w:rsidRDefault="00A872AD" w:rsidP="00162EF6">
            <w:pPr>
              <w:contextualSpacing/>
              <w:jc w:val="center"/>
              <w:rPr>
                <w:rFonts w:ascii="Arial" w:hAnsi="Arial" w:cs="Arial"/>
                <w:sz w:val="16"/>
                <w:szCs w:val="16"/>
              </w:rPr>
            </w:pPr>
            <w:r>
              <w:rPr>
                <w:rFonts w:ascii="Arial" w:hAnsi="Arial" w:cs="Arial"/>
                <w:sz w:val="16"/>
                <w:szCs w:val="16"/>
              </w:rPr>
              <w:t>8%</w:t>
            </w:r>
          </w:p>
        </w:tc>
        <w:tc>
          <w:tcPr>
            <w:tcW w:w="572" w:type="dxa"/>
            <w:tcBorders>
              <w:top w:val="nil"/>
              <w:left w:val="nil"/>
              <w:bottom w:val="single" w:sz="4" w:space="0" w:color="BFBFBF"/>
              <w:right w:val="single" w:sz="4" w:space="0" w:color="BFBFBF"/>
            </w:tcBorders>
            <w:shd w:val="clear" w:color="auto" w:fill="auto"/>
            <w:noWrap/>
            <w:vAlign w:val="center"/>
          </w:tcPr>
          <w:p w14:paraId="0BC1A7A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single" w:sz="4" w:space="0" w:color="BFBFBF"/>
            </w:tcBorders>
            <w:shd w:val="clear" w:color="auto" w:fill="auto"/>
            <w:noWrap/>
            <w:vAlign w:val="center"/>
          </w:tcPr>
          <w:p w14:paraId="1F489B5E"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c>
          <w:tcPr>
            <w:tcW w:w="572" w:type="dxa"/>
            <w:tcBorders>
              <w:top w:val="nil"/>
              <w:left w:val="nil"/>
              <w:bottom w:val="single" w:sz="4" w:space="0" w:color="BFBFBF"/>
              <w:right w:val="double" w:sz="6" w:space="0" w:color="auto"/>
            </w:tcBorders>
            <w:shd w:val="clear" w:color="auto" w:fill="auto"/>
            <w:noWrap/>
            <w:vAlign w:val="center"/>
          </w:tcPr>
          <w:p w14:paraId="3F7D2162" w14:textId="77777777" w:rsidR="00A872AD" w:rsidRPr="003835AE" w:rsidRDefault="00A872AD" w:rsidP="00162EF6">
            <w:pPr>
              <w:spacing w:before="0" w:after="0"/>
              <w:contextualSpacing/>
              <w:jc w:val="center"/>
              <w:rPr>
                <w:rFonts w:ascii="Arial" w:hAnsi="Arial" w:cs="Arial"/>
                <w:color w:val="000000"/>
                <w:sz w:val="16"/>
                <w:szCs w:val="16"/>
                <w:lang w:val="en-AU" w:eastAsia="en-AU"/>
              </w:rPr>
            </w:pPr>
            <w:r w:rsidRPr="003835AE">
              <w:rPr>
                <w:rFonts w:ascii="Arial" w:hAnsi="Arial" w:cs="Arial"/>
                <w:color w:val="000000"/>
                <w:sz w:val="16"/>
                <w:szCs w:val="16"/>
                <w:lang w:val="en-AU" w:eastAsia="en-AU"/>
              </w:rPr>
              <w:t>n/a</w:t>
            </w:r>
          </w:p>
        </w:tc>
      </w:tr>
      <w:tr w:rsidR="00A872AD" w:rsidRPr="003835AE" w14:paraId="4D40B98F" w14:textId="77777777" w:rsidTr="00162EF6">
        <w:trPr>
          <w:trHeight w:val="255"/>
          <w:jc w:val="center"/>
        </w:trPr>
        <w:tc>
          <w:tcPr>
            <w:tcW w:w="2706" w:type="dxa"/>
            <w:tcBorders>
              <w:top w:val="nil"/>
              <w:left w:val="double" w:sz="6" w:space="0" w:color="auto"/>
              <w:bottom w:val="double" w:sz="6" w:space="0" w:color="auto"/>
              <w:right w:val="nil"/>
            </w:tcBorders>
            <w:shd w:val="clear" w:color="auto" w:fill="auto"/>
            <w:noWrap/>
            <w:vAlign w:val="center"/>
          </w:tcPr>
          <w:p w14:paraId="6200F66A"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TOTAL VIC</w:t>
            </w:r>
          </w:p>
        </w:tc>
        <w:tc>
          <w:tcPr>
            <w:tcW w:w="626" w:type="dxa"/>
            <w:tcBorders>
              <w:top w:val="nil"/>
              <w:left w:val="single" w:sz="4" w:space="0" w:color="auto"/>
              <w:bottom w:val="double" w:sz="6" w:space="0" w:color="auto"/>
              <w:right w:val="single" w:sz="4" w:space="0" w:color="BFBFBF"/>
            </w:tcBorders>
            <w:shd w:val="clear" w:color="auto" w:fill="auto"/>
            <w:noWrap/>
            <w:vAlign w:val="center"/>
          </w:tcPr>
          <w:p w14:paraId="59FA31B9"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88%</w:t>
            </w:r>
          </w:p>
        </w:tc>
        <w:tc>
          <w:tcPr>
            <w:tcW w:w="572" w:type="dxa"/>
            <w:tcBorders>
              <w:top w:val="nil"/>
              <w:left w:val="nil"/>
              <w:bottom w:val="double" w:sz="6" w:space="0" w:color="auto"/>
              <w:right w:val="single" w:sz="4" w:space="0" w:color="BFBFBF"/>
            </w:tcBorders>
            <w:shd w:val="clear" w:color="auto" w:fill="auto"/>
            <w:noWrap/>
            <w:vAlign w:val="center"/>
          </w:tcPr>
          <w:p w14:paraId="6E5271A7"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88%</w:t>
            </w:r>
          </w:p>
        </w:tc>
        <w:tc>
          <w:tcPr>
            <w:tcW w:w="572" w:type="dxa"/>
            <w:tcBorders>
              <w:top w:val="nil"/>
              <w:left w:val="nil"/>
              <w:bottom w:val="double" w:sz="6" w:space="0" w:color="auto"/>
              <w:right w:val="single" w:sz="4" w:space="0" w:color="BFBFBF"/>
            </w:tcBorders>
            <w:shd w:val="clear" w:color="auto" w:fill="auto"/>
            <w:noWrap/>
            <w:vAlign w:val="center"/>
          </w:tcPr>
          <w:p w14:paraId="6BDEFFA3"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94%</w:t>
            </w:r>
          </w:p>
        </w:tc>
        <w:tc>
          <w:tcPr>
            <w:tcW w:w="572" w:type="dxa"/>
            <w:tcBorders>
              <w:top w:val="nil"/>
              <w:left w:val="nil"/>
              <w:bottom w:val="double" w:sz="6" w:space="0" w:color="auto"/>
              <w:right w:val="single" w:sz="4" w:space="0" w:color="auto"/>
            </w:tcBorders>
            <w:shd w:val="clear" w:color="auto" w:fill="auto"/>
            <w:noWrap/>
            <w:vAlign w:val="center"/>
          </w:tcPr>
          <w:p w14:paraId="650206AD"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91%</w:t>
            </w:r>
          </w:p>
        </w:tc>
        <w:tc>
          <w:tcPr>
            <w:tcW w:w="626" w:type="dxa"/>
            <w:tcBorders>
              <w:top w:val="nil"/>
              <w:left w:val="nil"/>
              <w:bottom w:val="double" w:sz="6" w:space="0" w:color="auto"/>
              <w:right w:val="single" w:sz="4" w:space="0" w:color="BFBFBF"/>
            </w:tcBorders>
            <w:shd w:val="clear" w:color="auto" w:fill="auto"/>
            <w:noWrap/>
            <w:vAlign w:val="center"/>
          </w:tcPr>
          <w:p w14:paraId="19C6FB6F"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4</w:t>
            </w:r>
            <w:r w:rsidRPr="003835AE">
              <w:rPr>
                <w:rFonts w:ascii="Arial" w:hAnsi="Arial" w:cs="Arial"/>
                <w:b/>
                <w:bCs/>
                <w:color w:val="000000"/>
                <w:sz w:val="16"/>
                <w:szCs w:val="16"/>
                <w:lang w:val="en-AU" w:eastAsia="en-AU"/>
              </w:rPr>
              <w:t>%</w:t>
            </w:r>
          </w:p>
        </w:tc>
        <w:tc>
          <w:tcPr>
            <w:tcW w:w="626" w:type="dxa"/>
            <w:tcBorders>
              <w:top w:val="nil"/>
              <w:left w:val="nil"/>
              <w:bottom w:val="double" w:sz="6" w:space="0" w:color="auto"/>
              <w:right w:val="single" w:sz="4" w:space="0" w:color="BFBFBF"/>
            </w:tcBorders>
            <w:shd w:val="clear" w:color="auto" w:fill="auto"/>
            <w:noWrap/>
            <w:vAlign w:val="center"/>
          </w:tcPr>
          <w:p w14:paraId="01A889F9"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9%</w:t>
            </w:r>
          </w:p>
        </w:tc>
        <w:tc>
          <w:tcPr>
            <w:tcW w:w="572" w:type="dxa"/>
            <w:tcBorders>
              <w:top w:val="nil"/>
              <w:left w:val="nil"/>
              <w:bottom w:val="double" w:sz="6" w:space="0" w:color="auto"/>
              <w:right w:val="single" w:sz="4" w:space="0" w:color="BFBFBF"/>
            </w:tcBorders>
            <w:shd w:val="clear" w:color="auto" w:fill="auto"/>
            <w:noWrap/>
            <w:vAlign w:val="center"/>
          </w:tcPr>
          <w:p w14:paraId="39C1D539"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w:t>
            </w:r>
          </w:p>
        </w:tc>
        <w:tc>
          <w:tcPr>
            <w:tcW w:w="572" w:type="dxa"/>
            <w:tcBorders>
              <w:top w:val="nil"/>
              <w:left w:val="nil"/>
              <w:bottom w:val="double" w:sz="6" w:space="0" w:color="auto"/>
              <w:right w:val="nil"/>
            </w:tcBorders>
            <w:shd w:val="clear" w:color="auto" w:fill="auto"/>
            <w:noWrap/>
            <w:vAlign w:val="center"/>
          </w:tcPr>
          <w:p w14:paraId="5C1DB549"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w:t>
            </w:r>
          </w:p>
        </w:tc>
        <w:tc>
          <w:tcPr>
            <w:tcW w:w="626" w:type="dxa"/>
            <w:tcBorders>
              <w:top w:val="nil"/>
              <w:left w:val="single" w:sz="4" w:space="0" w:color="auto"/>
              <w:bottom w:val="double" w:sz="6" w:space="0" w:color="auto"/>
              <w:right w:val="single" w:sz="4" w:space="0" w:color="BFBFBF"/>
            </w:tcBorders>
            <w:shd w:val="clear" w:color="auto" w:fill="auto"/>
            <w:noWrap/>
            <w:vAlign w:val="center"/>
          </w:tcPr>
          <w:p w14:paraId="7AC0A50E"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9</w:t>
            </w:r>
            <w:r>
              <w:rPr>
                <w:rFonts w:ascii="Arial" w:hAnsi="Arial" w:cs="Arial"/>
                <w:b/>
                <w:bCs/>
                <w:color w:val="000000"/>
                <w:sz w:val="16"/>
                <w:szCs w:val="16"/>
                <w:lang w:val="en-AU" w:eastAsia="en-AU"/>
              </w:rPr>
              <w:t>2</w:t>
            </w:r>
            <w:r w:rsidRPr="003835AE">
              <w:rPr>
                <w:rFonts w:ascii="Arial" w:hAnsi="Arial" w:cs="Arial"/>
                <w:b/>
                <w:bCs/>
                <w:color w:val="000000"/>
                <w:sz w:val="16"/>
                <w:szCs w:val="16"/>
                <w:lang w:val="en-AU" w:eastAsia="en-AU"/>
              </w:rPr>
              <w:t>%</w:t>
            </w:r>
          </w:p>
        </w:tc>
        <w:tc>
          <w:tcPr>
            <w:tcW w:w="626" w:type="dxa"/>
            <w:tcBorders>
              <w:top w:val="nil"/>
              <w:left w:val="nil"/>
              <w:bottom w:val="double" w:sz="6" w:space="0" w:color="auto"/>
              <w:right w:val="single" w:sz="4" w:space="0" w:color="BFBFBF"/>
            </w:tcBorders>
            <w:shd w:val="clear" w:color="auto" w:fill="auto"/>
            <w:noWrap/>
            <w:vAlign w:val="center"/>
          </w:tcPr>
          <w:p w14:paraId="4B890DBC"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95%</w:t>
            </w:r>
          </w:p>
        </w:tc>
        <w:tc>
          <w:tcPr>
            <w:tcW w:w="572" w:type="dxa"/>
            <w:tcBorders>
              <w:top w:val="nil"/>
              <w:left w:val="nil"/>
              <w:bottom w:val="double" w:sz="6" w:space="0" w:color="auto"/>
              <w:right w:val="single" w:sz="4" w:space="0" w:color="BFBFBF"/>
            </w:tcBorders>
            <w:shd w:val="clear" w:color="auto" w:fill="auto"/>
            <w:noWrap/>
            <w:vAlign w:val="center"/>
          </w:tcPr>
          <w:p w14:paraId="63E0C4AE"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95%</w:t>
            </w:r>
          </w:p>
        </w:tc>
        <w:tc>
          <w:tcPr>
            <w:tcW w:w="572" w:type="dxa"/>
            <w:tcBorders>
              <w:top w:val="nil"/>
              <w:left w:val="nil"/>
              <w:bottom w:val="double" w:sz="6" w:space="0" w:color="auto"/>
              <w:right w:val="single" w:sz="4" w:space="0" w:color="auto"/>
            </w:tcBorders>
            <w:shd w:val="clear" w:color="auto" w:fill="auto"/>
            <w:noWrap/>
            <w:vAlign w:val="center"/>
          </w:tcPr>
          <w:p w14:paraId="40E629D1"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91%</w:t>
            </w:r>
          </w:p>
        </w:tc>
        <w:tc>
          <w:tcPr>
            <w:tcW w:w="572" w:type="dxa"/>
            <w:tcBorders>
              <w:top w:val="nil"/>
              <w:left w:val="nil"/>
              <w:bottom w:val="double" w:sz="6" w:space="0" w:color="auto"/>
              <w:right w:val="single" w:sz="4" w:space="0" w:color="BFBFBF"/>
            </w:tcBorders>
            <w:shd w:val="clear" w:color="auto" w:fill="auto"/>
            <w:noWrap/>
            <w:vAlign w:val="center"/>
          </w:tcPr>
          <w:p w14:paraId="58DF1243"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8</w:t>
            </w:r>
            <w:r w:rsidRPr="003835AE">
              <w:rPr>
                <w:rFonts w:ascii="Arial" w:hAnsi="Arial" w:cs="Arial"/>
                <w:b/>
                <w:bCs/>
                <w:color w:val="000000"/>
                <w:sz w:val="16"/>
                <w:szCs w:val="16"/>
                <w:lang w:val="en-AU" w:eastAsia="en-AU"/>
              </w:rPr>
              <w:t>%</w:t>
            </w:r>
          </w:p>
        </w:tc>
        <w:tc>
          <w:tcPr>
            <w:tcW w:w="572" w:type="dxa"/>
            <w:tcBorders>
              <w:top w:val="nil"/>
              <w:left w:val="nil"/>
              <w:bottom w:val="double" w:sz="6" w:space="0" w:color="auto"/>
              <w:right w:val="single" w:sz="4" w:space="0" w:color="BFBFBF"/>
            </w:tcBorders>
            <w:shd w:val="clear" w:color="auto" w:fill="auto"/>
            <w:noWrap/>
            <w:vAlign w:val="center"/>
          </w:tcPr>
          <w:p w14:paraId="00CC7E4B"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5%</w:t>
            </w:r>
          </w:p>
        </w:tc>
        <w:tc>
          <w:tcPr>
            <w:tcW w:w="572" w:type="dxa"/>
            <w:tcBorders>
              <w:top w:val="nil"/>
              <w:left w:val="nil"/>
              <w:bottom w:val="double" w:sz="6" w:space="0" w:color="auto"/>
              <w:right w:val="single" w:sz="4" w:space="0" w:color="BFBFBF"/>
            </w:tcBorders>
            <w:shd w:val="clear" w:color="auto" w:fill="auto"/>
            <w:noWrap/>
            <w:vAlign w:val="center"/>
          </w:tcPr>
          <w:p w14:paraId="4015B094"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5%</w:t>
            </w:r>
          </w:p>
        </w:tc>
        <w:tc>
          <w:tcPr>
            <w:tcW w:w="572" w:type="dxa"/>
            <w:tcBorders>
              <w:top w:val="nil"/>
              <w:left w:val="nil"/>
              <w:bottom w:val="double" w:sz="6" w:space="0" w:color="auto"/>
              <w:right w:val="double" w:sz="6" w:space="0" w:color="auto"/>
            </w:tcBorders>
            <w:shd w:val="clear" w:color="auto" w:fill="auto"/>
            <w:noWrap/>
            <w:vAlign w:val="center"/>
          </w:tcPr>
          <w:p w14:paraId="1B23F37D" w14:textId="77777777" w:rsidR="00A872AD" w:rsidRPr="003835AE" w:rsidRDefault="00A872AD" w:rsidP="00162EF6">
            <w:pPr>
              <w:spacing w:before="0" w:after="0"/>
              <w:contextualSpacing/>
              <w:jc w:val="center"/>
              <w:rPr>
                <w:rFonts w:ascii="Arial" w:hAnsi="Arial" w:cs="Arial"/>
                <w:b/>
                <w:bCs/>
                <w:color w:val="000000"/>
                <w:sz w:val="16"/>
                <w:szCs w:val="16"/>
                <w:lang w:val="en-AU" w:eastAsia="en-AU"/>
              </w:rPr>
            </w:pPr>
            <w:r w:rsidRPr="003835AE">
              <w:rPr>
                <w:rFonts w:ascii="Arial" w:hAnsi="Arial" w:cs="Arial"/>
                <w:b/>
                <w:bCs/>
                <w:color w:val="000000"/>
                <w:sz w:val="16"/>
                <w:szCs w:val="16"/>
                <w:lang w:val="en-AU" w:eastAsia="en-AU"/>
              </w:rPr>
              <w:t>9%</w:t>
            </w:r>
          </w:p>
        </w:tc>
      </w:tr>
    </w:tbl>
    <w:p w14:paraId="471B70CD" w14:textId="77777777" w:rsidR="00E02C75" w:rsidRPr="003835AE" w:rsidRDefault="00E02C75" w:rsidP="00162EF6">
      <w:pPr>
        <w:pStyle w:val="Para"/>
        <w:spacing w:before="120" w:line="240" w:lineRule="auto"/>
        <w:ind w:left="1440"/>
        <w:rPr>
          <w:sz w:val="20"/>
          <w:lang w:val="en-AU"/>
        </w:rPr>
      </w:pPr>
      <w:r w:rsidRPr="003835AE">
        <w:rPr>
          <w:sz w:val="20"/>
          <w:lang w:val="en-AU"/>
        </w:rPr>
        <w:t>Base: Total respondents</w:t>
      </w:r>
      <w:r w:rsidR="00744DC0" w:rsidRPr="003835AE">
        <w:rPr>
          <w:sz w:val="20"/>
          <w:lang w:val="en-AU"/>
        </w:rPr>
        <w:t>:</w:t>
      </w:r>
      <w:r w:rsidRPr="003835AE">
        <w:rPr>
          <w:sz w:val="20"/>
          <w:lang w:val="en-AU"/>
        </w:rPr>
        <w:t xml:space="preserve"> </w:t>
      </w:r>
      <w:r w:rsidR="00744DC0" w:rsidRPr="003835AE">
        <w:rPr>
          <w:sz w:val="20"/>
          <w:lang w:val="en-AU"/>
        </w:rPr>
        <w:t xml:space="preserve">2014 (n=1,861); </w:t>
      </w:r>
      <w:r w:rsidRPr="003835AE">
        <w:rPr>
          <w:sz w:val="20"/>
          <w:lang w:val="en-AU"/>
        </w:rPr>
        <w:t>2007 (n=2,061); 2001 (n=2,006); 1996 (n=2,000)</w:t>
      </w:r>
    </w:p>
    <w:p w14:paraId="02C337C0" w14:textId="77777777" w:rsidR="000B76CF" w:rsidRPr="003835AE" w:rsidRDefault="000B76CF" w:rsidP="00162EF6">
      <w:pPr>
        <w:spacing w:before="120" w:after="0"/>
        <w:ind w:left="1440"/>
        <w:jc w:val="both"/>
        <w:rPr>
          <w:sz w:val="20"/>
          <w:lang w:val="en-AU"/>
        </w:rPr>
      </w:pPr>
      <w:r w:rsidRPr="003835AE">
        <w:rPr>
          <w:sz w:val="20"/>
          <w:lang w:val="en-AU"/>
        </w:rPr>
        <w:t>1: Country VIC in 2014 includes most of regional VIC.  In previous years, only 4 regional centres were sampled.</w:t>
      </w:r>
    </w:p>
    <w:p w14:paraId="163E7AF9" w14:textId="77777777" w:rsidR="000B76CF" w:rsidRPr="003835AE" w:rsidRDefault="000B76CF" w:rsidP="00162EF6">
      <w:pPr>
        <w:spacing w:before="120" w:after="0"/>
        <w:ind w:left="1440"/>
        <w:jc w:val="both"/>
        <w:rPr>
          <w:sz w:val="20"/>
          <w:lang w:val="en-AU"/>
        </w:rPr>
      </w:pPr>
      <w:r w:rsidRPr="003835AE">
        <w:rPr>
          <w:sz w:val="20"/>
          <w:lang w:val="en-AU"/>
        </w:rPr>
        <w:t>2: In 2014 LPG households are a subset of the main sample based on their responses.  In 2007 they formed a separate geographic stratum.</w:t>
      </w:r>
    </w:p>
    <w:p w14:paraId="06B3F194" w14:textId="77777777" w:rsidR="00E02C75" w:rsidRPr="00A872AD" w:rsidRDefault="00E02C75" w:rsidP="00E02C75">
      <w:pPr>
        <w:pStyle w:val="Para"/>
        <w:rPr>
          <w:lang w:val="en-AU"/>
        </w:rPr>
      </w:pPr>
      <w:r w:rsidRPr="00A872AD">
        <w:rPr>
          <w:lang w:val="en-AU"/>
        </w:rPr>
        <w:lastRenderedPageBreak/>
        <w:t xml:space="preserve">As in previous years, mains gas usage </w:t>
      </w:r>
      <w:r w:rsidR="005506E3" w:rsidRPr="00A872AD">
        <w:rPr>
          <w:lang w:val="en-AU"/>
        </w:rPr>
        <w:t>wa</w:t>
      </w:r>
      <w:r w:rsidRPr="00A872AD">
        <w:rPr>
          <w:lang w:val="en-AU"/>
        </w:rPr>
        <w:t>s more prevalent amongst non-concession households, with 9</w:t>
      </w:r>
      <w:r w:rsidR="00566049" w:rsidRPr="00A872AD">
        <w:rPr>
          <w:lang w:val="en-AU"/>
        </w:rPr>
        <w:t>0</w:t>
      </w:r>
      <w:r w:rsidRPr="00A872AD">
        <w:rPr>
          <w:lang w:val="en-AU"/>
        </w:rPr>
        <w:t>% of these households using mains gas,</w:t>
      </w:r>
      <w:r w:rsidR="00566049" w:rsidRPr="00A872AD">
        <w:rPr>
          <w:lang w:val="en-AU"/>
        </w:rPr>
        <w:t xml:space="preserve"> compared with 86</w:t>
      </w:r>
      <w:r w:rsidRPr="00A872AD">
        <w:rPr>
          <w:lang w:val="en-AU"/>
        </w:rPr>
        <w:t>% of concession households</w:t>
      </w:r>
      <w:r w:rsidR="008A1C90" w:rsidRPr="00A872AD">
        <w:rPr>
          <w:lang w:val="en-AU"/>
        </w:rPr>
        <w:t xml:space="preserve"> (see Table 4.1.</w:t>
      </w:r>
      <w:r w:rsidR="0099218A" w:rsidRPr="00A872AD">
        <w:rPr>
          <w:lang w:val="en-AU"/>
        </w:rPr>
        <w:t>2</w:t>
      </w:r>
      <w:r w:rsidR="008A1C90" w:rsidRPr="00A872AD">
        <w:rPr>
          <w:lang w:val="en-AU"/>
        </w:rPr>
        <w:t>.2)</w:t>
      </w:r>
      <w:r w:rsidRPr="00A872AD">
        <w:rPr>
          <w:lang w:val="en-AU"/>
        </w:rPr>
        <w:t xml:space="preserve">.  </w:t>
      </w:r>
    </w:p>
    <w:p w14:paraId="40477B6E" w14:textId="77777777" w:rsidR="00EA09AE" w:rsidRPr="00A872AD" w:rsidRDefault="00EA09AE" w:rsidP="00E02C75">
      <w:pPr>
        <w:pStyle w:val="Para"/>
        <w:rPr>
          <w:lang w:val="en-AU"/>
        </w:rPr>
      </w:pPr>
    </w:p>
    <w:p w14:paraId="1156FB70" w14:textId="595F281C" w:rsidR="00E02C75" w:rsidRPr="00A872AD" w:rsidRDefault="00E02C75" w:rsidP="00562A28">
      <w:pPr>
        <w:pStyle w:val="Para"/>
        <w:jc w:val="center"/>
        <w:outlineLvl w:val="0"/>
        <w:rPr>
          <w:b/>
          <w:lang w:val="en-AU"/>
        </w:rPr>
      </w:pPr>
      <w:r w:rsidRPr="00A872AD">
        <w:rPr>
          <w:b/>
          <w:lang w:val="en-AU"/>
        </w:rPr>
        <w:t>Table 4.1.</w:t>
      </w:r>
      <w:r w:rsidR="0099218A" w:rsidRPr="00A872AD">
        <w:rPr>
          <w:b/>
          <w:lang w:val="en-AU"/>
        </w:rPr>
        <w:t>2</w:t>
      </w:r>
      <w:r w:rsidRPr="00A872AD">
        <w:rPr>
          <w:b/>
          <w:lang w:val="en-AU"/>
        </w:rPr>
        <w:t xml:space="preserve">.2: </w:t>
      </w:r>
      <w:r w:rsidRPr="00A872AD">
        <w:rPr>
          <w:b/>
          <w:u w:val="single"/>
          <w:lang w:val="en-AU"/>
        </w:rPr>
        <w:t>Use of Gas in Household by Sample Type</w:t>
      </w:r>
    </w:p>
    <w:p w14:paraId="50F8AE4F" w14:textId="77777777" w:rsidR="00E02C75" w:rsidRPr="00A872AD" w:rsidRDefault="00E02C75" w:rsidP="00E02C75">
      <w:pPr>
        <w:pStyle w:val="Para"/>
        <w:spacing w:line="240" w:lineRule="auto"/>
        <w:rPr>
          <w:sz w:val="20"/>
          <w:lang w:val="en-AU"/>
        </w:rPr>
      </w:pPr>
    </w:p>
    <w:tbl>
      <w:tblPr>
        <w:tblW w:w="11880" w:type="dxa"/>
        <w:jc w:val="center"/>
        <w:tblLook w:val="04A0" w:firstRow="1" w:lastRow="0" w:firstColumn="1" w:lastColumn="0" w:noHBand="0" w:noVBand="1"/>
      </w:tblPr>
      <w:tblGrid>
        <w:gridCol w:w="2080"/>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9F0ABB" w:rsidRPr="00A872AD" w14:paraId="615B63FD" w14:textId="77777777" w:rsidTr="00562A28">
        <w:trPr>
          <w:trHeight w:val="240"/>
          <w:jc w:val="center"/>
        </w:trPr>
        <w:tc>
          <w:tcPr>
            <w:tcW w:w="2080" w:type="dxa"/>
            <w:vMerge w:val="restart"/>
            <w:tcBorders>
              <w:top w:val="double" w:sz="6" w:space="0" w:color="auto"/>
              <w:left w:val="double" w:sz="6" w:space="0" w:color="auto"/>
              <w:bottom w:val="single" w:sz="4" w:space="0" w:color="BFBFBF"/>
              <w:right w:val="nil"/>
            </w:tcBorders>
            <w:shd w:val="clear" w:color="auto" w:fill="auto"/>
            <w:noWrap/>
            <w:vAlign w:val="center"/>
          </w:tcPr>
          <w:p w14:paraId="6F43F67F" w14:textId="77777777" w:rsidR="009F0ABB" w:rsidRPr="00A872AD" w:rsidRDefault="009F0ABB" w:rsidP="009F0ABB">
            <w:pPr>
              <w:spacing w:before="0" w:after="0"/>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Gas Use</w:t>
            </w:r>
          </w:p>
        </w:tc>
        <w:tc>
          <w:tcPr>
            <w:tcW w:w="210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1D545243"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Aged Concession HHs</w:t>
            </w:r>
          </w:p>
        </w:tc>
        <w:tc>
          <w:tcPr>
            <w:tcW w:w="1900" w:type="dxa"/>
            <w:gridSpan w:val="4"/>
            <w:tcBorders>
              <w:top w:val="double" w:sz="6" w:space="0" w:color="auto"/>
              <w:left w:val="nil"/>
              <w:bottom w:val="single" w:sz="4" w:space="0" w:color="BFBFBF"/>
              <w:right w:val="single" w:sz="4" w:space="0" w:color="BFBFBF"/>
            </w:tcBorders>
            <w:shd w:val="clear" w:color="auto" w:fill="auto"/>
            <w:noWrap/>
            <w:vAlign w:val="center"/>
          </w:tcPr>
          <w:p w14:paraId="46E48C03"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Other Concession HHs</w:t>
            </w:r>
          </w:p>
        </w:tc>
        <w:tc>
          <w:tcPr>
            <w:tcW w:w="196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48DC275B"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Total Concession HHs</w:t>
            </w:r>
          </w:p>
        </w:tc>
        <w:tc>
          <w:tcPr>
            <w:tcW w:w="1920" w:type="dxa"/>
            <w:gridSpan w:val="4"/>
            <w:tcBorders>
              <w:top w:val="double" w:sz="6" w:space="0" w:color="auto"/>
              <w:left w:val="nil"/>
              <w:bottom w:val="single" w:sz="4" w:space="0" w:color="BFBFBF"/>
              <w:right w:val="single" w:sz="4" w:space="0" w:color="BFBFBF"/>
            </w:tcBorders>
            <w:shd w:val="clear" w:color="auto" w:fill="auto"/>
            <w:noWrap/>
            <w:vAlign w:val="center"/>
          </w:tcPr>
          <w:p w14:paraId="40DEA6D9"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Non-Concession HHs</w:t>
            </w:r>
          </w:p>
        </w:tc>
        <w:tc>
          <w:tcPr>
            <w:tcW w:w="1920" w:type="dxa"/>
            <w:gridSpan w:val="4"/>
            <w:tcBorders>
              <w:top w:val="double" w:sz="6" w:space="0" w:color="auto"/>
              <w:left w:val="single" w:sz="4" w:space="0" w:color="auto"/>
              <w:bottom w:val="single" w:sz="4" w:space="0" w:color="BFBFBF"/>
              <w:right w:val="double" w:sz="6" w:space="0" w:color="000000"/>
            </w:tcBorders>
            <w:shd w:val="clear" w:color="auto" w:fill="auto"/>
            <w:noWrap/>
            <w:vAlign w:val="center"/>
          </w:tcPr>
          <w:p w14:paraId="38B3B60A"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Total HHs</w:t>
            </w:r>
          </w:p>
        </w:tc>
      </w:tr>
      <w:tr w:rsidR="009F0ABB" w:rsidRPr="00A872AD" w14:paraId="7BC8FAC3" w14:textId="77777777" w:rsidTr="00562A28">
        <w:trPr>
          <w:trHeight w:val="225"/>
          <w:jc w:val="center"/>
        </w:trPr>
        <w:tc>
          <w:tcPr>
            <w:tcW w:w="2080" w:type="dxa"/>
            <w:vMerge/>
            <w:tcBorders>
              <w:top w:val="double" w:sz="6" w:space="0" w:color="auto"/>
              <w:left w:val="double" w:sz="6" w:space="0" w:color="auto"/>
              <w:bottom w:val="single" w:sz="4" w:space="0" w:color="BFBFBF"/>
              <w:right w:val="nil"/>
            </w:tcBorders>
            <w:vAlign w:val="center"/>
          </w:tcPr>
          <w:p w14:paraId="0A17D042" w14:textId="77777777" w:rsidR="009F0ABB" w:rsidRPr="00A872AD" w:rsidRDefault="009F0ABB" w:rsidP="009F0ABB">
            <w:pPr>
              <w:spacing w:before="0" w:after="0"/>
              <w:rPr>
                <w:rFonts w:ascii="Arial" w:hAnsi="Arial" w:cs="Arial"/>
                <w:b/>
                <w:bCs/>
                <w:color w:val="000000"/>
                <w:sz w:val="16"/>
                <w:szCs w:val="16"/>
                <w:lang w:val="en-AU" w:eastAsia="en-AU"/>
              </w:rPr>
            </w:pPr>
          </w:p>
        </w:tc>
        <w:tc>
          <w:tcPr>
            <w:tcW w:w="525" w:type="dxa"/>
            <w:tcBorders>
              <w:top w:val="nil"/>
              <w:left w:val="single" w:sz="4" w:space="0" w:color="auto"/>
              <w:bottom w:val="nil"/>
              <w:right w:val="single" w:sz="4" w:space="0" w:color="BFBFBF"/>
            </w:tcBorders>
            <w:shd w:val="clear" w:color="auto" w:fill="auto"/>
            <w:noWrap/>
            <w:vAlign w:val="center"/>
          </w:tcPr>
          <w:p w14:paraId="4E9D244E"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2014</w:t>
            </w:r>
          </w:p>
        </w:tc>
        <w:tc>
          <w:tcPr>
            <w:tcW w:w="525" w:type="dxa"/>
            <w:tcBorders>
              <w:top w:val="nil"/>
              <w:left w:val="nil"/>
              <w:bottom w:val="nil"/>
              <w:right w:val="single" w:sz="4" w:space="0" w:color="BFBFBF"/>
            </w:tcBorders>
            <w:shd w:val="clear" w:color="auto" w:fill="auto"/>
            <w:noWrap/>
            <w:vAlign w:val="center"/>
          </w:tcPr>
          <w:p w14:paraId="7D86A43E"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2007</w:t>
            </w:r>
          </w:p>
        </w:tc>
        <w:tc>
          <w:tcPr>
            <w:tcW w:w="525" w:type="dxa"/>
            <w:tcBorders>
              <w:top w:val="nil"/>
              <w:left w:val="nil"/>
              <w:bottom w:val="nil"/>
              <w:right w:val="single" w:sz="4" w:space="0" w:color="BFBFBF"/>
            </w:tcBorders>
            <w:shd w:val="clear" w:color="auto" w:fill="auto"/>
            <w:noWrap/>
            <w:vAlign w:val="center"/>
          </w:tcPr>
          <w:p w14:paraId="3157CB8C"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2001</w:t>
            </w:r>
          </w:p>
        </w:tc>
        <w:tc>
          <w:tcPr>
            <w:tcW w:w="525" w:type="dxa"/>
            <w:tcBorders>
              <w:top w:val="nil"/>
              <w:left w:val="nil"/>
              <w:bottom w:val="nil"/>
              <w:right w:val="single" w:sz="4" w:space="0" w:color="auto"/>
            </w:tcBorders>
            <w:shd w:val="clear" w:color="auto" w:fill="auto"/>
            <w:noWrap/>
            <w:vAlign w:val="center"/>
          </w:tcPr>
          <w:p w14:paraId="1028786E"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1996</w:t>
            </w:r>
          </w:p>
        </w:tc>
        <w:tc>
          <w:tcPr>
            <w:tcW w:w="475" w:type="dxa"/>
            <w:tcBorders>
              <w:top w:val="nil"/>
              <w:left w:val="nil"/>
              <w:bottom w:val="nil"/>
              <w:right w:val="single" w:sz="4" w:space="0" w:color="BFBFBF"/>
            </w:tcBorders>
            <w:shd w:val="clear" w:color="auto" w:fill="auto"/>
            <w:noWrap/>
            <w:vAlign w:val="center"/>
          </w:tcPr>
          <w:p w14:paraId="7BA0BAC5"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2014</w:t>
            </w:r>
          </w:p>
        </w:tc>
        <w:tc>
          <w:tcPr>
            <w:tcW w:w="475" w:type="dxa"/>
            <w:tcBorders>
              <w:top w:val="nil"/>
              <w:left w:val="nil"/>
              <w:bottom w:val="nil"/>
              <w:right w:val="single" w:sz="4" w:space="0" w:color="BFBFBF"/>
            </w:tcBorders>
            <w:shd w:val="clear" w:color="auto" w:fill="auto"/>
            <w:noWrap/>
            <w:vAlign w:val="center"/>
          </w:tcPr>
          <w:p w14:paraId="602A1B37"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2007</w:t>
            </w:r>
          </w:p>
        </w:tc>
        <w:tc>
          <w:tcPr>
            <w:tcW w:w="475" w:type="dxa"/>
            <w:tcBorders>
              <w:top w:val="nil"/>
              <w:left w:val="nil"/>
              <w:bottom w:val="nil"/>
              <w:right w:val="single" w:sz="4" w:space="0" w:color="BFBFBF"/>
            </w:tcBorders>
            <w:shd w:val="clear" w:color="auto" w:fill="auto"/>
            <w:noWrap/>
            <w:vAlign w:val="center"/>
          </w:tcPr>
          <w:p w14:paraId="4A62EC5D"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2001</w:t>
            </w:r>
          </w:p>
        </w:tc>
        <w:tc>
          <w:tcPr>
            <w:tcW w:w="475" w:type="dxa"/>
            <w:tcBorders>
              <w:top w:val="nil"/>
              <w:left w:val="nil"/>
              <w:bottom w:val="nil"/>
              <w:right w:val="nil"/>
            </w:tcBorders>
            <w:shd w:val="clear" w:color="auto" w:fill="auto"/>
            <w:noWrap/>
            <w:vAlign w:val="center"/>
          </w:tcPr>
          <w:p w14:paraId="50128E64"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1996</w:t>
            </w:r>
          </w:p>
        </w:tc>
        <w:tc>
          <w:tcPr>
            <w:tcW w:w="490" w:type="dxa"/>
            <w:tcBorders>
              <w:top w:val="nil"/>
              <w:left w:val="single" w:sz="4" w:space="0" w:color="auto"/>
              <w:bottom w:val="nil"/>
              <w:right w:val="single" w:sz="4" w:space="0" w:color="BFBFBF"/>
            </w:tcBorders>
            <w:shd w:val="clear" w:color="auto" w:fill="auto"/>
            <w:noWrap/>
            <w:vAlign w:val="center"/>
          </w:tcPr>
          <w:p w14:paraId="72ED6DAA"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2014</w:t>
            </w:r>
          </w:p>
        </w:tc>
        <w:tc>
          <w:tcPr>
            <w:tcW w:w="490" w:type="dxa"/>
            <w:tcBorders>
              <w:top w:val="nil"/>
              <w:left w:val="nil"/>
              <w:bottom w:val="nil"/>
              <w:right w:val="single" w:sz="4" w:space="0" w:color="BFBFBF"/>
            </w:tcBorders>
            <w:shd w:val="clear" w:color="auto" w:fill="auto"/>
            <w:noWrap/>
            <w:vAlign w:val="center"/>
          </w:tcPr>
          <w:p w14:paraId="1994FCB6"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2007</w:t>
            </w:r>
          </w:p>
        </w:tc>
        <w:tc>
          <w:tcPr>
            <w:tcW w:w="490" w:type="dxa"/>
            <w:tcBorders>
              <w:top w:val="nil"/>
              <w:left w:val="nil"/>
              <w:bottom w:val="nil"/>
              <w:right w:val="single" w:sz="4" w:space="0" w:color="BFBFBF"/>
            </w:tcBorders>
            <w:shd w:val="clear" w:color="auto" w:fill="auto"/>
            <w:noWrap/>
            <w:vAlign w:val="center"/>
          </w:tcPr>
          <w:p w14:paraId="03AF7F9A"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2001</w:t>
            </w:r>
          </w:p>
        </w:tc>
        <w:tc>
          <w:tcPr>
            <w:tcW w:w="490" w:type="dxa"/>
            <w:tcBorders>
              <w:top w:val="nil"/>
              <w:left w:val="nil"/>
              <w:bottom w:val="nil"/>
              <w:right w:val="single" w:sz="4" w:space="0" w:color="auto"/>
            </w:tcBorders>
            <w:shd w:val="clear" w:color="auto" w:fill="auto"/>
            <w:noWrap/>
            <w:vAlign w:val="center"/>
          </w:tcPr>
          <w:p w14:paraId="7EBEF43C"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1996</w:t>
            </w:r>
          </w:p>
        </w:tc>
        <w:tc>
          <w:tcPr>
            <w:tcW w:w="480" w:type="dxa"/>
            <w:tcBorders>
              <w:top w:val="nil"/>
              <w:left w:val="nil"/>
              <w:bottom w:val="nil"/>
              <w:right w:val="single" w:sz="4" w:space="0" w:color="BFBFBF"/>
            </w:tcBorders>
            <w:shd w:val="clear" w:color="auto" w:fill="auto"/>
            <w:noWrap/>
            <w:vAlign w:val="center"/>
          </w:tcPr>
          <w:p w14:paraId="7EAC91F6"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2014</w:t>
            </w:r>
          </w:p>
        </w:tc>
        <w:tc>
          <w:tcPr>
            <w:tcW w:w="480" w:type="dxa"/>
            <w:tcBorders>
              <w:top w:val="nil"/>
              <w:left w:val="nil"/>
              <w:bottom w:val="nil"/>
              <w:right w:val="single" w:sz="4" w:space="0" w:color="BFBFBF"/>
            </w:tcBorders>
            <w:shd w:val="clear" w:color="auto" w:fill="auto"/>
            <w:noWrap/>
            <w:vAlign w:val="center"/>
          </w:tcPr>
          <w:p w14:paraId="3D68876C"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2007</w:t>
            </w:r>
          </w:p>
        </w:tc>
        <w:tc>
          <w:tcPr>
            <w:tcW w:w="480" w:type="dxa"/>
            <w:tcBorders>
              <w:top w:val="nil"/>
              <w:left w:val="nil"/>
              <w:bottom w:val="nil"/>
              <w:right w:val="single" w:sz="4" w:space="0" w:color="BFBFBF"/>
            </w:tcBorders>
            <w:shd w:val="clear" w:color="auto" w:fill="auto"/>
            <w:noWrap/>
            <w:vAlign w:val="center"/>
          </w:tcPr>
          <w:p w14:paraId="6E201A37"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2001</w:t>
            </w:r>
          </w:p>
        </w:tc>
        <w:tc>
          <w:tcPr>
            <w:tcW w:w="480" w:type="dxa"/>
            <w:tcBorders>
              <w:top w:val="nil"/>
              <w:left w:val="nil"/>
              <w:bottom w:val="nil"/>
              <w:right w:val="nil"/>
            </w:tcBorders>
            <w:shd w:val="clear" w:color="auto" w:fill="auto"/>
            <w:noWrap/>
            <w:vAlign w:val="center"/>
          </w:tcPr>
          <w:p w14:paraId="609AA3F8"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1996</w:t>
            </w:r>
          </w:p>
        </w:tc>
        <w:tc>
          <w:tcPr>
            <w:tcW w:w="480" w:type="dxa"/>
            <w:tcBorders>
              <w:top w:val="nil"/>
              <w:left w:val="nil"/>
              <w:bottom w:val="nil"/>
              <w:right w:val="single" w:sz="4" w:space="0" w:color="BFBFBF"/>
            </w:tcBorders>
            <w:shd w:val="clear" w:color="auto" w:fill="auto"/>
            <w:noWrap/>
            <w:vAlign w:val="center"/>
          </w:tcPr>
          <w:p w14:paraId="279141D4"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2014</w:t>
            </w:r>
          </w:p>
        </w:tc>
        <w:tc>
          <w:tcPr>
            <w:tcW w:w="480" w:type="dxa"/>
            <w:tcBorders>
              <w:top w:val="nil"/>
              <w:left w:val="nil"/>
              <w:bottom w:val="nil"/>
              <w:right w:val="single" w:sz="4" w:space="0" w:color="BFBFBF"/>
            </w:tcBorders>
            <w:shd w:val="clear" w:color="auto" w:fill="auto"/>
            <w:noWrap/>
            <w:vAlign w:val="center"/>
          </w:tcPr>
          <w:p w14:paraId="0A97289A"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2007</w:t>
            </w:r>
          </w:p>
        </w:tc>
        <w:tc>
          <w:tcPr>
            <w:tcW w:w="480" w:type="dxa"/>
            <w:tcBorders>
              <w:top w:val="nil"/>
              <w:left w:val="nil"/>
              <w:bottom w:val="nil"/>
              <w:right w:val="single" w:sz="4" w:space="0" w:color="BFBFBF"/>
            </w:tcBorders>
            <w:shd w:val="clear" w:color="auto" w:fill="auto"/>
            <w:noWrap/>
            <w:vAlign w:val="center"/>
          </w:tcPr>
          <w:p w14:paraId="63FD5377"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2001</w:t>
            </w:r>
          </w:p>
        </w:tc>
        <w:tc>
          <w:tcPr>
            <w:tcW w:w="480" w:type="dxa"/>
            <w:tcBorders>
              <w:top w:val="nil"/>
              <w:left w:val="nil"/>
              <w:bottom w:val="nil"/>
              <w:right w:val="double" w:sz="6" w:space="0" w:color="auto"/>
            </w:tcBorders>
            <w:shd w:val="clear" w:color="auto" w:fill="auto"/>
            <w:noWrap/>
            <w:vAlign w:val="center"/>
          </w:tcPr>
          <w:p w14:paraId="0877ECED"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1996</w:t>
            </w:r>
          </w:p>
        </w:tc>
      </w:tr>
      <w:tr w:rsidR="0054131D" w:rsidRPr="00A872AD" w14:paraId="33F30BFD" w14:textId="77777777" w:rsidTr="00022E1D">
        <w:trPr>
          <w:trHeight w:val="283"/>
          <w:jc w:val="center"/>
        </w:trPr>
        <w:tc>
          <w:tcPr>
            <w:tcW w:w="2080" w:type="dxa"/>
            <w:tcBorders>
              <w:top w:val="single" w:sz="4" w:space="0" w:color="auto"/>
              <w:left w:val="double" w:sz="6" w:space="0" w:color="auto"/>
              <w:bottom w:val="single" w:sz="4" w:space="0" w:color="BFBFBF"/>
              <w:right w:val="nil"/>
            </w:tcBorders>
            <w:shd w:val="clear" w:color="auto" w:fill="auto"/>
            <w:noWrap/>
            <w:vAlign w:val="center"/>
          </w:tcPr>
          <w:p w14:paraId="684913A8" w14:textId="77777777" w:rsidR="009F0ABB" w:rsidRPr="00A872AD" w:rsidRDefault="009F0ABB" w:rsidP="009F0ABB">
            <w:pPr>
              <w:spacing w:before="0" w:after="0"/>
              <w:rPr>
                <w:rFonts w:ascii="Arial" w:hAnsi="Arial" w:cs="Arial"/>
                <w:color w:val="000000"/>
                <w:sz w:val="16"/>
                <w:szCs w:val="16"/>
                <w:lang w:val="en-AU" w:eastAsia="en-AU"/>
              </w:rPr>
            </w:pPr>
            <w:r w:rsidRPr="00A872AD">
              <w:rPr>
                <w:rFonts w:ascii="Arial" w:hAnsi="Arial" w:cs="Arial"/>
                <w:color w:val="000000"/>
                <w:sz w:val="16"/>
                <w:szCs w:val="16"/>
                <w:lang w:val="en-AU" w:eastAsia="en-AU"/>
              </w:rPr>
              <w:t>Use Mains Gas</w:t>
            </w:r>
          </w:p>
        </w:tc>
        <w:tc>
          <w:tcPr>
            <w:tcW w:w="525" w:type="dxa"/>
            <w:tcBorders>
              <w:top w:val="single" w:sz="4" w:space="0" w:color="auto"/>
              <w:left w:val="single" w:sz="4" w:space="0" w:color="auto"/>
              <w:bottom w:val="single" w:sz="4" w:space="0" w:color="BFBFBF"/>
              <w:right w:val="single" w:sz="4" w:space="0" w:color="BFBFBF"/>
            </w:tcBorders>
            <w:shd w:val="clear" w:color="auto" w:fill="auto"/>
            <w:noWrap/>
            <w:vAlign w:val="center"/>
          </w:tcPr>
          <w:p w14:paraId="568407F2" w14:textId="77777777" w:rsidR="009F0ABB" w:rsidRPr="00A872AD" w:rsidRDefault="009F0ABB" w:rsidP="008345E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w:t>
            </w:r>
            <w:r w:rsidR="008345EB" w:rsidRPr="00A872AD">
              <w:rPr>
                <w:rFonts w:ascii="Arial" w:hAnsi="Arial" w:cs="Arial"/>
                <w:color w:val="000000"/>
                <w:sz w:val="16"/>
                <w:szCs w:val="16"/>
                <w:lang w:val="en-AU" w:eastAsia="en-AU"/>
              </w:rPr>
              <w:t>6</w:t>
            </w:r>
            <w:r w:rsidRPr="00A872AD">
              <w:rPr>
                <w:rFonts w:ascii="Arial" w:hAnsi="Arial" w:cs="Arial"/>
                <w:color w:val="000000"/>
                <w:sz w:val="16"/>
                <w:szCs w:val="16"/>
                <w:lang w:val="en-AU" w:eastAsia="en-AU"/>
              </w:rPr>
              <w:t>%</w:t>
            </w:r>
          </w:p>
        </w:tc>
        <w:tc>
          <w:tcPr>
            <w:tcW w:w="525" w:type="dxa"/>
            <w:tcBorders>
              <w:top w:val="single" w:sz="4" w:space="0" w:color="auto"/>
              <w:left w:val="nil"/>
              <w:bottom w:val="single" w:sz="4" w:space="0" w:color="BFBFBF"/>
              <w:right w:val="single" w:sz="4" w:space="0" w:color="BFBFBF"/>
            </w:tcBorders>
            <w:shd w:val="clear" w:color="auto" w:fill="auto"/>
            <w:noWrap/>
            <w:vAlign w:val="center"/>
          </w:tcPr>
          <w:p w14:paraId="2231A8AE"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83%</w:t>
            </w:r>
          </w:p>
        </w:tc>
        <w:tc>
          <w:tcPr>
            <w:tcW w:w="525" w:type="dxa"/>
            <w:tcBorders>
              <w:top w:val="single" w:sz="4" w:space="0" w:color="auto"/>
              <w:left w:val="nil"/>
              <w:bottom w:val="single" w:sz="4" w:space="0" w:color="BFBFBF"/>
              <w:right w:val="single" w:sz="4" w:space="0" w:color="BFBFBF"/>
            </w:tcBorders>
            <w:shd w:val="clear" w:color="auto" w:fill="auto"/>
            <w:noWrap/>
            <w:vAlign w:val="center"/>
          </w:tcPr>
          <w:p w14:paraId="6620E5EA"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91%</w:t>
            </w:r>
          </w:p>
        </w:tc>
        <w:tc>
          <w:tcPr>
            <w:tcW w:w="525" w:type="dxa"/>
            <w:tcBorders>
              <w:top w:val="single" w:sz="4" w:space="0" w:color="auto"/>
              <w:left w:val="nil"/>
              <w:bottom w:val="single" w:sz="4" w:space="0" w:color="BFBFBF"/>
              <w:right w:val="single" w:sz="4" w:space="0" w:color="auto"/>
            </w:tcBorders>
            <w:shd w:val="clear" w:color="auto" w:fill="auto"/>
            <w:noWrap/>
            <w:vAlign w:val="center"/>
          </w:tcPr>
          <w:p w14:paraId="17211F85"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84%</w:t>
            </w:r>
          </w:p>
        </w:tc>
        <w:tc>
          <w:tcPr>
            <w:tcW w:w="475" w:type="dxa"/>
            <w:tcBorders>
              <w:top w:val="single" w:sz="4" w:space="0" w:color="auto"/>
              <w:left w:val="nil"/>
              <w:bottom w:val="single" w:sz="4" w:space="0" w:color="BFBFBF"/>
              <w:right w:val="single" w:sz="4" w:space="0" w:color="BFBFBF"/>
            </w:tcBorders>
            <w:shd w:val="clear" w:color="auto" w:fill="auto"/>
            <w:noWrap/>
            <w:vAlign w:val="center"/>
          </w:tcPr>
          <w:p w14:paraId="6CC2FF2A" w14:textId="77777777" w:rsidR="009F0ABB" w:rsidRPr="00A872AD" w:rsidRDefault="009F0ABB" w:rsidP="00A872AD">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w:t>
            </w:r>
            <w:r w:rsidR="00A872AD">
              <w:rPr>
                <w:rFonts w:ascii="Arial" w:hAnsi="Arial" w:cs="Arial"/>
                <w:color w:val="000000"/>
                <w:sz w:val="16"/>
                <w:szCs w:val="16"/>
                <w:lang w:val="en-AU" w:eastAsia="en-AU"/>
              </w:rPr>
              <w:t>6</w:t>
            </w:r>
            <w:r w:rsidRPr="00A872AD">
              <w:rPr>
                <w:rFonts w:ascii="Arial" w:hAnsi="Arial" w:cs="Arial"/>
                <w:color w:val="000000"/>
                <w:sz w:val="16"/>
                <w:szCs w:val="16"/>
                <w:lang w:val="en-AU" w:eastAsia="en-AU"/>
              </w:rPr>
              <w:t>%</w:t>
            </w:r>
          </w:p>
        </w:tc>
        <w:tc>
          <w:tcPr>
            <w:tcW w:w="475" w:type="dxa"/>
            <w:tcBorders>
              <w:top w:val="single" w:sz="4" w:space="0" w:color="auto"/>
              <w:left w:val="nil"/>
              <w:bottom w:val="single" w:sz="4" w:space="0" w:color="BFBFBF"/>
              <w:right w:val="single" w:sz="4" w:space="0" w:color="BFBFBF"/>
            </w:tcBorders>
            <w:shd w:val="clear" w:color="auto" w:fill="auto"/>
            <w:noWrap/>
            <w:vAlign w:val="center"/>
          </w:tcPr>
          <w:p w14:paraId="0FC3E3E6"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84%</w:t>
            </w:r>
          </w:p>
        </w:tc>
        <w:tc>
          <w:tcPr>
            <w:tcW w:w="475" w:type="dxa"/>
            <w:tcBorders>
              <w:top w:val="single" w:sz="4" w:space="0" w:color="auto"/>
              <w:left w:val="nil"/>
              <w:bottom w:val="single" w:sz="4" w:space="0" w:color="BFBFBF"/>
              <w:right w:val="single" w:sz="4" w:space="0" w:color="BFBFBF"/>
            </w:tcBorders>
            <w:shd w:val="clear" w:color="auto" w:fill="auto"/>
            <w:noWrap/>
            <w:vAlign w:val="center"/>
          </w:tcPr>
          <w:p w14:paraId="690AA8EC"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92%</w:t>
            </w:r>
          </w:p>
        </w:tc>
        <w:tc>
          <w:tcPr>
            <w:tcW w:w="475" w:type="dxa"/>
            <w:tcBorders>
              <w:top w:val="single" w:sz="4" w:space="0" w:color="auto"/>
              <w:left w:val="nil"/>
              <w:bottom w:val="single" w:sz="4" w:space="0" w:color="BFBFBF"/>
              <w:right w:val="nil"/>
            </w:tcBorders>
            <w:shd w:val="clear" w:color="auto" w:fill="auto"/>
            <w:noWrap/>
            <w:vAlign w:val="center"/>
          </w:tcPr>
          <w:p w14:paraId="58FF52AE"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88%</w:t>
            </w:r>
          </w:p>
        </w:tc>
        <w:tc>
          <w:tcPr>
            <w:tcW w:w="490" w:type="dxa"/>
            <w:tcBorders>
              <w:top w:val="single" w:sz="4" w:space="0" w:color="auto"/>
              <w:left w:val="single" w:sz="4" w:space="0" w:color="auto"/>
              <w:bottom w:val="single" w:sz="4" w:space="0" w:color="BFBFBF"/>
              <w:right w:val="single" w:sz="4" w:space="0" w:color="BFBFBF"/>
            </w:tcBorders>
            <w:shd w:val="clear" w:color="auto" w:fill="auto"/>
            <w:noWrap/>
            <w:vAlign w:val="center"/>
          </w:tcPr>
          <w:p w14:paraId="5613BB18"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86%</w:t>
            </w:r>
          </w:p>
        </w:tc>
        <w:tc>
          <w:tcPr>
            <w:tcW w:w="490" w:type="dxa"/>
            <w:tcBorders>
              <w:top w:val="single" w:sz="4" w:space="0" w:color="auto"/>
              <w:left w:val="nil"/>
              <w:bottom w:val="single" w:sz="4" w:space="0" w:color="BFBFBF"/>
              <w:right w:val="single" w:sz="4" w:space="0" w:color="BFBFBF"/>
            </w:tcBorders>
            <w:shd w:val="clear" w:color="auto" w:fill="auto"/>
            <w:noWrap/>
            <w:vAlign w:val="center"/>
          </w:tcPr>
          <w:p w14:paraId="4DFD7869"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84%</w:t>
            </w:r>
          </w:p>
        </w:tc>
        <w:tc>
          <w:tcPr>
            <w:tcW w:w="490" w:type="dxa"/>
            <w:tcBorders>
              <w:top w:val="single" w:sz="4" w:space="0" w:color="auto"/>
              <w:left w:val="nil"/>
              <w:bottom w:val="single" w:sz="4" w:space="0" w:color="BFBFBF"/>
              <w:right w:val="single" w:sz="4" w:space="0" w:color="BFBFBF"/>
            </w:tcBorders>
            <w:shd w:val="clear" w:color="auto" w:fill="auto"/>
            <w:noWrap/>
            <w:vAlign w:val="center"/>
          </w:tcPr>
          <w:p w14:paraId="1001352E"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92%</w:t>
            </w:r>
          </w:p>
        </w:tc>
        <w:tc>
          <w:tcPr>
            <w:tcW w:w="490" w:type="dxa"/>
            <w:tcBorders>
              <w:top w:val="single" w:sz="4" w:space="0" w:color="auto"/>
              <w:left w:val="nil"/>
              <w:bottom w:val="single" w:sz="4" w:space="0" w:color="BFBFBF"/>
              <w:right w:val="single" w:sz="4" w:space="0" w:color="auto"/>
            </w:tcBorders>
            <w:shd w:val="clear" w:color="auto" w:fill="auto"/>
            <w:noWrap/>
            <w:vAlign w:val="center"/>
          </w:tcPr>
          <w:p w14:paraId="1961E1CE"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85%</w:t>
            </w:r>
          </w:p>
        </w:tc>
        <w:tc>
          <w:tcPr>
            <w:tcW w:w="480" w:type="dxa"/>
            <w:tcBorders>
              <w:top w:val="single" w:sz="4" w:space="0" w:color="auto"/>
              <w:left w:val="nil"/>
              <w:bottom w:val="single" w:sz="4" w:space="0" w:color="BFBFBF"/>
              <w:right w:val="single" w:sz="4" w:space="0" w:color="BFBFBF"/>
            </w:tcBorders>
            <w:shd w:val="clear" w:color="auto" w:fill="auto"/>
            <w:noWrap/>
            <w:vAlign w:val="center"/>
          </w:tcPr>
          <w:p w14:paraId="5B20693C"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90%</w:t>
            </w:r>
          </w:p>
        </w:tc>
        <w:tc>
          <w:tcPr>
            <w:tcW w:w="480" w:type="dxa"/>
            <w:tcBorders>
              <w:top w:val="single" w:sz="4" w:space="0" w:color="auto"/>
              <w:left w:val="nil"/>
              <w:bottom w:val="single" w:sz="4" w:space="0" w:color="BFBFBF"/>
              <w:right w:val="single" w:sz="4" w:space="0" w:color="BFBFBF"/>
            </w:tcBorders>
            <w:shd w:val="clear" w:color="auto" w:fill="auto"/>
            <w:noWrap/>
            <w:vAlign w:val="center"/>
          </w:tcPr>
          <w:p w14:paraId="057214FE"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91%</w:t>
            </w:r>
          </w:p>
        </w:tc>
        <w:tc>
          <w:tcPr>
            <w:tcW w:w="480" w:type="dxa"/>
            <w:tcBorders>
              <w:top w:val="single" w:sz="4" w:space="0" w:color="auto"/>
              <w:left w:val="nil"/>
              <w:bottom w:val="single" w:sz="4" w:space="0" w:color="BFBFBF"/>
              <w:right w:val="single" w:sz="4" w:space="0" w:color="BFBFBF"/>
            </w:tcBorders>
            <w:shd w:val="clear" w:color="auto" w:fill="auto"/>
            <w:noWrap/>
            <w:vAlign w:val="center"/>
          </w:tcPr>
          <w:p w14:paraId="049C00DC"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96%</w:t>
            </w:r>
          </w:p>
        </w:tc>
        <w:tc>
          <w:tcPr>
            <w:tcW w:w="480" w:type="dxa"/>
            <w:tcBorders>
              <w:top w:val="single" w:sz="4" w:space="0" w:color="auto"/>
              <w:left w:val="nil"/>
              <w:bottom w:val="single" w:sz="4" w:space="0" w:color="BFBFBF"/>
              <w:right w:val="nil"/>
            </w:tcBorders>
            <w:shd w:val="clear" w:color="auto" w:fill="auto"/>
            <w:noWrap/>
            <w:vAlign w:val="center"/>
          </w:tcPr>
          <w:p w14:paraId="6FD9AE51"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94%</w:t>
            </w:r>
          </w:p>
        </w:tc>
        <w:tc>
          <w:tcPr>
            <w:tcW w:w="480" w:type="dxa"/>
            <w:tcBorders>
              <w:top w:val="single" w:sz="4" w:space="0" w:color="auto"/>
              <w:left w:val="single" w:sz="4" w:space="0" w:color="auto"/>
              <w:bottom w:val="single" w:sz="4" w:space="0" w:color="BFBFBF"/>
              <w:right w:val="single" w:sz="4" w:space="0" w:color="BFBFBF"/>
            </w:tcBorders>
            <w:shd w:val="clear" w:color="auto" w:fill="auto"/>
            <w:noWrap/>
            <w:vAlign w:val="center"/>
          </w:tcPr>
          <w:p w14:paraId="0D0154B0"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88%</w:t>
            </w:r>
          </w:p>
        </w:tc>
        <w:tc>
          <w:tcPr>
            <w:tcW w:w="480" w:type="dxa"/>
            <w:tcBorders>
              <w:top w:val="single" w:sz="4" w:space="0" w:color="auto"/>
              <w:left w:val="nil"/>
              <w:bottom w:val="single" w:sz="4" w:space="0" w:color="BFBFBF"/>
              <w:right w:val="single" w:sz="4" w:space="0" w:color="BFBFBF"/>
            </w:tcBorders>
            <w:shd w:val="clear" w:color="auto" w:fill="auto"/>
            <w:noWrap/>
            <w:vAlign w:val="center"/>
          </w:tcPr>
          <w:p w14:paraId="071A8FC6"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88%</w:t>
            </w:r>
          </w:p>
        </w:tc>
        <w:tc>
          <w:tcPr>
            <w:tcW w:w="480" w:type="dxa"/>
            <w:tcBorders>
              <w:top w:val="single" w:sz="4" w:space="0" w:color="auto"/>
              <w:left w:val="nil"/>
              <w:bottom w:val="single" w:sz="4" w:space="0" w:color="BFBFBF"/>
              <w:right w:val="single" w:sz="4" w:space="0" w:color="BFBFBF"/>
            </w:tcBorders>
            <w:shd w:val="clear" w:color="auto" w:fill="auto"/>
            <w:noWrap/>
            <w:vAlign w:val="center"/>
          </w:tcPr>
          <w:p w14:paraId="210A5C60"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94%</w:t>
            </w:r>
          </w:p>
        </w:tc>
        <w:tc>
          <w:tcPr>
            <w:tcW w:w="480" w:type="dxa"/>
            <w:tcBorders>
              <w:top w:val="single" w:sz="4" w:space="0" w:color="auto"/>
              <w:left w:val="nil"/>
              <w:bottom w:val="single" w:sz="4" w:space="0" w:color="BFBFBF"/>
              <w:right w:val="double" w:sz="6" w:space="0" w:color="auto"/>
            </w:tcBorders>
            <w:shd w:val="clear" w:color="auto" w:fill="auto"/>
            <w:noWrap/>
            <w:vAlign w:val="center"/>
          </w:tcPr>
          <w:p w14:paraId="25868041"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91%</w:t>
            </w:r>
          </w:p>
        </w:tc>
      </w:tr>
      <w:tr w:rsidR="0054131D" w:rsidRPr="00A872AD" w14:paraId="55EE2232" w14:textId="77777777" w:rsidTr="00022E1D">
        <w:trPr>
          <w:trHeight w:val="283"/>
          <w:jc w:val="center"/>
        </w:trPr>
        <w:tc>
          <w:tcPr>
            <w:tcW w:w="2080" w:type="dxa"/>
            <w:tcBorders>
              <w:top w:val="nil"/>
              <w:left w:val="double" w:sz="6" w:space="0" w:color="auto"/>
              <w:bottom w:val="single" w:sz="4" w:space="0" w:color="BFBFBF"/>
              <w:right w:val="nil"/>
            </w:tcBorders>
            <w:shd w:val="clear" w:color="auto" w:fill="auto"/>
            <w:noWrap/>
            <w:vAlign w:val="center"/>
          </w:tcPr>
          <w:p w14:paraId="0E1FC29A" w14:textId="77777777" w:rsidR="009F0ABB" w:rsidRPr="00A872AD" w:rsidRDefault="009F0ABB" w:rsidP="009F0ABB">
            <w:pPr>
              <w:spacing w:before="0" w:after="0"/>
              <w:rPr>
                <w:rFonts w:ascii="Arial" w:hAnsi="Arial" w:cs="Arial"/>
                <w:color w:val="000000"/>
                <w:sz w:val="16"/>
                <w:szCs w:val="16"/>
                <w:lang w:val="en-AU" w:eastAsia="en-AU"/>
              </w:rPr>
            </w:pPr>
            <w:r w:rsidRPr="00A872AD">
              <w:rPr>
                <w:rFonts w:ascii="Arial" w:hAnsi="Arial" w:cs="Arial"/>
                <w:color w:val="000000"/>
                <w:sz w:val="16"/>
                <w:szCs w:val="16"/>
                <w:lang w:val="en-AU" w:eastAsia="en-AU"/>
              </w:rPr>
              <w:t>Use Cylinder Gas</w:t>
            </w:r>
          </w:p>
        </w:tc>
        <w:tc>
          <w:tcPr>
            <w:tcW w:w="525" w:type="dxa"/>
            <w:tcBorders>
              <w:top w:val="nil"/>
              <w:left w:val="single" w:sz="4" w:space="0" w:color="auto"/>
              <w:bottom w:val="single" w:sz="4" w:space="0" w:color="BFBFBF"/>
              <w:right w:val="single" w:sz="4" w:space="0" w:color="BFBFBF"/>
            </w:tcBorders>
            <w:shd w:val="clear" w:color="auto" w:fill="auto"/>
            <w:noWrap/>
            <w:vAlign w:val="center"/>
          </w:tcPr>
          <w:p w14:paraId="737951AD" w14:textId="77777777" w:rsidR="009F0ABB" w:rsidRPr="00A872AD" w:rsidRDefault="00A872AD" w:rsidP="00A872AD">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3</w:t>
            </w:r>
            <w:r w:rsidR="009F0ABB" w:rsidRPr="00A872AD">
              <w:rPr>
                <w:rFonts w:ascii="Arial" w:hAnsi="Arial" w:cs="Arial"/>
                <w:color w:val="000000"/>
                <w:sz w:val="16"/>
                <w:szCs w:val="16"/>
                <w:lang w:val="en-AU" w:eastAsia="en-AU"/>
              </w:rPr>
              <w:t>%</w:t>
            </w:r>
          </w:p>
        </w:tc>
        <w:tc>
          <w:tcPr>
            <w:tcW w:w="525" w:type="dxa"/>
            <w:tcBorders>
              <w:top w:val="nil"/>
              <w:left w:val="nil"/>
              <w:bottom w:val="single" w:sz="4" w:space="0" w:color="BFBFBF"/>
              <w:right w:val="single" w:sz="4" w:space="0" w:color="BFBFBF"/>
            </w:tcBorders>
            <w:shd w:val="clear" w:color="auto" w:fill="auto"/>
            <w:noWrap/>
            <w:vAlign w:val="center"/>
          </w:tcPr>
          <w:p w14:paraId="103F61D9"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15%</w:t>
            </w:r>
          </w:p>
        </w:tc>
        <w:tc>
          <w:tcPr>
            <w:tcW w:w="525" w:type="dxa"/>
            <w:tcBorders>
              <w:top w:val="nil"/>
              <w:left w:val="nil"/>
              <w:bottom w:val="single" w:sz="4" w:space="0" w:color="BFBFBF"/>
              <w:right w:val="single" w:sz="4" w:space="0" w:color="BFBFBF"/>
            </w:tcBorders>
            <w:shd w:val="clear" w:color="auto" w:fill="auto"/>
            <w:noWrap/>
            <w:vAlign w:val="center"/>
          </w:tcPr>
          <w:p w14:paraId="6A996904"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w:t>
            </w:r>
          </w:p>
        </w:tc>
        <w:tc>
          <w:tcPr>
            <w:tcW w:w="525" w:type="dxa"/>
            <w:tcBorders>
              <w:top w:val="nil"/>
              <w:left w:val="nil"/>
              <w:bottom w:val="single" w:sz="4" w:space="0" w:color="BFBFBF"/>
              <w:right w:val="single" w:sz="4" w:space="0" w:color="auto"/>
            </w:tcBorders>
            <w:shd w:val="clear" w:color="auto" w:fill="auto"/>
            <w:noWrap/>
            <w:vAlign w:val="center"/>
          </w:tcPr>
          <w:p w14:paraId="1A5EBE95"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w:t>
            </w:r>
          </w:p>
        </w:tc>
        <w:tc>
          <w:tcPr>
            <w:tcW w:w="475" w:type="dxa"/>
            <w:tcBorders>
              <w:top w:val="nil"/>
              <w:left w:val="nil"/>
              <w:bottom w:val="single" w:sz="4" w:space="0" w:color="BFBFBF"/>
              <w:right w:val="single" w:sz="4" w:space="0" w:color="BFBFBF"/>
            </w:tcBorders>
            <w:shd w:val="clear" w:color="auto" w:fill="auto"/>
            <w:noWrap/>
            <w:vAlign w:val="center"/>
          </w:tcPr>
          <w:p w14:paraId="3FC224D5" w14:textId="77777777" w:rsidR="009F0ABB" w:rsidRPr="00A872AD" w:rsidRDefault="0001333E" w:rsidP="00A872AD">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5</w:t>
            </w:r>
            <w:r w:rsidR="009F0ABB" w:rsidRPr="00A872AD">
              <w:rPr>
                <w:rFonts w:ascii="Arial" w:hAnsi="Arial" w:cs="Arial"/>
                <w:color w:val="000000"/>
                <w:sz w:val="16"/>
                <w:szCs w:val="16"/>
                <w:lang w:val="en-AU" w:eastAsia="en-AU"/>
              </w:rPr>
              <w:t>%</w:t>
            </w:r>
          </w:p>
        </w:tc>
        <w:tc>
          <w:tcPr>
            <w:tcW w:w="475" w:type="dxa"/>
            <w:tcBorders>
              <w:top w:val="nil"/>
              <w:left w:val="nil"/>
              <w:bottom w:val="single" w:sz="4" w:space="0" w:color="BFBFBF"/>
              <w:right w:val="single" w:sz="4" w:space="0" w:color="BFBFBF"/>
            </w:tcBorders>
            <w:shd w:val="clear" w:color="auto" w:fill="auto"/>
            <w:noWrap/>
            <w:vAlign w:val="center"/>
          </w:tcPr>
          <w:p w14:paraId="160BDCE4"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10%</w:t>
            </w:r>
          </w:p>
        </w:tc>
        <w:tc>
          <w:tcPr>
            <w:tcW w:w="475" w:type="dxa"/>
            <w:tcBorders>
              <w:top w:val="nil"/>
              <w:left w:val="nil"/>
              <w:bottom w:val="single" w:sz="4" w:space="0" w:color="BFBFBF"/>
              <w:right w:val="single" w:sz="4" w:space="0" w:color="BFBFBF"/>
            </w:tcBorders>
            <w:shd w:val="clear" w:color="auto" w:fill="auto"/>
            <w:noWrap/>
            <w:vAlign w:val="center"/>
          </w:tcPr>
          <w:p w14:paraId="6025E4AD"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w:t>
            </w:r>
          </w:p>
        </w:tc>
        <w:tc>
          <w:tcPr>
            <w:tcW w:w="475" w:type="dxa"/>
            <w:tcBorders>
              <w:top w:val="nil"/>
              <w:left w:val="nil"/>
              <w:bottom w:val="single" w:sz="4" w:space="0" w:color="BFBFBF"/>
              <w:right w:val="nil"/>
            </w:tcBorders>
            <w:shd w:val="clear" w:color="auto" w:fill="auto"/>
            <w:noWrap/>
            <w:vAlign w:val="center"/>
          </w:tcPr>
          <w:p w14:paraId="28C2B67D"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w:t>
            </w:r>
          </w:p>
        </w:tc>
        <w:tc>
          <w:tcPr>
            <w:tcW w:w="490" w:type="dxa"/>
            <w:tcBorders>
              <w:top w:val="nil"/>
              <w:left w:val="single" w:sz="4" w:space="0" w:color="auto"/>
              <w:bottom w:val="single" w:sz="4" w:space="0" w:color="BFBFBF"/>
              <w:right w:val="single" w:sz="4" w:space="0" w:color="BFBFBF"/>
            </w:tcBorders>
            <w:shd w:val="clear" w:color="auto" w:fill="auto"/>
            <w:noWrap/>
            <w:vAlign w:val="center"/>
          </w:tcPr>
          <w:p w14:paraId="50DF93A1" w14:textId="77777777" w:rsidR="009F0ABB" w:rsidRPr="00A872AD" w:rsidRDefault="0001333E" w:rsidP="008345EB">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4</w:t>
            </w:r>
            <w:r w:rsidR="009F0ABB" w:rsidRPr="00A872AD">
              <w:rPr>
                <w:rFonts w:ascii="Arial" w:hAnsi="Arial" w:cs="Arial"/>
                <w:color w:val="000000"/>
                <w:sz w:val="16"/>
                <w:szCs w:val="16"/>
                <w:lang w:val="en-AU" w:eastAsia="en-AU"/>
              </w:rPr>
              <w:t>%</w:t>
            </w:r>
          </w:p>
        </w:tc>
        <w:tc>
          <w:tcPr>
            <w:tcW w:w="490" w:type="dxa"/>
            <w:tcBorders>
              <w:top w:val="nil"/>
              <w:left w:val="nil"/>
              <w:bottom w:val="single" w:sz="4" w:space="0" w:color="BFBFBF"/>
              <w:right w:val="single" w:sz="4" w:space="0" w:color="BFBFBF"/>
            </w:tcBorders>
            <w:shd w:val="clear" w:color="auto" w:fill="auto"/>
            <w:noWrap/>
            <w:vAlign w:val="center"/>
          </w:tcPr>
          <w:p w14:paraId="2C2F6680"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13%</w:t>
            </w:r>
          </w:p>
        </w:tc>
        <w:tc>
          <w:tcPr>
            <w:tcW w:w="490" w:type="dxa"/>
            <w:tcBorders>
              <w:top w:val="nil"/>
              <w:left w:val="nil"/>
              <w:bottom w:val="single" w:sz="4" w:space="0" w:color="BFBFBF"/>
              <w:right w:val="single" w:sz="4" w:space="0" w:color="BFBFBF"/>
            </w:tcBorders>
            <w:shd w:val="clear" w:color="auto" w:fill="auto"/>
            <w:noWrap/>
            <w:vAlign w:val="center"/>
          </w:tcPr>
          <w:p w14:paraId="317BFC44"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w:t>
            </w:r>
          </w:p>
        </w:tc>
        <w:tc>
          <w:tcPr>
            <w:tcW w:w="490" w:type="dxa"/>
            <w:tcBorders>
              <w:top w:val="nil"/>
              <w:left w:val="nil"/>
              <w:bottom w:val="single" w:sz="4" w:space="0" w:color="BFBFBF"/>
              <w:right w:val="single" w:sz="4" w:space="0" w:color="auto"/>
            </w:tcBorders>
            <w:shd w:val="clear" w:color="auto" w:fill="auto"/>
            <w:noWrap/>
            <w:vAlign w:val="center"/>
          </w:tcPr>
          <w:p w14:paraId="7C898648"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w:t>
            </w:r>
          </w:p>
        </w:tc>
        <w:tc>
          <w:tcPr>
            <w:tcW w:w="480" w:type="dxa"/>
            <w:tcBorders>
              <w:top w:val="nil"/>
              <w:left w:val="nil"/>
              <w:bottom w:val="single" w:sz="4" w:space="0" w:color="BFBFBF"/>
              <w:right w:val="single" w:sz="4" w:space="0" w:color="BFBFBF"/>
            </w:tcBorders>
            <w:shd w:val="clear" w:color="auto" w:fill="auto"/>
            <w:noWrap/>
            <w:vAlign w:val="center"/>
          </w:tcPr>
          <w:p w14:paraId="42F1603B" w14:textId="77777777" w:rsidR="009F0ABB" w:rsidRPr="00A872AD" w:rsidRDefault="0001333E" w:rsidP="009F0ABB">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4</w:t>
            </w:r>
            <w:r w:rsidR="009F0ABB" w:rsidRPr="00A872AD">
              <w:rPr>
                <w:rFonts w:ascii="Arial" w:hAnsi="Arial" w:cs="Arial"/>
                <w:color w:val="000000"/>
                <w:sz w:val="16"/>
                <w:szCs w:val="16"/>
                <w:lang w:val="en-AU" w:eastAsia="en-AU"/>
              </w:rPr>
              <w:t>%</w:t>
            </w:r>
          </w:p>
        </w:tc>
        <w:tc>
          <w:tcPr>
            <w:tcW w:w="480" w:type="dxa"/>
            <w:tcBorders>
              <w:top w:val="nil"/>
              <w:left w:val="nil"/>
              <w:bottom w:val="single" w:sz="4" w:space="0" w:color="BFBFBF"/>
              <w:right w:val="single" w:sz="4" w:space="0" w:color="BFBFBF"/>
            </w:tcBorders>
            <w:shd w:val="clear" w:color="auto" w:fill="auto"/>
            <w:noWrap/>
            <w:vAlign w:val="center"/>
          </w:tcPr>
          <w:p w14:paraId="41059CD0"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6%</w:t>
            </w:r>
          </w:p>
        </w:tc>
        <w:tc>
          <w:tcPr>
            <w:tcW w:w="480" w:type="dxa"/>
            <w:tcBorders>
              <w:top w:val="nil"/>
              <w:left w:val="nil"/>
              <w:bottom w:val="single" w:sz="4" w:space="0" w:color="BFBFBF"/>
              <w:right w:val="single" w:sz="4" w:space="0" w:color="BFBFBF"/>
            </w:tcBorders>
            <w:shd w:val="clear" w:color="auto" w:fill="auto"/>
            <w:noWrap/>
            <w:vAlign w:val="center"/>
          </w:tcPr>
          <w:p w14:paraId="0F5DA830"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w:t>
            </w:r>
          </w:p>
        </w:tc>
        <w:tc>
          <w:tcPr>
            <w:tcW w:w="480" w:type="dxa"/>
            <w:tcBorders>
              <w:top w:val="nil"/>
              <w:left w:val="nil"/>
              <w:bottom w:val="single" w:sz="4" w:space="0" w:color="BFBFBF"/>
              <w:right w:val="nil"/>
            </w:tcBorders>
            <w:shd w:val="clear" w:color="auto" w:fill="auto"/>
            <w:noWrap/>
            <w:vAlign w:val="center"/>
          </w:tcPr>
          <w:p w14:paraId="1709FE00"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w:t>
            </w:r>
          </w:p>
        </w:tc>
        <w:tc>
          <w:tcPr>
            <w:tcW w:w="480" w:type="dxa"/>
            <w:tcBorders>
              <w:top w:val="nil"/>
              <w:left w:val="single" w:sz="4" w:space="0" w:color="auto"/>
              <w:bottom w:val="single" w:sz="4" w:space="0" w:color="BFBFBF"/>
              <w:right w:val="single" w:sz="4" w:space="0" w:color="BFBFBF"/>
            </w:tcBorders>
            <w:shd w:val="clear" w:color="auto" w:fill="auto"/>
            <w:noWrap/>
            <w:vAlign w:val="center"/>
          </w:tcPr>
          <w:p w14:paraId="75620131" w14:textId="77777777" w:rsidR="009F0ABB" w:rsidRPr="00A872AD" w:rsidRDefault="00A872AD" w:rsidP="009F0ABB">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4</w:t>
            </w:r>
            <w:r w:rsidR="009F0ABB" w:rsidRPr="00A872AD">
              <w:rPr>
                <w:rFonts w:ascii="Arial" w:hAnsi="Arial" w:cs="Arial"/>
                <w:color w:val="000000"/>
                <w:sz w:val="16"/>
                <w:szCs w:val="16"/>
                <w:lang w:val="en-AU" w:eastAsia="en-AU"/>
              </w:rPr>
              <w:t>%</w:t>
            </w:r>
          </w:p>
        </w:tc>
        <w:tc>
          <w:tcPr>
            <w:tcW w:w="480" w:type="dxa"/>
            <w:tcBorders>
              <w:top w:val="nil"/>
              <w:left w:val="nil"/>
              <w:bottom w:val="single" w:sz="4" w:space="0" w:color="BFBFBF"/>
              <w:right w:val="single" w:sz="4" w:space="0" w:color="BFBFBF"/>
            </w:tcBorders>
            <w:shd w:val="clear" w:color="auto" w:fill="auto"/>
            <w:noWrap/>
            <w:vAlign w:val="center"/>
          </w:tcPr>
          <w:p w14:paraId="4BD4A1AC"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w:t>
            </w:r>
          </w:p>
        </w:tc>
        <w:tc>
          <w:tcPr>
            <w:tcW w:w="480" w:type="dxa"/>
            <w:tcBorders>
              <w:top w:val="nil"/>
              <w:left w:val="nil"/>
              <w:bottom w:val="single" w:sz="4" w:space="0" w:color="BFBFBF"/>
              <w:right w:val="single" w:sz="4" w:space="0" w:color="BFBFBF"/>
            </w:tcBorders>
            <w:shd w:val="clear" w:color="auto" w:fill="auto"/>
            <w:noWrap/>
            <w:vAlign w:val="center"/>
          </w:tcPr>
          <w:p w14:paraId="374B1A7A"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w:t>
            </w:r>
          </w:p>
        </w:tc>
        <w:tc>
          <w:tcPr>
            <w:tcW w:w="480" w:type="dxa"/>
            <w:tcBorders>
              <w:top w:val="nil"/>
              <w:left w:val="nil"/>
              <w:bottom w:val="single" w:sz="4" w:space="0" w:color="BFBFBF"/>
              <w:right w:val="double" w:sz="6" w:space="0" w:color="auto"/>
            </w:tcBorders>
            <w:shd w:val="clear" w:color="auto" w:fill="auto"/>
            <w:noWrap/>
            <w:vAlign w:val="center"/>
          </w:tcPr>
          <w:p w14:paraId="57438FBD"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w:t>
            </w:r>
          </w:p>
        </w:tc>
      </w:tr>
      <w:tr w:rsidR="0054131D" w:rsidRPr="00A872AD" w14:paraId="7BA79DAA" w14:textId="77777777" w:rsidTr="00022E1D">
        <w:trPr>
          <w:trHeight w:val="283"/>
          <w:jc w:val="center"/>
        </w:trPr>
        <w:tc>
          <w:tcPr>
            <w:tcW w:w="2080" w:type="dxa"/>
            <w:tcBorders>
              <w:top w:val="nil"/>
              <w:left w:val="double" w:sz="6" w:space="0" w:color="auto"/>
              <w:bottom w:val="single" w:sz="4" w:space="0" w:color="BFBFBF"/>
              <w:right w:val="nil"/>
            </w:tcBorders>
            <w:shd w:val="clear" w:color="auto" w:fill="auto"/>
            <w:noWrap/>
            <w:vAlign w:val="center"/>
          </w:tcPr>
          <w:p w14:paraId="2BA2BE85" w14:textId="77777777" w:rsidR="009F0ABB" w:rsidRPr="00A872AD" w:rsidRDefault="009F0ABB" w:rsidP="009F0ABB">
            <w:pPr>
              <w:spacing w:before="0" w:after="0"/>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Total Use Gas</w:t>
            </w:r>
          </w:p>
        </w:tc>
        <w:tc>
          <w:tcPr>
            <w:tcW w:w="525" w:type="dxa"/>
            <w:tcBorders>
              <w:top w:val="nil"/>
              <w:left w:val="single" w:sz="4" w:space="0" w:color="auto"/>
              <w:bottom w:val="single" w:sz="4" w:space="0" w:color="BFBFBF"/>
              <w:right w:val="single" w:sz="4" w:space="0" w:color="BFBFBF"/>
            </w:tcBorders>
            <w:shd w:val="clear" w:color="auto" w:fill="auto"/>
            <w:noWrap/>
            <w:vAlign w:val="center"/>
          </w:tcPr>
          <w:p w14:paraId="1D73AC71" w14:textId="77777777" w:rsidR="009F0ABB" w:rsidRPr="00A872AD" w:rsidRDefault="009F0ABB" w:rsidP="00A872AD">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8</w:t>
            </w:r>
            <w:r w:rsidR="00A872AD">
              <w:rPr>
                <w:rFonts w:ascii="Arial" w:hAnsi="Arial" w:cs="Arial"/>
                <w:b/>
                <w:bCs/>
                <w:color w:val="000000"/>
                <w:sz w:val="16"/>
                <w:szCs w:val="16"/>
                <w:lang w:val="en-AU" w:eastAsia="en-AU"/>
              </w:rPr>
              <w:t>9</w:t>
            </w:r>
            <w:r w:rsidRPr="00A872AD">
              <w:rPr>
                <w:rFonts w:ascii="Arial" w:hAnsi="Arial" w:cs="Arial"/>
                <w:b/>
                <w:bCs/>
                <w:color w:val="000000"/>
                <w:sz w:val="16"/>
                <w:szCs w:val="16"/>
                <w:lang w:val="en-AU" w:eastAsia="en-AU"/>
              </w:rPr>
              <w:t>%</w:t>
            </w:r>
          </w:p>
        </w:tc>
        <w:tc>
          <w:tcPr>
            <w:tcW w:w="525" w:type="dxa"/>
            <w:tcBorders>
              <w:top w:val="nil"/>
              <w:left w:val="nil"/>
              <w:bottom w:val="single" w:sz="4" w:space="0" w:color="BFBFBF"/>
              <w:right w:val="single" w:sz="4" w:space="0" w:color="BFBFBF"/>
            </w:tcBorders>
            <w:shd w:val="clear" w:color="auto" w:fill="auto"/>
            <w:noWrap/>
            <w:vAlign w:val="center"/>
          </w:tcPr>
          <w:p w14:paraId="79AB2066"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96%</w:t>
            </w:r>
          </w:p>
        </w:tc>
        <w:tc>
          <w:tcPr>
            <w:tcW w:w="525" w:type="dxa"/>
            <w:tcBorders>
              <w:top w:val="nil"/>
              <w:left w:val="nil"/>
              <w:bottom w:val="single" w:sz="4" w:space="0" w:color="BFBFBF"/>
              <w:right w:val="single" w:sz="4" w:space="0" w:color="BFBFBF"/>
            </w:tcBorders>
            <w:shd w:val="clear" w:color="auto" w:fill="auto"/>
            <w:noWrap/>
            <w:vAlign w:val="center"/>
          </w:tcPr>
          <w:p w14:paraId="3506CF7C"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92%</w:t>
            </w:r>
          </w:p>
        </w:tc>
        <w:tc>
          <w:tcPr>
            <w:tcW w:w="525" w:type="dxa"/>
            <w:tcBorders>
              <w:top w:val="nil"/>
              <w:left w:val="nil"/>
              <w:bottom w:val="single" w:sz="4" w:space="0" w:color="BFBFBF"/>
              <w:right w:val="single" w:sz="4" w:space="0" w:color="auto"/>
            </w:tcBorders>
            <w:shd w:val="clear" w:color="auto" w:fill="auto"/>
            <w:noWrap/>
            <w:vAlign w:val="center"/>
          </w:tcPr>
          <w:p w14:paraId="61528736"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85%</w:t>
            </w:r>
          </w:p>
        </w:tc>
        <w:tc>
          <w:tcPr>
            <w:tcW w:w="475" w:type="dxa"/>
            <w:tcBorders>
              <w:top w:val="nil"/>
              <w:left w:val="nil"/>
              <w:bottom w:val="single" w:sz="4" w:space="0" w:color="BFBFBF"/>
              <w:right w:val="single" w:sz="4" w:space="0" w:color="BFBFBF"/>
            </w:tcBorders>
            <w:shd w:val="clear" w:color="auto" w:fill="auto"/>
            <w:noWrap/>
            <w:vAlign w:val="center"/>
          </w:tcPr>
          <w:p w14:paraId="361A012D"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91%</w:t>
            </w:r>
          </w:p>
        </w:tc>
        <w:tc>
          <w:tcPr>
            <w:tcW w:w="475" w:type="dxa"/>
            <w:tcBorders>
              <w:top w:val="nil"/>
              <w:left w:val="nil"/>
              <w:bottom w:val="single" w:sz="4" w:space="0" w:color="BFBFBF"/>
              <w:right w:val="single" w:sz="4" w:space="0" w:color="BFBFBF"/>
            </w:tcBorders>
            <w:shd w:val="clear" w:color="auto" w:fill="auto"/>
            <w:noWrap/>
            <w:vAlign w:val="center"/>
          </w:tcPr>
          <w:p w14:paraId="1EABFE08"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92%</w:t>
            </w:r>
          </w:p>
        </w:tc>
        <w:tc>
          <w:tcPr>
            <w:tcW w:w="475" w:type="dxa"/>
            <w:tcBorders>
              <w:top w:val="nil"/>
              <w:left w:val="nil"/>
              <w:bottom w:val="single" w:sz="4" w:space="0" w:color="BFBFBF"/>
              <w:right w:val="single" w:sz="4" w:space="0" w:color="BFBFBF"/>
            </w:tcBorders>
            <w:shd w:val="clear" w:color="auto" w:fill="auto"/>
            <w:noWrap/>
            <w:vAlign w:val="center"/>
          </w:tcPr>
          <w:p w14:paraId="473D34D9"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93%</w:t>
            </w:r>
          </w:p>
        </w:tc>
        <w:tc>
          <w:tcPr>
            <w:tcW w:w="475" w:type="dxa"/>
            <w:tcBorders>
              <w:top w:val="nil"/>
              <w:left w:val="nil"/>
              <w:bottom w:val="single" w:sz="4" w:space="0" w:color="BFBFBF"/>
              <w:right w:val="nil"/>
            </w:tcBorders>
            <w:shd w:val="clear" w:color="auto" w:fill="auto"/>
            <w:noWrap/>
            <w:vAlign w:val="center"/>
          </w:tcPr>
          <w:p w14:paraId="12214EAA"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89%</w:t>
            </w:r>
          </w:p>
        </w:tc>
        <w:tc>
          <w:tcPr>
            <w:tcW w:w="490" w:type="dxa"/>
            <w:tcBorders>
              <w:top w:val="nil"/>
              <w:left w:val="single" w:sz="4" w:space="0" w:color="auto"/>
              <w:bottom w:val="single" w:sz="4" w:space="0" w:color="BFBFBF"/>
              <w:right w:val="single" w:sz="4" w:space="0" w:color="BFBFBF"/>
            </w:tcBorders>
            <w:shd w:val="clear" w:color="auto" w:fill="auto"/>
            <w:noWrap/>
            <w:vAlign w:val="center"/>
          </w:tcPr>
          <w:p w14:paraId="22D37D77" w14:textId="77777777" w:rsidR="009F0ABB" w:rsidRPr="00A872AD" w:rsidRDefault="0001333E" w:rsidP="008345EB">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90</w:t>
            </w:r>
            <w:r w:rsidR="009F0ABB" w:rsidRPr="00A872AD">
              <w:rPr>
                <w:rFonts w:ascii="Arial" w:hAnsi="Arial" w:cs="Arial"/>
                <w:b/>
                <w:bCs/>
                <w:color w:val="000000"/>
                <w:sz w:val="16"/>
                <w:szCs w:val="16"/>
                <w:lang w:val="en-AU" w:eastAsia="en-AU"/>
              </w:rPr>
              <w:t>%</w:t>
            </w:r>
          </w:p>
        </w:tc>
        <w:tc>
          <w:tcPr>
            <w:tcW w:w="490" w:type="dxa"/>
            <w:tcBorders>
              <w:top w:val="nil"/>
              <w:left w:val="nil"/>
              <w:bottom w:val="single" w:sz="4" w:space="0" w:color="BFBFBF"/>
              <w:right w:val="single" w:sz="4" w:space="0" w:color="BFBFBF"/>
            </w:tcBorders>
            <w:shd w:val="clear" w:color="auto" w:fill="auto"/>
            <w:noWrap/>
            <w:vAlign w:val="center"/>
          </w:tcPr>
          <w:p w14:paraId="2681106E"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94%</w:t>
            </w:r>
          </w:p>
        </w:tc>
        <w:tc>
          <w:tcPr>
            <w:tcW w:w="490" w:type="dxa"/>
            <w:tcBorders>
              <w:top w:val="nil"/>
              <w:left w:val="nil"/>
              <w:bottom w:val="single" w:sz="4" w:space="0" w:color="BFBFBF"/>
              <w:right w:val="single" w:sz="4" w:space="0" w:color="BFBFBF"/>
            </w:tcBorders>
            <w:shd w:val="clear" w:color="auto" w:fill="auto"/>
            <w:noWrap/>
            <w:vAlign w:val="center"/>
          </w:tcPr>
          <w:p w14:paraId="40600967"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93%</w:t>
            </w:r>
          </w:p>
        </w:tc>
        <w:tc>
          <w:tcPr>
            <w:tcW w:w="490" w:type="dxa"/>
            <w:tcBorders>
              <w:top w:val="nil"/>
              <w:left w:val="nil"/>
              <w:bottom w:val="single" w:sz="4" w:space="0" w:color="BFBFBF"/>
              <w:right w:val="single" w:sz="4" w:space="0" w:color="auto"/>
            </w:tcBorders>
            <w:shd w:val="clear" w:color="auto" w:fill="auto"/>
            <w:noWrap/>
            <w:vAlign w:val="center"/>
          </w:tcPr>
          <w:p w14:paraId="3F558C29"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86%</w:t>
            </w:r>
          </w:p>
        </w:tc>
        <w:tc>
          <w:tcPr>
            <w:tcW w:w="480" w:type="dxa"/>
            <w:tcBorders>
              <w:top w:val="nil"/>
              <w:left w:val="nil"/>
              <w:bottom w:val="single" w:sz="4" w:space="0" w:color="BFBFBF"/>
              <w:right w:val="single" w:sz="4" w:space="0" w:color="BFBFBF"/>
            </w:tcBorders>
            <w:shd w:val="clear" w:color="auto" w:fill="auto"/>
            <w:noWrap/>
            <w:vAlign w:val="center"/>
          </w:tcPr>
          <w:p w14:paraId="4FEECF45" w14:textId="77777777" w:rsidR="009F0ABB" w:rsidRPr="00A872AD" w:rsidRDefault="009F0ABB" w:rsidP="0001333E">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w:t>
            </w:r>
            <w:r w:rsidR="0001333E">
              <w:rPr>
                <w:rFonts w:ascii="Arial" w:hAnsi="Arial" w:cs="Arial"/>
                <w:b/>
                <w:bCs/>
                <w:color w:val="000000"/>
                <w:sz w:val="16"/>
                <w:szCs w:val="16"/>
                <w:lang w:val="en-AU" w:eastAsia="en-AU"/>
              </w:rPr>
              <w:t>4</w:t>
            </w:r>
            <w:r w:rsidRPr="00A872AD">
              <w:rPr>
                <w:rFonts w:ascii="Arial" w:hAnsi="Arial" w:cs="Arial"/>
                <w:b/>
                <w:bCs/>
                <w:color w:val="000000"/>
                <w:sz w:val="16"/>
                <w:szCs w:val="16"/>
                <w:lang w:val="en-AU" w:eastAsia="en-AU"/>
              </w:rPr>
              <w:t>%</w:t>
            </w:r>
          </w:p>
        </w:tc>
        <w:tc>
          <w:tcPr>
            <w:tcW w:w="480" w:type="dxa"/>
            <w:tcBorders>
              <w:top w:val="nil"/>
              <w:left w:val="nil"/>
              <w:bottom w:val="single" w:sz="4" w:space="0" w:color="BFBFBF"/>
              <w:right w:val="single" w:sz="4" w:space="0" w:color="BFBFBF"/>
            </w:tcBorders>
            <w:shd w:val="clear" w:color="auto" w:fill="auto"/>
            <w:noWrap/>
            <w:vAlign w:val="center"/>
          </w:tcPr>
          <w:p w14:paraId="179263C2"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96%</w:t>
            </w:r>
          </w:p>
        </w:tc>
        <w:tc>
          <w:tcPr>
            <w:tcW w:w="480" w:type="dxa"/>
            <w:tcBorders>
              <w:top w:val="nil"/>
              <w:left w:val="nil"/>
              <w:bottom w:val="single" w:sz="4" w:space="0" w:color="BFBFBF"/>
              <w:right w:val="single" w:sz="4" w:space="0" w:color="BFBFBF"/>
            </w:tcBorders>
            <w:shd w:val="clear" w:color="auto" w:fill="auto"/>
            <w:noWrap/>
            <w:vAlign w:val="center"/>
          </w:tcPr>
          <w:p w14:paraId="6609CD36"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96%</w:t>
            </w:r>
          </w:p>
        </w:tc>
        <w:tc>
          <w:tcPr>
            <w:tcW w:w="480" w:type="dxa"/>
            <w:tcBorders>
              <w:top w:val="nil"/>
              <w:left w:val="nil"/>
              <w:bottom w:val="single" w:sz="4" w:space="0" w:color="BFBFBF"/>
              <w:right w:val="nil"/>
            </w:tcBorders>
            <w:shd w:val="clear" w:color="auto" w:fill="auto"/>
            <w:noWrap/>
            <w:vAlign w:val="center"/>
          </w:tcPr>
          <w:p w14:paraId="21127240"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95%</w:t>
            </w:r>
          </w:p>
        </w:tc>
        <w:tc>
          <w:tcPr>
            <w:tcW w:w="480" w:type="dxa"/>
            <w:tcBorders>
              <w:top w:val="nil"/>
              <w:left w:val="single" w:sz="4" w:space="0" w:color="auto"/>
              <w:bottom w:val="single" w:sz="4" w:space="0" w:color="BFBFBF"/>
              <w:right w:val="single" w:sz="4" w:space="0" w:color="BFBFBF"/>
            </w:tcBorders>
            <w:shd w:val="clear" w:color="auto" w:fill="auto"/>
            <w:noWrap/>
            <w:vAlign w:val="center"/>
          </w:tcPr>
          <w:p w14:paraId="5BB5CEB9" w14:textId="77777777" w:rsidR="009F0ABB" w:rsidRPr="00A872AD" w:rsidRDefault="009F0ABB" w:rsidP="00A872AD">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w:t>
            </w:r>
            <w:r w:rsidR="00A872AD">
              <w:rPr>
                <w:rFonts w:ascii="Arial" w:hAnsi="Arial" w:cs="Arial"/>
                <w:b/>
                <w:bCs/>
                <w:color w:val="000000"/>
                <w:sz w:val="16"/>
                <w:szCs w:val="16"/>
                <w:lang w:val="en-AU" w:eastAsia="en-AU"/>
              </w:rPr>
              <w:t>2</w:t>
            </w:r>
            <w:r w:rsidRPr="00A872AD">
              <w:rPr>
                <w:rFonts w:ascii="Arial" w:hAnsi="Arial" w:cs="Arial"/>
                <w:b/>
                <w:bCs/>
                <w:color w:val="000000"/>
                <w:sz w:val="16"/>
                <w:szCs w:val="16"/>
                <w:lang w:val="en-AU" w:eastAsia="en-AU"/>
              </w:rPr>
              <w:t>%</w:t>
            </w:r>
          </w:p>
        </w:tc>
        <w:tc>
          <w:tcPr>
            <w:tcW w:w="480" w:type="dxa"/>
            <w:tcBorders>
              <w:top w:val="nil"/>
              <w:left w:val="nil"/>
              <w:bottom w:val="single" w:sz="4" w:space="0" w:color="BFBFBF"/>
              <w:right w:val="single" w:sz="4" w:space="0" w:color="BFBFBF"/>
            </w:tcBorders>
            <w:shd w:val="clear" w:color="auto" w:fill="auto"/>
            <w:noWrap/>
            <w:vAlign w:val="center"/>
          </w:tcPr>
          <w:p w14:paraId="68C8885D"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95%</w:t>
            </w:r>
          </w:p>
        </w:tc>
        <w:tc>
          <w:tcPr>
            <w:tcW w:w="480" w:type="dxa"/>
            <w:tcBorders>
              <w:top w:val="nil"/>
              <w:left w:val="nil"/>
              <w:bottom w:val="single" w:sz="4" w:space="0" w:color="BFBFBF"/>
              <w:right w:val="single" w:sz="4" w:space="0" w:color="BFBFBF"/>
            </w:tcBorders>
            <w:shd w:val="clear" w:color="auto" w:fill="auto"/>
            <w:noWrap/>
            <w:vAlign w:val="center"/>
          </w:tcPr>
          <w:p w14:paraId="70244CF8"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95%</w:t>
            </w:r>
          </w:p>
        </w:tc>
        <w:tc>
          <w:tcPr>
            <w:tcW w:w="480" w:type="dxa"/>
            <w:tcBorders>
              <w:top w:val="nil"/>
              <w:left w:val="nil"/>
              <w:bottom w:val="single" w:sz="4" w:space="0" w:color="BFBFBF"/>
              <w:right w:val="double" w:sz="6" w:space="0" w:color="auto"/>
            </w:tcBorders>
            <w:shd w:val="clear" w:color="auto" w:fill="auto"/>
            <w:noWrap/>
            <w:vAlign w:val="center"/>
          </w:tcPr>
          <w:p w14:paraId="3BA9C998" w14:textId="77777777" w:rsidR="009F0ABB" w:rsidRPr="00A872AD" w:rsidRDefault="009F0ABB" w:rsidP="009F0ABB">
            <w:pPr>
              <w:spacing w:before="0" w:after="0"/>
              <w:jc w:val="center"/>
              <w:rPr>
                <w:rFonts w:ascii="Arial" w:hAnsi="Arial" w:cs="Arial"/>
                <w:b/>
                <w:bCs/>
                <w:color w:val="000000"/>
                <w:sz w:val="16"/>
                <w:szCs w:val="16"/>
                <w:lang w:val="en-AU" w:eastAsia="en-AU"/>
              </w:rPr>
            </w:pPr>
            <w:r w:rsidRPr="00A872AD">
              <w:rPr>
                <w:rFonts w:ascii="Arial" w:hAnsi="Arial" w:cs="Arial"/>
                <w:b/>
                <w:bCs/>
                <w:color w:val="000000"/>
                <w:sz w:val="16"/>
                <w:szCs w:val="16"/>
                <w:lang w:val="en-AU" w:eastAsia="en-AU"/>
              </w:rPr>
              <w:t>91%</w:t>
            </w:r>
          </w:p>
        </w:tc>
      </w:tr>
      <w:tr w:rsidR="0054131D" w:rsidRPr="00A872AD" w14:paraId="15FA57F0" w14:textId="77777777" w:rsidTr="00022E1D">
        <w:trPr>
          <w:trHeight w:val="283"/>
          <w:jc w:val="center"/>
        </w:trPr>
        <w:tc>
          <w:tcPr>
            <w:tcW w:w="2080" w:type="dxa"/>
            <w:tcBorders>
              <w:top w:val="nil"/>
              <w:left w:val="double" w:sz="6" w:space="0" w:color="auto"/>
              <w:bottom w:val="double" w:sz="6" w:space="0" w:color="auto"/>
              <w:right w:val="nil"/>
            </w:tcBorders>
            <w:shd w:val="clear" w:color="auto" w:fill="auto"/>
            <w:noWrap/>
            <w:vAlign w:val="center"/>
          </w:tcPr>
          <w:p w14:paraId="68586D9A" w14:textId="77777777" w:rsidR="009F0ABB" w:rsidRPr="00A872AD" w:rsidRDefault="009F0ABB" w:rsidP="009F0ABB">
            <w:pPr>
              <w:spacing w:before="0" w:after="0"/>
              <w:rPr>
                <w:rFonts w:ascii="Arial" w:hAnsi="Arial" w:cs="Arial"/>
                <w:color w:val="000000"/>
                <w:sz w:val="16"/>
                <w:szCs w:val="16"/>
                <w:lang w:val="en-AU" w:eastAsia="en-AU"/>
              </w:rPr>
            </w:pPr>
            <w:r w:rsidRPr="00A872AD">
              <w:rPr>
                <w:rFonts w:ascii="Arial" w:hAnsi="Arial" w:cs="Arial"/>
                <w:color w:val="000000"/>
                <w:sz w:val="16"/>
                <w:szCs w:val="16"/>
                <w:lang w:val="en-AU" w:eastAsia="en-AU"/>
              </w:rPr>
              <w:t>Don't Use Gas</w:t>
            </w:r>
          </w:p>
        </w:tc>
        <w:tc>
          <w:tcPr>
            <w:tcW w:w="525" w:type="dxa"/>
            <w:tcBorders>
              <w:top w:val="nil"/>
              <w:left w:val="single" w:sz="4" w:space="0" w:color="auto"/>
              <w:bottom w:val="double" w:sz="6" w:space="0" w:color="auto"/>
              <w:right w:val="single" w:sz="4" w:space="0" w:color="BFBFBF"/>
            </w:tcBorders>
            <w:shd w:val="clear" w:color="auto" w:fill="auto"/>
            <w:noWrap/>
            <w:vAlign w:val="center"/>
          </w:tcPr>
          <w:p w14:paraId="2371AE0C" w14:textId="77777777" w:rsidR="009F0ABB" w:rsidRPr="00A872AD" w:rsidRDefault="009F0ABB" w:rsidP="00A872AD">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w:t>
            </w:r>
            <w:r w:rsidR="00A872AD">
              <w:rPr>
                <w:rFonts w:ascii="Arial" w:hAnsi="Arial" w:cs="Arial"/>
                <w:color w:val="000000"/>
                <w:sz w:val="16"/>
                <w:szCs w:val="16"/>
                <w:lang w:val="en-AU" w:eastAsia="en-AU"/>
              </w:rPr>
              <w:t>1</w:t>
            </w:r>
            <w:r w:rsidRPr="00A872AD">
              <w:rPr>
                <w:rFonts w:ascii="Arial" w:hAnsi="Arial" w:cs="Arial"/>
                <w:color w:val="000000"/>
                <w:sz w:val="16"/>
                <w:szCs w:val="16"/>
                <w:lang w:val="en-AU" w:eastAsia="en-AU"/>
              </w:rPr>
              <w:t>%</w:t>
            </w:r>
          </w:p>
        </w:tc>
        <w:tc>
          <w:tcPr>
            <w:tcW w:w="525" w:type="dxa"/>
            <w:tcBorders>
              <w:top w:val="nil"/>
              <w:left w:val="nil"/>
              <w:bottom w:val="double" w:sz="6" w:space="0" w:color="auto"/>
              <w:right w:val="single" w:sz="4" w:space="0" w:color="BFBFBF"/>
            </w:tcBorders>
            <w:shd w:val="clear" w:color="auto" w:fill="auto"/>
            <w:noWrap/>
            <w:vAlign w:val="center"/>
          </w:tcPr>
          <w:p w14:paraId="5B2EDAEC"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4%</w:t>
            </w:r>
          </w:p>
        </w:tc>
        <w:tc>
          <w:tcPr>
            <w:tcW w:w="525" w:type="dxa"/>
            <w:tcBorders>
              <w:top w:val="nil"/>
              <w:left w:val="nil"/>
              <w:bottom w:val="double" w:sz="6" w:space="0" w:color="auto"/>
              <w:right w:val="single" w:sz="4" w:space="0" w:color="BFBFBF"/>
            </w:tcBorders>
            <w:shd w:val="clear" w:color="auto" w:fill="auto"/>
            <w:noWrap/>
            <w:vAlign w:val="center"/>
          </w:tcPr>
          <w:p w14:paraId="2F918466"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w:t>
            </w:r>
          </w:p>
        </w:tc>
        <w:tc>
          <w:tcPr>
            <w:tcW w:w="525" w:type="dxa"/>
            <w:tcBorders>
              <w:top w:val="nil"/>
              <w:left w:val="nil"/>
              <w:bottom w:val="double" w:sz="6" w:space="0" w:color="auto"/>
              <w:right w:val="single" w:sz="4" w:space="0" w:color="auto"/>
            </w:tcBorders>
            <w:shd w:val="clear" w:color="auto" w:fill="auto"/>
            <w:noWrap/>
            <w:vAlign w:val="center"/>
          </w:tcPr>
          <w:p w14:paraId="7C910FC6"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16%</w:t>
            </w:r>
          </w:p>
        </w:tc>
        <w:tc>
          <w:tcPr>
            <w:tcW w:w="475" w:type="dxa"/>
            <w:tcBorders>
              <w:top w:val="nil"/>
              <w:left w:val="nil"/>
              <w:bottom w:val="double" w:sz="6" w:space="0" w:color="auto"/>
              <w:right w:val="single" w:sz="4" w:space="0" w:color="BFBFBF"/>
            </w:tcBorders>
            <w:shd w:val="clear" w:color="auto" w:fill="auto"/>
            <w:noWrap/>
            <w:vAlign w:val="center"/>
          </w:tcPr>
          <w:p w14:paraId="64170D26"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w:t>
            </w:r>
          </w:p>
        </w:tc>
        <w:tc>
          <w:tcPr>
            <w:tcW w:w="475" w:type="dxa"/>
            <w:tcBorders>
              <w:top w:val="nil"/>
              <w:left w:val="nil"/>
              <w:bottom w:val="double" w:sz="6" w:space="0" w:color="auto"/>
              <w:right w:val="single" w:sz="4" w:space="0" w:color="BFBFBF"/>
            </w:tcBorders>
            <w:shd w:val="clear" w:color="auto" w:fill="auto"/>
            <w:noWrap/>
            <w:vAlign w:val="center"/>
          </w:tcPr>
          <w:p w14:paraId="63604C22"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w:t>
            </w:r>
          </w:p>
        </w:tc>
        <w:tc>
          <w:tcPr>
            <w:tcW w:w="475" w:type="dxa"/>
            <w:tcBorders>
              <w:top w:val="nil"/>
              <w:left w:val="nil"/>
              <w:bottom w:val="double" w:sz="6" w:space="0" w:color="auto"/>
              <w:right w:val="single" w:sz="4" w:space="0" w:color="BFBFBF"/>
            </w:tcBorders>
            <w:shd w:val="clear" w:color="auto" w:fill="auto"/>
            <w:noWrap/>
            <w:vAlign w:val="center"/>
          </w:tcPr>
          <w:p w14:paraId="0055B2AF"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7%</w:t>
            </w:r>
          </w:p>
        </w:tc>
        <w:tc>
          <w:tcPr>
            <w:tcW w:w="475" w:type="dxa"/>
            <w:tcBorders>
              <w:top w:val="nil"/>
              <w:left w:val="nil"/>
              <w:bottom w:val="double" w:sz="6" w:space="0" w:color="auto"/>
              <w:right w:val="nil"/>
            </w:tcBorders>
            <w:shd w:val="clear" w:color="auto" w:fill="auto"/>
            <w:noWrap/>
            <w:vAlign w:val="center"/>
          </w:tcPr>
          <w:p w14:paraId="72B4A07D"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11%</w:t>
            </w:r>
          </w:p>
        </w:tc>
        <w:tc>
          <w:tcPr>
            <w:tcW w:w="490" w:type="dxa"/>
            <w:tcBorders>
              <w:top w:val="nil"/>
              <w:left w:val="single" w:sz="4" w:space="0" w:color="auto"/>
              <w:bottom w:val="double" w:sz="6" w:space="0" w:color="auto"/>
              <w:right w:val="single" w:sz="4" w:space="0" w:color="BFBFBF"/>
            </w:tcBorders>
            <w:shd w:val="clear" w:color="auto" w:fill="auto"/>
            <w:noWrap/>
            <w:vAlign w:val="center"/>
          </w:tcPr>
          <w:p w14:paraId="167DCF1B" w14:textId="77777777" w:rsidR="009F0ABB" w:rsidRPr="00A872AD" w:rsidRDefault="0001333E" w:rsidP="008345EB">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9</w:t>
            </w:r>
            <w:r w:rsidR="009F0ABB" w:rsidRPr="00A872AD">
              <w:rPr>
                <w:rFonts w:ascii="Arial" w:hAnsi="Arial" w:cs="Arial"/>
                <w:color w:val="000000"/>
                <w:sz w:val="16"/>
                <w:szCs w:val="16"/>
                <w:lang w:val="en-AU" w:eastAsia="en-AU"/>
              </w:rPr>
              <w:t>%</w:t>
            </w:r>
          </w:p>
        </w:tc>
        <w:tc>
          <w:tcPr>
            <w:tcW w:w="490" w:type="dxa"/>
            <w:tcBorders>
              <w:top w:val="nil"/>
              <w:left w:val="nil"/>
              <w:bottom w:val="double" w:sz="6" w:space="0" w:color="auto"/>
              <w:right w:val="single" w:sz="4" w:space="0" w:color="BFBFBF"/>
            </w:tcBorders>
            <w:shd w:val="clear" w:color="auto" w:fill="auto"/>
            <w:noWrap/>
            <w:vAlign w:val="center"/>
          </w:tcPr>
          <w:p w14:paraId="737EEBB0"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6%</w:t>
            </w:r>
          </w:p>
        </w:tc>
        <w:tc>
          <w:tcPr>
            <w:tcW w:w="490" w:type="dxa"/>
            <w:tcBorders>
              <w:top w:val="nil"/>
              <w:left w:val="nil"/>
              <w:bottom w:val="double" w:sz="6" w:space="0" w:color="auto"/>
              <w:right w:val="single" w:sz="4" w:space="0" w:color="BFBFBF"/>
            </w:tcBorders>
            <w:shd w:val="clear" w:color="auto" w:fill="auto"/>
            <w:noWrap/>
            <w:vAlign w:val="center"/>
          </w:tcPr>
          <w:p w14:paraId="6724B792"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8%</w:t>
            </w:r>
          </w:p>
        </w:tc>
        <w:tc>
          <w:tcPr>
            <w:tcW w:w="490" w:type="dxa"/>
            <w:tcBorders>
              <w:top w:val="nil"/>
              <w:left w:val="nil"/>
              <w:bottom w:val="double" w:sz="6" w:space="0" w:color="auto"/>
              <w:right w:val="single" w:sz="4" w:space="0" w:color="auto"/>
            </w:tcBorders>
            <w:shd w:val="clear" w:color="auto" w:fill="auto"/>
            <w:noWrap/>
            <w:vAlign w:val="center"/>
          </w:tcPr>
          <w:p w14:paraId="06A346F7"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14%</w:t>
            </w:r>
          </w:p>
        </w:tc>
        <w:tc>
          <w:tcPr>
            <w:tcW w:w="480" w:type="dxa"/>
            <w:tcBorders>
              <w:top w:val="nil"/>
              <w:left w:val="nil"/>
              <w:bottom w:val="double" w:sz="6" w:space="0" w:color="auto"/>
              <w:right w:val="single" w:sz="4" w:space="0" w:color="BFBFBF"/>
            </w:tcBorders>
            <w:shd w:val="clear" w:color="auto" w:fill="auto"/>
            <w:noWrap/>
            <w:vAlign w:val="center"/>
          </w:tcPr>
          <w:p w14:paraId="40E62CED" w14:textId="77777777" w:rsidR="009F0ABB" w:rsidRPr="00A872AD" w:rsidRDefault="0001333E" w:rsidP="00A872AD">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6</w:t>
            </w:r>
            <w:r w:rsidR="009F0ABB" w:rsidRPr="00A872AD">
              <w:rPr>
                <w:rFonts w:ascii="Arial" w:hAnsi="Arial" w:cs="Arial"/>
                <w:color w:val="000000"/>
                <w:sz w:val="16"/>
                <w:szCs w:val="16"/>
                <w:lang w:val="en-AU" w:eastAsia="en-AU"/>
              </w:rPr>
              <w:t>%</w:t>
            </w:r>
          </w:p>
        </w:tc>
        <w:tc>
          <w:tcPr>
            <w:tcW w:w="480" w:type="dxa"/>
            <w:tcBorders>
              <w:top w:val="nil"/>
              <w:left w:val="nil"/>
              <w:bottom w:val="double" w:sz="6" w:space="0" w:color="auto"/>
              <w:right w:val="single" w:sz="4" w:space="0" w:color="BFBFBF"/>
            </w:tcBorders>
            <w:shd w:val="clear" w:color="auto" w:fill="auto"/>
            <w:noWrap/>
            <w:vAlign w:val="center"/>
          </w:tcPr>
          <w:p w14:paraId="5956469B"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4%</w:t>
            </w:r>
          </w:p>
        </w:tc>
        <w:tc>
          <w:tcPr>
            <w:tcW w:w="480" w:type="dxa"/>
            <w:tcBorders>
              <w:top w:val="nil"/>
              <w:left w:val="nil"/>
              <w:bottom w:val="double" w:sz="6" w:space="0" w:color="auto"/>
              <w:right w:val="single" w:sz="4" w:space="0" w:color="BFBFBF"/>
            </w:tcBorders>
            <w:shd w:val="clear" w:color="auto" w:fill="auto"/>
            <w:noWrap/>
            <w:vAlign w:val="center"/>
          </w:tcPr>
          <w:p w14:paraId="5DDF7F39"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4%</w:t>
            </w:r>
          </w:p>
        </w:tc>
        <w:tc>
          <w:tcPr>
            <w:tcW w:w="480" w:type="dxa"/>
            <w:tcBorders>
              <w:top w:val="nil"/>
              <w:left w:val="nil"/>
              <w:bottom w:val="double" w:sz="6" w:space="0" w:color="auto"/>
              <w:right w:val="nil"/>
            </w:tcBorders>
            <w:shd w:val="clear" w:color="auto" w:fill="auto"/>
            <w:noWrap/>
            <w:vAlign w:val="center"/>
          </w:tcPr>
          <w:p w14:paraId="6220A285"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5%</w:t>
            </w:r>
          </w:p>
        </w:tc>
        <w:tc>
          <w:tcPr>
            <w:tcW w:w="480" w:type="dxa"/>
            <w:tcBorders>
              <w:top w:val="nil"/>
              <w:left w:val="single" w:sz="4" w:space="0" w:color="auto"/>
              <w:bottom w:val="double" w:sz="6" w:space="0" w:color="auto"/>
              <w:right w:val="single" w:sz="4" w:space="0" w:color="BFBFBF"/>
            </w:tcBorders>
            <w:shd w:val="clear" w:color="auto" w:fill="auto"/>
            <w:noWrap/>
            <w:vAlign w:val="center"/>
          </w:tcPr>
          <w:p w14:paraId="1907A8FA" w14:textId="77777777" w:rsidR="009F0ABB" w:rsidRPr="00A872AD" w:rsidRDefault="00A872AD" w:rsidP="009F0ABB">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8</w:t>
            </w:r>
            <w:r w:rsidR="009F0ABB" w:rsidRPr="00A872AD">
              <w:rPr>
                <w:rFonts w:ascii="Arial" w:hAnsi="Arial" w:cs="Arial"/>
                <w:color w:val="000000"/>
                <w:sz w:val="16"/>
                <w:szCs w:val="16"/>
                <w:lang w:val="en-AU" w:eastAsia="en-AU"/>
              </w:rPr>
              <w:t>%</w:t>
            </w:r>
          </w:p>
        </w:tc>
        <w:tc>
          <w:tcPr>
            <w:tcW w:w="480" w:type="dxa"/>
            <w:tcBorders>
              <w:top w:val="nil"/>
              <w:left w:val="nil"/>
              <w:bottom w:val="double" w:sz="6" w:space="0" w:color="auto"/>
              <w:right w:val="single" w:sz="4" w:space="0" w:color="BFBFBF"/>
            </w:tcBorders>
            <w:shd w:val="clear" w:color="auto" w:fill="auto"/>
            <w:noWrap/>
            <w:vAlign w:val="center"/>
          </w:tcPr>
          <w:p w14:paraId="55EA3E6F"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5%</w:t>
            </w:r>
          </w:p>
        </w:tc>
        <w:tc>
          <w:tcPr>
            <w:tcW w:w="480" w:type="dxa"/>
            <w:tcBorders>
              <w:top w:val="nil"/>
              <w:left w:val="nil"/>
              <w:bottom w:val="double" w:sz="6" w:space="0" w:color="auto"/>
              <w:right w:val="single" w:sz="4" w:space="0" w:color="BFBFBF"/>
            </w:tcBorders>
            <w:shd w:val="clear" w:color="auto" w:fill="auto"/>
            <w:noWrap/>
            <w:vAlign w:val="center"/>
          </w:tcPr>
          <w:p w14:paraId="166A0A55"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5%</w:t>
            </w:r>
          </w:p>
        </w:tc>
        <w:tc>
          <w:tcPr>
            <w:tcW w:w="480" w:type="dxa"/>
            <w:tcBorders>
              <w:top w:val="nil"/>
              <w:left w:val="nil"/>
              <w:bottom w:val="double" w:sz="6" w:space="0" w:color="auto"/>
              <w:right w:val="double" w:sz="6" w:space="0" w:color="auto"/>
            </w:tcBorders>
            <w:shd w:val="clear" w:color="auto" w:fill="auto"/>
            <w:noWrap/>
            <w:vAlign w:val="center"/>
          </w:tcPr>
          <w:p w14:paraId="7D1B28D4" w14:textId="77777777" w:rsidR="009F0ABB" w:rsidRPr="00A872AD" w:rsidRDefault="009F0ABB" w:rsidP="009F0ABB">
            <w:pPr>
              <w:spacing w:before="0" w:after="0"/>
              <w:jc w:val="center"/>
              <w:rPr>
                <w:rFonts w:ascii="Arial" w:hAnsi="Arial" w:cs="Arial"/>
                <w:color w:val="000000"/>
                <w:sz w:val="16"/>
                <w:szCs w:val="16"/>
                <w:lang w:val="en-AU" w:eastAsia="en-AU"/>
              </w:rPr>
            </w:pPr>
            <w:r w:rsidRPr="00A872AD">
              <w:rPr>
                <w:rFonts w:ascii="Arial" w:hAnsi="Arial" w:cs="Arial"/>
                <w:color w:val="000000"/>
                <w:sz w:val="16"/>
                <w:szCs w:val="16"/>
                <w:lang w:val="en-AU" w:eastAsia="en-AU"/>
              </w:rPr>
              <w:t>9%</w:t>
            </w:r>
          </w:p>
        </w:tc>
      </w:tr>
    </w:tbl>
    <w:p w14:paraId="400C3CAC" w14:textId="77777777" w:rsidR="00E02C75" w:rsidRPr="00A872AD" w:rsidRDefault="00566049" w:rsidP="00562A28">
      <w:pPr>
        <w:pStyle w:val="Para"/>
        <w:ind w:left="720"/>
        <w:rPr>
          <w:sz w:val="20"/>
          <w:lang w:val="en-AU"/>
        </w:rPr>
      </w:pPr>
      <w:r w:rsidRPr="00A872AD">
        <w:rPr>
          <w:sz w:val="20"/>
          <w:lang w:val="en-AU"/>
        </w:rPr>
        <w:t xml:space="preserve">Base: Total respondents: 2014 (n=1,861), </w:t>
      </w:r>
      <w:r w:rsidR="00E02C75" w:rsidRPr="00A872AD">
        <w:rPr>
          <w:sz w:val="20"/>
          <w:lang w:val="en-AU"/>
        </w:rPr>
        <w:t>2007 (n=2,061); 2001 (n=2,006); 1996 (n=2,000)</w:t>
      </w:r>
    </w:p>
    <w:p w14:paraId="30806BF3" w14:textId="77777777" w:rsidR="00566049" w:rsidRPr="003835AE" w:rsidRDefault="00566049" w:rsidP="00E02C75">
      <w:pPr>
        <w:pStyle w:val="Para"/>
        <w:rPr>
          <w:highlight w:val="yellow"/>
          <w:lang w:val="en-AU"/>
        </w:rPr>
      </w:pPr>
    </w:p>
    <w:p w14:paraId="49BA1E78" w14:textId="77777777" w:rsidR="00E02C75" w:rsidRPr="002D10D9" w:rsidRDefault="00E02C75" w:rsidP="00E02C75">
      <w:pPr>
        <w:pStyle w:val="Para"/>
        <w:rPr>
          <w:lang w:val="en-AU"/>
        </w:rPr>
      </w:pPr>
      <w:r w:rsidRPr="002D10D9">
        <w:rPr>
          <w:lang w:val="en-AU"/>
        </w:rPr>
        <w:t>Similar to previous years, incidence of mains gas usage tend</w:t>
      </w:r>
      <w:r w:rsidR="005506E3" w:rsidRPr="002D10D9">
        <w:rPr>
          <w:lang w:val="en-AU"/>
        </w:rPr>
        <w:t>ed</w:t>
      </w:r>
      <w:r w:rsidRPr="002D10D9">
        <w:rPr>
          <w:lang w:val="en-AU"/>
        </w:rPr>
        <w:t xml:space="preserve"> to increase with household size, from 8</w:t>
      </w:r>
      <w:r w:rsidR="009F0ABB" w:rsidRPr="002D10D9">
        <w:rPr>
          <w:lang w:val="en-AU"/>
        </w:rPr>
        <w:t>4</w:t>
      </w:r>
      <w:r w:rsidRPr="002D10D9">
        <w:rPr>
          <w:lang w:val="en-AU"/>
        </w:rPr>
        <w:t>% of single-person households to 92% of households with four or more persons</w:t>
      </w:r>
      <w:r w:rsidR="008A1C90" w:rsidRPr="002D10D9">
        <w:rPr>
          <w:lang w:val="en-AU"/>
        </w:rPr>
        <w:t xml:space="preserve"> (see Table 4.1.</w:t>
      </w:r>
      <w:r w:rsidR="008345EB" w:rsidRPr="002D10D9">
        <w:rPr>
          <w:lang w:val="en-AU"/>
        </w:rPr>
        <w:t>2</w:t>
      </w:r>
      <w:r w:rsidR="008A1C90" w:rsidRPr="002D10D9">
        <w:rPr>
          <w:lang w:val="en-AU"/>
        </w:rPr>
        <w:t>.3)</w:t>
      </w:r>
      <w:r w:rsidRPr="002D10D9">
        <w:rPr>
          <w:lang w:val="en-AU"/>
        </w:rPr>
        <w:t xml:space="preserve">.  </w:t>
      </w:r>
    </w:p>
    <w:p w14:paraId="042FCF98" w14:textId="77777777" w:rsidR="009F0ABB" w:rsidRPr="002D10D9" w:rsidRDefault="009F0ABB" w:rsidP="00E02C75">
      <w:pPr>
        <w:pStyle w:val="Para"/>
        <w:rPr>
          <w:lang w:val="en-AU"/>
        </w:rPr>
      </w:pPr>
    </w:p>
    <w:p w14:paraId="393BA035" w14:textId="77777777" w:rsidR="00EA09AE" w:rsidRPr="002D10D9" w:rsidRDefault="00EA09AE" w:rsidP="00E02C75">
      <w:pPr>
        <w:pStyle w:val="Para"/>
        <w:rPr>
          <w:lang w:val="en-AU"/>
        </w:rPr>
      </w:pPr>
    </w:p>
    <w:p w14:paraId="3F7DEE9D" w14:textId="77777777" w:rsidR="00E02C75" w:rsidRPr="002D10D9" w:rsidRDefault="00E02C75" w:rsidP="00562A28">
      <w:pPr>
        <w:pStyle w:val="Para"/>
        <w:jc w:val="center"/>
        <w:outlineLvl w:val="0"/>
        <w:rPr>
          <w:b/>
          <w:lang w:val="en-AU"/>
        </w:rPr>
      </w:pPr>
      <w:r w:rsidRPr="002D10D9">
        <w:rPr>
          <w:b/>
          <w:lang w:val="en-AU"/>
        </w:rPr>
        <w:t>Table 4.1.</w:t>
      </w:r>
      <w:r w:rsidR="008345EB" w:rsidRPr="002D10D9">
        <w:rPr>
          <w:b/>
          <w:lang w:val="en-AU"/>
        </w:rPr>
        <w:t>2</w:t>
      </w:r>
      <w:r w:rsidRPr="002D10D9">
        <w:rPr>
          <w:b/>
          <w:lang w:val="en-AU"/>
        </w:rPr>
        <w:t xml:space="preserve">.3: </w:t>
      </w:r>
      <w:r w:rsidRPr="002D10D9">
        <w:rPr>
          <w:b/>
          <w:u w:val="single"/>
          <w:lang w:val="en-AU"/>
        </w:rPr>
        <w:t>Use of Gas in Household by Household Size</w:t>
      </w:r>
    </w:p>
    <w:p w14:paraId="5D37E350" w14:textId="77777777" w:rsidR="00E02C75" w:rsidRPr="002D10D9" w:rsidRDefault="00E02C75" w:rsidP="00E02C75">
      <w:pPr>
        <w:pStyle w:val="Para"/>
        <w:spacing w:line="240" w:lineRule="auto"/>
        <w:rPr>
          <w:sz w:val="20"/>
          <w:lang w:val="en-AU"/>
        </w:rPr>
      </w:pPr>
    </w:p>
    <w:tbl>
      <w:tblPr>
        <w:tblW w:w="11880" w:type="dxa"/>
        <w:jc w:val="center"/>
        <w:tblLook w:val="04A0" w:firstRow="1" w:lastRow="0" w:firstColumn="1" w:lastColumn="0" w:noHBand="0" w:noVBand="1"/>
      </w:tblPr>
      <w:tblGrid>
        <w:gridCol w:w="2080"/>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9F0ABB" w:rsidRPr="002D10D9" w14:paraId="3D96AF6C" w14:textId="77777777" w:rsidTr="00562A28">
        <w:trPr>
          <w:trHeight w:val="240"/>
          <w:jc w:val="center"/>
        </w:trPr>
        <w:tc>
          <w:tcPr>
            <w:tcW w:w="2080" w:type="dxa"/>
            <w:vMerge w:val="restart"/>
            <w:tcBorders>
              <w:top w:val="double" w:sz="6" w:space="0" w:color="auto"/>
              <w:left w:val="double" w:sz="6" w:space="0" w:color="auto"/>
              <w:bottom w:val="single" w:sz="4" w:space="0" w:color="BFBFBF"/>
              <w:right w:val="nil"/>
            </w:tcBorders>
            <w:shd w:val="clear" w:color="auto" w:fill="auto"/>
            <w:noWrap/>
            <w:vAlign w:val="center"/>
          </w:tcPr>
          <w:p w14:paraId="44184B94" w14:textId="77777777" w:rsidR="009F0ABB" w:rsidRPr="002D10D9" w:rsidRDefault="009F0ABB" w:rsidP="009F0ABB">
            <w:pPr>
              <w:spacing w:before="0" w:after="0"/>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Gas Use</w:t>
            </w:r>
          </w:p>
        </w:tc>
        <w:tc>
          <w:tcPr>
            <w:tcW w:w="2100"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73184C99"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1 Person HH</w:t>
            </w:r>
          </w:p>
        </w:tc>
        <w:tc>
          <w:tcPr>
            <w:tcW w:w="1900" w:type="dxa"/>
            <w:gridSpan w:val="4"/>
            <w:tcBorders>
              <w:top w:val="double" w:sz="6" w:space="0" w:color="auto"/>
              <w:left w:val="nil"/>
              <w:bottom w:val="single" w:sz="4" w:space="0" w:color="BFBFBF"/>
              <w:right w:val="single" w:sz="4" w:space="0" w:color="000000"/>
            </w:tcBorders>
            <w:shd w:val="clear" w:color="auto" w:fill="auto"/>
            <w:noWrap/>
            <w:vAlign w:val="center"/>
          </w:tcPr>
          <w:p w14:paraId="063F6FA3"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 Person HH</w:t>
            </w:r>
          </w:p>
        </w:tc>
        <w:tc>
          <w:tcPr>
            <w:tcW w:w="1960" w:type="dxa"/>
            <w:gridSpan w:val="4"/>
            <w:tcBorders>
              <w:top w:val="double" w:sz="6" w:space="0" w:color="auto"/>
              <w:left w:val="nil"/>
              <w:bottom w:val="single" w:sz="4" w:space="0" w:color="BFBFBF"/>
              <w:right w:val="single" w:sz="4" w:space="0" w:color="000000"/>
            </w:tcBorders>
            <w:shd w:val="clear" w:color="auto" w:fill="auto"/>
            <w:noWrap/>
            <w:vAlign w:val="center"/>
          </w:tcPr>
          <w:p w14:paraId="4AAA82FA"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3 Person HH</w:t>
            </w:r>
          </w:p>
        </w:tc>
        <w:tc>
          <w:tcPr>
            <w:tcW w:w="1920" w:type="dxa"/>
            <w:gridSpan w:val="4"/>
            <w:tcBorders>
              <w:top w:val="double" w:sz="6" w:space="0" w:color="auto"/>
              <w:left w:val="nil"/>
              <w:bottom w:val="single" w:sz="4" w:space="0" w:color="BFBFBF"/>
              <w:right w:val="single" w:sz="4" w:space="0" w:color="000000"/>
            </w:tcBorders>
            <w:shd w:val="clear" w:color="auto" w:fill="auto"/>
            <w:noWrap/>
            <w:vAlign w:val="center"/>
          </w:tcPr>
          <w:p w14:paraId="0A6F8498"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4+ Person HH</w:t>
            </w:r>
          </w:p>
        </w:tc>
        <w:tc>
          <w:tcPr>
            <w:tcW w:w="1920" w:type="dxa"/>
            <w:gridSpan w:val="4"/>
            <w:tcBorders>
              <w:top w:val="double" w:sz="6" w:space="0" w:color="auto"/>
              <w:left w:val="nil"/>
              <w:bottom w:val="single" w:sz="4" w:space="0" w:color="BFBFBF"/>
              <w:right w:val="double" w:sz="6" w:space="0" w:color="000000"/>
            </w:tcBorders>
            <w:shd w:val="clear" w:color="auto" w:fill="auto"/>
            <w:noWrap/>
            <w:vAlign w:val="center"/>
          </w:tcPr>
          <w:p w14:paraId="733E718A"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Total HHs</w:t>
            </w:r>
          </w:p>
        </w:tc>
      </w:tr>
      <w:tr w:rsidR="009F0ABB" w:rsidRPr="002D10D9" w14:paraId="43616B40" w14:textId="77777777" w:rsidTr="0059723A">
        <w:trPr>
          <w:trHeight w:val="225"/>
          <w:jc w:val="center"/>
        </w:trPr>
        <w:tc>
          <w:tcPr>
            <w:tcW w:w="2080" w:type="dxa"/>
            <w:vMerge/>
            <w:tcBorders>
              <w:top w:val="double" w:sz="6" w:space="0" w:color="auto"/>
              <w:left w:val="double" w:sz="6" w:space="0" w:color="auto"/>
              <w:bottom w:val="single" w:sz="4" w:space="0" w:color="BFBFBF"/>
              <w:right w:val="nil"/>
            </w:tcBorders>
            <w:vAlign w:val="center"/>
          </w:tcPr>
          <w:p w14:paraId="58D4987A" w14:textId="77777777" w:rsidR="009F0ABB" w:rsidRPr="002D10D9" w:rsidRDefault="009F0ABB" w:rsidP="009F0ABB">
            <w:pPr>
              <w:spacing w:before="0" w:after="0"/>
              <w:rPr>
                <w:rFonts w:ascii="Arial" w:hAnsi="Arial" w:cs="Arial"/>
                <w:b/>
                <w:bCs/>
                <w:color w:val="000000"/>
                <w:sz w:val="16"/>
                <w:szCs w:val="16"/>
                <w:lang w:val="en-AU" w:eastAsia="en-AU"/>
              </w:rPr>
            </w:pPr>
          </w:p>
        </w:tc>
        <w:tc>
          <w:tcPr>
            <w:tcW w:w="525" w:type="dxa"/>
            <w:tcBorders>
              <w:top w:val="nil"/>
              <w:left w:val="single" w:sz="4" w:space="0" w:color="auto"/>
              <w:bottom w:val="nil"/>
              <w:right w:val="single" w:sz="4" w:space="0" w:color="BFBFBF"/>
            </w:tcBorders>
            <w:shd w:val="clear" w:color="auto" w:fill="auto"/>
            <w:noWrap/>
            <w:vAlign w:val="center"/>
          </w:tcPr>
          <w:p w14:paraId="6EEA5CC7"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2014</w:t>
            </w:r>
          </w:p>
        </w:tc>
        <w:tc>
          <w:tcPr>
            <w:tcW w:w="525" w:type="dxa"/>
            <w:tcBorders>
              <w:top w:val="nil"/>
              <w:left w:val="nil"/>
              <w:bottom w:val="nil"/>
              <w:right w:val="single" w:sz="4" w:space="0" w:color="BFBFBF"/>
            </w:tcBorders>
            <w:shd w:val="clear" w:color="auto" w:fill="auto"/>
            <w:noWrap/>
            <w:vAlign w:val="center"/>
          </w:tcPr>
          <w:p w14:paraId="2FF6440B"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2007</w:t>
            </w:r>
          </w:p>
        </w:tc>
        <w:tc>
          <w:tcPr>
            <w:tcW w:w="525" w:type="dxa"/>
            <w:tcBorders>
              <w:top w:val="nil"/>
              <w:left w:val="nil"/>
              <w:bottom w:val="nil"/>
              <w:right w:val="single" w:sz="4" w:space="0" w:color="BFBFBF"/>
            </w:tcBorders>
            <w:shd w:val="clear" w:color="auto" w:fill="auto"/>
            <w:noWrap/>
            <w:vAlign w:val="center"/>
          </w:tcPr>
          <w:p w14:paraId="159D1651"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2001</w:t>
            </w:r>
          </w:p>
        </w:tc>
        <w:tc>
          <w:tcPr>
            <w:tcW w:w="525" w:type="dxa"/>
            <w:tcBorders>
              <w:top w:val="nil"/>
              <w:left w:val="nil"/>
              <w:bottom w:val="nil"/>
              <w:right w:val="single" w:sz="4" w:space="0" w:color="auto"/>
            </w:tcBorders>
            <w:shd w:val="clear" w:color="auto" w:fill="auto"/>
            <w:noWrap/>
            <w:vAlign w:val="center"/>
          </w:tcPr>
          <w:p w14:paraId="466DDD5E"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1996</w:t>
            </w:r>
          </w:p>
        </w:tc>
        <w:tc>
          <w:tcPr>
            <w:tcW w:w="475" w:type="dxa"/>
            <w:tcBorders>
              <w:top w:val="nil"/>
              <w:left w:val="nil"/>
              <w:bottom w:val="nil"/>
              <w:right w:val="single" w:sz="4" w:space="0" w:color="BFBFBF"/>
            </w:tcBorders>
            <w:shd w:val="clear" w:color="auto" w:fill="auto"/>
            <w:noWrap/>
            <w:vAlign w:val="center"/>
          </w:tcPr>
          <w:p w14:paraId="7FD244F9"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2014</w:t>
            </w:r>
          </w:p>
        </w:tc>
        <w:tc>
          <w:tcPr>
            <w:tcW w:w="475" w:type="dxa"/>
            <w:tcBorders>
              <w:top w:val="nil"/>
              <w:left w:val="nil"/>
              <w:bottom w:val="nil"/>
              <w:right w:val="single" w:sz="4" w:space="0" w:color="BFBFBF"/>
            </w:tcBorders>
            <w:shd w:val="clear" w:color="auto" w:fill="auto"/>
            <w:noWrap/>
            <w:vAlign w:val="center"/>
          </w:tcPr>
          <w:p w14:paraId="40ACFEE4"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2007</w:t>
            </w:r>
          </w:p>
        </w:tc>
        <w:tc>
          <w:tcPr>
            <w:tcW w:w="475" w:type="dxa"/>
            <w:tcBorders>
              <w:top w:val="nil"/>
              <w:left w:val="nil"/>
              <w:bottom w:val="nil"/>
              <w:right w:val="single" w:sz="4" w:space="0" w:color="BFBFBF"/>
            </w:tcBorders>
            <w:shd w:val="clear" w:color="auto" w:fill="auto"/>
            <w:noWrap/>
            <w:vAlign w:val="center"/>
          </w:tcPr>
          <w:p w14:paraId="47BB432D"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2001</w:t>
            </w:r>
          </w:p>
        </w:tc>
        <w:tc>
          <w:tcPr>
            <w:tcW w:w="475" w:type="dxa"/>
            <w:tcBorders>
              <w:top w:val="nil"/>
              <w:left w:val="nil"/>
              <w:bottom w:val="nil"/>
              <w:right w:val="nil"/>
            </w:tcBorders>
            <w:shd w:val="clear" w:color="auto" w:fill="auto"/>
            <w:noWrap/>
            <w:vAlign w:val="center"/>
          </w:tcPr>
          <w:p w14:paraId="760CE0B9"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1996</w:t>
            </w:r>
          </w:p>
        </w:tc>
        <w:tc>
          <w:tcPr>
            <w:tcW w:w="490" w:type="dxa"/>
            <w:tcBorders>
              <w:top w:val="nil"/>
              <w:left w:val="single" w:sz="4" w:space="0" w:color="auto"/>
              <w:bottom w:val="nil"/>
              <w:right w:val="single" w:sz="4" w:space="0" w:color="BFBFBF"/>
            </w:tcBorders>
            <w:shd w:val="clear" w:color="auto" w:fill="auto"/>
            <w:noWrap/>
            <w:vAlign w:val="center"/>
          </w:tcPr>
          <w:p w14:paraId="67160F11"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2014</w:t>
            </w:r>
          </w:p>
        </w:tc>
        <w:tc>
          <w:tcPr>
            <w:tcW w:w="490" w:type="dxa"/>
            <w:tcBorders>
              <w:top w:val="nil"/>
              <w:left w:val="nil"/>
              <w:bottom w:val="nil"/>
              <w:right w:val="single" w:sz="4" w:space="0" w:color="BFBFBF"/>
            </w:tcBorders>
            <w:shd w:val="clear" w:color="auto" w:fill="auto"/>
            <w:noWrap/>
            <w:vAlign w:val="center"/>
          </w:tcPr>
          <w:p w14:paraId="544CF4BD"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2007</w:t>
            </w:r>
          </w:p>
        </w:tc>
        <w:tc>
          <w:tcPr>
            <w:tcW w:w="490" w:type="dxa"/>
            <w:tcBorders>
              <w:top w:val="nil"/>
              <w:left w:val="nil"/>
              <w:bottom w:val="nil"/>
              <w:right w:val="single" w:sz="4" w:space="0" w:color="BFBFBF"/>
            </w:tcBorders>
            <w:shd w:val="clear" w:color="auto" w:fill="auto"/>
            <w:noWrap/>
            <w:vAlign w:val="center"/>
          </w:tcPr>
          <w:p w14:paraId="2755D047"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2001</w:t>
            </w:r>
          </w:p>
        </w:tc>
        <w:tc>
          <w:tcPr>
            <w:tcW w:w="490" w:type="dxa"/>
            <w:tcBorders>
              <w:top w:val="nil"/>
              <w:left w:val="nil"/>
              <w:bottom w:val="nil"/>
              <w:right w:val="single" w:sz="4" w:space="0" w:color="auto"/>
            </w:tcBorders>
            <w:shd w:val="clear" w:color="auto" w:fill="auto"/>
            <w:noWrap/>
            <w:vAlign w:val="center"/>
          </w:tcPr>
          <w:p w14:paraId="2223F090"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1996</w:t>
            </w:r>
          </w:p>
        </w:tc>
        <w:tc>
          <w:tcPr>
            <w:tcW w:w="480" w:type="dxa"/>
            <w:tcBorders>
              <w:top w:val="nil"/>
              <w:left w:val="nil"/>
              <w:bottom w:val="nil"/>
              <w:right w:val="single" w:sz="4" w:space="0" w:color="BFBFBF"/>
            </w:tcBorders>
            <w:shd w:val="clear" w:color="auto" w:fill="auto"/>
            <w:noWrap/>
            <w:vAlign w:val="center"/>
          </w:tcPr>
          <w:p w14:paraId="57D083B3"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2014</w:t>
            </w:r>
          </w:p>
        </w:tc>
        <w:tc>
          <w:tcPr>
            <w:tcW w:w="480" w:type="dxa"/>
            <w:tcBorders>
              <w:top w:val="nil"/>
              <w:left w:val="nil"/>
              <w:bottom w:val="nil"/>
              <w:right w:val="single" w:sz="4" w:space="0" w:color="BFBFBF"/>
            </w:tcBorders>
            <w:shd w:val="clear" w:color="auto" w:fill="auto"/>
            <w:noWrap/>
            <w:vAlign w:val="center"/>
          </w:tcPr>
          <w:p w14:paraId="75595D7D"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2007</w:t>
            </w:r>
          </w:p>
        </w:tc>
        <w:tc>
          <w:tcPr>
            <w:tcW w:w="480" w:type="dxa"/>
            <w:tcBorders>
              <w:top w:val="nil"/>
              <w:left w:val="nil"/>
              <w:bottom w:val="nil"/>
              <w:right w:val="single" w:sz="4" w:space="0" w:color="BFBFBF"/>
            </w:tcBorders>
            <w:shd w:val="clear" w:color="auto" w:fill="auto"/>
            <w:noWrap/>
            <w:vAlign w:val="center"/>
          </w:tcPr>
          <w:p w14:paraId="00648118"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2001</w:t>
            </w:r>
          </w:p>
        </w:tc>
        <w:tc>
          <w:tcPr>
            <w:tcW w:w="480" w:type="dxa"/>
            <w:tcBorders>
              <w:top w:val="nil"/>
              <w:left w:val="nil"/>
              <w:bottom w:val="single" w:sz="4" w:space="0" w:color="auto"/>
              <w:right w:val="single" w:sz="4" w:space="0" w:color="auto"/>
            </w:tcBorders>
            <w:shd w:val="clear" w:color="auto" w:fill="auto"/>
            <w:noWrap/>
            <w:vAlign w:val="center"/>
          </w:tcPr>
          <w:p w14:paraId="2AB932C9"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1996</w:t>
            </w:r>
          </w:p>
        </w:tc>
        <w:tc>
          <w:tcPr>
            <w:tcW w:w="480" w:type="dxa"/>
            <w:tcBorders>
              <w:top w:val="nil"/>
              <w:left w:val="single" w:sz="4" w:space="0" w:color="auto"/>
              <w:bottom w:val="nil"/>
              <w:right w:val="single" w:sz="4" w:space="0" w:color="BFBFBF"/>
            </w:tcBorders>
            <w:shd w:val="clear" w:color="auto" w:fill="auto"/>
            <w:noWrap/>
            <w:vAlign w:val="center"/>
          </w:tcPr>
          <w:p w14:paraId="1DDE2449"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2014</w:t>
            </w:r>
          </w:p>
        </w:tc>
        <w:tc>
          <w:tcPr>
            <w:tcW w:w="480" w:type="dxa"/>
            <w:tcBorders>
              <w:top w:val="nil"/>
              <w:left w:val="nil"/>
              <w:bottom w:val="nil"/>
              <w:right w:val="single" w:sz="4" w:space="0" w:color="BFBFBF"/>
            </w:tcBorders>
            <w:shd w:val="clear" w:color="auto" w:fill="auto"/>
            <w:noWrap/>
            <w:vAlign w:val="center"/>
          </w:tcPr>
          <w:p w14:paraId="6E22CF85"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2007</w:t>
            </w:r>
          </w:p>
        </w:tc>
        <w:tc>
          <w:tcPr>
            <w:tcW w:w="480" w:type="dxa"/>
            <w:tcBorders>
              <w:top w:val="nil"/>
              <w:left w:val="nil"/>
              <w:bottom w:val="nil"/>
              <w:right w:val="single" w:sz="4" w:space="0" w:color="BFBFBF"/>
            </w:tcBorders>
            <w:shd w:val="clear" w:color="auto" w:fill="auto"/>
            <w:noWrap/>
            <w:vAlign w:val="center"/>
          </w:tcPr>
          <w:p w14:paraId="48801AB3"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2001</w:t>
            </w:r>
          </w:p>
        </w:tc>
        <w:tc>
          <w:tcPr>
            <w:tcW w:w="480" w:type="dxa"/>
            <w:tcBorders>
              <w:top w:val="nil"/>
              <w:left w:val="nil"/>
              <w:bottom w:val="nil"/>
              <w:right w:val="double" w:sz="6" w:space="0" w:color="auto"/>
            </w:tcBorders>
            <w:shd w:val="clear" w:color="auto" w:fill="auto"/>
            <w:noWrap/>
            <w:vAlign w:val="center"/>
          </w:tcPr>
          <w:p w14:paraId="758D28C1"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1996</w:t>
            </w:r>
          </w:p>
        </w:tc>
      </w:tr>
      <w:tr w:rsidR="0054131D" w:rsidRPr="002D10D9" w14:paraId="286A3927" w14:textId="77777777" w:rsidTr="00022E1D">
        <w:trPr>
          <w:trHeight w:val="283"/>
          <w:jc w:val="center"/>
        </w:trPr>
        <w:tc>
          <w:tcPr>
            <w:tcW w:w="2080" w:type="dxa"/>
            <w:tcBorders>
              <w:top w:val="single" w:sz="4" w:space="0" w:color="auto"/>
              <w:left w:val="double" w:sz="6" w:space="0" w:color="auto"/>
              <w:bottom w:val="single" w:sz="4" w:space="0" w:color="BFBFBF"/>
              <w:right w:val="nil"/>
            </w:tcBorders>
            <w:shd w:val="clear" w:color="auto" w:fill="auto"/>
            <w:noWrap/>
            <w:vAlign w:val="center"/>
          </w:tcPr>
          <w:p w14:paraId="0B5C48E6" w14:textId="77777777" w:rsidR="009F0ABB" w:rsidRPr="002D10D9" w:rsidRDefault="009F0ABB" w:rsidP="009F0ABB">
            <w:pPr>
              <w:spacing w:before="0" w:after="0"/>
              <w:rPr>
                <w:rFonts w:ascii="Arial" w:hAnsi="Arial" w:cs="Arial"/>
                <w:color w:val="000000"/>
                <w:sz w:val="16"/>
                <w:szCs w:val="16"/>
                <w:lang w:val="en-AU" w:eastAsia="en-AU"/>
              </w:rPr>
            </w:pPr>
            <w:r w:rsidRPr="002D10D9">
              <w:rPr>
                <w:rFonts w:ascii="Arial" w:hAnsi="Arial" w:cs="Arial"/>
                <w:color w:val="000000"/>
                <w:sz w:val="16"/>
                <w:szCs w:val="16"/>
                <w:lang w:val="en-AU" w:eastAsia="en-AU"/>
              </w:rPr>
              <w:t>Use Mains Gas</w:t>
            </w:r>
          </w:p>
        </w:tc>
        <w:tc>
          <w:tcPr>
            <w:tcW w:w="525" w:type="dxa"/>
            <w:tcBorders>
              <w:top w:val="single" w:sz="4" w:space="0" w:color="auto"/>
              <w:left w:val="single" w:sz="4" w:space="0" w:color="auto"/>
              <w:bottom w:val="single" w:sz="4" w:space="0" w:color="BFBFBF"/>
              <w:right w:val="single" w:sz="4" w:space="0" w:color="BFBFBF"/>
            </w:tcBorders>
            <w:shd w:val="clear" w:color="auto" w:fill="auto"/>
            <w:noWrap/>
            <w:vAlign w:val="center"/>
          </w:tcPr>
          <w:p w14:paraId="6E656071"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84%</w:t>
            </w:r>
          </w:p>
        </w:tc>
        <w:tc>
          <w:tcPr>
            <w:tcW w:w="525" w:type="dxa"/>
            <w:tcBorders>
              <w:top w:val="single" w:sz="4" w:space="0" w:color="auto"/>
              <w:left w:val="nil"/>
              <w:bottom w:val="single" w:sz="4" w:space="0" w:color="BFBFBF"/>
              <w:right w:val="single" w:sz="4" w:space="0" w:color="BFBFBF"/>
            </w:tcBorders>
            <w:shd w:val="clear" w:color="auto" w:fill="auto"/>
            <w:noWrap/>
            <w:vAlign w:val="center"/>
          </w:tcPr>
          <w:p w14:paraId="4231B46E"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83%</w:t>
            </w:r>
          </w:p>
        </w:tc>
        <w:tc>
          <w:tcPr>
            <w:tcW w:w="525" w:type="dxa"/>
            <w:tcBorders>
              <w:top w:val="single" w:sz="4" w:space="0" w:color="auto"/>
              <w:left w:val="nil"/>
              <w:bottom w:val="single" w:sz="4" w:space="0" w:color="BFBFBF"/>
              <w:right w:val="single" w:sz="4" w:space="0" w:color="BFBFBF"/>
            </w:tcBorders>
            <w:shd w:val="clear" w:color="auto" w:fill="auto"/>
            <w:noWrap/>
            <w:vAlign w:val="center"/>
          </w:tcPr>
          <w:p w14:paraId="07E3B0AA"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90%</w:t>
            </w:r>
          </w:p>
        </w:tc>
        <w:tc>
          <w:tcPr>
            <w:tcW w:w="525" w:type="dxa"/>
            <w:tcBorders>
              <w:top w:val="single" w:sz="4" w:space="0" w:color="auto"/>
              <w:left w:val="nil"/>
              <w:bottom w:val="single" w:sz="4" w:space="0" w:color="BFBFBF"/>
              <w:right w:val="single" w:sz="4" w:space="0" w:color="auto"/>
            </w:tcBorders>
            <w:shd w:val="clear" w:color="auto" w:fill="auto"/>
            <w:noWrap/>
            <w:vAlign w:val="center"/>
          </w:tcPr>
          <w:p w14:paraId="44FD0EEC"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80%</w:t>
            </w:r>
          </w:p>
        </w:tc>
        <w:tc>
          <w:tcPr>
            <w:tcW w:w="475" w:type="dxa"/>
            <w:tcBorders>
              <w:top w:val="single" w:sz="4" w:space="0" w:color="auto"/>
              <w:left w:val="nil"/>
              <w:bottom w:val="single" w:sz="4" w:space="0" w:color="BFBFBF"/>
              <w:right w:val="single" w:sz="4" w:space="0" w:color="BFBFBF"/>
            </w:tcBorders>
            <w:shd w:val="clear" w:color="auto" w:fill="auto"/>
            <w:noWrap/>
            <w:vAlign w:val="center"/>
          </w:tcPr>
          <w:p w14:paraId="3B32512C"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87%</w:t>
            </w:r>
          </w:p>
        </w:tc>
        <w:tc>
          <w:tcPr>
            <w:tcW w:w="475" w:type="dxa"/>
            <w:tcBorders>
              <w:top w:val="single" w:sz="4" w:space="0" w:color="auto"/>
              <w:left w:val="nil"/>
              <w:bottom w:val="single" w:sz="4" w:space="0" w:color="BFBFBF"/>
              <w:right w:val="single" w:sz="4" w:space="0" w:color="BFBFBF"/>
            </w:tcBorders>
            <w:shd w:val="clear" w:color="auto" w:fill="auto"/>
            <w:noWrap/>
            <w:vAlign w:val="center"/>
          </w:tcPr>
          <w:p w14:paraId="1460CBDF"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88%</w:t>
            </w:r>
          </w:p>
        </w:tc>
        <w:tc>
          <w:tcPr>
            <w:tcW w:w="475" w:type="dxa"/>
            <w:tcBorders>
              <w:top w:val="single" w:sz="4" w:space="0" w:color="auto"/>
              <w:left w:val="nil"/>
              <w:bottom w:val="single" w:sz="4" w:space="0" w:color="BFBFBF"/>
              <w:right w:val="single" w:sz="4" w:space="0" w:color="BFBFBF"/>
            </w:tcBorders>
            <w:shd w:val="clear" w:color="auto" w:fill="auto"/>
            <w:noWrap/>
            <w:vAlign w:val="center"/>
          </w:tcPr>
          <w:p w14:paraId="6079D70B"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93%</w:t>
            </w:r>
          </w:p>
        </w:tc>
        <w:tc>
          <w:tcPr>
            <w:tcW w:w="475" w:type="dxa"/>
            <w:tcBorders>
              <w:top w:val="single" w:sz="4" w:space="0" w:color="auto"/>
              <w:left w:val="nil"/>
              <w:bottom w:val="single" w:sz="4" w:space="0" w:color="BFBFBF"/>
              <w:right w:val="nil"/>
            </w:tcBorders>
            <w:shd w:val="clear" w:color="auto" w:fill="auto"/>
            <w:noWrap/>
            <w:vAlign w:val="center"/>
          </w:tcPr>
          <w:p w14:paraId="3D3BA134"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91%</w:t>
            </w:r>
          </w:p>
        </w:tc>
        <w:tc>
          <w:tcPr>
            <w:tcW w:w="490" w:type="dxa"/>
            <w:tcBorders>
              <w:top w:val="single" w:sz="4" w:space="0" w:color="auto"/>
              <w:left w:val="single" w:sz="4" w:space="0" w:color="auto"/>
              <w:bottom w:val="single" w:sz="4" w:space="0" w:color="BFBFBF"/>
              <w:right w:val="single" w:sz="4" w:space="0" w:color="BFBFBF"/>
            </w:tcBorders>
            <w:shd w:val="clear" w:color="auto" w:fill="auto"/>
            <w:noWrap/>
            <w:vAlign w:val="center"/>
          </w:tcPr>
          <w:p w14:paraId="33A42A6C"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91%</w:t>
            </w:r>
          </w:p>
        </w:tc>
        <w:tc>
          <w:tcPr>
            <w:tcW w:w="490" w:type="dxa"/>
            <w:tcBorders>
              <w:top w:val="single" w:sz="4" w:space="0" w:color="auto"/>
              <w:left w:val="nil"/>
              <w:bottom w:val="single" w:sz="4" w:space="0" w:color="BFBFBF"/>
              <w:right w:val="single" w:sz="4" w:space="0" w:color="BFBFBF"/>
            </w:tcBorders>
            <w:shd w:val="clear" w:color="auto" w:fill="auto"/>
            <w:noWrap/>
            <w:vAlign w:val="center"/>
          </w:tcPr>
          <w:p w14:paraId="3BFC459B"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88%</w:t>
            </w:r>
          </w:p>
        </w:tc>
        <w:tc>
          <w:tcPr>
            <w:tcW w:w="490" w:type="dxa"/>
            <w:tcBorders>
              <w:top w:val="single" w:sz="4" w:space="0" w:color="auto"/>
              <w:left w:val="nil"/>
              <w:bottom w:val="single" w:sz="4" w:space="0" w:color="BFBFBF"/>
              <w:right w:val="single" w:sz="4" w:space="0" w:color="BFBFBF"/>
            </w:tcBorders>
            <w:shd w:val="clear" w:color="auto" w:fill="auto"/>
            <w:noWrap/>
            <w:vAlign w:val="center"/>
          </w:tcPr>
          <w:p w14:paraId="58071304"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95%</w:t>
            </w:r>
          </w:p>
        </w:tc>
        <w:tc>
          <w:tcPr>
            <w:tcW w:w="490" w:type="dxa"/>
            <w:tcBorders>
              <w:top w:val="single" w:sz="4" w:space="0" w:color="auto"/>
              <w:left w:val="nil"/>
              <w:bottom w:val="single" w:sz="4" w:space="0" w:color="BFBFBF"/>
              <w:right w:val="single" w:sz="4" w:space="0" w:color="auto"/>
            </w:tcBorders>
            <w:shd w:val="clear" w:color="auto" w:fill="auto"/>
            <w:noWrap/>
            <w:vAlign w:val="center"/>
          </w:tcPr>
          <w:p w14:paraId="227153C7"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93%</w:t>
            </w:r>
          </w:p>
        </w:tc>
        <w:tc>
          <w:tcPr>
            <w:tcW w:w="480" w:type="dxa"/>
            <w:tcBorders>
              <w:top w:val="single" w:sz="4" w:space="0" w:color="auto"/>
              <w:left w:val="nil"/>
              <w:bottom w:val="single" w:sz="4" w:space="0" w:color="BFBFBF"/>
              <w:right w:val="single" w:sz="4" w:space="0" w:color="BFBFBF"/>
            </w:tcBorders>
            <w:shd w:val="clear" w:color="auto" w:fill="auto"/>
            <w:noWrap/>
            <w:vAlign w:val="center"/>
          </w:tcPr>
          <w:p w14:paraId="70A7AC2B"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92%</w:t>
            </w:r>
          </w:p>
        </w:tc>
        <w:tc>
          <w:tcPr>
            <w:tcW w:w="480" w:type="dxa"/>
            <w:tcBorders>
              <w:top w:val="single" w:sz="4" w:space="0" w:color="auto"/>
              <w:left w:val="nil"/>
              <w:bottom w:val="single" w:sz="4" w:space="0" w:color="BFBFBF"/>
              <w:right w:val="single" w:sz="4" w:space="0" w:color="BFBFBF"/>
            </w:tcBorders>
            <w:shd w:val="clear" w:color="auto" w:fill="auto"/>
            <w:noWrap/>
            <w:vAlign w:val="center"/>
          </w:tcPr>
          <w:p w14:paraId="6B84D445"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92%</w:t>
            </w:r>
          </w:p>
        </w:tc>
        <w:tc>
          <w:tcPr>
            <w:tcW w:w="480" w:type="dxa"/>
            <w:tcBorders>
              <w:top w:val="single" w:sz="4" w:space="0" w:color="auto"/>
              <w:left w:val="nil"/>
              <w:bottom w:val="single" w:sz="4" w:space="0" w:color="BFBFBF"/>
              <w:right w:val="single" w:sz="4" w:space="0" w:color="BFBFBF"/>
            </w:tcBorders>
            <w:shd w:val="clear" w:color="auto" w:fill="auto"/>
            <w:noWrap/>
            <w:vAlign w:val="center"/>
          </w:tcPr>
          <w:p w14:paraId="61D05593"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98%</w:t>
            </w:r>
          </w:p>
        </w:tc>
        <w:tc>
          <w:tcPr>
            <w:tcW w:w="480" w:type="dxa"/>
            <w:tcBorders>
              <w:top w:val="single" w:sz="4" w:space="0" w:color="auto"/>
              <w:left w:val="nil"/>
              <w:bottom w:val="single" w:sz="4" w:space="0" w:color="BFBFBF"/>
              <w:right w:val="nil"/>
            </w:tcBorders>
            <w:shd w:val="clear" w:color="auto" w:fill="auto"/>
            <w:noWrap/>
            <w:vAlign w:val="center"/>
          </w:tcPr>
          <w:p w14:paraId="106FC1A5"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96%</w:t>
            </w:r>
          </w:p>
        </w:tc>
        <w:tc>
          <w:tcPr>
            <w:tcW w:w="480" w:type="dxa"/>
            <w:tcBorders>
              <w:top w:val="single" w:sz="4" w:space="0" w:color="auto"/>
              <w:left w:val="single" w:sz="4" w:space="0" w:color="auto"/>
              <w:bottom w:val="single" w:sz="4" w:space="0" w:color="BFBFBF"/>
              <w:right w:val="single" w:sz="4" w:space="0" w:color="BFBFBF"/>
            </w:tcBorders>
            <w:shd w:val="clear" w:color="auto" w:fill="auto"/>
            <w:noWrap/>
            <w:vAlign w:val="center"/>
          </w:tcPr>
          <w:p w14:paraId="2A64973B"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88%</w:t>
            </w:r>
          </w:p>
        </w:tc>
        <w:tc>
          <w:tcPr>
            <w:tcW w:w="480" w:type="dxa"/>
            <w:tcBorders>
              <w:top w:val="single" w:sz="4" w:space="0" w:color="auto"/>
              <w:left w:val="nil"/>
              <w:bottom w:val="single" w:sz="4" w:space="0" w:color="BFBFBF"/>
              <w:right w:val="single" w:sz="4" w:space="0" w:color="BFBFBF"/>
            </w:tcBorders>
            <w:shd w:val="clear" w:color="auto" w:fill="auto"/>
            <w:noWrap/>
            <w:vAlign w:val="center"/>
          </w:tcPr>
          <w:p w14:paraId="700A866D"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88%</w:t>
            </w:r>
          </w:p>
        </w:tc>
        <w:tc>
          <w:tcPr>
            <w:tcW w:w="480" w:type="dxa"/>
            <w:tcBorders>
              <w:top w:val="single" w:sz="4" w:space="0" w:color="auto"/>
              <w:left w:val="nil"/>
              <w:bottom w:val="single" w:sz="4" w:space="0" w:color="BFBFBF"/>
              <w:right w:val="single" w:sz="4" w:space="0" w:color="BFBFBF"/>
            </w:tcBorders>
            <w:shd w:val="clear" w:color="auto" w:fill="auto"/>
            <w:noWrap/>
            <w:vAlign w:val="center"/>
          </w:tcPr>
          <w:p w14:paraId="5ED3F530"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94%</w:t>
            </w:r>
          </w:p>
        </w:tc>
        <w:tc>
          <w:tcPr>
            <w:tcW w:w="480" w:type="dxa"/>
            <w:tcBorders>
              <w:top w:val="single" w:sz="4" w:space="0" w:color="auto"/>
              <w:left w:val="nil"/>
              <w:bottom w:val="single" w:sz="4" w:space="0" w:color="BFBFBF"/>
              <w:right w:val="double" w:sz="6" w:space="0" w:color="auto"/>
            </w:tcBorders>
            <w:shd w:val="clear" w:color="auto" w:fill="auto"/>
            <w:noWrap/>
            <w:vAlign w:val="center"/>
          </w:tcPr>
          <w:p w14:paraId="04721A5E"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91%</w:t>
            </w:r>
          </w:p>
        </w:tc>
      </w:tr>
      <w:tr w:rsidR="0054131D" w:rsidRPr="002D10D9" w14:paraId="3239C631" w14:textId="77777777" w:rsidTr="00022E1D">
        <w:trPr>
          <w:trHeight w:val="283"/>
          <w:jc w:val="center"/>
        </w:trPr>
        <w:tc>
          <w:tcPr>
            <w:tcW w:w="2080" w:type="dxa"/>
            <w:tcBorders>
              <w:top w:val="nil"/>
              <w:left w:val="double" w:sz="6" w:space="0" w:color="auto"/>
              <w:bottom w:val="single" w:sz="4" w:space="0" w:color="BFBFBF"/>
              <w:right w:val="nil"/>
            </w:tcBorders>
            <w:shd w:val="clear" w:color="auto" w:fill="auto"/>
            <w:noWrap/>
            <w:vAlign w:val="center"/>
          </w:tcPr>
          <w:p w14:paraId="0E1F5F11" w14:textId="77777777" w:rsidR="009F0ABB" w:rsidRPr="002D10D9" w:rsidRDefault="009F0ABB" w:rsidP="009F0ABB">
            <w:pPr>
              <w:spacing w:before="0" w:after="0"/>
              <w:rPr>
                <w:rFonts w:ascii="Arial" w:hAnsi="Arial" w:cs="Arial"/>
                <w:color w:val="000000"/>
                <w:sz w:val="16"/>
                <w:szCs w:val="16"/>
                <w:lang w:val="en-AU" w:eastAsia="en-AU"/>
              </w:rPr>
            </w:pPr>
            <w:r w:rsidRPr="002D10D9">
              <w:rPr>
                <w:rFonts w:ascii="Arial" w:hAnsi="Arial" w:cs="Arial"/>
                <w:color w:val="000000"/>
                <w:sz w:val="16"/>
                <w:szCs w:val="16"/>
                <w:lang w:val="en-AU" w:eastAsia="en-AU"/>
              </w:rPr>
              <w:t>Use Cylinder Gas</w:t>
            </w:r>
          </w:p>
        </w:tc>
        <w:tc>
          <w:tcPr>
            <w:tcW w:w="525" w:type="dxa"/>
            <w:tcBorders>
              <w:top w:val="nil"/>
              <w:left w:val="single" w:sz="4" w:space="0" w:color="auto"/>
              <w:bottom w:val="single" w:sz="4" w:space="0" w:color="BFBFBF"/>
              <w:right w:val="single" w:sz="4" w:space="0" w:color="BFBFBF"/>
            </w:tcBorders>
            <w:shd w:val="clear" w:color="auto" w:fill="auto"/>
            <w:noWrap/>
            <w:vAlign w:val="center"/>
          </w:tcPr>
          <w:p w14:paraId="648ED71B" w14:textId="77777777" w:rsidR="009F0ABB" w:rsidRPr="002D10D9" w:rsidRDefault="008345E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3</w:t>
            </w:r>
            <w:r w:rsidR="009F0ABB" w:rsidRPr="002D10D9">
              <w:rPr>
                <w:rFonts w:ascii="Arial" w:hAnsi="Arial" w:cs="Arial"/>
                <w:color w:val="000000"/>
                <w:sz w:val="16"/>
                <w:szCs w:val="16"/>
                <w:lang w:val="en-AU" w:eastAsia="en-AU"/>
              </w:rPr>
              <w:t>%</w:t>
            </w:r>
          </w:p>
        </w:tc>
        <w:tc>
          <w:tcPr>
            <w:tcW w:w="525" w:type="dxa"/>
            <w:tcBorders>
              <w:top w:val="nil"/>
              <w:left w:val="nil"/>
              <w:bottom w:val="single" w:sz="4" w:space="0" w:color="BFBFBF"/>
              <w:right w:val="single" w:sz="4" w:space="0" w:color="BFBFBF"/>
            </w:tcBorders>
            <w:shd w:val="clear" w:color="auto" w:fill="auto"/>
            <w:noWrap/>
            <w:vAlign w:val="center"/>
          </w:tcPr>
          <w:p w14:paraId="56DF0F08"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11%</w:t>
            </w:r>
          </w:p>
        </w:tc>
        <w:tc>
          <w:tcPr>
            <w:tcW w:w="525" w:type="dxa"/>
            <w:tcBorders>
              <w:top w:val="nil"/>
              <w:left w:val="nil"/>
              <w:bottom w:val="single" w:sz="4" w:space="0" w:color="BFBFBF"/>
              <w:right w:val="single" w:sz="4" w:space="0" w:color="BFBFBF"/>
            </w:tcBorders>
            <w:shd w:val="clear" w:color="auto" w:fill="auto"/>
            <w:noWrap/>
            <w:vAlign w:val="center"/>
          </w:tcPr>
          <w:p w14:paraId="46509925"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1%</w:t>
            </w:r>
          </w:p>
        </w:tc>
        <w:tc>
          <w:tcPr>
            <w:tcW w:w="525" w:type="dxa"/>
            <w:tcBorders>
              <w:top w:val="nil"/>
              <w:left w:val="nil"/>
              <w:bottom w:val="single" w:sz="4" w:space="0" w:color="BFBFBF"/>
              <w:right w:val="single" w:sz="4" w:space="0" w:color="auto"/>
            </w:tcBorders>
            <w:shd w:val="clear" w:color="auto" w:fill="auto"/>
            <w:noWrap/>
            <w:vAlign w:val="center"/>
          </w:tcPr>
          <w:p w14:paraId="1D100838"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w:t>
            </w:r>
          </w:p>
        </w:tc>
        <w:tc>
          <w:tcPr>
            <w:tcW w:w="475" w:type="dxa"/>
            <w:tcBorders>
              <w:top w:val="nil"/>
              <w:left w:val="nil"/>
              <w:bottom w:val="single" w:sz="4" w:space="0" w:color="BFBFBF"/>
              <w:right w:val="single" w:sz="4" w:space="0" w:color="BFBFBF"/>
            </w:tcBorders>
            <w:shd w:val="clear" w:color="auto" w:fill="auto"/>
            <w:noWrap/>
            <w:vAlign w:val="center"/>
          </w:tcPr>
          <w:p w14:paraId="0B1815C7" w14:textId="77777777" w:rsidR="009F0ABB" w:rsidRPr="002D10D9" w:rsidRDefault="008345EB" w:rsidP="008345E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4</w:t>
            </w:r>
            <w:r w:rsidR="009F0ABB" w:rsidRPr="002D10D9">
              <w:rPr>
                <w:rFonts w:ascii="Arial" w:hAnsi="Arial" w:cs="Arial"/>
                <w:color w:val="000000"/>
                <w:sz w:val="16"/>
                <w:szCs w:val="16"/>
                <w:lang w:val="en-AU" w:eastAsia="en-AU"/>
              </w:rPr>
              <w:t>%</w:t>
            </w:r>
          </w:p>
        </w:tc>
        <w:tc>
          <w:tcPr>
            <w:tcW w:w="475" w:type="dxa"/>
            <w:tcBorders>
              <w:top w:val="nil"/>
              <w:left w:val="nil"/>
              <w:bottom w:val="single" w:sz="4" w:space="0" w:color="BFBFBF"/>
              <w:right w:val="single" w:sz="4" w:space="0" w:color="BFBFBF"/>
            </w:tcBorders>
            <w:shd w:val="clear" w:color="auto" w:fill="auto"/>
            <w:noWrap/>
            <w:vAlign w:val="center"/>
          </w:tcPr>
          <w:p w14:paraId="36082712"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w:t>
            </w:r>
          </w:p>
        </w:tc>
        <w:tc>
          <w:tcPr>
            <w:tcW w:w="475" w:type="dxa"/>
            <w:tcBorders>
              <w:top w:val="nil"/>
              <w:left w:val="nil"/>
              <w:bottom w:val="single" w:sz="4" w:space="0" w:color="BFBFBF"/>
              <w:right w:val="single" w:sz="4" w:space="0" w:color="BFBFBF"/>
            </w:tcBorders>
            <w:shd w:val="clear" w:color="auto" w:fill="auto"/>
            <w:noWrap/>
            <w:vAlign w:val="center"/>
          </w:tcPr>
          <w:p w14:paraId="71CFA4B8"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w:t>
            </w:r>
          </w:p>
        </w:tc>
        <w:tc>
          <w:tcPr>
            <w:tcW w:w="475" w:type="dxa"/>
            <w:tcBorders>
              <w:top w:val="nil"/>
              <w:left w:val="nil"/>
              <w:bottom w:val="single" w:sz="4" w:space="0" w:color="BFBFBF"/>
              <w:right w:val="nil"/>
            </w:tcBorders>
            <w:shd w:val="clear" w:color="auto" w:fill="auto"/>
            <w:noWrap/>
            <w:vAlign w:val="center"/>
          </w:tcPr>
          <w:p w14:paraId="45EF161D"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1%</w:t>
            </w:r>
          </w:p>
        </w:tc>
        <w:tc>
          <w:tcPr>
            <w:tcW w:w="490" w:type="dxa"/>
            <w:tcBorders>
              <w:top w:val="nil"/>
              <w:left w:val="single" w:sz="4" w:space="0" w:color="auto"/>
              <w:bottom w:val="single" w:sz="4" w:space="0" w:color="BFBFBF"/>
              <w:right w:val="single" w:sz="4" w:space="0" w:color="BFBFBF"/>
            </w:tcBorders>
            <w:shd w:val="clear" w:color="auto" w:fill="auto"/>
            <w:noWrap/>
            <w:vAlign w:val="center"/>
          </w:tcPr>
          <w:p w14:paraId="00302657" w14:textId="77777777" w:rsidR="009F0ABB" w:rsidRPr="002D10D9" w:rsidRDefault="008345EB" w:rsidP="008345E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2</w:t>
            </w:r>
            <w:r w:rsidR="009F0ABB" w:rsidRPr="002D10D9">
              <w:rPr>
                <w:rFonts w:ascii="Arial" w:hAnsi="Arial" w:cs="Arial"/>
                <w:color w:val="000000"/>
                <w:sz w:val="16"/>
                <w:szCs w:val="16"/>
                <w:lang w:val="en-AU" w:eastAsia="en-AU"/>
              </w:rPr>
              <w:t>%</w:t>
            </w:r>
          </w:p>
        </w:tc>
        <w:tc>
          <w:tcPr>
            <w:tcW w:w="490" w:type="dxa"/>
            <w:tcBorders>
              <w:top w:val="nil"/>
              <w:left w:val="nil"/>
              <w:bottom w:val="single" w:sz="4" w:space="0" w:color="BFBFBF"/>
              <w:right w:val="single" w:sz="4" w:space="0" w:color="BFBFBF"/>
            </w:tcBorders>
            <w:shd w:val="clear" w:color="auto" w:fill="auto"/>
            <w:noWrap/>
            <w:vAlign w:val="center"/>
          </w:tcPr>
          <w:p w14:paraId="523B75E0"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8%</w:t>
            </w:r>
          </w:p>
        </w:tc>
        <w:tc>
          <w:tcPr>
            <w:tcW w:w="490" w:type="dxa"/>
            <w:tcBorders>
              <w:top w:val="nil"/>
              <w:left w:val="nil"/>
              <w:bottom w:val="single" w:sz="4" w:space="0" w:color="BFBFBF"/>
              <w:right w:val="single" w:sz="4" w:space="0" w:color="BFBFBF"/>
            </w:tcBorders>
            <w:shd w:val="clear" w:color="auto" w:fill="auto"/>
            <w:noWrap/>
            <w:vAlign w:val="center"/>
          </w:tcPr>
          <w:p w14:paraId="4E25FAE7"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w:t>
            </w:r>
          </w:p>
        </w:tc>
        <w:tc>
          <w:tcPr>
            <w:tcW w:w="490" w:type="dxa"/>
            <w:tcBorders>
              <w:top w:val="nil"/>
              <w:left w:val="nil"/>
              <w:bottom w:val="single" w:sz="4" w:space="0" w:color="BFBFBF"/>
              <w:right w:val="single" w:sz="4" w:space="0" w:color="auto"/>
            </w:tcBorders>
            <w:shd w:val="clear" w:color="auto" w:fill="auto"/>
            <w:noWrap/>
            <w:vAlign w:val="center"/>
          </w:tcPr>
          <w:p w14:paraId="221740B1"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1%</w:t>
            </w:r>
          </w:p>
        </w:tc>
        <w:tc>
          <w:tcPr>
            <w:tcW w:w="480" w:type="dxa"/>
            <w:tcBorders>
              <w:top w:val="nil"/>
              <w:left w:val="nil"/>
              <w:bottom w:val="single" w:sz="4" w:space="0" w:color="BFBFBF"/>
              <w:right w:val="single" w:sz="4" w:space="0" w:color="BFBFBF"/>
            </w:tcBorders>
            <w:shd w:val="clear" w:color="auto" w:fill="auto"/>
            <w:noWrap/>
            <w:vAlign w:val="center"/>
          </w:tcPr>
          <w:p w14:paraId="711998CB" w14:textId="77777777" w:rsidR="009F0ABB" w:rsidRPr="002D10D9" w:rsidRDefault="008345E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5</w:t>
            </w:r>
            <w:r w:rsidR="009F0ABB" w:rsidRPr="002D10D9">
              <w:rPr>
                <w:rFonts w:ascii="Arial" w:hAnsi="Arial" w:cs="Arial"/>
                <w:color w:val="000000"/>
                <w:sz w:val="16"/>
                <w:szCs w:val="16"/>
                <w:lang w:val="en-AU" w:eastAsia="en-AU"/>
              </w:rPr>
              <w:t>%</w:t>
            </w:r>
          </w:p>
        </w:tc>
        <w:tc>
          <w:tcPr>
            <w:tcW w:w="480" w:type="dxa"/>
            <w:tcBorders>
              <w:top w:val="nil"/>
              <w:left w:val="nil"/>
              <w:bottom w:val="single" w:sz="4" w:space="0" w:color="BFBFBF"/>
              <w:right w:val="single" w:sz="4" w:space="0" w:color="BFBFBF"/>
            </w:tcBorders>
            <w:shd w:val="clear" w:color="auto" w:fill="auto"/>
            <w:noWrap/>
            <w:vAlign w:val="center"/>
          </w:tcPr>
          <w:p w14:paraId="7E07A36C"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8%</w:t>
            </w:r>
          </w:p>
        </w:tc>
        <w:tc>
          <w:tcPr>
            <w:tcW w:w="480" w:type="dxa"/>
            <w:tcBorders>
              <w:top w:val="nil"/>
              <w:left w:val="nil"/>
              <w:bottom w:val="single" w:sz="4" w:space="0" w:color="BFBFBF"/>
              <w:right w:val="single" w:sz="4" w:space="0" w:color="BFBFBF"/>
            </w:tcBorders>
            <w:shd w:val="clear" w:color="auto" w:fill="auto"/>
            <w:noWrap/>
            <w:vAlign w:val="center"/>
          </w:tcPr>
          <w:p w14:paraId="061553DC"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w:t>
            </w:r>
          </w:p>
        </w:tc>
        <w:tc>
          <w:tcPr>
            <w:tcW w:w="480" w:type="dxa"/>
            <w:tcBorders>
              <w:top w:val="nil"/>
              <w:left w:val="nil"/>
              <w:bottom w:val="single" w:sz="4" w:space="0" w:color="BFBFBF"/>
              <w:right w:val="nil"/>
            </w:tcBorders>
            <w:shd w:val="clear" w:color="auto" w:fill="auto"/>
            <w:noWrap/>
            <w:vAlign w:val="center"/>
          </w:tcPr>
          <w:p w14:paraId="7B3EC881"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w:t>
            </w:r>
          </w:p>
        </w:tc>
        <w:tc>
          <w:tcPr>
            <w:tcW w:w="480" w:type="dxa"/>
            <w:tcBorders>
              <w:top w:val="nil"/>
              <w:left w:val="single" w:sz="4" w:space="0" w:color="auto"/>
              <w:bottom w:val="single" w:sz="4" w:space="0" w:color="BFBFBF"/>
              <w:right w:val="single" w:sz="4" w:space="0" w:color="BFBFBF"/>
            </w:tcBorders>
            <w:shd w:val="clear" w:color="auto" w:fill="auto"/>
            <w:noWrap/>
            <w:vAlign w:val="center"/>
          </w:tcPr>
          <w:p w14:paraId="329EF5CC" w14:textId="77777777" w:rsidR="009F0ABB" w:rsidRPr="002D10D9" w:rsidRDefault="00A872AD"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6</w:t>
            </w:r>
            <w:r w:rsidR="009F0ABB" w:rsidRPr="002D10D9">
              <w:rPr>
                <w:rFonts w:ascii="Arial" w:hAnsi="Arial" w:cs="Arial"/>
                <w:color w:val="000000"/>
                <w:sz w:val="16"/>
                <w:szCs w:val="16"/>
                <w:lang w:val="en-AU" w:eastAsia="en-AU"/>
              </w:rPr>
              <w:t>%</w:t>
            </w:r>
          </w:p>
        </w:tc>
        <w:tc>
          <w:tcPr>
            <w:tcW w:w="480" w:type="dxa"/>
            <w:tcBorders>
              <w:top w:val="nil"/>
              <w:left w:val="nil"/>
              <w:bottom w:val="single" w:sz="4" w:space="0" w:color="BFBFBF"/>
              <w:right w:val="single" w:sz="4" w:space="0" w:color="BFBFBF"/>
            </w:tcBorders>
            <w:shd w:val="clear" w:color="auto" w:fill="auto"/>
            <w:noWrap/>
            <w:vAlign w:val="center"/>
          </w:tcPr>
          <w:p w14:paraId="1748738B"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w:t>
            </w:r>
          </w:p>
        </w:tc>
        <w:tc>
          <w:tcPr>
            <w:tcW w:w="480" w:type="dxa"/>
            <w:tcBorders>
              <w:top w:val="nil"/>
              <w:left w:val="nil"/>
              <w:bottom w:val="single" w:sz="4" w:space="0" w:color="BFBFBF"/>
              <w:right w:val="single" w:sz="4" w:space="0" w:color="BFBFBF"/>
            </w:tcBorders>
            <w:shd w:val="clear" w:color="auto" w:fill="auto"/>
            <w:noWrap/>
            <w:vAlign w:val="center"/>
          </w:tcPr>
          <w:p w14:paraId="51856C91"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w:t>
            </w:r>
          </w:p>
        </w:tc>
        <w:tc>
          <w:tcPr>
            <w:tcW w:w="480" w:type="dxa"/>
            <w:tcBorders>
              <w:top w:val="nil"/>
              <w:left w:val="nil"/>
              <w:bottom w:val="single" w:sz="4" w:space="0" w:color="BFBFBF"/>
              <w:right w:val="double" w:sz="6" w:space="0" w:color="auto"/>
            </w:tcBorders>
            <w:shd w:val="clear" w:color="auto" w:fill="auto"/>
            <w:noWrap/>
            <w:vAlign w:val="center"/>
          </w:tcPr>
          <w:p w14:paraId="06A2E50D"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w:t>
            </w:r>
          </w:p>
        </w:tc>
      </w:tr>
      <w:tr w:rsidR="0054131D" w:rsidRPr="002D10D9" w14:paraId="5B22E393" w14:textId="77777777" w:rsidTr="00022E1D">
        <w:trPr>
          <w:trHeight w:val="283"/>
          <w:jc w:val="center"/>
        </w:trPr>
        <w:tc>
          <w:tcPr>
            <w:tcW w:w="2080" w:type="dxa"/>
            <w:tcBorders>
              <w:top w:val="nil"/>
              <w:left w:val="double" w:sz="6" w:space="0" w:color="auto"/>
              <w:bottom w:val="single" w:sz="4" w:space="0" w:color="BFBFBF"/>
              <w:right w:val="nil"/>
            </w:tcBorders>
            <w:shd w:val="clear" w:color="auto" w:fill="auto"/>
            <w:noWrap/>
            <w:vAlign w:val="center"/>
          </w:tcPr>
          <w:p w14:paraId="6D750E8E" w14:textId="77777777" w:rsidR="009F0ABB" w:rsidRPr="002D10D9" w:rsidRDefault="009F0ABB" w:rsidP="009F0ABB">
            <w:pPr>
              <w:spacing w:before="0" w:after="0"/>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Total Use Gas</w:t>
            </w:r>
          </w:p>
        </w:tc>
        <w:tc>
          <w:tcPr>
            <w:tcW w:w="525" w:type="dxa"/>
            <w:tcBorders>
              <w:top w:val="nil"/>
              <w:left w:val="single" w:sz="4" w:space="0" w:color="auto"/>
              <w:bottom w:val="single" w:sz="4" w:space="0" w:color="BFBFBF"/>
              <w:right w:val="single" w:sz="4" w:space="0" w:color="BFBFBF"/>
            </w:tcBorders>
            <w:shd w:val="clear" w:color="auto" w:fill="auto"/>
            <w:noWrap/>
            <w:vAlign w:val="center"/>
          </w:tcPr>
          <w:p w14:paraId="3EBC45BD" w14:textId="77777777" w:rsidR="009F0ABB" w:rsidRPr="002D10D9" w:rsidRDefault="009F0ABB" w:rsidP="008345E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8</w:t>
            </w:r>
            <w:r w:rsidR="008345EB" w:rsidRPr="002D10D9">
              <w:rPr>
                <w:rFonts w:ascii="Arial" w:hAnsi="Arial" w:cs="Arial"/>
                <w:b/>
                <w:bCs/>
                <w:color w:val="000000"/>
                <w:sz w:val="16"/>
                <w:szCs w:val="16"/>
                <w:lang w:val="en-AU" w:eastAsia="en-AU"/>
              </w:rPr>
              <w:t>6</w:t>
            </w:r>
            <w:r w:rsidRPr="002D10D9">
              <w:rPr>
                <w:rFonts w:ascii="Arial" w:hAnsi="Arial" w:cs="Arial"/>
                <w:b/>
                <w:bCs/>
                <w:color w:val="000000"/>
                <w:sz w:val="16"/>
                <w:szCs w:val="16"/>
                <w:lang w:val="en-AU" w:eastAsia="en-AU"/>
              </w:rPr>
              <w:t>%</w:t>
            </w:r>
          </w:p>
        </w:tc>
        <w:tc>
          <w:tcPr>
            <w:tcW w:w="525" w:type="dxa"/>
            <w:tcBorders>
              <w:top w:val="nil"/>
              <w:left w:val="nil"/>
              <w:bottom w:val="single" w:sz="4" w:space="0" w:color="BFBFBF"/>
              <w:right w:val="single" w:sz="4" w:space="0" w:color="BFBFBF"/>
            </w:tcBorders>
            <w:shd w:val="clear" w:color="auto" w:fill="auto"/>
            <w:noWrap/>
            <w:vAlign w:val="center"/>
          </w:tcPr>
          <w:p w14:paraId="57CC29B8"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91%</w:t>
            </w:r>
          </w:p>
        </w:tc>
        <w:tc>
          <w:tcPr>
            <w:tcW w:w="525" w:type="dxa"/>
            <w:tcBorders>
              <w:top w:val="nil"/>
              <w:left w:val="nil"/>
              <w:bottom w:val="single" w:sz="4" w:space="0" w:color="BFBFBF"/>
              <w:right w:val="single" w:sz="4" w:space="0" w:color="BFBFBF"/>
            </w:tcBorders>
            <w:shd w:val="clear" w:color="auto" w:fill="auto"/>
            <w:noWrap/>
            <w:vAlign w:val="center"/>
          </w:tcPr>
          <w:p w14:paraId="4E694B50"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91%</w:t>
            </w:r>
          </w:p>
        </w:tc>
        <w:tc>
          <w:tcPr>
            <w:tcW w:w="525" w:type="dxa"/>
            <w:tcBorders>
              <w:top w:val="nil"/>
              <w:left w:val="nil"/>
              <w:bottom w:val="single" w:sz="4" w:space="0" w:color="BFBFBF"/>
              <w:right w:val="single" w:sz="4" w:space="0" w:color="auto"/>
            </w:tcBorders>
            <w:shd w:val="clear" w:color="auto" w:fill="auto"/>
            <w:noWrap/>
            <w:vAlign w:val="center"/>
          </w:tcPr>
          <w:p w14:paraId="387B233D"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80%</w:t>
            </w:r>
          </w:p>
        </w:tc>
        <w:tc>
          <w:tcPr>
            <w:tcW w:w="475" w:type="dxa"/>
            <w:tcBorders>
              <w:top w:val="nil"/>
              <w:left w:val="nil"/>
              <w:bottom w:val="single" w:sz="4" w:space="0" w:color="BFBFBF"/>
              <w:right w:val="single" w:sz="4" w:space="0" w:color="BFBFBF"/>
            </w:tcBorders>
            <w:shd w:val="clear" w:color="auto" w:fill="auto"/>
            <w:noWrap/>
            <w:vAlign w:val="center"/>
          </w:tcPr>
          <w:p w14:paraId="6703B991"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91%</w:t>
            </w:r>
          </w:p>
        </w:tc>
        <w:tc>
          <w:tcPr>
            <w:tcW w:w="475" w:type="dxa"/>
            <w:tcBorders>
              <w:top w:val="nil"/>
              <w:left w:val="nil"/>
              <w:bottom w:val="single" w:sz="4" w:space="0" w:color="BFBFBF"/>
              <w:right w:val="single" w:sz="4" w:space="0" w:color="BFBFBF"/>
            </w:tcBorders>
            <w:shd w:val="clear" w:color="auto" w:fill="auto"/>
            <w:noWrap/>
            <w:vAlign w:val="center"/>
          </w:tcPr>
          <w:p w14:paraId="14F2EAC9"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95%</w:t>
            </w:r>
          </w:p>
        </w:tc>
        <w:tc>
          <w:tcPr>
            <w:tcW w:w="475" w:type="dxa"/>
            <w:tcBorders>
              <w:top w:val="nil"/>
              <w:left w:val="nil"/>
              <w:bottom w:val="single" w:sz="4" w:space="0" w:color="BFBFBF"/>
              <w:right w:val="single" w:sz="4" w:space="0" w:color="BFBFBF"/>
            </w:tcBorders>
            <w:shd w:val="clear" w:color="auto" w:fill="auto"/>
            <w:noWrap/>
            <w:vAlign w:val="center"/>
          </w:tcPr>
          <w:p w14:paraId="4625E534"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93%</w:t>
            </w:r>
          </w:p>
        </w:tc>
        <w:tc>
          <w:tcPr>
            <w:tcW w:w="475" w:type="dxa"/>
            <w:tcBorders>
              <w:top w:val="nil"/>
              <w:left w:val="nil"/>
              <w:bottom w:val="single" w:sz="4" w:space="0" w:color="BFBFBF"/>
              <w:right w:val="nil"/>
            </w:tcBorders>
            <w:shd w:val="clear" w:color="auto" w:fill="auto"/>
            <w:noWrap/>
            <w:vAlign w:val="center"/>
          </w:tcPr>
          <w:p w14:paraId="36D6E0F8"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92%</w:t>
            </w:r>
          </w:p>
        </w:tc>
        <w:tc>
          <w:tcPr>
            <w:tcW w:w="490" w:type="dxa"/>
            <w:tcBorders>
              <w:top w:val="nil"/>
              <w:left w:val="single" w:sz="4" w:space="0" w:color="auto"/>
              <w:bottom w:val="single" w:sz="4" w:space="0" w:color="BFBFBF"/>
              <w:right w:val="single" w:sz="4" w:space="0" w:color="BFBFBF"/>
            </w:tcBorders>
            <w:shd w:val="clear" w:color="auto" w:fill="auto"/>
            <w:noWrap/>
            <w:vAlign w:val="center"/>
          </w:tcPr>
          <w:p w14:paraId="6C816534"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93%</w:t>
            </w:r>
          </w:p>
        </w:tc>
        <w:tc>
          <w:tcPr>
            <w:tcW w:w="490" w:type="dxa"/>
            <w:tcBorders>
              <w:top w:val="nil"/>
              <w:left w:val="nil"/>
              <w:bottom w:val="single" w:sz="4" w:space="0" w:color="BFBFBF"/>
              <w:right w:val="single" w:sz="4" w:space="0" w:color="BFBFBF"/>
            </w:tcBorders>
            <w:shd w:val="clear" w:color="auto" w:fill="auto"/>
            <w:noWrap/>
            <w:vAlign w:val="center"/>
          </w:tcPr>
          <w:p w14:paraId="3B14774C"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95%</w:t>
            </w:r>
          </w:p>
        </w:tc>
        <w:tc>
          <w:tcPr>
            <w:tcW w:w="490" w:type="dxa"/>
            <w:tcBorders>
              <w:top w:val="nil"/>
              <w:left w:val="nil"/>
              <w:bottom w:val="single" w:sz="4" w:space="0" w:color="BFBFBF"/>
              <w:right w:val="single" w:sz="4" w:space="0" w:color="BFBFBF"/>
            </w:tcBorders>
            <w:shd w:val="clear" w:color="auto" w:fill="auto"/>
            <w:noWrap/>
            <w:vAlign w:val="center"/>
          </w:tcPr>
          <w:p w14:paraId="1B317EBF"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96%</w:t>
            </w:r>
          </w:p>
        </w:tc>
        <w:tc>
          <w:tcPr>
            <w:tcW w:w="490" w:type="dxa"/>
            <w:tcBorders>
              <w:top w:val="nil"/>
              <w:left w:val="nil"/>
              <w:bottom w:val="single" w:sz="4" w:space="0" w:color="BFBFBF"/>
              <w:right w:val="single" w:sz="4" w:space="0" w:color="auto"/>
            </w:tcBorders>
            <w:shd w:val="clear" w:color="auto" w:fill="auto"/>
            <w:noWrap/>
            <w:vAlign w:val="center"/>
          </w:tcPr>
          <w:p w14:paraId="54D81A96"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94%</w:t>
            </w:r>
          </w:p>
        </w:tc>
        <w:tc>
          <w:tcPr>
            <w:tcW w:w="480" w:type="dxa"/>
            <w:tcBorders>
              <w:top w:val="nil"/>
              <w:left w:val="nil"/>
              <w:bottom w:val="single" w:sz="4" w:space="0" w:color="BFBFBF"/>
              <w:right w:val="single" w:sz="4" w:space="0" w:color="BFBFBF"/>
            </w:tcBorders>
            <w:shd w:val="clear" w:color="auto" w:fill="auto"/>
            <w:noWrap/>
            <w:vAlign w:val="center"/>
          </w:tcPr>
          <w:p w14:paraId="0180C4FD"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97%</w:t>
            </w:r>
          </w:p>
        </w:tc>
        <w:tc>
          <w:tcPr>
            <w:tcW w:w="480" w:type="dxa"/>
            <w:tcBorders>
              <w:top w:val="nil"/>
              <w:left w:val="nil"/>
              <w:bottom w:val="single" w:sz="4" w:space="0" w:color="BFBFBF"/>
              <w:right w:val="single" w:sz="4" w:space="0" w:color="BFBFBF"/>
            </w:tcBorders>
            <w:shd w:val="clear" w:color="auto" w:fill="auto"/>
            <w:noWrap/>
            <w:vAlign w:val="center"/>
          </w:tcPr>
          <w:p w14:paraId="4411BEE1"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98%</w:t>
            </w:r>
          </w:p>
        </w:tc>
        <w:tc>
          <w:tcPr>
            <w:tcW w:w="480" w:type="dxa"/>
            <w:tcBorders>
              <w:top w:val="nil"/>
              <w:left w:val="nil"/>
              <w:bottom w:val="single" w:sz="4" w:space="0" w:color="BFBFBF"/>
              <w:right w:val="single" w:sz="4" w:space="0" w:color="BFBFBF"/>
            </w:tcBorders>
            <w:shd w:val="clear" w:color="auto" w:fill="auto"/>
            <w:noWrap/>
            <w:vAlign w:val="center"/>
          </w:tcPr>
          <w:p w14:paraId="77D49494"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98%</w:t>
            </w:r>
          </w:p>
        </w:tc>
        <w:tc>
          <w:tcPr>
            <w:tcW w:w="480" w:type="dxa"/>
            <w:tcBorders>
              <w:top w:val="nil"/>
              <w:left w:val="nil"/>
              <w:bottom w:val="single" w:sz="4" w:space="0" w:color="BFBFBF"/>
              <w:right w:val="nil"/>
            </w:tcBorders>
            <w:shd w:val="clear" w:color="auto" w:fill="auto"/>
            <w:noWrap/>
            <w:vAlign w:val="center"/>
          </w:tcPr>
          <w:p w14:paraId="3154EB13"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96%</w:t>
            </w:r>
          </w:p>
        </w:tc>
        <w:tc>
          <w:tcPr>
            <w:tcW w:w="480" w:type="dxa"/>
            <w:tcBorders>
              <w:top w:val="nil"/>
              <w:left w:val="single" w:sz="4" w:space="0" w:color="auto"/>
              <w:bottom w:val="single" w:sz="4" w:space="0" w:color="BFBFBF"/>
              <w:right w:val="single" w:sz="4" w:space="0" w:color="BFBFBF"/>
            </w:tcBorders>
            <w:shd w:val="clear" w:color="auto" w:fill="auto"/>
            <w:noWrap/>
            <w:vAlign w:val="center"/>
          </w:tcPr>
          <w:p w14:paraId="21CB14BE" w14:textId="77777777" w:rsidR="009F0ABB" w:rsidRPr="002D10D9" w:rsidRDefault="009F0ABB" w:rsidP="00A872AD">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w:t>
            </w:r>
            <w:r w:rsidR="00A872AD" w:rsidRPr="002D10D9">
              <w:rPr>
                <w:rFonts w:ascii="Arial" w:hAnsi="Arial" w:cs="Arial"/>
                <w:b/>
                <w:bCs/>
                <w:color w:val="000000"/>
                <w:sz w:val="16"/>
                <w:szCs w:val="16"/>
                <w:lang w:val="en-AU" w:eastAsia="en-AU"/>
              </w:rPr>
              <w:t>1</w:t>
            </w:r>
            <w:r w:rsidRPr="002D10D9">
              <w:rPr>
                <w:rFonts w:ascii="Arial" w:hAnsi="Arial" w:cs="Arial"/>
                <w:b/>
                <w:bCs/>
                <w:color w:val="000000"/>
                <w:sz w:val="16"/>
                <w:szCs w:val="16"/>
                <w:lang w:val="en-AU" w:eastAsia="en-AU"/>
              </w:rPr>
              <w:t>%</w:t>
            </w:r>
          </w:p>
        </w:tc>
        <w:tc>
          <w:tcPr>
            <w:tcW w:w="480" w:type="dxa"/>
            <w:tcBorders>
              <w:top w:val="nil"/>
              <w:left w:val="nil"/>
              <w:bottom w:val="single" w:sz="4" w:space="0" w:color="BFBFBF"/>
              <w:right w:val="single" w:sz="4" w:space="0" w:color="BFBFBF"/>
            </w:tcBorders>
            <w:shd w:val="clear" w:color="auto" w:fill="auto"/>
            <w:noWrap/>
            <w:vAlign w:val="center"/>
          </w:tcPr>
          <w:p w14:paraId="06E77287"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95%</w:t>
            </w:r>
          </w:p>
        </w:tc>
        <w:tc>
          <w:tcPr>
            <w:tcW w:w="480" w:type="dxa"/>
            <w:tcBorders>
              <w:top w:val="nil"/>
              <w:left w:val="nil"/>
              <w:bottom w:val="single" w:sz="4" w:space="0" w:color="BFBFBF"/>
              <w:right w:val="single" w:sz="4" w:space="0" w:color="BFBFBF"/>
            </w:tcBorders>
            <w:shd w:val="clear" w:color="auto" w:fill="auto"/>
            <w:noWrap/>
            <w:vAlign w:val="center"/>
          </w:tcPr>
          <w:p w14:paraId="78214CAD"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95%</w:t>
            </w:r>
          </w:p>
        </w:tc>
        <w:tc>
          <w:tcPr>
            <w:tcW w:w="480" w:type="dxa"/>
            <w:tcBorders>
              <w:top w:val="nil"/>
              <w:left w:val="nil"/>
              <w:bottom w:val="single" w:sz="4" w:space="0" w:color="BFBFBF"/>
              <w:right w:val="double" w:sz="6" w:space="0" w:color="auto"/>
            </w:tcBorders>
            <w:shd w:val="clear" w:color="auto" w:fill="auto"/>
            <w:noWrap/>
            <w:vAlign w:val="center"/>
          </w:tcPr>
          <w:p w14:paraId="30878C6C" w14:textId="77777777" w:rsidR="009F0ABB" w:rsidRPr="002D10D9" w:rsidRDefault="009F0ABB" w:rsidP="009F0ABB">
            <w:pPr>
              <w:spacing w:before="0" w:after="0"/>
              <w:jc w:val="center"/>
              <w:rPr>
                <w:rFonts w:ascii="Arial" w:hAnsi="Arial" w:cs="Arial"/>
                <w:b/>
                <w:bCs/>
                <w:color w:val="000000"/>
                <w:sz w:val="16"/>
                <w:szCs w:val="16"/>
                <w:lang w:val="en-AU" w:eastAsia="en-AU"/>
              </w:rPr>
            </w:pPr>
            <w:r w:rsidRPr="002D10D9">
              <w:rPr>
                <w:rFonts w:ascii="Arial" w:hAnsi="Arial" w:cs="Arial"/>
                <w:b/>
                <w:bCs/>
                <w:color w:val="000000"/>
                <w:sz w:val="16"/>
                <w:szCs w:val="16"/>
                <w:lang w:val="en-AU" w:eastAsia="en-AU"/>
              </w:rPr>
              <w:t>91%</w:t>
            </w:r>
          </w:p>
        </w:tc>
      </w:tr>
      <w:tr w:rsidR="0054131D" w:rsidRPr="002D10D9" w14:paraId="7BDACA7A" w14:textId="77777777" w:rsidTr="00022E1D">
        <w:trPr>
          <w:trHeight w:val="283"/>
          <w:jc w:val="center"/>
        </w:trPr>
        <w:tc>
          <w:tcPr>
            <w:tcW w:w="2080" w:type="dxa"/>
            <w:tcBorders>
              <w:top w:val="nil"/>
              <w:left w:val="double" w:sz="6" w:space="0" w:color="auto"/>
              <w:bottom w:val="double" w:sz="6" w:space="0" w:color="auto"/>
              <w:right w:val="nil"/>
            </w:tcBorders>
            <w:shd w:val="clear" w:color="auto" w:fill="auto"/>
            <w:noWrap/>
            <w:vAlign w:val="center"/>
          </w:tcPr>
          <w:p w14:paraId="64815E29" w14:textId="77777777" w:rsidR="009F0ABB" w:rsidRPr="002D10D9" w:rsidRDefault="009F0ABB" w:rsidP="009F0ABB">
            <w:pPr>
              <w:spacing w:before="0" w:after="0"/>
              <w:rPr>
                <w:rFonts w:ascii="Arial" w:hAnsi="Arial" w:cs="Arial"/>
                <w:color w:val="000000"/>
                <w:sz w:val="16"/>
                <w:szCs w:val="16"/>
                <w:lang w:val="en-AU" w:eastAsia="en-AU"/>
              </w:rPr>
            </w:pPr>
            <w:r w:rsidRPr="002D10D9">
              <w:rPr>
                <w:rFonts w:ascii="Arial" w:hAnsi="Arial" w:cs="Arial"/>
                <w:color w:val="000000"/>
                <w:sz w:val="16"/>
                <w:szCs w:val="16"/>
                <w:lang w:val="en-AU" w:eastAsia="en-AU"/>
              </w:rPr>
              <w:t>Don't Use Gas</w:t>
            </w:r>
          </w:p>
        </w:tc>
        <w:tc>
          <w:tcPr>
            <w:tcW w:w="525" w:type="dxa"/>
            <w:tcBorders>
              <w:top w:val="nil"/>
              <w:left w:val="single" w:sz="4" w:space="0" w:color="auto"/>
              <w:bottom w:val="double" w:sz="6" w:space="0" w:color="auto"/>
              <w:right w:val="single" w:sz="4" w:space="0" w:color="BFBFBF"/>
            </w:tcBorders>
            <w:shd w:val="clear" w:color="auto" w:fill="auto"/>
            <w:noWrap/>
            <w:vAlign w:val="center"/>
          </w:tcPr>
          <w:p w14:paraId="520629FA" w14:textId="77777777" w:rsidR="009F0ABB" w:rsidRPr="002D10D9" w:rsidRDefault="009F0ABB" w:rsidP="008345E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1</w:t>
            </w:r>
            <w:r w:rsidR="008345EB" w:rsidRPr="002D10D9">
              <w:rPr>
                <w:rFonts w:ascii="Arial" w:hAnsi="Arial" w:cs="Arial"/>
                <w:color w:val="000000"/>
                <w:sz w:val="16"/>
                <w:szCs w:val="16"/>
                <w:lang w:val="en-AU" w:eastAsia="en-AU"/>
              </w:rPr>
              <w:t>4</w:t>
            </w:r>
            <w:r w:rsidRPr="002D10D9">
              <w:rPr>
                <w:rFonts w:ascii="Arial" w:hAnsi="Arial" w:cs="Arial"/>
                <w:color w:val="000000"/>
                <w:sz w:val="16"/>
                <w:szCs w:val="16"/>
                <w:lang w:val="en-AU" w:eastAsia="en-AU"/>
              </w:rPr>
              <w:t>%</w:t>
            </w:r>
          </w:p>
        </w:tc>
        <w:tc>
          <w:tcPr>
            <w:tcW w:w="525" w:type="dxa"/>
            <w:tcBorders>
              <w:top w:val="nil"/>
              <w:left w:val="nil"/>
              <w:bottom w:val="double" w:sz="6" w:space="0" w:color="auto"/>
              <w:right w:val="single" w:sz="4" w:space="0" w:color="BFBFBF"/>
            </w:tcBorders>
            <w:shd w:val="clear" w:color="auto" w:fill="auto"/>
            <w:noWrap/>
            <w:vAlign w:val="center"/>
          </w:tcPr>
          <w:p w14:paraId="518548EA"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w:t>
            </w:r>
          </w:p>
        </w:tc>
        <w:tc>
          <w:tcPr>
            <w:tcW w:w="525" w:type="dxa"/>
            <w:tcBorders>
              <w:top w:val="nil"/>
              <w:left w:val="nil"/>
              <w:bottom w:val="double" w:sz="6" w:space="0" w:color="auto"/>
              <w:right w:val="single" w:sz="4" w:space="0" w:color="BFBFBF"/>
            </w:tcBorders>
            <w:shd w:val="clear" w:color="auto" w:fill="auto"/>
            <w:noWrap/>
            <w:vAlign w:val="center"/>
          </w:tcPr>
          <w:p w14:paraId="014B24D5"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w:t>
            </w:r>
          </w:p>
        </w:tc>
        <w:tc>
          <w:tcPr>
            <w:tcW w:w="525" w:type="dxa"/>
            <w:tcBorders>
              <w:top w:val="nil"/>
              <w:left w:val="nil"/>
              <w:bottom w:val="double" w:sz="6" w:space="0" w:color="auto"/>
              <w:right w:val="single" w:sz="4" w:space="0" w:color="auto"/>
            </w:tcBorders>
            <w:shd w:val="clear" w:color="auto" w:fill="auto"/>
            <w:noWrap/>
            <w:vAlign w:val="center"/>
          </w:tcPr>
          <w:p w14:paraId="3AD0C177"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20%</w:t>
            </w:r>
          </w:p>
        </w:tc>
        <w:tc>
          <w:tcPr>
            <w:tcW w:w="475" w:type="dxa"/>
            <w:tcBorders>
              <w:top w:val="nil"/>
              <w:left w:val="nil"/>
              <w:bottom w:val="double" w:sz="6" w:space="0" w:color="auto"/>
              <w:right w:val="single" w:sz="4" w:space="0" w:color="BFBFBF"/>
            </w:tcBorders>
            <w:shd w:val="clear" w:color="auto" w:fill="auto"/>
            <w:noWrap/>
            <w:vAlign w:val="center"/>
          </w:tcPr>
          <w:p w14:paraId="759AD403"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w:t>
            </w:r>
          </w:p>
        </w:tc>
        <w:tc>
          <w:tcPr>
            <w:tcW w:w="475" w:type="dxa"/>
            <w:tcBorders>
              <w:top w:val="nil"/>
              <w:left w:val="nil"/>
              <w:bottom w:val="double" w:sz="6" w:space="0" w:color="auto"/>
              <w:right w:val="single" w:sz="4" w:space="0" w:color="BFBFBF"/>
            </w:tcBorders>
            <w:shd w:val="clear" w:color="auto" w:fill="auto"/>
            <w:noWrap/>
            <w:vAlign w:val="center"/>
          </w:tcPr>
          <w:p w14:paraId="4FC45DF7"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5%</w:t>
            </w:r>
          </w:p>
        </w:tc>
        <w:tc>
          <w:tcPr>
            <w:tcW w:w="475" w:type="dxa"/>
            <w:tcBorders>
              <w:top w:val="nil"/>
              <w:left w:val="nil"/>
              <w:bottom w:val="double" w:sz="6" w:space="0" w:color="auto"/>
              <w:right w:val="single" w:sz="4" w:space="0" w:color="BFBFBF"/>
            </w:tcBorders>
            <w:shd w:val="clear" w:color="auto" w:fill="auto"/>
            <w:noWrap/>
            <w:vAlign w:val="center"/>
          </w:tcPr>
          <w:p w14:paraId="3B55B5B5"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7%</w:t>
            </w:r>
          </w:p>
        </w:tc>
        <w:tc>
          <w:tcPr>
            <w:tcW w:w="475" w:type="dxa"/>
            <w:tcBorders>
              <w:top w:val="nil"/>
              <w:left w:val="nil"/>
              <w:bottom w:val="double" w:sz="6" w:space="0" w:color="auto"/>
              <w:right w:val="nil"/>
            </w:tcBorders>
            <w:shd w:val="clear" w:color="auto" w:fill="auto"/>
            <w:noWrap/>
            <w:vAlign w:val="center"/>
          </w:tcPr>
          <w:p w14:paraId="6228A696"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8%</w:t>
            </w:r>
          </w:p>
        </w:tc>
        <w:tc>
          <w:tcPr>
            <w:tcW w:w="490" w:type="dxa"/>
            <w:tcBorders>
              <w:top w:val="nil"/>
              <w:left w:val="single" w:sz="4" w:space="0" w:color="auto"/>
              <w:bottom w:val="double" w:sz="6" w:space="0" w:color="auto"/>
              <w:right w:val="single" w:sz="4" w:space="0" w:color="BFBFBF"/>
            </w:tcBorders>
            <w:shd w:val="clear" w:color="auto" w:fill="auto"/>
            <w:noWrap/>
            <w:vAlign w:val="center"/>
          </w:tcPr>
          <w:p w14:paraId="4C8BAD6C"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7%</w:t>
            </w:r>
          </w:p>
        </w:tc>
        <w:tc>
          <w:tcPr>
            <w:tcW w:w="490" w:type="dxa"/>
            <w:tcBorders>
              <w:top w:val="nil"/>
              <w:left w:val="nil"/>
              <w:bottom w:val="double" w:sz="6" w:space="0" w:color="auto"/>
              <w:right w:val="single" w:sz="4" w:space="0" w:color="BFBFBF"/>
            </w:tcBorders>
            <w:shd w:val="clear" w:color="auto" w:fill="auto"/>
            <w:noWrap/>
            <w:vAlign w:val="center"/>
          </w:tcPr>
          <w:p w14:paraId="2588D56A"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5%</w:t>
            </w:r>
          </w:p>
        </w:tc>
        <w:tc>
          <w:tcPr>
            <w:tcW w:w="490" w:type="dxa"/>
            <w:tcBorders>
              <w:top w:val="nil"/>
              <w:left w:val="nil"/>
              <w:bottom w:val="double" w:sz="6" w:space="0" w:color="auto"/>
              <w:right w:val="single" w:sz="4" w:space="0" w:color="BFBFBF"/>
            </w:tcBorders>
            <w:shd w:val="clear" w:color="auto" w:fill="auto"/>
            <w:noWrap/>
            <w:vAlign w:val="center"/>
          </w:tcPr>
          <w:p w14:paraId="0D6FFA6F"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4%</w:t>
            </w:r>
          </w:p>
        </w:tc>
        <w:tc>
          <w:tcPr>
            <w:tcW w:w="490" w:type="dxa"/>
            <w:tcBorders>
              <w:top w:val="nil"/>
              <w:left w:val="nil"/>
              <w:bottom w:val="double" w:sz="6" w:space="0" w:color="auto"/>
              <w:right w:val="single" w:sz="4" w:space="0" w:color="auto"/>
            </w:tcBorders>
            <w:shd w:val="clear" w:color="auto" w:fill="auto"/>
            <w:noWrap/>
            <w:vAlign w:val="center"/>
          </w:tcPr>
          <w:p w14:paraId="1BE72D46"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6%</w:t>
            </w:r>
          </w:p>
        </w:tc>
        <w:tc>
          <w:tcPr>
            <w:tcW w:w="480" w:type="dxa"/>
            <w:tcBorders>
              <w:top w:val="nil"/>
              <w:left w:val="nil"/>
              <w:bottom w:val="double" w:sz="6" w:space="0" w:color="auto"/>
              <w:right w:val="single" w:sz="4" w:space="0" w:color="BFBFBF"/>
            </w:tcBorders>
            <w:shd w:val="clear" w:color="auto" w:fill="auto"/>
            <w:noWrap/>
            <w:vAlign w:val="center"/>
          </w:tcPr>
          <w:p w14:paraId="0EC08BB5"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3%</w:t>
            </w:r>
          </w:p>
        </w:tc>
        <w:tc>
          <w:tcPr>
            <w:tcW w:w="480" w:type="dxa"/>
            <w:tcBorders>
              <w:top w:val="nil"/>
              <w:left w:val="nil"/>
              <w:bottom w:val="double" w:sz="6" w:space="0" w:color="auto"/>
              <w:right w:val="single" w:sz="4" w:space="0" w:color="BFBFBF"/>
            </w:tcBorders>
            <w:shd w:val="clear" w:color="auto" w:fill="auto"/>
            <w:noWrap/>
            <w:vAlign w:val="center"/>
          </w:tcPr>
          <w:p w14:paraId="0BBC57DA"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2%</w:t>
            </w:r>
          </w:p>
        </w:tc>
        <w:tc>
          <w:tcPr>
            <w:tcW w:w="480" w:type="dxa"/>
            <w:tcBorders>
              <w:top w:val="nil"/>
              <w:left w:val="nil"/>
              <w:bottom w:val="double" w:sz="6" w:space="0" w:color="auto"/>
              <w:right w:val="single" w:sz="4" w:space="0" w:color="BFBFBF"/>
            </w:tcBorders>
            <w:shd w:val="clear" w:color="auto" w:fill="auto"/>
            <w:noWrap/>
            <w:vAlign w:val="center"/>
          </w:tcPr>
          <w:p w14:paraId="53830968"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2%</w:t>
            </w:r>
          </w:p>
        </w:tc>
        <w:tc>
          <w:tcPr>
            <w:tcW w:w="480" w:type="dxa"/>
            <w:tcBorders>
              <w:top w:val="nil"/>
              <w:left w:val="nil"/>
              <w:bottom w:val="double" w:sz="6" w:space="0" w:color="auto"/>
              <w:right w:val="nil"/>
            </w:tcBorders>
            <w:shd w:val="clear" w:color="auto" w:fill="auto"/>
            <w:noWrap/>
            <w:vAlign w:val="center"/>
          </w:tcPr>
          <w:p w14:paraId="650CB1FF"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4%</w:t>
            </w:r>
          </w:p>
        </w:tc>
        <w:tc>
          <w:tcPr>
            <w:tcW w:w="480" w:type="dxa"/>
            <w:tcBorders>
              <w:top w:val="nil"/>
              <w:left w:val="single" w:sz="4" w:space="0" w:color="auto"/>
              <w:bottom w:val="double" w:sz="6" w:space="0" w:color="auto"/>
              <w:right w:val="single" w:sz="4" w:space="0" w:color="BFBFBF"/>
            </w:tcBorders>
            <w:shd w:val="clear" w:color="auto" w:fill="auto"/>
            <w:noWrap/>
            <w:vAlign w:val="center"/>
          </w:tcPr>
          <w:p w14:paraId="33156DF6" w14:textId="77777777" w:rsidR="009F0ABB" w:rsidRPr="002D10D9" w:rsidRDefault="00A872AD"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w:t>
            </w:r>
            <w:r w:rsidR="009F0ABB" w:rsidRPr="002D10D9">
              <w:rPr>
                <w:rFonts w:ascii="Arial" w:hAnsi="Arial" w:cs="Arial"/>
                <w:color w:val="000000"/>
                <w:sz w:val="16"/>
                <w:szCs w:val="16"/>
                <w:lang w:val="en-AU" w:eastAsia="en-AU"/>
              </w:rPr>
              <w:t>%</w:t>
            </w:r>
          </w:p>
        </w:tc>
        <w:tc>
          <w:tcPr>
            <w:tcW w:w="480" w:type="dxa"/>
            <w:tcBorders>
              <w:top w:val="nil"/>
              <w:left w:val="nil"/>
              <w:bottom w:val="double" w:sz="6" w:space="0" w:color="auto"/>
              <w:right w:val="single" w:sz="4" w:space="0" w:color="BFBFBF"/>
            </w:tcBorders>
            <w:shd w:val="clear" w:color="auto" w:fill="auto"/>
            <w:noWrap/>
            <w:vAlign w:val="center"/>
          </w:tcPr>
          <w:p w14:paraId="5828468A"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5%</w:t>
            </w:r>
          </w:p>
        </w:tc>
        <w:tc>
          <w:tcPr>
            <w:tcW w:w="480" w:type="dxa"/>
            <w:tcBorders>
              <w:top w:val="nil"/>
              <w:left w:val="nil"/>
              <w:bottom w:val="double" w:sz="6" w:space="0" w:color="auto"/>
              <w:right w:val="single" w:sz="4" w:space="0" w:color="BFBFBF"/>
            </w:tcBorders>
            <w:shd w:val="clear" w:color="auto" w:fill="auto"/>
            <w:noWrap/>
            <w:vAlign w:val="center"/>
          </w:tcPr>
          <w:p w14:paraId="1C27039C"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5%</w:t>
            </w:r>
          </w:p>
        </w:tc>
        <w:tc>
          <w:tcPr>
            <w:tcW w:w="480" w:type="dxa"/>
            <w:tcBorders>
              <w:top w:val="nil"/>
              <w:left w:val="nil"/>
              <w:bottom w:val="double" w:sz="6" w:space="0" w:color="auto"/>
              <w:right w:val="double" w:sz="6" w:space="0" w:color="auto"/>
            </w:tcBorders>
            <w:shd w:val="clear" w:color="auto" w:fill="auto"/>
            <w:noWrap/>
            <w:vAlign w:val="center"/>
          </w:tcPr>
          <w:p w14:paraId="1FC24B98" w14:textId="77777777" w:rsidR="009F0ABB" w:rsidRPr="002D10D9" w:rsidRDefault="009F0ABB" w:rsidP="009F0ABB">
            <w:pPr>
              <w:spacing w:before="0" w:after="0"/>
              <w:jc w:val="center"/>
              <w:rPr>
                <w:rFonts w:ascii="Arial" w:hAnsi="Arial" w:cs="Arial"/>
                <w:color w:val="000000"/>
                <w:sz w:val="16"/>
                <w:szCs w:val="16"/>
                <w:lang w:val="en-AU" w:eastAsia="en-AU"/>
              </w:rPr>
            </w:pPr>
            <w:r w:rsidRPr="002D10D9">
              <w:rPr>
                <w:rFonts w:ascii="Arial" w:hAnsi="Arial" w:cs="Arial"/>
                <w:color w:val="000000"/>
                <w:sz w:val="16"/>
                <w:szCs w:val="16"/>
                <w:lang w:val="en-AU" w:eastAsia="en-AU"/>
              </w:rPr>
              <w:t>9%</w:t>
            </w:r>
          </w:p>
        </w:tc>
      </w:tr>
    </w:tbl>
    <w:p w14:paraId="1396965F" w14:textId="77777777" w:rsidR="00E02C75" w:rsidRPr="003835AE" w:rsidRDefault="00566049" w:rsidP="002D10D9">
      <w:pPr>
        <w:pStyle w:val="Para"/>
        <w:ind w:left="576"/>
        <w:rPr>
          <w:highlight w:val="yellow"/>
          <w:lang w:val="en-AU"/>
        </w:rPr>
      </w:pPr>
      <w:r w:rsidRPr="002D10D9">
        <w:rPr>
          <w:sz w:val="20"/>
          <w:lang w:val="en-AU"/>
        </w:rPr>
        <w:t>Base: Total respondents: 2014 (n=1,861), 2007 (n=2,061); 2001 (n=2,006); 1996 (n=2,000)</w:t>
      </w:r>
    </w:p>
    <w:p w14:paraId="13136B4B" w14:textId="77777777" w:rsidR="00D109F7" w:rsidRPr="005E5ECC" w:rsidRDefault="00E02C75" w:rsidP="00D109F7">
      <w:pPr>
        <w:pStyle w:val="Heading2"/>
        <w:spacing w:before="0"/>
        <w:rPr>
          <w:lang w:val="en-AU"/>
        </w:rPr>
      </w:pPr>
      <w:r w:rsidRPr="003835AE">
        <w:rPr>
          <w:highlight w:val="yellow"/>
          <w:lang w:val="en-AU"/>
        </w:rPr>
        <w:br w:type="page"/>
      </w:r>
      <w:bookmarkStart w:id="171" w:name="_Toc439198313"/>
      <w:bookmarkStart w:id="172" w:name="_Toc445571691"/>
      <w:r w:rsidR="00D109F7" w:rsidRPr="005E5ECC">
        <w:rPr>
          <w:lang w:val="en-AU"/>
        </w:rPr>
        <w:lastRenderedPageBreak/>
        <w:t>ELECTRICITY COSTS AND CONSUMPTION</w:t>
      </w:r>
      <w:bookmarkEnd w:id="171"/>
      <w:bookmarkEnd w:id="172"/>
    </w:p>
    <w:p w14:paraId="6B07D93C" w14:textId="77777777" w:rsidR="00F13D5E" w:rsidRPr="005E5ECC" w:rsidRDefault="00F13D5E" w:rsidP="009748AD">
      <w:pPr>
        <w:pStyle w:val="Para"/>
        <w:spacing w:before="240"/>
        <w:rPr>
          <w:lang w:val="en-AU"/>
        </w:rPr>
      </w:pPr>
      <w:r w:rsidRPr="005E5ECC">
        <w:rPr>
          <w:lang w:val="en-AU"/>
        </w:rPr>
        <w:t>NB. This section is based on billing data supplied by energy suppliers and linked to respondent survey data.</w:t>
      </w:r>
    </w:p>
    <w:p w14:paraId="2725CD75" w14:textId="77777777" w:rsidR="00EA09AE" w:rsidRPr="005E5ECC" w:rsidRDefault="00EA09AE" w:rsidP="00542EAF">
      <w:pPr>
        <w:pStyle w:val="Para"/>
        <w:rPr>
          <w:lang w:val="en-AU"/>
        </w:rPr>
      </w:pPr>
    </w:p>
    <w:p w14:paraId="7047C250" w14:textId="77777777" w:rsidR="003920D8" w:rsidRPr="005E5ECC" w:rsidRDefault="00D109F7">
      <w:pPr>
        <w:pStyle w:val="Heading3"/>
        <w:tabs>
          <w:tab w:val="clear" w:pos="8517"/>
          <w:tab w:val="num" w:pos="851"/>
        </w:tabs>
        <w:spacing w:before="120"/>
        <w:ind w:hanging="8517"/>
        <w:rPr>
          <w:lang w:val="en-AU"/>
        </w:rPr>
      </w:pPr>
      <w:bookmarkStart w:id="173" w:name="_Toc439198314"/>
      <w:bookmarkStart w:id="174" w:name="_Toc445571692"/>
      <w:r w:rsidRPr="005E5ECC">
        <w:rPr>
          <w:lang w:val="en-AU"/>
        </w:rPr>
        <w:t>Electricity Consumption</w:t>
      </w:r>
      <w:bookmarkEnd w:id="173"/>
      <w:bookmarkEnd w:id="174"/>
    </w:p>
    <w:p w14:paraId="0BF67BD7" w14:textId="77777777" w:rsidR="00D109F7" w:rsidRPr="005E5ECC" w:rsidRDefault="0059723A" w:rsidP="00D109F7">
      <w:pPr>
        <w:pStyle w:val="Para"/>
        <w:rPr>
          <w:lang w:val="en-AU"/>
        </w:rPr>
      </w:pPr>
      <w:r w:rsidRPr="005E5ECC">
        <w:rPr>
          <w:lang w:val="en-AU"/>
        </w:rPr>
        <w:t xml:space="preserve">Over 99% of households paid electricity bills.  </w:t>
      </w:r>
      <w:r w:rsidR="00D109F7" w:rsidRPr="005E5ECC">
        <w:rPr>
          <w:lang w:val="en-AU"/>
        </w:rPr>
        <w:t xml:space="preserve">On average, </w:t>
      </w:r>
      <w:r w:rsidR="007679C3" w:rsidRPr="005E5ECC">
        <w:rPr>
          <w:lang w:val="en-AU"/>
        </w:rPr>
        <w:t xml:space="preserve">2014 electricity </w:t>
      </w:r>
      <w:r w:rsidR="00C33CEC" w:rsidRPr="005E5ECC">
        <w:rPr>
          <w:lang w:val="en-AU"/>
        </w:rPr>
        <w:t>bill-payer</w:t>
      </w:r>
      <w:r w:rsidR="007679C3" w:rsidRPr="005E5ECC">
        <w:rPr>
          <w:lang w:val="en-AU"/>
        </w:rPr>
        <w:t>s received 5.2 bills per year, compared with an average of 4.6 bills per year in 2007</w:t>
      </w:r>
      <w:r w:rsidR="00D109F7" w:rsidRPr="005E5ECC">
        <w:rPr>
          <w:lang w:val="en-AU"/>
        </w:rPr>
        <w:t>.</w:t>
      </w:r>
      <w:r w:rsidR="007679C3" w:rsidRPr="005E5ECC">
        <w:rPr>
          <w:lang w:val="en-AU"/>
        </w:rPr>
        <w:t xml:space="preserve">  Almost all electricity </w:t>
      </w:r>
      <w:r w:rsidR="00C33CEC" w:rsidRPr="005E5ECC">
        <w:rPr>
          <w:lang w:val="en-AU"/>
        </w:rPr>
        <w:t>bill-payer</w:t>
      </w:r>
      <w:r w:rsidR="007679C3" w:rsidRPr="005E5ECC">
        <w:rPr>
          <w:lang w:val="en-AU"/>
        </w:rPr>
        <w:t xml:space="preserve">s (99.2%) received all bills based on an actual reading of the meter. </w:t>
      </w:r>
    </w:p>
    <w:p w14:paraId="09F9957D" w14:textId="77777777" w:rsidR="00D109F7" w:rsidRPr="005E5ECC" w:rsidRDefault="00D109F7" w:rsidP="00D109F7">
      <w:pPr>
        <w:pStyle w:val="Para"/>
        <w:rPr>
          <w:lang w:val="en-AU"/>
        </w:rPr>
      </w:pPr>
    </w:p>
    <w:p w14:paraId="46E8A098" w14:textId="317DF00B" w:rsidR="007D40E4" w:rsidRPr="00953185" w:rsidRDefault="007D40E4" w:rsidP="00D109F7">
      <w:pPr>
        <w:pStyle w:val="Para"/>
        <w:rPr>
          <w:lang w:val="en-AU"/>
        </w:rPr>
      </w:pPr>
      <w:r w:rsidRPr="00953185">
        <w:rPr>
          <w:lang w:val="en-AU"/>
        </w:rPr>
        <w:t xml:space="preserve">In 2014, </w:t>
      </w:r>
      <w:r w:rsidR="000E75AB" w:rsidRPr="00953185">
        <w:rPr>
          <w:lang w:val="en-AU"/>
        </w:rPr>
        <w:t>96</w:t>
      </w:r>
      <w:r w:rsidRPr="00953185">
        <w:rPr>
          <w:lang w:val="en-AU"/>
        </w:rPr>
        <w:t xml:space="preserve">% </w:t>
      </w:r>
      <w:r w:rsidR="000E75AB" w:rsidRPr="00953185">
        <w:rPr>
          <w:lang w:val="en-AU"/>
        </w:rPr>
        <w:t xml:space="preserve">of households </w:t>
      </w:r>
      <w:r w:rsidR="00D109F7" w:rsidRPr="00953185">
        <w:rPr>
          <w:lang w:val="en-AU"/>
        </w:rPr>
        <w:t xml:space="preserve">paid their </w:t>
      </w:r>
      <w:r w:rsidRPr="00953185">
        <w:rPr>
          <w:lang w:val="en-AU"/>
        </w:rPr>
        <w:t>e</w:t>
      </w:r>
      <w:r w:rsidR="00D109F7" w:rsidRPr="00953185">
        <w:rPr>
          <w:lang w:val="en-AU"/>
        </w:rPr>
        <w:t>lectricity bill in full</w:t>
      </w:r>
      <w:r w:rsidR="00DF177F" w:rsidRPr="00953185">
        <w:rPr>
          <w:rStyle w:val="FootnoteReference"/>
          <w:lang w:val="en-AU"/>
        </w:rPr>
        <w:footnoteReference w:id="5"/>
      </w:r>
      <w:r w:rsidR="00D109F7" w:rsidRPr="00953185">
        <w:rPr>
          <w:lang w:val="en-AU"/>
        </w:rPr>
        <w:t xml:space="preserve">, </w:t>
      </w:r>
      <w:r w:rsidRPr="00953185">
        <w:rPr>
          <w:lang w:val="en-AU"/>
        </w:rPr>
        <w:t xml:space="preserve">with </w:t>
      </w:r>
      <w:r w:rsidR="000E75AB" w:rsidRPr="00953185">
        <w:rPr>
          <w:lang w:val="en-AU"/>
        </w:rPr>
        <w:t xml:space="preserve">little difference between </w:t>
      </w:r>
      <w:r w:rsidRPr="00953185">
        <w:rPr>
          <w:lang w:val="en-AU"/>
        </w:rPr>
        <w:t>Melbourne (</w:t>
      </w:r>
      <w:r w:rsidR="000E75AB" w:rsidRPr="00953185">
        <w:rPr>
          <w:lang w:val="en-AU"/>
        </w:rPr>
        <w:t>96%</w:t>
      </w:r>
      <w:r w:rsidRPr="00953185">
        <w:rPr>
          <w:lang w:val="en-AU"/>
        </w:rPr>
        <w:t xml:space="preserve">) </w:t>
      </w:r>
      <w:r w:rsidR="005D3F76">
        <w:rPr>
          <w:lang w:val="en-AU"/>
        </w:rPr>
        <w:t>and</w:t>
      </w:r>
      <w:r w:rsidRPr="00953185">
        <w:rPr>
          <w:lang w:val="en-AU"/>
        </w:rPr>
        <w:t xml:space="preserve"> country Victoria (</w:t>
      </w:r>
      <w:r w:rsidR="000E75AB" w:rsidRPr="00953185">
        <w:rPr>
          <w:lang w:val="en-AU"/>
        </w:rPr>
        <w:t>97</w:t>
      </w:r>
      <w:r w:rsidRPr="00953185">
        <w:rPr>
          <w:lang w:val="en-AU"/>
        </w:rPr>
        <w:t>%)</w:t>
      </w:r>
      <w:r w:rsidR="008A1C90" w:rsidRPr="00953185">
        <w:rPr>
          <w:lang w:val="en-AU"/>
        </w:rPr>
        <w:t xml:space="preserve"> – see Table 4.2.1.1 Part 1 and Part 2 on the following pages</w:t>
      </w:r>
      <w:r w:rsidRPr="00953185">
        <w:rPr>
          <w:lang w:val="en-AU"/>
        </w:rPr>
        <w:t>.  Public renters (</w:t>
      </w:r>
      <w:r w:rsidR="00953185" w:rsidRPr="00953185">
        <w:rPr>
          <w:lang w:val="en-AU"/>
        </w:rPr>
        <w:t>80</w:t>
      </w:r>
      <w:r w:rsidRPr="00953185">
        <w:rPr>
          <w:lang w:val="en-AU"/>
        </w:rPr>
        <w:t>%) were less likely than home owners (</w:t>
      </w:r>
      <w:r w:rsidR="00953185" w:rsidRPr="00953185">
        <w:rPr>
          <w:lang w:val="en-AU"/>
        </w:rPr>
        <w:t>98</w:t>
      </w:r>
      <w:r w:rsidRPr="00953185">
        <w:rPr>
          <w:lang w:val="en-AU"/>
        </w:rPr>
        <w:t>%)</w:t>
      </w:r>
      <w:r w:rsidR="00953185" w:rsidRPr="00953185">
        <w:rPr>
          <w:lang w:val="en-AU"/>
        </w:rPr>
        <w:t xml:space="preserve">, </w:t>
      </w:r>
      <w:r w:rsidRPr="00953185">
        <w:rPr>
          <w:lang w:val="en-AU"/>
        </w:rPr>
        <w:t>home buyers (</w:t>
      </w:r>
      <w:r w:rsidR="00953185" w:rsidRPr="00953185">
        <w:rPr>
          <w:lang w:val="en-AU"/>
        </w:rPr>
        <w:t>97%</w:t>
      </w:r>
      <w:r w:rsidRPr="00953185">
        <w:rPr>
          <w:lang w:val="en-AU"/>
        </w:rPr>
        <w:t>)</w:t>
      </w:r>
      <w:r w:rsidR="00953185" w:rsidRPr="00953185">
        <w:rPr>
          <w:lang w:val="en-AU"/>
        </w:rPr>
        <w:t xml:space="preserve"> or private renters (96%) to have </w:t>
      </w:r>
      <w:r w:rsidRPr="00953185">
        <w:rPr>
          <w:lang w:val="en-AU"/>
        </w:rPr>
        <w:t xml:space="preserve">fully paid their electricity bill.  </w:t>
      </w:r>
      <w:r w:rsidR="00953185" w:rsidRPr="00953185">
        <w:rPr>
          <w:lang w:val="en-AU"/>
        </w:rPr>
        <w:t xml:space="preserve">Concession </w:t>
      </w:r>
      <w:r w:rsidRPr="00953185">
        <w:rPr>
          <w:lang w:val="en-AU"/>
        </w:rPr>
        <w:t xml:space="preserve">households </w:t>
      </w:r>
      <w:r w:rsidR="00953185" w:rsidRPr="00953185">
        <w:rPr>
          <w:lang w:val="en-AU"/>
        </w:rPr>
        <w:t xml:space="preserve">(92%) were less likely than non-concession households (98%) </w:t>
      </w:r>
      <w:r w:rsidRPr="00953185">
        <w:rPr>
          <w:lang w:val="en-AU"/>
        </w:rPr>
        <w:t>to have paid their electricity bill in full.</w:t>
      </w:r>
    </w:p>
    <w:p w14:paraId="6565CC4C" w14:textId="77777777" w:rsidR="007D40E4" w:rsidRDefault="007D40E4" w:rsidP="00D109F7">
      <w:pPr>
        <w:pStyle w:val="Para"/>
        <w:rPr>
          <w:lang w:val="en-AU"/>
        </w:rPr>
      </w:pPr>
    </w:p>
    <w:p w14:paraId="47C6015E" w14:textId="476EB561" w:rsidR="006C75CB" w:rsidRPr="00953185" w:rsidRDefault="006C75CB" w:rsidP="00D109F7">
      <w:pPr>
        <w:pStyle w:val="Para"/>
        <w:rPr>
          <w:lang w:val="en-AU"/>
        </w:rPr>
      </w:pPr>
      <w:r>
        <w:rPr>
          <w:lang w:val="en-AU"/>
        </w:rPr>
        <w:t xml:space="preserve">In 2014, 6% of households paid their electricity bills by compulsory instalments.  Public renters (18%) were more likely than </w:t>
      </w:r>
      <w:r w:rsidR="00222324">
        <w:rPr>
          <w:lang w:val="en-AU"/>
        </w:rPr>
        <w:t>private renters (9%), home buyers (8%) or home owners (3%) to be paying by compulsory instalments.  Other concession households (12%</w:t>
      </w:r>
      <w:r w:rsidR="00BC6314">
        <w:rPr>
          <w:lang w:val="en-AU"/>
        </w:rPr>
        <w:t>) were</w:t>
      </w:r>
      <w:r w:rsidR="00222324">
        <w:rPr>
          <w:lang w:val="en-AU"/>
        </w:rPr>
        <w:t xml:space="preserve"> much more likely than aged concession or non-concession households (both 4%) to be paying their gas bills by compulsory instalments.</w:t>
      </w:r>
    </w:p>
    <w:p w14:paraId="04B44041" w14:textId="77777777" w:rsidR="00986384" w:rsidRPr="00953185" w:rsidRDefault="00986384" w:rsidP="00D109F7">
      <w:pPr>
        <w:pStyle w:val="Para"/>
        <w:rPr>
          <w:lang w:val="en-AU"/>
        </w:rPr>
      </w:pPr>
    </w:p>
    <w:p w14:paraId="1211B750" w14:textId="77777777" w:rsidR="00986384" w:rsidRPr="00953185" w:rsidRDefault="00986384" w:rsidP="00D109F7">
      <w:pPr>
        <w:pStyle w:val="Para"/>
        <w:rPr>
          <w:lang w:val="en-AU"/>
        </w:rPr>
      </w:pPr>
    </w:p>
    <w:p w14:paraId="4CB2264B" w14:textId="7D312CD7" w:rsidR="00002D92" w:rsidRPr="000E75AB" w:rsidRDefault="00986384" w:rsidP="00CF1938">
      <w:pPr>
        <w:pStyle w:val="Para"/>
        <w:tabs>
          <w:tab w:val="left" w:pos="8222"/>
        </w:tabs>
        <w:spacing w:before="120" w:after="120" w:line="240" w:lineRule="auto"/>
        <w:jc w:val="center"/>
        <w:rPr>
          <w:b/>
          <w:szCs w:val="24"/>
          <w:u w:val="single"/>
          <w:lang w:val="en-AU"/>
        </w:rPr>
      </w:pPr>
      <w:r w:rsidRPr="003835AE">
        <w:rPr>
          <w:highlight w:val="yellow"/>
          <w:lang w:val="en-AU"/>
        </w:rPr>
        <w:br w:type="page"/>
      </w:r>
      <w:r w:rsidR="00D109F7" w:rsidRPr="000E75AB">
        <w:rPr>
          <w:b/>
          <w:szCs w:val="24"/>
          <w:lang w:val="en-AU"/>
        </w:rPr>
        <w:lastRenderedPageBreak/>
        <w:t xml:space="preserve">Table 4.2.1.1: </w:t>
      </w:r>
      <w:r w:rsidR="00D109F7" w:rsidRPr="000E75AB">
        <w:rPr>
          <w:b/>
          <w:szCs w:val="24"/>
          <w:u w:val="single"/>
          <w:lang w:val="en-AU"/>
        </w:rPr>
        <w:t>Electricity Bill</w:t>
      </w:r>
      <w:r w:rsidR="00002D92" w:rsidRPr="000E75AB">
        <w:rPr>
          <w:b/>
          <w:szCs w:val="24"/>
          <w:u w:val="single"/>
          <w:lang w:val="en-AU"/>
        </w:rPr>
        <w:t xml:space="preserve">s </w:t>
      </w:r>
      <w:r w:rsidR="00D109F7" w:rsidRPr="000E75AB">
        <w:rPr>
          <w:b/>
          <w:szCs w:val="24"/>
          <w:u w:val="single"/>
          <w:lang w:val="en-AU"/>
        </w:rPr>
        <w:t>Paid in Full</w:t>
      </w:r>
      <w:r w:rsidR="00002D92" w:rsidRPr="000E75AB">
        <w:rPr>
          <w:b/>
          <w:szCs w:val="24"/>
          <w:u w:val="single"/>
          <w:lang w:val="en-AU"/>
        </w:rPr>
        <w:t xml:space="preserve"> </w:t>
      </w:r>
      <w:r w:rsidR="005D3F76">
        <w:rPr>
          <w:b/>
          <w:szCs w:val="24"/>
          <w:u w:val="single"/>
          <w:lang w:val="en-AU"/>
        </w:rPr>
        <w:t>and/or</w:t>
      </w:r>
      <w:r w:rsidR="00002D92" w:rsidRPr="000E75AB">
        <w:rPr>
          <w:b/>
          <w:szCs w:val="24"/>
          <w:u w:val="single"/>
          <w:lang w:val="en-AU"/>
        </w:rPr>
        <w:t xml:space="preserve"> by Compulsory Instalment</w:t>
      </w:r>
      <w:r w:rsidRPr="000E75AB">
        <w:rPr>
          <w:b/>
          <w:szCs w:val="24"/>
          <w:u w:val="single"/>
          <w:lang w:val="en-AU"/>
        </w:rPr>
        <w:t xml:space="preserve"> – Part 1</w:t>
      </w:r>
    </w:p>
    <w:tbl>
      <w:tblPr>
        <w:tblW w:w="7060" w:type="dxa"/>
        <w:jc w:val="center"/>
        <w:tblLook w:val="04A0" w:firstRow="1" w:lastRow="0" w:firstColumn="1" w:lastColumn="0" w:noHBand="0" w:noVBand="1"/>
      </w:tblPr>
      <w:tblGrid>
        <w:gridCol w:w="3220"/>
        <w:gridCol w:w="960"/>
        <w:gridCol w:w="960"/>
        <w:gridCol w:w="960"/>
        <w:gridCol w:w="960"/>
      </w:tblGrid>
      <w:tr w:rsidR="00002D92" w:rsidRPr="000E75AB" w14:paraId="43937C88" w14:textId="77777777" w:rsidTr="00CF1938">
        <w:trPr>
          <w:trHeight w:val="465"/>
          <w:jc w:val="center"/>
        </w:trPr>
        <w:tc>
          <w:tcPr>
            <w:tcW w:w="3220" w:type="dxa"/>
            <w:vMerge w:val="restart"/>
            <w:tcBorders>
              <w:top w:val="double" w:sz="6" w:space="0" w:color="auto"/>
              <w:left w:val="double" w:sz="6" w:space="0" w:color="auto"/>
              <w:bottom w:val="single" w:sz="4" w:space="0" w:color="BFBFBF"/>
              <w:right w:val="nil"/>
            </w:tcBorders>
            <w:shd w:val="clear" w:color="auto" w:fill="auto"/>
            <w:vAlign w:val="center"/>
          </w:tcPr>
          <w:p w14:paraId="6973E7DB" w14:textId="77777777" w:rsidR="00002D92" w:rsidRPr="000E75AB" w:rsidRDefault="00002D92" w:rsidP="00002D92">
            <w:pPr>
              <w:spacing w:before="0" w:after="0"/>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 xml:space="preserve">How Electricity Bill Paid </w:t>
            </w:r>
            <w:r w:rsidRPr="000E75AB">
              <w:rPr>
                <w:rFonts w:ascii="Arial" w:hAnsi="Arial" w:cs="Arial"/>
                <w:b/>
                <w:bCs/>
                <w:color w:val="000000"/>
                <w:sz w:val="16"/>
                <w:szCs w:val="16"/>
                <w:lang w:val="en-AU" w:eastAsia="en-AU"/>
              </w:rPr>
              <w:br/>
              <w:t>(of those paying electricity bills)</w:t>
            </w:r>
          </w:p>
        </w:tc>
        <w:tc>
          <w:tcPr>
            <w:tcW w:w="1920" w:type="dxa"/>
            <w:gridSpan w:val="2"/>
            <w:tcBorders>
              <w:top w:val="double" w:sz="6" w:space="0" w:color="auto"/>
              <w:left w:val="single" w:sz="4" w:space="0" w:color="auto"/>
              <w:bottom w:val="single" w:sz="4" w:space="0" w:color="BFBFBF"/>
              <w:right w:val="single" w:sz="4" w:space="0" w:color="000000"/>
            </w:tcBorders>
            <w:shd w:val="clear" w:color="auto" w:fill="auto"/>
            <w:noWrap/>
            <w:vAlign w:val="center"/>
          </w:tcPr>
          <w:p w14:paraId="1E92A9E2" w14:textId="77777777" w:rsidR="00002D92" w:rsidRPr="000E75AB" w:rsidRDefault="00002D92" w:rsidP="00002D92">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In Full</w:t>
            </w:r>
          </w:p>
        </w:tc>
        <w:tc>
          <w:tcPr>
            <w:tcW w:w="1920" w:type="dxa"/>
            <w:gridSpan w:val="2"/>
            <w:tcBorders>
              <w:top w:val="double" w:sz="6" w:space="0" w:color="auto"/>
              <w:left w:val="nil"/>
              <w:bottom w:val="single" w:sz="4" w:space="0" w:color="BFBFBF"/>
              <w:right w:val="double" w:sz="6" w:space="0" w:color="000000"/>
            </w:tcBorders>
            <w:shd w:val="clear" w:color="auto" w:fill="auto"/>
            <w:vAlign w:val="center"/>
          </w:tcPr>
          <w:p w14:paraId="7B8BF719" w14:textId="77777777" w:rsidR="00002D92" w:rsidRPr="000E75AB" w:rsidRDefault="00002D92" w:rsidP="00002D92">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By Compulsory Instalment</w:t>
            </w:r>
          </w:p>
        </w:tc>
      </w:tr>
      <w:tr w:rsidR="00002D92" w:rsidRPr="000E75AB" w14:paraId="015710EB" w14:textId="77777777" w:rsidTr="00CF1938">
        <w:trPr>
          <w:trHeight w:val="225"/>
          <w:jc w:val="center"/>
        </w:trPr>
        <w:tc>
          <w:tcPr>
            <w:tcW w:w="3220" w:type="dxa"/>
            <w:vMerge/>
            <w:tcBorders>
              <w:top w:val="double" w:sz="6" w:space="0" w:color="auto"/>
              <w:left w:val="double" w:sz="6" w:space="0" w:color="auto"/>
              <w:bottom w:val="single" w:sz="4" w:space="0" w:color="BFBFBF"/>
              <w:right w:val="nil"/>
            </w:tcBorders>
            <w:vAlign w:val="center"/>
          </w:tcPr>
          <w:p w14:paraId="0C1D5064" w14:textId="77777777" w:rsidR="00002D92" w:rsidRPr="000E75AB" w:rsidRDefault="00002D92" w:rsidP="00002D92">
            <w:pPr>
              <w:spacing w:before="0" w:after="0"/>
              <w:rPr>
                <w:rFonts w:ascii="Arial" w:hAnsi="Arial" w:cs="Arial"/>
                <w:b/>
                <w:bCs/>
                <w:color w:val="000000"/>
                <w:sz w:val="16"/>
                <w:szCs w:val="16"/>
                <w:lang w:val="en-AU" w:eastAsia="en-AU"/>
              </w:rPr>
            </w:pPr>
          </w:p>
        </w:tc>
        <w:tc>
          <w:tcPr>
            <w:tcW w:w="960" w:type="dxa"/>
            <w:tcBorders>
              <w:top w:val="nil"/>
              <w:left w:val="single" w:sz="4" w:space="0" w:color="auto"/>
              <w:bottom w:val="nil"/>
              <w:right w:val="single" w:sz="4" w:space="0" w:color="BFBFBF"/>
            </w:tcBorders>
            <w:shd w:val="clear" w:color="auto" w:fill="auto"/>
            <w:noWrap/>
            <w:vAlign w:val="center"/>
          </w:tcPr>
          <w:p w14:paraId="5BA1BDC8" w14:textId="77777777" w:rsidR="00002D92" w:rsidRPr="000E75AB" w:rsidRDefault="00002D92" w:rsidP="00002D92">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2014</w:t>
            </w:r>
          </w:p>
        </w:tc>
        <w:tc>
          <w:tcPr>
            <w:tcW w:w="960" w:type="dxa"/>
            <w:tcBorders>
              <w:top w:val="nil"/>
              <w:left w:val="nil"/>
              <w:bottom w:val="nil"/>
              <w:right w:val="single" w:sz="4" w:space="0" w:color="auto"/>
            </w:tcBorders>
            <w:shd w:val="clear" w:color="auto" w:fill="auto"/>
            <w:noWrap/>
            <w:vAlign w:val="center"/>
          </w:tcPr>
          <w:p w14:paraId="66FA76FF" w14:textId="77777777" w:rsidR="00002D92" w:rsidRPr="000E75AB" w:rsidRDefault="00002D92" w:rsidP="00002D92">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2007</w:t>
            </w:r>
          </w:p>
        </w:tc>
        <w:tc>
          <w:tcPr>
            <w:tcW w:w="960" w:type="dxa"/>
            <w:tcBorders>
              <w:top w:val="nil"/>
              <w:left w:val="nil"/>
              <w:bottom w:val="nil"/>
              <w:right w:val="single" w:sz="4" w:space="0" w:color="BFBFBF"/>
            </w:tcBorders>
            <w:shd w:val="clear" w:color="auto" w:fill="auto"/>
            <w:noWrap/>
            <w:vAlign w:val="center"/>
          </w:tcPr>
          <w:p w14:paraId="31B41092" w14:textId="77777777" w:rsidR="00002D92" w:rsidRPr="000E75AB" w:rsidRDefault="00002D92" w:rsidP="00002D92">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2014</w:t>
            </w:r>
          </w:p>
        </w:tc>
        <w:tc>
          <w:tcPr>
            <w:tcW w:w="960" w:type="dxa"/>
            <w:tcBorders>
              <w:top w:val="nil"/>
              <w:left w:val="nil"/>
              <w:bottom w:val="nil"/>
              <w:right w:val="double" w:sz="6" w:space="0" w:color="auto"/>
            </w:tcBorders>
            <w:shd w:val="clear" w:color="auto" w:fill="auto"/>
            <w:noWrap/>
            <w:vAlign w:val="center"/>
          </w:tcPr>
          <w:p w14:paraId="63EC7526" w14:textId="77777777" w:rsidR="00002D92" w:rsidRPr="000E75AB" w:rsidRDefault="00002D92" w:rsidP="00002D92">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2007</w:t>
            </w:r>
          </w:p>
        </w:tc>
      </w:tr>
      <w:tr w:rsidR="00002D92" w:rsidRPr="000E75AB" w14:paraId="7174705D" w14:textId="77777777" w:rsidTr="00CF1938">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0430C03F" w14:textId="77777777" w:rsidR="00002D92" w:rsidRPr="000E75AB" w:rsidRDefault="00002D92" w:rsidP="00002D92">
            <w:pPr>
              <w:spacing w:before="0" w:after="0"/>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 xml:space="preserve">By </w:t>
            </w:r>
            <w:r w:rsidR="00D2389A" w:rsidRPr="000E75AB">
              <w:rPr>
                <w:rFonts w:ascii="Arial" w:hAnsi="Arial" w:cs="Arial"/>
                <w:b/>
                <w:bCs/>
                <w:color w:val="000000"/>
                <w:sz w:val="16"/>
                <w:szCs w:val="16"/>
                <w:lang w:val="en-AU" w:eastAsia="en-AU"/>
              </w:rPr>
              <w:t>Concession Status</w:t>
            </w:r>
            <w:r w:rsidRPr="000E75AB">
              <w:rPr>
                <w:rFonts w:ascii="Arial" w:hAnsi="Arial" w:cs="Arial"/>
                <w:b/>
                <w:bCs/>
                <w:color w:val="000000"/>
                <w:sz w:val="16"/>
                <w:szCs w:val="16"/>
                <w:lang w:val="en-AU" w:eastAsia="en-AU"/>
              </w:rPr>
              <w:t xml:space="preserve"> -</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5D4BDF31" w14:textId="77777777" w:rsidR="00002D92" w:rsidRPr="000E75AB" w:rsidRDefault="00002D92" w:rsidP="00002D92">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auto"/>
            </w:tcBorders>
            <w:shd w:val="clear" w:color="auto" w:fill="auto"/>
            <w:noWrap/>
            <w:vAlign w:val="center"/>
          </w:tcPr>
          <w:p w14:paraId="42BE49E1" w14:textId="77777777" w:rsidR="00002D92" w:rsidRPr="000E75AB" w:rsidRDefault="00002D92" w:rsidP="00002D92">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center"/>
          </w:tcPr>
          <w:p w14:paraId="1925069F" w14:textId="77777777" w:rsidR="00002D92" w:rsidRPr="000E75AB" w:rsidRDefault="00002D92" w:rsidP="00002D92">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lang w:val="en-AU" w:eastAsia="en-AU"/>
              </w:rPr>
              <w:t> </w:t>
            </w:r>
          </w:p>
        </w:tc>
        <w:tc>
          <w:tcPr>
            <w:tcW w:w="960" w:type="dxa"/>
            <w:tcBorders>
              <w:top w:val="nil"/>
              <w:left w:val="nil"/>
              <w:bottom w:val="single" w:sz="4" w:space="0" w:color="BFBFBF"/>
              <w:right w:val="double" w:sz="6" w:space="0" w:color="auto"/>
            </w:tcBorders>
            <w:shd w:val="clear" w:color="auto" w:fill="auto"/>
            <w:noWrap/>
            <w:vAlign w:val="center"/>
          </w:tcPr>
          <w:p w14:paraId="3C7BB8FC" w14:textId="77777777" w:rsidR="00002D92" w:rsidRPr="000E75AB" w:rsidRDefault="00002D92" w:rsidP="00002D92">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lang w:val="en-AU" w:eastAsia="en-AU"/>
              </w:rPr>
              <w:t> </w:t>
            </w:r>
          </w:p>
        </w:tc>
      </w:tr>
      <w:tr w:rsidR="000E75AB" w:rsidRPr="000E75AB" w14:paraId="10347BF0"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1B07914E" w14:textId="77777777" w:rsidR="000E75AB" w:rsidRPr="000E75AB" w:rsidRDefault="000E75AB" w:rsidP="00002D92">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Aged Concession HHs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0C5E1802" w14:textId="1E0D1BFE"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98%</w:t>
            </w:r>
          </w:p>
        </w:tc>
        <w:tc>
          <w:tcPr>
            <w:tcW w:w="960" w:type="dxa"/>
            <w:tcBorders>
              <w:top w:val="nil"/>
              <w:left w:val="nil"/>
              <w:bottom w:val="single" w:sz="4" w:space="0" w:color="BFBFBF"/>
              <w:right w:val="single" w:sz="4" w:space="0" w:color="auto"/>
            </w:tcBorders>
            <w:shd w:val="clear" w:color="auto" w:fill="auto"/>
            <w:noWrap/>
            <w:vAlign w:val="center"/>
          </w:tcPr>
          <w:p w14:paraId="10CBC0D2" w14:textId="6FA0431A"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81%</w:t>
            </w:r>
          </w:p>
        </w:tc>
        <w:tc>
          <w:tcPr>
            <w:tcW w:w="960" w:type="dxa"/>
            <w:tcBorders>
              <w:top w:val="nil"/>
              <w:left w:val="nil"/>
              <w:bottom w:val="single" w:sz="4" w:space="0" w:color="BFBFBF"/>
              <w:right w:val="single" w:sz="4" w:space="0" w:color="BFBFBF"/>
            </w:tcBorders>
            <w:shd w:val="clear" w:color="auto" w:fill="auto"/>
            <w:noWrap/>
            <w:vAlign w:val="center"/>
          </w:tcPr>
          <w:p w14:paraId="73B105B0" w14:textId="620BE6A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4%</w:t>
            </w:r>
          </w:p>
        </w:tc>
        <w:tc>
          <w:tcPr>
            <w:tcW w:w="960" w:type="dxa"/>
            <w:tcBorders>
              <w:top w:val="nil"/>
              <w:left w:val="nil"/>
              <w:bottom w:val="single" w:sz="4" w:space="0" w:color="BFBFBF"/>
              <w:right w:val="double" w:sz="6" w:space="0" w:color="auto"/>
            </w:tcBorders>
            <w:shd w:val="clear" w:color="auto" w:fill="auto"/>
            <w:noWrap/>
            <w:vAlign w:val="center"/>
          </w:tcPr>
          <w:p w14:paraId="69342320" w14:textId="003804F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11%</w:t>
            </w:r>
          </w:p>
        </w:tc>
      </w:tr>
      <w:tr w:rsidR="000E75AB" w:rsidRPr="000E75AB" w14:paraId="17EF00BE"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48835C96" w14:textId="77777777" w:rsidR="000E75AB" w:rsidRPr="000E75AB" w:rsidRDefault="000E75AB" w:rsidP="00002D92">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Other Concession HHs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283BB62" w14:textId="3A1019A3"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92%</w:t>
            </w:r>
          </w:p>
        </w:tc>
        <w:tc>
          <w:tcPr>
            <w:tcW w:w="960" w:type="dxa"/>
            <w:tcBorders>
              <w:top w:val="nil"/>
              <w:left w:val="nil"/>
              <w:bottom w:val="single" w:sz="4" w:space="0" w:color="BFBFBF"/>
              <w:right w:val="single" w:sz="4" w:space="0" w:color="auto"/>
            </w:tcBorders>
            <w:shd w:val="clear" w:color="auto" w:fill="auto"/>
            <w:noWrap/>
            <w:vAlign w:val="center"/>
          </w:tcPr>
          <w:p w14:paraId="42B89716" w14:textId="1DEBB8B1"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63%</w:t>
            </w:r>
          </w:p>
        </w:tc>
        <w:tc>
          <w:tcPr>
            <w:tcW w:w="960" w:type="dxa"/>
            <w:tcBorders>
              <w:top w:val="nil"/>
              <w:left w:val="nil"/>
              <w:bottom w:val="single" w:sz="4" w:space="0" w:color="BFBFBF"/>
              <w:right w:val="single" w:sz="4" w:space="0" w:color="BFBFBF"/>
            </w:tcBorders>
            <w:shd w:val="clear" w:color="auto" w:fill="auto"/>
            <w:noWrap/>
            <w:vAlign w:val="center"/>
          </w:tcPr>
          <w:p w14:paraId="3E8903D4" w14:textId="1AA3103F"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12%</w:t>
            </w:r>
          </w:p>
        </w:tc>
        <w:tc>
          <w:tcPr>
            <w:tcW w:w="960" w:type="dxa"/>
            <w:tcBorders>
              <w:top w:val="nil"/>
              <w:left w:val="nil"/>
              <w:bottom w:val="single" w:sz="4" w:space="0" w:color="BFBFBF"/>
              <w:right w:val="double" w:sz="6" w:space="0" w:color="auto"/>
            </w:tcBorders>
            <w:shd w:val="clear" w:color="auto" w:fill="auto"/>
            <w:noWrap/>
            <w:vAlign w:val="center"/>
          </w:tcPr>
          <w:p w14:paraId="2964B7E1" w14:textId="7D012FA7"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18%</w:t>
            </w:r>
          </w:p>
        </w:tc>
      </w:tr>
      <w:tr w:rsidR="000E75AB" w:rsidRPr="000E75AB" w14:paraId="3E78EA4B"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46FC2FDF" w14:textId="77777777" w:rsidR="000E75AB" w:rsidRPr="000E75AB" w:rsidRDefault="000E75AB" w:rsidP="00002D92">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Total Concession HHs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53C5565A" w14:textId="3543BD96"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95%</w:t>
            </w:r>
          </w:p>
        </w:tc>
        <w:tc>
          <w:tcPr>
            <w:tcW w:w="960" w:type="dxa"/>
            <w:tcBorders>
              <w:top w:val="nil"/>
              <w:left w:val="nil"/>
              <w:bottom w:val="single" w:sz="4" w:space="0" w:color="BFBFBF"/>
              <w:right w:val="single" w:sz="4" w:space="0" w:color="auto"/>
            </w:tcBorders>
            <w:shd w:val="clear" w:color="auto" w:fill="auto"/>
            <w:noWrap/>
            <w:vAlign w:val="center"/>
          </w:tcPr>
          <w:p w14:paraId="548E9A74" w14:textId="09BE3E7B"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72%</w:t>
            </w:r>
          </w:p>
        </w:tc>
        <w:tc>
          <w:tcPr>
            <w:tcW w:w="960" w:type="dxa"/>
            <w:tcBorders>
              <w:top w:val="nil"/>
              <w:left w:val="nil"/>
              <w:bottom w:val="single" w:sz="4" w:space="0" w:color="BFBFBF"/>
              <w:right w:val="single" w:sz="4" w:space="0" w:color="BFBFBF"/>
            </w:tcBorders>
            <w:shd w:val="clear" w:color="auto" w:fill="auto"/>
            <w:noWrap/>
            <w:vAlign w:val="center"/>
          </w:tcPr>
          <w:p w14:paraId="7DC83339" w14:textId="726D603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8%</w:t>
            </w:r>
          </w:p>
        </w:tc>
        <w:tc>
          <w:tcPr>
            <w:tcW w:w="960" w:type="dxa"/>
            <w:tcBorders>
              <w:top w:val="nil"/>
              <w:left w:val="nil"/>
              <w:bottom w:val="single" w:sz="4" w:space="0" w:color="BFBFBF"/>
              <w:right w:val="double" w:sz="6" w:space="0" w:color="auto"/>
            </w:tcBorders>
            <w:shd w:val="clear" w:color="auto" w:fill="auto"/>
            <w:noWrap/>
            <w:vAlign w:val="center"/>
          </w:tcPr>
          <w:p w14:paraId="0461FECE" w14:textId="545D592D"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14%</w:t>
            </w:r>
          </w:p>
        </w:tc>
      </w:tr>
      <w:tr w:rsidR="000E75AB" w:rsidRPr="000E75AB" w14:paraId="7A654D20"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3FC127B2" w14:textId="77777777" w:rsidR="000E75AB" w:rsidRPr="000E75AB" w:rsidRDefault="000E75AB" w:rsidP="00002D92">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Non-Concession HHs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01CB971" w14:textId="6C17D5B2"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98%</w:t>
            </w:r>
          </w:p>
        </w:tc>
        <w:tc>
          <w:tcPr>
            <w:tcW w:w="960" w:type="dxa"/>
            <w:tcBorders>
              <w:top w:val="nil"/>
              <w:left w:val="nil"/>
              <w:bottom w:val="single" w:sz="4" w:space="0" w:color="BFBFBF"/>
              <w:right w:val="single" w:sz="4" w:space="0" w:color="auto"/>
            </w:tcBorders>
            <w:shd w:val="clear" w:color="auto" w:fill="auto"/>
            <w:noWrap/>
            <w:vAlign w:val="center"/>
          </w:tcPr>
          <w:p w14:paraId="190325D4" w14:textId="3E9269E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77%</w:t>
            </w:r>
          </w:p>
        </w:tc>
        <w:tc>
          <w:tcPr>
            <w:tcW w:w="960" w:type="dxa"/>
            <w:tcBorders>
              <w:top w:val="nil"/>
              <w:left w:val="nil"/>
              <w:bottom w:val="single" w:sz="4" w:space="0" w:color="BFBFBF"/>
              <w:right w:val="single" w:sz="4" w:space="0" w:color="BFBFBF"/>
            </w:tcBorders>
            <w:shd w:val="clear" w:color="auto" w:fill="auto"/>
            <w:noWrap/>
            <w:vAlign w:val="center"/>
          </w:tcPr>
          <w:p w14:paraId="28CF0092" w14:textId="20813D7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4%</w:t>
            </w:r>
          </w:p>
        </w:tc>
        <w:tc>
          <w:tcPr>
            <w:tcW w:w="960" w:type="dxa"/>
            <w:tcBorders>
              <w:top w:val="nil"/>
              <w:left w:val="nil"/>
              <w:bottom w:val="single" w:sz="4" w:space="0" w:color="BFBFBF"/>
              <w:right w:val="double" w:sz="6" w:space="0" w:color="auto"/>
            </w:tcBorders>
            <w:shd w:val="clear" w:color="auto" w:fill="auto"/>
            <w:noWrap/>
            <w:vAlign w:val="center"/>
          </w:tcPr>
          <w:p w14:paraId="2855B09D" w14:textId="4BC0BF3E"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10%</w:t>
            </w:r>
          </w:p>
        </w:tc>
      </w:tr>
      <w:tr w:rsidR="000E75AB" w:rsidRPr="000E75AB" w14:paraId="6BC06665"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1B4CB984" w14:textId="77777777" w:rsidR="000E75AB" w:rsidRPr="000E75AB" w:rsidRDefault="000E75AB" w:rsidP="00986384">
            <w:pPr>
              <w:spacing w:before="0" w:after="0"/>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By Household Size -</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6975BE37" w14:textId="77DE2A71" w:rsidR="000E75AB" w:rsidRPr="000E75AB" w:rsidRDefault="000E75AB" w:rsidP="009748AD">
            <w:pPr>
              <w:spacing w:before="0" w:after="0"/>
              <w:jc w:val="center"/>
              <w:rPr>
                <w:rFonts w:ascii="Arial" w:hAnsi="Arial" w:cs="Arial"/>
                <w:b/>
                <w:bCs/>
                <w:color w:val="000000"/>
                <w:sz w:val="16"/>
                <w:szCs w:val="16"/>
                <w:lang w:val="en-AU" w:eastAsia="en-AU"/>
              </w:rPr>
            </w:pPr>
          </w:p>
        </w:tc>
        <w:tc>
          <w:tcPr>
            <w:tcW w:w="960" w:type="dxa"/>
            <w:tcBorders>
              <w:top w:val="nil"/>
              <w:left w:val="nil"/>
              <w:bottom w:val="single" w:sz="4" w:space="0" w:color="BFBFBF"/>
              <w:right w:val="single" w:sz="4" w:space="0" w:color="auto"/>
            </w:tcBorders>
            <w:shd w:val="clear" w:color="auto" w:fill="auto"/>
            <w:noWrap/>
            <w:vAlign w:val="center"/>
          </w:tcPr>
          <w:p w14:paraId="650F25D6" w14:textId="210F29EA" w:rsidR="000E75AB" w:rsidRPr="000E75AB" w:rsidRDefault="000E75AB" w:rsidP="009748AD">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single" w:sz="4" w:space="0" w:color="BFBFBF"/>
            </w:tcBorders>
            <w:shd w:val="clear" w:color="auto" w:fill="auto"/>
            <w:noWrap/>
            <w:vAlign w:val="center"/>
          </w:tcPr>
          <w:p w14:paraId="112B6520" w14:textId="5DC7A908" w:rsidR="000E75AB" w:rsidRPr="000E75AB" w:rsidRDefault="000E75AB" w:rsidP="009748AD">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double" w:sz="6" w:space="0" w:color="auto"/>
            </w:tcBorders>
            <w:shd w:val="clear" w:color="auto" w:fill="auto"/>
            <w:noWrap/>
            <w:vAlign w:val="center"/>
          </w:tcPr>
          <w:p w14:paraId="48D3430F" w14:textId="4FAC8C7E" w:rsidR="000E75AB" w:rsidRPr="000E75AB" w:rsidRDefault="000E75AB" w:rsidP="009748AD">
            <w:pPr>
              <w:spacing w:before="0" w:after="0"/>
              <w:jc w:val="center"/>
              <w:rPr>
                <w:rFonts w:ascii="Arial" w:hAnsi="Arial" w:cs="Arial"/>
                <w:color w:val="000000"/>
                <w:sz w:val="16"/>
                <w:szCs w:val="16"/>
                <w:lang w:val="en-AU" w:eastAsia="en-AU"/>
              </w:rPr>
            </w:pPr>
          </w:p>
        </w:tc>
      </w:tr>
      <w:tr w:rsidR="000E75AB" w:rsidRPr="000E75AB" w14:paraId="71DAB9D2"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4F2529A0"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1 person</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5FBABF8E" w14:textId="4CE45EDC"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97%</w:t>
            </w:r>
          </w:p>
        </w:tc>
        <w:tc>
          <w:tcPr>
            <w:tcW w:w="960" w:type="dxa"/>
            <w:tcBorders>
              <w:top w:val="nil"/>
              <w:left w:val="nil"/>
              <w:bottom w:val="single" w:sz="4" w:space="0" w:color="BFBFBF"/>
              <w:right w:val="single" w:sz="4" w:space="0" w:color="auto"/>
            </w:tcBorders>
            <w:shd w:val="clear" w:color="auto" w:fill="auto"/>
            <w:noWrap/>
            <w:vAlign w:val="center"/>
          </w:tcPr>
          <w:p w14:paraId="1A53A206" w14:textId="6562E4A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76%</w:t>
            </w:r>
          </w:p>
        </w:tc>
        <w:tc>
          <w:tcPr>
            <w:tcW w:w="960" w:type="dxa"/>
            <w:tcBorders>
              <w:top w:val="nil"/>
              <w:left w:val="nil"/>
              <w:bottom w:val="single" w:sz="4" w:space="0" w:color="BFBFBF"/>
              <w:right w:val="single" w:sz="4" w:space="0" w:color="BFBFBF"/>
            </w:tcBorders>
            <w:shd w:val="clear" w:color="auto" w:fill="auto"/>
            <w:noWrap/>
            <w:vAlign w:val="center"/>
          </w:tcPr>
          <w:p w14:paraId="157B8830" w14:textId="5FA5FDE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6%</w:t>
            </w:r>
          </w:p>
        </w:tc>
        <w:tc>
          <w:tcPr>
            <w:tcW w:w="960" w:type="dxa"/>
            <w:tcBorders>
              <w:top w:val="nil"/>
              <w:left w:val="nil"/>
              <w:bottom w:val="single" w:sz="4" w:space="0" w:color="BFBFBF"/>
              <w:right w:val="double" w:sz="6" w:space="0" w:color="auto"/>
            </w:tcBorders>
            <w:shd w:val="clear" w:color="auto" w:fill="auto"/>
            <w:noWrap/>
            <w:vAlign w:val="center"/>
          </w:tcPr>
          <w:p w14:paraId="3F246245" w14:textId="7C7FEAC4"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14%</w:t>
            </w:r>
          </w:p>
        </w:tc>
      </w:tr>
      <w:tr w:rsidR="000E75AB" w:rsidRPr="000E75AB" w14:paraId="39EE9E85"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6F179570"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2 persons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6CCD61B" w14:textId="076A3FF3"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97%</w:t>
            </w:r>
          </w:p>
        </w:tc>
        <w:tc>
          <w:tcPr>
            <w:tcW w:w="960" w:type="dxa"/>
            <w:tcBorders>
              <w:top w:val="nil"/>
              <w:left w:val="nil"/>
              <w:bottom w:val="single" w:sz="4" w:space="0" w:color="BFBFBF"/>
              <w:right w:val="single" w:sz="4" w:space="0" w:color="auto"/>
            </w:tcBorders>
            <w:shd w:val="clear" w:color="auto" w:fill="auto"/>
            <w:noWrap/>
            <w:vAlign w:val="center"/>
          </w:tcPr>
          <w:p w14:paraId="2B3EC3B8" w14:textId="09EA618A"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80%</w:t>
            </w:r>
          </w:p>
        </w:tc>
        <w:tc>
          <w:tcPr>
            <w:tcW w:w="960" w:type="dxa"/>
            <w:tcBorders>
              <w:top w:val="nil"/>
              <w:left w:val="nil"/>
              <w:bottom w:val="single" w:sz="4" w:space="0" w:color="BFBFBF"/>
              <w:right w:val="single" w:sz="4" w:space="0" w:color="BFBFBF"/>
            </w:tcBorders>
            <w:shd w:val="clear" w:color="auto" w:fill="auto"/>
            <w:noWrap/>
            <w:vAlign w:val="center"/>
          </w:tcPr>
          <w:p w14:paraId="21E731B4" w14:textId="1CE5F17E"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6%</w:t>
            </w:r>
          </w:p>
        </w:tc>
        <w:tc>
          <w:tcPr>
            <w:tcW w:w="960" w:type="dxa"/>
            <w:tcBorders>
              <w:top w:val="nil"/>
              <w:left w:val="nil"/>
              <w:bottom w:val="single" w:sz="4" w:space="0" w:color="BFBFBF"/>
              <w:right w:val="double" w:sz="6" w:space="0" w:color="auto"/>
            </w:tcBorders>
            <w:shd w:val="clear" w:color="auto" w:fill="auto"/>
            <w:noWrap/>
            <w:vAlign w:val="center"/>
          </w:tcPr>
          <w:p w14:paraId="3D6A8149" w14:textId="69D9AF43"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w:t>
            </w:r>
          </w:p>
        </w:tc>
      </w:tr>
      <w:tr w:rsidR="000E75AB" w:rsidRPr="000E75AB" w14:paraId="43578E01"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1244155B"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3 persons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58F41102" w14:textId="3F2585AC"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95%</w:t>
            </w:r>
          </w:p>
        </w:tc>
        <w:tc>
          <w:tcPr>
            <w:tcW w:w="960" w:type="dxa"/>
            <w:tcBorders>
              <w:top w:val="nil"/>
              <w:left w:val="nil"/>
              <w:bottom w:val="single" w:sz="4" w:space="0" w:color="BFBFBF"/>
              <w:right w:val="single" w:sz="4" w:space="0" w:color="auto"/>
            </w:tcBorders>
            <w:shd w:val="clear" w:color="auto" w:fill="auto"/>
            <w:noWrap/>
            <w:vAlign w:val="center"/>
          </w:tcPr>
          <w:p w14:paraId="263D6879" w14:textId="34B0640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70%</w:t>
            </w:r>
          </w:p>
        </w:tc>
        <w:tc>
          <w:tcPr>
            <w:tcW w:w="960" w:type="dxa"/>
            <w:tcBorders>
              <w:top w:val="nil"/>
              <w:left w:val="nil"/>
              <w:bottom w:val="single" w:sz="4" w:space="0" w:color="BFBFBF"/>
              <w:right w:val="single" w:sz="4" w:space="0" w:color="BFBFBF"/>
            </w:tcBorders>
            <w:shd w:val="clear" w:color="auto" w:fill="auto"/>
            <w:noWrap/>
            <w:vAlign w:val="center"/>
          </w:tcPr>
          <w:p w14:paraId="1CDDAF45" w14:textId="3CD968F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6%</w:t>
            </w:r>
          </w:p>
        </w:tc>
        <w:tc>
          <w:tcPr>
            <w:tcW w:w="960" w:type="dxa"/>
            <w:tcBorders>
              <w:top w:val="nil"/>
              <w:left w:val="nil"/>
              <w:bottom w:val="single" w:sz="4" w:space="0" w:color="BFBFBF"/>
              <w:right w:val="double" w:sz="6" w:space="0" w:color="auto"/>
            </w:tcBorders>
            <w:shd w:val="clear" w:color="auto" w:fill="auto"/>
            <w:noWrap/>
            <w:vAlign w:val="center"/>
          </w:tcPr>
          <w:p w14:paraId="7F999E37" w14:textId="477C763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12%</w:t>
            </w:r>
          </w:p>
        </w:tc>
      </w:tr>
      <w:tr w:rsidR="000E75AB" w:rsidRPr="000E75AB" w14:paraId="2D9B5606"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10EF971B"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4 or more persons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52849902" w14:textId="79E08E9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96%</w:t>
            </w:r>
          </w:p>
        </w:tc>
        <w:tc>
          <w:tcPr>
            <w:tcW w:w="960" w:type="dxa"/>
            <w:tcBorders>
              <w:top w:val="nil"/>
              <w:left w:val="nil"/>
              <w:bottom w:val="single" w:sz="4" w:space="0" w:color="BFBFBF"/>
              <w:right w:val="single" w:sz="4" w:space="0" w:color="auto"/>
            </w:tcBorders>
            <w:shd w:val="clear" w:color="auto" w:fill="auto"/>
            <w:noWrap/>
            <w:vAlign w:val="center"/>
          </w:tcPr>
          <w:p w14:paraId="43EED664" w14:textId="056914B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70%</w:t>
            </w:r>
          </w:p>
        </w:tc>
        <w:tc>
          <w:tcPr>
            <w:tcW w:w="960" w:type="dxa"/>
            <w:tcBorders>
              <w:top w:val="nil"/>
              <w:left w:val="nil"/>
              <w:bottom w:val="single" w:sz="4" w:space="0" w:color="BFBFBF"/>
              <w:right w:val="single" w:sz="4" w:space="0" w:color="BFBFBF"/>
            </w:tcBorders>
            <w:shd w:val="clear" w:color="auto" w:fill="auto"/>
            <w:noWrap/>
            <w:vAlign w:val="center"/>
          </w:tcPr>
          <w:p w14:paraId="3CA38D0D" w14:textId="34828505"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5%</w:t>
            </w:r>
          </w:p>
        </w:tc>
        <w:tc>
          <w:tcPr>
            <w:tcW w:w="960" w:type="dxa"/>
            <w:tcBorders>
              <w:top w:val="nil"/>
              <w:left w:val="nil"/>
              <w:bottom w:val="single" w:sz="4" w:space="0" w:color="BFBFBF"/>
              <w:right w:val="double" w:sz="6" w:space="0" w:color="auto"/>
            </w:tcBorders>
            <w:shd w:val="clear" w:color="auto" w:fill="auto"/>
            <w:noWrap/>
            <w:vAlign w:val="center"/>
          </w:tcPr>
          <w:p w14:paraId="6966F394" w14:textId="43A93586"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14%</w:t>
            </w:r>
          </w:p>
        </w:tc>
      </w:tr>
      <w:tr w:rsidR="000E75AB" w:rsidRPr="000E75AB" w14:paraId="4368F4AC"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3B3FF52E" w14:textId="77777777" w:rsidR="000E75AB" w:rsidRPr="000E75AB" w:rsidRDefault="000E75AB" w:rsidP="00986384">
            <w:pPr>
              <w:spacing w:before="0" w:after="0"/>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By Housing Status -</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1FADA6C0" w14:textId="2996AFE4" w:rsidR="000E75AB" w:rsidRPr="000E75AB" w:rsidRDefault="000E75AB">
            <w:pPr>
              <w:spacing w:before="0" w:after="0"/>
              <w:jc w:val="center"/>
              <w:rPr>
                <w:rFonts w:ascii="Arial" w:hAnsi="Arial" w:cs="Arial"/>
                <w:b/>
                <w:bCs/>
                <w:color w:val="000000"/>
                <w:sz w:val="16"/>
                <w:szCs w:val="16"/>
                <w:lang w:val="en-AU" w:eastAsia="en-AU"/>
              </w:rPr>
            </w:pPr>
          </w:p>
        </w:tc>
        <w:tc>
          <w:tcPr>
            <w:tcW w:w="960" w:type="dxa"/>
            <w:tcBorders>
              <w:top w:val="nil"/>
              <w:left w:val="nil"/>
              <w:bottom w:val="single" w:sz="4" w:space="0" w:color="BFBFBF"/>
              <w:right w:val="single" w:sz="4" w:space="0" w:color="auto"/>
            </w:tcBorders>
            <w:shd w:val="clear" w:color="auto" w:fill="auto"/>
            <w:noWrap/>
            <w:vAlign w:val="center"/>
          </w:tcPr>
          <w:p w14:paraId="63E2E0B3" w14:textId="14E689CF" w:rsidR="000E75AB" w:rsidRPr="000E75AB" w:rsidRDefault="000E75AB">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single" w:sz="4" w:space="0" w:color="BFBFBF"/>
            </w:tcBorders>
            <w:shd w:val="clear" w:color="auto" w:fill="auto"/>
            <w:noWrap/>
            <w:vAlign w:val="center"/>
          </w:tcPr>
          <w:p w14:paraId="11D321C6" w14:textId="6B4184B7" w:rsidR="000E75AB" w:rsidRPr="000E75AB" w:rsidRDefault="000E75AB">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double" w:sz="6" w:space="0" w:color="auto"/>
            </w:tcBorders>
            <w:shd w:val="clear" w:color="auto" w:fill="auto"/>
            <w:noWrap/>
            <w:vAlign w:val="center"/>
          </w:tcPr>
          <w:p w14:paraId="6BC36E3C" w14:textId="4B8D5B5D" w:rsidR="000E75AB" w:rsidRPr="000E75AB" w:rsidRDefault="000E75AB">
            <w:pPr>
              <w:spacing w:before="0" w:after="0"/>
              <w:jc w:val="center"/>
              <w:rPr>
                <w:rFonts w:ascii="Arial" w:hAnsi="Arial" w:cs="Arial"/>
                <w:color w:val="000000"/>
                <w:sz w:val="16"/>
                <w:szCs w:val="16"/>
                <w:lang w:val="en-AU" w:eastAsia="en-AU"/>
              </w:rPr>
            </w:pPr>
          </w:p>
        </w:tc>
      </w:tr>
      <w:tr w:rsidR="000E75AB" w:rsidRPr="000E75AB" w14:paraId="1F0D9DA3"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2C7F5482"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Owned/paid off</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2BD9D9E4" w14:textId="56A9B1BB"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98%</w:t>
            </w:r>
          </w:p>
        </w:tc>
        <w:tc>
          <w:tcPr>
            <w:tcW w:w="960" w:type="dxa"/>
            <w:tcBorders>
              <w:top w:val="nil"/>
              <w:left w:val="nil"/>
              <w:bottom w:val="single" w:sz="4" w:space="0" w:color="BFBFBF"/>
              <w:right w:val="single" w:sz="4" w:space="0" w:color="auto"/>
            </w:tcBorders>
            <w:shd w:val="clear" w:color="auto" w:fill="auto"/>
            <w:noWrap/>
            <w:vAlign w:val="center"/>
          </w:tcPr>
          <w:p w14:paraId="5F88D16C" w14:textId="6D42AB6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79%</w:t>
            </w:r>
          </w:p>
        </w:tc>
        <w:tc>
          <w:tcPr>
            <w:tcW w:w="960" w:type="dxa"/>
            <w:tcBorders>
              <w:top w:val="nil"/>
              <w:left w:val="nil"/>
              <w:bottom w:val="single" w:sz="4" w:space="0" w:color="BFBFBF"/>
              <w:right w:val="single" w:sz="4" w:space="0" w:color="BFBFBF"/>
            </w:tcBorders>
            <w:shd w:val="clear" w:color="auto" w:fill="auto"/>
            <w:noWrap/>
            <w:vAlign w:val="center"/>
          </w:tcPr>
          <w:p w14:paraId="1ED71505" w14:textId="168941D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3%</w:t>
            </w:r>
          </w:p>
        </w:tc>
        <w:tc>
          <w:tcPr>
            <w:tcW w:w="960" w:type="dxa"/>
            <w:tcBorders>
              <w:top w:val="nil"/>
              <w:left w:val="nil"/>
              <w:bottom w:val="single" w:sz="4" w:space="0" w:color="BFBFBF"/>
              <w:right w:val="double" w:sz="6" w:space="0" w:color="auto"/>
            </w:tcBorders>
            <w:shd w:val="clear" w:color="auto" w:fill="auto"/>
            <w:noWrap/>
            <w:vAlign w:val="center"/>
          </w:tcPr>
          <w:p w14:paraId="3C4E332A" w14:textId="3AB5F9E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w:t>
            </w:r>
          </w:p>
        </w:tc>
      </w:tr>
      <w:tr w:rsidR="000E75AB" w:rsidRPr="000E75AB" w14:paraId="5A5548E0"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686545B6"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Buying/paying off</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10304C9C" w14:textId="48C6188F"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97%</w:t>
            </w:r>
          </w:p>
        </w:tc>
        <w:tc>
          <w:tcPr>
            <w:tcW w:w="960" w:type="dxa"/>
            <w:tcBorders>
              <w:top w:val="nil"/>
              <w:left w:val="nil"/>
              <w:bottom w:val="single" w:sz="4" w:space="0" w:color="BFBFBF"/>
              <w:right w:val="single" w:sz="4" w:space="0" w:color="auto"/>
            </w:tcBorders>
            <w:shd w:val="clear" w:color="auto" w:fill="auto"/>
            <w:noWrap/>
            <w:vAlign w:val="center"/>
          </w:tcPr>
          <w:p w14:paraId="27F7A8F5" w14:textId="58193DAD"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75%</w:t>
            </w:r>
          </w:p>
        </w:tc>
        <w:tc>
          <w:tcPr>
            <w:tcW w:w="960" w:type="dxa"/>
            <w:tcBorders>
              <w:top w:val="nil"/>
              <w:left w:val="nil"/>
              <w:bottom w:val="single" w:sz="4" w:space="0" w:color="BFBFBF"/>
              <w:right w:val="single" w:sz="4" w:space="0" w:color="BFBFBF"/>
            </w:tcBorders>
            <w:shd w:val="clear" w:color="auto" w:fill="auto"/>
            <w:noWrap/>
            <w:vAlign w:val="center"/>
          </w:tcPr>
          <w:p w14:paraId="63197FE4" w14:textId="0A7B049D"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8%</w:t>
            </w:r>
          </w:p>
        </w:tc>
        <w:tc>
          <w:tcPr>
            <w:tcW w:w="960" w:type="dxa"/>
            <w:tcBorders>
              <w:top w:val="nil"/>
              <w:left w:val="nil"/>
              <w:bottom w:val="single" w:sz="4" w:space="0" w:color="BFBFBF"/>
              <w:right w:val="double" w:sz="6" w:space="0" w:color="auto"/>
            </w:tcBorders>
            <w:shd w:val="clear" w:color="auto" w:fill="auto"/>
            <w:noWrap/>
            <w:vAlign w:val="center"/>
          </w:tcPr>
          <w:p w14:paraId="644C3334" w14:textId="605E6A0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12%</w:t>
            </w:r>
          </w:p>
        </w:tc>
      </w:tr>
      <w:tr w:rsidR="000E75AB" w:rsidRPr="000E75AB" w14:paraId="62A4835A"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14D9A44D"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Renting – Private</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C80D92A" w14:textId="02D21AF2"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96%</w:t>
            </w:r>
          </w:p>
        </w:tc>
        <w:tc>
          <w:tcPr>
            <w:tcW w:w="960" w:type="dxa"/>
            <w:tcBorders>
              <w:top w:val="nil"/>
              <w:left w:val="nil"/>
              <w:bottom w:val="single" w:sz="4" w:space="0" w:color="BFBFBF"/>
              <w:right w:val="single" w:sz="4" w:space="0" w:color="auto"/>
            </w:tcBorders>
            <w:shd w:val="clear" w:color="auto" w:fill="auto"/>
            <w:noWrap/>
            <w:vAlign w:val="center"/>
          </w:tcPr>
          <w:p w14:paraId="76180D20" w14:textId="7BC626D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66%</w:t>
            </w:r>
          </w:p>
        </w:tc>
        <w:tc>
          <w:tcPr>
            <w:tcW w:w="960" w:type="dxa"/>
            <w:tcBorders>
              <w:top w:val="nil"/>
              <w:left w:val="nil"/>
              <w:bottom w:val="single" w:sz="4" w:space="0" w:color="BFBFBF"/>
              <w:right w:val="single" w:sz="4" w:space="0" w:color="BFBFBF"/>
            </w:tcBorders>
            <w:shd w:val="clear" w:color="auto" w:fill="auto"/>
            <w:noWrap/>
            <w:vAlign w:val="center"/>
          </w:tcPr>
          <w:p w14:paraId="13BC81FC" w14:textId="0649561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w:t>
            </w:r>
          </w:p>
        </w:tc>
        <w:tc>
          <w:tcPr>
            <w:tcW w:w="960" w:type="dxa"/>
            <w:tcBorders>
              <w:top w:val="nil"/>
              <w:left w:val="nil"/>
              <w:bottom w:val="single" w:sz="4" w:space="0" w:color="BFBFBF"/>
              <w:right w:val="double" w:sz="6" w:space="0" w:color="auto"/>
            </w:tcBorders>
            <w:shd w:val="clear" w:color="auto" w:fill="auto"/>
            <w:noWrap/>
            <w:vAlign w:val="center"/>
          </w:tcPr>
          <w:p w14:paraId="41D34FAD" w14:textId="6D9B69B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15%</w:t>
            </w:r>
          </w:p>
        </w:tc>
      </w:tr>
      <w:tr w:rsidR="000E75AB" w:rsidRPr="000E75AB" w14:paraId="721C1686"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5C4FF5ED"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Renting – Public</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029A63F6" w14:textId="705068AC"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80%</w:t>
            </w:r>
          </w:p>
        </w:tc>
        <w:tc>
          <w:tcPr>
            <w:tcW w:w="960" w:type="dxa"/>
            <w:tcBorders>
              <w:top w:val="nil"/>
              <w:left w:val="nil"/>
              <w:bottom w:val="single" w:sz="4" w:space="0" w:color="BFBFBF"/>
              <w:right w:val="single" w:sz="4" w:space="0" w:color="auto"/>
            </w:tcBorders>
            <w:shd w:val="clear" w:color="auto" w:fill="auto"/>
            <w:noWrap/>
            <w:vAlign w:val="center"/>
          </w:tcPr>
          <w:p w14:paraId="77F98631" w14:textId="5A6BABA3"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68%</w:t>
            </w:r>
          </w:p>
        </w:tc>
        <w:tc>
          <w:tcPr>
            <w:tcW w:w="960" w:type="dxa"/>
            <w:tcBorders>
              <w:top w:val="nil"/>
              <w:left w:val="nil"/>
              <w:bottom w:val="single" w:sz="4" w:space="0" w:color="BFBFBF"/>
              <w:right w:val="single" w:sz="4" w:space="0" w:color="BFBFBF"/>
            </w:tcBorders>
            <w:shd w:val="clear" w:color="auto" w:fill="auto"/>
            <w:noWrap/>
            <w:vAlign w:val="center"/>
          </w:tcPr>
          <w:p w14:paraId="3A9DFDFD" w14:textId="111CD69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18%</w:t>
            </w:r>
          </w:p>
        </w:tc>
        <w:tc>
          <w:tcPr>
            <w:tcW w:w="960" w:type="dxa"/>
            <w:tcBorders>
              <w:top w:val="nil"/>
              <w:left w:val="nil"/>
              <w:bottom w:val="single" w:sz="4" w:space="0" w:color="BFBFBF"/>
              <w:right w:val="double" w:sz="6" w:space="0" w:color="auto"/>
            </w:tcBorders>
            <w:shd w:val="clear" w:color="auto" w:fill="auto"/>
            <w:noWrap/>
            <w:vAlign w:val="center"/>
          </w:tcPr>
          <w:p w14:paraId="5A25AAF3" w14:textId="71BC5D3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27%</w:t>
            </w:r>
          </w:p>
        </w:tc>
      </w:tr>
      <w:tr w:rsidR="000E75AB" w:rsidRPr="003835AE" w14:paraId="7C7F3A5E" w14:textId="77777777" w:rsidTr="009748AD">
        <w:trPr>
          <w:trHeight w:val="240"/>
          <w:jc w:val="center"/>
        </w:trPr>
        <w:tc>
          <w:tcPr>
            <w:tcW w:w="3220" w:type="dxa"/>
            <w:tcBorders>
              <w:top w:val="nil"/>
              <w:left w:val="double" w:sz="6" w:space="0" w:color="auto"/>
              <w:bottom w:val="double" w:sz="6" w:space="0" w:color="auto"/>
              <w:right w:val="nil"/>
            </w:tcBorders>
            <w:shd w:val="clear" w:color="auto" w:fill="auto"/>
            <w:noWrap/>
            <w:vAlign w:val="center"/>
          </w:tcPr>
          <w:p w14:paraId="3A990240" w14:textId="77777777" w:rsidR="000E75AB" w:rsidRPr="000E75AB" w:rsidRDefault="000E75AB" w:rsidP="00986384">
            <w:pPr>
              <w:spacing w:before="0" w:after="0"/>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Total Households</w:t>
            </w:r>
          </w:p>
        </w:tc>
        <w:tc>
          <w:tcPr>
            <w:tcW w:w="960" w:type="dxa"/>
            <w:tcBorders>
              <w:top w:val="nil"/>
              <w:left w:val="single" w:sz="4" w:space="0" w:color="auto"/>
              <w:bottom w:val="double" w:sz="6" w:space="0" w:color="auto"/>
              <w:right w:val="single" w:sz="4" w:space="0" w:color="BFBFBF"/>
            </w:tcBorders>
            <w:shd w:val="clear" w:color="auto" w:fill="auto"/>
            <w:noWrap/>
            <w:vAlign w:val="center"/>
          </w:tcPr>
          <w:p w14:paraId="1AF81690" w14:textId="311B79A7" w:rsidR="000E75AB" w:rsidRPr="000E75AB" w:rsidRDefault="000E75AB">
            <w:pPr>
              <w:spacing w:before="0" w:after="0"/>
              <w:jc w:val="center"/>
              <w:rPr>
                <w:rFonts w:ascii="Arial" w:hAnsi="Arial" w:cs="Arial"/>
                <w:b/>
                <w:color w:val="000000"/>
                <w:sz w:val="16"/>
                <w:szCs w:val="16"/>
                <w:lang w:val="en-AU" w:eastAsia="en-AU"/>
              </w:rPr>
            </w:pPr>
            <w:r w:rsidRPr="000E75AB">
              <w:rPr>
                <w:rFonts w:ascii="Arial" w:hAnsi="Arial" w:cs="Arial"/>
                <w:b/>
                <w:color w:val="000000"/>
                <w:sz w:val="16"/>
                <w:szCs w:val="16"/>
              </w:rPr>
              <w:t>96%</w:t>
            </w:r>
          </w:p>
        </w:tc>
        <w:tc>
          <w:tcPr>
            <w:tcW w:w="960" w:type="dxa"/>
            <w:tcBorders>
              <w:top w:val="nil"/>
              <w:left w:val="nil"/>
              <w:bottom w:val="double" w:sz="6" w:space="0" w:color="auto"/>
              <w:right w:val="single" w:sz="4" w:space="0" w:color="auto"/>
            </w:tcBorders>
            <w:shd w:val="clear" w:color="auto" w:fill="auto"/>
            <w:noWrap/>
            <w:vAlign w:val="center"/>
          </w:tcPr>
          <w:p w14:paraId="3A864677" w14:textId="35A2070C" w:rsidR="000E75AB" w:rsidRPr="000E75AB" w:rsidRDefault="000E75AB">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rPr>
              <w:t>75%</w:t>
            </w:r>
          </w:p>
        </w:tc>
        <w:tc>
          <w:tcPr>
            <w:tcW w:w="960" w:type="dxa"/>
            <w:tcBorders>
              <w:top w:val="nil"/>
              <w:left w:val="nil"/>
              <w:bottom w:val="double" w:sz="6" w:space="0" w:color="auto"/>
              <w:right w:val="single" w:sz="4" w:space="0" w:color="BFBFBF"/>
            </w:tcBorders>
            <w:shd w:val="clear" w:color="auto" w:fill="auto"/>
            <w:noWrap/>
            <w:vAlign w:val="center"/>
          </w:tcPr>
          <w:p w14:paraId="4C4A06E4" w14:textId="0C5F91E4" w:rsidR="000E75AB" w:rsidRPr="000E75AB" w:rsidRDefault="000E75AB">
            <w:pPr>
              <w:spacing w:before="0" w:after="0"/>
              <w:jc w:val="center"/>
              <w:rPr>
                <w:rFonts w:ascii="Arial" w:hAnsi="Arial" w:cs="Arial"/>
                <w:b/>
                <w:color w:val="000000"/>
                <w:sz w:val="16"/>
                <w:szCs w:val="16"/>
                <w:lang w:val="en-AU" w:eastAsia="en-AU"/>
              </w:rPr>
            </w:pPr>
            <w:r w:rsidRPr="000E75AB">
              <w:rPr>
                <w:rFonts w:ascii="Arial" w:hAnsi="Arial" w:cs="Arial"/>
                <w:b/>
                <w:color w:val="000000"/>
                <w:sz w:val="16"/>
                <w:szCs w:val="16"/>
              </w:rPr>
              <w:t>6%</w:t>
            </w:r>
          </w:p>
        </w:tc>
        <w:tc>
          <w:tcPr>
            <w:tcW w:w="960" w:type="dxa"/>
            <w:tcBorders>
              <w:top w:val="nil"/>
              <w:left w:val="nil"/>
              <w:bottom w:val="double" w:sz="6" w:space="0" w:color="auto"/>
              <w:right w:val="double" w:sz="6" w:space="0" w:color="auto"/>
            </w:tcBorders>
            <w:shd w:val="clear" w:color="auto" w:fill="auto"/>
            <w:noWrap/>
            <w:vAlign w:val="center"/>
          </w:tcPr>
          <w:p w14:paraId="4EF7337E" w14:textId="62D2F065" w:rsidR="000E75AB" w:rsidRPr="000E75AB" w:rsidRDefault="000E75AB">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rPr>
              <w:t>12%</w:t>
            </w:r>
          </w:p>
        </w:tc>
      </w:tr>
    </w:tbl>
    <w:p w14:paraId="2CA59288" w14:textId="77777777" w:rsidR="00BF6844" w:rsidRPr="0015381B" w:rsidRDefault="00BF6844" w:rsidP="009748AD">
      <w:pPr>
        <w:ind w:left="2160"/>
        <w:rPr>
          <w:sz w:val="20"/>
        </w:rPr>
      </w:pPr>
      <w:r w:rsidRPr="0015381B">
        <w:rPr>
          <w:sz w:val="20"/>
        </w:rPr>
        <w:t xml:space="preserve">Notes: </w:t>
      </w:r>
    </w:p>
    <w:p w14:paraId="55C86542" w14:textId="77777777" w:rsidR="00BF6844" w:rsidRPr="0015381B" w:rsidRDefault="00BF6844" w:rsidP="009748AD">
      <w:pPr>
        <w:ind w:left="2160"/>
        <w:rPr>
          <w:sz w:val="20"/>
        </w:rPr>
      </w:pPr>
      <w:r w:rsidRPr="0015381B">
        <w:rPr>
          <w:sz w:val="20"/>
        </w:rPr>
        <w:t>The percentages for “Paid in Full” in the table above are based to total households where suppliers provided this information (n=1,366).</w:t>
      </w:r>
    </w:p>
    <w:p w14:paraId="03E17843" w14:textId="2B1B09A4" w:rsidR="00BF6844" w:rsidRPr="0015381B" w:rsidRDefault="00BF6844" w:rsidP="009748AD">
      <w:pPr>
        <w:ind w:left="2160"/>
        <w:rPr>
          <w:sz w:val="20"/>
        </w:rPr>
      </w:pPr>
      <w:r w:rsidRPr="0015381B">
        <w:rPr>
          <w:sz w:val="20"/>
        </w:rPr>
        <w:t xml:space="preserve">The percentages for “By Compulsory Instalment” in the table above are based to total households where suppliers provided this information (n=1,363). </w:t>
      </w:r>
    </w:p>
    <w:p w14:paraId="5A3BFA32" w14:textId="566393B9" w:rsidR="00BF6844" w:rsidRDefault="00BF6844" w:rsidP="009748AD">
      <w:pPr>
        <w:ind w:left="2160"/>
        <w:rPr>
          <w:sz w:val="20"/>
        </w:rPr>
      </w:pPr>
      <w:r w:rsidRPr="0015381B">
        <w:rPr>
          <w:sz w:val="20"/>
        </w:rPr>
        <w:t>Please note, there is no expectation that the two items in the table should add to 100%</w:t>
      </w:r>
      <w:r w:rsidR="009F2E43">
        <w:rPr>
          <w:sz w:val="20"/>
        </w:rPr>
        <w:t xml:space="preserve"> as</w:t>
      </w:r>
      <w:r w:rsidRPr="0015381B">
        <w:rPr>
          <w:sz w:val="20"/>
        </w:rPr>
        <w:t xml:space="preserve"> household</w:t>
      </w:r>
      <w:r w:rsidR="009F2E43">
        <w:rPr>
          <w:sz w:val="20"/>
        </w:rPr>
        <w:t>s</w:t>
      </w:r>
      <w:r w:rsidRPr="0015381B">
        <w:rPr>
          <w:sz w:val="20"/>
        </w:rPr>
        <w:t xml:space="preserve"> can appear in both columns. </w:t>
      </w:r>
    </w:p>
    <w:p w14:paraId="474DA767" w14:textId="0C0D0DFE" w:rsidR="009F2E43" w:rsidRPr="0015381B" w:rsidRDefault="009F2E43" w:rsidP="009748AD">
      <w:pPr>
        <w:ind w:left="2160"/>
        <w:rPr>
          <w:sz w:val="20"/>
        </w:rPr>
      </w:pPr>
      <w:r>
        <w:rPr>
          <w:sz w:val="20"/>
        </w:rPr>
        <w:t>Please also note that the “Instalment” data provided by suppliers in 2007 was in response to a slightly different data request. The 2007 “Instalment” data is therefore not directly comparable with 2014.</w:t>
      </w:r>
    </w:p>
    <w:p w14:paraId="0950BA5E" w14:textId="77777777" w:rsidR="00002D92" w:rsidRPr="003835AE" w:rsidRDefault="00002D92" w:rsidP="00D109F7">
      <w:pPr>
        <w:pStyle w:val="Para"/>
        <w:rPr>
          <w:highlight w:val="yellow"/>
          <w:lang w:val="en-AU"/>
        </w:rPr>
      </w:pPr>
    </w:p>
    <w:p w14:paraId="790A516E" w14:textId="77777777" w:rsidR="002E6BE5" w:rsidRPr="000E75AB" w:rsidRDefault="002E6BE5" w:rsidP="00CF1938">
      <w:pPr>
        <w:pStyle w:val="Para"/>
        <w:tabs>
          <w:tab w:val="left" w:pos="8222"/>
        </w:tabs>
        <w:spacing w:before="120" w:after="120" w:line="240" w:lineRule="auto"/>
        <w:jc w:val="center"/>
        <w:rPr>
          <w:b/>
          <w:szCs w:val="24"/>
          <w:u w:val="single"/>
          <w:lang w:val="en-AU"/>
        </w:rPr>
      </w:pPr>
      <w:r w:rsidRPr="003835AE">
        <w:rPr>
          <w:b/>
          <w:szCs w:val="24"/>
          <w:highlight w:val="yellow"/>
          <w:lang w:val="en-AU"/>
        </w:rPr>
        <w:br w:type="page"/>
      </w:r>
      <w:r w:rsidRPr="000E75AB">
        <w:rPr>
          <w:b/>
          <w:szCs w:val="24"/>
          <w:lang w:val="en-AU"/>
        </w:rPr>
        <w:lastRenderedPageBreak/>
        <w:t xml:space="preserve">Table 4.2.1.1: </w:t>
      </w:r>
      <w:r w:rsidRPr="000E75AB">
        <w:rPr>
          <w:b/>
          <w:szCs w:val="24"/>
          <w:u w:val="single"/>
          <w:lang w:val="en-AU"/>
        </w:rPr>
        <w:t xml:space="preserve">Electricity Bills Paid in Full or by Compulsory Instalment – </w:t>
      </w:r>
      <w:r w:rsidR="00986384" w:rsidRPr="000E75AB">
        <w:rPr>
          <w:b/>
          <w:szCs w:val="24"/>
          <w:u w:val="single"/>
          <w:lang w:val="en-AU"/>
        </w:rPr>
        <w:t>Part 2</w:t>
      </w:r>
    </w:p>
    <w:tbl>
      <w:tblPr>
        <w:tblW w:w="7060" w:type="dxa"/>
        <w:jc w:val="center"/>
        <w:tblLook w:val="04A0" w:firstRow="1" w:lastRow="0" w:firstColumn="1" w:lastColumn="0" w:noHBand="0" w:noVBand="1"/>
      </w:tblPr>
      <w:tblGrid>
        <w:gridCol w:w="3220"/>
        <w:gridCol w:w="960"/>
        <w:gridCol w:w="960"/>
        <w:gridCol w:w="960"/>
        <w:gridCol w:w="960"/>
      </w:tblGrid>
      <w:tr w:rsidR="002E6BE5" w:rsidRPr="000E75AB" w14:paraId="37C0E612" w14:textId="77777777" w:rsidTr="00CF1938">
        <w:trPr>
          <w:trHeight w:val="465"/>
          <w:jc w:val="center"/>
        </w:trPr>
        <w:tc>
          <w:tcPr>
            <w:tcW w:w="3220" w:type="dxa"/>
            <w:vMerge w:val="restart"/>
            <w:tcBorders>
              <w:top w:val="double" w:sz="6" w:space="0" w:color="auto"/>
              <w:left w:val="double" w:sz="6" w:space="0" w:color="auto"/>
              <w:bottom w:val="single" w:sz="4" w:space="0" w:color="BFBFBF"/>
              <w:right w:val="nil"/>
            </w:tcBorders>
            <w:shd w:val="clear" w:color="auto" w:fill="auto"/>
            <w:vAlign w:val="center"/>
          </w:tcPr>
          <w:p w14:paraId="1BE2EC63" w14:textId="77777777" w:rsidR="002E6BE5" w:rsidRPr="000E75AB" w:rsidRDefault="002E6BE5" w:rsidP="00986384">
            <w:pPr>
              <w:spacing w:before="0" w:after="0"/>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 xml:space="preserve">How Electricity Bill Paid </w:t>
            </w:r>
            <w:r w:rsidRPr="000E75AB">
              <w:rPr>
                <w:rFonts w:ascii="Arial" w:hAnsi="Arial" w:cs="Arial"/>
                <w:b/>
                <w:bCs/>
                <w:color w:val="000000"/>
                <w:sz w:val="16"/>
                <w:szCs w:val="16"/>
                <w:lang w:val="en-AU" w:eastAsia="en-AU"/>
              </w:rPr>
              <w:br/>
              <w:t>(of those paying electricity bills)</w:t>
            </w:r>
          </w:p>
        </w:tc>
        <w:tc>
          <w:tcPr>
            <w:tcW w:w="1920" w:type="dxa"/>
            <w:gridSpan w:val="2"/>
            <w:tcBorders>
              <w:top w:val="double" w:sz="6" w:space="0" w:color="auto"/>
              <w:left w:val="single" w:sz="4" w:space="0" w:color="auto"/>
              <w:bottom w:val="single" w:sz="4" w:space="0" w:color="BFBFBF"/>
              <w:right w:val="single" w:sz="4" w:space="0" w:color="000000"/>
            </w:tcBorders>
            <w:shd w:val="clear" w:color="auto" w:fill="auto"/>
            <w:noWrap/>
            <w:vAlign w:val="center"/>
          </w:tcPr>
          <w:p w14:paraId="6B935C84" w14:textId="77777777" w:rsidR="002E6BE5" w:rsidRPr="000E75AB" w:rsidRDefault="002E6BE5" w:rsidP="00986384">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In Full</w:t>
            </w:r>
          </w:p>
        </w:tc>
        <w:tc>
          <w:tcPr>
            <w:tcW w:w="1920" w:type="dxa"/>
            <w:gridSpan w:val="2"/>
            <w:tcBorders>
              <w:top w:val="double" w:sz="6" w:space="0" w:color="auto"/>
              <w:left w:val="nil"/>
              <w:bottom w:val="single" w:sz="4" w:space="0" w:color="BFBFBF"/>
              <w:right w:val="double" w:sz="6" w:space="0" w:color="000000"/>
            </w:tcBorders>
            <w:shd w:val="clear" w:color="auto" w:fill="auto"/>
            <w:vAlign w:val="center"/>
          </w:tcPr>
          <w:p w14:paraId="0F5129E5" w14:textId="77777777" w:rsidR="002E6BE5" w:rsidRPr="000E75AB" w:rsidRDefault="002E6BE5" w:rsidP="00986384">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By Compulsory Instalment</w:t>
            </w:r>
          </w:p>
        </w:tc>
      </w:tr>
      <w:tr w:rsidR="002E6BE5" w:rsidRPr="000E75AB" w14:paraId="74C412BB" w14:textId="77777777" w:rsidTr="00CF1938">
        <w:trPr>
          <w:trHeight w:val="225"/>
          <w:jc w:val="center"/>
        </w:trPr>
        <w:tc>
          <w:tcPr>
            <w:tcW w:w="3220" w:type="dxa"/>
            <w:vMerge/>
            <w:tcBorders>
              <w:top w:val="double" w:sz="6" w:space="0" w:color="auto"/>
              <w:left w:val="double" w:sz="6" w:space="0" w:color="auto"/>
              <w:bottom w:val="single" w:sz="4" w:space="0" w:color="BFBFBF"/>
              <w:right w:val="nil"/>
            </w:tcBorders>
            <w:vAlign w:val="center"/>
          </w:tcPr>
          <w:p w14:paraId="7E471CFF" w14:textId="77777777" w:rsidR="002E6BE5" w:rsidRPr="000E75AB" w:rsidRDefault="002E6BE5" w:rsidP="00986384">
            <w:pPr>
              <w:spacing w:before="0" w:after="0"/>
              <w:rPr>
                <w:rFonts w:ascii="Arial" w:hAnsi="Arial" w:cs="Arial"/>
                <w:b/>
                <w:bCs/>
                <w:color w:val="000000"/>
                <w:sz w:val="16"/>
                <w:szCs w:val="16"/>
                <w:lang w:val="en-AU" w:eastAsia="en-AU"/>
              </w:rPr>
            </w:pPr>
          </w:p>
        </w:tc>
        <w:tc>
          <w:tcPr>
            <w:tcW w:w="960" w:type="dxa"/>
            <w:tcBorders>
              <w:top w:val="nil"/>
              <w:left w:val="single" w:sz="4" w:space="0" w:color="auto"/>
              <w:bottom w:val="nil"/>
              <w:right w:val="single" w:sz="4" w:space="0" w:color="BFBFBF"/>
            </w:tcBorders>
            <w:shd w:val="clear" w:color="auto" w:fill="auto"/>
            <w:noWrap/>
            <w:vAlign w:val="center"/>
          </w:tcPr>
          <w:p w14:paraId="09306863" w14:textId="77777777" w:rsidR="002E6BE5" w:rsidRPr="000E75AB" w:rsidRDefault="002E6BE5" w:rsidP="00986384">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2014</w:t>
            </w:r>
          </w:p>
        </w:tc>
        <w:tc>
          <w:tcPr>
            <w:tcW w:w="960" w:type="dxa"/>
            <w:tcBorders>
              <w:top w:val="nil"/>
              <w:left w:val="nil"/>
              <w:bottom w:val="nil"/>
              <w:right w:val="single" w:sz="4" w:space="0" w:color="auto"/>
            </w:tcBorders>
            <w:shd w:val="clear" w:color="auto" w:fill="auto"/>
            <w:noWrap/>
            <w:vAlign w:val="center"/>
          </w:tcPr>
          <w:p w14:paraId="21215A49" w14:textId="77777777" w:rsidR="002E6BE5" w:rsidRPr="000E75AB" w:rsidRDefault="002E6BE5" w:rsidP="00986384">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2007</w:t>
            </w:r>
          </w:p>
        </w:tc>
        <w:tc>
          <w:tcPr>
            <w:tcW w:w="960" w:type="dxa"/>
            <w:tcBorders>
              <w:top w:val="nil"/>
              <w:left w:val="nil"/>
              <w:bottom w:val="nil"/>
              <w:right w:val="single" w:sz="4" w:space="0" w:color="BFBFBF"/>
            </w:tcBorders>
            <w:shd w:val="clear" w:color="auto" w:fill="auto"/>
            <w:noWrap/>
            <w:vAlign w:val="center"/>
          </w:tcPr>
          <w:p w14:paraId="17915E77" w14:textId="77777777" w:rsidR="002E6BE5" w:rsidRPr="000E75AB" w:rsidRDefault="002E6BE5" w:rsidP="00986384">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2014</w:t>
            </w:r>
          </w:p>
        </w:tc>
        <w:tc>
          <w:tcPr>
            <w:tcW w:w="960" w:type="dxa"/>
            <w:tcBorders>
              <w:top w:val="nil"/>
              <w:left w:val="nil"/>
              <w:bottom w:val="nil"/>
              <w:right w:val="double" w:sz="6" w:space="0" w:color="auto"/>
            </w:tcBorders>
            <w:shd w:val="clear" w:color="auto" w:fill="auto"/>
            <w:noWrap/>
            <w:vAlign w:val="center"/>
          </w:tcPr>
          <w:p w14:paraId="3EE1BAB2" w14:textId="77777777" w:rsidR="002E6BE5" w:rsidRPr="000E75AB" w:rsidRDefault="002E6BE5" w:rsidP="00986384">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2007</w:t>
            </w:r>
          </w:p>
        </w:tc>
      </w:tr>
      <w:tr w:rsidR="002E6BE5" w:rsidRPr="000E75AB" w14:paraId="6F4A4851" w14:textId="77777777" w:rsidTr="00CF1938">
        <w:trPr>
          <w:trHeight w:val="225"/>
          <w:jc w:val="center"/>
        </w:trPr>
        <w:tc>
          <w:tcPr>
            <w:tcW w:w="3220" w:type="dxa"/>
            <w:tcBorders>
              <w:top w:val="single" w:sz="4" w:space="0" w:color="auto"/>
              <w:left w:val="double" w:sz="6" w:space="0" w:color="auto"/>
              <w:bottom w:val="single" w:sz="4" w:space="0" w:color="BFBFBF"/>
              <w:right w:val="nil"/>
            </w:tcBorders>
            <w:shd w:val="clear" w:color="auto" w:fill="auto"/>
            <w:noWrap/>
            <w:vAlign w:val="center"/>
          </w:tcPr>
          <w:p w14:paraId="210F887F" w14:textId="77777777" w:rsidR="002E6BE5" w:rsidRPr="000E75AB" w:rsidRDefault="002E6BE5" w:rsidP="00986384">
            <w:pPr>
              <w:spacing w:before="0" w:after="0"/>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By Region -</w:t>
            </w:r>
          </w:p>
        </w:tc>
        <w:tc>
          <w:tcPr>
            <w:tcW w:w="960" w:type="dxa"/>
            <w:tcBorders>
              <w:top w:val="single" w:sz="4" w:space="0" w:color="auto"/>
              <w:left w:val="single" w:sz="4" w:space="0" w:color="auto"/>
              <w:bottom w:val="single" w:sz="4" w:space="0" w:color="BFBFBF"/>
              <w:right w:val="single" w:sz="4" w:space="0" w:color="BFBFBF"/>
            </w:tcBorders>
            <w:shd w:val="clear" w:color="auto" w:fill="auto"/>
            <w:noWrap/>
            <w:vAlign w:val="center"/>
          </w:tcPr>
          <w:p w14:paraId="6BF42DA7" w14:textId="77777777" w:rsidR="002E6BE5" w:rsidRPr="000E75AB" w:rsidRDefault="002E6BE5" w:rsidP="00986384">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lang w:val="en-AU" w:eastAsia="en-AU"/>
              </w:rPr>
              <w:t> </w:t>
            </w:r>
          </w:p>
        </w:tc>
        <w:tc>
          <w:tcPr>
            <w:tcW w:w="960" w:type="dxa"/>
            <w:tcBorders>
              <w:top w:val="single" w:sz="4" w:space="0" w:color="auto"/>
              <w:left w:val="nil"/>
              <w:bottom w:val="single" w:sz="4" w:space="0" w:color="BFBFBF"/>
              <w:right w:val="single" w:sz="4" w:space="0" w:color="auto"/>
            </w:tcBorders>
            <w:shd w:val="clear" w:color="auto" w:fill="auto"/>
            <w:noWrap/>
            <w:vAlign w:val="center"/>
          </w:tcPr>
          <w:p w14:paraId="11883E61" w14:textId="77777777" w:rsidR="002E6BE5" w:rsidRPr="000E75AB" w:rsidRDefault="002E6BE5" w:rsidP="00986384">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lang w:val="en-AU" w:eastAsia="en-AU"/>
              </w:rPr>
              <w:t> </w:t>
            </w:r>
          </w:p>
        </w:tc>
        <w:tc>
          <w:tcPr>
            <w:tcW w:w="960" w:type="dxa"/>
            <w:tcBorders>
              <w:top w:val="single" w:sz="4" w:space="0" w:color="auto"/>
              <w:left w:val="nil"/>
              <w:bottom w:val="single" w:sz="4" w:space="0" w:color="BFBFBF"/>
              <w:right w:val="single" w:sz="4" w:space="0" w:color="BFBFBF"/>
            </w:tcBorders>
            <w:shd w:val="clear" w:color="auto" w:fill="auto"/>
            <w:noWrap/>
            <w:vAlign w:val="center"/>
          </w:tcPr>
          <w:p w14:paraId="32CDD97E" w14:textId="77777777" w:rsidR="002E6BE5" w:rsidRPr="000E75AB" w:rsidRDefault="002E6BE5" w:rsidP="00986384">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lang w:val="en-AU" w:eastAsia="en-AU"/>
              </w:rPr>
              <w:t> </w:t>
            </w:r>
          </w:p>
        </w:tc>
        <w:tc>
          <w:tcPr>
            <w:tcW w:w="960" w:type="dxa"/>
            <w:tcBorders>
              <w:top w:val="single" w:sz="4" w:space="0" w:color="auto"/>
              <w:left w:val="nil"/>
              <w:bottom w:val="single" w:sz="4" w:space="0" w:color="BFBFBF"/>
              <w:right w:val="double" w:sz="6" w:space="0" w:color="auto"/>
            </w:tcBorders>
            <w:shd w:val="clear" w:color="auto" w:fill="auto"/>
            <w:noWrap/>
            <w:vAlign w:val="center"/>
          </w:tcPr>
          <w:p w14:paraId="1E1D90D7" w14:textId="77777777" w:rsidR="002E6BE5" w:rsidRPr="000E75AB" w:rsidRDefault="002E6BE5" w:rsidP="00986384">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lang w:val="en-AU" w:eastAsia="en-AU"/>
              </w:rPr>
              <w:t> </w:t>
            </w:r>
          </w:p>
        </w:tc>
      </w:tr>
      <w:tr w:rsidR="000E75AB" w:rsidRPr="000E75AB" w14:paraId="46AC840E"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0FC53ED2"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0E75AB">
                  <w:rPr>
                    <w:rFonts w:ascii="Arial" w:hAnsi="Arial" w:cs="Arial"/>
                    <w:color w:val="000000"/>
                    <w:sz w:val="16"/>
                    <w:szCs w:val="16"/>
                    <w:lang w:val="en-AU" w:eastAsia="en-AU"/>
                  </w:rPr>
                  <w:t>Melbourne</w:t>
                </w:r>
              </w:smartTag>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1D07A747" w14:textId="3A11FA97"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96%</w:t>
            </w:r>
          </w:p>
        </w:tc>
        <w:tc>
          <w:tcPr>
            <w:tcW w:w="960" w:type="dxa"/>
            <w:tcBorders>
              <w:top w:val="nil"/>
              <w:left w:val="nil"/>
              <w:bottom w:val="single" w:sz="4" w:space="0" w:color="BFBFBF"/>
              <w:right w:val="single" w:sz="4" w:space="0" w:color="auto"/>
            </w:tcBorders>
            <w:shd w:val="clear" w:color="auto" w:fill="auto"/>
            <w:noWrap/>
            <w:vAlign w:val="center"/>
          </w:tcPr>
          <w:p w14:paraId="49A90FFB" w14:textId="1E4C208C"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76%</w:t>
            </w:r>
          </w:p>
        </w:tc>
        <w:tc>
          <w:tcPr>
            <w:tcW w:w="960" w:type="dxa"/>
            <w:tcBorders>
              <w:top w:val="nil"/>
              <w:left w:val="nil"/>
              <w:bottom w:val="single" w:sz="4" w:space="0" w:color="BFBFBF"/>
              <w:right w:val="single" w:sz="4" w:space="0" w:color="BFBFBF"/>
            </w:tcBorders>
            <w:shd w:val="clear" w:color="auto" w:fill="auto"/>
            <w:noWrap/>
            <w:vAlign w:val="center"/>
          </w:tcPr>
          <w:p w14:paraId="75D6EB12" w14:textId="5463C15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5%</w:t>
            </w:r>
          </w:p>
        </w:tc>
        <w:tc>
          <w:tcPr>
            <w:tcW w:w="960" w:type="dxa"/>
            <w:tcBorders>
              <w:top w:val="nil"/>
              <w:left w:val="nil"/>
              <w:bottom w:val="single" w:sz="4" w:space="0" w:color="BFBFBF"/>
              <w:right w:val="double" w:sz="6" w:space="0" w:color="auto"/>
            </w:tcBorders>
            <w:shd w:val="clear" w:color="auto" w:fill="auto"/>
            <w:noWrap/>
            <w:vAlign w:val="center"/>
          </w:tcPr>
          <w:p w14:paraId="5104F80A" w14:textId="3800224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11%</w:t>
            </w:r>
          </w:p>
        </w:tc>
      </w:tr>
      <w:tr w:rsidR="000E75AB" w:rsidRPr="000E75AB" w14:paraId="4AD3935E"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6352E08E"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Country VIC</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D7D8EC2" w14:textId="6903F9B2"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97%</w:t>
            </w:r>
          </w:p>
        </w:tc>
        <w:tc>
          <w:tcPr>
            <w:tcW w:w="960" w:type="dxa"/>
            <w:tcBorders>
              <w:top w:val="nil"/>
              <w:left w:val="nil"/>
              <w:bottom w:val="single" w:sz="4" w:space="0" w:color="BFBFBF"/>
              <w:right w:val="single" w:sz="4" w:space="0" w:color="auto"/>
            </w:tcBorders>
            <w:shd w:val="clear" w:color="auto" w:fill="auto"/>
            <w:noWrap/>
            <w:vAlign w:val="center"/>
          </w:tcPr>
          <w:p w14:paraId="54DAAD40" w14:textId="04E820C6"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72%</w:t>
            </w:r>
          </w:p>
        </w:tc>
        <w:tc>
          <w:tcPr>
            <w:tcW w:w="960" w:type="dxa"/>
            <w:tcBorders>
              <w:top w:val="nil"/>
              <w:left w:val="nil"/>
              <w:bottom w:val="single" w:sz="4" w:space="0" w:color="BFBFBF"/>
              <w:right w:val="single" w:sz="4" w:space="0" w:color="BFBFBF"/>
            </w:tcBorders>
            <w:shd w:val="clear" w:color="auto" w:fill="auto"/>
            <w:noWrap/>
            <w:vAlign w:val="center"/>
          </w:tcPr>
          <w:p w14:paraId="643544FE" w14:textId="5E67BFD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8%</w:t>
            </w:r>
          </w:p>
        </w:tc>
        <w:tc>
          <w:tcPr>
            <w:tcW w:w="960" w:type="dxa"/>
            <w:tcBorders>
              <w:top w:val="nil"/>
              <w:left w:val="nil"/>
              <w:bottom w:val="single" w:sz="4" w:space="0" w:color="BFBFBF"/>
              <w:right w:val="double" w:sz="6" w:space="0" w:color="auto"/>
            </w:tcBorders>
            <w:shd w:val="clear" w:color="auto" w:fill="auto"/>
            <w:noWrap/>
            <w:vAlign w:val="center"/>
          </w:tcPr>
          <w:p w14:paraId="6AA4AED2" w14:textId="70162941"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14%</w:t>
            </w:r>
          </w:p>
        </w:tc>
      </w:tr>
      <w:tr w:rsidR="000E75AB" w:rsidRPr="000E75AB" w14:paraId="7C63BAA2"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31C95843"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LPG Households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144BD763" w14:textId="47C336B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93%</w:t>
            </w:r>
          </w:p>
        </w:tc>
        <w:tc>
          <w:tcPr>
            <w:tcW w:w="960" w:type="dxa"/>
            <w:tcBorders>
              <w:top w:val="nil"/>
              <w:left w:val="nil"/>
              <w:bottom w:val="single" w:sz="4" w:space="0" w:color="BFBFBF"/>
              <w:right w:val="single" w:sz="4" w:space="0" w:color="auto"/>
            </w:tcBorders>
            <w:shd w:val="clear" w:color="auto" w:fill="auto"/>
            <w:noWrap/>
            <w:vAlign w:val="center"/>
          </w:tcPr>
          <w:p w14:paraId="3C92AAA9" w14:textId="0E230687"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71%</w:t>
            </w:r>
          </w:p>
        </w:tc>
        <w:tc>
          <w:tcPr>
            <w:tcW w:w="960" w:type="dxa"/>
            <w:tcBorders>
              <w:top w:val="nil"/>
              <w:left w:val="nil"/>
              <w:bottom w:val="single" w:sz="4" w:space="0" w:color="BFBFBF"/>
              <w:right w:val="single" w:sz="4" w:space="0" w:color="BFBFBF"/>
            </w:tcBorders>
            <w:shd w:val="clear" w:color="auto" w:fill="auto"/>
            <w:noWrap/>
            <w:vAlign w:val="center"/>
          </w:tcPr>
          <w:p w14:paraId="61A9E9FD" w14:textId="468A20CF"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w:t>
            </w:r>
          </w:p>
        </w:tc>
        <w:tc>
          <w:tcPr>
            <w:tcW w:w="960" w:type="dxa"/>
            <w:tcBorders>
              <w:top w:val="nil"/>
              <w:left w:val="nil"/>
              <w:bottom w:val="single" w:sz="4" w:space="0" w:color="BFBFBF"/>
              <w:right w:val="double" w:sz="6" w:space="0" w:color="auto"/>
            </w:tcBorders>
            <w:shd w:val="clear" w:color="auto" w:fill="auto"/>
            <w:noWrap/>
            <w:vAlign w:val="center"/>
          </w:tcPr>
          <w:p w14:paraId="4E826B85" w14:textId="3ACF216C"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11%</w:t>
            </w:r>
          </w:p>
        </w:tc>
      </w:tr>
      <w:tr w:rsidR="000E75AB" w:rsidRPr="000E75AB" w14:paraId="0F7BB20D"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center"/>
          </w:tcPr>
          <w:p w14:paraId="18FBD995" w14:textId="77777777" w:rsidR="000E75AB" w:rsidRPr="000E75AB" w:rsidRDefault="000E75AB" w:rsidP="00986384">
            <w:pPr>
              <w:spacing w:before="0" w:after="0"/>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By DHHS Area -</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10D6DF01" w14:textId="08F6D46F" w:rsidR="000E75AB" w:rsidRPr="000E75AB" w:rsidRDefault="000E75AB">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single" w:sz="4" w:space="0" w:color="auto"/>
            </w:tcBorders>
            <w:shd w:val="clear" w:color="auto" w:fill="auto"/>
            <w:noWrap/>
            <w:vAlign w:val="center"/>
          </w:tcPr>
          <w:p w14:paraId="1E35F3D8" w14:textId="00404B0B" w:rsidR="000E75AB" w:rsidRPr="000E75AB" w:rsidRDefault="000E75AB">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single" w:sz="4" w:space="0" w:color="BFBFBF"/>
            </w:tcBorders>
            <w:shd w:val="clear" w:color="auto" w:fill="auto"/>
            <w:noWrap/>
            <w:vAlign w:val="center"/>
          </w:tcPr>
          <w:p w14:paraId="16D86E14" w14:textId="3D8B989F" w:rsidR="000E75AB" w:rsidRPr="000E75AB" w:rsidRDefault="000E75AB">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double" w:sz="6" w:space="0" w:color="auto"/>
            </w:tcBorders>
            <w:shd w:val="clear" w:color="auto" w:fill="auto"/>
            <w:noWrap/>
            <w:vAlign w:val="center"/>
          </w:tcPr>
          <w:p w14:paraId="0803A91F" w14:textId="2F6AEB5F" w:rsidR="000E75AB" w:rsidRPr="000E75AB" w:rsidRDefault="000E75AB">
            <w:pPr>
              <w:spacing w:before="0" w:after="0"/>
              <w:jc w:val="center"/>
              <w:rPr>
                <w:rFonts w:ascii="Arial" w:hAnsi="Arial" w:cs="Arial"/>
                <w:color w:val="000000"/>
                <w:sz w:val="16"/>
                <w:szCs w:val="16"/>
                <w:lang w:val="en-AU" w:eastAsia="en-AU"/>
              </w:rPr>
            </w:pPr>
          </w:p>
        </w:tc>
      </w:tr>
      <w:tr w:rsidR="000E75AB" w:rsidRPr="000E75AB" w14:paraId="679E079B"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176A6182"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Hume Moreland</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672B8853" w14:textId="44CB5ACC"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97%</w:t>
            </w:r>
          </w:p>
        </w:tc>
        <w:tc>
          <w:tcPr>
            <w:tcW w:w="960" w:type="dxa"/>
            <w:tcBorders>
              <w:top w:val="nil"/>
              <w:left w:val="nil"/>
              <w:bottom w:val="single" w:sz="4" w:space="0" w:color="BFBFBF"/>
              <w:right w:val="single" w:sz="4" w:space="0" w:color="auto"/>
            </w:tcBorders>
            <w:shd w:val="clear" w:color="auto" w:fill="auto"/>
            <w:noWrap/>
            <w:vAlign w:val="center"/>
          </w:tcPr>
          <w:p w14:paraId="0C19B8AA" w14:textId="36F7A4D2"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51CE036F" w14:textId="662BF98C"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6766A392" w14:textId="756165DF"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022D2404"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3496B0E8"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North Eastern Melbourne</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140D87D4" w14:textId="4C334C6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97%</w:t>
            </w:r>
          </w:p>
        </w:tc>
        <w:tc>
          <w:tcPr>
            <w:tcW w:w="960" w:type="dxa"/>
            <w:tcBorders>
              <w:top w:val="nil"/>
              <w:left w:val="nil"/>
              <w:bottom w:val="single" w:sz="4" w:space="0" w:color="BFBFBF"/>
              <w:right w:val="single" w:sz="4" w:space="0" w:color="auto"/>
            </w:tcBorders>
            <w:shd w:val="clear" w:color="auto" w:fill="auto"/>
            <w:noWrap/>
            <w:vAlign w:val="center"/>
          </w:tcPr>
          <w:p w14:paraId="662097CC" w14:textId="1D59DC96"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0B6C4767" w14:textId="3AD14087"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6%</w:t>
            </w:r>
          </w:p>
        </w:tc>
        <w:tc>
          <w:tcPr>
            <w:tcW w:w="960" w:type="dxa"/>
            <w:tcBorders>
              <w:top w:val="nil"/>
              <w:left w:val="nil"/>
              <w:bottom w:val="single" w:sz="4" w:space="0" w:color="BFBFBF"/>
              <w:right w:val="double" w:sz="6" w:space="0" w:color="auto"/>
            </w:tcBorders>
            <w:shd w:val="clear" w:color="auto" w:fill="auto"/>
            <w:noWrap/>
            <w:vAlign w:val="center"/>
          </w:tcPr>
          <w:p w14:paraId="53FBE92C" w14:textId="49405913"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172CFC4A"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18CB5791"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 xml:space="preserve">Outer </w:t>
            </w:r>
            <w:smartTag w:uri="urn:schemas-microsoft-com:office:smarttags" w:element="place">
              <w:r w:rsidRPr="000E75AB">
                <w:rPr>
                  <w:rFonts w:ascii="Arial" w:hAnsi="Arial" w:cs="Arial"/>
                  <w:color w:val="000000"/>
                  <w:sz w:val="16"/>
                  <w:szCs w:val="16"/>
                  <w:lang w:val="en-AU" w:eastAsia="en-AU"/>
                </w:rPr>
                <w:t>Eastern Melbourne</w:t>
              </w:r>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4BEB0C4D" w14:textId="32C59BB4"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96%</w:t>
            </w:r>
          </w:p>
        </w:tc>
        <w:tc>
          <w:tcPr>
            <w:tcW w:w="960" w:type="dxa"/>
            <w:tcBorders>
              <w:top w:val="nil"/>
              <w:left w:val="nil"/>
              <w:bottom w:val="single" w:sz="4" w:space="0" w:color="BFBFBF"/>
              <w:right w:val="single" w:sz="4" w:space="0" w:color="auto"/>
            </w:tcBorders>
            <w:shd w:val="clear" w:color="auto" w:fill="auto"/>
            <w:noWrap/>
            <w:vAlign w:val="center"/>
          </w:tcPr>
          <w:p w14:paraId="1343C06A" w14:textId="43FCCB11"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29395F34" w14:textId="322F301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4%</w:t>
            </w:r>
          </w:p>
        </w:tc>
        <w:tc>
          <w:tcPr>
            <w:tcW w:w="960" w:type="dxa"/>
            <w:tcBorders>
              <w:top w:val="nil"/>
              <w:left w:val="nil"/>
              <w:bottom w:val="single" w:sz="4" w:space="0" w:color="BFBFBF"/>
              <w:right w:val="double" w:sz="6" w:space="0" w:color="auto"/>
            </w:tcBorders>
            <w:shd w:val="clear" w:color="auto" w:fill="auto"/>
            <w:noWrap/>
            <w:vAlign w:val="center"/>
          </w:tcPr>
          <w:p w14:paraId="19060650" w14:textId="7441378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58E4E10A"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33D75277"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 xml:space="preserve">Inner </w:t>
            </w:r>
            <w:smartTag w:uri="urn:schemas-microsoft-com:office:smarttags" w:element="place">
              <w:r w:rsidRPr="000E75AB">
                <w:rPr>
                  <w:rFonts w:ascii="Arial" w:hAnsi="Arial" w:cs="Arial"/>
                  <w:color w:val="000000"/>
                  <w:sz w:val="16"/>
                  <w:szCs w:val="16"/>
                  <w:lang w:val="en-AU" w:eastAsia="en-AU"/>
                </w:rPr>
                <w:t>Eastern Melbourne</w:t>
              </w:r>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66835FD1" w14:textId="61067801"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99%</w:t>
            </w:r>
          </w:p>
        </w:tc>
        <w:tc>
          <w:tcPr>
            <w:tcW w:w="960" w:type="dxa"/>
            <w:tcBorders>
              <w:top w:val="nil"/>
              <w:left w:val="nil"/>
              <w:bottom w:val="single" w:sz="4" w:space="0" w:color="BFBFBF"/>
              <w:right w:val="single" w:sz="4" w:space="0" w:color="auto"/>
            </w:tcBorders>
            <w:shd w:val="clear" w:color="auto" w:fill="auto"/>
            <w:noWrap/>
            <w:vAlign w:val="center"/>
          </w:tcPr>
          <w:p w14:paraId="58FFC4CB" w14:textId="5DA44495"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672D80DA" w14:textId="389B0FD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5%</w:t>
            </w:r>
          </w:p>
        </w:tc>
        <w:tc>
          <w:tcPr>
            <w:tcW w:w="960" w:type="dxa"/>
            <w:tcBorders>
              <w:top w:val="nil"/>
              <w:left w:val="nil"/>
              <w:bottom w:val="single" w:sz="4" w:space="0" w:color="BFBFBF"/>
              <w:right w:val="double" w:sz="6" w:space="0" w:color="auto"/>
            </w:tcBorders>
            <w:shd w:val="clear" w:color="auto" w:fill="auto"/>
            <w:noWrap/>
            <w:vAlign w:val="center"/>
          </w:tcPr>
          <w:p w14:paraId="57B5149E" w14:textId="4B381A7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5A999DE4"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5F9A2F32"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smartTag w:uri="urn:schemas-microsoft-com:office:smarttags" w:element="place">
              <w:r w:rsidRPr="000E75AB">
                <w:rPr>
                  <w:rFonts w:ascii="Arial" w:hAnsi="Arial" w:cs="Arial"/>
                  <w:color w:val="000000"/>
                  <w:sz w:val="16"/>
                  <w:szCs w:val="16"/>
                  <w:lang w:val="en-AU" w:eastAsia="en-AU"/>
                </w:rPr>
                <w:t>Southern Melbourne</w:t>
              </w:r>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391186F4" w14:textId="3B8B4C94"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91%</w:t>
            </w:r>
          </w:p>
        </w:tc>
        <w:tc>
          <w:tcPr>
            <w:tcW w:w="960" w:type="dxa"/>
            <w:tcBorders>
              <w:top w:val="nil"/>
              <w:left w:val="nil"/>
              <w:bottom w:val="single" w:sz="4" w:space="0" w:color="BFBFBF"/>
              <w:right w:val="single" w:sz="4" w:space="0" w:color="auto"/>
            </w:tcBorders>
            <w:shd w:val="clear" w:color="auto" w:fill="auto"/>
            <w:noWrap/>
            <w:vAlign w:val="center"/>
          </w:tcPr>
          <w:p w14:paraId="707306CB" w14:textId="72CD20B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07D896E1" w14:textId="764B771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7%</w:t>
            </w:r>
          </w:p>
        </w:tc>
        <w:tc>
          <w:tcPr>
            <w:tcW w:w="960" w:type="dxa"/>
            <w:tcBorders>
              <w:top w:val="nil"/>
              <w:left w:val="nil"/>
              <w:bottom w:val="single" w:sz="4" w:space="0" w:color="BFBFBF"/>
              <w:right w:val="double" w:sz="6" w:space="0" w:color="auto"/>
            </w:tcBorders>
            <w:shd w:val="clear" w:color="auto" w:fill="auto"/>
            <w:noWrap/>
            <w:vAlign w:val="center"/>
          </w:tcPr>
          <w:p w14:paraId="1B20F667" w14:textId="197A8D1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40E7EA20"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524B10D0"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Bayside</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24D0E55D" w14:textId="5D7BBCF5"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95%</w:t>
            </w:r>
          </w:p>
        </w:tc>
        <w:tc>
          <w:tcPr>
            <w:tcW w:w="960" w:type="dxa"/>
            <w:tcBorders>
              <w:top w:val="nil"/>
              <w:left w:val="nil"/>
              <w:bottom w:val="single" w:sz="4" w:space="0" w:color="BFBFBF"/>
              <w:right w:val="single" w:sz="4" w:space="0" w:color="auto"/>
            </w:tcBorders>
            <w:shd w:val="clear" w:color="auto" w:fill="auto"/>
            <w:noWrap/>
            <w:vAlign w:val="center"/>
          </w:tcPr>
          <w:p w14:paraId="7CFBE68A" w14:textId="5BC8F8E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66C84074" w14:textId="067500C3"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5%</w:t>
            </w:r>
          </w:p>
        </w:tc>
        <w:tc>
          <w:tcPr>
            <w:tcW w:w="960" w:type="dxa"/>
            <w:tcBorders>
              <w:top w:val="nil"/>
              <w:left w:val="nil"/>
              <w:bottom w:val="single" w:sz="4" w:space="0" w:color="BFBFBF"/>
              <w:right w:val="double" w:sz="6" w:space="0" w:color="auto"/>
            </w:tcBorders>
            <w:shd w:val="clear" w:color="auto" w:fill="auto"/>
            <w:noWrap/>
            <w:vAlign w:val="center"/>
          </w:tcPr>
          <w:p w14:paraId="2B5D99F4" w14:textId="268BE1D7"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3ADBFF3D"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1C0DA837"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smartTag w:uri="urn:schemas-microsoft-com:office:smarttags" w:element="place">
              <w:r w:rsidRPr="000E75AB">
                <w:rPr>
                  <w:rFonts w:ascii="Arial" w:hAnsi="Arial" w:cs="Arial"/>
                  <w:color w:val="000000"/>
                  <w:sz w:val="16"/>
                  <w:szCs w:val="16"/>
                  <w:lang w:val="en-AU" w:eastAsia="en-AU"/>
                </w:rPr>
                <w:t>Western Melbourne</w:t>
              </w:r>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52FB109C" w14:textId="0F13191D"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98%</w:t>
            </w:r>
          </w:p>
        </w:tc>
        <w:tc>
          <w:tcPr>
            <w:tcW w:w="960" w:type="dxa"/>
            <w:tcBorders>
              <w:top w:val="nil"/>
              <w:left w:val="nil"/>
              <w:bottom w:val="single" w:sz="4" w:space="0" w:color="BFBFBF"/>
              <w:right w:val="single" w:sz="4" w:space="0" w:color="auto"/>
            </w:tcBorders>
            <w:shd w:val="clear" w:color="auto" w:fill="auto"/>
            <w:noWrap/>
            <w:vAlign w:val="center"/>
          </w:tcPr>
          <w:p w14:paraId="04B90738" w14:textId="0D550EF5"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49569AF4" w14:textId="069C43FB"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4%</w:t>
            </w:r>
          </w:p>
        </w:tc>
        <w:tc>
          <w:tcPr>
            <w:tcW w:w="960" w:type="dxa"/>
            <w:tcBorders>
              <w:top w:val="nil"/>
              <w:left w:val="nil"/>
              <w:bottom w:val="single" w:sz="4" w:space="0" w:color="BFBFBF"/>
              <w:right w:val="double" w:sz="6" w:space="0" w:color="auto"/>
            </w:tcBorders>
            <w:shd w:val="clear" w:color="auto" w:fill="auto"/>
            <w:noWrap/>
            <w:vAlign w:val="center"/>
          </w:tcPr>
          <w:p w14:paraId="1A83518B" w14:textId="7F6F1052"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31D019B9"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24DB946A"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Brimbank Melton</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16D96467" w14:textId="3266E992"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96%</w:t>
            </w:r>
          </w:p>
        </w:tc>
        <w:tc>
          <w:tcPr>
            <w:tcW w:w="960" w:type="dxa"/>
            <w:tcBorders>
              <w:top w:val="nil"/>
              <w:left w:val="nil"/>
              <w:bottom w:val="single" w:sz="4" w:space="0" w:color="BFBFBF"/>
              <w:right w:val="single" w:sz="4" w:space="0" w:color="auto"/>
            </w:tcBorders>
            <w:shd w:val="clear" w:color="auto" w:fill="auto"/>
            <w:noWrap/>
            <w:vAlign w:val="center"/>
          </w:tcPr>
          <w:p w14:paraId="2CED783E" w14:textId="02372C8B"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2D2ABE89" w14:textId="3DC492CB"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10%</w:t>
            </w:r>
          </w:p>
        </w:tc>
        <w:tc>
          <w:tcPr>
            <w:tcW w:w="960" w:type="dxa"/>
            <w:tcBorders>
              <w:top w:val="nil"/>
              <w:left w:val="nil"/>
              <w:bottom w:val="single" w:sz="4" w:space="0" w:color="BFBFBF"/>
              <w:right w:val="double" w:sz="6" w:space="0" w:color="auto"/>
            </w:tcBorders>
            <w:shd w:val="clear" w:color="auto" w:fill="auto"/>
            <w:noWrap/>
            <w:vAlign w:val="center"/>
          </w:tcPr>
          <w:p w14:paraId="5BDC69B5" w14:textId="751729B1"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66B4BB0C"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1777A74D"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Mallee</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6459E753" w14:textId="76B9FB43"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97%</w:t>
            </w:r>
          </w:p>
        </w:tc>
        <w:tc>
          <w:tcPr>
            <w:tcW w:w="960" w:type="dxa"/>
            <w:tcBorders>
              <w:top w:val="nil"/>
              <w:left w:val="nil"/>
              <w:bottom w:val="single" w:sz="4" w:space="0" w:color="BFBFBF"/>
              <w:right w:val="single" w:sz="4" w:space="0" w:color="auto"/>
            </w:tcBorders>
            <w:shd w:val="clear" w:color="auto" w:fill="auto"/>
            <w:noWrap/>
            <w:vAlign w:val="center"/>
          </w:tcPr>
          <w:p w14:paraId="680C3763" w14:textId="26E19762"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37B5C1CF" w14:textId="451DCB1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5%</w:t>
            </w:r>
          </w:p>
        </w:tc>
        <w:tc>
          <w:tcPr>
            <w:tcW w:w="960" w:type="dxa"/>
            <w:tcBorders>
              <w:top w:val="nil"/>
              <w:left w:val="nil"/>
              <w:bottom w:val="single" w:sz="4" w:space="0" w:color="BFBFBF"/>
              <w:right w:val="double" w:sz="6" w:space="0" w:color="auto"/>
            </w:tcBorders>
            <w:shd w:val="clear" w:color="auto" w:fill="auto"/>
            <w:noWrap/>
            <w:vAlign w:val="center"/>
          </w:tcPr>
          <w:p w14:paraId="52D8EACE" w14:textId="1C9546BB"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4A6E93E9"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3E78AFE0"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Loddon</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36FFE929" w14:textId="6733B6CD"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98%</w:t>
            </w:r>
          </w:p>
        </w:tc>
        <w:tc>
          <w:tcPr>
            <w:tcW w:w="960" w:type="dxa"/>
            <w:tcBorders>
              <w:top w:val="nil"/>
              <w:left w:val="nil"/>
              <w:bottom w:val="single" w:sz="4" w:space="0" w:color="BFBFBF"/>
              <w:right w:val="single" w:sz="4" w:space="0" w:color="auto"/>
            </w:tcBorders>
            <w:shd w:val="clear" w:color="auto" w:fill="auto"/>
            <w:noWrap/>
            <w:vAlign w:val="center"/>
          </w:tcPr>
          <w:p w14:paraId="12A099FF" w14:textId="74CC6DFA"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364085C8" w14:textId="6B1949C1"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13%</w:t>
            </w:r>
          </w:p>
        </w:tc>
        <w:tc>
          <w:tcPr>
            <w:tcW w:w="960" w:type="dxa"/>
            <w:tcBorders>
              <w:top w:val="nil"/>
              <w:left w:val="nil"/>
              <w:bottom w:val="single" w:sz="4" w:space="0" w:color="BFBFBF"/>
              <w:right w:val="double" w:sz="6" w:space="0" w:color="auto"/>
            </w:tcBorders>
            <w:shd w:val="clear" w:color="auto" w:fill="auto"/>
            <w:noWrap/>
            <w:vAlign w:val="center"/>
          </w:tcPr>
          <w:p w14:paraId="645921B2" w14:textId="67974AB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243C11AC"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0F2D4137"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0E75AB">
                  <w:rPr>
                    <w:rFonts w:ascii="Arial" w:hAnsi="Arial" w:cs="Arial"/>
                    <w:color w:val="000000"/>
                    <w:sz w:val="16"/>
                    <w:szCs w:val="16"/>
                    <w:lang w:val="en-AU" w:eastAsia="en-AU"/>
                  </w:rPr>
                  <w:t>Murray</w:t>
                </w:r>
              </w:smartTag>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562BA037" w14:textId="41A37E7F"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97%</w:t>
            </w:r>
          </w:p>
        </w:tc>
        <w:tc>
          <w:tcPr>
            <w:tcW w:w="960" w:type="dxa"/>
            <w:tcBorders>
              <w:top w:val="nil"/>
              <w:left w:val="nil"/>
              <w:bottom w:val="single" w:sz="4" w:space="0" w:color="BFBFBF"/>
              <w:right w:val="single" w:sz="4" w:space="0" w:color="auto"/>
            </w:tcBorders>
            <w:shd w:val="clear" w:color="auto" w:fill="auto"/>
            <w:noWrap/>
            <w:vAlign w:val="center"/>
          </w:tcPr>
          <w:p w14:paraId="62AE3186" w14:textId="72C73A03"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4FAECFD3" w14:textId="674B8B93"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6%</w:t>
            </w:r>
          </w:p>
        </w:tc>
        <w:tc>
          <w:tcPr>
            <w:tcW w:w="960" w:type="dxa"/>
            <w:tcBorders>
              <w:top w:val="nil"/>
              <w:left w:val="nil"/>
              <w:bottom w:val="single" w:sz="4" w:space="0" w:color="BFBFBF"/>
              <w:right w:val="double" w:sz="6" w:space="0" w:color="auto"/>
            </w:tcBorders>
            <w:shd w:val="clear" w:color="auto" w:fill="auto"/>
            <w:noWrap/>
            <w:vAlign w:val="center"/>
          </w:tcPr>
          <w:p w14:paraId="0067ABF2" w14:textId="3E555FCD"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085CB522"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2F7EB426"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Goulburn</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2AD1F4AA" w14:textId="49BDDB81"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97%</w:t>
            </w:r>
          </w:p>
        </w:tc>
        <w:tc>
          <w:tcPr>
            <w:tcW w:w="960" w:type="dxa"/>
            <w:tcBorders>
              <w:top w:val="nil"/>
              <w:left w:val="nil"/>
              <w:bottom w:val="single" w:sz="4" w:space="0" w:color="BFBFBF"/>
              <w:right w:val="single" w:sz="4" w:space="0" w:color="auto"/>
            </w:tcBorders>
            <w:shd w:val="clear" w:color="auto" w:fill="auto"/>
            <w:noWrap/>
            <w:vAlign w:val="center"/>
          </w:tcPr>
          <w:p w14:paraId="53A3F5F3" w14:textId="31138395"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541F3D19" w14:textId="5BFDF7C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10%</w:t>
            </w:r>
          </w:p>
        </w:tc>
        <w:tc>
          <w:tcPr>
            <w:tcW w:w="960" w:type="dxa"/>
            <w:tcBorders>
              <w:top w:val="nil"/>
              <w:left w:val="nil"/>
              <w:bottom w:val="single" w:sz="4" w:space="0" w:color="BFBFBF"/>
              <w:right w:val="double" w:sz="6" w:space="0" w:color="auto"/>
            </w:tcBorders>
            <w:shd w:val="clear" w:color="auto" w:fill="auto"/>
            <w:noWrap/>
            <w:vAlign w:val="center"/>
          </w:tcPr>
          <w:p w14:paraId="4D77CF68" w14:textId="5B5667DF"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32A07FED"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679D7F7D"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Outer Gippsland</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2030C9B6" w14:textId="34D33A66"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98%</w:t>
            </w:r>
          </w:p>
        </w:tc>
        <w:tc>
          <w:tcPr>
            <w:tcW w:w="960" w:type="dxa"/>
            <w:tcBorders>
              <w:top w:val="nil"/>
              <w:left w:val="nil"/>
              <w:bottom w:val="single" w:sz="4" w:space="0" w:color="BFBFBF"/>
              <w:right w:val="single" w:sz="4" w:space="0" w:color="auto"/>
            </w:tcBorders>
            <w:shd w:val="clear" w:color="auto" w:fill="auto"/>
            <w:noWrap/>
            <w:vAlign w:val="center"/>
          </w:tcPr>
          <w:p w14:paraId="0AB702CB" w14:textId="5403FC84"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29F2D7A6" w14:textId="3C5D3C4B"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6%</w:t>
            </w:r>
          </w:p>
        </w:tc>
        <w:tc>
          <w:tcPr>
            <w:tcW w:w="960" w:type="dxa"/>
            <w:tcBorders>
              <w:top w:val="nil"/>
              <w:left w:val="nil"/>
              <w:bottom w:val="single" w:sz="4" w:space="0" w:color="BFBFBF"/>
              <w:right w:val="double" w:sz="6" w:space="0" w:color="auto"/>
            </w:tcBorders>
            <w:shd w:val="clear" w:color="auto" w:fill="auto"/>
            <w:noWrap/>
            <w:vAlign w:val="center"/>
          </w:tcPr>
          <w:p w14:paraId="6447D418" w14:textId="06640187"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233F9F85"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52586D74"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Inner Gippsland</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256BEA7C" w14:textId="72313909"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95%</w:t>
            </w:r>
          </w:p>
        </w:tc>
        <w:tc>
          <w:tcPr>
            <w:tcW w:w="960" w:type="dxa"/>
            <w:tcBorders>
              <w:top w:val="nil"/>
              <w:left w:val="nil"/>
              <w:bottom w:val="single" w:sz="4" w:space="0" w:color="BFBFBF"/>
              <w:right w:val="single" w:sz="4" w:space="0" w:color="auto"/>
            </w:tcBorders>
            <w:shd w:val="clear" w:color="auto" w:fill="auto"/>
            <w:noWrap/>
            <w:vAlign w:val="center"/>
          </w:tcPr>
          <w:p w14:paraId="380F6DBD" w14:textId="178B069A"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42F1CB92" w14:textId="63A2FAB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3%</w:t>
            </w:r>
          </w:p>
        </w:tc>
        <w:tc>
          <w:tcPr>
            <w:tcW w:w="960" w:type="dxa"/>
            <w:tcBorders>
              <w:top w:val="nil"/>
              <w:left w:val="nil"/>
              <w:bottom w:val="single" w:sz="4" w:space="0" w:color="BFBFBF"/>
              <w:right w:val="double" w:sz="6" w:space="0" w:color="auto"/>
            </w:tcBorders>
            <w:shd w:val="clear" w:color="auto" w:fill="auto"/>
            <w:noWrap/>
            <w:vAlign w:val="center"/>
          </w:tcPr>
          <w:p w14:paraId="511B66B2" w14:textId="0EED5427"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65A0AF8C"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5AD77786"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Western District</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17113117" w14:textId="4BD68A83"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95%</w:t>
            </w:r>
          </w:p>
        </w:tc>
        <w:tc>
          <w:tcPr>
            <w:tcW w:w="960" w:type="dxa"/>
            <w:tcBorders>
              <w:top w:val="nil"/>
              <w:left w:val="nil"/>
              <w:bottom w:val="single" w:sz="4" w:space="0" w:color="BFBFBF"/>
              <w:right w:val="single" w:sz="4" w:space="0" w:color="auto"/>
            </w:tcBorders>
            <w:shd w:val="clear" w:color="auto" w:fill="auto"/>
            <w:noWrap/>
            <w:vAlign w:val="center"/>
          </w:tcPr>
          <w:p w14:paraId="0994F7EE" w14:textId="2CC29F2B"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32F81E42" w14:textId="43E79CDE"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6%</w:t>
            </w:r>
          </w:p>
        </w:tc>
        <w:tc>
          <w:tcPr>
            <w:tcW w:w="960" w:type="dxa"/>
            <w:tcBorders>
              <w:top w:val="nil"/>
              <w:left w:val="nil"/>
              <w:bottom w:val="single" w:sz="4" w:space="0" w:color="BFBFBF"/>
              <w:right w:val="double" w:sz="6" w:space="0" w:color="auto"/>
            </w:tcBorders>
            <w:shd w:val="clear" w:color="auto" w:fill="auto"/>
            <w:noWrap/>
            <w:vAlign w:val="center"/>
          </w:tcPr>
          <w:p w14:paraId="73AD97AD" w14:textId="06C44A4D"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3C9718E6"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607B76AF"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Barwon</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B84F5D5" w14:textId="7CCE6F8A"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99%</w:t>
            </w:r>
          </w:p>
        </w:tc>
        <w:tc>
          <w:tcPr>
            <w:tcW w:w="960" w:type="dxa"/>
            <w:tcBorders>
              <w:top w:val="nil"/>
              <w:left w:val="nil"/>
              <w:bottom w:val="single" w:sz="4" w:space="0" w:color="BFBFBF"/>
              <w:right w:val="single" w:sz="4" w:space="0" w:color="auto"/>
            </w:tcBorders>
            <w:shd w:val="clear" w:color="auto" w:fill="auto"/>
            <w:noWrap/>
            <w:vAlign w:val="center"/>
          </w:tcPr>
          <w:p w14:paraId="36D7D98D" w14:textId="2E8DE244"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11C1C2BA" w14:textId="492E5AD0"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w:t>
            </w:r>
          </w:p>
        </w:tc>
        <w:tc>
          <w:tcPr>
            <w:tcW w:w="960" w:type="dxa"/>
            <w:tcBorders>
              <w:top w:val="nil"/>
              <w:left w:val="nil"/>
              <w:bottom w:val="single" w:sz="4" w:space="0" w:color="BFBFBF"/>
              <w:right w:val="double" w:sz="6" w:space="0" w:color="auto"/>
            </w:tcBorders>
            <w:shd w:val="clear" w:color="auto" w:fill="auto"/>
            <w:noWrap/>
            <w:vAlign w:val="center"/>
          </w:tcPr>
          <w:p w14:paraId="51581E81" w14:textId="59B3F94D"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0E75AB" w14:paraId="75745678" w14:textId="77777777" w:rsidTr="009748AD">
        <w:trPr>
          <w:trHeight w:val="225"/>
          <w:jc w:val="center"/>
        </w:trPr>
        <w:tc>
          <w:tcPr>
            <w:tcW w:w="3220" w:type="dxa"/>
            <w:tcBorders>
              <w:top w:val="nil"/>
              <w:left w:val="double" w:sz="6" w:space="0" w:color="auto"/>
              <w:bottom w:val="single" w:sz="4" w:space="0" w:color="BFBFBF"/>
              <w:right w:val="nil"/>
            </w:tcBorders>
            <w:shd w:val="clear" w:color="auto" w:fill="auto"/>
            <w:noWrap/>
            <w:vAlign w:val="bottom"/>
          </w:tcPr>
          <w:p w14:paraId="0BA307D3" w14:textId="77777777" w:rsidR="000E75AB" w:rsidRPr="000E75AB" w:rsidRDefault="000E75AB" w:rsidP="00986384">
            <w:pPr>
              <w:spacing w:before="0" w:after="0"/>
              <w:ind w:firstLineChars="100" w:firstLine="160"/>
              <w:rPr>
                <w:rFonts w:ascii="Arial" w:hAnsi="Arial" w:cs="Arial"/>
                <w:color w:val="000000"/>
                <w:sz w:val="16"/>
                <w:szCs w:val="16"/>
                <w:lang w:val="en-AU" w:eastAsia="en-AU"/>
              </w:rPr>
            </w:pPr>
            <w:r w:rsidRPr="000E75AB">
              <w:rPr>
                <w:rFonts w:ascii="Arial" w:hAnsi="Arial" w:cs="Arial"/>
                <w:color w:val="000000"/>
                <w:sz w:val="16"/>
                <w:szCs w:val="16"/>
                <w:lang w:val="en-AU" w:eastAsia="en-AU"/>
              </w:rPr>
              <w:t>Central Highlands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086FDC15" w14:textId="26648F28"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96%</w:t>
            </w:r>
          </w:p>
        </w:tc>
        <w:tc>
          <w:tcPr>
            <w:tcW w:w="960" w:type="dxa"/>
            <w:tcBorders>
              <w:top w:val="nil"/>
              <w:left w:val="nil"/>
              <w:bottom w:val="single" w:sz="4" w:space="0" w:color="BFBFBF"/>
              <w:right w:val="single" w:sz="4" w:space="0" w:color="auto"/>
            </w:tcBorders>
            <w:shd w:val="clear" w:color="auto" w:fill="auto"/>
            <w:noWrap/>
            <w:vAlign w:val="center"/>
          </w:tcPr>
          <w:p w14:paraId="465ACE78" w14:textId="5031B131"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c>
          <w:tcPr>
            <w:tcW w:w="960" w:type="dxa"/>
            <w:tcBorders>
              <w:top w:val="nil"/>
              <w:left w:val="nil"/>
              <w:bottom w:val="single" w:sz="4" w:space="0" w:color="BFBFBF"/>
              <w:right w:val="single" w:sz="4" w:space="0" w:color="BFBFBF"/>
            </w:tcBorders>
            <w:shd w:val="clear" w:color="auto" w:fill="auto"/>
            <w:noWrap/>
            <w:vAlign w:val="center"/>
          </w:tcPr>
          <w:p w14:paraId="24AFBE51" w14:textId="2849960B"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9%</w:t>
            </w:r>
          </w:p>
        </w:tc>
        <w:tc>
          <w:tcPr>
            <w:tcW w:w="960" w:type="dxa"/>
            <w:tcBorders>
              <w:top w:val="nil"/>
              <w:left w:val="nil"/>
              <w:bottom w:val="single" w:sz="4" w:space="0" w:color="BFBFBF"/>
              <w:right w:val="double" w:sz="6" w:space="0" w:color="auto"/>
            </w:tcBorders>
            <w:shd w:val="clear" w:color="auto" w:fill="auto"/>
            <w:noWrap/>
            <w:vAlign w:val="center"/>
          </w:tcPr>
          <w:p w14:paraId="0524F269" w14:textId="7232360E" w:rsidR="000E75AB" w:rsidRPr="000E75AB" w:rsidRDefault="000E75AB">
            <w:pPr>
              <w:spacing w:before="0" w:after="0"/>
              <w:jc w:val="center"/>
              <w:rPr>
                <w:rFonts w:ascii="Arial" w:hAnsi="Arial" w:cs="Arial"/>
                <w:color w:val="000000"/>
                <w:sz w:val="16"/>
                <w:szCs w:val="16"/>
                <w:lang w:val="en-AU" w:eastAsia="en-AU"/>
              </w:rPr>
            </w:pPr>
            <w:r w:rsidRPr="000E75AB">
              <w:rPr>
                <w:rFonts w:ascii="Arial" w:hAnsi="Arial" w:cs="Arial"/>
                <w:color w:val="000000"/>
                <w:sz w:val="16"/>
                <w:szCs w:val="16"/>
              </w:rPr>
              <w:t>n/a</w:t>
            </w:r>
          </w:p>
        </w:tc>
      </w:tr>
      <w:tr w:rsidR="000E75AB" w:rsidRPr="003835AE" w14:paraId="3F347249" w14:textId="77777777" w:rsidTr="009748AD">
        <w:trPr>
          <w:trHeight w:val="240"/>
          <w:jc w:val="center"/>
        </w:trPr>
        <w:tc>
          <w:tcPr>
            <w:tcW w:w="3220" w:type="dxa"/>
            <w:tcBorders>
              <w:top w:val="nil"/>
              <w:left w:val="double" w:sz="6" w:space="0" w:color="auto"/>
              <w:bottom w:val="double" w:sz="6" w:space="0" w:color="auto"/>
              <w:right w:val="nil"/>
            </w:tcBorders>
            <w:shd w:val="clear" w:color="auto" w:fill="auto"/>
            <w:noWrap/>
            <w:vAlign w:val="center"/>
          </w:tcPr>
          <w:p w14:paraId="0B263FDE" w14:textId="77777777" w:rsidR="000E75AB" w:rsidRPr="000E75AB" w:rsidRDefault="000E75AB" w:rsidP="00986384">
            <w:pPr>
              <w:spacing w:before="0" w:after="0"/>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Total Households</w:t>
            </w:r>
          </w:p>
        </w:tc>
        <w:tc>
          <w:tcPr>
            <w:tcW w:w="960" w:type="dxa"/>
            <w:tcBorders>
              <w:top w:val="nil"/>
              <w:left w:val="single" w:sz="4" w:space="0" w:color="auto"/>
              <w:bottom w:val="double" w:sz="6" w:space="0" w:color="auto"/>
              <w:right w:val="single" w:sz="4" w:space="0" w:color="BFBFBF"/>
            </w:tcBorders>
            <w:shd w:val="clear" w:color="auto" w:fill="auto"/>
            <w:noWrap/>
            <w:vAlign w:val="center"/>
          </w:tcPr>
          <w:p w14:paraId="556CEE4E" w14:textId="30277F91" w:rsidR="000E75AB" w:rsidRPr="000E75AB" w:rsidRDefault="000E75AB">
            <w:pPr>
              <w:spacing w:before="0" w:after="0"/>
              <w:jc w:val="center"/>
              <w:rPr>
                <w:rFonts w:ascii="Arial" w:hAnsi="Arial" w:cs="Arial"/>
                <w:b/>
                <w:color w:val="000000"/>
                <w:sz w:val="16"/>
                <w:szCs w:val="16"/>
                <w:lang w:val="en-AU" w:eastAsia="en-AU"/>
              </w:rPr>
            </w:pPr>
            <w:r w:rsidRPr="000E75AB">
              <w:rPr>
                <w:rFonts w:ascii="Arial" w:hAnsi="Arial" w:cs="Arial"/>
                <w:b/>
                <w:color w:val="000000"/>
                <w:sz w:val="16"/>
                <w:szCs w:val="16"/>
                <w:lang w:val="en-AU" w:eastAsia="en-AU"/>
              </w:rPr>
              <w:t>96%</w:t>
            </w:r>
          </w:p>
        </w:tc>
        <w:tc>
          <w:tcPr>
            <w:tcW w:w="960" w:type="dxa"/>
            <w:tcBorders>
              <w:top w:val="nil"/>
              <w:left w:val="nil"/>
              <w:bottom w:val="double" w:sz="6" w:space="0" w:color="auto"/>
              <w:right w:val="single" w:sz="4" w:space="0" w:color="auto"/>
            </w:tcBorders>
            <w:shd w:val="clear" w:color="auto" w:fill="auto"/>
            <w:noWrap/>
            <w:vAlign w:val="center"/>
          </w:tcPr>
          <w:p w14:paraId="4EFF0B30" w14:textId="77777777" w:rsidR="000E75AB" w:rsidRPr="000E75AB" w:rsidRDefault="000E75AB">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75%</w:t>
            </w:r>
          </w:p>
        </w:tc>
        <w:tc>
          <w:tcPr>
            <w:tcW w:w="960" w:type="dxa"/>
            <w:tcBorders>
              <w:top w:val="nil"/>
              <w:left w:val="nil"/>
              <w:bottom w:val="double" w:sz="6" w:space="0" w:color="auto"/>
              <w:right w:val="single" w:sz="4" w:space="0" w:color="BFBFBF"/>
            </w:tcBorders>
            <w:shd w:val="clear" w:color="auto" w:fill="auto"/>
            <w:noWrap/>
            <w:vAlign w:val="center"/>
          </w:tcPr>
          <w:p w14:paraId="295D1D03" w14:textId="4DD35E23" w:rsidR="000E75AB" w:rsidRPr="000E75AB" w:rsidRDefault="000E75AB">
            <w:pPr>
              <w:spacing w:before="0" w:after="0"/>
              <w:jc w:val="center"/>
              <w:rPr>
                <w:rFonts w:ascii="Arial" w:hAnsi="Arial" w:cs="Arial"/>
                <w:b/>
                <w:color w:val="000000"/>
                <w:sz w:val="16"/>
                <w:szCs w:val="16"/>
                <w:lang w:val="en-AU" w:eastAsia="en-AU"/>
              </w:rPr>
            </w:pPr>
            <w:r w:rsidRPr="000E75AB">
              <w:rPr>
                <w:rFonts w:ascii="Arial" w:hAnsi="Arial" w:cs="Arial"/>
                <w:b/>
                <w:color w:val="000000"/>
                <w:sz w:val="16"/>
                <w:szCs w:val="16"/>
                <w:lang w:val="en-AU" w:eastAsia="en-AU"/>
              </w:rPr>
              <w:t>6%</w:t>
            </w:r>
          </w:p>
        </w:tc>
        <w:tc>
          <w:tcPr>
            <w:tcW w:w="960" w:type="dxa"/>
            <w:tcBorders>
              <w:top w:val="nil"/>
              <w:left w:val="nil"/>
              <w:bottom w:val="double" w:sz="6" w:space="0" w:color="auto"/>
              <w:right w:val="double" w:sz="6" w:space="0" w:color="auto"/>
            </w:tcBorders>
            <w:shd w:val="clear" w:color="auto" w:fill="auto"/>
            <w:noWrap/>
            <w:vAlign w:val="center"/>
          </w:tcPr>
          <w:p w14:paraId="742EB721" w14:textId="77777777" w:rsidR="000E75AB" w:rsidRPr="000E75AB" w:rsidRDefault="000E75AB">
            <w:pPr>
              <w:spacing w:before="0" w:after="0"/>
              <w:jc w:val="center"/>
              <w:rPr>
                <w:rFonts w:ascii="Arial" w:hAnsi="Arial" w:cs="Arial"/>
                <w:b/>
                <w:bCs/>
                <w:color w:val="000000"/>
                <w:sz w:val="16"/>
                <w:szCs w:val="16"/>
                <w:lang w:val="en-AU" w:eastAsia="en-AU"/>
              </w:rPr>
            </w:pPr>
            <w:r w:rsidRPr="000E75AB">
              <w:rPr>
                <w:rFonts w:ascii="Arial" w:hAnsi="Arial" w:cs="Arial"/>
                <w:b/>
                <w:bCs/>
                <w:color w:val="000000"/>
                <w:sz w:val="16"/>
                <w:szCs w:val="16"/>
                <w:lang w:val="en-AU" w:eastAsia="en-AU"/>
              </w:rPr>
              <w:t>12%</w:t>
            </w:r>
          </w:p>
        </w:tc>
      </w:tr>
    </w:tbl>
    <w:p w14:paraId="39FCC470" w14:textId="77777777" w:rsidR="009F2E43" w:rsidRPr="0015381B" w:rsidRDefault="009F2E43" w:rsidP="009F2E43">
      <w:pPr>
        <w:ind w:left="2160"/>
        <w:rPr>
          <w:sz w:val="20"/>
        </w:rPr>
      </w:pPr>
      <w:r w:rsidRPr="0015381B">
        <w:rPr>
          <w:sz w:val="20"/>
        </w:rPr>
        <w:t xml:space="preserve">Notes: </w:t>
      </w:r>
    </w:p>
    <w:p w14:paraId="3108DDF2" w14:textId="77777777" w:rsidR="009F2E43" w:rsidRPr="0015381B" w:rsidRDefault="009F2E43" w:rsidP="009F2E43">
      <w:pPr>
        <w:ind w:left="2160"/>
        <w:rPr>
          <w:sz w:val="20"/>
        </w:rPr>
      </w:pPr>
      <w:r w:rsidRPr="0015381B">
        <w:rPr>
          <w:sz w:val="20"/>
        </w:rPr>
        <w:t>The percentages for “Paid in Full” in the table above are based to total households where suppliers provided this information (n=1,366).</w:t>
      </w:r>
    </w:p>
    <w:p w14:paraId="3C375DE9" w14:textId="77777777" w:rsidR="009F2E43" w:rsidRPr="0015381B" w:rsidRDefault="009F2E43" w:rsidP="009F2E43">
      <w:pPr>
        <w:ind w:left="2160"/>
        <w:rPr>
          <w:sz w:val="20"/>
        </w:rPr>
      </w:pPr>
      <w:r w:rsidRPr="0015381B">
        <w:rPr>
          <w:sz w:val="20"/>
        </w:rPr>
        <w:t xml:space="preserve">The percentages for “By Compulsory Instalment” in the table above are based to total households where suppliers provided this information (n=1,363). </w:t>
      </w:r>
    </w:p>
    <w:p w14:paraId="331A9B0C" w14:textId="036F0D72" w:rsidR="009F2E43" w:rsidRDefault="009F2E43" w:rsidP="009F2E43">
      <w:pPr>
        <w:ind w:left="2160"/>
        <w:rPr>
          <w:sz w:val="20"/>
        </w:rPr>
      </w:pPr>
      <w:r w:rsidRPr="0015381B">
        <w:rPr>
          <w:sz w:val="20"/>
        </w:rPr>
        <w:t>Please note, there is no expectation that the two items in the table should add to 100%</w:t>
      </w:r>
      <w:r>
        <w:rPr>
          <w:sz w:val="20"/>
        </w:rPr>
        <w:t xml:space="preserve"> as</w:t>
      </w:r>
      <w:r w:rsidRPr="0015381B">
        <w:rPr>
          <w:sz w:val="20"/>
        </w:rPr>
        <w:t xml:space="preserve"> household</w:t>
      </w:r>
      <w:r>
        <w:rPr>
          <w:sz w:val="20"/>
        </w:rPr>
        <w:t>s</w:t>
      </w:r>
      <w:r w:rsidRPr="0015381B">
        <w:rPr>
          <w:sz w:val="20"/>
        </w:rPr>
        <w:t xml:space="preserve"> can appear in both columns. </w:t>
      </w:r>
    </w:p>
    <w:p w14:paraId="1EBAE850" w14:textId="77777777" w:rsidR="009F2E43" w:rsidRPr="0015381B" w:rsidRDefault="009F2E43" w:rsidP="009F2E43">
      <w:pPr>
        <w:ind w:left="2160"/>
        <w:rPr>
          <w:sz w:val="20"/>
        </w:rPr>
      </w:pPr>
      <w:r>
        <w:rPr>
          <w:sz w:val="20"/>
        </w:rPr>
        <w:t>Please also note that the “Instalment” data provided by suppliers in 2007 was in response to a slightly different data request. The 2007 “Instalment” data is therefore not directly comparable with 2014.</w:t>
      </w:r>
    </w:p>
    <w:p w14:paraId="21705D3D" w14:textId="77777777" w:rsidR="002E6BE5" w:rsidRPr="003835AE" w:rsidRDefault="002E6BE5" w:rsidP="00D109F7">
      <w:pPr>
        <w:pStyle w:val="Para"/>
        <w:rPr>
          <w:highlight w:val="yellow"/>
          <w:lang w:val="en-AU"/>
        </w:rPr>
      </w:pPr>
    </w:p>
    <w:p w14:paraId="0130E950" w14:textId="56FB59A3" w:rsidR="004A580A" w:rsidRPr="00724C99" w:rsidRDefault="00325B9D" w:rsidP="00D109F7">
      <w:pPr>
        <w:pStyle w:val="Para"/>
        <w:rPr>
          <w:lang w:val="en-AU"/>
        </w:rPr>
      </w:pPr>
      <w:r w:rsidRPr="00CF34FF">
        <w:rPr>
          <w:lang w:val="en-AU"/>
        </w:rPr>
        <w:t xml:space="preserve">Annual average electricity </w:t>
      </w:r>
      <w:r w:rsidR="00D109F7" w:rsidRPr="00CF34FF">
        <w:rPr>
          <w:lang w:val="en-AU"/>
        </w:rPr>
        <w:t xml:space="preserve">consumption for </w:t>
      </w:r>
      <w:r w:rsidRPr="00CF34FF">
        <w:rPr>
          <w:lang w:val="en-AU"/>
        </w:rPr>
        <w:t xml:space="preserve">2014, </w:t>
      </w:r>
      <w:r w:rsidR="00D109F7" w:rsidRPr="00CF34FF">
        <w:rPr>
          <w:lang w:val="en-AU"/>
        </w:rPr>
        <w:t>2007, 2001 and 1996 is shown in Table</w:t>
      </w:r>
      <w:r w:rsidR="00466111" w:rsidRPr="00CF34FF">
        <w:rPr>
          <w:lang w:val="en-AU"/>
        </w:rPr>
        <w:t>s</w:t>
      </w:r>
      <w:r w:rsidR="00D109F7" w:rsidRPr="00CF34FF">
        <w:rPr>
          <w:lang w:val="en-AU"/>
        </w:rPr>
        <w:t xml:space="preserve"> 4.2.1.</w:t>
      </w:r>
      <w:r w:rsidR="00865284">
        <w:rPr>
          <w:lang w:val="en-AU"/>
        </w:rPr>
        <w:t>3</w:t>
      </w:r>
      <w:r w:rsidR="009B2162" w:rsidRPr="00CF34FF">
        <w:rPr>
          <w:lang w:val="en-AU"/>
        </w:rPr>
        <w:t xml:space="preserve">, </w:t>
      </w:r>
      <w:r w:rsidR="00466111" w:rsidRPr="00CF34FF">
        <w:rPr>
          <w:lang w:val="en-AU"/>
        </w:rPr>
        <w:t>4.2.1.</w:t>
      </w:r>
      <w:r w:rsidR="00865284">
        <w:rPr>
          <w:lang w:val="en-AU"/>
        </w:rPr>
        <w:t>4</w:t>
      </w:r>
      <w:r w:rsidR="009B2162" w:rsidRPr="00CF34FF">
        <w:rPr>
          <w:lang w:val="en-AU"/>
        </w:rPr>
        <w:t xml:space="preserve"> and 4.2.1.</w:t>
      </w:r>
      <w:r w:rsidR="00865284">
        <w:rPr>
          <w:lang w:val="en-AU"/>
        </w:rPr>
        <w:t>5</w:t>
      </w:r>
      <w:r w:rsidR="00466111" w:rsidRPr="00CF34FF">
        <w:rPr>
          <w:b/>
          <w:lang w:val="en-AU"/>
        </w:rPr>
        <w:t xml:space="preserve"> </w:t>
      </w:r>
      <w:r w:rsidR="00D109F7" w:rsidRPr="00CF34FF">
        <w:rPr>
          <w:lang w:val="en-AU"/>
        </w:rPr>
        <w:t>o</w:t>
      </w:r>
      <w:r w:rsidR="00427077" w:rsidRPr="00CF34FF">
        <w:rPr>
          <w:lang w:val="en-AU"/>
        </w:rPr>
        <w:t>n the following pages</w:t>
      </w:r>
      <w:r w:rsidR="00D109F7" w:rsidRPr="00CF34FF">
        <w:rPr>
          <w:lang w:val="en-AU"/>
        </w:rPr>
        <w:t xml:space="preserve">.  Average annual </w:t>
      </w:r>
      <w:r w:rsidR="0052701F" w:rsidRPr="00CF34FF">
        <w:rPr>
          <w:i/>
          <w:lang w:val="en-AU"/>
        </w:rPr>
        <w:t>total</w:t>
      </w:r>
      <w:r w:rsidR="00D109F7" w:rsidRPr="00CF34FF">
        <w:rPr>
          <w:lang w:val="en-AU"/>
        </w:rPr>
        <w:t xml:space="preserve"> electricity consumption </w:t>
      </w:r>
      <w:r w:rsidR="0079681A" w:rsidRPr="00CF34FF">
        <w:rPr>
          <w:lang w:val="en-AU"/>
        </w:rPr>
        <w:t xml:space="preserve">per household </w:t>
      </w:r>
      <w:r w:rsidR="00D109F7" w:rsidRPr="00CF34FF">
        <w:rPr>
          <w:lang w:val="en-AU"/>
        </w:rPr>
        <w:t xml:space="preserve">has </w:t>
      </w:r>
      <w:r w:rsidR="00466111" w:rsidRPr="00CF34FF">
        <w:rPr>
          <w:lang w:val="en-AU"/>
        </w:rPr>
        <w:t xml:space="preserve">decreased by </w:t>
      </w:r>
      <w:r w:rsidR="00CF34FF" w:rsidRPr="00CF34FF">
        <w:rPr>
          <w:lang w:val="en-AU"/>
        </w:rPr>
        <w:t>19.6</w:t>
      </w:r>
      <w:r w:rsidR="00466111" w:rsidRPr="00CF34FF">
        <w:rPr>
          <w:lang w:val="en-AU"/>
        </w:rPr>
        <w:t>% over the seven years between 2014 and 2007, compared with increases of 6.6%</w:t>
      </w:r>
      <w:r w:rsidR="00D109F7" w:rsidRPr="00CF34FF">
        <w:rPr>
          <w:lang w:val="en-AU"/>
        </w:rPr>
        <w:t xml:space="preserve"> between 200</w:t>
      </w:r>
      <w:r w:rsidR="00DB0DAC" w:rsidRPr="00CF34FF">
        <w:rPr>
          <w:lang w:val="en-AU"/>
        </w:rPr>
        <w:t>7</w:t>
      </w:r>
      <w:r w:rsidR="00D109F7" w:rsidRPr="00CF34FF">
        <w:rPr>
          <w:lang w:val="en-AU"/>
        </w:rPr>
        <w:t xml:space="preserve"> and 2001, </w:t>
      </w:r>
      <w:r w:rsidR="00466111" w:rsidRPr="00CF34FF">
        <w:rPr>
          <w:lang w:val="en-AU"/>
        </w:rPr>
        <w:t>and 14.</w:t>
      </w:r>
      <w:r w:rsidR="00CF34FF" w:rsidRPr="00CF34FF">
        <w:rPr>
          <w:lang w:val="en-AU"/>
        </w:rPr>
        <w:t>6</w:t>
      </w:r>
      <w:r w:rsidR="00466111" w:rsidRPr="00CF34FF">
        <w:rPr>
          <w:lang w:val="en-AU"/>
        </w:rPr>
        <w:t>%</w:t>
      </w:r>
      <w:r w:rsidR="00D109F7" w:rsidRPr="00CF34FF">
        <w:rPr>
          <w:lang w:val="en-AU"/>
        </w:rPr>
        <w:t xml:space="preserve"> between 2001 and 1996. </w:t>
      </w:r>
      <w:r w:rsidR="004A580A" w:rsidRPr="00CF34FF">
        <w:rPr>
          <w:lang w:val="en-AU"/>
        </w:rPr>
        <w:t xml:space="preserve"> </w:t>
      </w:r>
      <w:r w:rsidR="00724C99">
        <w:rPr>
          <w:lang w:val="en-AU"/>
        </w:rPr>
        <w:t xml:space="preserve">Average electricity consumption declined across all sub groups, though only marginally (-1.5%) among public </w:t>
      </w:r>
      <w:r w:rsidR="00724C99" w:rsidRPr="00724C99">
        <w:rPr>
          <w:lang w:val="en-AU"/>
        </w:rPr>
        <w:t>renters.</w:t>
      </w:r>
      <w:r w:rsidR="004A580A" w:rsidRPr="00724C99">
        <w:rPr>
          <w:lang w:val="en-AU"/>
        </w:rPr>
        <w:t xml:space="preserve">  Average consumption decreased more among Melbourne households (-</w:t>
      </w:r>
      <w:r w:rsidR="00724C99" w:rsidRPr="00724C99">
        <w:rPr>
          <w:lang w:val="en-AU"/>
        </w:rPr>
        <w:t>21.9</w:t>
      </w:r>
      <w:r w:rsidR="004A580A" w:rsidRPr="00724C99">
        <w:rPr>
          <w:lang w:val="en-AU"/>
        </w:rPr>
        <w:t>%) than among households in country Victoria (-</w:t>
      </w:r>
      <w:r w:rsidR="00724C99" w:rsidRPr="00724C99">
        <w:rPr>
          <w:lang w:val="en-AU"/>
        </w:rPr>
        <w:t>13.2</w:t>
      </w:r>
      <w:r w:rsidR="004A580A" w:rsidRPr="00724C99">
        <w:rPr>
          <w:lang w:val="en-AU"/>
        </w:rPr>
        <w:t>%)</w:t>
      </w:r>
      <w:r w:rsidR="0079681A" w:rsidRPr="00724C99">
        <w:rPr>
          <w:lang w:val="en-AU"/>
        </w:rPr>
        <w:t>.</w:t>
      </w:r>
    </w:p>
    <w:p w14:paraId="4C7343EE" w14:textId="77777777" w:rsidR="004A580A" w:rsidRPr="003835AE" w:rsidRDefault="004A580A" w:rsidP="00D109F7">
      <w:pPr>
        <w:pStyle w:val="Para"/>
        <w:rPr>
          <w:highlight w:val="yellow"/>
          <w:lang w:val="en-AU"/>
        </w:rPr>
      </w:pPr>
    </w:p>
    <w:p w14:paraId="7D01DF32" w14:textId="77777777" w:rsidR="00DA7FBB" w:rsidRDefault="00D109F7" w:rsidP="00DA7FBB">
      <w:pPr>
        <w:pStyle w:val="Para"/>
        <w:rPr>
          <w:lang w:val="en-AU"/>
        </w:rPr>
      </w:pPr>
      <w:r w:rsidRPr="00820FBA">
        <w:rPr>
          <w:lang w:val="en-AU"/>
        </w:rPr>
        <w:t>On average, households in 20</w:t>
      </w:r>
      <w:r w:rsidR="00466111" w:rsidRPr="00820FBA">
        <w:rPr>
          <w:lang w:val="en-AU"/>
        </w:rPr>
        <w:t>14 consume</w:t>
      </w:r>
      <w:r w:rsidR="004A580A" w:rsidRPr="00820FBA">
        <w:rPr>
          <w:lang w:val="en-AU"/>
        </w:rPr>
        <w:t>d</w:t>
      </w:r>
      <w:r w:rsidR="0071293B" w:rsidRPr="00820FBA">
        <w:rPr>
          <w:lang w:val="en-AU"/>
        </w:rPr>
        <w:t xml:space="preserve"> 4,</w:t>
      </w:r>
      <w:r w:rsidR="00820FBA" w:rsidRPr="00820FBA">
        <w:rPr>
          <w:lang w:val="en-AU"/>
        </w:rPr>
        <w:t>447</w:t>
      </w:r>
      <w:r w:rsidR="0071293B" w:rsidRPr="00820FBA">
        <w:rPr>
          <w:lang w:val="en-AU"/>
        </w:rPr>
        <w:t xml:space="preserve"> kWh in total</w:t>
      </w:r>
      <w:r w:rsidR="00466111" w:rsidRPr="00820FBA">
        <w:rPr>
          <w:lang w:val="en-AU"/>
        </w:rPr>
        <w:t xml:space="preserve"> compared with </w:t>
      </w:r>
      <w:r w:rsidRPr="00820FBA">
        <w:rPr>
          <w:lang w:val="en-AU"/>
        </w:rPr>
        <w:t xml:space="preserve">5,533 </w:t>
      </w:r>
      <w:r w:rsidR="00466111" w:rsidRPr="00820FBA">
        <w:rPr>
          <w:lang w:val="en-AU"/>
        </w:rPr>
        <w:t xml:space="preserve">kWh in 2007 and </w:t>
      </w:r>
      <w:r w:rsidRPr="00820FBA">
        <w:rPr>
          <w:lang w:val="en-AU"/>
        </w:rPr>
        <w:t>5,190 kW</w:t>
      </w:r>
      <w:r w:rsidR="00CD1CEA" w:rsidRPr="00820FBA">
        <w:rPr>
          <w:lang w:val="en-AU"/>
        </w:rPr>
        <w:t>h</w:t>
      </w:r>
      <w:r w:rsidRPr="00820FBA">
        <w:rPr>
          <w:lang w:val="en-AU"/>
        </w:rPr>
        <w:t xml:space="preserve"> in 2001.  </w:t>
      </w:r>
      <w:r w:rsidR="004A580A" w:rsidRPr="00820FBA">
        <w:rPr>
          <w:lang w:val="en-AU"/>
        </w:rPr>
        <w:t>In 2014, h</w:t>
      </w:r>
      <w:r w:rsidR="00466111" w:rsidRPr="00820FBA">
        <w:rPr>
          <w:lang w:val="en-AU"/>
        </w:rPr>
        <w:t>ouseholds in Melbourne, on average, consumed less electricity than those in country Victoria (4,</w:t>
      </w:r>
      <w:r w:rsidR="00820FBA" w:rsidRPr="00820FBA">
        <w:rPr>
          <w:lang w:val="en-AU"/>
        </w:rPr>
        <w:t>308</w:t>
      </w:r>
      <w:r w:rsidR="00466111" w:rsidRPr="00820FBA">
        <w:rPr>
          <w:lang w:val="en-AU"/>
        </w:rPr>
        <w:t xml:space="preserve"> kWh and 4,</w:t>
      </w:r>
      <w:r w:rsidR="00820FBA" w:rsidRPr="00820FBA">
        <w:rPr>
          <w:lang w:val="en-AU"/>
        </w:rPr>
        <w:t>838</w:t>
      </w:r>
      <w:r w:rsidR="00466111" w:rsidRPr="00820FBA">
        <w:rPr>
          <w:lang w:val="en-AU"/>
        </w:rPr>
        <w:t xml:space="preserve"> kWh</w:t>
      </w:r>
      <w:r w:rsidR="009E04CB" w:rsidRPr="00820FBA">
        <w:rPr>
          <w:lang w:val="en-AU"/>
        </w:rPr>
        <w:t>)</w:t>
      </w:r>
      <w:r w:rsidR="00466111" w:rsidRPr="00820FBA">
        <w:rPr>
          <w:lang w:val="en-AU"/>
        </w:rPr>
        <w:t xml:space="preserve"> respectively.  Non-concession households (</w:t>
      </w:r>
      <w:r w:rsidR="00820FBA" w:rsidRPr="00820FBA">
        <w:rPr>
          <w:lang w:val="en-AU"/>
        </w:rPr>
        <w:t>4,685</w:t>
      </w:r>
      <w:r w:rsidR="00466111" w:rsidRPr="00820FBA">
        <w:rPr>
          <w:lang w:val="en-AU"/>
        </w:rPr>
        <w:t xml:space="preserve"> kWh) used more electricity than aged concession (</w:t>
      </w:r>
      <w:r w:rsidR="00820FBA" w:rsidRPr="00820FBA">
        <w:rPr>
          <w:lang w:val="en-AU"/>
        </w:rPr>
        <w:t>3,790</w:t>
      </w:r>
      <w:r w:rsidR="00466111" w:rsidRPr="00820FBA">
        <w:rPr>
          <w:lang w:val="en-AU"/>
        </w:rPr>
        <w:t xml:space="preserve"> kWh) and other concession (4,</w:t>
      </w:r>
      <w:r w:rsidR="00820FBA" w:rsidRPr="00820FBA">
        <w:rPr>
          <w:lang w:val="en-AU"/>
        </w:rPr>
        <w:t>544</w:t>
      </w:r>
      <w:r w:rsidR="00466111" w:rsidRPr="00820FBA">
        <w:rPr>
          <w:lang w:val="en-AU"/>
        </w:rPr>
        <w:t xml:space="preserve"> kWh) households.  Not surprisingly, average electricity consumption increased with household size, from </w:t>
      </w:r>
      <w:r w:rsidR="00820FBA" w:rsidRPr="00820FBA">
        <w:rPr>
          <w:lang w:val="en-AU"/>
        </w:rPr>
        <w:t>2,963</w:t>
      </w:r>
      <w:r w:rsidR="00466111" w:rsidRPr="00820FBA">
        <w:rPr>
          <w:lang w:val="en-AU"/>
        </w:rPr>
        <w:t xml:space="preserve"> kWh for 1 person households to 5,</w:t>
      </w:r>
      <w:r w:rsidR="00820FBA" w:rsidRPr="00820FBA">
        <w:rPr>
          <w:lang w:val="en-AU"/>
        </w:rPr>
        <w:t>810</w:t>
      </w:r>
      <w:r w:rsidR="00466111" w:rsidRPr="00820FBA">
        <w:rPr>
          <w:lang w:val="en-AU"/>
        </w:rPr>
        <w:t xml:space="preserve"> kWh for households of four persons or more. </w:t>
      </w:r>
      <w:r w:rsidR="00DA7FBB">
        <w:rPr>
          <w:lang w:val="en-AU"/>
        </w:rPr>
        <w:t xml:space="preserve"> Table 4.2.1.2 below shows average annual electricity consumption (kWh) by concession status and household size, and indicates that average e</w:t>
      </w:r>
      <w:r w:rsidR="004C1370">
        <w:rPr>
          <w:lang w:val="en-AU"/>
        </w:rPr>
        <w:t>lectricity</w:t>
      </w:r>
      <w:r w:rsidR="00DA7FBB">
        <w:rPr>
          <w:lang w:val="en-AU"/>
        </w:rPr>
        <w:t xml:space="preserve"> usage increased with household size, regardless of concession status</w:t>
      </w:r>
      <w:r w:rsidR="00454C4D">
        <w:rPr>
          <w:lang w:val="en-AU"/>
        </w:rPr>
        <w:t xml:space="preserve">.  The difference in electricity consumption, on average, between single person households and households with four or more persons was however greater among aged concession households (121%) than among non-concession (99%) or other concession (90%) households </w:t>
      </w:r>
    </w:p>
    <w:p w14:paraId="4BDC6F62" w14:textId="77777777" w:rsidR="00DA7FBB" w:rsidRDefault="00DA7FBB" w:rsidP="00D109F7">
      <w:pPr>
        <w:pStyle w:val="Para"/>
        <w:rPr>
          <w:lang w:val="en-AU"/>
        </w:rPr>
      </w:pPr>
    </w:p>
    <w:p w14:paraId="0B1DC90D" w14:textId="77777777" w:rsidR="00877FC7" w:rsidRDefault="00877FC7">
      <w:pPr>
        <w:spacing w:before="0" w:after="0"/>
        <w:rPr>
          <w:b/>
          <w:szCs w:val="24"/>
          <w:lang w:val="en-AU"/>
        </w:rPr>
      </w:pPr>
      <w:r>
        <w:rPr>
          <w:b/>
          <w:szCs w:val="24"/>
          <w:lang w:val="en-AU"/>
        </w:rPr>
        <w:br w:type="page"/>
      </w:r>
    </w:p>
    <w:p w14:paraId="62A9E3EE" w14:textId="49EFAF1D" w:rsidR="00DA7FBB" w:rsidRDefault="00DA7FBB" w:rsidP="00162EF6">
      <w:pPr>
        <w:pStyle w:val="Para"/>
        <w:jc w:val="center"/>
        <w:rPr>
          <w:b/>
          <w:szCs w:val="24"/>
          <w:lang w:val="en-AU"/>
        </w:rPr>
      </w:pPr>
      <w:r w:rsidRPr="00DA7FBB">
        <w:rPr>
          <w:b/>
          <w:szCs w:val="24"/>
          <w:lang w:val="en-AU"/>
        </w:rPr>
        <w:lastRenderedPageBreak/>
        <w:t>Table 4.2.1.2: Average annual electricity consumption (kWh) by concession status and household size</w:t>
      </w:r>
    </w:p>
    <w:p w14:paraId="2A9A1FCB" w14:textId="77777777" w:rsidR="00DA7FBB" w:rsidRDefault="00DA7FBB" w:rsidP="00162EF6">
      <w:pPr>
        <w:pStyle w:val="Para"/>
        <w:jc w:val="center"/>
        <w:rPr>
          <w:lang w:val="en-AU"/>
        </w:rPr>
      </w:pPr>
    </w:p>
    <w:tbl>
      <w:tblPr>
        <w:tblW w:w="9400" w:type="dxa"/>
        <w:jc w:val="center"/>
        <w:tblLook w:val="04A0" w:firstRow="1" w:lastRow="0" w:firstColumn="1" w:lastColumn="0" w:noHBand="0" w:noVBand="1"/>
      </w:tblPr>
      <w:tblGrid>
        <w:gridCol w:w="2340"/>
        <w:gridCol w:w="1300"/>
        <w:gridCol w:w="1440"/>
        <w:gridCol w:w="1500"/>
        <w:gridCol w:w="1500"/>
        <w:gridCol w:w="1320"/>
      </w:tblGrid>
      <w:tr w:rsidR="00DA7FBB" w:rsidRPr="00782F8A" w14:paraId="7A26DED9" w14:textId="77777777" w:rsidTr="00162EF6">
        <w:trPr>
          <w:trHeight w:val="315"/>
          <w:jc w:val="center"/>
        </w:trPr>
        <w:tc>
          <w:tcPr>
            <w:tcW w:w="2340" w:type="dxa"/>
            <w:tcBorders>
              <w:top w:val="double" w:sz="4" w:space="0" w:color="auto"/>
              <w:left w:val="double" w:sz="4" w:space="0" w:color="auto"/>
              <w:bottom w:val="single" w:sz="8" w:space="0" w:color="auto"/>
              <w:right w:val="single" w:sz="8" w:space="0" w:color="auto"/>
            </w:tcBorders>
            <w:shd w:val="clear" w:color="auto" w:fill="auto"/>
            <w:noWrap/>
            <w:vAlign w:val="center"/>
            <w:hideMark/>
          </w:tcPr>
          <w:p w14:paraId="75C26BA9" w14:textId="79C0D564" w:rsidR="00DA7FBB" w:rsidRPr="00162EF6" w:rsidRDefault="00DA7FBB" w:rsidP="00162EF6">
            <w:pPr>
              <w:jc w:val="center"/>
              <w:rPr>
                <w:rFonts w:ascii="Arial" w:hAnsi="Arial" w:cs="Arial"/>
                <w:color w:val="000000"/>
                <w:sz w:val="16"/>
                <w:szCs w:val="16"/>
              </w:rPr>
            </w:pPr>
          </w:p>
        </w:tc>
        <w:tc>
          <w:tcPr>
            <w:tcW w:w="7060" w:type="dxa"/>
            <w:gridSpan w:val="5"/>
            <w:tcBorders>
              <w:top w:val="double" w:sz="4" w:space="0" w:color="auto"/>
              <w:left w:val="nil"/>
              <w:bottom w:val="single" w:sz="8" w:space="0" w:color="auto"/>
              <w:right w:val="double" w:sz="4" w:space="0" w:color="auto"/>
            </w:tcBorders>
            <w:shd w:val="clear" w:color="auto" w:fill="auto"/>
            <w:noWrap/>
            <w:vAlign w:val="center"/>
            <w:hideMark/>
          </w:tcPr>
          <w:p w14:paraId="3EA92616" w14:textId="77777777" w:rsidR="00DA7FBB" w:rsidRPr="00162EF6" w:rsidRDefault="00DA7FBB" w:rsidP="00782F8A">
            <w:pPr>
              <w:jc w:val="center"/>
              <w:rPr>
                <w:rFonts w:ascii="Arial" w:hAnsi="Arial" w:cs="Arial"/>
                <w:b/>
                <w:bCs/>
                <w:color w:val="000000"/>
                <w:sz w:val="16"/>
                <w:szCs w:val="16"/>
              </w:rPr>
            </w:pPr>
            <w:r w:rsidRPr="00162EF6">
              <w:rPr>
                <w:rFonts w:ascii="Arial" w:hAnsi="Arial" w:cs="Arial"/>
                <w:b/>
                <w:bCs/>
                <w:color w:val="000000"/>
                <w:sz w:val="16"/>
                <w:szCs w:val="16"/>
              </w:rPr>
              <w:t>Household size</w:t>
            </w:r>
          </w:p>
        </w:tc>
      </w:tr>
      <w:tr w:rsidR="00DA7FBB" w:rsidRPr="00782F8A" w14:paraId="6BDB98B6" w14:textId="77777777" w:rsidTr="00162EF6">
        <w:trPr>
          <w:trHeight w:val="315"/>
          <w:jc w:val="center"/>
        </w:trPr>
        <w:tc>
          <w:tcPr>
            <w:tcW w:w="2340" w:type="dxa"/>
            <w:tcBorders>
              <w:top w:val="nil"/>
              <w:left w:val="double" w:sz="4" w:space="0" w:color="auto"/>
              <w:bottom w:val="single" w:sz="8" w:space="0" w:color="auto"/>
              <w:right w:val="single" w:sz="8" w:space="0" w:color="auto"/>
            </w:tcBorders>
            <w:shd w:val="clear" w:color="auto" w:fill="auto"/>
            <w:noWrap/>
            <w:vAlign w:val="center"/>
            <w:hideMark/>
          </w:tcPr>
          <w:p w14:paraId="40402843" w14:textId="77777777" w:rsidR="00DA7FBB" w:rsidRPr="00162EF6" w:rsidRDefault="00DA7FBB" w:rsidP="00162EF6">
            <w:pPr>
              <w:jc w:val="center"/>
              <w:rPr>
                <w:rFonts w:ascii="Arial" w:hAnsi="Arial" w:cs="Arial"/>
                <w:b/>
                <w:bCs/>
                <w:color w:val="000000"/>
                <w:sz w:val="16"/>
                <w:szCs w:val="16"/>
              </w:rPr>
            </w:pPr>
            <w:r w:rsidRPr="00162EF6">
              <w:rPr>
                <w:rFonts w:ascii="Arial" w:hAnsi="Arial" w:cs="Arial"/>
                <w:b/>
                <w:bCs/>
                <w:color w:val="000000"/>
                <w:sz w:val="16"/>
                <w:szCs w:val="16"/>
              </w:rPr>
              <w:t>Concession Status</w:t>
            </w:r>
          </w:p>
        </w:tc>
        <w:tc>
          <w:tcPr>
            <w:tcW w:w="1300" w:type="dxa"/>
            <w:tcBorders>
              <w:top w:val="nil"/>
              <w:left w:val="nil"/>
              <w:bottom w:val="single" w:sz="8" w:space="0" w:color="auto"/>
              <w:right w:val="single" w:sz="8" w:space="0" w:color="auto"/>
            </w:tcBorders>
            <w:shd w:val="clear" w:color="auto" w:fill="auto"/>
            <w:vAlign w:val="center"/>
            <w:hideMark/>
          </w:tcPr>
          <w:p w14:paraId="78556EE0"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1 person HH</w:t>
            </w:r>
          </w:p>
        </w:tc>
        <w:tc>
          <w:tcPr>
            <w:tcW w:w="1440" w:type="dxa"/>
            <w:tcBorders>
              <w:top w:val="nil"/>
              <w:left w:val="nil"/>
              <w:bottom w:val="single" w:sz="8" w:space="0" w:color="auto"/>
              <w:right w:val="single" w:sz="8" w:space="0" w:color="auto"/>
            </w:tcBorders>
            <w:shd w:val="clear" w:color="auto" w:fill="auto"/>
            <w:vAlign w:val="center"/>
            <w:hideMark/>
          </w:tcPr>
          <w:p w14:paraId="008B6DBB"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2 person HH</w:t>
            </w:r>
          </w:p>
        </w:tc>
        <w:tc>
          <w:tcPr>
            <w:tcW w:w="1500" w:type="dxa"/>
            <w:tcBorders>
              <w:top w:val="nil"/>
              <w:left w:val="nil"/>
              <w:bottom w:val="single" w:sz="8" w:space="0" w:color="auto"/>
              <w:right w:val="single" w:sz="8" w:space="0" w:color="auto"/>
            </w:tcBorders>
            <w:shd w:val="clear" w:color="auto" w:fill="auto"/>
            <w:vAlign w:val="center"/>
            <w:hideMark/>
          </w:tcPr>
          <w:p w14:paraId="7FFD5733"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3 person HH</w:t>
            </w:r>
          </w:p>
        </w:tc>
        <w:tc>
          <w:tcPr>
            <w:tcW w:w="1500" w:type="dxa"/>
            <w:tcBorders>
              <w:top w:val="nil"/>
              <w:left w:val="nil"/>
              <w:bottom w:val="single" w:sz="8" w:space="0" w:color="auto"/>
              <w:right w:val="single" w:sz="8" w:space="0" w:color="auto"/>
            </w:tcBorders>
            <w:shd w:val="clear" w:color="auto" w:fill="auto"/>
            <w:vAlign w:val="center"/>
            <w:hideMark/>
          </w:tcPr>
          <w:p w14:paraId="35074F8B"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4+ person HH</w:t>
            </w:r>
          </w:p>
        </w:tc>
        <w:tc>
          <w:tcPr>
            <w:tcW w:w="1320" w:type="dxa"/>
            <w:tcBorders>
              <w:top w:val="nil"/>
              <w:left w:val="nil"/>
              <w:bottom w:val="single" w:sz="8" w:space="0" w:color="auto"/>
              <w:right w:val="double" w:sz="4" w:space="0" w:color="auto"/>
            </w:tcBorders>
            <w:shd w:val="clear" w:color="auto" w:fill="auto"/>
            <w:vAlign w:val="center"/>
            <w:hideMark/>
          </w:tcPr>
          <w:p w14:paraId="74834ADB"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Total HHs</w:t>
            </w:r>
          </w:p>
        </w:tc>
      </w:tr>
      <w:tr w:rsidR="00DA7FBB" w:rsidRPr="00782F8A" w14:paraId="01640362" w14:textId="77777777" w:rsidTr="00162EF6">
        <w:trPr>
          <w:trHeight w:val="315"/>
          <w:jc w:val="center"/>
        </w:trPr>
        <w:tc>
          <w:tcPr>
            <w:tcW w:w="2340" w:type="dxa"/>
            <w:tcBorders>
              <w:top w:val="nil"/>
              <w:left w:val="double" w:sz="4" w:space="0" w:color="auto"/>
              <w:bottom w:val="single" w:sz="8" w:space="0" w:color="auto"/>
              <w:right w:val="single" w:sz="8" w:space="0" w:color="auto"/>
            </w:tcBorders>
            <w:shd w:val="clear" w:color="auto" w:fill="auto"/>
            <w:noWrap/>
            <w:vAlign w:val="center"/>
            <w:hideMark/>
          </w:tcPr>
          <w:p w14:paraId="627E6059" w14:textId="77777777" w:rsidR="00DA7FBB" w:rsidRPr="00162EF6" w:rsidRDefault="00DA7FBB" w:rsidP="00162EF6">
            <w:pPr>
              <w:jc w:val="center"/>
              <w:rPr>
                <w:rFonts w:ascii="Arial" w:hAnsi="Arial" w:cs="Arial"/>
                <w:color w:val="000000"/>
                <w:sz w:val="16"/>
                <w:szCs w:val="16"/>
              </w:rPr>
            </w:pPr>
            <w:r w:rsidRPr="00162EF6">
              <w:rPr>
                <w:rFonts w:ascii="Arial" w:hAnsi="Arial" w:cs="Arial"/>
                <w:color w:val="000000"/>
                <w:sz w:val="16"/>
                <w:szCs w:val="16"/>
              </w:rPr>
              <w:t>Aged Concession HH</w:t>
            </w:r>
          </w:p>
        </w:tc>
        <w:tc>
          <w:tcPr>
            <w:tcW w:w="1300" w:type="dxa"/>
            <w:tcBorders>
              <w:top w:val="nil"/>
              <w:left w:val="nil"/>
              <w:bottom w:val="single" w:sz="8" w:space="0" w:color="auto"/>
              <w:right w:val="single" w:sz="8" w:space="0" w:color="auto"/>
            </w:tcBorders>
            <w:shd w:val="clear" w:color="auto" w:fill="auto"/>
            <w:noWrap/>
            <w:vAlign w:val="center"/>
            <w:hideMark/>
          </w:tcPr>
          <w:p w14:paraId="25431545"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2</w:t>
            </w:r>
            <w:r w:rsidR="004C1370" w:rsidRPr="00162EF6">
              <w:rPr>
                <w:rFonts w:ascii="Arial" w:hAnsi="Arial" w:cs="Arial"/>
                <w:color w:val="000000"/>
                <w:sz w:val="16"/>
                <w:szCs w:val="16"/>
              </w:rPr>
              <w:t>,</w:t>
            </w:r>
            <w:r w:rsidRPr="00162EF6">
              <w:rPr>
                <w:rFonts w:ascii="Arial" w:hAnsi="Arial" w:cs="Arial"/>
                <w:color w:val="000000"/>
                <w:sz w:val="16"/>
                <w:szCs w:val="16"/>
              </w:rPr>
              <w:t>878</w:t>
            </w:r>
          </w:p>
        </w:tc>
        <w:tc>
          <w:tcPr>
            <w:tcW w:w="1440" w:type="dxa"/>
            <w:tcBorders>
              <w:top w:val="nil"/>
              <w:left w:val="nil"/>
              <w:bottom w:val="single" w:sz="8" w:space="0" w:color="auto"/>
              <w:right w:val="single" w:sz="8" w:space="0" w:color="auto"/>
            </w:tcBorders>
            <w:shd w:val="clear" w:color="auto" w:fill="auto"/>
            <w:noWrap/>
            <w:vAlign w:val="center"/>
            <w:hideMark/>
          </w:tcPr>
          <w:p w14:paraId="1993B0DD"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4</w:t>
            </w:r>
            <w:r w:rsidR="004C1370" w:rsidRPr="00162EF6">
              <w:rPr>
                <w:rFonts w:ascii="Arial" w:hAnsi="Arial" w:cs="Arial"/>
                <w:color w:val="000000"/>
                <w:sz w:val="16"/>
                <w:szCs w:val="16"/>
              </w:rPr>
              <w:t>,</w:t>
            </w:r>
            <w:r w:rsidRPr="00162EF6">
              <w:rPr>
                <w:rFonts w:ascii="Arial" w:hAnsi="Arial" w:cs="Arial"/>
                <w:color w:val="000000"/>
                <w:sz w:val="16"/>
                <w:szCs w:val="16"/>
              </w:rPr>
              <w:t>196</w:t>
            </w:r>
          </w:p>
        </w:tc>
        <w:tc>
          <w:tcPr>
            <w:tcW w:w="1500" w:type="dxa"/>
            <w:tcBorders>
              <w:top w:val="nil"/>
              <w:left w:val="nil"/>
              <w:bottom w:val="single" w:sz="8" w:space="0" w:color="auto"/>
              <w:right w:val="single" w:sz="8" w:space="0" w:color="auto"/>
            </w:tcBorders>
            <w:shd w:val="clear" w:color="auto" w:fill="auto"/>
            <w:noWrap/>
            <w:vAlign w:val="center"/>
            <w:hideMark/>
          </w:tcPr>
          <w:p w14:paraId="51F4DBFC"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4</w:t>
            </w:r>
            <w:r w:rsidR="004C1370" w:rsidRPr="00162EF6">
              <w:rPr>
                <w:rFonts w:ascii="Arial" w:hAnsi="Arial" w:cs="Arial"/>
                <w:color w:val="000000"/>
                <w:sz w:val="16"/>
                <w:szCs w:val="16"/>
              </w:rPr>
              <w:t>,</w:t>
            </w:r>
            <w:r w:rsidRPr="00162EF6">
              <w:rPr>
                <w:rFonts w:ascii="Arial" w:hAnsi="Arial" w:cs="Arial"/>
                <w:color w:val="000000"/>
                <w:sz w:val="16"/>
                <w:szCs w:val="16"/>
              </w:rPr>
              <w:t>371</w:t>
            </w:r>
          </w:p>
        </w:tc>
        <w:tc>
          <w:tcPr>
            <w:tcW w:w="1500" w:type="dxa"/>
            <w:tcBorders>
              <w:top w:val="nil"/>
              <w:left w:val="nil"/>
              <w:bottom w:val="single" w:sz="8" w:space="0" w:color="auto"/>
              <w:right w:val="single" w:sz="8" w:space="0" w:color="auto"/>
            </w:tcBorders>
            <w:shd w:val="clear" w:color="auto" w:fill="auto"/>
            <w:noWrap/>
            <w:vAlign w:val="center"/>
            <w:hideMark/>
          </w:tcPr>
          <w:p w14:paraId="39A83A40"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6</w:t>
            </w:r>
            <w:r w:rsidR="004C1370" w:rsidRPr="00162EF6">
              <w:rPr>
                <w:rFonts w:ascii="Arial" w:hAnsi="Arial" w:cs="Arial"/>
                <w:color w:val="000000"/>
                <w:sz w:val="16"/>
                <w:szCs w:val="16"/>
              </w:rPr>
              <w:t>,</w:t>
            </w:r>
            <w:r w:rsidRPr="00162EF6">
              <w:rPr>
                <w:rFonts w:ascii="Arial" w:hAnsi="Arial" w:cs="Arial"/>
                <w:color w:val="000000"/>
                <w:sz w:val="16"/>
                <w:szCs w:val="16"/>
              </w:rPr>
              <w:t>355</w:t>
            </w:r>
          </w:p>
        </w:tc>
        <w:tc>
          <w:tcPr>
            <w:tcW w:w="1320" w:type="dxa"/>
            <w:tcBorders>
              <w:top w:val="nil"/>
              <w:left w:val="nil"/>
              <w:bottom w:val="single" w:sz="8" w:space="0" w:color="auto"/>
              <w:right w:val="double" w:sz="4" w:space="0" w:color="auto"/>
            </w:tcBorders>
            <w:shd w:val="clear" w:color="auto" w:fill="auto"/>
            <w:noWrap/>
            <w:vAlign w:val="center"/>
            <w:hideMark/>
          </w:tcPr>
          <w:p w14:paraId="05CF6BB7"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3</w:t>
            </w:r>
            <w:r w:rsidR="004C1370" w:rsidRPr="00162EF6">
              <w:rPr>
                <w:rFonts w:ascii="Arial" w:hAnsi="Arial" w:cs="Arial"/>
                <w:color w:val="000000"/>
                <w:sz w:val="16"/>
                <w:szCs w:val="16"/>
              </w:rPr>
              <w:t>,</w:t>
            </w:r>
            <w:r w:rsidRPr="00162EF6">
              <w:rPr>
                <w:rFonts w:ascii="Arial" w:hAnsi="Arial" w:cs="Arial"/>
                <w:color w:val="000000"/>
                <w:sz w:val="16"/>
                <w:szCs w:val="16"/>
              </w:rPr>
              <w:t>790</w:t>
            </w:r>
          </w:p>
        </w:tc>
      </w:tr>
      <w:tr w:rsidR="00DA7FBB" w:rsidRPr="00782F8A" w14:paraId="53B01BCB" w14:textId="77777777" w:rsidTr="00162EF6">
        <w:trPr>
          <w:trHeight w:val="315"/>
          <w:jc w:val="center"/>
        </w:trPr>
        <w:tc>
          <w:tcPr>
            <w:tcW w:w="2340" w:type="dxa"/>
            <w:tcBorders>
              <w:top w:val="nil"/>
              <w:left w:val="double" w:sz="4" w:space="0" w:color="auto"/>
              <w:bottom w:val="single" w:sz="8" w:space="0" w:color="auto"/>
              <w:right w:val="single" w:sz="8" w:space="0" w:color="auto"/>
            </w:tcBorders>
            <w:shd w:val="clear" w:color="auto" w:fill="auto"/>
            <w:noWrap/>
            <w:vAlign w:val="center"/>
            <w:hideMark/>
          </w:tcPr>
          <w:p w14:paraId="74E2670B" w14:textId="77777777" w:rsidR="00DA7FBB" w:rsidRPr="00162EF6" w:rsidRDefault="00DA7FBB" w:rsidP="00162EF6">
            <w:pPr>
              <w:jc w:val="center"/>
              <w:rPr>
                <w:rFonts w:ascii="Arial" w:hAnsi="Arial" w:cs="Arial"/>
                <w:color w:val="000000"/>
                <w:sz w:val="16"/>
                <w:szCs w:val="16"/>
              </w:rPr>
            </w:pPr>
            <w:r w:rsidRPr="00162EF6">
              <w:rPr>
                <w:rFonts w:ascii="Arial" w:hAnsi="Arial" w:cs="Arial"/>
                <w:color w:val="000000"/>
                <w:sz w:val="16"/>
                <w:szCs w:val="16"/>
              </w:rPr>
              <w:t>Other Concession HH</w:t>
            </w:r>
          </w:p>
        </w:tc>
        <w:tc>
          <w:tcPr>
            <w:tcW w:w="1300" w:type="dxa"/>
            <w:tcBorders>
              <w:top w:val="nil"/>
              <w:left w:val="nil"/>
              <w:bottom w:val="single" w:sz="8" w:space="0" w:color="auto"/>
              <w:right w:val="single" w:sz="8" w:space="0" w:color="auto"/>
            </w:tcBorders>
            <w:shd w:val="clear" w:color="auto" w:fill="auto"/>
            <w:noWrap/>
            <w:vAlign w:val="center"/>
            <w:hideMark/>
          </w:tcPr>
          <w:p w14:paraId="2C9803CA"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3</w:t>
            </w:r>
            <w:r w:rsidR="004C1370" w:rsidRPr="00162EF6">
              <w:rPr>
                <w:rFonts w:ascii="Arial" w:hAnsi="Arial" w:cs="Arial"/>
                <w:color w:val="000000"/>
                <w:sz w:val="16"/>
                <w:szCs w:val="16"/>
              </w:rPr>
              <w:t>,</w:t>
            </w:r>
            <w:r w:rsidRPr="00162EF6">
              <w:rPr>
                <w:rFonts w:ascii="Arial" w:hAnsi="Arial" w:cs="Arial"/>
                <w:color w:val="000000"/>
                <w:sz w:val="16"/>
                <w:szCs w:val="16"/>
              </w:rPr>
              <w:t>193</w:t>
            </w:r>
          </w:p>
        </w:tc>
        <w:tc>
          <w:tcPr>
            <w:tcW w:w="1440" w:type="dxa"/>
            <w:tcBorders>
              <w:top w:val="nil"/>
              <w:left w:val="nil"/>
              <w:bottom w:val="single" w:sz="8" w:space="0" w:color="auto"/>
              <w:right w:val="single" w:sz="8" w:space="0" w:color="auto"/>
            </w:tcBorders>
            <w:shd w:val="clear" w:color="auto" w:fill="auto"/>
            <w:noWrap/>
            <w:vAlign w:val="center"/>
            <w:hideMark/>
          </w:tcPr>
          <w:p w14:paraId="5ED625E3"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4</w:t>
            </w:r>
            <w:r w:rsidR="004C1370" w:rsidRPr="00162EF6">
              <w:rPr>
                <w:rFonts w:ascii="Arial" w:hAnsi="Arial" w:cs="Arial"/>
                <w:color w:val="000000"/>
                <w:sz w:val="16"/>
                <w:szCs w:val="16"/>
              </w:rPr>
              <w:t>,</w:t>
            </w:r>
            <w:r w:rsidRPr="00162EF6">
              <w:rPr>
                <w:rFonts w:ascii="Arial" w:hAnsi="Arial" w:cs="Arial"/>
                <w:color w:val="000000"/>
                <w:sz w:val="16"/>
                <w:szCs w:val="16"/>
              </w:rPr>
              <w:t>434</w:t>
            </w:r>
          </w:p>
        </w:tc>
        <w:tc>
          <w:tcPr>
            <w:tcW w:w="1500" w:type="dxa"/>
            <w:tcBorders>
              <w:top w:val="nil"/>
              <w:left w:val="nil"/>
              <w:bottom w:val="single" w:sz="8" w:space="0" w:color="auto"/>
              <w:right w:val="single" w:sz="8" w:space="0" w:color="auto"/>
            </w:tcBorders>
            <w:shd w:val="clear" w:color="auto" w:fill="auto"/>
            <w:noWrap/>
            <w:vAlign w:val="center"/>
            <w:hideMark/>
          </w:tcPr>
          <w:p w14:paraId="58785692"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4</w:t>
            </w:r>
            <w:r w:rsidR="004C1370" w:rsidRPr="00162EF6">
              <w:rPr>
                <w:rFonts w:ascii="Arial" w:hAnsi="Arial" w:cs="Arial"/>
                <w:color w:val="000000"/>
                <w:sz w:val="16"/>
                <w:szCs w:val="16"/>
              </w:rPr>
              <w:t>,</w:t>
            </w:r>
            <w:r w:rsidRPr="00162EF6">
              <w:rPr>
                <w:rFonts w:ascii="Arial" w:hAnsi="Arial" w:cs="Arial"/>
                <w:color w:val="000000"/>
                <w:sz w:val="16"/>
                <w:szCs w:val="16"/>
              </w:rPr>
              <w:t>850</w:t>
            </w:r>
          </w:p>
        </w:tc>
        <w:tc>
          <w:tcPr>
            <w:tcW w:w="1500" w:type="dxa"/>
            <w:tcBorders>
              <w:top w:val="nil"/>
              <w:left w:val="nil"/>
              <w:bottom w:val="single" w:sz="8" w:space="0" w:color="auto"/>
              <w:right w:val="single" w:sz="8" w:space="0" w:color="auto"/>
            </w:tcBorders>
            <w:shd w:val="clear" w:color="auto" w:fill="auto"/>
            <w:noWrap/>
            <w:vAlign w:val="center"/>
            <w:hideMark/>
          </w:tcPr>
          <w:p w14:paraId="1B9E0877"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6</w:t>
            </w:r>
            <w:r w:rsidR="004C1370" w:rsidRPr="00162EF6">
              <w:rPr>
                <w:rFonts w:ascii="Arial" w:hAnsi="Arial" w:cs="Arial"/>
                <w:color w:val="000000"/>
                <w:sz w:val="16"/>
                <w:szCs w:val="16"/>
              </w:rPr>
              <w:t>,</w:t>
            </w:r>
            <w:r w:rsidRPr="00162EF6">
              <w:rPr>
                <w:rFonts w:ascii="Arial" w:hAnsi="Arial" w:cs="Arial"/>
                <w:color w:val="000000"/>
                <w:sz w:val="16"/>
                <w:szCs w:val="16"/>
              </w:rPr>
              <w:t>070</w:t>
            </w:r>
          </w:p>
        </w:tc>
        <w:tc>
          <w:tcPr>
            <w:tcW w:w="1320" w:type="dxa"/>
            <w:tcBorders>
              <w:top w:val="nil"/>
              <w:left w:val="nil"/>
              <w:bottom w:val="single" w:sz="8" w:space="0" w:color="auto"/>
              <w:right w:val="double" w:sz="4" w:space="0" w:color="auto"/>
            </w:tcBorders>
            <w:shd w:val="clear" w:color="auto" w:fill="auto"/>
            <w:noWrap/>
            <w:vAlign w:val="center"/>
            <w:hideMark/>
          </w:tcPr>
          <w:p w14:paraId="18B78683"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4</w:t>
            </w:r>
            <w:r w:rsidR="004C1370" w:rsidRPr="00162EF6">
              <w:rPr>
                <w:rFonts w:ascii="Arial" w:hAnsi="Arial" w:cs="Arial"/>
                <w:color w:val="000000"/>
                <w:sz w:val="16"/>
                <w:szCs w:val="16"/>
              </w:rPr>
              <w:t>,</w:t>
            </w:r>
            <w:r w:rsidRPr="00162EF6">
              <w:rPr>
                <w:rFonts w:ascii="Arial" w:hAnsi="Arial" w:cs="Arial"/>
                <w:color w:val="000000"/>
                <w:sz w:val="16"/>
                <w:szCs w:val="16"/>
              </w:rPr>
              <w:t>544</w:t>
            </w:r>
          </w:p>
        </w:tc>
      </w:tr>
      <w:tr w:rsidR="00DA7FBB" w:rsidRPr="00782F8A" w14:paraId="0C07956E" w14:textId="77777777" w:rsidTr="00162EF6">
        <w:trPr>
          <w:trHeight w:val="315"/>
          <w:jc w:val="center"/>
        </w:trPr>
        <w:tc>
          <w:tcPr>
            <w:tcW w:w="2340" w:type="dxa"/>
            <w:tcBorders>
              <w:top w:val="nil"/>
              <w:left w:val="double" w:sz="4" w:space="0" w:color="auto"/>
              <w:bottom w:val="double" w:sz="4" w:space="0" w:color="auto"/>
              <w:right w:val="single" w:sz="8" w:space="0" w:color="auto"/>
            </w:tcBorders>
            <w:shd w:val="clear" w:color="auto" w:fill="auto"/>
            <w:noWrap/>
            <w:vAlign w:val="center"/>
            <w:hideMark/>
          </w:tcPr>
          <w:p w14:paraId="26270A2C" w14:textId="77777777" w:rsidR="00DA7FBB" w:rsidRPr="00162EF6" w:rsidRDefault="00DA7FBB" w:rsidP="00162EF6">
            <w:pPr>
              <w:jc w:val="center"/>
              <w:rPr>
                <w:rFonts w:ascii="Arial" w:hAnsi="Arial" w:cs="Arial"/>
                <w:color w:val="000000"/>
                <w:sz w:val="16"/>
                <w:szCs w:val="16"/>
              </w:rPr>
            </w:pPr>
            <w:r w:rsidRPr="00162EF6">
              <w:rPr>
                <w:rFonts w:ascii="Arial" w:hAnsi="Arial" w:cs="Arial"/>
                <w:color w:val="000000"/>
                <w:sz w:val="16"/>
                <w:szCs w:val="16"/>
              </w:rPr>
              <w:t>Non-concession HH</w:t>
            </w:r>
          </w:p>
        </w:tc>
        <w:tc>
          <w:tcPr>
            <w:tcW w:w="1300" w:type="dxa"/>
            <w:tcBorders>
              <w:top w:val="nil"/>
              <w:left w:val="nil"/>
              <w:bottom w:val="double" w:sz="4" w:space="0" w:color="auto"/>
              <w:right w:val="single" w:sz="8" w:space="0" w:color="auto"/>
            </w:tcBorders>
            <w:shd w:val="clear" w:color="auto" w:fill="auto"/>
            <w:noWrap/>
            <w:vAlign w:val="center"/>
            <w:hideMark/>
          </w:tcPr>
          <w:p w14:paraId="42BE0224"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2</w:t>
            </w:r>
            <w:r w:rsidR="004C1370" w:rsidRPr="00162EF6">
              <w:rPr>
                <w:rFonts w:ascii="Arial" w:hAnsi="Arial" w:cs="Arial"/>
                <w:color w:val="000000"/>
                <w:sz w:val="16"/>
                <w:szCs w:val="16"/>
              </w:rPr>
              <w:t>,</w:t>
            </w:r>
            <w:r w:rsidRPr="00162EF6">
              <w:rPr>
                <w:rFonts w:ascii="Arial" w:hAnsi="Arial" w:cs="Arial"/>
                <w:color w:val="000000"/>
                <w:sz w:val="16"/>
                <w:szCs w:val="16"/>
              </w:rPr>
              <w:t>870</w:t>
            </w:r>
          </w:p>
        </w:tc>
        <w:tc>
          <w:tcPr>
            <w:tcW w:w="1440" w:type="dxa"/>
            <w:tcBorders>
              <w:top w:val="nil"/>
              <w:left w:val="nil"/>
              <w:bottom w:val="double" w:sz="4" w:space="0" w:color="auto"/>
              <w:right w:val="single" w:sz="8" w:space="0" w:color="auto"/>
            </w:tcBorders>
            <w:shd w:val="clear" w:color="auto" w:fill="auto"/>
            <w:noWrap/>
            <w:vAlign w:val="center"/>
            <w:hideMark/>
          </w:tcPr>
          <w:p w14:paraId="0E64F5D9"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4</w:t>
            </w:r>
            <w:r w:rsidR="004C1370" w:rsidRPr="00162EF6">
              <w:rPr>
                <w:rFonts w:ascii="Arial" w:hAnsi="Arial" w:cs="Arial"/>
                <w:color w:val="000000"/>
                <w:sz w:val="16"/>
                <w:szCs w:val="16"/>
              </w:rPr>
              <w:t>,</w:t>
            </w:r>
            <w:r w:rsidRPr="00162EF6">
              <w:rPr>
                <w:rFonts w:ascii="Arial" w:hAnsi="Arial" w:cs="Arial"/>
                <w:color w:val="000000"/>
                <w:sz w:val="16"/>
                <w:szCs w:val="16"/>
              </w:rPr>
              <w:t>577</w:t>
            </w:r>
          </w:p>
        </w:tc>
        <w:tc>
          <w:tcPr>
            <w:tcW w:w="1500" w:type="dxa"/>
            <w:tcBorders>
              <w:top w:val="nil"/>
              <w:left w:val="nil"/>
              <w:bottom w:val="double" w:sz="4" w:space="0" w:color="auto"/>
              <w:right w:val="single" w:sz="8" w:space="0" w:color="auto"/>
            </w:tcBorders>
            <w:shd w:val="clear" w:color="auto" w:fill="auto"/>
            <w:noWrap/>
            <w:vAlign w:val="center"/>
            <w:hideMark/>
          </w:tcPr>
          <w:p w14:paraId="52384658"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4</w:t>
            </w:r>
            <w:r w:rsidR="004C1370" w:rsidRPr="00162EF6">
              <w:rPr>
                <w:rFonts w:ascii="Arial" w:hAnsi="Arial" w:cs="Arial"/>
                <w:color w:val="000000"/>
                <w:sz w:val="16"/>
                <w:szCs w:val="16"/>
              </w:rPr>
              <w:t>,</w:t>
            </w:r>
            <w:r w:rsidRPr="00162EF6">
              <w:rPr>
                <w:rFonts w:ascii="Arial" w:hAnsi="Arial" w:cs="Arial"/>
                <w:color w:val="000000"/>
                <w:sz w:val="16"/>
                <w:szCs w:val="16"/>
              </w:rPr>
              <w:t>464</w:t>
            </w:r>
          </w:p>
        </w:tc>
        <w:tc>
          <w:tcPr>
            <w:tcW w:w="1500" w:type="dxa"/>
            <w:tcBorders>
              <w:top w:val="nil"/>
              <w:left w:val="nil"/>
              <w:bottom w:val="double" w:sz="4" w:space="0" w:color="auto"/>
              <w:right w:val="single" w:sz="8" w:space="0" w:color="auto"/>
            </w:tcBorders>
            <w:shd w:val="clear" w:color="auto" w:fill="auto"/>
            <w:noWrap/>
            <w:vAlign w:val="center"/>
            <w:hideMark/>
          </w:tcPr>
          <w:p w14:paraId="53EF86DE"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5</w:t>
            </w:r>
            <w:r w:rsidR="004C1370" w:rsidRPr="00162EF6">
              <w:rPr>
                <w:rFonts w:ascii="Arial" w:hAnsi="Arial" w:cs="Arial"/>
                <w:color w:val="000000"/>
                <w:sz w:val="16"/>
                <w:szCs w:val="16"/>
              </w:rPr>
              <w:t>,</w:t>
            </w:r>
            <w:r w:rsidRPr="00162EF6">
              <w:rPr>
                <w:rFonts w:ascii="Arial" w:hAnsi="Arial" w:cs="Arial"/>
                <w:color w:val="000000"/>
                <w:sz w:val="16"/>
                <w:szCs w:val="16"/>
              </w:rPr>
              <w:t>716</w:t>
            </w:r>
          </w:p>
        </w:tc>
        <w:tc>
          <w:tcPr>
            <w:tcW w:w="1320" w:type="dxa"/>
            <w:tcBorders>
              <w:top w:val="nil"/>
              <w:left w:val="nil"/>
              <w:bottom w:val="double" w:sz="4" w:space="0" w:color="auto"/>
              <w:right w:val="double" w:sz="4" w:space="0" w:color="auto"/>
            </w:tcBorders>
            <w:shd w:val="clear" w:color="auto" w:fill="auto"/>
            <w:noWrap/>
            <w:vAlign w:val="center"/>
            <w:hideMark/>
          </w:tcPr>
          <w:p w14:paraId="2715D7E1" w14:textId="77777777" w:rsidR="00DA7FBB" w:rsidRPr="00162EF6" w:rsidRDefault="00DA7FBB" w:rsidP="00782F8A">
            <w:pPr>
              <w:jc w:val="center"/>
              <w:rPr>
                <w:rFonts w:ascii="Arial" w:hAnsi="Arial" w:cs="Arial"/>
                <w:color w:val="000000"/>
                <w:sz w:val="16"/>
                <w:szCs w:val="16"/>
              </w:rPr>
            </w:pPr>
            <w:r w:rsidRPr="00162EF6">
              <w:rPr>
                <w:rFonts w:ascii="Arial" w:hAnsi="Arial" w:cs="Arial"/>
                <w:color w:val="000000"/>
                <w:sz w:val="16"/>
                <w:szCs w:val="16"/>
              </w:rPr>
              <w:t>4</w:t>
            </w:r>
            <w:r w:rsidR="004C1370" w:rsidRPr="00162EF6">
              <w:rPr>
                <w:rFonts w:ascii="Arial" w:hAnsi="Arial" w:cs="Arial"/>
                <w:color w:val="000000"/>
                <w:sz w:val="16"/>
                <w:szCs w:val="16"/>
              </w:rPr>
              <w:t>,</w:t>
            </w:r>
            <w:r w:rsidRPr="00162EF6">
              <w:rPr>
                <w:rFonts w:ascii="Arial" w:hAnsi="Arial" w:cs="Arial"/>
                <w:color w:val="000000"/>
                <w:sz w:val="16"/>
                <w:szCs w:val="16"/>
              </w:rPr>
              <w:t>685</w:t>
            </w:r>
          </w:p>
        </w:tc>
      </w:tr>
    </w:tbl>
    <w:p w14:paraId="19FC4367" w14:textId="77777777" w:rsidR="008A3784" w:rsidRPr="00820FBA" w:rsidRDefault="008A3784" w:rsidP="00D109F7">
      <w:pPr>
        <w:pStyle w:val="Para"/>
        <w:rPr>
          <w:lang w:val="en-AU"/>
        </w:rPr>
      </w:pPr>
    </w:p>
    <w:p w14:paraId="7DB280DC" w14:textId="77777777" w:rsidR="0052701F" w:rsidRPr="003835AE" w:rsidRDefault="0052701F" w:rsidP="001A10AD">
      <w:pPr>
        <w:pStyle w:val="Para"/>
        <w:spacing w:line="320" w:lineRule="exact"/>
        <w:rPr>
          <w:highlight w:val="yellow"/>
          <w:lang w:val="en-AU"/>
        </w:rPr>
      </w:pPr>
    </w:p>
    <w:p w14:paraId="44066BD6" w14:textId="77777777" w:rsidR="00C94F79" w:rsidRPr="00820FBA" w:rsidRDefault="00820FBA" w:rsidP="00D109F7">
      <w:pPr>
        <w:pStyle w:val="Para"/>
        <w:rPr>
          <w:lang w:val="en-AU"/>
        </w:rPr>
      </w:pPr>
      <w:r>
        <w:rPr>
          <w:lang w:val="en-AU"/>
        </w:rPr>
        <w:t xml:space="preserve">Annual average </w:t>
      </w:r>
      <w:r w:rsidR="0052701F" w:rsidRPr="00820FBA">
        <w:rPr>
          <w:i/>
          <w:lang w:val="en-AU"/>
        </w:rPr>
        <w:t>general</w:t>
      </w:r>
      <w:r w:rsidR="0052701F" w:rsidRPr="00820FBA">
        <w:rPr>
          <w:lang w:val="en-AU"/>
        </w:rPr>
        <w:t xml:space="preserve"> electricity </w:t>
      </w:r>
      <w:r w:rsidR="0071293B" w:rsidRPr="00820FBA">
        <w:rPr>
          <w:lang w:val="en-AU"/>
        </w:rPr>
        <w:t>consumption in 2014 was 3,</w:t>
      </w:r>
      <w:r w:rsidRPr="00820FBA">
        <w:rPr>
          <w:lang w:val="en-AU"/>
        </w:rPr>
        <w:t>293</w:t>
      </w:r>
      <w:r w:rsidR="0071293B" w:rsidRPr="00820FBA">
        <w:rPr>
          <w:lang w:val="en-AU"/>
        </w:rPr>
        <w:t xml:space="preserve"> kWh, down from 4,907 kWh in 2007.  </w:t>
      </w:r>
      <w:r w:rsidR="00C94F79" w:rsidRPr="00820FBA">
        <w:rPr>
          <w:lang w:val="en-AU"/>
        </w:rPr>
        <w:t>Average monthly consumption during the five months of summer was 26</w:t>
      </w:r>
      <w:r w:rsidRPr="00820FBA">
        <w:rPr>
          <w:lang w:val="en-AU"/>
        </w:rPr>
        <w:t>8</w:t>
      </w:r>
      <w:r w:rsidR="00C94F79" w:rsidRPr="00820FBA">
        <w:rPr>
          <w:lang w:val="en-AU"/>
        </w:rPr>
        <w:t xml:space="preserve"> kWh, and averaged </w:t>
      </w:r>
      <w:r w:rsidRPr="00820FBA">
        <w:rPr>
          <w:lang w:val="en-AU"/>
        </w:rPr>
        <w:t>296</w:t>
      </w:r>
      <w:r w:rsidR="00C94F79" w:rsidRPr="00820FBA">
        <w:rPr>
          <w:lang w:val="en-AU"/>
        </w:rPr>
        <w:t xml:space="preserve"> kWh per month over the seven months of winter.</w:t>
      </w:r>
    </w:p>
    <w:p w14:paraId="4563CA95" w14:textId="77777777" w:rsidR="00107765" w:rsidRPr="003835AE" w:rsidRDefault="00107765" w:rsidP="00107765">
      <w:pPr>
        <w:pStyle w:val="Para"/>
        <w:rPr>
          <w:highlight w:val="yellow"/>
          <w:lang w:val="en-AU"/>
        </w:rPr>
      </w:pPr>
    </w:p>
    <w:p w14:paraId="205F87CE" w14:textId="77777777" w:rsidR="00147232" w:rsidRPr="00820FBA" w:rsidRDefault="00107765" w:rsidP="00147232">
      <w:pPr>
        <w:pStyle w:val="Para"/>
        <w:rPr>
          <w:lang w:val="en-AU"/>
        </w:rPr>
      </w:pPr>
      <w:r w:rsidRPr="00820FBA">
        <w:rPr>
          <w:lang w:val="en-AU"/>
        </w:rPr>
        <w:t xml:space="preserve">In 2014, </w:t>
      </w:r>
      <w:r w:rsidR="00820FBA" w:rsidRPr="00820FBA">
        <w:rPr>
          <w:lang w:val="en-AU"/>
        </w:rPr>
        <w:t xml:space="preserve">annual </w:t>
      </w:r>
      <w:r w:rsidRPr="00820FBA">
        <w:rPr>
          <w:lang w:val="en-AU"/>
        </w:rPr>
        <w:t>average</w:t>
      </w:r>
      <w:r w:rsidR="00820FBA" w:rsidRPr="00820FBA">
        <w:rPr>
          <w:lang w:val="en-AU"/>
        </w:rPr>
        <w:t xml:space="preserve"> </w:t>
      </w:r>
      <w:r w:rsidRPr="00820FBA">
        <w:rPr>
          <w:i/>
          <w:lang w:val="en-AU"/>
        </w:rPr>
        <w:t>peak</w:t>
      </w:r>
      <w:r w:rsidRPr="00820FBA">
        <w:rPr>
          <w:lang w:val="en-AU"/>
        </w:rPr>
        <w:t xml:space="preserve"> electricity consumption was 3,</w:t>
      </w:r>
      <w:r w:rsidR="00820FBA" w:rsidRPr="00820FBA">
        <w:rPr>
          <w:lang w:val="en-AU"/>
        </w:rPr>
        <w:t>662</w:t>
      </w:r>
      <w:r w:rsidRPr="00820FBA">
        <w:rPr>
          <w:lang w:val="en-AU"/>
        </w:rPr>
        <w:t xml:space="preserve"> kWh, </w:t>
      </w:r>
      <w:r w:rsidR="00147232" w:rsidRPr="00820FBA">
        <w:rPr>
          <w:lang w:val="en-AU"/>
        </w:rPr>
        <w:t xml:space="preserve">with an average monthly consumption of </w:t>
      </w:r>
      <w:r w:rsidR="00820FBA" w:rsidRPr="00820FBA">
        <w:rPr>
          <w:lang w:val="en-AU"/>
        </w:rPr>
        <w:t>284</w:t>
      </w:r>
      <w:r w:rsidR="00147232" w:rsidRPr="00820FBA">
        <w:rPr>
          <w:lang w:val="en-AU"/>
        </w:rPr>
        <w:t xml:space="preserve"> kWh over summer and 31</w:t>
      </w:r>
      <w:r w:rsidR="00820FBA" w:rsidRPr="00820FBA">
        <w:rPr>
          <w:lang w:val="en-AU"/>
        </w:rPr>
        <w:t>3</w:t>
      </w:r>
      <w:r w:rsidR="00147232" w:rsidRPr="00820FBA">
        <w:rPr>
          <w:lang w:val="en-AU"/>
        </w:rPr>
        <w:t xml:space="preserve"> kWh over winter.  </w:t>
      </w:r>
      <w:r w:rsidR="00820FBA" w:rsidRPr="00820FBA">
        <w:rPr>
          <w:lang w:val="en-AU"/>
        </w:rPr>
        <w:t>Annual a</w:t>
      </w:r>
      <w:r w:rsidR="00147232" w:rsidRPr="00820FBA">
        <w:rPr>
          <w:lang w:val="en-AU"/>
        </w:rPr>
        <w:t xml:space="preserve">verage </w:t>
      </w:r>
      <w:r w:rsidR="00147232" w:rsidRPr="00820FBA">
        <w:rPr>
          <w:i/>
          <w:lang w:val="en-AU"/>
        </w:rPr>
        <w:t>off-peak</w:t>
      </w:r>
      <w:r w:rsidR="00147232" w:rsidRPr="00820FBA">
        <w:rPr>
          <w:lang w:val="en-AU"/>
        </w:rPr>
        <w:t xml:space="preserve"> electricity consumption in 2014 was </w:t>
      </w:r>
      <w:r w:rsidR="00820FBA" w:rsidRPr="00820FBA">
        <w:rPr>
          <w:lang w:val="en-AU"/>
        </w:rPr>
        <w:t>1,941</w:t>
      </w:r>
      <w:r w:rsidR="00147232" w:rsidRPr="00820FBA">
        <w:rPr>
          <w:lang w:val="en-AU"/>
        </w:rPr>
        <w:t xml:space="preserve"> kWh, down from 3,979 kWh in 2007.  Average monthly consumption during summer was 1</w:t>
      </w:r>
      <w:r w:rsidR="00820FBA" w:rsidRPr="00820FBA">
        <w:rPr>
          <w:lang w:val="en-AU"/>
        </w:rPr>
        <w:t>84</w:t>
      </w:r>
      <w:r w:rsidR="00147232" w:rsidRPr="00820FBA">
        <w:rPr>
          <w:lang w:val="en-AU"/>
        </w:rPr>
        <w:t xml:space="preserve"> kWh, compared with 230 kWh per month over winter.</w:t>
      </w:r>
    </w:p>
    <w:p w14:paraId="0BE99CDE" w14:textId="77777777" w:rsidR="00107765" w:rsidRPr="00302718" w:rsidRDefault="00302718" w:rsidP="00302718">
      <w:pPr>
        <w:pStyle w:val="Para"/>
        <w:tabs>
          <w:tab w:val="left" w:pos="8250"/>
        </w:tabs>
        <w:rPr>
          <w:lang w:val="en-AU"/>
        </w:rPr>
      </w:pPr>
      <w:r w:rsidRPr="00302718">
        <w:rPr>
          <w:lang w:val="en-AU"/>
        </w:rPr>
        <w:tab/>
      </w:r>
    </w:p>
    <w:p w14:paraId="1C339883" w14:textId="77777777" w:rsidR="00C94F79" w:rsidRPr="00302718" w:rsidRDefault="00147232" w:rsidP="00D109F7">
      <w:pPr>
        <w:pStyle w:val="Para"/>
        <w:rPr>
          <w:lang w:val="en-AU"/>
        </w:rPr>
      </w:pPr>
      <w:r w:rsidRPr="00302718">
        <w:rPr>
          <w:lang w:val="en-AU"/>
        </w:rPr>
        <w:t xml:space="preserve">In 2014, average </w:t>
      </w:r>
      <w:r w:rsidRPr="00302718">
        <w:rPr>
          <w:i/>
          <w:lang w:val="en-AU"/>
        </w:rPr>
        <w:t xml:space="preserve">shoulder </w:t>
      </w:r>
      <w:r w:rsidRPr="00302718">
        <w:rPr>
          <w:lang w:val="en-AU"/>
        </w:rPr>
        <w:t xml:space="preserve">electricity consumption was </w:t>
      </w:r>
      <w:r w:rsidR="00302718" w:rsidRPr="00302718">
        <w:rPr>
          <w:lang w:val="en-AU"/>
        </w:rPr>
        <w:t>882</w:t>
      </w:r>
      <w:r w:rsidRPr="00302718">
        <w:rPr>
          <w:lang w:val="en-AU"/>
        </w:rPr>
        <w:t xml:space="preserve"> kWh, with an average monthly consumption of </w:t>
      </w:r>
      <w:r w:rsidR="00302718" w:rsidRPr="00302718">
        <w:rPr>
          <w:lang w:val="en-AU"/>
        </w:rPr>
        <w:t>73</w:t>
      </w:r>
      <w:r w:rsidRPr="00302718">
        <w:rPr>
          <w:lang w:val="en-AU"/>
        </w:rPr>
        <w:t xml:space="preserve"> kWh over summer and </w:t>
      </w:r>
      <w:r w:rsidR="00302718" w:rsidRPr="00302718">
        <w:rPr>
          <w:lang w:val="en-AU"/>
        </w:rPr>
        <w:t>89</w:t>
      </w:r>
      <w:r w:rsidRPr="00302718">
        <w:rPr>
          <w:lang w:val="en-AU"/>
        </w:rPr>
        <w:t xml:space="preserve"> kWh over winter.  Average </w:t>
      </w:r>
      <w:r w:rsidRPr="00302718">
        <w:rPr>
          <w:i/>
          <w:lang w:val="en-AU"/>
        </w:rPr>
        <w:t>controlled load</w:t>
      </w:r>
      <w:r w:rsidRPr="00302718">
        <w:rPr>
          <w:lang w:val="en-AU"/>
        </w:rPr>
        <w:t xml:space="preserve"> electricity consumption in 2014 was 2,</w:t>
      </w:r>
      <w:r w:rsidR="00302718" w:rsidRPr="00302718">
        <w:rPr>
          <w:lang w:val="en-AU"/>
        </w:rPr>
        <w:t>078</w:t>
      </w:r>
      <w:r w:rsidRPr="00302718">
        <w:rPr>
          <w:lang w:val="en-AU"/>
        </w:rPr>
        <w:t xml:space="preserve"> kWh, with average monthly consumption during summer of 1</w:t>
      </w:r>
      <w:r w:rsidR="00302718" w:rsidRPr="00302718">
        <w:rPr>
          <w:lang w:val="en-AU"/>
        </w:rPr>
        <w:t>39</w:t>
      </w:r>
      <w:r w:rsidRPr="00302718">
        <w:rPr>
          <w:lang w:val="en-AU"/>
        </w:rPr>
        <w:t xml:space="preserve"> kWh, compared with 21</w:t>
      </w:r>
      <w:r w:rsidR="00302718" w:rsidRPr="00302718">
        <w:rPr>
          <w:lang w:val="en-AU"/>
        </w:rPr>
        <w:t>3</w:t>
      </w:r>
      <w:r w:rsidRPr="00302718">
        <w:rPr>
          <w:lang w:val="en-AU"/>
        </w:rPr>
        <w:t xml:space="preserve"> kWh per month over winter.</w:t>
      </w:r>
    </w:p>
    <w:p w14:paraId="026EA559" w14:textId="3E2E478B" w:rsidR="00A32FA3" w:rsidRDefault="00A32FA3">
      <w:pPr>
        <w:spacing w:before="0" w:after="0"/>
        <w:rPr>
          <w:highlight w:val="yellow"/>
          <w:lang w:val="en-AU"/>
        </w:rPr>
      </w:pPr>
      <w:r>
        <w:rPr>
          <w:highlight w:val="yellow"/>
          <w:lang w:val="en-AU"/>
        </w:rPr>
        <w:br w:type="page"/>
      </w:r>
    </w:p>
    <w:p w14:paraId="107B6F39" w14:textId="77777777" w:rsidR="00F85114" w:rsidRPr="003835AE" w:rsidRDefault="00F85114" w:rsidP="00D109F7">
      <w:pPr>
        <w:pStyle w:val="Para"/>
        <w:rPr>
          <w:highlight w:val="yellow"/>
          <w:lang w:val="en-AU"/>
        </w:rPr>
      </w:pPr>
    </w:p>
    <w:p w14:paraId="69C9ECF2" w14:textId="77777777" w:rsidR="000C4ECC" w:rsidRPr="00434119" w:rsidRDefault="00D109F7" w:rsidP="00CF1938">
      <w:pPr>
        <w:pStyle w:val="Para"/>
        <w:spacing w:after="20" w:line="240" w:lineRule="auto"/>
        <w:jc w:val="center"/>
        <w:rPr>
          <w:b/>
          <w:u w:val="single"/>
          <w:lang w:val="en-AU"/>
        </w:rPr>
      </w:pPr>
      <w:r w:rsidRPr="00434119">
        <w:rPr>
          <w:b/>
          <w:lang w:val="en-AU"/>
        </w:rPr>
        <w:t>Table 4.2.1.</w:t>
      </w:r>
      <w:r w:rsidR="00DA7FBB">
        <w:rPr>
          <w:b/>
          <w:lang w:val="en-AU"/>
        </w:rPr>
        <w:t>3</w:t>
      </w:r>
      <w:r w:rsidRPr="00434119">
        <w:rPr>
          <w:b/>
          <w:lang w:val="en-AU"/>
        </w:rPr>
        <w:t xml:space="preserve">: </w:t>
      </w:r>
      <w:r w:rsidR="008C280C" w:rsidRPr="00434119">
        <w:rPr>
          <w:b/>
          <w:u w:val="single"/>
          <w:lang w:val="en-AU"/>
        </w:rPr>
        <w:t xml:space="preserve">Average Annual Electricity </w:t>
      </w:r>
      <w:r w:rsidRPr="00434119">
        <w:rPr>
          <w:b/>
          <w:u w:val="single"/>
          <w:lang w:val="en-AU"/>
        </w:rPr>
        <w:t>Consumption (Kilowatt</w:t>
      </w:r>
      <w:r w:rsidR="001A2A49" w:rsidRPr="00434119">
        <w:rPr>
          <w:b/>
          <w:u w:val="single"/>
          <w:lang w:val="en-AU"/>
        </w:rPr>
        <w:t xml:space="preserve"> Hour</w:t>
      </w:r>
      <w:r w:rsidRPr="00434119">
        <w:rPr>
          <w:b/>
          <w:u w:val="single"/>
          <w:lang w:val="en-AU"/>
        </w:rPr>
        <w:t>s)</w:t>
      </w:r>
      <w:r w:rsidR="000C4ECC" w:rsidRPr="00434119">
        <w:rPr>
          <w:b/>
          <w:u w:val="single"/>
          <w:lang w:val="en-AU"/>
        </w:rPr>
        <w:t xml:space="preserve"> – Part 1</w:t>
      </w:r>
    </w:p>
    <w:tbl>
      <w:tblPr>
        <w:tblW w:w="15887" w:type="dxa"/>
        <w:jc w:val="center"/>
        <w:tblLayout w:type="fixed"/>
        <w:tblLook w:val="04A0" w:firstRow="1" w:lastRow="0" w:firstColumn="1" w:lastColumn="0" w:noHBand="0" w:noVBand="1"/>
      </w:tblPr>
      <w:tblGrid>
        <w:gridCol w:w="2150"/>
        <w:gridCol w:w="808"/>
        <w:gridCol w:w="808"/>
        <w:gridCol w:w="808"/>
        <w:gridCol w:w="808"/>
        <w:gridCol w:w="878"/>
        <w:gridCol w:w="851"/>
        <w:gridCol w:w="776"/>
        <w:gridCol w:w="857"/>
        <w:gridCol w:w="714"/>
        <w:gridCol w:w="675"/>
        <w:gridCol w:w="857"/>
        <w:gridCol w:w="808"/>
        <w:gridCol w:w="808"/>
        <w:gridCol w:w="857"/>
        <w:gridCol w:w="808"/>
        <w:gridCol w:w="808"/>
        <w:gridCol w:w="808"/>
      </w:tblGrid>
      <w:tr w:rsidR="00EA09AE" w:rsidRPr="00434119" w14:paraId="76866557" w14:textId="77777777" w:rsidTr="009748AD">
        <w:trPr>
          <w:trHeight w:val="225"/>
          <w:tblHeader/>
          <w:jc w:val="center"/>
        </w:trPr>
        <w:tc>
          <w:tcPr>
            <w:tcW w:w="2150" w:type="dxa"/>
            <w:vMerge w:val="restart"/>
            <w:tcBorders>
              <w:top w:val="double" w:sz="6" w:space="0" w:color="auto"/>
              <w:left w:val="double" w:sz="6" w:space="0" w:color="auto"/>
              <w:bottom w:val="single" w:sz="4" w:space="0" w:color="BFBFBF"/>
              <w:right w:val="nil"/>
            </w:tcBorders>
            <w:shd w:val="clear" w:color="auto" w:fill="auto"/>
            <w:noWrap/>
            <w:vAlign w:val="center"/>
          </w:tcPr>
          <w:p w14:paraId="0293E0CE" w14:textId="77777777" w:rsidR="001E0EBD" w:rsidRPr="00434119" w:rsidRDefault="001E0EBD" w:rsidP="001E0EBD">
            <w:pPr>
              <w:spacing w:before="0" w:after="0"/>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Sub-group</w:t>
            </w:r>
          </w:p>
        </w:tc>
        <w:tc>
          <w:tcPr>
            <w:tcW w:w="3232"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7E23DDA1"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Total Consumption (kWh)*</w:t>
            </w:r>
          </w:p>
        </w:tc>
        <w:tc>
          <w:tcPr>
            <w:tcW w:w="878" w:type="dxa"/>
            <w:vMerge w:val="restart"/>
            <w:tcBorders>
              <w:top w:val="double" w:sz="6" w:space="0" w:color="auto"/>
              <w:left w:val="single" w:sz="4" w:space="0" w:color="auto"/>
              <w:bottom w:val="single" w:sz="4" w:space="0" w:color="BFBFBF"/>
              <w:right w:val="single" w:sz="4" w:space="0" w:color="BFBFBF"/>
            </w:tcBorders>
            <w:shd w:val="clear" w:color="auto" w:fill="auto"/>
            <w:vAlign w:val="center"/>
          </w:tcPr>
          <w:p w14:paraId="40FA5C6E"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 xml:space="preserve">% Growth </w:t>
            </w:r>
            <w:r w:rsidR="00C81057" w:rsidRPr="00434119">
              <w:rPr>
                <w:rFonts w:ascii="Arial" w:hAnsi="Arial" w:cs="Arial"/>
                <w:b/>
                <w:bCs/>
                <w:color w:val="000000"/>
                <w:sz w:val="16"/>
                <w:szCs w:val="16"/>
                <w:lang w:val="en-AU" w:eastAsia="en-AU"/>
              </w:rPr>
              <w:t>from</w:t>
            </w:r>
            <w:r w:rsidRPr="00434119">
              <w:rPr>
                <w:rFonts w:ascii="Arial" w:hAnsi="Arial" w:cs="Arial"/>
                <w:b/>
                <w:bCs/>
                <w:color w:val="000000"/>
                <w:sz w:val="16"/>
                <w:szCs w:val="16"/>
                <w:lang w:val="en-AU" w:eastAsia="en-AU"/>
              </w:rPr>
              <w:t xml:space="preserve"> 2007</w:t>
            </w:r>
            <w:r w:rsidR="00C81057" w:rsidRPr="00434119">
              <w:rPr>
                <w:rFonts w:ascii="Arial" w:hAnsi="Arial" w:cs="Arial"/>
                <w:b/>
                <w:bCs/>
                <w:color w:val="000000"/>
                <w:sz w:val="16"/>
                <w:szCs w:val="16"/>
                <w:lang w:val="en-AU" w:eastAsia="en-AU"/>
              </w:rPr>
              <w:t xml:space="preserve"> to 2014</w:t>
            </w:r>
          </w:p>
        </w:tc>
        <w:tc>
          <w:tcPr>
            <w:tcW w:w="851" w:type="dxa"/>
            <w:vMerge w:val="restart"/>
            <w:tcBorders>
              <w:top w:val="double" w:sz="6" w:space="0" w:color="auto"/>
              <w:left w:val="single" w:sz="4" w:space="0" w:color="BFBFBF"/>
              <w:bottom w:val="single" w:sz="4" w:space="0" w:color="BFBFBF"/>
              <w:right w:val="single" w:sz="4" w:space="0" w:color="BFBFBF"/>
            </w:tcBorders>
            <w:shd w:val="clear" w:color="auto" w:fill="auto"/>
            <w:vAlign w:val="center"/>
          </w:tcPr>
          <w:p w14:paraId="5FB8CAF1"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 xml:space="preserve">% Growth </w:t>
            </w:r>
            <w:r w:rsidR="00C81057" w:rsidRPr="00434119">
              <w:rPr>
                <w:rFonts w:ascii="Arial" w:hAnsi="Arial" w:cs="Arial"/>
                <w:b/>
                <w:bCs/>
                <w:color w:val="000000"/>
                <w:sz w:val="16"/>
                <w:szCs w:val="16"/>
                <w:lang w:val="en-AU" w:eastAsia="en-AU"/>
              </w:rPr>
              <w:t xml:space="preserve">from </w:t>
            </w:r>
            <w:r w:rsidRPr="00434119">
              <w:rPr>
                <w:rFonts w:ascii="Arial" w:hAnsi="Arial" w:cs="Arial"/>
                <w:b/>
                <w:bCs/>
                <w:color w:val="000000"/>
                <w:sz w:val="16"/>
                <w:szCs w:val="16"/>
                <w:lang w:val="en-AU" w:eastAsia="en-AU"/>
              </w:rPr>
              <w:t>2001</w:t>
            </w:r>
            <w:r w:rsidR="00C81057" w:rsidRPr="00434119">
              <w:rPr>
                <w:rFonts w:ascii="Arial" w:hAnsi="Arial" w:cs="Arial"/>
                <w:b/>
                <w:bCs/>
                <w:color w:val="000000"/>
                <w:sz w:val="16"/>
                <w:szCs w:val="16"/>
                <w:lang w:val="en-AU" w:eastAsia="en-AU"/>
              </w:rPr>
              <w:t xml:space="preserve"> to 2007</w:t>
            </w:r>
          </w:p>
        </w:tc>
        <w:tc>
          <w:tcPr>
            <w:tcW w:w="776" w:type="dxa"/>
            <w:vMerge w:val="restart"/>
            <w:tcBorders>
              <w:top w:val="double" w:sz="6" w:space="0" w:color="auto"/>
              <w:left w:val="single" w:sz="4" w:space="0" w:color="BFBFBF"/>
              <w:bottom w:val="single" w:sz="4" w:space="0" w:color="BFBFBF"/>
              <w:right w:val="single" w:sz="4" w:space="0" w:color="auto"/>
            </w:tcBorders>
            <w:shd w:val="clear" w:color="auto" w:fill="auto"/>
            <w:vAlign w:val="center"/>
          </w:tcPr>
          <w:p w14:paraId="4F4E575E"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 xml:space="preserve">% Growth </w:t>
            </w:r>
            <w:r w:rsidR="00C81057" w:rsidRPr="00434119">
              <w:rPr>
                <w:rFonts w:ascii="Arial" w:hAnsi="Arial" w:cs="Arial"/>
                <w:b/>
                <w:bCs/>
                <w:color w:val="000000"/>
                <w:sz w:val="16"/>
                <w:szCs w:val="16"/>
                <w:lang w:val="en-AU" w:eastAsia="en-AU"/>
              </w:rPr>
              <w:t>from</w:t>
            </w:r>
            <w:r w:rsidRPr="00434119">
              <w:rPr>
                <w:rFonts w:ascii="Arial" w:hAnsi="Arial" w:cs="Arial"/>
                <w:b/>
                <w:bCs/>
                <w:color w:val="000000"/>
                <w:sz w:val="16"/>
                <w:szCs w:val="16"/>
                <w:lang w:val="en-AU" w:eastAsia="en-AU"/>
              </w:rPr>
              <w:t xml:space="preserve"> 1996</w:t>
            </w:r>
            <w:r w:rsidR="00C81057" w:rsidRPr="00434119">
              <w:rPr>
                <w:rFonts w:ascii="Arial" w:hAnsi="Arial" w:cs="Arial"/>
                <w:b/>
                <w:bCs/>
                <w:color w:val="000000"/>
                <w:sz w:val="16"/>
                <w:szCs w:val="16"/>
                <w:lang w:val="en-AU" w:eastAsia="en-AU"/>
              </w:rPr>
              <w:t xml:space="preserve"> to 2001</w:t>
            </w:r>
          </w:p>
        </w:tc>
        <w:tc>
          <w:tcPr>
            <w:tcW w:w="8000" w:type="dxa"/>
            <w:gridSpan w:val="10"/>
            <w:tcBorders>
              <w:top w:val="double" w:sz="6" w:space="0" w:color="auto"/>
              <w:left w:val="nil"/>
              <w:bottom w:val="single" w:sz="4" w:space="0" w:color="BFBFBF"/>
              <w:right w:val="double" w:sz="6" w:space="0" w:color="000000"/>
            </w:tcBorders>
            <w:shd w:val="clear" w:color="auto" w:fill="auto"/>
            <w:noWrap/>
            <w:vAlign w:val="center"/>
          </w:tcPr>
          <w:p w14:paraId="0B7A867F"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General Consumption (kWh)</w:t>
            </w:r>
          </w:p>
        </w:tc>
      </w:tr>
      <w:tr w:rsidR="00EA09AE" w:rsidRPr="00434119" w14:paraId="034646A9" w14:textId="77777777" w:rsidTr="009748AD">
        <w:trPr>
          <w:trHeight w:val="212"/>
          <w:tblHeader/>
          <w:jc w:val="center"/>
        </w:trPr>
        <w:tc>
          <w:tcPr>
            <w:tcW w:w="2150" w:type="dxa"/>
            <w:vMerge/>
            <w:tcBorders>
              <w:top w:val="double" w:sz="6" w:space="0" w:color="auto"/>
              <w:left w:val="double" w:sz="6" w:space="0" w:color="auto"/>
              <w:bottom w:val="single" w:sz="4" w:space="0" w:color="BFBFBF"/>
              <w:right w:val="nil"/>
            </w:tcBorders>
            <w:vAlign w:val="center"/>
          </w:tcPr>
          <w:p w14:paraId="1CEAA515" w14:textId="77777777" w:rsidR="001E0EBD" w:rsidRPr="00434119" w:rsidRDefault="001E0EBD" w:rsidP="001E0EBD">
            <w:pPr>
              <w:spacing w:before="0" w:after="0"/>
              <w:rPr>
                <w:rFonts w:ascii="Arial" w:hAnsi="Arial" w:cs="Arial"/>
                <w:b/>
                <w:bCs/>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0CBCE73"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2014</w:t>
            </w:r>
          </w:p>
        </w:tc>
        <w:tc>
          <w:tcPr>
            <w:tcW w:w="808" w:type="dxa"/>
            <w:tcBorders>
              <w:top w:val="nil"/>
              <w:left w:val="nil"/>
              <w:bottom w:val="single" w:sz="4" w:space="0" w:color="BFBFBF"/>
              <w:right w:val="single" w:sz="4" w:space="0" w:color="BFBFBF"/>
            </w:tcBorders>
            <w:shd w:val="clear" w:color="auto" w:fill="auto"/>
            <w:noWrap/>
            <w:vAlign w:val="center"/>
          </w:tcPr>
          <w:p w14:paraId="55BBF7FB"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BFBFBF"/>
            </w:tcBorders>
            <w:shd w:val="clear" w:color="auto" w:fill="auto"/>
            <w:noWrap/>
            <w:vAlign w:val="center"/>
          </w:tcPr>
          <w:p w14:paraId="272528BC"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2001</w:t>
            </w:r>
          </w:p>
        </w:tc>
        <w:tc>
          <w:tcPr>
            <w:tcW w:w="808" w:type="dxa"/>
            <w:tcBorders>
              <w:top w:val="nil"/>
              <w:left w:val="nil"/>
              <w:bottom w:val="single" w:sz="4" w:space="0" w:color="BFBFBF"/>
              <w:right w:val="single" w:sz="4" w:space="0" w:color="auto"/>
            </w:tcBorders>
            <w:shd w:val="clear" w:color="auto" w:fill="auto"/>
            <w:noWrap/>
            <w:vAlign w:val="center"/>
          </w:tcPr>
          <w:p w14:paraId="579871E3"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1996</w:t>
            </w:r>
          </w:p>
        </w:tc>
        <w:tc>
          <w:tcPr>
            <w:tcW w:w="878" w:type="dxa"/>
            <w:vMerge/>
            <w:tcBorders>
              <w:top w:val="double" w:sz="6" w:space="0" w:color="auto"/>
              <w:left w:val="single" w:sz="4" w:space="0" w:color="auto"/>
              <w:bottom w:val="single" w:sz="4" w:space="0" w:color="BFBFBF"/>
              <w:right w:val="single" w:sz="4" w:space="0" w:color="BFBFBF"/>
            </w:tcBorders>
            <w:vAlign w:val="center"/>
          </w:tcPr>
          <w:p w14:paraId="0E55F725" w14:textId="77777777" w:rsidR="001E0EBD" w:rsidRPr="00434119" w:rsidRDefault="001E0EBD" w:rsidP="001E0EBD">
            <w:pPr>
              <w:spacing w:before="0" w:after="0"/>
              <w:rPr>
                <w:rFonts w:ascii="Arial" w:hAnsi="Arial" w:cs="Arial"/>
                <w:b/>
                <w:bCs/>
                <w:color w:val="000000"/>
                <w:sz w:val="16"/>
                <w:szCs w:val="16"/>
                <w:lang w:val="en-AU" w:eastAsia="en-AU"/>
              </w:rPr>
            </w:pPr>
          </w:p>
        </w:tc>
        <w:tc>
          <w:tcPr>
            <w:tcW w:w="851" w:type="dxa"/>
            <w:vMerge/>
            <w:tcBorders>
              <w:top w:val="double" w:sz="6" w:space="0" w:color="auto"/>
              <w:left w:val="single" w:sz="4" w:space="0" w:color="BFBFBF"/>
              <w:bottom w:val="single" w:sz="4" w:space="0" w:color="BFBFBF"/>
              <w:right w:val="single" w:sz="4" w:space="0" w:color="BFBFBF"/>
            </w:tcBorders>
            <w:vAlign w:val="center"/>
          </w:tcPr>
          <w:p w14:paraId="12F70C94" w14:textId="77777777" w:rsidR="001E0EBD" w:rsidRPr="00434119" w:rsidRDefault="001E0EBD" w:rsidP="001E0EBD">
            <w:pPr>
              <w:spacing w:before="0" w:after="0"/>
              <w:rPr>
                <w:rFonts w:ascii="Arial" w:hAnsi="Arial" w:cs="Arial"/>
                <w:b/>
                <w:bCs/>
                <w:color w:val="000000"/>
                <w:sz w:val="16"/>
                <w:szCs w:val="16"/>
                <w:lang w:val="en-AU" w:eastAsia="en-AU"/>
              </w:rPr>
            </w:pPr>
          </w:p>
        </w:tc>
        <w:tc>
          <w:tcPr>
            <w:tcW w:w="776" w:type="dxa"/>
            <w:vMerge/>
            <w:tcBorders>
              <w:top w:val="double" w:sz="6" w:space="0" w:color="auto"/>
              <w:left w:val="single" w:sz="4" w:space="0" w:color="BFBFBF"/>
              <w:bottom w:val="single" w:sz="4" w:space="0" w:color="BFBFBF"/>
              <w:right w:val="single" w:sz="4" w:space="0" w:color="auto"/>
            </w:tcBorders>
            <w:vAlign w:val="center"/>
          </w:tcPr>
          <w:p w14:paraId="2AAA3DD8" w14:textId="77777777" w:rsidR="001E0EBD" w:rsidRPr="00434119" w:rsidRDefault="001E0EBD" w:rsidP="001E0EBD">
            <w:pPr>
              <w:spacing w:before="0" w:after="0"/>
              <w:rPr>
                <w:rFonts w:ascii="Arial" w:hAnsi="Arial" w:cs="Arial"/>
                <w:b/>
                <w:bCs/>
                <w:color w:val="000000"/>
                <w:sz w:val="16"/>
                <w:szCs w:val="16"/>
                <w:lang w:val="en-AU" w:eastAsia="en-AU"/>
              </w:rPr>
            </w:pPr>
          </w:p>
        </w:tc>
        <w:tc>
          <w:tcPr>
            <w:tcW w:w="2246" w:type="dxa"/>
            <w:gridSpan w:val="3"/>
            <w:tcBorders>
              <w:top w:val="single" w:sz="4" w:space="0" w:color="BFBFBF"/>
              <w:left w:val="nil"/>
              <w:bottom w:val="single" w:sz="4" w:space="0" w:color="BFBFBF"/>
              <w:right w:val="single" w:sz="4" w:space="0" w:color="BFBFBF"/>
            </w:tcBorders>
            <w:shd w:val="clear" w:color="auto" w:fill="auto"/>
            <w:noWrap/>
            <w:vAlign w:val="center"/>
          </w:tcPr>
          <w:p w14:paraId="60134429"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2014</w:t>
            </w:r>
          </w:p>
        </w:tc>
        <w:tc>
          <w:tcPr>
            <w:tcW w:w="2473" w:type="dxa"/>
            <w:gridSpan w:val="3"/>
            <w:tcBorders>
              <w:top w:val="single" w:sz="4" w:space="0" w:color="BFBFBF"/>
              <w:left w:val="single" w:sz="4" w:space="0" w:color="auto"/>
              <w:bottom w:val="single" w:sz="4" w:space="0" w:color="BFBFBF"/>
              <w:right w:val="single" w:sz="4" w:space="0" w:color="000000"/>
            </w:tcBorders>
            <w:shd w:val="clear" w:color="auto" w:fill="auto"/>
            <w:noWrap/>
            <w:vAlign w:val="center"/>
          </w:tcPr>
          <w:p w14:paraId="5E2AB7AD"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2007</w:t>
            </w:r>
          </w:p>
        </w:tc>
        <w:tc>
          <w:tcPr>
            <w:tcW w:w="2473" w:type="dxa"/>
            <w:gridSpan w:val="3"/>
            <w:tcBorders>
              <w:top w:val="single" w:sz="4" w:space="0" w:color="BFBFBF"/>
              <w:left w:val="nil"/>
              <w:bottom w:val="single" w:sz="4" w:space="0" w:color="BFBFBF"/>
              <w:right w:val="single" w:sz="4" w:space="0" w:color="000000"/>
            </w:tcBorders>
            <w:shd w:val="clear" w:color="auto" w:fill="auto"/>
            <w:noWrap/>
            <w:vAlign w:val="center"/>
          </w:tcPr>
          <w:p w14:paraId="27D55F6F"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2001</w:t>
            </w:r>
          </w:p>
        </w:tc>
        <w:tc>
          <w:tcPr>
            <w:tcW w:w="808" w:type="dxa"/>
            <w:vMerge w:val="restart"/>
            <w:tcBorders>
              <w:top w:val="nil"/>
              <w:left w:val="nil"/>
              <w:bottom w:val="single" w:sz="4" w:space="0" w:color="BFBFBF"/>
              <w:right w:val="double" w:sz="6" w:space="0" w:color="auto"/>
            </w:tcBorders>
            <w:shd w:val="clear" w:color="auto" w:fill="auto"/>
            <w:noWrap/>
          </w:tcPr>
          <w:p w14:paraId="3FBAFB44"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1996</w:t>
            </w:r>
          </w:p>
        </w:tc>
      </w:tr>
      <w:tr w:rsidR="00EA09AE" w:rsidRPr="00434119" w14:paraId="01F191A3" w14:textId="77777777" w:rsidTr="009748AD">
        <w:trPr>
          <w:trHeight w:val="212"/>
          <w:tblHeader/>
          <w:jc w:val="center"/>
        </w:trPr>
        <w:tc>
          <w:tcPr>
            <w:tcW w:w="2150" w:type="dxa"/>
            <w:vMerge/>
            <w:tcBorders>
              <w:top w:val="double" w:sz="6" w:space="0" w:color="auto"/>
              <w:left w:val="double" w:sz="6" w:space="0" w:color="auto"/>
              <w:bottom w:val="single" w:sz="4" w:space="0" w:color="BFBFBF"/>
              <w:right w:val="nil"/>
            </w:tcBorders>
            <w:vAlign w:val="center"/>
          </w:tcPr>
          <w:p w14:paraId="3A116489" w14:textId="77777777" w:rsidR="001E0EBD" w:rsidRPr="00434119" w:rsidRDefault="001E0EBD" w:rsidP="001E0EBD">
            <w:pPr>
              <w:spacing w:before="0" w:after="0"/>
              <w:rPr>
                <w:rFonts w:ascii="Arial" w:hAnsi="Arial" w:cs="Arial"/>
                <w:b/>
                <w:bCs/>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84ABCE1" w14:textId="77777777" w:rsidR="001E0EBD" w:rsidRPr="00434119" w:rsidRDefault="001E0EBD"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63CDDCD"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815E80D"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1B7407D4"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78" w:type="dxa"/>
            <w:vMerge/>
            <w:tcBorders>
              <w:top w:val="double" w:sz="6" w:space="0" w:color="auto"/>
              <w:left w:val="single" w:sz="4" w:space="0" w:color="auto"/>
              <w:bottom w:val="single" w:sz="4" w:space="0" w:color="BFBFBF"/>
              <w:right w:val="single" w:sz="4" w:space="0" w:color="BFBFBF"/>
            </w:tcBorders>
            <w:vAlign w:val="center"/>
          </w:tcPr>
          <w:p w14:paraId="4D5CFFF8" w14:textId="77777777" w:rsidR="001E0EBD" w:rsidRPr="00434119" w:rsidRDefault="001E0EBD" w:rsidP="001E0EBD">
            <w:pPr>
              <w:spacing w:before="0" w:after="0"/>
              <w:rPr>
                <w:rFonts w:ascii="Arial" w:hAnsi="Arial" w:cs="Arial"/>
                <w:b/>
                <w:bCs/>
                <w:color w:val="000000"/>
                <w:sz w:val="16"/>
                <w:szCs w:val="16"/>
                <w:lang w:val="en-AU" w:eastAsia="en-AU"/>
              </w:rPr>
            </w:pPr>
          </w:p>
        </w:tc>
        <w:tc>
          <w:tcPr>
            <w:tcW w:w="851" w:type="dxa"/>
            <w:vMerge/>
            <w:tcBorders>
              <w:top w:val="double" w:sz="6" w:space="0" w:color="auto"/>
              <w:left w:val="single" w:sz="4" w:space="0" w:color="BFBFBF"/>
              <w:bottom w:val="single" w:sz="4" w:space="0" w:color="BFBFBF"/>
              <w:right w:val="single" w:sz="4" w:space="0" w:color="BFBFBF"/>
            </w:tcBorders>
            <w:vAlign w:val="center"/>
          </w:tcPr>
          <w:p w14:paraId="03D4B087" w14:textId="77777777" w:rsidR="001E0EBD" w:rsidRPr="00434119" w:rsidRDefault="001E0EBD" w:rsidP="001E0EBD">
            <w:pPr>
              <w:spacing w:before="0" w:after="0"/>
              <w:rPr>
                <w:rFonts w:ascii="Arial" w:hAnsi="Arial" w:cs="Arial"/>
                <w:b/>
                <w:bCs/>
                <w:color w:val="000000"/>
                <w:sz w:val="16"/>
                <w:szCs w:val="16"/>
                <w:lang w:val="en-AU" w:eastAsia="en-AU"/>
              </w:rPr>
            </w:pPr>
          </w:p>
        </w:tc>
        <w:tc>
          <w:tcPr>
            <w:tcW w:w="776" w:type="dxa"/>
            <w:vMerge/>
            <w:tcBorders>
              <w:top w:val="double" w:sz="6" w:space="0" w:color="auto"/>
              <w:left w:val="single" w:sz="4" w:space="0" w:color="BFBFBF"/>
              <w:bottom w:val="single" w:sz="4" w:space="0" w:color="BFBFBF"/>
              <w:right w:val="single" w:sz="4" w:space="0" w:color="auto"/>
            </w:tcBorders>
            <w:vAlign w:val="center"/>
          </w:tcPr>
          <w:p w14:paraId="1184DFF2" w14:textId="77777777" w:rsidR="001E0EBD" w:rsidRPr="00434119" w:rsidRDefault="001E0EBD" w:rsidP="001E0EBD">
            <w:pPr>
              <w:spacing w:before="0" w:after="0"/>
              <w:rPr>
                <w:rFonts w:ascii="Arial" w:hAnsi="Arial" w:cs="Arial"/>
                <w:b/>
                <w:bCs/>
                <w:color w:val="000000"/>
                <w:sz w:val="16"/>
                <w:szCs w:val="16"/>
                <w:lang w:val="en-AU" w:eastAsia="en-AU"/>
              </w:rPr>
            </w:pPr>
          </w:p>
        </w:tc>
        <w:tc>
          <w:tcPr>
            <w:tcW w:w="857" w:type="dxa"/>
            <w:tcBorders>
              <w:top w:val="nil"/>
              <w:left w:val="nil"/>
              <w:bottom w:val="single" w:sz="4" w:space="0" w:color="BFBFBF"/>
              <w:right w:val="single" w:sz="4" w:space="0" w:color="BFBFBF"/>
            </w:tcBorders>
            <w:shd w:val="clear" w:color="auto" w:fill="auto"/>
            <w:noWrap/>
            <w:vAlign w:val="center"/>
          </w:tcPr>
          <w:p w14:paraId="31900388"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 xml:space="preserve">Summer </w:t>
            </w:r>
          </w:p>
        </w:tc>
        <w:tc>
          <w:tcPr>
            <w:tcW w:w="714" w:type="dxa"/>
            <w:tcBorders>
              <w:top w:val="nil"/>
              <w:left w:val="nil"/>
              <w:bottom w:val="single" w:sz="4" w:space="0" w:color="BFBFBF"/>
              <w:right w:val="single" w:sz="4" w:space="0" w:color="BFBFBF"/>
            </w:tcBorders>
            <w:shd w:val="clear" w:color="auto" w:fill="auto"/>
            <w:noWrap/>
            <w:vAlign w:val="center"/>
          </w:tcPr>
          <w:p w14:paraId="7CE45038"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Winter</w:t>
            </w:r>
          </w:p>
        </w:tc>
        <w:tc>
          <w:tcPr>
            <w:tcW w:w="675" w:type="dxa"/>
            <w:tcBorders>
              <w:top w:val="nil"/>
              <w:left w:val="nil"/>
              <w:bottom w:val="single" w:sz="4" w:space="0" w:color="BFBFBF"/>
              <w:right w:val="nil"/>
            </w:tcBorders>
            <w:shd w:val="clear" w:color="auto" w:fill="auto"/>
            <w:noWrap/>
            <w:vAlign w:val="center"/>
          </w:tcPr>
          <w:p w14:paraId="5DE6700D"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Total</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C65785D"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 xml:space="preserve">Summer </w:t>
            </w:r>
          </w:p>
        </w:tc>
        <w:tc>
          <w:tcPr>
            <w:tcW w:w="808" w:type="dxa"/>
            <w:tcBorders>
              <w:top w:val="nil"/>
              <w:left w:val="nil"/>
              <w:bottom w:val="single" w:sz="4" w:space="0" w:color="BFBFBF"/>
              <w:right w:val="single" w:sz="4" w:space="0" w:color="BFBFBF"/>
            </w:tcBorders>
            <w:shd w:val="clear" w:color="auto" w:fill="auto"/>
            <w:noWrap/>
            <w:vAlign w:val="center"/>
          </w:tcPr>
          <w:p w14:paraId="0BC7793B"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Winter</w:t>
            </w:r>
          </w:p>
        </w:tc>
        <w:tc>
          <w:tcPr>
            <w:tcW w:w="808" w:type="dxa"/>
            <w:tcBorders>
              <w:top w:val="nil"/>
              <w:left w:val="nil"/>
              <w:bottom w:val="single" w:sz="4" w:space="0" w:color="BFBFBF"/>
              <w:right w:val="single" w:sz="4" w:space="0" w:color="auto"/>
            </w:tcBorders>
            <w:shd w:val="clear" w:color="auto" w:fill="auto"/>
            <w:noWrap/>
            <w:vAlign w:val="center"/>
          </w:tcPr>
          <w:p w14:paraId="7E828035"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Total</w:t>
            </w:r>
          </w:p>
        </w:tc>
        <w:tc>
          <w:tcPr>
            <w:tcW w:w="857" w:type="dxa"/>
            <w:tcBorders>
              <w:top w:val="nil"/>
              <w:left w:val="nil"/>
              <w:bottom w:val="single" w:sz="4" w:space="0" w:color="BFBFBF"/>
              <w:right w:val="single" w:sz="4" w:space="0" w:color="BFBFBF"/>
            </w:tcBorders>
            <w:shd w:val="clear" w:color="auto" w:fill="auto"/>
            <w:noWrap/>
            <w:vAlign w:val="center"/>
          </w:tcPr>
          <w:p w14:paraId="6F7D5ECC"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 xml:space="preserve">Summer </w:t>
            </w:r>
          </w:p>
        </w:tc>
        <w:tc>
          <w:tcPr>
            <w:tcW w:w="808" w:type="dxa"/>
            <w:tcBorders>
              <w:top w:val="nil"/>
              <w:left w:val="nil"/>
              <w:bottom w:val="single" w:sz="4" w:space="0" w:color="BFBFBF"/>
              <w:right w:val="single" w:sz="4" w:space="0" w:color="BFBFBF"/>
            </w:tcBorders>
            <w:shd w:val="clear" w:color="auto" w:fill="auto"/>
            <w:noWrap/>
            <w:vAlign w:val="center"/>
          </w:tcPr>
          <w:p w14:paraId="37AAA787"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Winter</w:t>
            </w:r>
          </w:p>
        </w:tc>
        <w:tc>
          <w:tcPr>
            <w:tcW w:w="808" w:type="dxa"/>
            <w:tcBorders>
              <w:top w:val="nil"/>
              <w:left w:val="nil"/>
              <w:bottom w:val="single" w:sz="4" w:space="0" w:color="BFBFBF"/>
              <w:right w:val="single" w:sz="4" w:space="0" w:color="auto"/>
            </w:tcBorders>
            <w:shd w:val="clear" w:color="auto" w:fill="auto"/>
            <w:noWrap/>
            <w:vAlign w:val="center"/>
          </w:tcPr>
          <w:p w14:paraId="28E9C3C8"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Total</w:t>
            </w:r>
          </w:p>
        </w:tc>
        <w:tc>
          <w:tcPr>
            <w:tcW w:w="808" w:type="dxa"/>
            <w:vMerge/>
            <w:tcBorders>
              <w:top w:val="nil"/>
              <w:left w:val="nil"/>
              <w:bottom w:val="single" w:sz="4" w:space="0" w:color="BFBFBF"/>
              <w:right w:val="double" w:sz="6" w:space="0" w:color="auto"/>
            </w:tcBorders>
            <w:vAlign w:val="center"/>
          </w:tcPr>
          <w:p w14:paraId="2B088C0D" w14:textId="77777777" w:rsidR="001E0EBD" w:rsidRPr="00434119" w:rsidRDefault="001E0EBD" w:rsidP="001E0EBD">
            <w:pPr>
              <w:spacing w:before="0" w:after="0"/>
              <w:rPr>
                <w:rFonts w:ascii="Arial" w:hAnsi="Arial" w:cs="Arial"/>
                <w:b/>
                <w:bCs/>
                <w:color w:val="000000"/>
                <w:sz w:val="16"/>
                <w:szCs w:val="16"/>
                <w:lang w:val="en-AU" w:eastAsia="en-AU"/>
              </w:rPr>
            </w:pPr>
          </w:p>
        </w:tc>
      </w:tr>
      <w:tr w:rsidR="00EA09AE" w:rsidRPr="00434119" w14:paraId="4F0107B7" w14:textId="77777777" w:rsidTr="009748AD">
        <w:trPr>
          <w:trHeight w:val="212"/>
          <w:tblHeader/>
          <w:jc w:val="center"/>
        </w:trPr>
        <w:tc>
          <w:tcPr>
            <w:tcW w:w="2150" w:type="dxa"/>
            <w:vMerge/>
            <w:tcBorders>
              <w:top w:val="double" w:sz="6" w:space="0" w:color="auto"/>
              <w:left w:val="double" w:sz="6" w:space="0" w:color="auto"/>
              <w:bottom w:val="single" w:sz="4" w:space="0" w:color="BFBFBF"/>
              <w:right w:val="nil"/>
            </w:tcBorders>
            <w:vAlign w:val="center"/>
          </w:tcPr>
          <w:p w14:paraId="2B6CD58F" w14:textId="77777777" w:rsidR="001E0EBD" w:rsidRPr="00434119" w:rsidRDefault="001E0EBD" w:rsidP="001E0EBD">
            <w:pPr>
              <w:spacing w:before="0" w:after="0"/>
              <w:rPr>
                <w:rFonts w:ascii="Arial" w:hAnsi="Arial" w:cs="Arial"/>
                <w:b/>
                <w:bCs/>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949A366" w14:textId="77777777" w:rsidR="001E0EBD" w:rsidRPr="00434119" w:rsidRDefault="001E0EBD" w:rsidP="00386599">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n=1,</w:t>
            </w:r>
            <w:r w:rsidR="00386599" w:rsidRPr="00434119">
              <w:rPr>
                <w:rFonts w:ascii="Arial" w:hAnsi="Arial" w:cs="Arial"/>
                <w:b/>
                <w:bCs/>
                <w:color w:val="000000"/>
                <w:sz w:val="16"/>
                <w:szCs w:val="16"/>
                <w:lang w:val="en-AU" w:eastAsia="en-AU"/>
              </w:rPr>
              <w:t>851</w:t>
            </w:r>
          </w:p>
        </w:tc>
        <w:tc>
          <w:tcPr>
            <w:tcW w:w="808" w:type="dxa"/>
            <w:tcBorders>
              <w:top w:val="nil"/>
              <w:left w:val="nil"/>
              <w:bottom w:val="single" w:sz="4" w:space="0" w:color="BFBFBF"/>
              <w:right w:val="single" w:sz="4" w:space="0" w:color="BFBFBF"/>
            </w:tcBorders>
            <w:shd w:val="clear" w:color="auto" w:fill="auto"/>
            <w:noWrap/>
            <w:vAlign w:val="center"/>
          </w:tcPr>
          <w:p w14:paraId="690E3F5E"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n=2,060</w:t>
            </w:r>
          </w:p>
        </w:tc>
        <w:tc>
          <w:tcPr>
            <w:tcW w:w="808" w:type="dxa"/>
            <w:tcBorders>
              <w:top w:val="nil"/>
              <w:left w:val="nil"/>
              <w:bottom w:val="single" w:sz="4" w:space="0" w:color="BFBFBF"/>
              <w:right w:val="single" w:sz="4" w:space="0" w:color="BFBFBF"/>
            </w:tcBorders>
            <w:shd w:val="clear" w:color="auto" w:fill="auto"/>
            <w:noWrap/>
            <w:vAlign w:val="center"/>
          </w:tcPr>
          <w:p w14:paraId="62A1E5A5"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n=2,005</w:t>
            </w:r>
          </w:p>
        </w:tc>
        <w:tc>
          <w:tcPr>
            <w:tcW w:w="808" w:type="dxa"/>
            <w:tcBorders>
              <w:top w:val="nil"/>
              <w:left w:val="nil"/>
              <w:bottom w:val="single" w:sz="4" w:space="0" w:color="BFBFBF"/>
              <w:right w:val="single" w:sz="4" w:space="0" w:color="auto"/>
            </w:tcBorders>
            <w:shd w:val="clear" w:color="auto" w:fill="auto"/>
            <w:noWrap/>
            <w:vAlign w:val="center"/>
          </w:tcPr>
          <w:p w14:paraId="77F3C560"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n=1,943</w:t>
            </w:r>
          </w:p>
        </w:tc>
        <w:tc>
          <w:tcPr>
            <w:tcW w:w="878" w:type="dxa"/>
            <w:vMerge/>
            <w:tcBorders>
              <w:top w:val="double" w:sz="6" w:space="0" w:color="auto"/>
              <w:left w:val="single" w:sz="4" w:space="0" w:color="auto"/>
              <w:bottom w:val="single" w:sz="4" w:space="0" w:color="BFBFBF"/>
              <w:right w:val="single" w:sz="4" w:space="0" w:color="BFBFBF"/>
            </w:tcBorders>
            <w:vAlign w:val="center"/>
          </w:tcPr>
          <w:p w14:paraId="5DE7FD4B" w14:textId="77777777" w:rsidR="001E0EBD" w:rsidRPr="00434119" w:rsidRDefault="001E0EBD" w:rsidP="001E0EBD">
            <w:pPr>
              <w:spacing w:before="0" w:after="0"/>
              <w:rPr>
                <w:rFonts w:ascii="Arial" w:hAnsi="Arial" w:cs="Arial"/>
                <w:b/>
                <w:bCs/>
                <w:color w:val="000000"/>
                <w:sz w:val="16"/>
                <w:szCs w:val="16"/>
                <w:lang w:val="en-AU" w:eastAsia="en-AU"/>
              </w:rPr>
            </w:pPr>
          </w:p>
        </w:tc>
        <w:tc>
          <w:tcPr>
            <w:tcW w:w="851" w:type="dxa"/>
            <w:vMerge/>
            <w:tcBorders>
              <w:top w:val="double" w:sz="6" w:space="0" w:color="auto"/>
              <w:left w:val="single" w:sz="4" w:space="0" w:color="BFBFBF"/>
              <w:bottom w:val="single" w:sz="4" w:space="0" w:color="BFBFBF"/>
              <w:right w:val="single" w:sz="4" w:space="0" w:color="BFBFBF"/>
            </w:tcBorders>
            <w:vAlign w:val="center"/>
          </w:tcPr>
          <w:p w14:paraId="27ED052F" w14:textId="77777777" w:rsidR="001E0EBD" w:rsidRPr="00434119" w:rsidRDefault="001E0EBD" w:rsidP="001E0EBD">
            <w:pPr>
              <w:spacing w:before="0" w:after="0"/>
              <w:rPr>
                <w:rFonts w:ascii="Arial" w:hAnsi="Arial" w:cs="Arial"/>
                <w:b/>
                <w:bCs/>
                <w:color w:val="000000"/>
                <w:sz w:val="16"/>
                <w:szCs w:val="16"/>
                <w:lang w:val="en-AU" w:eastAsia="en-AU"/>
              </w:rPr>
            </w:pPr>
          </w:p>
        </w:tc>
        <w:tc>
          <w:tcPr>
            <w:tcW w:w="776" w:type="dxa"/>
            <w:vMerge/>
            <w:tcBorders>
              <w:top w:val="double" w:sz="6" w:space="0" w:color="auto"/>
              <w:left w:val="single" w:sz="4" w:space="0" w:color="BFBFBF"/>
              <w:bottom w:val="single" w:sz="4" w:space="0" w:color="BFBFBF"/>
              <w:right w:val="single" w:sz="4" w:space="0" w:color="auto"/>
            </w:tcBorders>
            <w:vAlign w:val="center"/>
          </w:tcPr>
          <w:p w14:paraId="4AEC94DF" w14:textId="77777777" w:rsidR="001E0EBD" w:rsidRPr="00434119" w:rsidRDefault="001E0EBD" w:rsidP="001E0EBD">
            <w:pPr>
              <w:spacing w:before="0" w:after="0"/>
              <w:rPr>
                <w:rFonts w:ascii="Arial" w:hAnsi="Arial" w:cs="Arial"/>
                <w:b/>
                <w:bCs/>
                <w:color w:val="000000"/>
                <w:sz w:val="16"/>
                <w:szCs w:val="16"/>
                <w:lang w:val="en-AU" w:eastAsia="en-AU"/>
              </w:rPr>
            </w:pPr>
          </w:p>
        </w:tc>
        <w:tc>
          <w:tcPr>
            <w:tcW w:w="857" w:type="dxa"/>
            <w:tcBorders>
              <w:top w:val="nil"/>
              <w:left w:val="nil"/>
              <w:bottom w:val="single" w:sz="4" w:space="0" w:color="BFBFBF"/>
              <w:right w:val="single" w:sz="4" w:space="0" w:color="BFBFBF"/>
            </w:tcBorders>
            <w:shd w:val="clear" w:color="auto" w:fill="auto"/>
            <w:noWrap/>
            <w:vAlign w:val="center"/>
          </w:tcPr>
          <w:p w14:paraId="7117FCB6" w14:textId="77777777" w:rsidR="001E0EBD" w:rsidRPr="00434119" w:rsidRDefault="001E0EBD" w:rsidP="00386599">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n=18</w:t>
            </w:r>
            <w:r w:rsidR="00386599" w:rsidRPr="00434119">
              <w:rPr>
                <w:rFonts w:ascii="Arial" w:hAnsi="Arial" w:cs="Arial"/>
                <w:b/>
                <w:bCs/>
                <w:color w:val="000000"/>
                <w:sz w:val="16"/>
                <w:szCs w:val="16"/>
                <w:lang w:val="en-AU" w:eastAsia="en-AU"/>
              </w:rPr>
              <w:t>2</w:t>
            </w:r>
          </w:p>
        </w:tc>
        <w:tc>
          <w:tcPr>
            <w:tcW w:w="714" w:type="dxa"/>
            <w:tcBorders>
              <w:top w:val="nil"/>
              <w:left w:val="nil"/>
              <w:bottom w:val="single" w:sz="4" w:space="0" w:color="BFBFBF"/>
              <w:right w:val="single" w:sz="4" w:space="0" w:color="BFBFBF"/>
            </w:tcBorders>
            <w:shd w:val="clear" w:color="auto" w:fill="auto"/>
            <w:noWrap/>
            <w:vAlign w:val="center"/>
          </w:tcPr>
          <w:p w14:paraId="4046B9D1" w14:textId="77777777" w:rsidR="001E0EBD" w:rsidRPr="00434119" w:rsidRDefault="001E0EBD" w:rsidP="00386599">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n=1</w:t>
            </w:r>
            <w:r w:rsidR="00386599" w:rsidRPr="00434119">
              <w:rPr>
                <w:rFonts w:ascii="Arial" w:hAnsi="Arial" w:cs="Arial"/>
                <w:b/>
                <w:bCs/>
                <w:color w:val="000000"/>
                <w:sz w:val="16"/>
                <w:szCs w:val="16"/>
                <w:lang w:val="en-AU" w:eastAsia="en-AU"/>
              </w:rPr>
              <w:t>79</w:t>
            </w:r>
          </w:p>
        </w:tc>
        <w:tc>
          <w:tcPr>
            <w:tcW w:w="675" w:type="dxa"/>
            <w:tcBorders>
              <w:top w:val="nil"/>
              <w:left w:val="nil"/>
              <w:bottom w:val="single" w:sz="4" w:space="0" w:color="BFBFBF"/>
              <w:right w:val="nil"/>
            </w:tcBorders>
            <w:shd w:val="clear" w:color="auto" w:fill="auto"/>
            <w:noWrap/>
            <w:vAlign w:val="center"/>
          </w:tcPr>
          <w:p w14:paraId="74536FBF" w14:textId="77777777" w:rsidR="001E0EBD" w:rsidRPr="00434119" w:rsidRDefault="001E0EBD" w:rsidP="00386599">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w:t>
            </w:r>
            <w:r w:rsidR="00386599" w:rsidRPr="00434119">
              <w:rPr>
                <w:rFonts w:ascii="Arial" w:hAnsi="Arial" w:cs="Arial"/>
                <w:b/>
                <w:bCs/>
                <w:color w:val="000000"/>
                <w:sz w:val="16"/>
                <w:szCs w:val="16"/>
                <w:lang w:val="en-AU" w:eastAsia="en-AU"/>
              </w:rPr>
              <w:t>250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FF2F703"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n=2,060</w:t>
            </w:r>
          </w:p>
        </w:tc>
        <w:tc>
          <w:tcPr>
            <w:tcW w:w="808" w:type="dxa"/>
            <w:tcBorders>
              <w:top w:val="nil"/>
              <w:left w:val="nil"/>
              <w:bottom w:val="single" w:sz="4" w:space="0" w:color="BFBFBF"/>
              <w:right w:val="single" w:sz="4" w:space="0" w:color="BFBFBF"/>
            </w:tcBorders>
            <w:shd w:val="clear" w:color="auto" w:fill="auto"/>
            <w:noWrap/>
            <w:vAlign w:val="center"/>
          </w:tcPr>
          <w:p w14:paraId="66FAF50B"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n=2,060</w:t>
            </w:r>
          </w:p>
        </w:tc>
        <w:tc>
          <w:tcPr>
            <w:tcW w:w="808" w:type="dxa"/>
            <w:tcBorders>
              <w:top w:val="nil"/>
              <w:left w:val="nil"/>
              <w:bottom w:val="single" w:sz="4" w:space="0" w:color="BFBFBF"/>
              <w:right w:val="single" w:sz="4" w:space="0" w:color="auto"/>
            </w:tcBorders>
            <w:shd w:val="clear" w:color="auto" w:fill="auto"/>
            <w:noWrap/>
            <w:vAlign w:val="center"/>
          </w:tcPr>
          <w:p w14:paraId="4497A7B9"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n=2,060</w:t>
            </w:r>
          </w:p>
        </w:tc>
        <w:tc>
          <w:tcPr>
            <w:tcW w:w="857" w:type="dxa"/>
            <w:tcBorders>
              <w:top w:val="nil"/>
              <w:left w:val="nil"/>
              <w:bottom w:val="single" w:sz="4" w:space="0" w:color="BFBFBF"/>
              <w:right w:val="single" w:sz="4" w:space="0" w:color="BFBFBF"/>
            </w:tcBorders>
            <w:shd w:val="clear" w:color="auto" w:fill="auto"/>
            <w:noWrap/>
            <w:vAlign w:val="center"/>
          </w:tcPr>
          <w:p w14:paraId="090A404C"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n=2,004</w:t>
            </w:r>
          </w:p>
        </w:tc>
        <w:tc>
          <w:tcPr>
            <w:tcW w:w="808" w:type="dxa"/>
            <w:tcBorders>
              <w:top w:val="nil"/>
              <w:left w:val="nil"/>
              <w:bottom w:val="single" w:sz="4" w:space="0" w:color="BFBFBF"/>
              <w:right w:val="single" w:sz="4" w:space="0" w:color="BFBFBF"/>
            </w:tcBorders>
            <w:shd w:val="clear" w:color="auto" w:fill="auto"/>
            <w:noWrap/>
            <w:vAlign w:val="center"/>
          </w:tcPr>
          <w:p w14:paraId="69516026"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n=2,003</w:t>
            </w:r>
          </w:p>
        </w:tc>
        <w:tc>
          <w:tcPr>
            <w:tcW w:w="808" w:type="dxa"/>
            <w:tcBorders>
              <w:top w:val="nil"/>
              <w:left w:val="nil"/>
              <w:bottom w:val="single" w:sz="4" w:space="0" w:color="BFBFBF"/>
              <w:right w:val="single" w:sz="4" w:space="0" w:color="auto"/>
            </w:tcBorders>
            <w:shd w:val="clear" w:color="auto" w:fill="auto"/>
            <w:noWrap/>
            <w:vAlign w:val="center"/>
          </w:tcPr>
          <w:p w14:paraId="71E28903"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n=2,005</w:t>
            </w:r>
          </w:p>
        </w:tc>
        <w:tc>
          <w:tcPr>
            <w:tcW w:w="808" w:type="dxa"/>
            <w:tcBorders>
              <w:top w:val="nil"/>
              <w:left w:val="nil"/>
              <w:bottom w:val="single" w:sz="4" w:space="0" w:color="BFBFBF"/>
              <w:right w:val="double" w:sz="6" w:space="0" w:color="auto"/>
            </w:tcBorders>
            <w:shd w:val="clear" w:color="auto" w:fill="auto"/>
            <w:noWrap/>
            <w:vAlign w:val="center"/>
          </w:tcPr>
          <w:p w14:paraId="1AAF37EC" w14:textId="77777777" w:rsidR="001E0EBD" w:rsidRPr="00434119" w:rsidRDefault="001E0EBD"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n=1,943</w:t>
            </w:r>
          </w:p>
        </w:tc>
      </w:tr>
      <w:tr w:rsidR="00EA09AE" w:rsidRPr="00434119" w14:paraId="61A6CB7F"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7591CD0C" w14:textId="77777777" w:rsidR="001E0EBD" w:rsidRPr="00434119" w:rsidRDefault="001E0EBD" w:rsidP="001E0EBD">
            <w:pPr>
              <w:spacing w:before="0" w:after="0"/>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By Region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5742FD4" w14:textId="77777777" w:rsidR="001E0EBD" w:rsidRPr="00434119" w:rsidRDefault="001E0EBD" w:rsidP="001E0EBD">
            <w:pPr>
              <w:spacing w:before="0" w:after="0"/>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55BDC91"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0296697"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3F51865F"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78" w:type="dxa"/>
            <w:tcBorders>
              <w:top w:val="nil"/>
              <w:left w:val="nil"/>
              <w:bottom w:val="single" w:sz="4" w:space="0" w:color="BFBFBF"/>
              <w:right w:val="single" w:sz="4" w:space="0" w:color="BFBFBF"/>
            </w:tcBorders>
            <w:shd w:val="clear" w:color="auto" w:fill="auto"/>
            <w:noWrap/>
            <w:vAlign w:val="center"/>
          </w:tcPr>
          <w:p w14:paraId="359CCA59"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1" w:type="dxa"/>
            <w:tcBorders>
              <w:top w:val="nil"/>
              <w:left w:val="nil"/>
              <w:bottom w:val="single" w:sz="4" w:space="0" w:color="BFBFBF"/>
              <w:right w:val="single" w:sz="4" w:space="0" w:color="BFBFBF"/>
            </w:tcBorders>
            <w:shd w:val="clear" w:color="auto" w:fill="auto"/>
            <w:noWrap/>
            <w:vAlign w:val="center"/>
          </w:tcPr>
          <w:p w14:paraId="5B0B7805"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776" w:type="dxa"/>
            <w:tcBorders>
              <w:top w:val="nil"/>
              <w:left w:val="nil"/>
              <w:bottom w:val="single" w:sz="4" w:space="0" w:color="BFBFBF"/>
              <w:right w:val="single" w:sz="4" w:space="0" w:color="auto"/>
            </w:tcBorders>
            <w:shd w:val="clear" w:color="auto" w:fill="auto"/>
            <w:noWrap/>
            <w:vAlign w:val="center"/>
          </w:tcPr>
          <w:p w14:paraId="620840CA"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71AA7194"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32D41FB2"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0ED0BCEB"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8EC4142"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A908288"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34EC5121"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68F141E4"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A79BF0B"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7BA2BC18"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2D16E047" w14:textId="77777777" w:rsidR="001E0EBD" w:rsidRPr="00434119" w:rsidRDefault="001E0EBD"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r>
      <w:tr w:rsidR="00386599" w:rsidRPr="00434119" w14:paraId="562181B8"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56D9C0D2"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434119">
                  <w:rPr>
                    <w:rFonts w:ascii="Arial" w:hAnsi="Arial" w:cs="Arial"/>
                    <w:color w:val="000000"/>
                    <w:sz w:val="16"/>
                    <w:szCs w:val="16"/>
                    <w:lang w:val="en-AU" w:eastAsia="en-AU"/>
                  </w:rPr>
                  <w:t>Melbourne</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C71187"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4,308</w:t>
            </w:r>
          </w:p>
        </w:tc>
        <w:tc>
          <w:tcPr>
            <w:tcW w:w="808" w:type="dxa"/>
            <w:tcBorders>
              <w:top w:val="nil"/>
              <w:left w:val="nil"/>
              <w:bottom w:val="single" w:sz="4" w:space="0" w:color="BFBFBF"/>
              <w:right w:val="single" w:sz="4" w:space="0" w:color="BFBFBF"/>
            </w:tcBorders>
            <w:shd w:val="clear" w:color="auto" w:fill="auto"/>
            <w:noWrap/>
            <w:vAlign w:val="center"/>
          </w:tcPr>
          <w:p w14:paraId="41F84EB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5,515</w:t>
            </w:r>
          </w:p>
        </w:tc>
        <w:tc>
          <w:tcPr>
            <w:tcW w:w="808" w:type="dxa"/>
            <w:tcBorders>
              <w:top w:val="nil"/>
              <w:left w:val="nil"/>
              <w:bottom w:val="single" w:sz="4" w:space="0" w:color="BFBFBF"/>
              <w:right w:val="single" w:sz="4" w:space="0" w:color="BFBFBF"/>
            </w:tcBorders>
            <w:shd w:val="clear" w:color="auto" w:fill="auto"/>
            <w:noWrap/>
            <w:vAlign w:val="center"/>
          </w:tcPr>
          <w:p w14:paraId="6DEFD6C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5,083</w:t>
            </w:r>
          </w:p>
        </w:tc>
        <w:tc>
          <w:tcPr>
            <w:tcW w:w="808" w:type="dxa"/>
            <w:tcBorders>
              <w:top w:val="nil"/>
              <w:left w:val="nil"/>
              <w:bottom w:val="single" w:sz="4" w:space="0" w:color="BFBFBF"/>
              <w:right w:val="single" w:sz="4" w:space="0" w:color="auto"/>
            </w:tcBorders>
            <w:shd w:val="clear" w:color="auto" w:fill="auto"/>
            <w:noWrap/>
            <w:vAlign w:val="center"/>
          </w:tcPr>
          <w:p w14:paraId="25109C5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4,597</w:t>
            </w:r>
          </w:p>
        </w:tc>
        <w:tc>
          <w:tcPr>
            <w:tcW w:w="878" w:type="dxa"/>
            <w:tcBorders>
              <w:top w:val="nil"/>
              <w:left w:val="nil"/>
              <w:bottom w:val="single" w:sz="4" w:space="0" w:color="BFBFBF"/>
              <w:right w:val="single" w:sz="4" w:space="0" w:color="BFBFBF"/>
            </w:tcBorders>
            <w:shd w:val="clear" w:color="auto" w:fill="auto"/>
            <w:noWrap/>
            <w:vAlign w:val="center"/>
          </w:tcPr>
          <w:p w14:paraId="094B7B9F"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-21.9%</w:t>
            </w:r>
          </w:p>
        </w:tc>
        <w:tc>
          <w:tcPr>
            <w:tcW w:w="851" w:type="dxa"/>
            <w:tcBorders>
              <w:top w:val="nil"/>
              <w:left w:val="nil"/>
              <w:bottom w:val="single" w:sz="4" w:space="0" w:color="BFBFBF"/>
              <w:right w:val="single" w:sz="4" w:space="0" w:color="BFBFBF"/>
            </w:tcBorders>
            <w:shd w:val="clear" w:color="auto" w:fill="auto"/>
            <w:noWrap/>
            <w:vAlign w:val="center"/>
          </w:tcPr>
          <w:p w14:paraId="2FD2427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8.5%</w:t>
            </w:r>
          </w:p>
        </w:tc>
        <w:tc>
          <w:tcPr>
            <w:tcW w:w="776" w:type="dxa"/>
            <w:tcBorders>
              <w:top w:val="nil"/>
              <w:left w:val="nil"/>
              <w:bottom w:val="single" w:sz="4" w:space="0" w:color="BFBFBF"/>
              <w:right w:val="single" w:sz="4" w:space="0" w:color="auto"/>
            </w:tcBorders>
            <w:shd w:val="clear" w:color="auto" w:fill="auto"/>
            <w:noWrap/>
            <w:vAlign w:val="center"/>
          </w:tcPr>
          <w:p w14:paraId="304C1EC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10.6%</w:t>
            </w:r>
          </w:p>
        </w:tc>
        <w:tc>
          <w:tcPr>
            <w:tcW w:w="857" w:type="dxa"/>
            <w:tcBorders>
              <w:top w:val="nil"/>
              <w:left w:val="nil"/>
              <w:bottom w:val="single" w:sz="4" w:space="0" w:color="BFBFBF"/>
              <w:right w:val="single" w:sz="4" w:space="0" w:color="BFBFBF"/>
            </w:tcBorders>
            <w:shd w:val="clear" w:color="auto" w:fill="auto"/>
            <w:noWrap/>
            <w:vAlign w:val="center"/>
          </w:tcPr>
          <w:p w14:paraId="734497F2"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1,381</w:t>
            </w:r>
          </w:p>
        </w:tc>
        <w:tc>
          <w:tcPr>
            <w:tcW w:w="714" w:type="dxa"/>
            <w:tcBorders>
              <w:top w:val="nil"/>
              <w:left w:val="nil"/>
              <w:bottom w:val="single" w:sz="4" w:space="0" w:color="BFBFBF"/>
              <w:right w:val="single" w:sz="4" w:space="0" w:color="BFBFBF"/>
            </w:tcBorders>
            <w:shd w:val="clear" w:color="auto" w:fill="auto"/>
            <w:noWrap/>
            <w:vAlign w:val="center"/>
          </w:tcPr>
          <w:p w14:paraId="298603D8"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2,157</w:t>
            </w:r>
          </w:p>
        </w:tc>
        <w:tc>
          <w:tcPr>
            <w:tcW w:w="675" w:type="dxa"/>
            <w:tcBorders>
              <w:top w:val="nil"/>
              <w:left w:val="nil"/>
              <w:bottom w:val="single" w:sz="4" w:space="0" w:color="BFBFBF"/>
              <w:right w:val="nil"/>
            </w:tcBorders>
            <w:shd w:val="clear" w:color="auto" w:fill="auto"/>
            <w:noWrap/>
            <w:vAlign w:val="center"/>
          </w:tcPr>
          <w:p w14:paraId="154E42B9"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3,317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662711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2,001</w:t>
            </w:r>
          </w:p>
        </w:tc>
        <w:tc>
          <w:tcPr>
            <w:tcW w:w="808" w:type="dxa"/>
            <w:tcBorders>
              <w:top w:val="nil"/>
              <w:left w:val="nil"/>
              <w:bottom w:val="single" w:sz="4" w:space="0" w:color="BFBFBF"/>
              <w:right w:val="single" w:sz="4" w:space="0" w:color="BFBFBF"/>
            </w:tcBorders>
            <w:shd w:val="clear" w:color="auto" w:fill="auto"/>
            <w:noWrap/>
            <w:vAlign w:val="center"/>
          </w:tcPr>
          <w:p w14:paraId="3999A74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2,988</w:t>
            </w:r>
          </w:p>
        </w:tc>
        <w:tc>
          <w:tcPr>
            <w:tcW w:w="808" w:type="dxa"/>
            <w:tcBorders>
              <w:top w:val="nil"/>
              <w:left w:val="nil"/>
              <w:bottom w:val="single" w:sz="4" w:space="0" w:color="BFBFBF"/>
              <w:right w:val="single" w:sz="4" w:space="0" w:color="auto"/>
            </w:tcBorders>
            <w:shd w:val="clear" w:color="auto" w:fill="auto"/>
            <w:noWrap/>
            <w:vAlign w:val="center"/>
          </w:tcPr>
          <w:p w14:paraId="56B2DE2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5,079</w:t>
            </w:r>
          </w:p>
        </w:tc>
        <w:tc>
          <w:tcPr>
            <w:tcW w:w="857" w:type="dxa"/>
            <w:tcBorders>
              <w:top w:val="nil"/>
              <w:left w:val="nil"/>
              <w:bottom w:val="single" w:sz="4" w:space="0" w:color="BFBFBF"/>
              <w:right w:val="single" w:sz="4" w:space="0" w:color="BFBFBF"/>
            </w:tcBorders>
            <w:shd w:val="clear" w:color="auto" w:fill="auto"/>
            <w:noWrap/>
            <w:vAlign w:val="center"/>
          </w:tcPr>
          <w:p w14:paraId="2701611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1,784</w:t>
            </w:r>
          </w:p>
        </w:tc>
        <w:tc>
          <w:tcPr>
            <w:tcW w:w="808" w:type="dxa"/>
            <w:tcBorders>
              <w:top w:val="nil"/>
              <w:left w:val="nil"/>
              <w:bottom w:val="single" w:sz="4" w:space="0" w:color="BFBFBF"/>
              <w:right w:val="single" w:sz="4" w:space="0" w:color="BFBFBF"/>
            </w:tcBorders>
            <w:shd w:val="clear" w:color="auto" w:fill="auto"/>
            <w:noWrap/>
            <w:vAlign w:val="center"/>
          </w:tcPr>
          <w:p w14:paraId="7AF5E6B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2,669</w:t>
            </w:r>
          </w:p>
        </w:tc>
        <w:tc>
          <w:tcPr>
            <w:tcW w:w="808" w:type="dxa"/>
            <w:tcBorders>
              <w:top w:val="nil"/>
              <w:left w:val="nil"/>
              <w:bottom w:val="single" w:sz="4" w:space="0" w:color="BFBFBF"/>
              <w:right w:val="single" w:sz="4" w:space="0" w:color="auto"/>
            </w:tcBorders>
            <w:shd w:val="clear" w:color="auto" w:fill="auto"/>
            <w:noWrap/>
            <w:vAlign w:val="center"/>
          </w:tcPr>
          <w:p w14:paraId="46A22D3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4,451</w:t>
            </w:r>
          </w:p>
        </w:tc>
        <w:tc>
          <w:tcPr>
            <w:tcW w:w="808" w:type="dxa"/>
            <w:tcBorders>
              <w:top w:val="nil"/>
              <w:left w:val="nil"/>
              <w:bottom w:val="single" w:sz="4" w:space="0" w:color="BFBFBF"/>
              <w:right w:val="double" w:sz="6" w:space="0" w:color="auto"/>
            </w:tcBorders>
            <w:shd w:val="clear" w:color="auto" w:fill="auto"/>
            <w:noWrap/>
            <w:vAlign w:val="center"/>
          </w:tcPr>
          <w:p w14:paraId="56AD6C5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3,725</w:t>
            </w:r>
          </w:p>
        </w:tc>
      </w:tr>
      <w:tr w:rsidR="00386599" w:rsidRPr="00434119" w14:paraId="1240C7FA"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5E7A5A51"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Country VIC</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6E7B38A"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4,838</w:t>
            </w:r>
          </w:p>
        </w:tc>
        <w:tc>
          <w:tcPr>
            <w:tcW w:w="808" w:type="dxa"/>
            <w:tcBorders>
              <w:top w:val="nil"/>
              <w:left w:val="nil"/>
              <w:bottom w:val="single" w:sz="4" w:space="0" w:color="BFBFBF"/>
              <w:right w:val="single" w:sz="4" w:space="0" w:color="BFBFBF"/>
            </w:tcBorders>
            <w:shd w:val="clear" w:color="auto" w:fill="auto"/>
            <w:noWrap/>
            <w:vAlign w:val="center"/>
          </w:tcPr>
          <w:p w14:paraId="51DF6E0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5,573</w:t>
            </w:r>
          </w:p>
        </w:tc>
        <w:tc>
          <w:tcPr>
            <w:tcW w:w="808" w:type="dxa"/>
            <w:tcBorders>
              <w:top w:val="nil"/>
              <w:left w:val="nil"/>
              <w:bottom w:val="single" w:sz="4" w:space="0" w:color="BFBFBF"/>
              <w:right w:val="single" w:sz="4" w:space="0" w:color="BFBFBF"/>
            </w:tcBorders>
            <w:shd w:val="clear" w:color="auto" w:fill="auto"/>
            <w:noWrap/>
            <w:vAlign w:val="center"/>
          </w:tcPr>
          <w:p w14:paraId="038BF10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5,464</w:t>
            </w:r>
          </w:p>
        </w:tc>
        <w:tc>
          <w:tcPr>
            <w:tcW w:w="808" w:type="dxa"/>
            <w:tcBorders>
              <w:top w:val="nil"/>
              <w:left w:val="nil"/>
              <w:bottom w:val="single" w:sz="4" w:space="0" w:color="BFBFBF"/>
              <w:right w:val="single" w:sz="4" w:space="0" w:color="auto"/>
            </w:tcBorders>
            <w:shd w:val="clear" w:color="auto" w:fill="auto"/>
            <w:noWrap/>
            <w:vAlign w:val="center"/>
          </w:tcPr>
          <w:p w14:paraId="2AAAA37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4,364</w:t>
            </w:r>
          </w:p>
        </w:tc>
        <w:tc>
          <w:tcPr>
            <w:tcW w:w="878" w:type="dxa"/>
            <w:tcBorders>
              <w:top w:val="nil"/>
              <w:left w:val="nil"/>
              <w:bottom w:val="single" w:sz="4" w:space="0" w:color="BFBFBF"/>
              <w:right w:val="single" w:sz="4" w:space="0" w:color="BFBFBF"/>
            </w:tcBorders>
            <w:shd w:val="clear" w:color="auto" w:fill="auto"/>
            <w:noWrap/>
            <w:vAlign w:val="center"/>
          </w:tcPr>
          <w:p w14:paraId="6F4EB53E"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-13.2%</w:t>
            </w:r>
          </w:p>
        </w:tc>
        <w:tc>
          <w:tcPr>
            <w:tcW w:w="851" w:type="dxa"/>
            <w:tcBorders>
              <w:top w:val="nil"/>
              <w:left w:val="nil"/>
              <w:bottom w:val="single" w:sz="4" w:space="0" w:color="BFBFBF"/>
              <w:right w:val="single" w:sz="4" w:space="0" w:color="BFBFBF"/>
            </w:tcBorders>
            <w:shd w:val="clear" w:color="auto" w:fill="auto"/>
            <w:noWrap/>
            <w:vAlign w:val="center"/>
          </w:tcPr>
          <w:p w14:paraId="398C0CA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2.0%</w:t>
            </w:r>
          </w:p>
        </w:tc>
        <w:tc>
          <w:tcPr>
            <w:tcW w:w="776" w:type="dxa"/>
            <w:tcBorders>
              <w:top w:val="nil"/>
              <w:left w:val="nil"/>
              <w:bottom w:val="single" w:sz="4" w:space="0" w:color="BFBFBF"/>
              <w:right w:val="single" w:sz="4" w:space="0" w:color="auto"/>
            </w:tcBorders>
            <w:shd w:val="clear" w:color="auto" w:fill="auto"/>
            <w:noWrap/>
            <w:vAlign w:val="center"/>
          </w:tcPr>
          <w:p w14:paraId="4CCD2EC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25.2%</w:t>
            </w:r>
          </w:p>
        </w:tc>
        <w:tc>
          <w:tcPr>
            <w:tcW w:w="857" w:type="dxa"/>
            <w:tcBorders>
              <w:top w:val="nil"/>
              <w:left w:val="nil"/>
              <w:bottom w:val="single" w:sz="4" w:space="0" w:color="BFBFBF"/>
              <w:right w:val="single" w:sz="4" w:space="0" w:color="BFBFBF"/>
            </w:tcBorders>
            <w:shd w:val="clear" w:color="auto" w:fill="auto"/>
            <w:noWrap/>
            <w:vAlign w:val="center"/>
          </w:tcPr>
          <w:p w14:paraId="7687EA78"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1,214</w:t>
            </w:r>
          </w:p>
        </w:tc>
        <w:tc>
          <w:tcPr>
            <w:tcW w:w="714" w:type="dxa"/>
            <w:tcBorders>
              <w:top w:val="nil"/>
              <w:left w:val="nil"/>
              <w:bottom w:val="single" w:sz="4" w:space="0" w:color="BFBFBF"/>
              <w:right w:val="single" w:sz="4" w:space="0" w:color="BFBFBF"/>
            </w:tcBorders>
            <w:shd w:val="clear" w:color="auto" w:fill="auto"/>
            <w:noWrap/>
            <w:vAlign w:val="center"/>
          </w:tcPr>
          <w:p w14:paraId="573AF28E"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1,814</w:t>
            </w:r>
          </w:p>
        </w:tc>
        <w:tc>
          <w:tcPr>
            <w:tcW w:w="675" w:type="dxa"/>
            <w:tcBorders>
              <w:top w:val="nil"/>
              <w:left w:val="nil"/>
              <w:bottom w:val="single" w:sz="4" w:space="0" w:color="BFBFBF"/>
              <w:right w:val="nil"/>
            </w:tcBorders>
            <w:shd w:val="clear" w:color="auto" w:fill="auto"/>
            <w:noWrap/>
            <w:vAlign w:val="center"/>
          </w:tcPr>
          <w:p w14:paraId="0B782042"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3,208</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A7A425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1,788</w:t>
            </w:r>
          </w:p>
        </w:tc>
        <w:tc>
          <w:tcPr>
            <w:tcW w:w="808" w:type="dxa"/>
            <w:tcBorders>
              <w:top w:val="nil"/>
              <w:left w:val="nil"/>
              <w:bottom w:val="single" w:sz="4" w:space="0" w:color="BFBFBF"/>
              <w:right w:val="single" w:sz="4" w:space="0" w:color="BFBFBF"/>
            </w:tcBorders>
            <w:shd w:val="clear" w:color="auto" w:fill="auto"/>
            <w:noWrap/>
            <w:vAlign w:val="center"/>
          </w:tcPr>
          <w:p w14:paraId="5F4EFC0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2,707</w:t>
            </w:r>
          </w:p>
        </w:tc>
        <w:tc>
          <w:tcPr>
            <w:tcW w:w="808" w:type="dxa"/>
            <w:tcBorders>
              <w:top w:val="nil"/>
              <w:left w:val="nil"/>
              <w:bottom w:val="single" w:sz="4" w:space="0" w:color="BFBFBF"/>
              <w:right w:val="single" w:sz="4" w:space="0" w:color="auto"/>
            </w:tcBorders>
            <w:shd w:val="clear" w:color="auto" w:fill="auto"/>
            <w:noWrap/>
            <w:vAlign w:val="center"/>
          </w:tcPr>
          <w:p w14:paraId="7428B51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4,543</w:t>
            </w:r>
          </w:p>
        </w:tc>
        <w:tc>
          <w:tcPr>
            <w:tcW w:w="857" w:type="dxa"/>
            <w:tcBorders>
              <w:top w:val="nil"/>
              <w:left w:val="nil"/>
              <w:bottom w:val="single" w:sz="4" w:space="0" w:color="BFBFBF"/>
              <w:right w:val="single" w:sz="4" w:space="0" w:color="BFBFBF"/>
            </w:tcBorders>
            <w:shd w:val="clear" w:color="auto" w:fill="auto"/>
            <w:noWrap/>
            <w:vAlign w:val="center"/>
          </w:tcPr>
          <w:p w14:paraId="58B85E4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1,857</w:t>
            </w:r>
          </w:p>
        </w:tc>
        <w:tc>
          <w:tcPr>
            <w:tcW w:w="808" w:type="dxa"/>
            <w:tcBorders>
              <w:top w:val="nil"/>
              <w:left w:val="nil"/>
              <w:bottom w:val="single" w:sz="4" w:space="0" w:color="BFBFBF"/>
              <w:right w:val="single" w:sz="4" w:space="0" w:color="BFBFBF"/>
            </w:tcBorders>
            <w:shd w:val="clear" w:color="auto" w:fill="auto"/>
            <w:noWrap/>
            <w:vAlign w:val="center"/>
          </w:tcPr>
          <w:p w14:paraId="34053CF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2,617</w:t>
            </w:r>
          </w:p>
        </w:tc>
        <w:tc>
          <w:tcPr>
            <w:tcW w:w="808" w:type="dxa"/>
            <w:tcBorders>
              <w:top w:val="nil"/>
              <w:left w:val="nil"/>
              <w:bottom w:val="single" w:sz="4" w:space="0" w:color="BFBFBF"/>
              <w:right w:val="single" w:sz="4" w:space="0" w:color="auto"/>
            </w:tcBorders>
            <w:shd w:val="clear" w:color="auto" w:fill="auto"/>
            <w:noWrap/>
            <w:vAlign w:val="center"/>
          </w:tcPr>
          <w:p w14:paraId="480140B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4,468</w:t>
            </w:r>
          </w:p>
        </w:tc>
        <w:tc>
          <w:tcPr>
            <w:tcW w:w="808" w:type="dxa"/>
            <w:tcBorders>
              <w:top w:val="nil"/>
              <w:left w:val="nil"/>
              <w:bottom w:val="single" w:sz="4" w:space="0" w:color="BFBFBF"/>
              <w:right w:val="double" w:sz="6" w:space="0" w:color="auto"/>
            </w:tcBorders>
            <w:shd w:val="clear" w:color="auto" w:fill="auto"/>
            <w:noWrap/>
            <w:vAlign w:val="center"/>
          </w:tcPr>
          <w:p w14:paraId="731BF2D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3,369</w:t>
            </w:r>
          </w:p>
        </w:tc>
      </w:tr>
      <w:tr w:rsidR="00386599" w:rsidRPr="00434119" w14:paraId="5287DAFA"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5A448495" w14:textId="6DDFD67A" w:rsidR="00386599" w:rsidRPr="00434119" w:rsidRDefault="00BC6314" w:rsidP="001E0EBD">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386599" w:rsidRPr="00434119">
              <w:rPr>
                <w:rFonts w:ascii="Arial" w:hAnsi="Arial" w:cs="Arial"/>
                <w:color w:val="000000"/>
                <w:sz w:val="16"/>
                <w:szCs w:val="16"/>
                <w:lang w:val="en-AU" w:eastAsia="en-AU"/>
              </w:rPr>
              <w:t>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19F1BE7" w14:textId="77777777" w:rsidR="00386599" w:rsidRPr="00434119" w:rsidRDefault="00B70236" w:rsidP="00386599">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6,582</w:t>
            </w:r>
          </w:p>
        </w:tc>
        <w:tc>
          <w:tcPr>
            <w:tcW w:w="808" w:type="dxa"/>
            <w:tcBorders>
              <w:top w:val="nil"/>
              <w:left w:val="nil"/>
              <w:bottom w:val="single" w:sz="4" w:space="0" w:color="BFBFBF"/>
              <w:right w:val="single" w:sz="4" w:space="0" w:color="BFBFBF"/>
            </w:tcBorders>
            <w:shd w:val="clear" w:color="auto" w:fill="auto"/>
            <w:noWrap/>
            <w:vAlign w:val="center"/>
          </w:tcPr>
          <w:p w14:paraId="1FFE233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8,246</w:t>
            </w:r>
          </w:p>
        </w:tc>
        <w:tc>
          <w:tcPr>
            <w:tcW w:w="808" w:type="dxa"/>
            <w:tcBorders>
              <w:top w:val="nil"/>
              <w:left w:val="nil"/>
              <w:bottom w:val="single" w:sz="4" w:space="0" w:color="BFBFBF"/>
              <w:right w:val="single" w:sz="4" w:space="0" w:color="BFBFBF"/>
            </w:tcBorders>
            <w:shd w:val="clear" w:color="auto" w:fill="auto"/>
            <w:noWrap/>
            <w:vAlign w:val="center"/>
          </w:tcPr>
          <w:p w14:paraId="739ACF7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5154506"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6C05AD5A" w14:textId="77777777" w:rsidR="00386599" w:rsidRPr="00434119" w:rsidRDefault="00386599" w:rsidP="00B70236">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w:t>
            </w:r>
            <w:r w:rsidR="00B70236">
              <w:rPr>
                <w:rFonts w:ascii="Arial" w:hAnsi="Arial" w:cs="Arial"/>
                <w:color w:val="000000"/>
                <w:sz w:val="16"/>
                <w:szCs w:val="16"/>
                <w:lang w:val="en-AU" w:eastAsia="en-AU"/>
              </w:rPr>
              <w:t>20.2</w:t>
            </w:r>
            <w:r w:rsidRPr="00434119">
              <w:rPr>
                <w:rFonts w:ascii="Arial" w:hAnsi="Arial" w:cs="Arial"/>
                <w:color w:val="000000"/>
                <w:sz w:val="16"/>
                <w:szCs w:val="16"/>
                <w:lang w:val="en-AU" w:eastAsia="en-AU"/>
              </w:rPr>
              <w:t>%</w:t>
            </w:r>
          </w:p>
        </w:tc>
        <w:tc>
          <w:tcPr>
            <w:tcW w:w="851" w:type="dxa"/>
            <w:tcBorders>
              <w:top w:val="nil"/>
              <w:left w:val="nil"/>
              <w:bottom w:val="single" w:sz="4" w:space="0" w:color="BFBFBF"/>
              <w:right w:val="single" w:sz="4" w:space="0" w:color="BFBFBF"/>
            </w:tcBorders>
            <w:shd w:val="clear" w:color="auto" w:fill="auto"/>
            <w:noWrap/>
            <w:vAlign w:val="center"/>
          </w:tcPr>
          <w:p w14:paraId="30D83C0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728476F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ED5D7EC" w14:textId="77777777" w:rsidR="00386599" w:rsidRPr="00434119" w:rsidRDefault="00386599" w:rsidP="00B70236">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w:t>
            </w:r>
            <w:r w:rsidR="00B70236">
              <w:rPr>
                <w:rFonts w:ascii="Arial" w:hAnsi="Arial" w:cs="Arial"/>
                <w:color w:val="000000"/>
                <w:sz w:val="16"/>
                <w:szCs w:val="16"/>
                <w:lang w:val="en-AU" w:eastAsia="en-AU"/>
              </w:rPr>
              <w:t>804</w:t>
            </w:r>
          </w:p>
        </w:tc>
        <w:tc>
          <w:tcPr>
            <w:tcW w:w="714" w:type="dxa"/>
            <w:tcBorders>
              <w:top w:val="nil"/>
              <w:left w:val="nil"/>
              <w:bottom w:val="single" w:sz="4" w:space="0" w:color="BFBFBF"/>
              <w:right w:val="single" w:sz="4" w:space="0" w:color="BFBFBF"/>
            </w:tcBorders>
            <w:shd w:val="clear" w:color="auto" w:fill="auto"/>
            <w:noWrap/>
            <w:vAlign w:val="center"/>
          </w:tcPr>
          <w:p w14:paraId="4CC95712" w14:textId="77777777" w:rsidR="00386599" w:rsidRPr="00434119" w:rsidRDefault="00B70236" w:rsidP="00386599">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3,237</w:t>
            </w:r>
          </w:p>
        </w:tc>
        <w:tc>
          <w:tcPr>
            <w:tcW w:w="675" w:type="dxa"/>
            <w:tcBorders>
              <w:top w:val="nil"/>
              <w:left w:val="nil"/>
              <w:bottom w:val="single" w:sz="4" w:space="0" w:color="BFBFBF"/>
              <w:right w:val="nil"/>
            </w:tcBorders>
            <w:shd w:val="clear" w:color="auto" w:fill="auto"/>
            <w:noWrap/>
            <w:vAlign w:val="center"/>
          </w:tcPr>
          <w:p w14:paraId="631E1B50" w14:textId="77777777" w:rsidR="00386599" w:rsidRPr="00434119" w:rsidRDefault="00B70236" w:rsidP="00386599">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4,968</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50ABAB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2,029</w:t>
            </w:r>
          </w:p>
        </w:tc>
        <w:tc>
          <w:tcPr>
            <w:tcW w:w="808" w:type="dxa"/>
            <w:tcBorders>
              <w:top w:val="nil"/>
              <w:left w:val="nil"/>
              <w:bottom w:val="single" w:sz="4" w:space="0" w:color="BFBFBF"/>
              <w:right w:val="single" w:sz="4" w:space="0" w:color="BFBFBF"/>
            </w:tcBorders>
            <w:shd w:val="clear" w:color="auto" w:fill="auto"/>
            <w:noWrap/>
            <w:vAlign w:val="center"/>
          </w:tcPr>
          <w:p w14:paraId="57AA7CA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3,056</w:t>
            </w:r>
          </w:p>
        </w:tc>
        <w:tc>
          <w:tcPr>
            <w:tcW w:w="808" w:type="dxa"/>
            <w:tcBorders>
              <w:top w:val="nil"/>
              <w:left w:val="nil"/>
              <w:bottom w:val="single" w:sz="4" w:space="0" w:color="BFBFBF"/>
              <w:right w:val="single" w:sz="4" w:space="0" w:color="auto"/>
            </w:tcBorders>
            <w:shd w:val="clear" w:color="auto" w:fill="auto"/>
            <w:noWrap/>
            <w:vAlign w:val="center"/>
          </w:tcPr>
          <w:p w14:paraId="427C57D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5,214</w:t>
            </w:r>
          </w:p>
        </w:tc>
        <w:tc>
          <w:tcPr>
            <w:tcW w:w="857" w:type="dxa"/>
            <w:tcBorders>
              <w:top w:val="nil"/>
              <w:left w:val="nil"/>
              <w:bottom w:val="single" w:sz="4" w:space="0" w:color="BFBFBF"/>
              <w:right w:val="single" w:sz="4" w:space="0" w:color="BFBFBF"/>
            </w:tcBorders>
            <w:shd w:val="clear" w:color="auto" w:fill="auto"/>
            <w:noWrap/>
            <w:vAlign w:val="center"/>
          </w:tcPr>
          <w:p w14:paraId="3743097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1CF91D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31BD7D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E3496B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4EA69F2C"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40E88E80" w14:textId="77777777" w:rsidR="00386599" w:rsidRPr="00434119" w:rsidRDefault="00386599" w:rsidP="001E0EBD">
            <w:pPr>
              <w:spacing w:before="0" w:after="0"/>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 xml:space="preserve">By DHHS Area -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4AF8AA2"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D66434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73050F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439DE5F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78" w:type="dxa"/>
            <w:tcBorders>
              <w:top w:val="nil"/>
              <w:left w:val="nil"/>
              <w:bottom w:val="single" w:sz="4" w:space="0" w:color="BFBFBF"/>
              <w:right w:val="single" w:sz="4" w:space="0" w:color="BFBFBF"/>
            </w:tcBorders>
            <w:shd w:val="clear" w:color="auto" w:fill="auto"/>
            <w:noWrap/>
            <w:vAlign w:val="center"/>
          </w:tcPr>
          <w:p w14:paraId="1B8C52AF"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1" w:type="dxa"/>
            <w:tcBorders>
              <w:top w:val="nil"/>
              <w:left w:val="nil"/>
              <w:bottom w:val="single" w:sz="4" w:space="0" w:color="BFBFBF"/>
              <w:right w:val="single" w:sz="4" w:space="0" w:color="BFBFBF"/>
            </w:tcBorders>
            <w:shd w:val="clear" w:color="auto" w:fill="auto"/>
            <w:noWrap/>
            <w:vAlign w:val="center"/>
          </w:tcPr>
          <w:p w14:paraId="714CB32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776" w:type="dxa"/>
            <w:tcBorders>
              <w:top w:val="nil"/>
              <w:left w:val="nil"/>
              <w:bottom w:val="single" w:sz="4" w:space="0" w:color="BFBFBF"/>
              <w:right w:val="single" w:sz="4" w:space="0" w:color="auto"/>
            </w:tcBorders>
            <w:shd w:val="clear" w:color="auto" w:fill="auto"/>
            <w:noWrap/>
            <w:vAlign w:val="center"/>
          </w:tcPr>
          <w:p w14:paraId="2681C61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5B9A5CEA"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4BEB6C0D"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219D0FE8"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178015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3D71F3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3ED59A4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238CAE6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70C3F2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5BDF6D7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257683A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r>
      <w:tr w:rsidR="00386599" w:rsidRPr="00434119" w14:paraId="12D5156D"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69354994"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Hume Moreland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549080"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3,519</w:t>
            </w:r>
          </w:p>
        </w:tc>
        <w:tc>
          <w:tcPr>
            <w:tcW w:w="808" w:type="dxa"/>
            <w:tcBorders>
              <w:top w:val="nil"/>
              <w:left w:val="nil"/>
              <w:bottom w:val="single" w:sz="4" w:space="0" w:color="BFBFBF"/>
              <w:right w:val="single" w:sz="4" w:space="0" w:color="BFBFBF"/>
            </w:tcBorders>
            <w:shd w:val="clear" w:color="auto" w:fill="auto"/>
            <w:noWrap/>
            <w:vAlign w:val="center"/>
          </w:tcPr>
          <w:p w14:paraId="1338614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4F7E3E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4EE5D2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2779356E"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70038BA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5310BB6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3F2AB32"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1,160</w:t>
            </w:r>
          </w:p>
        </w:tc>
        <w:tc>
          <w:tcPr>
            <w:tcW w:w="714" w:type="dxa"/>
            <w:tcBorders>
              <w:top w:val="nil"/>
              <w:left w:val="nil"/>
              <w:bottom w:val="single" w:sz="4" w:space="0" w:color="BFBFBF"/>
              <w:right w:val="single" w:sz="4" w:space="0" w:color="BFBFBF"/>
            </w:tcBorders>
            <w:shd w:val="clear" w:color="auto" w:fill="auto"/>
            <w:noWrap/>
            <w:vAlign w:val="center"/>
          </w:tcPr>
          <w:p w14:paraId="4F9E8743"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2,010</w:t>
            </w:r>
          </w:p>
        </w:tc>
        <w:tc>
          <w:tcPr>
            <w:tcW w:w="675" w:type="dxa"/>
            <w:tcBorders>
              <w:top w:val="nil"/>
              <w:left w:val="nil"/>
              <w:bottom w:val="single" w:sz="4" w:space="0" w:color="BFBFBF"/>
              <w:right w:val="nil"/>
            </w:tcBorders>
            <w:shd w:val="clear" w:color="auto" w:fill="auto"/>
            <w:noWrap/>
            <w:vAlign w:val="center"/>
          </w:tcPr>
          <w:p w14:paraId="0FB7F6FA"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3,242</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F8A7BE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EC1529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98B6C9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4D193A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71958F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275B3C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87D87F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5B2C19DC"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13A3A727"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North East Melbourne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850519F"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4,991</w:t>
            </w:r>
          </w:p>
        </w:tc>
        <w:tc>
          <w:tcPr>
            <w:tcW w:w="808" w:type="dxa"/>
            <w:tcBorders>
              <w:top w:val="nil"/>
              <w:left w:val="nil"/>
              <w:bottom w:val="single" w:sz="4" w:space="0" w:color="BFBFBF"/>
              <w:right w:val="single" w:sz="4" w:space="0" w:color="BFBFBF"/>
            </w:tcBorders>
            <w:shd w:val="clear" w:color="auto" w:fill="auto"/>
            <w:noWrap/>
            <w:vAlign w:val="center"/>
          </w:tcPr>
          <w:p w14:paraId="0C57FB0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6472E1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3BEFDD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211C2B3F"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50B3CE1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1CF5A5F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16ECC043"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1,401</w:t>
            </w:r>
          </w:p>
        </w:tc>
        <w:tc>
          <w:tcPr>
            <w:tcW w:w="714" w:type="dxa"/>
            <w:tcBorders>
              <w:top w:val="nil"/>
              <w:left w:val="nil"/>
              <w:bottom w:val="single" w:sz="4" w:space="0" w:color="BFBFBF"/>
              <w:right w:val="single" w:sz="4" w:space="0" w:color="BFBFBF"/>
            </w:tcBorders>
            <w:shd w:val="clear" w:color="auto" w:fill="auto"/>
            <w:noWrap/>
            <w:vAlign w:val="center"/>
          </w:tcPr>
          <w:p w14:paraId="1398816A"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1,930</w:t>
            </w:r>
          </w:p>
        </w:tc>
        <w:tc>
          <w:tcPr>
            <w:tcW w:w="675" w:type="dxa"/>
            <w:tcBorders>
              <w:top w:val="nil"/>
              <w:left w:val="nil"/>
              <w:bottom w:val="single" w:sz="4" w:space="0" w:color="BFBFBF"/>
              <w:right w:val="nil"/>
            </w:tcBorders>
            <w:shd w:val="clear" w:color="auto" w:fill="auto"/>
            <w:noWrap/>
            <w:vAlign w:val="center"/>
          </w:tcPr>
          <w:p w14:paraId="5CA98663"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3,113</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E957DB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805026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33A7F0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628771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96D090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6FFB49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7AC10D6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7140F73A"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45E8E710"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Outer East Melbourne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2F517FF"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4,355</w:t>
            </w:r>
          </w:p>
        </w:tc>
        <w:tc>
          <w:tcPr>
            <w:tcW w:w="808" w:type="dxa"/>
            <w:tcBorders>
              <w:top w:val="nil"/>
              <w:left w:val="nil"/>
              <w:bottom w:val="single" w:sz="4" w:space="0" w:color="BFBFBF"/>
              <w:right w:val="single" w:sz="4" w:space="0" w:color="BFBFBF"/>
            </w:tcBorders>
            <w:shd w:val="clear" w:color="auto" w:fill="auto"/>
            <w:noWrap/>
            <w:vAlign w:val="center"/>
          </w:tcPr>
          <w:p w14:paraId="5FA65A8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BEC563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4B4866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1C93D729"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6EB201E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3DFFFC1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0770441"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1,682</w:t>
            </w:r>
          </w:p>
        </w:tc>
        <w:tc>
          <w:tcPr>
            <w:tcW w:w="714" w:type="dxa"/>
            <w:tcBorders>
              <w:top w:val="nil"/>
              <w:left w:val="nil"/>
              <w:bottom w:val="single" w:sz="4" w:space="0" w:color="BFBFBF"/>
              <w:right w:val="single" w:sz="4" w:space="0" w:color="BFBFBF"/>
            </w:tcBorders>
            <w:shd w:val="clear" w:color="auto" w:fill="auto"/>
            <w:noWrap/>
            <w:vAlign w:val="center"/>
          </w:tcPr>
          <w:p w14:paraId="10EAFBCC"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2,608</w:t>
            </w:r>
          </w:p>
        </w:tc>
        <w:tc>
          <w:tcPr>
            <w:tcW w:w="675" w:type="dxa"/>
            <w:tcBorders>
              <w:top w:val="nil"/>
              <w:left w:val="nil"/>
              <w:bottom w:val="single" w:sz="4" w:space="0" w:color="BFBFBF"/>
              <w:right w:val="nil"/>
            </w:tcBorders>
            <w:shd w:val="clear" w:color="auto" w:fill="auto"/>
            <w:noWrap/>
            <w:vAlign w:val="center"/>
          </w:tcPr>
          <w:p w14:paraId="21CA6DD8"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3,640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DE4BBC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B059A7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104805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4BCFFE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1B1D00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D877716"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0F0643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5C7E9D72"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64597231"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 xml:space="preserve">Inner </w:t>
            </w:r>
            <w:smartTag w:uri="urn:schemas-microsoft-com:office:smarttags" w:element="place">
              <w:r w:rsidRPr="00434119">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67EA109"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4,124</w:t>
            </w:r>
          </w:p>
        </w:tc>
        <w:tc>
          <w:tcPr>
            <w:tcW w:w="808" w:type="dxa"/>
            <w:tcBorders>
              <w:top w:val="nil"/>
              <w:left w:val="nil"/>
              <w:bottom w:val="single" w:sz="4" w:space="0" w:color="BFBFBF"/>
              <w:right w:val="single" w:sz="4" w:space="0" w:color="BFBFBF"/>
            </w:tcBorders>
            <w:shd w:val="clear" w:color="auto" w:fill="auto"/>
            <w:noWrap/>
            <w:vAlign w:val="center"/>
          </w:tcPr>
          <w:p w14:paraId="52F4AAF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F4E9CC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5E0F46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320CEE28"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35194D1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26AF866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36C33053"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883</w:t>
            </w:r>
          </w:p>
        </w:tc>
        <w:tc>
          <w:tcPr>
            <w:tcW w:w="714" w:type="dxa"/>
            <w:tcBorders>
              <w:top w:val="nil"/>
              <w:left w:val="nil"/>
              <w:bottom w:val="single" w:sz="4" w:space="0" w:color="BFBFBF"/>
              <w:right w:val="single" w:sz="4" w:space="0" w:color="BFBFBF"/>
            </w:tcBorders>
            <w:shd w:val="clear" w:color="auto" w:fill="auto"/>
            <w:noWrap/>
            <w:vAlign w:val="center"/>
          </w:tcPr>
          <w:p w14:paraId="7921A801"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1,438</w:t>
            </w:r>
          </w:p>
        </w:tc>
        <w:tc>
          <w:tcPr>
            <w:tcW w:w="675" w:type="dxa"/>
            <w:tcBorders>
              <w:top w:val="nil"/>
              <w:left w:val="nil"/>
              <w:bottom w:val="single" w:sz="4" w:space="0" w:color="BFBFBF"/>
              <w:right w:val="nil"/>
            </w:tcBorders>
            <w:shd w:val="clear" w:color="auto" w:fill="auto"/>
            <w:noWrap/>
            <w:vAlign w:val="center"/>
          </w:tcPr>
          <w:p w14:paraId="1B3735FC"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2,210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01ED5B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9F8DCA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B35444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589940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A001BB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134398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B8F1E0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0ACC72CC"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006B0824"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smartTag w:uri="urn:schemas-microsoft-com:office:smarttags" w:element="place">
              <w:r w:rsidRPr="00434119">
                <w:rPr>
                  <w:rFonts w:ascii="Arial" w:hAnsi="Arial" w:cs="Arial"/>
                  <w:color w:val="000000"/>
                  <w:sz w:val="16"/>
                  <w:szCs w:val="16"/>
                  <w:lang w:val="en-AU" w:eastAsia="en-AU"/>
                </w:rPr>
                <w:t>Southern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5240BDF"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4,545</w:t>
            </w:r>
          </w:p>
        </w:tc>
        <w:tc>
          <w:tcPr>
            <w:tcW w:w="808" w:type="dxa"/>
            <w:tcBorders>
              <w:top w:val="nil"/>
              <w:left w:val="nil"/>
              <w:bottom w:val="single" w:sz="4" w:space="0" w:color="BFBFBF"/>
              <w:right w:val="single" w:sz="4" w:space="0" w:color="BFBFBF"/>
            </w:tcBorders>
            <w:shd w:val="clear" w:color="auto" w:fill="auto"/>
            <w:noWrap/>
            <w:vAlign w:val="center"/>
          </w:tcPr>
          <w:p w14:paraId="72E825B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EFC535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116B92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1FCADB80"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4453836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52E518A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39F09444"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1,841</w:t>
            </w:r>
          </w:p>
        </w:tc>
        <w:tc>
          <w:tcPr>
            <w:tcW w:w="714" w:type="dxa"/>
            <w:tcBorders>
              <w:top w:val="nil"/>
              <w:left w:val="nil"/>
              <w:bottom w:val="single" w:sz="4" w:space="0" w:color="BFBFBF"/>
              <w:right w:val="single" w:sz="4" w:space="0" w:color="BFBFBF"/>
            </w:tcBorders>
            <w:shd w:val="clear" w:color="auto" w:fill="auto"/>
            <w:noWrap/>
            <w:vAlign w:val="center"/>
          </w:tcPr>
          <w:p w14:paraId="5D74D25D"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2,697</w:t>
            </w:r>
          </w:p>
        </w:tc>
        <w:tc>
          <w:tcPr>
            <w:tcW w:w="675" w:type="dxa"/>
            <w:tcBorders>
              <w:top w:val="nil"/>
              <w:left w:val="nil"/>
              <w:bottom w:val="single" w:sz="4" w:space="0" w:color="BFBFBF"/>
              <w:right w:val="nil"/>
            </w:tcBorders>
            <w:shd w:val="clear" w:color="auto" w:fill="auto"/>
            <w:noWrap/>
            <w:vAlign w:val="center"/>
          </w:tcPr>
          <w:p w14:paraId="65B71592"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4,187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BC36F6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396D6A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CB5C2F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40693E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B656BB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CE176E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09AB98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0AD2D312"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605CAE29"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Bayside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E92419F"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4,270</w:t>
            </w:r>
          </w:p>
        </w:tc>
        <w:tc>
          <w:tcPr>
            <w:tcW w:w="808" w:type="dxa"/>
            <w:tcBorders>
              <w:top w:val="nil"/>
              <w:left w:val="nil"/>
              <w:bottom w:val="single" w:sz="4" w:space="0" w:color="BFBFBF"/>
              <w:right w:val="single" w:sz="4" w:space="0" w:color="BFBFBF"/>
            </w:tcBorders>
            <w:shd w:val="clear" w:color="auto" w:fill="auto"/>
            <w:noWrap/>
            <w:vAlign w:val="center"/>
          </w:tcPr>
          <w:p w14:paraId="2BEC4BB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321E5A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675062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3279B3A7"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01EDCAF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1A90092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2BCB39B"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1,343</w:t>
            </w:r>
          </w:p>
        </w:tc>
        <w:tc>
          <w:tcPr>
            <w:tcW w:w="714" w:type="dxa"/>
            <w:tcBorders>
              <w:top w:val="nil"/>
              <w:left w:val="nil"/>
              <w:bottom w:val="single" w:sz="4" w:space="0" w:color="BFBFBF"/>
              <w:right w:val="single" w:sz="4" w:space="0" w:color="BFBFBF"/>
            </w:tcBorders>
            <w:shd w:val="clear" w:color="auto" w:fill="auto"/>
            <w:noWrap/>
            <w:vAlign w:val="center"/>
          </w:tcPr>
          <w:p w14:paraId="3C430AE4"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2,189</w:t>
            </w:r>
          </w:p>
        </w:tc>
        <w:tc>
          <w:tcPr>
            <w:tcW w:w="675" w:type="dxa"/>
            <w:tcBorders>
              <w:top w:val="nil"/>
              <w:left w:val="nil"/>
              <w:bottom w:val="single" w:sz="4" w:space="0" w:color="BFBFBF"/>
              <w:right w:val="nil"/>
            </w:tcBorders>
            <w:shd w:val="clear" w:color="auto" w:fill="auto"/>
            <w:noWrap/>
            <w:vAlign w:val="center"/>
          </w:tcPr>
          <w:p w14:paraId="73058E8A"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3,755</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73A297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D54775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C7333A6"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A91487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296AD7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9888D3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69E1D3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7E5846F3"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54F80D17"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smartTag w:uri="urn:schemas-microsoft-com:office:smarttags" w:element="place">
              <w:r w:rsidRPr="00434119">
                <w:rPr>
                  <w:rFonts w:ascii="Arial" w:hAnsi="Arial" w:cs="Arial"/>
                  <w:color w:val="000000"/>
                  <w:sz w:val="16"/>
                  <w:szCs w:val="16"/>
                  <w:lang w:val="en-AU" w:eastAsia="en-AU"/>
                </w:rPr>
                <w:t>Western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B1B03FF"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4,082</w:t>
            </w:r>
          </w:p>
        </w:tc>
        <w:tc>
          <w:tcPr>
            <w:tcW w:w="808" w:type="dxa"/>
            <w:tcBorders>
              <w:top w:val="nil"/>
              <w:left w:val="nil"/>
              <w:bottom w:val="single" w:sz="4" w:space="0" w:color="BFBFBF"/>
              <w:right w:val="single" w:sz="4" w:space="0" w:color="BFBFBF"/>
            </w:tcBorders>
            <w:shd w:val="clear" w:color="auto" w:fill="auto"/>
            <w:noWrap/>
            <w:vAlign w:val="center"/>
          </w:tcPr>
          <w:p w14:paraId="667522E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6C8ECE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534625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55AD349D"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70C84DC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4F5D27A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3C739D0"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1,528</w:t>
            </w:r>
          </w:p>
        </w:tc>
        <w:tc>
          <w:tcPr>
            <w:tcW w:w="714" w:type="dxa"/>
            <w:tcBorders>
              <w:top w:val="nil"/>
              <w:left w:val="nil"/>
              <w:bottom w:val="single" w:sz="4" w:space="0" w:color="BFBFBF"/>
              <w:right w:val="single" w:sz="4" w:space="0" w:color="BFBFBF"/>
            </w:tcBorders>
            <w:shd w:val="clear" w:color="auto" w:fill="auto"/>
            <w:noWrap/>
            <w:vAlign w:val="center"/>
          </w:tcPr>
          <w:p w14:paraId="4D01BBF9"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2,287</w:t>
            </w:r>
          </w:p>
        </w:tc>
        <w:tc>
          <w:tcPr>
            <w:tcW w:w="675" w:type="dxa"/>
            <w:tcBorders>
              <w:top w:val="nil"/>
              <w:left w:val="nil"/>
              <w:bottom w:val="single" w:sz="4" w:space="0" w:color="BFBFBF"/>
              <w:right w:val="nil"/>
            </w:tcBorders>
            <w:shd w:val="clear" w:color="auto" w:fill="auto"/>
            <w:noWrap/>
            <w:vAlign w:val="center"/>
          </w:tcPr>
          <w:p w14:paraId="5695305F"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3,664</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46DA27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CFDEBD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44E988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363EA76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CA8AF8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E63703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7D5C0F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2A5073F9"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1BA6D137"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Brimbank Melton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9B4E50C"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4,366</w:t>
            </w:r>
          </w:p>
        </w:tc>
        <w:tc>
          <w:tcPr>
            <w:tcW w:w="808" w:type="dxa"/>
            <w:tcBorders>
              <w:top w:val="nil"/>
              <w:left w:val="nil"/>
              <w:bottom w:val="single" w:sz="4" w:space="0" w:color="BFBFBF"/>
              <w:right w:val="single" w:sz="4" w:space="0" w:color="BFBFBF"/>
            </w:tcBorders>
            <w:shd w:val="clear" w:color="auto" w:fill="auto"/>
            <w:noWrap/>
            <w:vAlign w:val="center"/>
          </w:tcPr>
          <w:p w14:paraId="5BC3F4C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792FE1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D2B8DB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7AE907B0"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58D8D316"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1126DF6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1B55B8FB"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1,183</w:t>
            </w:r>
          </w:p>
        </w:tc>
        <w:tc>
          <w:tcPr>
            <w:tcW w:w="714" w:type="dxa"/>
            <w:tcBorders>
              <w:top w:val="nil"/>
              <w:left w:val="nil"/>
              <w:bottom w:val="single" w:sz="4" w:space="0" w:color="BFBFBF"/>
              <w:right w:val="single" w:sz="4" w:space="0" w:color="BFBFBF"/>
            </w:tcBorders>
            <w:shd w:val="clear" w:color="auto" w:fill="auto"/>
            <w:noWrap/>
            <w:vAlign w:val="center"/>
          </w:tcPr>
          <w:p w14:paraId="42A635FF"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2,195</w:t>
            </w:r>
          </w:p>
        </w:tc>
        <w:tc>
          <w:tcPr>
            <w:tcW w:w="675" w:type="dxa"/>
            <w:tcBorders>
              <w:top w:val="nil"/>
              <w:left w:val="nil"/>
              <w:bottom w:val="single" w:sz="4" w:space="0" w:color="BFBFBF"/>
              <w:right w:val="nil"/>
            </w:tcBorders>
            <w:shd w:val="clear" w:color="auto" w:fill="auto"/>
            <w:noWrap/>
            <w:vAlign w:val="center"/>
          </w:tcPr>
          <w:p w14:paraId="7D72560B"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3,393</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65BDF1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D8AD31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1D01F3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84AA4B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29D3C7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524BDF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D97F9A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7DB29899"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6B7DF32B"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Mallee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9E69F0C"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6,274</w:t>
            </w:r>
          </w:p>
        </w:tc>
        <w:tc>
          <w:tcPr>
            <w:tcW w:w="808" w:type="dxa"/>
            <w:tcBorders>
              <w:top w:val="nil"/>
              <w:left w:val="nil"/>
              <w:bottom w:val="single" w:sz="4" w:space="0" w:color="BFBFBF"/>
              <w:right w:val="single" w:sz="4" w:space="0" w:color="BFBFBF"/>
            </w:tcBorders>
            <w:shd w:val="clear" w:color="auto" w:fill="auto"/>
            <w:noWrap/>
            <w:vAlign w:val="center"/>
          </w:tcPr>
          <w:p w14:paraId="7F7074E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841070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1B7540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411EC0F8"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53DDC7A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7E42330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CAC850F"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3,466</w:t>
            </w:r>
          </w:p>
        </w:tc>
        <w:tc>
          <w:tcPr>
            <w:tcW w:w="714" w:type="dxa"/>
            <w:tcBorders>
              <w:top w:val="nil"/>
              <w:left w:val="nil"/>
              <w:bottom w:val="single" w:sz="4" w:space="0" w:color="BFBFBF"/>
              <w:right w:val="single" w:sz="4" w:space="0" w:color="BFBFBF"/>
            </w:tcBorders>
            <w:shd w:val="clear" w:color="auto" w:fill="auto"/>
            <w:noWrap/>
            <w:vAlign w:val="center"/>
          </w:tcPr>
          <w:p w14:paraId="1179717C"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4,485</w:t>
            </w:r>
          </w:p>
        </w:tc>
        <w:tc>
          <w:tcPr>
            <w:tcW w:w="675" w:type="dxa"/>
            <w:tcBorders>
              <w:top w:val="nil"/>
              <w:left w:val="nil"/>
              <w:bottom w:val="single" w:sz="4" w:space="0" w:color="BFBFBF"/>
              <w:right w:val="nil"/>
            </w:tcBorders>
            <w:shd w:val="clear" w:color="auto" w:fill="auto"/>
            <w:noWrap/>
            <w:vAlign w:val="center"/>
          </w:tcPr>
          <w:p w14:paraId="7B035E23"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6,906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B3F587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8323296"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8CB7E6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1BD346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290E88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C346B76"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320B7C76"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3ECB501F"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47952EB3"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Loddon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12D7274"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4,686</w:t>
            </w:r>
          </w:p>
        </w:tc>
        <w:tc>
          <w:tcPr>
            <w:tcW w:w="808" w:type="dxa"/>
            <w:tcBorders>
              <w:top w:val="nil"/>
              <w:left w:val="nil"/>
              <w:bottom w:val="single" w:sz="4" w:space="0" w:color="BFBFBF"/>
              <w:right w:val="single" w:sz="4" w:space="0" w:color="BFBFBF"/>
            </w:tcBorders>
            <w:shd w:val="clear" w:color="auto" w:fill="auto"/>
            <w:noWrap/>
            <w:vAlign w:val="center"/>
          </w:tcPr>
          <w:p w14:paraId="078C956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74D1C7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448C41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169854B2"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6CF5E11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2FC8300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DE84BB3"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1,315</w:t>
            </w:r>
          </w:p>
        </w:tc>
        <w:tc>
          <w:tcPr>
            <w:tcW w:w="714" w:type="dxa"/>
            <w:tcBorders>
              <w:top w:val="nil"/>
              <w:left w:val="nil"/>
              <w:bottom w:val="single" w:sz="4" w:space="0" w:color="BFBFBF"/>
              <w:right w:val="single" w:sz="4" w:space="0" w:color="BFBFBF"/>
            </w:tcBorders>
            <w:shd w:val="clear" w:color="auto" w:fill="auto"/>
            <w:noWrap/>
            <w:vAlign w:val="center"/>
          </w:tcPr>
          <w:p w14:paraId="43ACD7DC"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1,682</w:t>
            </w:r>
          </w:p>
        </w:tc>
        <w:tc>
          <w:tcPr>
            <w:tcW w:w="675" w:type="dxa"/>
            <w:tcBorders>
              <w:top w:val="nil"/>
              <w:left w:val="nil"/>
              <w:bottom w:val="single" w:sz="4" w:space="0" w:color="BFBFBF"/>
              <w:right w:val="nil"/>
            </w:tcBorders>
            <w:shd w:val="clear" w:color="auto" w:fill="auto"/>
            <w:noWrap/>
            <w:vAlign w:val="center"/>
          </w:tcPr>
          <w:p w14:paraId="58E1F7D9"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3,077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FEE335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035A0C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466917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DE8716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952719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ADBFE5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4B9966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0DF68D8B"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18CD8E47"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434119">
                  <w:rPr>
                    <w:rFonts w:ascii="Arial" w:hAnsi="Arial" w:cs="Arial"/>
                    <w:color w:val="000000"/>
                    <w:sz w:val="16"/>
                    <w:szCs w:val="16"/>
                    <w:lang w:val="en-AU" w:eastAsia="en-AU"/>
                  </w:rPr>
                  <w:t>Murray</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0D80B8B"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4,492</w:t>
            </w:r>
          </w:p>
        </w:tc>
        <w:tc>
          <w:tcPr>
            <w:tcW w:w="808" w:type="dxa"/>
            <w:tcBorders>
              <w:top w:val="nil"/>
              <w:left w:val="nil"/>
              <w:bottom w:val="single" w:sz="4" w:space="0" w:color="BFBFBF"/>
              <w:right w:val="single" w:sz="4" w:space="0" w:color="BFBFBF"/>
            </w:tcBorders>
            <w:shd w:val="clear" w:color="auto" w:fill="auto"/>
            <w:noWrap/>
            <w:vAlign w:val="center"/>
          </w:tcPr>
          <w:p w14:paraId="1B3F8D7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023E4E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C1057D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0A07A81C"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62C8E01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4F49826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21BD400"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1,054</w:t>
            </w:r>
          </w:p>
        </w:tc>
        <w:tc>
          <w:tcPr>
            <w:tcW w:w="714" w:type="dxa"/>
            <w:tcBorders>
              <w:top w:val="nil"/>
              <w:left w:val="nil"/>
              <w:bottom w:val="single" w:sz="4" w:space="0" w:color="BFBFBF"/>
              <w:right w:val="single" w:sz="4" w:space="0" w:color="BFBFBF"/>
            </w:tcBorders>
            <w:shd w:val="clear" w:color="auto" w:fill="auto"/>
            <w:noWrap/>
            <w:vAlign w:val="center"/>
          </w:tcPr>
          <w:p w14:paraId="10A0DB25"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1,323</w:t>
            </w:r>
          </w:p>
        </w:tc>
        <w:tc>
          <w:tcPr>
            <w:tcW w:w="675" w:type="dxa"/>
            <w:tcBorders>
              <w:top w:val="nil"/>
              <w:left w:val="nil"/>
              <w:bottom w:val="single" w:sz="4" w:space="0" w:color="BFBFBF"/>
              <w:right w:val="nil"/>
            </w:tcBorders>
            <w:shd w:val="clear" w:color="auto" w:fill="auto"/>
            <w:noWrap/>
            <w:vAlign w:val="center"/>
          </w:tcPr>
          <w:p w14:paraId="0603D770"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2,377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C6C919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C1B418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CACA2F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15F3D06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58F5CA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7E367D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A125FE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540BBDAF"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46A0D8CD"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Goulburn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3A9F901"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5,668</w:t>
            </w:r>
          </w:p>
        </w:tc>
        <w:tc>
          <w:tcPr>
            <w:tcW w:w="808" w:type="dxa"/>
            <w:tcBorders>
              <w:top w:val="nil"/>
              <w:left w:val="nil"/>
              <w:bottom w:val="single" w:sz="4" w:space="0" w:color="BFBFBF"/>
              <w:right w:val="single" w:sz="4" w:space="0" w:color="BFBFBF"/>
            </w:tcBorders>
            <w:shd w:val="clear" w:color="auto" w:fill="auto"/>
            <w:noWrap/>
            <w:vAlign w:val="center"/>
          </w:tcPr>
          <w:p w14:paraId="4AC26E9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01A28F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6A1905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1F2A93C6"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3F73E1A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5BA5A66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CECACBA"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1,516</w:t>
            </w:r>
          </w:p>
        </w:tc>
        <w:tc>
          <w:tcPr>
            <w:tcW w:w="714" w:type="dxa"/>
            <w:tcBorders>
              <w:top w:val="nil"/>
              <w:left w:val="nil"/>
              <w:bottom w:val="single" w:sz="4" w:space="0" w:color="BFBFBF"/>
              <w:right w:val="single" w:sz="4" w:space="0" w:color="BFBFBF"/>
            </w:tcBorders>
            <w:shd w:val="clear" w:color="auto" w:fill="auto"/>
            <w:noWrap/>
            <w:vAlign w:val="center"/>
          </w:tcPr>
          <w:p w14:paraId="1EAB6571"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2,355</w:t>
            </w:r>
          </w:p>
        </w:tc>
        <w:tc>
          <w:tcPr>
            <w:tcW w:w="675" w:type="dxa"/>
            <w:tcBorders>
              <w:top w:val="nil"/>
              <w:left w:val="nil"/>
              <w:bottom w:val="single" w:sz="4" w:space="0" w:color="BFBFBF"/>
              <w:right w:val="nil"/>
            </w:tcBorders>
            <w:shd w:val="clear" w:color="auto" w:fill="auto"/>
            <w:noWrap/>
            <w:vAlign w:val="center"/>
          </w:tcPr>
          <w:p w14:paraId="305F5BEB"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4,422</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556253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4DF209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EF36BF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3B810A3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072B28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B36F1B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75E457D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71B4DEE1"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6178BAEA"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Outer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FA782C3"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5,576</w:t>
            </w:r>
          </w:p>
        </w:tc>
        <w:tc>
          <w:tcPr>
            <w:tcW w:w="808" w:type="dxa"/>
            <w:tcBorders>
              <w:top w:val="nil"/>
              <w:left w:val="nil"/>
              <w:bottom w:val="single" w:sz="4" w:space="0" w:color="BFBFBF"/>
              <w:right w:val="single" w:sz="4" w:space="0" w:color="BFBFBF"/>
            </w:tcBorders>
            <w:shd w:val="clear" w:color="auto" w:fill="auto"/>
            <w:noWrap/>
            <w:vAlign w:val="center"/>
          </w:tcPr>
          <w:p w14:paraId="0850784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22375B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566D3B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04D56AE7"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0A72DBC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73668CE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0376BEE"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1,097</w:t>
            </w:r>
          </w:p>
        </w:tc>
        <w:tc>
          <w:tcPr>
            <w:tcW w:w="714" w:type="dxa"/>
            <w:tcBorders>
              <w:top w:val="nil"/>
              <w:left w:val="nil"/>
              <w:bottom w:val="single" w:sz="4" w:space="0" w:color="BFBFBF"/>
              <w:right w:val="single" w:sz="4" w:space="0" w:color="BFBFBF"/>
            </w:tcBorders>
            <w:shd w:val="clear" w:color="auto" w:fill="auto"/>
            <w:noWrap/>
            <w:vAlign w:val="center"/>
          </w:tcPr>
          <w:p w14:paraId="29345B5C"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1,715</w:t>
            </w:r>
          </w:p>
        </w:tc>
        <w:tc>
          <w:tcPr>
            <w:tcW w:w="675" w:type="dxa"/>
            <w:tcBorders>
              <w:top w:val="nil"/>
              <w:left w:val="nil"/>
              <w:bottom w:val="single" w:sz="4" w:space="0" w:color="BFBFBF"/>
              <w:right w:val="nil"/>
            </w:tcBorders>
            <w:shd w:val="clear" w:color="auto" w:fill="auto"/>
            <w:noWrap/>
            <w:vAlign w:val="center"/>
          </w:tcPr>
          <w:p w14:paraId="58A1A05A"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2,332</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B9184E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8A51E9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1942E7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0CC6BB36"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F08BA6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CE37BD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E14094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6A7C507E"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42D741C5"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Inner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702E8EC"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5,236</w:t>
            </w:r>
          </w:p>
        </w:tc>
        <w:tc>
          <w:tcPr>
            <w:tcW w:w="808" w:type="dxa"/>
            <w:tcBorders>
              <w:top w:val="nil"/>
              <w:left w:val="nil"/>
              <w:bottom w:val="single" w:sz="4" w:space="0" w:color="BFBFBF"/>
              <w:right w:val="single" w:sz="4" w:space="0" w:color="BFBFBF"/>
            </w:tcBorders>
            <w:shd w:val="clear" w:color="auto" w:fill="auto"/>
            <w:noWrap/>
            <w:vAlign w:val="center"/>
          </w:tcPr>
          <w:p w14:paraId="25AE951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599F6F5"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EA3F4E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22F77BAB"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0B500DB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1929E61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76DC3D1"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1,248</w:t>
            </w:r>
          </w:p>
        </w:tc>
        <w:tc>
          <w:tcPr>
            <w:tcW w:w="714" w:type="dxa"/>
            <w:tcBorders>
              <w:top w:val="nil"/>
              <w:left w:val="nil"/>
              <w:bottom w:val="single" w:sz="4" w:space="0" w:color="BFBFBF"/>
              <w:right w:val="single" w:sz="4" w:space="0" w:color="BFBFBF"/>
            </w:tcBorders>
            <w:shd w:val="clear" w:color="auto" w:fill="auto"/>
            <w:noWrap/>
            <w:vAlign w:val="center"/>
          </w:tcPr>
          <w:p w14:paraId="48FE2E99"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2,210</w:t>
            </w:r>
          </w:p>
        </w:tc>
        <w:tc>
          <w:tcPr>
            <w:tcW w:w="675" w:type="dxa"/>
            <w:tcBorders>
              <w:top w:val="nil"/>
              <w:left w:val="nil"/>
              <w:bottom w:val="single" w:sz="4" w:space="0" w:color="BFBFBF"/>
              <w:right w:val="nil"/>
            </w:tcBorders>
            <w:shd w:val="clear" w:color="auto" w:fill="auto"/>
            <w:noWrap/>
            <w:vAlign w:val="center"/>
          </w:tcPr>
          <w:p w14:paraId="5A4E7F38"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3,841</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07366C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63BB00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ADD939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117358B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11FA7B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6730B8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68D016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0CED3FFB"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3E28DDD2"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Western District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0D29848"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4,196</w:t>
            </w:r>
          </w:p>
        </w:tc>
        <w:tc>
          <w:tcPr>
            <w:tcW w:w="808" w:type="dxa"/>
            <w:tcBorders>
              <w:top w:val="nil"/>
              <w:left w:val="nil"/>
              <w:bottom w:val="single" w:sz="4" w:space="0" w:color="BFBFBF"/>
              <w:right w:val="single" w:sz="4" w:space="0" w:color="BFBFBF"/>
            </w:tcBorders>
            <w:shd w:val="clear" w:color="auto" w:fill="auto"/>
            <w:noWrap/>
            <w:vAlign w:val="center"/>
          </w:tcPr>
          <w:p w14:paraId="6A28D79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BE2FEF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E5B238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596F439E"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1C81E01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3D7F789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E426B09"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821</w:t>
            </w:r>
          </w:p>
        </w:tc>
        <w:tc>
          <w:tcPr>
            <w:tcW w:w="714" w:type="dxa"/>
            <w:tcBorders>
              <w:top w:val="nil"/>
              <w:left w:val="nil"/>
              <w:bottom w:val="single" w:sz="4" w:space="0" w:color="BFBFBF"/>
              <w:right w:val="single" w:sz="4" w:space="0" w:color="BFBFBF"/>
            </w:tcBorders>
            <w:shd w:val="clear" w:color="auto" w:fill="auto"/>
            <w:noWrap/>
            <w:vAlign w:val="center"/>
          </w:tcPr>
          <w:p w14:paraId="35110FDD"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1,313</w:t>
            </w:r>
          </w:p>
        </w:tc>
        <w:tc>
          <w:tcPr>
            <w:tcW w:w="675" w:type="dxa"/>
            <w:tcBorders>
              <w:top w:val="nil"/>
              <w:left w:val="nil"/>
              <w:bottom w:val="single" w:sz="4" w:space="0" w:color="BFBFBF"/>
              <w:right w:val="nil"/>
            </w:tcBorders>
            <w:shd w:val="clear" w:color="auto" w:fill="auto"/>
            <w:noWrap/>
            <w:vAlign w:val="center"/>
          </w:tcPr>
          <w:p w14:paraId="6A9A51B9"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2,916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D3E082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FCB1011"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C341E7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68271B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552085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7170A16"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9EAB9F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469A2814"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bottom"/>
          </w:tcPr>
          <w:p w14:paraId="04BC2E58"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Barwon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24A9540"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4,120</w:t>
            </w:r>
          </w:p>
        </w:tc>
        <w:tc>
          <w:tcPr>
            <w:tcW w:w="808" w:type="dxa"/>
            <w:tcBorders>
              <w:top w:val="nil"/>
              <w:left w:val="nil"/>
              <w:bottom w:val="single" w:sz="4" w:space="0" w:color="BFBFBF"/>
              <w:right w:val="single" w:sz="4" w:space="0" w:color="BFBFBF"/>
            </w:tcBorders>
            <w:shd w:val="clear" w:color="auto" w:fill="auto"/>
            <w:noWrap/>
            <w:vAlign w:val="center"/>
          </w:tcPr>
          <w:p w14:paraId="424C835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C57078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1C7BF7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nil"/>
              <w:left w:val="nil"/>
              <w:bottom w:val="single" w:sz="4" w:space="0" w:color="BFBFBF"/>
              <w:right w:val="single" w:sz="4" w:space="0" w:color="BFBFBF"/>
            </w:tcBorders>
            <w:shd w:val="clear" w:color="auto" w:fill="auto"/>
            <w:noWrap/>
            <w:vAlign w:val="center"/>
          </w:tcPr>
          <w:p w14:paraId="6709561A"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nil"/>
              <w:left w:val="nil"/>
              <w:bottom w:val="single" w:sz="4" w:space="0" w:color="BFBFBF"/>
              <w:right w:val="single" w:sz="4" w:space="0" w:color="BFBFBF"/>
            </w:tcBorders>
            <w:shd w:val="clear" w:color="auto" w:fill="auto"/>
            <w:noWrap/>
            <w:vAlign w:val="center"/>
          </w:tcPr>
          <w:p w14:paraId="6C3918C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auto"/>
            </w:tcBorders>
            <w:shd w:val="clear" w:color="auto" w:fill="auto"/>
            <w:noWrap/>
            <w:vAlign w:val="center"/>
          </w:tcPr>
          <w:p w14:paraId="6578B2B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26D965C"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906</w:t>
            </w:r>
          </w:p>
        </w:tc>
        <w:tc>
          <w:tcPr>
            <w:tcW w:w="714" w:type="dxa"/>
            <w:tcBorders>
              <w:top w:val="nil"/>
              <w:left w:val="nil"/>
              <w:bottom w:val="single" w:sz="4" w:space="0" w:color="BFBFBF"/>
              <w:right w:val="single" w:sz="4" w:space="0" w:color="BFBFBF"/>
            </w:tcBorders>
            <w:shd w:val="clear" w:color="auto" w:fill="auto"/>
            <w:noWrap/>
            <w:vAlign w:val="center"/>
          </w:tcPr>
          <w:p w14:paraId="212E2CE1"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1,122</w:t>
            </w:r>
          </w:p>
        </w:tc>
        <w:tc>
          <w:tcPr>
            <w:tcW w:w="675" w:type="dxa"/>
            <w:tcBorders>
              <w:top w:val="nil"/>
              <w:left w:val="nil"/>
              <w:bottom w:val="single" w:sz="4" w:space="0" w:color="BFBFBF"/>
              <w:right w:val="nil"/>
            </w:tcBorders>
            <w:shd w:val="clear" w:color="auto" w:fill="auto"/>
            <w:noWrap/>
            <w:vAlign w:val="center"/>
          </w:tcPr>
          <w:p w14:paraId="037C64F8"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2,223</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63A3E8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37DC95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BA1D19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9F2768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5BA0FB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DFA47FC"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5A85A3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1BC8B732" w14:textId="77777777" w:rsidTr="009748AD">
        <w:trPr>
          <w:trHeight w:val="212"/>
          <w:jc w:val="center"/>
        </w:trPr>
        <w:tc>
          <w:tcPr>
            <w:tcW w:w="2150" w:type="dxa"/>
            <w:tcBorders>
              <w:top w:val="single" w:sz="4" w:space="0" w:color="BFBFBF"/>
              <w:left w:val="double" w:sz="6" w:space="0" w:color="auto"/>
              <w:bottom w:val="double" w:sz="4" w:space="0" w:color="auto"/>
              <w:right w:val="nil"/>
            </w:tcBorders>
            <w:shd w:val="clear" w:color="auto" w:fill="auto"/>
            <w:noWrap/>
            <w:vAlign w:val="bottom"/>
          </w:tcPr>
          <w:p w14:paraId="23006C45" w14:textId="77777777" w:rsidR="00386599" w:rsidRPr="00434119" w:rsidRDefault="0038659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Central Highlands</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62466736"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4,733</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41F25BC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09B7E75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6F32CCB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78" w:type="dxa"/>
            <w:tcBorders>
              <w:top w:val="single" w:sz="4" w:space="0" w:color="BFBFBF"/>
              <w:left w:val="nil"/>
              <w:bottom w:val="double" w:sz="4" w:space="0" w:color="auto"/>
              <w:right w:val="single" w:sz="4" w:space="0" w:color="BFBFBF"/>
            </w:tcBorders>
            <w:shd w:val="clear" w:color="auto" w:fill="auto"/>
            <w:noWrap/>
            <w:vAlign w:val="center"/>
          </w:tcPr>
          <w:p w14:paraId="0AE4A010"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1" w:type="dxa"/>
            <w:tcBorders>
              <w:top w:val="single" w:sz="4" w:space="0" w:color="BFBFBF"/>
              <w:left w:val="nil"/>
              <w:bottom w:val="double" w:sz="4" w:space="0" w:color="auto"/>
              <w:right w:val="single" w:sz="4" w:space="0" w:color="BFBFBF"/>
            </w:tcBorders>
            <w:shd w:val="clear" w:color="auto" w:fill="auto"/>
            <w:noWrap/>
            <w:vAlign w:val="center"/>
          </w:tcPr>
          <w:p w14:paraId="7FDD4AF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776" w:type="dxa"/>
            <w:tcBorders>
              <w:top w:val="single" w:sz="4" w:space="0" w:color="BFBFBF"/>
              <w:left w:val="nil"/>
              <w:bottom w:val="double" w:sz="4" w:space="0" w:color="auto"/>
              <w:right w:val="single" w:sz="4" w:space="0" w:color="auto"/>
            </w:tcBorders>
            <w:shd w:val="clear" w:color="auto" w:fill="auto"/>
            <w:noWrap/>
            <w:vAlign w:val="center"/>
          </w:tcPr>
          <w:p w14:paraId="6791FF08"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single" w:sz="4" w:space="0" w:color="BFBFBF"/>
              <w:left w:val="nil"/>
              <w:bottom w:val="double" w:sz="4" w:space="0" w:color="auto"/>
              <w:right w:val="single" w:sz="4" w:space="0" w:color="BFBFBF"/>
            </w:tcBorders>
            <w:shd w:val="clear" w:color="auto" w:fill="auto"/>
            <w:noWrap/>
            <w:vAlign w:val="center"/>
          </w:tcPr>
          <w:p w14:paraId="66F1C852"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1,042</w:t>
            </w:r>
          </w:p>
        </w:tc>
        <w:tc>
          <w:tcPr>
            <w:tcW w:w="714" w:type="dxa"/>
            <w:tcBorders>
              <w:top w:val="single" w:sz="4" w:space="0" w:color="BFBFBF"/>
              <w:left w:val="nil"/>
              <w:bottom w:val="double" w:sz="4" w:space="0" w:color="auto"/>
              <w:right w:val="single" w:sz="4" w:space="0" w:color="BFBFBF"/>
            </w:tcBorders>
            <w:shd w:val="clear" w:color="auto" w:fill="auto"/>
            <w:noWrap/>
            <w:vAlign w:val="center"/>
          </w:tcPr>
          <w:p w14:paraId="649ED9A3"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1,783</w:t>
            </w:r>
          </w:p>
        </w:tc>
        <w:tc>
          <w:tcPr>
            <w:tcW w:w="675" w:type="dxa"/>
            <w:tcBorders>
              <w:top w:val="single" w:sz="4" w:space="0" w:color="BFBFBF"/>
              <w:left w:val="nil"/>
              <w:bottom w:val="double" w:sz="4" w:space="0" w:color="auto"/>
              <w:right w:val="nil"/>
            </w:tcBorders>
            <w:shd w:val="clear" w:color="auto" w:fill="auto"/>
            <w:noWrap/>
            <w:vAlign w:val="center"/>
          </w:tcPr>
          <w:p w14:paraId="3D1038FA" w14:textId="77777777" w:rsidR="00386599" w:rsidRPr="00434119" w:rsidRDefault="00386599" w:rsidP="0038659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2,904</w:t>
            </w:r>
          </w:p>
        </w:tc>
        <w:tc>
          <w:tcPr>
            <w:tcW w:w="857"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3266A4D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26CE93A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5E03A62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57" w:type="dxa"/>
            <w:tcBorders>
              <w:top w:val="single" w:sz="4" w:space="0" w:color="BFBFBF"/>
              <w:left w:val="nil"/>
              <w:bottom w:val="double" w:sz="4" w:space="0" w:color="auto"/>
              <w:right w:val="single" w:sz="4" w:space="0" w:color="BFBFBF"/>
            </w:tcBorders>
            <w:shd w:val="clear" w:color="auto" w:fill="auto"/>
            <w:noWrap/>
            <w:vAlign w:val="center"/>
          </w:tcPr>
          <w:p w14:paraId="4D09948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039517D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09C0E13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c>
          <w:tcPr>
            <w:tcW w:w="808" w:type="dxa"/>
            <w:tcBorders>
              <w:top w:val="single" w:sz="4" w:space="0" w:color="BFBFBF"/>
              <w:left w:val="nil"/>
              <w:bottom w:val="double" w:sz="4" w:space="0" w:color="auto"/>
              <w:right w:val="double" w:sz="6" w:space="0" w:color="auto"/>
            </w:tcBorders>
            <w:shd w:val="clear" w:color="auto" w:fill="auto"/>
            <w:noWrap/>
            <w:vAlign w:val="center"/>
          </w:tcPr>
          <w:p w14:paraId="478D88D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n/a</w:t>
            </w:r>
          </w:p>
        </w:tc>
      </w:tr>
      <w:tr w:rsidR="00386599" w:rsidRPr="00434119" w14:paraId="39DE07D5" w14:textId="77777777" w:rsidTr="009748AD">
        <w:trPr>
          <w:trHeight w:val="212"/>
          <w:jc w:val="center"/>
        </w:trPr>
        <w:tc>
          <w:tcPr>
            <w:tcW w:w="2150" w:type="dxa"/>
            <w:tcBorders>
              <w:top w:val="double" w:sz="4" w:space="0" w:color="auto"/>
            </w:tcBorders>
            <w:shd w:val="clear" w:color="auto" w:fill="auto"/>
            <w:noWrap/>
            <w:vAlign w:val="center"/>
          </w:tcPr>
          <w:p w14:paraId="7E28A704" w14:textId="77777777" w:rsidR="00386599" w:rsidRPr="00434119" w:rsidRDefault="00386599" w:rsidP="007E223C">
            <w:pPr>
              <w:spacing w:before="0" w:after="0"/>
              <w:rPr>
                <w:rFonts w:ascii="Arial" w:hAnsi="Arial" w:cs="Arial"/>
                <w:bCs/>
                <w:color w:val="000000"/>
                <w:sz w:val="16"/>
                <w:szCs w:val="16"/>
                <w:lang w:val="en-AU" w:eastAsia="en-AU"/>
              </w:rPr>
            </w:pPr>
          </w:p>
          <w:p w14:paraId="789C4AF2" w14:textId="77777777" w:rsidR="00386599" w:rsidRPr="00434119" w:rsidRDefault="00386599" w:rsidP="007E223C">
            <w:pPr>
              <w:spacing w:before="0" w:after="0"/>
              <w:rPr>
                <w:rFonts w:ascii="Arial" w:hAnsi="Arial" w:cs="Arial"/>
                <w:bCs/>
                <w:color w:val="000000"/>
                <w:sz w:val="16"/>
                <w:szCs w:val="16"/>
                <w:lang w:val="en-AU" w:eastAsia="en-AU"/>
              </w:rPr>
            </w:pPr>
            <w:r w:rsidRPr="00434119">
              <w:rPr>
                <w:rFonts w:ascii="Arial" w:hAnsi="Arial" w:cs="Arial"/>
                <w:bCs/>
                <w:color w:val="000000"/>
                <w:sz w:val="16"/>
                <w:szCs w:val="16"/>
                <w:lang w:val="en-AU" w:eastAsia="en-AU"/>
              </w:rPr>
              <w:t>Continued on next page</w:t>
            </w:r>
          </w:p>
          <w:p w14:paraId="1EF427EB" w14:textId="77777777" w:rsidR="00434119" w:rsidRDefault="00434119" w:rsidP="007E223C">
            <w:pPr>
              <w:spacing w:before="0" w:after="0"/>
              <w:rPr>
                <w:rFonts w:ascii="Arial" w:hAnsi="Arial" w:cs="Arial"/>
                <w:bCs/>
                <w:color w:val="000000"/>
                <w:sz w:val="16"/>
                <w:szCs w:val="16"/>
                <w:lang w:val="en-AU" w:eastAsia="en-AU"/>
              </w:rPr>
            </w:pPr>
          </w:p>
          <w:p w14:paraId="56C0E7A2" w14:textId="77777777" w:rsidR="009246D1" w:rsidRDefault="009246D1" w:rsidP="007E223C">
            <w:pPr>
              <w:spacing w:before="0" w:after="0"/>
              <w:rPr>
                <w:rFonts w:ascii="Arial" w:hAnsi="Arial" w:cs="Arial"/>
                <w:bCs/>
                <w:color w:val="000000"/>
                <w:sz w:val="16"/>
                <w:szCs w:val="16"/>
                <w:lang w:val="en-AU" w:eastAsia="en-AU"/>
              </w:rPr>
            </w:pPr>
          </w:p>
          <w:p w14:paraId="41830A31" w14:textId="77777777" w:rsidR="009246D1" w:rsidRPr="00434119" w:rsidRDefault="009246D1" w:rsidP="007E223C">
            <w:pPr>
              <w:spacing w:before="0" w:after="0"/>
              <w:rPr>
                <w:rFonts w:ascii="Arial" w:hAnsi="Arial" w:cs="Arial"/>
                <w:bCs/>
                <w:color w:val="000000"/>
                <w:sz w:val="16"/>
                <w:szCs w:val="16"/>
                <w:lang w:val="en-AU" w:eastAsia="en-AU"/>
              </w:rPr>
            </w:pPr>
          </w:p>
          <w:p w14:paraId="17AC1B8B" w14:textId="77777777" w:rsidR="00434119" w:rsidRPr="00434119" w:rsidRDefault="00434119" w:rsidP="007E223C">
            <w:pPr>
              <w:spacing w:before="0" w:after="0"/>
              <w:rPr>
                <w:rFonts w:ascii="Arial" w:hAnsi="Arial" w:cs="Arial"/>
                <w:bCs/>
                <w:color w:val="000000"/>
                <w:sz w:val="16"/>
                <w:szCs w:val="16"/>
                <w:lang w:val="en-AU" w:eastAsia="en-AU"/>
              </w:rPr>
            </w:pPr>
          </w:p>
          <w:p w14:paraId="40A96DAD" w14:textId="77777777" w:rsidR="00434119" w:rsidRPr="00434119" w:rsidRDefault="00434119" w:rsidP="007E223C">
            <w:pPr>
              <w:spacing w:before="0" w:after="0"/>
              <w:rPr>
                <w:rFonts w:ascii="Arial" w:hAnsi="Arial" w:cs="Arial"/>
                <w:bCs/>
                <w:color w:val="000000"/>
                <w:sz w:val="16"/>
                <w:szCs w:val="16"/>
                <w:lang w:val="en-AU" w:eastAsia="en-AU"/>
              </w:rPr>
            </w:pPr>
          </w:p>
          <w:p w14:paraId="3EE158F2" w14:textId="77777777" w:rsidR="00434119" w:rsidRPr="00434119" w:rsidRDefault="00434119" w:rsidP="007E223C">
            <w:pPr>
              <w:spacing w:before="0" w:after="0"/>
              <w:rPr>
                <w:rFonts w:ascii="Arial" w:hAnsi="Arial" w:cs="Arial"/>
                <w:bCs/>
                <w:color w:val="000000"/>
                <w:sz w:val="16"/>
                <w:szCs w:val="16"/>
                <w:lang w:val="en-AU" w:eastAsia="en-AU"/>
              </w:rPr>
            </w:pPr>
          </w:p>
          <w:p w14:paraId="661E003F" w14:textId="77777777" w:rsidR="00434119" w:rsidRPr="00434119" w:rsidRDefault="00434119" w:rsidP="007E223C">
            <w:pPr>
              <w:spacing w:before="0" w:after="0"/>
              <w:rPr>
                <w:rFonts w:ascii="Arial" w:hAnsi="Arial" w:cs="Arial"/>
                <w:bCs/>
                <w:color w:val="000000"/>
                <w:sz w:val="16"/>
                <w:szCs w:val="16"/>
                <w:lang w:val="en-AU" w:eastAsia="en-AU"/>
              </w:rPr>
            </w:pPr>
          </w:p>
          <w:p w14:paraId="27FC63E7" w14:textId="77777777" w:rsidR="00386599" w:rsidRPr="00434119" w:rsidRDefault="00386599" w:rsidP="007E223C">
            <w:pPr>
              <w:spacing w:before="0" w:after="0"/>
              <w:rPr>
                <w:rFonts w:ascii="Arial" w:hAnsi="Arial" w:cs="Arial"/>
                <w:bCs/>
                <w:color w:val="000000"/>
                <w:sz w:val="16"/>
                <w:szCs w:val="16"/>
                <w:lang w:val="en-AU" w:eastAsia="en-AU"/>
              </w:rPr>
            </w:pPr>
          </w:p>
        </w:tc>
        <w:tc>
          <w:tcPr>
            <w:tcW w:w="808" w:type="dxa"/>
            <w:tcBorders>
              <w:top w:val="double" w:sz="4" w:space="0" w:color="auto"/>
            </w:tcBorders>
            <w:shd w:val="clear" w:color="auto" w:fill="auto"/>
            <w:noWrap/>
            <w:vAlign w:val="center"/>
          </w:tcPr>
          <w:p w14:paraId="189167CB"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D47862E"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5BF3455C"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EB8D289"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78" w:type="dxa"/>
            <w:tcBorders>
              <w:top w:val="double" w:sz="4" w:space="0" w:color="auto"/>
            </w:tcBorders>
            <w:shd w:val="clear" w:color="auto" w:fill="auto"/>
            <w:noWrap/>
            <w:vAlign w:val="center"/>
          </w:tcPr>
          <w:p w14:paraId="33718BC4"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51" w:type="dxa"/>
            <w:tcBorders>
              <w:top w:val="double" w:sz="4" w:space="0" w:color="auto"/>
            </w:tcBorders>
            <w:shd w:val="clear" w:color="auto" w:fill="auto"/>
            <w:noWrap/>
            <w:vAlign w:val="center"/>
          </w:tcPr>
          <w:p w14:paraId="260BA84F"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776" w:type="dxa"/>
            <w:tcBorders>
              <w:top w:val="double" w:sz="4" w:space="0" w:color="auto"/>
            </w:tcBorders>
            <w:shd w:val="clear" w:color="auto" w:fill="auto"/>
            <w:noWrap/>
            <w:vAlign w:val="center"/>
          </w:tcPr>
          <w:p w14:paraId="2844AAD4"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6D5A4F78"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714" w:type="dxa"/>
            <w:tcBorders>
              <w:top w:val="double" w:sz="4" w:space="0" w:color="auto"/>
            </w:tcBorders>
            <w:shd w:val="clear" w:color="auto" w:fill="auto"/>
            <w:noWrap/>
            <w:vAlign w:val="center"/>
          </w:tcPr>
          <w:p w14:paraId="3CA7A13C"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05E15158"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2FFA4894"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2FBF24AB"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52EE71DC"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2092F88A"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1558406"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08B6B55F" w14:textId="77777777" w:rsidR="00386599" w:rsidRPr="00434119" w:rsidRDefault="00386599" w:rsidP="001E0EB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6458B329" w14:textId="77777777" w:rsidR="00386599" w:rsidRPr="00434119" w:rsidRDefault="00386599" w:rsidP="001E0EBD">
            <w:pPr>
              <w:spacing w:before="0" w:after="0"/>
              <w:jc w:val="center"/>
              <w:rPr>
                <w:rFonts w:ascii="Arial" w:hAnsi="Arial" w:cs="Arial"/>
                <w:color w:val="000000"/>
                <w:sz w:val="16"/>
                <w:szCs w:val="16"/>
                <w:lang w:val="en-AU" w:eastAsia="en-AU"/>
              </w:rPr>
            </w:pPr>
          </w:p>
        </w:tc>
      </w:tr>
      <w:tr w:rsidR="00386599" w:rsidRPr="00434119" w14:paraId="42485446" w14:textId="77777777" w:rsidTr="009748AD">
        <w:trPr>
          <w:trHeight w:val="212"/>
          <w:jc w:val="center"/>
        </w:trPr>
        <w:tc>
          <w:tcPr>
            <w:tcW w:w="2150" w:type="dxa"/>
            <w:tcBorders>
              <w:left w:val="double" w:sz="6" w:space="0" w:color="auto"/>
              <w:bottom w:val="single" w:sz="4" w:space="0" w:color="BFBFBF"/>
              <w:right w:val="nil"/>
            </w:tcBorders>
            <w:shd w:val="clear" w:color="auto" w:fill="auto"/>
            <w:noWrap/>
            <w:vAlign w:val="center"/>
          </w:tcPr>
          <w:p w14:paraId="15DF4B5A" w14:textId="77777777" w:rsidR="00386599" w:rsidRPr="00434119" w:rsidRDefault="00386599" w:rsidP="001E0EBD">
            <w:pPr>
              <w:spacing w:before="0" w:after="0"/>
              <w:rPr>
                <w:rFonts w:ascii="Arial" w:hAnsi="Arial" w:cs="Arial"/>
                <w:b/>
                <w:bCs/>
                <w:color w:val="000000"/>
                <w:sz w:val="16"/>
                <w:szCs w:val="16"/>
                <w:lang w:val="en-AU" w:eastAsia="en-AU"/>
              </w:rPr>
            </w:pPr>
          </w:p>
          <w:p w14:paraId="325A6E6C" w14:textId="77777777" w:rsidR="00386599" w:rsidRPr="00434119" w:rsidRDefault="00386599" w:rsidP="001E0EBD">
            <w:pPr>
              <w:spacing w:before="0" w:after="0"/>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By Concession Status -</w:t>
            </w:r>
          </w:p>
        </w:tc>
        <w:tc>
          <w:tcPr>
            <w:tcW w:w="808" w:type="dxa"/>
            <w:tcBorders>
              <w:left w:val="single" w:sz="4" w:space="0" w:color="auto"/>
              <w:bottom w:val="single" w:sz="4" w:space="0" w:color="BFBFBF"/>
              <w:right w:val="single" w:sz="4" w:space="0" w:color="BFBFBF"/>
            </w:tcBorders>
            <w:shd w:val="clear" w:color="auto" w:fill="auto"/>
            <w:noWrap/>
            <w:vAlign w:val="center"/>
          </w:tcPr>
          <w:p w14:paraId="524AFDF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21FD2F84"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0914A56F"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781B5BE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78" w:type="dxa"/>
            <w:tcBorders>
              <w:left w:val="nil"/>
              <w:bottom w:val="single" w:sz="4" w:space="0" w:color="BFBFBF"/>
              <w:right w:val="single" w:sz="4" w:space="0" w:color="BFBFBF"/>
            </w:tcBorders>
            <w:shd w:val="clear" w:color="auto" w:fill="auto"/>
            <w:noWrap/>
            <w:vAlign w:val="center"/>
          </w:tcPr>
          <w:p w14:paraId="4CA293AD"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1" w:type="dxa"/>
            <w:tcBorders>
              <w:left w:val="nil"/>
              <w:bottom w:val="single" w:sz="4" w:space="0" w:color="BFBFBF"/>
              <w:right w:val="single" w:sz="4" w:space="0" w:color="BFBFBF"/>
            </w:tcBorders>
            <w:shd w:val="clear" w:color="auto" w:fill="auto"/>
            <w:noWrap/>
            <w:vAlign w:val="center"/>
          </w:tcPr>
          <w:p w14:paraId="1408220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776" w:type="dxa"/>
            <w:tcBorders>
              <w:left w:val="nil"/>
              <w:bottom w:val="single" w:sz="4" w:space="0" w:color="BFBFBF"/>
              <w:right w:val="single" w:sz="4" w:space="0" w:color="auto"/>
            </w:tcBorders>
            <w:shd w:val="clear" w:color="auto" w:fill="auto"/>
            <w:noWrap/>
            <w:vAlign w:val="center"/>
          </w:tcPr>
          <w:p w14:paraId="170D1EC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left w:val="nil"/>
              <w:bottom w:val="single" w:sz="4" w:space="0" w:color="BFBFBF"/>
              <w:right w:val="single" w:sz="4" w:space="0" w:color="BFBFBF"/>
            </w:tcBorders>
            <w:shd w:val="clear" w:color="auto" w:fill="auto"/>
            <w:noWrap/>
            <w:vAlign w:val="center"/>
          </w:tcPr>
          <w:p w14:paraId="6D62D51E"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714" w:type="dxa"/>
            <w:tcBorders>
              <w:left w:val="nil"/>
              <w:bottom w:val="single" w:sz="4" w:space="0" w:color="BFBFBF"/>
              <w:right w:val="single" w:sz="4" w:space="0" w:color="BFBFBF"/>
            </w:tcBorders>
            <w:shd w:val="clear" w:color="auto" w:fill="auto"/>
            <w:noWrap/>
            <w:vAlign w:val="center"/>
          </w:tcPr>
          <w:p w14:paraId="0396C069"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675" w:type="dxa"/>
            <w:tcBorders>
              <w:left w:val="nil"/>
              <w:bottom w:val="single" w:sz="4" w:space="0" w:color="BFBFBF"/>
              <w:right w:val="nil"/>
            </w:tcBorders>
            <w:shd w:val="clear" w:color="auto" w:fill="auto"/>
            <w:noWrap/>
            <w:vAlign w:val="center"/>
          </w:tcPr>
          <w:p w14:paraId="49602DD2"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left w:val="single" w:sz="4" w:space="0" w:color="auto"/>
              <w:bottom w:val="single" w:sz="4" w:space="0" w:color="BFBFBF"/>
              <w:right w:val="single" w:sz="4" w:space="0" w:color="BFBFBF"/>
            </w:tcBorders>
            <w:shd w:val="clear" w:color="auto" w:fill="auto"/>
            <w:noWrap/>
            <w:vAlign w:val="center"/>
          </w:tcPr>
          <w:p w14:paraId="09CABB8A"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4189665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4F27DCD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left w:val="nil"/>
              <w:bottom w:val="single" w:sz="4" w:space="0" w:color="BFBFBF"/>
              <w:right w:val="single" w:sz="4" w:space="0" w:color="BFBFBF"/>
            </w:tcBorders>
            <w:shd w:val="clear" w:color="auto" w:fill="auto"/>
            <w:noWrap/>
            <w:vAlign w:val="center"/>
          </w:tcPr>
          <w:p w14:paraId="474FF7A7"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61DC8973"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6491DB10"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left w:val="nil"/>
              <w:bottom w:val="single" w:sz="4" w:space="0" w:color="BFBFBF"/>
              <w:right w:val="double" w:sz="6" w:space="0" w:color="auto"/>
            </w:tcBorders>
            <w:shd w:val="clear" w:color="auto" w:fill="auto"/>
            <w:noWrap/>
            <w:vAlign w:val="center"/>
          </w:tcPr>
          <w:p w14:paraId="4A8DF04B" w14:textId="77777777" w:rsidR="00386599" w:rsidRPr="00434119" w:rsidRDefault="0038659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r>
      <w:tr w:rsidR="00434119" w:rsidRPr="00434119" w14:paraId="3C8BC0CC"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6BD5D1E6" w14:textId="77777777" w:rsidR="00434119" w:rsidRPr="00434119" w:rsidRDefault="0043411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Aged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4E267E8"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3,790</w:t>
            </w:r>
          </w:p>
        </w:tc>
        <w:tc>
          <w:tcPr>
            <w:tcW w:w="808" w:type="dxa"/>
            <w:tcBorders>
              <w:top w:val="nil"/>
              <w:left w:val="nil"/>
              <w:bottom w:val="single" w:sz="4" w:space="0" w:color="BFBFBF"/>
              <w:right w:val="single" w:sz="4" w:space="0" w:color="BFBFBF"/>
            </w:tcBorders>
            <w:shd w:val="clear" w:color="auto" w:fill="auto"/>
            <w:noWrap/>
            <w:vAlign w:val="center"/>
          </w:tcPr>
          <w:p w14:paraId="7CB8F2CA"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4,656</w:t>
            </w:r>
          </w:p>
        </w:tc>
        <w:tc>
          <w:tcPr>
            <w:tcW w:w="808" w:type="dxa"/>
            <w:tcBorders>
              <w:top w:val="nil"/>
              <w:left w:val="nil"/>
              <w:bottom w:val="single" w:sz="4" w:space="0" w:color="BFBFBF"/>
              <w:right w:val="single" w:sz="4" w:space="0" w:color="BFBFBF"/>
            </w:tcBorders>
            <w:shd w:val="clear" w:color="auto" w:fill="auto"/>
            <w:noWrap/>
            <w:vAlign w:val="center"/>
          </w:tcPr>
          <w:p w14:paraId="5E472279"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4,390</w:t>
            </w:r>
          </w:p>
        </w:tc>
        <w:tc>
          <w:tcPr>
            <w:tcW w:w="808" w:type="dxa"/>
            <w:tcBorders>
              <w:top w:val="nil"/>
              <w:left w:val="nil"/>
              <w:bottom w:val="single" w:sz="4" w:space="0" w:color="BFBFBF"/>
              <w:right w:val="single" w:sz="4" w:space="0" w:color="auto"/>
            </w:tcBorders>
            <w:shd w:val="clear" w:color="auto" w:fill="auto"/>
            <w:noWrap/>
            <w:vAlign w:val="center"/>
          </w:tcPr>
          <w:p w14:paraId="6A0255CB"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3,708</w:t>
            </w:r>
          </w:p>
        </w:tc>
        <w:tc>
          <w:tcPr>
            <w:tcW w:w="878" w:type="dxa"/>
            <w:tcBorders>
              <w:top w:val="nil"/>
              <w:left w:val="nil"/>
              <w:bottom w:val="single" w:sz="4" w:space="0" w:color="BFBFBF"/>
              <w:right w:val="single" w:sz="4" w:space="0" w:color="BFBFBF"/>
            </w:tcBorders>
            <w:shd w:val="clear" w:color="auto" w:fill="auto"/>
            <w:noWrap/>
            <w:vAlign w:val="center"/>
          </w:tcPr>
          <w:p w14:paraId="76A244C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-18.6%</w:t>
            </w:r>
          </w:p>
        </w:tc>
        <w:tc>
          <w:tcPr>
            <w:tcW w:w="851" w:type="dxa"/>
            <w:tcBorders>
              <w:top w:val="nil"/>
              <w:left w:val="nil"/>
              <w:bottom w:val="single" w:sz="4" w:space="0" w:color="BFBFBF"/>
              <w:right w:val="single" w:sz="4" w:space="0" w:color="BFBFBF"/>
            </w:tcBorders>
            <w:shd w:val="clear" w:color="auto" w:fill="auto"/>
            <w:noWrap/>
            <w:vAlign w:val="center"/>
          </w:tcPr>
          <w:p w14:paraId="4A35860C"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6.1%</w:t>
            </w:r>
          </w:p>
        </w:tc>
        <w:tc>
          <w:tcPr>
            <w:tcW w:w="776" w:type="dxa"/>
            <w:tcBorders>
              <w:top w:val="nil"/>
              <w:left w:val="nil"/>
              <w:bottom w:val="single" w:sz="4" w:space="0" w:color="BFBFBF"/>
              <w:right w:val="single" w:sz="4" w:space="0" w:color="auto"/>
            </w:tcBorders>
            <w:shd w:val="clear" w:color="auto" w:fill="auto"/>
            <w:noWrap/>
            <w:vAlign w:val="center"/>
          </w:tcPr>
          <w:p w14:paraId="026448AA"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18.4%</w:t>
            </w:r>
          </w:p>
        </w:tc>
        <w:tc>
          <w:tcPr>
            <w:tcW w:w="857" w:type="dxa"/>
            <w:tcBorders>
              <w:top w:val="nil"/>
              <w:left w:val="nil"/>
              <w:bottom w:val="single" w:sz="4" w:space="0" w:color="BFBFBF"/>
              <w:right w:val="single" w:sz="4" w:space="0" w:color="BFBFBF"/>
            </w:tcBorders>
            <w:shd w:val="clear" w:color="auto" w:fill="auto"/>
            <w:noWrap/>
            <w:vAlign w:val="center"/>
          </w:tcPr>
          <w:p w14:paraId="5C444E1D"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1,071</w:t>
            </w:r>
          </w:p>
        </w:tc>
        <w:tc>
          <w:tcPr>
            <w:tcW w:w="714" w:type="dxa"/>
            <w:tcBorders>
              <w:top w:val="nil"/>
              <w:left w:val="nil"/>
              <w:bottom w:val="single" w:sz="4" w:space="0" w:color="BFBFBF"/>
              <w:right w:val="single" w:sz="4" w:space="0" w:color="BFBFBF"/>
            </w:tcBorders>
            <w:shd w:val="clear" w:color="auto" w:fill="auto"/>
            <w:noWrap/>
            <w:vAlign w:val="center"/>
          </w:tcPr>
          <w:p w14:paraId="43759CC2"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1,722</w:t>
            </w:r>
          </w:p>
        </w:tc>
        <w:tc>
          <w:tcPr>
            <w:tcW w:w="675" w:type="dxa"/>
            <w:tcBorders>
              <w:top w:val="nil"/>
              <w:left w:val="nil"/>
              <w:bottom w:val="single" w:sz="4" w:space="0" w:color="BFBFBF"/>
              <w:right w:val="nil"/>
            </w:tcBorders>
            <w:shd w:val="clear" w:color="auto" w:fill="auto"/>
            <w:noWrap/>
            <w:vAlign w:val="center"/>
          </w:tcPr>
          <w:p w14:paraId="120B9060"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2,780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0AE7ACE"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1,573</w:t>
            </w:r>
          </w:p>
        </w:tc>
        <w:tc>
          <w:tcPr>
            <w:tcW w:w="808" w:type="dxa"/>
            <w:tcBorders>
              <w:top w:val="nil"/>
              <w:left w:val="nil"/>
              <w:bottom w:val="single" w:sz="4" w:space="0" w:color="BFBFBF"/>
              <w:right w:val="single" w:sz="4" w:space="0" w:color="BFBFBF"/>
            </w:tcBorders>
            <w:shd w:val="clear" w:color="auto" w:fill="auto"/>
            <w:noWrap/>
            <w:vAlign w:val="center"/>
          </w:tcPr>
          <w:p w14:paraId="20AA1910"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2,374</w:t>
            </w:r>
          </w:p>
        </w:tc>
        <w:tc>
          <w:tcPr>
            <w:tcW w:w="808" w:type="dxa"/>
            <w:tcBorders>
              <w:top w:val="nil"/>
              <w:left w:val="nil"/>
              <w:bottom w:val="single" w:sz="4" w:space="0" w:color="BFBFBF"/>
              <w:right w:val="single" w:sz="4" w:space="0" w:color="auto"/>
            </w:tcBorders>
            <w:shd w:val="clear" w:color="auto" w:fill="auto"/>
            <w:noWrap/>
            <w:vAlign w:val="center"/>
          </w:tcPr>
          <w:p w14:paraId="389047B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3,968</w:t>
            </w:r>
          </w:p>
        </w:tc>
        <w:tc>
          <w:tcPr>
            <w:tcW w:w="857" w:type="dxa"/>
            <w:tcBorders>
              <w:top w:val="nil"/>
              <w:left w:val="nil"/>
              <w:bottom w:val="single" w:sz="4" w:space="0" w:color="BFBFBF"/>
              <w:right w:val="single" w:sz="4" w:space="0" w:color="BFBFBF"/>
            </w:tcBorders>
            <w:shd w:val="clear" w:color="auto" w:fill="auto"/>
            <w:noWrap/>
            <w:vAlign w:val="center"/>
          </w:tcPr>
          <w:p w14:paraId="121B12B7"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1,449</w:t>
            </w:r>
          </w:p>
        </w:tc>
        <w:tc>
          <w:tcPr>
            <w:tcW w:w="808" w:type="dxa"/>
            <w:tcBorders>
              <w:top w:val="nil"/>
              <w:left w:val="nil"/>
              <w:bottom w:val="single" w:sz="4" w:space="0" w:color="BFBFBF"/>
              <w:right w:val="single" w:sz="4" w:space="0" w:color="BFBFBF"/>
            </w:tcBorders>
            <w:shd w:val="clear" w:color="auto" w:fill="auto"/>
            <w:noWrap/>
            <w:vAlign w:val="center"/>
          </w:tcPr>
          <w:p w14:paraId="33A9BFE9"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2,101</w:t>
            </w:r>
          </w:p>
        </w:tc>
        <w:tc>
          <w:tcPr>
            <w:tcW w:w="808" w:type="dxa"/>
            <w:tcBorders>
              <w:top w:val="nil"/>
              <w:left w:val="nil"/>
              <w:bottom w:val="single" w:sz="4" w:space="0" w:color="BFBFBF"/>
              <w:right w:val="single" w:sz="4" w:space="0" w:color="auto"/>
            </w:tcBorders>
            <w:shd w:val="clear" w:color="auto" w:fill="auto"/>
            <w:noWrap/>
            <w:vAlign w:val="center"/>
          </w:tcPr>
          <w:p w14:paraId="123427C9"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3,550</w:t>
            </w:r>
          </w:p>
        </w:tc>
        <w:tc>
          <w:tcPr>
            <w:tcW w:w="808" w:type="dxa"/>
            <w:tcBorders>
              <w:top w:val="nil"/>
              <w:left w:val="nil"/>
              <w:bottom w:val="single" w:sz="4" w:space="0" w:color="BFBFBF"/>
              <w:right w:val="double" w:sz="6" w:space="0" w:color="auto"/>
            </w:tcBorders>
            <w:shd w:val="clear" w:color="auto" w:fill="auto"/>
            <w:noWrap/>
            <w:vAlign w:val="center"/>
          </w:tcPr>
          <w:p w14:paraId="75E71133"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2,761</w:t>
            </w:r>
          </w:p>
        </w:tc>
      </w:tr>
      <w:tr w:rsidR="00434119" w:rsidRPr="00434119" w14:paraId="12DC081C"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587021E8" w14:textId="77777777" w:rsidR="00434119" w:rsidRPr="00434119" w:rsidRDefault="0043411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Other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0D1AC4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4,544</w:t>
            </w:r>
          </w:p>
        </w:tc>
        <w:tc>
          <w:tcPr>
            <w:tcW w:w="808" w:type="dxa"/>
            <w:tcBorders>
              <w:top w:val="nil"/>
              <w:left w:val="nil"/>
              <w:bottom w:val="single" w:sz="4" w:space="0" w:color="BFBFBF"/>
              <w:right w:val="single" w:sz="4" w:space="0" w:color="BFBFBF"/>
            </w:tcBorders>
            <w:shd w:val="clear" w:color="auto" w:fill="auto"/>
            <w:noWrap/>
            <w:vAlign w:val="center"/>
          </w:tcPr>
          <w:p w14:paraId="66CB085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5,162</w:t>
            </w:r>
          </w:p>
        </w:tc>
        <w:tc>
          <w:tcPr>
            <w:tcW w:w="808" w:type="dxa"/>
            <w:tcBorders>
              <w:top w:val="nil"/>
              <w:left w:val="nil"/>
              <w:bottom w:val="single" w:sz="4" w:space="0" w:color="BFBFBF"/>
              <w:right w:val="single" w:sz="4" w:space="0" w:color="BFBFBF"/>
            </w:tcBorders>
            <w:shd w:val="clear" w:color="auto" w:fill="auto"/>
            <w:noWrap/>
            <w:vAlign w:val="center"/>
          </w:tcPr>
          <w:p w14:paraId="160AF42E"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4,735</w:t>
            </w:r>
          </w:p>
        </w:tc>
        <w:tc>
          <w:tcPr>
            <w:tcW w:w="808" w:type="dxa"/>
            <w:tcBorders>
              <w:top w:val="nil"/>
              <w:left w:val="nil"/>
              <w:bottom w:val="single" w:sz="4" w:space="0" w:color="BFBFBF"/>
              <w:right w:val="single" w:sz="4" w:space="0" w:color="auto"/>
            </w:tcBorders>
            <w:shd w:val="clear" w:color="auto" w:fill="auto"/>
            <w:noWrap/>
            <w:vAlign w:val="center"/>
          </w:tcPr>
          <w:p w14:paraId="3D4639A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4,014</w:t>
            </w:r>
          </w:p>
        </w:tc>
        <w:tc>
          <w:tcPr>
            <w:tcW w:w="878" w:type="dxa"/>
            <w:tcBorders>
              <w:top w:val="nil"/>
              <w:left w:val="nil"/>
              <w:bottom w:val="single" w:sz="4" w:space="0" w:color="BFBFBF"/>
              <w:right w:val="single" w:sz="4" w:space="0" w:color="BFBFBF"/>
            </w:tcBorders>
            <w:shd w:val="clear" w:color="auto" w:fill="auto"/>
            <w:noWrap/>
            <w:vAlign w:val="center"/>
          </w:tcPr>
          <w:p w14:paraId="4A1E1382"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-12.0%</w:t>
            </w:r>
          </w:p>
        </w:tc>
        <w:tc>
          <w:tcPr>
            <w:tcW w:w="851" w:type="dxa"/>
            <w:tcBorders>
              <w:top w:val="nil"/>
              <w:left w:val="nil"/>
              <w:bottom w:val="single" w:sz="4" w:space="0" w:color="BFBFBF"/>
              <w:right w:val="single" w:sz="4" w:space="0" w:color="BFBFBF"/>
            </w:tcBorders>
            <w:shd w:val="clear" w:color="auto" w:fill="auto"/>
            <w:noWrap/>
            <w:vAlign w:val="center"/>
          </w:tcPr>
          <w:p w14:paraId="7EDF2E4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9.0%</w:t>
            </w:r>
          </w:p>
        </w:tc>
        <w:tc>
          <w:tcPr>
            <w:tcW w:w="776" w:type="dxa"/>
            <w:tcBorders>
              <w:top w:val="nil"/>
              <w:left w:val="nil"/>
              <w:bottom w:val="single" w:sz="4" w:space="0" w:color="BFBFBF"/>
              <w:right w:val="single" w:sz="4" w:space="0" w:color="auto"/>
            </w:tcBorders>
            <w:shd w:val="clear" w:color="auto" w:fill="auto"/>
            <w:noWrap/>
            <w:vAlign w:val="center"/>
          </w:tcPr>
          <w:p w14:paraId="52FF41A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18.0%</w:t>
            </w:r>
          </w:p>
        </w:tc>
        <w:tc>
          <w:tcPr>
            <w:tcW w:w="857" w:type="dxa"/>
            <w:tcBorders>
              <w:top w:val="nil"/>
              <w:left w:val="nil"/>
              <w:bottom w:val="single" w:sz="4" w:space="0" w:color="BFBFBF"/>
              <w:right w:val="single" w:sz="4" w:space="0" w:color="BFBFBF"/>
            </w:tcBorders>
            <w:shd w:val="clear" w:color="auto" w:fill="auto"/>
            <w:noWrap/>
            <w:vAlign w:val="center"/>
          </w:tcPr>
          <w:p w14:paraId="2586277E"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1,252</w:t>
            </w:r>
          </w:p>
        </w:tc>
        <w:tc>
          <w:tcPr>
            <w:tcW w:w="714" w:type="dxa"/>
            <w:tcBorders>
              <w:top w:val="nil"/>
              <w:left w:val="nil"/>
              <w:bottom w:val="single" w:sz="4" w:space="0" w:color="BFBFBF"/>
              <w:right w:val="single" w:sz="4" w:space="0" w:color="BFBFBF"/>
            </w:tcBorders>
            <w:shd w:val="clear" w:color="auto" w:fill="auto"/>
            <w:noWrap/>
            <w:vAlign w:val="center"/>
          </w:tcPr>
          <w:p w14:paraId="26A5CA5E"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1,923</w:t>
            </w:r>
          </w:p>
        </w:tc>
        <w:tc>
          <w:tcPr>
            <w:tcW w:w="675" w:type="dxa"/>
            <w:tcBorders>
              <w:top w:val="nil"/>
              <w:left w:val="nil"/>
              <w:bottom w:val="single" w:sz="4" w:space="0" w:color="BFBFBF"/>
              <w:right w:val="nil"/>
            </w:tcBorders>
            <w:shd w:val="clear" w:color="auto" w:fill="auto"/>
            <w:noWrap/>
            <w:vAlign w:val="center"/>
          </w:tcPr>
          <w:p w14:paraId="4151377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3,216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3C9965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1,886</w:t>
            </w:r>
          </w:p>
        </w:tc>
        <w:tc>
          <w:tcPr>
            <w:tcW w:w="808" w:type="dxa"/>
            <w:tcBorders>
              <w:top w:val="nil"/>
              <w:left w:val="nil"/>
              <w:bottom w:val="single" w:sz="4" w:space="0" w:color="BFBFBF"/>
              <w:right w:val="single" w:sz="4" w:space="0" w:color="BFBFBF"/>
            </w:tcBorders>
            <w:shd w:val="clear" w:color="auto" w:fill="auto"/>
            <w:noWrap/>
            <w:vAlign w:val="center"/>
          </w:tcPr>
          <w:p w14:paraId="479A4839"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2,751</w:t>
            </w:r>
          </w:p>
        </w:tc>
        <w:tc>
          <w:tcPr>
            <w:tcW w:w="808" w:type="dxa"/>
            <w:tcBorders>
              <w:top w:val="nil"/>
              <w:left w:val="nil"/>
              <w:bottom w:val="single" w:sz="4" w:space="0" w:color="BFBFBF"/>
              <w:right w:val="single" w:sz="4" w:space="0" w:color="auto"/>
            </w:tcBorders>
            <w:shd w:val="clear" w:color="auto" w:fill="auto"/>
            <w:noWrap/>
            <w:vAlign w:val="center"/>
          </w:tcPr>
          <w:p w14:paraId="04D195C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4,674</w:t>
            </w:r>
          </w:p>
        </w:tc>
        <w:tc>
          <w:tcPr>
            <w:tcW w:w="857" w:type="dxa"/>
            <w:tcBorders>
              <w:top w:val="nil"/>
              <w:left w:val="nil"/>
              <w:bottom w:val="single" w:sz="4" w:space="0" w:color="BFBFBF"/>
              <w:right w:val="single" w:sz="4" w:space="0" w:color="BFBFBF"/>
            </w:tcBorders>
            <w:shd w:val="clear" w:color="auto" w:fill="auto"/>
            <w:noWrap/>
            <w:vAlign w:val="center"/>
          </w:tcPr>
          <w:p w14:paraId="776B389F"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1,721</w:t>
            </w:r>
          </w:p>
        </w:tc>
        <w:tc>
          <w:tcPr>
            <w:tcW w:w="808" w:type="dxa"/>
            <w:tcBorders>
              <w:top w:val="nil"/>
              <w:left w:val="nil"/>
              <w:bottom w:val="single" w:sz="4" w:space="0" w:color="BFBFBF"/>
              <w:right w:val="single" w:sz="4" w:space="0" w:color="BFBFBF"/>
            </w:tcBorders>
            <w:shd w:val="clear" w:color="auto" w:fill="auto"/>
            <w:noWrap/>
            <w:vAlign w:val="center"/>
          </w:tcPr>
          <w:p w14:paraId="67682358"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2,425</w:t>
            </w:r>
          </w:p>
        </w:tc>
        <w:tc>
          <w:tcPr>
            <w:tcW w:w="808" w:type="dxa"/>
            <w:tcBorders>
              <w:top w:val="nil"/>
              <w:left w:val="nil"/>
              <w:bottom w:val="single" w:sz="4" w:space="0" w:color="BFBFBF"/>
              <w:right w:val="single" w:sz="4" w:space="0" w:color="auto"/>
            </w:tcBorders>
            <w:shd w:val="clear" w:color="auto" w:fill="auto"/>
            <w:noWrap/>
            <w:vAlign w:val="center"/>
          </w:tcPr>
          <w:p w14:paraId="2120E347"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4,143</w:t>
            </w:r>
          </w:p>
        </w:tc>
        <w:tc>
          <w:tcPr>
            <w:tcW w:w="808" w:type="dxa"/>
            <w:tcBorders>
              <w:top w:val="nil"/>
              <w:left w:val="nil"/>
              <w:bottom w:val="single" w:sz="4" w:space="0" w:color="BFBFBF"/>
              <w:right w:val="double" w:sz="6" w:space="0" w:color="auto"/>
            </w:tcBorders>
            <w:shd w:val="clear" w:color="auto" w:fill="auto"/>
            <w:noWrap/>
            <w:vAlign w:val="center"/>
          </w:tcPr>
          <w:p w14:paraId="05BBDB63"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3,262</w:t>
            </w:r>
          </w:p>
        </w:tc>
      </w:tr>
      <w:tr w:rsidR="00434119" w:rsidRPr="00434119" w14:paraId="3692E849"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1E2FD4EB" w14:textId="77777777" w:rsidR="00434119" w:rsidRPr="00434119" w:rsidRDefault="00434119"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Total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C07FE6F"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4,160</w:t>
            </w:r>
          </w:p>
        </w:tc>
        <w:tc>
          <w:tcPr>
            <w:tcW w:w="808" w:type="dxa"/>
            <w:tcBorders>
              <w:top w:val="nil"/>
              <w:left w:val="nil"/>
              <w:bottom w:val="single" w:sz="4" w:space="0" w:color="BFBFBF"/>
              <w:right w:val="single" w:sz="4" w:space="0" w:color="BFBFBF"/>
            </w:tcBorders>
            <w:shd w:val="clear" w:color="auto" w:fill="auto"/>
            <w:noWrap/>
            <w:vAlign w:val="center"/>
          </w:tcPr>
          <w:p w14:paraId="49B8B19B"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4,895</w:t>
            </w:r>
          </w:p>
        </w:tc>
        <w:tc>
          <w:tcPr>
            <w:tcW w:w="808" w:type="dxa"/>
            <w:tcBorders>
              <w:top w:val="nil"/>
              <w:left w:val="nil"/>
              <w:bottom w:val="single" w:sz="4" w:space="0" w:color="BFBFBF"/>
              <w:right w:val="single" w:sz="4" w:space="0" w:color="BFBFBF"/>
            </w:tcBorders>
            <w:shd w:val="clear" w:color="auto" w:fill="auto"/>
            <w:noWrap/>
            <w:vAlign w:val="center"/>
          </w:tcPr>
          <w:p w14:paraId="4D825383"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4,557</w:t>
            </w:r>
          </w:p>
        </w:tc>
        <w:tc>
          <w:tcPr>
            <w:tcW w:w="808" w:type="dxa"/>
            <w:tcBorders>
              <w:top w:val="nil"/>
              <w:left w:val="nil"/>
              <w:bottom w:val="single" w:sz="4" w:space="0" w:color="BFBFBF"/>
              <w:right w:val="single" w:sz="4" w:space="0" w:color="auto"/>
            </w:tcBorders>
            <w:shd w:val="clear" w:color="auto" w:fill="auto"/>
            <w:noWrap/>
            <w:vAlign w:val="center"/>
          </w:tcPr>
          <w:p w14:paraId="1BCA980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3,840</w:t>
            </w:r>
          </w:p>
        </w:tc>
        <w:tc>
          <w:tcPr>
            <w:tcW w:w="878" w:type="dxa"/>
            <w:tcBorders>
              <w:top w:val="nil"/>
              <w:left w:val="nil"/>
              <w:bottom w:val="single" w:sz="4" w:space="0" w:color="BFBFBF"/>
              <w:right w:val="single" w:sz="4" w:space="0" w:color="BFBFBF"/>
            </w:tcBorders>
            <w:shd w:val="clear" w:color="auto" w:fill="auto"/>
            <w:noWrap/>
            <w:vAlign w:val="center"/>
          </w:tcPr>
          <w:p w14:paraId="4636999C"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-15.0%</w:t>
            </w:r>
          </w:p>
        </w:tc>
        <w:tc>
          <w:tcPr>
            <w:tcW w:w="851" w:type="dxa"/>
            <w:tcBorders>
              <w:top w:val="nil"/>
              <w:left w:val="nil"/>
              <w:bottom w:val="single" w:sz="4" w:space="0" w:color="BFBFBF"/>
              <w:right w:val="single" w:sz="4" w:space="0" w:color="BFBFBF"/>
            </w:tcBorders>
            <w:shd w:val="clear" w:color="auto" w:fill="auto"/>
            <w:noWrap/>
            <w:vAlign w:val="center"/>
          </w:tcPr>
          <w:p w14:paraId="37AFCC7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7.4%</w:t>
            </w:r>
          </w:p>
        </w:tc>
        <w:tc>
          <w:tcPr>
            <w:tcW w:w="776" w:type="dxa"/>
            <w:tcBorders>
              <w:top w:val="nil"/>
              <w:left w:val="nil"/>
              <w:bottom w:val="single" w:sz="4" w:space="0" w:color="BFBFBF"/>
              <w:right w:val="single" w:sz="4" w:space="0" w:color="auto"/>
            </w:tcBorders>
            <w:shd w:val="clear" w:color="auto" w:fill="auto"/>
            <w:noWrap/>
            <w:vAlign w:val="center"/>
          </w:tcPr>
          <w:p w14:paraId="6E42CB90"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18.7%</w:t>
            </w:r>
          </w:p>
        </w:tc>
        <w:tc>
          <w:tcPr>
            <w:tcW w:w="857" w:type="dxa"/>
            <w:tcBorders>
              <w:top w:val="nil"/>
              <w:left w:val="nil"/>
              <w:bottom w:val="single" w:sz="4" w:space="0" w:color="BFBFBF"/>
              <w:right w:val="single" w:sz="4" w:space="0" w:color="BFBFBF"/>
            </w:tcBorders>
            <w:shd w:val="clear" w:color="auto" w:fill="auto"/>
            <w:noWrap/>
            <w:vAlign w:val="center"/>
          </w:tcPr>
          <w:p w14:paraId="13883C3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1,169</w:t>
            </w:r>
          </w:p>
        </w:tc>
        <w:tc>
          <w:tcPr>
            <w:tcW w:w="714" w:type="dxa"/>
            <w:tcBorders>
              <w:top w:val="nil"/>
              <w:left w:val="nil"/>
              <w:bottom w:val="single" w:sz="4" w:space="0" w:color="BFBFBF"/>
              <w:right w:val="single" w:sz="4" w:space="0" w:color="BFBFBF"/>
            </w:tcBorders>
            <w:shd w:val="clear" w:color="auto" w:fill="auto"/>
            <w:noWrap/>
            <w:vAlign w:val="center"/>
          </w:tcPr>
          <w:p w14:paraId="6C7AC8D8"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1,829</w:t>
            </w:r>
          </w:p>
        </w:tc>
        <w:tc>
          <w:tcPr>
            <w:tcW w:w="675" w:type="dxa"/>
            <w:tcBorders>
              <w:top w:val="nil"/>
              <w:left w:val="nil"/>
              <w:bottom w:val="single" w:sz="4" w:space="0" w:color="BFBFBF"/>
              <w:right w:val="nil"/>
            </w:tcBorders>
            <w:shd w:val="clear" w:color="auto" w:fill="auto"/>
            <w:noWrap/>
            <w:vAlign w:val="center"/>
          </w:tcPr>
          <w:p w14:paraId="3D77EF85"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3,000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D2C8E4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1,721</w:t>
            </w:r>
          </w:p>
        </w:tc>
        <w:tc>
          <w:tcPr>
            <w:tcW w:w="808" w:type="dxa"/>
            <w:tcBorders>
              <w:top w:val="nil"/>
              <w:left w:val="nil"/>
              <w:bottom w:val="single" w:sz="4" w:space="0" w:color="BFBFBF"/>
              <w:right w:val="single" w:sz="4" w:space="0" w:color="BFBFBF"/>
            </w:tcBorders>
            <w:shd w:val="clear" w:color="auto" w:fill="auto"/>
            <w:noWrap/>
            <w:vAlign w:val="center"/>
          </w:tcPr>
          <w:p w14:paraId="715AB57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2,552</w:t>
            </w:r>
          </w:p>
        </w:tc>
        <w:tc>
          <w:tcPr>
            <w:tcW w:w="808" w:type="dxa"/>
            <w:tcBorders>
              <w:top w:val="nil"/>
              <w:left w:val="nil"/>
              <w:bottom w:val="single" w:sz="4" w:space="0" w:color="BFBFBF"/>
              <w:right w:val="single" w:sz="4" w:space="0" w:color="auto"/>
            </w:tcBorders>
            <w:shd w:val="clear" w:color="auto" w:fill="auto"/>
            <w:noWrap/>
            <w:vAlign w:val="center"/>
          </w:tcPr>
          <w:p w14:paraId="3FEFC21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4,301</w:t>
            </w:r>
          </w:p>
        </w:tc>
        <w:tc>
          <w:tcPr>
            <w:tcW w:w="857" w:type="dxa"/>
            <w:tcBorders>
              <w:top w:val="nil"/>
              <w:left w:val="nil"/>
              <w:bottom w:val="single" w:sz="4" w:space="0" w:color="BFBFBF"/>
              <w:right w:val="single" w:sz="4" w:space="0" w:color="BFBFBF"/>
            </w:tcBorders>
            <w:shd w:val="clear" w:color="auto" w:fill="auto"/>
            <w:noWrap/>
            <w:vAlign w:val="center"/>
          </w:tcPr>
          <w:p w14:paraId="6BF5A09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1,580</w:t>
            </w:r>
          </w:p>
        </w:tc>
        <w:tc>
          <w:tcPr>
            <w:tcW w:w="808" w:type="dxa"/>
            <w:tcBorders>
              <w:top w:val="nil"/>
              <w:left w:val="nil"/>
              <w:bottom w:val="single" w:sz="4" w:space="0" w:color="BFBFBF"/>
              <w:right w:val="single" w:sz="4" w:space="0" w:color="BFBFBF"/>
            </w:tcBorders>
            <w:shd w:val="clear" w:color="auto" w:fill="auto"/>
            <w:noWrap/>
            <w:vAlign w:val="center"/>
          </w:tcPr>
          <w:p w14:paraId="491E3EC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2,258</w:t>
            </w:r>
          </w:p>
        </w:tc>
        <w:tc>
          <w:tcPr>
            <w:tcW w:w="808" w:type="dxa"/>
            <w:tcBorders>
              <w:top w:val="nil"/>
              <w:left w:val="nil"/>
              <w:bottom w:val="single" w:sz="4" w:space="0" w:color="BFBFBF"/>
              <w:right w:val="single" w:sz="4" w:space="0" w:color="auto"/>
            </w:tcBorders>
            <w:shd w:val="clear" w:color="auto" w:fill="auto"/>
            <w:noWrap/>
            <w:vAlign w:val="center"/>
          </w:tcPr>
          <w:p w14:paraId="285A6F0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3,836</w:t>
            </w:r>
          </w:p>
        </w:tc>
        <w:tc>
          <w:tcPr>
            <w:tcW w:w="808" w:type="dxa"/>
            <w:tcBorders>
              <w:top w:val="nil"/>
              <w:left w:val="nil"/>
              <w:bottom w:val="single" w:sz="4" w:space="0" w:color="BFBFBF"/>
              <w:right w:val="double" w:sz="6" w:space="0" w:color="auto"/>
            </w:tcBorders>
            <w:shd w:val="clear" w:color="auto" w:fill="auto"/>
            <w:noWrap/>
            <w:vAlign w:val="center"/>
          </w:tcPr>
          <w:p w14:paraId="3061E4CA"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2,978</w:t>
            </w:r>
          </w:p>
        </w:tc>
      </w:tr>
      <w:tr w:rsidR="00434119" w:rsidRPr="00434119" w14:paraId="19C87ED3"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3CE5F643" w14:textId="77777777" w:rsidR="00434119" w:rsidRPr="00434119" w:rsidRDefault="00434119" w:rsidP="001E0EBD">
            <w:pPr>
              <w:spacing w:before="0" w:after="0"/>
              <w:rPr>
                <w:rFonts w:ascii="Arial" w:hAnsi="Arial" w:cs="Arial"/>
                <w:color w:val="000000"/>
                <w:sz w:val="16"/>
                <w:szCs w:val="16"/>
                <w:lang w:val="en-AU" w:eastAsia="en-AU"/>
              </w:rPr>
            </w:pPr>
            <w:r w:rsidRPr="00434119">
              <w:rPr>
                <w:rFonts w:ascii="Arial" w:hAnsi="Arial" w:cs="Arial"/>
                <w:color w:val="000000"/>
                <w:sz w:val="16"/>
                <w:szCs w:val="16"/>
                <w:lang w:val="en-AU" w:eastAsia="en-AU"/>
              </w:rPr>
              <w:t>Non-Concession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D25359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4,685</w:t>
            </w:r>
          </w:p>
        </w:tc>
        <w:tc>
          <w:tcPr>
            <w:tcW w:w="808" w:type="dxa"/>
            <w:tcBorders>
              <w:top w:val="nil"/>
              <w:left w:val="nil"/>
              <w:bottom w:val="single" w:sz="4" w:space="0" w:color="BFBFBF"/>
              <w:right w:val="single" w:sz="4" w:space="0" w:color="BFBFBF"/>
            </w:tcBorders>
            <w:shd w:val="clear" w:color="auto" w:fill="auto"/>
            <w:noWrap/>
            <w:vAlign w:val="center"/>
          </w:tcPr>
          <w:p w14:paraId="7785C61B"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5,971</w:t>
            </w:r>
          </w:p>
        </w:tc>
        <w:tc>
          <w:tcPr>
            <w:tcW w:w="808" w:type="dxa"/>
            <w:tcBorders>
              <w:top w:val="nil"/>
              <w:left w:val="nil"/>
              <w:bottom w:val="single" w:sz="4" w:space="0" w:color="BFBFBF"/>
              <w:right w:val="single" w:sz="4" w:space="0" w:color="BFBFBF"/>
            </w:tcBorders>
            <w:shd w:val="clear" w:color="auto" w:fill="auto"/>
            <w:noWrap/>
            <w:vAlign w:val="center"/>
          </w:tcPr>
          <w:p w14:paraId="620DFB5C"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5,578</w:t>
            </w:r>
          </w:p>
        </w:tc>
        <w:tc>
          <w:tcPr>
            <w:tcW w:w="808" w:type="dxa"/>
            <w:tcBorders>
              <w:top w:val="nil"/>
              <w:left w:val="nil"/>
              <w:bottom w:val="single" w:sz="4" w:space="0" w:color="BFBFBF"/>
              <w:right w:val="single" w:sz="4" w:space="0" w:color="auto"/>
            </w:tcBorders>
            <w:shd w:val="clear" w:color="auto" w:fill="auto"/>
            <w:noWrap/>
            <w:vAlign w:val="center"/>
          </w:tcPr>
          <w:p w14:paraId="4D70D48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5,000</w:t>
            </w:r>
          </w:p>
        </w:tc>
        <w:tc>
          <w:tcPr>
            <w:tcW w:w="878" w:type="dxa"/>
            <w:tcBorders>
              <w:top w:val="nil"/>
              <w:left w:val="nil"/>
              <w:bottom w:val="single" w:sz="4" w:space="0" w:color="BFBFBF"/>
              <w:right w:val="single" w:sz="4" w:space="0" w:color="BFBFBF"/>
            </w:tcBorders>
            <w:shd w:val="clear" w:color="auto" w:fill="auto"/>
            <w:noWrap/>
            <w:vAlign w:val="center"/>
          </w:tcPr>
          <w:p w14:paraId="7C956221"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-21.5%</w:t>
            </w:r>
          </w:p>
        </w:tc>
        <w:tc>
          <w:tcPr>
            <w:tcW w:w="851" w:type="dxa"/>
            <w:tcBorders>
              <w:top w:val="nil"/>
              <w:left w:val="nil"/>
              <w:bottom w:val="single" w:sz="4" w:space="0" w:color="BFBFBF"/>
              <w:right w:val="single" w:sz="4" w:space="0" w:color="BFBFBF"/>
            </w:tcBorders>
            <w:shd w:val="clear" w:color="auto" w:fill="auto"/>
            <w:noWrap/>
            <w:vAlign w:val="center"/>
          </w:tcPr>
          <w:p w14:paraId="09E2833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7.0%</w:t>
            </w:r>
          </w:p>
        </w:tc>
        <w:tc>
          <w:tcPr>
            <w:tcW w:w="776" w:type="dxa"/>
            <w:tcBorders>
              <w:top w:val="nil"/>
              <w:left w:val="nil"/>
              <w:bottom w:val="single" w:sz="4" w:space="0" w:color="BFBFBF"/>
              <w:right w:val="single" w:sz="4" w:space="0" w:color="auto"/>
            </w:tcBorders>
            <w:shd w:val="clear" w:color="auto" w:fill="auto"/>
            <w:noWrap/>
            <w:vAlign w:val="center"/>
          </w:tcPr>
          <w:p w14:paraId="51D0151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11.6%</w:t>
            </w:r>
          </w:p>
        </w:tc>
        <w:tc>
          <w:tcPr>
            <w:tcW w:w="857" w:type="dxa"/>
            <w:tcBorders>
              <w:top w:val="nil"/>
              <w:left w:val="nil"/>
              <w:bottom w:val="single" w:sz="4" w:space="0" w:color="BFBFBF"/>
              <w:right w:val="single" w:sz="4" w:space="0" w:color="BFBFBF"/>
            </w:tcBorders>
            <w:shd w:val="clear" w:color="auto" w:fill="auto"/>
            <w:noWrap/>
            <w:vAlign w:val="center"/>
          </w:tcPr>
          <w:p w14:paraId="36C5095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1,478</w:t>
            </w:r>
          </w:p>
        </w:tc>
        <w:tc>
          <w:tcPr>
            <w:tcW w:w="714" w:type="dxa"/>
            <w:tcBorders>
              <w:top w:val="nil"/>
              <w:left w:val="nil"/>
              <w:bottom w:val="single" w:sz="4" w:space="0" w:color="BFBFBF"/>
              <w:right w:val="single" w:sz="4" w:space="0" w:color="BFBFBF"/>
            </w:tcBorders>
            <w:shd w:val="clear" w:color="auto" w:fill="auto"/>
            <w:noWrap/>
            <w:vAlign w:val="center"/>
          </w:tcPr>
          <w:p w14:paraId="4004121E"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2,281</w:t>
            </w:r>
          </w:p>
        </w:tc>
        <w:tc>
          <w:tcPr>
            <w:tcW w:w="675" w:type="dxa"/>
            <w:tcBorders>
              <w:top w:val="nil"/>
              <w:left w:val="nil"/>
              <w:bottom w:val="single" w:sz="4" w:space="0" w:color="BFBFBF"/>
              <w:right w:val="nil"/>
            </w:tcBorders>
            <w:shd w:val="clear" w:color="auto" w:fill="auto"/>
            <w:noWrap/>
            <w:vAlign w:val="center"/>
          </w:tcPr>
          <w:p w14:paraId="7737D59F"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3,490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40B34F7"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2,077</w:t>
            </w:r>
          </w:p>
        </w:tc>
        <w:tc>
          <w:tcPr>
            <w:tcW w:w="808" w:type="dxa"/>
            <w:tcBorders>
              <w:top w:val="nil"/>
              <w:left w:val="nil"/>
              <w:bottom w:val="single" w:sz="4" w:space="0" w:color="BFBFBF"/>
              <w:right w:val="single" w:sz="4" w:space="0" w:color="BFBFBF"/>
            </w:tcBorders>
            <w:shd w:val="clear" w:color="auto" w:fill="auto"/>
            <w:noWrap/>
            <w:vAlign w:val="center"/>
          </w:tcPr>
          <w:p w14:paraId="2CFBB97B"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3,135</w:t>
            </w:r>
          </w:p>
        </w:tc>
        <w:tc>
          <w:tcPr>
            <w:tcW w:w="808" w:type="dxa"/>
            <w:tcBorders>
              <w:top w:val="nil"/>
              <w:left w:val="nil"/>
              <w:bottom w:val="single" w:sz="4" w:space="0" w:color="BFBFBF"/>
              <w:right w:val="single" w:sz="4" w:space="0" w:color="auto"/>
            </w:tcBorders>
            <w:shd w:val="clear" w:color="auto" w:fill="auto"/>
            <w:noWrap/>
            <w:vAlign w:val="center"/>
          </w:tcPr>
          <w:p w14:paraId="50075DA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5,322</w:t>
            </w:r>
          </w:p>
        </w:tc>
        <w:tc>
          <w:tcPr>
            <w:tcW w:w="857" w:type="dxa"/>
            <w:tcBorders>
              <w:top w:val="nil"/>
              <w:left w:val="nil"/>
              <w:bottom w:val="single" w:sz="4" w:space="0" w:color="BFBFBF"/>
              <w:right w:val="single" w:sz="4" w:space="0" w:color="BFBFBF"/>
            </w:tcBorders>
            <w:shd w:val="clear" w:color="auto" w:fill="auto"/>
            <w:noWrap/>
            <w:vAlign w:val="center"/>
          </w:tcPr>
          <w:p w14:paraId="45A1A65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1,942</w:t>
            </w:r>
          </w:p>
        </w:tc>
        <w:tc>
          <w:tcPr>
            <w:tcW w:w="808" w:type="dxa"/>
            <w:tcBorders>
              <w:top w:val="nil"/>
              <w:left w:val="nil"/>
              <w:bottom w:val="single" w:sz="4" w:space="0" w:color="BFBFBF"/>
              <w:right w:val="single" w:sz="4" w:space="0" w:color="BFBFBF"/>
            </w:tcBorders>
            <w:shd w:val="clear" w:color="auto" w:fill="auto"/>
            <w:noWrap/>
            <w:vAlign w:val="center"/>
          </w:tcPr>
          <w:p w14:paraId="65763D8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2,898</w:t>
            </w:r>
          </w:p>
        </w:tc>
        <w:tc>
          <w:tcPr>
            <w:tcW w:w="808" w:type="dxa"/>
            <w:tcBorders>
              <w:top w:val="nil"/>
              <w:left w:val="nil"/>
              <w:bottom w:val="single" w:sz="4" w:space="0" w:color="BFBFBF"/>
              <w:right w:val="single" w:sz="4" w:space="0" w:color="auto"/>
            </w:tcBorders>
            <w:shd w:val="clear" w:color="auto" w:fill="auto"/>
            <w:noWrap/>
            <w:vAlign w:val="center"/>
          </w:tcPr>
          <w:p w14:paraId="0424390C"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4,835</w:t>
            </w:r>
          </w:p>
        </w:tc>
        <w:tc>
          <w:tcPr>
            <w:tcW w:w="808" w:type="dxa"/>
            <w:tcBorders>
              <w:top w:val="nil"/>
              <w:left w:val="nil"/>
              <w:bottom w:val="single" w:sz="4" w:space="0" w:color="BFBFBF"/>
              <w:right w:val="double" w:sz="6" w:space="0" w:color="auto"/>
            </w:tcBorders>
            <w:shd w:val="clear" w:color="auto" w:fill="auto"/>
            <w:noWrap/>
            <w:vAlign w:val="center"/>
          </w:tcPr>
          <w:p w14:paraId="7CAD274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4,062</w:t>
            </w:r>
          </w:p>
        </w:tc>
      </w:tr>
      <w:tr w:rsidR="00434119" w:rsidRPr="00434119" w14:paraId="787DA0BA"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3BB628C3" w14:textId="77777777" w:rsidR="00434119" w:rsidRPr="00434119" w:rsidRDefault="00434119" w:rsidP="001E0EBD">
            <w:pPr>
              <w:spacing w:before="0" w:after="0"/>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By Household Size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6469EF3"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E4CAF8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EF60943"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0FCE0CB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78" w:type="dxa"/>
            <w:tcBorders>
              <w:top w:val="nil"/>
              <w:left w:val="nil"/>
              <w:bottom w:val="single" w:sz="4" w:space="0" w:color="BFBFBF"/>
              <w:right w:val="single" w:sz="4" w:space="0" w:color="BFBFBF"/>
            </w:tcBorders>
            <w:shd w:val="clear" w:color="auto" w:fill="auto"/>
            <w:noWrap/>
            <w:vAlign w:val="center"/>
          </w:tcPr>
          <w:p w14:paraId="6ECA4C86"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1" w:type="dxa"/>
            <w:tcBorders>
              <w:top w:val="nil"/>
              <w:left w:val="nil"/>
              <w:bottom w:val="single" w:sz="4" w:space="0" w:color="BFBFBF"/>
              <w:right w:val="single" w:sz="4" w:space="0" w:color="BFBFBF"/>
            </w:tcBorders>
            <w:shd w:val="clear" w:color="auto" w:fill="auto"/>
            <w:noWrap/>
            <w:vAlign w:val="center"/>
          </w:tcPr>
          <w:p w14:paraId="61E6A98A"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776" w:type="dxa"/>
            <w:tcBorders>
              <w:top w:val="nil"/>
              <w:left w:val="nil"/>
              <w:bottom w:val="single" w:sz="4" w:space="0" w:color="BFBFBF"/>
              <w:right w:val="single" w:sz="4" w:space="0" w:color="auto"/>
            </w:tcBorders>
            <w:shd w:val="clear" w:color="auto" w:fill="auto"/>
            <w:noWrap/>
            <w:vAlign w:val="center"/>
          </w:tcPr>
          <w:p w14:paraId="6902EC8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30389EE8"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0734F60A"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15CF8340"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4EAE8C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2F0A21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7486FBA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7970674A"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837826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3491D739"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59FA759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r>
      <w:tr w:rsidR="00434119" w:rsidRPr="00434119" w14:paraId="31F91787"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068C0A57" w14:textId="77777777" w:rsidR="00434119" w:rsidRPr="00434119" w:rsidRDefault="0043411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1 person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5756E5E"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2,963</w:t>
            </w:r>
          </w:p>
        </w:tc>
        <w:tc>
          <w:tcPr>
            <w:tcW w:w="808" w:type="dxa"/>
            <w:tcBorders>
              <w:top w:val="nil"/>
              <w:left w:val="nil"/>
              <w:bottom w:val="single" w:sz="4" w:space="0" w:color="BFBFBF"/>
              <w:right w:val="single" w:sz="4" w:space="0" w:color="BFBFBF"/>
            </w:tcBorders>
            <w:shd w:val="clear" w:color="auto" w:fill="auto"/>
            <w:noWrap/>
            <w:vAlign w:val="center"/>
          </w:tcPr>
          <w:p w14:paraId="4517DFEB"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3,487</w:t>
            </w:r>
          </w:p>
        </w:tc>
        <w:tc>
          <w:tcPr>
            <w:tcW w:w="808" w:type="dxa"/>
            <w:tcBorders>
              <w:top w:val="nil"/>
              <w:left w:val="nil"/>
              <w:bottom w:val="single" w:sz="4" w:space="0" w:color="BFBFBF"/>
              <w:right w:val="single" w:sz="4" w:space="0" w:color="BFBFBF"/>
            </w:tcBorders>
            <w:shd w:val="clear" w:color="auto" w:fill="auto"/>
            <w:noWrap/>
            <w:vAlign w:val="center"/>
          </w:tcPr>
          <w:p w14:paraId="3FF6170F"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3,395</w:t>
            </w:r>
          </w:p>
        </w:tc>
        <w:tc>
          <w:tcPr>
            <w:tcW w:w="808" w:type="dxa"/>
            <w:tcBorders>
              <w:top w:val="nil"/>
              <w:left w:val="nil"/>
              <w:bottom w:val="single" w:sz="4" w:space="0" w:color="BFBFBF"/>
              <w:right w:val="single" w:sz="4" w:space="0" w:color="auto"/>
            </w:tcBorders>
            <w:shd w:val="clear" w:color="auto" w:fill="auto"/>
            <w:noWrap/>
            <w:vAlign w:val="center"/>
          </w:tcPr>
          <w:p w14:paraId="5EDF6860"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2,946</w:t>
            </w:r>
          </w:p>
        </w:tc>
        <w:tc>
          <w:tcPr>
            <w:tcW w:w="878" w:type="dxa"/>
            <w:tcBorders>
              <w:top w:val="nil"/>
              <w:left w:val="nil"/>
              <w:bottom w:val="single" w:sz="4" w:space="0" w:color="BFBFBF"/>
              <w:right w:val="single" w:sz="4" w:space="0" w:color="BFBFBF"/>
            </w:tcBorders>
            <w:shd w:val="clear" w:color="auto" w:fill="auto"/>
            <w:noWrap/>
            <w:vAlign w:val="center"/>
          </w:tcPr>
          <w:p w14:paraId="3BB4011E"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-15.0%</w:t>
            </w:r>
          </w:p>
        </w:tc>
        <w:tc>
          <w:tcPr>
            <w:tcW w:w="851" w:type="dxa"/>
            <w:tcBorders>
              <w:top w:val="nil"/>
              <w:left w:val="nil"/>
              <w:bottom w:val="single" w:sz="4" w:space="0" w:color="BFBFBF"/>
              <w:right w:val="single" w:sz="4" w:space="0" w:color="BFBFBF"/>
            </w:tcBorders>
            <w:shd w:val="clear" w:color="auto" w:fill="auto"/>
            <w:noWrap/>
            <w:vAlign w:val="center"/>
          </w:tcPr>
          <w:p w14:paraId="039BB85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2.7%</w:t>
            </w:r>
          </w:p>
        </w:tc>
        <w:tc>
          <w:tcPr>
            <w:tcW w:w="776" w:type="dxa"/>
            <w:tcBorders>
              <w:top w:val="nil"/>
              <w:left w:val="nil"/>
              <w:bottom w:val="single" w:sz="4" w:space="0" w:color="BFBFBF"/>
              <w:right w:val="single" w:sz="4" w:space="0" w:color="auto"/>
            </w:tcBorders>
            <w:shd w:val="clear" w:color="auto" w:fill="auto"/>
            <w:noWrap/>
            <w:vAlign w:val="center"/>
          </w:tcPr>
          <w:p w14:paraId="07FC80CF"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15.2%</w:t>
            </w:r>
          </w:p>
        </w:tc>
        <w:tc>
          <w:tcPr>
            <w:tcW w:w="857" w:type="dxa"/>
            <w:tcBorders>
              <w:top w:val="nil"/>
              <w:left w:val="nil"/>
              <w:bottom w:val="single" w:sz="4" w:space="0" w:color="BFBFBF"/>
              <w:right w:val="single" w:sz="4" w:space="0" w:color="BFBFBF"/>
            </w:tcBorders>
            <w:shd w:val="clear" w:color="auto" w:fill="auto"/>
            <w:noWrap/>
            <w:vAlign w:val="center"/>
          </w:tcPr>
          <w:p w14:paraId="7CE64170"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786</w:t>
            </w:r>
          </w:p>
        </w:tc>
        <w:tc>
          <w:tcPr>
            <w:tcW w:w="714" w:type="dxa"/>
            <w:tcBorders>
              <w:top w:val="nil"/>
              <w:left w:val="nil"/>
              <w:bottom w:val="single" w:sz="4" w:space="0" w:color="BFBFBF"/>
              <w:right w:val="single" w:sz="4" w:space="0" w:color="BFBFBF"/>
            </w:tcBorders>
            <w:shd w:val="clear" w:color="auto" w:fill="auto"/>
            <w:noWrap/>
            <w:vAlign w:val="center"/>
          </w:tcPr>
          <w:p w14:paraId="28696764"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1,341</w:t>
            </w:r>
          </w:p>
        </w:tc>
        <w:tc>
          <w:tcPr>
            <w:tcW w:w="675" w:type="dxa"/>
            <w:tcBorders>
              <w:top w:val="nil"/>
              <w:left w:val="nil"/>
              <w:bottom w:val="single" w:sz="4" w:space="0" w:color="BFBFBF"/>
              <w:right w:val="nil"/>
            </w:tcBorders>
            <w:shd w:val="clear" w:color="auto" w:fill="auto"/>
            <w:noWrap/>
            <w:vAlign w:val="center"/>
          </w:tcPr>
          <w:p w14:paraId="6EB02AFC"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2,266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76E069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1,159</w:t>
            </w:r>
          </w:p>
        </w:tc>
        <w:tc>
          <w:tcPr>
            <w:tcW w:w="808" w:type="dxa"/>
            <w:tcBorders>
              <w:top w:val="nil"/>
              <w:left w:val="nil"/>
              <w:bottom w:val="single" w:sz="4" w:space="0" w:color="BFBFBF"/>
              <w:right w:val="single" w:sz="4" w:space="0" w:color="BFBFBF"/>
            </w:tcBorders>
            <w:shd w:val="clear" w:color="auto" w:fill="auto"/>
            <w:noWrap/>
            <w:vAlign w:val="center"/>
          </w:tcPr>
          <w:p w14:paraId="52FF072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1,781</w:t>
            </w:r>
          </w:p>
        </w:tc>
        <w:tc>
          <w:tcPr>
            <w:tcW w:w="808" w:type="dxa"/>
            <w:tcBorders>
              <w:top w:val="nil"/>
              <w:left w:val="nil"/>
              <w:bottom w:val="single" w:sz="4" w:space="0" w:color="BFBFBF"/>
              <w:right w:val="single" w:sz="4" w:space="0" w:color="auto"/>
            </w:tcBorders>
            <w:shd w:val="clear" w:color="auto" w:fill="auto"/>
            <w:noWrap/>
            <w:vAlign w:val="center"/>
          </w:tcPr>
          <w:p w14:paraId="1CC21D3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2,940</w:t>
            </w:r>
          </w:p>
        </w:tc>
        <w:tc>
          <w:tcPr>
            <w:tcW w:w="857" w:type="dxa"/>
            <w:tcBorders>
              <w:top w:val="nil"/>
              <w:left w:val="nil"/>
              <w:bottom w:val="single" w:sz="4" w:space="0" w:color="BFBFBF"/>
              <w:right w:val="single" w:sz="4" w:space="0" w:color="BFBFBF"/>
            </w:tcBorders>
            <w:shd w:val="clear" w:color="auto" w:fill="auto"/>
            <w:noWrap/>
            <w:vAlign w:val="center"/>
          </w:tcPr>
          <w:p w14:paraId="5DE87E3B"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1,226</w:t>
            </w:r>
          </w:p>
        </w:tc>
        <w:tc>
          <w:tcPr>
            <w:tcW w:w="808" w:type="dxa"/>
            <w:tcBorders>
              <w:top w:val="nil"/>
              <w:left w:val="nil"/>
              <w:bottom w:val="single" w:sz="4" w:space="0" w:color="BFBFBF"/>
              <w:right w:val="single" w:sz="4" w:space="0" w:color="BFBFBF"/>
            </w:tcBorders>
            <w:shd w:val="clear" w:color="auto" w:fill="auto"/>
            <w:noWrap/>
            <w:vAlign w:val="center"/>
          </w:tcPr>
          <w:p w14:paraId="3B3F8BCE"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1,715</w:t>
            </w:r>
          </w:p>
        </w:tc>
        <w:tc>
          <w:tcPr>
            <w:tcW w:w="808" w:type="dxa"/>
            <w:tcBorders>
              <w:top w:val="nil"/>
              <w:left w:val="nil"/>
              <w:bottom w:val="single" w:sz="4" w:space="0" w:color="BFBFBF"/>
              <w:right w:val="single" w:sz="4" w:space="0" w:color="auto"/>
            </w:tcBorders>
            <w:shd w:val="clear" w:color="auto" w:fill="auto"/>
            <w:noWrap/>
            <w:vAlign w:val="center"/>
          </w:tcPr>
          <w:p w14:paraId="0FE326AB"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2,941</w:t>
            </w:r>
          </w:p>
        </w:tc>
        <w:tc>
          <w:tcPr>
            <w:tcW w:w="808" w:type="dxa"/>
            <w:tcBorders>
              <w:top w:val="nil"/>
              <w:left w:val="nil"/>
              <w:bottom w:val="single" w:sz="4" w:space="0" w:color="BFBFBF"/>
              <w:right w:val="double" w:sz="6" w:space="0" w:color="auto"/>
            </w:tcBorders>
            <w:shd w:val="clear" w:color="auto" w:fill="auto"/>
            <w:noWrap/>
            <w:vAlign w:val="center"/>
          </w:tcPr>
          <w:p w14:paraId="184F36E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2,196</w:t>
            </w:r>
          </w:p>
        </w:tc>
      </w:tr>
      <w:tr w:rsidR="00434119" w:rsidRPr="00434119" w14:paraId="39810A08"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3C085BF4" w14:textId="77777777" w:rsidR="00434119" w:rsidRPr="00434119" w:rsidRDefault="0043411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2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7BC652D"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4,416</w:t>
            </w:r>
          </w:p>
        </w:tc>
        <w:tc>
          <w:tcPr>
            <w:tcW w:w="808" w:type="dxa"/>
            <w:tcBorders>
              <w:top w:val="nil"/>
              <w:left w:val="nil"/>
              <w:bottom w:val="single" w:sz="4" w:space="0" w:color="BFBFBF"/>
              <w:right w:val="single" w:sz="4" w:space="0" w:color="BFBFBF"/>
            </w:tcBorders>
            <w:shd w:val="clear" w:color="auto" w:fill="auto"/>
            <w:noWrap/>
            <w:vAlign w:val="center"/>
          </w:tcPr>
          <w:p w14:paraId="01823868"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5,163</w:t>
            </w:r>
          </w:p>
        </w:tc>
        <w:tc>
          <w:tcPr>
            <w:tcW w:w="808" w:type="dxa"/>
            <w:tcBorders>
              <w:top w:val="nil"/>
              <w:left w:val="nil"/>
              <w:bottom w:val="single" w:sz="4" w:space="0" w:color="BFBFBF"/>
              <w:right w:val="single" w:sz="4" w:space="0" w:color="BFBFBF"/>
            </w:tcBorders>
            <w:shd w:val="clear" w:color="auto" w:fill="auto"/>
            <w:noWrap/>
            <w:vAlign w:val="center"/>
          </w:tcPr>
          <w:p w14:paraId="7BBAA513"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4,937</w:t>
            </w:r>
          </w:p>
        </w:tc>
        <w:tc>
          <w:tcPr>
            <w:tcW w:w="808" w:type="dxa"/>
            <w:tcBorders>
              <w:top w:val="nil"/>
              <w:left w:val="nil"/>
              <w:bottom w:val="single" w:sz="4" w:space="0" w:color="BFBFBF"/>
              <w:right w:val="single" w:sz="4" w:space="0" w:color="auto"/>
            </w:tcBorders>
            <w:shd w:val="clear" w:color="auto" w:fill="auto"/>
            <w:noWrap/>
            <w:vAlign w:val="center"/>
          </w:tcPr>
          <w:p w14:paraId="425BCC0E"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4,116</w:t>
            </w:r>
          </w:p>
        </w:tc>
        <w:tc>
          <w:tcPr>
            <w:tcW w:w="878" w:type="dxa"/>
            <w:tcBorders>
              <w:top w:val="nil"/>
              <w:left w:val="nil"/>
              <w:bottom w:val="single" w:sz="4" w:space="0" w:color="BFBFBF"/>
              <w:right w:val="single" w:sz="4" w:space="0" w:color="BFBFBF"/>
            </w:tcBorders>
            <w:shd w:val="clear" w:color="auto" w:fill="auto"/>
            <w:noWrap/>
            <w:vAlign w:val="center"/>
          </w:tcPr>
          <w:p w14:paraId="56B007BB"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-14.5%</w:t>
            </w:r>
          </w:p>
        </w:tc>
        <w:tc>
          <w:tcPr>
            <w:tcW w:w="851" w:type="dxa"/>
            <w:tcBorders>
              <w:top w:val="nil"/>
              <w:left w:val="nil"/>
              <w:bottom w:val="single" w:sz="4" w:space="0" w:color="BFBFBF"/>
              <w:right w:val="single" w:sz="4" w:space="0" w:color="BFBFBF"/>
            </w:tcBorders>
            <w:shd w:val="clear" w:color="auto" w:fill="auto"/>
            <w:noWrap/>
            <w:vAlign w:val="center"/>
          </w:tcPr>
          <w:p w14:paraId="3A25782F"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4.6%</w:t>
            </w:r>
          </w:p>
        </w:tc>
        <w:tc>
          <w:tcPr>
            <w:tcW w:w="776" w:type="dxa"/>
            <w:tcBorders>
              <w:top w:val="nil"/>
              <w:left w:val="nil"/>
              <w:bottom w:val="single" w:sz="4" w:space="0" w:color="BFBFBF"/>
              <w:right w:val="single" w:sz="4" w:space="0" w:color="auto"/>
            </w:tcBorders>
            <w:shd w:val="clear" w:color="auto" w:fill="auto"/>
            <w:noWrap/>
            <w:vAlign w:val="center"/>
          </w:tcPr>
          <w:p w14:paraId="4A80887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19.9%</w:t>
            </w:r>
          </w:p>
        </w:tc>
        <w:tc>
          <w:tcPr>
            <w:tcW w:w="857" w:type="dxa"/>
            <w:tcBorders>
              <w:top w:val="nil"/>
              <w:left w:val="nil"/>
              <w:bottom w:val="single" w:sz="4" w:space="0" w:color="BFBFBF"/>
              <w:right w:val="single" w:sz="4" w:space="0" w:color="BFBFBF"/>
            </w:tcBorders>
            <w:shd w:val="clear" w:color="auto" w:fill="auto"/>
            <w:noWrap/>
            <w:vAlign w:val="center"/>
          </w:tcPr>
          <w:p w14:paraId="3FFF9AC4"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1,455</w:t>
            </w:r>
          </w:p>
        </w:tc>
        <w:tc>
          <w:tcPr>
            <w:tcW w:w="714" w:type="dxa"/>
            <w:tcBorders>
              <w:top w:val="nil"/>
              <w:left w:val="nil"/>
              <w:bottom w:val="single" w:sz="4" w:space="0" w:color="BFBFBF"/>
              <w:right w:val="single" w:sz="4" w:space="0" w:color="BFBFBF"/>
            </w:tcBorders>
            <w:shd w:val="clear" w:color="auto" w:fill="auto"/>
            <w:noWrap/>
            <w:vAlign w:val="center"/>
          </w:tcPr>
          <w:p w14:paraId="4BE115C3"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2,124</w:t>
            </w:r>
          </w:p>
        </w:tc>
        <w:tc>
          <w:tcPr>
            <w:tcW w:w="675" w:type="dxa"/>
            <w:tcBorders>
              <w:top w:val="nil"/>
              <w:left w:val="nil"/>
              <w:bottom w:val="single" w:sz="4" w:space="0" w:color="BFBFBF"/>
              <w:right w:val="nil"/>
            </w:tcBorders>
            <w:shd w:val="clear" w:color="auto" w:fill="auto"/>
            <w:noWrap/>
            <w:vAlign w:val="center"/>
          </w:tcPr>
          <w:p w14:paraId="150CBB66"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3,268</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47DFE90"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1,770</w:t>
            </w:r>
          </w:p>
        </w:tc>
        <w:tc>
          <w:tcPr>
            <w:tcW w:w="808" w:type="dxa"/>
            <w:tcBorders>
              <w:top w:val="nil"/>
              <w:left w:val="nil"/>
              <w:bottom w:val="single" w:sz="4" w:space="0" w:color="BFBFBF"/>
              <w:right w:val="single" w:sz="4" w:space="0" w:color="BFBFBF"/>
            </w:tcBorders>
            <w:shd w:val="clear" w:color="auto" w:fill="auto"/>
            <w:noWrap/>
            <w:vAlign w:val="center"/>
          </w:tcPr>
          <w:p w14:paraId="109BB13C"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2,727</w:t>
            </w:r>
          </w:p>
        </w:tc>
        <w:tc>
          <w:tcPr>
            <w:tcW w:w="808" w:type="dxa"/>
            <w:tcBorders>
              <w:top w:val="nil"/>
              <w:left w:val="nil"/>
              <w:bottom w:val="single" w:sz="4" w:space="0" w:color="BFBFBF"/>
              <w:right w:val="single" w:sz="4" w:space="0" w:color="auto"/>
            </w:tcBorders>
            <w:shd w:val="clear" w:color="auto" w:fill="auto"/>
            <w:noWrap/>
            <w:vAlign w:val="center"/>
          </w:tcPr>
          <w:p w14:paraId="3FEAF2E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4,517</w:t>
            </w:r>
          </w:p>
        </w:tc>
        <w:tc>
          <w:tcPr>
            <w:tcW w:w="857" w:type="dxa"/>
            <w:tcBorders>
              <w:top w:val="nil"/>
              <w:left w:val="nil"/>
              <w:bottom w:val="single" w:sz="4" w:space="0" w:color="BFBFBF"/>
              <w:right w:val="single" w:sz="4" w:space="0" w:color="BFBFBF"/>
            </w:tcBorders>
            <w:shd w:val="clear" w:color="auto" w:fill="auto"/>
            <w:noWrap/>
            <w:vAlign w:val="center"/>
          </w:tcPr>
          <w:p w14:paraId="3374A8C3"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1,677</w:t>
            </w:r>
          </w:p>
        </w:tc>
        <w:tc>
          <w:tcPr>
            <w:tcW w:w="808" w:type="dxa"/>
            <w:tcBorders>
              <w:top w:val="nil"/>
              <w:left w:val="nil"/>
              <w:bottom w:val="single" w:sz="4" w:space="0" w:color="BFBFBF"/>
              <w:right w:val="single" w:sz="4" w:space="0" w:color="BFBFBF"/>
            </w:tcBorders>
            <w:shd w:val="clear" w:color="auto" w:fill="auto"/>
            <w:noWrap/>
            <w:vAlign w:val="center"/>
          </w:tcPr>
          <w:p w14:paraId="1D7B007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2,454</w:t>
            </w:r>
          </w:p>
        </w:tc>
        <w:tc>
          <w:tcPr>
            <w:tcW w:w="808" w:type="dxa"/>
            <w:tcBorders>
              <w:top w:val="nil"/>
              <w:left w:val="nil"/>
              <w:bottom w:val="single" w:sz="4" w:space="0" w:color="BFBFBF"/>
              <w:right w:val="single" w:sz="4" w:space="0" w:color="auto"/>
            </w:tcBorders>
            <w:shd w:val="clear" w:color="auto" w:fill="auto"/>
            <w:noWrap/>
            <w:vAlign w:val="center"/>
          </w:tcPr>
          <w:p w14:paraId="12CD442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4,129</w:t>
            </w:r>
          </w:p>
        </w:tc>
        <w:tc>
          <w:tcPr>
            <w:tcW w:w="808" w:type="dxa"/>
            <w:tcBorders>
              <w:top w:val="nil"/>
              <w:left w:val="nil"/>
              <w:bottom w:val="single" w:sz="4" w:space="0" w:color="BFBFBF"/>
              <w:right w:val="double" w:sz="6" w:space="0" w:color="auto"/>
            </w:tcBorders>
            <w:shd w:val="clear" w:color="auto" w:fill="auto"/>
            <w:noWrap/>
            <w:vAlign w:val="center"/>
          </w:tcPr>
          <w:p w14:paraId="67BC2FC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3,160</w:t>
            </w:r>
          </w:p>
        </w:tc>
      </w:tr>
      <w:tr w:rsidR="00434119" w:rsidRPr="00434119" w14:paraId="3D8B4E75"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266AA59B" w14:textId="77777777" w:rsidR="00434119" w:rsidRPr="00434119" w:rsidRDefault="0043411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3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45FF6D6"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4,550</w:t>
            </w:r>
          </w:p>
        </w:tc>
        <w:tc>
          <w:tcPr>
            <w:tcW w:w="808" w:type="dxa"/>
            <w:tcBorders>
              <w:top w:val="nil"/>
              <w:left w:val="nil"/>
              <w:bottom w:val="single" w:sz="4" w:space="0" w:color="BFBFBF"/>
              <w:right w:val="single" w:sz="4" w:space="0" w:color="BFBFBF"/>
            </w:tcBorders>
            <w:shd w:val="clear" w:color="auto" w:fill="auto"/>
            <w:noWrap/>
            <w:vAlign w:val="center"/>
          </w:tcPr>
          <w:p w14:paraId="508D4D2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5,795</w:t>
            </w:r>
          </w:p>
        </w:tc>
        <w:tc>
          <w:tcPr>
            <w:tcW w:w="808" w:type="dxa"/>
            <w:tcBorders>
              <w:top w:val="nil"/>
              <w:left w:val="nil"/>
              <w:bottom w:val="single" w:sz="4" w:space="0" w:color="BFBFBF"/>
              <w:right w:val="single" w:sz="4" w:space="0" w:color="BFBFBF"/>
            </w:tcBorders>
            <w:shd w:val="clear" w:color="auto" w:fill="auto"/>
            <w:noWrap/>
            <w:vAlign w:val="center"/>
          </w:tcPr>
          <w:p w14:paraId="57D6A498"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5,727</w:t>
            </w:r>
          </w:p>
        </w:tc>
        <w:tc>
          <w:tcPr>
            <w:tcW w:w="808" w:type="dxa"/>
            <w:tcBorders>
              <w:top w:val="nil"/>
              <w:left w:val="nil"/>
              <w:bottom w:val="single" w:sz="4" w:space="0" w:color="BFBFBF"/>
              <w:right w:val="single" w:sz="4" w:space="0" w:color="auto"/>
            </w:tcBorders>
            <w:shd w:val="clear" w:color="auto" w:fill="auto"/>
            <w:noWrap/>
            <w:vAlign w:val="center"/>
          </w:tcPr>
          <w:p w14:paraId="60752E9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5,137</w:t>
            </w:r>
          </w:p>
        </w:tc>
        <w:tc>
          <w:tcPr>
            <w:tcW w:w="878" w:type="dxa"/>
            <w:tcBorders>
              <w:top w:val="nil"/>
              <w:left w:val="nil"/>
              <w:bottom w:val="single" w:sz="4" w:space="0" w:color="BFBFBF"/>
              <w:right w:val="single" w:sz="4" w:space="0" w:color="BFBFBF"/>
            </w:tcBorders>
            <w:shd w:val="clear" w:color="auto" w:fill="auto"/>
            <w:noWrap/>
            <w:vAlign w:val="center"/>
          </w:tcPr>
          <w:p w14:paraId="0A8A1D3F"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-21.5%</w:t>
            </w:r>
          </w:p>
        </w:tc>
        <w:tc>
          <w:tcPr>
            <w:tcW w:w="851" w:type="dxa"/>
            <w:tcBorders>
              <w:top w:val="nil"/>
              <w:left w:val="nil"/>
              <w:bottom w:val="single" w:sz="4" w:space="0" w:color="BFBFBF"/>
              <w:right w:val="single" w:sz="4" w:space="0" w:color="BFBFBF"/>
            </w:tcBorders>
            <w:shd w:val="clear" w:color="auto" w:fill="auto"/>
            <w:noWrap/>
            <w:vAlign w:val="center"/>
          </w:tcPr>
          <w:p w14:paraId="6F90B60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1.2%</w:t>
            </w:r>
          </w:p>
        </w:tc>
        <w:tc>
          <w:tcPr>
            <w:tcW w:w="776" w:type="dxa"/>
            <w:tcBorders>
              <w:top w:val="nil"/>
              <w:left w:val="nil"/>
              <w:bottom w:val="single" w:sz="4" w:space="0" w:color="BFBFBF"/>
              <w:right w:val="single" w:sz="4" w:space="0" w:color="auto"/>
            </w:tcBorders>
            <w:shd w:val="clear" w:color="auto" w:fill="auto"/>
            <w:noWrap/>
            <w:vAlign w:val="center"/>
          </w:tcPr>
          <w:p w14:paraId="1DA50B7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11.5%</w:t>
            </w:r>
          </w:p>
        </w:tc>
        <w:tc>
          <w:tcPr>
            <w:tcW w:w="857" w:type="dxa"/>
            <w:tcBorders>
              <w:top w:val="nil"/>
              <w:left w:val="nil"/>
              <w:bottom w:val="single" w:sz="4" w:space="0" w:color="BFBFBF"/>
              <w:right w:val="single" w:sz="4" w:space="0" w:color="BFBFBF"/>
            </w:tcBorders>
            <w:shd w:val="clear" w:color="auto" w:fill="auto"/>
            <w:noWrap/>
            <w:vAlign w:val="center"/>
          </w:tcPr>
          <w:p w14:paraId="5FB54F5C"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1,012</w:t>
            </w:r>
          </w:p>
        </w:tc>
        <w:tc>
          <w:tcPr>
            <w:tcW w:w="714" w:type="dxa"/>
            <w:tcBorders>
              <w:top w:val="nil"/>
              <w:left w:val="nil"/>
              <w:bottom w:val="single" w:sz="4" w:space="0" w:color="BFBFBF"/>
              <w:right w:val="single" w:sz="4" w:space="0" w:color="BFBFBF"/>
            </w:tcBorders>
            <w:shd w:val="clear" w:color="auto" w:fill="auto"/>
            <w:noWrap/>
            <w:vAlign w:val="center"/>
          </w:tcPr>
          <w:p w14:paraId="49B25DAE"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1,511</w:t>
            </w:r>
          </w:p>
        </w:tc>
        <w:tc>
          <w:tcPr>
            <w:tcW w:w="675" w:type="dxa"/>
            <w:tcBorders>
              <w:top w:val="nil"/>
              <w:left w:val="nil"/>
              <w:bottom w:val="single" w:sz="4" w:space="0" w:color="BFBFBF"/>
              <w:right w:val="nil"/>
            </w:tcBorders>
            <w:shd w:val="clear" w:color="auto" w:fill="auto"/>
            <w:noWrap/>
            <w:vAlign w:val="center"/>
          </w:tcPr>
          <w:p w14:paraId="5AC0AD35"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2,856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CC1B1A8"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2,135</w:t>
            </w:r>
          </w:p>
        </w:tc>
        <w:tc>
          <w:tcPr>
            <w:tcW w:w="808" w:type="dxa"/>
            <w:tcBorders>
              <w:top w:val="nil"/>
              <w:left w:val="nil"/>
              <w:bottom w:val="single" w:sz="4" w:space="0" w:color="BFBFBF"/>
              <w:right w:val="single" w:sz="4" w:space="0" w:color="BFBFBF"/>
            </w:tcBorders>
            <w:shd w:val="clear" w:color="auto" w:fill="auto"/>
            <w:noWrap/>
            <w:vAlign w:val="center"/>
          </w:tcPr>
          <w:p w14:paraId="1DC946FC"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3,076</w:t>
            </w:r>
          </w:p>
        </w:tc>
        <w:tc>
          <w:tcPr>
            <w:tcW w:w="808" w:type="dxa"/>
            <w:tcBorders>
              <w:top w:val="nil"/>
              <w:left w:val="nil"/>
              <w:bottom w:val="single" w:sz="4" w:space="0" w:color="BFBFBF"/>
              <w:right w:val="single" w:sz="4" w:space="0" w:color="auto"/>
            </w:tcBorders>
            <w:shd w:val="clear" w:color="auto" w:fill="auto"/>
            <w:noWrap/>
            <w:vAlign w:val="center"/>
          </w:tcPr>
          <w:p w14:paraId="4DB4F9E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5,235</w:t>
            </w:r>
          </w:p>
        </w:tc>
        <w:tc>
          <w:tcPr>
            <w:tcW w:w="857" w:type="dxa"/>
            <w:tcBorders>
              <w:top w:val="nil"/>
              <w:left w:val="nil"/>
              <w:bottom w:val="single" w:sz="4" w:space="0" w:color="BFBFBF"/>
              <w:right w:val="single" w:sz="4" w:space="0" w:color="BFBFBF"/>
            </w:tcBorders>
            <w:shd w:val="clear" w:color="auto" w:fill="auto"/>
            <w:noWrap/>
            <w:vAlign w:val="center"/>
          </w:tcPr>
          <w:p w14:paraId="32E4E4C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2,104</w:t>
            </w:r>
          </w:p>
        </w:tc>
        <w:tc>
          <w:tcPr>
            <w:tcW w:w="808" w:type="dxa"/>
            <w:tcBorders>
              <w:top w:val="nil"/>
              <w:left w:val="nil"/>
              <w:bottom w:val="single" w:sz="4" w:space="0" w:color="BFBFBF"/>
              <w:right w:val="single" w:sz="4" w:space="0" w:color="BFBFBF"/>
            </w:tcBorders>
            <w:shd w:val="clear" w:color="auto" w:fill="auto"/>
            <w:noWrap/>
            <w:vAlign w:val="center"/>
          </w:tcPr>
          <w:p w14:paraId="1229341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2,807</w:t>
            </w:r>
          </w:p>
        </w:tc>
        <w:tc>
          <w:tcPr>
            <w:tcW w:w="808" w:type="dxa"/>
            <w:tcBorders>
              <w:top w:val="nil"/>
              <w:left w:val="nil"/>
              <w:bottom w:val="single" w:sz="4" w:space="0" w:color="BFBFBF"/>
              <w:right w:val="single" w:sz="4" w:space="0" w:color="auto"/>
            </w:tcBorders>
            <w:shd w:val="clear" w:color="auto" w:fill="auto"/>
            <w:noWrap/>
            <w:vAlign w:val="center"/>
          </w:tcPr>
          <w:p w14:paraId="51BFCD4A"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4,911</w:t>
            </w:r>
          </w:p>
        </w:tc>
        <w:tc>
          <w:tcPr>
            <w:tcW w:w="808" w:type="dxa"/>
            <w:tcBorders>
              <w:top w:val="nil"/>
              <w:left w:val="nil"/>
              <w:bottom w:val="single" w:sz="4" w:space="0" w:color="BFBFBF"/>
              <w:right w:val="double" w:sz="6" w:space="0" w:color="auto"/>
            </w:tcBorders>
            <w:shd w:val="clear" w:color="auto" w:fill="auto"/>
            <w:noWrap/>
            <w:vAlign w:val="center"/>
          </w:tcPr>
          <w:p w14:paraId="46336A8C"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4,088</w:t>
            </w:r>
          </w:p>
        </w:tc>
      </w:tr>
      <w:tr w:rsidR="00434119" w:rsidRPr="00434119" w14:paraId="2919C3E6"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244DB0ED" w14:textId="77777777" w:rsidR="00434119" w:rsidRPr="00434119" w:rsidRDefault="0043411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4 or more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3894671"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5,810</w:t>
            </w:r>
          </w:p>
        </w:tc>
        <w:tc>
          <w:tcPr>
            <w:tcW w:w="808" w:type="dxa"/>
            <w:tcBorders>
              <w:top w:val="nil"/>
              <w:left w:val="nil"/>
              <w:bottom w:val="single" w:sz="4" w:space="0" w:color="BFBFBF"/>
              <w:right w:val="single" w:sz="4" w:space="0" w:color="BFBFBF"/>
            </w:tcBorders>
            <w:shd w:val="clear" w:color="auto" w:fill="auto"/>
            <w:noWrap/>
            <w:vAlign w:val="center"/>
          </w:tcPr>
          <w:p w14:paraId="54604ECA"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7,368</w:t>
            </w:r>
          </w:p>
        </w:tc>
        <w:tc>
          <w:tcPr>
            <w:tcW w:w="808" w:type="dxa"/>
            <w:tcBorders>
              <w:top w:val="nil"/>
              <w:left w:val="nil"/>
              <w:bottom w:val="single" w:sz="4" w:space="0" w:color="BFBFBF"/>
              <w:right w:val="single" w:sz="4" w:space="0" w:color="BFBFBF"/>
            </w:tcBorders>
            <w:shd w:val="clear" w:color="auto" w:fill="auto"/>
            <w:noWrap/>
            <w:vAlign w:val="center"/>
          </w:tcPr>
          <w:p w14:paraId="0DBB9140"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6,361</w:t>
            </w:r>
          </w:p>
        </w:tc>
        <w:tc>
          <w:tcPr>
            <w:tcW w:w="808" w:type="dxa"/>
            <w:tcBorders>
              <w:top w:val="nil"/>
              <w:left w:val="nil"/>
              <w:bottom w:val="single" w:sz="4" w:space="0" w:color="BFBFBF"/>
              <w:right w:val="single" w:sz="4" w:space="0" w:color="auto"/>
            </w:tcBorders>
            <w:shd w:val="clear" w:color="auto" w:fill="auto"/>
            <w:noWrap/>
            <w:vAlign w:val="center"/>
          </w:tcPr>
          <w:p w14:paraId="6FBFED0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5,576</w:t>
            </w:r>
          </w:p>
        </w:tc>
        <w:tc>
          <w:tcPr>
            <w:tcW w:w="878" w:type="dxa"/>
            <w:tcBorders>
              <w:top w:val="nil"/>
              <w:left w:val="nil"/>
              <w:bottom w:val="single" w:sz="4" w:space="0" w:color="BFBFBF"/>
              <w:right w:val="single" w:sz="4" w:space="0" w:color="BFBFBF"/>
            </w:tcBorders>
            <w:shd w:val="clear" w:color="auto" w:fill="auto"/>
            <w:noWrap/>
            <w:vAlign w:val="center"/>
          </w:tcPr>
          <w:p w14:paraId="30F45EBD"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-21.1%</w:t>
            </w:r>
          </w:p>
        </w:tc>
        <w:tc>
          <w:tcPr>
            <w:tcW w:w="851" w:type="dxa"/>
            <w:tcBorders>
              <w:top w:val="nil"/>
              <w:left w:val="nil"/>
              <w:bottom w:val="single" w:sz="4" w:space="0" w:color="BFBFBF"/>
              <w:right w:val="single" w:sz="4" w:space="0" w:color="BFBFBF"/>
            </w:tcBorders>
            <w:shd w:val="clear" w:color="auto" w:fill="auto"/>
            <w:noWrap/>
            <w:vAlign w:val="center"/>
          </w:tcPr>
          <w:p w14:paraId="29E339A0"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15.8%</w:t>
            </w:r>
          </w:p>
        </w:tc>
        <w:tc>
          <w:tcPr>
            <w:tcW w:w="776" w:type="dxa"/>
            <w:tcBorders>
              <w:top w:val="nil"/>
              <w:left w:val="nil"/>
              <w:bottom w:val="single" w:sz="4" w:space="0" w:color="BFBFBF"/>
              <w:right w:val="single" w:sz="4" w:space="0" w:color="auto"/>
            </w:tcBorders>
            <w:shd w:val="clear" w:color="auto" w:fill="auto"/>
            <w:noWrap/>
            <w:vAlign w:val="center"/>
          </w:tcPr>
          <w:p w14:paraId="0D26751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14.1%</w:t>
            </w:r>
          </w:p>
        </w:tc>
        <w:tc>
          <w:tcPr>
            <w:tcW w:w="857" w:type="dxa"/>
            <w:tcBorders>
              <w:top w:val="nil"/>
              <w:left w:val="nil"/>
              <w:bottom w:val="single" w:sz="4" w:space="0" w:color="BFBFBF"/>
              <w:right w:val="single" w:sz="4" w:space="0" w:color="BFBFBF"/>
            </w:tcBorders>
            <w:shd w:val="clear" w:color="auto" w:fill="auto"/>
            <w:noWrap/>
            <w:vAlign w:val="center"/>
          </w:tcPr>
          <w:p w14:paraId="17677FAD"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1,778</w:t>
            </w:r>
          </w:p>
        </w:tc>
        <w:tc>
          <w:tcPr>
            <w:tcW w:w="714" w:type="dxa"/>
            <w:tcBorders>
              <w:top w:val="nil"/>
              <w:left w:val="nil"/>
              <w:bottom w:val="single" w:sz="4" w:space="0" w:color="BFBFBF"/>
              <w:right w:val="single" w:sz="4" w:space="0" w:color="BFBFBF"/>
            </w:tcBorders>
            <w:shd w:val="clear" w:color="auto" w:fill="auto"/>
            <w:noWrap/>
            <w:vAlign w:val="center"/>
          </w:tcPr>
          <w:p w14:paraId="7899D4C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2,825</w:t>
            </w:r>
          </w:p>
        </w:tc>
        <w:tc>
          <w:tcPr>
            <w:tcW w:w="675" w:type="dxa"/>
            <w:tcBorders>
              <w:top w:val="nil"/>
              <w:left w:val="nil"/>
              <w:bottom w:val="single" w:sz="4" w:space="0" w:color="BFBFBF"/>
              <w:right w:val="nil"/>
            </w:tcBorders>
            <w:shd w:val="clear" w:color="auto" w:fill="auto"/>
            <w:noWrap/>
            <w:vAlign w:val="center"/>
          </w:tcPr>
          <w:p w14:paraId="4084DAB1"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4,217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3C690A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2,597</w:t>
            </w:r>
          </w:p>
        </w:tc>
        <w:tc>
          <w:tcPr>
            <w:tcW w:w="808" w:type="dxa"/>
            <w:tcBorders>
              <w:top w:val="nil"/>
              <w:left w:val="nil"/>
              <w:bottom w:val="single" w:sz="4" w:space="0" w:color="BFBFBF"/>
              <w:right w:val="single" w:sz="4" w:space="0" w:color="BFBFBF"/>
            </w:tcBorders>
            <w:shd w:val="clear" w:color="auto" w:fill="auto"/>
            <w:noWrap/>
            <w:vAlign w:val="center"/>
          </w:tcPr>
          <w:p w14:paraId="33A7C35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3,838</w:t>
            </w:r>
          </w:p>
        </w:tc>
        <w:tc>
          <w:tcPr>
            <w:tcW w:w="808" w:type="dxa"/>
            <w:tcBorders>
              <w:top w:val="nil"/>
              <w:left w:val="nil"/>
              <w:bottom w:val="single" w:sz="4" w:space="0" w:color="BFBFBF"/>
              <w:right w:val="single" w:sz="4" w:space="0" w:color="auto"/>
            </w:tcBorders>
            <w:shd w:val="clear" w:color="auto" w:fill="auto"/>
            <w:noWrap/>
            <w:vAlign w:val="center"/>
          </w:tcPr>
          <w:p w14:paraId="45FD9953"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6,671</w:t>
            </w:r>
          </w:p>
        </w:tc>
        <w:tc>
          <w:tcPr>
            <w:tcW w:w="857" w:type="dxa"/>
            <w:tcBorders>
              <w:top w:val="nil"/>
              <w:left w:val="nil"/>
              <w:bottom w:val="single" w:sz="4" w:space="0" w:color="BFBFBF"/>
              <w:right w:val="single" w:sz="4" w:space="0" w:color="BFBFBF"/>
            </w:tcBorders>
            <w:shd w:val="clear" w:color="auto" w:fill="auto"/>
            <w:noWrap/>
            <w:vAlign w:val="center"/>
          </w:tcPr>
          <w:p w14:paraId="2CEFF240"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2,158</w:t>
            </w:r>
          </w:p>
        </w:tc>
        <w:tc>
          <w:tcPr>
            <w:tcW w:w="808" w:type="dxa"/>
            <w:tcBorders>
              <w:top w:val="nil"/>
              <w:left w:val="nil"/>
              <w:bottom w:val="single" w:sz="4" w:space="0" w:color="BFBFBF"/>
              <w:right w:val="single" w:sz="4" w:space="0" w:color="BFBFBF"/>
            </w:tcBorders>
            <w:shd w:val="clear" w:color="auto" w:fill="auto"/>
            <w:noWrap/>
            <w:vAlign w:val="center"/>
          </w:tcPr>
          <w:p w14:paraId="0C2D46B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3,438</w:t>
            </w:r>
          </w:p>
        </w:tc>
        <w:tc>
          <w:tcPr>
            <w:tcW w:w="808" w:type="dxa"/>
            <w:tcBorders>
              <w:top w:val="nil"/>
              <w:left w:val="nil"/>
              <w:bottom w:val="single" w:sz="4" w:space="0" w:color="BFBFBF"/>
              <w:right w:val="single" w:sz="4" w:space="0" w:color="auto"/>
            </w:tcBorders>
            <w:shd w:val="clear" w:color="auto" w:fill="auto"/>
            <w:noWrap/>
            <w:vAlign w:val="center"/>
          </w:tcPr>
          <w:p w14:paraId="3FFE763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5,584</w:t>
            </w:r>
          </w:p>
        </w:tc>
        <w:tc>
          <w:tcPr>
            <w:tcW w:w="808" w:type="dxa"/>
            <w:tcBorders>
              <w:top w:val="nil"/>
              <w:left w:val="nil"/>
              <w:bottom w:val="single" w:sz="4" w:space="0" w:color="BFBFBF"/>
              <w:right w:val="double" w:sz="6" w:space="0" w:color="auto"/>
            </w:tcBorders>
            <w:shd w:val="clear" w:color="auto" w:fill="auto"/>
            <w:noWrap/>
            <w:vAlign w:val="center"/>
          </w:tcPr>
          <w:p w14:paraId="20098AA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4,699</w:t>
            </w:r>
          </w:p>
        </w:tc>
      </w:tr>
      <w:tr w:rsidR="00434119" w:rsidRPr="00434119" w14:paraId="14258304"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5C7D191B" w14:textId="77777777" w:rsidR="00434119" w:rsidRPr="00434119" w:rsidRDefault="00434119" w:rsidP="001E0EBD">
            <w:pPr>
              <w:spacing w:before="0" w:after="0"/>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By Housing Status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63916BF"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72A737B"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29D043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6CB74CE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78" w:type="dxa"/>
            <w:tcBorders>
              <w:top w:val="nil"/>
              <w:left w:val="nil"/>
              <w:bottom w:val="single" w:sz="4" w:space="0" w:color="BFBFBF"/>
              <w:right w:val="single" w:sz="4" w:space="0" w:color="BFBFBF"/>
            </w:tcBorders>
            <w:shd w:val="clear" w:color="auto" w:fill="auto"/>
            <w:noWrap/>
            <w:vAlign w:val="center"/>
          </w:tcPr>
          <w:p w14:paraId="4F0D3598"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1" w:type="dxa"/>
            <w:tcBorders>
              <w:top w:val="nil"/>
              <w:left w:val="nil"/>
              <w:bottom w:val="single" w:sz="4" w:space="0" w:color="BFBFBF"/>
              <w:right w:val="single" w:sz="4" w:space="0" w:color="BFBFBF"/>
            </w:tcBorders>
            <w:shd w:val="clear" w:color="auto" w:fill="auto"/>
            <w:noWrap/>
            <w:vAlign w:val="center"/>
          </w:tcPr>
          <w:p w14:paraId="48CDEAC0"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776" w:type="dxa"/>
            <w:tcBorders>
              <w:top w:val="nil"/>
              <w:left w:val="nil"/>
              <w:bottom w:val="single" w:sz="4" w:space="0" w:color="BFBFBF"/>
              <w:right w:val="single" w:sz="4" w:space="0" w:color="auto"/>
            </w:tcBorders>
            <w:shd w:val="clear" w:color="auto" w:fill="auto"/>
            <w:noWrap/>
            <w:vAlign w:val="center"/>
          </w:tcPr>
          <w:p w14:paraId="1EB39C1F"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6B7918F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1FBFB56B"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189F7CC0"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981920A"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ACC5DA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4D30B4B7"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6091B868"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15C452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5BD594B3"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2BB68553"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 </w:t>
            </w:r>
          </w:p>
        </w:tc>
      </w:tr>
      <w:tr w:rsidR="00434119" w:rsidRPr="00434119" w14:paraId="3BC8AB6C"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7E1FFD53" w14:textId="77777777" w:rsidR="00434119" w:rsidRPr="00434119" w:rsidRDefault="0043411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Owned/paid off</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C46674B"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4,380</w:t>
            </w:r>
          </w:p>
        </w:tc>
        <w:tc>
          <w:tcPr>
            <w:tcW w:w="808" w:type="dxa"/>
            <w:tcBorders>
              <w:top w:val="nil"/>
              <w:left w:val="nil"/>
              <w:bottom w:val="single" w:sz="4" w:space="0" w:color="BFBFBF"/>
              <w:right w:val="single" w:sz="4" w:space="0" w:color="BFBFBF"/>
            </w:tcBorders>
            <w:shd w:val="clear" w:color="auto" w:fill="auto"/>
            <w:noWrap/>
            <w:vAlign w:val="center"/>
          </w:tcPr>
          <w:p w14:paraId="23F571C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5,456</w:t>
            </w:r>
          </w:p>
        </w:tc>
        <w:tc>
          <w:tcPr>
            <w:tcW w:w="808" w:type="dxa"/>
            <w:tcBorders>
              <w:top w:val="nil"/>
              <w:left w:val="nil"/>
              <w:bottom w:val="single" w:sz="4" w:space="0" w:color="BFBFBF"/>
              <w:right w:val="single" w:sz="4" w:space="0" w:color="BFBFBF"/>
            </w:tcBorders>
            <w:shd w:val="clear" w:color="auto" w:fill="auto"/>
            <w:noWrap/>
            <w:vAlign w:val="center"/>
          </w:tcPr>
          <w:p w14:paraId="1A19B3DC"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5,230</w:t>
            </w:r>
          </w:p>
        </w:tc>
        <w:tc>
          <w:tcPr>
            <w:tcW w:w="808" w:type="dxa"/>
            <w:tcBorders>
              <w:top w:val="nil"/>
              <w:left w:val="nil"/>
              <w:bottom w:val="single" w:sz="4" w:space="0" w:color="BFBFBF"/>
              <w:right w:val="single" w:sz="4" w:space="0" w:color="auto"/>
            </w:tcBorders>
            <w:shd w:val="clear" w:color="auto" w:fill="auto"/>
            <w:noWrap/>
            <w:vAlign w:val="center"/>
          </w:tcPr>
          <w:p w14:paraId="6715C1FB"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4,798</w:t>
            </w:r>
          </w:p>
        </w:tc>
        <w:tc>
          <w:tcPr>
            <w:tcW w:w="878" w:type="dxa"/>
            <w:tcBorders>
              <w:top w:val="nil"/>
              <w:left w:val="nil"/>
              <w:bottom w:val="single" w:sz="4" w:space="0" w:color="BFBFBF"/>
              <w:right w:val="single" w:sz="4" w:space="0" w:color="BFBFBF"/>
            </w:tcBorders>
            <w:shd w:val="clear" w:color="auto" w:fill="auto"/>
            <w:noWrap/>
            <w:vAlign w:val="center"/>
          </w:tcPr>
          <w:p w14:paraId="48BFA9D4"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-19.7%</w:t>
            </w:r>
          </w:p>
        </w:tc>
        <w:tc>
          <w:tcPr>
            <w:tcW w:w="851" w:type="dxa"/>
            <w:tcBorders>
              <w:top w:val="nil"/>
              <w:left w:val="nil"/>
              <w:bottom w:val="single" w:sz="4" w:space="0" w:color="BFBFBF"/>
              <w:right w:val="single" w:sz="4" w:space="0" w:color="BFBFBF"/>
            </w:tcBorders>
            <w:shd w:val="clear" w:color="auto" w:fill="auto"/>
            <w:noWrap/>
            <w:vAlign w:val="center"/>
          </w:tcPr>
          <w:p w14:paraId="7BE2F637"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4.3%</w:t>
            </w:r>
          </w:p>
        </w:tc>
        <w:tc>
          <w:tcPr>
            <w:tcW w:w="776" w:type="dxa"/>
            <w:tcBorders>
              <w:top w:val="nil"/>
              <w:left w:val="nil"/>
              <w:bottom w:val="single" w:sz="4" w:space="0" w:color="BFBFBF"/>
              <w:right w:val="single" w:sz="4" w:space="0" w:color="auto"/>
            </w:tcBorders>
            <w:shd w:val="clear" w:color="auto" w:fill="auto"/>
            <w:noWrap/>
            <w:vAlign w:val="center"/>
          </w:tcPr>
          <w:p w14:paraId="4D0C91C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9.0%</w:t>
            </w:r>
          </w:p>
        </w:tc>
        <w:tc>
          <w:tcPr>
            <w:tcW w:w="857" w:type="dxa"/>
            <w:tcBorders>
              <w:top w:val="nil"/>
              <w:left w:val="nil"/>
              <w:bottom w:val="single" w:sz="4" w:space="0" w:color="BFBFBF"/>
              <w:right w:val="single" w:sz="4" w:space="0" w:color="BFBFBF"/>
            </w:tcBorders>
            <w:shd w:val="clear" w:color="auto" w:fill="auto"/>
            <w:noWrap/>
            <w:vAlign w:val="center"/>
          </w:tcPr>
          <w:p w14:paraId="7640FAB8"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1,424</w:t>
            </w:r>
          </w:p>
        </w:tc>
        <w:tc>
          <w:tcPr>
            <w:tcW w:w="714" w:type="dxa"/>
            <w:tcBorders>
              <w:top w:val="nil"/>
              <w:left w:val="nil"/>
              <w:bottom w:val="single" w:sz="4" w:space="0" w:color="BFBFBF"/>
              <w:right w:val="single" w:sz="4" w:space="0" w:color="BFBFBF"/>
            </w:tcBorders>
            <w:shd w:val="clear" w:color="auto" w:fill="auto"/>
            <w:noWrap/>
            <w:vAlign w:val="center"/>
          </w:tcPr>
          <w:p w14:paraId="35DF61FA"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2,200</w:t>
            </w:r>
          </w:p>
        </w:tc>
        <w:tc>
          <w:tcPr>
            <w:tcW w:w="675" w:type="dxa"/>
            <w:tcBorders>
              <w:top w:val="nil"/>
              <w:left w:val="nil"/>
              <w:bottom w:val="single" w:sz="4" w:space="0" w:color="BFBFBF"/>
              <w:right w:val="nil"/>
            </w:tcBorders>
            <w:shd w:val="clear" w:color="auto" w:fill="auto"/>
            <w:noWrap/>
            <w:vAlign w:val="center"/>
          </w:tcPr>
          <w:p w14:paraId="55BE747C"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3,385</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687898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1,908</w:t>
            </w:r>
          </w:p>
        </w:tc>
        <w:tc>
          <w:tcPr>
            <w:tcW w:w="808" w:type="dxa"/>
            <w:tcBorders>
              <w:top w:val="nil"/>
              <w:left w:val="nil"/>
              <w:bottom w:val="single" w:sz="4" w:space="0" w:color="BFBFBF"/>
              <w:right w:val="single" w:sz="4" w:space="0" w:color="BFBFBF"/>
            </w:tcBorders>
            <w:shd w:val="clear" w:color="auto" w:fill="auto"/>
            <w:noWrap/>
            <w:vAlign w:val="center"/>
          </w:tcPr>
          <w:p w14:paraId="18B3904E"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2,858</w:t>
            </w:r>
          </w:p>
        </w:tc>
        <w:tc>
          <w:tcPr>
            <w:tcW w:w="808" w:type="dxa"/>
            <w:tcBorders>
              <w:top w:val="nil"/>
              <w:left w:val="nil"/>
              <w:bottom w:val="single" w:sz="4" w:space="0" w:color="BFBFBF"/>
              <w:right w:val="single" w:sz="4" w:space="0" w:color="auto"/>
            </w:tcBorders>
            <w:shd w:val="clear" w:color="auto" w:fill="auto"/>
            <w:noWrap/>
            <w:vAlign w:val="center"/>
          </w:tcPr>
          <w:p w14:paraId="3BB3C3C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4,791</w:t>
            </w:r>
          </w:p>
        </w:tc>
        <w:tc>
          <w:tcPr>
            <w:tcW w:w="857" w:type="dxa"/>
            <w:tcBorders>
              <w:top w:val="nil"/>
              <w:left w:val="nil"/>
              <w:bottom w:val="single" w:sz="4" w:space="0" w:color="BFBFBF"/>
              <w:right w:val="single" w:sz="4" w:space="0" w:color="BFBFBF"/>
            </w:tcBorders>
            <w:shd w:val="clear" w:color="auto" w:fill="auto"/>
            <w:noWrap/>
            <w:vAlign w:val="center"/>
          </w:tcPr>
          <w:p w14:paraId="7A6A48AF"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1,801</w:t>
            </w:r>
          </w:p>
        </w:tc>
        <w:tc>
          <w:tcPr>
            <w:tcW w:w="808" w:type="dxa"/>
            <w:tcBorders>
              <w:top w:val="nil"/>
              <w:left w:val="nil"/>
              <w:bottom w:val="single" w:sz="4" w:space="0" w:color="BFBFBF"/>
              <w:right w:val="single" w:sz="4" w:space="0" w:color="BFBFBF"/>
            </w:tcBorders>
            <w:shd w:val="clear" w:color="auto" w:fill="auto"/>
            <w:noWrap/>
            <w:vAlign w:val="center"/>
          </w:tcPr>
          <w:p w14:paraId="5A7365E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2,573</w:t>
            </w:r>
          </w:p>
        </w:tc>
        <w:tc>
          <w:tcPr>
            <w:tcW w:w="808" w:type="dxa"/>
            <w:tcBorders>
              <w:top w:val="nil"/>
              <w:left w:val="nil"/>
              <w:bottom w:val="single" w:sz="4" w:space="0" w:color="BFBFBF"/>
              <w:right w:val="single" w:sz="4" w:space="0" w:color="auto"/>
            </w:tcBorders>
            <w:shd w:val="clear" w:color="auto" w:fill="auto"/>
            <w:noWrap/>
            <w:vAlign w:val="center"/>
          </w:tcPr>
          <w:p w14:paraId="1818FA0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4,371</w:t>
            </w:r>
          </w:p>
        </w:tc>
        <w:tc>
          <w:tcPr>
            <w:tcW w:w="808" w:type="dxa"/>
            <w:tcBorders>
              <w:top w:val="nil"/>
              <w:left w:val="nil"/>
              <w:bottom w:val="single" w:sz="4" w:space="0" w:color="BFBFBF"/>
              <w:right w:val="double" w:sz="6" w:space="0" w:color="auto"/>
            </w:tcBorders>
            <w:shd w:val="clear" w:color="auto" w:fill="auto"/>
            <w:noWrap/>
            <w:vAlign w:val="center"/>
          </w:tcPr>
          <w:p w14:paraId="113BBCDA"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3,671</w:t>
            </w:r>
          </w:p>
        </w:tc>
      </w:tr>
      <w:tr w:rsidR="00434119" w:rsidRPr="00434119" w14:paraId="059CF677"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1C6518DE" w14:textId="77777777" w:rsidR="00434119" w:rsidRPr="00434119" w:rsidRDefault="0043411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Buying/paying off</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D77ACD3"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4,848</w:t>
            </w:r>
          </w:p>
        </w:tc>
        <w:tc>
          <w:tcPr>
            <w:tcW w:w="808" w:type="dxa"/>
            <w:tcBorders>
              <w:top w:val="nil"/>
              <w:left w:val="nil"/>
              <w:bottom w:val="single" w:sz="4" w:space="0" w:color="BFBFBF"/>
              <w:right w:val="single" w:sz="4" w:space="0" w:color="BFBFBF"/>
            </w:tcBorders>
            <w:shd w:val="clear" w:color="auto" w:fill="auto"/>
            <w:noWrap/>
            <w:vAlign w:val="center"/>
          </w:tcPr>
          <w:p w14:paraId="232E12F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6,350</w:t>
            </w:r>
          </w:p>
        </w:tc>
        <w:tc>
          <w:tcPr>
            <w:tcW w:w="808" w:type="dxa"/>
            <w:tcBorders>
              <w:top w:val="nil"/>
              <w:left w:val="nil"/>
              <w:bottom w:val="single" w:sz="4" w:space="0" w:color="BFBFBF"/>
              <w:right w:val="single" w:sz="4" w:space="0" w:color="BFBFBF"/>
            </w:tcBorders>
            <w:shd w:val="clear" w:color="auto" w:fill="auto"/>
            <w:noWrap/>
            <w:vAlign w:val="center"/>
          </w:tcPr>
          <w:p w14:paraId="399B42F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5,678</w:t>
            </w:r>
          </w:p>
        </w:tc>
        <w:tc>
          <w:tcPr>
            <w:tcW w:w="808" w:type="dxa"/>
            <w:tcBorders>
              <w:top w:val="nil"/>
              <w:left w:val="nil"/>
              <w:bottom w:val="single" w:sz="4" w:space="0" w:color="BFBFBF"/>
              <w:right w:val="single" w:sz="4" w:space="0" w:color="auto"/>
            </w:tcBorders>
            <w:shd w:val="clear" w:color="auto" w:fill="auto"/>
            <w:noWrap/>
            <w:vAlign w:val="center"/>
          </w:tcPr>
          <w:p w14:paraId="1464A30C"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4,952</w:t>
            </w:r>
          </w:p>
        </w:tc>
        <w:tc>
          <w:tcPr>
            <w:tcW w:w="878" w:type="dxa"/>
            <w:tcBorders>
              <w:top w:val="nil"/>
              <w:left w:val="nil"/>
              <w:bottom w:val="single" w:sz="4" w:space="0" w:color="BFBFBF"/>
              <w:right w:val="single" w:sz="4" w:space="0" w:color="BFBFBF"/>
            </w:tcBorders>
            <w:shd w:val="clear" w:color="auto" w:fill="auto"/>
            <w:noWrap/>
            <w:vAlign w:val="center"/>
          </w:tcPr>
          <w:p w14:paraId="73CFC85E"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-23.7%</w:t>
            </w:r>
          </w:p>
        </w:tc>
        <w:tc>
          <w:tcPr>
            <w:tcW w:w="851" w:type="dxa"/>
            <w:tcBorders>
              <w:top w:val="nil"/>
              <w:left w:val="nil"/>
              <w:bottom w:val="single" w:sz="4" w:space="0" w:color="BFBFBF"/>
              <w:right w:val="single" w:sz="4" w:space="0" w:color="BFBFBF"/>
            </w:tcBorders>
            <w:shd w:val="clear" w:color="auto" w:fill="auto"/>
            <w:noWrap/>
            <w:vAlign w:val="center"/>
          </w:tcPr>
          <w:p w14:paraId="0546A328"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11.8%</w:t>
            </w:r>
          </w:p>
        </w:tc>
        <w:tc>
          <w:tcPr>
            <w:tcW w:w="776" w:type="dxa"/>
            <w:tcBorders>
              <w:top w:val="nil"/>
              <w:left w:val="nil"/>
              <w:bottom w:val="single" w:sz="4" w:space="0" w:color="BFBFBF"/>
              <w:right w:val="single" w:sz="4" w:space="0" w:color="auto"/>
            </w:tcBorders>
            <w:shd w:val="clear" w:color="auto" w:fill="auto"/>
            <w:noWrap/>
            <w:vAlign w:val="center"/>
          </w:tcPr>
          <w:p w14:paraId="01EDE35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14.7%</w:t>
            </w:r>
          </w:p>
        </w:tc>
        <w:tc>
          <w:tcPr>
            <w:tcW w:w="857" w:type="dxa"/>
            <w:tcBorders>
              <w:top w:val="nil"/>
              <w:left w:val="nil"/>
              <w:bottom w:val="single" w:sz="4" w:space="0" w:color="BFBFBF"/>
              <w:right w:val="single" w:sz="4" w:space="0" w:color="BFBFBF"/>
            </w:tcBorders>
            <w:shd w:val="clear" w:color="auto" w:fill="auto"/>
            <w:noWrap/>
            <w:vAlign w:val="center"/>
          </w:tcPr>
          <w:p w14:paraId="1E364D3B"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1,490</w:t>
            </w:r>
          </w:p>
        </w:tc>
        <w:tc>
          <w:tcPr>
            <w:tcW w:w="714" w:type="dxa"/>
            <w:tcBorders>
              <w:top w:val="nil"/>
              <w:left w:val="nil"/>
              <w:bottom w:val="single" w:sz="4" w:space="0" w:color="BFBFBF"/>
              <w:right w:val="single" w:sz="4" w:space="0" w:color="BFBFBF"/>
            </w:tcBorders>
            <w:shd w:val="clear" w:color="auto" w:fill="auto"/>
            <w:noWrap/>
            <w:vAlign w:val="center"/>
          </w:tcPr>
          <w:p w14:paraId="243D89C2"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2,274</w:t>
            </w:r>
          </w:p>
        </w:tc>
        <w:tc>
          <w:tcPr>
            <w:tcW w:w="675" w:type="dxa"/>
            <w:tcBorders>
              <w:top w:val="nil"/>
              <w:left w:val="nil"/>
              <w:bottom w:val="single" w:sz="4" w:space="0" w:color="BFBFBF"/>
              <w:right w:val="nil"/>
            </w:tcBorders>
            <w:shd w:val="clear" w:color="auto" w:fill="auto"/>
            <w:noWrap/>
            <w:vAlign w:val="center"/>
          </w:tcPr>
          <w:p w14:paraId="67DAA03B"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3,550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941DF9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2,183</w:t>
            </w:r>
          </w:p>
        </w:tc>
        <w:tc>
          <w:tcPr>
            <w:tcW w:w="808" w:type="dxa"/>
            <w:tcBorders>
              <w:top w:val="nil"/>
              <w:left w:val="nil"/>
              <w:bottom w:val="single" w:sz="4" w:space="0" w:color="BFBFBF"/>
              <w:right w:val="single" w:sz="4" w:space="0" w:color="BFBFBF"/>
            </w:tcBorders>
            <w:shd w:val="clear" w:color="auto" w:fill="auto"/>
            <w:noWrap/>
            <w:vAlign w:val="center"/>
          </w:tcPr>
          <w:p w14:paraId="7F2B436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3,245</w:t>
            </w:r>
          </w:p>
        </w:tc>
        <w:tc>
          <w:tcPr>
            <w:tcW w:w="808" w:type="dxa"/>
            <w:tcBorders>
              <w:top w:val="nil"/>
              <w:left w:val="nil"/>
              <w:bottom w:val="single" w:sz="4" w:space="0" w:color="BFBFBF"/>
              <w:right w:val="single" w:sz="4" w:space="0" w:color="auto"/>
            </w:tcBorders>
            <w:shd w:val="clear" w:color="auto" w:fill="auto"/>
            <w:noWrap/>
            <w:vAlign w:val="center"/>
          </w:tcPr>
          <w:p w14:paraId="39C58BF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5,633</w:t>
            </w:r>
          </w:p>
        </w:tc>
        <w:tc>
          <w:tcPr>
            <w:tcW w:w="857" w:type="dxa"/>
            <w:tcBorders>
              <w:top w:val="nil"/>
              <w:left w:val="nil"/>
              <w:bottom w:val="single" w:sz="4" w:space="0" w:color="BFBFBF"/>
              <w:right w:val="single" w:sz="4" w:space="0" w:color="BFBFBF"/>
            </w:tcBorders>
            <w:shd w:val="clear" w:color="auto" w:fill="auto"/>
            <w:noWrap/>
            <w:vAlign w:val="center"/>
          </w:tcPr>
          <w:p w14:paraId="6A96D8B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1,949</w:t>
            </w:r>
          </w:p>
        </w:tc>
        <w:tc>
          <w:tcPr>
            <w:tcW w:w="808" w:type="dxa"/>
            <w:tcBorders>
              <w:top w:val="nil"/>
              <w:left w:val="nil"/>
              <w:bottom w:val="single" w:sz="4" w:space="0" w:color="BFBFBF"/>
              <w:right w:val="single" w:sz="4" w:space="0" w:color="BFBFBF"/>
            </w:tcBorders>
            <w:shd w:val="clear" w:color="auto" w:fill="auto"/>
            <w:noWrap/>
            <w:vAlign w:val="center"/>
          </w:tcPr>
          <w:p w14:paraId="38040253"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3,041</w:t>
            </w:r>
          </w:p>
        </w:tc>
        <w:tc>
          <w:tcPr>
            <w:tcW w:w="808" w:type="dxa"/>
            <w:tcBorders>
              <w:top w:val="nil"/>
              <w:left w:val="nil"/>
              <w:bottom w:val="single" w:sz="4" w:space="0" w:color="BFBFBF"/>
              <w:right w:val="single" w:sz="4" w:space="0" w:color="auto"/>
            </w:tcBorders>
            <w:shd w:val="clear" w:color="auto" w:fill="auto"/>
            <w:noWrap/>
            <w:vAlign w:val="center"/>
          </w:tcPr>
          <w:p w14:paraId="0CDA05F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4,987</w:t>
            </w:r>
          </w:p>
        </w:tc>
        <w:tc>
          <w:tcPr>
            <w:tcW w:w="808" w:type="dxa"/>
            <w:tcBorders>
              <w:top w:val="nil"/>
              <w:left w:val="nil"/>
              <w:bottom w:val="single" w:sz="4" w:space="0" w:color="BFBFBF"/>
              <w:right w:val="double" w:sz="6" w:space="0" w:color="auto"/>
            </w:tcBorders>
            <w:shd w:val="clear" w:color="auto" w:fill="auto"/>
            <w:noWrap/>
            <w:vAlign w:val="center"/>
          </w:tcPr>
          <w:p w14:paraId="2322B59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4,278</w:t>
            </w:r>
          </w:p>
        </w:tc>
      </w:tr>
      <w:tr w:rsidR="00434119" w:rsidRPr="00434119" w14:paraId="6E7A5698"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71A7E4D5" w14:textId="77777777" w:rsidR="00434119" w:rsidRPr="00434119" w:rsidRDefault="0043411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Renting – Private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102A2A8"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4,210</w:t>
            </w:r>
          </w:p>
        </w:tc>
        <w:tc>
          <w:tcPr>
            <w:tcW w:w="808" w:type="dxa"/>
            <w:tcBorders>
              <w:top w:val="nil"/>
              <w:left w:val="nil"/>
              <w:bottom w:val="single" w:sz="4" w:space="0" w:color="BFBFBF"/>
              <w:right w:val="single" w:sz="4" w:space="0" w:color="BFBFBF"/>
            </w:tcBorders>
            <w:shd w:val="clear" w:color="auto" w:fill="auto"/>
            <w:noWrap/>
            <w:vAlign w:val="center"/>
          </w:tcPr>
          <w:p w14:paraId="6D26FACB"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4,982</w:t>
            </w:r>
          </w:p>
        </w:tc>
        <w:tc>
          <w:tcPr>
            <w:tcW w:w="808" w:type="dxa"/>
            <w:tcBorders>
              <w:top w:val="nil"/>
              <w:left w:val="nil"/>
              <w:bottom w:val="single" w:sz="4" w:space="0" w:color="BFBFBF"/>
              <w:right w:val="single" w:sz="4" w:space="0" w:color="BFBFBF"/>
            </w:tcBorders>
            <w:shd w:val="clear" w:color="auto" w:fill="auto"/>
            <w:noWrap/>
            <w:vAlign w:val="center"/>
          </w:tcPr>
          <w:p w14:paraId="0B702FF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4,574</w:t>
            </w:r>
          </w:p>
        </w:tc>
        <w:tc>
          <w:tcPr>
            <w:tcW w:w="808" w:type="dxa"/>
            <w:tcBorders>
              <w:top w:val="nil"/>
              <w:left w:val="nil"/>
              <w:bottom w:val="single" w:sz="4" w:space="0" w:color="BFBFBF"/>
              <w:right w:val="single" w:sz="4" w:space="0" w:color="auto"/>
            </w:tcBorders>
            <w:shd w:val="clear" w:color="auto" w:fill="auto"/>
            <w:noWrap/>
            <w:vAlign w:val="center"/>
          </w:tcPr>
          <w:p w14:paraId="69EBDD2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3,960</w:t>
            </w:r>
          </w:p>
        </w:tc>
        <w:tc>
          <w:tcPr>
            <w:tcW w:w="878" w:type="dxa"/>
            <w:tcBorders>
              <w:top w:val="nil"/>
              <w:left w:val="nil"/>
              <w:bottom w:val="single" w:sz="4" w:space="0" w:color="BFBFBF"/>
              <w:right w:val="single" w:sz="4" w:space="0" w:color="BFBFBF"/>
            </w:tcBorders>
            <w:shd w:val="clear" w:color="auto" w:fill="auto"/>
            <w:noWrap/>
            <w:vAlign w:val="center"/>
          </w:tcPr>
          <w:p w14:paraId="188F3E1E"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-15.5%</w:t>
            </w:r>
          </w:p>
        </w:tc>
        <w:tc>
          <w:tcPr>
            <w:tcW w:w="851" w:type="dxa"/>
            <w:tcBorders>
              <w:top w:val="nil"/>
              <w:left w:val="nil"/>
              <w:bottom w:val="single" w:sz="4" w:space="0" w:color="BFBFBF"/>
              <w:right w:val="single" w:sz="4" w:space="0" w:color="BFBFBF"/>
            </w:tcBorders>
            <w:shd w:val="clear" w:color="auto" w:fill="auto"/>
            <w:noWrap/>
            <w:vAlign w:val="center"/>
          </w:tcPr>
          <w:p w14:paraId="4A4EB36E"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8.9%</w:t>
            </w:r>
          </w:p>
        </w:tc>
        <w:tc>
          <w:tcPr>
            <w:tcW w:w="776" w:type="dxa"/>
            <w:tcBorders>
              <w:top w:val="nil"/>
              <w:left w:val="nil"/>
              <w:bottom w:val="single" w:sz="4" w:space="0" w:color="BFBFBF"/>
              <w:right w:val="single" w:sz="4" w:space="0" w:color="auto"/>
            </w:tcBorders>
            <w:shd w:val="clear" w:color="auto" w:fill="auto"/>
            <w:noWrap/>
            <w:vAlign w:val="center"/>
          </w:tcPr>
          <w:p w14:paraId="48465515"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15.5%</w:t>
            </w:r>
          </w:p>
        </w:tc>
        <w:tc>
          <w:tcPr>
            <w:tcW w:w="857" w:type="dxa"/>
            <w:tcBorders>
              <w:top w:val="nil"/>
              <w:left w:val="nil"/>
              <w:bottom w:val="single" w:sz="4" w:space="0" w:color="BFBFBF"/>
              <w:right w:val="single" w:sz="4" w:space="0" w:color="BFBFBF"/>
            </w:tcBorders>
            <w:shd w:val="clear" w:color="auto" w:fill="auto"/>
            <w:noWrap/>
            <w:vAlign w:val="center"/>
          </w:tcPr>
          <w:p w14:paraId="4D3AE37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1,003</w:t>
            </w:r>
          </w:p>
        </w:tc>
        <w:tc>
          <w:tcPr>
            <w:tcW w:w="714" w:type="dxa"/>
            <w:tcBorders>
              <w:top w:val="nil"/>
              <w:left w:val="nil"/>
              <w:bottom w:val="single" w:sz="4" w:space="0" w:color="BFBFBF"/>
              <w:right w:val="single" w:sz="4" w:space="0" w:color="BFBFBF"/>
            </w:tcBorders>
            <w:shd w:val="clear" w:color="auto" w:fill="auto"/>
            <w:noWrap/>
            <w:vAlign w:val="center"/>
          </w:tcPr>
          <w:p w14:paraId="6735281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1,643</w:t>
            </w:r>
          </w:p>
        </w:tc>
        <w:tc>
          <w:tcPr>
            <w:tcW w:w="675" w:type="dxa"/>
            <w:tcBorders>
              <w:top w:val="nil"/>
              <w:left w:val="nil"/>
              <w:bottom w:val="single" w:sz="4" w:space="0" w:color="BFBFBF"/>
              <w:right w:val="nil"/>
            </w:tcBorders>
            <w:shd w:val="clear" w:color="auto" w:fill="auto"/>
            <w:noWrap/>
            <w:vAlign w:val="center"/>
          </w:tcPr>
          <w:p w14:paraId="7D4FEEB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2,750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E85E60D"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1,753</w:t>
            </w:r>
          </w:p>
        </w:tc>
        <w:tc>
          <w:tcPr>
            <w:tcW w:w="808" w:type="dxa"/>
            <w:tcBorders>
              <w:top w:val="nil"/>
              <w:left w:val="nil"/>
              <w:bottom w:val="single" w:sz="4" w:space="0" w:color="BFBFBF"/>
              <w:right w:val="single" w:sz="4" w:space="0" w:color="BFBFBF"/>
            </w:tcBorders>
            <w:shd w:val="clear" w:color="auto" w:fill="auto"/>
            <w:noWrap/>
            <w:vAlign w:val="center"/>
          </w:tcPr>
          <w:p w14:paraId="71D77F6C"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2,692</w:t>
            </w:r>
          </w:p>
        </w:tc>
        <w:tc>
          <w:tcPr>
            <w:tcW w:w="808" w:type="dxa"/>
            <w:tcBorders>
              <w:top w:val="nil"/>
              <w:left w:val="nil"/>
              <w:bottom w:val="single" w:sz="4" w:space="0" w:color="BFBFBF"/>
              <w:right w:val="single" w:sz="4" w:space="0" w:color="auto"/>
            </w:tcBorders>
            <w:shd w:val="clear" w:color="auto" w:fill="auto"/>
            <w:noWrap/>
            <w:vAlign w:val="center"/>
          </w:tcPr>
          <w:p w14:paraId="7340586E"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4,468</w:t>
            </w:r>
          </w:p>
        </w:tc>
        <w:tc>
          <w:tcPr>
            <w:tcW w:w="857" w:type="dxa"/>
            <w:tcBorders>
              <w:top w:val="nil"/>
              <w:left w:val="nil"/>
              <w:bottom w:val="single" w:sz="4" w:space="0" w:color="BFBFBF"/>
              <w:right w:val="single" w:sz="4" w:space="0" w:color="BFBFBF"/>
            </w:tcBorders>
            <w:shd w:val="clear" w:color="auto" w:fill="auto"/>
            <w:noWrap/>
            <w:vAlign w:val="center"/>
          </w:tcPr>
          <w:p w14:paraId="068D5A18"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1,631</w:t>
            </w:r>
          </w:p>
        </w:tc>
        <w:tc>
          <w:tcPr>
            <w:tcW w:w="808" w:type="dxa"/>
            <w:tcBorders>
              <w:top w:val="nil"/>
              <w:left w:val="nil"/>
              <w:bottom w:val="single" w:sz="4" w:space="0" w:color="BFBFBF"/>
              <w:right w:val="single" w:sz="4" w:space="0" w:color="BFBFBF"/>
            </w:tcBorders>
            <w:shd w:val="clear" w:color="auto" w:fill="auto"/>
            <w:noWrap/>
            <w:vAlign w:val="center"/>
          </w:tcPr>
          <w:p w14:paraId="77C5EE0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2,367</w:t>
            </w:r>
          </w:p>
        </w:tc>
        <w:tc>
          <w:tcPr>
            <w:tcW w:w="808" w:type="dxa"/>
            <w:tcBorders>
              <w:top w:val="nil"/>
              <w:left w:val="nil"/>
              <w:bottom w:val="single" w:sz="4" w:space="0" w:color="BFBFBF"/>
              <w:right w:val="single" w:sz="4" w:space="0" w:color="auto"/>
            </w:tcBorders>
            <w:shd w:val="clear" w:color="auto" w:fill="auto"/>
            <w:noWrap/>
            <w:vAlign w:val="center"/>
          </w:tcPr>
          <w:p w14:paraId="7F48B1C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3,994</w:t>
            </w:r>
          </w:p>
        </w:tc>
        <w:tc>
          <w:tcPr>
            <w:tcW w:w="808" w:type="dxa"/>
            <w:tcBorders>
              <w:top w:val="nil"/>
              <w:left w:val="nil"/>
              <w:bottom w:val="single" w:sz="4" w:space="0" w:color="BFBFBF"/>
              <w:right w:val="double" w:sz="6" w:space="0" w:color="auto"/>
            </w:tcBorders>
            <w:shd w:val="clear" w:color="auto" w:fill="auto"/>
            <w:noWrap/>
            <w:vAlign w:val="center"/>
          </w:tcPr>
          <w:p w14:paraId="22D8B3E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3,017</w:t>
            </w:r>
          </w:p>
        </w:tc>
      </w:tr>
      <w:tr w:rsidR="00434119" w:rsidRPr="00434119" w14:paraId="636872C7" w14:textId="77777777" w:rsidTr="009748AD">
        <w:trPr>
          <w:trHeight w:val="212"/>
          <w:jc w:val="center"/>
        </w:trPr>
        <w:tc>
          <w:tcPr>
            <w:tcW w:w="2150" w:type="dxa"/>
            <w:tcBorders>
              <w:top w:val="nil"/>
              <w:left w:val="double" w:sz="6" w:space="0" w:color="auto"/>
              <w:bottom w:val="single" w:sz="4" w:space="0" w:color="BFBFBF"/>
              <w:right w:val="nil"/>
            </w:tcBorders>
            <w:shd w:val="clear" w:color="auto" w:fill="auto"/>
            <w:noWrap/>
            <w:vAlign w:val="center"/>
          </w:tcPr>
          <w:p w14:paraId="6658EF77" w14:textId="77777777" w:rsidR="00434119" w:rsidRPr="00434119" w:rsidRDefault="00434119" w:rsidP="001E0EBD">
            <w:pPr>
              <w:spacing w:before="0" w:after="0"/>
              <w:ind w:firstLineChars="100" w:firstLine="160"/>
              <w:rPr>
                <w:rFonts w:ascii="Arial" w:hAnsi="Arial" w:cs="Arial"/>
                <w:color w:val="000000"/>
                <w:sz w:val="16"/>
                <w:szCs w:val="16"/>
                <w:lang w:val="en-AU" w:eastAsia="en-AU"/>
              </w:rPr>
            </w:pPr>
            <w:r w:rsidRPr="00434119">
              <w:rPr>
                <w:rFonts w:ascii="Arial" w:hAnsi="Arial" w:cs="Arial"/>
                <w:color w:val="000000"/>
                <w:sz w:val="16"/>
                <w:szCs w:val="16"/>
                <w:lang w:val="en-AU" w:eastAsia="en-AU"/>
              </w:rPr>
              <w:t>Renting – Public</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CE797F2"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3,647</w:t>
            </w:r>
          </w:p>
        </w:tc>
        <w:tc>
          <w:tcPr>
            <w:tcW w:w="808" w:type="dxa"/>
            <w:tcBorders>
              <w:top w:val="nil"/>
              <w:left w:val="nil"/>
              <w:bottom w:val="single" w:sz="4" w:space="0" w:color="BFBFBF"/>
              <w:right w:val="single" w:sz="4" w:space="0" w:color="BFBFBF"/>
            </w:tcBorders>
            <w:shd w:val="clear" w:color="auto" w:fill="auto"/>
            <w:noWrap/>
            <w:vAlign w:val="center"/>
          </w:tcPr>
          <w:p w14:paraId="5BBD187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3,704</w:t>
            </w:r>
          </w:p>
        </w:tc>
        <w:tc>
          <w:tcPr>
            <w:tcW w:w="808" w:type="dxa"/>
            <w:tcBorders>
              <w:top w:val="nil"/>
              <w:left w:val="nil"/>
              <w:bottom w:val="single" w:sz="4" w:space="0" w:color="BFBFBF"/>
              <w:right w:val="single" w:sz="4" w:space="0" w:color="BFBFBF"/>
            </w:tcBorders>
            <w:shd w:val="clear" w:color="auto" w:fill="auto"/>
            <w:noWrap/>
            <w:vAlign w:val="center"/>
          </w:tcPr>
          <w:p w14:paraId="005FBF3C"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3,344</w:t>
            </w:r>
          </w:p>
        </w:tc>
        <w:tc>
          <w:tcPr>
            <w:tcW w:w="808" w:type="dxa"/>
            <w:tcBorders>
              <w:top w:val="nil"/>
              <w:left w:val="nil"/>
              <w:bottom w:val="single" w:sz="4" w:space="0" w:color="BFBFBF"/>
              <w:right w:val="single" w:sz="4" w:space="0" w:color="auto"/>
            </w:tcBorders>
            <w:shd w:val="clear" w:color="auto" w:fill="auto"/>
            <w:noWrap/>
            <w:vAlign w:val="center"/>
          </w:tcPr>
          <w:p w14:paraId="743810E6"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2,678</w:t>
            </w:r>
          </w:p>
        </w:tc>
        <w:tc>
          <w:tcPr>
            <w:tcW w:w="878" w:type="dxa"/>
            <w:tcBorders>
              <w:top w:val="nil"/>
              <w:left w:val="nil"/>
              <w:bottom w:val="single" w:sz="4" w:space="0" w:color="BFBFBF"/>
              <w:right w:val="single" w:sz="4" w:space="0" w:color="BFBFBF"/>
            </w:tcBorders>
            <w:shd w:val="clear" w:color="auto" w:fill="auto"/>
            <w:noWrap/>
            <w:vAlign w:val="center"/>
          </w:tcPr>
          <w:p w14:paraId="25ED38ED"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-1.5%</w:t>
            </w:r>
          </w:p>
        </w:tc>
        <w:tc>
          <w:tcPr>
            <w:tcW w:w="851" w:type="dxa"/>
            <w:tcBorders>
              <w:top w:val="nil"/>
              <w:left w:val="nil"/>
              <w:bottom w:val="single" w:sz="4" w:space="0" w:color="BFBFBF"/>
              <w:right w:val="single" w:sz="4" w:space="0" w:color="BFBFBF"/>
            </w:tcBorders>
            <w:shd w:val="clear" w:color="auto" w:fill="auto"/>
            <w:noWrap/>
            <w:vAlign w:val="center"/>
          </w:tcPr>
          <w:p w14:paraId="18AD9738"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10.8%</w:t>
            </w:r>
          </w:p>
        </w:tc>
        <w:tc>
          <w:tcPr>
            <w:tcW w:w="776" w:type="dxa"/>
            <w:tcBorders>
              <w:top w:val="nil"/>
              <w:left w:val="nil"/>
              <w:bottom w:val="single" w:sz="4" w:space="0" w:color="BFBFBF"/>
              <w:right w:val="single" w:sz="4" w:space="0" w:color="auto"/>
            </w:tcBorders>
            <w:shd w:val="clear" w:color="auto" w:fill="auto"/>
            <w:noWrap/>
            <w:vAlign w:val="center"/>
          </w:tcPr>
          <w:p w14:paraId="568EFEE2"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24.9%</w:t>
            </w:r>
          </w:p>
        </w:tc>
        <w:tc>
          <w:tcPr>
            <w:tcW w:w="857" w:type="dxa"/>
            <w:tcBorders>
              <w:top w:val="nil"/>
              <w:left w:val="nil"/>
              <w:bottom w:val="single" w:sz="4" w:space="0" w:color="BFBFBF"/>
              <w:right w:val="single" w:sz="4" w:space="0" w:color="BFBFBF"/>
            </w:tcBorders>
            <w:shd w:val="clear" w:color="auto" w:fill="auto"/>
            <w:noWrap/>
            <w:vAlign w:val="center"/>
          </w:tcPr>
          <w:p w14:paraId="46D4FF24"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903</w:t>
            </w:r>
          </w:p>
        </w:tc>
        <w:tc>
          <w:tcPr>
            <w:tcW w:w="714" w:type="dxa"/>
            <w:tcBorders>
              <w:top w:val="nil"/>
              <w:left w:val="nil"/>
              <w:bottom w:val="single" w:sz="4" w:space="0" w:color="BFBFBF"/>
              <w:right w:val="single" w:sz="4" w:space="0" w:color="BFBFBF"/>
            </w:tcBorders>
            <w:shd w:val="clear" w:color="auto" w:fill="auto"/>
            <w:noWrap/>
            <w:vAlign w:val="center"/>
          </w:tcPr>
          <w:p w14:paraId="744CD627"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1,348</w:t>
            </w:r>
          </w:p>
        </w:tc>
        <w:tc>
          <w:tcPr>
            <w:tcW w:w="675" w:type="dxa"/>
            <w:tcBorders>
              <w:top w:val="nil"/>
              <w:left w:val="nil"/>
              <w:bottom w:val="single" w:sz="4" w:space="0" w:color="BFBFBF"/>
              <w:right w:val="nil"/>
            </w:tcBorders>
            <w:shd w:val="clear" w:color="auto" w:fill="auto"/>
            <w:noWrap/>
            <w:vAlign w:val="center"/>
          </w:tcPr>
          <w:p w14:paraId="42C07A59" w14:textId="77777777" w:rsidR="00434119" w:rsidRPr="00434119" w:rsidRDefault="00434119" w:rsidP="00434119">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2,580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D227CA0"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1,406</w:t>
            </w:r>
          </w:p>
        </w:tc>
        <w:tc>
          <w:tcPr>
            <w:tcW w:w="808" w:type="dxa"/>
            <w:tcBorders>
              <w:top w:val="nil"/>
              <w:left w:val="nil"/>
              <w:bottom w:val="single" w:sz="4" w:space="0" w:color="BFBFBF"/>
              <w:right w:val="single" w:sz="4" w:space="0" w:color="BFBFBF"/>
            </w:tcBorders>
            <w:shd w:val="clear" w:color="auto" w:fill="auto"/>
            <w:noWrap/>
            <w:vAlign w:val="center"/>
          </w:tcPr>
          <w:p w14:paraId="5F13ED3A"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2,149</w:t>
            </w:r>
          </w:p>
        </w:tc>
        <w:tc>
          <w:tcPr>
            <w:tcW w:w="808" w:type="dxa"/>
            <w:tcBorders>
              <w:top w:val="nil"/>
              <w:left w:val="nil"/>
              <w:bottom w:val="single" w:sz="4" w:space="0" w:color="BFBFBF"/>
              <w:right w:val="single" w:sz="4" w:space="0" w:color="auto"/>
            </w:tcBorders>
            <w:shd w:val="clear" w:color="auto" w:fill="auto"/>
            <w:noWrap/>
            <w:vAlign w:val="center"/>
          </w:tcPr>
          <w:p w14:paraId="1A80A18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3,571</w:t>
            </w:r>
          </w:p>
        </w:tc>
        <w:tc>
          <w:tcPr>
            <w:tcW w:w="857" w:type="dxa"/>
            <w:tcBorders>
              <w:top w:val="nil"/>
              <w:left w:val="nil"/>
              <w:bottom w:val="single" w:sz="4" w:space="0" w:color="BFBFBF"/>
              <w:right w:val="single" w:sz="4" w:space="0" w:color="BFBFBF"/>
            </w:tcBorders>
            <w:shd w:val="clear" w:color="auto" w:fill="auto"/>
            <w:noWrap/>
            <w:vAlign w:val="center"/>
          </w:tcPr>
          <w:p w14:paraId="53C0F774"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1,330</w:t>
            </w:r>
          </w:p>
        </w:tc>
        <w:tc>
          <w:tcPr>
            <w:tcW w:w="808" w:type="dxa"/>
            <w:tcBorders>
              <w:top w:val="nil"/>
              <w:left w:val="nil"/>
              <w:bottom w:val="single" w:sz="4" w:space="0" w:color="BFBFBF"/>
              <w:right w:val="single" w:sz="4" w:space="0" w:color="BFBFBF"/>
            </w:tcBorders>
            <w:shd w:val="clear" w:color="auto" w:fill="auto"/>
            <w:noWrap/>
            <w:vAlign w:val="center"/>
          </w:tcPr>
          <w:p w14:paraId="2CE20751"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1,845</w:t>
            </w:r>
          </w:p>
        </w:tc>
        <w:tc>
          <w:tcPr>
            <w:tcW w:w="808" w:type="dxa"/>
            <w:tcBorders>
              <w:top w:val="nil"/>
              <w:left w:val="nil"/>
              <w:bottom w:val="single" w:sz="4" w:space="0" w:color="BFBFBF"/>
              <w:right w:val="single" w:sz="4" w:space="0" w:color="auto"/>
            </w:tcBorders>
            <w:shd w:val="clear" w:color="auto" w:fill="auto"/>
            <w:noWrap/>
            <w:vAlign w:val="center"/>
          </w:tcPr>
          <w:p w14:paraId="763F70A9"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3,175</w:t>
            </w:r>
          </w:p>
        </w:tc>
        <w:tc>
          <w:tcPr>
            <w:tcW w:w="808" w:type="dxa"/>
            <w:tcBorders>
              <w:top w:val="nil"/>
              <w:left w:val="nil"/>
              <w:bottom w:val="single" w:sz="4" w:space="0" w:color="BFBFBF"/>
              <w:right w:val="double" w:sz="6" w:space="0" w:color="auto"/>
            </w:tcBorders>
            <w:shd w:val="clear" w:color="auto" w:fill="auto"/>
            <w:noWrap/>
            <w:vAlign w:val="center"/>
          </w:tcPr>
          <w:p w14:paraId="7AD1F31C" w14:textId="77777777" w:rsidR="00434119" w:rsidRPr="00434119" w:rsidRDefault="00434119" w:rsidP="001E0EBD">
            <w:pPr>
              <w:spacing w:before="0" w:after="0"/>
              <w:jc w:val="center"/>
              <w:rPr>
                <w:rFonts w:ascii="Arial" w:hAnsi="Arial" w:cs="Arial"/>
                <w:color w:val="000000"/>
                <w:sz w:val="16"/>
                <w:szCs w:val="16"/>
                <w:lang w:val="en-AU" w:eastAsia="en-AU"/>
              </w:rPr>
            </w:pPr>
            <w:r w:rsidRPr="00434119">
              <w:rPr>
                <w:rFonts w:ascii="Arial" w:hAnsi="Arial" w:cs="Arial"/>
                <w:color w:val="000000"/>
                <w:sz w:val="16"/>
                <w:szCs w:val="16"/>
                <w:lang w:val="en-AU" w:eastAsia="en-AU"/>
              </w:rPr>
              <w:t>2,258</w:t>
            </w:r>
          </w:p>
        </w:tc>
      </w:tr>
      <w:tr w:rsidR="00434119" w:rsidRPr="00434119" w14:paraId="37E78281" w14:textId="77777777" w:rsidTr="009748AD">
        <w:trPr>
          <w:trHeight w:val="225"/>
          <w:jc w:val="center"/>
        </w:trPr>
        <w:tc>
          <w:tcPr>
            <w:tcW w:w="2150" w:type="dxa"/>
            <w:tcBorders>
              <w:top w:val="nil"/>
              <w:left w:val="double" w:sz="6" w:space="0" w:color="auto"/>
              <w:bottom w:val="double" w:sz="6" w:space="0" w:color="auto"/>
              <w:right w:val="nil"/>
            </w:tcBorders>
            <w:shd w:val="clear" w:color="auto" w:fill="auto"/>
            <w:noWrap/>
            <w:vAlign w:val="center"/>
          </w:tcPr>
          <w:p w14:paraId="39083501" w14:textId="77777777" w:rsidR="00434119" w:rsidRPr="00434119" w:rsidRDefault="00434119" w:rsidP="001E0EBD">
            <w:pPr>
              <w:spacing w:before="0" w:after="0"/>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Total Households</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0AE632BF" w14:textId="77777777" w:rsidR="00434119" w:rsidRPr="0035712B" w:rsidRDefault="00434119" w:rsidP="00434119">
            <w:pPr>
              <w:spacing w:before="0" w:after="0"/>
              <w:jc w:val="center"/>
              <w:rPr>
                <w:rFonts w:ascii="Arial" w:hAnsi="Arial" w:cs="Arial"/>
                <w:b/>
                <w:color w:val="000000"/>
                <w:sz w:val="16"/>
                <w:szCs w:val="16"/>
                <w:lang w:val="en-AU" w:eastAsia="en-AU"/>
              </w:rPr>
            </w:pPr>
            <w:r w:rsidRPr="0035712B">
              <w:rPr>
                <w:rFonts w:ascii="Arial" w:hAnsi="Arial" w:cs="Arial"/>
                <w:b/>
                <w:color w:val="000000"/>
                <w:sz w:val="16"/>
                <w:szCs w:val="16"/>
                <w:lang w:val="en-AU" w:eastAsia="en-AU"/>
              </w:rPr>
              <w:t>4,447</w:t>
            </w:r>
          </w:p>
        </w:tc>
        <w:tc>
          <w:tcPr>
            <w:tcW w:w="808" w:type="dxa"/>
            <w:tcBorders>
              <w:top w:val="nil"/>
              <w:left w:val="nil"/>
              <w:bottom w:val="double" w:sz="6" w:space="0" w:color="auto"/>
              <w:right w:val="single" w:sz="4" w:space="0" w:color="BFBFBF"/>
            </w:tcBorders>
            <w:shd w:val="clear" w:color="auto" w:fill="auto"/>
            <w:noWrap/>
            <w:vAlign w:val="center"/>
          </w:tcPr>
          <w:p w14:paraId="3C357286" w14:textId="77777777" w:rsidR="00434119" w:rsidRPr="0035712B" w:rsidRDefault="00434119" w:rsidP="001E0EBD">
            <w:pPr>
              <w:spacing w:before="0" w:after="0"/>
              <w:jc w:val="center"/>
              <w:rPr>
                <w:rFonts w:ascii="Arial" w:hAnsi="Arial" w:cs="Arial"/>
                <w:b/>
                <w:bCs/>
                <w:color w:val="000000"/>
                <w:sz w:val="16"/>
                <w:szCs w:val="16"/>
                <w:lang w:val="en-AU" w:eastAsia="en-AU"/>
              </w:rPr>
            </w:pPr>
            <w:r w:rsidRPr="0035712B">
              <w:rPr>
                <w:rFonts w:ascii="Arial" w:hAnsi="Arial" w:cs="Arial"/>
                <w:b/>
                <w:bCs/>
                <w:color w:val="000000"/>
                <w:sz w:val="16"/>
                <w:szCs w:val="16"/>
                <w:lang w:val="en-AU" w:eastAsia="en-AU"/>
              </w:rPr>
              <w:t>5,533</w:t>
            </w:r>
          </w:p>
        </w:tc>
        <w:tc>
          <w:tcPr>
            <w:tcW w:w="808" w:type="dxa"/>
            <w:tcBorders>
              <w:top w:val="nil"/>
              <w:left w:val="nil"/>
              <w:bottom w:val="double" w:sz="6" w:space="0" w:color="auto"/>
              <w:right w:val="single" w:sz="4" w:space="0" w:color="BFBFBF"/>
            </w:tcBorders>
            <w:shd w:val="clear" w:color="auto" w:fill="auto"/>
            <w:noWrap/>
            <w:vAlign w:val="center"/>
          </w:tcPr>
          <w:p w14:paraId="69774DCD" w14:textId="77777777" w:rsidR="00434119" w:rsidRPr="0035712B" w:rsidRDefault="00434119" w:rsidP="001E0EBD">
            <w:pPr>
              <w:spacing w:before="0" w:after="0"/>
              <w:jc w:val="center"/>
              <w:rPr>
                <w:rFonts w:ascii="Arial" w:hAnsi="Arial" w:cs="Arial"/>
                <w:b/>
                <w:bCs/>
                <w:color w:val="000000"/>
                <w:sz w:val="16"/>
                <w:szCs w:val="16"/>
                <w:lang w:val="en-AU" w:eastAsia="en-AU"/>
              </w:rPr>
            </w:pPr>
            <w:r w:rsidRPr="0035712B">
              <w:rPr>
                <w:rFonts w:ascii="Arial" w:hAnsi="Arial" w:cs="Arial"/>
                <w:b/>
                <w:bCs/>
                <w:color w:val="000000"/>
                <w:sz w:val="16"/>
                <w:szCs w:val="16"/>
                <w:lang w:val="en-AU" w:eastAsia="en-AU"/>
              </w:rPr>
              <w:t>5,190</w:t>
            </w:r>
          </w:p>
        </w:tc>
        <w:tc>
          <w:tcPr>
            <w:tcW w:w="808" w:type="dxa"/>
            <w:tcBorders>
              <w:top w:val="nil"/>
              <w:left w:val="nil"/>
              <w:bottom w:val="double" w:sz="6" w:space="0" w:color="auto"/>
              <w:right w:val="single" w:sz="4" w:space="0" w:color="auto"/>
            </w:tcBorders>
            <w:shd w:val="clear" w:color="auto" w:fill="auto"/>
            <w:noWrap/>
            <w:vAlign w:val="center"/>
          </w:tcPr>
          <w:p w14:paraId="20F0AA7C" w14:textId="77777777" w:rsidR="00434119" w:rsidRPr="0035712B" w:rsidRDefault="00434119" w:rsidP="001E0EBD">
            <w:pPr>
              <w:spacing w:before="0" w:after="0"/>
              <w:jc w:val="center"/>
              <w:rPr>
                <w:rFonts w:ascii="Arial" w:hAnsi="Arial" w:cs="Arial"/>
                <w:b/>
                <w:bCs/>
                <w:color w:val="000000"/>
                <w:sz w:val="16"/>
                <w:szCs w:val="16"/>
                <w:lang w:val="en-AU" w:eastAsia="en-AU"/>
              </w:rPr>
            </w:pPr>
            <w:r w:rsidRPr="0035712B">
              <w:rPr>
                <w:rFonts w:ascii="Arial" w:hAnsi="Arial" w:cs="Arial"/>
                <w:b/>
                <w:bCs/>
                <w:color w:val="000000"/>
                <w:sz w:val="16"/>
                <w:szCs w:val="16"/>
                <w:lang w:val="en-AU" w:eastAsia="en-AU"/>
              </w:rPr>
              <w:t>4,529</w:t>
            </w:r>
          </w:p>
        </w:tc>
        <w:tc>
          <w:tcPr>
            <w:tcW w:w="878" w:type="dxa"/>
            <w:tcBorders>
              <w:top w:val="nil"/>
              <w:left w:val="nil"/>
              <w:bottom w:val="double" w:sz="6" w:space="0" w:color="auto"/>
              <w:right w:val="single" w:sz="4" w:space="0" w:color="BFBFBF"/>
            </w:tcBorders>
            <w:shd w:val="clear" w:color="auto" w:fill="auto"/>
            <w:noWrap/>
            <w:vAlign w:val="center"/>
          </w:tcPr>
          <w:p w14:paraId="4BC917EF" w14:textId="77777777" w:rsidR="00434119" w:rsidRPr="0035712B" w:rsidRDefault="00434119" w:rsidP="00CF34FF">
            <w:pPr>
              <w:spacing w:before="0" w:after="0"/>
              <w:jc w:val="center"/>
              <w:rPr>
                <w:rFonts w:ascii="Arial" w:hAnsi="Arial" w:cs="Arial"/>
                <w:b/>
                <w:color w:val="000000"/>
                <w:sz w:val="16"/>
                <w:szCs w:val="16"/>
                <w:lang w:val="en-AU" w:eastAsia="en-AU"/>
              </w:rPr>
            </w:pPr>
            <w:r w:rsidRPr="0035712B">
              <w:rPr>
                <w:rFonts w:ascii="Arial" w:hAnsi="Arial" w:cs="Arial"/>
                <w:b/>
                <w:color w:val="000000"/>
                <w:sz w:val="16"/>
                <w:szCs w:val="16"/>
                <w:lang w:val="en-AU" w:eastAsia="en-AU"/>
              </w:rPr>
              <w:t>-19.6%</w:t>
            </w:r>
          </w:p>
        </w:tc>
        <w:tc>
          <w:tcPr>
            <w:tcW w:w="851" w:type="dxa"/>
            <w:tcBorders>
              <w:top w:val="nil"/>
              <w:left w:val="nil"/>
              <w:bottom w:val="double" w:sz="6" w:space="0" w:color="auto"/>
              <w:right w:val="single" w:sz="4" w:space="0" w:color="BFBFBF"/>
            </w:tcBorders>
            <w:shd w:val="clear" w:color="auto" w:fill="auto"/>
            <w:noWrap/>
            <w:vAlign w:val="center"/>
          </w:tcPr>
          <w:p w14:paraId="7CA81133" w14:textId="77777777" w:rsidR="00434119" w:rsidRPr="0035712B" w:rsidRDefault="00434119" w:rsidP="001E0EBD">
            <w:pPr>
              <w:spacing w:before="0" w:after="0"/>
              <w:jc w:val="center"/>
              <w:rPr>
                <w:rFonts w:ascii="Arial" w:hAnsi="Arial" w:cs="Arial"/>
                <w:b/>
                <w:bCs/>
                <w:color w:val="000000"/>
                <w:sz w:val="16"/>
                <w:szCs w:val="16"/>
                <w:lang w:val="en-AU" w:eastAsia="en-AU"/>
              </w:rPr>
            </w:pPr>
            <w:r w:rsidRPr="0035712B">
              <w:rPr>
                <w:rFonts w:ascii="Arial" w:hAnsi="Arial" w:cs="Arial"/>
                <w:b/>
                <w:bCs/>
                <w:color w:val="000000"/>
                <w:sz w:val="16"/>
                <w:szCs w:val="16"/>
                <w:lang w:val="en-AU" w:eastAsia="en-AU"/>
              </w:rPr>
              <w:t>6.6%</w:t>
            </w:r>
          </w:p>
        </w:tc>
        <w:tc>
          <w:tcPr>
            <w:tcW w:w="776" w:type="dxa"/>
            <w:tcBorders>
              <w:top w:val="nil"/>
              <w:left w:val="nil"/>
              <w:bottom w:val="double" w:sz="6" w:space="0" w:color="auto"/>
              <w:right w:val="single" w:sz="4" w:space="0" w:color="auto"/>
            </w:tcBorders>
            <w:shd w:val="clear" w:color="auto" w:fill="auto"/>
            <w:noWrap/>
            <w:vAlign w:val="center"/>
          </w:tcPr>
          <w:p w14:paraId="56A8C883" w14:textId="77777777" w:rsidR="00434119" w:rsidRPr="0035712B" w:rsidRDefault="00434119" w:rsidP="001E0EBD">
            <w:pPr>
              <w:spacing w:before="0" w:after="0"/>
              <w:jc w:val="center"/>
              <w:rPr>
                <w:rFonts w:ascii="Arial" w:hAnsi="Arial" w:cs="Arial"/>
                <w:b/>
                <w:bCs/>
                <w:color w:val="000000"/>
                <w:sz w:val="16"/>
                <w:szCs w:val="16"/>
                <w:lang w:val="en-AU" w:eastAsia="en-AU"/>
              </w:rPr>
            </w:pPr>
            <w:r w:rsidRPr="0035712B">
              <w:rPr>
                <w:rFonts w:ascii="Arial" w:hAnsi="Arial" w:cs="Arial"/>
                <w:b/>
                <w:bCs/>
                <w:color w:val="000000"/>
                <w:sz w:val="16"/>
                <w:szCs w:val="16"/>
                <w:lang w:val="en-AU" w:eastAsia="en-AU"/>
              </w:rPr>
              <w:t>14.6%</w:t>
            </w:r>
          </w:p>
        </w:tc>
        <w:tc>
          <w:tcPr>
            <w:tcW w:w="857" w:type="dxa"/>
            <w:tcBorders>
              <w:top w:val="nil"/>
              <w:left w:val="nil"/>
              <w:bottom w:val="double" w:sz="6" w:space="0" w:color="auto"/>
              <w:right w:val="single" w:sz="4" w:space="0" w:color="BFBFBF"/>
            </w:tcBorders>
            <w:shd w:val="clear" w:color="auto" w:fill="auto"/>
            <w:noWrap/>
            <w:vAlign w:val="center"/>
          </w:tcPr>
          <w:p w14:paraId="24213484" w14:textId="77777777" w:rsidR="00434119" w:rsidRPr="0035712B" w:rsidRDefault="00434119" w:rsidP="00434119">
            <w:pPr>
              <w:spacing w:before="0" w:after="0"/>
              <w:jc w:val="center"/>
              <w:rPr>
                <w:rFonts w:ascii="Arial" w:hAnsi="Arial" w:cs="Arial"/>
                <w:b/>
                <w:color w:val="000000"/>
                <w:sz w:val="16"/>
                <w:szCs w:val="16"/>
                <w:lang w:val="en-AU" w:eastAsia="en-AU"/>
              </w:rPr>
            </w:pPr>
            <w:r w:rsidRPr="0035712B">
              <w:rPr>
                <w:rFonts w:ascii="Arial" w:hAnsi="Arial" w:cs="Arial"/>
                <w:b/>
                <w:color w:val="000000"/>
                <w:sz w:val="16"/>
                <w:szCs w:val="16"/>
                <w:lang w:val="en-AU" w:eastAsia="en-AU"/>
              </w:rPr>
              <w:t>1,342</w:t>
            </w:r>
          </w:p>
        </w:tc>
        <w:tc>
          <w:tcPr>
            <w:tcW w:w="714" w:type="dxa"/>
            <w:tcBorders>
              <w:top w:val="nil"/>
              <w:left w:val="nil"/>
              <w:bottom w:val="double" w:sz="6" w:space="0" w:color="auto"/>
              <w:right w:val="single" w:sz="4" w:space="0" w:color="BFBFBF"/>
            </w:tcBorders>
            <w:shd w:val="clear" w:color="auto" w:fill="auto"/>
            <w:noWrap/>
            <w:vAlign w:val="center"/>
          </w:tcPr>
          <w:p w14:paraId="28E86726" w14:textId="77777777" w:rsidR="00434119" w:rsidRPr="0035712B" w:rsidRDefault="00434119" w:rsidP="00434119">
            <w:pPr>
              <w:spacing w:before="0" w:after="0"/>
              <w:jc w:val="center"/>
              <w:rPr>
                <w:rFonts w:ascii="Arial" w:hAnsi="Arial" w:cs="Arial"/>
                <w:b/>
                <w:color w:val="000000"/>
                <w:sz w:val="16"/>
                <w:szCs w:val="16"/>
                <w:lang w:val="en-AU" w:eastAsia="en-AU"/>
              </w:rPr>
            </w:pPr>
            <w:r w:rsidRPr="0035712B">
              <w:rPr>
                <w:rFonts w:ascii="Arial" w:hAnsi="Arial" w:cs="Arial"/>
                <w:b/>
                <w:color w:val="000000"/>
                <w:sz w:val="16"/>
                <w:szCs w:val="16"/>
                <w:lang w:val="en-AU" w:eastAsia="en-AU"/>
              </w:rPr>
              <w:t>2,073</w:t>
            </w:r>
          </w:p>
        </w:tc>
        <w:tc>
          <w:tcPr>
            <w:tcW w:w="675" w:type="dxa"/>
            <w:tcBorders>
              <w:top w:val="nil"/>
              <w:left w:val="nil"/>
              <w:bottom w:val="double" w:sz="6" w:space="0" w:color="auto"/>
              <w:right w:val="nil"/>
            </w:tcBorders>
            <w:shd w:val="clear" w:color="auto" w:fill="auto"/>
            <w:noWrap/>
            <w:vAlign w:val="center"/>
          </w:tcPr>
          <w:p w14:paraId="76C9E34F" w14:textId="77777777" w:rsidR="00434119" w:rsidRPr="0035712B" w:rsidRDefault="00434119" w:rsidP="00434119">
            <w:pPr>
              <w:spacing w:before="0" w:after="0"/>
              <w:jc w:val="center"/>
              <w:rPr>
                <w:rFonts w:ascii="Arial" w:hAnsi="Arial" w:cs="Arial"/>
                <w:b/>
                <w:color w:val="000000"/>
                <w:sz w:val="16"/>
                <w:szCs w:val="16"/>
                <w:lang w:val="en-AU" w:eastAsia="en-AU"/>
              </w:rPr>
            </w:pPr>
            <w:r w:rsidRPr="0035712B">
              <w:rPr>
                <w:rFonts w:ascii="Arial" w:hAnsi="Arial" w:cs="Arial"/>
                <w:b/>
                <w:color w:val="000000"/>
                <w:sz w:val="16"/>
                <w:szCs w:val="16"/>
                <w:lang w:val="en-AU" w:eastAsia="en-AU"/>
              </w:rPr>
              <w:t>3,293</w:t>
            </w:r>
          </w:p>
        </w:tc>
        <w:tc>
          <w:tcPr>
            <w:tcW w:w="857" w:type="dxa"/>
            <w:tcBorders>
              <w:top w:val="nil"/>
              <w:left w:val="single" w:sz="4" w:space="0" w:color="auto"/>
              <w:bottom w:val="double" w:sz="6" w:space="0" w:color="auto"/>
              <w:right w:val="single" w:sz="4" w:space="0" w:color="BFBFBF"/>
            </w:tcBorders>
            <w:shd w:val="clear" w:color="auto" w:fill="auto"/>
            <w:noWrap/>
            <w:vAlign w:val="center"/>
          </w:tcPr>
          <w:p w14:paraId="3A224AFB" w14:textId="77777777" w:rsidR="00434119" w:rsidRPr="0035712B" w:rsidRDefault="00434119" w:rsidP="001E0EBD">
            <w:pPr>
              <w:spacing w:before="0" w:after="0"/>
              <w:jc w:val="center"/>
              <w:rPr>
                <w:rFonts w:ascii="Arial" w:hAnsi="Arial" w:cs="Arial"/>
                <w:b/>
                <w:bCs/>
                <w:color w:val="000000"/>
                <w:sz w:val="16"/>
                <w:szCs w:val="16"/>
                <w:lang w:val="en-AU" w:eastAsia="en-AU"/>
              </w:rPr>
            </w:pPr>
            <w:r w:rsidRPr="0035712B">
              <w:rPr>
                <w:rFonts w:ascii="Arial" w:hAnsi="Arial" w:cs="Arial"/>
                <w:b/>
                <w:bCs/>
                <w:color w:val="000000"/>
                <w:sz w:val="16"/>
                <w:szCs w:val="16"/>
                <w:lang w:val="en-AU" w:eastAsia="en-AU"/>
              </w:rPr>
              <w:t>1,932</w:t>
            </w:r>
          </w:p>
        </w:tc>
        <w:tc>
          <w:tcPr>
            <w:tcW w:w="808" w:type="dxa"/>
            <w:tcBorders>
              <w:top w:val="nil"/>
              <w:left w:val="nil"/>
              <w:bottom w:val="double" w:sz="6" w:space="0" w:color="auto"/>
              <w:right w:val="single" w:sz="4" w:space="0" w:color="BFBFBF"/>
            </w:tcBorders>
            <w:shd w:val="clear" w:color="auto" w:fill="auto"/>
            <w:noWrap/>
            <w:vAlign w:val="center"/>
          </w:tcPr>
          <w:p w14:paraId="50A34DA2" w14:textId="77777777" w:rsidR="00434119" w:rsidRPr="0035712B" w:rsidRDefault="00434119" w:rsidP="001E0EBD">
            <w:pPr>
              <w:spacing w:before="0" w:after="0"/>
              <w:jc w:val="center"/>
              <w:rPr>
                <w:rFonts w:ascii="Arial" w:hAnsi="Arial" w:cs="Arial"/>
                <w:b/>
                <w:bCs/>
                <w:color w:val="000000"/>
                <w:sz w:val="16"/>
                <w:szCs w:val="16"/>
                <w:lang w:val="en-AU" w:eastAsia="en-AU"/>
              </w:rPr>
            </w:pPr>
            <w:r w:rsidRPr="0035712B">
              <w:rPr>
                <w:rFonts w:ascii="Arial" w:hAnsi="Arial" w:cs="Arial"/>
                <w:b/>
                <w:bCs/>
                <w:color w:val="000000"/>
                <w:sz w:val="16"/>
                <w:szCs w:val="16"/>
                <w:lang w:val="en-AU" w:eastAsia="en-AU"/>
              </w:rPr>
              <w:t>2,898</w:t>
            </w:r>
          </w:p>
        </w:tc>
        <w:tc>
          <w:tcPr>
            <w:tcW w:w="808" w:type="dxa"/>
            <w:tcBorders>
              <w:top w:val="nil"/>
              <w:left w:val="nil"/>
              <w:bottom w:val="double" w:sz="6" w:space="0" w:color="auto"/>
              <w:right w:val="single" w:sz="4" w:space="0" w:color="auto"/>
            </w:tcBorders>
            <w:shd w:val="clear" w:color="auto" w:fill="auto"/>
            <w:noWrap/>
            <w:vAlign w:val="center"/>
          </w:tcPr>
          <w:p w14:paraId="23E62083" w14:textId="77777777" w:rsidR="00434119" w:rsidRPr="0035712B" w:rsidRDefault="00434119" w:rsidP="001E0EBD">
            <w:pPr>
              <w:spacing w:before="0" w:after="0"/>
              <w:jc w:val="center"/>
              <w:rPr>
                <w:rFonts w:ascii="Arial" w:hAnsi="Arial" w:cs="Arial"/>
                <w:b/>
                <w:bCs/>
                <w:color w:val="000000"/>
                <w:sz w:val="16"/>
                <w:szCs w:val="16"/>
                <w:lang w:val="en-AU" w:eastAsia="en-AU"/>
              </w:rPr>
            </w:pPr>
            <w:r w:rsidRPr="0035712B">
              <w:rPr>
                <w:rFonts w:ascii="Arial" w:hAnsi="Arial" w:cs="Arial"/>
                <w:b/>
                <w:bCs/>
                <w:color w:val="000000"/>
                <w:sz w:val="16"/>
                <w:szCs w:val="16"/>
                <w:lang w:val="en-AU" w:eastAsia="en-AU"/>
              </w:rPr>
              <w:t>4,907</w:t>
            </w:r>
          </w:p>
        </w:tc>
        <w:tc>
          <w:tcPr>
            <w:tcW w:w="857" w:type="dxa"/>
            <w:tcBorders>
              <w:top w:val="nil"/>
              <w:left w:val="nil"/>
              <w:bottom w:val="double" w:sz="6" w:space="0" w:color="auto"/>
              <w:right w:val="single" w:sz="4" w:space="0" w:color="BFBFBF"/>
            </w:tcBorders>
            <w:shd w:val="clear" w:color="auto" w:fill="auto"/>
            <w:noWrap/>
            <w:vAlign w:val="center"/>
          </w:tcPr>
          <w:p w14:paraId="4E7A0134" w14:textId="77777777" w:rsidR="00434119" w:rsidRPr="0035712B" w:rsidRDefault="00434119" w:rsidP="001E0EBD">
            <w:pPr>
              <w:spacing w:before="0" w:after="0"/>
              <w:jc w:val="center"/>
              <w:rPr>
                <w:rFonts w:ascii="Arial" w:hAnsi="Arial" w:cs="Arial"/>
                <w:b/>
                <w:bCs/>
                <w:color w:val="000000"/>
                <w:sz w:val="16"/>
                <w:szCs w:val="16"/>
                <w:lang w:val="en-AU" w:eastAsia="en-AU"/>
              </w:rPr>
            </w:pPr>
            <w:r w:rsidRPr="0035712B">
              <w:rPr>
                <w:rFonts w:ascii="Arial" w:hAnsi="Arial" w:cs="Arial"/>
                <w:b/>
                <w:bCs/>
                <w:color w:val="000000"/>
                <w:sz w:val="16"/>
                <w:szCs w:val="16"/>
                <w:lang w:val="en-AU" w:eastAsia="en-AU"/>
              </w:rPr>
              <w:t>1,804</w:t>
            </w:r>
          </w:p>
        </w:tc>
        <w:tc>
          <w:tcPr>
            <w:tcW w:w="808" w:type="dxa"/>
            <w:tcBorders>
              <w:top w:val="nil"/>
              <w:left w:val="nil"/>
              <w:bottom w:val="double" w:sz="6" w:space="0" w:color="auto"/>
              <w:right w:val="single" w:sz="4" w:space="0" w:color="BFBFBF"/>
            </w:tcBorders>
            <w:shd w:val="clear" w:color="auto" w:fill="auto"/>
            <w:noWrap/>
            <w:vAlign w:val="center"/>
          </w:tcPr>
          <w:p w14:paraId="398D09E6" w14:textId="77777777" w:rsidR="00434119" w:rsidRPr="00434119" w:rsidRDefault="00434119"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2,501</w:t>
            </w:r>
          </w:p>
        </w:tc>
        <w:tc>
          <w:tcPr>
            <w:tcW w:w="808" w:type="dxa"/>
            <w:tcBorders>
              <w:top w:val="nil"/>
              <w:left w:val="nil"/>
              <w:bottom w:val="double" w:sz="6" w:space="0" w:color="auto"/>
              <w:right w:val="single" w:sz="4" w:space="0" w:color="auto"/>
            </w:tcBorders>
            <w:shd w:val="clear" w:color="auto" w:fill="auto"/>
            <w:noWrap/>
            <w:vAlign w:val="center"/>
          </w:tcPr>
          <w:p w14:paraId="72C18682" w14:textId="77777777" w:rsidR="00434119" w:rsidRPr="00434119" w:rsidRDefault="00434119"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4,456</w:t>
            </w:r>
          </w:p>
        </w:tc>
        <w:tc>
          <w:tcPr>
            <w:tcW w:w="808" w:type="dxa"/>
            <w:tcBorders>
              <w:top w:val="nil"/>
              <w:left w:val="nil"/>
              <w:bottom w:val="double" w:sz="6" w:space="0" w:color="auto"/>
              <w:right w:val="double" w:sz="6" w:space="0" w:color="auto"/>
            </w:tcBorders>
            <w:shd w:val="clear" w:color="auto" w:fill="auto"/>
            <w:noWrap/>
            <w:vAlign w:val="center"/>
          </w:tcPr>
          <w:p w14:paraId="05520DC9" w14:textId="77777777" w:rsidR="00434119" w:rsidRPr="00434119" w:rsidRDefault="00434119" w:rsidP="001E0EBD">
            <w:pPr>
              <w:spacing w:before="0" w:after="0"/>
              <w:jc w:val="center"/>
              <w:rPr>
                <w:rFonts w:ascii="Arial" w:hAnsi="Arial" w:cs="Arial"/>
                <w:b/>
                <w:bCs/>
                <w:color w:val="000000"/>
                <w:sz w:val="16"/>
                <w:szCs w:val="16"/>
                <w:lang w:val="en-AU" w:eastAsia="en-AU"/>
              </w:rPr>
            </w:pPr>
            <w:r w:rsidRPr="00434119">
              <w:rPr>
                <w:rFonts w:ascii="Arial" w:hAnsi="Arial" w:cs="Arial"/>
                <w:b/>
                <w:bCs/>
                <w:color w:val="000000"/>
                <w:sz w:val="16"/>
                <w:szCs w:val="16"/>
                <w:lang w:val="en-AU" w:eastAsia="en-AU"/>
              </w:rPr>
              <w:t>3,623</w:t>
            </w:r>
          </w:p>
        </w:tc>
      </w:tr>
    </w:tbl>
    <w:p w14:paraId="47866854" w14:textId="77777777" w:rsidR="00AA2965" w:rsidRPr="00434119" w:rsidRDefault="00AA2965" w:rsidP="002D2F41">
      <w:pPr>
        <w:pStyle w:val="Para"/>
        <w:spacing w:after="20" w:line="240" w:lineRule="auto"/>
        <w:rPr>
          <w:b/>
          <w:u w:val="single"/>
          <w:lang w:val="en-AU"/>
        </w:rPr>
      </w:pPr>
    </w:p>
    <w:p w14:paraId="0A5D33B6" w14:textId="77777777" w:rsidR="00325B9D" w:rsidRPr="00434119" w:rsidRDefault="00325B9D" w:rsidP="009748AD">
      <w:pPr>
        <w:pStyle w:val="Para"/>
        <w:tabs>
          <w:tab w:val="left" w:pos="284"/>
        </w:tabs>
        <w:spacing w:line="200" w:lineRule="exact"/>
        <w:rPr>
          <w:sz w:val="20"/>
          <w:lang w:val="en-AU"/>
        </w:rPr>
      </w:pPr>
      <w:r w:rsidRPr="00434119">
        <w:rPr>
          <w:sz w:val="20"/>
          <w:lang w:val="en-AU"/>
        </w:rPr>
        <w:t>Total consumption includes general, peak, off peak, shoulder and/or controlled load consumption</w:t>
      </w:r>
    </w:p>
    <w:p w14:paraId="349594C0" w14:textId="77777777" w:rsidR="00EA09AE" w:rsidRPr="003835AE" w:rsidRDefault="00EA09AE" w:rsidP="009748AD">
      <w:pPr>
        <w:pStyle w:val="Para"/>
        <w:tabs>
          <w:tab w:val="left" w:pos="284"/>
        </w:tabs>
        <w:spacing w:line="200" w:lineRule="exact"/>
        <w:rPr>
          <w:sz w:val="20"/>
          <w:highlight w:val="yellow"/>
          <w:lang w:val="en-AU"/>
        </w:rPr>
      </w:pPr>
    </w:p>
    <w:p w14:paraId="6978561A" w14:textId="3C905A29" w:rsidR="00D109F7" w:rsidRPr="0035712B" w:rsidRDefault="00D109F7" w:rsidP="009748AD">
      <w:pPr>
        <w:pStyle w:val="Para"/>
        <w:tabs>
          <w:tab w:val="left" w:pos="284"/>
        </w:tabs>
        <w:spacing w:line="200" w:lineRule="exact"/>
        <w:rPr>
          <w:sz w:val="18"/>
          <w:szCs w:val="18"/>
          <w:lang w:val="en-AU"/>
        </w:rPr>
      </w:pPr>
      <w:r w:rsidRPr="0035712B">
        <w:rPr>
          <w:sz w:val="20"/>
          <w:lang w:val="en-AU"/>
        </w:rPr>
        <w:t xml:space="preserve">Average summer month general consumption (i.e. December-April) is </w:t>
      </w:r>
      <w:r w:rsidR="00AA2965" w:rsidRPr="0035712B">
        <w:rPr>
          <w:sz w:val="20"/>
          <w:lang w:val="en-AU"/>
        </w:rPr>
        <w:t>26</w:t>
      </w:r>
      <w:r w:rsidR="0035712B" w:rsidRPr="0035712B">
        <w:rPr>
          <w:sz w:val="20"/>
          <w:lang w:val="en-AU"/>
        </w:rPr>
        <w:t>8</w:t>
      </w:r>
      <w:r w:rsidR="00AA2965" w:rsidRPr="0035712B">
        <w:rPr>
          <w:sz w:val="20"/>
          <w:lang w:val="en-AU"/>
        </w:rPr>
        <w:t xml:space="preserve"> kWh (</w:t>
      </w:r>
      <w:r w:rsidRPr="0035712B">
        <w:rPr>
          <w:sz w:val="20"/>
          <w:lang w:val="en-AU"/>
        </w:rPr>
        <w:t>386 kW</w:t>
      </w:r>
      <w:r w:rsidR="00CD1CEA" w:rsidRPr="0035712B">
        <w:rPr>
          <w:sz w:val="20"/>
          <w:lang w:val="en-AU"/>
        </w:rPr>
        <w:t>h</w:t>
      </w:r>
      <w:r w:rsidR="00AA2965" w:rsidRPr="0035712B">
        <w:rPr>
          <w:sz w:val="20"/>
          <w:lang w:val="en-AU"/>
        </w:rPr>
        <w:t xml:space="preserve"> – 2007; </w:t>
      </w:r>
      <w:r w:rsidRPr="0035712B">
        <w:rPr>
          <w:sz w:val="20"/>
          <w:lang w:val="en-AU"/>
        </w:rPr>
        <w:t>361kW</w:t>
      </w:r>
      <w:r w:rsidR="00CD1CEA" w:rsidRPr="0035712B">
        <w:rPr>
          <w:sz w:val="20"/>
          <w:lang w:val="en-AU"/>
        </w:rPr>
        <w:t>h</w:t>
      </w:r>
      <w:r w:rsidRPr="0035712B">
        <w:rPr>
          <w:sz w:val="20"/>
          <w:lang w:val="en-AU"/>
        </w:rPr>
        <w:t xml:space="preserve"> – 2001).  </w:t>
      </w:r>
      <w:r w:rsidR="00390355" w:rsidRPr="0035712B">
        <w:rPr>
          <w:sz w:val="20"/>
          <w:lang w:val="en-AU"/>
        </w:rPr>
        <w:t>Average winter month general consumption (i.e. May-November) is 296 kWh (414 kWh – 2007; 367 kWh – 2001).</w:t>
      </w:r>
      <w:r w:rsidR="00390355" w:rsidRPr="0035712B">
        <w:rPr>
          <w:sz w:val="18"/>
          <w:szCs w:val="18"/>
          <w:lang w:val="en-AU"/>
        </w:rPr>
        <w:t xml:space="preserve">  </w:t>
      </w:r>
    </w:p>
    <w:p w14:paraId="488C00CE" w14:textId="03AAA02E" w:rsidR="00D109F7" w:rsidRPr="00302718" w:rsidRDefault="00D109F7" w:rsidP="00CF1938">
      <w:pPr>
        <w:pStyle w:val="Para"/>
        <w:spacing w:after="120" w:line="240" w:lineRule="auto"/>
        <w:jc w:val="center"/>
        <w:rPr>
          <w:b/>
          <w:u w:val="single"/>
          <w:lang w:val="en-AU"/>
        </w:rPr>
      </w:pPr>
      <w:r w:rsidRPr="003835AE">
        <w:rPr>
          <w:b/>
          <w:highlight w:val="yellow"/>
          <w:lang w:val="en-AU"/>
        </w:rPr>
        <w:br w:type="page"/>
      </w:r>
      <w:r w:rsidRPr="00302718">
        <w:rPr>
          <w:b/>
          <w:lang w:val="en-AU"/>
        </w:rPr>
        <w:lastRenderedPageBreak/>
        <w:t>Table 4.2.1.</w:t>
      </w:r>
      <w:r w:rsidR="004C1370">
        <w:rPr>
          <w:b/>
          <w:lang w:val="en-AU"/>
        </w:rPr>
        <w:t>4</w:t>
      </w:r>
      <w:r w:rsidRPr="00302718">
        <w:rPr>
          <w:b/>
          <w:lang w:val="en-AU"/>
        </w:rPr>
        <w:t xml:space="preserve">: </w:t>
      </w:r>
      <w:r w:rsidRPr="00302718">
        <w:rPr>
          <w:b/>
          <w:u w:val="single"/>
          <w:lang w:val="en-AU"/>
        </w:rPr>
        <w:t>Average Annual Electricity Consumption (Kilowatt</w:t>
      </w:r>
      <w:r w:rsidR="001A2A49" w:rsidRPr="00302718">
        <w:rPr>
          <w:b/>
          <w:u w:val="single"/>
          <w:lang w:val="en-AU"/>
        </w:rPr>
        <w:t xml:space="preserve"> Hours</w:t>
      </w:r>
      <w:r w:rsidRPr="00302718">
        <w:rPr>
          <w:b/>
          <w:u w:val="single"/>
          <w:lang w:val="en-AU"/>
        </w:rPr>
        <w:t>)</w:t>
      </w:r>
      <w:r w:rsidR="008C280C" w:rsidRPr="00302718">
        <w:rPr>
          <w:b/>
          <w:u w:val="single"/>
          <w:lang w:val="en-AU"/>
        </w:rPr>
        <w:t xml:space="preserve"> – Part 2</w:t>
      </w:r>
    </w:p>
    <w:tbl>
      <w:tblPr>
        <w:tblW w:w="12736" w:type="dxa"/>
        <w:jc w:val="center"/>
        <w:tblLook w:val="04A0" w:firstRow="1" w:lastRow="0" w:firstColumn="1" w:lastColumn="0" w:noHBand="0" w:noVBand="1"/>
      </w:tblPr>
      <w:tblGrid>
        <w:gridCol w:w="2717"/>
        <w:gridCol w:w="857"/>
        <w:gridCol w:w="808"/>
        <w:gridCol w:w="808"/>
        <w:gridCol w:w="857"/>
        <w:gridCol w:w="714"/>
        <w:gridCol w:w="675"/>
        <w:gridCol w:w="857"/>
        <w:gridCol w:w="714"/>
        <w:gridCol w:w="675"/>
        <w:gridCol w:w="857"/>
        <w:gridCol w:w="714"/>
        <w:gridCol w:w="675"/>
        <w:gridCol w:w="808"/>
      </w:tblGrid>
      <w:tr w:rsidR="009B2162" w:rsidRPr="00302718" w14:paraId="505B5630" w14:textId="77777777" w:rsidTr="0035712B">
        <w:trPr>
          <w:trHeight w:val="225"/>
          <w:tblHeader/>
          <w:jc w:val="center"/>
        </w:trPr>
        <w:tc>
          <w:tcPr>
            <w:tcW w:w="2717" w:type="dxa"/>
            <w:vMerge w:val="restart"/>
            <w:tcBorders>
              <w:top w:val="double" w:sz="6" w:space="0" w:color="auto"/>
              <w:left w:val="double" w:sz="6" w:space="0" w:color="auto"/>
              <w:bottom w:val="single" w:sz="4" w:space="0" w:color="BFBFBF"/>
              <w:right w:val="nil"/>
            </w:tcBorders>
            <w:shd w:val="clear" w:color="auto" w:fill="auto"/>
            <w:noWrap/>
            <w:vAlign w:val="center"/>
          </w:tcPr>
          <w:p w14:paraId="4B21C10D" w14:textId="77777777" w:rsidR="009B2162" w:rsidRPr="00302718" w:rsidRDefault="009B2162" w:rsidP="009B2162">
            <w:pPr>
              <w:spacing w:before="0" w:after="0"/>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Sub-group</w:t>
            </w:r>
          </w:p>
        </w:tc>
        <w:tc>
          <w:tcPr>
            <w:tcW w:w="2473" w:type="dxa"/>
            <w:gridSpan w:val="3"/>
            <w:tcBorders>
              <w:top w:val="double" w:sz="6" w:space="0" w:color="auto"/>
              <w:left w:val="single" w:sz="4" w:space="0" w:color="auto"/>
              <w:bottom w:val="single" w:sz="4" w:space="0" w:color="BFBFBF"/>
              <w:right w:val="single" w:sz="4" w:space="0" w:color="000000"/>
            </w:tcBorders>
            <w:shd w:val="clear" w:color="auto" w:fill="auto"/>
            <w:vAlign w:val="center"/>
          </w:tcPr>
          <w:p w14:paraId="68F7EF8E"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Peak Consumption (kWh)</w:t>
            </w:r>
          </w:p>
        </w:tc>
        <w:tc>
          <w:tcPr>
            <w:tcW w:w="7546" w:type="dxa"/>
            <w:gridSpan w:val="10"/>
            <w:tcBorders>
              <w:top w:val="double" w:sz="6" w:space="0" w:color="auto"/>
              <w:left w:val="nil"/>
              <w:bottom w:val="single" w:sz="4" w:space="0" w:color="BFBFBF"/>
              <w:right w:val="double" w:sz="6" w:space="0" w:color="000000"/>
            </w:tcBorders>
            <w:shd w:val="clear" w:color="auto" w:fill="auto"/>
            <w:noWrap/>
            <w:vAlign w:val="center"/>
          </w:tcPr>
          <w:p w14:paraId="0AAE00A4"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Off-Peak Consumption (kWh)</w:t>
            </w:r>
          </w:p>
        </w:tc>
      </w:tr>
      <w:tr w:rsidR="009B2162" w:rsidRPr="00302718" w14:paraId="1BB8C606" w14:textId="77777777" w:rsidTr="0035712B">
        <w:trPr>
          <w:trHeight w:val="225"/>
          <w:tblHeader/>
          <w:jc w:val="center"/>
        </w:trPr>
        <w:tc>
          <w:tcPr>
            <w:tcW w:w="2717" w:type="dxa"/>
            <w:vMerge/>
            <w:tcBorders>
              <w:top w:val="double" w:sz="6" w:space="0" w:color="auto"/>
              <w:left w:val="double" w:sz="6" w:space="0" w:color="auto"/>
              <w:bottom w:val="single" w:sz="4" w:space="0" w:color="BFBFBF"/>
              <w:right w:val="nil"/>
            </w:tcBorders>
            <w:vAlign w:val="center"/>
          </w:tcPr>
          <w:p w14:paraId="5B065BA2" w14:textId="77777777" w:rsidR="009B2162" w:rsidRPr="00302718" w:rsidRDefault="009B2162" w:rsidP="009B2162">
            <w:pPr>
              <w:spacing w:before="0" w:after="0"/>
              <w:rPr>
                <w:rFonts w:ascii="Arial" w:hAnsi="Arial" w:cs="Arial"/>
                <w:b/>
                <w:bCs/>
                <w:color w:val="000000"/>
                <w:sz w:val="16"/>
                <w:szCs w:val="16"/>
                <w:lang w:val="en-AU" w:eastAsia="en-AU"/>
              </w:rPr>
            </w:pPr>
          </w:p>
        </w:tc>
        <w:tc>
          <w:tcPr>
            <w:tcW w:w="2473" w:type="dxa"/>
            <w:gridSpan w:val="3"/>
            <w:tcBorders>
              <w:top w:val="single" w:sz="4" w:space="0" w:color="BFBFBF"/>
              <w:left w:val="single" w:sz="4" w:space="0" w:color="auto"/>
              <w:bottom w:val="single" w:sz="4" w:space="0" w:color="BFBFBF"/>
              <w:right w:val="single" w:sz="4" w:space="0" w:color="000000"/>
            </w:tcBorders>
            <w:shd w:val="clear" w:color="auto" w:fill="auto"/>
            <w:noWrap/>
            <w:vAlign w:val="center"/>
          </w:tcPr>
          <w:p w14:paraId="1DF63AC8"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2014</w:t>
            </w:r>
          </w:p>
        </w:tc>
        <w:tc>
          <w:tcPr>
            <w:tcW w:w="2246" w:type="dxa"/>
            <w:gridSpan w:val="3"/>
            <w:tcBorders>
              <w:top w:val="single" w:sz="4" w:space="0" w:color="BFBFBF"/>
              <w:left w:val="nil"/>
              <w:bottom w:val="single" w:sz="4" w:space="0" w:color="BFBFBF"/>
              <w:right w:val="nil"/>
            </w:tcBorders>
            <w:shd w:val="clear" w:color="auto" w:fill="auto"/>
            <w:noWrap/>
            <w:vAlign w:val="center"/>
          </w:tcPr>
          <w:p w14:paraId="0A39D7D6"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2014</w:t>
            </w:r>
          </w:p>
        </w:tc>
        <w:tc>
          <w:tcPr>
            <w:tcW w:w="2246" w:type="dxa"/>
            <w:gridSpan w:val="3"/>
            <w:tcBorders>
              <w:top w:val="single" w:sz="4" w:space="0" w:color="BFBFBF"/>
              <w:left w:val="single" w:sz="4" w:space="0" w:color="auto"/>
              <w:bottom w:val="single" w:sz="4" w:space="0" w:color="BFBFBF"/>
              <w:right w:val="single" w:sz="4" w:space="0" w:color="000000"/>
            </w:tcBorders>
            <w:shd w:val="clear" w:color="auto" w:fill="auto"/>
            <w:noWrap/>
            <w:vAlign w:val="center"/>
          </w:tcPr>
          <w:p w14:paraId="6819E3AA"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2007</w:t>
            </w:r>
          </w:p>
        </w:tc>
        <w:tc>
          <w:tcPr>
            <w:tcW w:w="2246" w:type="dxa"/>
            <w:gridSpan w:val="3"/>
            <w:tcBorders>
              <w:top w:val="single" w:sz="4" w:space="0" w:color="BFBFBF"/>
              <w:left w:val="nil"/>
              <w:bottom w:val="single" w:sz="4" w:space="0" w:color="BFBFBF"/>
              <w:right w:val="nil"/>
            </w:tcBorders>
            <w:shd w:val="clear" w:color="auto" w:fill="auto"/>
            <w:noWrap/>
            <w:vAlign w:val="center"/>
          </w:tcPr>
          <w:p w14:paraId="443FD011"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2001</w:t>
            </w:r>
          </w:p>
        </w:tc>
        <w:tc>
          <w:tcPr>
            <w:tcW w:w="808" w:type="dxa"/>
            <w:vMerge w:val="restart"/>
            <w:tcBorders>
              <w:top w:val="nil"/>
              <w:left w:val="single" w:sz="4" w:space="0" w:color="auto"/>
              <w:bottom w:val="single" w:sz="4" w:space="0" w:color="BFBFBF"/>
              <w:right w:val="double" w:sz="6" w:space="0" w:color="auto"/>
            </w:tcBorders>
            <w:shd w:val="clear" w:color="auto" w:fill="auto"/>
            <w:noWrap/>
          </w:tcPr>
          <w:p w14:paraId="5F1DF7D0"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1996</w:t>
            </w:r>
          </w:p>
        </w:tc>
      </w:tr>
      <w:tr w:rsidR="009B2162" w:rsidRPr="00302718" w14:paraId="2653CD01" w14:textId="77777777" w:rsidTr="0035712B">
        <w:trPr>
          <w:trHeight w:val="225"/>
          <w:tblHeader/>
          <w:jc w:val="center"/>
        </w:trPr>
        <w:tc>
          <w:tcPr>
            <w:tcW w:w="2717" w:type="dxa"/>
            <w:vMerge/>
            <w:tcBorders>
              <w:top w:val="double" w:sz="6" w:space="0" w:color="auto"/>
              <w:left w:val="double" w:sz="6" w:space="0" w:color="auto"/>
              <w:bottom w:val="single" w:sz="4" w:space="0" w:color="BFBFBF"/>
              <w:right w:val="nil"/>
            </w:tcBorders>
            <w:vAlign w:val="center"/>
          </w:tcPr>
          <w:p w14:paraId="1A919765" w14:textId="77777777" w:rsidR="009B2162" w:rsidRPr="00302718" w:rsidRDefault="009B2162" w:rsidP="009B2162">
            <w:pPr>
              <w:spacing w:before="0" w:after="0"/>
              <w:rPr>
                <w:rFonts w:ascii="Arial" w:hAnsi="Arial" w:cs="Arial"/>
                <w:b/>
                <w:bCs/>
                <w:color w:val="000000"/>
                <w:sz w:val="16"/>
                <w:szCs w:val="16"/>
                <w:lang w:val="en-AU" w:eastAsia="en-AU"/>
              </w:rPr>
            </w:pP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E69AE8B"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 xml:space="preserve">Summer </w:t>
            </w:r>
          </w:p>
        </w:tc>
        <w:tc>
          <w:tcPr>
            <w:tcW w:w="808" w:type="dxa"/>
            <w:tcBorders>
              <w:top w:val="nil"/>
              <w:left w:val="nil"/>
              <w:bottom w:val="single" w:sz="4" w:space="0" w:color="BFBFBF"/>
              <w:right w:val="single" w:sz="4" w:space="0" w:color="BFBFBF"/>
            </w:tcBorders>
            <w:shd w:val="clear" w:color="auto" w:fill="auto"/>
            <w:noWrap/>
            <w:vAlign w:val="center"/>
          </w:tcPr>
          <w:p w14:paraId="1759F4D2"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Winter</w:t>
            </w:r>
          </w:p>
        </w:tc>
        <w:tc>
          <w:tcPr>
            <w:tcW w:w="808" w:type="dxa"/>
            <w:tcBorders>
              <w:top w:val="nil"/>
              <w:left w:val="nil"/>
              <w:bottom w:val="single" w:sz="4" w:space="0" w:color="BFBFBF"/>
              <w:right w:val="single" w:sz="4" w:space="0" w:color="auto"/>
            </w:tcBorders>
            <w:shd w:val="clear" w:color="auto" w:fill="auto"/>
            <w:noWrap/>
            <w:vAlign w:val="center"/>
          </w:tcPr>
          <w:p w14:paraId="7111EC76"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Total</w:t>
            </w:r>
          </w:p>
        </w:tc>
        <w:tc>
          <w:tcPr>
            <w:tcW w:w="857" w:type="dxa"/>
            <w:tcBorders>
              <w:top w:val="nil"/>
              <w:left w:val="nil"/>
              <w:bottom w:val="single" w:sz="4" w:space="0" w:color="BFBFBF"/>
              <w:right w:val="single" w:sz="4" w:space="0" w:color="BFBFBF"/>
            </w:tcBorders>
            <w:shd w:val="clear" w:color="auto" w:fill="auto"/>
            <w:noWrap/>
            <w:vAlign w:val="center"/>
          </w:tcPr>
          <w:p w14:paraId="57A95258"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 xml:space="preserve">Summer </w:t>
            </w:r>
          </w:p>
        </w:tc>
        <w:tc>
          <w:tcPr>
            <w:tcW w:w="714" w:type="dxa"/>
            <w:tcBorders>
              <w:top w:val="nil"/>
              <w:left w:val="nil"/>
              <w:bottom w:val="single" w:sz="4" w:space="0" w:color="BFBFBF"/>
              <w:right w:val="single" w:sz="4" w:space="0" w:color="BFBFBF"/>
            </w:tcBorders>
            <w:shd w:val="clear" w:color="auto" w:fill="auto"/>
            <w:noWrap/>
            <w:vAlign w:val="center"/>
          </w:tcPr>
          <w:p w14:paraId="15C8CDF7"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Winter</w:t>
            </w:r>
          </w:p>
        </w:tc>
        <w:tc>
          <w:tcPr>
            <w:tcW w:w="675" w:type="dxa"/>
            <w:tcBorders>
              <w:top w:val="nil"/>
              <w:left w:val="nil"/>
              <w:bottom w:val="single" w:sz="4" w:space="0" w:color="BFBFBF"/>
              <w:right w:val="nil"/>
            </w:tcBorders>
            <w:shd w:val="clear" w:color="auto" w:fill="auto"/>
            <w:noWrap/>
            <w:vAlign w:val="center"/>
          </w:tcPr>
          <w:p w14:paraId="539247F5"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Total</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DDF69EE"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 xml:space="preserve">Summer </w:t>
            </w:r>
          </w:p>
        </w:tc>
        <w:tc>
          <w:tcPr>
            <w:tcW w:w="714" w:type="dxa"/>
            <w:tcBorders>
              <w:top w:val="nil"/>
              <w:left w:val="nil"/>
              <w:bottom w:val="single" w:sz="4" w:space="0" w:color="BFBFBF"/>
              <w:right w:val="single" w:sz="4" w:space="0" w:color="BFBFBF"/>
            </w:tcBorders>
            <w:shd w:val="clear" w:color="auto" w:fill="auto"/>
            <w:noWrap/>
            <w:vAlign w:val="center"/>
          </w:tcPr>
          <w:p w14:paraId="6EEFA6D3"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Winter</w:t>
            </w:r>
          </w:p>
        </w:tc>
        <w:tc>
          <w:tcPr>
            <w:tcW w:w="675" w:type="dxa"/>
            <w:tcBorders>
              <w:top w:val="nil"/>
              <w:left w:val="nil"/>
              <w:bottom w:val="single" w:sz="4" w:space="0" w:color="BFBFBF"/>
              <w:right w:val="single" w:sz="4" w:space="0" w:color="auto"/>
            </w:tcBorders>
            <w:shd w:val="clear" w:color="auto" w:fill="auto"/>
            <w:noWrap/>
            <w:vAlign w:val="center"/>
          </w:tcPr>
          <w:p w14:paraId="7ADFE4E9"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Total</w:t>
            </w:r>
          </w:p>
        </w:tc>
        <w:tc>
          <w:tcPr>
            <w:tcW w:w="857" w:type="dxa"/>
            <w:tcBorders>
              <w:top w:val="nil"/>
              <w:left w:val="nil"/>
              <w:bottom w:val="single" w:sz="4" w:space="0" w:color="BFBFBF"/>
              <w:right w:val="single" w:sz="4" w:space="0" w:color="BFBFBF"/>
            </w:tcBorders>
            <w:shd w:val="clear" w:color="auto" w:fill="auto"/>
            <w:noWrap/>
            <w:vAlign w:val="center"/>
          </w:tcPr>
          <w:p w14:paraId="7A5DAD03"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 xml:space="preserve">Summer </w:t>
            </w:r>
          </w:p>
        </w:tc>
        <w:tc>
          <w:tcPr>
            <w:tcW w:w="714" w:type="dxa"/>
            <w:tcBorders>
              <w:top w:val="nil"/>
              <w:left w:val="nil"/>
              <w:bottom w:val="single" w:sz="4" w:space="0" w:color="BFBFBF"/>
              <w:right w:val="single" w:sz="4" w:space="0" w:color="BFBFBF"/>
            </w:tcBorders>
            <w:shd w:val="clear" w:color="auto" w:fill="auto"/>
            <w:noWrap/>
            <w:vAlign w:val="center"/>
          </w:tcPr>
          <w:p w14:paraId="76C33B5B"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Winter</w:t>
            </w:r>
          </w:p>
        </w:tc>
        <w:tc>
          <w:tcPr>
            <w:tcW w:w="675" w:type="dxa"/>
            <w:tcBorders>
              <w:top w:val="nil"/>
              <w:left w:val="nil"/>
              <w:bottom w:val="single" w:sz="4" w:space="0" w:color="BFBFBF"/>
              <w:right w:val="nil"/>
            </w:tcBorders>
            <w:shd w:val="clear" w:color="auto" w:fill="auto"/>
            <w:noWrap/>
            <w:vAlign w:val="center"/>
          </w:tcPr>
          <w:p w14:paraId="3AC90839"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Total</w:t>
            </w:r>
          </w:p>
        </w:tc>
        <w:tc>
          <w:tcPr>
            <w:tcW w:w="808" w:type="dxa"/>
            <w:vMerge/>
            <w:tcBorders>
              <w:top w:val="nil"/>
              <w:left w:val="single" w:sz="4" w:space="0" w:color="auto"/>
              <w:bottom w:val="single" w:sz="4" w:space="0" w:color="BFBFBF"/>
              <w:right w:val="double" w:sz="6" w:space="0" w:color="auto"/>
            </w:tcBorders>
            <w:vAlign w:val="center"/>
          </w:tcPr>
          <w:p w14:paraId="4D4D376A" w14:textId="77777777" w:rsidR="009B2162" w:rsidRPr="00302718" w:rsidRDefault="009B2162" w:rsidP="009B2162">
            <w:pPr>
              <w:spacing w:before="0" w:after="0"/>
              <w:rPr>
                <w:rFonts w:ascii="Arial" w:hAnsi="Arial" w:cs="Arial"/>
                <w:b/>
                <w:bCs/>
                <w:color w:val="000000"/>
                <w:sz w:val="16"/>
                <w:szCs w:val="16"/>
                <w:lang w:val="en-AU" w:eastAsia="en-AU"/>
              </w:rPr>
            </w:pPr>
          </w:p>
        </w:tc>
      </w:tr>
      <w:tr w:rsidR="009B2162" w:rsidRPr="00302718" w14:paraId="43A1D8F1" w14:textId="77777777" w:rsidTr="0035712B">
        <w:trPr>
          <w:trHeight w:val="225"/>
          <w:tblHeader/>
          <w:jc w:val="center"/>
        </w:trPr>
        <w:tc>
          <w:tcPr>
            <w:tcW w:w="2717" w:type="dxa"/>
            <w:vMerge/>
            <w:tcBorders>
              <w:top w:val="double" w:sz="6" w:space="0" w:color="auto"/>
              <w:left w:val="double" w:sz="6" w:space="0" w:color="auto"/>
              <w:bottom w:val="single" w:sz="4" w:space="0" w:color="BFBFBF"/>
              <w:right w:val="nil"/>
            </w:tcBorders>
            <w:vAlign w:val="center"/>
          </w:tcPr>
          <w:p w14:paraId="77EC5DA0" w14:textId="77777777" w:rsidR="009B2162" w:rsidRPr="00302718" w:rsidRDefault="009B2162" w:rsidP="009B2162">
            <w:pPr>
              <w:spacing w:before="0" w:after="0"/>
              <w:rPr>
                <w:rFonts w:ascii="Arial" w:hAnsi="Arial" w:cs="Arial"/>
                <w:b/>
                <w:bCs/>
                <w:color w:val="000000"/>
                <w:sz w:val="16"/>
                <w:szCs w:val="16"/>
                <w:lang w:val="en-AU" w:eastAsia="en-AU"/>
              </w:rPr>
            </w:pP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1D0C128" w14:textId="77777777" w:rsidR="009B2162" w:rsidRPr="00302718" w:rsidRDefault="00637400" w:rsidP="0035712B">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w:t>
            </w:r>
            <w:r w:rsidR="009B2162" w:rsidRPr="00302718">
              <w:rPr>
                <w:rFonts w:ascii="Arial" w:hAnsi="Arial" w:cs="Arial"/>
                <w:b/>
                <w:bCs/>
                <w:color w:val="000000"/>
                <w:sz w:val="16"/>
                <w:szCs w:val="16"/>
                <w:lang w:val="en-AU" w:eastAsia="en-AU"/>
              </w:rPr>
              <w:t>=1</w:t>
            </w:r>
            <w:r w:rsidR="00F85114" w:rsidRPr="00302718">
              <w:rPr>
                <w:rFonts w:ascii="Arial" w:hAnsi="Arial" w:cs="Arial"/>
                <w:b/>
                <w:bCs/>
                <w:color w:val="000000"/>
                <w:sz w:val="16"/>
                <w:szCs w:val="16"/>
                <w:lang w:val="en-AU" w:eastAsia="en-AU"/>
              </w:rPr>
              <w:t>,</w:t>
            </w:r>
            <w:r w:rsidR="009B2162" w:rsidRPr="00302718">
              <w:rPr>
                <w:rFonts w:ascii="Arial" w:hAnsi="Arial" w:cs="Arial"/>
                <w:b/>
                <w:bCs/>
                <w:color w:val="000000"/>
                <w:sz w:val="16"/>
                <w:szCs w:val="16"/>
                <w:lang w:val="en-AU" w:eastAsia="en-AU"/>
              </w:rPr>
              <w:t>4</w:t>
            </w:r>
            <w:r w:rsidR="0035712B" w:rsidRPr="00302718">
              <w:rPr>
                <w:rFonts w:ascii="Arial" w:hAnsi="Arial" w:cs="Arial"/>
                <w:b/>
                <w:bCs/>
                <w:color w:val="000000"/>
                <w:sz w:val="16"/>
                <w:szCs w:val="16"/>
                <w:lang w:val="en-AU" w:eastAsia="en-AU"/>
              </w:rPr>
              <w:t>84</w:t>
            </w:r>
          </w:p>
        </w:tc>
        <w:tc>
          <w:tcPr>
            <w:tcW w:w="808" w:type="dxa"/>
            <w:tcBorders>
              <w:top w:val="nil"/>
              <w:left w:val="nil"/>
              <w:bottom w:val="single" w:sz="4" w:space="0" w:color="BFBFBF"/>
              <w:right w:val="single" w:sz="4" w:space="0" w:color="BFBFBF"/>
            </w:tcBorders>
            <w:shd w:val="clear" w:color="auto" w:fill="auto"/>
            <w:noWrap/>
            <w:vAlign w:val="center"/>
          </w:tcPr>
          <w:p w14:paraId="008EE318" w14:textId="77777777" w:rsidR="009B2162" w:rsidRPr="00302718" w:rsidRDefault="009B2162" w:rsidP="0035712B">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n=1</w:t>
            </w:r>
            <w:r w:rsidR="00F85114" w:rsidRPr="00302718">
              <w:rPr>
                <w:rFonts w:ascii="Arial" w:hAnsi="Arial" w:cs="Arial"/>
                <w:b/>
                <w:bCs/>
                <w:color w:val="000000"/>
                <w:sz w:val="16"/>
                <w:szCs w:val="16"/>
                <w:lang w:val="en-AU" w:eastAsia="en-AU"/>
              </w:rPr>
              <w:t>,</w:t>
            </w:r>
            <w:r w:rsidRPr="00302718">
              <w:rPr>
                <w:rFonts w:ascii="Arial" w:hAnsi="Arial" w:cs="Arial"/>
                <w:b/>
                <w:bCs/>
                <w:color w:val="000000"/>
                <w:sz w:val="16"/>
                <w:szCs w:val="16"/>
                <w:lang w:val="en-AU" w:eastAsia="en-AU"/>
              </w:rPr>
              <w:t>4</w:t>
            </w:r>
            <w:r w:rsidR="0035712B" w:rsidRPr="00302718">
              <w:rPr>
                <w:rFonts w:ascii="Arial" w:hAnsi="Arial" w:cs="Arial"/>
                <w:b/>
                <w:bCs/>
                <w:color w:val="000000"/>
                <w:sz w:val="16"/>
                <w:szCs w:val="16"/>
                <w:lang w:val="en-AU" w:eastAsia="en-AU"/>
              </w:rPr>
              <w:t>96</w:t>
            </w:r>
          </w:p>
        </w:tc>
        <w:tc>
          <w:tcPr>
            <w:tcW w:w="808" w:type="dxa"/>
            <w:tcBorders>
              <w:top w:val="nil"/>
              <w:left w:val="nil"/>
              <w:bottom w:val="single" w:sz="4" w:space="0" w:color="BFBFBF"/>
              <w:right w:val="single" w:sz="4" w:space="0" w:color="auto"/>
            </w:tcBorders>
            <w:shd w:val="clear" w:color="auto" w:fill="auto"/>
            <w:noWrap/>
            <w:vAlign w:val="center"/>
          </w:tcPr>
          <w:p w14:paraId="04AAAEBE" w14:textId="77777777" w:rsidR="009B2162" w:rsidRPr="00302718" w:rsidRDefault="009B2162" w:rsidP="0035712B">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n=1</w:t>
            </w:r>
            <w:r w:rsidR="00F85114" w:rsidRPr="00302718">
              <w:rPr>
                <w:rFonts w:ascii="Arial" w:hAnsi="Arial" w:cs="Arial"/>
                <w:b/>
                <w:bCs/>
                <w:color w:val="000000"/>
                <w:sz w:val="16"/>
                <w:szCs w:val="16"/>
                <w:lang w:val="en-AU" w:eastAsia="en-AU"/>
              </w:rPr>
              <w:t>,</w:t>
            </w:r>
            <w:r w:rsidRPr="00302718">
              <w:rPr>
                <w:rFonts w:ascii="Arial" w:hAnsi="Arial" w:cs="Arial"/>
                <w:b/>
                <w:bCs/>
                <w:color w:val="000000"/>
                <w:sz w:val="16"/>
                <w:szCs w:val="16"/>
                <w:lang w:val="en-AU" w:eastAsia="en-AU"/>
              </w:rPr>
              <w:t>6</w:t>
            </w:r>
            <w:r w:rsidR="0035712B" w:rsidRPr="00302718">
              <w:rPr>
                <w:rFonts w:ascii="Arial" w:hAnsi="Arial" w:cs="Arial"/>
                <w:b/>
                <w:bCs/>
                <w:color w:val="000000"/>
                <w:sz w:val="16"/>
                <w:szCs w:val="16"/>
                <w:lang w:val="en-AU" w:eastAsia="en-AU"/>
              </w:rPr>
              <w:t>33</w:t>
            </w:r>
          </w:p>
        </w:tc>
        <w:tc>
          <w:tcPr>
            <w:tcW w:w="857" w:type="dxa"/>
            <w:tcBorders>
              <w:top w:val="nil"/>
              <w:left w:val="nil"/>
              <w:bottom w:val="single" w:sz="4" w:space="0" w:color="BFBFBF"/>
              <w:right w:val="single" w:sz="4" w:space="0" w:color="BFBFBF"/>
            </w:tcBorders>
            <w:shd w:val="clear" w:color="auto" w:fill="auto"/>
            <w:noWrap/>
            <w:vAlign w:val="center"/>
          </w:tcPr>
          <w:p w14:paraId="22FE6A25" w14:textId="77777777" w:rsidR="009B2162" w:rsidRPr="00302718" w:rsidRDefault="009B2162" w:rsidP="0035712B">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w:t>
            </w:r>
            <w:r w:rsidR="0035712B" w:rsidRPr="00302718">
              <w:rPr>
                <w:rFonts w:ascii="Arial" w:hAnsi="Arial" w:cs="Arial"/>
                <w:b/>
                <w:bCs/>
                <w:color w:val="000000"/>
                <w:sz w:val="16"/>
                <w:szCs w:val="16"/>
                <w:lang w:val="en-AU" w:eastAsia="en-AU"/>
              </w:rPr>
              <w:t>504</w:t>
            </w:r>
          </w:p>
        </w:tc>
        <w:tc>
          <w:tcPr>
            <w:tcW w:w="714" w:type="dxa"/>
            <w:tcBorders>
              <w:top w:val="nil"/>
              <w:left w:val="nil"/>
              <w:bottom w:val="single" w:sz="4" w:space="0" w:color="BFBFBF"/>
              <w:right w:val="single" w:sz="4" w:space="0" w:color="BFBFBF"/>
            </w:tcBorders>
            <w:shd w:val="clear" w:color="auto" w:fill="auto"/>
            <w:noWrap/>
            <w:vAlign w:val="center"/>
          </w:tcPr>
          <w:p w14:paraId="153AD87B" w14:textId="77777777" w:rsidR="009B2162" w:rsidRPr="00302718" w:rsidRDefault="009B2162" w:rsidP="0035712B">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n=5</w:t>
            </w:r>
            <w:r w:rsidR="0035712B" w:rsidRPr="00302718">
              <w:rPr>
                <w:rFonts w:ascii="Arial" w:hAnsi="Arial" w:cs="Arial"/>
                <w:b/>
                <w:bCs/>
                <w:color w:val="000000"/>
                <w:sz w:val="16"/>
                <w:szCs w:val="16"/>
                <w:lang w:val="en-AU" w:eastAsia="en-AU"/>
              </w:rPr>
              <w:t>1</w:t>
            </w:r>
            <w:r w:rsidRPr="00302718">
              <w:rPr>
                <w:rFonts w:ascii="Arial" w:hAnsi="Arial" w:cs="Arial"/>
                <w:b/>
                <w:bCs/>
                <w:color w:val="000000"/>
                <w:sz w:val="16"/>
                <w:szCs w:val="16"/>
                <w:lang w:val="en-AU" w:eastAsia="en-AU"/>
              </w:rPr>
              <w:t>4</w:t>
            </w:r>
          </w:p>
        </w:tc>
        <w:tc>
          <w:tcPr>
            <w:tcW w:w="675" w:type="dxa"/>
            <w:tcBorders>
              <w:top w:val="nil"/>
              <w:left w:val="nil"/>
              <w:bottom w:val="single" w:sz="4" w:space="0" w:color="BFBFBF"/>
              <w:right w:val="nil"/>
            </w:tcBorders>
            <w:shd w:val="clear" w:color="auto" w:fill="auto"/>
            <w:noWrap/>
            <w:vAlign w:val="center"/>
          </w:tcPr>
          <w:p w14:paraId="0D8FA25E" w14:textId="77777777" w:rsidR="009B2162" w:rsidRPr="00302718" w:rsidRDefault="009B2162" w:rsidP="0035712B">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w:t>
            </w:r>
            <w:r w:rsidR="0035712B" w:rsidRPr="00302718">
              <w:rPr>
                <w:rFonts w:ascii="Arial" w:hAnsi="Arial" w:cs="Arial"/>
                <w:b/>
                <w:bCs/>
                <w:color w:val="000000"/>
                <w:sz w:val="16"/>
                <w:szCs w:val="16"/>
                <w:lang w:val="en-AU" w:eastAsia="en-AU"/>
              </w:rPr>
              <w:t>700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A54AA67"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n=397</w:t>
            </w:r>
          </w:p>
        </w:tc>
        <w:tc>
          <w:tcPr>
            <w:tcW w:w="714" w:type="dxa"/>
            <w:tcBorders>
              <w:top w:val="nil"/>
              <w:left w:val="nil"/>
              <w:bottom w:val="single" w:sz="4" w:space="0" w:color="BFBFBF"/>
              <w:right w:val="single" w:sz="4" w:space="0" w:color="BFBFBF"/>
            </w:tcBorders>
            <w:shd w:val="clear" w:color="auto" w:fill="auto"/>
            <w:noWrap/>
            <w:vAlign w:val="center"/>
          </w:tcPr>
          <w:p w14:paraId="7D1A2717"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n=403</w:t>
            </w:r>
          </w:p>
        </w:tc>
        <w:tc>
          <w:tcPr>
            <w:tcW w:w="675" w:type="dxa"/>
            <w:tcBorders>
              <w:top w:val="nil"/>
              <w:left w:val="nil"/>
              <w:bottom w:val="single" w:sz="4" w:space="0" w:color="BFBFBF"/>
              <w:right w:val="single" w:sz="4" w:space="0" w:color="auto"/>
            </w:tcBorders>
            <w:shd w:val="clear" w:color="auto" w:fill="auto"/>
            <w:noWrap/>
            <w:vAlign w:val="center"/>
          </w:tcPr>
          <w:p w14:paraId="6F5A94A4"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n=410</w:t>
            </w:r>
          </w:p>
        </w:tc>
        <w:tc>
          <w:tcPr>
            <w:tcW w:w="857" w:type="dxa"/>
            <w:tcBorders>
              <w:top w:val="nil"/>
              <w:left w:val="nil"/>
              <w:bottom w:val="single" w:sz="4" w:space="0" w:color="BFBFBF"/>
              <w:right w:val="single" w:sz="4" w:space="0" w:color="BFBFBF"/>
            </w:tcBorders>
            <w:shd w:val="clear" w:color="auto" w:fill="auto"/>
            <w:noWrap/>
            <w:vAlign w:val="center"/>
          </w:tcPr>
          <w:p w14:paraId="01053804" w14:textId="77777777" w:rsidR="009B2162" w:rsidRPr="00302718" w:rsidRDefault="00BC393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w:t>
            </w:r>
            <w:r w:rsidR="009B2162" w:rsidRPr="00302718">
              <w:rPr>
                <w:rFonts w:ascii="Arial" w:hAnsi="Arial" w:cs="Arial"/>
                <w:b/>
                <w:bCs/>
                <w:color w:val="000000"/>
                <w:sz w:val="16"/>
                <w:szCs w:val="16"/>
                <w:lang w:val="en-AU" w:eastAsia="en-AU"/>
              </w:rPr>
              <w:t>=360</w:t>
            </w:r>
          </w:p>
        </w:tc>
        <w:tc>
          <w:tcPr>
            <w:tcW w:w="714" w:type="dxa"/>
            <w:tcBorders>
              <w:top w:val="nil"/>
              <w:left w:val="nil"/>
              <w:bottom w:val="single" w:sz="4" w:space="0" w:color="BFBFBF"/>
              <w:right w:val="single" w:sz="4" w:space="0" w:color="BFBFBF"/>
            </w:tcBorders>
            <w:shd w:val="clear" w:color="auto" w:fill="auto"/>
            <w:noWrap/>
            <w:vAlign w:val="center"/>
          </w:tcPr>
          <w:p w14:paraId="40429C3D"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n=349</w:t>
            </w:r>
          </w:p>
        </w:tc>
        <w:tc>
          <w:tcPr>
            <w:tcW w:w="675" w:type="dxa"/>
            <w:tcBorders>
              <w:top w:val="nil"/>
              <w:left w:val="nil"/>
              <w:bottom w:val="single" w:sz="4" w:space="0" w:color="BFBFBF"/>
              <w:right w:val="nil"/>
            </w:tcBorders>
            <w:shd w:val="clear" w:color="auto" w:fill="auto"/>
            <w:noWrap/>
            <w:vAlign w:val="center"/>
          </w:tcPr>
          <w:p w14:paraId="56709F22"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n=360</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3995D1E4" w14:textId="77777777" w:rsidR="009B2162" w:rsidRPr="00302718" w:rsidRDefault="009B2162"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n=1,943</w:t>
            </w:r>
          </w:p>
        </w:tc>
      </w:tr>
      <w:tr w:rsidR="009B2162" w:rsidRPr="00302718" w14:paraId="7EEB154F"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330C6979" w14:textId="77777777" w:rsidR="009B2162" w:rsidRPr="00302718" w:rsidRDefault="009B2162" w:rsidP="009B2162">
            <w:pPr>
              <w:spacing w:before="0" w:after="0"/>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By Region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E370B37" w14:textId="77777777" w:rsidR="009B2162" w:rsidRPr="00302718" w:rsidRDefault="009B2162" w:rsidP="009B2162">
            <w:pPr>
              <w:spacing w:before="0" w:after="0"/>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0B62908"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0750C8B0"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412FC4EE"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60A2B2C1"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5CB07D37"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9C07E6B"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68BECE19"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7AF57F67"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372588F5"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3603E044"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4DBF728F"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449ABA55" w14:textId="77777777" w:rsidR="009B2162" w:rsidRPr="00302718" w:rsidRDefault="009B2162" w:rsidP="009B2162">
            <w:pPr>
              <w:spacing w:before="0" w:after="0"/>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r>
      <w:tr w:rsidR="0035712B" w:rsidRPr="00302718" w14:paraId="345A3E4A"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1B9D6E03"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302718">
                  <w:rPr>
                    <w:rFonts w:ascii="Arial" w:hAnsi="Arial" w:cs="Arial"/>
                    <w:color w:val="000000"/>
                    <w:sz w:val="16"/>
                    <w:szCs w:val="16"/>
                    <w:lang w:val="en-AU" w:eastAsia="en-AU"/>
                  </w:rPr>
                  <w:t>Melbourne</w:t>
                </w:r>
              </w:smartTag>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1923BB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1,437</w:t>
            </w:r>
          </w:p>
        </w:tc>
        <w:tc>
          <w:tcPr>
            <w:tcW w:w="808" w:type="dxa"/>
            <w:tcBorders>
              <w:top w:val="nil"/>
              <w:left w:val="nil"/>
              <w:bottom w:val="single" w:sz="4" w:space="0" w:color="BFBFBF"/>
              <w:right w:val="single" w:sz="4" w:space="0" w:color="BFBFBF"/>
            </w:tcBorders>
            <w:shd w:val="clear" w:color="auto" w:fill="auto"/>
            <w:noWrap/>
            <w:vAlign w:val="center"/>
          </w:tcPr>
          <w:p w14:paraId="620A828C"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2,230</w:t>
            </w:r>
          </w:p>
        </w:tc>
        <w:tc>
          <w:tcPr>
            <w:tcW w:w="808" w:type="dxa"/>
            <w:tcBorders>
              <w:top w:val="nil"/>
              <w:left w:val="nil"/>
              <w:bottom w:val="single" w:sz="4" w:space="0" w:color="BFBFBF"/>
              <w:right w:val="single" w:sz="4" w:space="0" w:color="auto"/>
            </w:tcBorders>
            <w:shd w:val="clear" w:color="auto" w:fill="auto"/>
            <w:noWrap/>
            <w:vAlign w:val="center"/>
          </w:tcPr>
          <w:p w14:paraId="483F1A3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3,718</w:t>
            </w:r>
          </w:p>
        </w:tc>
        <w:tc>
          <w:tcPr>
            <w:tcW w:w="857" w:type="dxa"/>
            <w:tcBorders>
              <w:top w:val="nil"/>
              <w:left w:val="nil"/>
              <w:bottom w:val="single" w:sz="4" w:space="0" w:color="BFBFBF"/>
              <w:right w:val="single" w:sz="4" w:space="0" w:color="BFBFBF"/>
            </w:tcBorders>
            <w:shd w:val="clear" w:color="auto" w:fill="auto"/>
            <w:noWrap/>
            <w:vAlign w:val="center"/>
          </w:tcPr>
          <w:p w14:paraId="37DE723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833</w:t>
            </w:r>
          </w:p>
        </w:tc>
        <w:tc>
          <w:tcPr>
            <w:tcW w:w="714" w:type="dxa"/>
            <w:tcBorders>
              <w:top w:val="nil"/>
              <w:left w:val="nil"/>
              <w:bottom w:val="single" w:sz="4" w:space="0" w:color="BFBFBF"/>
              <w:right w:val="single" w:sz="4" w:space="0" w:color="BFBFBF"/>
            </w:tcBorders>
            <w:shd w:val="clear" w:color="auto" w:fill="auto"/>
            <w:noWrap/>
            <w:vAlign w:val="center"/>
          </w:tcPr>
          <w:p w14:paraId="6BD1BDC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1,557</w:t>
            </w:r>
          </w:p>
        </w:tc>
        <w:tc>
          <w:tcPr>
            <w:tcW w:w="675" w:type="dxa"/>
            <w:tcBorders>
              <w:top w:val="nil"/>
              <w:left w:val="nil"/>
              <w:bottom w:val="single" w:sz="4" w:space="0" w:color="BFBFBF"/>
              <w:right w:val="nil"/>
            </w:tcBorders>
            <w:shd w:val="clear" w:color="auto" w:fill="auto"/>
            <w:noWrap/>
            <w:vAlign w:val="center"/>
          </w:tcPr>
          <w:p w14:paraId="686AE59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1,759</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7F6D1C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1,273</w:t>
            </w:r>
          </w:p>
        </w:tc>
        <w:tc>
          <w:tcPr>
            <w:tcW w:w="714" w:type="dxa"/>
            <w:tcBorders>
              <w:top w:val="nil"/>
              <w:left w:val="nil"/>
              <w:bottom w:val="single" w:sz="4" w:space="0" w:color="BFBFBF"/>
              <w:right w:val="single" w:sz="4" w:space="0" w:color="BFBFBF"/>
            </w:tcBorders>
            <w:shd w:val="clear" w:color="auto" w:fill="auto"/>
            <w:noWrap/>
            <w:vAlign w:val="center"/>
          </w:tcPr>
          <w:p w14:paraId="02D9DBA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2,371</w:t>
            </w:r>
          </w:p>
        </w:tc>
        <w:tc>
          <w:tcPr>
            <w:tcW w:w="675" w:type="dxa"/>
            <w:tcBorders>
              <w:top w:val="nil"/>
              <w:left w:val="nil"/>
              <w:bottom w:val="single" w:sz="4" w:space="0" w:color="BFBFBF"/>
              <w:right w:val="single" w:sz="4" w:space="0" w:color="auto"/>
            </w:tcBorders>
            <w:shd w:val="clear" w:color="auto" w:fill="auto"/>
            <w:noWrap/>
            <w:vAlign w:val="center"/>
          </w:tcPr>
          <w:p w14:paraId="7ACBE61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3,911</w:t>
            </w:r>
          </w:p>
        </w:tc>
        <w:tc>
          <w:tcPr>
            <w:tcW w:w="857" w:type="dxa"/>
            <w:tcBorders>
              <w:top w:val="nil"/>
              <w:left w:val="nil"/>
              <w:bottom w:val="single" w:sz="4" w:space="0" w:color="BFBFBF"/>
              <w:right w:val="single" w:sz="4" w:space="0" w:color="BFBFBF"/>
            </w:tcBorders>
            <w:shd w:val="clear" w:color="auto" w:fill="auto"/>
            <w:noWrap/>
            <w:vAlign w:val="center"/>
          </w:tcPr>
          <w:p w14:paraId="7B46CD1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1,370</w:t>
            </w:r>
          </w:p>
        </w:tc>
        <w:tc>
          <w:tcPr>
            <w:tcW w:w="714" w:type="dxa"/>
            <w:tcBorders>
              <w:top w:val="nil"/>
              <w:left w:val="nil"/>
              <w:bottom w:val="single" w:sz="4" w:space="0" w:color="BFBFBF"/>
              <w:right w:val="single" w:sz="4" w:space="0" w:color="BFBFBF"/>
            </w:tcBorders>
            <w:shd w:val="clear" w:color="auto" w:fill="auto"/>
            <w:noWrap/>
            <w:vAlign w:val="center"/>
          </w:tcPr>
          <w:p w14:paraId="66368F8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2,354</w:t>
            </w:r>
          </w:p>
        </w:tc>
        <w:tc>
          <w:tcPr>
            <w:tcW w:w="675" w:type="dxa"/>
            <w:tcBorders>
              <w:top w:val="nil"/>
              <w:left w:val="nil"/>
              <w:bottom w:val="single" w:sz="4" w:space="0" w:color="BFBFBF"/>
              <w:right w:val="nil"/>
            </w:tcBorders>
            <w:shd w:val="clear" w:color="auto" w:fill="auto"/>
            <w:noWrap/>
            <w:vAlign w:val="center"/>
          </w:tcPr>
          <w:p w14:paraId="562DBD8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3,700</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33CC014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3,643</w:t>
            </w:r>
          </w:p>
        </w:tc>
      </w:tr>
      <w:tr w:rsidR="0035712B" w:rsidRPr="00302718" w14:paraId="6C5AAA4A"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05145E86"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Country VIC</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97AF2A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1,382</w:t>
            </w:r>
          </w:p>
        </w:tc>
        <w:tc>
          <w:tcPr>
            <w:tcW w:w="808" w:type="dxa"/>
            <w:tcBorders>
              <w:top w:val="nil"/>
              <w:left w:val="nil"/>
              <w:bottom w:val="single" w:sz="4" w:space="0" w:color="BFBFBF"/>
              <w:right w:val="single" w:sz="4" w:space="0" w:color="BFBFBF"/>
            </w:tcBorders>
            <w:shd w:val="clear" w:color="auto" w:fill="auto"/>
            <w:noWrap/>
            <w:vAlign w:val="center"/>
          </w:tcPr>
          <w:p w14:paraId="7CBBBE71"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2,084</w:t>
            </w:r>
          </w:p>
        </w:tc>
        <w:tc>
          <w:tcPr>
            <w:tcW w:w="808" w:type="dxa"/>
            <w:tcBorders>
              <w:top w:val="nil"/>
              <w:left w:val="nil"/>
              <w:bottom w:val="single" w:sz="4" w:space="0" w:color="BFBFBF"/>
              <w:right w:val="single" w:sz="4" w:space="0" w:color="auto"/>
            </w:tcBorders>
            <w:shd w:val="clear" w:color="auto" w:fill="auto"/>
            <w:noWrap/>
            <w:vAlign w:val="center"/>
          </w:tcPr>
          <w:p w14:paraId="4985E3D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3,510</w:t>
            </w:r>
          </w:p>
        </w:tc>
        <w:tc>
          <w:tcPr>
            <w:tcW w:w="857" w:type="dxa"/>
            <w:tcBorders>
              <w:top w:val="nil"/>
              <w:left w:val="nil"/>
              <w:bottom w:val="single" w:sz="4" w:space="0" w:color="BFBFBF"/>
              <w:right w:val="single" w:sz="4" w:space="0" w:color="BFBFBF"/>
            </w:tcBorders>
            <w:shd w:val="clear" w:color="auto" w:fill="auto"/>
            <w:noWrap/>
            <w:vAlign w:val="center"/>
          </w:tcPr>
          <w:p w14:paraId="3083AE5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1,031</w:t>
            </w:r>
          </w:p>
        </w:tc>
        <w:tc>
          <w:tcPr>
            <w:tcW w:w="714" w:type="dxa"/>
            <w:tcBorders>
              <w:top w:val="nil"/>
              <w:left w:val="nil"/>
              <w:bottom w:val="single" w:sz="4" w:space="0" w:color="BFBFBF"/>
              <w:right w:val="single" w:sz="4" w:space="0" w:color="BFBFBF"/>
            </w:tcBorders>
            <w:shd w:val="clear" w:color="auto" w:fill="auto"/>
            <w:noWrap/>
            <w:vAlign w:val="center"/>
          </w:tcPr>
          <w:p w14:paraId="46C5032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1,677</w:t>
            </w:r>
          </w:p>
        </w:tc>
        <w:tc>
          <w:tcPr>
            <w:tcW w:w="675" w:type="dxa"/>
            <w:tcBorders>
              <w:top w:val="nil"/>
              <w:left w:val="nil"/>
              <w:bottom w:val="single" w:sz="4" w:space="0" w:color="BFBFBF"/>
              <w:right w:val="nil"/>
            </w:tcBorders>
            <w:shd w:val="clear" w:color="auto" w:fill="auto"/>
            <w:noWrap/>
            <w:vAlign w:val="center"/>
          </w:tcPr>
          <w:p w14:paraId="0F1688B9"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2,220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E87D25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1,443</w:t>
            </w:r>
          </w:p>
        </w:tc>
        <w:tc>
          <w:tcPr>
            <w:tcW w:w="714" w:type="dxa"/>
            <w:tcBorders>
              <w:top w:val="nil"/>
              <w:left w:val="nil"/>
              <w:bottom w:val="single" w:sz="4" w:space="0" w:color="BFBFBF"/>
              <w:right w:val="single" w:sz="4" w:space="0" w:color="BFBFBF"/>
            </w:tcBorders>
            <w:shd w:val="clear" w:color="auto" w:fill="auto"/>
            <w:noWrap/>
            <w:vAlign w:val="center"/>
          </w:tcPr>
          <w:p w14:paraId="6B9DF34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2,582</w:t>
            </w:r>
          </w:p>
        </w:tc>
        <w:tc>
          <w:tcPr>
            <w:tcW w:w="675" w:type="dxa"/>
            <w:tcBorders>
              <w:top w:val="nil"/>
              <w:left w:val="nil"/>
              <w:bottom w:val="single" w:sz="4" w:space="0" w:color="BFBFBF"/>
              <w:right w:val="single" w:sz="4" w:space="0" w:color="auto"/>
            </w:tcBorders>
            <w:shd w:val="clear" w:color="auto" w:fill="auto"/>
            <w:noWrap/>
            <w:vAlign w:val="center"/>
          </w:tcPr>
          <w:p w14:paraId="2589EABE"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4,033</w:t>
            </w:r>
          </w:p>
        </w:tc>
        <w:tc>
          <w:tcPr>
            <w:tcW w:w="857" w:type="dxa"/>
            <w:tcBorders>
              <w:top w:val="nil"/>
              <w:left w:val="nil"/>
              <w:bottom w:val="single" w:sz="4" w:space="0" w:color="BFBFBF"/>
              <w:right w:val="single" w:sz="4" w:space="0" w:color="BFBFBF"/>
            </w:tcBorders>
            <w:shd w:val="clear" w:color="auto" w:fill="auto"/>
            <w:noWrap/>
            <w:vAlign w:val="center"/>
          </w:tcPr>
          <w:p w14:paraId="36FF44AE"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1,782</w:t>
            </w:r>
          </w:p>
        </w:tc>
        <w:tc>
          <w:tcPr>
            <w:tcW w:w="714" w:type="dxa"/>
            <w:tcBorders>
              <w:top w:val="nil"/>
              <w:left w:val="nil"/>
              <w:bottom w:val="single" w:sz="4" w:space="0" w:color="BFBFBF"/>
              <w:right w:val="single" w:sz="4" w:space="0" w:color="BFBFBF"/>
            </w:tcBorders>
            <w:shd w:val="clear" w:color="auto" w:fill="auto"/>
            <w:noWrap/>
            <w:vAlign w:val="center"/>
          </w:tcPr>
          <w:p w14:paraId="79FA8FE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3,127</w:t>
            </w:r>
          </w:p>
        </w:tc>
        <w:tc>
          <w:tcPr>
            <w:tcW w:w="675" w:type="dxa"/>
            <w:tcBorders>
              <w:top w:val="nil"/>
              <w:left w:val="nil"/>
              <w:bottom w:val="single" w:sz="4" w:space="0" w:color="BFBFBF"/>
              <w:right w:val="nil"/>
            </w:tcBorders>
            <w:shd w:val="clear" w:color="auto" w:fill="auto"/>
            <w:noWrap/>
            <w:vAlign w:val="center"/>
          </w:tcPr>
          <w:p w14:paraId="1C6EFF0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4,862</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6939E03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3,794</w:t>
            </w:r>
          </w:p>
        </w:tc>
      </w:tr>
      <w:tr w:rsidR="0035712B" w:rsidRPr="00302718" w14:paraId="22BBBD1D"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6D43C7B3" w14:textId="481F291E" w:rsidR="0035712B" w:rsidRPr="00302718" w:rsidRDefault="00BC6314" w:rsidP="009B2162">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35712B" w:rsidRPr="00302718">
              <w:rPr>
                <w:rFonts w:ascii="Arial" w:hAnsi="Arial" w:cs="Arial"/>
                <w:color w:val="000000"/>
                <w:sz w:val="16"/>
                <w:szCs w:val="16"/>
                <w:lang w:val="en-AU" w:eastAsia="en-AU"/>
              </w:rPr>
              <w:t>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C5110BE" w14:textId="77777777" w:rsidR="0035712B" w:rsidRPr="00302718" w:rsidRDefault="0035712B" w:rsidP="00B70236">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w:t>
            </w:r>
            <w:r w:rsidR="00B70236">
              <w:rPr>
                <w:rFonts w:ascii="Arial" w:hAnsi="Arial" w:cs="Arial"/>
                <w:color w:val="000000"/>
                <w:sz w:val="16"/>
                <w:szCs w:val="16"/>
                <w:lang w:val="en-AU" w:eastAsia="en-AU"/>
              </w:rPr>
              <w:t>823</w:t>
            </w:r>
          </w:p>
        </w:tc>
        <w:tc>
          <w:tcPr>
            <w:tcW w:w="808" w:type="dxa"/>
            <w:tcBorders>
              <w:top w:val="nil"/>
              <w:left w:val="nil"/>
              <w:bottom w:val="single" w:sz="4" w:space="0" w:color="BFBFBF"/>
              <w:right w:val="single" w:sz="4" w:space="0" w:color="BFBFBF"/>
            </w:tcBorders>
            <w:shd w:val="clear" w:color="auto" w:fill="auto"/>
            <w:noWrap/>
            <w:vAlign w:val="center"/>
          </w:tcPr>
          <w:p w14:paraId="2CFC2676" w14:textId="77777777" w:rsidR="0035712B" w:rsidRPr="00302718" w:rsidRDefault="0035712B" w:rsidP="00B70236">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w:t>
            </w:r>
            <w:r w:rsidR="00B70236">
              <w:rPr>
                <w:rFonts w:ascii="Arial" w:hAnsi="Arial" w:cs="Arial"/>
                <w:color w:val="000000"/>
                <w:sz w:val="16"/>
                <w:szCs w:val="16"/>
                <w:lang w:val="en-AU" w:eastAsia="en-AU"/>
              </w:rPr>
              <w:t>468</w:t>
            </w:r>
          </w:p>
        </w:tc>
        <w:tc>
          <w:tcPr>
            <w:tcW w:w="808" w:type="dxa"/>
            <w:tcBorders>
              <w:top w:val="nil"/>
              <w:left w:val="nil"/>
              <w:bottom w:val="single" w:sz="4" w:space="0" w:color="BFBFBF"/>
              <w:right w:val="single" w:sz="4" w:space="0" w:color="auto"/>
            </w:tcBorders>
            <w:shd w:val="clear" w:color="auto" w:fill="auto"/>
            <w:noWrap/>
            <w:vAlign w:val="center"/>
          </w:tcPr>
          <w:p w14:paraId="605C43BF" w14:textId="77777777" w:rsidR="0035712B" w:rsidRPr="00302718" w:rsidRDefault="00B70236" w:rsidP="0035712B">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4,277</w:t>
            </w:r>
          </w:p>
        </w:tc>
        <w:tc>
          <w:tcPr>
            <w:tcW w:w="857" w:type="dxa"/>
            <w:tcBorders>
              <w:top w:val="nil"/>
              <w:left w:val="nil"/>
              <w:bottom w:val="single" w:sz="4" w:space="0" w:color="BFBFBF"/>
              <w:right w:val="single" w:sz="4" w:space="0" w:color="BFBFBF"/>
            </w:tcBorders>
            <w:shd w:val="clear" w:color="auto" w:fill="auto"/>
            <w:noWrap/>
            <w:vAlign w:val="center"/>
          </w:tcPr>
          <w:p w14:paraId="4E9FF025" w14:textId="77777777" w:rsidR="0035712B" w:rsidRPr="00302718" w:rsidRDefault="00B70236" w:rsidP="0035712B">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1,318</w:t>
            </w:r>
          </w:p>
        </w:tc>
        <w:tc>
          <w:tcPr>
            <w:tcW w:w="714" w:type="dxa"/>
            <w:tcBorders>
              <w:top w:val="nil"/>
              <w:left w:val="nil"/>
              <w:bottom w:val="single" w:sz="4" w:space="0" w:color="BFBFBF"/>
              <w:right w:val="single" w:sz="4" w:space="0" w:color="BFBFBF"/>
            </w:tcBorders>
            <w:shd w:val="clear" w:color="auto" w:fill="auto"/>
            <w:noWrap/>
            <w:vAlign w:val="center"/>
          </w:tcPr>
          <w:p w14:paraId="68CC9BA6" w14:textId="77777777" w:rsidR="0035712B" w:rsidRPr="00302718" w:rsidRDefault="00B70236" w:rsidP="0035712B">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1,907</w:t>
            </w:r>
          </w:p>
        </w:tc>
        <w:tc>
          <w:tcPr>
            <w:tcW w:w="675" w:type="dxa"/>
            <w:tcBorders>
              <w:top w:val="nil"/>
              <w:left w:val="nil"/>
              <w:bottom w:val="single" w:sz="4" w:space="0" w:color="BFBFBF"/>
              <w:right w:val="nil"/>
            </w:tcBorders>
            <w:shd w:val="clear" w:color="auto" w:fill="auto"/>
            <w:noWrap/>
            <w:vAlign w:val="center"/>
          </w:tcPr>
          <w:p w14:paraId="0C7C11D7" w14:textId="77777777" w:rsidR="0035712B" w:rsidRPr="00302718" w:rsidRDefault="00B70236" w:rsidP="0035712B">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2,845</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EC5131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1,573</w:t>
            </w:r>
          </w:p>
        </w:tc>
        <w:tc>
          <w:tcPr>
            <w:tcW w:w="714" w:type="dxa"/>
            <w:tcBorders>
              <w:top w:val="nil"/>
              <w:left w:val="nil"/>
              <w:bottom w:val="single" w:sz="4" w:space="0" w:color="BFBFBF"/>
              <w:right w:val="single" w:sz="4" w:space="0" w:color="BFBFBF"/>
            </w:tcBorders>
            <w:shd w:val="clear" w:color="auto" w:fill="auto"/>
            <w:noWrap/>
            <w:vAlign w:val="center"/>
          </w:tcPr>
          <w:p w14:paraId="397B073E"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2,424</w:t>
            </w:r>
          </w:p>
        </w:tc>
        <w:tc>
          <w:tcPr>
            <w:tcW w:w="675" w:type="dxa"/>
            <w:tcBorders>
              <w:top w:val="nil"/>
              <w:left w:val="nil"/>
              <w:bottom w:val="single" w:sz="4" w:space="0" w:color="BFBFBF"/>
              <w:right w:val="single" w:sz="4" w:space="0" w:color="auto"/>
            </w:tcBorders>
            <w:shd w:val="clear" w:color="auto" w:fill="auto"/>
            <w:noWrap/>
            <w:vAlign w:val="center"/>
          </w:tcPr>
          <w:p w14:paraId="3FD1A8D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4,009</w:t>
            </w:r>
          </w:p>
        </w:tc>
        <w:tc>
          <w:tcPr>
            <w:tcW w:w="857" w:type="dxa"/>
            <w:tcBorders>
              <w:top w:val="nil"/>
              <w:left w:val="nil"/>
              <w:bottom w:val="single" w:sz="4" w:space="0" w:color="BFBFBF"/>
              <w:right w:val="single" w:sz="4" w:space="0" w:color="BFBFBF"/>
            </w:tcBorders>
            <w:shd w:val="clear" w:color="auto" w:fill="auto"/>
            <w:noWrap/>
            <w:vAlign w:val="center"/>
          </w:tcPr>
          <w:p w14:paraId="69473FB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6D63E967"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2CFE0EC7"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2989B39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06E13B87"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1752D4C9" w14:textId="77777777" w:rsidR="0035712B" w:rsidRPr="00302718" w:rsidRDefault="0035712B" w:rsidP="009B2162">
            <w:pPr>
              <w:spacing w:before="0" w:after="0"/>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 xml:space="preserve">By DHHS Area -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FB9CEE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64444D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3412F2A2"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55F2FF9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66448D1C"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6EE6670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80B5B0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06B0BD9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456628B7"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7B34CCA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339CB44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1DBDFBA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1C6C6EBE"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r>
      <w:tr w:rsidR="0035712B" w:rsidRPr="00302718" w14:paraId="716D48E5"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09B56EFB"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Hume Moreland</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06F4ADC"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1,312</w:t>
            </w:r>
          </w:p>
        </w:tc>
        <w:tc>
          <w:tcPr>
            <w:tcW w:w="808" w:type="dxa"/>
            <w:tcBorders>
              <w:top w:val="nil"/>
              <w:left w:val="nil"/>
              <w:bottom w:val="single" w:sz="4" w:space="0" w:color="BFBFBF"/>
              <w:right w:val="single" w:sz="4" w:space="0" w:color="BFBFBF"/>
            </w:tcBorders>
            <w:shd w:val="clear" w:color="auto" w:fill="auto"/>
            <w:noWrap/>
            <w:vAlign w:val="center"/>
          </w:tcPr>
          <w:p w14:paraId="18978BD4"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1,651</w:t>
            </w:r>
          </w:p>
        </w:tc>
        <w:tc>
          <w:tcPr>
            <w:tcW w:w="808" w:type="dxa"/>
            <w:tcBorders>
              <w:top w:val="nil"/>
              <w:left w:val="nil"/>
              <w:bottom w:val="single" w:sz="4" w:space="0" w:color="BFBFBF"/>
              <w:right w:val="single" w:sz="4" w:space="0" w:color="auto"/>
            </w:tcBorders>
            <w:shd w:val="clear" w:color="auto" w:fill="auto"/>
            <w:noWrap/>
            <w:vAlign w:val="center"/>
          </w:tcPr>
          <w:p w14:paraId="08DBF672"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3,089</w:t>
            </w:r>
          </w:p>
        </w:tc>
        <w:tc>
          <w:tcPr>
            <w:tcW w:w="857" w:type="dxa"/>
            <w:tcBorders>
              <w:top w:val="nil"/>
              <w:left w:val="nil"/>
              <w:bottom w:val="single" w:sz="4" w:space="0" w:color="BFBFBF"/>
              <w:right w:val="single" w:sz="4" w:space="0" w:color="BFBFBF"/>
            </w:tcBorders>
            <w:shd w:val="clear" w:color="auto" w:fill="auto"/>
            <w:noWrap/>
            <w:vAlign w:val="center"/>
          </w:tcPr>
          <w:p w14:paraId="798A3041"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605</w:t>
            </w:r>
          </w:p>
        </w:tc>
        <w:tc>
          <w:tcPr>
            <w:tcW w:w="714" w:type="dxa"/>
            <w:tcBorders>
              <w:top w:val="nil"/>
              <w:left w:val="nil"/>
              <w:bottom w:val="single" w:sz="4" w:space="0" w:color="BFBFBF"/>
              <w:right w:val="single" w:sz="4" w:space="0" w:color="BFBFBF"/>
            </w:tcBorders>
            <w:shd w:val="clear" w:color="auto" w:fill="auto"/>
            <w:noWrap/>
            <w:vAlign w:val="center"/>
          </w:tcPr>
          <w:p w14:paraId="456A1A5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813</w:t>
            </w:r>
          </w:p>
        </w:tc>
        <w:tc>
          <w:tcPr>
            <w:tcW w:w="675" w:type="dxa"/>
            <w:tcBorders>
              <w:top w:val="nil"/>
              <w:left w:val="nil"/>
              <w:bottom w:val="single" w:sz="4" w:space="0" w:color="BFBFBF"/>
              <w:right w:val="nil"/>
            </w:tcBorders>
            <w:shd w:val="clear" w:color="auto" w:fill="auto"/>
            <w:noWrap/>
            <w:vAlign w:val="center"/>
          </w:tcPr>
          <w:p w14:paraId="12811E4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1,152</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E74274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49135DD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70461A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E239F0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4799D64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73BEDEE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7C7A0DB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17CD1894"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08927F8B"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North Eastern Melbourne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7339ED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1,559</w:t>
            </w:r>
          </w:p>
        </w:tc>
        <w:tc>
          <w:tcPr>
            <w:tcW w:w="808" w:type="dxa"/>
            <w:tcBorders>
              <w:top w:val="nil"/>
              <w:left w:val="nil"/>
              <w:bottom w:val="single" w:sz="4" w:space="0" w:color="BFBFBF"/>
              <w:right w:val="single" w:sz="4" w:space="0" w:color="BFBFBF"/>
            </w:tcBorders>
            <w:shd w:val="clear" w:color="auto" w:fill="auto"/>
            <w:noWrap/>
            <w:vAlign w:val="center"/>
          </w:tcPr>
          <w:p w14:paraId="1261391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2,926</w:t>
            </w:r>
          </w:p>
        </w:tc>
        <w:tc>
          <w:tcPr>
            <w:tcW w:w="808" w:type="dxa"/>
            <w:tcBorders>
              <w:top w:val="nil"/>
              <w:left w:val="nil"/>
              <w:bottom w:val="single" w:sz="4" w:space="0" w:color="BFBFBF"/>
              <w:right w:val="single" w:sz="4" w:space="0" w:color="auto"/>
            </w:tcBorders>
            <w:shd w:val="clear" w:color="auto" w:fill="auto"/>
            <w:noWrap/>
            <w:vAlign w:val="center"/>
          </w:tcPr>
          <w:p w14:paraId="36D79D1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4,615</w:t>
            </w:r>
          </w:p>
        </w:tc>
        <w:tc>
          <w:tcPr>
            <w:tcW w:w="857" w:type="dxa"/>
            <w:tcBorders>
              <w:top w:val="nil"/>
              <w:left w:val="nil"/>
              <w:bottom w:val="single" w:sz="4" w:space="0" w:color="BFBFBF"/>
              <w:right w:val="single" w:sz="4" w:space="0" w:color="BFBFBF"/>
            </w:tcBorders>
            <w:shd w:val="clear" w:color="auto" w:fill="auto"/>
            <w:noWrap/>
            <w:vAlign w:val="center"/>
          </w:tcPr>
          <w:p w14:paraId="08B2599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1,265</w:t>
            </w:r>
          </w:p>
        </w:tc>
        <w:tc>
          <w:tcPr>
            <w:tcW w:w="714" w:type="dxa"/>
            <w:tcBorders>
              <w:top w:val="nil"/>
              <w:left w:val="nil"/>
              <w:bottom w:val="single" w:sz="4" w:space="0" w:color="BFBFBF"/>
              <w:right w:val="single" w:sz="4" w:space="0" w:color="BFBFBF"/>
            </w:tcBorders>
            <w:shd w:val="clear" w:color="auto" w:fill="auto"/>
            <w:noWrap/>
            <w:vAlign w:val="center"/>
          </w:tcPr>
          <w:p w14:paraId="3D24C93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1,724</w:t>
            </w:r>
          </w:p>
        </w:tc>
        <w:tc>
          <w:tcPr>
            <w:tcW w:w="675" w:type="dxa"/>
            <w:tcBorders>
              <w:top w:val="nil"/>
              <w:left w:val="nil"/>
              <w:bottom w:val="single" w:sz="4" w:space="0" w:color="BFBFBF"/>
              <w:right w:val="nil"/>
            </w:tcBorders>
            <w:shd w:val="clear" w:color="auto" w:fill="auto"/>
            <w:noWrap/>
            <w:vAlign w:val="center"/>
          </w:tcPr>
          <w:p w14:paraId="4747C2A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1,884</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704718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70849D4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A92F7C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338435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007B52D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1625E8D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47620E5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595BE104"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3234B664"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 xml:space="preserve">Outer </w:t>
            </w:r>
            <w:smartTag w:uri="urn:schemas-microsoft-com:office:smarttags" w:element="place">
              <w:r w:rsidRPr="00302718">
                <w:rPr>
                  <w:rFonts w:ascii="Arial" w:hAnsi="Arial" w:cs="Arial"/>
                  <w:color w:val="000000"/>
                  <w:sz w:val="16"/>
                  <w:szCs w:val="16"/>
                  <w:lang w:val="en-AU" w:eastAsia="en-AU"/>
                </w:rPr>
                <w:t>Eastern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B45DEE4"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1,399</w:t>
            </w:r>
          </w:p>
        </w:tc>
        <w:tc>
          <w:tcPr>
            <w:tcW w:w="808" w:type="dxa"/>
            <w:tcBorders>
              <w:top w:val="nil"/>
              <w:left w:val="nil"/>
              <w:bottom w:val="single" w:sz="4" w:space="0" w:color="BFBFBF"/>
              <w:right w:val="single" w:sz="4" w:space="0" w:color="BFBFBF"/>
            </w:tcBorders>
            <w:shd w:val="clear" w:color="auto" w:fill="auto"/>
            <w:noWrap/>
            <w:vAlign w:val="center"/>
          </w:tcPr>
          <w:p w14:paraId="32848C0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2,059</w:t>
            </w:r>
          </w:p>
        </w:tc>
        <w:tc>
          <w:tcPr>
            <w:tcW w:w="808" w:type="dxa"/>
            <w:tcBorders>
              <w:top w:val="nil"/>
              <w:left w:val="nil"/>
              <w:bottom w:val="single" w:sz="4" w:space="0" w:color="BFBFBF"/>
              <w:right w:val="single" w:sz="4" w:space="0" w:color="auto"/>
            </w:tcBorders>
            <w:shd w:val="clear" w:color="auto" w:fill="auto"/>
            <w:noWrap/>
            <w:vAlign w:val="center"/>
          </w:tcPr>
          <w:p w14:paraId="21FC88B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3,565</w:t>
            </w:r>
          </w:p>
        </w:tc>
        <w:tc>
          <w:tcPr>
            <w:tcW w:w="857" w:type="dxa"/>
            <w:tcBorders>
              <w:top w:val="nil"/>
              <w:left w:val="nil"/>
              <w:bottom w:val="single" w:sz="4" w:space="0" w:color="BFBFBF"/>
              <w:right w:val="single" w:sz="4" w:space="0" w:color="BFBFBF"/>
            </w:tcBorders>
            <w:shd w:val="clear" w:color="auto" w:fill="auto"/>
            <w:noWrap/>
            <w:vAlign w:val="center"/>
          </w:tcPr>
          <w:p w14:paraId="70149ED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690</w:t>
            </w:r>
          </w:p>
        </w:tc>
        <w:tc>
          <w:tcPr>
            <w:tcW w:w="714" w:type="dxa"/>
            <w:tcBorders>
              <w:top w:val="nil"/>
              <w:left w:val="nil"/>
              <w:bottom w:val="single" w:sz="4" w:space="0" w:color="BFBFBF"/>
              <w:right w:val="single" w:sz="4" w:space="0" w:color="BFBFBF"/>
            </w:tcBorders>
            <w:shd w:val="clear" w:color="auto" w:fill="auto"/>
            <w:noWrap/>
            <w:vAlign w:val="center"/>
          </w:tcPr>
          <w:p w14:paraId="621F0602"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1,416</w:t>
            </w:r>
          </w:p>
        </w:tc>
        <w:tc>
          <w:tcPr>
            <w:tcW w:w="675" w:type="dxa"/>
            <w:tcBorders>
              <w:top w:val="nil"/>
              <w:left w:val="nil"/>
              <w:bottom w:val="single" w:sz="4" w:space="0" w:color="BFBFBF"/>
              <w:right w:val="nil"/>
            </w:tcBorders>
            <w:shd w:val="clear" w:color="auto" w:fill="auto"/>
            <w:noWrap/>
            <w:vAlign w:val="center"/>
          </w:tcPr>
          <w:p w14:paraId="5B365B7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1,966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F5F847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1E690DA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F3DFD1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823160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0510C6A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6FA1289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14A0013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65E78A0B"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34D43337"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 xml:space="preserve">Inner </w:t>
            </w:r>
            <w:smartTag w:uri="urn:schemas-microsoft-com:office:smarttags" w:element="place">
              <w:r w:rsidRPr="00302718">
                <w:rPr>
                  <w:rFonts w:ascii="Arial" w:hAnsi="Arial" w:cs="Arial"/>
                  <w:color w:val="000000"/>
                  <w:sz w:val="16"/>
                  <w:szCs w:val="16"/>
                  <w:lang w:val="en-AU" w:eastAsia="en-AU"/>
                </w:rPr>
                <w:t>Eastern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BBD99E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1,670</w:t>
            </w:r>
          </w:p>
        </w:tc>
        <w:tc>
          <w:tcPr>
            <w:tcW w:w="808" w:type="dxa"/>
            <w:tcBorders>
              <w:top w:val="nil"/>
              <w:left w:val="nil"/>
              <w:bottom w:val="single" w:sz="4" w:space="0" w:color="BFBFBF"/>
              <w:right w:val="single" w:sz="4" w:space="0" w:color="BFBFBF"/>
            </w:tcBorders>
            <w:shd w:val="clear" w:color="auto" w:fill="auto"/>
            <w:noWrap/>
            <w:vAlign w:val="center"/>
          </w:tcPr>
          <w:p w14:paraId="43C4F87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2,076</w:t>
            </w:r>
          </w:p>
        </w:tc>
        <w:tc>
          <w:tcPr>
            <w:tcW w:w="808" w:type="dxa"/>
            <w:tcBorders>
              <w:top w:val="nil"/>
              <w:left w:val="nil"/>
              <w:bottom w:val="single" w:sz="4" w:space="0" w:color="BFBFBF"/>
              <w:right w:val="single" w:sz="4" w:space="0" w:color="auto"/>
            </w:tcBorders>
            <w:shd w:val="clear" w:color="auto" w:fill="auto"/>
            <w:noWrap/>
            <w:vAlign w:val="center"/>
          </w:tcPr>
          <w:p w14:paraId="767DFCF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3,698</w:t>
            </w:r>
          </w:p>
        </w:tc>
        <w:tc>
          <w:tcPr>
            <w:tcW w:w="857" w:type="dxa"/>
            <w:tcBorders>
              <w:top w:val="nil"/>
              <w:left w:val="nil"/>
              <w:bottom w:val="single" w:sz="4" w:space="0" w:color="BFBFBF"/>
              <w:right w:val="single" w:sz="4" w:space="0" w:color="BFBFBF"/>
            </w:tcBorders>
            <w:shd w:val="clear" w:color="auto" w:fill="auto"/>
            <w:noWrap/>
            <w:vAlign w:val="center"/>
          </w:tcPr>
          <w:p w14:paraId="5A5EB851"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879</w:t>
            </w:r>
          </w:p>
        </w:tc>
        <w:tc>
          <w:tcPr>
            <w:tcW w:w="714" w:type="dxa"/>
            <w:tcBorders>
              <w:top w:val="nil"/>
              <w:left w:val="nil"/>
              <w:bottom w:val="single" w:sz="4" w:space="0" w:color="BFBFBF"/>
              <w:right w:val="single" w:sz="4" w:space="0" w:color="BFBFBF"/>
            </w:tcBorders>
            <w:shd w:val="clear" w:color="auto" w:fill="auto"/>
            <w:noWrap/>
            <w:vAlign w:val="center"/>
          </w:tcPr>
          <w:p w14:paraId="7ED1EFF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1,397</w:t>
            </w:r>
          </w:p>
        </w:tc>
        <w:tc>
          <w:tcPr>
            <w:tcW w:w="675" w:type="dxa"/>
            <w:tcBorders>
              <w:top w:val="nil"/>
              <w:left w:val="nil"/>
              <w:bottom w:val="single" w:sz="4" w:space="0" w:color="BFBFBF"/>
              <w:right w:val="nil"/>
            </w:tcBorders>
            <w:shd w:val="clear" w:color="auto" w:fill="auto"/>
            <w:noWrap/>
            <w:vAlign w:val="center"/>
          </w:tcPr>
          <w:p w14:paraId="56EEB55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1,334</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EAF747E"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4C14CDD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552A1A5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B42000E"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3E09019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7A8FA66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73F0548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0D313C8E"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7EA7C174"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smartTag w:uri="urn:schemas-microsoft-com:office:smarttags" w:element="place">
              <w:r w:rsidRPr="00302718">
                <w:rPr>
                  <w:rFonts w:ascii="Arial" w:hAnsi="Arial" w:cs="Arial"/>
                  <w:color w:val="000000"/>
                  <w:sz w:val="16"/>
                  <w:szCs w:val="16"/>
                  <w:lang w:val="en-AU" w:eastAsia="en-AU"/>
                </w:rPr>
                <w:t>Southern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4B569D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1,359</w:t>
            </w:r>
          </w:p>
        </w:tc>
        <w:tc>
          <w:tcPr>
            <w:tcW w:w="808" w:type="dxa"/>
            <w:tcBorders>
              <w:top w:val="nil"/>
              <w:left w:val="nil"/>
              <w:bottom w:val="single" w:sz="4" w:space="0" w:color="BFBFBF"/>
              <w:right w:val="single" w:sz="4" w:space="0" w:color="BFBFBF"/>
            </w:tcBorders>
            <w:shd w:val="clear" w:color="auto" w:fill="auto"/>
            <w:noWrap/>
            <w:vAlign w:val="center"/>
          </w:tcPr>
          <w:p w14:paraId="3EAA29C2"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2,299</w:t>
            </w:r>
          </w:p>
        </w:tc>
        <w:tc>
          <w:tcPr>
            <w:tcW w:w="808" w:type="dxa"/>
            <w:tcBorders>
              <w:top w:val="nil"/>
              <w:left w:val="nil"/>
              <w:bottom w:val="single" w:sz="4" w:space="0" w:color="BFBFBF"/>
              <w:right w:val="single" w:sz="4" w:space="0" w:color="auto"/>
            </w:tcBorders>
            <w:shd w:val="clear" w:color="auto" w:fill="auto"/>
            <w:noWrap/>
            <w:vAlign w:val="center"/>
          </w:tcPr>
          <w:p w14:paraId="2110CA59"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3,654</w:t>
            </w:r>
          </w:p>
        </w:tc>
        <w:tc>
          <w:tcPr>
            <w:tcW w:w="857" w:type="dxa"/>
            <w:tcBorders>
              <w:top w:val="nil"/>
              <w:left w:val="nil"/>
              <w:bottom w:val="single" w:sz="4" w:space="0" w:color="BFBFBF"/>
              <w:right w:val="single" w:sz="4" w:space="0" w:color="BFBFBF"/>
            </w:tcBorders>
            <w:shd w:val="clear" w:color="auto" w:fill="auto"/>
            <w:noWrap/>
            <w:vAlign w:val="center"/>
          </w:tcPr>
          <w:p w14:paraId="1C2F8E21"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1,092</w:t>
            </w:r>
          </w:p>
        </w:tc>
        <w:tc>
          <w:tcPr>
            <w:tcW w:w="714" w:type="dxa"/>
            <w:tcBorders>
              <w:top w:val="nil"/>
              <w:left w:val="nil"/>
              <w:bottom w:val="single" w:sz="4" w:space="0" w:color="BFBFBF"/>
              <w:right w:val="single" w:sz="4" w:space="0" w:color="BFBFBF"/>
            </w:tcBorders>
            <w:shd w:val="clear" w:color="auto" w:fill="auto"/>
            <w:noWrap/>
            <w:vAlign w:val="center"/>
          </w:tcPr>
          <w:p w14:paraId="676C3AA3"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1,356</w:t>
            </w:r>
          </w:p>
        </w:tc>
        <w:tc>
          <w:tcPr>
            <w:tcW w:w="675" w:type="dxa"/>
            <w:tcBorders>
              <w:top w:val="nil"/>
              <w:left w:val="nil"/>
              <w:bottom w:val="single" w:sz="4" w:space="0" w:color="BFBFBF"/>
              <w:right w:val="nil"/>
            </w:tcBorders>
            <w:shd w:val="clear" w:color="auto" w:fill="auto"/>
            <w:noWrap/>
            <w:vAlign w:val="center"/>
          </w:tcPr>
          <w:p w14:paraId="3E127753"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1,875</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5788B8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5C8CEAB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5147AC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1DB7863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24A4452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4CFE590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54A9B27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40BF12AA"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34ECD094"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Bayside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C0A920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1,420</w:t>
            </w:r>
          </w:p>
        </w:tc>
        <w:tc>
          <w:tcPr>
            <w:tcW w:w="808" w:type="dxa"/>
            <w:tcBorders>
              <w:top w:val="nil"/>
              <w:left w:val="nil"/>
              <w:bottom w:val="single" w:sz="4" w:space="0" w:color="BFBFBF"/>
              <w:right w:val="single" w:sz="4" w:space="0" w:color="BFBFBF"/>
            </w:tcBorders>
            <w:shd w:val="clear" w:color="auto" w:fill="auto"/>
            <w:noWrap/>
            <w:vAlign w:val="center"/>
          </w:tcPr>
          <w:p w14:paraId="3C92308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2,217</w:t>
            </w:r>
          </w:p>
        </w:tc>
        <w:tc>
          <w:tcPr>
            <w:tcW w:w="808" w:type="dxa"/>
            <w:tcBorders>
              <w:top w:val="nil"/>
              <w:left w:val="nil"/>
              <w:bottom w:val="single" w:sz="4" w:space="0" w:color="BFBFBF"/>
              <w:right w:val="single" w:sz="4" w:space="0" w:color="auto"/>
            </w:tcBorders>
            <w:shd w:val="clear" w:color="auto" w:fill="auto"/>
            <w:noWrap/>
            <w:vAlign w:val="center"/>
          </w:tcPr>
          <w:p w14:paraId="4F5D68A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w:t>
            </w:r>
          </w:p>
        </w:tc>
        <w:tc>
          <w:tcPr>
            <w:tcW w:w="857" w:type="dxa"/>
            <w:tcBorders>
              <w:top w:val="nil"/>
              <w:left w:val="nil"/>
              <w:bottom w:val="single" w:sz="4" w:space="0" w:color="BFBFBF"/>
              <w:right w:val="single" w:sz="4" w:space="0" w:color="BFBFBF"/>
            </w:tcBorders>
            <w:shd w:val="clear" w:color="auto" w:fill="auto"/>
            <w:noWrap/>
            <w:vAlign w:val="center"/>
          </w:tcPr>
          <w:p w14:paraId="4D851A9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622</w:t>
            </w:r>
          </w:p>
        </w:tc>
        <w:tc>
          <w:tcPr>
            <w:tcW w:w="714" w:type="dxa"/>
            <w:tcBorders>
              <w:top w:val="nil"/>
              <w:left w:val="nil"/>
              <w:bottom w:val="single" w:sz="4" w:space="0" w:color="BFBFBF"/>
              <w:right w:val="single" w:sz="4" w:space="0" w:color="BFBFBF"/>
            </w:tcBorders>
            <w:shd w:val="clear" w:color="auto" w:fill="auto"/>
            <w:noWrap/>
            <w:vAlign w:val="center"/>
          </w:tcPr>
          <w:p w14:paraId="065B2FF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1,810</w:t>
            </w:r>
          </w:p>
        </w:tc>
        <w:tc>
          <w:tcPr>
            <w:tcW w:w="675" w:type="dxa"/>
            <w:tcBorders>
              <w:top w:val="nil"/>
              <w:left w:val="nil"/>
              <w:bottom w:val="single" w:sz="4" w:space="0" w:color="BFBFBF"/>
              <w:right w:val="nil"/>
            </w:tcBorders>
            <w:shd w:val="clear" w:color="auto" w:fill="auto"/>
            <w:noWrap/>
            <w:vAlign w:val="center"/>
          </w:tcPr>
          <w:p w14:paraId="734ACC6C"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1,916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7913AF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398F75E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FAA57B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4F4B21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4A60302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672463A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7A0F871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6A7BC7E1"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7D3BE756"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smartTag w:uri="urn:schemas-microsoft-com:office:smarttags" w:element="place">
              <w:r w:rsidRPr="00302718">
                <w:rPr>
                  <w:rFonts w:ascii="Arial" w:hAnsi="Arial" w:cs="Arial"/>
                  <w:color w:val="000000"/>
                  <w:sz w:val="16"/>
                  <w:szCs w:val="16"/>
                  <w:lang w:val="en-AU" w:eastAsia="en-AU"/>
                </w:rPr>
                <w:t>Western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E26B77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1,321</w:t>
            </w:r>
          </w:p>
        </w:tc>
        <w:tc>
          <w:tcPr>
            <w:tcW w:w="808" w:type="dxa"/>
            <w:tcBorders>
              <w:top w:val="nil"/>
              <w:left w:val="nil"/>
              <w:bottom w:val="single" w:sz="4" w:space="0" w:color="BFBFBF"/>
              <w:right w:val="single" w:sz="4" w:space="0" w:color="BFBFBF"/>
            </w:tcBorders>
            <w:shd w:val="clear" w:color="auto" w:fill="auto"/>
            <w:noWrap/>
            <w:vAlign w:val="center"/>
          </w:tcPr>
          <w:p w14:paraId="2E5844C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2,018</w:t>
            </w:r>
          </w:p>
        </w:tc>
        <w:tc>
          <w:tcPr>
            <w:tcW w:w="808" w:type="dxa"/>
            <w:tcBorders>
              <w:top w:val="nil"/>
              <w:left w:val="nil"/>
              <w:bottom w:val="single" w:sz="4" w:space="0" w:color="BFBFBF"/>
              <w:right w:val="single" w:sz="4" w:space="0" w:color="auto"/>
            </w:tcBorders>
            <w:shd w:val="clear" w:color="auto" w:fill="auto"/>
            <w:noWrap/>
            <w:vAlign w:val="center"/>
          </w:tcPr>
          <w:p w14:paraId="0B53D20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3,489</w:t>
            </w:r>
          </w:p>
        </w:tc>
        <w:tc>
          <w:tcPr>
            <w:tcW w:w="857" w:type="dxa"/>
            <w:tcBorders>
              <w:top w:val="nil"/>
              <w:left w:val="nil"/>
              <w:bottom w:val="single" w:sz="4" w:space="0" w:color="BFBFBF"/>
              <w:right w:val="single" w:sz="4" w:space="0" w:color="BFBFBF"/>
            </w:tcBorders>
            <w:shd w:val="clear" w:color="auto" w:fill="auto"/>
            <w:noWrap/>
            <w:vAlign w:val="center"/>
          </w:tcPr>
          <w:p w14:paraId="29AD0573"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914</w:t>
            </w:r>
          </w:p>
        </w:tc>
        <w:tc>
          <w:tcPr>
            <w:tcW w:w="714" w:type="dxa"/>
            <w:tcBorders>
              <w:top w:val="nil"/>
              <w:left w:val="nil"/>
              <w:bottom w:val="single" w:sz="4" w:space="0" w:color="BFBFBF"/>
              <w:right w:val="single" w:sz="4" w:space="0" w:color="BFBFBF"/>
            </w:tcBorders>
            <w:shd w:val="clear" w:color="auto" w:fill="auto"/>
            <w:noWrap/>
            <w:vAlign w:val="center"/>
          </w:tcPr>
          <w:p w14:paraId="6DB6DB6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1,682</w:t>
            </w:r>
          </w:p>
        </w:tc>
        <w:tc>
          <w:tcPr>
            <w:tcW w:w="675" w:type="dxa"/>
            <w:tcBorders>
              <w:top w:val="nil"/>
              <w:left w:val="nil"/>
              <w:bottom w:val="single" w:sz="4" w:space="0" w:color="BFBFBF"/>
              <w:right w:val="nil"/>
            </w:tcBorders>
            <w:shd w:val="clear" w:color="auto" w:fill="auto"/>
            <w:noWrap/>
            <w:vAlign w:val="center"/>
          </w:tcPr>
          <w:p w14:paraId="1B0AE079"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2,034</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B52395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6C6E2E4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59F1F657"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3284496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1800366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5B32F1C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4C72C85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4E0241BD"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29AFF7A1"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Brimbank Melton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EBB9CC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1,351</w:t>
            </w:r>
          </w:p>
        </w:tc>
        <w:tc>
          <w:tcPr>
            <w:tcW w:w="808" w:type="dxa"/>
            <w:tcBorders>
              <w:top w:val="nil"/>
              <w:left w:val="nil"/>
              <w:bottom w:val="single" w:sz="4" w:space="0" w:color="BFBFBF"/>
              <w:right w:val="single" w:sz="4" w:space="0" w:color="BFBFBF"/>
            </w:tcBorders>
            <w:shd w:val="clear" w:color="auto" w:fill="auto"/>
            <w:noWrap/>
            <w:vAlign w:val="center"/>
          </w:tcPr>
          <w:p w14:paraId="5E79539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2,507</w:t>
            </w:r>
          </w:p>
        </w:tc>
        <w:tc>
          <w:tcPr>
            <w:tcW w:w="808" w:type="dxa"/>
            <w:tcBorders>
              <w:top w:val="nil"/>
              <w:left w:val="nil"/>
              <w:bottom w:val="single" w:sz="4" w:space="0" w:color="BFBFBF"/>
              <w:right w:val="single" w:sz="4" w:space="0" w:color="auto"/>
            </w:tcBorders>
            <w:shd w:val="clear" w:color="auto" w:fill="auto"/>
            <w:noWrap/>
            <w:vAlign w:val="center"/>
          </w:tcPr>
          <w:p w14:paraId="6F8943B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3,776</w:t>
            </w:r>
          </w:p>
        </w:tc>
        <w:tc>
          <w:tcPr>
            <w:tcW w:w="857" w:type="dxa"/>
            <w:tcBorders>
              <w:top w:val="nil"/>
              <w:left w:val="nil"/>
              <w:bottom w:val="single" w:sz="4" w:space="0" w:color="BFBFBF"/>
              <w:right w:val="single" w:sz="4" w:space="0" w:color="BFBFBF"/>
            </w:tcBorders>
            <w:shd w:val="clear" w:color="auto" w:fill="auto"/>
            <w:noWrap/>
            <w:vAlign w:val="center"/>
          </w:tcPr>
          <w:p w14:paraId="7FF6A3B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589</w:t>
            </w:r>
          </w:p>
        </w:tc>
        <w:tc>
          <w:tcPr>
            <w:tcW w:w="714" w:type="dxa"/>
            <w:tcBorders>
              <w:top w:val="nil"/>
              <w:left w:val="nil"/>
              <w:bottom w:val="single" w:sz="4" w:space="0" w:color="BFBFBF"/>
              <w:right w:val="single" w:sz="4" w:space="0" w:color="BFBFBF"/>
            </w:tcBorders>
            <w:shd w:val="clear" w:color="auto" w:fill="auto"/>
            <w:noWrap/>
            <w:vAlign w:val="center"/>
          </w:tcPr>
          <w:p w14:paraId="33F4333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2,027</w:t>
            </w:r>
          </w:p>
        </w:tc>
        <w:tc>
          <w:tcPr>
            <w:tcW w:w="675" w:type="dxa"/>
            <w:tcBorders>
              <w:top w:val="nil"/>
              <w:left w:val="nil"/>
              <w:bottom w:val="single" w:sz="4" w:space="0" w:color="BFBFBF"/>
              <w:right w:val="nil"/>
            </w:tcBorders>
            <w:shd w:val="clear" w:color="auto" w:fill="auto"/>
            <w:noWrap/>
            <w:vAlign w:val="center"/>
          </w:tcPr>
          <w:p w14:paraId="3A5ECA89"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1,771</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18CAAA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6C7BD46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659090C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60E9A1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293B9F2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6F5694B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6794AEC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7FF822BC"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47A0DF01"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Mallee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198000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1,659</w:t>
            </w:r>
          </w:p>
        </w:tc>
        <w:tc>
          <w:tcPr>
            <w:tcW w:w="808" w:type="dxa"/>
            <w:tcBorders>
              <w:top w:val="nil"/>
              <w:left w:val="nil"/>
              <w:bottom w:val="single" w:sz="4" w:space="0" w:color="BFBFBF"/>
              <w:right w:val="single" w:sz="4" w:space="0" w:color="BFBFBF"/>
            </w:tcBorders>
            <w:shd w:val="clear" w:color="auto" w:fill="auto"/>
            <w:noWrap/>
            <w:vAlign w:val="center"/>
          </w:tcPr>
          <w:p w14:paraId="3F46F8F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2,268</w:t>
            </w:r>
          </w:p>
        </w:tc>
        <w:tc>
          <w:tcPr>
            <w:tcW w:w="808" w:type="dxa"/>
            <w:tcBorders>
              <w:top w:val="nil"/>
              <w:left w:val="nil"/>
              <w:bottom w:val="single" w:sz="4" w:space="0" w:color="BFBFBF"/>
              <w:right w:val="single" w:sz="4" w:space="0" w:color="auto"/>
            </w:tcBorders>
            <w:shd w:val="clear" w:color="auto" w:fill="auto"/>
            <w:noWrap/>
            <w:vAlign w:val="center"/>
          </w:tcPr>
          <w:p w14:paraId="20CB154C"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3,948</w:t>
            </w:r>
          </w:p>
        </w:tc>
        <w:tc>
          <w:tcPr>
            <w:tcW w:w="857" w:type="dxa"/>
            <w:tcBorders>
              <w:top w:val="nil"/>
              <w:left w:val="nil"/>
              <w:bottom w:val="single" w:sz="4" w:space="0" w:color="BFBFBF"/>
              <w:right w:val="single" w:sz="4" w:space="0" w:color="BFBFBF"/>
            </w:tcBorders>
            <w:shd w:val="clear" w:color="auto" w:fill="auto"/>
            <w:noWrap/>
            <w:vAlign w:val="center"/>
          </w:tcPr>
          <w:p w14:paraId="29FCCE91"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1,006</w:t>
            </w:r>
          </w:p>
        </w:tc>
        <w:tc>
          <w:tcPr>
            <w:tcW w:w="714" w:type="dxa"/>
            <w:tcBorders>
              <w:top w:val="nil"/>
              <w:left w:val="nil"/>
              <w:bottom w:val="single" w:sz="4" w:space="0" w:color="BFBFBF"/>
              <w:right w:val="single" w:sz="4" w:space="0" w:color="BFBFBF"/>
            </w:tcBorders>
            <w:shd w:val="clear" w:color="auto" w:fill="auto"/>
            <w:noWrap/>
            <w:vAlign w:val="center"/>
          </w:tcPr>
          <w:p w14:paraId="628D4ED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1,514</w:t>
            </w:r>
          </w:p>
        </w:tc>
        <w:tc>
          <w:tcPr>
            <w:tcW w:w="675" w:type="dxa"/>
            <w:tcBorders>
              <w:top w:val="nil"/>
              <w:left w:val="nil"/>
              <w:bottom w:val="single" w:sz="4" w:space="0" w:color="BFBFBF"/>
              <w:right w:val="nil"/>
            </w:tcBorders>
            <w:shd w:val="clear" w:color="auto" w:fill="auto"/>
            <w:noWrap/>
            <w:vAlign w:val="center"/>
          </w:tcPr>
          <w:p w14:paraId="62176B5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2,332</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77E00D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77F3D55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604CF14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02D210E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4FDE75E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245D396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276F9D7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022B4389"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6D597DF4"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Loddon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D41FCF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1,363</w:t>
            </w:r>
          </w:p>
        </w:tc>
        <w:tc>
          <w:tcPr>
            <w:tcW w:w="808" w:type="dxa"/>
            <w:tcBorders>
              <w:top w:val="nil"/>
              <w:left w:val="nil"/>
              <w:bottom w:val="single" w:sz="4" w:space="0" w:color="BFBFBF"/>
              <w:right w:val="single" w:sz="4" w:space="0" w:color="BFBFBF"/>
            </w:tcBorders>
            <w:shd w:val="clear" w:color="auto" w:fill="auto"/>
            <w:noWrap/>
            <w:vAlign w:val="center"/>
          </w:tcPr>
          <w:p w14:paraId="07935FC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2,059</w:t>
            </w:r>
          </w:p>
        </w:tc>
        <w:tc>
          <w:tcPr>
            <w:tcW w:w="808" w:type="dxa"/>
            <w:tcBorders>
              <w:top w:val="nil"/>
              <w:left w:val="nil"/>
              <w:bottom w:val="single" w:sz="4" w:space="0" w:color="BFBFBF"/>
              <w:right w:val="single" w:sz="4" w:space="0" w:color="auto"/>
            </w:tcBorders>
            <w:shd w:val="clear" w:color="auto" w:fill="auto"/>
            <w:noWrap/>
            <w:vAlign w:val="center"/>
          </w:tcPr>
          <w:p w14:paraId="3BCE6EB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3,517</w:t>
            </w:r>
          </w:p>
        </w:tc>
        <w:tc>
          <w:tcPr>
            <w:tcW w:w="857" w:type="dxa"/>
            <w:tcBorders>
              <w:top w:val="nil"/>
              <w:left w:val="nil"/>
              <w:bottom w:val="single" w:sz="4" w:space="0" w:color="BFBFBF"/>
              <w:right w:val="single" w:sz="4" w:space="0" w:color="BFBFBF"/>
            </w:tcBorders>
            <w:shd w:val="clear" w:color="auto" w:fill="auto"/>
            <w:noWrap/>
            <w:vAlign w:val="center"/>
          </w:tcPr>
          <w:p w14:paraId="797B6F39"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1,131</w:t>
            </w:r>
          </w:p>
        </w:tc>
        <w:tc>
          <w:tcPr>
            <w:tcW w:w="714" w:type="dxa"/>
            <w:tcBorders>
              <w:top w:val="nil"/>
              <w:left w:val="nil"/>
              <w:bottom w:val="single" w:sz="4" w:space="0" w:color="BFBFBF"/>
              <w:right w:val="single" w:sz="4" w:space="0" w:color="BFBFBF"/>
            </w:tcBorders>
            <w:shd w:val="clear" w:color="auto" w:fill="auto"/>
            <w:noWrap/>
            <w:vAlign w:val="center"/>
          </w:tcPr>
          <w:p w14:paraId="0F66D5B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1,514</w:t>
            </w:r>
          </w:p>
        </w:tc>
        <w:tc>
          <w:tcPr>
            <w:tcW w:w="675" w:type="dxa"/>
            <w:tcBorders>
              <w:top w:val="nil"/>
              <w:left w:val="nil"/>
              <w:bottom w:val="single" w:sz="4" w:space="0" w:color="BFBFBF"/>
              <w:right w:val="nil"/>
            </w:tcBorders>
            <w:shd w:val="clear" w:color="auto" w:fill="auto"/>
            <w:noWrap/>
            <w:vAlign w:val="center"/>
          </w:tcPr>
          <w:p w14:paraId="7722B38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2,095</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94F777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48A746F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545AE5D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3E30876E"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66C8596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2F19D6F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0D57F3A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0B1620D9"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50CA8788"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302718">
                  <w:rPr>
                    <w:rFonts w:ascii="Arial" w:hAnsi="Arial" w:cs="Arial"/>
                    <w:color w:val="000000"/>
                    <w:sz w:val="16"/>
                    <w:szCs w:val="16"/>
                    <w:lang w:val="en-AU" w:eastAsia="en-AU"/>
                  </w:rPr>
                  <w:t>Murray</w:t>
                </w:r>
              </w:smartTag>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4BE3F0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1,459</w:t>
            </w:r>
          </w:p>
        </w:tc>
        <w:tc>
          <w:tcPr>
            <w:tcW w:w="808" w:type="dxa"/>
            <w:tcBorders>
              <w:top w:val="nil"/>
              <w:left w:val="nil"/>
              <w:bottom w:val="single" w:sz="4" w:space="0" w:color="BFBFBF"/>
              <w:right w:val="single" w:sz="4" w:space="0" w:color="BFBFBF"/>
            </w:tcBorders>
            <w:shd w:val="clear" w:color="auto" w:fill="auto"/>
            <w:noWrap/>
            <w:vAlign w:val="center"/>
          </w:tcPr>
          <w:p w14:paraId="1185D3F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2,140</w:t>
            </w:r>
          </w:p>
        </w:tc>
        <w:tc>
          <w:tcPr>
            <w:tcW w:w="808" w:type="dxa"/>
            <w:tcBorders>
              <w:top w:val="nil"/>
              <w:left w:val="nil"/>
              <w:bottom w:val="single" w:sz="4" w:space="0" w:color="BFBFBF"/>
              <w:right w:val="single" w:sz="4" w:space="0" w:color="auto"/>
            </w:tcBorders>
            <w:shd w:val="clear" w:color="auto" w:fill="auto"/>
            <w:noWrap/>
            <w:vAlign w:val="center"/>
          </w:tcPr>
          <w:p w14:paraId="5621FA22"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3,644</w:t>
            </w:r>
          </w:p>
        </w:tc>
        <w:tc>
          <w:tcPr>
            <w:tcW w:w="857" w:type="dxa"/>
            <w:tcBorders>
              <w:top w:val="nil"/>
              <w:left w:val="nil"/>
              <w:bottom w:val="single" w:sz="4" w:space="0" w:color="BFBFBF"/>
              <w:right w:val="single" w:sz="4" w:space="0" w:color="BFBFBF"/>
            </w:tcBorders>
            <w:shd w:val="clear" w:color="auto" w:fill="auto"/>
            <w:noWrap/>
            <w:vAlign w:val="center"/>
          </w:tcPr>
          <w:p w14:paraId="7085BBCC"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880</w:t>
            </w:r>
          </w:p>
        </w:tc>
        <w:tc>
          <w:tcPr>
            <w:tcW w:w="714" w:type="dxa"/>
            <w:tcBorders>
              <w:top w:val="nil"/>
              <w:left w:val="nil"/>
              <w:bottom w:val="single" w:sz="4" w:space="0" w:color="BFBFBF"/>
              <w:right w:val="single" w:sz="4" w:space="0" w:color="BFBFBF"/>
            </w:tcBorders>
            <w:shd w:val="clear" w:color="auto" w:fill="auto"/>
            <w:noWrap/>
            <w:vAlign w:val="center"/>
          </w:tcPr>
          <w:p w14:paraId="55826BF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1,050</w:t>
            </w:r>
          </w:p>
        </w:tc>
        <w:tc>
          <w:tcPr>
            <w:tcW w:w="675" w:type="dxa"/>
            <w:tcBorders>
              <w:top w:val="nil"/>
              <w:left w:val="nil"/>
              <w:bottom w:val="single" w:sz="4" w:space="0" w:color="BFBFBF"/>
              <w:right w:val="nil"/>
            </w:tcBorders>
            <w:shd w:val="clear" w:color="auto" w:fill="auto"/>
            <w:noWrap/>
            <w:vAlign w:val="center"/>
          </w:tcPr>
          <w:p w14:paraId="077470B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1,726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9160197"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7C47CC27"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696FED4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05ED9E7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07E542D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0142763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6DBD1D3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75CF73C9"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6AF6D276"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Goulburn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9F4EA7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1,622</w:t>
            </w:r>
          </w:p>
        </w:tc>
        <w:tc>
          <w:tcPr>
            <w:tcW w:w="808" w:type="dxa"/>
            <w:tcBorders>
              <w:top w:val="nil"/>
              <w:left w:val="nil"/>
              <w:bottom w:val="single" w:sz="4" w:space="0" w:color="BFBFBF"/>
              <w:right w:val="single" w:sz="4" w:space="0" w:color="BFBFBF"/>
            </w:tcBorders>
            <w:shd w:val="clear" w:color="auto" w:fill="auto"/>
            <w:noWrap/>
            <w:vAlign w:val="center"/>
          </w:tcPr>
          <w:p w14:paraId="63D3726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2,266</w:t>
            </w:r>
          </w:p>
        </w:tc>
        <w:tc>
          <w:tcPr>
            <w:tcW w:w="808" w:type="dxa"/>
            <w:tcBorders>
              <w:top w:val="nil"/>
              <w:left w:val="nil"/>
              <w:bottom w:val="single" w:sz="4" w:space="0" w:color="BFBFBF"/>
              <w:right w:val="single" w:sz="4" w:space="0" w:color="auto"/>
            </w:tcBorders>
            <w:shd w:val="clear" w:color="auto" w:fill="auto"/>
            <w:noWrap/>
            <w:vAlign w:val="center"/>
          </w:tcPr>
          <w:p w14:paraId="41D9BD54"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3,886</w:t>
            </w:r>
          </w:p>
        </w:tc>
        <w:tc>
          <w:tcPr>
            <w:tcW w:w="857" w:type="dxa"/>
            <w:tcBorders>
              <w:top w:val="nil"/>
              <w:left w:val="nil"/>
              <w:bottom w:val="single" w:sz="4" w:space="0" w:color="BFBFBF"/>
              <w:right w:val="single" w:sz="4" w:space="0" w:color="BFBFBF"/>
            </w:tcBorders>
            <w:shd w:val="clear" w:color="auto" w:fill="auto"/>
            <w:noWrap/>
            <w:vAlign w:val="center"/>
          </w:tcPr>
          <w:p w14:paraId="59411169"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1,467</w:t>
            </w:r>
          </w:p>
        </w:tc>
        <w:tc>
          <w:tcPr>
            <w:tcW w:w="714" w:type="dxa"/>
            <w:tcBorders>
              <w:top w:val="nil"/>
              <w:left w:val="nil"/>
              <w:bottom w:val="single" w:sz="4" w:space="0" w:color="BFBFBF"/>
              <w:right w:val="single" w:sz="4" w:space="0" w:color="BFBFBF"/>
            </w:tcBorders>
            <w:shd w:val="clear" w:color="auto" w:fill="auto"/>
            <w:noWrap/>
            <w:vAlign w:val="center"/>
          </w:tcPr>
          <w:p w14:paraId="3045D771"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2,640</w:t>
            </w:r>
          </w:p>
        </w:tc>
        <w:tc>
          <w:tcPr>
            <w:tcW w:w="675" w:type="dxa"/>
            <w:tcBorders>
              <w:top w:val="nil"/>
              <w:left w:val="nil"/>
              <w:bottom w:val="single" w:sz="4" w:space="0" w:color="BFBFBF"/>
              <w:right w:val="nil"/>
            </w:tcBorders>
            <w:shd w:val="clear" w:color="auto" w:fill="auto"/>
            <w:noWrap/>
            <w:vAlign w:val="center"/>
          </w:tcPr>
          <w:p w14:paraId="0266CBE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3,320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CA99CE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51F471E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9C1A52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04EA5A1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2D8DB97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3110865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61FE59F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1D7BC388"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3299D24B"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Outer Gippsland</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2254CD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1,426</w:t>
            </w:r>
          </w:p>
        </w:tc>
        <w:tc>
          <w:tcPr>
            <w:tcW w:w="808" w:type="dxa"/>
            <w:tcBorders>
              <w:top w:val="nil"/>
              <w:left w:val="nil"/>
              <w:bottom w:val="single" w:sz="4" w:space="0" w:color="BFBFBF"/>
              <w:right w:val="single" w:sz="4" w:space="0" w:color="BFBFBF"/>
            </w:tcBorders>
            <w:shd w:val="clear" w:color="auto" w:fill="auto"/>
            <w:noWrap/>
            <w:vAlign w:val="center"/>
          </w:tcPr>
          <w:p w14:paraId="7C023D94"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2,046</w:t>
            </w:r>
          </w:p>
        </w:tc>
        <w:tc>
          <w:tcPr>
            <w:tcW w:w="808" w:type="dxa"/>
            <w:tcBorders>
              <w:top w:val="nil"/>
              <w:left w:val="nil"/>
              <w:bottom w:val="single" w:sz="4" w:space="0" w:color="BFBFBF"/>
              <w:right w:val="single" w:sz="4" w:space="0" w:color="auto"/>
            </w:tcBorders>
            <w:shd w:val="clear" w:color="auto" w:fill="auto"/>
            <w:noWrap/>
            <w:vAlign w:val="center"/>
          </w:tcPr>
          <w:p w14:paraId="7D0156A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3,431</w:t>
            </w:r>
          </w:p>
        </w:tc>
        <w:tc>
          <w:tcPr>
            <w:tcW w:w="857" w:type="dxa"/>
            <w:tcBorders>
              <w:top w:val="nil"/>
              <w:left w:val="nil"/>
              <w:bottom w:val="single" w:sz="4" w:space="0" w:color="BFBFBF"/>
              <w:right w:val="single" w:sz="4" w:space="0" w:color="BFBFBF"/>
            </w:tcBorders>
            <w:shd w:val="clear" w:color="auto" w:fill="auto"/>
            <w:noWrap/>
            <w:vAlign w:val="center"/>
          </w:tcPr>
          <w:p w14:paraId="3766BA5C"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1,098</w:t>
            </w:r>
          </w:p>
        </w:tc>
        <w:tc>
          <w:tcPr>
            <w:tcW w:w="714" w:type="dxa"/>
            <w:tcBorders>
              <w:top w:val="nil"/>
              <w:left w:val="nil"/>
              <w:bottom w:val="single" w:sz="4" w:space="0" w:color="BFBFBF"/>
              <w:right w:val="single" w:sz="4" w:space="0" w:color="BFBFBF"/>
            </w:tcBorders>
            <w:shd w:val="clear" w:color="auto" w:fill="auto"/>
            <w:noWrap/>
            <w:vAlign w:val="center"/>
          </w:tcPr>
          <w:p w14:paraId="7B0825F9"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2,093</w:t>
            </w:r>
          </w:p>
        </w:tc>
        <w:tc>
          <w:tcPr>
            <w:tcW w:w="675" w:type="dxa"/>
            <w:tcBorders>
              <w:top w:val="nil"/>
              <w:left w:val="nil"/>
              <w:bottom w:val="single" w:sz="4" w:space="0" w:color="BFBFBF"/>
              <w:right w:val="nil"/>
            </w:tcBorders>
            <w:shd w:val="clear" w:color="auto" w:fill="auto"/>
            <w:noWrap/>
            <w:vAlign w:val="center"/>
          </w:tcPr>
          <w:p w14:paraId="02A5B76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2,840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A7973E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1061744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5B70AE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A2A3FD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21DF377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0B5F20A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5B74736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11C41FD5"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30090A14"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Inner Gippsland</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5D47AA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1,243</w:t>
            </w:r>
          </w:p>
        </w:tc>
        <w:tc>
          <w:tcPr>
            <w:tcW w:w="808" w:type="dxa"/>
            <w:tcBorders>
              <w:top w:val="nil"/>
              <w:left w:val="nil"/>
              <w:bottom w:val="single" w:sz="4" w:space="0" w:color="BFBFBF"/>
              <w:right w:val="single" w:sz="4" w:space="0" w:color="BFBFBF"/>
            </w:tcBorders>
            <w:shd w:val="clear" w:color="auto" w:fill="auto"/>
            <w:noWrap/>
            <w:vAlign w:val="center"/>
          </w:tcPr>
          <w:p w14:paraId="23724D42"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1,817</w:t>
            </w:r>
          </w:p>
        </w:tc>
        <w:tc>
          <w:tcPr>
            <w:tcW w:w="808" w:type="dxa"/>
            <w:tcBorders>
              <w:top w:val="nil"/>
              <w:left w:val="nil"/>
              <w:bottom w:val="single" w:sz="4" w:space="0" w:color="BFBFBF"/>
              <w:right w:val="single" w:sz="4" w:space="0" w:color="auto"/>
            </w:tcBorders>
            <w:shd w:val="clear" w:color="auto" w:fill="auto"/>
            <w:noWrap/>
            <w:vAlign w:val="center"/>
          </w:tcPr>
          <w:p w14:paraId="730AA8B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3,210</w:t>
            </w:r>
          </w:p>
        </w:tc>
        <w:tc>
          <w:tcPr>
            <w:tcW w:w="857" w:type="dxa"/>
            <w:tcBorders>
              <w:top w:val="nil"/>
              <w:left w:val="nil"/>
              <w:bottom w:val="single" w:sz="4" w:space="0" w:color="BFBFBF"/>
              <w:right w:val="single" w:sz="4" w:space="0" w:color="BFBFBF"/>
            </w:tcBorders>
            <w:shd w:val="clear" w:color="auto" w:fill="auto"/>
            <w:noWrap/>
            <w:vAlign w:val="center"/>
          </w:tcPr>
          <w:p w14:paraId="7AF7D9E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1,109</w:t>
            </w:r>
          </w:p>
        </w:tc>
        <w:tc>
          <w:tcPr>
            <w:tcW w:w="714" w:type="dxa"/>
            <w:tcBorders>
              <w:top w:val="nil"/>
              <w:left w:val="nil"/>
              <w:bottom w:val="single" w:sz="4" w:space="0" w:color="BFBFBF"/>
              <w:right w:val="single" w:sz="4" w:space="0" w:color="BFBFBF"/>
            </w:tcBorders>
            <w:shd w:val="clear" w:color="auto" w:fill="auto"/>
            <w:noWrap/>
            <w:vAlign w:val="center"/>
          </w:tcPr>
          <w:p w14:paraId="116FA0A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1,692</w:t>
            </w:r>
          </w:p>
        </w:tc>
        <w:tc>
          <w:tcPr>
            <w:tcW w:w="675" w:type="dxa"/>
            <w:tcBorders>
              <w:top w:val="nil"/>
              <w:left w:val="nil"/>
              <w:bottom w:val="single" w:sz="4" w:space="0" w:color="BFBFBF"/>
              <w:right w:val="nil"/>
            </w:tcBorders>
            <w:shd w:val="clear" w:color="auto" w:fill="auto"/>
            <w:noWrap/>
            <w:vAlign w:val="center"/>
          </w:tcPr>
          <w:p w14:paraId="0273EF62"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2,591</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4B3309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595C986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504EAB9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518837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4879138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67EECFA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4FA1EB1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3BEEBF44"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2C05DF62"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Western District</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857847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1,366</w:t>
            </w:r>
          </w:p>
        </w:tc>
        <w:tc>
          <w:tcPr>
            <w:tcW w:w="808" w:type="dxa"/>
            <w:tcBorders>
              <w:top w:val="nil"/>
              <w:left w:val="nil"/>
              <w:bottom w:val="single" w:sz="4" w:space="0" w:color="BFBFBF"/>
              <w:right w:val="single" w:sz="4" w:space="0" w:color="BFBFBF"/>
            </w:tcBorders>
            <w:shd w:val="clear" w:color="auto" w:fill="auto"/>
            <w:noWrap/>
            <w:vAlign w:val="center"/>
          </w:tcPr>
          <w:p w14:paraId="5082EA6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2,092</w:t>
            </w:r>
          </w:p>
        </w:tc>
        <w:tc>
          <w:tcPr>
            <w:tcW w:w="808" w:type="dxa"/>
            <w:tcBorders>
              <w:top w:val="nil"/>
              <w:left w:val="nil"/>
              <w:bottom w:val="single" w:sz="4" w:space="0" w:color="BFBFBF"/>
              <w:right w:val="single" w:sz="4" w:space="0" w:color="auto"/>
            </w:tcBorders>
            <w:shd w:val="clear" w:color="auto" w:fill="auto"/>
            <w:noWrap/>
            <w:vAlign w:val="center"/>
          </w:tcPr>
          <w:p w14:paraId="4968663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3,495</w:t>
            </w:r>
          </w:p>
        </w:tc>
        <w:tc>
          <w:tcPr>
            <w:tcW w:w="857" w:type="dxa"/>
            <w:tcBorders>
              <w:top w:val="nil"/>
              <w:left w:val="nil"/>
              <w:bottom w:val="single" w:sz="4" w:space="0" w:color="BFBFBF"/>
              <w:right w:val="single" w:sz="4" w:space="0" w:color="BFBFBF"/>
            </w:tcBorders>
            <w:shd w:val="clear" w:color="auto" w:fill="auto"/>
            <w:noWrap/>
            <w:vAlign w:val="center"/>
          </w:tcPr>
          <w:p w14:paraId="45250C5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807</w:t>
            </w:r>
          </w:p>
        </w:tc>
        <w:tc>
          <w:tcPr>
            <w:tcW w:w="714" w:type="dxa"/>
            <w:tcBorders>
              <w:top w:val="nil"/>
              <w:left w:val="nil"/>
              <w:bottom w:val="single" w:sz="4" w:space="0" w:color="BFBFBF"/>
              <w:right w:val="single" w:sz="4" w:space="0" w:color="BFBFBF"/>
            </w:tcBorders>
            <w:shd w:val="clear" w:color="auto" w:fill="auto"/>
            <w:noWrap/>
            <w:vAlign w:val="center"/>
          </w:tcPr>
          <w:p w14:paraId="395640D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1,042</w:t>
            </w:r>
          </w:p>
        </w:tc>
        <w:tc>
          <w:tcPr>
            <w:tcW w:w="675" w:type="dxa"/>
            <w:tcBorders>
              <w:top w:val="nil"/>
              <w:left w:val="nil"/>
              <w:bottom w:val="single" w:sz="4" w:space="0" w:color="BFBFBF"/>
              <w:right w:val="nil"/>
            </w:tcBorders>
            <w:shd w:val="clear" w:color="auto" w:fill="auto"/>
            <w:noWrap/>
            <w:vAlign w:val="center"/>
          </w:tcPr>
          <w:p w14:paraId="3D024189"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1,184</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A98FEE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7A77F7D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676B48E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19D9558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41B32D67"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11E1B0F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1A4DF64E"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2B85B3C7"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512C5EA1"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Barwon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E3738E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1,158</w:t>
            </w:r>
          </w:p>
        </w:tc>
        <w:tc>
          <w:tcPr>
            <w:tcW w:w="808" w:type="dxa"/>
            <w:tcBorders>
              <w:top w:val="nil"/>
              <w:left w:val="nil"/>
              <w:bottom w:val="single" w:sz="4" w:space="0" w:color="BFBFBF"/>
              <w:right w:val="single" w:sz="4" w:space="0" w:color="BFBFBF"/>
            </w:tcBorders>
            <w:shd w:val="clear" w:color="auto" w:fill="auto"/>
            <w:noWrap/>
            <w:vAlign w:val="center"/>
          </w:tcPr>
          <w:p w14:paraId="178EDDC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1,993</w:t>
            </w:r>
          </w:p>
        </w:tc>
        <w:tc>
          <w:tcPr>
            <w:tcW w:w="808" w:type="dxa"/>
            <w:tcBorders>
              <w:top w:val="nil"/>
              <w:left w:val="nil"/>
              <w:bottom w:val="single" w:sz="4" w:space="0" w:color="BFBFBF"/>
              <w:right w:val="single" w:sz="4" w:space="0" w:color="auto"/>
            </w:tcBorders>
            <w:shd w:val="clear" w:color="auto" w:fill="auto"/>
            <w:noWrap/>
            <w:vAlign w:val="center"/>
          </w:tcPr>
          <w:p w14:paraId="5EDE9EF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3,170</w:t>
            </w:r>
          </w:p>
        </w:tc>
        <w:tc>
          <w:tcPr>
            <w:tcW w:w="857" w:type="dxa"/>
            <w:tcBorders>
              <w:top w:val="nil"/>
              <w:left w:val="nil"/>
              <w:bottom w:val="single" w:sz="4" w:space="0" w:color="BFBFBF"/>
              <w:right w:val="single" w:sz="4" w:space="0" w:color="BFBFBF"/>
            </w:tcBorders>
            <w:shd w:val="clear" w:color="auto" w:fill="auto"/>
            <w:noWrap/>
            <w:vAlign w:val="center"/>
          </w:tcPr>
          <w:p w14:paraId="1D853FC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659</w:t>
            </w:r>
          </w:p>
        </w:tc>
        <w:tc>
          <w:tcPr>
            <w:tcW w:w="714" w:type="dxa"/>
            <w:tcBorders>
              <w:top w:val="nil"/>
              <w:left w:val="nil"/>
              <w:bottom w:val="single" w:sz="4" w:space="0" w:color="BFBFBF"/>
              <w:right w:val="single" w:sz="4" w:space="0" w:color="BFBFBF"/>
            </w:tcBorders>
            <w:shd w:val="clear" w:color="auto" w:fill="auto"/>
            <w:noWrap/>
            <w:vAlign w:val="center"/>
          </w:tcPr>
          <w:p w14:paraId="1BEB704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1,587</w:t>
            </w:r>
          </w:p>
        </w:tc>
        <w:tc>
          <w:tcPr>
            <w:tcW w:w="675" w:type="dxa"/>
            <w:tcBorders>
              <w:top w:val="nil"/>
              <w:left w:val="nil"/>
              <w:bottom w:val="single" w:sz="4" w:space="0" w:color="BFBFBF"/>
              <w:right w:val="nil"/>
            </w:tcBorders>
            <w:shd w:val="clear" w:color="auto" w:fill="auto"/>
            <w:noWrap/>
            <w:vAlign w:val="center"/>
          </w:tcPr>
          <w:p w14:paraId="32404C1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1,818</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7B3A31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71854F1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23766F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274F9B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1C9C332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2F64157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2D9796E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1C839A38"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434E9D2E"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Central Highlands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9F0B6E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1,490</w:t>
            </w:r>
          </w:p>
        </w:tc>
        <w:tc>
          <w:tcPr>
            <w:tcW w:w="808" w:type="dxa"/>
            <w:tcBorders>
              <w:top w:val="nil"/>
              <w:left w:val="nil"/>
              <w:bottom w:val="single" w:sz="4" w:space="0" w:color="BFBFBF"/>
              <w:right w:val="single" w:sz="4" w:space="0" w:color="BFBFBF"/>
            </w:tcBorders>
            <w:shd w:val="clear" w:color="auto" w:fill="auto"/>
            <w:noWrap/>
            <w:vAlign w:val="center"/>
          </w:tcPr>
          <w:p w14:paraId="62A61A9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2,270</w:t>
            </w:r>
          </w:p>
        </w:tc>
        <w:tc>
          <w:tcPr>
            <w:tcW w:w="808" w:type="dxa"/>
            <w:tcBorders>
              <w:top w:val="nil"/>
              <w:left w:val="nil"/>
              <w:bottom w:val="single" w:sz="4" w:space="0" w:color="BFBFBF"/>
              <w:right w:val="single" w:sz="4" w:space="0" w:color="auto"/>
            </w:tcBorders>
            <w:shd w:val="clear" w:color="auto" w:fill="auto"/>
            <w:noWrap/>
            <w:vAlign w:val="center"/>
          </w:tcPr>
          <w:p w14:paraId="19577FD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3,751</w:t>
            </w:r>
          </w:p>
        </w:tc>
        <w:tc>
          <w:tcPr>
            <w:tcW w:w="857" w:type="dxa"/>
            <w:tcBorders>
              <w:top w:val="nil"/>
              <w:left w:val="nil"/>
              <w:bottom w:val="single" w:sz="4" w:space="0" w:color="BFBFBF"/>
              <w:right w:val="single" w:sz="4" w:space="0" w:color="BFBFBF"/>
            </w:tcBorders>
            <w:shd w:val="clear" w:color="auto" w:fill="auto"/>
            <w:noWrap/>
            <w:vAlign w:val="center"/>
          </w:tcPr>
          <w:p w14:paraId="4CD0BC5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1,084</w:t>
            </w:r>
          </w:p>
        </w:tc>
        <w:tc>
          <w:tcPr>
            <w:tcW w:w="714" w:type="dxa"/>
            <w:tcBorders>
              <w:top w:val="nil"/>
              <w:left w:val="nil"/>
              <w:bottom w:val="single" w:sz="4" w:space="0" w:color="BFBFBF"/>
              <w:right w:val="single" w:sz="4" w:space="0" w:color="BFBFBF"/>
            </w:tcBorders>
            <w:shd w:val="clear" w:color="auto" w:fill="auto"/>
            <w:noWrap/>
            <w:vAlign w:val="center"/>
          </w:tcPr>
          <w:p w14:paraId="7ED62FE4"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1,677</w:t>
            </w:r>
          </w:p>
        </w:tc>
        <w:tc>
          <w:tcPr>
            <w:tcW w:w="675" w:type="dxa"/>
            <w:tcBorders>
              <w:top w:val="nil"/>
              <w:left w:val="nil"/>
              <w:bottom w:val="single" w:sz="4" w:space="0" w:color="BFBFBF"/>
              <w:right w:val="nil"/>
            </w:tcBorders>
            <w:shd w:val="clear" w:color="auto" w:fill="auto"/>
            <w:noWrap/>
            <w:vAlign w:val="center"/>
          </w:tcPr>
          <w:p w14:paraId="79F8394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2,227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2BB72B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2C2D1A1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594FD4D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6A594D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714" w:type="dxa"/>
            <w:tcBorders>
              <w:top w:val="nil"/>
              <w:left w:val="nil"/>
              <w:bottom w:val="single" w:sz="4" w:space="0" w:color="BFBFBF"/>
              <w:right w:val="single" w:sz="4" w:space="0" w:color="BFBFBF"/>
            </w:tcBorders>
            <w:shd w:val="clear" w:color="auto" w:fill="auto"/>
            <w:noWrap/>
            <w:vAlign w:val="center"/>
          </w:tcPr>
          <w:p w14:paraId="794D1B8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1E2524A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11FC70E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n/a</w:t>
            </w:r>
          </w:p>
        </w:tc>
      </w:tr>
      <w:tr w:rsidR="0035712B" w:rsidRPr="00302718" w14:paraId="568FB381"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7FC02371" w14:textId="77777777" w:rsidR="0035712B" w:rsidRPr="00302718" w:rsidRDefault="0035712B" w:rsidP="009B2162">
            <w:pPr>
              <w:spacing w:before="0" w:after="0"/>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By Concession Status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91CA2BC" w14:textId="77777777" w:rsidR="0035712B" w:rsidRPr="00302718" w:rsidRDefault="0035712B">
            <w:pPr>
              <w:jc w:val="center"/>
              <w:rPr>
                <w:rFonts w:ascii="Arial" w:hAnsi="Arial" w:cs="Arial"/>
                <w:b/>
                <w:bCs/>
                <w:color w:val="000000"/>
                <w:sz w:val="16"/>
                <w:szCs w:val="16"/>
              </w:rPr>
            </w:pPr>
            <w:r w:rsidRPr="00302718">
              <w:rPr>
                <w:rFonts w:ascii="Arial" w:hAnsi="Arial" w:cs="Arial"/>
                <w:b/>
                <w:bCs/>
                <w:color w:val="000000"/>
                <w:sz w:val="16"/>
                <w:szCs w:val="16"/>
              </w:rPr>
              <w:t> </w:t>
            </w:r>
          </w:p>
        </w:tc>
        <w:tc>
          <w:tcPr>
            <w:tcW w:w="808" w:type="dxa"/>
            <w:tcBorders>
              <w:top w:val="nil"/>
              <w:left w:val="nil"/>
              <w:bottom w:val="single" w:sz="4" w:space="0" w:color="BFBFBF"/>
              <w:right w:val="single" w:sz="4" w:space="0" w:color="BFBFBF"/>
            </w:tcBorders>
            <w:shd w:val="clear" w:color="auto" w:fill="auto"/>
            <w:noWrap/>
            <w:vAlign w:val="center"/>
          </w:tcPr>
          <w:p w14:paraId="2A9BC35D" w14:textId="77777777" w:rsidR="0035712B" w:rsidRPr="00302718" w:rsidRDefault="0035712B">
            <w:pPr>
              <w:jc w:val="center"/>
              <w:rPr>
                <w:rFonts w:ascii="Arial" w:hAnsi="Arial" w:cs="Arial"/>
                <w:b/>
                <w:bCs/>
                <w:color w:val="000000"/>
                <w:sz w:val="16"/>
                <w:szCs w:val="16"/>
              </w:rPr>
            </w:pPr>
            <w:r w:rsidRPr="00302718">
              <w:rPr>
                <w:rFonts w:ascii="Arial" w:hAnsi="Arial" w:cs="Arial"/>
                <w:b/>
                <w:bCs/>
                <w:color w:val="000000"/>
                <w:sz w:val="16"/>
                <w:szCs w:val="16"/>
              </w:rPr>
              <w:t> </w:t>
            </w:r>
          </w:p>
        </w:tc>
        <w:tc>
          <w:tcPr>
            <w:tcW w:w="808" w:type="dxa"/>
            <w:tcBorders>
              <w:top w:val="nil"/>
              <w:left w:val="nil"/>
              <w:bottom w:val="single" w:sz="4" w:space="0" w:color="BFBFBF"/>
              <w:right w:val="single" w:sz="4" w:space="0" w:color="auto"/>
            </w:tcBorders>
            <w:shd w:val="clear" w:color="auto" w:fill="auto"/>
            <w:noWrap/>
            <w:vAlign w:val="center"/>
          </w:tcPr>
          <w:p w14:paraId="34A2A20D" w14:textId="77777777" w:rsidR="0035712B" w:rsidRPr="00302718" w:rsidRDefault="0035712B">
            <w:pPr>
              <w:jc w:val="center"/>
              <w:rPr>
                <w:rFonts w:ascii="Arial" w:hAnsi="Arial" w:cs="Arial"/>
                <w:b/>
                <w:bCs/>
                <w:color w:val="000000"/>
                <w:sz w:val="16"/>
                <w:szCs w:val="16"/>
              </w:rPr>
            </w:pPr>
            <w:r w:rsidRPr="00302718">
              <w:rPr>
                <w:rFonts w:ascii="Arial" w:hAnsi="Arial" w:cs="Arial"/>
                <w:b/>
                <w:bCs/>
                <w:color w:val="000000"/>
                <w:sz w:val="16"/>
                <w:szCs w:val="16"/>
              </w:rPr>
              <w:t> </w:t>
            </w:r>
          </w:p>
        </w:tc>
        <w:tc>
          <w:tcPr>
            <w:tcW w:w="857" w:type="dxa"/>
            <w:tcBorders>
              <w:top w:val="nil"/>
              <w:left w:val="nil"/>
              <w:bottom w:val="single" w:sz="4" w:space="0" w:color="BFBFBF"/>
              <w:right w:val="single" w:sz="4" w:space="0" w:color="BFBFBF"/>
            </w:tcBorders>
            <w:shd w:val="clear" w:color="auto" w:fill="auto"/>
            <w:noWrap/>
            <w:vAlign w:val="center"/>
          </w:tcPr>
          <w:p w14:paraId="5E2F8957" w14:textId="77777777" w:rsidR="0035712B" w:rsidRPr="00302718" w:rsidRDefault="0035712B">
            <w:pPr>
              <w:jc w:val="center"/>
              <w:rPr>
                <w:rFonts w:ascii="Arial" w:hAnsi="Arial" w:cs="Arial"/>
                <w:color w:val="000000"/>
                <w:sz w:val="16"/>
                <w:szCs w:val="16"/>
              </w:rPr>
            </w:pPr>
            <w:r w:rsidRPr="00302718">
              <w:rPr>
                <w:rFonts w:ascii="Arial" w:hAnsi="Arial" w:cs="Arial"/>
                <w:color w:val="000000"/>
                <w:sz w:val="16"/>
                <w:szCs w:val="16"/>
              </w:rPr>
              <w:t> </w:t>
            </w:r>
          </w:p>
        </w:tc>
        <w:tc>
          <w:tcPr>
            <w:tcW w:w="714" w:type="dxa"/>
            <w:tcBorders>
              <w:top w:val="nil"/>
              <w:left w:val="nil"/>
              <w:bottom w:val="single" w:sz="4" w:space="0" w:color="BFBFBF"/>
              <w:right w:val="single" w:sz="4" w:space="0" w:color="BFBFBF"/>
            </w:tcBorders>
            <w:shd w:val="clear" w:color="auto" w:fill="auto"/>
            <w:noWrap/>
            <w:vAlign w:val="center"/>
          </w:tcPr>
          <w:p w14:paraId="60B4A66B" w14:textId="77777777" w:rsidR="0035712B" w:rsidRPr="00302718" w:rsidRDefault="0035712B">
            <w:pPr>
              <w:jc w:val="center"/>
              <w:rPr>
                <w:rFonts w:ascii="Arial" w:hAnsi="Arial" w:cs="Arial"/>
                <w:color w:val="000000"/>
                <w:sz w:val="16"/>
                <w:szCs w:val="16"/>
              </w:rPr>
            </w:pPr>
            <w:r w:rsidRPr="00302718">
              <w:rPr>
                <w:rFonts w:ascii="Arial" w:hAnsi="Arial" w:cs="Arial"/>
                <w:color w:val="000000"/>
                <w:sz w:val="16"/>
                <w:szCs w:val="16"/>
              </w:rPr>
              <w:t> </w:t>
            </w:r>
          </w:p>
        </w:tc>
        <w:tc>
          <w:tcPr>
            <w:tcW w:w="675" w:type="dxa"/>
            <w:tcBorders>
              <w:top w:val="nil"/>
              <w:left w:val="nil"/>
              <w:bottom w:val="single" w:sz="4" w:space="0" w:color="BFBFBF"/>
              <w:right w:val="nil"/>
            </w:tcBorders>
            <w:shd w:val="clear" w:color="auto" w:fill="auto"/>
            <w:noWrap/>
            <w:vAlign w:val="center"/>
          </w:tcPr>
          <w:p w14:paraId="0D615295" w14:textId="77777777" w:rsidR="0035712B" w:rsidRPr="00302718" w:rsidRDefault="0035712B">
            <w:pPr>
              <w:jc w:val="center"/>
              <w:rPr>
                <w:rFonts w:ascii="Arial" w:hAnsi="Arial" w:cs="Arial"/>
                <w:color w:val="000000"/>
                <w:sz w:val="16"/>
                <w:szCs w:val="16"/>
              </w:rPr>
            </w:pPr>
            <w:r w:rsidRPr="00302718">
              <w:rPr>
                <w:rFonts w:ascii="Arial" w:hAnsi="Arial" w:cs="Arial"/>
                <w:color w:val="000000"/>
                <w:sz w:val="16"/>
                <w:szCs w:val="16"/>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9A9CD5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3237205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07E0FAC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5D02901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465DD73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1915EFD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799EA79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r>
      <w:tr w:rsidR="0035712B" w:rsidRPr="00302718" w14:paraId="4B967E92"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61E63480"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Aged Concession HHs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7790E21"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1,206</w:t>
            </w:r>
          </w:p>
        </w:tc>
        <w:tc>
          <w:tcPr>
            <w:tcW w:w="808" w:type="dxa"/>
            <w:tcBorders>
              <w:top w:val="nil"/>
              <w:left w:val="nil"/>
              <w:bottom w:val="single" w:sz="4" w:space="0" w:color="BFBFBF"/>
              <w:right w:val="single" w:sz="4" w:space="0" w:color="BFBFBF"/>
            </w:tcBorders>
            <w:shd w:val="clear" w:color="auto" w:fill="auto"/>
            <w:noWrap/>
            <w:vAlign w:val="center"/>
          </w:tcPr>
          <w:p w14:paraId="5A1FFCF3"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1,736</w:t>
            </w:r>
          </w:p>
        </w:tc>
        <w:tc>
          <w:tcPr>
            <w:tcW w:w="808" w:type="dxa"/>
            <w:tcBorders>
              <w:top w:val="nil"/>
              <w:left w:val="nil"/>
              <w:bottom w:val="single" w:sz="4" w:space="0" w:color="BFBFBF"/>
              <w:right w:val="single" w:sz="4" w:space="0" w:color="auto"/>
            </w:tcBorders>
            <w:shd w:val="clear" w:color="auto" w:fill="auto"/>
            <w:noWrap/>
            <w:vAlign w:val="center"/>
          </w:tcPr>
          <w:p w14:paraId="1837E4E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3,034</w:t>
            </w:r>
          </w:p>
        </w:tc>
        <w:tc>
          <w:tcPr>
            <w:tcW w:w="857" w:type="dxa"/>
            <w:tcBorders>
              <w:top w:val="nil"/>
              <w:left w:val="nil"/>
              <w:bottom w:val="single" w:sz="4" w:space="0" w:color="BFBFBF"/>
              <w:right w:val="single" w:sz="4" w:space="0" w:color="BFBFBF"/>
            </w:tcBorders>
            <w:shd w:val="clear" w:color="auto" w:fill="auto"/>
            <w:noWrap/>
            <w:vAlign w:val="center"/>
          </w:tcPr>
          <w:p w14:paraId="33541CC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816</w:t>
            </w:r>
          </w:p>
        </w:tc>
        <w:tc>
          <w:tcPr>
            <w:tcW w:w="714" w:type="dxa"/>
            <w:tcBorders>
              <w:top w:val="nil"/>
              <w:left w:val="nil"/>
              <w:bottom w:val="single" w:sz="4" w:space="0" w:color="BFBFBF"/>
              <w:right w:val="single" w:sz="4" w:space="0" w:color="BFBFBF"/>
            </w:tcBorders>
            <w:shd w:val="clear" w:color="auto" w:fill="auto"/>
            <w:noWrap/>
            <w:vAlign w:val="center"/>
          </w:tcPr>
          <w:p w14:paraId="3CDFAE2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1,229</w:t>
            </w:r>
          </w:p>
        </w:tc>
        <w:tc>
          <w:tcPr>
            <w:tcW w:w="675" w:type="dxa"/>
            <w:tcBorders>
              <w:top w:val="nil"/>
              <w:left w:val="nil"/>
              <w:bottom w:val="single" w:sz="4" w:space="0" w:color="BFBFBF"/>
              <w:right w:val="nil"/>
            </w:tcBorders>
            <w:shd w:val="clear" w:color="auto" w:fill="auto"/>
            <w:noWrap/>
            <w:vAlign w:val="center"/>
          </w:tcPr>
          <w:p w14:paraId="6C28845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1,724</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96A526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1,243</w:t>
            </w:r>
          </w:p>
        </w:tc>
        <w:tc>
          <w:tcPr>
            <w:tcW w:w="714" w:type="dxa"/>
            <w:tcBorders>
              <w:top w:val="nil"/>
              <w:left w:val="nil"/>
              <w:bottom w:val="single" w:sz="4" w:space="0" w:color="BFBFBF"/>
              <w:right w:val="single" w:sz="4" w:space="0" w:color="BFBFBF"/>
            </w:tcBorders>
            <w:shd w:val="clear" w:color="auto" w:fill="auto"/>
            <w:noWrap/>
            <w:vAlign w:val="center"/>
          </w:tcPr>
          <w:p w14:paraId="2EE80DD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2,169</w:t>
            </w:r>
          </w:p>
        </w:tc>
        <w:tc>
          <w:tcPr>
            <w:tcW w:w="675" w:type="dxa"/>
            <w:tcBorders>
              <w:top w:val="nil"/>
              <w:left w:val="nil"/>
              <w:bottom w:val="single" w:sz="4" w:space="0" w:color="BFBFBF"/>
              <w:right w:val="single" w:sz="4" w:space="0" w:color="auto"/>
            </w:tcBorders>
            <w:shd w:val="clear" w:color="auto" w:fill="auto"/>
            <w:noWrap/>
            <w:vAlign w:val="center"/>
          </w:tcPr>
          <w:p w14:paraId="1768A5F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3,369</w:t>
            </w:r>
          </w:p>
        </w:tc>
        <w:tc>
          <w:tcPr>
            <w:tcW w:w="857" w:type="dxa"/>
            <w:tcBorders>
              <w:top w:val="nil"/>
              <w:left w:val="nil"/>
              <w:bottom w:val="single" w:sz="4" w:space="0" w:color="BFBFBF"/>
              <w:right w:val="single" w:sz="4" w:space="0" w:color="BFBFBF"/>
            </w:tcBorders>
            <w:shd w:val="clear" w:color="auto" w:fill="auto"/>
            <w:noWrap/>
            <w:vAlign w:val="center"/>
          </w:tcPr>
          <w:p w14:paraId="24B39D9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1,272</w:t>
            </w:r>
          </w:p>
        </w:tc>
        <w:tc>
          <w:tcPr>
            <w:tcW w:w="714" w:type="dxa"/>
            <w:tcBorders>
              <w:top w:val="nil"/>
              <w:left w:val="nil"/>
              <w:bottom w:val="single" w:sz="4" w:space="0" w:color="BFBFBF"/>
              <w:right w:val="single" w:sz="4" w:space="0" w:color="BFBFBF"/>
            </w:tcBorders>
            <w:shd w:val="clear" w:color="auto" w:fill="auto"/>
            <w:noWrap/>
            <w:vAlign w:val="center"/>
          </w:tcPr>
          <w:p w14:paraId="19B09D4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2,408</w:t>
            </w:r>
          </w:p>
        </w:tc>
        <w:tc>
          <w:tcPr>
            <w:tcW w:w="675" w:type="dxa"/>
            <w:tcBorders>
              <w:top w:val="nil"/>
              <w:left w:val="nil"/>
              <w:bottom w:val="single" w:sz="4" w:space="0" w:color="BFBFBF"/>
              <w:right w:val="nil"/>
            </w:tcBorders>
            <w:shd w:val="clear" w:color="auto" w:fill="auto"/>
            <w:noWrap/>
            <w:vAlign w:val="center"/>
          </w:tcPr>
          <w:p w14:paraId="278F030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3,669</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34736FD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3,066</w:t>
            </w:r>
          </w:p>
        </w:tc>
      </w:tr>
      <w:tr w:rsidR="0035712B" w:rsidRPr="00302718" w14:paraId="66C5AC0D"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67827D5B"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Other Concession HHs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40FEF7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1,465</w:t>
            </w:r>
          </w:p>
        </w:tc>
        <w:tc>
          <w:tcPr>
            <w:tcW w:w="808" w:type="dxa"/>
            <w:tcBorders>
              <w:top w:val="nil"/>
              <w:left w:val="nil"/>
              <w:bottom w:val="single" w:sz="4" w:space="0" w:color="BFBFBF"/>
              <w:right w:val="single" w:sz="4" w:space="0" w:color="BFBFBF"/>
            </w:tcBorders>
            <w:shd w:val="clear" w:color="auto" w:fill="auto"/>
            <w:noWrap/>
            <w:vAlign w:val="center"/>
          </w:tcPr>
          <w:p w14:paraId="426369AC"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2,414</w:t>
            </w:r>
          </w:p>
        </w:tc>
        <w:tc>
          <w:tcPr>
            <w:tcW w:w="808" w:type="dxa"/>
            <w:tcBorders>
              <w:top w:val="nil"/>
              <w:left w:val="nil"/>
              <w:bottom w:val="single" w:sz="4" w:space="0" w:color="BFBFBF"/>
              <w:right w:val="single" w:sz="4" w:space="0" w:color="auto"/>
            </w:tcBorders>
            <w:shd w:val="clear" w:color="auto" w:fill="auto"/>
            <w:noWrap/>
            <w:vAlign w:val="center"/>
          </w:tcPr>
          <w:p w14:paraId="7AD9CE7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3,972</w:t>
            </w:r>
          </w:p>
        </w:tc>
        <w:tc>
          <w:tcPr>
            <w:tcW w:w="857" w:type="dxa"/>
            <w:tcBorders>
              <w:top w:val="nil"/>
              <w:left w:val="nil"/>
              <w:bottom w:val="single" w:sz="4" w:space="0" w:color="BFBFBF"/>
              <w:right w:val="single" w:sz="4" w:space="0" w:color="BFBFBF"/>
            </w:tcBorders>
            <w:shd w:val="clear" w:color="auto" w:fill="auto"/>
            <w:noWrap/>
            <w:vAlign w:val="center"/>
          </w:tcPr>
          <w:p w14:paraId="10D2830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807</w:t>
            </w:r>
          </w:p>
        </w:tc>
        <w:tc>
          <w:tcPr>
            <w:tcW w:w="714" w:type="dxa"/>
            <w:tcBorders>
              <w:top w:val="nil"/>
              <w:left w:val="nil"/>
              <w:bottom w:val="single" w:sz="4" w:space="0" w:color="BFBFBF"/>
              <w:right w:val="single" w:sz="4" w:space="0" w:color="BFBFBF"/>
            </w:tcBorders>
            <w:shd w:val="clear" w:color="auto" w:fill="auto"/>
            <w:noWrap/>
            <w:vAlign w:val="center"/>
          </w:tcPr>
          <w:p w14:paraId="76FA38B3"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1,483</w:t>
            </w:r>
          </w:p>
        </w:tc>
        <w:tc>
          <w:tcPr>
            <w:tcW w:w="675" w:type="dxa"/>
            <w:tcBorders>
              <w:top w:val="nil"/>
              <w:left w:val="nil"/>
              <w:bottom w:val="single" w:sz="4" w:space="0" w:color="BFBFBF"/>
              <w:right w:val="nil"/>
            </w:tcBorders>
            <w:shd w:val="clear" w:color="auto" w:fill="auto"/>
            <w:noWrap/>
            <w:vAlign w:val="center"/>
          </w:tcPr>
          <w:p w14:paraId="785E26F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1,811</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F096FA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1,423</w:t>
            </w:r>
          </w:p>
        </w:tc>
        <w:tc>
          <w:tcPr>
            <w:tcW w:w="714" w:type="dxa"/>
            <w:tcBorders>
              <w:top w:val="nil"/>
              <w:left w:val="nil"/>
              <w:bottom w:val="single" w:sz="4" w:space="0" w:color="BFBFBF"/>
              <w:right w:val="single" w:sz="4" w:space="0" w:color="BFBFBF"/>
            </w:tcBorders>
            <w:shd w:val="clear" w:color="auto" w:fill="auto"/>
            <w:noWrap/>
            <w:vAlign w:val="center"/>
          </w:tcPr>
          <w:p w14:paraId="380C393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2,191</w:t>
            </w:r>
          </w:p>
        </w:tc>
        <w:tc>
          <w:tcPr>
            <w:tcW w:w="675" w:type="dxa"/>
            <w:tcBorders>
              <w:top w:val="nil"/>
              <w:left w:val="nil"/>
              <w:bottom w:val="single" w:sz="4" w:space="0" w:color="BFBFBF"/>
              <w:right w:val="single" w:sz="4" w:space="0" w:color="auto"/>
            </w:tcBorders>
            <w:shd w:val="clear" w:color="auto" w:fill="auto"/>
            <w:noWrap/>
            <w:vAlign w:val="center"/>
          </w:tcPr>
          <w:p w14:paraId="47FD03D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3,482</w:t>
            </w:r>
          </w:p>
        </w:tc>
        <w:tc>
          <w:tcPr>
            <w:tcW w:w="857" w:type="dxa"/>
            <w:tcBorders>
              <w:top w:val="nil"/>
              <w:left w:val="nil"/>
              <w:bottom w:val="single" w:sz="4" w:space="0" w:color="BFBFBF"/>
              <w:right w:val="single" w:sz="4" w:space="0" w:color="BFBFBF"/>
            </w:tcBorders>
            <w:shd w:val="clear" w:color="auto" w:fill="auto"/>
            <w:noWrap/>
            <w:vAlign w:val="center"/>
          </w:tcPr>
          <w:p w14:paraId="50896D2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1,651</w:t>
            </w:r>
          </w:p>
        </w:tc>
        <w:tc>
          <w:tcPr>
            <w:tcW w:w="714" w:type="dxa"/>
            <w:tcBorders>
              <w:top w:val="nil"/>
              <w:left w:val="nil"/>
              <w:bottom w:val="single" w:sz="4" w:space="0" w:color="BFBFBF"/>
              <w:right w:val="single" w:sz="4" w:space="0" w:color="BFBFBF"/>
            </w:tcBorders>
            <w:shd w:val="clear" w:color="auto" w:fill="auto"/>
            <w:noWrap/>
            <w:vAlign w:val="center"/>
          </w:tcPr>
          <w:p w14:paraId="432C67E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2,156</w:t>
            </w:r>
          </w:p>
        </w:tc>
        <w:tc>
          <w:tcPr>
            <w:tcW w:w="675" w:type="dxa"/>
            <w:tcBorders>
              <w:top w:val="nil"/>
              <w:left w:val="nil"/>
              <w:bottom w:val="single" w:sz="4" w:space="0" w:color="BFBFBF"/>
              <w:right w:val="nil"/>
            </w:tcBorders>
            <w:shd w:val="clear" w:color="auto" w:fill="auto"/>
            <w:noWrap/>
            <w:vAlign w:val="center"/>
          </w:tcPr>
          <w:p w14:paraId="199AC56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3,765</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619330D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3,672</w:t>
            </w:r>
          </w:p>
        </w:tc>
      </w:tr>
      <w:tr w:rsidR="0035712B" w:rsidRPr="00302718" w14:paraId="4618F830"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486669E8"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Total Concession HHs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BF9B47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1,332</w:t>
            </w:r>
          </w:p>
        </w:tc>
        <w:tc>
          <w:tcPr>
            <w:tcW w:w="808" w:type="dxa"/>
            <w:tcBorders>
              <w:top w:val="nil"/>
              <w:left w:val="nil"/>
              <w:bottom w:val="single" w:sz="4" w:space="0" w:color="BFBFBF"/>
              <w:right w:val="single" w:sz="4" w:space="0" w:color="BFBFBF"/>
            </w:tcBorders>
            <w:shd w:val="clear" w:color="auto" w:fill="auto"/>
            <w:noWrap/>
            <w:vAlign w:val="center"/>
          </w:tcPr>
          <w:p w14:paraId="558BE74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2,068</w:t>
            </w:r>
          </w:p>
        </w:tc>
        <w:tc>
          <w:tcPr>
            <w:tcW w:w="808" w:type="dxa"/>
            <w:tcBorders>
              <w:top w:val="nil"/>
              <w:left w:val="nil"/>
              <w:bottom w:val="single" w:sz="4" w:space="0" w:color="BFBFBF"/>
              <w:right w:val="single" w:sz="4" w:space="0" w:color="auto"/>
            </w:tcBorders>
            <w:shd w:val="clear" w:color="auto" w:fill="auto"/>
            <w:noWrap/>
            <w:vAlign w:val="center"/>
          </w:tcPr>
          <w:p w14:paraId="733490A4"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3,490</w:t>
            </w:r>
          </w:p>
        </w:tc>
        <w:tc>
          <w:tcPr>
            <w:tcW w:w="857" w:type="dxa"/>
            <w:tcBorders>
              <w:top w:val="nil"/>
              <w:left w:val="nil"/>
              <w:bottom w:val="single" w:sz="4" w:space="0" w:color="BFBFBF"/>
              <w:right w:val="single" w:sz="4" w:space="0" w:color="BFBFBF"/>
            </w:tcBorders>
            <w:shd w:val="clear" w:color="auto" w:fill="auto"/>
            <w:noWrap/>
            <w:vAlign w:val="center"/>
          </w:tcPr>
          <w:p w14:paraId="429DDB7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812</w:t>
            </w:r>
          </w:p>
        </w:tc>
        <w:tc>
          <w:tcPr>
            <w:tcW w:w="714" w:type="dxa"/>
            <w:tcBorders>
              <w:top w:val="nil"/>
              <w:left w:val="nil"/>
              <w:bottom w:val="single" w:sz="4" w:space="0" w:color="BFBFBF"/>
              <w:right w:val="single" w:sz="4" w:space="0" w:color="BFBFBF"/>
            </w:tcBorders>
            <w:shd w:val="clear" w:color="auto" w:fill="auto"/>
            <w:noWrap/>
            <w:vAlign w:val="center"/>
          </w:tcPr>
          <w:p w14:paraId="3CF92FA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1,340</w:t>
            </w:r>
          </w:p>
        </w:tc>
        <w:tc>
          <w:tcPr>
            <w:tcW w:w="675" w:type="dxa"/>
            <w:tcBorders>
              <w:top w:val="nil"/>
              <w:left w:val="nil"/>
              <w:bottom w:val="single" w:sz="4" w:space="0" w:color="BFBFBF"/>
              <w:right w:val="nil"/>
            </w:tcBorders>
            <w:shd w:val="clear" w:color="auto" w:fill="auto"/>
            <w:noWrap/>
            <w:vAlign w:val="center"/>
          </w:tcPr>
          <w:p w14:paraId="3EA7230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1,762</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CF8280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1,309</w:t>
            </w:r>
          </w:p>
        </w:tc>
        <w:tc>
          <w:tcPr>
            <w:tcW w:w="714" w:type="dxa"/>
            <w:tcBorders>
              <w:top w:val="nil"/>
              <w:left w:val="nil"/>
              <w:bottom w:val="single" w:sz="4" w:space="0" w:color="BFBFBF"/>
              <w:right w:val="single" w:sz="4" w:space="0" w:color="BFBFBF"/>
            </w:tcBorders>
            <w:shd w:val="clear" w:color="auto" w:fill="auto"/>
            <w:noWrap/>
            <w:vAlign w:val="center"/>
          </w:tcPr>
          <w:p w14:paraId="47235B0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2,177</w:t>
            </w:r>
          </w:p>
        </w:tc>
        <w:tc>
          <w:tcPr>
            <w:tcW w:w="675" w:type="dxa"/>
            <w:tcBorders>
              <w:top w:val="nil"/>
              <w:left w:val="nil"/>
              <w:bottom w:val="single" w:sz="4" w:space="0" w:color="BFBFBF"/>
              <w:right w:val="single" w:sz="4" w:space="0" w:color="auto"/>
            </w:tcBorders>
            <w:shd w:val="clear" w:color="auto" w:fill="auto"/>
            <w:noWrap/>
            <w:vAlign w:val="center"/>
          </w:tcPr>
          <w:p w14:paraId="3267B28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3,412</w:t>
            </w:r>
          </w:p>
        </w:tc>
        <w:tc>
          <w:tcPr>
            <w:tcW w:w="857" w:type="dxa"/>
            <w:tcBorders>
              <w:top w:val="nil"/>
              <w:left w:val="nil"/>
              <w:bottom w:val="single" w:sz="4" w:space="0" w:color="BFBFBF"/>
              <w:right w:val="single" w:sz="4" w:space="0" w:color="BFBFBF"/>
            </w:tcBorders>
            <w:shd w:val="clear" w:color="auto" w:fill="auto"/>
            <w:noWrap/>
            <w:vAlign w:val="center"/>
          </w:tcPr>
          <w:p w14:paraId="4F3975A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1,420</w:t>
            </w:r>
          </w:p>
        </w:tc>
        <w:tc>
          <w:tcPr>
            <w:tcW w:w="714" w:type="dxa"/>
            <w:tcBorders>
              <w:top w:val="nil"/>
              <w:left w:val="nil"/>
              <w:bottom w:val="single" w:sz="4" w:space="0" w:color="BFBFBF"/>
              <w:right w:val="single" w:sz="4" w:space="0" w:color="BFBFBF"/>
            </w:tcBorders>
            <w:shd w:val="clear" w:color="auto" w:fill="auto"/>
            <w:noWrap/>
            <w:vAlign w:val="center"/>
          </w:tcPr>
          <w:p w14:paraId="6A629A5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2,311</w:t>
            </w:r>
          </w:p>
        </w:tc>
        <w:tc>
          <w:tcPr>
            <w:tcW w:w="675" w:type="dxa"/>
            <w:tcBorders>
              <w:top w:val="nil"/>
              <w:left w:val="nil"/>
              <w:bottom w:val="single" w:sz="4" w:space="0" w:color="BFBFBF"/>
              <w:right w:val="nil"/>
            </w:tcBorders>
            <w:shd w:val="clear" w:color="auto" w:fill="auto"/>
            <w:noWrap/>
            <w:vAlign w:val="center"/>
          </w:tcPr>
          <w:p w14:paraId="63C821A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3,706</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0FBFA49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3,271</w:t>
            </w:r>
          </w:p>
        </w:tc>
      </w:tr>
      <w:tr w:rsidR="0035712B" w:rsidRPr="00302718" w14:paraId="677989AC" w14:textId="77777777" w:rsidTr="0035712B">
        <w:trPr>
          <w:trHeight w:val="225"/>
          <w:jc w:val="center"/>
        </w:trPr>
        <w:tc>
          <w:tcPr>
            <w:tcW w:w="2717" w:type="dxa"/>
            <w:tcBorders>
              <w:top w:val="single" w:sz="4" w:space="0" w:color="BFBFBF"/>
              <w:left w:val="double" w:sz="6" w:space="0" w:color="auto"/>
              <w:bottom w:val="double" w:sz="4" w:space="0" w:color="auto"/>
              <w:right w:val="nil"/>
            </w:tcBorders>
            <w:shd w:val="clear" w:color="auto" w:fill="auto"/>
            <w:noWrap/>
            <w:vAlign w:val="center"/>
          </w:tcPr>
          <w:p w14:paraId="46F6150A"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Non-Concession HHs</w:t>
            </w:r>
          </w:p>
        </w:tc>
        <w:tc>
          <w:tcPr>
            <w:tcW w:w="857"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69920509"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1,499</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21D8136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2,297</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796CDD7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3,807</w:t>
            </w:r>
          </w:p>
        </w:tc>
        <w:tc>
          <w:tcPr>
            <w:tcW w:w="857" w:type="dxa"/>
            <w:tcBorders>
              <w:top w:val="single" w:sz="4" w:space="0" w:color="BFBFBF"/>
              <w:left w:val="nil"/>
              <w:bottom w:val="double" w:sz="4" w:space="0" w:color="auto"/>
              <w:right w:val="single" w:sz="4" w:space="0" w:color="BFBFBF"/>
            </w:tcBorders>
            <w:shd w:val="clear" w:color="auto" w:fill="auto"/>
            <w:noWrap/>
            <w:vAlign w:val="center"/>
          </w:tcPr>
          <w:p w14:paraId="6078D48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1,008</w:t>
            </w:r>
          </w:p>
        </w:tc>
        <w:tc>
          <w:tcPr>
            <w:tcW w:w="714" w:type="dxa"/>
            <w:tcBorders>
              <w:top w:val="single" w:sz="4" w:space="0" w:color="BFBFBF"/>
              <w:left w:val="nil"/>
              <w:bottom w:val="double" w:sz="4" w:space="0" w:color="auto"/>
              <w:right w:val="single" w:sz="4" w:space="0" w:color="BFBFBF"/>
            </w:tcBorders>
            <w:shd w:val="clear" w:color="auto" w:fill="auto"/>
            <w:noWrap/>
            <w:vAlign w:val="center"/>
          </w:tcPr>
          <w:p w14:paraId="167F199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1,829</w:t>
            </w:r>
          </w:p>
        </w:tc>
        <w:tc>
          <w:tcPr>
            <w:tcW w:w="675" w:type="dxa"/>
            <w:tcBorders>
              <w:top w:val="single" w:sz="4" w:space="0" w:color="BFBFBF"/>
              <w:left w:val="nil"/>
              <w:bottom w:val="double" w:sz="4" w:space="0" w:color="auto"/>
              <w:right w:val="nil"/>
            </w:tcBorders>
            <w:shd w:val="clear" w:color="auto" w:fill="auto"/>
            <w:noWrap/>
            <w:vAlign w:val="center"/>
          </w:tcPr>
          <w:p w14:paraId="25056CB4"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2,073</w:t>
            </w:r>
          </w:p>
        </w:tc>
        <w:tc>
          <w:tcPr>
            <w:tcW w:w="857"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5C280DB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1,405</w:t>
            </w:r>
          </w:p>
        </w:tc>
        <w:tc>
          <w:tcPr>
            <w:tcW w:w="714" w:type="dxa"/>
            <w:tcBorders>
              <w:top w:val="single" w:sz="4" w:space="0" w:color="BFBFBF"/>
              <w:left w:val="nil"/>
              <w:bottom w:val="double" w:sz="4" w:space="0" w:color="auto"/>
              <w:right w:val="single" w:sz="4" w:space="0" w:color="BFBFBF"/>
            </w:tcBorders>
            <w:shd w:val="clear" w:color="auto" w:fill="auto"/>
            <w:noWrap/>
            <w:vAlign w:val="center"/>
          </w:tcPr>
          <w:p w14:paraId="07A39EB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2,722</w:t>
            </w:r>
          </w:p>
        </w:tc>
        <w:tc>
          <w:tcPr>
            <w:tcW w:w="675" w:type="dxa"/>
            <w:tcBorders>
              <w:top w:val="single" w:sz="4" w:space="0" w:color="BFBFBF"/>
              <w:left w:val="nil"/>
              <w:bottom w:val="double" w:sz="4" w:space="0" w:color="auto"/>
              <w:right w:val="single" w:sz="4" w:space="0" w:color="auto"/>
            </w:tcBorders>
            <w:shd w:val="clear" w:color="auto" w:fill="auto"/>
            <w:noWrap/>
            <w:vAlign w:val="center"/>
          </w:tcPr>
          <w:p w14:paraId="2B0BCB6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4,431</w:t>
            </w:r>
          </w:p>
        </w:tc>
        <w:tc>
          <w:tcPr>
            <w:tcW w:w="857" w:type="dxa"/>
            <w:tcBorders>
              <w:top w:val="single" w:sz="4" w:space="0" w:color="BFBFBF"/>
              <w:left w:val="nil"/>
              <w:bottom w:val="double" w:sz="4" w:space="0" w:color="auto"/>
              <w:right w:val="single" w:sz="4" w:space="0" w:color="BFBFBF"/>
            </w:tcBorders>
            <w:shd w:val="clear" w:color="auto" w:fill="auto"/>
            <w:noWrap/>
            <w:vAlign w:val="center"/>
          </w:tcPr>
          <w:p w14:paraId="7E865BB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1,559</w:t>
            </w:r>
          </w:p>
        </w:tc>
        <w:tc>
          <w:tcPr>
            <w:tcW w:w="714" w:type="dxa"/>
            <w:tcBorders>
              <w:top w:val="single" w:sz="4" w:space="0" w:color="BFBFBF"/>
              <w:left w:val="nil"/>
              <w:bottom w:val="double" w:sz="4" w:space="0" w:color="auto"/>
              <w:right w:val="single" w:sz="4" w:space="0" w:color="BFBFBF"/>
            </w:tcBorders>
            <w:shd w:val="clear" w:color="auto" w:fill="auto"/>
            <w:noWrap/>
            <w:vAlign w:val="center"/>
          </w:tcPr>
          <w:p w14:paraId="0378A77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2,802</w:t>
            </w:r>
          </w:p>
        </w:tc>
        <w:tc>
          <w:tcPr>
            <w:tcW w:w="675" w:type="dxa"/>
            <w:tcBorders>
              <w:top w:val="single" w:sz="4" w:space="0" w:color="BFBFBF"/>
              <w:left w:val="nil"/>
              <w:bottom w:val="double" w:sz="4" w:space="0" w:color="auto"/>
              <w:right w:val="nil"/>
            </w:tcBorders>
            <w:shd w:val="clear" w:color="auto" w:fill="auto"/>
            <w:noWrap/>
            <w:vAlign w:val="center"/>
          </w:tcPr>
          <w:p w14:paraId="46BE289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4,326</w:t>
            </w:r>
          </w:p>
        </w:tc>
        <w:tc>
          <w:tcPr>
            <w:tcW w:w="808" w:type="dxa"/>
            <w:tcBorders>
              <w:top w:val="single" w:sz="4" w:space="0" w:color="BFBFBF"/>
              <w:left w:val="single" w:sz="4" w:space="0" w:color="auto"/>
              <w:bottom w:val="double" w:sz="4" w:space="0" w:color="auto"/>
              <w:right w:val="double" w:sz="6" w:space="0" w:color="auto"/>
            </w:tcBorders>
            <w:shd w:val="clear" w:color="auto" w:fill="auto"/>
            <w:noWrap/>
            <w:vAlign w:val="center"/>
          </w:tcPr>
          <w:p w14:paraId="082751C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4,012</w:t>
            </w:r>
          </w:p>
        </w:tc>
      </w:tr>
      <w:tr w:rsidR="0035712B" w:rsidRPr="00302718" w14:paraId="225D0F2D" w14:textId="77777777" w:rsidTr="0035712B">
        <w:trPr>
          <w:trHeight w:val="225"/>
          <w:jc w:val="center"/>
        </w:trPr>
        <w:tc>
          <w:tcPr>
            <w:tcW w:w="2717" w:type="dxa"/>
            <w:tcBorders>
              <w:top w:val="double" w:sz="4" w:space="0" w:color="auto"/>
            </w:tcBorders>
            <w:shd w:val="clear" w:color="auto" w:fill="auto"/>
            <w:noWrap/>
            <w:vAlign w:val="center"/>
          </w:tcPr>
          <w:p w14:paraId="6A669B5F" w14:textId="77777777" w:rsidR="0035712B" w:rsidRDefault="0035712B" w:rsidP="009B2162">
            <w:pPr>
              <w:spacing w:before="0" w:after="0"/>
              <w:rPr>
                <w:rFonts w:ascii="Arial" w:hAnsi="Arial" w:cs="Arial"/>
                <w:bCs/>
                <w:color w:val="000000"/>
                <w:sz w:val="16"/>
                <w:szCs w:val="16"/>
                <w:lang w:val="en-AU" w:eastAsia="en-AU"/>
              </w:rPr>
            </w:pPr>
            <w:r w:rsidRPr="00302718">
              <w:rPr>
                <w:rFonts w:ascii="Arial" w:hAnsi="Arial" w:cs="Arial"/>
                <w:bCs/>
                <w:color w:val="000000"/>
                <w:sz w:val="16"/>
                <w:szCs w:val="16"/>
                <w:lang w:val="en-AU" w:eastAsia="en-AU"/>
              </w:rPr>
              <w:t>Continued on next page</w:t>
            </w:r>
          </w:p>
          <w:p w14:paraId="3CA37CC7" w14:textId="77777777" w:rsidR="00A32FA3" w:rsidRPr="00302718" w:rsidRDefault="00A32FA3" w:rsidP="009B2162">
            <w:pPr>
              <w:spacing w:before="0" w:after="0"/>
              <w:rPr>
                <w:rFonts w:ascii="Arial" w:hAnsi="Arial" w:cs="Arial"/>
                <w:bCs/>
                <w:color w:val="000000"/>
                <w:sz w:val="16"/>
                <w:szCs w:val="16"/>
                <w:lang w:val="en-AU" w:eastAsia="en-AU"/>
              </w:rPr>
            </w:pPr>
          </w:p>
        </w:tc>
        <w:tc>
          <w:tcPr>
            <w:tcW w:w="857" w:type="dxa"/>
            <w:tcBorders>
              <w:top w:val="double" w:sz="4" w:space="0" w:color="auto"/>
            </w:tcBorders>
            <w:shd w:val="clear" w:color="auto" w:fill="auto"/>
            <w:noWrap/>
            <w:vAlign w:val="center"/>
          </w:tcPr>
          <w:p w14:paraId="66F6AA58"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FF1D9D2"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C3E1DB1"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1605BEF5"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714" w:type="dxa"/>
            <w:tcBorders>
              <w:top w:val="double" w:sz="4" w:space="0" w:color="auto"/>
            </w:tcBorders>
            <w:shd w:val="clear" w:color="auto" w:fill="auto"/>
            <w:noWrap/>
            <w:vAlign w:val="center"/>
          </w:tcPr>
          <w:p w14:paraId="757B848F"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1E994DB3"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7A46874B"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714" w:type="dxa"/>
            <w:tcBorders>
              <w:top w:val="double" w:sz="4" w:space="0" w:color="auto"/>
            </w:tcBorders>
            <w:shd w:val="clear" w:color="auto" w:fill="auto"/>
            <w:noWrap/>
            <w:vAlign w:val="center"/>
          </w:tcPr>
          <w:p w14:paraId="7EC13C15"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562AEAF0"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4783D606"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714" w:type="dxa"/>
            <w:tcBorders>
              <w:top w:val="double" w:sz="4" w:space="0" w:color="auto"/>
            </w:tcBorders>
            <w:shd w:val="clear" w:color="auto" w:fill="auto"/>
            <w:noWrap/>
            <w:vAlign w:val="center"/>
          </w:tcPr>
          <w:p w14:paraId="27B6800B"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1F5AF400" w14:textId="77777777" w:rsidR="0035712B" w:rsidRPr="00302718" w:rsidRDefault="0035712B" w:rsidP="009B2162">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7F4F5AD8" w14:textId="77777777" w:rsidR="0035712B" w:rsidRPr="00302718" w:rsidRDefault="0035712B" w:rsidP="009B2162">
            <w:pPr>
              <w:spacing w:before="0" w:after="0"/>
              <w:jc w:val="center"/>
              <w:rPr>
                <w:rFonts w:ascii="Arial" w:hAnsi="Arial" w:cs="Arial"/>
                <w:color w:val="000000"/>
                <w:sz w:val="16"/>
                <w:szCs w:val="16"/>
                <w:lang w:val="en-AU" w:eastAsia="en-AU"/>
              </w:rPr>
            </w:pPr>
          </w:p>
        </w:tc>
      </w:tr>
      <w:tr w:rsidR="0035712B" w:rsidRPr="00302718" w14:paraId="768498CC" w14:textId="77777777" w:rsidTr="0035712B">
        <w:trPr>
          <w:trHeight w:val="225"/>
          <w:jc w:val="center"/>
        </w:trPr>
        <w:tc>
          <w:tcPr>
            <w:tcW w:w="2717" w:type="dxa"/>
            <w:tcBorders>
              <w:left w:val="double" w:sz="6" w:space="0" w:color="auto"/>
              <w:bottom w:val="single" w:sz="4" w:space="0" w:color="BFBFBF"/>
              <w:right w:val="nil"/>
            </w:tcBorders>
            <w:shd w:val="clear" w:color="auto" w:fill="auto"/>
            <w:noWrap/>
            <w:vAlign w:val="center"/>
          </w:tcPr>
          <w:p w14:paraId="671BEAD1" w14:textId="77777777" w:rsidR="0035712B" w:rsidRPr="00302718" w:rsidRDefault="0035712B" w:rsidP="009B2162">
            <w:pPr>
              <w:spacing w:before="0" w:after="0"/>
              <w:rPr>
                <w:rFonts w:ascii="Arial" w:hAnsi="Arial" w:cs="Arial"/>
                <w:b/>
                <w:bCs/>
                <w:color w:val="000000"/>
                <w:sz w:val="16"/>
                <w:szCs w:val="16"/>
                <w:lang w:val="en-AU" w:eastAsia="en-AU"/>
              </w:rPr>
            </w:pPr>
          </w:p>
          <w:p w14:paraId="350C39FB" w14:textId="77777777" w:rsidR="0035712B" w:rsidRPr="00302718" w:rsidRDefault="0035712B" w:rsidP="009B2162">
            <w:pPr>
              <w:spacing w:before="0" w:after="0"/>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By Household Size -</w:t>
            </w:r>
          </w:p>
        </w:tc>
        <w:tc>
          <w:tcPr>
            <w:tcW w:w="857" w:type="dxa"/>
            <w:tcBorders>
              <w:left w:val="single" w:sz="4" w:space="0" w:color="auto"/>
              <w:bottom w:val="single" w:sz="4" w:space="0" w:color="BFBFBF"/>
              <w:right w:val="single" w:sz="4" w:space="0" w:color="BFBFBF"/>
            </w:tcBorders>
            <w:shd w:val="clear" w:color="auto" w:fill="auto"/>
            <w:noWrap/>
            <w:vAlign w:val="center"/>
          </w:tcPr>
          <w:p w14:paraId="311914C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2A3F9BF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654E517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left w:val="nil"/>
              <w:bottom w:val="single" w:sz="4" w:space="0" w:color="BFBFBF"/>
              <w:right w:val="single" w:sz="4" w:space="0" w:color="BFBFBF"/>
            </w:tcBorders>
            <w:shd w:val="clear" w:color="auto" w:fill="auto"/>
            <w:noWrap/>
            <w:vAlign w:val="center"/>
          </w:tcPr>
          <w:p w14:paraId="0898A8D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left w:val="nil"/>
              <w:bottom w:val="single" w:sz="4" w:space="0" w:color="BFBFBF"/>
              <w:right w:val="single" w:sz="4" w:space="0" w:color="BFBFBF"/>
            </w:tcBorders>
            <w:shd w:val="clear" w:color="auto" w:fill="auto"/>
            <w:noWrap/>
            <w:vAlign w:val="center"/>
          </w:tcPr>
          <w:p w14:paraId="6392DD3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left w:val="nil"/>
              <w:bottom w:val="single" w:sz="4" w:space="0" w:color="BFBFBF"/>
              <w:right w:val="nil"/>
            </w:tcBorders>
            <w:shd w:val="clear" w:color="auto" w:fill="auto"/>
            <w:noWrap/>
            <w:vAlign w:val="center"/>
          </w:tcPr>
          <w:p w14:paraId="143D199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left w:val="single" w:sz="4" w:space="0" w:color="auto"/>
              <w:bottom w:val="single" w:sz="4" w:space="0" w:color="BFBFBF"/>
              <w:right w:val="single" w:sz="4" w:space="0" w:color="BFBFBF"/>
            </w:tcBorders>
            <w:shd w:val="clear" w:color="auto" w:fill="auto"/>
            <w:noWrap/>
            <w:vAlign w:val="center"/>
          </w:tcPr>
          <w:p w14:paraId="070A84F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left w:val="nil"/>
              <w:bottom w:val="single" w:sz="4" w:space="0" w:color="BFBFBF"/>
              <w:right w:val="single" w:sz="4" w:space="0" w:color="BFBFBF"/>
            </w:tcBorders>
            <w:shd w:val="clear" w:color="auto" w:fill="auto"/>
            <w:noWrap/>
            <w:vAlign w:val="center"/>
          </w:tcPr>
          <w:p w14:paraId="399B3DB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left w:val="nil"/>
              <w:bottom w:val="single" w:sz="4" w:space="0" w:color="BFBFBF"/>
              <w:right w:val="single" w:sz="4" w:space="0" w:color="auto"/>
            </w:tcBorders>
            <w:shd w:val="clear" w:color="auto" w:fill="auto"/>
            <w:noWrap/>
            <w:vAlign w:val="center"/>
          </w:tcPr>
          <w:p w14:paraId="139C3EE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left w:val="nil"/>
              <w:bottom w:val="single" w:sz="4" w:space="0" w:color="BFBFBF"/>
              <w:right w:val="single" w:sz="4" w:space="0" w:color="BFBFBF"/>
            </w:tcBorders>
            <w:shd w:val="clear" w:color="auto" w:fill="auto"/>
            <w:noWrap/>
            <w:vAlign w:val="center"/>
          </w:tcPr>
          <w:p w14:paraId="6C24C83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left w:val="nil"/>
              <w:bottom w:val="single" w:sz="4" w:space="0" w:color="BFBFBF"/>
              <w:right w:val="single" w:sz="4" w:space="0" w:color="BFBFBF"/>
            </w:tcBorders>
            <w:shd w:val="clear" w:color="auto" w:fill="auto"/>
            <w:noWrap/>
            <w:vAlign w:val="center"/>
          </w:tcPr>
          <w:p w14:paraId="5A22436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left w:val="nil"/>
              <w:bottom w:val="single" w:sz="4" w:space="0" w:color="BFBFBF"/>
              <w:right w:val="nil"/>
            </w:tcBorders>
            <w:shd w:val="clear" w:color="auto" w:fill="auto"/>
            <w:noWrap/>
            <w:vAlign w:val="center"/>
          </w:tcPr>
          <w:p w14:paraId="6F8049F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left w:val="single" w:sz="4" w:space="0" w:color="auto"/>
              <w:bottom w:val="single" w:sz="4" w:space="0" w:color="BFBFBF"/>
              <w:right w:val="double" w:sz="6" w:space="0" w:color="auto"/>
            </w:tcBorders>
            <w:shd w:val="clear" w:color="auto" w:fill="auto"/>
            <w:noWrap/>
            <w:vAlign w:val="center"/>
          </w:tcPr>
          <w:p w14:paraId="27A16AA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r>
      <w:tr w:rsidR="0035712B" w:rsidRPr="00302718" w14:paraId="11440C87"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57E6C30B"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1 person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AD55D6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949</w:t>
            </w:r>
          </w:p>
        </w:tc>
        <w:tc>
          <w:tcPr>
            <w:tcW w:w="808" w:type="dxa"/>
            <w:tcBorders>
              <w:top w:val="nil"/>
              <w:left w:val="nil"/>
              <w:bottom w:val="single" w:sz="4" w:space="0" w:color="BFBFBF"/>
              <w:right w:val="single" w:sz="4" w:space="0" w:color="BFBFBF"/>
            </w:tcBorders>
            <w:shd w:val="clear" w:color="auto" w:fill="auto"/>
            <w:noWrap/>
            <w:vAlign w:val="center"/>
          </w:tcPr>
          <w:p w14:paraId="766E160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1,372</w:t>
            </w:r>
          </w:p>
        </w:tc>
        <w:tc>
          <w:tcPr>
            <w:tcW w:w="808" w:type="dxa"/>
            <w:tcBorders>
              <w:top w:val="nil"/>
              <w:left w:val="nil"/>
              <w:bottom w:val="single" w:sz="4" w:space="0" w:color="BFBFBF"/>
              <w:right w:val="single" w:sz="4" w:space="0" w:color="auto"/>
            </w:tcBorders>
            <w:shd w:val="clear" w:color="auto" w:fill="auto"/>
            <w:noWrap/>
            <w:vAlign w:val="center"/>
          </w:tcPr>
          <w:p w14:paraId="78501F4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2,446</w:t>
            </w:r>
          </w:p>
        </w:tc>
        <w:tc>
          <w:tcPr>
            <w:tcW w:w="857" w:type="dxa"/>
            <w:tcBorders>
              <w:top w:val="nil"/>
              <w:left w:val="nil"/>
              <w:bottom w:val="single" w:sz="4" w:space="0" w:color="BFBFBF"/>
              <w:right w:val="single" w:sz="4" w:space="0" w:color="BFBFBF"/>
            </w:tcBorders>
            <w:shd w:val="clear" w:color="auto" w:fill="auto"/>
            <w:noWrap/>
            <w:vAlign w:val="center"/>
          </w:tcPr>
          <w:p w14:paraId="34CCAFB3"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653</w:t>
            </w:r>
          </w:p>
        </w:tc>
        <w:tc>
          <w:tcPr>
            <w:tcW w:w="714" w:type="dxa"/>
            <w:tcBorders>
              <w:top w:val="nil"/>
              <w:left w:val="nil"/>
              <w:bottom w:val="single" w:sz="4" w:space="0" w:color="BFBFBF"/>
              <w:right w:val="single" w:sz="4" w:space="0" w:color="BFBFBF"/>
            </w:tcBorders>
            <w:shd w:val="clear" w:color="auto" w:fill="auto"/>
            <w:noWrap/>
            <w:vAlign w:val="center"/>
          </w:tcPr>
          <w:p w14:paraId="2B7D35D4"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1,054</w:t>
            </w:r>
          </w:p>
        </w:tc>
        <w:tc>
          <w:tcPr>
            <w:tcW w:w="675" w:type="dxa"/>
            <w:tcBorders>
              <w:top w:val="nil"/>
              <w:left w:val="nil"/>
              <w:bottom w:val="single" w:sz="4" w:space="0" w:color="BFBFBF"/>
              <w:right w:val="nil"/>
            </w:tcBorders>
            <w:shd w:val="clear" w:color="auto" w:fill="auto"/>
            <w:noWrap/>
            <w:vAlign w:val="center"/>
          </w:tcPr>
          <w:p w14:paraId="7D86CAA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1,398</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7192AD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979</w:t>
            </w:r>
          </w:p>
        </w:tc>
        <w:tc>
          <w:tcPr>
            <w:tcW w:w="714" w:type="dxa"/>
            <w:tcBorders>
              <w:top w:val="nil"/>
              <w:left w:val="nil"/>
              <w:bottom w:val="single" w:sz="4" w:space="0" w:color="BFBFBF"/>
              <w:right w:val="single" w:sz="4" w:space="0" w:color="BFBFBF"/>
            </w:tcBorders>
            <w:shd w:val="clear" w:color="auto" w:fill="auto"/>
            <w:noWrap/>
            <w:vAlign w:val="center"/>
          </w:tcPr>
          <w:p w14:paraId="5B8CEFD7"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1,796</w:t>
            </w:r>
          </w:p>
        </w:tc>
        <w:tc>
          <w:tcPr>
            <w:tcW w:w="675" w:type="dxa"/>
            <w:tcBorders>
              <w:top w:val="nil"/>
              <w:left w:val="nil"/>
              <w:bottom w:val="single" w:sz="4" w:space="0" w:color="BFBFBF"/>
              <w:right w:val="single" w:sz="4" w:space="0" w:color="auto"/>
            </w:tcBorders>
            <w:shd w:val="clear" w:color="auto" w:fill="auto"/>
            <w:noWrap/>
            <w:vAlign w:val="center"/>
          </w:tcPr>
          <w:p w14:paraId="48D9E95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2,726</w:t>
            </w:r>
          </w:p>
        </w:tc>
        <w:tc>
          <w:tcPr>
            <w:tcW w:w="857" w:type="dxa"/>
            <w:tcBorders>
              <w:top w:val="nil"/>
              <w:left w:val="nil"/>
              <w:bottom w:val="single" w:sz="4" w:space="0" w:color="BFBFBF"/>
              <w:right w:val="single" w:sz="4" w:space="0" w:color="BFBFBF"/>
            </w:tcBorders>
            <w:shd w:val="clear" w:color="auto" w:fill="auto"/>
            <w:noWrap/>
            <w:vAlign w:val="center"/>
          </w:tcPr>
          <w:p w14:paraId="6ADA81F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923</w:t>
            </w:r>
          </w:p>
        </w:tc>
        <w:tc>
          <w:tcPr>
            <w:tcW w:w="714" w:type="dxa"/>
            <w:tcBorders>
              <w:top w:val="nil"/>
              <w:left w:val="nil"/>
              <w:bottom w:val="single" w:sz="4" w:space="0" w:color="BFBFBF"/>
              <w:right w:val="single" w:sz="4" w:space="0" w:color="BFBFBF"/>
            </w:tcBorders>
            <w:shd w:val="clear" w:color="auto" w:fill="auto"/>
            <w:noWrap/>
            <w:vAlign w:val="center"/>
          </w:tcPr>
          <w:p w14:paraId="5BB8606E"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1,585</w:t>
            </w:r>
          </w:p>
        </w:tc>
        <w:tc>
          <w:tcPr>
            <w:tcW w:w="675" w:type="dxa"/>
            <w:tcBorders>
              <w:top w:val="nil"/>
              <w:left w:val="nil"/>
              <w:bottom w:val="single" w:sz="4" w:space="0" w:color="BFBFBF"/>
              <w:right w:val="nil"/>
            </w:tcBorders>
            <w:shd w:val="clear" w:color="auto" w:fill="auto"/>
            <w:noWrap/>
            <w:vAlign w:val="center"/>
          </w:tcPr>
          <w:p w14:paraId="4B58404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2,473</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13A7390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2,745</w:t>
            </w:r>
          </w:p>
        </w:tc>
      </w:tr>
      <w:tr w:rsidR="0035712B" w:rsidRPr="00302718" w14:paraId="0D7380D3"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7AA14CFD"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2 persons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9137DB9"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1,392</w:t>
            </w:r>
          </w:p>
        </w:tc>
        <w:tc>
          <w:tcPr>
            <w:tcW w:w="808" w:type="dxa"/>
            <w:tcBorders>
              <w:top w:val="nil"/>
              <w:left w:val="nil"/>
              <w:bottom w:val="single" w:sz="4" w:space="0" w:color="BFBFBF"/>
              <w:right w:val="single" w:sz="4" w:space="0" w:color="BFBFBF"/>
            </w:tcBorders>
            <w:shd w:val="clear" w:color="auto" w:fill="auto"/>
            <w:noWrap/>
            <w:vAlign w:val="center"/>
          </w:tcPr>
          <w:p w14:paraId="1BCAE6C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2,090</w:t>
            </w:r>
          </w:p>
        </w:tc>
        <w:tc>
          <w:tcPr>
            <w:tcW w:w="808" w:type="dxa"/>
            <w:tcBorders>
              <w:top w:val="nil"/>
              <w:left w:val="nil"/>
              <w:bottom w:val="single" w:sz="4" w:space="0" w:color="BFBFBF"/>
              <w:right w:val="single" w:sz="4" w:space="0" w:color="auto"/>
            </w:tcBorders>
            <w:shd w:val="clear" w:color="auto" w:fill="auto"/>
            <w:noWrap/>
            <w:vAlign w:val="center"/>
          </w:tcPr>
          <w:p w14:paraId="5203CEC2"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3,475</w:t>
            </w:r>
          </w:p>
        </w:tc>
        <w:tc>
          <w:tcPr>
            <w:tcW w:w="857" w:type="dxa"/>
            <w:tcBorders>
              <w:top w:val="nil"/>
              <w:left w:val="nil"/>
              <w:bottom w:val="single" w:sz="4" w:space="0" w:color="BFBFBF"/>
              <w:right w:val="single" w:sz="4" w:space="0" w:color="BFBFBF"/>
            </w:tcBorders>
            <w:shd w:val="clear" w:color="auto" w:fill="auto"/>
            <w:noWrap/>
            <w:vAlign w:val="center"/>
          </w:tcPr>
          <w:p w14:paraId="771FD55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926</w:t>
            </w:r>
          </w:p>
        </w:tc>
        <w:tc>
          <w:tcPr>
            <w:tcW w:w="714" w:type="dxa"/>
            <w:tcBorders>
              <w:top w:val="nil"/>
              <w:left w:val="nil"/>
              <w:bottom w:val="single" w:sz="4" w:space="0" w:color="BFBFBF"/>
              <w:right w:val="single" w:sz="4" w:space="0" w:color="BFBFBF"/>
            </w:tcBorders>
            <w:shd w:val="clear" w:color="auto" w:fill="auto"/>
            <w:noWrap/>
            <w:vAlign w:val="center"/>
          </w:tcPr>
          <w:p w14:paraId="1B488E40"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1,619</w:t>
            </w:r>
          </w:p>
        </w:tc>
        <w:tc>
          <w:tcPr>
            <w:tcW w:w="675" w:type="dxa"/>
            <w:tcBorders>
              <w:top w:val="nil"/>
              <w:left w:val="nil"/>
              <w:bottom w:val="single" w:sz="4" w:space="0" w:color="BFBFBF"/>
              <w:right w:val="nil"/>
            </w:tcBorders>
            <w:shd w:val="clear" w:color="auto" w:fill="auto"/>
            <w:noWrap/>
            <w:vAlign w:val="center"/>
          </w:tcPr>
          <w:p w14:paraId="4985FBB3"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2,006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415E2B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1,357</w:t>
            </w:r>
          </w:p>
        </w:tc>
        <w:tc>
          <w:tcPr>
            <w:tcW w:w="714" w:type="dxa"/>
            <w:tcBorders>
              <w:top w:val="nil"/>
              <w:left w:val="nil"/>
              <w:bottom w:val="single" w:sz="4" w:space="0" w:color="BFBFBF"/>
              <w:right w:val="single" w:sz="4" w:space="0" w:color="BFBFBF"/>
            </w:tcBorders>
            <w:shd w:val="clear" w:color="auto" w:fill="auto"/>
            <w:noWrap/>
            <w:vAlign w:val="center"/>
          </w:tcPr>
          <w:p w14:paraId="46A6398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2,345</w:t>
            </w:r>
          </w:p>
        </w:tc>
        <w:tc>
          <w:tcPr>
            <w:tcW w:w="675" w:type="dxa"/>
            <w:tcBorders>
              <w:top w:val="nil"/>
              <w:left w:val="nil"/>
              <w:bottom w:val="single" w:sz="4" w:space="0" w:color="BFBFBF"/>
              <w:right w:val="single" w:sz="4" w:space="0" w:color="auto"/>
            </w:tcBorders>
            <w:shd w:val="clear" w:color="auto" w:fill="auto"/>
            <w:noWrap/>
            <w:vAlign w:val="center"/>
          </w:tcPr>
          <w:p w14:paraId="71FAB83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3,646</w:t>
            </w:r>
          </w:p>
        </w:tc>
        <w:tc>
          <w:tcPr>
            <w:tcW w:w="857" w:type="dxa"/>
            <w:tcBorders>
              <w:top w:val="nil"/>
              <w:left w:val="nil"/>
              <w:bottom w:val="single" w:sz="4" w:space="0" w:color="BFBFBF"/>
              <w:right w:val="single" w:sz="4" w:space="0" w:color="BFBFBF"/>
            </w:tcBorders>
            <w:shd w:val="clear" w:color="auto" w:fill="auto"/>
            <w:noWrap/>
            <w:vAlign w:val="center"/>
          </w:tcPr>
          <w:p w14:paraId="3A7A796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1,496</w:t>
            </w:r>
          </w:p>
        </w:tc>
        <w:tc>
          <w:tcPr>
            <w:tcW w:w="714" w:type="dxa"/>
            <w:tcBorders>
              <w:top w:val="nil"/>
              <w:left w:val="nil"/>
              <w:bottom w:val="single" w:sz="4" w:space="0" w:color="BFBFBF"/>
              <w:right w:val="single" w:sz="4" w:space="0" w:color="BFBFBF"/>
            </w:tcBorders>
            <w:shd w:val="clear" w:color="auto" w:fill="auto"/>
            <w:noWrap/>
            <w:vAlign w:val="center"/>
          </w:tcPr>
          <w:p w14:paraId="078FAF9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2,702</w:t>
            </w:r>
          </w:p>
        </w:tc>
        <w:tc>
          <w:tcPr>
            <w:tcW w:w="675" w:type="dxa"/>
            <w:tcBorders>
              <w:top w:val="nil"/>
              <w:left w:val="nil"/>
              <w:bottom w:val="single" w:sz="4" w:space="0" w:color="BFBFBF"/>
              <w:right w:val="nil"/>
            </w:tcBorders>
            <w:shd w:val="clear" w:color="auto" w:fill="auto"/>
            <w:noWrap/>
            <w:vAlign w:val="center"/>
          </w:tcPr>
          <w:p w14:paraId="2E5031E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4,179</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559698D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3,359</w:t>
            </w:r>
          </w:p>
        </w:tc>
      </w:tr>
      <w:tr w:rsidR="0035712B" w:rsidRPr="00302718" w14:paraId="284CD817"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2321E204"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3 persons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5E8723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1,507</w:t>
            </w:r>
          </w:p>
        </w:tc>
        <w:tc>
          <w:tcPr>
            <w:tcW w:w="808" w:type="dxa"/>
            <w:tcBorders>
              <w:top w:val="nil"/>
              <w:left w:val="nil"/>
              <w:bottom w:val="single" w:sz="4" w:space="0" w:color="BFBFBF"/>
              <w:right w:val="single" w:sz="4" w:space="0" w:color="BFBFBF"/>
            </w:tcBorders>
            <w:shd w:val="clear" w:color="auto" w:fill="auto"/>
            <w:noWrap/>
            <w:vAlign w:val="center"/>
          </w:tcPr>
          <w:p w14:paraId="2173969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2,257</w:t>
            </w:r>
          </w:p>
        </w:tc>
        <w:tc>
          <w:tcPr>
            <w:tcW w:w="808" w:type="dxa"/>
            <w:tcBorders>
              <w:top w:val="nil"/>
              <w:left w:val="nil"/>
              <w:bottom w:val="single" w:sz="4" w:space="0" w:color="BFBFBF"/>
              <w:right w:val="single" w:sz="4" w:space="0" w:color="auto"/>
            </w:tcBorders>
            <w:shd w:val="clear" w:color="auto" w:fill="auto"/>
            <w:noWrap/>
            <w:vAlign w:val="center"/>
          </w:tcPr>
          <w:p w14:paraId="6A65893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3,927</w:t>
            </w:r>
          </w:p>
        </w:tc>
        <w:tc>
          <w:tcPr>
            <w:tcW w:w="857" w:type="dxa"/>
            <w:tcBorders>
              <w:top w:val="nil"/>
              <w:left w:val="nil"/>
              <w:bottom w:val="single" w:sz="4" w:space="0" w:color="BFBFBF"/>
              <w:right w:val="single" w:sz="4" w:space="0" w:color="BFBFBF"/>
            </w:tcBorders>
            <w:shd w:val="clear" w:color="auto" w:fill="auto"/>
            <w:noWrap/>
            <w:vAlign w:val="center"/>
          </w:tcPr>
          <w:p w14:paraId="544E7CD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857</w:t>
            </w:r>
          </w:p>
        </w:tc>
        <w:tc>
          <w:tcPr>
            <w:tcW w:w="714" w:type="dxa"/>
            <w:tcBorders>
              <w:top w:val="nil"/>
              <w:left w:val="nil"/>
              <w:bottom w:val="single" w:sz="4" w:space="0" w:color="BFBFBF"/>
              <w:right w:val="single" w:sz="4" w:space="0" w:color="BFBFBF"/>
            </w:tcBorders>
            <w:shd w:val="clear" w:color="auto" w:fill="auto"/>
            <w:noWrap/>
            <w:vAlign w:val="center"/>
          </w:tcPr>
          <w:p w14:paraId="621921B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1,438</w:t>
            </w:r>
          </w:p>
        </w:tc>
        <w:tc>
          <w:tcPr>
            <w:tcW w:w="675" w:type="dxa"/>
            <w:tcBorders>
              <w:top w:val="nil"/>
              <w:left w:val="nil"/>
              <w:bottom w:val="single" w:sz="4" w:space="0" w:color="BFBFBF"/>
              <w:right w:val="nil"/>
            </w:tcBorders>
            <w:shd w:val="clear" w:color="auto" w:fill="auto"/>
            <w:noWrap/>
            <w:vAlign w:val="center"/>
          </w:tcPr>
          <w:p w14:paraId="792F7E3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1,601</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E09CCD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1,498</w:t>
            </w:r>
          </w:p>
        </w:tc>
        <w:tc>
          <w:tcPr>
            <w:tcW w:w="714" w:type="dxa"/>
            <w:tcBorders>
              <w:top w:val="nil"/>
              <w:left w:val="nil"/>
              <w:bottom w:val="single" w:sz="4" w:space="0" w:color="BFBFBF"/>
              <w:right w:val="single" w:sz="4" w:space="0" w:color="BFBFBF"/>
            </w:tcBorders>
            <w:shd w:val="clear" w:color="auto" w:fill="auto"/>
            <w:noWrap/>
            <w:vAlign w:val="center"/>
          </w:tcPr>
          <w:p w14:paraId="4903105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2,886</w:t>
            </w:r>
          </w:p>
        </w:tc>
        <w:tc>
          <w:tcPr>
            <w:tcW w:w="675" w:type="dxa"/>
            <w:tcBorders>
              <w:top w:val="nil"/>
              <w:left w:val="nil"/>
              <w:bottom w:val="single" w:sz="4" w:space="0" w:color="BFBFBF"/>
              <w:right w:val="single" w:sz="4" w:space="0" w:color="auto"/>
            </w:tcBorders>
            <w:shd w:val="clear" w:color="auto" w:fill="auto"/>
            <w:noWrap/>
            <w:vAlign w:val="center"/>
          </w:tcPr>
          <w:p w14:paraId="1595DB9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4,407</w:t>
            </w:r>
          </w:p>
        </w:tc>
        <w:tc>
          <w:tcPr>
            <w:tcW w:w="857" w:type="dxa"/>
            <w:tcBorders>
              <w:top w:val="nil"/>
              <w:left w:val="nil"/>
              <w:bottom w:val="single" w:sz="4" w:space="0" w:color="BFBFBF"/>
              <w:right w:val="single" w:sz="4" w:space="0" w:color="BFBFBF"/>
            </w:tcBorders>
            <w:shd w:val="clear" w:color="auto" w:fill="auto"/>
            <w:noWrap/>
            <w:vAlign w:val="center"/>
          </w:tcPr>
          <w:p w14:paraId="311582A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1,793</w:t>
            </w:r>
          </w:p>
        </w:tc>
        <w:tc>
          <w:tcPr>
            <w:tcW w:w="714" w:type="dxa"/>
            <w:tcBorders>
              <w:top w:val="nil"/>
              <w:left w:val="nil"/>
              <w:bottom w:val="single" w:sz="4" w:space="0" w:color="BFBFBF"/>
              <w:right w:val="single" w:sz="4" w:space="0" w:color="BFBFBF"/>
            </w:tcBorders>
            <w:shd w:val="clear" w:color="auto" w:fill="auto"/>
            <w:noWrap/>
            <w:vAlign w:val="center"/>
          </w:tcPr>
          <w:p w14:paraId="2142EC6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2,645</w:t>
            </w:r>
          </w:p>
        </w:tc>
        <w:tc>
          <w:tcPr>
            <w:tcW w:w="675" w:type="dxa"/>
            <w:tcBorders>
              <w:top w:val="nil"/>
              <w:left w:val="nil"/>
              <w:bottom w:val="single" w:sz="4" w:space="0" w:color="BFBFBF"/>
              <w:right w:val="nil"/>
            </w:tcBorders>
            <w:shd w:val="clear" w:color="auto" w:fill="auto"/>
            <w:noWrap/>
            <w:vAlign w:val="center"/>
          </w:tcPr>
          <w:p w14:paraId="1F7334A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4,370</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21B7EEB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4,388</w:t>
            </w:r>
          </w:p>
        </w:tc>
      </w:tr>
      <w:tr w:rsidR="0035712B" w:rsidRPr="00302718" w14:paraId="26B31181"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270AB164"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4 or more persons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044044C"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1,899</w:t>
            </w:r>
          </w:p>
        </w:tc>
        <w:tc>
          <w:tcPr>
            <w:tcW w:w="808" w:type="dxa"/>
            <w:tcBorders>
              <w:top w:val="nil"/>
              <w:left w:val="nil"/>
              <w:bottom w:val="single" w:sz="4" w:space="0" w:color="BFBFBF"/>
              <w:right w:val="single" w:sz="4" w:space="0" w:color="BFBFBF"/>
            </w:tcBorders>
            <w:shd w:val="clear" w:color="auto" w:fill="auto"/>
            <w:noWrap/>
            <w:vAlign w:val="center"/>
          </w:tcPr>
          <w:p w14:paraId="2C65AF94"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3,112</w:t>
            </w:r>
          </w:p>
        </w:tc>
        <w:tc>
          <w:tcPr>
            <w:tcW w:w="808" w:type="dxa"/>
            <w:tcBorders>
              <w:top w:val="nil"/>
              <w:left w:val="nil"/>
              <w:bottom w:val="single" w:sz="4" w:space="0" w:color="BFBFBF"/>
              <w:right w:val="single" w:sz="4" w:space="0" w:color="auto"/>
            </w:tcBorders>
            <w:shd w:val="clear" w:color="auto" w:fill="auto"/>
            <w:noWrap/>
            <w:vAlign w:val="center"/>
          </w:tcPr>
          <w:p w14:paraId="540D7DA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4,965</w:t>
            </w:r>
          </w:p>
        </w:tc>
        <w:tc>
          <w:tcPr>
            <w:tcW w:w="857" w:type="dxa"/>
            <w:tcBorders>
              <w:top w:val="nil"/>
              <w:left w:val="nil"/>
              <w:bottom w:val="single" w:sz="4" w:space="0" w:color="BFBFBF"/>
              <w:right w:val="single" w:sz="4" w:space="0" w:color="BFBFBF"/>
            </w:tcBorders>
            <w:shd w:val="clear" w:color="auto" w:fill="auto"/>
            <w:noWrap/>
            <w:vAlign w:val="center"/>
          </w:tcPr>
          <w:p w14:paraId="249B6FE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1,173</w:t>
            </w:r>
          </w:p>
        </w:tc>
        <w:tc>
          <w:tcPr>
            <w:tcW w:w="714" w:type="dxa"/>
            <w:tcBorders>
              <w:top w:val="nil"/>
              <w:left w:val="nil"/>
              <w:bottom w:val="single" w:sz="4" w:space="0" w:color="BFBFBF"/>
              <w:right w:val="single" w:sz="4" w:space="0" w:color="BFBFBF"/>
            </w:tcBorders>
            <w:shd w:val="clear" w:color="auto" w:fill="auto"/>
            <w:noWrap/>
            <w:vAlign w:val="center"/>
          </w:tcPr>
          <w:p w14:paraId="7A20B5C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2,126</w:t>
            </w:r>
          </w:p>
        </w:tc>
        <w:tc>
          <w:tcPr>
            <w:tcW w:w="675" w:type="dxa"/>
            <w:tcBorders>
              <w:top w:val="nil"/>
              <w:left w:val="nil"/>
              <w:bottom w:val="single" w:sz="4" w:space="0" w:color="BFBFBF"/>
              <w:right w:val="nil"/>
            </w:tcBorders>
            <w:shd w:val="clear" w:color="auto" w:fill="auto"/>
            <w:noWrap/>
            <w:vAlign w:val="center"/>
          </w:tcPr>
          <w:p w14:paraId="53EA6A5C"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2,515</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2FF27F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1,759</w:t>
            </w:r>
          </w:p>
        </w:tc>
        <w:tc>
          <w:tcPr>
            <w:tcW w:w="714" w:type="dxa"/>
            <w:tcBorders>
              <w:top w:val="nil"/>
              <w:left w:val="nil"/>
              <w:bottom w:val="single" w:sz="4" w:space="0" w:color="BFBFBF"/>
              <w:right w:val="single" w:sz="4" w:space="0" w:color="BFBFBF"/>
            </w:tcBorders>
            <w:shd w:val="clear" w:color="auto" w:fill="auto"/>
            <w:noWrap/>
            <w:vAlign w:val="center"/>
          </w:tcPr>
          <w:p w14:paraId="71ACC85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3,308</w:t>
            </w:r>
          </w:p>
        </w:tc>
        <w:tc>
          <w:tcPr>
            <w:tcW w:w="675" w:type="dxa"/>
            <w:tcBorders>
              <w:top w:val="nil"/>
              <w:left w:val="nil"/>
              <w:bottom w:val="single" w:sz="4" w:space="0" w:color="BFBFBF"/>
              <w:right w:val="single" w:sz="4" w:space="0" w:color="auto"/>
            </w:tcBorders>
            <w:shd w:val="clear" w:color="auto" w:fill="auto"/>
            <w:noWrap/>
            <w:vAlign w:val="center"/>
          </w:tcPr>
          <w:p w14:paraId="0C8F298C"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5,833</w:t>
            </w:r>
          </w:p>
        </w:tc>
        <w:tc>
          <w:tcPr>
            <w:tcW w:w="857" w:type="dxa"/>
            <w:tcBorders>
              <w:top w:val="nil"/>
              <w:left w:val="nil"/>
              <w:bottom w:val="single" w:sz="4" w:space="0" w:color="BFBFBF"/>
              <w:right w:val="single" w:sz="4" w:space="0" w:color="BFBFBF"/>
            </w:tcBorders>
            <w:shd w:val="clear" w:color="auto" w:fill="auto"/>
            <w:noWrap/>
            <w:vAlign w:val="center"/>
          </w:tcPr>
          <w:p w14:paraId="6B39954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1,739</w:t>
            </w:r>
          </w:p>
        </w:tc>
        <w:tc>
          <w:tcPr>
            <w:tcW w:w="714" w:type="dxa"/>
            <w:tcBorders>
              <w:top w:val="nil"/>
              <w:left w:val="nil"/>
              <w:bottom w:val="single" w:sz="4" w:space="0" w:color="BFBFBF"/>
              <w:right w:val="single" w:sz="4" w:space="0" w:color="BFBFBF"/>
            </w:tcBorders>
            <w:shd w:val="clear" w:color="auto" w:fill="auto"/>
            <w:noWrap/>
            <w:vAlign w:val="center"/>
          </w:tcPr>
          <w:p w14:paraId="1B20D88E"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3,185</w:t>
            </w:r>
          </w:p>
        </w:tc>
        <w:tc>
          <w:tcPr>
            <w:tcW w:w="675" w:type="dxa"/>
            <w:tcBorders>
              <w:top w:val="nil"/>
              <w:left w:val="nil"/>
              <w:bottom w:val="single" w:sz="4" w:space="0" w:color="BFBFBF"/>
              <w:right w:val="nil"/>
            </w:tcBorders>
            <w:shd w:val="clear" w:color="auto" w:fill="auto"/>
            <w:noWrap/>
            <w:vAlign w:val="center"/>
          </w:tcPr>
          <w:p w14:paraId="56207A8E"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4,923</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370A718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4,504</w:t>
            </w:r>
          </w:p>
        </w:tc>
      </w:tr>
      <w:tr w:rsidR="0035712B" w:rsidRPr="00302718" w14:paraId="4A824408"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3EB34F31" w14:textId="77777777" w:rsidR="0035712B" w:rsidRPr="00302718" w:rsidRDefault="0035712B" w:rsidP="009B2162">
            <w:pPr>
              <w:spacing w:before="0" w:after="0"/>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By Housing Status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FF1CFA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AB85D7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0DE6546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5840D9D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4AF218EC"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44B2ED53"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F476FF5"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129EC59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700E5B6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71D4CDA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0BE1DCF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72E738E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2B7F378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 </w:t>
            </w:r>
          </w:p>
        </w:tc>
      </w:tr>
      <w:tr w:rsidR="0035712B" w:rsidRPr="00302718" w14:paraId="6A8DD51A"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0278C8C4"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Owned/paid off</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EBAC33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1,392</w:t>
            </w:r>
          </w:p>
        </w:tc>
        <w:tc>
          <w:tcPr>
            <w:tcW w:w="808" w:type="dxa"/>
            <w:tcBorders>
              <w:top w:val="nil"/>
              <w:left w:val="nil"/>
              <w:bottom w:val="single" w:sz="4" w:space="0" w:color="BFBFBF"/>
              <w:right w:val="single" w:sz="4" w:space="0" w:color="BFBFBF"/>
            </w:tcBorders>
            <w:shd w:val="clear" w:color="auto" w:fill="auto"/>
            <w:noWrap/>
            <w:vAlign w:val="center"/>
          </w:tcPr>
          <w:p w14:paraId="0DE0282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2,066</w:t>
            </w:r>
          </w:p>
        </w:tc>
        <w:tc>
          <w:tcPr>
            <w:tcW w:w="808" w:type="dxa"/>
            <w:tcBorders>
              <w:top w:val="nil"/>
              <w:left w:val="nil"/>
              <w:bottom w:val="single" w:sz="4" w:space="0" w:color="BFBFBF"/>
              <w:right w:val="single" w:sz="4" w:space="0" w:color="auto"/>
            </w:tcBorders>
            <w:shd w:val="clear" w:color="auto" w:fill="auto"/>
            <w:noWrap/>
            <w:vAlign w:val="center"/>
          </w:tcPr>
          <w:p w14:paraId="6B70D41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3,496</w:t>
            </w:r>
          </w:p>
        </w:tc>
        <w:tc>
          <w:tcPr>
            <w:tcW w:w="857" w:type="dxa"/>
            <w:tcBorders>
              <w:top w:val="nil"/>
              <w:left w:val="nil"/>
              <w:bottom w:val="single" w:sz="4" w:space="0" w:color="BFBFBF"/>
              <w:right w:val="single" w:sz="4" w:space="0" w:color="BFBFBF"/>
            </w:tcBorders>
            <w:shd w:val="clear" w:color="auto" w:fill="auto"/>
            <w:noWrap/>
            <w:vAlign w:val="center"/>
          </w:tcPr>
          <w:p w14:paraId="6285E04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959</w:t>
            </w:r>
          </w:p>
        </w:tc>
        <w:tc>
          <w:tcPr>
            <w:tcW w:w="714" w:type="dxa"/>
            <w:tcBorders>
              <w:top w:val="nil"/>
              <w:left w:val="nil"/>
              <w:bottom w:val="single" w:sz="4" w:space="0" w:color="BFBFBF"/>
              <w:right w:val="single" w:sz="4" w:space="0" w:color="BFBFBF"/>
            </w:tcBorders>
            <w:shd w:val="clear" w:color="auto" w:fill="auto"/>
            <w:noWrap/>
            <w:vAlign w:val="center"/>
          </w:tcPr>
          <w:p w14:paraId="44FA074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1,484</w:t>
            </w:r>
          </w:p>
        </w:tc>
        <w:tc>
          <w:tcPr>
            <w:tcW w:w="675" w:type="dxa"/>
            <w:tcBorders>
              <w:top w:val="nil"/>
              <w:left w:val="nil"/>
              <w:bottom w:val="single" w:sz="4" w:space="0" w:color="BFBFBF"/>
              <w:right w:val="nil"/>
            </w:tcBorders>
            <w:shd w:val="clear" w:color="auto" w:fill="auto"/>
            <w:noWrap/>
            <w:vAlign w:val="center"/>
          </w:tcPr>
          <w:p w14:paraId="46F6999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1,918</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D70264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1,279</w:t>
            </w:r>
          </w:p>
        </w:tc>
        <w:tc>
          <w:tcPr>
            <w:tcW w:w="714" w:type="dxa"/>
            <w:tcBorders>
              <w:top w:val="nil"/>
              <w:left w:val="nil"/>
              <w:bottom w:val="single" w:sz="4" w:space="0" w:color="BFBFBF"/>
              <w:right w:val="single" w:sz="4" w:space="0" w:color="BFBFBF"/>
            </w:tcBorders>
            <w:shd w:val="clear" w:color="auto" w:fill="auto"/>
            <w:noWrap/>
            <w:vAlign w:val="center"/>
          </w:tcPr>
          <w:p w14:paraId="5279508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2,270</w:t>
            </w:r>
          </w:p>
        </w:tc>
        <w:tc>
          <w:tcPr>
            <w:tcW w:w="675" w:type="dxa"/>
            <w:tcBorders>
              <w:top w:val="nil"/>
              <w:left w:val="nil"/>
              <w:bottom w:val="single" w:sz="4" w:space="0" w:color="BFBFBF"/>
              <w:right w:val="single" w:sz="4" w:space="0" w:color="auto"/>
            </w:tcBorders>
            <w:shd w:val="clear" w:color="auto" w:fill="auto"/>
            <w:noWrap/>
            <w:vAlign w:val="center"/>
          </w:tcPr>
          <w:p w14:paraId="13122F1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3,492</w:t>
            </w:r>
          </w:p>
        </w:tc>
        <w:tc>
          <w:tcPr>
            <w:tcW w:w="857" w:type="dxa"/>
            <w:tcBorders>
              <w:top w:val="nil"/>
              <w:left w:val="nil"/>
              <w:bottom w:val="single" w:sz="4" w:space="0" w:color="BFBFBF"/>
              <w:right w:val="single" w:sz="4" w:space="0" w:color="BFBFBF"/>
            </w:tcBorders>
            <w:shd w:val="clear" w:color="auto" w:fill="auto"/>
            <w:noWrap/>
            <w:vAlign w:val="center"/>
          </w:tcPr>
          <w:p w14:paraId="3BA66BF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1,471</w:t>
            </w:r>
          </w:p>
        </w:tc>
        <w:tc>
          <w:tcPr>
            <w:tcW w:w="714" w:type="dxa"/>
            <w:tcBorders>
              <w:top w:val="nil"/>
              <w:left w:val="nil"/>
              <w:bottom w:val="single" w:sz="4" w:space="0" w:color="BFBFBF"/>
              <w:right w:val="single" w:sz="4" w:space="0" w:color="BFBFBF"/>
            </w:tcBorders>
            <w:shd w:val="clear" w:color="auto" w:fill="auto"/>
            <w:noWrap/>
            <w:vAlign w:val="center"/>
          </w:tcPr>
          <w:p w14:paraId="7A88A2F1"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2,446</w:t>
            </w:r>
          </w:p>
        </w:tc>
        <w:tc>
          <w:tcPr>
            <w:tcW w:w="675" w:type="dxa"/>
            <w:tcBorders>
              <w:top w:val="nil"/>
              <w:left w:val="nil"/>
              <w:bottom w:val="single" w:sz="4" w:space="0" w:color="BFBFBF"/>
              <w:right w:val="nil"/>
            </w:tcBorders>
            <w:shd w:val="clear" w:color="auto" w:fill="auto"/>
            <w:noWrap/>
            <w:vAlign w:val="center"/>
          </w:tcPr>
          <w:p w14:paraId="66DFEAF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3,900</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3744EEE7"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3,847</w:t>
            </w:r>
          </w:p>
        </w:tc>
      </w:tr>
      <w:tr w:rsidR="0035712B" w:rsidRPr="00302718" w14:paraId="78BB5C8C"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5E3547B2"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Buying/paying off</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D0C5E2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1,549</w:t>
            </w:r>
          </w:p>
        </w:tc>
        <w:tc>
          <w:tcPr>
            <w:tcW w:w="808" w:type="dxa"/>
            <w:tcBorders>
              <w:top w:val="nil"/>
              <w:left w:val="nil"/>
              <w:bottom w:val="single" w:sz="4" w:space="0" w:color="BFBFBF"/>
              <w:right w:val="single" w:sz="4" w:space="0" w:color="BFBFBF"/>
            </w:tcBorders>
            <w:shd w:val="clear" w:color="auto" w:fill="auto"/>
            <w:noWrap/>
            <w:vAlign w:val="center"/>
          </w:tcPr>
          <w:p w14:paraId="1E855DA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2,392</w:t>
            </w:r>
          </w:p>
        </w:tc>
        <w:tc>
          <w:tcPr>
            <w:tcW w:w="808" w:type="dxa"/>
            <w:tcBorders>
              <w:top w:val="nil"/>
              <w:left w:val="nil"/>
              <w:bottom w:val="single" w:sz="4" w:space="0" w:color="BFBFBF"/>
              <w:right w:val="single" w:sz="4" w:space="0" w:color="auto"/>
            </w:tcBorders>
            <w:shd w:val="clear" w:color="auto" w:fill="auto"/>
            <w:noWrap/>
            <w:vAlign w:val="center"/>
          </w:tcPr>
          <w:p w14:paraId="7D67AFA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3,963</w:t>
            </w:r>
          </w:p>
        </w:tc>
        <w:tc>
          <w:tcPr>
            <w:tcW w:w="857" w:type="dxa"/>
            <w:tcBorders>
              <w:top w:val="nil"/>
              <w:left w:val="nil"/>
              <w:bottom w:val="single" w:sz="4" w:space="0" w:color="BFBFBF"/>
              <w:right w:val="single" w:sz="4" w:space="0" w:color="BFBFBF"/>
            </w:tcBorders>
            <w:shd w:val="clear" w:color="auto" w:fill="auto"/>
            <w:noWrap/>
            <w:vAlign w:val="center"/>
          </w:tcPr>
          <w:p w14:paraId="0DCB8D64"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927</w:t>
            </w:r>
          </w:p>
        </w:tc>
        <w:tc>
          <w:tcPr>
            <w:tcW w:w="714" w:type="dxa"/>
            <w:tcBorders>
              <w:top w:val="nil"/>
              <w:left w:val="nil"/>
              <w:bottom w:val="single" w:sz="4" w:space="0" w:color="BFBFBF"/>
              <w:right w:val="single" w:sz="4" w:space="0" w:color="BFBFBF"/>
            </w:tcBorders>
            <w:shd w:val="clear" w:color="auto" w:fill="auto"/>
            <w:noWrap/>
            <w:vAlign w:val="center"/>
          </w:tcPr>
          <w:p w14:paraId="54FBED73"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1,730</w:t>
            </w:r>
          </w:p>
        </w:tc>
        <w:tc>
          <w:tcPr>
            <w:tcW w:w="675" w:type="dxa"/>
            <w:tcBorders>
              <w:top w:val="nil"/>
              <w:left w:val="nil"/>
              <w:bottom w:val="single" w:sz="4" w:space="0" w:color="BFBFBF"/>
              <w:right w:val="nil"/>
            </w:tcBorders>
            <w:shd w:val="clear" w:color="auto" w:fill="auto"/>
            <w:noWrap/>
            <w:vAlign w:val="center"/>
          </w:tcPr>
          <w:p w14:paraId="5FD1307D"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2,014</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73E11D6"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1,565</w:t>
            </w:r>
          </w:p>
        </w:tc>
        <w:tc>
          <w:tcPr>
            <w:tcW w:w="714" w:type="dxa"/>
            <w:tcBorders>
              <w:top w:val="nil"/>
              <w:left w:val="nil"/>
              <w:bottom w:val="single" w:sz="4" w:space="0" w:color="BFBFBF"/>
              <w:right w:val="single" w:sz="4" w:space="0" w:color="BFBFBF"/>
            </w:tcBorders>
            <w:shd w:val="clear" w:color="auto" w:fill="auto"/>
            <w:noWrap/>
            <w:vAlign w:val="center"/>
          </w:tcPr>
          <w:p w14:paraId="233F243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3,230</w:t>
            </w:r>
          </w:p>
        </w:tc>
        <w:tc>
          <w:tcPr>
            <w:tcW w:w="675" w:type="dxa"/>
            <w:tcBorders>
              <w:top w:val="nil"/>
              <w:left w:val="nil"/>
              <w:bottom w:val="single" w:sz="4" w:space="0" w:color="BFBFBF"/>
              <w:right w:val="single" w:sz="4" w:space="0" w:color="auto"/>
            </w:tcBorders>
            <w:shd w:val="clear" w:color="auto" w:fill="auto"/>
            <w:noWrap/>
            <w:vAlign w:val="center"/>
          </w:tcPr>
          <w:p w14:paraId="485C69E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5,538</w:t>
            </w:r>
          </w:p>
        </w:tc>
        <w:tc>
          <w:tcPr>
            <w:tcW w:w="857" w:type="dxa"/>
            <w:tcBorders>
              <w:top w:val="nil"/>
              <w:left w:val="nil"/>
              <w:bottom w:val="single" w:sz="4" w:space="0" w:color="BFBFBF"/>
              <w:right w:val="single" w:sz="4" w:space="0" w:color="BFBFBF"/>
            </w:tcBorders>
            <w:shd w:val="clear" w:color="auto" w:fill="auto"/>
            <w:noWrap/>
            <w:vAlign w:val="center"/>
          </w:tcPr>
          <w:p w14:paraId="1C57B7A9"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1,648</w:t>
            </w:r>
          </w:p>
        </w:tc>
        <w:tc>
          <w:tcPr>
            <w:tcW w:w="714" w:type="dxa"/>
            <w:tcBorders>
              <w:top w:val="nil"/>
              <w:left w:val="nil"/>
              <w:bottom w:val="single" w:sz="4" w:space="0" w:color="BFBFBF"/>
              <w:right w:val="single" w:sz="4" w:space="0" w:color="BFBFBF"/>
            </w:tcBorders>
            <w:shd w:val="clear" w:color="auto" w:fill="auto"/>
            <w:noWrap/>
            <w:vAlign w:val="center"/>
          </w:tcPr>
          <w:p w14:paraId="6C2D81B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3,053</w:t>
            </w:r>
          </w:p>
        </w:tc>
        <w:tc>
          <w:tcPr>
            <w:tcW w:w="675" w:type="dxa"/>
            <w:tcBorders>
              <w:top w:val="nil"/>
              <w:left w:val="nil"/>
              <w:bottom w:val="single" w:sz="4" w:space="0" w:color="BFBFBF"/>
              <w:right w:val="nil"/>
            </w:tcBorders>
            <w:shd w:val="clear" w:color="auto" w:fill="auto"/>
            <w:noWrap/>
            <w:vAlign w:val="center"/>
          </w:tcPr>
          <w:p w14:paraId="28D659F2"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4,684</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4245542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3,752</w:t>
            </w:r>
          </w:p>
        </w:tc>
      </w:tr>
      <w:tr w:rsidR="0035712B" w:rsidRPr="00302718" w14:paraId="27CE348C"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46DA6005"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Renting – Private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2A26EB7"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1,301</w:t>
            </w:r>
          </w:p>
        </w:tc>
        <w:tc>
          <w:tcPr>
            <w:tcW w:w="808" w:type="dxa"/>
            <w:tcBorders>
              <w:top w:val="nil"/>
              <w:left w:val="nil"/>
              <w:bottom w:val="single" w:sz="4" w:space="0" w:color="BFBFBF"/>
              <w:right w:val="single" w:sz="4" w:space="0" w:color="BFBFBF"/>
            </w:tcBorders>
            <w:shd w:val="clear" w:color="auto" w:fill="auto"/>
            <w:noWrap/>
            <w:vAlign w:val="center"/>
          </w:tcPr>
          <w:p w14:paraId="6C7E4695"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2,235</w:t>
            </w:r>
          </w:p>
        </w:tc>
        <w:tc>
          <w:tcPr>
            <w:tcW w:w="808" w:type="dxa"/>
            <w:tcBorders>
              <w:top w:val="nil"/>
              <w:left w:val="nil"/>
              <w:bottom w:val="single" w:sz="4" w:space="0" w:color="BFBFBF"/>
              <w:right w:val="single" w:sz="4" w:space="0" w:color="auto"/>
            </w:tcBorders>
            <w:shd w:val="clear" w:color="auto" w:fill="auto"/>
            <w:noWrap/>
            <w:vAlign w:val="center"/>
          </w:tcPr>
          <w:p w14:paraId="4366B5B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3,709</w:t>
            </w:r>
          </w:p>
        </w:tc>
        <w:tc>
          <w:tcPr>
            <w:tcW w:w="857" w:type="dxa"/>
            <w:tcBorders>
              <w:top w:val="nil"/>
              <w:left w:val="nil"/>
              <w:bottom w:val="single" w:sz="4" w:space="0" w:color="BFBFBF"/>
              <w:right w:val="single" w:sz="4" w:space="0" w:color="BFBFBF"/>
            </w:tcBorders>
            <w:shd w:val="clear" w:color="auto" w:fill="auto"/>
            <w:noWrap/>
            <w:vAlign w:val="center"/>
          </w:tcPr>
          <w:p w14:paraId="56571E5A"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704</w:t>
            </w:r>
          </w:p>
        </w:tc>
        <w:tc>
          <w:tcPr>
            <w:tcW w:w="714" w:type="dxa"/>
            <w:tcBorders>
              <w:top w:val="nil"/>
              <w:left w:val="nil"/>
              <w:bottom w:val="single" w:sz="4" w:space="0" w:color="BFBFBF"/>
              <w:right w:val="single" w:sz="4" w:space="0" w:color="BFBFBF"/>
            </w:tcBorders>
            <w:shd w:val="clear" w:color="auto" w:fill="auto"/>
            <w:noWrap/>
            <w:vAlign w:val="center"/>
          </w:tcPr>
          <w:p w14:paraId="673444D9"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2,175</w:t>
            </w:r>
          </w:p>
        </w:tc>
        <w:tc>
          <w:tcPr>
            <w:tcW w:w="675" w:type="dxa"/>
            <w:tcBorders>
              <w:top w:val="nil"/>
              <w:left w:val="nil"/>
              <w:bottom w:val="single" w:sz="4" w:space="0" w:color="BFBFBF"/>
              <w:right w:val="nil"/>
            </w:tcBorders>
            <w:shd w:val="clear" w:color="auto" w:fill="auto"/>
            <w:noWrap/>
            <w:vAlign w:val="center"/>
          </w:tcPr>
          <w:p w14:paraId="5B42371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2,119</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648234F"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1,364</w:t>
            </w:r>
          </w:p>
        </w:tc>
        <w:tc>
          <w:tcPr>
            <w:tcW w:w="714" w:type="dxa"/>
            <w:tcBorders>
              <w:top w:val="nil"/>
              <w:left w:val="nil"/>
              <w:bottom w:val="single" w:sz="4" w:space="0" w:color="BFBFBF"/>
              <w:right w:val="single" w:sz="4" w:space="0" w:color="BFBFBF"/>
            </w:tcBorders>
            <w:shd w:val="clear" w:color="auto" w:fill="auto"/>
            <w:noWrap/>
            <w:vAlign w:val="center"/>
          </w:tcPr>
          <w:p w14:paraId="687F38C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2,127</w:t>
            </w:r>
          </w:p>
        </w:tc>
        <w:tc>
          <w:tcPr>
            <w:tcW w:w="675" w:type="dxa"/>
            <w:tcBorders>
              <w:top w:val="nil"/>
              <w:left w:val="nil"/>
              <w:bottom w:val="single" w:sz="4" w:space="0" w:color="BFBFBF"/>
              <w:right w:val="single" w:sz="4" w:space="0" w:color="auto"/>
            </w:tcBorders>
            <w:shd w:val="clear" w:color="auto" w:fill="auto"/>
            <w:noWrap/>
            <w:vAlign w:val="center"/>
          </w:tcPr>
          <w:p w14:paraId="73B23B8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3,421</w:t>
            </w:r>
          </w:p>
        </w:tc>
        <w:tc>
          <w:tcPr>
            <w:tcW w:w="857" w:type="dxa"/>
            <w:tcBorders>
              <w:top w:val="nil"/>
              <w:left w:val="nil"/>
              <w:bottom w:val="single" w:sz="4" w:space="0" w:color="BFBFBF"/>
              <w:right w:val="single" w:sz="4" w:space="0" w:color="BFBFBF"/>
            </w:tcBorders>
            <w:shd w:val="clear" w:color="auto" w:fill="auto"/>
            <w:noWrap/>
            <w:vAlign w:val="center"/>
          </w:tcPr>
          <w:p w14:paraId="17A19E74"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1,369</w:t>
            </w:r>
          </w:p>
        </w:tc>
        <w:tc>
          <w:tcPr>
            <w:tcW w:w="714" w:type="dxa"/>
            <w:tcBorders>
              <w:top w:val="nil"/>
              <w:left w:val="nil"/>
              <w:bottom w:val="single" w:sz="4" w:space="0" w:color="BFBFBF"/>
              <w:right w:val="single" w:sz="4" w:space="0" w:color="BFBFBF"/>
            </w:tcBorders>
            <w:shd w:val="clear" w:color="auto" w:fill="auto"/>
            <w:noWrap/>
            <w:vAlign w:val="center"/>
          </w:tcPr>
          <w:p w14:paraId="2E4892D8"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2,489</w:t>
            </w:r>
          </w:p>
        </w:tc>
        <w:tc>
          <w:tcPr>
            <w:tcW w:w="675" w:type="dxa"/>
            <w:tcBorders>
              <w:top w:val="nil"/>
              <w:left w:val="nil"/>
              <w:bottom w:val="single" w:sz="4" w:space="0" w:color="BFBFBF"/>
              <w:right w:val="nil"/>
            </w:tcBorders>
            <w:shd w:val="clear" w:color="auto" w:fill="auto"/>
            <w:noWrap/>
            <w:vAlign w:val="center"/>
          </w:tcPr>
          <w:p w14:paraId="313645F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3,740</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0A277C0A"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3,235</w:t>
            </w:r>
          </w:p>
        </w:tc>
      </w:tr>
      <w:tr w:rsidR="0035712B" w:rsidRPr="00302718" w14:paraId="4371631C" w14:textId="77777777" w:rsidTr="0035712B">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2CC29915" w14:textId="77777777" w:rsidR="0035712B" w:rsidRPr="00302718" w:rsidRDefault="0035712B" w:rsidP="009B2162">
            <w:pPr>
              <w:spacing w:before="0" w:after="0"/>
              <w:ind w:firstLineChars="100" w:firstLine="160"/>
              <w:rPr>
                <w:rFonts w:ascii="Arial" w:hAnsi="Arial" w:cs="Arial"/>
                <w:color w:val="000000"/>
                <w:sz w:val="16"/>
                <w:szCs w:val="16"/>
                <w:lang w:val="en-AU" w:eastAsia="en-AU"/>
              </w:rPr>
            </w:pPr>
            <w:r w:rsidRPr="00302718">
              <w:rPr>
                <w:rFonts w:ascii="Arial" w:hAnsi="Arial" w:cs="Arial"/>
                <w:color w:val="000000"/>
                <w:sz w:val="16"/>
                <w:szCs w:val="16"/>
                <w:lang w:val="en-AU" w:eastAsia="en-AU"/>
              </w:rPr>
              <w:t>Renting – Public</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0777346"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1,293</w:t>
            </w:r>
          </w:p>
        </w:tc>
        <w:tc>
          <w:tcPr>
            <w:tcW w:w="808" w:type="dxa"/>
            <w:tcBorders>
              <w:top w:val="nil"/>
              <w:left w:val="nil"/>
              <w:bottom w:val="single" w:sz="4" w:space="0" w:color="BFBFBF"/>
              <w:right w:val="single" w:sz="4" w:space="0" w:color="BFBFBF"/>
            </w:tcBorders>
            <w:shd w:val="clear" w:color="auto" w:fill="auto"/>
            <w:noWrap/>
            <w:vAlign w:val="center"/>
          </w:tcPr>
          <w:p w14:paraId="418E2A8F"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2,165</w:t>
            </w:r>
          </w:p>
        </w:tc>
        <w:tc>
          <w:tcPr>
            <w:tcW w:w="808" w:type="dxa"/>
            <w:tcBorders>
              <w:top w:val="nil"/>
              <w:left w:val="nil"/>
              <w:bottom w:val="single" w:sz="4" w:space="0" w:color="BFBFBF"/>
              <w:right w:val="single" w:sz="4" w:space="0" w:color="auto"/>
            </w:tcBorders>
            <w:shd w:val="clear" w:color="auto" w:fill="auto"/>
            <w:noWrap/>
            <w:vAlign w:val="center"/>
          </w:tcPr>
          <w:p w14:paraId="06037988"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3,468</w:t>
            </w:r>
          </w:p>
        </w:tc>
        <w:tc>
          <w:tcPr>
            <w:tcW w:w="857" w:type="dxa"/>
            <w:tcBorders>
              <w:top w:val="nil"/>
              <w:left w:val="nil"/>
              <w:bottom w:val="single" w:sz="4" w:space="0" w:color="BFBFBF"/>
              <w:right w:val="single" w:sz="4" w:space="0" w:color="BFBFBF"/>
            </w:tcBorders>
            <w:shd w:val="clear" w:color="auto" w:fill="auto"/>
            <w:noWrap/>
            <w:vAlign w:val="center"/>
          </w:tcPr>
          <w:p w14:paraId="4E5A181E"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621</w:t>
            </w:r>
          </w:p>
        </w:tc>
        <w:tc>
          <w:tcPr>
            <w:tcW w:w="714" w:type="dxa"/>
            <w:tcBorders>
              <w:top w:val="nil"/>
              <w:left w:val="nil"/>
              <w:bottom w:val="single" w:sz="4" w:space="0" w:color="BFBFBF"/>
              <w:right w:val="single" w:sz="4" w:space="0" w:color="BFBFBF"/>
            </w:tcBorders>
            <w:shd w:val="clear" w:color="auto" w:fill="auto"/>
            <w:noWrap/>
            <w:vAlign w:val="center"/>
          </w:tcPr>
          <w:p w14:paraId="715C1C33"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772</w:t>
            </w:r>
          </w:p>
        </w:tc>
        <w:tc>
          <w:tcPr>
            <w:tcW w:w="675" w:type="dxa"/>
            <w:tcBorders>
              <w:top w:val="nil"/>
              <w:left w:val="nil"/>
              <w:bottom w:val="single" w:sz="4" w:space="0" w:color="BFBFBF"/>
              <w:right w:val="nil"/>
            </w:tcBorders>
            <w:shd w:val="clear" w:color="auto" w:fill="auto"/>
            <w:noWrap/>
            <w:vAlign w:val="center"/>
          </w:tcPr>
          <w:p w14:paraId="75B2C08B" w14:textId="77777777" w:rsidR="0035712B" w:rsidRPr="00302718" w:rsidRDefault="0035712B" w:rsidP="0035712B">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1,049</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591839D"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1,280</w:t>
            </w:r>
          </w:p>
        </w:tc>
        <w:tc>
          <w:tcPr>
            <w:tcW w:w="714" w:type="dxa"/>
            <w:tcBorders>
              <w:top w:val="nil"/>
              <w:left w:val="nil"/>
              <w:bottom w:val="single" w:sz="4" w:space="0" w:color="BFBFBF"/>
              <w:right w:val="single" w:sz="4" w:space="0" w:color="BFBFBF"/>
            </w:tcBorders>
            <w:shd w:val="clear" w:color="auto" w:fill="auto"/>
            <w:noWrap/>
            <w:vAlign w:val="center"/>
          </w:tcPr>
          <w:p w14:paraId="1A73064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2,238</w:t>
            </w:r>
          </w:p>
        </w:tc>
        <w:tc>
          <w:tcPr>
            <w:tcW w:w="675" w:type="dxa"/>
            <w:tcBorders>
              <w:top w:val="nil"/>
              <w:left w:val="nil"/>
              <w:bottom w:val="single" w:sz="4" w:space="0" w:color="BFBFBF"/>
              <w:right w:val="single" w:sz="4" w:space="0" w:color="auto"/>
            </w:tcBorders>
            <w:shd w:val="clear" w:color="auto" w:fill="auto"/>
            <w:noWrap/>
            <w:vAlign w:val="center"/>
          </w:tcPr>
          <w:p w14:paraId="49C40537"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3,288</w:t>
            </w:r>
          </w:p>
        </w:tc>
        <w:tc>
          <w:tcPr>
            <w:tcW w:w="857" w:type="dxa"/>
            <w:tcBorders>
              <w:top w:val="nil"/>
              <w:left w:val="nil"/>
              <w:bottom w:val="single" w:sz="4" w:space="0" w:color="BFBFBF"/>
              <w:right w:val="single" w:sz="4" w:space="0" w:color="BFBFBF"/>
            </w:tcBorders>
            <w:shd w:val="clear" w:color="auto" w:fill="auto"/>
            <w:noWrap/>
            <w:vAlign w:val="center"/>
          </w:tcPr>
          <w:p w14:paraId="0008F6C3"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935</w:t>
            </w:r>
          </w:p>
        </w:tc>
        <w:tc>
          <w:tcPr>
            <w:tcW w:w="714" w:type="dxa"/>
            <w:tcBorders>
              <w:top w:val="nil"/>
              <w:left w:val="nil"/>
              <w:bottom w:val="single" w:sz="4" w:space="0" w:color="BFBFBF"/>
              <w:right w:val="single" w:sz="4" w:space="0" w:color="BFBFBF"/>
            </w:tcBorders>
            <w:shd w:val="clear" w:color="auto" w:fill="auto"/>
            <w:noWrap/>
            <w:vAlign w:val="center"/>
          </w:tcPr>
          <w:p w14:paraId="72EF39E7"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2,036</w:t>
            </w:r>
          </w:p>
        </w:tc>
        <w:tc>
          <w:tcPr>
            <w:tcW w:w="675" w:type="dxa"/>
            <w:tcBorders>
              <w:top w:val="nil"/>
              <w:left w:val="nil"/>
              <w:bottom w:val="single" w:sz="4" w:space="0" w:color="BFBFBF"/>
              <w:right w:val="nil"/>
            </w:tcBorders>
            <w:shd w:val="clear" w:color="auto" w:fill="auto"/>
            <w:noWrap/>
            <w:vAlign w:val="center"/>
          </w:tcPr>
          <w:p w14:paraId="5E8D536B"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2,971</w:t>
            </w:r>
          </w:p>
        </w:tc>
        <w:tc>
          <w:tcPr>
            <w:tcW w:w="808" w:type="dxa"/>
            <w:tcBorders>
              <w:top w:val="nil"/>
              <w:left w:val="single" w:sz="4" w:space="0" w:color="auto"/>
              <w:bottom w:val="single" w:sz="4" w:space="0" w:color="BFBFBF"/>
              <w:right w:val="double" w:sz="6" w:space="0" w:color="auto"/>
            </w:tcBorders>
            <w:shd w:val="clear" w:color="auto" w:fill="auto"/>
            <w:noWrap/>
            <w:vAlign w:val="center"/>
          </w:tcPr>
          <w:p w14:paraId="6EC62B20" w14:textId="77777777" w:rsidR="0035712B" w:rsidRPr="00302718" w:rsidRDefault="0035712B" w:rsidP="009B2162">
            <w:pPr>
              <w:spacing w:before="0" w:after="0"/>
              <w:jc w:val="center"/>
              <w:rPr>
                <w:rFonts w:ascii="Arial" w:hAnsi="Arial" w:cs="Arial"/>
                <w:color w:val="000000"/>
                <w:sz w:val="16"/>
                <w:szCs w:val="16"/>
                <w:lang w:val="en-AU" w:eastAsia="en-AU"/>
              </w:rPr>
            </w:pPr>
            <w:r w:rsidRPr="00302718">
              <w:rPr>
                <w:rFonts w:ascii="Arial" w:hAnsi="Arial" w:cs="Arial"/>
                <w:color w:val="000000"/>
                <w:sz w:val="16"/>
                <w:szCs w:val="16"/>
                <w:lang w:val="en-AU" w:eastAsia="en-AU"/>
              </w:rPr>
              <w:t>3,548</w:t>
            </w:r>
          </w:p>
        </w:tc>
      </w:tr>
      <w:tr w:rsidR="0035712B" w:rsidRPr="00302718" w14:paraId="239AE9FB" w14:textId="77777777" w:rsidTr="0035712B">
        <w:trPr>
          <w:trHeight w:val="240"/>
          <w:jc w:val="center"/>
        </w:trPr>
        <w:tc>
          <w:tcPr>
            <w:tcW w:w="2717" w:type="dxa"/>
            <w:tcBorders>
              <w:top w:val="nil"/>
              <w:left w:val="double" w:sz="6" w:space="0" w:color="auto"/>
              <w:bottom w:val="double" w:sz="6" w:space="0" w:color="auto"/>
              <w:right w:val="nil"/>
            </w:tcBorders>
            <w:shd w:val="clear" w:color="auto" w:fill="auto"/>
            <w:noWrap/>
            <w:vAlign w:val="center"/>
          </w:tcPr>
          <w:p w14:paraId="6FF40601" w14:textId="77777777" w:rsidR="0035712B" w:rsidRPr="00302718" w:rsidRDefault="0035712B" w:rsidP="009B2162">
            <w:pPr>
              <w:spacing w:before="0" w:after="0"/>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Total Households</w:t>
            </w:r>
          </w:p>
        </w:tc>
        <w:tc>
          <w:tcPr>
            <w:tcW w:w="857" w:type="dxa"/>
            <w:tcBorders>
              <w:top w:val="nil"/>
              <w:left w:val="single" w:sz="4" w:space="0" w:color="auto"/>
              <w:bottom w:val="double" w:sz="6" w:space="0" w:color="auto"/>
              <w:right w:val="single" w:sz="4" w:space="0" w:color="BFBFBF"/>
            </w:tcBorders>
            <w:shd w:val="clear" w:color="auto" w:fill="auto"/>
            <w:noWrap/>
            <w:vAlign w:val="center"/>
          </w:tcPr>
          <w:p w14:paraId="7F975696" w14:textId="77777777" w:rsidR="0035712B" w:rsidRPr="00302718" w:rsidRDefault="0035712B" w:rsidP="0035712B">
            <w:pPr>
              <w:spacing w:before="0" w:after="0"/>
              <w:jc w:val="center"/>
              <w:rPr>
                <w:rFonts w:ascii="Arial" w:hAnsi="Arial" w:cs="Arial"/>
                <w:b/>
                <w:color w:val="000000"/>
                <w:sz w:val="16"/>
                <w:szCs w:val="16"/>
                <w:lang w:val="en-AU" w:eastAsia="en-AU"/>
              </w:rPr>
            </w:pPr>
            <w:r w:rsidRPr="00302718">
              <w:rPr>
                <w:rFonts w:ascii="Arial" w:hAnsi="Arial" w:cs="Arial"/>
                <w:b/>
                <w:color w:val="000000"/>
                <w:sz w:val="16"/>
                <w:szCs w:val="16"/>
                <w:lang w:val="en-AU" w:eastAsia="en-AU"/>
              </w:rPr>
              <w:t>1,422</w:t>
            </w:r>
          </w:p>
        </w:tc>
        <w:tc>
          <w:tcPr>
            <w:tcW w:w="808" w:type="dxa"/>
            <w:tcBorders>
              <w:top w:val="nil"/>
              <w:left w:val="nil"/>
              <w:bottom w:val="double" w:sz="6" w:space="0" w:color="auto"/>
              <w:right w:val="single" w:sz="4" w:space="0" w:color="BFBFBF"/>
            </w:tcBorders>
            <w:shd w:val="clear" w:color="auto" w:fill="auto"/>
            <w:noWrap/>
            <w:vAlign w:val="center"/>
          </w:tcPr>
          <w:p w14:paraId="6BE1AD01" w14:textId="77777777" w:rsidR="0035712B" w:rsidRPr="00302718" w:rsidRDefault="0035712B" w:rsidP="0035712B">
            <w:pPr>
              <w:spacing w:before="0" w:after="0"/>
              <w:jc w:val="center"/>
              <w:rPr>
                <w:rFonts w:ascii="Arial" w:hAnsi="Arial" w:cs="Arial"/>
                <w:b/>
                <w:color w:val="000000"/>
                <w:sz w:val="16"/>
                <w:szCs w:val="16"/>
                <w:lang w:val="en-AU" w:eastAsia="en-AU"/>
              </w:rPr>
            </w:pPr>
            <w:r w:rsidRPr="00302718">
              <w:rPr>
                <w:rFonts w:ascii="Arial" w:hAnsi="Arial" w:cs="Arial"/>
                <w:b/>
                <w:color w:val="000000"/>
                <w:sz w:val="16"/>
                <w:szCs w:val="16"/>
                <w:lang w:val="en-AU" w:eastAsia="en-AU"/>
              </w:rPr>
              <w:t>2,192</w:t>
            </w:r>
          </w:p>
        </w:tc>
        <w:tc>
          <w:tcPr>
            <w:tcW w:w="808" w:type="dxa"/>
            <w:tcBorders>
              <w:top w:val="nil"/>
              <w:left w:val="nil"/>
              <w:bottom w:val="double" w:sz="6" w:space="0" w:color="auto"/>
              <w:right w:val="single" w:sz="4" w:space="0" w:color="auto"/>
            </w:tcBorders>
            <w:shd w:val="clear" w:color="auto" w:fill="auto"/>
            <w:noWrap/>
            <w:vAlign w:val="center"/>
          </w:tcPr>
          <w:p w14:paraId="4BB6EA96" w14:textId="77777777" w:rsidR="0035712B" w:rsidRPr="00302718" w:rsidRDefault="0035712B" w:rsidP="0035712B">
            <w:pPr>
              <w:spacing w:before="0" w:after="0"/>
              <w:jc w:val="center"/>
              <w:rPr>
                <w:rFonts w:ascii="Arial" w:hAnsi="Arial" w:cs="Arial"/>
                <w:b/>
                <w:color w:val="000000"/>
                <w:sz w:val="16"/>
                <w:szCs w:val="16"/>
                <w:lang w:val="en-AU" w:eastAsia="en-AU"/>
              </w:rPr>
            </w:pPr>
            <w:r w:rsidRPr="00302718">
              <w:rPr>
                <w:rFonts w:ascii="Arial" w:hAnsi="Arial" w:cs="Arial"/>
                <w:b/>
                <w:color w:val="000000"/>
                <w:sz w:val="16"/>
                <w:szCs w:val="16"/>
                <w:lang w:val="en-AU" w:eastAsia="en-AU"/>
              </w:rPr>
              <w:t>3,662</w:t>
            </w:r>
          </w:p>
        </w:tc>
        <w:tc>
          <w:tcPr>
            <w:tcW w:w="857" w:type="dxa"/>
            <w:tcBorders>
              <w:top w:val="nil"/>
              <w:left w:val="nil"/>
              <w:bottom w:val="double" w:sz="6" w:space="0" w:color="auto"/>
              <w:right w:val="single" w:sz="4" w:space="0" w:color="BFBFBF"/>
            </w:tcBorders>
            <w:shd w:val="clear" w:color="auto" w:fill="auto"/>
            <w:noWrap/>
            <w:vAlign w:val="center"/>
          </w:tcPr>
          <w:p w14:paraId="435253A2" w14:textId="77777777" w:rsidR="0035712B" w:rsidRPr="00302718" w:rsidRDefault="0035712B" w:rsidP="0035712B">
            <w:pPr>
              <w:spacing w:before="0" w:after="0"/>
              <w:jc w:val="center"/>
              <w:rPr>
                <w:rFonts w:ascii="Arial" w:hAnsi="Arial" w:cs="Arial"/>
                <w:b/>
                <w:color w:val="000000"/>
                <w:sz w:val="16"/>
                <w:szCs w:val="16"/>
                <w:lang w:val="en-AU" w:eastAsia="en-AU"/>
              </w:rPr>
            </w:pPr>
            <w:r w:rsidRPr="00302718">
              <w:rPr>
                <w:rFonts w:ascii="Arial" w:hAnsi="Arial" w:cs="Arial"/>
                <w:b/>
                <w:color w:val="000000"/>
                <w:sz w:val="16"/>
                <w:szCs w:val="16"/>
                <w:lang w:val="en-AU" w:eastAsia="en-AU"/>
              </w:rPr>
              <w:t>922</w:t>
            </w:r>
          </w:p>
        </w:tc>
        <w:tc>
          <w:tcPr>
            <w:tcW w:w="714" w:type="dxa"/>
            <w:tcBorders>
              <w:top w:val="nil"/>
              <w:left w:val="nil"/>
              <w:bottom w:val="double" w:sz="6" w:space="0" w:color="auto"/>
              <w:right w:val="single" w:sz="4" w:space="0" w:color="BFBFBF"/>
            </w:tcBorders>
            <w:shd w:val="clear" w:color="auto" w:fill="auto"/>
            <w:noWrap/>
            <w:vAlign w:val="center"/>
          </w:tcPr>
          <w:p w14:paraId="485F5135" w14:textId="77777777" w:rsidR="0035712B" w:rsidRPr="00302718" w:rsidRDefault="0035712B" w:rsidP="0035712B">
            <w:pPr>
              <w:spacing w:before="0" w:after="0"/>
              <w:jc w:val="center"/>
              <w:rPr>
                <w:rFonts w:ascii="Arial" w:hAnsi="Arial" w:cs="Arial"/>
                <w:b/>
                <w:color w:val="000000"/>
                <w:sz w:val="16"/>
                <w:szCs w:val="16"/>
                <w:lang w:val="en-AU" w:eastAsia="en-AU"/>
              </w:rPr>
            </w:pPr>
            <w:r w:rsidRPr="00302718">
              <w:rPr>
                <w:rFonts w:ascii="Arial" w:hAnsi="Arial" w:cs="Arial"/>
                <w:b/>
                <w:color w:val="000000"/>
                <w:sz w:val="16"/>
                <w:szCs w:val="16"/>
                <w:lang w:val="en-AU" w:eastAsia="en-AU"/>
              </w:rPr>
              <w:t>1,609</w:t>
            </w:r>
          </w:p>
        </w:tc>
        <w:tc>
          <w:tcPr>
            <w:tcW w:w="675" w:type="dxa"/>
            <w:tcBorders>
              <w:top w:val="nil"/>
              <w:left w:val="nil"/>
              <w:bottom w:val="double" w:sz="6" w:space="0" w:color="auto"/>
              <w:right w:val="nil"/>
            </w:tcBorders>
            <w:shd w:val="clear" w:color="auto" w:fill="auto"/>
            <w:noWrap/>
            <w:vAlign w:val="center"/>
          </w:tcPr>
          <w:p w14:paraId="0BBB328D" w14:textId="77777777" w:rsidR="0035712B" w:rsidRPr="00302718" w:rsidRDefault="0035712B" w:rsidP="0035712B">
            <w:pPr>
              <w:spacing w:before="0" w:after="0"/>
              <w:jc w:val="center"/>
              <w:rPr>
                <w:rFonts w:ascii="Arial" w:hAnsi="Arial" w:cs="Arial"/>
                <w:b/>
                <w:color w:val="000000"/>
                <w:sz w:val="16"/>
                <w:szCs w:val="16"/>
                <w:lang w:val="en-AU" w:eastAsia="en-AU"/>
              </w:rPr>
            </w:pPr>
            <w:r w:rsidRPr="00302718">
              <w:rPr>
                <w:rFonts w:ascii="Arial" w:hAnsi="Arial" w:cs="Arial"/>
                <w:b/>
                <w:color w:val="000000"/>
                <w:sz w:val="16"/>
                <w:szCs w:val="16"/>
                <w:lang w:val="en-AU" w:eastAsia="en-AU"/>
              </w:rPr>
              <w:t>1,941</w:t>
            </w:r>
          </w:p>
        </w:tc>
        <w:tc>
          <w:tcPr>
            <w:tcW w:w="857" w:type="dxa"/>
            <w:tcBorders>
              <w:top w:val="nil"/>
              <w:left w:val="single" w:sz="4" w:space="0" w:color="auto"/>
              <w:bottom w:val="double" w:sz="6" w:space="0" w:color="auto"/>
              <w:right w:val="single" w:sz="4" w:space="0" w:color="BFBFBF"/>
            </w:tcBorders>
            <w:shd w:val="clear" w:color="auto" w:fill="auto"/>
            <w:noWrap/>
            <w:vAlign w:val="center"/>
          </w:tcPr>
          <w:p w14:paraId="278F0BF6" w14:textId="77777777" w:rsidR="0035712B" w:rsidRPr="00302718" w:rsidRDefault="0035712B"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1,362</w:t>
            </w:r>
          </w:p>
        </w:tc>
        <w:tc>
          <w:tcPr>
            <w:tcW w:w="714" w:type="dxa"/>
            <w:tcBorders>
              <w:top w:val="nil"/>
              <w:left w:val="nil"/>
              <w:bottom w:val="double" w:sz="6" w:space="0" w:color="auto"/>
              <w:right w:val="single" w:sz="4" w:space="0" w:color="BFBFBF"/>
            </w:tcBorders>
            <w:shd w:val="clear" w:color="auto" w:fill="auto"/>
            <w:noWrap/>
            <w:vAlign w:val="center"/>
          </w:tcPr>
          <w:p w14:paraId="35CAB3CF" w14:textId="77777777" w:rsidR="0035712B" w:rsidRPr="00302718" w:rsidRDefault="0035712B"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2,481</w:t>
            </w:r>
          </w:p>
        </w:tc>
        <w:tc>
          <w:tcPr>
            <w:tcW w:w="675" w:type="dxa"/>
            <w:tcBorders>
              <w:top w:val="nil"/>
              <w:left w:val="nil"/>
              <w:bottom w:val="double" w:sz="6" w:space="0" w:color="auto"/>
              <w:right w:val="single" w:sz="4" w:space="0" w:color="auto"/>
            </w:tcBorders>
            <w:shd w:val="clear" w:color="auto" w:fill="auto"/>
            <w:noWrap/>
            <w:vAlign w:val="center"/>
          </w:tcPr>
          <w:p w14:paraId="3C60E511" w14:textId="77777777" w:rsidR="0035712B" w:rsidRPr="00302718" w:rsidRDefault="0035712B"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3,979</w:t>
            </w:r>
          </w:p>
        </w:tc>
        <w:tc>
          <w:tcPr>
            <w:tcW w:w="857" w:type="dxa"/>
            <w:tcBorders>
              <w:top w:val="nil"/>
              <w:left w:val="nil"/>
              <w:bottom w:val="double" w:sz="6" w:space="0" w:color="auto"/>
              <w:right w:val="single" w:sz="4" w:space="0" w:color="BFBFBF"/>
            </w:tcBorders>
            <w:shd w:val="clear" w:color="auto" w:fill="auto"/>
            <w:noWrap/>
            <w:vAlign w:val="center"/>
          </w:tcPr>
          <w:p w14:paraId="6C4080FC" w14:textId="77777777" w:rsidR="0035712B" w:rsidRPr="00302718" w:rsidRDefault="0035712B"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1,502</w:t>
            </w:r>
          </w:p>
        </w:tc>
        <w:tc>
          <w:tcPr>
            <w:tcW w:w="714" w:type="dxa"/>
            <w:tcBorders>
              <w:top w:val="nil"/>
              <w:left w:val="nil"/>
              <w:bottom w:val="double" w:sz="6" w:space="0" w:color="auto"/>
              <w:right w:val="single" w:sz="4" w:space="0" w:color="BFBFBF"/>
            </w:tcBorders>
            <w:shd w:val="clear" w:color="auto" w:fill="auto"/>
            <w:noWrap/>
            <w:vAlign w:val="center"/>
          </w:tcPr>
          <w:p w14:paraId="01A12C27" w14:textId="77777777" w:rsidR="0035712B" w:rsidRPr="00302718" w:rsidRDefault="0035712B"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2,601</w:t>
            </w:r>
          </w:p>
        </w:tc>
        <w:tc>
          <w:tcPr>
            <w:tcW w:w="675" w:type="dxa"/>
            <w:tcBorders>
              <w:top w:val="nil"/>
              <w:left w:val="nil"/>
              <w:bottom w:val="double" w:sz="6" w:space="0" w:color="auto"/>
              <w:right w:val="nil"/>
            </w:tcBorders>
            <w:shd w:val="clear" w:color="auto" w:fill="auto"/>
            <w:noWrap/>
            <w:vAlign w:val="center"/>
          </w:tcPr>
          <w:p w14:paraId="1F277729" w14:textId="77777777" w:rsidR="0035712B" w:rsidRPr="00302718" w:rsidRDefault="0035712B"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4,072</w:t>
            </w:r>
          </w:p>
        </w:tc>
        <w:tc>
          <w:tcPr>
            <w:tcW w:w="808" w:type="dxa"/>
            <w:tcBorders>
              <w:top w:val="nil"/>
              <w:left w:val="single" w:sz="4" w:space="0" w:color="auto"/>
              <w:bottom w:val="double" w:sz="6" w:space="0" w:color="auto"/>
              <w:right w:val="double" w:sz="6" w:space="0" w:color="auto"/>
            </w:tcBorders>
            <w:shd w:val="clear" w:color="auto" w:fill="auto"/>
            <w:noWrap/>
            <w:vAlign w:val="center"/>
          </w:tcPr>
          <w:p w14:paraId="48133311" w14:textId="77777777" w:rsidR="0035712B" w:rsidRPr="00302718" w:rsidRDefault="0035712B" w:rsidP="009B2162">
            <w:pPr>
              <w:spacing w:before="0" w:after="0"/>
              <w:jc w:val="center"/>
              <w:rPr>
                <w:rFonts w:ascii="Arial" w:hAnsi="Arial" w:cs="Arial"/>
                <w:b/>
                <w:bCs/>
                <w:color w:val="000000"/>
                <w:sz w:val="16"/>
                <w:szCs w:val="16"/>
                <w:lang w:val="en-AU" w:eastAsia="en-AU"/>
              </w:rPr>
            </w:pPr>
            <w:r w:rsidRPr="00302718">
              <w:rPr>
                <w:rFonts w:ascii="Arial" w:hAnsi="Arial" w:cs="Arial"/>
                <w:b/>
                <w:bCs/>
                <w:color w:val="000000"/>
                <w:sz w:val="16"/>
                <w:szCs w:val="16"/>
                <w:lang w:val="en-AU" w:eastAsia="en-AU"/>
              </w:rPr>
              <w:t>3,689</w:t>
            </w:r>
          </w:p>
        </w:tc>
      </w:tr>
    </w:tbl>
    <w:p w14:paraId="090F1967" w14:textId="77777777" w:rsidR="00325B9D" w:rsidRPr="00302718" w:rsidRDefault="00325B9D" w:rsidP="009748AD">
      <w:pPr>
        <w:pStyle w:val="Para"/>
        <w:tabs>
          <w:tab w:val="left" w:pos="284"/>
        </w:tabs>
        <w:spacing w:before="120" w:line="200" w:lineRule="exact"/>
        <w:ind w:left="720"/>
        <w:rPr>
          <w:sz w:val="20"/>
          <w:lang w:val="en-AU"/>
        </w:rPr>
      </w:pPr>
      <w:r w:rsidRPr="00302718">
        <w:rPr>
          <w:sz w:val="20"/>
          <w:lang w:val="en-AU"/>
        </w:rPr>
        <w:t xml:space="preserve">Average summer month peak consumption </w:t>
      </w:r>
      <w:r w:rsidR="0035712B" w:rsidRPr="00302718">
        <w:rPr>
          <w:sz w:val="20"/>
          <w:lang w:val="en-AU"/>
        </w:rPr>
        <w:t>284</w:t>
      </w:r>
      <w:r w:rsidRPr="00302718">
        <w:rPr>
          <w:sz w:val="20"/>
          <w:lang w:val="en-AU"/>
        </w:rPr>
        <w:t xml:space="preserve"> kWh.  Average winter month peak consumption 31</w:t>
      </w:r>
      <w:r w:rsidR="0035712B" w:rsidRPr="00302718">
        <w:rPr>
          <w:sz w:val="20"/>
          <w:lang w:val="en-AU"/>
        </w:rPr>
        <w:t>3</w:t>
      </w:r>
      <w:r w:rsidRPr="00302718">
        <w:rPr>
          <w:sz w:val="20"/>
          <w:lang w:val="en-AU"/>
        </w:rPr>
        <w:t xml:space="preserve"> kWh</w:t>
      </w:r>
    </w:p>
    <w:p w14:paraId="234E4861" w14:textId="77777777" w:rsidR="00D109F7" w:rsidRPr="00CF34FF" w:rsidRDefault="00D109F7" w:rsidP="002618D8">
      <w:pPr>
        <w:pStyle w:val="Para"/>
        <w:tabs>
          <w:tab w:val="left" w:pos="284"/>
        </w:tabs>
        <w:spacing w:before="60" w:line="200" w:lineRule="exact"/>
        <w:ind w:left="720"/>
        <w:rPr>
          <w:sz w:val="20"/>
          <w:lang w:val="en-AU"/>
        </w:rPr>
      </w:pPr>
      <w:r w:rsidRPr="00302718">
        <w:rPr>
          <w:sz w:val="20"/>
          <w:lang w:val="en-AU"/>
        </w:rPr>
        <w:t xml:space="preserve">Average summer month off peak consumption (i.e. December-April) is </w:t>
      </w:r>
      <w:r w:rsidR="008C280C" w:rsidRPr="00302718">
        <w:rPr>
          <w:sz w:val="20"/>
          <w:lang w:val="en-AU"/>
        </w:rPr>
        <w:t>1</w:t>
      </w:r>
      <w:r w:rsidR="0035712B" w:rsidRPr="00302718">
        <w:rPr>
          <w:sz w:val="20"/>
          <w:lang w:val="en-AU"/>
        </w:rPr>
        <w:t>84</w:t>
      </w:r>
      <w:r w:rsidR="008C280C" w:rsidRPr="00302718">
        <w:rPr>
          <w:sz w:val="20"/>
          <w:lang w:val="en-AU"/>
        </w:rPr>
        <w:t xml:space="preserve"> kWh (</w:t>
      </w:r>
      <w:r w:rsidRPr="00302718">
        <w:rPr>
          <w:sz w:val="20"/>
          <w:lang w:val="en-AU"/>
        </w:rPr>
        <w:t>272 kW</w:t>
      </w:r>
      <w:r w:rsidR="00CD1CEA" w:rsidRPr="00302718">
        <w:rPr>
          <w:sz w:val="20"/>
          <w:lang w:val="en-AU"/>
        </w:rPr>
        <w:t>h</w:t>
      </w:r>
      <w:r w:rsidR="008C280C" w:rsidRPr="00302718">
        <w:rPr>
          <w:sz w:val="20"/>
          <w:lang w:val="en-AU"/>
        </w:rPr>
        <w:t xml:space="preserve"> – 2007; </w:t>
      </w:r>
      <w:r w:rsidRPr="00302718">
        <w:rPr>
          <w:sz w:val="20"/>
          <w:lang w:val="en-AU"/>
        </w:rPr>
        <w:t>300 kW</w:t>
      </w:r>
      <w:r w:rsidR="00CD1CEA" w:rsidRPr="00302718">
        <w:rPr>
          <w:sz w:val="20"/>
          <w:lang w:val="en-AU"/>
        </w:rPr>
        <w:t>h</w:t>
      </w:r>
      <w:r w:rsidRPr="00302718">
        <w:rPr>
          <w:sz w:val="20"/>
          <w:lang w:val="en-AU"/>
        </w:rPr>
        <w:t xml:space="preserve"> – 2001).  Average winter month off peak consumption (i.e. May-November) is</w:t>
      </w:r>
      <w:r w:rsidR="008C280C" w:rsidRPr="00302718">
        <w:rPr>
          <w:sz w:val="20"/>
          <w:lang w:val="en-AU"/>
        </w:rPr>
        <w:t xml:space="preserve"> 230 kWh (</w:t>
      </w:r>
      <w:r w:rsidRPr="00302718">
        <w:rPr>
          <w:sz w:val="20"/>
          <w:lang w:val="en-AU"/>
        </w:rPr>
        <w:t>354 kW</w:t>
      </w:r>
      <w:r w:rsidR="00CD1CEA" w:rsidRPr="00302718">
        <w:rPr>
          <w:sz w:val="20"/>
          <w:lang w:val="en-AU"/>
        </w:rPr>
        <w:t>h</w:t>
      </w:r>
      <w:r w:rsidR="008C280C" w:rsidRPr="00302718">
        <w:rPr>
          <w:sz w:val="20"/>
          <w:lang w:val="en-AU"/>
        </w:rPr>
        <w:t xml:space="preserve"> – 2007; </w:t>
      </w:r>
      <w:r w:rsidRPr="00302718">
        <w:rPr>
          <w:sz w:val="20"/>
          <w:lang w:val="en-AU"/>
        </w:rPr>
        <w:t>(372 kW</w:t>
      </w:r>
      <w:r w:rsidR="00CD1CEA" w:rsidRPr="00302718">
        <w:rPr>
          <w:sz w:val="20"/>
          <w:lang w:val="en-AU"/>
        </w:rPr>
        <w:t>h</w:t>
      </w:r>
      <w:r w:rsidRPr="00302718">
        <w:rPr>
          <w:sz w:val="20"/>
          <w:lang w:val="en-AU"/>
        </w:rPr>
        <w:t xml:space="preserve"> – 2001).</w:t>
      </w:r>
    </w:p>
    <w:p w14:paraId="0D3B816A" w14:textId="43CFAFA5" w:rsidR="009B2162" w:rsidRPr="005F4B8A" w:rsidRDefault="009B2162" w:rsidP="0035712B">
      <w:pPr>
        <w:spacing w:before="0" w:after="0"/>
        <w:jc w:val="center"/>
        <w:rPr>
          <w:b/>
          <w:u w:val="single"/>
          <w:lang w:val="en-AU"/>
        </w:rPr>
      </w:pPr>
      <w:r w:rsidRPr="003835AE">
        <w:rPr>
          <w:sz w:val="20"/>
          <w:highlight w:val="yellow"/>
          <w:lang w:val="en-AU"/>
        </w:rPr>
        <w:br w:type="page"/>
      </w:r>
      <w:r w:rsidRPr="005F4B8A">
        <w:rPr>
          <w:b/>
          <w:lang w:val="en-AU"/>
        </w:rPr>
        <w:lastRenderedPageBreak/>
        <w:t>Table 4.2.1.</w:t>
      </w:r>
      <w:r w:rsidR="004C1370">
        <w:rPr>
          <w:b/>
          <w:lang w:val="en-AU"/>
        </w:rPr>
        <w:t>5</w:t>
      </w:r>
      <w:r w:rsidRPr="005F4B8A">
        <w:rPr>
          <w:b/>
          <w:lang w:val="en-AU"/>
        </w:rPr>
        <w:t xml:space="preserve">: </w:t>
      </w:r>
      <w:r w:rsidRPr="005F4B8A">
        <w:rPr>
          <w:b/>
          <w:u w:val="single"/>
          <w:lang w:val="en-AU"/>
        </w:rPr>
        <w:t>Average Annual Electricity Consumption (Kilowatt Hours) – Part 3</w:t>
      </w:r>
    </w:p>
    <w:p w14:paraId="3EE0809F" w14:textId="77777777" w:rsidR="009B2162" w:rsidRPr="005F4B8A" w:rsidRDefault="009B2162" w:rsidP="00325B9D">
      <w:pPr>
        <w:pStyle w:val="Para"/>
        <w:tabs>
          <w:tab w:val="left" w:pos="284"/>
        </w:tabs>
        <w:spacing w:before="60" w:line="200" w:lineRule="exact"/>
        <w:rPr>
          <w:b/>
          <w:u w:val="single"/>
          <w:lang w:val="en-AU"/>
        </w:rPr>
      </w:pPr>
    </w:p>
    <w:tbl>
      <w:tblPr>
        <w:tblW w:w="7151" w:type="dxa"/>
        <w:jc w:val="center"/>
        <w:tblLook w:val="04A0" w:firstRow="1" w:lastRow="0" w:firstColumn="1" w:lastColumn="0" w:noHBand="0" w:noVBand="1"/>
      </w:tblPr>
      <w:tblGrid>
        <w:gridCol w:w="2717"/>
        <w:gridCol w:w="857"/>
        <w:gridCol w:w="714"/>
        <w:gridCol w:w="617"/>
        <w:gridCol w:w="857"/>
        <w:gridCol w:w="714"/>
        <w:gridCol w:w="675"/>
      </w:tblGrid>
      <w:tr w:rsidR="009B2162" w:rsidRPr="005F4B8A" w14:paraId="77AEAF96" w14:textId="77777777" w:rsidTr="002618D8">
        <w:trPr>
          <w:trHeight w:val="240"/>
          <w:tblHeader/>
          <w:jc w:val="center"/>
        </w:trPr>
        <w:tc>
          <w:tcPr>
            <w:tcW w:w="2717" w:type="dxa"/>
            <w:vMerge w:val="restart"/>
            <w:tcBorders>
              <w:top w:val="double" w:sz="6" w:space="0" w:color="auto"/>
              <w:left w:val="double" w:sz="6" w:space="0" w:color="auto"/>
              <w:bottom w:val="single" w:sz="4" w:space="0" w:color="BFBFBF"/>
              <w:right w:val="nil"/>
            </w:tcBorders>
            <w:shd w:val="clear" w:color="auto" w:fill="auto"/>
            <w:noWrap/>
            <w:vAlign w:val="center"/>
          </w:tcPr>
          <w:p w14:paraId="45B327AE" w14:textId="77777777" w:rsidR="009B2162" w:rsidRPr="005F4B8A" w:rsidRDefault="009B2162" w:rsidP="009B2162">
            <w:pPr>
              <w:spacing w:before="0" w:after="0"/>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Sub-group</w:t>
            </w:r>
          </w:p>
        </w:tc>
        <w:tc>
          <w:tcPr>
            <w:tcW w:w="2188" w:type="dxa"/>
            <w:gridSpan w:val="3"/>
            <w:vMerge w:val="restart"/>
            <w:tcBorders>
              <w:top w:val="double" w:sz="6" w:space="0" w:color="auto"/>
              <w:left w:val="single" w:sz="4" w:space="0" w:color="auto"/>
              <w:bottom w:val="single" w:sz="4" w:space="0" w:color="BFBFBF"/>
              <w:right w:val="single" w:sz="4" w:space="0" w:color="000000"/>
            </w:tcBorders>
            <w:shd w:val="clear" w:color="auto" w:fill="auto"/>
            <w:vAlign w:val="center"/>
          </w:tcPr>
          <w:p w14:paraId="050628D6" w14:textId="77777777" w:rsidR="009B2162" w:rsidRPr="005F4B8A" w:rsidRDefault="009B2162" w:rsidP="009B2162">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Shoulder Consumption (kWh) 2014</w:t>
            </w:r>
          </w:p>
        </w:tc>
        <w:tc>
          <w:tcPr>
            <w:tcW w:w="2246" w:type="dxa"/>
            <w:gridSpan w:val="3"/>
            <w:vMerge w:val="restart"/>
            <w:tcBorders>
              <w:top w:val="double" w:sz="6" w:space="0" w:color="auto"/>
              <w:left w:val="single" w:sz="4" w:space="0" w:color="auto"/>
              <w:bottom w:val="single" w:sz="4" w:space="0" w:color="BFBFBF"/>
              <w:right w:val="double" w:sz="6" w:space="0" w:color="000000"/>
            </w:tcBorders>
            <w:shd w:val="clear" w:color="auto" w:fill="auto"/>
            <w:vAlign w:val="center"/>
          </w:tcPr>
          <w:p w14:paraId="58595F6D" w14:textId="77777777" w:rsidR="009B2162" w:rsidRPr="005F4B8A" w:rsidRDefault="009B2162" w:rsidP="009B2162">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Controlled Load Consumption (kWh) 2014</w:t>
            </w:r>
          </w:p>
        </w:tc>
      </w:tr>
      <w:tr w:rsidR="009B2162" w:rsidRPr="005F4B8A" w14:paraId="29DF141D" w14:textId="77777777" w:rsidTr="002618D8">
        <w:trPr>
          <w:trHeight w:val="225"/>
          <w:tblHeader/>
          <w:jc w:val="center"/>
        </w:trPr>
        <w:tc>
          <w:tcPr>
            <w:tcW w:w="2717" w:type="dxa"/>
            <w:vMerge/>
            <w:tcBorders>
              <w:top w:val="double" w:sz="6" w:space="0" w:color="auto"/>
              <w:left w:val="double" w:sz="6" w:space="0" w:color="auto"/>
              <w:bottom w:val="single" w:sz="4" w:space="0" w:color="BFBFBF"/>
              <w:right w:val="nil"/>
            </w:tcBorders>
            <w:vAlign w:val="center"/>
          </w:tcPr>
          <w:p w14:paraId="03930947" w14:textId="77777777" w:rsidR="009B2162" w:rsidRPr="005F4B8A" w:rsidRDefault="009B2162" w:rsidP="009B2162">
            <w:pPr>
              <w:spacing w:before="0" w:after="0"/>
              <w:rPr>
                <w:rFonts w:ascii="Arial" w:hAnsi="Arial" w:cs="Arial"/>
                <w:b/>
                <w:bCs/>
                <w:color w:val="000000"/>
                <w:sz w:val="16"/>
                <w:szCs w:val="16"/>
                <w:lang w:val="en-AU" w:eastAsia="en-AU"/>
              </w:rPr>
            </w:pPr>
          </w:p>
        </w:tc>
        <w:tc>
          <w:tcPr>
            <w:tcW w:w="2188" w:type="dxa"/>
            <w:gridSpan w:val="3"/>
            <w:vMerge/>
            <w:tcBorders>
              <w:top w:val="double" w:sz="6" w:space="0" w:color="auto"/>
              <w:left w:val="single" w:sz="4" w:space="0" w:color="auto"/>
              <w:bottom w:val="single" w:sz="4" w:space="0" w:color="BFBFBF"/>
              <w:right w:val="single" w:sz="4" w:space="0" w:color="000000"/>
            </w:tcBorders>
            <w:vAlign w:val="center"/>
          </w:tcPr>
          <w:p w14:paraId="3AD79EF7" w14:textId="77777777" w:rsidR="009B2162" w:rsidRPr="005F4B8A" w:rsidRDefault="009B2162" w:rsidP="009B2162">
            <w:pPr>
              <w:spacing w:before="0" w:after="0"/>
              <w:rPr>
                <w:rFonts w:ascii="Arial" w:hAnsi="Arial" w:cs="Arial"/>
                <w:b/>
                <w:bCs/>
                <w:color w:val="000000"/>
                <w:sz w:val="16"/>
                <w:szCs w:val="16"/>
                <w:lang w:val="en-AU" w:eastAsia="en-AU"/>
              </w:rPr>
            </w:pPr>
          </w:p>
        </w:tc>
        <w:tc>
          <w:tcPr>
            <w:tcW w:w="2246" w:type="dxa"/>
            <w:gridSpan w:val="3"/>
            <w:vMerge/>
            <w:tcBorders>
              <w:top w:val="double" w:sz="6" w:space="0" w:color="auto"/>
              <w:left w:val="single" w:sz="4" w:space="0" w:color="auto"/>
              <w:bottom w:val="single" w:sz="4" w:space="0" w:color="BFBFBF"/>
              <w:right w:val="double" w:sz="6" w:space="0" w:color="000000"/>
            </w:tcBorders>
            <w:vAlign w:val="center"/>
          </w:tcPr>
          <w:p w14:paraId="7CFA5014" w14:textId="77777777" w:rsidR="009B2162" w:rsidRPr="005F4B8A" w:rsidRDefault="009B2162" w:rsidP="009B2162">
            <w:pPr>
              <w:spacing w:before="0" w:after="0"/>
              <w:rPr>
                <w:rFonts w:ascii="Arial" w:hAnsi="Arial" w:cs="Arial"/>
                <w:b/>
                <w:bCs/>
                <w:color w:val="000000"/>
                <w:sz w:val="16"/>
                <w:szCs w:val="16"/>
                <w:lang w:val="en-AU" w:eastAsia="en-AU"/>
              </w:rPr>
            </w:pPr>
          </w:p>
        </w:tc>
      </w:tr>
      <w:tr w:rsidR="009B2162" w:rsidRPr="005F4B8A" w14:paraId="194BCA86" w14:textId="77777777" w:rsidTr="002618D8">
        <w:trPr>
          <w:trHeight w:val="225"/>
          <w:tblHeader/>
          <w:jc w:val="center"/>
        </w:trPr>
        <w:tc>
          <w:tcPr>
            <w:tcW w:w="2717" w:type="dxa"/>
            <w:vMerge/>
            <w:tcBorders>
              <w:top w:val="double" w:sz="6" w:space="0" w:color="auto"/>
              <w:left w:val="double" w:sz="6" w:space="0" w:color="auto"/>
              <w:bottom w:val="single" w:sz="4" w:space="0" w:color="BFBFBF"/>
              <w:right w:val="nil"/>
            </w:tcBorders>
            <w:vAlign w:val="center"/>
          </w:tcPr>
          <w:p w14:paraId="6E137852" w14:textId="77777777" w:rsidR="009B2162" w:rsidRPr="005F4B8A" w:rsidRDefault="009B2162" w:rsidP="009B2162">
            <w:pPr>
              <w:spacing w:before="0" w:after="0"/>
              <w:rPr>
                <w:rFonts w:ascii="Arial" w:hAnsi="Arial" w:cs="Arial"/>
                <w:b/>
                <w:bCs/>
                <w:color w:val="000000"/>
                <w:sz w:val="16"/>
                <w:szCs w:val="16"/>
                <w:lang w:val="en-AU" w:eastAsia="en-AU"/>
              </w:rPr>
            </w:pP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BFBCF2E" w14:textId="77777777" w:rsidR="009B2162" w:rsidRPr="005F4B8A" w:rsidRDefault="009B2162" w:rsidP="009B2162">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 xml:space="preserve">Summer </w:t>
            </w:r>
          </w:p>
        </w:tc>
        <w:tc>
          <w:tcPr>
            <w:tcW w:w="714" w:type="dxa"/>
            <w:tcBorders>
              <w:top w:val="nil"/>
              <w:left w:val="nil"/>
              <w:bottom w:val="single" w:sz="4" w:space="0" w:color="BFBFBF"/>
              <w:right w:val="single" w:sz="4" w:space="0" w:color="BFBFBF"/>
            </w:tcBorders>
            <w:shd w:val="clear" w:color="auto" w:fill="auto"/>
            <w:noWrap/>
            <w:vAlign w:val="center"/>
          </w:tcPr>
          <w:p w14:paraId="06481F69" w14:textId="77777777" w:rsidR="009B2162" w:rsidRPr="005F4B8A" w:rsidRDefault="009B2162" w:rsidP="009B2162">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Winter</w:t>
            </w:r>
          </w:p>
        </w:tc>
        <w:tc>
          <w:tcPr>
            <w:tcW w:w="617" w:type="dxa"/>
            <w:tcBorders>
              <w:top w:val="nil"/>
              <w:left w:val="nil"/>
              <w:bottom w:val="single" w:sz="4" w:space="0" w:color="BFBFBF"/>
              <w:right w:val="single" w:sz="4" w:space="0" w:color="auto"/>
            </w:tcBorders>
            <w:shd w:val="clear" w:color="auto" w:fill="auto"/>
            <w:noWrap/>
            <w:vAlign w:val="center"/>
          </w:tcPr>
          <w:p w14:paraId="17E9B0D3" w14:textId="77777777" w:rsidR="009B2162" w:rsidRPr="005F4B8A" w:rsidRDefault="009B2162" w:rsidP="009B2162">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Total</w:t>
            </w:r>
          </w:p>
        </w:tc>
        <w:tc>
          <w:tcPr>
            <w:tcW w:w="857" w:type="dxa"/>
            <w:tcBorders>
              <w:top w:val="nil"/>
              <w:left w:val="nil"/>
              <w:bottom w:val="single" w:sz="4" w:space="0" w:color="BFBFBF"/>
              <w:right w:val="single" w:sz="4" w:space="0" w:color="BFBFBF"/>
            </w:tcBorders>
            <w:shd w:val="clear" w:color="auto" w:fill="auto"/>
            <w:noWrap/>
            <w:vAlign w:val="center"/>
          </w:tcPr>
          <w:p w14:paraId="7B315289" w14:textId="77777777" w:rsidR="009B2162" w:rsidRPr="005F4B8A" w:rsidRDefault="009B2162" w:rsidP="009B2162">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 xml:space="preserve">Summer </w:t>
            </w:r>
          </w:p>
        </w:tc>
        <w:tc>
          <w:tcPr>
            <w:tcW w:w="714" w:type="dxa"/>
            <w:tcBorders>
              <w:top w:val="nil"/>
              <w:left w:val="nil"/>
              <w:bottom w:val="single" w:sz="4" w:space="0" w:color="BFBFBF"/>
              <w:right w:val="single" w:sz="4" w:space="0" w:color="BFBFBF"/>
            </w:tcBorders>
            <w:shd w:val="clear" w:color="auto" w:fill="auto"/>
            <w:noWrap/>
            <w:vAlign w:val="center"/>
          </w:tcPr>
          <w:p w14:paraId="2E384157" w14:textId="77777777" w:rsidR="009B2162" w:rsidRPr="005F4B8A" w:rsidRDefault="009B2162" w:rsidP="009B2162">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Winter</w:t>
            </w:r>
          </w:p>
        </w:tc>
        <w:tc>
          <w:tcPr>
            <w:tcW w:w="675" w:type="dxa"/>
            <w:tcBorders>
              <w:top w:val="nil"/>
              <w:left w:val="nil"/>
              <w:bottom w:val="single" w:sz="4" w:space="0" w:color="BFBFBF"/>
              <w:right w:val="double" w:sz="6" w:space="0" w:color="auto"/>
            </w:tcBorders>
            <w:shd w:val="clear" w:color="auto" w:fill="auto"/>
            <w:noWrap/>
            <w:vAlign w:val="center"/>
          </w:tcPr>
          <w:p w14:paraId="3F2F6BEA" w14:textId="77777777" w:rsidR="009B2162" w:rsidRPr="005F4B8A" w:rsidRDefault="009B2162" w:rsidP="009B2162">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Total</w:t>
            </w:r>
          </w:p>
        </w:tc>
      </w:tr>
      <w:tr w:rsidR="009B2162" w:rsidRPr="005F4B8A" w14:paraId="1970AE4B" w14:textId="77777777" w:rsidTr="002618D8">
        <w:trPr>
          <w:trHeight w:val="225"/>
          <w:tblHeader/>
          <w:jc w:val="center"/>
        </w:trPr>
        <w:tc>
          <w:tcPr>
            <w:tcW w:w="2717" w:type="dxa"/>
            <w:vMerge/>
            <w:tcBorders>
              <w:top w:val="double" w:sz="6" w:space="0" w:color="auto"/>
              <w:left w:val="double" w:sz="6" w:space="0" w:color="auto"/>
              <w:bottom w:val="single" w:sz="4" w:space="0" w:color="BFBFBF"/>
              <w:right w:val="nil"/>
            </w:tcBorders>
            <w:vAlign w:val="center"/>
          </w:tcPr>
          <w:p w14:paraId="0BA53A58" w14:textId="77777777" w:rsidR="009B2162" w:rsidRPr="005F4B8A" w:rsidRDefault="009B2162" w:rsidP="009B2162">
            <w:pPr>
              <w:spacing w:before="0" w:after="0"/>
              <w:rPr>
                <w:rFonts w:ascii="Arial" w:hAnsi="Arial" w:cs="Arial"/>
                <w:b/>
                <w:bCs/>
                <w:color w:val="000000"/>
                <w:sz w:val="16"/>
                <w:szCs w:val="16"/>
                <w:lang w:val="en-AU" w:eastAsia="en-AU"/>
              </w:rPr>
            </w:pP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CBBF644" w14:textId="77777777" w:rsidR="009B2162" w:rsidRPr="005F4B8A" w:rsidRDefault="009B2162" w:rsidP="00CF34FF">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n=</w:t>
            </w:r>
            <w:r w:rsidR="00CF34FF" w:rsidRPr="005F4B8A">
              <w:rPr>
                <w:rFonts w:ascii="Arial" w:hAnsi="Arial" w:cs="Arial"/>
                <w:b/>
                <w:bCs/>
                <w:color w:val="000000"/>
                <w:sz w:val="16"/>
                <w:szCs w:val="16"/>
                <w:lang w:val="en-AU" w:eastAsia="en-AU"/>
              </w:rPr>
              <w:t>42</w:t>
            </w:r>
          </w:p>
        </w:tc>
        <w:tc>
          <w:tcPr>
            <w:tcW w:w="714" w:type="dxa"/>
            <w:tcBorders>
              <w:top w:val="nil"/>
              <w:left w:val="nil"/>
              <w:bottom w:val="single" w:sz="4" w:space="0" w:color="BFBFBF"/>
              <w:right w:val="single" w:sz="4" w:space="0" w:color="BFBFBF"/>
            </w:tcBorders>
            <w:shd w:val="clear" w:color="auto" w:fill="auto"/>
            <w:noWrap/>
            <w:vAlign w:val="center"/>
          </w:tcPr>
          <w:p w14:paraId="31E386AA" w14:textId="77777777" w:rsidR="009B2162" w:rsidRPr="005F4B8A" w:rsidRDefault="009B2162" w:rsidP="00CF34FF">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n=</w:t>
            </w:r>
            <w:r w:rsidR="00CF34FF" w:rsidRPr="005F4B8A">
              <w:rPr>
                <w:rFonts w:ascii="Arial" w:hAnsi="Arial" w:cs="Arial"/>
                <w:b/>
                <w:bCs/>
                <w:color w:val="000000"/>
                <w:sz w:val="16"/>
                <w:szCs w:val="16"/>
                <w:lang w:val="en-AU" w:eastAsia="en-AU"/>
              </w:rPr>
              <w:t>35</w:t>
            </w:r>
          </w:p>
        </w:tc>
        <w:tc>
          <w:tcPr>
            <w:tcW w:w="617" w:type="dxa"/>
            <w:tcBorders>
              <w:top w:val="nil"/>
              <w:left w:val="nil"/>
              <w:bottom w:val="single" w:sz="4" w:space="0" w:color="BFBFBF"/>
              <w:right w:val="single" w:sz="4" w:space="0" w:color="auto"/>
            </w:tcBorders>
            <w:shd w:val="clear" w:color="auto" w:fill="auto"/>
            <w:noWrap/>
            <w:vAlign w:val="center"/>
          </w:tcPr>
          <w:p w14:paraId="00B1FA2F" w14:textId="77777777" w:rsidR="009B2162" w:rsidRPr="005F4B8A" w:rsidRDefault="009B2162" w:rsidP="00CF34FF">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n=</w:t>
            </w:r>
            <w:r w:rsidR="00CF34FF" w:rsidRPr="005F4B8A">
              <w:rPr>
                <w:rFonts w:ascii="Arial" w:hAnsi="Arial" w:cs="Arial"/>
                <w:b/>
                <w:bCs/>
                <w:color w:val="000000"/>
                <w:sz w:val="16"/>
                <w:szCs w:val="16"/>
                <w:lang w:val="en-AU" w:eastAsia="en-AU"/>
              </w:rPr>
              <w:t>42</w:t>
            </w:r>
          </w:p>
        </w:tc>
        <w:tc>
          <w:tcPr>
            <w:tcW w:w="857" w:type="dxa"/>
            <w:tcBorders>
              <w:top w:val="nil"/>
              <w:left w:val="nil"/>
              <w:bottom w:val="single" w:sz="4" w:space="0" w:color="BFBFBF"/>
              <w:right w:val="single" w:sz="4" w:space="0" w:color="BFBFBF"/>
            </w:tcBorders>
            <w:shd w:val="clear" w:color="auto" w:fill="auto"/>
            <w:noWrap/>
            <w:vAlign w:val="center"/>
          </w:tcPr>
          <w:p w14:paraId="46D7890F" w14:textId="77777777" w:rsidR="009B2162" w:rsidRPr="005F4B8A" w:rsidRDefault="009B2162" w:rsidP="00CF34FF">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n=</w:t>
            </w:r>
            <w:r w:rsidR="00CF34FF" w:rsidRPr="005F4B8A">
              <w:rPr>
                <w:rFonts w:ascii="Arial" w:hAnsi="Arial" w:cs="Arial"/>
                <w:b/>
                <w:bCs/>
                <w:color w:val="000000"/>
                <w:sz w:val="16"/>
                <w:szCs w:val="16"/>
                <w:lang w:val="en-AU" w:eastAsia="en-AU"/>
              </w:rPr>
              <w:t>116</w:t>
            </w:r>
          </w:p>
        </w:tc>
        <w:tc>
          <w:tcPr>
            <w:tcW w:w="714" w:type="dxa"/>
            <w:tcBorders>
              <w:top w:val="nil"/>
              <w:left w:val="nil"/>
              <w:bottom w:val="single" w:sz="4" w:space="0" w:color="BFBFBF"/>
              <w:right w:val="single" w:sz="4" w:space="0" w:color="BFBFBF"/>
            </w:tcBorders>
            <w:shd w:val="clear" w:color="auto" w:fill="auto"/>
            <w:noWrap/>
            <w:vAlign w:val="center"/>
          </w:tcPr>
          <w:p w14:paraId="55B1CFD4" w14:textId="77777777" w:rsidR="009B2162" w:rsidRPr="005F4B8A" w:rsidRDefault="009B2162" w:rsidP="00CF34FF">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n=</w:t>
            </w:r>
            <w:r w:rsidR="00CF34FF" w:rsidRPr="005F4B8A">
              <w:rPr>
                <w:rFonts w:ascii="Arial" w:hAnsi="Arial" w:cs="Arial"/>
                <w:b/>
                <w:bCs/>
                <w:color w:val="000000"/>
                <w:sz w:val="16"/>
                <w:szCs w:val="16"/>
                <w:lang w:val="en-AU" w:eastAsia="en-AU"/>
              </w:rPr>
              <w:t>116</w:t>
            </w:r>
          </w:p>
        </w:tc>
        <w:tc>
          <w:tcPr>
            <w:tcW w:w="675" w:type="dxa"/>
            <w:tcBorders>
              <w:top w:val="nil"/>
              <w:left w:val="nil"/>
              <w:bottom w:val="single" w:sz="4" w:space="0" w:color="BFBFBF"/>
              <w:right w:val="double" w:sz="6" w:space="0" w:color="auto"/>
            </w:tcBorders>
            <w:shd w:val="clear" w:color="auto" w:fill="auto"/>
            <w:noWrap/>
            <w:vAlign w:val="center"/>
          </w:tcPr>
          <w:p w14:paraId="217ED2FB" w14:textId="77777777" w:rsidR="009B2162" w:rsidRPr="005F4B8A" w:rsidRDefault="009B2162" w:rsidP="00CF34FF">
            <w:pPr>
              <w:spacing w:before="0" w:after="0"/>
              <w:jc w:val="center"/>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n=1</w:t>
            </w:r>
            <w:r w:rsidR="00CF34FF" w:rsidRPr="005F4B8A">
              <w:rPr>
                <w:rFonts w:ascii="Arial" w:hAnsi="Arial" w:cs="Arial"/>
                <w:b/>
                <w:bCs/>
                <w:color w:val="000000"/>
                <w:sz w:val="16"/>
                <w:szCs w:val="16"/>
                <w:lang w:val="en-AU" w:eastAsia="en-AU"/>
              </w:rPr>
              <w:t>23</w:t>
            </w:r>
          </w:p>
        </w:tc>
      </w:tr>
      <w:tr w:rsidR="009B2162" w:rsidRPr="005F4B8A" w14:paraId="04FD526A"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12DB3530" w14:textId="77777777" w:rsidR="009B2162" w:rsidRPr="005F4B8A" w:rsidRDefault="009B2162" w:rsidP="009B2162">
            <w:pPr>
              <w:spacing w:before="0" w:after="0"/>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By Region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E941FEA" w14:textId="77777777" w:rsidR="009B2162" w:rsidRPr="005F4B8A" w:rsidRDefault="009B2162" w:rsidP="009B2162">
            <w:pPr>
              <w:spacing w:before="0" w:after="0"/>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13995E07" w14:textId="77777777" w:rsidR="009B2162" w:rsidRPr="005F4B8A" w:rsidRDefault="009B2162" w:rsidP="009B2162">
            <w:pPr>
              <w:spacing w:before="0" w:after="0"/>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7DB8FC7E" w14:textId="77777777" w:rsidR="009B2162" w:rsidRPr="005F4B8A" w:rsidRDefault="009B2162" w:rsidP="009B2162">
            <w:pPr>
              <w:spacing w:before="0" w:after="0"/>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bottom"/>
          </w:tcPr>
          <w:p w14:paraId="3CBB78B1" w14:textId="77777777" w:rsidR="009B2162" w:rsidRPr="005F4B8A" w:rsidRDefault="009B2162" w:rsidP="009B2162">
            <w:pPr>
              <w:spacing w:before="0" w:after="0"/>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bottom"/>
          </w:tcPr>
          <w:p w14:paraId="7F11EF25" w14:textId="77777777" w:rsidR="009B2162" w:rsidRPr="005F4B8A" w:rsidRDefault="009B2162" w:rsidP="009B2162">
            <w:pPr>
              <w:spacing w:before="0" w:after="0"/>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675" w:type="dxa"/>
            <w:tcBorders>
              <w:top w:val="nil"/>
              <w:left w:val="nil"/>
              <w:bottom w:val="single" w:sz="4" w:space="0" w:color="BFBFBF"/>
              <w:right w:val="double" w:sz="6" w:space="0" w:color="auto"/>
            </w:tcBorders>
            <w:shd w:val="clear" w:color="auto" w:fill="auto"/>
            <w:noWrap/>
            <w:vAlign w:val="bottom"/>
          </w:tcPr>
          <w:p w14:paraId="6E105E44" w14:textId="77777777" w:rsidR="009B2162" w:rsidRPr="005F4B8A" w:rsidRDefault="009B2162" w:rsidP="009B2162">
            <w:pPr>
              <w:spacing w:before="0" w:after="0"/>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r>
      <w:tr w:rsidR="00CF34FF" w:rsidRPr="005F4B8A" w14:paraId="36A3FD76"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054F5BCB"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5F4B8A">
                  <w:rPr>
                    <w:rFonts w:ascii="Arial" w:hAnsi="Arial" w:cs="Arial"/>
                    <w:color w:val="000000"/>
                    <w:sz w:val="16"/>
                    <w:szCs w:val="16"/>
                    <w:lang w:val="en-AU" w:eastAsia="en-AU"/>
                  </w:rPr>
                  <w:t>Melbourne</w:t>
                </w:r>
              </w:smartTag>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0811F7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294</w:t>
            </w:r>
          </w:p>
        </w:tc>
        <w:tc>
          <w:tcPr>
            <w:tcW w:w="714" w:type="dxa"/>
            <w:tcBorders>
              <w:top w:val="nil"/>
              <w:left w:val="nil"/>
              <w:bottom w:val="single" w:sz="4" w:space="0" w:color="BFBFBF"/>
              <w:right w:val="single" w:sz="4" w:space="0" w:color="BFBFBF"/>
            </w:tcBorders>
            <w:shd w:val="clear" w:color="auto" w:fill="auto"/>
            <w:noWrap/>
            <w:vAlign w:val="center"/>
          </w:tcPr>
          <w:p w14:paraId="04A0CBDC"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594</w:t>
            </w:r>
          </w:p>
        </w:tc>
        <w:tc>
          <w:tcPr>
            <w:tcW w:w="617" w:type="dxa"/>
            <w:tcBorders>
              <w:top w:val="nil"/>
              <w:left w:val="nil"/>
              <w:bottom w:val="single" w:sz="4" w:space="0" w:color="BFBFBF"/>
              <w:right w:val="single" w:sz="4" w:space="0" w:color="auto"/>
            </w:tcBorders>
            <w:shd w:val="clear" w:color="auto" w:fill="auto"/>
            <w:noWrap/>
            <w:vAlign w:val="center"/>
          </w:tcPr>
          <w:p w14:paraId="27B9702B"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764</w:t>
            </w:r>
          </w:p>
        </w:tc>
        <w:tc>
          <w:tcPr>
            <w:tcW w:w="857" w:type="dxa"/>
            <w:tcBorders>
              <w:top w:val="nil"/>
              <w:left w:val="nil"/>
              <w:bottom w:val="single" w:sz="4" w:space="0" w:color="BFBFBF"/>
              <w:right w:val="single" w:sz="4" w:space="0" w:color="BFBFBF"/>
            </w:tcBorders>
            <w:shd w:val="clear" w:color="auto" w:fill="auto"/>
            <w:noWrap/>
            <w:vAlign w:val="center"/>
          </w:tcPr>
          <w:p w14:paraId="1010F2C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715</w:t>
            </w:r>
          </w:p>
        </w:tc>
        <w:tc>
          <w:tcPr>
            <w:tcW w:w="714" w:type="dxa"/>
            <w:tcBorders>
              <w:top w:val="nil"/>
              <w:left w:val="nil"/>
              <w:bottom w:val="single" w:sz="4" w:space="0" w:color="BFBFBF"/>
              <w:right w:val="single" w:sz="4" w:space="0" w:color="BFBFBF"/>
            </w:tcBorders>
            <w:shd w:val="clear" w:color="auto" w:fill="auto"/>
            <w:noWrap/>
            <w:vAlign w:val="center"/>
          </w:tcPr>
          <w:p w14:paraId="753E3E8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1,378</w:t>
            </w:r>
          </w:p>
        </w:tc>
        <w:tc>
          <w:tcPr>
            <w:tcW w:w="675" w:type="dxa"/>
            <w:tcBorders>
              <w:top w:val="nil"/>
              <w:left w:val="nil"/>
              <w:bottom w:val="single" w:sz="4" w:space="0" w:color="BFBFBF"/>
              <w:right w:val="double" w:sz="6" w:space="0" w:color="auto"/>
            </w:tcBorders>
            <w:shd w:val="clear" w:color="auto" w:fill="auto"/>
            <w:noWrap/>
            <w:vAlign w:val="center"/>
          </w:tcPr>
          <w:p w14:paraId="6FF21F34"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1,920</w:t>
            </w:r>
          </w:p>
        </w:tc>
      </w:tr>
      <w:tr w:rsidR="00CF34FF" w:rsidRPr="005F4B8A" w14:paraId="2FF44753"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4C3F5D2D"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Country VIC</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5E661D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653</w:t>
            </w:r>
          </w:p>
        </w:tc>
        <w:tc>
          <w:tcPr>
            <w:tcW w:w="714" w:type="dxa"/>
            <w:tcBorders>
              <w:top w:val="nil"/>
              <w:left w:val="nil"/>
              <w:bottom w:val="single" w:sz="4" w:space="0" w:color="BFBFBF"/>
              <w:right w:val="single" w:sz="4" w:space="0" w:color="BFBFBF"/>
            </w:tcBorders>
            <w:shd w:val="clear" w:color="auto" w:fill="auto"/>
            <w:noWrap/>
            <w:vAlign w:val="center"/>
          </w:tcPr>
          <w:p w14:paraId="62451EF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798</w:t>
            </w:r>
          </w:p>
        </w:tc>
        <w:tc>
          <w:tcPr>
            <w:tcW w:w="617" w:type="dxa"/>
            <w:tcBorders>
              <w:top w:val="nil"/>
              <w:left w:val="nil"/>
              <w:bottom w:val="single" w:sz="4" w:space="0" w:color="BFBFBF"/>
              <w:right w:val="single" w:sz="4" w:space="0" w:color="auto"/>
            </w:tcBorders>
            <w:shd w:val="clear" w:color="auto" w:fill="auto"/>
            <w:noWrap/>
            <w:vAlign w:val="center"/>
          </w:tcPr>
          <w:p w14:paraId="10C1049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1,365</w:t>
            </w:r>
          </w:p>
        </w:tc>
        <w:tc>
          <w:tcPr>
            <w:tcW w:w="857" w:type="dxa"/>
            <w:tcBorders>
              <w:top w:val="nil"/>
              <w:left w:val="nil"/>
              <w:bottom w:val="single" w:sz="4" w:space="0" w:color="BFBFBF"/>
              <w:right w:val="single" w:sz="4" w:space="0" w:color="BFBFBF"/>
            </w:tcBorders>
            <w:shd w:val="clear" w:color="auto" w:fill="auto"/>
            <w:noWrap/>
            <w:vAlign w:val="center"/>
          </w:tcPr>
          <w:p w14:paraId="57D9735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656</w:t>
            </w:r>
          </w:p>
        </w:tc>
        <w:tc>
          <w:tcPr>
            <w:tcW w:w="714" w:type="dxa"/>
            <w:tcBorders>
              <w:top w:val="nil"/>
              <w:left w:val="nil"/>
              <w:bottom w:val="single" w:sz="4" w:space="0" w:color="BFBFBF"/>
              <w:right w:val="single" w:sz="4" w:space="0" w:color="BFBFBF"/>
            </w:tcBorders>
            <w:shd w:val="clear" w:color="auto" w:fill="auto"/>
            <w:noWrap/>
            <w:vAlign w:val="center"/>
          </w:tcPr>
          <w:p w14:paraId="4C2B893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1,636</w:t>
            </w:r>
          </w:p>
        </w:tc>
        <w:tc>
          <w:tcPr>
            <w:tcW w:w="675" w:type="dxa"/>
            <w:tcBorders>
              <w:top w:val="nil"/>
              <w:left w:val="nil"/>
              <w:bottom w:val="single" w:sz="4" w:space="0" w:color="BFBFBF"/>
              <w:right w:val="double" w:sz="6" w:space="0" w:color="auto"/>
            </w:tcBorders>
            <w:shd w:val="clear" w:color="auto" w:fill="auto"/>
            <w:noWrap/>
            <w:vAlign w:val="center"/>
          </w:tcPr>
          <w:p w14:paraId="3D3B889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2,314</w:t>
            </w:r>
          </w:p>
        </w:tc>
      </w:tr>
      <w:tr w:rsidR="00B70236" w:rsidRPr="00B70236" w14:paraId="0AEE10DB"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49610AA7" w14:textId="3E5055AA" w:rsidR="00B70236" w:rsidRPr="005F4B8A" w:rsidRDefault="00BC6314" w:rsidP="009B2162">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B70236" w:rsidRPr="005F4B8A">
              <w:rPr>
                <w:rFonts w:ascii="Arial" w:hAnsi="Arial" w:cs="Arial"/>
                <w:color w:val="000000"/>
                <w:sz w:val="16"/>
                <w:szCs w:val="16"/>
                <w:lang w:val="en-AU" w:eastAsia="en-AU"/>
              </w:rPr>
              <w:t>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AE277CB" w14:textId="77777777" w:rsidR="00B70236" w:rsidRPr="00B70236" w:rsidRDefault="00B70236"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859</w:t>
            </w:r>
          </w:p>
        </w:tc>
        <w:tc>
          <w:tcPr>
            <w:tcW w:w="714" w:type="dxa"/>
            <w:tcBorders>
              <w:top w:val="nil"/>
              <w:left w:val="nil"/>
              <w:bottom w:val="single" w:sz="4" w:space="0" w:color="BFBFBF"/>
              <w:right w:val="single" w:sz="4" w:space="0" w:color="BFBFBF"/>
            </w:tcBorders>
            <w:shd w:val="clear" w:color="auto" w:fill="auto"/>
            <w:noWrap/>
            <w:vAlign w:val="center"/>
          </w:tcPr>
          <w:p w14:paraId="4D1A7964" w14:textId="77777777" w:rsidR="00B70236" w:rsidRPr="00B70236" w:rsidRDefault="00B70236"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2,070</w:t>
            </w:r>
          </w:p>
        </w:tc>
        <w:tc>
          <w:tcPr>
            <w:tcW w:w="617" w:type="dxa"/>
            <w:tcBorders>
              <w:top w:val="nil"/>
              <w:left w:val="nil"/>
              <w:bottom w:val="single" w:sz="4" w:space="0" w:color="BFBFBF"/>
              <w:right w:val="single" w:sz="4" w:space="0" w:color="auto"/>
            </w:tcBorders>
            <w:shd w:val="clear" w:color="auto" w:fill="auto"/>
            <w:noWrap/>
            <w:vAlign w:val="center"/>
          </w:tcPr>
          <w:p w14:paraId="0BAFD895" w14:textId="77777777" w:rsidR="00B70236" w:rsidRPr="00B70236" w:rsidRDefault="00B70236"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1,938</w:t>
            </w:r>
          </w:p>
        </w:tc>
        <w:tc>
          <w:tcPr>
            <w:tcW w:w="857" w:type="dxa"/>
            <w:tcBorders>
              <w:top w:val="nil"/>
              <w:left w:val="nil"/>
              <w:bottom w:val="single" w:sz="4" w:space="0" w:color="BFBFBF"/>
              <w:right w:val="single" w:sz="4" w:space="0" w:color="BFBFBF"/>
            </w:tcBorders>
            <w:shd w:val="clear" w:color="auto" w:fill="auto"/>
            <w:noWrap/>
            <w:vAlign w:val="center"/>
          </w:tcPr>
          <w:p w14:paraId="74148B24" w14:textId="77777777" w:rsidR="00B70236" w:rsidRPr="005F4B8A" w:rsidRDefault="00B70236" w:rsidP="00CF34FF">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816</w:t>
            </w:r>
          </w:p>
        </w:tc>
        <w:tc>
          <w:tcPr>
            <w:tcW w:w="714" w:type="dxa"/>
            <w:tcBorders>
              <w:top w:val="nil"/>
              <w:left w:val="nil"/>
              <w:bottom w:val="single" w:sz="4" w:space="0" w:color="BFBFBF"/>
              <w:right w:val="single" w:sz="4" w:space="0" w:color="BFBFBF"/>
            </w:tcBorders>
            <w:shd w:val="clear" w:color="auto" w:fill="auto"/>
            <w:noWrap/>
            <w:vAlign w:val="center"/>
          </w:tcPr>
          <w:p w14:paraId="532ADB10" w14:textId="77777777" w:rsidR="00B70236" w:rsidRPr="005F4B8A" w:rsidRDefault="00B70236" w:rsidP="00B70236">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w:t>
            </w:r>
            <w:r>
              <w:rPr>
                <w:rFonts w:ascii="Arial" w:hAnsi="Arial" w:cs="Arial"/>
                <w:color w:val="000000"/>
                <w:sz w:val="16"/>
                <w:szCs w:val="16"/>
                <w:lang w:val="en-AU" w:eastAsia="en-AU"/>
              </w:rPr>
              <w:t>513</w:t>
            </w:r>
          </w:p>
        </w:tc>
        <w:tc>
          <w:tcPr>
            <w:tcW w:w="675" w:type="dxa"/>
            <w:tcBorders>
              <w:top w:val="nil"/>
              <w:left w:val="nil"/>
              <w:bottom w:val="single" w:sz="4" w:space="0" w:color="BFBFBF"/>
              <w:right w:val="double" w:sz="6" w:space="0" w:color="auto"/>
            </w:tcBorders>
            <w:shd w:val="clear" w:color="auto" w:fill="auto"/>
            <w:noWrap/>
            <w:vAlign w:val="center"/>
          </w:tcPr>
          <w:p w14:paraId="2E22DFBD" w14:textId="77777777" w:rsidR="00B70236" w:rsidRPr="005F4B8A" w:rsidRDefault="00B70236" w:rsidP="00B70236">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w:t>
            </w:r>
            <w:r>
              <w:rPr>
                <w:rFonts w:ascii="Arial" w:hAnsi="Arial" w:cs="Arial"/>
                <w:color w:val="000000"/>
                <w:sz w:val="16"/>
                <w:szCs w:val="16"/>
                <w:lang w:val="en-AU" w:eastAsia="en-AU"/>
              </w:rPr>
              <w:t>625</w:t>
            </w:r>
          </w:p>
        </w:tc>
      </w:tr>
      <w:tr w:rsidR="00CF34FF" w:rsidRPr="005F4B8A" w14:paraId="4B45EA81"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6A096810" w14:textId="77777777" w:rsidR="00CF34FF" w:rsidRPr="005F4B8A" w:rsidRDefault="00CF34FF" w:rsidP="009B2162">
            <w:pPr>
              <w:spacing w:before="0" w:after="0"/>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 xml:space="preserve">By DHHS Area -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5EA2B1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0384062C"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7AED804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045F09C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4D06ACA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675" w:type="dxa"/>
            <w:tcBorders>
              <w:top w:val="nil"/>
              <w:left w:val="nil"/>
              <w:bottom w:val="single" w:sz="4" w:space="0" w:color="BFBFBF"/>
              <w:right w:val="double" w:sz="6" w:space="0" w:color="auto"/>
            </w:tcBorders>
            <w:shd w:val="clear" w:color="auto" w:fill="auto"/>
            <w:noWrap/>
            <w:vAlign w:val="center"/>
          </w:tcPr>
          <w:p w14:paraId="141A2D3B"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r>
      <w:tr w:rsidR="00CF34FF" w:rsidRPr="005F4B8A" w14:paraId="103BB02C"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544227EF"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Hume Moreland</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902EA3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714" w:type="dxa"/>
            <w:tcBorders>
              <w:top w:val="nil"/>
              <w:left w:val="nil"/>
              <w:bottom w:val="single" w:sz="4" w:space="0" w:color="BFBFBF"/>
              <w:right w:val="single" w:sz="4" w:space="0" w:color="BFBFBF"/>
            </w:tcBorders>
            <w:shd w:val="clear" w:color="auto" w:fill="auto"/>
            <w:noWrap/>
            <w:vAlign w:val="center"/>
          </w:tcPr>
          <w:p w14:paraId="4FDF48F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auto"/>
            </w:tcBorders>
            <w:shd w:val="clear" w:color="auto" w:fill="auto"/>
            <w:noWrap/>
            <w:vAlign w:val="center"/>
          </w:tcPr>
          <w:p w14:paraId="44002764"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857" w:type="dxa"/>
            <w:tcBorders>
              <w:top w:val="nil"/>
              <w:left w:val="nil"/>
              <w:bottom w:val="single" w:sz="4" w:space="0" w:color="BFBFBF"/>
              <w:right w:val="single" w:sz="4" w:space="0" w:color="BFBFBF"/>
            </w:tcBorders>
            <w:shd w:val="clear" w:color="auto" w:fill="auto"/>
            <w:noWrap/>
            <w:vAlign w:val="center"/>
          </w:tcPr>
          <w:p w14:paraId="54F40F7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1,146</w:t>
            </w:r>
          </w:p>
        </w:tc>
        <w:tc>
          <w:tcPr>
            <w:tcW w:w="714" w:type="dxa"/>
            <w:tcBorders>
              <w:top w:val="nil"/>
              <w:left w:val="nil"/>
              <w:bottom w:val="single" w:sz="4" w:space="0" w:color="BFBFBF"/>
              <w:right w:val="single" w:sz="4" w:space="0" w:color="BFBFBF"/>
            </w:tcBorders>
            <w:shd w:val="clear" w:color="auto" w:fill="auto"/>
            <w:noWrap/>
            <w:vAlign w:val="center"/>
          </w:tcPr>
          <w:p w14:paraId="3202A798"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2,055</w:t>
            </w:r>
          </w:p>
        </w:tc>
        <w:tc>
          <w:tcPr>
            <w:tcW w:w="675" w:type="dxa"/>
            <w:tcBorders>
              <w:top w:val="nil"/>
              <w:left w:val="nil"/>
              <w:bottom w:val="single" w:sz="4" w:space="0" w:color="BFBFBF"/>
              <w:right w:val="double" w:sz="6" w:space="0" w:color="auto"/>
            </w:tcBorders>
            <w:shd w:val="clear" w:color="auto" w:fill="auto"/>
            <w:noWrap/>
            <w:vAlign w:val="center"/>
          </w:tcPr>
          <w:p w14:paraId="2AE437C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3,201</w:t>
            </w:r>
          </w:p>
        </w:tc>
      </w:tr>
      <w:tr w:rsidR="00CF34FF" w:rsidRPr="005F4B8A" w14:paraId="61443B5D"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5CE23F48"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North Eastern Melbourne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EA288F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1,167</w:t>
            </w:r>
          </w:p>
        </w:tc>
        <w:tc>
          <w:tcPr>
            <w:tcW w:w="714" w:type="dxa"/>
            <w:tcBorders>
              <w:top w:val="nil"/>
              <w:left w:val="nil"/>
              <w:bottom w:val="single" w:sz="4" w:space="0" w:color="BFBFBF"/>
              <w:right w:val="single" w:sz="4" w:space="0" w:color="BFBFBF"/>
            </w:tcBorders>
            <w:shd w:val="clear" w:color="auto" w:fill="auto"/>
            <w:noWrap/>
            <w:vAlign w:val="center"/>
          </w:tcPr>
          <w:p w14:paraId="6C6C72F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1,766</w:t>
            </w:r>
          </w:p>
        </w:tc>
        <w:tc>
          <w:tcPr>
            <w:tcW w:w="617" w:type="dxa"/>
            <w:tcBorders>
              <w:top w:val="nil"/>
              <w:left w:val="nil"/>
              <w:bottom w:val="single" w:sz="4" w:space="0" w:color="BFBFBF"/>
              <w:right w:val="single" w:sz="4" w:space="0" w:color="auto"/>
            </w:tcBorders>
            <w:shd w:val="clear" w:color="auto" w:fill="auto"/>
            <w:noWrap/>
            <w:vAlign w:val="center"/>
          </w:tcPr>
          <w:p w14:paraId="17828F40"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2,933</w:t>
            </w:r>
          </w:p>
        </w:tc>
        <w:tc>
          <w:tcPr>
            <w:tcW w:w="857" w:type="dxa"/>
            <w:tcBorders>
              <w:top w:val="nil"/>
              <w:left w:val="nil"/>
              <w:bottom w:val="single" w:sz="4" w:space="0" w:color="BFBFBF"/>
              <w:right w:val="single" w:sz="4" w:space="0" w:color="BFBFBF"/>
            </w:tcBorders>
            <w:shd w:val="clear" w:color="auto" w:fill="auto"/>
            <w:noWrap/>
            <w:vAlign w:val="center"/>
          </w:tcPr>
          <w:p w14:paraId="06BE3BE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510</w:t>
            </w:r>
          </w:p>
        </w:tc>
        <w:tc>
          <w:tcPr>
            <w:tcW w:w="714" w:type="dxa"/>
            <w:tcBorders>
              <w:top w:val="nil"/>
              <w:left w:val="nil"/>
              <w:bottom w:val="single" w:sz="4" w:space="0" w:color="BFBFBF"/>
              <w:right w:val="single" w:sz="4" w:space="0" w:color="BFBFBF"/>
            </w:tcBorders>
            <w:shd w:val="clear" w:color="auto" w:fill="auto"/>
            <w:noWrap/>
            <w:vAlign w:val="center"/>
          </w:tcPr>
          <w:p w14:paraId="4B0DDD58"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1,363</w:t>
            </w:r>
          </w:p>
        </w:tc>
        <w:tc>
          <w:tcPr>
            <w:tcW w:w="675" w:type="dxa"/>
            <w:tcBorders>
              <w:top w:val="nil"/>
              <w:left w:val="nil"/>
              <w:bottom w:val="single" w:sz="4" w:space="0" w:color="BFBFBF"/>
              <w:right w:val="double" w:sz="6" w:space="0" w:color="auto"/>
            </w:tcBorders>
            <w:shd w:val="clear" w:color="auto" w:fill="auto"/>
            <w:noWrap/>
            <w:vAlign w:val="center"/>
          </w:tcPr>
          <w:p w14:paraId="6DF1688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1,260</w:t>
            </w:r>
          </w:p>
        </w:tc>
      </w:tr>
      <w:tr w:rsidR="00CF34FF" w:rsidRPr="005F4B8A" w14:paraId="06414DB3"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11A658B2"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 xml:space="preserve">Outer </w:t>
            </w:r>
            <w:smartTag w:uri="urn:schemas-microsoft-com:office:smarttags" w:element="place">
              <w:r w:rsidRPr="005F4B8A">
                <w:rPr>
                  <w:rFonts w:ascii="Arial" w:hAnsi="Arial" w:cs="Arial"/>
                  <w:color w:val="000000"/>
                  <w:sz w:val="16"/>
                  <w:szCs w:val="16"/>
                  <w:lang w:val="en-AU" w:eastAsia="en-AU"/>
                </w:rPr>
                <w:t>Eastern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5A56C7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714" w:type="dxa"/>
            <w:tcBorders>
              <w:top w:val="nil"/>
              <w:left w:val="nil"/>
              <w:bottom w:val="single" w:sz="4" w:space="0" w:color="BFBFBF"/>
              <w:right w:val="single" w:sz="4" w:space="0" w:color="BFBFBF"/>
            </w:tcBorders>
            <w:shd w:val="clear" w:color="auto" w:fill="auto"/>
            <w:noWrap/>
            <w:vAlign w:val="center"/>
          </w:tcPr>
          <w:p w14:paraId="263E2BB4"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auto"/>
            </w:tcBorders>
            <w:shd w:val="clear" w:color="auto" w:fill="auto"/>
            <w:noWrap/>
            <w:vAlign w:val="center"/>
          </w:tcPr>
          <w:p w14:paraId="3A1F6D8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857" w:type="dxa"/>
            <w:tcBorders>
              <w:top w:val="nil"/>
              <w:left w:val="nil"/>
              <w:bottom w:val="single" w:sz="4" w:space="0" w:color="BFBFBF"/>
              <w:right w:val="single" w:sz="4" w:space="0" w:color="BFBFBF"/>
            </w:tcBorders>
            <w:shd w:val="clear" w:color="auto" w:fill="auto"/>
            <w:noWrap/>
            <w:vAlign w:val="center"/>
          </w:tcPr>
          <w:p w14:paraId="62B8FB40"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1,013</w:t>
            </w:r>
          </w:p>
        </w:tc>
        <w:tc>
          <w:tcPr>
            <w:tcW w:w="714" w:type="dxa"/>
            <w:tcBorders>
              <w:top w:val="nil"/>
              <w:left w:val="nil"/>
              <w:bottom w:val="single" w:sz="4" w:space="0" w:color="BFBFBF"/>
              <w:right w:val="single" w:sz="4" w:space="0" w:color="BFBFBF"/>
            </w:tcBorders>
            <w:shd w:val="clear" w:color="auto" w:fill="auto"/>
            <w:noWrap/>
            <w:vAlign w:val="center"/>
          </w:tcPr>
          <w:p w14:paraId="6D8BBD1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1,472</w:t>
            </w:r>
          </w:p>
        </w:tc>
        <w:tc>
          <w:tcPr>
            <w:tcW w:w="675" w:type="dxa"/>
            <w:tcBorders>
              <w:top w:val="nil"/>
              <w:left w:val="nil"/>
              <w:bottom w:val="single" w:sz="4" w:space="0" w:color="BFBFBF"/>
              <w:right w:val="double" w:sz="6" w:space="0" w:color="auto"/>
            </w:tcBorders>
            <w:shd w:val="clear" w:color="auto" w:fill="auto"/>
            <w:noWrap/>
            <w:vAlign w:val="center"/>
          </w:tcPr>
          <w:p w14:paraId="24E1D1FB"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2,130</w:t>
            </w:r>
          </w:p>
        </w:tc>
      </w:tr>
      <w:tr w:rsidR="00CF34FF" w:rsidRPr="005F4B8A" w14:paraId="30CE8CA6"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124E7265"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 xml:space="preserve">Inner </w:t>
            </w:r>
            <w:smartTag w:uri="urn:schemas-microsoft-com:office:smarttags" w:element="place">
              <w:r w:rsidRPr="005F4B8A">
                <w:rPr>
                  <w:rFonts w:ascii="Arial" w:hAnsi="Arial" w:cs="Arial"/>
                  <w:color w:val="000000"/>
                  <w:sz w:val="16"/>
                  <w:szCs w:val="16"/>
                  <w:lang w:val="en-AU" w:eastAsia="en-AU"/>
                </w:rPr>
                <w:t>Eastern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687402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554</w:t>
            </w:r>
          </w:p>
        </w:tc>
        <w:tc>
          <w:tcPr>
            <w:tcW w:w="714" w:type="dxa"/>
            <w:tcBorders>
              <w:top w:val="nil"/>
              <w:left w:val="nil"/>
              <w:bottom w:val="single" w:sz="4" w:space="0" w:color="BFBFBF"/>
              <w:right w:val="single" w:sz="4" w:space="0" w:color="BFBFBF"/>
            </w:tcBorders>
            <w:shd w:val="clear" w:color="auto" w:fill="auto"/>
            <w:noWrap/>
            <w:vAlign w:val="center"/>
          </w:tcPr>
          <w:p w14:paraId="6DB5834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719</w:t>
            </w:r>
          </w:p>
        </w:tc>
        <w:tc>
          <w:tcPr>
            <w:tcW w:w="617" w:type="dxa"/>
            <w:tcBorders>
              <w:top w:val="nil"/>
              <w:left w:val="nil"/>
              <w:bottom w:val="single" w:sz="4" w:space="0" w:color="BFBFBF"/>
              <w:right w:val="single" w:sz="4" w:space="0" w:color="auto"/>
            </w:tcBorders>
            <w:shd w:val="clear" w:color="auto" w:fill="auto"/>
            <w:noWrap/>
            <w:vAlign w:val="center"/>
          </w:tcPr>
          <w:p w14:paraId="677AADA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1,273</w:t>
            </w:r>
          </w:p>
        </w:tc>
        <w:tc>
          <w:tcPr>
            <w:tcW w:w="857" w:type="dxa"/>
            <w:tcBorders>
              <w:top w:val="nil"/>
              <w:left w:val="nil"/>
              <w:bottom w:val="single" w:sz="4" w:space="0" w:color="BFBFBF"/>
              <w:right w:val="single" w:sz="4" w:space="0" w:color="BFBFBF"/>
            </w:tcBorders>
            <w:shd w:val="clear" w:color="auto" w:fill="auto"/>
            <w:noWrap/>
            <w:vAlign w:val="center"/>
          </w:tcPr>
          <w:p w14:paraId="6864148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805</w:t>
            </w:r>
          </w:p>
        </w:tc>
        <w:tc>
          <w:tcPr>
            <w:tcW w:w="714" w:type="dxa"/>
            <w:tcBorders>
              <w:top w:val="nil"/>
              <w:left w:val="nil"/>
              <w:bottom w:val="single" w:sz="4" w:space="0" w:color="BFBFBF"/>
              <w:right w:val="single" w:sz="4" w:space="0" w:color="BFBFBF"/>
            </w:tcBorders>
            <w:shd w:val="clear" w:color="auto" w:fill="auto"/>
            <w:noWrap/>
            <w:vAlign w:val="center"/>
          </w:tcPr>
          <w:p w14:paraId="6273DEAC"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1,261</w:t>
            </w:r>
          </w:p>
        </w:tc>
        <w:tc>
          <w:tcPr>
            <w:tcW w:w="675" w:type="dxa"/>
            <w:tcBorders>
              <w:top w:val="nil"/>
              <w:left w:val="nil"/>
              <w:bottom w:val="single" w:sz="4" w:space="0" w:color="BFBFBF"/>
              <w:right w:val="double" w:sz="6" w:space="0" w:color="auto"/>
            </w:tcBorders>
            <w:shd w:val="clear" w:color="auto" w:fill="auto"/>
            <w:noWrap/>
            <w:vAlign w:val="center"/>
          </w:tcPr>
          <w:p w14:paraId="12325AB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2,066</w:t>
            </w:r>
          </w:p>
        </w:tc>
      </w:tr>
      <w:tr w:rsidR="00CF34FF" w:rsidRPr="005F4B8A" w14:paraId="37A53ED0"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7EF68D4C"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smartTag w:uri="urn:schemas-microsoft-com:office:smarttags" w:element="place">
              <w:r w:rsidRPr="005F4B8A">
                <w:rPr>
                  <w:rFonts w:ascii="Arial" w:hAnsi="Arial" w:cs="Arial"/>
                  <w:color w:val="000000"/>
                  <w:sz w:val="16"/>
                  <w:szCs w:val="16"/>
                  <w:lang w:val="en-AU" w:eastAsia="en-AU"/>
                </w:rPr>
                <w:t>Southern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397AA5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180</w:t>
            </w:r>
          </w:p>
        </w:tc>
        <w:tc>
          <w:tcPr>
            <w:tcW w:w="714" w:type="dxa"/>
            <w:tcBorders>
              <w:top w:val="nil"/>
              <w:left w:val="nil"/>
              <w:bottom w:val="single" w:sz="4" w:space="0" w:color="BFBFBF"/>
              <w:right w:val="single" w:sz="4" w:space="0" w:color="BFBFBF"/>
            </w:tcBorders>
            <w:shd w:val="clear" w:color="auto" w:fill="auto"/>
            <w:noWrap/>
            <w:vAlign w:val="center"/>
          </w:tcPr>
          <w:p w14:paraId="7C6FF1D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565</w:t>
            </w:r>
          </w:p>
        </w:tc>
        <w:tc>
          <w:tcPr>
            <w:tcW w:w="617" w:type="dxa"/>
            <w:tcBorders>
              <w:top w:val="nil"/>
              <w:left w:val="nil"/>
              <w:bottom w:val="single" w:sz="4" w:space="0" w:color="BFBFBF"/>
              <w:right w:val="single" w:sz="4" w:space="0" w:color="auto"/>
            </w:tcBorders>
            <w:shd w:val="clear" w:color="auto" w:fill="auto"/>
            <w:noWrap/>
            <w:vAlign w:val="center"/>
          </w:tcPr>
          <w:p w14:paraId="6D9D1A6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744</w:t>
            </w:r>
          </w:p>
        </w:tc>
        <w:tc>
          <w:tcPr>
            <w:tcW w:w="857" w:type="dxa"/>
            <w:tcBorders>
              <w:top w:val="nil"/>
              <w:left w:val="nil"/>
              <w:bottom w:val="single" w:sz="4" w:space="0" w:color="BFBFBF"/>
              <w:right w:val="single" w:sz="4" w:space="0" w:color="BFBFBF"/>
            </w:tcBorders>
            <w:shd w:val="clear" w:color="auto" w:fill="auto"/>
            <w:noWrap/>
            <w:vAlign w:val="center"/>
          </w:tcPr>
          <w:p w14:paraId="3F0A808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451</w:t>
            </w:r>
          </w:p>
        </w:tc>
        <w:tc>
          <w:tcPr>
            <w:tcW w:w="714" w:type="dxa"/>
            <w:tcBorders>
              <w:top w:val="nil"/>
              <w:left w:val="nil"/>
              <w:bottom w:val="single" w:sz="4" w:space="0" w:color="BFBFBF"/>
              <w:right w:val="single" w:sz="4" w:space="0" w:color="BFBFBF"/>
            </w:tcBorders>
            <w:shd w:val="clear" w:color="auto" w:fill="auto"/>
            <w:noWrap/>
            <w:vAlign w:val="center"/>
          </w:tcPr>
          <w:p w14:paraId="10F10A1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1,497</w:t>
            </w:r>
          </w:p>
        </w:tc>
        <w:tc>
          <w:tcPr>
            <w:tcW w:w="675" w:type="dxa"/>
            <w:tcBorders>
              <w:top w:val="nil"/>
              <w:left w:val="nil"/>
              <w:bottom w:val="single" w:sz="4" w:space="0" w:color="BFBFBF"/>
              <w:right w:val="double" w:sz="6" w:space="0" w:color="auto"/>
            </w:tcBorders>
            <w:shd w:val="clear" w:color="auto" w:fill="auto"/>
            <w:noWrap/>
            <w:vAlign w:val="center"/>
          </w:tcPr>
          <w:p w14:paraId="0A1DE34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1,695</w:t>
            </w:r>
          </w:p>
        </w:tc>
      </w:tr>
      <w:tr w:rsidR="00CF34FF" w:rsidRPr="005F4B8A" w14:paraId="0A05A8E6"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59677C7D"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Bayside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21FB9D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137</w:t>
            </w:r>
          </w:p>
        </w:tc>
        <w:tc>
          <w:tcPr>
            <w:tcW w:w="714" w:type="dxa"/>
            <w:tcBorders>
              <w:top w:val="nil"/>
              <w:left w:val="nil"/>
              <w:bottom w:val="single" w:sz="4" w:space="0" w:color="BFBFBF"/>
              <w:right w:val="single" w:sz="4" w:space="0" w:color="BFBFBF"/>
            </w:tcBorders>
            <w:shd w:val="clear" w:color="auto" w:fill="auto"/>
            <w:noWrap/>
            <w:vAlign w:val="center"/>
          </w:tcPr>
          <w:p w14:paraId="4628BB8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364</w:t>
            </w:r>
          </w:p>
        </w:tc>
        <w:tc>
          <w:tcPr>
            <w:tcW w:w="617" w:type="dxa"/>
            <w:tcBorders>
              <w:top w:val="nil"/>
              <w:left w:val="nil"/>
              <w:bottom w:val="single" w:sz="4" w:space="0" w:color="BFBFBF"/>
              <w:right w:val="single" w:sz="4" w:space="0" w:color="auto"/>
            </w:tcBorders>
            <w:shd w:val="clear" w:color="auto" w:fill="auto"/>
            <w:noWrap/>
            <w:vAlign w:val="center"/>
          </w:tcPr>
          <w:p w14:paraId="23AE146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359</w:t>
            </w:r>
          </w:p>
        </w:tc>
        <w:tc>
          <w:tcPr>
            <w:tcW w:w="857" w:type="dxa"/>
            <w:tcBorders>
              <w:top w:val="nil"/>
              <w:left w:val="nil"/>
              <w:bottom w:val="single" w:sz="4" w:space="0" w:color="BFBFBF"/>
              <w:right w:val="single" w:sz="4" w:space="0" w:color="BFBFBF"/>
            </w:tcBorders>
            <w:shd w:val="clear" w:color="auto" w:fill="auto"/>
            <w:noWrap/>
            <w:vAlign w:val="center"/>
          </w:tcPr>
          <w:p w14:paraId="6851E41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728</w:t>
            </w:r>
          </w:p>
        </w:tc>
        <w:tc>
          <w:tcPr>
            <w:tcW w:w="714" w:type="dxa"/>
            <w:tcBorders>
              <w:top w:val="nil"/>
              <w:left w:val="nil"/>
              <w:bottom w:val="single" w:sz="4" w:space="0" w:color="BFBFBF"/>
              <w:right w:val="single" w:sz="4" w:space="0" w:color="BFBFBF"/>
            </w:tcBorders>
            <w:shd w:val="clear" w:color="auto" w:fill="auto"/>
            <w:noWrap/>
            <w:vAlign w:val="center"/>
          </w:tcPr>
          <w:p w14:paraId="28A878C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1,157</w:t>
            </w:r>
          </w:p>
        </w:tc>
        <w:tc>
          <w:tcPr>
            <w:tcW w:w="675" w:type="dxa"/>
            <w:tcBorders>
              <w:top w:val="nil"/>
              <w:left w:val="nil"/>
              <w:bottom w:val="single" w:sz="4" w:space="0" w:color="BFBFBF"/>
              <w:right w:val="double" w:sz="6" w:space="0" w:color="auto"/>
            </w:tcBorders>
            <w:shd w:val="clear" w:color="auto" w:fill="auto"/>
            <w:noWrap/>
            <w:vAlign w:val="center"/>
          </w:tcPr>
          <w:p w14:paraId="622D96F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1,791</w:t>
            </w:r>
          </w:p>
        </w:tc>
      </w:tr>
      <w:tr w:rsidR="00CF34FF" w:rsidRPr="005F4B8A" w14:paraId="7AECEA9A"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162D3C40"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smartTag w:uri="urn:schemas-microsoft-com:office:smarttags" w:element="place">
              <w:r w:rsidRPr="005F4B8A">
                <w:rPr>
                  <w:rFonts w:ascii="Arial" w:hAnsi="Arial" w:cs="Arial"/>
                  <w:color w:val="000000"/>
                  <w:sz w:val="16"/>
                  <w:szCs w:val="16"/>
                  <w:lang w:val="en-AU" w:eastAsia="en-AU"/>
                </w:rPr>
                <w:t>Western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06D1BAB"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714" w:type="dxa"/>
            <w:tcBorders>
              <w:top w:val="nil"/>
              <w:left w:val="nil"/>
              <w:bottom w:val="single" w:sz="4" w:space="0" w:color="BFBFBF"/>
              <w:right w:val="single" w:sz="4" w:space="0" w:color="BFBFBF"/>
            </w:tcBorders>
            <w:shd w:val="clear" w:color="auto" w:fill="auto"/>
            <w:noWrap/>
            <w:vAlign w:val="center"/>
          </w:tcPr>
          <w:p w14:paraId="54CB66B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auto"/>
            </w:tcBorders>
            <w:shd w:val="clear" w:color="auto" w:fill="auto"/>
            <w:noWrap/>
            <w:vAlign w:val="center"/>
          </w:tcPr>
          <w:p w14:paraId="1A3003B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857" w:type="dxa"/>
            <w:tcBorders>
              <w:top w:val="nil"/>
              <w:left w:val="nil"/>
              <w:bottom w:val="single" w:sz="4" w:space="0" w:color="BFBFBF"/>
              <w:right w:val="single" w:sz="4" w:space="0" w:color="BFBFBF"/>
            </w:tcBorders>
            <w:shd w:val="clear" w:color="auto" w:fill="auto"/>
            <w:noWrap/>
            <w:vAlign w:val="center"/>
          </w:tcPr>
          <w:p w14:paraId="3F0AAA9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474</w:t>
            </w:r>
          </w:p>
        </w:tc>
        <w:tc>
          <w:tcPr>
            <w:tcW w:w="714" w:type="dxa"/>
            <w:tcBorders>
              <w:top w:val="nil"/>
              <w:left w:val="nil"/>
              <w:bottom w:val="single" w:sz="4" w:space="0" w:color="BFBFBF"/>
              <w:right w:val="single" w:sz="4" w:space="0" w:color="BFBFBF"/>
            </w:tcBorders>
            <w:shd w:val="clear" w:color="auto" w:fill="auto"/>
            <w:noWrap/>
            <w:vAlign w:val="center"/>
          </w:tcPr>
          <w:p w14:paraId="174038E8"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1,551</w:t>
            </w:r>
          </w:p>
        </w:tc>
        <w:tc>
          <w:tcPr>
            <w:tcW w:w="675" w:type="dxa"/>
            <w:tcBorders>
              <w:top w:val="nil"/>
              <w:left w:val="nil"/>
              <w:bottom w:val="single" w:sz="4" w:space="0" w:color="BFBFBF"/>
              <w:right w:val="double" w:sz="6" w:space="0" w:color="auto"/>
            </w:tcBorders>
            <w:shd w:val="clear" w:color="auto" w:fill="auto"/>
            <w:noWrap/>
            <w:vAlign w:val="center"/>
          </w:tcPr>
          <w:p w14:paraId="15D3D707"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2,025</w:t>
            </w:r>
          </w:p>
        </w:tc>
      </w:tr>
      <w:tr w:rsidR="00CF34FF" w:rsidRPr="005F4B8A" w14:paraId="5F9433CE"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6DF10596"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Brimbank Melton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2703E3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81</w:t>
            </w:r>
          </w:p>
        </w:tc>
        <w:tc>
          <w:tcPr>
            <w:tcW w:w="714" w:type="dxa"/>
            <w:tcBorders>
              <w:top w:val="nil"/>
              <w:left w:val="nil"/>
              <w:bottom w:val="single" w:sz="4" w:space="0" w:color="BFBFBF"/>
              <w:right w:val="single" w:sz="4" w:space="0" w:color="BFBFBF"/>
            </w:tcBorders>
            <w:shd w:val="clear" w:color="auto" w:fill="auto"/>
            <w:noWrap/>
            <w:vAlign w:val="center"/>
          </w:tcPr>
          <w:p w14:paraId="370F54B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160</w:t>
            </w:r>
          </w:p>
        </w:tc>
        <w:tc>
          <w:tcPr>
            <w:tcW w:w="617" w:type="dxa"/>
            <w:tcBorders>
              <w:top w:val="nil"/>
              <w:left w:val="nil"/>
              <w:bottom w:val="single" w:sz="4" w:space="0" w:color="BFBFBF"/>
              <w:right w:val="single" w:sz="4" w:space="0" w:color="auto"/>
            </w:tcBorders>
            <w:shd w:val="clear" w:color="auto" w:fill="auto"/>
            <w:noWrap/>
            <w:vAlign w:val="center"/>
          </w:tcPr>
          <w:p w14:paraId="6230D12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219</w:t>
            </w:r>
          </w:p>
        </w:tc>
        <w:tc>
          <w:tcPr>
            <w:tcW w:w="857" w:type="dxa"/>
            <w:tcBorders>
              <w:top w:val="nil"/>
              <w:left w:val="nil"/>
              <w:bottom w:val="single" w:sz="4" w:space="0" w:color="BFBFBF"/>
              <w:right w:val="single" w:sz="4" w:space="0" w:color="BFBFBF"/>
            </w:tcBorders>
            <w:shd w:val="clear" w:color="auto" w:fill="auto"/>
            <w:noWrap/>
            <w:vAlign w:val="center"/>
          </w:tcPr>
          <w:p w14:paraId="05D5CB7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109</w:t>
            </w:r>
          </w:p>
        </w:tc>
        <w:tc>
          <w:tcPr>
            <w:tcW w:w="714" w:type="dxa"/>
            <w:tcBorders>
              <w:top w:val="nil"/>
              <w:left w:val="nil"/>
              <w:bottom w:val="single" w:sz="4" w:space="0" w:color="BFBFBF"/>
              <w:right w:val="single" w:sz="4" w:space="0" w:color="BFBFBF"/>
            </w:tcBorders>
            <w:shd w:val="clear" w:color="auto" w:fill="auto"/>
            <w:noWrap/>
            <w:vAlign w:val="center"/>
          </w:tcPr>
          <w:p w14:paraId="75EB9ACC"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675" w:type="dxa"/>
            <w:tcBorders>
              <w:top w:val="nil"/>
              <w:left w:val="nil"/>
              <w:bottom w:val="single" w:sz="4" w:space="0" w:color="BFBFBF"/>
              <w:right w:val="double" w:sz="6" w:space="0" w:color="auto"/>
            </w:tcBorders>
            <w:shd w:val="clear" w:color="auto" w:fill="auto"/>
            <w:noWrap/>
            <w:vAlign w:val="center"/>
          </w:tcPr>
          <w:p w14:paraId="6A9E8D00"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109</w:t>
            </w:r>
          </w:p>
        </w:tc>
      </w:tr>
      <w:tr w:rsidR="00CF34FF" w:rsidRPr="005F4B8A" w14:paraId="6F7CDCA0"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53945AE0"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Mallee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D6F129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167</w:t>
            </w:r>
          </w:p>
        </w:tc>
        <w:tc>
          <w:tcPr>
            <w:tcW w:w="714" w:type="dxa"/>
            <w:tcBorders>
              <w:top w:val="nil"/>
              <w:left w:val="nil"/>
              <w:bottom w:val="single" w:sz="4" w:space="0" w:color="BFBFBF"/>
              <w:right w:val="single" w:sz="4" w:space="0" w:color="BFBFBF"/>
            </w:tcBorders>
            <w:shd w:val="clear" w:color="auto" w:fill="auto"/>
            <w:noWrap/>
            <w:vAlign w:val="center"/>
          </w:tcPr>
          <w:p w14:paraId="29286B0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1,282</w:t>
            </w:r>
          </w:p>
        </w:tc>
        <w:tc>
          <w:tcPr>
            <w:tcW w:w="617" w:type="dxa"/>
            <w:tcBorders>
              <w:top w:val="nil"/>
              <w:left w:val="nil"/>
              <w:bottom w:val="single" w:sz="4" w:space="0" w:color="BFBFBF"/>
              <w:right w:val="single" w:sz="4" w:space="0" w:color="auto"/>
            </w:tcBorders>
            <w:shd w:val="clear" w:color="auto" w:fill="auto"/>
            <w:noWrap/>
            <w:vAlign w:val="center"/>
          </w:tcPr>
          <w:p w14:paraId="0E9E5B9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551</w:t>
            </w:r>
          </w:p>
        </w:tc>
        <w:tc>
          <w:tcPr>
            <w:tcW w:w="857" w:type="dxa"/>
            <w:tcBorders>
              <w:top w:val="nil"/>
              <w:left w:val="nil"/>
              <w:bottom w:val="single" w:sz="4" w:space="0" w:color="BFBFBF"/>
              <w:right w:val="single" w:sz="4" w:space="0" w:color="BFBFBF"/>
            </w:tcBorders>
            <w:shd w:val="clear" w:color="auto" w:fill="auto"/>
            <w:noWrap/>
            <w:vAlign w:val="center"/>
          </w:tcPr>
          <w:p w14:paraId="6C2C48E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461</w:t>
            </w:r>
          </w:p>
        </w:tc>
        <w:tc>
          <w:tcPr>
            <w:tcW w:w="714" w:type="dxa"/>
            <w:tcBorders>
              <w:top w:val="nil"/>
              <w:left w:val="nil"/>
              <w:bottom w:val="single" w:sz="4" w:space="0" w:color="BFBFBF"/>
              <w:right w:val="single" w:sz="4" w:space="0" w:color="BFBFBF"/>
            </w:tcBorders>
            <w:shd w:val="clear" w:color="auto" w:fill="auto"/>
            <w:noWrap/>
            <w:vAlign w:val="center"/>
          </w:tcPr>
          <w:p w14:paraId="79F4D33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1,734</w:t>
            </w:r>
          </w:p>
        </w:tc>
        <w:tc>
          <w:tcPr>
            <w:tcW w:w="675" w:type="dxa"/>
            <w:tcBorders>
              <w:top w:val="nil"/>
              <w:left w:val="nil"/>
              <w:bottom w:val="single" w:sz="4" w:space="0" w:color="BFBFBF"/>
              <w:right w:val="double" w:sz="6" w:space="0" w:color="auto"/>
            </w:tcBorders>
            <w:shd w:val="clear" w:color="auto" w:fill="auto"/>
            <w:noWrap/>
            <w:vAlign w:val="center"/>
          </w:tcPr>
          <w:p w14:paraId="4057484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2,166</w:t>
            </w:r>
          </w:p>
        </w:tc>
      </w:tr>
      <w:tr w:rsidR="00CF34FF" w:rsidRPr="005F4B8A" w14:paraId="4B9B476A"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2428EA9A"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Loddon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0BCCED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714" w:type="dxa"/>
            <w:tcBorders>
              <w:top w:val="nil"/>
              <w:left w:val="nil"/>
              <w:bottom w:val="single" w:sz="4" w:space="0" w:color="BFBFBF"/>
              <w:right w:val="single" w:sz="4" w:space="0" w:color="BFBFBF"/>
            </w:tcBorders>
            <w:shd w:val="clear" w:color="auto" w:fill="auto"/>
            <w:noWrap/>
            <w:vAlign w:val="center"/>
          </w:tcPr>
          <w:p w14:paraId="7656FC97"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auto"/>
            </w:tcBorders>
            <w:shd w:val="clear" w:color="auto" w:fill="auto"/>
            <w:noWrap/>
            <w:vAlign w:val="center"/>
          </w:tcPr>
          <w:p w14:paraId="022536C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857" w:type="dxa"/>
            <w:tcBorders>
              <w:top w:val="nil"/>
              <w:left w:val="nil"/>
              <w:bottom w:val="single" w:sz="4" w:space="0" w:color="BFBFBF"/>
              <w:right w:val="single" w:sz="4" w:space="0" w:color="BFBFBF"/>
            </w:tcBorders>
            <w:shd w:val="clear" w:color="auto" w:fill="auto"/>
            <w:noWrap/>
            <w:vAlign w:val="center"/>
          </w:tcPr>
          <w:p w14:paraId="68B4196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778</w:t>
            </w:r>
          </w:p>
        </w:tc>
        <w:tc>
          <w:tcPr>
            <w:tcW w:w="714" w:type="dxa"/>
            <w:tcBorders>
              <w:top w:val="nil"/>
              <w:left w:val="nil"/>
              <w:bottom w:val="single" w:sz="4" w:space="0" w:color="BFBFBF"/>
              <w:right w:val="single" w:sz="4" w:space="0" w:color="BFBFBF"/>
            </w:tcBorders>
            <w:shd w:val="clear" w:color="auto" w:fill="auto"/>
            <w:noWrap/>
            <w:vAlign w:val="center"/>
          </w:tcPr>
          <w:p w14:paraId="603EA64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1,349</w:t>
            </w:r>
          </w:p>
        </w:tc>
        <w:tc>
          <w:tcPr>
            <w:tcW w:w="675" w:type="dxa"/>
            <w:tcBorders>
              <w:top w:val="nil"/>
              <w:left w:val="nil"/>
              <w:bottom w:val="single" w:sz="4" w:space="0" w:color="BFBFBF"/>
              <w:right w:val="double" w:sz="6" w:space="0" w:color="auto"/>
            </w:tcBorders>
            <w:shd w:val="clear" w:color="auto" w:fill="auto"/>
            <w:noWrap/>
            <w:vAlign w:val="center"/>
          </w:tcPr>
          <w:p w14:paraId="5E7F102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2,133</w:t>
            </w:r>
          </w:p>
        </w:tc>
      </w:tr>
      <w:tr w:rsidR="00CF34FF" w:rsidRPr="005F4B8A" w14:paraId="38C191FC"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1F0F7D89"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5F4B8A">
                  <w:rPr>
                    <w:rFonts w:ascii="Arial" w:hAnsi="Arial" w:cs="Arial"/>
                    <w:color w:val="000000"/>
                    <w:sz w:val="16"/>
                    <w:szCs w:val="16"/>
                    <w:lang w:val="en-AU" w:eastAsia="en-AU"/>
                  </w:rPr>
                  <w:t>Murray</w:t>
                </w:r>
              </w:smartTag>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04FA3F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717</w:t>
            </w:r>
          </w:p>
        </w:tc>
        <w:tc>
          <w:tcPr>
            <w:tcW w:w="714" w:type="dxa"/>
            <w:tcBorders>
              <w:top w:val="nil"/>
              <w:left w:val="nil"/>
              <w:bottom w:val="single" w:sz="4" w:space="0" w:color="BFBFBF"/>
              <w:right w:val="single" w:sz="4" w:space="0" w:color="BFBFBF"/>
            </w:tcBorders>
            <w:shd w:val="clear" w:color="auto" w:fill="auto"/>
            <w:noWrap/>
            <w:vAlign w:val="center"/>
          </w:tcPr>
          <w:p w14:paraId="7A51571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733</w:t>
            </w:r>
          </w:p>
        </w:tc>
        <w:tc>
          <w:tcPr>
            <w:tcW w:w="617" w:type="dxa"/>
            <w:tcBorders>
              <w:top w:val="nil"/>
              <w:left w:val="nil"/>
              <w:bottom w:val="single" w:sz="4" w:space="0" w:color="BFBFBF"/>
              <w:right w:val="single" w:sz="4" w:space="0" w:color="auto"/>
            </w:tcBorders>
            <w:shd w:val="clear" w:color="auto" w:fill="auto"/>
            <w:noWrap/>
            <w:vAlign w:val="center"/>
          </w:tcPr>
          <w:p w14:paraId="1D865DC7"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1,450</w:t>
            </w:r>
          </w:p>
        </w:tc>
        <w:tc>
          <w:tcPr>
            <w:tcW w:w="857" w:type="dxa"/>
            <w:tcBorders>
              <w:top w:val="nil"/>
              <w:left w:val="nil"/>
              <w:bottom w:val="single" w:sz="4" w:space="0" w:color="BFBFBF"/>
              <w:right w:val="single" w:sz="4" w:space="0" w:color="BFBFBF"/>
            </w:tcBorders>
            <w:shd w:val="clear" w:color="auto" w:fill="auto"/>
            <w:noWrap/>
            <w:vAlign w:val="center"/>
          </w:tcPr>
          <w:p w14:paraId="46C86818"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678</w:t>
            </w:r>
          </w:p>
        </w:tc>
        <w:tc>
          <w:tcPr>
            <w:tcW w:w="714" w:type="dxa"/>
            <w:tcBorders>
              <w:top w:val="nil"/>
              <w:left w:val="nil"/>
              <w:bottom w:val="single" w:sz="4" w:space="0" w:color="BFBFBF"/>
              <w:right w:val="single" w:sz="4" w:space="0" w:color="BFBFBF"/>
            </w:tcBorders>
            <w:shd w:val="clear" w:color="auto" w:fill="auto"/>
            <w:noWrap/>
            <w:vAlign w:val="center"/>
          </w:tcPr>
          <w:p w14:paraId="114E4187"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1,364</w:t>
            </w:r>
          </w:p>
        </w:tc>
        <w:tc>
          <w:tcPr>
            <w:tcW w:w="675" w:type="dxa"/>
            <w:tcBorders>
              <w:top w:val="nil"/>
              <w:left w:val="nil"/>
              <w:bottom w:val="single" w:sz="4" w:space="0" w:color="BFBFBF"/>
              <w:right w:val="double" w:sz="6" w:space="0" w:color="auto"/>
            </w:tcBorders>
            <w:shd w:val="clear" w:color="auto" w:fill="auto"/>
            <w:noWrap/>
            <w:vAlign w:val="center"/>
          </w:tcPr>
          <w:p w14:paraId="0234A59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2,043</w:t>
            </w:r>
          </w:p>
        </w:tc>
      </w:tr>
      <w:tr w:rsidR="00CF34FF" w:rsidRPr="005F4B8A" w14:paraId="55271462"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750A3B40"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Goulburn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48FFAC4"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714" w:type="dxa"/>
            <w:tcBorders>
              <w:top w:val="nil"/>
              <w:left w:val="nil"/>
              <w:bottom w:val="single" w:sz="4" w:space="0" w:color="BFBFBF"/>
              <w:right w:val="single" w:sz="4" w:space="0" w:color="BFBFBF"/>
            </w:tcBorders>
            <w:shd w:val="clear" w:color="auto" w:fill="auto"/>
            <w:noWrap/>
            <w:vAlign w:val="center"/>
          </w:tcPr>
          <w:p w14:paraId="4293F610"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auto"/>
            </w:tcBorders>
            <w:shd w:val="clear" w:color="auto" w:fill="auto"/>
            <w:noWrap/>
            <w:vAlign w:val="center"/>
          </w:tcPr>
          <w:p w14:paraId="41539AE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857" w:type="dxa"/>
            <w:tcBorders>
              <w:top w:val="nil"/>
              <w:left w:val="nil"/>
              <w:bottom w:val="single" w:sz="4" w:space="0" w:color="BFBFBF"/>
              <w:right w:val="single" w:sz="4" w:space="0" w:color="BFBFBF"/>
            </w:tcBorders>
            <w:shd w:val="clear" w:color="auto" w:fill="auto"/>
            <w:noWrap/>
            <w:vAlign w:val="center"/>
          </w:tcPr>
          <w:p w14:paraId="3F698620"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775</w:t>
            </w:r>
          </w:p>
        </w:tc>
        <w:tc>
          <w:tcPr>
            <w:tcW w:w="714" w:type="dxa"/>
            <w:tcBorders>
              <w:top w:val="nil"/>
              <w:left w:val="nil"/>
              <w:bottom w:val="single" w:sz="4" w:space="0" w:color="BFBFBF"/>
              <w:right w:val="single" w:sz="4" w:space="0" w:color="BFBFBF"/>
            </w:tcBorders>
            <w:shd w:val="clear" w:color="auto" w:fill="auto"/>
            <w:noWrap/>
            <w:vAlign w:val="center"/>
          </w:tcPr>
          <w:p w14:paraId="4E4B520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3,118</w:t>
            </w:r>
          </w:p>
        </w:tc>
        <w:tc>
          <w:tcPr>
            <w:tcW w:w="675" w:type="dxa"/>
            <w:tcBorders>
              <w:top w:val="nil"/>
              <w:left w:val="nil"/>
              <w:bottom w:val="single" w:sz="4" w:space="0" w:color="BFBFBF"/>
              <w:right w:val="double" w:sz="6" w:space="0" w:color="auto"/>
            </w:tcBorders>
            <w:shd w:val="clear" w:color="auto" w:fill="auto"/>
            <w:noWrap/>
            <w:vAlign w:val="center"/>
          </w:tcPr>
          <w:p w14:paraId="3A97305C"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3,893</w:t>
            </w:r>
          </w:p>
        </w:tc>
      </w:tr>
      <w:tr w:rsidR="00CF34FF" w:rsidRPr="005F4B8A" w14:paraId="309AE088"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5745E112"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Outer Gippsland</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ED857D7"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714" w:type="dxa"/>
            <w:tcBorders>
              <w:top w:val="nil"/>
              <w:left w:val="nil"/>
              <w:bottom w:val="single" w:sz="4" w:space="0" w:color="BFBFBF"/>
              <w:right w:val="single" w:sz="4" w:space="0" w:color="BFBFBF"/>
            </w:tcBorders>
            <w:shd w:val="clear" w:color="auto" w:fill="auto"/>
            <w:noWrap/>
            <w:vAlign w:val="center"/>
          </w:tcPr>
          <w:p w14:paraId="3CAEA6F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auto"/>
            </w:tcBorders>
            <w:shd w:val="clear" w:color="auto" w:fill="auto"/>
            <w:noWrap/>
            <w:vAlign w:val="center"/>
          </w:tcPr>
          <w:p w14:paraId="13479BE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857" w:type="dxa"/>
            <w:tcBorders>
              <w:top w:val="nil"/>
              <w:left w:val="nil"/>
              <w:bottom w:val="single" w:sz="4" w:space="0" w:color="BFBFBF"/>
              <w:right w:val="single" w:sz="4" w:space="0" w:color="BFBFBF"/>
            </w:tcBorders>
            <w:shd w:val="clear" w:color="auto" w:fill="auto"/>
            <w:noWrap/>
            <w:vAlign w:val="center"/>
          </w:tcPr>
          <w:p w14:paraId="3D35E9A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773</w:t>
            </w:r>
          </w:p>
        </w:tc>
        <w:tc>
          <w:tcPr>
            <w:tcW w:w="714" w:type="dxa"/>
            <w:tcBorders>
              <w:top w:val="nil"/>
              <w:left w:val="nil"/>
              <w:bottom w:val="single" w:sz="4" w:space="0" w:color="BFBFBF"/>
              <w:right w:val="single" w:sz="4" w:space="0" w:color="BFBFBF"/>
            </w:tcBorders>
            <w:shd w:val="clear" w:color="auto" w:fill="auto"/>
            <w:noWrap/>
            <w:vAlign w:val="center"/>
          </w:tcPr>
          <w:p w14:paraId="58509C1B"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1,400</w:t>
            </w:r>
          </w:p>
        </w:tc>
        <w:tc>
          <w:tcPr>
            <w:tcW w:w="675" w:type="dxa"/>
            <w:tcBorders>
              <w:top w:val="nil"/>
              <w:left w:val="nil"/>
              <w:bottom w:val="single" w:sz="4" w:space="0" w:color="BFBFBF"/>
              <w:right w:val="double" w:sz="6" w:space="0" w:color="auto"/>
            </w:tcBorders>
            <w:shd w:val="clear" w:color="auto" w:fill="auto"/>
            <w:noWrap/>
            <w:vAlign w:val="center"/>
          </w:tcPr>
          <w:p w14:paraId="278190C0"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1,987</w:t>
            </w:r>
          </w:p>
        </w:tc>
      </w:tr>
      <w:tr w:rsidR="00CF34FF" w:rsidRPr="005F4B8A" w14:paraId="21B87B39"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40A47F86"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Inner Gippsland</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1BD016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640</w:t>
            </w:r>
          </w:p>
        </w:tc>
        <w:tc>
          <w:tcPr>
            <w:tcW w:w="714" w:type="dxa"/>
            <w:tcBorders>
              <w:top w:val="nil"/>
              <w:left w:val="nil"/>
              <w:bottom w:val="single" w:sz="4" w:space="0" w:color="BFBFBF"/>
              <w:right w:val="single" w:sz="4" w:space="0" w:color="BFBFBF"/>
            </w:tcBorders>
            <w:shd w:val="clear" w:color="auto" w:fill="auto"/>
            <w:noWrap/>
            <w:vAlign w:val="center"/>
          </w:tcPr>
          <w:p w14:paraId="4AEBE8CB"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770</w:t>
            </w:r>
          </w:p>
        </w:tc>
        <w:tc>
          <w:tcPr>
            <w:tcW w:w="617" w:type="dxa"/>
            <w:tcBorders>
              <w:top w:val="nil"/>
              <w:left w:val="nil"/>
              <w:bottom w:val="single" w:sz="4" w:space="0" w:color="BFBFBF"/>
              <w:right w:val="single" w:sz="4" w:space="0" w:color="auto"/>
            </w:tcBorders>
            <w:shd w:val="clear" w:color="auto" w:fill="auto"/>
            <w:noWrap/>
            <w:vAlign w:val="center"/>
          </w:tcPr>
          <w:p w14:paraId="574E90C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2,364</w:t>
            </w:r>
          </w:p>
        </w:tc>
        <w:tc>
          <w:tcPr>
            <w:tcW w:w="857" w:type="dxa"/>
            <w:tcBorders>
              <w:top w:val="nil"/>
              <w:left w:val="nil"/>
              <w:bottom w:val="single" w:sz="4" w:space="0" w:color="BFBFBF"/>
              <w:right w:val="single" w:sz="4" w:space="0" w:color="BFBFBF"/>
            </w:tcBorders>
            <w:shd w:val="clear" w:color="auto" w:fill="auto"/>
            <w:noWrap/>
            <w:vAlign w:val="center"/>
          </w:tcPr>
          <w:p w14:paraId="7C16369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618</w:t>
            </w:r>
          </w:p>
        </w:tc>
        <w:tc>
          <w:tcPr>
            <w:tcW w:w="714" w:type="dxa"/>
            <w:tcBorders>
              <w:top w:val="nil"/>
              <w:left w:val="nil"/>
              <w:bottom w:val="single" w:sz="4" w:space="0" w:color="BFBFBF"/>
              <w:right w:val="single" w:sz="4" w:space="0" w:color="BFBFBF"/>
            </w:tcBorders>
            <w:shd w:val="clear" w:color="auto" w:fill="auto"/>
            <w:noWrap/>
            <w:vAlign w:val="center"/>
          </w:tcPr>
          <w:p w14:paraId="7B39B73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2,128</w:t>
            </w:r>
          </w:p>
        </w:tc>
        <w:tc>
          <w:tcPr>
            <w:tcW w:w="675" w:type="dxa"/>
            <w:tcBorders>
              <w:top w:val="nil"/>
              <w:left w:val="nil"/>
              <w:bottom w:val="single" w:sz="4" w:space="0" w:color="BFBFBF"/>
              <w:right w:val="double" w:sz="6" w:space="0" w:color="auto"/>
            </w:tcBorders>
            <w:shd w:val="clear" w:color="auto" w:fill="auto"/>
            <w:noWrap/>
            <w:vAlign w:val="center"/>
          </w:tcPr>
          <w:p w14:paraId="7037A4C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3,699</w:t>
            </w:r>
          </w:p>
        </w:tc>
      </w:tr>
      <w:tr w:rsidR="00CF34FF" w:rsidRPr="005F4B8A" w14:paraId="7B29DBEC"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3D5BFDF8"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Western District</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D2AD8C8"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714" w:type="dxa"/>
            <w:tcBorders>
              <w:top w:val="nil"/>
              <w:left w:val="nil"/>
              <w:bottom w:val="single" w:sz="4" w:space="0" w:color="BFBFBF"/>
              <w:right w:val="single" w:sz="4" w:space="0" w:color="BFBFBF"/>
            </w:tcBorders>
            <w:shd w:val="clear" w:color="auto" w:fill="auto"/>
            <w:noWrap/>
            <w:vAlign w:val="center"/>
          </w:tcPr>
          <w:p w14:paraId="3FCB214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auto"/>
            </w:tcBorders>
            <w:shd w:val="clear" w:color="auto" w:fill="auto"/>
            <w:noWrap/>
            <w:vAlign w:val="center"/>
          </w:tcPr>
          <w:p w14:paraId="6EC8C2E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857" w:type="dxa"/>
            <w:tcBorders>
              <w:top w:val="nil"/>
              <w:left w:val="nil"/>
              <w:bottom w:val="single" w:sz="4" w:space="0" w:color="BFBFBF"/>
              <w:right w:val="single" w:sz="4" w:space="0" w:color="BFBFBF"/>
            </w:tcBorders>
            <w:shd w:val="clear" w:color="auto" w:fill="auto"/>
            <w:noWrap/>
            <w:vAlign w:val="center"/>
          </w:tcPr>
          <w:p w14:paraId="26EB4DB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662</w:t>
            </w:r>
          </w:p>
        </w:tc>
        <w:tc>
          <w:tcPr>
            <w:tcW w:w="714" w:type="dxa"/>
            <w:tcBorders>
              <w:top w:val="nil"/>
              <w:left w:val="nil"/>
              <w:bottom w:val="single" w:sz="4" w:space="0" w:color="BFBFBF"/>
              <w:right w:val="single" w:sz="4" w:space="0" w:color="BFBFBF"/>
            </w:tcBorders>
            <w:shd w:val="clear" w:color="auto" w:fill="auto"/>
            <w:noWrap/>
            <w:vAlign w:val="center"/>
          </w:tcPr>
          <w:p w14:paraId="2C1198A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2,269</w:t>
            </w:r>
          </w:p>
        </w:tc>
        <w:tc>
          <w:tcPr>
            <w:tcW w:w="675" w:type="dxa"/>
            <w:tcBorders>
              <w:top w:val="nil"/>
              <w:left w:val="nil"/>
              <w:bottom w:val="single" w:sz="4" w:space="0" w:color="BFBFBF"/>
              <w:right w:val="double" w:sz="6" w:space="0" w:color="auto"/>
            </w:tcBorders>
            <w:shd w:val="clear" w:color="auto" w:fill="auto"/>
            <w:noWrap/>
            <w:vAlign w:val="center"/>
          </w:tcPr>
          <w:p w14:paraId="3A19644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2,404</w:t>
            </w:r>
          </w:p>
        </w:tc>
      </w:tr>
      <w:tr w:rsidR="00CF34FF" w:rsidRPr="005F4B8A" w14:paraId="0C9788CB"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0FE6F9E7"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Barwon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B0DCE7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749</w:t>
            </w:r>
          </w:p>
        </w:tc>
        <w:tc>
          <w:tcPr>
            <w:tcW w:w="714" w:type="dxa"/>
            <w:tcBorders>
              <w:top w:val="nil"/>
              <w:left w:val="nil"/>
              <w:bottom w:val="single" w:sz="4" w:space="0" w:color="BFBFBF"/>
              <w:right w:val="single" w:sz="4" w:space="0" w:color="BFBFBF"/>
            </w:tcBorders>
            <w:shd w:val="clear" w:color="auto" w:fill="auto"/>
            <w:noWrap/>
            <w:vAlign w:val="center"/>
          </w:tcPr>
          <w:p w14:paraId="4BB7546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auto"/>
            </w:tcBorders>
            <w:shd w:val="clear" w:color="auto" w:fill="auto"/>
            <w:noWrap/>
            <w:vAlign w:val="center"/>
          </w:tcPr>
          <w:p w14:paraId="532D8F5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749</w:t>
            </w:r>
          </w:p>
        </w:tc>
        <w:tc>
          <w:tcPr>
            <w:tcW w:w="857" w:type="dxa"/>
            <w:tcBorders>
              <w:top w:val="nil"/>
              <w:left w:val="nil"/>
              <w:bottom w:val="single" w:sz="4" w:space="0" w:color="BFBFBF"/>
              <w:right w:val="single" w:sz="4" w:space="0" w:color="BFBFBF"/>
            </w:tcBorders>
            <w:shd w:val="clear" w:color="auto" w:fill="auto"/>
            <w:noWrap/>
            <w:vAlign w:val="center"/>
          </w:tcPr>
          <w:p w14:paraId="15E1D97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682</w:t>
            </w:r>
          </w:p>
        </w:tc>
        <w:tc>
          <w:tcPr>
            <w:tcW w:w="714" w:type="dxa"/>
            <w:tcBorders>
              <w:top w:val="nil"/>
              <w:left w:val="nil"/>
              <w:bottom w:val="single" w:sz="4" w:space="0" w:color="BFBFBF"/>
              <w:right w:val="single" w:sz="4" w:space="0" w:color="BFBFBF"/>
            </w:tcBorders>
            <w:shd w:val="clear" w:color="auto" w:fill="auto"/>
            <w:noWrap/>
            <w:vAlign w:val="center"/>
          </w:tcPr>
          <w:p w14:paraId="1460C60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991</w:t>
            </w:r>
          </w:p>
        </w:tc>
        <w:tc>
          <w:tcPr>
            <w:tcW w:w="675" w:type="dxa"/>
            <w:tcBorders>
              <w:top w:val="nil"/>
              <w:left w:val="nil"/>
              <w:bottom w:val="single" w:sz="4" w:space="0" w:color="BFBFBF"/>
              <w:right w:val="double" w:sz="6" w:space="0" w:color="auto"/>
            </w:tcBorders>
            <w:shd w:val="clear" w:color="auto" w:fill="auto"/>
            <w:noWrap/>
            <w:vAlign w:val="center"/>
          </w:tcPr>
          <w:p w14:paraId="5F990667"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1,753</w:t>
            </w:r>
          </w:p>
        </w:tc>
      </w:tr>
      <w:tr w:rsidR="00CF34FF" w:rsidRPr="005F4B8A" w14:paraId="5EC8819F"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2C679263"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Central Highlands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C67B41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870</w:t>
            </w:r>
          </w:p>
        </w:tc>
        <w:tc>
          <w:tcPr>
            <w:tcW w:w="714" w:type="dxa"/>
            <w:tcBorders>
              <w:top w:val="nil"/>
              <w:left w:val="nil"/>
              <w:bottom w:val="single" w:sz="4" w:space="0" w:color="BFBFBF"/>
              <w:right w:val="single" w:sz="4" w:space="0" w:color="BFBFBF"/>
            </w:tcBorders>
            <w:shd w:val="clear" w:color="auto" w:fill="auto"/>
            <w:noWrap/>
            <w:vAlign w:val="center"/>
          </w:tcPr>
          <w:p w14:paraId="51756F5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839</w:t>
            </w:r>
          </w:p>
        </w:tc>
        <w:tc>
          <w:tcPr>
            <w:tcW w:w="617" w:type="dxa"/>
            <w:tcBorders>
              <w:top w:val="nil"/>
              <w:left w:val="nil"/>
              <w:bottom w:val="single" w:sz="4" w:space="0" w:color="BFBFBF"/>
              <w:right w:val="single" w:sz="4" w:space="0" w:color="auto"/>
            </w:tcBorders>
            <w:shd w:val="clear" w:color="auto" w:fill="auto"/>
            <w:noWrap/>
            <w:vAlign w:val="center"/>
          </w:tcPr>
          <w:p w14:paraId="213D15E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1,710</w:t>
            </w:r>
          </w:p>
        </w:tc>
        <w:tc>
          <w:tcPr>
            <w:tcW w:w="857" w:type="dxa"/>
            <w:tcBorders>
              <w:top w:val="nil"/>
              <w:left w:val="nil"/>
              <w:bottom w:val="single" w:sz="4" w:space="0" w:color="BFBFBF"/>
              <w:right w:val="single" w:sz="4" w:space="0" w:color="BFBFBF"/>
            </w:tcBorders>
            <w:shd w:val="clear" w:color="auto" w:fill="auto"/>
            <w:noWrap/>
            <w:vAlign w:val="center"/>
          </w:tcPr>
          <w:p w14:paraId="3F7EFD37"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837</w:t>
            </w:r>
          </w:p>
        </w:tc>
        <w:tc>
          <w:tcPr>
            <w:tcW w:w="714" w:type="dxa"/>
            <w:tcBorders>
              <w:top w:val="nil"/>
              <w:left w:val="nil"/>
              <w:bottom w:val="single" w:sz="4" w:space="0" w:color="BFBFBF"/>
              <w:right w:val="single" w:sz="4" w:space="0" w:color="BFBFBF"/>
            </w:tcBorders>
            <w:shd w:val="clear" w:color="auto" w:fill="auto"/>
            <w:noWrap/>
            <w:vAlign w:val="center"/>
          </w:tcPr>
          <w:p w14:paraId="05C4F1D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1,679</w:t>
            </w:r>
          </w:p>
        </w:tc>
        <w:tc>
          <w:tcPr>
            <w:tcW w:w="675" w:type="dxa"/>
            <w:tcBorders>
              <w:top w:val="nil"/>
              <w:left w:val="nil"/>
              <w:bottom w:val="single" w:sz="4" w:space="0" w:color="BFBFBF"/>
              <w:right w:val="double" w:sz="6" w:space="0" w:color="auto"/>
            </w:tcBorders>
            <w:shd w:val="clear" w:color="auto" w:fill="auto"/>
            <w:noWrap/>
            <w:vAlign w:val="center"/>
          </w:tcPr>
          <w:p w14:paraId="6F7E63D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2,572</w:t>
            </w:r>
          </w:p>
        </w:tc>
      </w:tr>
      <w:tr w:rsidR="00CF34FF" w:rsidRPr="005F4B8A" w14:paraId="6E20848D"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4D21A739" w14:textId="77777777" w:rsidR="00CF34FF" w:rsidRPr="005F4B8A" w:rsidRDefault="00CF34FF" w:rsidP="009B2162">
            <w:pPr>
              <w:spacing w:before="0" w:after="0"/>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By Concession Status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F191638"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2076140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6CEAEE10"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0BBBCB6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3E7633E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675" w:type="dxa"/>
            <w:tcBorders>
              <w:top w:val="nil"/>
              <w:left w:val="nil"/>
              <w:bottom w:val="single" w:sz="4" w:space="0" w:color="BFBFBF"/>
              <w:right w:val="double" w:sz="6" w:space="0" w:color="auto"/>
            </w:tcBorders>
            <w:shd w:val="clear" w:color="auto" w:fill="auto"/>
            <w:noWrap/>
            <w:vAlign w:val="center"/>
          </w:tcPr>
          <w:p w14:paraId="57B24C28"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r>
      <w:tr w:rsidR="00CF34FF" w:rsidRPr="005F4B8A" w14:paraId="5F89EB49"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708A163F"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Aged Concession HHs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C8466F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287</w:t>
            </w:r>
          </w:p>
        </w:tc>
        <w:tc>
          <w:tcPr>
            <w:tcW w:w="714" w:type="dxa"/>
            <w:tcBorders>
              <w:top w:val="nil"/>
              <w:left w:val="nil"/>
              <w:bottom w:val="single" w:sz="4" w:space="0" w:color="BFBFBF"/>
              <w:right w:val="single" w:sz="4" w:space="0" w:color="BFBFBF"/>
            </w:tcBorders>
            <w:shd w:val="clear" w:color="auto" w:fill="auto"/>
            <w:noWrap/>
            <w:vAlign w:val="center"/>
          </w:tcPr>
          <w:p w14:paraId="7E70251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502</w:t>
            </w:r>
          </w:p>
        </w:tc>
        <w:tc>
          <w:tcPr>
            <w:tcW w:w="617" w:type="dxa"/>
            <w:tcBorders>
              <w:top w:val="nil"/>
              <w:left w:val="nil"/>
              <w:bottom w:val="single" w:sz="4" w:space="0" w:color="BFBFBF"/>
              <w:right w:val="single" w:sz="4" w:space="0" w:color="auto"/>
            </w:tcBorders>
            <w:shd w:val="clear" w:color="auto" w:fill="auto"/>
            <w:noWrap/>
            <w:vAlign w:val="center"/>
          </w:tcPr>
          <w:p w14:paraId="2F4AF4B0"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705</w:t>
            </w:r>
          </w:p>
        </w:tc>
        <w:tc>
          <w:tcPr>
            <w:tcW w:w="857" w:type="dxa"/>
            <w:tcBorders>
              <w:top w:val="nil"/>
              <w:left w:val="nil"/>
              <w:bottom w:val="single" w:sz="4" w:space="0" w:color="BFBFBF"/>
              <w:right w:val="single" w:sz="4" w:space="0" w:color="BFBFBF"/>
            </w:tcBorders>
            <w:shd w:val="clear" w:color="auto" w:fill="auto"/>
            <w:noWrap/>
            <w:vAlign w:val="center"/>
          </w:tcPr>
          <w:p w14:paraId="6999D2FC"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720</w:t>
            </w:r>
          </w:p>
        </w:tc>
        <w:tc>
          <w:tcPr>
            <w:tcW w:w="714" w:type="dxa"/>
            <w:tcBorders>
              <w:top w:val="nil"/>
              <w:left w:val="nil"/>
              <w:bottom w:val="single" w:sz="4" w:space="0" w:color="BFBFBF"/>
              <w:right w:val="single" w:sz="4" w:space="0" w:color="BFBFBF"/>
            </w:tcBorders>
            <w:shd w:val="clear" w:color="auto" w:fill="auto"/>
            <w:noWrap/>
            <w:vAlign w:val="center"/>
          </w:tcPr>
          <w:p w14:paraId="4D3FFF9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1,472</w:t>
            </w:r>
          </w:p>
        </w:tc>
        <w:tc>
          <w:tcPr>
            <w:tcW w:w="675" w:type="dxa"/>
            <w:tcBorders>
              <w:top w:val="nil"/>
              <w:left w:val="nil"/>
              <w:bottom w:val="single" w:sz="4" w:space="0" w:color="BFBFBF"/>
              <w:right w:val="double" w:sz="6" w:space="0" w:color="auto"/>
            </w:tcBorders>
            <w:shd w:val="clear" w:color="auto" w:fill="auto"/>
            <w:noWrap/>
            <w:vAlign w:val="center"/>
          </w:tcPr>
          <w:p w14:paraId="2B3D08D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2,100</w:t>
            </w:r>
          </w:p>
        </w:tc>
      </w:tr>
      <w:tr w:rsidR="00CF34FF" w:rsidRPr="005F4B8A" w14:paraId="520D786D"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49144A07"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Other Concession HHs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A68C7B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386</w:t>
            </w:r>
          </w:p>
        </w:tc>
        <w:tc>
          <w:tcPr>
            <w:tcW w:w="714" w:type="dxa"/>
            <w:tcBorders>
              <w:top w:val="nil"/>
              <w:left w:val="nil"/>
              <w:bottom w:val="single" w:sz="4" w:space="0" w:color="BFBFBF"/>
              <w:right w:val="single" w:sz="4" w:space="0" w:color="BFBFBF"/>
            </w:tcBorders>
            <w:shd w:val="clear" w:color="auto" w:fill="auto"/>
            <w:noWrap/>
            <w:vAlign w:val="center"/>
          </w:tcPr>
          <w:p w14:paraId="10C24A7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871</w:t>
            </w:r>
          </w:p>
        </w:tc>
        <w:tc>
          <w:tcPr>
            <w:tcW w:w="617" w:type="dxa"/>
            <w:tcBorders>
              <w:top w:val="nil"/>
              <w:left w:val="nil"/>
              <w:bottom w:val="single" w:sz="4" w:space="0" w:color="BFBFBF"/>
              <w:right w:val="single" w:sz="4" w:space="0" w:color="auto"/>
            </w:tcBorders>
            <w:shd w:val="clear" w:color="auto" w:fill="auto"/>
            <w:noWrap/>
            <w:vAlign w:val="center"/>
          </w:tcPr>
          <w:p w14:paraId="08AE82C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892</w:t>
            </w:r>
          </w:p>
        </w:tc>
        <w:tc>
          <w:tcPr>
            <w:tcW w:w="857" w:type="dxa"/>
            <w:tcBorders>
              <w:top w:val="nil"/>
              <w:left w:val="nil"/>
              <w:bottom w:val="single" w:sz="4" w:space="0" w:color="BFBFBF"/>
              <w:right w:val="single" w:sz="4" w:space="0" w:color="BFBFBF"/>
            </w:tcBorders>
            <w:shd w:val="clear" w:color="auto" w:fill="auto"/>
            <w:noWrap/>
            <w:vAlign w:val="center"/>
          </w:tcPr>
          <w:p w14:paraId="29DCE3B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630</w:t>
            </w:r>
          </w:p>
        </w:tc>
        <w:tc>
          <w:tcPr>
            <w:tcW w:w="714" w:type="dxa"/>
            <w:tcBorders>
              <w:top w:val="nil"/>
              <w:left w:val="nil"/>
              <w:bottom w:val="single" w:sz="4" w:space="0" w:color="BFBFBF"/>
              <w:right w:val="single" w:sz="4" w:space="0" w:color="BFBFBF"/>
            </w:tcBorders>
            <w:shd w:val="clear" w:color="auto" w:fill="auto"/>
            <w:noWrap/>
            <w:vAlign w:val="center"/>
          </w:tcPr>
          <w:p w14:paraId="1A17C26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1,439</w:t>
            </w:r>
          </w:p>
        </w:tc>
        <w:tc>
          <w:tcPr>
            <w:tcW w:w="675" w:type="dxa"/>
            <w:tcBorders>
              <w:top w:val="nil"/>
              <w:left w:val="nil"/>
              <w:bottom w:val="single" w:sz="4" w:space="0" w:color="BFBFBF"/>
              <w:right w:val="double" w:sz="6" w:space="0" w:color="auto"/>
            </w:tcBorders>
            <w:shd w:val="clear" w:color="auto" w:fill="auto"/>
            <w:noWrap/>
            <w:vAlign w:val="center"/>
          </w:tcPr>
          <w:p w14:paraId="1C89159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2,024</w:t>
            </w:r>
          </w:p>
        </w:tc>
      </w:tr>
      <w:tr w:rsidR="00CF34FF" w:rsidRPr="005F4B8A" w14:paraId="407825A4"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69D1C722"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Total Concession HHs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FD165E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321</w:t>
            </w:r>
          </w:p>
        </w:tc>
        <w:tc>
          <w:tcPr>
            <w:tcW w:w="714" w:type="dxa"/>
            <w:tcBorders>
              <w:top w:val="nil"/>
              <w:left w:val="nil"/>
              <w:bottom w:val="single" w:sz="4" w:space="0" w:color="BFBFBF"/>
              <w:right w:val="single" w:sz="4" w:space="0" w:color="BFBFBF"/>
            </w:tcBorders>
            <w:shd w:val="clear" w:color="auto" w:fill="auto"/>
            <w:noWrap/>
            <w:vAlign w:val="center"/>
          </w:tcPr>
          <w:p w14:paraId="0F3E2C4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586</w:t>
            </w:r>
          </w:p>
        </w:tc>
        <w:tc>
          <w:tcPr>
            <w:tcW w:w="617" w:type="dxa"/>
            <w:tcBorders>
              <w:top w:val="nil"/>
              <w:left w:val="nil"/>
              <w:bottom w:val="single" w:sz="4" w:space="0" w:color="BFBFBF"/>
              <w:right w:val="single" w:sz="4" w:space="0" w:color="auto"/>
            </w:tcBorders>
            <w:shd w:val="clear" w:color="auto" w:fill="auto"/>
            <w:noWrap/>
            <w:vAlign w:val="center"/>
          </w:tcPr>
          <w:p w14:paraId="5F345FF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770</w:t>
            </w:r>
          </w:p>
        </w:tc>
        <w:tc>
          <w:tcPr>
            <w:tcW w:w="857" w:type="dxa"/>
            <w:tcBorders>
              <w:top w:val="nil"/>
              <w:left w:val="nil"/>
              <w:bottom w:val="single" w:sz="4" w:space="0" w:color="BFBFBF"/>
              <w:right w:val="single" w:sz="4" w:space="0" w:color="BFBFBF"/>
            </w:tcBorders>
            <w:shd w:val="clear" w:color="auto" w:fill="auto"/>
            <w:noWrap/>
            <w:vAlign w:val="center"/>
          </w:tcPr>
          <w:p w14:paraId="7752D3A8"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675</w:t>
            </w:r>
          </w:p>
        </w:tc>
        <w:tc>
          <w:tcPr>
            <w:tcW w:w="714" w:type="dxa"/>
            <w:tcBorders>
              <w:top w:val="nil"/>
              <w:left w:val="nil"/>
              <w:bottom w:val="single" w:sz="4" w:space="0" w:color="BFBFBF"/>
              <w:right w:val="single" w:sz="4" w:space="0" w:color="BFBFBF"/>
            </w:tcBorders>
            <w:shd w:val="clear" w:color="auto" w:fill="auto"/>
            <w:noWrap/>
            <w:vAlign w:val="center"/>
          </w:tcPr>
          <w:p w14:paraId="3F8ECC1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1,456</w:t>
            </w:r>
          </w:p>
        </w:tc>
        <w:tc>
          <w:tcPr>
            <w:tcW w:w="675" w:type="dxa"/>
            <w:tcBorders>
              <w:top w:val="nil"/>
              <w:left w:val="nil"/>
              <w:bottom w:val="single" w:sz="4" w:space="0" w:color="BFBFBF"/>
              <w:right w:val="double" w:sz="6" w:space="0" w:color="auto"/>
            </w:tcBorders>
            <w:shd w:val="clear" w:color="auto" w:fill="auto"/>
            <w:noWrap/>
            <w:vAlign w:val="center"/>
          </w:tcPr>
          <w:p w14:paraId="643781B7"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2,063</w:t>
            </w:r>
          </w:p>
        </w:tc>
      </w:tr>
      <w:tr w:rsidR="00CF34FF" w:rsidRPr="005F4B8A" w14:paraId="06C8D61A" w14:textId="77777777" w:rsidTr="002618D8">
        <w:trPr>
          <w:trHeight w:val="225"/>
          <w:jc w:val="center"/>
        </w:trPr>
        <w:tc>
          <w:tcPr>
            <w:tcW w:w="2717" w:type="dxa"/>
            <w:tcBorders>
              <w:top w:val="single" w:sz="4" w:space="0" w:color="BFBFBF"/>
              <w:left w:val="double" w:sz="6" w:space="0" w:color="auto"/>
              <w:bottom w:val="double" w:sz="4" w:space="0" w:color="auto"/>
              <w:right w:val="nil"/>
            </w:tcBorders>
            <w:shd w:val="clear" w:color="auto" w:fill="auto"/>
            <w:noWrap/>
            <w:vAlign w:val="center"/>
          </w:tcPr>
          <w:p w14:paraId="5C48EE73"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Non-Concession HHs</w:t>
            </w:r>
          </w:p>
        </w:tc>
        <w:tc>
          <w:tcPr>
            <w:tcW w:w="857"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74F0A4D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396</w:t>
            </w:r>
          </w:p>
        </w:tc>
        <w:tc>
          <w:tcPr>
            <w:tcW w:w="714" w:type="dxa"/>
            <w:tcBorders>
              <w:top w:val="single" w:sz="4" w:space="0" w:color="BFBFBF"/>
              <w:left w:val="nil"/>
              <w:bottom w:val="double" w:sz="4" w:space="0" w:color="auto"/>
              <w:right w:val="single" w:sz="4" w:space="0" w:color="BFBFBF"/>
            </w:tcBorders>
            <w:shd w:val="clear" w:color="auto" w:fill="auto"/>
            <w:noWrap/>
            <w:vAlign w:val="center"/>
          </w:tcPr>
          <w:p w14:paraId="4EF1B27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644</w:t>
            </w:r>
          </w:p>
        </w:tc>
        <w:tc>
          <w:tcPr>
            <w:tcW w:w="617" w:type="dxa"/>
            <w:tcBorders>
              <w:top w:val="single" w:sz="4" w:space="0" w:color="BFBFBF"/>
              <w:left w:val="nil"/>
              <w:bottom w:val="double" w:sz="4" w:space="0" w:color="auto"/>
              <w:right w:val="single" w:sz="4" w:space="0" w:color="auto"/>
            </w:tcBorders>
            <w:shd w:val="clear" w:color="auto" w:fill="auto"/>
            <w:noWrap/>
            <w:vAlign w:val="center"/>
          </w:tcPr>
          <w:p w14:paraId="2959372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962</w:t>
            </w:r>
          </w:p>
        </w:tc>
        <w:tc>
          <w:tcPr>
            <w:tcW w:w="857" w:type="dxa"/>
            <w:tcBorders>
              <w:top w:val="single" w:sz="4" w:space="0" w:color="BFBFBF"/>
              <w:left w:val="nil"/>
              <w:bottom w:val="double" w:sz="4" w:space="0" w:color="auto"/>
              <w:right w:val="single" w:sz="4" w:space="0" w:color="BFBFBF"/>
            </w:tcBorders>
            <w:shd w:val="clear" w:color="auto" w:fill="auto"/>
            <w:noWrap/>
            <w:vAlign w:val="center"/>
          </w:tcPr>
          <w:p w14:paraId="5EA5D9E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717</w:t>
            </w:r>
          </w:p>
        </w:tc>
        <w:tc>
          <w:tcPr>
            <w:tcW w:w="714" w:type="dxa"/>
            <w:tcBorders>
              <w:top w:val="single" w:sz="4" w:space="0" w:color="BFBFBF"/>
              <w:left w:val="nil"/>
              <w:bottom w:val="double" w:sz="4" w:space="0" w:color="auto"/>
              <w:right w:val="single" w:sz="4" w:space="0" w:color="BFBFBF"/>
            </w:tcBorders>
            <w:shd w:val="clear" w:color="auto" w:fill="auto"/>
            <w:noWrap/>
            <w:vAlign w:val="center"/>
          </w:tcPr>
          <w:p w14:paraId="1BA4C9E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1,532</w:t>
            </w:r>
          </w:p>
        </w:tc>
        <w:tc>
          <w:tcPr>
            <w:tcW w:w="675" w:type="dxa"/>
            <w:tcBorders>
              <w:top w:val="single" w:sz="4" w:space="0" w:color="BFBFBF"/>
              <w:left w:val="nil"/>
              <w:bottom w:val="double" w:sz="4" w:space="0" w:color="auto"/>
              <w:right w:val="double" w:sz="6" w:space="0" w:color="auto"/>
            </w:tcBorders>
            <w:shd w:val="clear" w:color="auto" w:fill="auto"/>
            <w:noWrap/>
            <w:vAlign w:val="center"/>
          </w:tcPr>
          <w:p w14:paraId="1BE3A1F4"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2,096</w:t>
            </w:r>
          </w:p>
        </w:tc>
      </w:tr>
      <w:tr w:rsidR="00CF34FF" w:rsidRPr="005F4B8A" w14:paraId="40A0ECCF" w14:textId="77777777" w:rsidTr="002618D8">
        <w:trPr>
          <w:trHeight w:val="225"/>
          <w:jc w:val="center"/>
        </w:trPr>
        <w:tc>
          <w:tcPr>
            <w:tcW w:w="2717" w:type="dxa"/>
            <w:tcBorders>
              <w:top w:val="double" w:sz="4" w:space="0" w:color="auto"/>
            </w:tcBorders>
            <w:shd w:val="clear" w:color="auto" w:fill="auto"/>
            <w:noWrap/>
            <w:vAlign w:val="center"/>
          </w:tcPr>
          <w:p w14:paraId="61CA495B" w14:textId="77777777" w:rsidR="00CF34FF" w:rsidRPr="005F4B8A" w:rsidRDefault="00CF34FF" w:rsidP="009B2162">
            <w:pPr>
              <w:spacing w:before="0" w:after="0"/>
              <w:rPr>
                <w:rFonts w:ascii="Arial" w:hAnsi="Arial" w:cs="Arial"/>
                <w:bCs/>
                <w:color w:val="000000"/>
                <w:sz w:val="16"/>
                <w:szCs w:val="16"/>
                <w:lang w:val="en-AU" w:eastAsia="en-AU"/>
              </w:rPr>
            </w:pPr>
            <w:r w:rsidRPr="005F4B8A">
              <w:rPr>
                <w:rFonts w:ascii="Arial" w:hAnsi="Arial" w:cs="Arial"/>
                <w:bCs/>
                <w:color w:val="000000"/>
                <w:sz w:val="16"/>
                <w:szCs w:val="16"/>
                <w:lang w:val="en-AU" w:eastAsia="en-AU"/>
              </w:rPr>
              <w:t>Continued on next page</w:t>
            </w:r>
          </w:p>
          <w:p w14:paraId="286D24D1" w14:textId="77777777" w:rsidR="00CF34FF" w:rsidRPr="005F4B8A" w:rsidRDefault="00CF34FF" w:rsidP="009B2162">
            <w:pPr>
              <w:spacing w:before="0" w:after="0"/>
              <w:rPr>
                <w:rFonts w:ascii="Arial" w:hAnsi="Arial" w:cs="Arial"/>
                <w:b/>
                <w:bCs/>
                <w:color w:val="000000"/>
                <w:sz w:val="16"/>
                <w:szCs w:val="16"/>
                <w:lang w:val="en-AU" w:eastAsia="en-AU"/>
              </w:rPr>
            </w:pPr>
          </w:p>
        </w:tc>
        <w:tc>
          <w:tcPr>
            <w:tcW w:w="857" w:type="dxa"/>
            <w:tcBorders>
              <w:top w:val="double" w:sz="4" w:space="0" w:color="auto"/>
            </w:tcBorders>
            <w:shd w:val="clear" w:color="auto" w:fill="auto"/>
            <w:noWrap/>
            <w:vAlign w:val="center"/>
          </w:tcPr>
          <w:p w14:paraId="7E2A29F5" w14:textId="77777777" w:rsidR="00CF34FF" w:rsidRPr="005F4B8A" w:rsidRDefault="00CF34FF" w:rsidP="009B2162">
            <w:pPr>
              <w:spacing w:before="0" w:after="0"/>
              <w:jc w:val="center"/>
              <w:rPr>
                <w:rFonts w:ascii="Arial" w:hAnsi="Arial" w:cs="Arial"/>
                <w:color w:val="000000"/>
                <w:sz w:val="16"/>
                <w:szCs w:val="16"/>
                <w:lang w:val="en-AU" w:eastAsia="en-AU"/>
              </w:rPr>
            </w:pPr>
          </w:p>
        </w:tc>
        <w:tc>
          <w:tcPr>
            <w:tcW w:w="714" w:type="dxa"/>
            <w:tcBorders>
              <w:top w:val="double" w:sz="4" w:space="0" w:color="auto"/>
            </w:tcBorders>
            <w:shd w:val="clear" w:color="auto" w:fill="auto"/>
            <w:noWrap/>
            <w:vAlign w:val="center"/>
          </w:tcPr>
          <w:p w14:paraId="32989983" w14:textId="77777777" w:rsidR="00CF34FF" w:rsidRPr="005F4B8A" w:rsidRDefault="00CF34FF" w:rsidP="009B2162">
            <w:pPr>
              <w:spacing w:before="0" w:after="0"/>
              <w:jc w:val="center"/>
              <w:rPr>
                <w:rFonts w:ascii="Arial" w:hAnsi="Arial" w:cs="Arial"/>
                <w:color w:val="000000"/>
                <w:sz w:val="16"/>
                <w:szCs w:val="16"/>
                <w:lang w:val="en-AU" w:eastAsia="en-AU"/>
              </w:rPr>
            </w:pPr>
          </w:p>
        </w:tc>
        <w:tc>
          <w:tcPr>
            <w:tcW w:w="617" w:type="dxa"/>
            <w:tcBorders>
              <w:top w:val="double" w:sz="4" w:space="0" w:color="auto"/>
            </w:tcBorders>
            <w:shd w:val="clear" w:color="auto" w:fill="auto"/>
            <w:noWrap/>
            <w:vAlign w:val="center"/>
          </w:tcPr>
          <w:p w14:paraId="2345F3A9" w14:textId="77777777" w:rsidR="00CF34FF" w:rsidRPr="005F4B8A" w:rsidRDefault="00CF34FF" w:rsidP="009B2162">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4DA14F4B" w14:textId="77777777" w:rsidR="00CF34FF" w:rsidRPr="005F4B8A" w:rsidRDefault="00CF34FF" w:rsidP="009B2162">
            <w:pPr>
              <w:spacing w:before="0" w:after="0"/>
              <w:jc w:val="center"/>
              <w:rPr>
                <w:rFonts w:ascii="Arial" w:hAnsi="Arial" w:cs="Arial"/>
                <w:color w:val="000000"/>
                <w:sz w:val="16"/>
                <w:szCs w:val="16"/>
                <w:lang w:val="en-AU" w:eastAsia="en-AU"/>
              </w:rPr>
            </w:pPr>
          </w:p>
        </w:tc>
        <w:tc>
          <w:tcPr>
            <w:tcW w:w="714" w:type="dxa"/>
            <w:tcBorders>
              <w:top w:val="double" w:sz="4" w:space="0" w:color="auto"/>
            </w:tcBorders>
            <w:shd w:val="clear" w:color="auto" w:fill="auto"/>
            <w:noWrap/>
            <w:vAlign w:val="center"/>
          </w:tcPr>
          <w:p w14:paraId="406BD33A" w14:textId="77777777" w:rsidR="00CF34FF" w:rsidRPr="005F4B8A" w:rsidRDefault="00CF34FF" w:rsidP="009B2162">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03932FE4" w14:textId="77777777" w:rsidR="00CF34FF" w:rsidRPr="005F4B8A" w:rsidRDefault="00CF34FF" w:rsidP="009B2162">
            <w:pPr>
              <w:spacing w:before="0" w:after="0"/>
              <w:jc w:val="center"/>
              <w:rPr>
                <w:rFonts w:ascii="Arial" w:hAnsi="Arial" w:cs="Arial"/>
                <w:color w:val="000000"/>
                <w:sz w:val="16"/>
                <w:szCs w:val="16"/>
                <w:lang w:val="en-AU" w:eastAsia="en-AU"/>
              </w:rPr>
            </w:pPr>
          </w:p>
        </w:tc>
      </w:tr>
      <w:tr w:rsidR="00CF34FF" w:rsidRPr="005F4B8A" w14:paraId="16682B44" w14:textId="77777777" w:rsidTr="002618D8">
        <w:trPr>
          <w:trHeight w:val="225"/>
          <w:jc w:val="center"/>
        </w:trPr>
        <w:tc>
          <w:tcPr>
            <w:tcW w:w="2717" w:type="dxa"/>
            <w:tcBorders>
              <w:left w:val="double" w:sz="6" w:space="0" w:color="auto"/>
              <w:bottom w:val="single" w:sz="4" w:space="0" w:color="BFBFBF"/>
              <w:right w:val="nil"/>
            </w:tcBorders>
            <w:shd w:val="clear" w:color="auto" w:fill="auto"/>
            <w:noWrap/>
            <w:vAlign w:val="center"/>
          </w:tcPr>
          <w:p w14:paraId="78A996C4" w14:textId="77777777" w:rsidR="00CF34FF" w:rsidRPr="005F4B8A" w:rsidRDefault="00CF34FF" w:rsidP="009B2162">
            <w:pPr>
              <w:spacing w:before="0" w:after="0"/>
              <w:rPr>
                <w:rFonts w:ascii="Arial" w:hAnsi="Arial" w:cs="Arial"/>
                <w:b/>
                <w:bCs/>
                <w:color w:val="000000"/>
                <w:sz w:val="16"/>
                <w:szCs w:val="16"/>
                <w:lang w:val="en-AU" w:eastAsia="en-AU"/>
              </w:rPr>
            </w:pPr>
          </w:p>
          <w:p w14:paraId="1D09C7AE" w14:textId="77777777" w:rsidR="00CF34FF" w:rsidRPr="005F4B8A" w:rsidRDefault="00CF34FF" w:rsidP="009B2162">
            <w:pPr>
              <w:spacing w:before="0" w:after="0"/>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By Household Size -</w:t>
            </w:r>
          </w:p>
        </w:tc>
        <w:tc>
          <w:tcPr>
            <w:tcW w:w="857" w:type="dxa"/>
            <w:tcBorders>
              <w:left w:val="single" w:sz="4" w:space="0" w:color="auto"/>
              <w:bottom w:val="single" w:sz="4" w:space="0" w:color="BFBFBF"/>
              <w:right w:val="single" w:sz="4" w:space="0" w:color="BFBFBF"/>
            </w:tcBorders>
            <w:shd w:val="clear" w:color="auto" w:fill="auto"/>
            <w:noWrap/>
            <w:vAlign w:val="center"/>
          </w:tcPr>
          <w:p w14:paraId="1B3E1609" w14:textId="77777777" w:rsidR="00CF34FF" w:rsidRPr="005F4B8A" w:rsidRDefault="00CF34FF" w:rsidP="009B2162">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714" w:type="dxa"/>
            <w:tcBorders>
              <w:left w:val="nil"/>
              <w:bottom w:val="single" w:sz="4" w:space="0" w:color="BFBFBF"/>
              <w:right w:val="single" w:sz="4" w:space="0" w:color="BFBFBF"/>
            </w:tcBorders>
            <w:shd w:val="clear" w:color="auto" w:fill="auto"/>
            <w:noWrap/>
            <w:vAlign w:val="center"/>
          </w:tcPr>
          <w:p w14:paraId="37E0171C" w14:textId="77777777" w:rsidR="00CF34FF" w:rsidRPr="005F4B8A" w:rsidRDefault="00CF34FF" w:rsidP="009B2162">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617" w:type="dxa"/>
            <w:tcBorders>
              <w:left w:val="nil"/>
              <w:bottom w:val="single" w:sz="4" w:space="0" w:color="BFBFBF"/>
              <w:right w:val="single" w:sz="4" w:space="0" w:color="auto"/>
            </w:tcBorders>
            <w:shd w:val="clear" w:color="auto" w:fill="auto"/>
            <w:noWrap/>
            <w:vAlign w:val="center"/>
          </w:tcPr>
          <w:p w14:paraId="2AE35DB9" w14:textId="77777777" w:rsidR="00CF34FF" w:rsidRPr="005F4B8A" w:rsidRDefault="00CF34FF" w:rsidP="009B2162">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857" w:type="dxa"/>
            <w:tcBorders>
              <w:left w:val="nil"/>
              <w:bottom w:val="single" w:sz="4" w:space="0" w:color="BFBFBF"/>
              <w:right w:val="single" w:sz="4" w:space="0" w:color="BFBFBF"/>
            </w:tcBorders>
            <w:shd w:val="clear" w:color="auto" w:fill="auto"/>
            <w:noWrap/>
            <w:vAlign w:val="center"/>
          </w:tcPr>
          <w:p w14:paraId="6F8F3FCC" w14:textId="77777777" w:rsidR="00CF34FF" w:rsidRPr="005F4B8A" w:rsidRDefault="00CF34FF" w:rsidP="009B2162">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714" w:type="dxa"/>
            <w:tcBorders>
              <w:left w:val="nil"/>
              <w:bottom w:val="single" w:sz="4" w:space="0" w:color="BFBFBF"/>
              <w:right w:val="single" w:sz="4" w:space="0" w:color="BFBFBF"/>
            </w:tcBorders>
            <w:shd w:val="clear" w:color="auto" w:fill="auto"/>
            <w:noWrap/>
            <w:vAlign w:val="center"/>
          </w:tcPr>
          <w:p w14:paraId="658F5AC9" w14:textId="77777777" w:rsidR="00CF34FF" w:rsidRPr="005F4B8A" w:rsidRDefault="00CF34FF" w:rsidP="009B2162">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675" w:type="dxa"/>
            <w:tcBorders>
              <w:left w:val="nil"/>
              <w:bottom w:val="single" w:sz="4" w:space="0" w:color="BFBFBF"/>
              <w:right w:val="double" w:sz="6" w:space="0" w:color="auto"/>
            </w:tcBorders>
            <w:shd w:val="clear" w:color="auto" w:fill="auto"/>
            <w:noWrap/>
            <w:vAlign w:val="center"/>
          </w:tcPr>
          <w:p w14:paraId="479ABD97" w14:textId="77777777" w:rsidR="00CF34FF" w:rsidRPr="005F4B8A" w:rsidRDefault="00CF34FF" w:rsidP="009B2162">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r>
      <w:tr w:rsidR="00CF34FF" w:rsidRPr="005F4B8A" w14:paraId="7DD0E851"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35508846"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1 person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D88C496"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320</w:t>
            </w:r>
          </w:p>
        </w:tc>
        <w:tc>
          <w:tcPr>
            <w:tcW w:w="714" w:type="dxa"/>
            <w:tcBorders>
              <w:top w:val="nil"/>
              <w:left w:val="nil"/>
              <w:bottom w:val="single" w:sz="4" w:space="0" w:color="BFBFBF"/>
              <w:right w:val="single" w:sz="4" w:space="0" w:color="BFBFBF"/>
            </w:tcBorders>
            <w:shd w:val="clear" w:color="auto" w:fill="auto"/>
            <w:noWrap/>
            <w:vAlign w:val="center"/>
          </w:tcPr>
          <w:p w14:paraId="32EAA28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492</w:t>
            </w:r>
          </w:p>
        </w:tc>
        <w:tc>
          <w:tcPr>
            <w:tcW w:w="617" w:type="dxa"/>
            <w:tcBorders>
              <w:top w:val="nil"/>
              <w:left w:val="nil"/>
              <w:bottom w:val="single" w:sz="4" w:space="0" w:color="BFBFBF"/>
              <w:right w:val="single" w:sz="4" w:space="0" w:color="auto"/>
            </w:tcBorders>
            <w:shd w:val="clear" w:color="auto" w:fill="auto"/>
            <w:noWrap/>
            <w:vAlign w:val="center"/>
          </w:tcPr>
          <w:p w14:paraId="6E6B095C"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719</w:t>
            </w:r>
          </w:p>
        </w:tc>
        <w:tc>
          <w:tcPr>
            <w:tcW w:w="857" w:type="dxa"/>
            <w:tcBorders>
              <w:top w:val="nil"/>
              <w:left w:val="nil"/>
              <w:bottom w:val="single" w:sz="4" w:space="0" w:color="BFBFBF"/>
              <w:right w:val="single" w:sz="4" w:space="0" w:color="BFBFBF"/>
            </w:tcBorders>
            <w:shd w:val="clear" w:color="auto" w:fill="auto"/>
            <w:noWrap/>
            <w:vAlign w:val="center"/>
          </w:tcPr>
          <w:p w14:paraId="1B52FE38"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596</w:t>
            </w:r>
          </w:p>
        </w:tc>
        <w:tc>
          <w:tcPr>
            <w:tcW w:w="714" w:type="dxa"/>
            <w:tcBorders>
              <w:top w:val="nil"/>
              <w:left w:val="nil"/>
              <w:bottom w:val="single" w:sz="4" w:space="0" w:color="BFBFBF"/>
              <w:right w:val="single" w:sz="4" w:space="0" w:color="BFBFBF"/>
            </w:tcBorders>
            <w:shd w:val="clear" w:color="auto" w:fill="auto"/>
            <w:noWrap/>
            <w:vAlign w:val="center"/>
          </w:tcPr>
          <w:p w14:paraId="59EF5E1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1,065</w:t>
            </w:r>
          </w:p>
        </w:tc>
        <w:tc>
          <w:tcPr>
            <w:tcW w:w="675" w:type="dxa"/>
            <w:tcBorders>
              <w:top w:val="nil"/>
              <w:left w:val="nil"/>
              <w:bottom w:val="single" w:sz="4" w:space="0" w:color="BFBFBF"/>
              <w:right w:val="double" w:sz="6" w:space="0" w:color="auto"/>
            </w:tcBorders>
            <w:shd w:val="clear" w:color="auto" w:fill="auto"/>
            <w:noWrap/>
            <w:vAlign w:val="center"/>
          </w:tcPr>
          <w:p w14:paraId="4EFA927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1,620</w:t>
            </w:r>
          </w:p>
        </w:tc>
      </w:tr>
      <w:tr w:rsidR="00CF34FF" w:rsidRPr="005F4B8A" w14:paraId="655C7FFE"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526D6183"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2 persons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942C29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243</w:t>
            </w:r>
          </w:p>
        </w:tc>
        <w:tc>
          <w:tcPr>
            <w:tcW w:w="714" w:type="dxa"/>
            <w:tcBorders>
              <w:top w:val="nil"/>
              <w:left w:val="nil"/>
              <w:bottom w:val="single" w:sz="4" w:space="0" w:color="BFBFBF"/>
              <w:right w:val="single" w:sz="4" w:space="0" w:color="BFBFBF"/>
            </w:tcBorders>
            <w:shd w:val="clear" w:color="auto" w:fill="auto"/>
            <w:noWrap/>
            <w:vAlign w:val="center"/>
          </w:tcPr>
          <w:p w14:paraId="2131140C"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616</w:t>
            </w:r>
          </w:p>
        </w:tc>
        <w:tc>
          <w:tcPr>
            <w:tcW w:w="617" w:type="dxa"/>
            <w:tcBorders>
              <w:top w:val="nil"/>
              <w:left w:val="nil"/>
              <w:bottom w:val="single" w:sz="4" w:space="0" w:color="BFBFBF"/>
              <w:right w:val="single" w:sz="4" w:space="0" w:color="auto"/>
            </w:tcBorders>
            <w:shd w:val="clear" w:color="auto" w:fill="auto"/>
            <w:noWrap/>
            <w:vAlign w:val="center"/>
          </w:tcPr>
          <w:p w14:paraId="72DAD25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830</w:t>
            </w:r>
          </w:p>
        </w:tc>
        <w:tc>
          <w:tcPr>
            <w:tcW w:w="857" w:type="dxa"/>
            <w:tcBorders>
              <w:top w:val="nil"/>
              <w:left w:val="nil"/>
              <w:bottom w:val="single" w:sz="4" w:space="0" w:color="BFBFBF"/>
              <w:right w:val="single" w:sz="4" w:space="0" w:color="BFBFBF"/>
            </w:tcBorders>
            <w:shd w:val="clear" w:color="auto" w:fill="auto"/>
            <w:noWrap/>
            <w:vAlign w:val="center"/>
          </w:tcPr>
          <w:p w14:paraId="4FC5615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738</w:t>
            </w:r>
          </w:p>
        </w:tc>
        <w:tc>
          <w:tcPr>
            <w:tcW w:w="714" w:type="dxa"/>
            <w:tcBorders>
              <w:top w:val="nil"/>
              <w:left w:val="nil"/>
              <w:bottom w:val="single" w:sz="4" w:space="0" w:color="BFBFBF"/>
              <w:right w:val="single" w:sz="4" w:space="0" w:color="BFBFBF"/>
            </w:tcBorders>
            <w:shd w:val="clear" w:color="auto" w:fill="auto"/>
            <w:noWrap/>
            <w:vAlign w:val="center"/>
          </w:tcPr>
          <w:p w14:paraId="62338CA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1,809</w:t>
            </w:r>
          </w:p>
        </w:tc>
        <w:tc>
          <w:tcPr>
            <w:tcW w:w="675" w:type="dxa"/>
            <w:tcBorders>
              <w:top w:val="nil"/>
              <w:left w:val="nil"/>
              <w:bottom w:val="single" w:sz="4" w:space="0" w:color="BFBFBF"/>
              <w:right w:val="double" w:sz="6" w:space="0" w:color="auto"/>
            </w:tcBorders>
            <w:shd w:val="clear" w:color="auto" w:fill="auto"/>
            <w:noWrap/>
            <w:vAlign w:val="center"/>
          </w:tcPr>
          <w:p w14:paraId="6EA9061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2,476</w:t>
            </w:r>
          </w:p>
        </w:tc>
      </w:tr>
      <w:tr w:rsidR="00CF34FF" w:rsidRPr="005F4B8A" w14:paraId="3406DC68"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28A71E0C"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3 persons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E3885FB"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287</w:t>
            </w:r>
          </w:p>
        </w:tc>
        <w:tc>
          <w:tcPr>
            <w:tcW w:w="714" w:type="dxa"/>
            <w:tcBorders>
              <w:top w:val="nil"/>
              <w:left w:val="nil"/>
              <w:bottom w:val="single" w:sz="4" w:space="0" w:color="BFBFBF"/>
              <w:right w:val="single" w:sz="4" w:space="0" w:color="BFBFBF"/>
            </w:tcBorders>
            <w:shd w:val="clear" w:color="auto" w:fill="auto"/>
            <w:noWrap/>
            <w:vAlign w:val="center"/>
          </w:tcPr>
          <w:p w14:paraId="4978BCE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460</w:t>
            </w:r>
          </w:p>
        </w:tc>
        <w:tc>
          <w:tcPr>
            <w:tcW w:w="617" w:type="dxa"/>
            <w:tcBorders>
              <w:top w:val="nil"/>
              <w:left w:val="nil"/>
              <w:bottom w:val="single" w:sz="4" w:space="0" w:color="BFBFBF"/>
              <w:right w:val="single" w:sz="4" w:space="0" w:color="auto"/>
            </w:tcBorders>
            <w:shd w:val="clear" w:color="auto" w:fill="auto"/>
            <w:noWrap/>
            <w:vAlign w:val="center"/>
          </w:tcPr>
          <w:p w14:paraId="37F4F2F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661</w:t>
            </w:r>
          </w:p>
        </w:tc>
        <w:tc>
          <w:tcPr>
            <w:tcW w:w="857" w:type="dxa"/>
            <w:tcBorders>
              <w:top w:val="nil"/>
              <w:left w:val="nil"/>
              <w:bottom w:val="single" w:sz="4" w:space="0" w:color="BFBFBF"/>
              <w:right w:val="single" w:sz="4" w:space="0" w:color="BFBFBF"/>
            </w:tcBorders>
            <w:shd w:val="clear" w:color="auto" w:fill="auto"/>
            <w:noWrap/>
            <w:vAlign w:val="center"/>
          </w:tcPr>
          <w:p w14:paraId="4B1ACFC4"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695</w:t>
            </w:r>
          </w:p>
        </w:tc>
        <w:tc>
          <w:tcPr>
            <w:tcW w:w="714" w:type="dxa"/>
            <w:tcBorders>
              <w:top w:val="nil"/>
              <w:left w:val="nil"/>
              <w:bottom w:val="single" w:sz="4" w:space="0" w:color="BFBFBF"/>
              <w:right w:val="single" w:sz="4" w:space="0" w:color="BFBFBF"/>
            </w:tcBorders>
            <w:shd w:val="clear" w:color="auto" w:fill="auto"/>
            <w:noWrap/>
            <w:vAlign w:val="center"/>
          </w:tcPr>
          <w:p w14:paraId="5EA175B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1,781</w:t>
            </w:r>
          </w:p>
        </w:tc>
        <w:tc>
          <w:tcPr>
            <w:tcW w:w="675" w:type="dxa"/>
            <w:tcBorders>
              <w:top w:val="nil"/>
              <w:left w:val="nil"/>
              <w:bottom w:val="single" w:sz="4" w:space="0" w:color="BFBFBF"/>
              <w:right w:val="double" w:sz="6" w:space="0" w:color="auto"/>
            </w:tcBorders>
            <w:shd w:val="clear" w:color="auto" w:fill="auto"/>
            <w:noWrap/>
            <w:vAlign w:val="center"/>
          </w:tcPr>
          <w:p w14:paraId="732D82FB"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2,155</w:t>
            </w:r>
          </w:p>
        </w:tc>
      </w:tr>
      <w:tr w:rsidR="00CF34FF" w:rsidRPr="005F4B8A" w14:paraId="4460B849"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06425A20"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4 or more persons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A88370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918</w:t>
            </w:r>
          </w:p>
        </w:tc>
        <w:tc>
          <w:tcPr>
            <w:tcW w:w="714" w:type="dxa"/>
            <w:tcBorders>
              <w:top w:val="nil"/>
              <w:left w:val="nil"/>
              <w:bottom w:val="single" w:sz="4" w:space="0" w:color="BFBFBF"/>
              <w:right w:val="single" w:sz="4" w:space="0" w:color="BFBFBF"/>
            </w:tcBorders>
            <w:shd w:val="clear" w:color="auto" w:fill="auto"/>
            <w:noWrap/>
            <w:vAlign w:val="center"/>
          </w:tcPr>
          <w:p w14:paraId="16B399E7"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1,307</w:t>
            </w:r>
          </w:p>
        </w:tc>
        <w:tc>
          <w:tcPr>
            <w:tcW w:w="617" w:type="dxa"/>
            <w:tcBorders>
              <w:top w:val="nil"/>
              <w:left w:val="nil"/>
              <w:bottom w:val="single" w:sz="4" w:space="0" w:color="BFBFBF"/>
              <w:right w:val="single" w:sz="4" w:space="0" w:color="auto"/>
            </w:tcBorders>
            <w:shd w:val="clear" w:color="auto" w:fill="auto"/>
            <w:noWrap/>
            <w:vAlign w:val="center"/>
          </w:tcPr>
          <w:p w14:paraId="0323F9A8"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1,807</w:t>
            </w:r>
          </w:p>
        </w:tc>
        <w:tc>
          <w:tcPr>
            <w:tcW w:w="857" w:type="dxa"/>
            <w:tcBorders>
              <w:top w:val="nil"/>
              <w:left w:val="nil"/>
              <w:bottom w:val="single" w:sz="4" w:space="0" w:color="BFBFBF"/>
              <w:right w:val="single" w:sz="4" w:space="0" w:color="BFBFBF"/>
            </w:tcBorders>
            <w:shd w:val="clear" w:color="auto" w:fill="auto"/>
            <w:noWrap/>
            <w:vAlign w:val="center"/>
          </w:tcPr>
          <w:p w14:paraId="162D412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947</w:t>
            </w:r>
          </w:p>
        </w:tc>
        <w:tc>
          <w:tcPr>
            <w:tcW w:w="714" w:type="dxa"/>
            <w:tcBorders>
              <w:top w:val="nil"/>
              <w:left w:val="nil"/>
              <w:bottom w:val="single" w:sz="4" w:space="0" w:color="BFBFBF"/>
              <w:right w:val="single" w:sz="4" w:space="0" w:color="BFBFBF"/>
            </w:tcBorders>
            <w:shd w:val="clear" w:color="auto" w:fill="auto"/>
            <w:noWrap/>
            <w:vAlign w:val="center"/>
          </w:tcPr>
          <w:p w14:paraId="6128511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1,610</w:t>
            </w:r>
          </w:p>
        </w:tc>
        <w:tc>
          <w:tcPr>
            <w:tcW w:w="675" w:type="dxa"/>
            <w:tcBorders>
              <w:top w:val="nil"/>
              <w:left w:val="nil"/>
              <w:bottom w:val="single" w:sz="4" w:space="0" w:color="BFBFBF"/>
              <w:right w:val="double" w:sz="6" w:space="0" w:color="auto"/>
            </w:tcBorders>
            <w:shd w:val="clear" w:color="auto" w:fill="auto"/>
            <w:noWrap/>
            <w:vAlign w:val="center"/>
          </w:tcPr>
          <w:p w14:paraId="62BB3EA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2,272</w:t>
            </w:r>
          </w:p>
        </w:tc>
      </w:tr>
      <w:tr w:rsidR="00CF34FF" w:rsidRPr="005F4B8A" w14:paraId="519884CB"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4D8A93E6" w14:textId="77777777" w:rsidR="00CF34FF" w:rsidRPr="005F4B8A" w:rsidRDefault="00CF34FF" w:rsidP="009B2162">
            <w:pPr>
              <w:spacing w:before="0" w:after="0"/>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By Housing Status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858AE0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5D1A1E35"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4E05D04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50138197"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714" w:type="dxa"/>
            <w:tcBorders>
              <w:top w:val="nil"/>
              <w:left w:val="nil"/>
              <w:bottom w:val="single" w:sz="4" w:space="0" w:color="BFBFBF"/>
              <w:right w:val="single" w:sz="4" w:space="0" w:color="BFBFBF"/>
            </w:tcBorders>
            <w:shd w:val="clear" w:color="auto" w:fill="auto"/>
            <w:noWrap/>
            <w:vAlign w:val="center"/>
          </w:tcPr>
          <w:p w14:paraId="175F633C"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c>
          <w:tcPr>
            <w:tcW w:w="675" w:type="dxa"/>
            <w:tcBorders>
              <w:top w:val="nil"/>
              <w:left w:val="nil"/>
              <w:bottom w:val="single" w:sz="4" w:space="0" w:color="BFBFBF"/>
              <w:right w:val="double" w:sz="6" w:space="0" w:color="auto"/>
            </w:tcBorders>
            <w:shd w:val="clear" w:color="auto" w:fill="auto"/>
            <w:noWrap/>
            <w:vAlign w:val="center"/>
          </w:tcPr>
          <w:p w14:paraId="416EC56C"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 </w:t>
            </w:r>
          </w:p>
        </w:tc>
      </w:tr>
      <w:tr w:rsidR="00CF34FF" w:rsidRPr="005F4B8A" w14:paraId="578FC3CA"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632B414D"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Owned/paid off</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D7513D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404</w:t>
            </w:r>
          </w:p>
        </w:tc>
        <w:tc>
          <w:tcPr>
            <w:tcW w:w="714" w:type="dxa"/>
            <w:tcBorders>
              <w:top w:val="nil"/>
              <w:left w:val="nil"/>
              <w:bottom w:val="single" w:sz="4" w:space="0" w:color="BFBFBF"/>
              <w:right w:val="single" w:sz="4" w:space="0" w:color="BFBFBF"/>
            </w:tcBorders>
            <w:shd w:val="clear" w:color="auto" w:fill="auto"/>
            <w:noWrap/>
            <w:vAlign w:val="center"/>
          </w:tcPr>
          <w:p w14:paraId="5F871C6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636</w:t>
            </w:r>
          </w:p>
        </w:tc>
        <w:tc>
          <w:tcPr>
            <w:tcW w:w="617" w:type="dxa"/>
            <w:tcBorders>
              <w:top w:val="nil"/>
              <w:left w:val="nil"/>
              <w:bottom w:val="single" w:sz="4" w:space="0" w:color="BFBFBF"/>
              <w:right w:val="single" w:sz="4" w:space="0" w:color="auto"/>
            </w:tcBorders>
            <w:shd w:val="clear" w:color="auto" w:fill="auto"/>
            <w:noWrap/>
            <w:vAlign w:val="center"/>
          </w:tcPr>
          <w:p w14:paraId="5D58D06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1,028</w:t>
            </w:r>
          </w:p>
        </w:tc>
        <w:tc>
          <w:tcPr>
            <w:tcW w:w="857" w:type="dxa"/>
            <w:tcBorders>
              <w:top w:val="nil"/>
              <w:left w:val="nil"/>
              <w:bottom w:val="single" w:sz="4" w:space="0" w:color="BFBFBF"/>
              <w:right w:val="single" w:sz="4" w:space="0" w:color="BFBFBF"/>
            </w:tcBorders>
            <w:shd w:val="clear" w:color="auto" w:fill="auto"/>
            <w:noWrap/>
            <w:vAlign w:val="center"/>
          </w:tcPr>
          <w:p w14:paraId="3340532B"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730</w:t>
            </w:r>
          </w:p>
        </w:tc>
        <w:tc>
          <w:tcPr>
            <w:tcW w:w="714" w:type="dxa"/>
            <w:tcBorders>
              <w:top w:val="nil"/>
              <w:left w:val="nil"/>
              <w:bottom w:val="single" w:sz="4" w:space="0" w:color="BFBFBF"/>
              <w:right w:val="single" w:sz="4" w:space="0" w:color="BFBFBF"/>
            </w:tcBorders>
            <w:shd w:val="clear" w:color="auto" w:fill="auto"/>
            <w:noWrap/>
            <w:vAlign w:val="center"/>
          </w:tcPr>
          <w:p w14:paraId="45C3583C"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1,409</w:t>
            </w:r>
          </w:p>
        </w:tc>
        <w:tc>
          <w:tcPr>
            <w:tcW w:w="675" w:type="dxa"/>
            <w:tcBorders>
              <w:top w:val="nil"/>
              <w:left w:val="nil"/>
              <w:bottom w:val="single" w:sz="4" w:space="0" w:color="BFBFBF"/>
              <w:right w:val="double" w:sz="6" w:space="0" w:color="auto"/>
            </w:tcBorders>
            <w:shd w:val="clear" w:color="auto" w:fill="auto"/>
            <w:noWrap/>
            <w:vAlign w:val="center"/>
          </w:tcPr>
          <w:p w14:paraId="721CD7C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2,128</w:t>
            </w:r>
          </w:p>
        </w:tc>
      </w:tr>
      <w:tr w:rsidR="00CF34FF" w:rsidRPr="005F4B8A" w14:paraId="0264FBC1"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41570103"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Buying/paying off</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1CEA7C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323</w:t>
            </w:r>
          </w:p>
        </w:tc>
        <w:tc>
          <w:tcPr>
            <w:tcW w:w="714" w:type="dxa"/>
            <w:tcBorders>
              <w:top w:val="nil"/>
              <w:left w:val="nil"/>
              <w:bottom w:val="single" w:sz="4" w:space="0" w:color="BFBFBF"/>
              <w:right w:val="single" w:sz="4" w:space="0" w:color="BFBFBF"/>
            </w:tcBorders>
            <w:shd w:val="clear" w:color="auto" w:fill="auto"/>
            <w:noWrap/>
            <w:vAlign w:val="center"/>
          </w:tcPr>
          <w:p w14:paraId="300684E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582</w:t>
            </w:r>
          </w:p>
        </w:tc>
        <w:tc>
          <w:tcPr>
            <w:tcW w:w="617" w:type="dxa"/>
            <w:tcBorders>
              <w:top w:val="nil"/>
              <w:left w:val="nil"/>
              <w:bottom w:val="single" w:sz="4" w:space="0" w:color="BFBFBF"/>
              <w:right w:val="single" w:sz="4" w:space="0" w:color="auto"/>
            </w:tcBorders>
            <w:shd w:val="clear" w:color="auto" w:fill="auto"/>
            <w:noWrap/>
            <w:vAlign w:val="center"/>
          </w:tcPr>
          <w:p w14:paraId="0524AFEA"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768</w:t>
            </w:r>
          </w:p>
        </w:tc>
        <w:tc>
          <w:tcPr>
            <w:tcW w:w="857" w:type="dxa"/>
            <w:tcBorders>
              <w:top w:val="nil"/>
              <w:left w:val="nil"/>
              <w:bottom w:val="single" w:sz="4" w:space="0" w:color="BFBFBF"/>
              <w:right w:val="single" w:sz="4" w:space="0" w:color="BFBFBF"/>
            </w:tcBorders>
            <w:shd w:val="clear" w:color="auto" w:fill="auto"/>
            <w:noWrap/>
            <w:vAlign w:val="center"/>
          </w:tcPr>
          <w:p w14:paraId="6B7D675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651</w:t>
            </w:r>
          </w:p>
        </w:tc>
        <w:tc>
          <w:tcPr>
            <w:tcW w:w="714" w:type="dxa"/>
            <w:tcBorders>
              <w:top w:val="nil"/>
              <w:left w:val="nil"/>
              <w:bottom w:val="single" w:sz="4" w:space="0" w:color="BFBFBF"/>
              <w:right w:val="single" w:sz="4" w:space="0" w:color="BFBFBF"/>
            </w:tcBorders>
            <w:shd w:val="clear" w:color="auto" w:fill="auto"/>
            <w:noWrap/>
            <w:vAlign w:val="center"/>
          </w:tcPr>
          <w:p w14:paraId="44F3664D"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1,773</w:t>
            </w:r>
          </w:p>
        </w:tc>
        <w:tc>
          <w:tcPr>
            <w:tcW w:w="675" w:type="dxa"/>
            <w:tcBorders>
              <w:top w:val="nil"/>
              <w:left w:val="nil"/>
              <w:bottom w:val="single" w:sz="4" w:space="0" w:color="BFBFBF"/>
              <w:right w:val="double" w:sz="6" w:space="0" w:color="auto"/>
            </w:tcBorders>
            <w:shd w:val="clear" w:color="auto" w:fill="auto"/>
            <w:noWrap/>
            <w:vAlign w:val="center"/>
          </w:tcPr>
          <w:p w14:paraId="48A87A34"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2,223</w:t>
            </w:r>
          </w:p>
        </w:tc>
      </w:tr>
      <w:tr w:rsidR="00CF34FF" w:rsidRPr="005F4B8A" w14:paraId="07135BAC"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771ACCF0"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Renting - Private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A350B60"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569</w:t>
            </w:r>
          </w:p>
        </w:tc>
        <w:tc>
          <w:tcPr>
            <w:tcW w:w="714" w:type="dxa"/>
            <w:tcBorders>
              <w:top w:val="nil"/>
              <w:left w:val="nil"/>
              <w:bottom w:val="single" w:sz="4" w:space="0" w:color="BFBFBF"/>
              <w:right w:val="single" w:sz="4" w:space="0" w:color="BFBFBF"/>
            </w:tcBorders>
            <w:shd w:val="clear" w:color="auto" w:fill="auto"/>
            <w:noWrap/>
            <w:vAlign w:val="center"/>
          </w:tcPr>
          <w:p w14:paraId="400239EB"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839</w:t>
            </w:r>
          </w:p>
        </w:tc>
        <w:tc>
          <w:tcPr>
            <w:tcW w:w="617" w:type="dxa"/>
            <w:tcBorders>
              <w:top w:val="nil"/>
              <w:left w:val="nil"/>
              <w:bottom w:val="single" w:sz="4" w:space="0" w:color="BFBFBF"/>
              <w:right w:val="single" w:sz="4" w:space="0" w:color="auto"/>
            </w:tcBorders>
            <w:shd w:val="clear" w:color="auto" w:fill="auto"/>
            <w:noWrap/>
            <w:vAlign w:val="center"/>
          </w:tcPr>
          <w:p w14:paraId="3074B042"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688</w:t>
            </w:r>
          </w:p>
        </w:tc>
        <w:tc>
          <w:tcPr>
            <w:tcW w:w="857" w:type="dxa"/>
            <w:tcBorders>
              <w:top w:val="nil"/>
              <w:left w:val="nil"/>
              <w:bottom w:val="single" w:sz="4" w:space="0" w:color="BFBFBF"/>
              <w:right w:val="single" w:sz="4" w:space="0" w:color="BFBFBF"/>
            </w:tcBorders>
            <w:shd w:val="clear" w:color="auto" w:fill="auto"/>
            <w:noWrap/>
            <w:vAlign w:val="center"/>
          </w:tcPr>
          <w:p w14:paraId="079A9D2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806</w:t>
            </w:r>
          </w:p>
        </w:tc>
        <w:tc>
          <w:tcPr>
            <w:tcW w:w="714" w:type="dxa"/>
            <w:tcBorders>
              <w:top w:val="nil"/>
              <w:left w:val="nil"/>
              <w:bottom w:val="single" w:sz="4" w:space="0" w:color="BFBFBF"/>
              <w:right w:val="single" w:sz="4" w:space="0" w:color="BFBFBF"/>
            </w:tcBorders>
            <w:shd w:val="clear" w:color="auto" w:fill="auto"/>
            <w:noWrap/>
            <w:vAlign w:val="center"/>
          </w:tcPr>
          <w:p w14:paraId="518CD94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1,550</w:t>
            </w:r>
          </w:p>
        </w:tc>
        <w:tc>
          <w:tcPr>
            <w:tcW w:w="675" w:type="dxa"/>
            <w:tcBorders>
              <w:top w:val="nil"/>
              <w:left w:val="nil"/>
              <w:bottom w:val="single" w:sz="4" w:space="0" w:color="BFBFBF"/>
              <w:right w:val="double" w:sz="6" w:space="0" w:color="auto"/>
            </w:tcBorders>
            <w:shd w:val="clear" w:color="auto" w:fill="auto"/>
            <w:noWrap/>
            <w:vAlign w:val="center"/>
          </w:tcPr>
          <w:p w14:paraId="23797F3F"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2,146</w:t>
            </w:r>
          </w:p>
        </w:tc>
      </w:tr>
      <w:tr w:rsidR="00CF34FF" w:rsidRPr="005F4B8A" w14:paraId="653B0C6C" w14:textId="77777777" w:rsidTr="002618D8">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0CB0896A" w14:textId="77777777" w:rsidR="00CF34FF" w:rsidRPr="005F4B8A" w:rsidRDefault="00CF34FF" w:rsidP="009B2162">
            <w:pPr>
              <w:spacing w:before="0" w:after="0"/>
              <w:ind w:firstLineChars="100" w:firstLine="160"/>
              <w:rPr>
                <w:rFonts w:ascii="Arial" w:hAnsi="Arial" w:cs="Arial"/>
                <w:color w:val="000000"/>
                <w:sz w:val="16"/>
                <w:szCs w:val="16"/>
                <w:lang w:val="en-AU" w:eastAsia="en-AU"/>
              </w:rPr>
            </w:pPr>
            <w:r w:rsidRPr="005F4B8A">
              <w:rPr>
                <w:rFonts w:ascii="Arial" w:hAnsi="Arial" w:cs="Arial"/>
                <w:color w:val="000000"/>
                <w:sz w:val="16"/>
                <w:szCs w:val="16"/>
                <w:lang w:val="en-AU" w:eastAsia="en-AU"/>
              </w:rPr>
              <w:t>Renting - Public</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B94564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98</w:t>
            </w:r>
          </w:p>
        </w:tc>
        <w:tc>
          <w:tcPr>
            <w:tcW w:w="714" w:type="dxa"/>
            <w:tcBorders>
              <w:top w:val="nil"/>
              <w:left w:val="nil"/>
              <w:bottom w:val="single" w:sz="4" w:space="0" w:color="BFBFBF"/>
              <w:right w:val="single" w:sz="4" w:space="0" w:color="BFBFBF"/>
            </w:tcBorders>
            <w:shd w:val="clear" w:color="auto" w:fill="auto"/>
            <w:noWrap/>
            <w:vAlign w:val="center"/>
          </w:tcPr>
          <w:p w14:paraId="34BE2F5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auto"/>
            </w:tcBorders>
            <w:shd w:val="clear" w:color="auto" w:fill="auto"/>
            <w:noWrap/>
            <w:vAlign w:val="center"/>
          </w:tcPr>
          <w:p w14:paraId="7F2BF9B1"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98</w:t>
            </w:r>
          </w:p>
        </w:tc>
        <w:tc>
          <w:tcPr>
            <w:tcW w:w="857" w:type="dxa"/>
            <w:tcBorders>
              <w:top w:val="nil"/>
              <w:left w:val="nil"/>
              <w:bottom w:val="single" w:sz="4" w:space="0" w:color="BFBFBF"/>
              <w:right w:val="single" w:sz="4" w:space="0" w:color="BFBFBF"/>
            </w:tcBorders>
            <w:shd w:val="clear" w:color="auto" w:fill="auto"/>
            <w:noWrap/>
            <w:vAlign w:val="center"/>
          </w:tcPr>
          <w:p w14:paraId="5517059E"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317</w:t>
            </w:r>
          </w:p>
        </w:tc>
        <w:tc>
          <w:tcPr>
            <w:tcW w:w="714" w:type="dxa"/>
            <w:tcBorders>
              <w:top w:val="nil"/>
              <w:left w:val="nil"/>
              <w:bottom w:val="single" w:sz="4" w:space="0" w:color="BFBFBF"/>
              <w:right w:val="single" w:sz="4" w:space="0" w:color="BFBFBF"/>
            </w:tcBorders>
            <w:shd w:val="clear" w:color="auto" w:fill="auto"/>
            <w:noWrap/>
            <w:vAlign w:val="center"/>
          </w:tcPr>
          <w:p w14:paraId="6F3F6439"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1,136</w:t>
            </w:r>
          </w:p>
        </w:tc>
        <w:tc>
          <w:tcPr>
            <w:tcW w:w="675" w:type="dxa"/>
            <w:tcBorders>
              <w:top w:val="nil"/>
              <w:left w:val="nil"/>
              <w:bottom w:val="single" w:sz="4" w:space="0" w:color="BFBFBF"/>
              <w:right w:val="double" w:sz="6" w:space="0" w:color="auto"/>
            </w:tcBorders>
            <w:shd w:val="clear" w:color="auto" w:fill="auto"/>
            <w:noWrap/>
            <w:vAlign w:val="center"/>
          </w:tcPr>
          <w:p w14:paraId="6DF4D923" w14:textId="77777777" w:rsidR="00CF34FF" w:rsidRPr="005F4B8A" w:rsidRDefault="00CF34FF" w:rsidP="00CF34FF">
            <w:pPr>
              <w:spacing w:before="0" w:after="0"/>
              <w:jc w:val="center"/>
              <w:rPr>
                <w:rFonts w:ascii="Arial" w:hAnsi="Arial" w:cs="Arial"/>
                <w:color w:val="000000"/>
                <w:sz w:val="16"/>
                <w:szCs w:val="16"/>
                <w:lang w:val="en-AU" w:eastAsia="en-AU"/>
              </w:rPr>
            </w:pPr>
            <w:r w:rsidRPr="005F4B8A">
              <w:rPr>
                <w:rFonts w:ascii="Arial" w:hAnsi="Arial" w:cs="Arial"/>
                <w:color w:val="000000"/>
                <w:sz w:val="16"/>
                <w:szCs w:val="16"/>
                <w:lang w:val="en-AU" w:eastAsia="en-AU"/>
              </w:rPr>
              <w:t>1,216</w:t>
            </w:r>
          </w:p>
        </w:tc>
      </w:tr>
      <w:tr w:rsidR="00CF34FF" w:rsidRPr="005F4B8A" w14:paraId="07C2C61F" w14:textId="77777777" w:rsidTr="002618D8">
        <w:trPr>
          <w:trHeight w:val="240"/>
          <w:jc w:val="center"/>
        </w:trPr>
        <w:tc>
          <w:tcPr>
            <w:tcW w:w="2717" w:type="dxa"/>
            <w:tcBorders>
              <w:top w:val="nil"/>
              <w:left w:val="double" w:sz="6" w:space="0" w:color="auto"/>
              <w:bottom w:val="double" w:sz="6" w:space="0" w:color="auto"/>
              <w:right w:val="nil"/>
            </w:tcBorders>
            <w:shd w:val="clear" w:color="auto" w:fill="auto"/>
            <w:noWrap/>
            <w:vAlign w:val="center"/>
          </w:tcPr>
          <w:p w14:paraId="25587D0D" w14:textId="77777777" w:rsidR="00CF34FF" w:rsidRPr="005F4B8A" w:rsidRDefault="00CF34FF" w:rsidP="009B2162">
            <w:pPr>
              <w:spacing w:before="0" w:after="0"/>
              <w:rPr>
                <w:rFonts w:ascii="Arial" w:hAnsi="Arial" w:cs="Arial"/>
                <w:b/>
                <w:bCs/>
                <w:color w:val="000000"/>
                <w:sz w:val="16"/>
                <w:szCs w:val="16"/>
                <w:lang w:val="en-AU" w:eastAsia="en-AU"/>
              </w:rPr>
            </w:pPr>
            <w:r w:rsidRPr="005F4B8A">
              <w:rPr>
                <w:rFonts w:ascii="Arial" w:hAnsi="Arial" w:cs="Arial"/>
                <w:b/>
                <w:bCs/>
                <w:color w:val="000000"/>
                <w:sz w:val="16"/>
                <w:szCs w:val="16"/>
                <w:lang w:val="en-AU" w:eastAsia="en-AU"/>
              </w:rPr>
              <w:t>Total Households</w:t>
            </w:r>
          </w:p>
        </w:tc>
        <w:tc>
          <w:tcPr>
            <w:tcW w:w="857" w:type="dxa"/>
            <w:tcBorders>
              <w:top w:val="nil"/>
              <w:left w:val="single" w:sz="4" w:space="0" w:color="auto"/>
              <w:bottom w:val="double" w:sz="6" w:space="0" w:color="auto"/>
              <w:right w:val="single" w:sz="4" w:space="0" w:color="BFBFBF"/>
            </w:tcBorders>
            <w:shd w:val="clear" w:color="auto" w:fill="auto"/>
            <w:noWrap/>
            <w:vAlign w:val="center"/>
          </w:tcPr>
          <w:p w14:paraId="4EC23230" w14:textId="77777777" w:rsidR="00CF34FF" w:rsidRPr="005F4B8A" w:rsidRDefault="00CF34FF" w:rsidP="00CF34FF">
            <w:pPr>
              <w:spacing w:before="0" w:after="0"/>
              <w:jc w:val="center"/>
              <w:rPr>
                <w:rFonts w:ascii="Arial" w:hAnsi="Arial" w:cs="Arial"/>
                <w:b/>
                <w:color w:val="000000"/>
                <w:sz w:val="16"/>
                <w:szCs w:val="16"/>
                <w:lang w:val="en-AU" w:eastAsia="en-AU"/>
              </w:rPr>
            </w:pPr>
            <w:r w:rsidRPr="005F4B8A">
              <w:rPr>
                <w:rFonts w:ascii="Arial" w:hAnsi="Arial" w:cs="Arial"/>
                <w:b/>
                <w:color w:val="000000"/>
                <w:sz w:val="16"/>
                <w:szCs w:val="16"/>
                <w:lang w:val="en-AU" w:eastAsia="en-AU"/>
              </w:rPr>
              <w:t>365</w:t>
            </w:r>
          </w:p>
        </w:tc>
        <w:tc>
          <w:tcPr>
            <w:tcW w:w="714" w:type="dxa"/>
            <w:tcBorders>
              <w:top w:val="nil"/>
              <w:left w:val="nil"/>
              <w:bottom w:val="double" w:sz="6" w:space="0" w:color="auto"/>
              <w:right w:val="single" w:sz="4" w:space="0" w:color="BFBFBF"/>
            </w:tcBorders>
            <w:shd w:val="clear" w:color="auto" w:fill="auto"/>
            <w:noWrap/>
            <w:vAlign w:val="center"/>
          </w:tcPr>
          <w:p w14:paraId="0B0C4CCF" w14:textId="77777777" w:rsidR="00CF34FF" w:rsidRPr="005F4B8A" w:rsidRDefault="00CF34FF" w:rsidP="00CF34FF">
            <w:pPr>
              <w:spacing w:before="0" w:after="0"/>
              <w:jc w:val="center"/>
              <w:rPr>
                <w:rFonts w:ascii="Arial" w:hAnsi="Arial" w:cs="Arial"/>
                <w:b/>
                <w:color w:val="000000"/>
                <w:sz w:val="16"/>
                <w:szCs w:val="16"/>
                <w:lang w:val="en-AU" w:eastAsia="en-AU"/>
              </w:rPr>
            </w:pPr>
            <w:r w:rsidRPr="005F4B8A">
              <w:rPr>
                <w:rFonts w:ascii="Arial" w:hAnsi="Arial" w:cs="Arial"/>
                <w:b/>
                <w:color w:val="000000"/>
                <w:sz w:val="16"/>
                <w:szCs w:val="16"/>
                <w:lang w:val="en-AU" w:eastAsia="en-AU"/>
              </w:rPr>
              <w:t>621</w:t>
            </w:r>
          </w:p>
        </w:tc>
        <w:tc>
          <w:tcPr>
            <w:tcW w:w="617" w:type="dxa"/>
            <w:tcBorders>
              <w:top w:val="nil"/>
              <w:left w:val="nil"/>
              <w:bottom w:val="double" w:sz="6" w:space="0" w:color="auto"/>
              <w:right w:val="single" w:sz="4" w:space="0" w:color="auto"/>
            </w:tcBorders>
            <w:shd w:val="clear" w:color="auto" w:fill="auto"/>
            <w:noWrap/>
            <w:vAlign w:val="center"/>
          </w:tcPr>
          <w:p w14:paraId="71EB4DDB" w14:textId="77777777" w:rsidR="00CF34FF" w:rsidRPr="005F4B8A" w:rsidRDefault="00CF34FF" w:rsidP="00CF34FF">
            <w:pPr>
              <w:spacing w:before="0" w:after="0"/>
              <w:jc w:val="center"/>
              <w:rPr>
                <w:rFonts w:ascii="Arial" w:hAnsi="Arial" w:cs="Arial"/>
                <w:b/>
                <w:color w:val="000000"/>
                <w:sz w:val="16"/>
                <w:szCs w:val="16"/>
                <w:lang w:val="en-AU" w:eastAsia="en-AU"/>
              </w:rPr>
            </w:pPr>
            <w:r w:rsidRPr="005F4B8A">
              <w:rPr>
                <w:rFonts w:ascii="Arial" w:hAnsi="Arial" w:cs="Arial"/>
                <w:b/>
                <w:color w:val="000000"/>
                <w:sz w:val="16"/>
                <w:szCs w:val="16"/>
                <w:lang w:val="en-AU" w:eastAsia="en-AU"/>
              </w:rPr>
              <w:t>882</w:t>
            </w:r>
          </w:p>
        </w:tc>
        <w:tc>
          <w:tcPr>
            <w:tcW w:w="857" w:type="dxa"/>
            <w:tcBorders>
              <w:top w:val="nil"/>
              <w:left w:val="nil"/>
              <w:bottom w:val="double" w:sz="6" w:space="0" w:color="auto"/>
              <w:right w:val="single" w:sz="4" w:space="0" w:color="BFBFBF"/>
            </w:tcBorders>
            <w:shd w:val="clear" w:color="auto" w:fill="auto"/>
            <w:noWrap/>
            <w:vAlign w:val="center"/>
          </w:tcPr>
          <w:p w14:paraId="6B16AE49" w14:textId="77777777" w:rsidR="00CF34FF" w:rsidRPr="005F4B8A" w:rsidRDefault="00CF34FF" w:rsidP="00CF34FF">
            <w:pPr>
              <w:spacing w:before="0" w:after="0"/>
              <w:jc w:val="center"/>
              <w:rPr>
                <w:rFonts w:ascii="Arial" w:hAnsi="Arial" w:cs="Arial"/>
                <w:b/>
                <w:color w:val="000000"/>
                <w:sz w:val="16"/>
                <w:szCs w:val="16"/>
                <w:lang w:val="en-AU" w:eastAsia="en-AU"/>
              </w:rPr>
            </w:pPr>
            <w:r w:rsidRPr="005F4B8A">
              <w:rPr>
                <w:rFonts w:ascii="Arial" w:hAnsi="Arial" w:cs="Arial"/>
                <w:b/>
                <w:color w:val="000000"/>
                <w:sz w:val="16"/>
                <w:szCs w:val="16"/>
                <w:lang w:val="en-AU" w:eastAsia="en-AU"/>
              </w:rPr>
              <w:t>693</w:t>
            </w:r>
          </w:p>
        </w:tc>
        <w:tc>
          <w:tcPr>
            <w:tcW w:w="714" w:type="dxa"/>
            <w:tcBorders>
              <w:top w:val="nil"/>
              <w:left w:val="nil"/>
              <w:bottom w:val="double" w:sz="6" w:space="0" w:color="auto"/>
              <w:right w:val="single" w:sz="4" w:space="0" w:color="BFBFBF"/>
            </w:tcBorders>
            <w:shd w:val="clear" w:color="auto" w:fill="auto"/>
            <w:noWrap/>
            <w:vAlign w:val="center"/>
          </w:tcPr>
          <w:p w14:paraId="60291DBB" w14:textId="77777777" w:rsidR="00CF34FF" w:rsidRPr="005F4B8A" w:rsidRDefault="00CF34FF" w:rsidP="00CF34FF">
            <w:pPr>
              <w:spacing w:before="0" w:after="0"/>
              <w:jc w:val="center"/>
              <w:rPr>
                <w:rFonts w:ascii="Arial" w:hAnsi="Arial" w:cs="Arial"/>
                <w:b/>
                <w:color w:val="000000"/>
                <w:sz w:val="16"/>
                <w:szCs w:val="16"/>
                <w:lang w:val="en-AU" w:eastAsia="en-AU"/>
              </w:rPr>
            </w:pPr>
            <w:r w:rsidRPr="005F4B8A">
              <w:rPr>
                <w:rFonts w:ascii="Arial" w:hAnsi="Arial" w:cs="Arial"/>
                <w:b/>
                <w:color w:val="000000"/>
                <w:sz w:val="16"/>
                <w:szCs w:val="16"/>
                <w:lang w:val="en-AU" w:eastAsia="en-AU"/>
              </w:rPr>
              <w:t>1,488</w:t>
            </w:r>
          </w:p>
        </w:tc>
        <w:tc>
          <w:tcPr>
            <w:tcW w:w="675" w:type="dxa"/>
            <w:tcBorders>
              <w:top w:val="nil"/>
              <w:left w:val="nil"/>
              <w:bottom w:val="double" w:sz="6" w:space="0" w:color="auto"/>
              <w:right w:val="double" w:sz="6" w:space="0" w:color="auto"/>
            </w:tcBorders>
            <w:shd w:val="clear" w:color="auto" w:fill="auto"/>
            <w:noWrap/>
            <w:vAlign w:val="center"/>
          </w:tcPr>
          <w:p w14:paraId="2466687A" w14:textId="77777777" w:rsidR="00CF34FF" w:rsidRPr="005F4B8A" w:rsidRDefault="00CF34FF" w:rsidP="00CF34FF">
            <w:pPr>
              <w:spacing w:before="0" w:after="0"/>
              <w:jc w:val="center"/>
              <w:rPr>
                <w:rFonts w:ascii="Arial" w:hAnsi="Arial" w:cs="Arial"/>
                <w:b/>
                <w:color w:val="000000"/>
                <w:sz w:val="16"/>
                <w:szCs w:val="16"/>
                <w:lang w:val="en-AU" w:eastAsia="en-AU"/>
              </w:rPr>
            </w:pPr>
            <w:r w:rsidRPr="005F4B8A">
              <w:rPr>
                <w:rFonts w:ascii="Arial" w:hAnsi="Arial" w:cs="Arial"/>
                <w:b/>
                <w:color w:val="000000"/>
                <w:sz w:val="16"/>
                <w:szCs w:val="16"/>
                <w:lang w:val="en-AU" w:eastAsia="en-AU"/>
              </w:rPr>
              <w:t>2,078</w:t>
            </w:r>
          </w:p>
        </w:tc>
      </w:tr>
    </w:tbl>
    <w:p w14:paraId="2408B6A9" w14:textId="77777777" w:rsidR="009B2162" w:rsidRPr="00CF34FF" w:rsidRDefault="009B2162" w:rsidP="009748AD">
      <w:pPr>
        <w:pStyle w:val="Para"/>
        <w:tabs>
          <w:tab w:val="left" w:pos="284"/>
        </w:tabs>
        <w:spacing w:before="120" w:line="200" w:lineRule="exact"/>
        <w:ind w:left="3600"/>
        <w:rPr>
          <w:sz w:val="20"/>
          <w:lang w:val="en-AU"/>
        </w:rPr>
      </w:pPr>
      <w:r w:rsidRPr="00CF34FF">
        <w:rPr>
          <w:sz w:val="20"/>
          <w:lang w:val="en-AU"/>
        </w:rPr>
        <w:t xml:space="preserve">Average summer month shoulder consumption </w:t>
      </w:r>
      <w:r w:rsidR="00CF34FF" w:rsidRPr="00CF34FF">
        <w:rPr>
          <w:sz w:val="20"/>
          <w:lang w:val="en-AU"/>
        </w:rPr>
        <w:t>73</w:t>
      </w:r>
      <w:r w:rsidRPr="00CF34FF">
        <w:rPr>
          <w:sz w:val="20"/>
          <w:lang w:val="en-AU"/>
        </w:rPr>
        <w:t xml:space="preserve"> kWh.  Average winter month </w:t>
      </w:r>
      <w:r w:rsidR="00302718">
        <w:rPr>
          <w:sz w:val="20"/>
          <w:lang w:val="en-AU"/>
        </w:rPr>
        <w:t>shoulder</w:t>
      </w:r>
      <w:r w:rsidRPr="00CF34FF">
        <w:rPr>
          <w:sz w:val="20"/>
          <w:lang w:val="en-AU"/>
        </w:rPr>
        <w:t xml:space="preserve"> consumption </w:t>
      </w:r>
      <w:r w:rsidR="00CF34FF" w:rsidRPr="00CF34FF">
        <w:rPr>
          <w:sz w:val="20"/>
          <w:lang w:val="en-AU"/>
        </w:rPr>
        <w:t>89</w:t>
      </w:r>
      <w:r w:rsidRPr="00CF34FF">
        <w:rPr>
          <w:sz w:val="20"/>
          <w:lang w:val="en-AU"/>
        </w:rPr>
        <w:t xml:space="preserve"> kWh</w:t>
      </w:r>
    </w:p>
    <w:p w14:paraId="7D5424DE" w14:textId="77777777" w:rsidR="009B2162" w:rsidRPr="00CF34FF" w:rsidRDefault="009B2162" w:rsidP="002618D8">
      <w:pPr>
        <w:pStyle w:val="Para"/>
        <w:tabs>
          <w:tab w:val="left" w:pos="284"/>
        </w:tabs>
        <w:spacing w:before="60" w:line="200" w:lineRule="exact"/>
        <w:ind w:left="3600"/>
        <w:rPr>
          <w:sz w:val="20"/>
          <w:lang w:val="en-AU"/>
        </w:rPr>
      </w:pPr>
      <w:r w:rsidRPr="00CF34FF">
        <w:rPr>
          <w:sz w:val="20"/>
          <w:lang w:val="en-AU"/>
        </w:rPr>
        <w:t>Average summer month controlled load consumption 1</w:t>
      </w:r>
      <w:r w:rsidR="00CF34FF" w:rsidRPr="00CF34FF">
        <w:rPr>
          <w:sz w:val="20"/>
          <w:lang w:val="en-AU"/>
        </w:rPr>
        <w:t>39</w:t>
      </w:r>
      <w:r w:rsidRPr="00CF34FF">
        <w:rPr>
          <w:sz w:val="20"/>
          <w:lang w:val="en-AU"/>
        </w:rPr>
        <w:t xml:space="preserve"> kWh.  Average winter month </w:t>
      </w:r>
      <w:r w:rsidR="00302718">
        <w:rPr>
          <w:sz w:val="20"/>
          <w:lang w:val="en-AU"/>
        </w:rPr>
        <w:t>controlled load</w:t>
      </w:r>
      <w:r w:rsidRPr="00CF34FF">
        <w:rPr>
          <w:sz w:val="20"/>
          <w:lang w:val="en-AU"/>
        </w:rPr>
        <w:t xml:space="preserve"> consumption 21</w:t>
      </w:r>
      <w:r w:rsidR="00CF34FF" w:rsidRPr="00CF34FF">
        <w:rPr>
          <w:sz w:val="20"/>
          <w:lang w:val="en-AU"/>
        </w:rPr>
        <w:t>3</w:t>
      </w:r>
      <w:r w:rsidRPr="00CF34FF">
        <w:rPr>
          <w:sz w:val="20"/>
          <w:lang w:val="en-AU"/>
        </w:rPr>
        <w:t xml:space="preserve"> kWh</w:t>
      </w:r>
    </w:p>
    <w:p w14:paraId="201750B0" w14:textId="77777777" w:rsidR="00EB7940" w:rsidRPr="003835AE" w:rsidRDefault="00EB7940" w:rsidP="002618D8">
      <w:pPr>
        <w:pStyle w:val="Para"/>
        <w:tabs>
          <w:tab w:val="left" w:pos="284"/>
        </w:tabs>
        <w:spacing w:before="60" w:line="200" w:lineRule="exact"/>
        <w:ind w:left="3600"/>
        <w:rPr>
          <w:sz w:val="20"/>
          <w:highlight w:val="yellow"/>
          <w:lang w:val="en-AU"/>
        </w:rPr>
      </w:pPr>
    </w:p>
    <w:p w14:paraId="397F231D" w14:textId="77777777" w:rsidR="00EB7940" w:rsidRPr="003835AE" w:rsidRDefault="00EB7940" w:rsidP="00EB7940">
      <w:pPr>
        <w:pStyle w:val="Para"/>
        <w:rPr>
          <w:highlight w:val="yellow"/>
          <w:lang w:val="en-AU"/>
        </w:rPr>
      </w:pPr>
    </w:p>
    <w:p w14:paraId="39891967" w14:textId="6BD52CD4" w:rsidR="00973AFD" w:rsidRPr="00A32FA3" w:rsidRDefault="00782F8A" w:rsidP="00EB7940">
      <w:pPr>
        <w:pStyle w:val="Para"/>
        <w:rPr>
          <w:lang w:val="en-AU"/>
        </w:rPr>
      </w:pPr>
      <w:r w:rsidRPr="00A32FA3">
        <w:rPr>
          <w:lang w:val="en-AU"/>
        </w:rPr>
        <w:t xml:space="preserve">In simple terms, the survey indicates that average household electricity consumption has declined by 19.6% since the previous survey in 2007.  There are likely to be many factors behind this result.  In particular, the steady increase in the proportion of households that generate some of their own power by means of solar panels is likely to have a considerable impact on </w:t>
      </w:r>
      <w:r w:rsidRPr="00A32FA3">
        <w:rPr>
          <w:i/>
          <w:lang w:val="en-AU"/>
        </w:rPr>
        <w:t>mean</w:t>
      </w:r>
      <w:r w:rsidRPr="00A32FA3">
        <w:rPr>
          <w:lang w:val="en-AU"/>
        </w:rPr>
        <w:t xml:space="preserve"> consumption, though of course this particular impact only applies in a minority of households</w:t>
      </w:r>
      <w:r w:rsidR="00912E3D" w:rsidRPr="00A32FA3">
        <w:rPr>
          <w:lang w:val="en-AU"/>
        </w:rPr>
        <w:t xml:space="preserve"> (approximately one in five)</w:t>
      </w:r>
      <w:r w:rsidRPr="00A32FA3">
        <w:rPr>
          <w:lang w:val="en-AU"/>
        </w:rPr>
        <w:t>.  Factors that would affect a large proportion of households would include an increase in energy saving appliances and light bulbs.  Further, media and community awareness of climate change and the impetus to reduce the carbon footprint may have encouraged energy saving behaviour.  Finally, the impact of significantly higher unit electricity prices may have also acted as a curb on consumption</w:t>
      </w:r>
      <w:r w:rsidRPr="008C257B">
        <w:rPr>
          <w:lang w:val="en-AU"/>
        </w:rPr>
        <w:t xml:space="preserve">.  </w:t>
      </w:r>
    </w:p>
    <w:p w14:paraId="1CC8F58A" w14:textId="43E89C60" w:rsidR="009B2162" w:rsidRPr="003835AE" w:rsidRDefault="00782F8A" w:rsidP="00A32FA3">
      <w:pPr>
        <w:pStyle w:val="Para"/>
        <w:rPr>
          <w:sz w:val="20"/>
          <w:highlight w:val="yellow"/>
          <w:lang w:val="en-AU"/>
        </w:rPr>
      </w:pPr>
      <w:r>
        <w:rPr>
          <w:highlight w:val="yellow"/>
          <w:lang w:val="en-AU"/>
        </w:rPr>
        <w:t xml:space="preserve"> </w:t>
      </w:r>
    </w:p>
    <w:p w14:paraId="64807BDC" w14:textId="77777777" w:rsidR="00D109F7" w:rsidRPr="005F4B8A" w:rsidRDefault="00D109F7" w:rsidP="00D109F7">
      <w:pPr>
        <w:pStyle w:val="Heading3"/>
        <w:rPr>
          <w:lang w:val="en-AU"/>
        </w:rPr>
        <w:sectPr w:rsidR="00D109F7" w:rsidRPr="005F4B8A" w:rsidSect="003B68D0">
          <w:headerReference w:type="default" r:id="rId25"/>
          <w:footerReference w:type="default" r:id="rId26"/>
          <w:footnotePr>
            <w:numRestart w:val="eachPage"/>
          </w:footnotePr>
          <w:pgSz w:w="16840" w:h="11907" w:orient="landscape" w:code="9"/>
          <w:pgMar w:top="1701" w:right="1418" w:bottom="1418" w:left="851" w:header="851" w:footer="170" w:gutter="0"/>
          <w:cols w:space="720"/>
          <w:formProt w:val="0"/>
        </w:sectPr>
      </w:pPr>
    </w:p>
    <w:p w14:paraId="301C80C3" w14:textId="77777777" w:rsidR="003920D8" w:rsidRPr="005F4B8A" w:rsidRDefault="00D109F7">
      <w:pPr>
        <w:pStyle w:val="Heading3"/>
        <w:tabs>
          <w:tab w:val="clear" w:pos="8517"/>
          <w:tab w:val="num" w:pos="1134"/>
        </w:tabs>
        <w:ind w:hanging="8091"/>
        <w:rPr>
          <w:lang w:val="en-AU"/>
        </w:rPr>
      </w:pPr>
      <w:bookmarkStart w:id="175" w:name="_Toc439198315"/>
      <w:bookmarkStart w:id="176" w:name="_Toc445571693"/>
      <w:r w:rsidRPr="005F4B8A">
        <w:rPr>
          <w:lang w:val="en-AU"/>
        </w:rPr>
        <w:lastRenderedPageBreak/>
        <w:t>Electricity Costs</w:t>
      </w:r>
      <w:bookmarkEnd w:id="175"/>
      <w:bookmarkEnd w:id="176"/>
    </w:p>
    <w:p w14:paraId="50848A83" w14:textId="5302EE1B" w:rsidR="008A1C90" w:rsidRPr="005F4B8A" w:rsidRDefault="008A1C90" w:rsidP="00D109F7">
      <w:pPr>
        <w:pStyle w:val="Para"/>
        <w:rPr>
          <w:lang w:val="en-AU"/>
        </w:rPr>
      </w:pPr>
      <w:r w:rsidRPr="005F4B8A">
        <w:rPr>
          <w:lang w:val="en-AU"/>
        </w:rPr>
        <w:t xml:space="preserve">Annual average electricity charges, discounts and expenditure for 2014, 2007, 2001 and 1996 </w:t>
      </w:r>
      <w:r w:rsidR="00973AFD">
        <w:rPr>
          <w:lang w:val="en-AU"/>
        </w:rPr>
        <w:t>are</w:t>
      </w:r>
      <w:r w:rsidRPr="005F4B8A">
        <w:rPr>
          <w:lang w:val="en-AU"/>
        </w:rPr>
        <w:t xml:space="preserve"> shown in Tables 4.2.2.1, 4.2.2.2 , 4.2.2.3 , 4.2.2.4, 4.2.2.5 and 4.2.2.6 on the following pages.  </w:t>
      </w:r>
    </w:p>
    <w:p w14:paraId="07C29CFC" w14:textId="77777777" w:rsidR="008A1C90" w:rsidRPr="003835AE" w:rsidRDefault="008A1C90" w:rsidP="00D109F7">
      <w:pPr>
        <w:pStyle w:val="Para"/>
        <w:rPr>
          <w:highlight w:val="yellow"/>
          <w:lang w:val="en-AU"/>
        </w:rPr>
      </w:pPr>
    </w:p>
    <w:p w14:paraId="500D1768" w14:textId="77777777" w:rsidR="00D109F7" w:rsidRPr="00C641F8" w:rsidRDefault="00D109F7" w:rsidP="00D109F7">
      <w:pPr>
        <w:pStyle w:val="Para"/>
        <w:rPr>
          <w:lang w:val="en-AU"/>
        </w:rPr>
      </w:pPr>
      <w:r w:rsidRPr="00C641F8">
        <w:rPr>
          <w:lang w:val="en-AU"/>
        </w:rPr>
        <w:t>The average annual electricity bill</w:t>
      </w:r>
      <w:r w:rsidR="00637400" w:rsidRPr="00C641F8">
        <w:rPr>
          <w:rStyle w:val="FootnoteReference"/>
          <w:lang w:val="en-AU"/>
        </w:rPr>
        <w:footnoteReference w:id="6"/>
      </w:r>
      <w:r w:rsidR="00637400" w:rsidRPr="00C641F8">
        <w:rPr>
          <w:lang w:val="en-AU"/>
        </w:rPr>
        <w:t xml:space="preserve"> </w:t>
      </w:r>
      <w:r w:rsidRPr="00C641F8">
        <w:rPr>
          <w:lang w:val="en-AU"/>
        </w:rPr>
        <w:t>paid by households in 20</w:t>
      </w:r>
      <w:r w:rsidR="00780A0B" w:rsidRPr="00C641F8">
        <w:rPr>
          <w:lang w:val="en-AU"/>
        </w:rPr>
        <w:t>14</w:t>
      </w:r>
      <w:r w:rsidRPr="00C641F8">
        <w:rPr>
          <w:lang w:val="en-AU"/>
        </w:rPr>
        <w:t xml:space="preserve"> was $</w:t>
      </w:r>
      <w:r w:rsidR="00F3677A" w:rsidRPr="00C641F8">
        <w:rPr>
          <w:lang w:val="en-AU"/>
        </w:rPr>
        <w:t>1,</w:t>
      </w:r>
      <w:r w:rsidR="00C641F8" w:rsidRPr="00C641F8">
        <w:rPr>
          <w:lang w:val="en-AU"/>
        </w:rPr>
        <w:t>247</w:t>
      </w:r>
      <w:r w:rsidRPr="00C641F8">
        <w:rPr>
          <w:lang w:val="en-AU"/>
        </w:rPr>
        <w:t xml:space="preserve"> including GST</w:t>
      </w:r>
      <w:r w:rsidR="00F3677A" w:rsidRPr="00C641F8">
        <w:rPr>
          <w:lang w:val="en-AU"/>
        </w:rPr>
        <w:t xml:space="preserve">, up </w:t>
      </w:r>
      <w:r w:rsidR="00C641F8" w:rsidRPr="00C641F8">
        <w:rPr>
          <w:lang w:val="en-AU"/>
        </w:rPr>
        <w:t>28</w:t>
      </w:r>
      <w:r w:rsidR="00F3677A" w:rsidRPr="00C641F8">
        <w:rPr>
          <w:lang w:val="en-AU"/>
        </w:rPr>
        <w:t xml:space="preserve">% from 2007 ($973) and following the 38% </w:t>
      </w:r>
      <w:r w:rsidR="00E13A46" w:rsidRPr="00C641F8">
        <w:rPr>
          <w:lang w:val="en-AU"/>
        </w:rPr>
        <w:t xml:space="preserve">increase </w:t>
      </w:r>
      <w:r w:rsidR="00F3677A" w:rsidRPr="00C641F8">
        <w:rPr>
          <w:lang w:val="en-AU"/>
        </w:rPr>
        <w:t>from the $705 recorded in 2001.</w:t>
      </w:r>
    </w:p>
    <w:p w14:paraId="2147E2E6" w14:textId="77777777" w:rsidR="00F3677A" w:rsidRPr="00C641F8" w:rsidRDefault="00F3677A" w:rsidP="00D109F7">
      <w:pPr>
        <w:pStyle w:val="Para"/>
        <w:rPr>
          <w:lang w:val="en-AU"/>
        </w:rPr>
      </w:pPr>
    </w:p>
    <w:p w14:paraId="5DD85D88" w14:textId="30753D72" w:rsidR="00D109F7" w:rsidRPr="00C641F8" w:rsidRDefault="00D109F7" w:rsidP="00D109F7">
      <w:pPr>
        <w:pStyle w:val="Para"/>
        <w:rPr>
          <w:lang w:val="en-AU"/>
        </w:rPr>
      </w:pPr>
      <w:r w:rsidRPr="00C641F8">
        <w:rPr>
          <w:lang w:val="en-AU"/>
        </w:rPr>
        <w:t xml:space="preserve">The average </w:t>
      </w:r>
      <w:r w:rsidR="007E6B9E">
        <w:rPr>
          <w:lang w:val="en-AU"/>
        </w:rPr>
        <w:t xml:space="preserve">total </w:t>
      </w:r>
      <w:r w:rsidRPr="00C641F8">
        <w:rPr>
          <w:lang w:val="en-AU"/>
        </w:rPr>
        <w:t xml:space="preserve">electricity charge applicable (i.e. the amount that could be charged if </w:t>
      </w:r>
      <w:r w:rsidR="00BB77E4" w:rsidRPr="00C641F8">
        <w:rPr>
          <w:lang w:val="en-AU"/>
        </w:rPr>
        <w:t xml:space="preserve">concessions and </w:t>
      </w:r>
      <w:r w:rsidRPr="00C641F8">
        <w:rPr>
          <w:lang w:val="en-AU"/>
        </w:rPr>
        <w:t xml:space="preserve">discounts were not applied) </w:t>
      </w:r>
      <w:r w:rsidR="00780A0B" w:rsidRPr="00C641F8">
        <w:rPr>
          <w:lang w:val="en-AU"/>
        </w:rPr>
        <w:t xml:space="preserve">in 2014 </w:t>
      </w:r>
      <w:r w:rsidRPr="00C641F8">
        <w:rPr>
          <w:lang w:val="en-AU"/>
        </w:rPr>
        <w:t>was $</w:t>
      </w:r>
      <w:r w:rsidR="00F3677A" w:rsidRPr="00C641F8">
        <w:rPr>
          <w:lang w:val="en-AU"/>
        </w:rPr>
        <w:t>1,</w:t>
      </w:r>
      <w:r w:rsidR="00C220D0">
        <w:rPr>
          <w:lang w:val="en-AU"/>
        </w:rPr>
        <w:t>465</w:t>
      </w:r>
      <w:r w:rsidR="00F3677A" w:rsidRPr="00C641F8">
        <w:rPr>
          <w:lang w:val="en-AU"/>
        </w:rPr>
        <w:t xml:space="preserve"> (</w:t>
      </w:r>
      <w:r w:rsidRPr="00C641F8">
        <w:rPr>
          <w:lang w:val="en-AU"/>
        </w:rPr>
        <w:t>excluding GST)</w:t>
      </w:r>
      <w:r w:rsidR="00F3677A" w:rsidRPr="00C641F8">
        <w:rPr>
          <w:lang w:val="en-AU"/>
        </w:rPr>
        <w:t xml:space="preserve">, up </w:t>
      </w:r>
      <w:r w:rsidR="00C220D0">
        <w:rPr>
          <w:lang w:val="en-AU"/>
        </w:rPr>
        <w:t>55</w:t>
      </w:r>
      <w:r w:rsidR="00780A0B" w:rsidRPr="00C641F8">
        <w:rPr>
          <w:lang w:val="en-AU"/>
        </w:rPr>
        <w:t>% from $946 in 2007</w:t>
      </w:r>
      <w:r w:rsidR="00A60B62" w:rsidRPr="00C641F8">
        <w:rPr>
          <w:lang w:val="en-AU"/>
        </w:rPr>
        <w:t xml:space="preserve">.  </w:t>
      </w:r>
      <w:r w:rsidR="00973AFD">
        <w:rPr>
          <w:lang w:val="en-AU"/>
        </w:rPr>
        <w:t>This finding needs to be considered in the context of a decline in consumption of nearly 20%.  Had consumption not decline</w:t>
      </w:r>
      <w:r w:rsidR="00E9489B">
        <w:rPr>
          <w:lang w:val="en-AU"/>
        </w:rPr>
        <w:t>d</w:t>
      </w:r>
      <w:r w:rsidR="00973AFD">
        <w:rPr>
          <w:lang w:val="en-AU"/>
        </w:rPr>
        <w:t xml:space="preserve">, the increase in the average electricity charge would obviously have been considerably higher.  Other factors that may </w:t>
      </w:r>
      <w:r w:rsidR="00213E7B">
        <w:rPr>
          <w:lang w:val="en-AU"/>
        </w:rPr>
        <w:t xml:space="preserve">perhaps </w:t>
      </w:r>
      <w:r w:rsidR="00973AFD">
        <w:rPr>
          <w:lang w:val="en-AU"/>
        </w:rPr>
        <w:t xml:space="preserve">have tended to act as a moderating factor on the scale of the increase in average electricity charges would include </w:t>
      </w:r>
      <w:r w:rsidR="00213E7B">
        <w:rPr>
          <w:lang w:val="en-AU"/>
        </w:rPr>
        <w:t>any tendency by consumers to switch some of their consumption from more expensive tariffs (e.g. peak) to less expensive tariffs (e.g. off-peak).  F</w:t>
      </w:r>
      <w:r w:rsidR="00A60B62" w:rsidRPr="00C641F8">
        <w:rPr>
          <w:lang w:val="en-AU"/>
        </w:rPr>
        <w:t xml:space="preserve">or comparison, the average electricity charge in 2001 was $709, representing an </w:t>
      </w:r>
      <w:r w:rsidRPr="00C641F8">
        <w:rPr>
          <w:lang w:val="en-AU"/>
        </w:rPr>
        <w:t xml:space="preserve">increase of 33% </w:t>
      </w:r>
      <w:r w:rsidR="00A60B62" w:rsidRPr="00C641F8">
        <w:rPr>
          <w:lang w:val="en-AU"/>
        </w:rPr>
        <w:t>since the 1996 survey.</w:t>
      </w:r>
    </w:p>
    <w:p w14:paraId="50890B4A" w14:textId="77777777" w:rsidR="00D109F7" w:rsidRPr="00C641F8" w:rsidRDefault="00D109F7" w:rsidP="00D109F7">
      <w:pPr>
        <w:pStyle w:val="Para"/>
        <w:rPr>
          <w:lang w:val="en-AU"/>
        </w:rPr>
      </w:pPr>
    </w:p>
    <w:p w14:paraId="3482EA67" w14:textId="50A24EF3" w:rsidR="00D109F7" w:rsidRPr="00C641F8" w:rsidRDefault="00AF4AAC" w:rsidP="00D109F7">
      <w:pPr>
        <w:pStyle w:val="Para"/>
        <w:rPr>
          <w:lang w:val="en-AU"/>
        </w:rPr>
      </w:pPr>
      <w:r w:rsidRPr="00C220D0">
        <w:rPr>
          <w:lang w:val="en-AU"/>
        </w:rPr>
        <w:t>In 2014, t</w:t>
      </w:r>
      <w:r w:rsidR="00D109F7" w:rsidRPr="00C220D0">
        <w:rPr>
          <w:lang w:val="en-AU"/>
        </w:rPr>
        <w:t>he monthly summer</w:t>
      </w:r>
      <w:r w:rsidR="00D109F7" w:rsidRPr="00C641F8">
        <w:rPr>
          <w:lang w:val="en-AU"/>
        </w:rPr>
        <w:t xml:space="preserve"> electricity consumption charge was $</w:t>
      </w:r>
      <w:r w:rsidR="00C220D0">
        <w:rPr>
          <w:lang w:val="en-AU"/>
        </w:rPr>
        <w:t>84</w:t>
      </w:r>
      <w:r w:rsidR="00D109F7" w:rsidRPr="00C641F8">
        <w:rPr>
          <w:lang w:val="en-AU"/>
        </w:rPr>
        <w:t xml:space="preserve"> and $</w:t>
      </w:r>
      <w:r w:rsidR="00C220D0">
        <w:rPr>
          <w:lang w:val="en-AU"/>
        </w:rPr>
        <w:t>90</w:t>
      </w:r>
      <w:r w:rsidR="00D109F7" w:rsidRPr="00C641F8">
        <w:rPr>
          <w:lang w:val="en-AU"/>
        </w:rPr>
        <w:t xml:space="preserve"> per month in winter</w:t>
      </w:r>
      <w:r w:rsidRPr="00C641F8">
        <w:rPr>
          <w:lang w:val="en-AU"/>
        </w:rPr>
        <w:t xml:space="preserve"> (2007: Summer $62; Winter $64).</w:t>
      </w:r>
      <w:r w:rsidR="00D109F7" w:rsidRPr="00C641F8">
        <w:rPr>
          <w:lang w:val="en-AU"/>
        </w:rPr>
        <w:t xml:space="preserve">  Whilst summer and winter consumption amounts have been provided for 2001, they include GST, plus other unknown charges (such as supply charges), which were not separated out in 2001.  As such, 200</w:t>
      </w:r>
      <w:r w:rsidR="00433D93" w:rsidRPr="00C641F8">
        <w:rPr>
          <w:lang w:val="en-AU"/>
        </w:rPr>
        <w:t>7</w:t>
      </w:r>
      <w:r w:rsidR="00D109F7" w:rsidRPr="00C641F8">
        <w:rPr>
          <w:lang w:val="en-AU"/>
        </w:rPr>
        <w:t xml:space="preserve"> and 2001 summer and winter consumption charges are not strictly comparable.  However, it is interesting that the monthly charges in summer and winter were also similar in 2001 ($63 and $66 respectively), indicating that consumption charges per month do not differ greatly over the year (</w:t>
      </w:r>
      <w:r w:rsidR="00D109F7" w:rsidRPr="00C641F8">
        <w:rPr>
          <w:b/>
          <w:lang w:val="en-AU"/>
        </w:rPr>
        <w:t>see table 4.2.2.1</w:t>
      </w:r>
      <w:r w:rsidR="00D109F7" w:rsidRPr="00C641F8">
        <w:rPr>
          <w:lang w:val="en-AU"/>
        </w:rPr>
        <w:t>).</w:t>
      </w:r>
    </w:p>
    <w:p w14:paraId="1D674710" w14:textId="77777777" w:rsidR="004A3015" w:rsidRPr="00C641F8" w:rsidRDefault="004A3015" w:rsidP="004A3015">
      <w:pPr>
        <w:pStyle w:val="Para"/>
        <w:spacing w:line="200" w:lineRule="exact"/>
        <w:rPr>
          <w:sz w:val="20"/>
          <w:lang w:val="en-AU"/>
        </w:rPr>
      </w:pPr>
    </w:p>
    <w:p w14:paraId="67159422" w14:textId="77777777" w:rsidR="00A32FA3" w:rsidRDefault="00A32FA3">
      <w:pPr>
        <w:spacing w:before="0" w:after="0"/>
        <w:rPr>
          <w:lang w:val="en-AU"/>
        </w:rPr>
      </w:pPr>
      <w:r>
        <w:rPr>
          <w:lang w:val="en-AU"/>
        </w:rPr>
        <w:br w:type="page"/>
      </w:r>
    </w:p>
    <w:p w14:paraId="1E1DFBE5" w14:textId="79D12216" w:rsidR="00AF4AAC" w:rsidRPr="00C641F8" w:rsidRDefault="00AF4AAC" w:rsidP="00AF4AAC">
      <w:pPr>
        <w:pStyle w:val="Para"/>
        <w:rPr>
          <w:lang w:val="en-AU"/>
        </w:rPr>
      </w:pPr>
      <w:r w:rsidRPr="00C641F8">
        <w:rPr>
          <w:lang w:val="en-AU"/>
        </w:rPr>
        <w:lastRenderedPageBreak/>
        <w:t>Virtually all households billed for electricity we</w:t>
      </w:r>
      <w:r w:rsidR="00C641F8" w:rsidRPr="00C641F8">
        <w:rPr>
          <w:lang w:val="en-AU"/>
        </w:rPr>
        <w:t>re charged a supply charge (99.8</w:t>
      </w:r>
      <w:r w:rsidRPr="00C641F8">
        <w:rPr>
          <w:lang w:val="en-AU"/>
        </w:rPr>
        <w:t>%), which averaged $3</w:t>
      </w:r>
      <w:r w:rsidR="00C641F8" w:rsidRPr="00C641F8">
        <w:rPr>
          <w:lang w:val="en-AU"/>
        </w:rPr>
        <w:t>79</w:t>
      </w:r>
      <w:r w:rsidRPr="00C641F8">
        <w:rPr>
          <w:lang w:val="en-AU"/>
        </w:rPr>
        <w:t xml:space="preserve"> for the year (up 1</w:t>
      </w:r>
      <w:r w:rsidR="00C641F8" w:rsidRPr="00C641F8">
        <w:rPr>
          <w:lang w:val="en-AU"/>
        </w:rPr>
        <w:t>45</w:t>
      </w:r>
      <w:r w:rsidRPr="00C641F8">
        <w:rPr>
          <w:lang w:val="en-AU"/>
        </w:rPr>
        <w:t>% from the $155 recorded in 2007).  This charge was obviously a set amount per household, no matter the locality, size or concession status, as average charges did not diverge significantly from the mean). As the supply charge was not separately identified in 2001 and 1996</w:t>
      </w:r>
      <w:r w:rsidR="00637400" w:rsidRPr="00C641F8">
        <w:rPr>
          <w:lang w:val="en-AU"/>
        </w:rPr>
        <w:t>, comparisons with these years</w:t>
      </w:r>
      <w:r w:rsidRPr="00C641F8">
        <w:rPr>
          <w:lang w:val="en-AU"/>
        </w:rPr>
        <w:t xml:space="preserve"> could not be undertaken.</w:t>
      </w:r>
    </w:p>
    <w:p w14:paraId="7F5533D0" w14:textId="77777777" w:rsidR="000128DB" w:rsidRPr="003835AE" w:rsidRDefault="000128DB" w:rsidP="00D109F7">
      <w:pPr>
        <w:pStyle w:val="Para"/>
        <w:rPr>
          <w:highlight w:val="yellow"/>
          <w:lang w:val="en-AU"/>
        </w:rPr>
      </w:pPr>
    </w:p>
    <w:p w14:paraId="02B1B88A" w14:textId="77777777" w:rsidR="00D109F7" w:rsidRPr="00C641F8" w:rsidRDefault="00DF5B06" w:rsidP="00D109F7">
      <w:pPr>
        <w:pStyle w:val="Para"/>
        <w:rPr>
          <w:lang w:val="en-AU"/>
        </w:rPr>
      </w:pPr>
      <w:r w:rsidRPr="00C641F8">
        <w:rPr>
          <w:lang w:val="en-AU"/>
        </w:rPr>
        <w:t xml:space="preserve">In 2014, 44% of all households with electricity bills received the Annual </w:t>
      </w:r>
      <w:r w:rsidR="008E0AC2" w:rsidRPr="00C641F8">
        <w:rPr>
          <w:lang w:val="en-AU"/>
        </w:rPr>
        <w:t xml:space="preserve">Electricity </w:t>
      </w:r>
      <w:r w:rsidRPr="00C641F8">
        <w:rPr>
          <w:lang w:val="en-AU"/>
        </w:rPr>
        <w:t xml:space="preserve">Concession, up from the 36% recorded in 2007 (when it was known as the Winter Energy Concession).  </w:t>
      </w:r>
      <w:r w:rsidR="00D109F7" w:rsidRPr="00C641F8">
        <w:rPr>
          <w:lang w:val="en-AU"/>
        </w:rPr>
        <w:t xml:space="preserve">Incidence of receiving the </w:t>
      </w:r>
      <w:r w:rsidR="008E0AC2" w:rsidRPr="00C641F8">
        <w:rPr>
          <w:lang w:val="en-AU"/>
        </w:rPr>
        <w:t>Annual Electricity C</w:t>
      </w:r>
      <w:r w:rsidR="00D109F7" w:rsidRPr="00C641F8">
        <w:rPr>
          <w:lang w:val="en-AU"/>
        </w:rPr>
        <w:t xml:space="preserve">oncession was highest amongst aged </w:t>
      </w:r>
      <w:r w:rsidR="00433D93" w:rsidRPr="00C641F8">
        <w:rPr>
          <w:lang w:val="en-AU"/>
        </w:rPr>
        <w:t>concession</w:t>
      </w:r>
      <w:r w:rsidR="00D109F7" w:rsidRPr="00C641F8">
        <w:rPr>
          <w:lang w:val="en-AU"/>
        </w:rPr>
        <w:t xml:space="preserve"> households (</w:t>
      </w:r>
      <w:r w:rsidRPr="00C641F8">
        <w:rPr>
          <w:lang w:val="en-AU"/>
        </w:rPr>
        <w:t xml:space="preserve">93%, up from </w:t>
      </w:r>
      <w:r w:rsidR="00D109F7" w:rsidRPr="00C641F8">
        <w:rPr>
          <w:lang w:val="en-AU"/>
        </w:rPr>
        <w:t>82%</w:t>
      </w:r>
      <w:r w:rsidRPr="00C641F8">
        <w:rPr>
          <w:lang w:val="en-AU"/>
        </w:rPr>
        <w:t xml:space="preserve"> in 2007</w:t>
      </w:r>
      <w:r w:rsidR="00D109F7" w:rsidRPr="00C641F8">
        <w:rPr>
          <w:lang w:val="en-AU"/>
        </w:rPr>
        <w:t>)</w:t>
      </w:r>
      <w:r w:rsidRPr="00C641F8">
        <w:rPr>
          <w:lang w:val="en-AU"/>
        </w:rPr>
        <w:t>, o</w:t>
      </w:r>
      <w:r w:rsidR="00433D93" w:rsidRPr="00C641F8">
        <w:rPr>
          <w:lang w:val="en-AU"/>
        </w:rPr>
        <w:t>ther concession</w:t>
      </w:r>
      <w:r w:rsidR="00D109F7" w:rsidRPr="00C641F8">
        <w:rPr>
          <w:lang w:val="en-AU"/>
        </w:rPr>
        <w:t xml:space="preserve"> households (</w:t>
      </w:r>
      <w:r w:rsidRPr="00C641F8">
        <w:rPr>
          <w:lang w:val="en-AU"/>
        </w:rPr>
        <w:t xml:space="preserve">86%, up from </w:t>
      </w:r>
      <w:r w:rsidR="00D109F7" w:rsidRPr="00C641F8">
        <w:rPr>
          <w:lang w:val="en-AU"/>
        </w:rPr>
        <w:t>70%</w:t>
      </w:r>
      <w:r w:rsidRPr="00C641F8">
        <w:rPr>
          <w:lang w:val="en-AU"/>
        </w:rPr>
        <w:t xml:space="preserve"> in 2007</w:t>
      </w:r>
      <w:r w:rsidR="00D109F7" w:rsidRPr="00C641F8">
        <w:rPr>
          <w:lang w:val="en-AU"/>
        </w:rPr>
        <w:t xml:space="preserve">) </w:t>
      </w:r>
      <w:r w:rsidRPr="00C641F8">
        <w:rPr>
          <w:lang w:val="en-AU"/>
        </w:rPr>
        <w:t>and tho</w:t>
      </w:r>
      <w:r w:rsidR="00D109F7" w:rsidRPr="00C641F8">
        <w:rPr>
          <w:lang w:val="en-AU"/>
        </w:rPr>
        <w:t>se living in public rental housing (</w:t>
      </w:r>
      <w:r w:rsidRPr="00C641F8">
        <w:rPr>
          <w:lang w:val="en-AU"/>
        </w:rPr>
        <w:t>8</w:t>
      </w:r>
      <w:r w:rsidR="00C641F8" w:rsidRPr="00C641F8">
        <w:rPr>
          <w:lang w:val="en-AU"/>
        </w:rPr>
        <w:t>0</w:t>
      </w:r>
      <w:r w:rsidRPr="00C641F8">
        <w:rPr>
          <w:lang w:val="en-AU"/>
        </w:rPr>
        <w:t xml:space="preserve">%, up from </w:t>
      </w:r>
      <w:r w:rsidR="00D109F7" w:rsidRPr="00C641F8">
        <w:rPr>
          <w:lang w:val="en-AU"/>
        </w:rPr>
        <w:t>73%</w:t>
      </w:r>
      <w:r w:rsidRPr="00C641F8">
        <w:rPr>
          <w:lang w:val="en-AU"/>
        </w:rPr>
        <w:t xml:space="preserve"> in 2007</w:t>
      </w:r>
      <w:r w:rsidR="00D109F7" w:rsidRPr="00C641F8">
        <w:rPr>
          <w:lang w:val="en-AU"/>
        </w:rPr>
        <w:t xml:space="preserve">).  The average </w:t>
      </w:r>
      <w:r w:rsidR="008E0AC2" w:rsidRPr="00C641F8">
        <w:rPr>
          <w:lang w:val="en-AU"/>
        </w:rPr>
        <w:t>Annual Electricity C</w:t>
      </w:r>
      <w:r w:rsidR="00D109F7" w:rsidRPr="00C641F8">
        <w:rPr>
          <w:lang w:val="en-AU"/>
        </w:rPr>
        <w:t>oncession amount received was $</w:t>
      </w:r>
      <w:r w:rsidRPr="00C641F8">
        <w:rPr>
          <w:lang w:val="en-AU"/>
        </w:rPr>
        <w:t>1</w:t>
      </w:r>
      <w:r w:rsidR="00C641F8" w:rsidRPr="00C641F8">
        <w:rPr>
          <w:lang w:val="en-AU"/>
        </w:rPr>
        <w:t>65</w:t>
      </w:r>
      <w:r w:rsidRPr="00C641F8">
        <w:rPr>
          <w:lang w:val="en-AU"/>
        </w:rPr>
        <w:t>, compared with $</w:t>
      </w:r>
      <w:r w:rsidR="00D109F7" w:rsidRPr="00C641F8">
        <w:rPr>
          <w:lang w:val="en-AU"/>
        </w:rPr>
        <w:t xml:space="preserve">79 </w:t>
      </w:r>
      <w:r w:rsidRPr="00C641F8">
        <w:rPr>
          <w:lang w:val="en-AU"/>
        </w:rPr>
        <w:t>in 2007, representing a rise of 1</w:t>
      </w:r>
      <w:r w:rsidR="00C641F8" w:rsidRPr="00C641F8">
        <w:rPr>
          <w:lang w:val="en-AU"/>
        </w:rPr>
        <w:t>09</w:t>
      </w:r>
      <w:r w:rsidRPr="00C641F8">
        <w:rPr>
          <w:lang w:val="en-AU"/>
        </w:rPr>
        <w:t xml:space="preserve">% over the period.  </w:t>
      </w:r>
    </w:p>
    <w:p w14:paraId="770130EA" w14:textId="77777777" w:rsidR="00DF5B06" w:rsidRPr="00C641F8" w:rsidRDefault="00DF5B06" w:rsidP="00D109F7">
      <w:pPr>
        <w:pStyle w:val="Para"/>
        <w:rPr>
          <w:lang w:val="en-AU"/>
        </w:rPr>
      </w:pPr>
    </w:p>
    <w:p w14:paraId="03BE765A" w14:textId="77777777" w:rsidR="00D109F7" w:rsidRPr="00C641F8" w:rsidRDefault="00DF5B06" w:rsidP="00D109F7">
      <w:pPr>
        <w:pStyle w:val="Para"/>
        <w:rPr>
          <w:lang w:val="en-AU"/>
        </w:rPr>
      </w:pPr>
      <w:r w:rsidRPr="00C641F8">
        <w:rPr>
          <w:lang w:val="en-AU"/>
        </w:rPr>
        <w:t xml:space="preserve">One </w:t>
      </w:r>
      <w:r w:rsidR="00D109F7" w:rsidRPr="00C641F8">
        <w:rPr>
          <w:lang w:val="en-AU"/>
        </w:rPr>
        <w:t xml:space="preserve">in ten households </w:t>
      </w:r>
      <w:r w:rsidR="00AD0EA6" w:rsidRPr="00C641F8">
        <w:rPr>
          <w:lang w:val="en-AU"/>
        </w:rPr>
        <w:t xml:space="preserve">(10%) </w:t>
      </w:r>
      <w:r w:rsidR="00D109F7" w:rsidRPr="00C641F8">
        <w:rPr>
          <w:lang w:val="en-AU"/>
        </w:rPr>
        <w:t xml:space="preserve">received the </w:t>
      </w:r>
      <w:r w:rsidR="008E0AC2" w:rsidRPr="00C641F8">
        <w:rPr>
          <w:lang w:val="en-AU"/>
        </w:rPr>
        <w:t>Controlled Load Electricity C</w:t>
      </w:r>
      <w:r w:rsidR="00D109F7" w:rsidRPr="00C641F8">
        <w:rPr>
          <w:lang w:val="en-AU"/>
        </w:rPr>
        <w:t>oncession in 20</w:t>
      </w:r>
      <w:r w:rsidRPr="00C641F8">
        <w:rPr>
          <w:lang w:val="en-AU"/>
        </w:rPr>
        <w:t>14</w:t>
      </w:r>
      <w:r w:rsidR="00D109F7" w:rsidRPr="00C641F8">
        <w:rPr>
          <w:lang w:val="en-AU"/>
        </w:rPr>
        <w:t xml:space="preserve"> (</w:t>
      </w:r>
      <w:r w:rsidRPr="00C641F8">
        <w:rPr>
          <w:lang w:val="en-AU"/>
        </w:rPr>
        <w:t>similar to the 9% recorded in 2007</w:t>
      </w:r>
      <w:r w:rsidR="00D109F7" w:rsidRPr="00C641F8">
        <w:rPr>
          <w:lang w:val="en-AU"/>
        </w:rPr>
        <w:t>)</w:t>
      </w:r>
      <w:r w:rsidR="00AF1149" w:rsidRPr="00C641F8">
        <w:rPr>
          <w:lang w:val="en-AU"/>
        </w:rPr>
        <w:t xml:space="preserve">.  The </w:t>
      </w:r>
      <w:r w:rsidR="00D109F7" w:rsidRPr="00C641F8">
        <w:rPr>
          <w:lang w:val="en-AU"/>
        </w:rPr>
        <w:t>average concession amount was $</w:t>
      </w:r>
      <w:r w:rsidR="00AF1149" w:rsidRPr="00C641F8">
        <w:rPr>
          <w:lang w:val="en-AU"/>
        </w:rPr>
        <w:t>34 ($</w:t>
      </w:r>
      <w:r w:rsidR="00D109F7" w:rsidRPr="00C641F8">
        <w:rPr>
          <w:lang w:val="en-AU"/>
        </w:rPr>
        <w:t>32</w:t>
      </w:r>
      <w:r w:rsidR="00AF1149" w:rsidRPr="00C641F8">
        <w:rPr>
          <w:lang w:val="en-AU"/>
        </w:rPr>
        <w:t xml:space="preserve"> in 2007)</w:t>
      </w:r>
      <w:r w:rsidR="00D109F7" w:rsidRPr="00C641F8">
        <w:rPr>
          <w:lang w:val="en-AU"/>
        </w:rPr>
        <w:t>.</w:t>
      </w:r>
    </w:p>
    <w:p w14:paraId="3CCF101F" w14:textId="77777777" w:rsidR="00D109F7" w:rsidRPr="0071504F" w:rsidRDefault="00D109F7" w:rsidP="00D109F7">
      <w:pPr>
        <w:pStyle w:val="Para"/>
        <w:rPr>
          <w:lang w:val="en-AU"/>
        </w:rPr>
      </w:pPr>
    </w:p>
    <w:p w14:paraId="6EAA3C4B" w14:textId="3E427C69" w:rsidR="00D109F7" w:rsidRPr="0071504F" w:rsidRDefault="00D109F7" w:rsidP="00D109F7">
      <w:pPr>
        <w:pStyle w:val="Para"/>
        <w:rPr>
          <w:lang w:val="en-AU"/>
        </w:rPr>
      </w:pPr>
      <w:r w:rsidRPr="0071504F">
        <w:rPr>
          <w:lang w:val="en-AU"/>
        </w:rPr>
        <w:t xml:space="preserve">The </w:t>
      </w:r>
      <w:r w:rsidR="00AF1149" w:rsidRPr="0071504F">
        <w:rPr>
          <w:lang w:val="en-AU"/>
        </w:rPr>
        <w:t xml:space="preserve">medical cooling or </w:t>
      </w:r>
      <w:r w:rsidRPr="0071504F">
        <w:rPr>
          <w:lang w:val="en-AU"/>
        </w:rPr>
        <w:t xml:space="preserve">life support </w:t>
      </w:r>
      <w:r w:rsidR="00AF1149" w:rsidRPr="0071504F">
        <w:rPr>
          <w:lang w:val="en-AU"/>
        </w:rPr>
        <w:t>c</w:t>
      </w:r>
      <w:r w:rsidR="00B205DD" w:rsidRPr="0071504F">
        <w:rPr>
          <w:lang w:val="en-AU"/>
        </w:rPr>
        <w:t xml:space="preserve">oncessions </w:t>
      </w:r>
      <w:r w:rsidRPr="0071504F">
        <w:rPr>
          <w:lang w:val="en-AU"/>
        </w:rPr>
        <w:t>were received by only 1% or fewer households and averaged $</w:t>
      </w:r>
      <w:r w:rsidR="00AF1149" w:rsidRPr="0071504F">
        <w:rPr>
          <w:lang w:val="en-AU"/>
        </w:rPr>
        <w:t>1</w:t>
      </w:r>
      <w:r w:rsidR="0071504F" w:rsidRPr="0071504F">
        <w:rPr>
          <w:lang w:val="en-AU"/>
        </w:rPr>
        <w:t>05</w:t>
      </w:r>
      <w:r w:rsidR="00AF1149" w:rsidRPr="0071504F">
        <w:rPr>
          <w:lang w:val="en-AU"/>
        </w:rPr>
        <w:t xml:space="preserve"> and $</w:t>
      </w:r>
      <w:r w:rsidR="00123B98" w:rsidRPr="0071504F">
        <w:rPr>
          <w:lang w:val="en-AU"/>
        </w:rPr>
        <w:t>4</w:t>
      </w:r>
      <w:r w:rsidR="0071504F" w:rsidRPr="0071504F">
        <w:rPr>
          <w:lang w:val="en-AU"/>
        </w:rPr>
        <w:t>09</w:t>
      </w:r>
      <w:r w:rsidR="00AF1149" w:rsidRPr="0071504F">
        <w:rPr>
          <w:lang w:val="en-AU"/>
        </w:rPr>
        <w:t xml:space="preserve"> respectively ($</w:t>
      </w:r>
      <w:r w:rsidRPr="0071504F">
        <w:rPr>
          <w:lang w:val="en-AU"/>
        </w:rPr>
        <w:t>47</w:t>
      </w:r>
      <w:r w:rsidR="00AF1149" w:rsidRPr="0071504F">
        <w:rPr>
          <w:lang w:val="en-AU"/>
        </w:rPr>
        <w:t xml:space="preserve"> and </w:t>
      </w:r>
      <w:r w:rsidRPr="0071504F">
        <w:rPr>
          <w:lang w:val="en-AU"/>
        </w:rPr>
        <w:t>$77</w:t>
      </w:r>
      <w:r w:rsidR="00AF1149" w:rsidRPr="0071504F">
        <w:rPr>
          <w:lang w:val="en-AU"/>
        </w:rPr>
        <w:t xml:space="preserve"> in 2007)</w:t>
      </w:r>
      <w:r w:rsidR="00637400" w:rsidRPr="0071504F">
        <w:rPr>
          <w:lang w:val="en-AU"/>
        </w:rPr>
        <w:t xml:space="preserve">. </w:t>
      </w:r>
      <w:r w:rsidR="00AF1149" w:rsidRPr="0071504F">
        <w:rPr>
          <w:lang w:val="en-AU"/>
        </w:rPr>
        <w:t xml:space="preserve"> The service to property concession was received by </w:t>
      </w:r>
      <w:r w:rsidR="0071504F" w:rsidRPr="0071504F">
        <w:rPr>
          <w:lang w:val="en-AU"/>
        </w:rPr>
        <w:t>8</w:t>
      </w:r>
      <w:r w:rsidR="00AF1149" w:rsidRPr="0071504F">
        <w:rPr>
          <w:lang w:val="en-AU"/>
        </w:rPr>
        <w:t>% of households (up from just 1% in 2007), and averaged $44 ($22 in 2007).</w:t>
      </w:r>
      <w:r w:rsidR="00E9489B">
        <w:rPr>
          <w:lang w:val="en-AU"/>
        </w:rPr>
        <w:t xml:space="preserve">  The average is influenced by many small values, as reported by suppliers.</w:t>
      </w:r>
    </w:p>
    <w:p w14:paraId="13D7EA95" w14:textId="77777777" w:rsidR="00D109F7" w:rsidRPr="003835AE" w:rsidRDefault="00D109F7" w:rsidP="00D109F7">
      <w:pPr>
        <w:pStyle w:val="Para"/>
        <w:rPr>
          <w:highlight w:val="yellow"/>
          <w:lang w:val="en-AU"/>
        </w:rPr>
      </w:pPr>
    </w:p>
    <w:p w14:paraId="5D4F07CE" w14:textId="2E9D3048" w:rsidR="00D109F7" w:rsidRPr="0071504F" w:rsidRDefault="00D109F7" w:rsidP="00D109F7">
      <w:pPr>
        <w:pStyle w:val="Para"/>
        <w:rPr>
          <w:lang w:val="en-AU"/>
        </w:rPr>
      </w:pPr>
      <w:r w:rsidRPr="0071504F">
        <w:rPr>
          <w:lang w:val="en-AU"/>
        </w:rPr>
        <w:t>Overall some type of D</w:t>
      </w:r>
      <w:r w:rsidR="00637400" w:rsidRPr="0071504F">
        <w:rPr>
          <w:lang w:val="en-AU"/>
        </w:rPr>
        <w:t>H</w:t>
      </w:r>
      <w:r w:rsidRPr="0071504F">
        <w:rPr>
          <w:lang w:val="en-AU"/>
        </w:rPr>
        <w:t xml:space="preserve">HS funded concession was received in </w:t>
      </w:r>
      <w:r w:rsidR="00AF1149" w:rsidRPr="0071504F">
        <w:rPr>
          <w:lang w:val="en-AU"/>
        </w:rPr>
        <w:t xml:space="preserve">2014 by 44% of households with electricity bills (38% in 2007), although the </w:t>
      </w:r>
      <w:r w:rsidRPr="0071504F">
        <w:rPr>
          <w:lang w:val="en-AU"/>
        </w:rPr>
        <w:t xml:space="preserve">incidence was far higher amongst concession </w:t>
      </w:r>
      <w:r w:rsidRPr="00E9489B">
        <w:rPr>
          <w:lang w:val="en-AU"/>
        </w:rPr>
        <w:t>households (</w:t>
      </w:r>
      <w:r w:rsidR="0071504F" w:rsidRPr="00E9489B">
        <w:rPr>
          <w:lang w:val="en-AU"/>
        </w:rPr>
        <w:t>89%</w:t>
      </w:r>
      <w:r w:rsidR="00AF1149" w:rsidRPr="00E9489B">
        <w:rPr>
          <w:lang w:val="en-AU"/>
        </w:rPr>
        <w:t>, up from 77% in 2007</w:t>
      </w:r>
      <w:r w:rsidRPr="00E9489B">
        <w:rPr>
          <w:lang w:val="en-AU"/>
        </w:rPr>
        <w:t>)</w:t>
      </w:r>
      <w:r w:rsidR="00AF1149" w:rsidRPr="00E9489B">
        <w:rPr>
          <w:lang w:val="en-AU"/>
        </w:rPr>
        <w:t xml:space="preserve"> </w:t>
      </w:r>
      <w:r w:rsidRPr="00E9489B">
        <w:rPr>
          <w:lang w:val="en-AU"/>
        </w:rPr>
        <w:t>and</w:t>
      </w:r>
      <w:r w:rsidRPr="0071504F">
        <w:rPr>
          <w:lang w:val="en-AU"/>
        </w:rPr>
        <w:t xml:space="preserve"> public rental households (</w:t>
      </w:r>
      <w:r w:rsidR="00AF1149" w:rsidRPr="0071504F">
        <w:rPr>
          <w:lang w:val="en-AU"/>
        </w:rPr>
        <w:t>8</w:t>
      </w:r>
      <w:r w:rsidR="0071504F" w:rsidRPr="0071504F">
        <w:rPr>
          <w:lang w:val="en-AU"/>
        </w:rPr>
        <w:t>0</w:t>
      </w:r>
      <w:r w:rsidR="00AF1149" w:rsidRPr="0071504F">
        <w:rPr>
          <w:lang w:val="en-AU"/>
        </w:rPr>
        <w:t xml:space="preserve">%, up from </w:t>
      </w:r>
      <w:r w:rsidR="00843658" w:rsidRPr="0071504F">
        <w:rPr>
          <w:lang w:val="en-AU"/>
        </w:rPr>
        <w:t>74</w:t>
      </w:r>
      <w:r w:rsidRPr="0071504F">
        <w:rPr>
          <w:lang w:val="en-AU"/>
        </w:rPr>
        <w:t>%</w:t>
      </w:r>
      <w:r w:rsidR="00AF1149" w:rsidRPr="0071504F">
        <w:rPr>
          <w:lang w:val="en-AU"/>
        </w:rPr>
        <w:t xml:space="preserve"> in 2007</w:t>
      </w:r>
      <w:r w:rsidRPr="0071504F">
        <w:rPr>
          <w:lang w:val="en-AU"/>
        </w:rPr>
        <w:t xml:space="preserve">). In 2001 just 17% </w:t>
      </w:r>
      <w:r w:rsidR="00637400" w:rsidRPr="0071504F">
        <w:rPr>
          <w:lang w:val="en-AU"/>
        </w:rPr>
        <w:t xml:space="preserve">had </w:t>
      </w:r>
      <w:r w:rsidRPr="0071504F">
        <w:rPr>
          <w:lang w:val="en-AU"/>
        </w:rPr>
        <w:t>received a D</w:t>
      </w:r>
      <w:r w:rsidR="00637400" w:rsidRPr="0071504F">
        <w:rPr>
          <w:lang w:val="en-AU"/>
        </w:rPr>
        <w:t>H</w:t>
      </w:r>
      <w:r w:rsidRPr="0071504F">
        <w:rPr>
          <w:lang w:val="en-AU"/>
        </w:rPr>
        <w:t>HS concession</w:t>
      </w:r>
      <w:r w:rsidR="006C0055" w:rsidRPr="0071504F">
        <w:rPr>
          <w:lang w:val="en-AU"/>
        </w:rPr>
        <w:t xml:space="preserve"> (excluding the winter energy concession)</w:t>
      </w:r>
      <w:r w:rsidRPr="0071504F">
        <w:rPr>
          <w:lang w:val="en-AU"/>
        </w:rPr>
        <w:t xml:space="preserve"> and in 1996 it was 27%.  This discrepancy is mostly due to the fact that the winter energy concession was defined as a separate concession in previous surveys, thereby resulting in lower incidence rates for the D</w:t>
      </w:r>
      <w:r w:rsidR="00637400" w:rsidRPr="0071504F">
        <w:rPr>
          <w:lang w:val="en-AU"/>
        </w:rPr>
        <w:t>H</w:t>
      </w:r>
      <w:r w:rsidRPr="0071504F">
        <w:rPr>
          <w:lang w:val="en-AU"/>
        </w:rPr>
        <w:t xml:space="preserve">HS </w:t>
      </w:r>
      <w:r w:rsidR="00BB77E4" w:rsidRPr="0071504F">
        <w:rPr>
          <w:lang w:val="en-AU"/>
        </w:rPr>
        <w:t>concession</w:t>
      </w:r>
      <w:r w:rsidRPr="0071504F">
        <w:rPr>
          <w:lang w:val="en-AU"/>
        </w:rPr>
        <w:t xml:space="preserve"> in those years. </w:t>
      </w:r>
    </w:p>
    <w:p w14:paraId="3BEB5416" w14:textId="77777777" w:rsidR="00D109F7" w:rsidRDefault="00D109F7" w:rsidP="00D109F7">
      <w:pPr>
        <w:pStyle w:val="Para"/>
        <w:rPr>
          <w:lang w:val="en-AU"/>
        </w:rPr>
      </w:pPr>
    </w:p>
    <w:p w14:paraId="6AC55194" w14:textId="2ED7980C" w:rsidR="00C90BFA" w:rsidRPr="00C90BFA" w:rsidRDefault="0084681B" w:rsidP="00C90BFA">
      <w:pPr>
        <w:pStyle w:val="Para"/>
        <w:rPr>
          <w:lang w:val="en-AU"/>
        </w:rPr>
      </w:pPr>
      <w:r w:rsidRPr="0084681B">
        <w:rPr>
          <w:lang w:val="en-AU"/>
        </w:rPr>
        <w:lastRenderedPageBreak/>
        <w:t>The survey does not indicate the concession status of each person whose name is on each bill, but defines the concession status of the household according to the concession status of the respondent, who is the main bill-payer. Therefore it is not possible to calculate a precise estimate of the proportion of eligible households that actually received an electricity concession.  Nevertheless, a very close approximation is the proportion of ‘concession households’ that received the concession</w:t>
      </w:r>
      <w:r w:rsidR="00C90BFA">
        <w:rPr>
          <w:lang w:val="en-AU"/>
        </w:rPr>
        <w:t xml:space="preserve"> (see Table 7.1.2). </w:t>
      </w:r>
    </w:p>
    <w:p w14:paraId="42D82A07" w14:textId="77777777" w:rsidR="00A32FA3" w:rsidRDefault="00A32FA3" w:rsidP="00D109F7">
      <w:pPr>
        <w:pStyle w:val="Para"/>
        <w:rPr>
          <w:lang w:val="en-AU"/>
        </w:rPr>
      </w:pPr>
    </w:p>
    <w:p w14:paraId="4E059932" w14:textId="77777777" w:rsidR="00D109F7" w:rsidRPr="0071504F" w:rsidRDefault="00D109F7" w:rsidP="00D109F7">
      <w:pPr>
        <w:pStyle w:val="Para"/>
        <w:rPr>
          <w:lang w:val="en-AU"/>
        </w:rPr>
      </w:pPr>
      <w:r w:rsidRPr="0071504F">
        <w:rPr>
          <w:lang w:val="en-AU"/>
        </w:rPr>
        <w:t>The average DH</w:t>
      </w:r>
      <w:r w:rsidR="00EB7940" w:rsidRPr="0071504F">
        <w:rPr>
          <w:lang w:val="en-AU"/>
        </w:rPr>
        <w:t>H</w:t>
      </w:r>
      <w:r w:rsidRPr="0071504F">
        <w:rPr>
          <w:lang w:val="en-AU"/>
        </w:rPr>
        <w:t>S concession amount</w:t>
      </w:r>
      <w:r w:rsidR="00637400" w:rsidRPr="0071504F">
        <w:rPr>
          <w:rStyle w:val="FootnoteReference"/>
          <w:lang w:val="en-AU"/>
        </w:rPr>
        <w:footnoteReference w:id="7"/>
      </w:r>
      <w:r w:rsidR="00637400" w:rsidRPr="0071504F">
        <w:rPr>
          <w:lang w:val="en-AU"/>
        </w:rPr>
        <w:t xml:space="preserve"> </w:t>
      </w:r>
      <w:r w:rsidRPr="0071504F">
        <w:rPr>
          <w:lang w:val="en-AU"/>
        </w:rPr>
        <w:t xml:space="preserve">received by households in </w:t>
      </w:r>
      <w:r w:rsidR="00AF1149" w:rsidRPr="0071504F">
        <w:rPr>
          <w:lang w:val="en-AU"/>
        </w:rPr>
        <w:t>2014 was $1</w:t>
      </w:r>
      <w:r w:rsidR="0071504F" w:rsidRPr="0071504F">
        <w:rPr>
          <w:lang w:val="en-AU"/>
        </w:rPr>
        <w:t>86</w:t>
      </w:r>
      <w:r w:rsidR="00AF1149" w:rsidRPr="0071504F">
        <w:rPr>
          <w:lang w:val="en-AU"/>
        </w:rPr>
        <w:t>, representing a</w:t>
      </w:r>
      <w:r w:rsidR="0071504F" w:rsidRPr="0071504F">
        <w:rPr>
          <w:lang w:val="en-AU"/>
        </w:rPr>
        <w:t>n</w:t>
      </w:r>
      <w:r w:rsidR="00AF1149" w:rsidRPr="0071504F">
        <w:rPr>
          <w:lang w:val="en-AU"/>
        </w:rPr>
        <w:t xml:space="preserve"> </w:t>
      </w:r>
      <w:r w:rsidR="0071504F" w:rsidRPr="0071504F">
        <w:rPr>
          <w:lang w:val="en-AU"/>
        </w:rPr>
        <w:t>82</w:t>
      </w:r>
      <w:r w:rsidR="00AF1149" w:rsidRPr="0071504F">
        <w:rPr>
          <w:lang w:val="en-AU"/>
        </w:rPr>
        <w:t xml:space="preserve">% increase since the $100 recorded in 2007 and following the 64% increase between 2001 and 2007 </w:t>
      </w:r>
      <w:r w:rsidR="00843658" w:rsidRPr="0071504F">
        <w:rPr>
          <w:lang w:val="en-AU"/>
        </w:rPr>
        <w:t xml:space="preserve">(1996 data is not strictly comparable with </w:t>
      </w:r>
      <w:r w:rsidR="00AF1149" w:rsidRPr="0071504F">
        <w:rPr>
          <w:lang w:val="en-AU"/>
        </w:rPr>
        <w:t>the other survey results</w:t>
      </w:r>
      <w:r w:rsidR="00843658" w:rsidRPr="0071504F">
        <w:rPr>
          <w:lang w:val="en-AU"/>
        </w:rPr>
        <w:t>)</w:t>
      </w:r>
      <w:r w:rsidRPr="0071504F">
        <w:rPr>
          <w:lang w:val="en-AU"/>
        </w:rPr>
        <w:t xml:space="preserve">.  </w:t>
      </w:r>
      <w:r w:rsidR="00843658" w:rsidRPr="0071504F">
        <w:rPr>
          <w:lang w:val="en-AU"/>
        </w:rPr>
        <w:t xml:space="preserve">As </w:t>
      </w:r>
      <w:r w:rsidR="009553D0" w:rsidRPr="0071504F">
        <w:rPr>
          <w:lang w:val="en-AU"/>
        </w:rPr>
        <w:t xml:space="preserve">in previous surveys, the </w:t>
      </w:r>
      <w:r w:rsidR="00843658" w:rsidRPr="0071504F">
        <w:rPr>
          <w:lang w:val="en-AU"/>
        </w:rPr>
        <w:t>proportion receiving D</w:t>
      </w:r>
      <w:r w:rsidR="00EB7940" w:rsidRPr="0071504F">
        <w:rPr>
          <w:lang w:val="en-AU"/>
        </w:rPr>
        <w:t>H</w:t>
      </w:r>
      <w:r w:rsidR="00843658" w:rsidRPr="0071504F">
        <w:rPr>
          <w:lang w:val="en-AU"/>
        </w:rPr>
        <w:t>HS concessions decrease</w:t>
      </w:r>
      <w:r w:rsidR="009553D0" w:rsidRPr="0071504F">
        <w:rPr>
          <w:lang w:val="en-AU"/>
        </w:rPr>
        <w:t>s</w:t>
      </w:r>
      <w:r w:rsidR="00843658" w:rsidRPr="0071504F">
        <w:rPr>
          <w:lang w:val="en-AU"/>
        </w:rPr>
        <w:t xml:space="preserve"> with household size, but the average concession amount increase</w:t>
      </w:r>
      <w:r w:rsidR="00B205DD" w:rsidRPr="0071504F">
        <w:rPr>
          <w:lang w:val="en-AU"/>
        </w:rPr>
        <w:t>s</w:t>
      </w:r>
      <w:r w:rsidR="00843658" w:rsidRPr="0071504F">
        <w:rPr>
          <w:lang w:val="en-AU"/>
        </w:rPr>
        <w:t xml:space="preserve"> with household size</w:t>
      </w:r>
      <w:r w:rsidR="00A72543" w:rsidRPr="0071504F">
        <w:rPr>
          <w:lang w:val="en-AU"/>
        </w:rPr>
        <w:t xml:space="preserve"> (i.e. concession holders tend to live in households with fewer people, but smaller households tend to consume less electricity.  As some electricity concessions are linked to consumption, larger sized households are likely to receive larger concessions)</w:t>
      </w:r>
      <w:r w:rsidR="00843658" w:rsidRPr="0071504F">
        <w:rPr>
          <w:lang w:val="en-AU"/>
        </w:rPr>
        <w:t>.</w:t>
      </w:r>
    </w:p>
    <w:p w14:paraId="47D2FEC3" w14:textId="77777777" w:rsidR="00433D93" w:rsidRPr="0071504F" w:rsidRDefault="00433D93" w:rsidP="00433D93">
      <w:pPr>
        <w:pStyle w:val="Para"/>
        <w:rPr>
          <w:lang w:val="en-AU"/>
        </w:rPr>
      </w:pPr>
    </w:p>
    <w:p w14:paraId="04845264" w14:textId="77777777" w:rsidR="005E7AC7" w:rsidRPr="0071504F" w:rsidRDefault="009553D0" w:rsidP="005E7AC7">
      <w:pPr>
        <w:pStyle w:val="Para"/>
        <w:rPr>
          <w:lang w:val="en-AU"/>
        </w:rPr>
      </w:pPr>
      <w:r w:rsidRPr="0071504F">
        <w:rPr>
          <w:lang w:val="en-AU"/>
        </w:rPr>
        <w:t>One in five households (</w:t>
      </w:r>
      <w:r w:rsidR="0071504F" w:rsidRPr="0071504F">
        <w:rPr>
          <w:lang w:val="en-AU"/>
        </w:rPr>
        <w:t>19</w:t>
      </w:r>
      <w:r w:rsidRPr="0071504F">
        <w:rPr>
          <w:lang w:val="en-AU"/>
        </w:rPr>
        <w:t>%) received generation or solar credits, with an average annual value of $</w:t>
      </w:r>
      <w:r w:rsidR="0071504F" w:rsidRPr="0071504F">
        <w:rPr>
          <w:lang w:val="en-AU"/>
        </w:rPr>
        <w:t>596</w:t>
      </w:r>
      <w:r w:rsidRPr="0071504F">
        <w:rPr>
          <w:lang w:val="en-AU"/>
        </w:rPr>
        <w:t>.  Households in Melbourne were less likely than those in country Victoria to receive these credits (1</w:t>
      </w:r>
      <w:r w:rsidR="0071504F" w:rsidRPr="0071504F">
        <w:rPr>
          <w:lang w:val="en-AU"/>
        </w:rPr>
        <w:t>7</w:t>
      </w:r>
      <w:r w:rsidRPr="0071504F">
        <w:rPr>
          <w:lang w:val="en-AU"/>
        </w:rPr>
        <w:t>% and 2</w:t>
      </w:r>
      <w:r w:rsidR="0071504F" w:rsidRPr="0071504F">
        <w:rPr>
          <w:lang w:val="en-AU"/>
        </w:rPr>
        <w:t>4</w:t>
      </w:r>
      <w:r w:rsidRPr="0071504F">
        <w:rPr>
          <w:lang w:val="en-AU"/>
        </w:rPr>
        <w:t>% respectively) and the credits earned tended to be lower (average of $5</w:t>
      </w:r>
      <w:r w:rsidR="0071504F" w:rsidRPr="0071504F">
        <w:rPr>
          <w:lang w:val="en-AU"/>
        </w:rPr>
        <w:t>63</w:t>
      </w:r>
      <w:r w:rsidRPr="0071504F">
        <w:rPr>
          <w:lang w:val="en-AU"/>
        </w:rPr>
        <w:t xml:space="preserve"> , compared with $6</w:t>
      </w:r>
      <w:r w:rsidR="0071504F" w:rsidRPr="0071504F">
        <w:rPr>
          <w:lang w:val="en-AU"/>
        </w:rPr>
        <w:t>62</w:t>
      </w:r>
      <w:r w:rsidRPr="0071504F">
        <w:rPr>
          <w:lang w:val="en-AU"/>
        </w:rPr>
        <w:t>).</w:t>
      </w:r>
      <w:r w:rsidR="005E7AC7" w:rsidRPr="0071504F">
        <w:rPr>
          <w:lang w:val="en-AU"/>
        </w:rPr>
        <w:t xml:space="preserve">  Aged concession households (2</w:t>
      </w:r>
      <w:r w:rsidR="0071504F" w:rsidRPr="0071504F">
        <w:rPr>
          <w:lang w:val="en-AU"/>
        </w:rPr>
        <w:t>2</w:t>
      </w:r>
      <w:r w:rsidR="005E7AC7" w:rsidRPr="0071504F">
        <w:rPr>
          <w:lang w:val="en-AU"/>
        </w:rPr>
        <w:t>%) were more likely to receive generation or solar credits than non-concession (</w:t>
      </w:r>
      <w:r w:rsidR="0071504F" w:rsidRPr="0071504F">
        <w:rPr>
          <w:lang w:val="en-AU"/>
        </w:rPr>
        <w:t>19</w:t>
      </w:r>
      <w:r w:rsidR="005E7AC7" w:rsidRPr="0071504F">
        <w:rPr>
          <w:lang w:val="en-AU"/>
        </w:rPr>
        <w:t>%) or other concession (16%) households.  The average</w:t>
      </w:r>
      <w:r w:rsidR="00CE6DD8" w:rsidRPr="0071504F">
        <w:rPr>
          <w:lang w:val="en-AU"/>
        </w:rPr>
        <w:t xml:space="preserve"> generation or solar credit </w:t>
      </w:r>
      <w:r w:rsidR="005E7AC7" w:rsidRPr="0071504F">
        <w:rPr>
          <w:lang w:val="en-AU"/>
        </w:rPr>
        <w:t>amount was highest among non-concession households ($7</w:t>
      </w:r>
      <w:r w:rsidR="0071504F" w:rsidRPr="0071504F">
        <w:rPr>
          <w:lang w:val="en-AU"/>
        </w:rPr>
        <w:t>15</w:t>
      </w:r>
      <w:r w:rsidR="005E7AC7" w:rsidRPr="0071504F">
        <w:rPr>
          <w:lang w:val="en-AU"/>
        </w:rPr>
        <w:t>), compared with $</w:t>
      </w:r>
      <w:r w:rsidR="0071504F" w:rsidRPr="0071504F">
        <w:rPr>
          <w:lang w:val="en-AU"/>
        </w:rPr>
        <w:t>497</w:t>
      </w:r>
      <w:r w:rsidR="005E7AC7" w:rsidRPr="0071504F">
        <w:rPr>
          <w:lang w:val="en-AU"/>
        </w:rPr>
        <w:t xml:space="preserve"> for aged concession households and $3</w:t>
      </w:r>
      <w:r w:rsidR="0071504F" w:rsidRPr="0071504F">
        <w:rPr>
          <w:lang w:val="en-AU"/>
        </w:rPr>
        <w:t>79</w:t>
      </w:r>
      <w:r w:rsidR="005E7AC7" w:rsidRPr="0071504F">
        <w:rPr>
          <w:lang w:val="en-AU"/>
        </w:rPr>
        <w:t xml:space="preserve"> among </w:t>
      </w:r>
      <w:r w:rsidR="008A3784">
        <w:rPr>
          <w:lang w:val="en-AU"/>
        </w:rPr>
        <w:t xml:space="preserve">other </w:t>
      </w:r>
      <w:r w:rsidR="005E7AC7" w:rsidRPr="0071504F">
        <w:rPr>
          <w:lang w:val="en-AU"/>
        </w:rPr>
        <w:t xml:space="preserve">concession households. </w:t>
      </w:r>
    </w:p>
    <w:p w14:paraId="635967BF" w14:textId="77777777" w:rsidR="00D109F7" w:rsidRPr="0071504F" w:rsidRDefault="00D109F7" w:rsidP="00D109F7">
      <w:pPr>
        <w:pStyle w:val="Para"/>
        <w:rPr>
          <w:lang w:val="en-AU"/>
        </w:rPr>
      </w:pPr>
    </w:p>
    <w:p w14:paraId="7C6A95F6" w14:textId="5C29DB36" w:rsidR="009553D0" w:rsidRPr="0071504F" w:rsidRDefault="009553D0" w:rsidP="00AF1149">
      <w:pPr>
        <w:pStyle w:val="Para"/>
        <w:rPr>
          <w:lang w:val="en-AU"/>
        </w:rPr>
      </w:pPr>
      <w:r w:rsidRPr="0071504F">
        <w:rPr>
          <w:lang w:val="en-AU"/>
        </w:rPr>
        <w:t xml:space="preserve">As in 2007, </w:t>
      </w:r>
      <w:r w:rsidR="00AF1149" w:rsidRPr="0071504F">
        <w:rPr>
          <w:lang w:val="en-AU"/>
        </w:rPr>
        <w:t xml:space="preserve">less than 1% of households </w:t>
      </w:r>
      <w:r w:rsidR="0071504F" w:rsidRPr="0071504F">
        <w:rPr>
          <w:lang w:val="en-AU"/>
        </w:rPr>
        <w:t xml:space="preserve">(5 households in total) </w:t>
      </w:r>
      <w:r w:rsidR="00AF1149" w:rsidRPr="0071504F">
        <w:rPr>
          <w:lang w:val="en-AU"/>
        </w:rPr>
        <w:t xml:space="preserve">received </w:t>
      </w:r>
      <w:r w:rsidR="00BA33DE" w:rsidRPr="0071504F">
        <w:rPr>
          <w:lang w:val="en-AU"/>
        </w:rPr>
        <w:t>a U</w:t>
      </w:r>
      <w:r w:rsidR="00BA33DE">
        <w:rPr>
          <w:lang w:val="en-AU"/>
        </w:rPr>
        <w:t xml:space="preserve">tility </w:t>
      </w:r>
      <w:r w:rsidR="00BA33DE" w:rsidRPr="0071504F">
        <w:rPr>
          <w:lang w:val="en-AU"/>
        </w:rPr>
        <w:t>R</w:t>
      </w:r>
      <w:r w:rsidR="00BA33DE">
        <w:rPr>
          <w:lang w:val="en-AU"/>
        </w:rPr>
        <w:t xml:space="preserve">elief </w:t>
      </w:r>
      <w:r w:rsidR="00BA33DE" w:rsidRPr="0071504F">
        <w:rPr>
          <w:lang w:val="en-AU"/>
        </w:rPr>
        <w:t>G</w:t>
      </w:r>
      <w:r w:rsidR="00BA33DE">
        <w:rPr>
          <w:lang w:val="en-AU"/>
        </w:rPr>
        <w:t xml:space="preserve">rant </w:t>
      </w:r>
      <w:r w:rsidR="00BA33DE" w:rsidRPr="0071504F">
        <w:rPr>
          <w:lang w:val="en-AU"/>
        </w:rPr>
        <w:t>S</w:t>
      </w:r>
      <w:r w:rsidR="00BA33DE">
        <w:rPr>
          <w:lang w:val="en-AU"/>
        </w:rPr>
        <w:t>cheme</w:t>
      </w:r>
      <w:r w:rsidR="00BA33DE" w:rsidRPr="0071504F">
        <w:rPr>
          <w:lang w:val="en-AU"/>
        </w:rPr>
        <w:t xml:space="preserve"> grant</w:t>
      </w:r>
      <w:r w:rsidR="00BA33DE">
        <w:rPr>
          <w:lang w:val="en-AU"/>
        </w:rPr>
        <w:t xml:space="preserve"> for electricity</w:t>
      </w:r>
      <w:r w:rsidR="00BA33DE" w:rsidRPr="0071504F">
        <w:rPr>
          <w:lang w:val="en-AU"/>
        </w:rPr>
        <w:t xml:space="preserve"> </w:t>
      </w:r>
      <w:r w:rsidR="00AF1149" w:rsidRPr="0071504F">
        <w:rPr>
          <w:lang w:val="en-AU"/>
        </w:rPr>
        <w:t>in 20</w:t>
      </w:r>
      <w:r w:rsidRPr="0071504F">
        <w:rPr>
          <w:lang w:val="en-AU"/>
        </w:rPr>
        <w:t>14.  The average URGS payment was $</w:t>
      </w:r>
      <w:r w:rsidR="0071504F" w:rsidRPr="0071504F">
        <w:rPr>
          <w:lang w:val="en-AU"/>
        </w:rPr>
        <w:t>452</w:t>
      </w:r>
      <w:r w:rsidRPr="0071504F">
        <w:rPr>
          <w:lang w:val="en-AU"/>
        </w:rPr>
        <w:t>, compared with $429 in 2007.</w:t>
      </w:r>
    </w:p>
    <w:p w14:paraId="20080BC2" w14:textId="77777777" w:rsidR="009553D0" w:rsidRPr="0071504F" w:rsidRDefault="009553D0" w:rsidP="00AF1149">
      <w:pPr>
        <w:pStyle w:val="Para"/>
        <w:rPr>
          <w:lang w:val="en-AU"/>
        </w:rPr>
      </w:pPr>
    </w:p>
    <w:p w14:paraId="6FB7E206" w14:textId="77777777" w:rsidR="00CE6DD8" w:rsidRPr="0071504F" w:rsidRDefault="009553D0" w:rsidP="00184CD0">
      <w:pPr>
        <w:pStyle w:val="Para"/>
        <w:rPr>
          <w:lang w:val="en-AU"/>
        </w:rPr>
      </w:pPr>
      <w:r w:rsidRPr="0071504F">
        <w:rPr>
          <w:lang w:val="en-AU"/>
        </w:rPr>
        <w:lastRenderedPageBreak/>
        <w:t xml:space="preserve">In 2014, </w:t>
      </w:r>
      <w:r w:rsidR="0071504F" w:rsidRPr="0071504F">
        <w:rPr>
          <w:lang w:val="en-AU"/>
        </w:rPr>
        <w:t>80</w:t>
      </w:r>
      <w:r w:rsidRPr="0071504F">
        <w:rPr>
          <w:lang w:val="en-AU"/>
        </w:rPr>
        <w:t xml:space="preserve">% of households with electricity bills </w:t>
      </w:r>
      <w:r w:rsidR="00AF1149" w:rsidRPr="0071504F">
        <w:rPr>
          <w:lang w:val="en-AU"/>
        </w:rPr>
        <w:t>received some other form of supplier funded discount (</w:t>
      </w:r>
      <w:r w:rsidRPr="0071504F">
        <w:rPr>
          <w:lang w:val="en-AU"/>
        </w:rPr>
        <w:t xml:space="preserve">up </w:t>
      </w:r>
      <w:r w:rsidR="0071504F" w:rsidRPr="0071504F">
        <w:rPr>
          <w:lang w:val="en-AU"/>
        </w:rPr>
        <w:t xml:space="preserve">from </w:t>
      </w:r>
      <w:r w:rsidR="00AF1149" w:rsidRPr="0071504F">
        <w:rPr>
          <w:lang w:val="en-AU"/>
        </w:rPr>
        <w:t>48%</w:t>
      </w:r>
      <w:r w:rsidRPr="0071504F">
        <w:rPr>
          <w:lang w:val="en-AU"/>
        </w:rPr>
        <w:t xml:space="preserve"> in 2007</w:t>
      </w:r>
      <w:r w:rsidR="00AF1149" w:rsidRPr="0071504F">
        <w:rPr>
          <w:lang w:val="en-AU"/>
        </w:rPr>
        <w:t>)</w:t>
      </w:r>
      <w:r w:rsidRPr="0071504F">
        <w:rPr>
          <w:lang w:val="en-AU"/>
        </w:rPr>
        <w:t xml:space="preserve">, with an </w:t>
      </w:r>
      <w:r w:rsidR="00AC77D3" w:rsidRPr="0071504F">
        <w:rPr>
          <w:lang w:val="en-AU"/>
        </w:rPr>
        <w:t>average</w:t>
      </w:r>
      <w:r w:rsidRPr="0071504F">
        <w:rPr>
          <w:lang w:val="en-AU"/>
        </w:rPr>
        <w:t xml:space="preserve"> annual value of $1</w:t>
      </w:r>
      <w:r w:rsidR="0071504F" w:rsidRPr="0071504F">
        <w:rPr>
          <w:lang w:val="en-AU"/>
        </w:rPr>
        <w:t>42</w:t>
      </w:r>
      <w:r w:rsidRPr="0071504F">
        <w:rPr>
          <w:lang w:val="en-AU"/>
        </w:rPr>
        <w:t xml:space="preserve"> ($48 in 2007).</w:t>
      </w:r>
      <w:r w:rsidR="00CE6DD8" w:rsidRPr="0071504F">
        <w:rPr>
          <w:lang w:val="en-AU"/>
        </w:rPr>
        <w:t xml:space="preserve">  Only a minority of electricity suppliers provided explanatory notes on the nature of other discounts.  To the extent this information was provided, the discounts were usually said to be guaranteed discounts and/or pay on time discounts.</w:t>
      </w:r>
    </w:p>
    <w:p w14:paraId="124AD22F" w14:textId="77777777" w:rsidR="00A72543" w:rsidRPr="00125162" w:rsidRDefault="00A72543" w:rsidP="004E7B39">
      <w:pPr>
        <w:pStyle w:val="Para"/>
        <w:spacing w:before="180" w:line="200" w:lineRule="exact"/>
        <w:rPr>
          <w:sz w:val="20"/>
          <w:lang w:val="en-AU"/>
        </w:rPr>
      </w:pPr>
    </w:p>
    <w:p w14:paraId="5B6E02DB" w14:textId="77777777" w:rsidR="00D109F7" w:rsidRPr="00125162" w:rsidRDefault="00D109F7" w:rsidP="00D109F7">
      <w:pPr>
        <w:pStyle w:val="Para"/>
        <w:rPr>
          <w:lang w:val="en-AU"/>
        </w:rPr>
      </w:pPr>
      <w:r w:rsidRPr="00125162">
        <w:rPr>
          <w:lang w:val="en-AU"/>
        </w:rPr>
        <w:t xml:space="preserve">Overall, </w:t>
      </w:r>
      <w:r w:rsidR="0071504F" w:rsidRPr="00125162">
        <w:rPr>
          <w:lang w:val="en-AU"/>
        </w:rPr>
        <w:t xml:space="preserve">almost all </w:t>
      </w:r>
      <w:r w:rsidRPr="00125162">
        <w:rPr>
          <w:lang w:val="en-AU"/>
        </w:rPr>
        <w:t xml:space="preserve">households </w:t>
      </w:r>
      <w:r w:rsidR="009B00B7" w:rsidRPr="00125162">
        <w:rPr>
          <w:lang w:val="en-AU"/>
        </w:rPr>
        <w:t>(9</w:t>
      </w:r>
      <w:r w:rsidR="0071504F" w:rsidRPr="00125162">
        <w:rPr>
          <w:lang w:val="en-AU"/>
        </w:rPr>
        <w:t>9</w:t>
      </w:r>
      <w:r w:rsidR="009B00B7" w:rsidRPr="00125162">
        <w:rPr>
          <w:lang w:val="en-AU"/>
        </w:rPr>
        <w:t xml:space="preserve">%) </w:t>
      </w:r>
      <w:r w:rsidRPr="00125162">
        <w:rPr>
          <w:lang w:val="en-AU"/>
        </w:rPr>
        <w:t>received some sort of discount</w:t>
      </w:r>
      <w:r w:rsidR="00B205DD" w:rsidRPr="00125162">
        <w:rPr>
          <w:lang w:val="en-AU"/>
        </w:rPr>
        <w:t xml:space="preserve"> or concession</w:t>
      </w:r>
      <w:r w:rsidRPr="00125162">
        <w:rPr>
          <w:lang w:val="en-AU"/>
        </w:rPr>
        <w:t xml:space="preserve"> off their electricity bill</w:t>
      </w:r>
      <w:r w:rsidR="0071504F" w:rsidRPr="00125162">
        <w:rPr>
          <w:lang w:val="en-AU"/>
        </w:rPr>
        <w:t xml:space="preserve">.  This was up from the </w:t>
      </w:r>
      <w:r w:rsidRPr="00125162">
        <w:rPr>
          <w:lang w:val="en-AU"/>
        </w:rPr>
        <w:t>79%</w:t>
      </w:r>
      <w:r w:rsidR="009B00B7" w:rsidRPr="00125162">
        <w:rPr>
          <w:lang w:val="en-AU"/>
        </w:rPr>
        <w:t xml:space="preserve"> </w:t>
      </w:r>
      <w:r w:rsidR="0071504F" w:rsidRPr="00125162">
        <w:rPr>
          <w:lang w:val="en-AU"/>
        </w:rPr>
        <w:t>reported in 2007, but a return to the 100% figure of 2001</w:t>
      </w:r>
      <w:r w:rsidR="00125162" w:rsidRPr="00125162">
        <w:rPr>
          <w:lang w:val="en-AU"/>
        </w:rPr>
        <w:t>.</w:t>
      </w:r>
      <w:r w:rsidRPr="00125162">
        <w:rPr>
          <w:lang w:val="en-AU"/>
        </w:rPr>
        <w:t xml:space="preserve">  The average amount received </w:t>
      </w:r>
      <w:r w:rsidR="00125162" w:rsidRPr="00125162">
        <w:rPr>
          <w:lang w:val="en-AU"/>
        </w:rPr>
        <w:t xml:space="preserve">in 2014 </w:t>
      </w:r>
      <w:r w:rsidRPr="00125162">
        <w:rPr>
          <w:lang w:val="en-AU"/>
        </w:rPr>
        <w:t xml:space="preserve">was </w:t>
      </w:r>
      <w:r w:rsidR="009B00B7" w:rsidRPr="00125162">
        <w:rPr>
          <w:lang w:val="en-AU"/>
        </w:rPr>
        <w:t>$3</w:t>
      </w:r>
      <w:r w:rsidR="00125162" w:rsidRPr="00125162">
        <w:rPr>
          <w:lang w:val="en-AU"/>
        </w:rPr>
        <w:t>27</w:t>
      </w:r>
      <w:r w:rsidR="009B00B7" w:rsidRPr="00125162">
        <w:rPr>
          <w:lang w:val="en-AU"/>
        </w:rPr>
        <w:t xml:space="preserve">, which was </w:t>
      </w:r>
      <w:r w:rsidR="00125162" w:rsidRPr="00125162">
        <w:rPr>
          <w:lang w:val="en-AU"/>
        </w:rPr>
        <w:t>almost</w:t>
      </w:r>
      <w:r w:rsidR="0031234C" w:rsidRPr="00125162">
        <w:rPr>
          <w:lang w:val="en-AU"/>
        </w:rPr>
        <w:t xml:space="preserve"> </w:t>
      </w:r>
      <w:r w:rsidR="00125162" w:rsidRPr="00125162">
        <w:rPr>
          <w:lang w:val="en-AU"/>
        </w:rPr>
        <w:t xml:space="preserve">four </w:t>
      </w:r>
      <w:r w:rsidR="0031234C" w:rsidRPr="00125162">
        <w:rPr>
          <w:lang w:val="en-AU"/>
        </w:rPr>
        <w:t>times the average</w:t>
      </w:r>
      <w:r w:rsidR="009B00B7" w:rsidRPr="00125162">
        <w:rPr>
          <w:lang w:val="en-AU"/>
        </w:rPr>
        <w:t xml:space="preserve"> amount received in 2007 ($86).</w:t>
      </w:r>
    </w:p>
    <w:p w14:paraId="267064BA" w14:textId="77777777" w:rsidR="0088198B" w:rsidRPr="00125162" w:rsidRDefault="0088198B" w:rsidP="00D109F7">
      <w:pPr>
        <w:pStyle w:val="Para"/>
        <w:rPr>
          <w:lang w:val="en-AU"/>
        </w:rPr>
      </w:pPr>
    </w:p>
    <w:p w14:paraId="40D4ECE4" w14:textId="77777777" w:rsidR="0088198B" w:rsidRPr="003835AE" w:rsidRDefault="0088198B" w:rsidP="00D109F7">
      <w:pPr>
        <w:pStyle w:val="Para"/>
        <w:rPr>
          <w:highlight w:val="yellow"/>
          <w:lang w:val="en-AU"/>
        </w:rPr>
      </w:pPr>
    </w:p>
    <w:p w14:paraId="4390BEF2" w14:textId="77777777" w:rsidR="00D109F7" w:rsidRPr="003835AE" w:rsidRDefault="00D109F7" w:rsidP="006C0055">
      <w:pPr>
        <w:pStyle w:val="Para"/>
        <w:spacing w:before="40"/>
        <w:rPr>
          <w:b/>
          <w:highlight w:val="yellow"/>
          <w:lang w:val="en-AU"/>
        </w:rPr>
        <w:sectPr w:rsidR="00D109F7" w:rsidRPr="003835AE" w:rsidSect="003B68D0">
          <w:headerReference w:type="default" r:id="rId27"/>
          <w:footerReference w:type="default" r:id="rId28"/>
          <w:footnotePr>
            <w:numRestart w:val="eachPage"/>
          </w:footnotePr>
          <w:pgSz w:w="16840" w:h="11907" w:orient="landscape" w:code="9"/>
          <w:pgMar w:top="1701" w:right="1418" w:bottom="1418" w:left="851" w:header="851" w:footer="170" w:gutter="0"/>
          <w:cols w:space="720"/>
          <w:formProt w:val="0"/>
        </w:sectPr>
      </w:pPr>
    </w:p>
    <w:p w14:paraId="22FA14C5" w14:textId="77777777" w:rsidR="00D109F7" w:rsidRPr="00125162" w:rsidRDefault="00D109F7" w:rsidP="002618D8">
      <w:pPr>
        <w:pStyle w:val="Para"/>
        <w:spacing w:after="120"/>
        <w:jc w:val="center"/>
        <w:outlineLvl w:val="0"/>
        <w:rPr>
          <w:b/>
          <w:u w:val="single"/>
          <w:lang w:val="en-AU"/>
        </w:rPr>
      </w:pPr>
      <w:r w:rsidRPr="00125162">
        <w:rPr>
          <w:b/>
          <w:lang w:val="en-AU"/>
        </w:rPr>
        <w:lastRenderedPageBreak/>
        <w:t xml:space="preserve">Table 4.2.2.1: </w:t>
      </w:r>
      <w:r w:rsidRPr="00125162">
        <w:rPr>
          <w:b/>
          <w:u w:val="single"/>
          <w:lang w:val="en-AU"/>
        </w:rPr>
        <w:t xml:space="preserve">Electricity Consumption Charges </w:t>
      </w:r>
      <w:r w:rsidR="00801036" w:rsidRPr="00125162">
        <w:rPr>
          <w:b/>
          <w:u w:val="single"/>
          <w:lang w:val="en-AU"/>
        </w:rPr>
        <w:t>– Part 1</w:t>
      </w:r>
    </w:p>
    <w:tbl>
      <w:tblPr>
        <w:tblW w:w="14194" w:type="dxa"/>
        <w:tblInd w:w="85" w:type="dxa"/>
        <w:tblLook w:val="04A0" w:firstRow="1" w:lastRow="0" w:firstColumn="1" w:lastColumn="0" w:noHBand="0" w:noVBand="1"/>
      </w:tblPr>
      <w:tblGrid>
        <w:gridCol w:w="2717"/>
        <w:gridCol w:w="857"/>
        <w:gridCol w:w="808"/>
        <w:gridCol w:w="808"/>
        <w:gridCol w:w="857"/>
        <w:gridCol w:w="808"/>
        <w:gridCol w:w="808"/>
        <w:gridCol w:w="857"/>
        <w:gridCol w:w="808"/>
        <w:gridCol w:w="808"/>
        <w:gridCol w:w="826"/>
        <w:gridCol w:w="808"/>
        <w:gridCol w:w="808"/>
        <w:gridCol w:w="808"/>
        <w:gridCol w:w="808"/>
      </w:tblGrid>
      <w:tr w:rsidR="00970E2F" w:rsidRPr="00125162" w14:paraId="15E8C457" w14:textId="77777777" w:rsidTr="005F4B8A">
        <w:trPr>
          <w:trHeight w:val="450"/>
          <w:tblHeader/>
        </w:trPr>
        <w:tc>
          <w:tcPr>
            <w:tcW w:w="2717" w:type="dxa"/>
            <w:tcBorders>
              <w:top w:val="double" w:sz="6" w:space="0" w:color="auto"/>
              <w:left w:val="double" w:sz="6" w:space="0" w:color="auto"/>
              <w:bottom w:val="single" w:sz="4" w:space="0" w:color="BFBFBF"/>
              <w:right w:val="single" w:sz="4" w:space="0" w:color="BFBFBF"/>
            </w:tcBorders>
            <w:shd w:val="clear" w:color="auto" w:fill="auto"/>
            <w:noWrap/>
            <w:vAlign w:val="center"/>
          </w:tcPr>
          <w:p w14:paraId="6EFB8EA6"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45" w:type="dxa"/>
            <w:gridSpan w:val="10"/>
            <w:tcBorders>
              <w:top w:val="double" w:sz="6" w:space="0" w:color="auto"/>
              <w:left w:val="nil"/>
              <w:bottom w:val="single" w:sz="4" w:space="0" w:color="BFBFBF"/>
              <w:right w:val="nil"/>
            </w:tcBorders>
            <w:shd w:val="clear" w:color="auto" w:fill="auto"/>
            <w:noWrap/>
          </w:tcPr>
          <w:p w14:paraId="439C6247"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Electricity Consumption Charge ($)</w:t>
            </w:r>
          </w:p>
        </w:tc>
        <w:tc>
          <w:tcPr>
            <w:tcW w:w="3232" w:type="dxa"/>
            <w:gridSpan w:val="4"/>
            <w:tcBorders>
              <w:top w:val="double" w:sz="6" w:space="0" w:color="auto"/>
              <w:left w:val="single" w:sz="4" w:space="0" w:color="auto"/>
              <w:bottom w:val="single" w:sz="4" w:space="0" w:color="BFBFBF"/>
              <w:right w:val="double" w:sz="6" w:space="0" w:color="000000"/>
            </w:tcBorders>
            <w:shd w:val="clear" w:color="auto" w:fill="auto"/>
            <w:noWrap/>
          </w:tcPr>
          <w:p w14:paraId="61730DE4"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Supply Charge</w:t>
            </w:r>
          </w:p>
        </w:tc>
      </w:tr>
      <w:tr w:rsidR="00970E2F" w:rsidRPr="00125162" w14:paraId="333138FA" w14:textId="77777777" w:rsidTr="005F4B8A">
        <w:trPr>
          <w:trHeight w:val="225"/>
          <w:tblHeader/>
        </w:trPr>
        <w:tc>
          <w:tcPr>
            <w:tcW w:w="2717" w:type="dxa"/>
            <w:tcBorders>
              <w:top w:val="nil"/>
              <w:left w:val="double" w:sz="6" w:space="0" w:color="auto"/>
              <w:bottom w:val="single" w:sz="4" w:space="0" w:color="BFBFBF"/>
              <w:right w:val="nil"/>
            </w:tcBorders>
            <w:shd w:val="clear" w:color="auto" w:fill="auto"/>
            <w:noWrap/>
          </w:tcPr>
          <w:p w14:paraId="1DC0EF49"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2473" w:type="dxa"/>
            <w:gridSpan w:val="3"/>
            <w:tcBorders>
              <w:top w:val="single" w:sz="4" w:space="0" w:color="BFBFBF"/>
              <w:left w:val="single" w:sz="4" w:space="0" w:color="auto"/>
              <w:bottom w:val="single" w:sz="4" w:space="0" w:color="BFBFBF"/>
              <w:right w:val="single" w:sz="4" w:space="0" w:color="000000"/>
            </w:tcBorders>
            <w:shd w:val="clear" w:color="auto" w:fill="auto"/>
            <w:noWrap/>
          </w:tcPr>
          <w:p w14:paraId="0DA88768"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2473" w:type="dxa"/>
            <w:gridSpan w:val="3"/>
            <w:tcBorders>
              <w:top w:val="single" w:sz="4" w:space="0" w:color="BFBFBF"/>
              <w:left w:val="nil"/>
              <w:bottom w:val="single" w:sz="4" w:space="0" w:color="BFBFBF"/>
              <w:right w:val="single" w:sz="4" w:space="0" w:color="BFBFBF"/>
            </w:tcBorders>
            <w:shd w:val="clear" w:color="auto" w:fill="auto"/>
            <w:noWrap/>
          </w:tcPr>
          <w:p w14:paraId="155F69FD"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2473" w:type="dxa"/>
            <w:gridSpan w:val="3"/>
            <w:tcBorders>
              <w:top w:val="single" w:sz="4" w:space="0" w:color="BFBFBF"/>
              <w:left w:val="single" w:sz="4" w:space="0" w:color="auto"/>
              <w:bottom w:val="single" w:sz="4" w:space="0" w:color="BFBFBF"/>
              <w:right w:val="single" w:sz="4" w:space="0" w:color="000000"/>
            </w:tcBorders>
            <w:shd w:val="clear" w:color="auto" w:fill="auto"/>
            <w:noWrap/>
          </w:tcPr>
          <w:p w14:paraId="0871D42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2001</w:t>
            </w:r>
          </w:p>
        </w:tc>
        <w:tc>
          <w:tcPr>
            <w:tcW w:w="826" w:type="dxa"/>
            <w:tcBorders>
              <w:top w:val="nil"/>
              <w:left w:val="nil"/>
              <w:bottom w:val="single" w:sz="4" w:space="0" w:color="BFBFBF"/>
              <w:right w:val="nil"/>
            </w:tcBorders>
            <w:shd w:val="clear" w:color="auto" w:fill="auto"/>
            <w:noWrap/>
          </w:tcPr>
          <w:p w14:paraId="11E462FD"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1996</w:t>
            </w:r>
          </w:p>
        </w:tc>
        <w:tc>
          <w:tcPr>
            <w:tcW w:w="1616" w:type="dxa"/>
            <w:gridSpan w:val="2"/>
            <w:tcBorders>
              <w:top w:val="single" w:sz="4" w:space="0" w:color="BFBFBF"/>
              <w:left w:val="single" w:sz="4" w:space="0" w:color="auto"/>
              <w:bottom w:val="single" w:sz="4" w:space="0" w:color="BFBFBF"/>
              <w:right w:val="nil"/>
            </w:tcBorders>
            <w:shd w:val="clear" w:color="auto" w:fill="auto"/>
            <w:noWrap/>
          </w:tcPr>
          <w:p w14:paraId="01B64BB2"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616" w:type="dxa"/>
            <w:gridSpan w:val="2"/>
            <w:tcBorders>
              <w:top w:val="single" w:sz="4" w:space="0" w:color="BFBFBF"/>
              <w:left w:val="single" w:sz="4" w:space="0" w:color="auto"/>
              <w:bottom w:val="single" w:sz="4" w:space="0" w:color="BFBFBF"/>
              <w:right w:val="double" w:sz="6" w:space="0" w:color="000000"/>
            </w:tcBorders>
            <w:shd w:val="clear" w:color="auto" w:fill="auto"/>
            <w:noWrap/>
          </w:tcPr>
          <w:p w14:paraId="49829F97"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r>
      <w:tr w:rsidR="00970E2F" w:rsidRPr="00125162" w14:paraId="1FA984CD" w14:textId="77777777" w:rsidTr="005F4B8A">
        <w:trPr>
          <w:trHeight w:val="225"/>
          <w:tblHeader/>
        </w:trPr>
        <w:tc>
          <w:tcPr>
            <w:tcW w:w="2717" w:type="dxa"/>
            <w:tcBorders>
              <w:top w:val="nil"/>
              <w:left w:val="double" w:sz="6" w:space="0" w:color="auto"/>
              <w:bottom w:val="single" w:sz="4" w:space="0" w:color="BFBFBF"/>
              <w:right w:val="nil"/>
            </w:tcBorders>
            <w:shd w:val="clear" w:color="auto" w:fill="auto"/>
            <w:noWrap/>
            <w:vAlign w:val="center"/>
          </w:tcPr>
          <w:p w14:paraId="0263A67E"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3F6D0D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Summer</w:t>
            </w:r>
          </w:p>
        </w:tc>
        <w:tc>
          <w:tcPr>
            <w:tcW w:w="808" w:type="dxa"/>
            <w:tcBorders>
              <w:top w:val="nil"/>
              <w:left w:val="nil"/>
              <w:bottom w:val="single" w:sz="4" w:space="0" w:color="BFBFBF"/>
              <w:right w:val="single" w:sz="4" w:space="0" w:color="BFBFBF"/>
            </w:tcBorders>
            <w:shd w:val="clear" w:color="auto" w:fill="auto"/>
            <w:noWrap/>
            <w:vAlign w:val="center"/>
          </w:tcPr>
          <w:p w14:paraId="6EB5BFBC"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Winter</w:t>
            </w:r>
          </w:p>
        </w:tc>
        <w:tc>
          <w:tcPr>
            <w:tcW w:w="808" w:type="dxa"/>
            <w:tcBorders>
              <w:top w:val="nil"/>
              <w:left w:val="nil"/>
              <w:bottom w:val="single" w:sz="4" w:space="0" w:color="BFBFBF"/>
              <w:right w:val="single" w:sz="4" w:space="0" w:color="auto"/>
            </w:tcBorders>
            <w:shd w:val="clear" w:color="auto" w:fill="auto"/>
            <w:noWrap/>
            <w:vAlign w:val="center"/>
          </w:tcPr>
          <w:p w14:paraId="4D89900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w:t>
            </w:r>
          </w:p>
        </w:tc>
        <w:tc>
          <w:tcPr>
            <w:tcW w:w="857" w:type="dxa"/>
            <w:tcBorders>
              <w:top w:val="nil"/>
              <w:left w:val="nil"/>
              <w:bottom w:val="single" w:sz="4" w:space="0" w:color="BFBFBF"/>
              <w:right w:val="single" w:sz="4" w:space="0" w:color="BFBFBF"/>
            </w:tcBorders>
            <w:shd w:val="clear" w:color="auto" w:fill="auto"/>
            <w:noWrap/>
            <w:vAlign w:val="center"/>
          </w:tcPr>
          <w:p w14:paraId="3167126B"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Summer</w:t>
            </w:r>
          </w:p>
        </w:tc>
        <w:tc>
          <w:tcPr>
            <w:tcW w:w="808" w:type="dxa"/>
            <w:tcBorders>
              <w:top w:val="nil"/>
              <w:left w:val="nil"/>
              <w:bottom w:val="single" w:sz="4" w:space="0" w:color="BFBFBF"/>
              <w:right w:val="single" w:sz="4" w:space="0" w:color="BFBFBF"/>
            </w:tcBorders>
            <w:shd w:val="clear" w:color="auto" w:fill="auto"/>
            <w:noWrap/>
            <w:vAlign w:val="center"/>
          </w:tcPr>
          <w:p w14:paraId="5A3A5D59"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Winter</w:t>
            </w:r>
          </w:p>
        </w:tc>
        <w:tc>
          <w:tcPr>
            <w:tcW w:w="808" w:type="dxa"/>
            <w:tcBorders>
              <w:top w:val="nil"/>
              <w:left w:val="nil"/>
              <w:bottom w:val="single" w:sz="4" w:space="0" w:color="BFBFBF"/>
              <w:right w:val="nil"/>
            </w:tcBorders>
            <w:shd w:val="clear" w:color="auto" w:fill="auto"/>
            <w:noWrap/>
            <w:vAlign w:val="center"/>
          </w:tcPr>
          <w:p w14:paraId="0C1C0E4E"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B5D7A30"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Summer</w:t>
            </w:r>
          </w:p>
        </w:tc>
        <w:tc>
          <w:tcPr>
            <w:tcW w:w="808" w:type="dxa"/>
            <w:tcBorders>
              <w:top w:val="nil"/>
              <w:left w:val="nil"/>
              <w:bottom w:val="single" w:sz="4" w:space="0" w:color="BFBFBF"/>
              <w:right w:val="single" w:sz="4" w:space="0" w:color="BFBFBF"/>
            </w:tcBorders>
            <w:shd w:val="clear" w:color="auto" w:fill="auto"/>
            <w:noWrap/>
            <w:vAlign w:val="center"/>
          </w:tcPr>
          <w:p w14:paraId="3C255197"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Winter</w:t>
            </w:r>
          </w:p>
        </w:tc>
        <w:tc>
          <w:tcPr>
            <w:tcW w:w="808" w:type="dxa"/>
            <w:tcBorders>
              <w:top w:val="nil"/>
              <w:left w:val="nil"/>
              <w:bottom w:val="single" w:sz="4" w:space="0" w:color="BFBFBF"/>
              <w:right w:val="single" w:sz="4" w:space="0" w:color="auto"/>
            </w:tcBorders>
            <w:shd w:val="clear" w:color="auto" w:fill="auto"/>
            <w:noWrap/>
            <w:vAlign w:val="center"/>
          </w:tcPr>
          <w:p w14:paraId="7EB7D2A3"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w:t>
            </w:r>
          </w:p>
        </w:tc>
        <w:tc>
          <w:tcPr>
            <w:tcW w:w="826" w:type="dxa"/>
            <w:tcBorders>
              <w:top w:val="nil"/>
              <w:left w:val="nil"/>
              <w:bottom w:val="single" w:sz="4" w:space="0" w:color="BFBFBF"/>
              <w:right w:val="nil"/>
            </w:tcBorders>
            <w:shd w:val="clear" w:color="auto" w:fill="auto"/>
            <w:noWrap/>
            <w:vAlign w:val="center"/>
          </w:tcPr>
          <w:p w14:paraId="6D18ADAD"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6CBA66E"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2DBCA90C"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9ADF818"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double" w:sz="6" w:space="0" w:color="auto"/>
            </w:tcBorders>
            <w:shd w:val="clear" w:color="auto" w:fill="auto"/>
            <w:noWrap/>
            <w:vAlign w:val="center"/>
          </w:tcPr>
          <w:p w14:paraId="6213762D"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r>
      <w:tr w:rsidR="00970E2F" w:rsidRPr="00125162" w14:paraId="64F2605B" w14:textId="77777777" w:rsidTr="005F4B8A">
        <w:trPr>
          <w:trHeight w:val="225"/>
          <w:tblHeader/>
        </w:trPr>
        <w:tc>
          <w:tcPr>
            <w:tcW w:w="2717" w:type="dxa"/>
            <w:tcBorders>
              <w:top w:val="nil"/>
              <w:left w:val="double" w:sz="6" w:space="0" w:color="auto"/>
              <w:bottom w:val="single" w:sz="4" w:space="0" w:color="BFBFBF"/>
              <w:right w:val="nil"/>
            </w:tcBorders>
            <w:shd w:val="clear" w:color="auto" w:fill="auto"/>
            <w:noWrap/>
            <w:vAlign w:val="center"/>
          </w:tcPr>
          <w:p w14:paraId="455867E4" w14:textId="77777777" w:rsidR="00970E2F" w:rsidRPr="00125162" w:rsidRDefault="00970E2F"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Sub-groups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B96713D" w14:textId="77777777" w:rsidR="00970E2F" w:rsidRPr="00125162" w:rsidRDefault="00970E2F" w:rsidP="005F4B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31234C" w:rsidRPr="00125162">
              <w:rPr>
                <w:rFonts w:ascii="Arial" w:hAnsi="Arial" w:cs="Arial"/>
                <w:b/>
                <w:bCs/>
                <w:color w:val="000000"/>
                <w:sz w:val="16"/>
                <w:szCs w:val="16"/>
                <w:lang w:val="en-AU" w:eastAsia="en-AU"/>
              </w:rPr>
              <w:t>,</w:t>
            </w:r>
            <w:r w:rsidR="005F4B8A" w:rsidRPr="00125162">
              <w:rPr>
                <w:rFonts w:ascii="Arial" w:hAnsi="Arial" w:cs="Arial"/>
                <w:b/>
                <w:bCs/>
                <w:color w:val="000000"/>
                <w:sz w:val="16"/>
                <w:szCs w:val="16"/>
                <w:lang w:val="en-AU" w:eastAsia="en-AU"/>
              </w:rPr>
              <w:t>651</w:t>
            </w:r>
          </w:p>
        </w:tc>
        <w:tc>
          <w:tcPr>
            <w:tcW w:w="808" w:type="dxa"/>
            <w:tcBorders>
              <w:top w:val="nil"/>
              <w:left w:val="nil"/>
              <w:bottom w:val="single" w:sz="4" w:space="0" w:color="BFBFBF"/>
              <w:right w:val="single" w:sz="4" w:space="0" w:color="BFBFBF"/>
            </w:tcBorders>
            <w:shd w:val="clear" w:color="auto" w:fill="auto"/>
            <w:noWrap/>
            <w:vAlign w:val="center"/>
          </w:tcPr>
          <w:p w14:paraId="05832215" w14:textId="77777777" w:rsidR="00970E2F" w:rsidRPr="00125162" w:rsidRDefault="00970E2F" w:rsidP="005F4B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31234C" w:rsidRPr="00125162">
              <w:rPr>
                <w:rFonts w:ascii="Arial" w:hAnsi="Arial" w:cs="Arial"/>
                <w:b/>
                <w:bCs/>
                <w:color w:val="000000"/>
                <w:sz w:val="16"/>
                <w:szCs w:val="16"/>
                <w:lang w:val="en-AU" w:eastAsia="en-AU"/>
              </w:rPr>
              <w:t>,</w:t>
            </w:r>
            <w:r w:rsidR="005F4B8A" w:rsidRPr="00125162">
              <w:rPr>
                <w:rFonts w:ascii="Arial" w:hAnsi="Arial" w:cs="Arial"/>
                <w:b/>
                <w:bCs/>
                <w:color w:val="000000"/>
                <w:sz w:val="16"/>
                <w:szCs w:val="16"/>
                <w:lang w:val="en-AU" w:eastAsia="en-AU"/>
              </w:rPr>
              <w:t>665</w:t>
            </w:r>
          </w:p>
        </w:tc>
        <w:tc>
          <w:tcPr>
            <w:tcW w:w="808" w:type="dxa"/>
            <w:tcBorders>
              <w:top w:val="nil"/>
              <w:left w:val="nil"/>
              <w:bottom w:val="single" w:sz="4" w:space="0" w:color="BFBFBF"/>
              <w:right w:val="single" w:sz="4" w:space="0" w:color="auto"/>
            </w:tcBorders>
            <w:shd w:val="clear" w:color="auto" w:fill="auto"/>
            <w:noWrap/>
            <w:vAlign w:val="center"/>
          </w:tcPr>
          <w:p w14:paraId="12BF28EB" w14:textId="77777777" w:rsidR="00970E2F" w:rsidRPr="00125162" w:rsidRDefault="00970E2F" w:rsidP="005F4B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31234C" w:rsidRPr="00125162">
              <w:rPr>
                <w:rFonts w:ascii="Arial" w:hAnsi="Arial" w:cs="Arial"/>
                <w:b/>
                <w:bCs/>
                <w:color w:val="000000"/>
                <w:sz w:val="16"/>
                <w:szCs w:val="16"/>
                <w:lang w:val="en-AU" w:eastAsia="en-AU"/>
              </w:rPr>
              <w:t>,</w:t>
            </w:r>
            <w:r w:rsidR="005F4B8A" w:rsidRPr="00125162">
              <w:rPr>
                <w:rFonts w:ascii="Arial" w:hAnsi="Arial" w:cs="Arial"/>
                <w:b/>
                <w:bCs/>
                <w:color w:val="000000"/>
                <w:sz w:val="16"/>
                <w:szCs w:val="16"/>
                <w:lang w:val="en-AU" w:eastAsia="en-AU"/>
              </w:rPr>
              <w:t>850</w:t>
            </w:r>
          </w:p>
        </w:tc>
        <w:tc>
          <w:tcPr>
            <w:tcW w:w="857" w:type="dxa"/>
            <w:tcBorders>
              <w:top w:val="nil"/>
              <w:left w:val="nil"/>
              <w:bottom w:val="single" w:sz="4" w:space="0" w:color="BFBFBF"/>
              <w:right w:val="single" w:sz="4" w:space="0" w:color="BFBFBF"/>
            </w:tcBorders>
            <w:shd w:val="clear" w:color="auto" w:fill="auto"/>
            <w:noWrap/>
            <w:vAlign w:val="center"/>
          </w:tcPr>
          <w:p w14:paraId="4A917612"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808" w:type="dxa"/>
            <w:tcBorders>
              <w:top w:val="nil"/>
              <w:left w:val="nil"/>
              <w:bottom w:val="single" w:sz="4" w:space="0" w:color="BFBFBF"/>
              <w:right w:val="single" w:sz="4" w:space="0" w:color="BFBFBF"/>
            </w:tcBorders>
            <w:shd w:val="clear" w:color="auto" w:fill="auto"/>
            <w:noWrap/>
            <w:vAlign w:val="center"/>
          </w:tcPr>
          <w:p w14:paraId="496B5AF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808" w:type="dxa"/>
            <w:tcBorders>
              <w:top w:val="nil"/>
              <w:left w:val="nil"/>
              <w:bottom w:val="single" w:sz="4" w:space="0" w:color="BFBFBF"/>
              <w:right w:val="nil"/>
            </w:tcBorders>
            <w:shd w:val="clear" w:color="auto" w:fill="auto"/>
            <w:noWrap/>
            <w:vAlign w:val="center"/>
          </w:tcPr>
          <w:p w14:paraId="368CB78D"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F6A7A8F"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n=2,006</w:t>
            </w:r>
          </w:p>
        </w:tc>
        <w:tc>
          <w:tcPr>
            <w:tcW w:w="808" w:type="dxa"/>
            <w:tcBorders>
              <w:top w:val="nil"/>
              <w:left w:val="nil"/>
              <w:bottom w:val="single" w:sz="4" w:space="0" w:color="BFBFBF"/>
              <w:right w:val="single" w:sz="4" w:space="0" w:color="BFBFBF"/>
            </w:tcBorders>
            <w:shd w:val="clear" w:color="auto" w:fill="auto"/>
            <w:noWrap/>
            <w:vAlign w:val="center"/>
          </w:tcPr>
          <w:p w14:paraId="42EC8DBA"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n=2,006</w:t>
            </w:r>
          </w:p>
        </w:tc>
        <w:tc>
          <w:tcPr>
            <w:tcW w:w="808" w:type="dxa"/>
            <w:tcBorders>
              <w:top w:val="nil"/>
              <w:left w:val="nil"/>
              <w:bottom w:val="single" w:sz="4" w:space="0" w:color="BFBFBF"/>
              <w:right w:val="single" w:sz="4" w:space="0" w:color="auto"/>
            </w:tcBorders>
            <w:shd w:val="clear" w:color="auto" w:fill="auto"/>
            <w:noWrap/>
            <w:vAlign w:val="center"/>
          </w:tcPr>
          <w:p w14:paraId="0805E0E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n=2,006</w:t>
            </w:r>
          </w:p>
        </w:tc>
        <w:tc>
          <w:tcPr>
            <w:tcW w:w="826" w:type="dxa"/>
            <w:tcBorders>
              <w:top w:val="nil"/>
              <w:left w:val="nil"/>
              <w:bottom w:val="single" w:sz="4" w:space="0" w:color="BFBFBF"/>
              <w:right w:val="nil"/>
            </w:tcBorders>
            <w:shd w:val="clear" w:color="auto" w:fill="auto"/>
            <w:noWrap/>
            <w:vAlign w:val="center"/>
          </w:tcPr>
          <w:p w14:paraId="6490D614" w14:textId="77777777" w:rsidR="00970E2F" w:rsidRPr="00125162" w:rsidRDefault="00F614A0"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w:t>
            </w:r>
            <w:r w:rsidR="00970E2F" w:rsidRPr="00125162">
              <w:rPr>
                <w:rFonts w:ascii="Arial" w:hAnsi="Arial" w:cs="Arial"/>
                <w:b/>
                <w:bCs/>
                <w:color w:val="000000"/>
                <w:sz w:val="16"/>
                <w:szCs w:val="16"/>
                <w:lang w:val="en-AU" w:eastAsia="en-AU"/>
              </w:rPr>
              <w:t>=1,858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3719BE7" w14:textId="77777777" w:rsidR="00970E2F" w:rsidRPr="00125162" w:rsidRDefault="00970E2F" w:rsidP="005F4B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5F4B8A" w:rsidRPr="00125162">
              <w:rPr>
                <w:rFonts w:ascii="Arial" w:hAnsi="Arial" w:cs="Arial"/>
                <w:b/>
                <w:bCs/>
                <w:color w:val="000000"/>
                <w:sz w:val="16"/>
                <w:szCs w:val="16"/>
                <w:lang w:val="en-AU" w:eastAsia="en-AU"/>
              </w:rPr>
              <w:t>855</w:t>
            </w:r>
          </w:p>
        </w:tc>
        <w:tc>
          <w:tcPr>
            <w:tcW w:w="808" w:type="dxa"/>
            <w:tcBorders>
              <w:top w:val="nil"/>
              <w:left w:val="nil"/>
              <w:bottom w:val="single" w:sz="4" w:space="0" w:color="BFBFBF"/>
              <w:right w:val="nil"/>
            </w:tcBorders>
            <w:shd w:val="clear" w:color="auto" w:fill="auto"/>
            <w:noWrap/>
            <w:vAlign w:val="center"/>
          </w:tcPr>
          <w:p w14:paraId="5876B034" w14:textId="77777777" w:rsidR="00970E2F" w:rsidRPr="00125162" w:rsidRDefault="00970E2F" w:rsidP="005F4B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31234C" w:rsidRPr="00125162">
              <w:rPr>
                <w:rFonts w:ascii="Arial" w:hAnsi="Arial" w:cs="Arial"/>
                <w:b/>
                <w:bCs/>
                <w:color w:val="000000"/>
                <w:sz w:val="16"/>
                <w:szCs w:val="16"/>
                <w:lang w:val="en-AU" w:eastAsia="en-AU"/>
              </w:rPr>
              <w:t>,</w:t>
            </w:r>
            <w:r w:rsidR="005F4B8A" w:rsidRPr="00125162">
              <w:rPr>
                <w:rFonts w:ascii="Arial" w:hAnsi="Arial" w:cs="Arial"/>
                <w:b/>
                <w:bCs/>
                <w:color w:val="000000"/>
                <w:sz w:val="16"/>
                <w:szCs w:val="16"/>
                <w:lang w:val="en-AU" w:eastAsia="en-AU"/>
              </w:rPr>
              <w:t>851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C529913"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808" w:type="dxa"/>
            <w:tcBorders>
              <w:top w:val="nil"/>
              <w:left w:val="nil"/>
              <w:bottom w:val="single" w:sz="4" w:space="0" w:color="BFBFBF"/>
              <w:right w:val="double" w:sz="6" w:space="0" w:color="auto"/>
            </w:tcBorders>
            <w:shd w:val="clear" w:color="auto" w:fill="auto"/>
            <w:noWrap/>
            <w:vAlign w:val="center"/>
          </w:tcPr>
          <w:p w14:paraId="67C7541A"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n=2,029</w:t>
            </w:r>
          </w:p>
        </w:tc>
      </w:tr>
      <w:tr w:rsidR="00970E2F" w:rsidRPr="00125162" w14:paraId="6ACC9760"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41676703" w14:textId="77777777" w:rsidR="00970E2F" w:rsidRPr="00125162" w:rsidRDefault="00970E2F"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Region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6E7C3C5" w14:textId="77777777" w:rsidR="00970E2F" w:rsidRPr="00125162" w:rsidRDefault="00970E2F"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744E22B2"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bottom"/>
          </w:tcPr>
          <w:p w14:paraId="74960777"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3AA9435C" w14:textId="77777777" w:rsidR="00970E2F" w:rsidRPr="00125162" w:rsidRDefault="00970E2F"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A8A0641" w14:textId="77777777" w:rsidR="00970E2F" w:rsidRPr="00125162" w:rsidRDefault="00970E2F"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6C1E9951" w14:textId="77777777" w:rsidR="00970E2F" w:rsidRPr="00125162" w:rsidRDefault="00970E2F"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CECB0FC" w14:textId="77777777" w:rsidR="00970E2F" w:rsidRPr="00125162" w:rsidRDefault="00970E2F"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F4E976D" w14:textId="77777777" w:rsidR="00970E2F" w:rsidRPr="00125162" w:rsidRDefault="00970E2F"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15140F63" w14:textId="77777777" w:rsidR="00970E2F" w:rsidRPr="00125162" w:rsidRDefault="00970E2F"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top w:val="nil"/>
              <w:left w:val="nil"/>
              <w:bottom w:val="single" w:sz="4" w:space="0" w:color="BFBFBF"/>
              <w:right w:val="nil"/>
            </w:tcBorders>
            <w:shd w:val="clear" w:color="auto" w:fill="auto"/>
            <w:noWrap/>
            <w:vAlign w:val="center"/>
          </w:tcPr>
          <w:p w14:paraId="3D9EF3D3" w14:textId="77777777" w:rsidR="00970E2F" w:rsidRPr="00125162" w:rsidRDefault="00970E2F"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5FCBB99" w14:textId="77777777" w:rsidR="00970E2F" w:rsidRPr="00125162" w:rsidRDefault="00970E2F" w:rsidP="00970E2F">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808" w:type="dxa"/>
            <w:tcBorders>
              <w:top w:val="nil"/>
              <w:left w:val="nil"/>
              <w:bottom w:val="single" w:sz="4" w:space="0" w:color="BFBFBF"/>
              <w:right w:val="nil"/>
            </w:tcBorders>
            <w:shd w:val="clear" w:color="auto" w:fill="auto"/>
            <w:noWrap/>
            <w:vAlign w:val="bottom"/>
          </w:tcPr>
          <w:p w14:paraId="1BB59D2C"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15B6A7E" w14:textId="77777777" w:rsidR="00970E2F" w:rsidRPr="00125162" w:rsidRDefault="00970E2F"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4B111E84" w14:textId="77777777" w:rsidR="00970E2F" w:rsidRPr="00125162" w:rsidRDefault="00970E2F"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4D177A" w:rsidRPr="00125162" w14:paraId="612C7C2C"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45D82D85"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125162">
                  <w:rPr>
                    <w:rFonts w:ascii="Arial" w:hAnsi="Arial" w:cs="Arial"/>
                    <w:color w:val="000000"/>
                    <w:sz w:val="16"/>
                    <w:szCs w:val="16"/>
                    <w:lang w:val="en-AU" w:eastAsia="en-AU"/>
                  </w:rPr>
                  <w:t>Melbourne</w:t>
                </w:r>
              </w:smartTag>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15713AC" w14:textId="7133A9C4"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410</w:t>
            </w:r>
          </w:p>
        </w:tc>
        <w:tc>
          <w:tcPr>
            <w:tcW w:w="808" w:type="dxa"/>
            <w:tcBorders>
              <w:top w:val="nil"/>
              <w:left w:val="nil"/>
              <w:bottom w:val="single" w:sz="4" w:space="0" w:color="BFBFBF"/>
              <w:right w:val="single" w:sz="4" w:space="0" w:color="BFBFBF"/>
            </w:tcBorders>
            <w:shd w:val="clear" w:color="auto" w:fill="auto"/>
            <w:noWrap/>
            <w:vAlign w:val="center"/>
          </w:tcPr>
          <w:p w14:paraId="549A647B" w14:textId="5E714CCD"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606</w:t>
            </w:r>
          </w:p>
        </w:tc>
        <w:tc>
          <w:tcPr>
            <w:tcW w:w="808" w:type="dxa"/>
            <w:tcBorders>
              <w:top w:val="nil"/>
              <w:left w:val="nil"/>
              <w:bottom w:val="single" w:sz="4" w:space="0" w:color="BFBFBF"/>
              <w:right w:val="single" w:sz="4" w:space="0" w:color="auto"/>
            </w:tcBorders>
            <w:shd w:val="clear" w:color="auto" w:fill="auto"/>
            <w:noWrap/>
            <w:vAlign w:val="center"/>
          </w:tcPr>
          <w:p w14:paraId="420DA8F6" w14:textId="6F7E0ACB"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034</w:t>
            </w:r>
          </w:p>
        </w:tc>
        <w:tc>
          <w:tcPr>
            <w:tcW w:w="857" w:type="dxa"/>
            <w:tcBorders>
              <w:top w:val="nil"/>
              <w:left w:val="nil"/>
              <w:bottom w:val="single" w:sz="4" w:space="0" w:color="BFBFBF"/>
              <w:right w:val="single" w:sz="4" w:space="0" w:color="BFBFBF"/>
            </w:tcBorders>
            <w:shd w:val="clear" w:color="auto" w:fill="auto"/>
            <w:noWrap/>
            <w:vAlign w:val="center"/>
          </w:tcPr>
          <w:p w14:paraId="2117BCE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350</w:t>
            </w:r>
          </w:p>
        </w:tc>
        <w:tc>
          <w:tcPr>
            <w:tcW w:w="808" w:type="dxa"/>
            <w:tcBorders>
              <w:top w:val="nil"/>
              <w:left w:val="nil"/>
              <w:bottom w:val="single" w:sz="4" w:space="0" w:color="BFBFBF"/>
              <w:right w:val="single" w:sz="4" w:space="0" w:color="BFBFBF"/>
            </w:tcBorders>
            <w:shd w:val="clear" w:color="auto" w:fill="auto"/>
            <w:noWrap/>
            <w:vAlign w:val="center"/>
          </w:tcPr>
          <w:p w14:paraId="26B609F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456</w:t>
            </w:r>
          </w:p>
        </w:tc>
        <w:tc>
          <w:tcPr>
            <w:tcW w:w="808" w:type="dxa"/>
            <w:tcBorders>
              <w:top w:val="nil"/>
              <w:left w:val="nil"/>
              <w:bottom w:val="single" w:sz="4" w:space="0" w:color="BFBFBF"/>
              <w:right w:val="nil"/>
            </w:tcBorders>
            <w:shd w:val="clear" w:color="auto" w:fill="auto"/>
            <w:noWrap/>
            <w:vAlign w:val="center"/>
          </w:tcPr>
          <w:p w14:paraId="30A7FBE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802</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776A95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292</w:t>
            </w:r>
          </w:p>
        </w:tc>
        <w:tc>
          <w:tcPr>
            <w:tcW w:w="808" w:type="dxa"/>
            <w:tcBorders>
              <w:top w:val="nil"/>
              <w:left w:val="nil"/>
              <w:bottom w:val="single" w:sz="4" w:space="0" w:color="BFBFBF"/>
              <w:right w:val="single" w:sz="4" w:space="0" w:color="BFBFBF"/>
            </w:tcBorders>
            <w:shd w:val="clear" w:color="auto" w:fill="auto"/>
            <w:noWrap/>
            <w:vAlign w:val="center"/>
          </w:tcPr>
          <w:p w14:paraId="5E4BA78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434</w:t>
            </w:r>
          </w:p>
        </w:tc>
        <w:tc>
          <w:tcPr>
            <w:tcW w:w="808" w:type="dxa"/>
            <w:tcBorders>
              <w:top w:val="nil"/>
              <w:left w:val="nil"/>
              <w:bottom w:val="single" w:sz="4" w:space="0" w:color="BFBFBF"/>
              <w:right w:val="single" w:sz="4" w:space="0" w:color="auto"/>
            </w:tcBorders>
            <w:shd w:val="clear" w:color="auto" w:fill="auto"/>
            <w:noWrap/>
            <w:vAlign w:val="center"/>
          </w:tcPr>
          <w:p w14:paraId="1766CAF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727</w:t>
            </w:r>
          </w:p>
        </w:tc>
        <w:tc>
          <w:tcPr>
            <w:tcW w:w="826" w:type="dxa"/>
            <w:tcBorders>
              <w:top w:val="nil"/>
              <w:left w:val="nil"/>
              <w:bottom w:val="single" w:sz="4" w:space="0" w:color="BFBFBF"/>
              <w:right w:val="nil"/>
            </w:tcBorders>
            <w:shd w:val="clear" w:color="auto" w:fill="auto"/>
            <w:noWrap/>
            <w:vAlign w:val="center"/>
          </w:tcPr>
          <w:p w14:paraId="5D857FA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621</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57E4723"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387BE906"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4A766D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6" w:space="0" w:color="auto"/>
            </w:tcBorders>
            <w:shd w:val="clear" w:color="auto" w:fill="auto"/>
            <w:noWrap/>
            <w:vAlign w:val="center"/>
          </w:tcPr>
          <w:p w14:paraId="25203F6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153</w:t>
            </w:r>
          </w:p>
        </w:tc>
      </w:tr>
      <w:tr w:rsidR="004D177A" w:rsidRPr="00125162" w14:paraId="6FC4BE06"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02A4A191"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Country VIC</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0D6FBA4" w14:textId="26D31578"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450</w:t>
            </w:r>
          </w:p>
        </w:tc>
        <w:tc>
          <w:tcPr>
            <w:tcW w:w="808" w:type="dxa"/>
            <w:tcBorders>
              <w:top w:val="nil"/>
              <w:left w:val="nil"/>
              <w:bottom w:val="single" w:sz="4" w:space="0" w:color="BFBFBF"/>
              <w:right w:val="single" w:sz="4" w:space="0" w:color="BFBFBF"/>
            </w:tcBorders>
            <w:shd w:val="clear" w:color="auto" w:fill="auto"/>
            <w:noWrap/>
            <w:vAlign w:val="center"/>
          </w:tcPr>
          <w:p w14:paraId="52806C64" w14:textId="03F7EB59"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688</w:t>
            </w:r>
          </w:p>
        </w:tc>
        <w:tc>
          <w:tcPr>
            <w:tcW w:w="808" w:type="dxa"/>
            <w:tcBorders>
              <w:top w:val="nil"/>
              <w:left w:val="nil"/>
              <w:bottom w:val="single" w:sz="4" w:space="0" w:color="BFBFBF"/>
              <w:right w:val="single" w:sz="4" w:space="0" w:color="auto"/>
            </w:tcBorders>
            <w:shd w:val="clear" w:color="auto" w:fill="auto"/>
            <w:noWrap/>
            <w:vAlign w:val="center"/>
          </w:tcPr>
          <w:p w14:paraId="23CB1071" w14:textId="5170F299"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144</w:t>
            </w:r>
          </w:p>
        </w:tc>
        <w:tc>
          <w:tcPr>
            <w:tcW w:w="857" w:type="dxa"/>
            <w:tcBorders>
              <w:top w:val="nil"/>
              <w:left w:val="nil"/>
              <w:bottom w:val="single" w:sz="4" w:space="0" w:color="BFBFBF"/>
              <w:right w:val="single" w:sz="4" w:space="0" w:color="BFBFBF"/>
            </w:tcBorders>
            <w:shd w:val="clear" w:color="auto" w:fill="auto"/>
            <w:noWrap/>
            <w:vAlign w:val="center"/>
          </w:tcPr>
          <w:p w14:paraId="404276C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259</w:t>
            </w:r>
          </w:p>
        </w:tc>
        <w:tc>
          <w:tcPr>
            <w:tcW w:w="808" w:type="dxa"/>
            <w:tcBorders>
              <w:top w:val="nil"/>
              <w:left w:val="nil"/>
              <w:bottom w:val="single" w:sz="4" w:space="0" w:color="BFBFBF"/>
              <w:right w:val="single" w:sz="4" w:space="0" w:color="BFBFBF"/>
            </w:tcBorders>
            <w:shd w:val="clear" w:color="auto" w:fill="auto"/>
            <w:noWrap/>
            <w:vAlign w:val="center"/>
          </w:tcPr>
          <w:p w14:paraId="50D44F5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390</w:t>
            </w:r>
          </w:p>
        </w:tc>
        <w:tc>
          <w:tcPr>
            <w:tcW w:w="808" w:type="dxa"/>
            <w:tcBorders>
              <w:top w:val="nil"/>
              <w:left w:val="nil"/>
              <w:bottom w:val="single" w:sz="4" w:space="0" w:color="BFBFBF"/>
              <w:right w:val="nil"/>
            </w:tcBorders>
            <w:shd w:val="clear" w:color="auto" w:fill="auto"/>
            <w:noWrap/>
            <w:vAlign w:val="center"/>
          </w:tcPr>
          <w:p w14:paraId="7BF4B7A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649</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635CBC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373</w:t>
            </w:r>
          </w:p>
        </w:tc>
        <w:tc>
          <w:tcPr>
            <w:tcW w:w="808" w:type="dxa"/>
            <w:tcBorders>
              <w:top w:val="nil"/>
              <w:left w:val="nil"/>
              <w:bottom w:val="single" w:sz="4" w:space="0" w:color="BFBFBF"/>
              <w:right w:val="single" w:sz="4" w:space="0" w:color="BFBFBF"/>
            </w:tcBorders>
            <w:shd w:val="clear" w:color="auto" w:fill="auto"/>
            <w:noWrap/>
            <w:vAlign w:val="center"/>
          </w:tcPr>
          <w:p w14:paraId="08D8140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543</w:t>
            </w:r>
          </w:p>
        </w:tc>
        <w:tc>
          <w:tcPr>
            <w:tcW w:w="808" w:type="dxa"/>
            <w:tcBorders>
              <w:top w:val="nil"/>
              <w:left w:val="nil"/>
              <w:bottom w:val="single" w:sz="4" w:space="0" w:color="BFBFBF"/>
              <w:right w:val="single" w:sz="4" w:space="0" w:color="auto"/>
            </w:tcBorders>
            <w:shd w:val="clear" w:color="auto" w:fill="auto"/>
            <w:noWrap/>
            <w:vAlign w:val="center"/>
          </w:tcPr>
          <w:p w14:paraId="6484E59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915</w:t>
            </w:r>
          </w:p>
        </w:tc>
        <w:tc>
          <w:tcPr>
            <w:tcW w:w="826" w:type="dxa"/>
            <w:tcBorders>
              <w:top w:val="nil"/>
              <w:left w:val="nil"/>
              <w:bottom w:val="single" w:sz="4" w:space="0" w:color="BFBFBF"/>
              <w:right w:val="nil"/>
            </w:tcBorders>
            <w:shd w:val="clear" w:color="auto" w:fill="auto"/>
            <w:noWrap/>
            <w:vAlign w:val="center"/>
          </w:tcPr>
          <w:p w14:paraId="5968F9F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579</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B4B7631"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09020561"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D9509F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6" w:space="0" w:color="auto"/>
            </w:tcBorders>
            <w:shd w:val="clear" w:color="auto" w:fill="auto"/>
            <w:noWrap/>
            <w:vAlign w:val="center"/>
          </w:tcPr>
          <w:p w14:paraId="49AC3D9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160</w:t>
            </w:r>
          </w:p>
        </w:tc>
      </w:tr>
      <w:tr w:rsidR="004D177A" w:rsidRPr="00125162" w14:paraId="72894F79"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69BACE09" w14:textId="511E4D45" w:rsidR="004D177A" w:rsidRPr="00125162" w:rsidRDefault="004D177A" w:rsidP="00970E2F">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Pr="00125162">
              <w:rPr>
                <w:rFonts w:ascii="Arial" w:hAnsi="Arial" w:cs="Arial"/>
                <w:color w:val="000000"/>
                <w:sz w:val="16"/>
                <w:szCs w:val="16"/>
                <w:lang w:val="en-AU" w:eastAsia="en-AU"/>
              </w:rPr>
              <w:t>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E7F11CD" w14:textId="2478E41B"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600</w:t>
            </w:r>
          </w:p>
        </w:tc>
        <w:tc>
          <w:tcPr>
            <w:tcW w:w="808" w:type="dxa"/>
            <w:tcBorders>
              <w:top w:val="nil"/>
              <w:left w:val="nil"/>
              <w:bottom w:val="single" w:sz="4" w:space="0" w:color="BFBFBF"/>
              <w:right w:val="single" w:sz="4" w:space="0" w:color="BFBFBF"/>
            </w:tcBorders>
            <w:shd w:val="clear" w:color="auto" w:fill="auto"/>
            <w:noWrap/>
            <w:vAlign w:val="center"/>
          </w:tcPr>
          <w:p w14:paraId="2BDAB9D8" w14:textId="6F4CC095"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859</w:t>
            </w:r>
          </w:p>
        </w:tc>
        <w:tc>
          <w:tcPr>
            <w:tcW w:w="808" w:type="dxa"/>
            <w:tcBorders>
              <w:top w:val="nil"/>
              <w:left w:val="nil"/>
              <w:bottom w:val="single" w:sz="4" w:space="0" w:color="BFBFBF"/>
              <w:right w:val="single" w:sz="4" w:space="0" w:color="auto"/>
            </w:tcBorders>
            <w:shd w:val="clear" w:color="auto" w:fill="auto"/>
            <w:noWrap/>
            <w:vAlign w:val="center"/>
          </w:tcPr>
          <w:p w14:paraId="01185B2E" w14:textId="7517C44D"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450</w:t>
            </w:r>
          </w:p>
        </w:tc>
        <w:tc>
          <w:tcPr>
            <w:tcW w:w="857" w:type="dxa"/>
            <w:tcBorders>
              <w:top w:val="nil"/>
              <w:left w:val="nil"/>
              <w:bottom w:val="single" w:sz="4" w:space="0" w:color="BFBFBF"/>
              <w:right w:val="single" w:sz="4" w:space="0" w:color="BFBFBF"/>
            </w:tcBorders>
            <w:shd w:val="clear" w:color="auto" w:fill="auto"/>
            <w:noWrap/>
            <w:vAlign w:val="center"/>
          </w:tcPr>
          <w:p w14:paraId="1E6EA0A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301</w:t>
            </w:r>
          </w:p>
        </w:tc>
        <w:tc>
          <w:tcPr>
            <w:tcW w:w="808" w:type="dxa"/>
            <w:tcBorders>
              <w:top w:val="nil"/>
              <w:left w:val="nil"/>
              <w:bottom w:val="single" w:sz="4" w:space="0" w:color="BFBFBF"/>
              <w:right w:val="single" w:sz="4" w:space="0" w:color="BFBFBF"/>
            </w:tcBorders>
            <w:shd w:val="clear" w:color="auto" w:fill="auto"/>
            <w:noWrap/>
            <w:vAlign w:val="center"/>
          </w:tcPr>
          <w:p w14:paraId="1516995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452</w:t>
            </w:r>
          </w:p>
        </w:tc>
        <w:tc>
          <w:tcPr>
            <w:tcW w:w="808" w:type="dxa"/>
            <w:tcBorders>
              <w:top w:val="nil"/>
              <w:left w:val="nil"/>
              <w:bottom w:val="single" w:sz="4" w:space="0" w:color="BFBFBF"/>
              <w:right w:val="nil"/>
            </w:tcBorders>
            <w:shd w:val="clear" w:color="auto" w:fill="auto"/>
            <w:noWrap/>
            <w:vAlign w:val="center"/>
          </w:tcPr>
          <w:p w14:paraId="1F06509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753</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04DFA0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A7E6A0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EB556A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4DCAC1B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675D939"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221B60D0" w14:textId="77777777" w:rsidR="004D177A" w:rsidRPr="00125162" w:rsidRDefault="004D177A" w:rsidP="00B7023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r>
              <w:rPr>
                <w:rFonts w:ascii="Arial" w:hAnsi="Arial" w:cs="Arial"/>
                <w:color w:val="000000"/>
                <w:sz w:val="16"/>
                <w:szCs w:val="16"/>
                <w:lang w:val="en-AU" w:eastAsia="en-AU"/>
              </w:rPr>
              <w:t>91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F5DBDD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96%</w:t>
            </w:r>
          </w:p>
        </w:tc>
        <w:tc>
          <w:tcPr>
            <w:tcW w:w="808" w:type="dxa"/>
            <w:tcBorders>
              <w:top w:val="nil"/>
              <w:left w:val="nil"/>
              <w:bottom w:val="single" w:sz="4" w:space="0" w:color="BFBFBF"/>
              <w:right w:val="double" w:sz="6" w:space="0" w:color="auto"/>
            </w:tcBorders>
            <w:shd w:val="clear" w:color="auto" w:fill="auto"/>
            <w:noWrap/>
            <w:vAlign w:val="center"/>
          </w:tcPr>
          <w:p w14:paraId="1A48B66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161</w:t>
            </w:r>
          </w:p>
        </w:tc>
      </w:tr>
      <w:tr w:rsidR="004D177A" w:rsidRPr="00125162" w14:paraId="40656455"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18BAC38E" w14:textId="77777777" w:rsidR="004D177A" w:rsidRPr="00125162" w:rsidRDefault="004D177A"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xml:space="preserve">By DHHS Area -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FECD5F5" w14:textId="3DBA460C"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single" w:sz="4" w:space="0" w:color="BFBFBF"/>
            </w:tcBorders>
            <w:shd w:val="clear" w:color="auto" w:fill="auto"/>
            <w:noWrap/>
            <w:vAlign w:val="center"/>
          </w:tcPr>
          <w:p w14:paraId="4BD8FAC2" w14:textId="50AC8319"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single" w:sz="4" w:space="0" w:color="auto"/>
            </w:tcBorders>
            <w:shd w:val="clear" w:color="auto" w:fill="auto"/>
            <w:noWrap/>
            <w:vAlign w:val="center"/>
          </w:tcPr>
          <w:p w14:paraId="5E18CDC0" w14:textId="5747AA09"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57" w:type="dxa"/>
            <w:tcBorders>
              <w:top w:val="nil"/>
              <w:left w:val="nil"/>
              <w:bottom w:val="single" w:sz="4" w:space="0" w:color="BFBFBF"/>
              <w:right w:val="single" w:sz="4" w:space="0" w:color="BFBFBF"/>
            </w:tcBorders>
            <w:shd w:val="clear" w:color="auto" w:fill="auto"/>
            <w:noWrap/>
            <w:vAlign w:val="center"/>
          </w:tcPr>
          <w:p w14:paraId="789A207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BDBFCF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5183C50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72A73B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2A5E29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70F35E2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top w:val="nil"/>
              <w:left w:val="nil"/>
              <w:bottom w:val="single" w:sz="4" w:space="0" w:color="BFBFBF"/>
              <w:right w:val="nil"/>
            </w:tcBorders>
            <w:shd w:val="clear" w:color="auto" w:fill="auto"/>
            <w:noWrap/>
            <w:vAlign w:val="center"/>
          </w:tcPr>
          <w:p w14:paraId="4370C69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87EFAB3"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1A648430"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D2FF32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538F6D6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4D177A" w:rsidRPr="00125162" w14:paraId="2CFAA239"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0CC6EF24"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Hume Moreland</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6D0FEE3" w14:textId="52720F3F"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369</w:t>
            </w:r>
          </w:p>
        </w:tc>
        <w:tc>
          <w:tcPr>
            <w:tcW w:w="808" w:type="dxa"/>
            <w:tcBorders>
              <w:top w:val="nil"/>
              <w:left w:val="nil"/>
              <w:bottom w:val="single" w:sz="4" w:space="0" w:color="BFBFBF"/>
              <w:right w:val="single" w:sz="4" w:space="0" w:color="BFBFBF"/>
            </w:tcBorders>
            <w:shd w:val="clear" w:color="auto" w:fill="auto"/>
            <w:noWrap/>
            <w:vAlign w:val="center"/>
          </w:tcPr>
          <w:p w14:paraId="5ACF16E4" w14:textId="632916E1"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469</w:t>
            </w:r>
          </w:p>
        </w:tc>
        <w:tc>
          <w:tcPr>
            <w:tcW w:w="808" w:type="dxa"/>
            <w:tcBorders>
              <w:top w:val="nil"/>
              <w:left w:val="nil"/>
              <w:bottom w:val="single" w:sz="4" w:space="0" w:color="BFBFBF"/>
              <w:right w:val="single" w:sz="4" w:space="0" w:color="auto"/>
            </w:tcBorders>
            <w:shd w:val="clear" w:color="auto" w:fill="auto"/>
            <w:noWrap/>
            <w:vAlign w:val="center"/>
          </w:tcPr>
          <w:p w14:paraId="55AE0D28" w14:textId="00336582"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873</w:t>
            </w:r>
          </w:p>
        </w:tc>
        <w:tc>
          <w:tcPr>
            <w:tcW w:w="857" w:type="dxa"/>
            <w:tcBorders>
              <w:top w:val="nil"/>
              <w:left w:val="nil"/>
              <w:bottom w:val="single" w:sz="4" w:space="0" w:color="BFBFBF"/>
              <w:right w:val="single" w:sz="4" w:space="0" w:color="BFBFBF"/>
            </w:tcBorders>
            <w:shd w:val="clear" w:color="auto" w:fill="auto"/>
            <w:noWrap/>
            <w:vAlign w:val="center"/>
          </w:tcPr>
          <w:p w14:paraId="113B99B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683CCD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7955BD5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94D10F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C90984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22F307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4762258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B47B5DE"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2918D41A"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88DA3B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CCF6FA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2A1DD5A5"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262E2EAA"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North Eastern Melbourne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4C0EDF3" w14:textId="3301FDC5"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441</w:t>
            </w:r>
          </w:p>
        </w:tc>
        <w:tc>
          <w:tcPr>
            <w:tcW w:w="808" w:type="dxa"/>
            <w:tcBorders>
              <w:top w:val="nil"/>
              <w:left w:val="nil"/>
              <w:bottom w:val="single" w:sz="4" w:space="0" w:color="BFBFBF"/>
              <w:right w:val="single" w:sz="4" w:space="0" w:color="BFBFBF"/>
            </w:tcBorders>
            <w:shd w:val="clear" w:color="auto" w:fill="auto"/>
            <w:noWrap/>
            <w:vAlign w:val="center"/>
          </w:tcPr>
          <w:p w14:paraId="087553FB" w14:textId="09F69AD6"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643</w:t>
            </w:r>
          </w:p>
        </w:tc>
        <w:tc>
          <w:tcPr>
            <w:tcW w:w="808" w:type="dxa"/>
            <w:tcBorders>
              <w:top w:val="nil"/>
              <w:left w:val="nil"/>
              <w:bottom w:val="single" w:sz="4" w:space="0" w:color="BFBFBF"/>
              <w:right w:val="single" w:sz="4" w:space="0" w:color="auto"/>
            </w:tcBorders>
            <w:shd w:val="clear" w:color="auto" w:fill="auto"/>
            <w:noWrap/>
            <w:vAlign w:val="center"/>
          </w:tcPr>
          <w:p w14:paraId="1823695A" w14:textId="2BD2AD51"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133</w:t>
            </w:r>
          </w:p>
        </w:tc>
        <w:tc>
          <w:tcPr>
            <w:tcW w:w="857" w:type="dxa"/>
            <w:tcBorders>
              <w:top w:val="nil"/>
              <w:left w:val="nil"/>
              <w:bottom w:val="single" w:sz="4" w:space="0" w:color="BFBFBF"/>
              <w:right w:val="single" w:sz="4" w:space="0" w:color="BFBFBF"/>
            </w:tcBorders>
            <w:shd w:val="clear" w:color="auto" w:fill="auto"/>
            <w:noWrap/>
            <w:vAlign w:val="center"/>
          </w:tcPr>
          <w:p w14:paraId="218D58C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693447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1AB5C32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A0D4F3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BA3ED5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AD4AA3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2B94211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CC6EA10"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260E5F2D"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066027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34793CC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2D73A729"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5599E0A0"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Outer </w:t>
            </w:r>
            <w:smartTag w:uri="urn:schemas-microsoft-com:office:smarttags" w:element="place">
              <w:r w:rsidRPr="00125162">
                <w:rPr>
                  <w:rFonts w:ascii="Arial" w:hAnsi="Arial" w:cs="Arial"/>
                  <w:color w:val="000000"/>
                  <w:sz w:val="16"/>
                  <w:szCs w:val="16"/>
                  <w:lang w:val="en-AU" w:eastAsia="en-AU"/>
                </w:rPr>
                <w:t>Eastern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B4B311F" w14:textId="0F89FDEE"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442</w:t>
            </w:r>
          </w:p>
        </w:tc>
        <w:tc>
          <w:tcPr>
            <w:tcW w:w="808" w:type="dxa"/>
            <w:tcBorders>
              <w:top w:val="nil"/>
              <w:left w:val="nil"/>
              <w:bottom w:val="single" w:sz="4" w:space="0" w:color="BFBFBF"/>
              <w:right w:val="single" w:sz="4" w:space="0" w:color="BFBFBF"/>
            </w:tcBorders>
            <w:shd w:val="clear" w:color="auto" w:fill="auto"/>
            <w:noWrap/>
            <w:vAlign w:val="center"/>
          </w:tcPr>
          <w:p w14:paraId="5EA82151" w14:textId="7DFC4A83"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608</w:t>
            </w:r>
          </w:p>
        </w:tc>
        <w:tc>
          <w:tcPr>
            <w:tcW w:w="808" w:type="dxa"/>
            <w:tcBorders>
              <w:top w:val="nil"/>
              <w:left w:val="nil"/>
              <w:bottom w:val="single" w:sz="4" w:space="0" w:color="BFBFBF"/>
              <w:right w:val="single" w:sz="4" w:space="0" w:color="auto"/>
            </w:tcBorders>
            <w:shd w:val="clear" w:color="auto" w:fill="auto"/>
            <w:noWrap/>
            <w:vAlign w:val="center"/>
          </w:tcPr>
          <w:p w14:paraId="7312FCF6" w14:textId="4C4FD344"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073</w:t>
            </w:r>
          </w:p>
        </w:tc>
        <w:tc>
          <w:tcPr>
            <w:tcW w:w="857" w:type="dxa"/>
            <w:tcBorders>
              <w:top w:val="nil"/>
              <w:left w:val="nil"/>
              <w:bottom w:val="single" w:sz="4" w:space="0" w:color="BFBFBF"/>
              <w:right w:val="single" w:sz="4" w:space="0" w:color="BFBFBF"/>
            </w:tcBorders>
            <w:shd w:val="clear" w:color="auto" w:fill="auto"/>
            <w:noWrap/>
            <w:vAlign w:val="center"/>
          </w:tcPr>
          <w:p w14:paraId="3A7F4FB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122247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55DE45F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B2F194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8E99EF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5856D2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4ABA880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1015A38"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5BEF02D7"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B4CCC8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C4FD38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0B6AC860"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48E088B1"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Inner </w:t>
            </w:r>
            <w:smartTag w:uri="urn:schemas-microsoft-com:office:smarttags" w:element="place">
              <w:r w:rsidRPr="00125162">
                <w:rPr>
                  <w:rFonts w:ascii="Arial" w:hAnsi="Arial" w:cs="Arial"/>
                  <w:color w:val="000000"/>
                  <w:sz w:val="16"/>
                  <w:szCs w:val="16"/>
                  <w:lang w:val="en-AU" w:eastAsia="en-AU"/>
                </w:rPr>
                <w:t>Eastern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8E8BC00" w14:textId="5BD7914D"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442</w:t>
            </w:r>
          </w:p>
        </w:tc>
        <w:tc>
          <w:tcPr>
            <w:tcW w:w="808" w:type="dxa"/>
            <w:tcBorders>
              <w:top w:val="nil"/>
              <w:left w:val="nil"/>
              <w:bottom w:val="single" w:sz="4" w:space="0" w:color="BFBFBF"/>
              <w:right w:val="single" w:sz="4" w:space="0" w:color="BFBFBF"/>
            </w:tcBorders>
            <w:shd w:val="clear" w:color="auto" w:fill="auto"/>
            <w:noWrap/>
            <w:vAlign w:val="center"/>
          </w:tcPr>
          <w:p w14:paraId="438133B3" w14:textId="07773A28"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540</w:t>
            </w:r>
          </w:p>
        </w:tc>
        <w:tc>
          <w:tcPr>
            <w:tcW w:w="808" w:type="dxa"/>
            <w:tcBorders>
              <w:top w:val="nil"/>
              <w:left w:val="nil"/>
              <w:bottom w:val="single" w:sz="4" w:space="0" w:color="BFBFBF"/>
              <w:right w:val="single" w:sz="4" w:space="0" w:color="auto"/>
            </w:tcBorders>
            <w:shd w:val="clear" w:color="auto" w:fill="auto"/>
            <w:noWrap/>
            <w:vAlign w:val="center"/>
          </w:tcPr>
          <w:p w14:paraId="4EA942DA" w14:textId="5D28AFA0"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961</w:t>
            </w:r>
          </w:p>
        </w:tc>
        <w:tc>
          <w:tcPr>
            <w:tcW w:w="857" w:type="dxa"/>
            <w:tcBorders>
              <w:top w:val="nil"/>
              <w:left w:val="nil"/>
              <w:bottom w:val="single" w:sz="4" w:space="0" w:color="BFBFBF"/>
              <w:right w:val="single" w:sz="4" w:space="0" w:color="BFBFBF"/>
            </w:tcBorders>
            <w:shd w:val="clear" w:color="auto" w:fill="auto"/>
            <w:noWrap/>
            <w:vAlign w:val="center"/>
          </w:tcPr>
          <w:p w14:paraId="4E76837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39DE65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4B99577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4BE3AB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0E046D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70997D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2612093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CF93A9C"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204A3729"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A32D41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B0073E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5F84973D"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1A95B690"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smartTag w:uri="urn:schemas-microsoft-com:office:smarttags" w:element="place">
              <w:r w:rsidRPr="00125162">
                <w:rPr>
                  <w:rFonts w:ascii="Arial" w:hAnsi="Arial" w:cs="Arial"/>
                  <w:color w:val="000000"/>
                  <w:sz w:val="16"/>
                  <w:szCs w:val="16"/>
                  <w:lang w:val="en-AU" w:eastAsia="en-AU"/>
                </w:rPr>
                <w:t>Southern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C8961D0" w14:textId="2F8FD1D1"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429</w:t>
            </w:r>
          </w:p>
        </w:tc>
        <w:tc>
          <w:tcPr>
            <w:tcW w:w="808" w:type="dxa"/>
            <w:tcBorders>
              <w:top w:val="nil"/>
              <w:left w:val="nil"/>
              <w:bottom w:val="single" w:sz="4" w:space="0" w:color="BFBFBF"/>
              <w:right w:val="single" w:sz="4" w:space="0" w:color="BFBFBF"/>
            </w:tcBorders>
            <w:shd w:val="clear" w:color="auto" w:fill="auto"/>
            <w:noWrap/>
            <w:vAlign w:val="center"/>
          </w:tcPr>
          <w:p w14:paraId="3D7A6EE9" w14:textId="794391BD"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697</w:t>
            </w:r>
          </w:p>
        </w:tc>
        <w:tc>
          <w:tcPr>
            <w:tcW w:w="808" w:type="dxa"/>
            <w:tcBorders>
              <w:top w:val="nil"/>
              <w:left w:val="nil"/>
              <w:bottom w:val="single" w:sz="4" w:space="0" w:color="BFBFBF"/>
              <w:right w:val="single" w:sz="4" w:space="0" w:color="auto"/>
            </w:tcBorders>
            <w:shd w:val="clear" w:color="auto" w:fill="auto"/>
            <w:noWrap/>
            <w:vAlign w:val="center"/>
          </w:tcPr>
          <w:p w14:paraId="1CFDAE59" w14:textId="2D68C58D"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126</w:t>
            </w:r>
          </w:p>
        </w:tc>
        <w:tc>
          <w:tcPr>
            <w:tcW w:w="857" w:type="dxa"/>
            <w:tcBorders>
              <w:top w:val="nil"/>
              <w:left w:val="nil"/>
              <w:bottom w:val="single" w:sz="4" w:space="0" w:color="BFBFBF"/>
              <w:right w:val="single" w:sz="4" w:space="0" w:color="BFBFBF"/>
            </w:tcBorders>
            <w:shd w:val="clear" w:color="auto" w:fill="auto"/>
            <w:noWrap/>
            <w:vAlign w:val="center"/>
          </w:tcPr>
          <w:p w14:paraId="4B164DA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1AE81F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0EBBFF2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D39282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4C652F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769655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2161501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D4B211C"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3641E7F8"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96CE2C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1456D7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5CB44690"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7CAADD6B"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Bayside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1FD4A82" w14:textId="1C83A5EA"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383</w:t>
            </w:r>
          </w:p>
        </w:tc>
        <w:tc>
          <w:tcPr>
            <w:tcW w:w="808" w:type="dxa"/>
            <w:tcBorders>
              <w:top w:val="nil"/>
              <w:left w:val="nil"/>
              <w:bottom w:val="single" w:sz="4" w:space="0" w:color="BFBFBF"/>
              <w:right w:val="single" w:sz="4" w:space="0" w:color="BFBFBF"/>
            </w:tcBorders>
            <w:shd w:val="clear" w:color="auto" w:fill="auto"/>
            <w:noWrap/>
            <w:vAlign w:val="center"/>
          </w:tcPr>
          <w:p w14:paraId="2D2021CA" w14:textId="46231527"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596</w:t>
            </w:r>
          </w:p>
        </w:tc>
        <w:tc>
          <w:tcPr>
            <w:tcW w:w="808" w:type="dxa"/>
            <w:tcBorders>
              <w:top w:val="nil"/>
              <w:left w:val="nil"/>
              <w:bottom w:val="single" w:sz="4" w:space="0" w:color="BFBFBF"/>
              <w:right w:val="single" w:sz="4" w:space="0" w:color="auto"/>
            </w:tcBorders>
            <w:shd w:val="clear" w:color="auto" w:fill="auto"/>
            <w:noWrap/>
            <w:vAlign w:val="center"/>
          </w:tcPr>
          <w:p w14:paraId="44BCFD94" w14:textId="276F70A4"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005</w:t>
            </w:r>
          </w:p>
        </w:tc>
        <w:tc>
          <w:tcPr>
            <w:tcW w:w="857" w:type="dxa"/>
            <w:tcBorders>
              <w:top w:val="nil"/>
              <w:left w:val="nil"/>
              <w:bottom w:val="single" w:sz="4" w:space="0" w:color="BFBFBF"/>
              <w:right w:val="single" w:sz="4" w:space="0" w:color="BFBFBF"/>
            </w:tcBorders>
            <w:shd w:val="clear" w:color="auto" w:fill="auto"/>
            <w:noWrap/>
            <w:vAlign w:val="center"/>
          </w:tcPr>
          <w:p w14:paraId="2158DD4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92D9D5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15FA2DC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9BB325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D860D0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AAF1AA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2A9DCF8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32F790A"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4F4325EF"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E132F9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115CF0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701E3557"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0B03E84B"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smartTag w:uri="urn:schemas-microsoft-com:office:smarttags" w:element="place">
              <w:r w:rsidRPr="00125162">
                <w:rPr>
                  <w:rFonts w:ascii="Arial" w:hAnsi="Arial" w:cs="Arial"/>
                  <w:color w:val="000000"/>
                  <w:sz w:val="16"/>
                  <w:szCs w:val="16"/>
                  <w:lang w:val="en-AU" w:eastAsia="en-AU"/>
                </w:rPr>
                <w:t>Western Melbourne</w:t>
              </w:r>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FF340E4" w14:textId="1958827E"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392</w:t>
            </w:r>
          </w:p>
        </w:tc>
        <w:tc>
          <w:tcPr>
            <w:tcW w:w="808" w:type="dxa"/>
            <w:tcBorders>
              <w:top w:val="nil"/>
              <w:left w:val="nil"/>
              <w:bottom w:val="single" w:sz="4" w:space="0" w:color="BFBFBF"/>
              <w:right w:val="single" w:sz="4" w:space="0" w:color="BFBFBF"/>
            </w:tcBorders>
            <w:shd w:val="clear" w:color="auto" w:fill="auto"/>
            <w:noWrap/>
            <w:vAlign w:val="center"/>
          </w:tcPr>
          <w:p w14:paraId="220D34C9" w14:textId="669228F7"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589</w:t>
            </w:r>
          </w:p>
        </w:tc>
        <w:tc>
          <w:tcPr>
            <w:tcW w:w="808" w:type="dxa"/>
            <w:tcBorders>
              <w:top w:val="nil"/>
              <w:left w:val="nil"/>
              <w:bottom w:val="single" w:sz="4" w:space="0" w:color="BFBFBF"/>
              <w:right w:val="single" w:sz="4" w:space="0" w:color="auto"/>
            </w:tcBorders>
            <w:shd w:val="clear" w:color="auto" w:fill="auto"/>
            <w:noWrap/>
            <w:vAlign w:val="center"/>
          </w:tcPr>
          <w:p w14:paraId="6FAEC135" w14:textId="794102D0"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026</w:t>
            </w:r>
          </w:p>
        </w:tc>
        <w:tc>
          <w:tcPr>
            <w:tcW w:w="857" w:type="dxa"/>
            <w:tcBorders>
              <w:top w:val="nil"/>
              <w:left w:val="nil"/>
              <w:bottom w:val="single" w:sz="4" w:space="0" w:color="BFBFBF"/>
              <w:right w:val="single" w:sz="4" w:space="0" w:color="BFBFBF"/>
            </w:tcBorders>
            <w:shd w:val="clear" w:color="auto" w:fill="auto"/>
            <w:noWrap/>
            <w:vAlign w:val="center"/>
          </w:tcPr>
          <w:p w14:paraId="1E37055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FD3C00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397AB0F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2E31D0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DDDDC6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35D381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3A3E31B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F06CF89"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4354BD98"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4FA4FC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31D2694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4571EDE7"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51F1354D"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Brimbank Melton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D96BDFD" w14:textId="375BCC65"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378</w:t>
            </w:r>
          </w:p>
        </w:tc>
        <w:tc>
          <w:tcPr>
            <w:tcW w:w="808" w:type="dxa"/>
            <w:tcBorders>
              <w:top w:val="nil"/>
              <w:left w:val="nil"/>
              <w:bottom w:val="single" w:sz="4" w:space="0" w:color="BFBFBF"/>
              <w:right w:val="single" w:sz="4" w:space="0" w:color="BFBFBF"/>
            </w:tcBorders>
            <w:shd w:val="clear" w:color="auto" w:fill="auto"/>
            <w:noWrap/>
            <w:vAlign w:val="center"/>
          </w:tcPr>
          <w:p w14:paraId="0B0365C9" w14:textId="0910115D"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739</w:t>
            </w:r>
          </w:p>
        </w:tc>
        <w:tc>
          <w:tcPr>
            <w:tcW w:w="808" w:type="dxa"/>
            <w:tcBorders>
              <w:top w:val="nil"/>
              <w:left w:val="nil"/>
              <w:bottom w:val="single" w:sz="4" w:space="0" w:color="BFBFBF"/>
              <w:right w:val="single" w:sz="4" w:space="0" w:color="auto"/>
            </w:tcBorders>
            <w:shd w:val="clear" w:color="auto" w:fill="auto"/>
            <w:noWrap/>
            <w:vAlign w:val="center"/>
          </w:tcPr>
          <w:p w14:paraId="1C647F74" w14:textId="4E15F174"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088</w:t>
            </w:r>
          </w:p>
        </w:tc>
        <w:tc>
          <w:tcPr>
            <w:tcW w:w="857" w:type="dxa"/>
            <w:tcBorders>
              <w:top w:val="nil"/>
              <w:left w:val="nil"/>
              <w:bottom w:val="single" w:sz="4" w:space="0" w:color="BFBFBF"/>
              <w:right w:val="single" w:sz="4" w:space="0" w:color="BFBFBF"/>
            </w:tcBorders>
            <w:shd w:val="clear" w:color="auto" w:fill="auto"/>
            <w:noWrap/>
            <w:vAlign w:val="center"/>
          </w:tcPr>
          <w:p w14:paraId="567A37C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9BB387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0E731A2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0BE547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0BAD8A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B15874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73F4ADF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CC32637"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359DD017"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244E07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764147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5A3CF59A"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3EC08B23"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Mallee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BA69DD8" w14:textId="73A22E9A"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610</w:t>
            </w:r>
          </w:p>
        </w:tc>
        <w:tc>
          <w:tcPr>
            <w:tcW w:w="808" w:type="dxa"/>
            <w:tcBorders>
              <w:top w:val="nil"/>
              <w:left w:val="nil"/>
              <w:bottom w:val="single" w:sz="4" w:space="0" w:color="BFBFBF"/>
              <w:right w:val="single" w:sz="4" w:space="0" w:color="BFBFBF"/>
            </w:tcBorders>
            <w:shd w:val="clear" w:color="auto" w:fill="auto"/>
            <w:noWrap/>
            <w:vAlign w:val="center"/>
          </w:tcPr>
          <w:p w14:paraId="42026965" w14:textId="28E53766"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873</w:t>
            </w:r>
          </w:p>
        </w:tc>
        <w:tc>
          <w:tcPr>
            <w:tcW w:w="808" w:type="dxa"/>
            <w:tcBorders>
              <w:top w:val="nil"/>
              <w:left w:val="nil"/>
              <w:bottom w:val="single" w:sz="4" w:space="0" w:color="BFBFBF"/>
              <w:right w:val="single" w:sz="4" w:space="0" w:color="auto"/>
            </w:tcBorders>
            <w:shd w:val="clear" w:color="auto" w:fill="auto"/>
            <w:noWrap/>
            <w:vAlign w:val="center"/>
          </w:tcPr>
          <w:p w14:paraId="71922054" w14:textId="3ADCCDC7"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468</w:t>
            </w:r>
          </w:p>
        </w:tc>
        <w:tc>
          <w:tcPr>
            <w:tcW w:w="857" w:type="dxa"/>
            <w:tcBorders>
              <w:top w:val="nil"/>
              <w:left w:val="nil"/>
              <w:bottom w:val="single" w:sz="4" w:space="0" w:color="BFBFBF"/>
              <w:right w:val="single" w:sz="4" w:space="0" w:color="BFBFBF"/>
            </w:tcBorders>
            <w:shd w:val="clear" w:color="auto" w:fill="auto"/>
            <w:noWrap/>
            <w:vAlign w:val="center"/>
          </w:tcPr>
          <w:p w14:paraId="0DEF322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C63AA8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0692DFC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B9EC49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4E951D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5F47AC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2F179C9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7DFBE80"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1D9C0653"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5AB5F1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A6CC7E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5EA0E51D"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6FA7003D"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Loddon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4C1288E" w14:textId="4A1CA869"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441</w:t>
            </w:r>
          </w:p>
        </w:tc>
        <w:tc>
          <w:tcPr>
            <w:tcW w:w="808" w:type="dxa"/>
            <w:tcBorders>
              <w:top w:val="nil"/>
              <w:left w:val="nil"/>
              <w:bottom w:val="single" w:sz="4" w:space="0" w:color="BFBFBF"/>
              <w:right w:val="single" w:sz="4" w:space="0" w:color="BFBFBF"/>
            </w:tcBorders>
            <w:shd w:val="clear" w:color="auto" w:fill="auto"/>
            <w:noWrap/>
            <w:vAlign w:val="center"/>
          </w:tcPr>
          <w:p w14:paraId="313DCE4A" w14:textId="6320BF61"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647</w:t>
            </w:r>
          </w:p>
        </w:tc>
        <w:tc>
          <w:tcPr>
            <w:tcW w:w="808" w:type="dxa"/>
            <w:tcBorders>
              <w:top w:val="nil"/>
              <w:left w:val="nil"/>
              <w:bottom w:val="single" w:sz="4" w:space="0" w:color="BFBFBF"/>
              <w:right w:val="single" w:sz="4" w:space="0" w:color="auto"/>
            </w:tcBorders>
            <w:shd w:val="clear" w:color="auto" w:fill="auto"/>
            <w:noWrap/>
            <w:vAlign w:val="center"/>
          </w:tcPr>
          <w:p w14:paraId="2B1FCCB8" w14:textId="43CF0E94"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101</w:t>
            </w:r>
          </w:p>
        </w:tc>
        <w:tc>
          <w:tcPr>
            <w:tcW w:w="857" w:type="dxa"/>
            <w:tcBorders>
              <w:top w:val="nil"/>
              <w:left w:val="nil"/>
              <w:bottom w:val="single" w:sz="4" w:space="0" w:color="BFBFBF"/>
              <w:right w:val="single" w:sz="4" w:space="0" w:color="BFBFBF"/>
            </w:tcBorders>
            <w:shd w:val="clear" w:color="auto" w:fill="auto"/>
            <w:noWrap/>
            <w:vAlign w:val="center"/>
          </w:tcPr>
          <w:p w14:paraId="7DFD6E8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E86406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7F60B58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C20283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8B2FCA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59266A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1C782CE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95F1114"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5F1EF578"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1BBE83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0C7735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5EC0319D"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5D8263D3"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125162">
                  <w:rPr>
                    <w:rFonts w:ascii="Arial" w:hAnsi="Arial" w:cs="Arial"/>
                    <w:color w:val="000000"/>
                    <w:sz w:val="16"/>
                    <w:szCs w:val="16"/>
                    <w:lang w:val="en-AU" w:eastAsia="en-AU"/>
                  </w:rPr>
                  <w:t>Murray</w:t>
                </w:r>
              </w:smartTag>
            </w:smartTag>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E3C6AC5" w14:textId="23F6CD04"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469</w:t>
            </w:r>
          </w:p>
        </w:tc>
        <w:tc>
          <w:tcPr>
            <w:tcW w:w="808" w:type="dxa"/>
            <w:tcBorders>
              <w:top w:val="nil"/>
              <w:left w:val="nil"/>
              <w:bottom w:val="single" w:sz="4" w:space="0" w:color="BFBFBF"/>
              <w:right w:val="single" w:sz="4" w:space="0" w:color="BFBFBF"/>
            </w:tcBorders>
            <w:shd w:val="clear" w:color="auto" w:fill="auto"/>
            <w:noWrap/>
            <w:vAlign w:val="center"/>
          </w:tcPr>
          <w:p w14:paraId="1ED8EE98" w14:textId="511622F9"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661</w:t>
            </w:r>
          </w:p>
        </w:tc>
        <w:tc>
          <w:tcPr>
            <w:tcW w:w="808" w:type="dxa"/>
            <w:tcBorders>
              <w:top w:val="nil"/>
              <w:left w:val="nil"/>
              <w:bottom w:val="single" w:sz="4" w:space="0" w:color="BFBFBF"/>
              <w:right w:val="single" w:sz="4" w:space="0" w:color="auto"/>
            </w:tcBorders>
            <w:shd w:val="clear" w:color="auto" w:fill="auto"/>
            <w:noWrap/>
            <w:vAlign w:val="center"/>
          </w:tcPr>
          <w:p w14:paraId="03460DC5" w14:textId="796F21F3"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136</w:t>
            </w:r>
          </w:p>
        </w:tc>
        <w:tc>
          <w:tcPr>
            <w:tcW w:w="857" w:type="dxa"/>
            <w:tcBorders>
              <w:top w:val="nil"/>
              <w:left w:val="nil"/>
              <w:bottom w:val="single" w:sz="4" w:space="0" w:color="BFBFBF"/>
              <w:right w:val="single" w:sz="4" w:space="0" w:color="BFBFBF"/>
            </w:tcBorders>
            <w:shd w:val="clear" w:color="auto" w:fill="auto"/>
            <w:noWrap/>
            <w:vAlign w:val="center"/>
          </w:tcPr>
          <w:p w14:paraId="318AFC2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BF8703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44F5A4C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EBE517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648E5E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5A993C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4598367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B6DDA33"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4058E378"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D1B3FB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96765F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41DB3FFF"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0E3C2F4D"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Goulburn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5EF5997" w14:textId="21D22DD8"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546</w:t>
            </w:r>
          </w:p>
        </w:tc>
        <w:tc>
          <w:tcPr>
            <w:tcW w:w="808" w:type="dxa"/>
            <w:tcBorders>
              <w:top w:val="nil"/>
              <w:left w:val="nil"/>
              <w:bottom w:val="single" w:sz="4" w:space="0" w:color="BFBFBF"/>
              <w:right w:val="single" w:sz="4" w:space="0" w:color="BFBFBF"/>
            </w:tcBorders>
            <w:shd w:val="clear" w:color="auto" w:fill="auto"/>
            <w:noWrap/>
            <w:vAlign w:val="center"/>
          </w:tcPr>
          <w:p w14:paraId="3A4CCDAC" w14:textId="77EA10DC"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791</w:t>
            </w:r>
          </w:p>
        </w:tc>
        <w:tc>
          <w:tcPr>
            <w:tcW w:w="808" w:type="dxa"/>
            <w:tcBorders>
              <w:top w:val="nil"/>
              <w:left w:val="nil"/>
              <w:bottom w:val="single" w:sz="4" w:space="0" w:color="BFBFBF"/>
              <w:right w:val="single" w:sz="4" w:space="0" w:color="auto"/>
            </w:tcBorders>
            <w:shd w:val="clear" w:color="auto" w:fill="auto"/>
            <w:noWrap/>
            <w:vAlign w:val="center"/>
          </w:tcPr>
          <w:p w14:paraId="2F7B14D4" w14:textId="37764D7B"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325</w:t>
            </w:r>
          </w:p>
        </w:tc>
        <w:tc>
          <w:tcPr>
            <w:tcW w:w="857" w:type="dxa"/>
            <w:tcBorders>
              <w:top w:val="nil"/>
              <w:left w:val="nil"/>
              <w:bottom w:val="single" w:sz="4" w:space="0" w:color="BFBFBF"/>
              <w:right w:val="single" w:sz="4" w:space="0" w:color="BFBFBF"/>
            </w:tcBorders>
            <w:shd w:val="clear" w:color="auto" w:fill="auto"/>
            <w:noWrap/>
            <w:vAlign w:val="center"/>
          </w:tcPr>
          <w:p w14:paraId="1FDADE9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A99E49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6CE3C60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931E65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A5DAC8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6B0C80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06F6A09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E7B97D9"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267D3541"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C70B4C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7AD4695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74B1EB17"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1332F56D"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Outer Gippsland</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4FE1DA2" w14:textId="59E1B011"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529</w:t>
            </w:r>
          </w:p>
        </w:tc>
        <w:tc>
          <w:tcPr>
            <w:tcW w:w="808" w:type="dxa"/>
            <w:tcBorders>
              <w:top w:val="nil"/>
              <w:left w:val="nil"/>
              <w:bottom w:val="single" w:sz="4" w:space="0" w:color="BFBFBF"/>
              <w:right w:val="single" w:sz="4" w:space="0" w:color="BFBFBF"/>
            </w:tcBorders>
            <w:shd w:val="clear" w:color="auto" w:fill="auto"/>
            <w:noWrap/>
            <w:vAlign w:val="center"/>
          </w:tcPr>
          <w:p w14:paraId="43C38AD2" w14:textId="3E257880"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819</w:t>
            </w:r>
          </w:p>
        </w:tc>
        <w:tc>
          <w:tcPr>
            <w:tcW w:w="808" w:type="dxa"/>
            <w:tcBorders>
              <w:top w:val="nil"/>
              <w:left w:val="nil"/>
              <w:bottom w:val="single" w:sz="4" w:space="0" w:color="BFBFBF"/>
              <w:right w:val="single" w:sz="4" w:space="0" w:color="auto"/>
            </w:tcBorders>
            <w:shd w:val="clear" w:color="auto" w:fill="auto"/>
            <w:noWrap/>
            <w:vAlign w:val="center"/>
          </w:tcPr>
          <w:p w14:paraId="3FB17241" w14:textId="5087383B"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329</w:t>
            </w:r>
          </w:p>
        </w:tc>
        <w:tc>
          <w:tcPr>
            <w:tcW w:w="857" w:type="dxa"/>
            <w:tcBorders>
              <w:top w:val="nil"/>
              <w:left w:val="nil"/>
              <w:bottom w:val="single" w:sz="4" w:space="0" w:color="BFBFBF"/>
              <w:right w:val="single" w:sz="4" w:space="0" w:color="BFBFBF"/>
            </w:tcBorders>
            <w:shd w:val="clear" w:color="auto" w:fill="auto"/>
            <w:noWrap/>
            <w:vAlign w:val="center"/>
          </w:tcPr>
          <w:p w14:paraId="15790AE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FA3C08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81D732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CD85C6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35E2AE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EA06B9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5B4D000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407343C"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136BA8E8"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43B8E3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BCBCE3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3B6A4BB4"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6894C185"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Inner Gippsland</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DD10860" w14:textId="007CCB89"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462</w:t>
            </w:r>
          </w:p>
        </w:tc>
        <w:tc>
          <w:tcPr>
            <w:tcW w:w="808" w:type="dxa"/>
            <w:tcBorders>
              <w:top w:val="nil"/>
              <w:left w:val="nil"/>
              <w:bottom w:val="single" w:sz="4" w:space="0" w:color="BFBFBF"/>
              <w:right w:val="single" w:sz="4" w:space="0" w:color="BFBFBF"/>
            </w:tcBorders>
            <w:shd w:val="clear" w:color="auto" w:fill="auto"/>
            <w:noWrap/>
            <w:vAlign w:val="center"/>
          </w:tcPr>
          <w:p w14:paraId="473B046B" w14:textId="5B2472D2"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697</w:t>
            </w:r>
          </w:p>
        </w:tc>
        <w:tc>
          <w:tcPr>
            <w:tcW w:w="808" w:type="dxa"/>
            <w:tcBorders>
              <w:top w:val="nil"/>
              <w:left w:val="nil"/>
              <w:bottom w:val="single" w:sz="4" w:space="0" w:color="BFBFBF"/>
              <w:right w:val="single" w:sz="4" w:space="0" w:color="auto"/>
            </w:tcBorders>
            <w:shd w:val="clear" w:color="auto" w:fill="auto"/>
            <w:noWrap/>
            <w:vAlign w:val="center"/>
          </w:tcPr>
          <w:p w14:paraId="3E2569E4" w14:textId="6E851363"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224</w:t>
            </w:r>
          </w:p>
        </w:tc>
        <w:tc>
          <w:tcPr>
            <w:tcW w:w="857" w:type="dxa"/>
            <w:tcBorders>
              <w:top w:val="nil"/>
              <w:left w:val="nil"/>
              <w:bottom w:val="single" w:sz="4" w:space="0" w:color="BFBFBF"/>
              <w:right w:val="single" w:sz="4" w:space="0" w:color="BFBFBF"/>
            </w:tcBorders>
            <w:shd w:val="clear" w:color="auto" w:fill="auto"/>
            <w:noWrap/>
            <w:vAlign w:val="center"/>
          </w:tcPr>
          <w:p w14:paraId="3C5C34A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85DE3C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04F8511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54AB1B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D91CB8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D3A878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096F60A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0DBA922"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55F4353F"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4AB9F0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701CEE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3D4EC574"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77E71A8B"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Western District</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7F244BF" w14:textId="59B6AC3E"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354</w:t>
            </w:r>
          </w:p>
        </w:tc>
        <w:tc>
          <w:tcPr>
            <w:tcW w:w="808" w:type="dxa"/>
            <w:tcBorders>
              <w:top w:val="nil"/>
              <w:left w:val="nil"/>
              <w:bottom w:val="single" w:sz="4" w:space="0" w:color="BFBFBF"/>
              <w:right w:val="single" w:sz="4" w:space="0" w:color="BFBFBF"/>
            </w:tcBorders>
            <w:shd w:val="clear" w:color="auto" w:fill="auto"/>
            <w:noWrap/>
            <w:vAlign w:val="center"/>
          </w:tcPr>
          <w:p w14:paraId="24445623" w14:textId="610020A3"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612</w:t>
            </w:r>
          </w:p>
        </w:tc>
        <w:tc>
          <w:tcPr>
            <w:tcW w:w="808" w:type="dxa"/>
            <w:tcBorders>
              <w:top w:val="nil"/>
              <w:left w:val="nil"/>
              <w:bottom w:val="single" w:sz="4" w:space="0" w:color="BFBFBF"/>
              <w:right w:val="single" w:sz="4" w:space="0" w:color="auto"/>
            </w:tcBorders>
            <w:shd w:val="clear" w:color="auto" w:fill="auto"/>
            <w:noWrap/>
            <w:vAlign w:val="center"/>
          </w:tcPr>
          <w:p w14:paraId="6CA95534" w14:textId="249FCA70"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983</w:t>
            </w:r>
          </w:p>
        </w:tc>
        <w:tc>
          <w:tcPr>
            <w:tcW w:w="857" w:type="dxa"/>
            <w:tcBorders>
              <w:top w:val="nil"/>
              <w:left w:val="nil"/>
              <w:bottom w:val="single" w:sz="4" w:space="0" w:color="BFBFBF"/>
              <w:right w:val="single" w:sz="4" w:space="0" w:color="BFBFBF"/>
            </w:tcBorders>
            <w:shd w:val="clear" w:color="auto" w:fill="auto"/>
            <w:noWrap/>
            <w:vAlign w:val="center"/>
          </w:tcPr>
          <w:p w14:paraId="3736999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4AEE65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04C738B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9D7F5F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D04AA2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700595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436FF07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867DB5E"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03578775"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FF452F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B1FC82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28A6D306"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11F9D706"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Barwon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8BAB987" w14:textId="44CBA2CD"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358</w:t>
            </w:r>
          </w:p>
        </w:tc>
        <w:tc>
          <w:tcPr>
            <w:tcW w:w="808" w:type="dxa"/>
            <w:tcBorders>
              <w:top w:val="nil"/>
              <w:left w:val="nil"/>
              <w:bottom w:val="single" w:sz="4" w:space="0" w:color="BFBFBF"/>
              <w:right w:val="single" w:sz="4" w:space="0" w:color="BFBFBF"/>
            </w:tcBorders>
            <w:shd w:val="clear" w:color="auto" w:fill="auto"/>
            <w:noWrap/>
            <w:vAlign w:val="center"/>
          </w:tcPr>
          <w:p w14:paraId="6E6C3A4B" w14:textId="2965B2A0"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611</w:t>
            </w:r>
          </w:p>
        </w:tc>
        <w:tc>
          <w:tcPr>
            <w:tcW w:w="808" w:type="dxa"/>
            <w:tcBorders>
              <w:top w:val="nil"/>
              <w:left w:val="nil"/>
              <w:bottom w:val="single" w:sz="4" w:space="0" w:color="BFBFBF"/>
              <w:right w:val="single" w:sz="4" w:space="0" w:color="auto"/>
            </w:tcBorders>
            <w:shd w:val="clear" w:color="auto" w:fill="auto"/>
            <w:noWrap/>
            <w:vAlign w:val="center"/>
          </w:tcPr>
          <w:p w14:paraId="49054FAC" w14:textId="4F83BCCB"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975</w:t>
            </w:r>
          </w:p>
        </w:tc>
        <w:tc>
          <w:tcPr>
            <w:tcW w:w="857" w:type="dxa"/>
            <w:tcBorders>
              <w:top w:val="nil"/>
              <w:left w:val="nil"/>
              <w:bottom w:val="single" w:sz="4" w:space="0" w:color="BFBFBF"/>
              <w:right w:val="single" w:sz="4" w:space="0" w:color="BFBFBF"/>
            </w:tcBorders>
            <w:shd w:val="clear" w:color="auto" w:fill="auto"/>
            <w:noWrap/>
            <w:vAlign w:val="center"/>
          </w:tcPr>
          <w:p w14:paraId="6BCE603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74DD29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F94656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B0256D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3CA41B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147A13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0401448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FAEBEB1"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2DD6695D"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594DF3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B431C7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6BE8804F"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bottom"/>
          </w:tcPr>
          <w:p w14:paraId="22FA5AF5"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Central Highlands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980314E" w14:textId="5BAA09C6"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448</w:t>
            </w:r>
          </w:p>
        </w:tc>
        <w:tc>
          <w:tcPr>
            <w:tcW w:w="808" w:type="dxa"/>
            <w:tcBorders>
              <w:top w:val="nil"/>
              <w:left w:val="nil"/>
              <w:bottom w:val="single" w:sz="4" w:space="0" w:color="BFBFBF"/>
              <w:right w:val="single" w:sz="4" w:space="0" w:color="BFBFBF"/>
            </w:tcBorders>
            <w:shd w:val="clear" w:color="auto" w:fill="auto"/>
            <w:noWrap/>
            <w:vAlign w:val="center"/>
          </w:tcPr>
          <w:p w14:paraId="45F08867" w14:textId="02AE8BAA"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683</w:t>
            </w:r>
          </w:p>
        </w:tc>
        <w:tc>
          <w:tcPr>
            <w:tcW w:w="808" w:type="dxa"/>
            <w:tcBorders>
              <w:top w:val="nil"/>
              <w:left w:val="nil"/>
              <w:bottom w:val="single" w:sz="4" w:space="0" w:color="BFBFBF"/>
              <w:right w:val="single" w:sz="4" w:space="0" w:color="auto"/>
            </w:tcBorders>
            <w:shd w:val="clear" w:color="auto" w:fill="auto"/>
            <w:noWrap/>
            <w:vAlign w:val="center"/>
          </w:tcPr>
          <w:p w14:paraId="37ADB60E" w14:textId="0245A2A6"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117</w:t>
            </w:r>
          </w:p>
        </w:tc>
        <w:tc>
          <w:tcPr>
            <w:tcW w:w="857" w:type="dxa"/>
            <w:tcBorders>
              <w:top w:val="nil"/>
              <w:left w:val="nil"/>
              <w:bottom w:val="single" w:sz="4" w:space="0" w:color="BFBFBF"/>
              <w:right w:val="single" w:sz="4" w:space="0" w:color="BFBFBF"/>
            </w:tcBorders>
            <w:shd w:val="clear" w:color="auto" w:fill="auto"/>
            <w:noWrap/>
            <w:vAlign w:val="center"/>
          </w:tcPr>
          <w:p w14:paraId="1E2DFA6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4EAECB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3874ED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8E96B3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DC2411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049019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nil"/>
              <w:bottom w:val="single" w:sz="4" w:space="0" w:color="BFBFBF"/>
              <w:right w:val="nil"/>
            </w:tcBorders>
            <w:shd w:val="clear" w:color="auto" w:fill="auto"/>
            <w:noWrap/>
            <w:vAlign w:val="center"/>
          </w:tcPr>
          <w:p w14:paraId="7BCE50E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50261FE"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37763068"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C2BC52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637F61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4D177A" w:rsidRPr="00125162" w14:paraId="27AAAAB7"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518F3A21" w14:textId="77777777" w:rsidR="004D177A" w:rsidRPr="00125162" w:rsidRDefault="004D177A"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Concession Status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EB5DF53" w14:textId="2C2B42DC"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single" w:sz="4" w:space="0" w:color="BFBFBF"/>
            </w:tcBorders>
            <w:shd w:val="clear" w:color="auto" w:fill="auto"/>
            <w:noWrap/>
            <w:vAlign w:val="center"/>
          </w:tcPr>
          <w:p w14:paraId="22455D1A" w14:textId="1FAEB5BE"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single" w:sz="4" w:space="0" w:color="auto"/>
            </w:tcBorders>
            <w:shd w:val="clear" w:color="auto" w:fill="auto"/>
            <w:noWrap/>
            <w:vAlign w:val="center"/>
          </w:tcPr>
          <w:p w14:paraId="5A11824A" w14:textId="00976911"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57" w:type="dxa"/>
            <w:tcBorders>
              <w:top w:val="nil"/>
              <w:left w:val="nil"/>
              <w:bottom w:val="single" w:sz="4" w:space="0" w:color="BFBFBF"/>
              <w:right w:val="single" w:sz="4" w:space="0" w:color="BFBFBF"/>
            </w:tcBorders>
            <w:shd w:val="clear" w:color="auto" w:fill="auto"/>
            <w:noWrap/>
            <w:vAlign w:val="center"/>
          </w:tcPr>
          <w:p w14:paraId="6CC0348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4AC5BF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034FDCE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9D983A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89C3DF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3D02023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top w:val="nil"/>
              <w:left w:val="nil"/>
              <w:bottom w:val="single" w:sz="4" w:space="0" w:color="BFBFBF"/>
              <w:right w:val="nil"/>
            </w:tcBorders>
            <w:shd w:val="clear" w:color="auto" w:fill="auto"/>
            <w:noWrap/>
            <w:vAlign w:val="center"/>
          </w:tcPr>
          <w:p w14:paraId="111C283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03F81DA"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1F6540B2"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A6F9E7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772027F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4D177A" w:rsidRPr="00125162" w14:paraId="49825C1B"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596402EC"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Aged Concession HHs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CD10CC5" w14:textId="49986A88"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364</w:t>
            </w:r>
          </w:p>
        </w:tc>
        <w:tc>
          <w:tcPr>
            <w:tcW w:w="808" w:type="dxa"/>
            <w:tcBorders>
              <w:top w:val="nil"/>
              <w:left w:val="nil"/>
              <w:bottom w:val="single" w:sz="4" w:space="0" w:color="BFBFBF"/>
              <w:right w:val="single" w:sz="4" w:space="0" w:color="BFBFBF"/>
            </w:tcBorders>
            <w:shd w:val="clear" w:color="auto" w:fill="auto"/>
            <w:noWrap/>
            <w:vAlign w:val="center"/>
          </w:tcPr>
          <w:p w14:paraId="2AE3D721" w14:textId="4898D9EA"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523</w:t>
            </w:r>
          </w:p>
        </w:tc>
        <w:tc>
          <w:tcPr>
            <w:tcW w:w="808" w:type="dxa"/>
            <w:tcBorders>
              <w:top w:val="nil"/>
              <w:left w:val="nil"/>
              <w:bottom w:val="single" w:sz="4" w:space="0" w:color="BFBFBF"/>
              <w:right w:val="single" w:sz="4" w:space="0" w:color="auto"/>
            </w:tcBorders>
            <w:shd w:val="clear" w:color="auto" w:fill="auto"/>
            <w:noWrap/>
            <w:vAlign w:val="center"/>
          </w:tcPr>
          <w:p w14:paraId="01C0E6AE" w14:textId="570A3F31"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916</w:t>
            </w:r>
          </w:p>
        </w:tc>
        <w:tc>
          <w:tcPr>
            <w:tcW w:w="857" w:type="dxa"/>
            <w:tcBorders>
              <w:top w:val="nil"/>
              <w:left w:val="nil"/>
              <w:bottom w:val="single" w:sz="4" w:space="0" w:color="BFBFBF"/>
              <w:right w:val="single" w:sz="4" w:space="0" w:color="BFBFBF"/>
            </w:tcBorders>
            <w:shd w:val="clear" w:color="auto" w:fill="auto"/>
            <w:noWrap/>
            <w:vAlign w:val="center"/>
          </w:tcPr>
          <w:p w14:paraId="605E64F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210</w:t>
            </w:r>
          </w:p>
        </w:tc>
        <w:tc>
          <w:tcPr>
            <w:tcW w:w="808" w:type="dxa"/>
            <w:tcBorders>
              <w:top w:val="nil"/>
              <w:left w:val="nil"/>
              <w:bottom w:val="single" w:sz="4" w:space="0" w:color="BFBFBF"/>
              <w:right w:val="single" w:sz="4" w:space="0" w:color="BFBFBF"/>
            </w:tcBorders>
            <w:shd w:val="clear" w:color="auto" w:fill="auto"/>
            <w:noWrap/>
            <w:vAlign w:val="center"/>
          </w:tcPr>
          <w:p w14:paraId="2053798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321</w:t>
            </w:r>
          </w:p>
        </w:tc>
        <w:tc>
          <w:tcPr>
            <w:tcW w:w="808" w:type="dxa"/>
            <w:tcBorders>
              <w:top w:val="nil"/>
              <w:left w:val="nil"/>
              <w:bottom w:val="single" w:sz="4" w:space="0" w:color="BFBFBF"/>
              <w:right w:val="nil"/>
            </w:tcBorders>
            <w:shd w:val="clear" w:color="auto" w:fill="auto"/>
            <w:noWrap/>
            <w:vAlign w:val="center"/>
          </w:tcPr>
          <w:p w14:paraId="3D6AD45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531</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660D75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269</w:t>
            </w:r>
          </w:p>
        </w:tc>
        <w:tc>
          <w:tcPr>
            <w:tcW w:w="808" w:type="dxa"/>
            <w:tcBorders>
              <w:top w:val="nil"/>
              <w:left w:val="nil"/>
              <w:bottom w:val="single" w:sz="4" w:space="0" w:color="BFBFBF"/>
              <w:right w:val="single" w:sz="4" w:space="0" w:color="BFBFBF"/>
            </w:tcBorders>
            <w:shd w:val="clear" w:color="auto" w:fill="auto"/>
            <w:noWrap/>
            <w:vAlign w:val="center"/>
          </w:tcPr>
          <w:p w14:paraId="0C31CDE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398</w:t>
            </w:r>
          </w:p>
        </w:tc>
        <w:tc>
          <w:tcPr>
            <w:tcW w:w="808" w:type="dxa"/>
            <w:tcBorders>
              <w:top w:val="nil"/>
              <w:left w:val="nil"/>
              <w:bottom w:val="single" w:sz="4" w:space="0" w:color="BFBFBF"/>
              <w:right w:val="single" w:sz="4" w:space="0" w:color="auto"/>
            </w:tcBorders>
            <w:shd w:val="clear" w:color="auto" w:fill="auto"/>
            <w:noWrap/>
            <w:vAlign w:val="center"/>
          </w:tcPr>
          <w:p w14:paraId="6DB480E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666</w:t>
            </w:r>
          </w:p>
        </w:tc>
        <w:tc>
          <w:tcPr>
            <w:tcW w:w="826" w:type="dxa"/>
            <w:tcBorders>
              <w:top w:val="nil"/>
              <w:left w:val="nil"/>
              <w:bottom w:val="single" w:sz="4" w:space="0" w:color="BFBFBF"/>
              <w:right w:val="nil"/>
            </w:tcBorders>
            <w:shd w:val="clear" w:color="auto" w:fill="auto"/>
            <w:noWrap/>
            <w:vAlign w:val="center"/>
          </w:tcPr>
          <w:p w14:paraId="40C1753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507</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8BB4082"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22A6A088"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D694B0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6" w:space="0" w:color="auto"/>
            </w:tcBorders>
            <w:shd w:val="clear" w:color="auto" w:fill="auto"/>
            <w:noWrap/>
            <w:vAlign w:val="center"/>
          </w:tcPr>
          <w:p w14:paraId="7B716D7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153</w:t>
            </w:r>
          </w:p>
        </w:tc>
      </w:tr>
      <w:tr w:rsidR="004D177A" w:rsidRPr="00125162" w14:paraId="6B52E620"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29144FDA"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Other Concession HHs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B482215" w14:textId="5D6BB9EA"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412</w:t>
            </w:r>
          </w:p>
        </w:tc>
        <w:tc>
          <w:tcPr>
            <w:tcW w:w="808" w:type="dxa"/>
            <w:tcBorders>
              <w:top w:val="nil"/>
              <w:left w:val="nil"/>
              <w:bottom w:val="single" w:sz="4" w:space="0" w:color="BFBFBF"/>
              <w:right w:val="single" w:sz="4" w:space="0" w:color="BFBFBF"/>
            </w:tcBorders>
            <w:shd w:val="clear" w:color="auto" w:fill="auto"/>
            <w:noWrap/>
            <w:vAlign w:val="center"/>
          </w:tcPr>
          <w:p w14:paraId="695048D5" w14:textId="04576D05"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607</w:t>
            </w:r>
          </w:p>
        </w:tc>
        <w:tc>
          <w:tcPr>
            <w:tcW w:w="808" w:type="dxa"/>
            <w:tcBorders>
              <w:top w:val="nil"/>
              <w:left w:val="nil"/>
              <w:bottom w:val="single" w:sz="4" w:space="0" w:color="BFBFBF"/>
              <w:right w:val="single" w:sz="4" w:space="0" w:color="auto"/>
            </w:tcBorders>
            <w:shd w:val="clear" w:color="auto" w:fill="auto"/>
            <w:noWrap/>
            <w:vAlign w:val="center"/>
          </w:tcPr>
          <w:p w14:paraId="4806FEFA" w14:textId="447D5A26"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051</w:t>
            </w:r>
          </w:p>
        </w:tc>
        <w:tc>
          <w:tcPr>
            <w:tcW w:w="857" w:type="dxa"/>
            <w:tcBorders>
              <w:top w:val="nil"/>
              <w:left w:val="nil"/>
              <w:bottom w:val="single" w:sz="4" w:space="0" w:color="BFBFBF"/>
              <w:right w:val="single" w:sz="4" w:space="0" w:color="BFBFBF"/>
            </w:tcBorders>
            <w:shd w:val="clear" w:color="auto" w:fill="auto"/>
            <w:noWrap/>
            <w:vAlign w:val="center"/>
          </w:tcPr>
          <w:p w14:paraId="4F70905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256</w:t>
            </w:r>
          </w:p>
        </w:tc>
        <w:tc>
          <w:tcPr>
            <w:tcW w:w="808" w:type="dxa"/>
            <w:tcBorders>
              <w:top w:val="nil"/>
              <w:left w:val="nil"/>
              <w:bottom w:val="single" w:sz="4" w:space="0" w:color="BFBFBF"/>
              <w:right w:val="single" w:sz="4" w:space="0" w:color="BFBFBF"/>
            </w:tcBorders>
            <w:shd w:val="clear" w:color="auto" w:fill="auto"/>
            <w:noWrap/>
            <w:vAlign w:val="center"/>
          </w:tcPr>
          <w:p w14:paraId="2C5F2DE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377</w:t>
            </w:r>
          </w:p>
        </w:tc>
        <w:tc>
          <w:tcPr>
            <w:tcW w:w="808" w:type="dxa"/>
            <w:tcBorders>
              <w:top w:val="nil"/>
              <w:left w:val="nil"/>
              <w:bottom w:val="single" w:sz="4" w:space="0" w:color="BFBFBF"/>
              <w:right w:val="nil"/>
            </w:tcBorders>
            <w:shd w:val="clear" w:color="auto" w:fill="auto"/>
            <w:noWrap/>
            <w:vAlign w:val="center"/>
          </w:tcPr>
          <w:p w14:paraId="5A71DDC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633</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D54E3D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301</w:t>
            </w:r>
          </w:p>
        </w:tc>
        <w:tc>
          <w:tcPr>
            <w:tcW w:w="808" w:type="dxa"/>
            <w:tcBorders>
              <w:top w:val="nil"/>
              <w:left w:val="nil"/>
              <w:bottom w:val="single" w:sz="4" w:space="0" w:color="BFBFBF"/>
              <w:right w:val="single" w:sz="4" w:space="0" w:color="BFBFBF"/>
            </w:tcBorders>
            <w:shd w:val="clear" w:color="auto" w:fill="auto"/>
            <w:noWrap/>
            <w:vAlign w:val="center"/>
          </w:tcPr>
          <w:p w14:paraId="1CB6A2A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427</w:t>
            </w:r>
          </w:p>
        </w:tc>
        <w:tc>
          <w:tcPr>
            <w:tcW w:w="808" w:type="dxa"/>
            <w:tcBorders>
              <w:top w:val="nil"/>
              <w:left w:val="nil"/>
              <w:bottom w:val="single" w:sz="4" w:space="0" w:color="BFBFBF"/>
              <w:right w:val="single" w:sz="4" w:space="0" w:color="auto"/>
            </w:tcBorders>
            <w:shd w:val="clear" w:color="auto" w:fill="auto"/>
            <w:noWrap/>
            <w:vAlign w:val="center"/>
          </w:tcPr>
          <w:p w14:paraId="258B975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728</w:t>
            </w:r>
          </w:p>
        </w:tc>
        <w:tc>
          <w:tcPr>
            <w:tcW w:w="826" w:type="dxa"/>
            <w:tcBorders>
              <w:top w:val="nil"/>
              <w:left w:val="nil"/>
              <w:bottom w:val="single" w:sz="4" w:space="0" w:color="BFBFBF"/>
              <w:right w:val="nil"/>
            </w:tcBorders>
            <w:shd w:val="clear" w:color="auto" w:fill="auto"/>
            <w:noWrap/>
            <w:vAlign w:val="center"/>
          </w:tcPr>
          <w:p w14:paraId="773901C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555</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105F2BA"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3C3DB5B1"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670254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nil"/>
              <w:left w:val="nil"/>
              <w:bottom w:val="single" w:sz="4" w:space="0" w:color="BFBFBF"/>
              <w:right w:val="double" w:sz="6" w:space="0" w:color="auto"/>
            </w:tcBorders>
            <w:shd w:val="clear" w:color="auto" w:fill="auto"/>
            <w:noWrap/>
            <w:vAlign w:val="center"/>
          </w:tcPr>
          <w:p w14:paraId="37524CA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156</w:t>
            </w:r>
          </w:p>
        </w:tc>
      </w:tr>
      <w:tr w:rsidR="004D177A" w:rsidRPr="00125162" w14:paraId="028EAFEB"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66533C74"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Total Concession HHs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2431E76" w14:textId="7DECB4B6"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388</w:t>
            </w:r>
          </w:p>
        </w:tc>
        <w:tc>
          <w:tcPr>
            <w:tcW w:w="808" w:type="dxa"/>
            <w:tcBorders>
              <w:top w:val="nil"/>
              <w:left w:val="nil"/>
              <w:bottom w:val="single" w:sz="4" w:space="0" w:color="BFBFBF"/>
              <w:right w:val="single" w:sz="4" w:space="0" w:color="BFBFBF"/>
            </w:tcBorders>
            <w:shd w:val="clear" w:color="auto" w:fill="auto"/>
            <w:noWrap/>
            <w:vAlign w:val="center"/>
          </w:tcPr>
          <w:p w14:paraId="03F45310" w14:textId="5EC4DE92"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565</w:t>
            </w:r>
          </w:p>
        </w:tc>
        <w:tc>
          <w:tcPr>
            <w:tcW w:w="808" w:type="dxa"/>
            <w:tcBorders>
              <w:top w:val="nil"/>
              <w:left w:val="nil"/>
              <w:bottom w:val="single" w:sz="4" w:space="0" w:color="BFBFBF"/>
              <w:right w:val="single" w:sz="4" w:space="0" w:color="auto"/>
            </w:tcBorders>
            <w:shd w:val="clear" w:color="auto" w:fill="auto"/>
            <w:noWrap/>
            <w:vAlign w:val="center"/>
          </w:tcPr>
          <w:p w14:paraId="4F233725" w14:textId="010E6758"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982</w:t>
            </w:r>
          </w:p>
        </w:tc>
        <w:tc>
          <w:tcPr>
            <w:tcW w:w="857" w:type="dxa"/>
            <w:tcBorders>
              <w:top w:val="nil"/>
              <w:left w:val="nil"/>
              <w:bottom w:val="single" w:sz="4" w:space="0" w:color="BFBFBF"/>
              <w:right w:val="single" w:sz="4" w:space="0" w:color="BFBFBF"/>
            </w:tcBorders>
            <w:shd w:val="clear" w:color="auto" w:fill="auto"/>
            <w:noWrap/>
            <w:vAlign w:val="center"/>
          </w:tcPr>
          <w:p w14:paraId="1507785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232</w:t>
            </w:r>
          </w:p>
        </w:tc>
        <w:tc>
          <w:tcPr>
            <w:tcW w:w="808" w:type="dxa"/>
            <w:tcBorders>
              <w:top w:val="nil"/>
              <w:left w:val="nil"/>
              <w:bottom w:val="single" w:sz="4" w:space="0" w:color="BFBFBF"/>
              <w:right w:val="single" w:sz="4" w:space="0" w:color="BFBFBF"/>
            </w:tcBorders>
            <w:shd w:val="clear" w:color="auto" w:fill="auto"/>
            <w:noWrap/>
            <w:vAlign w:val="center"/>
          </w:tcPr>
          <w:p w14:paraId="5AA0325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347</w:t>
            </w:r>
          </w:p>
        </w:tc>
        <w:tc>
          <w:tcPr>
            <w:tcW w:w="808" w:type="dxa"/>
            <w:tcBorders>
              <w:top w:val="nil"/>
              <w:left w:val="nil"/>
              <w:bottom w:val="single" w:sz="4" w:space="0" w:color="BFBFBF"/>
              <w:right w:val="nil"/>
            </w:tcBorders>
            <w:shd w:val="clear" w:color="auto" w:fill="auto"/>
            <w:noWrap/>
            <w:vAlign w:val="center"/>
          </w:tcPr>
          <w:p w14:paraId="4EB7144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579</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092EE1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284</w:t>
            </w:r>
          </w:p>
        </w:tc>
        <w:tc>
          <w:tcPr>
            <w:tcW w:w="808" w:type="dxa"/>
            <w:tcBorders>
              <w:top w:val="nil"/>
              <w:left w:val="nil"/>
              <w:bottom w:val="single" w:sz="4" w:space="0" w:color="BFBFBF"/>
              <w:right w:val="single" w:sz="4" w:space="0" w:color="BFBFBF"/>
            </w:tcBorders>
            <w:shd w:val="clear" w:color="auto" w:fill="auto"/>
            <w:noWrap/>
            <w:vAlign w:val="center"/>
          </w:tcPr>
          <w:p w14:paraId="7FC4EEE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412</w:t>
            </w:r>
          </w:p>
        </w:tc>
        <w:tc>
          <w:tcPr>
            <w:tcW w:w="808" w:type="dxa"/>
            <w:tcBorders>
              <w:top w:val="nil"/>
              <w:left w:val="nil"/>
              <w:bottom w:val="single" w:sz="4" w:space="0" w:color="BFBFBF"/>
              <w:right w:val="single" w:sz="4" w:space="0" w:color="auto"/>
            </w:tcBorders>
            <w:shd w:val="clear" w:color="auto" w:fill="auto"/>
            <w:noWrap/>
            <w:vAlign w:val="center"/>
          </w:tcPr>
          <w:p w14:paraId="410EDCA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696</w:t>
            </w:r>
          </w:p>
        </w:tc>
        <w:tc>
          <w:tcPr>
            <w:tcW w:w="826" w:type="dxa"/>
            <w:tcBorders>
              <w:top w:val="nil"/>
              <w:left w:val="nil"/>
              <w:bottom w:val="single" w:sz="4" w:space="0" w:color="BFBFBF"/>
              <w:right w:val="nil"/>
            </w:tcBorders>
            <w:shd w:val="clear" w:color="auto" w:fill="auto"/>
            <w:noWrap/>
            <w:vAlign w:val="center"/>
          </w:tcPr>
          <w:p w14:paraId="7232E0E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528</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4EBFF80"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0CB5A0DA"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EE88C6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6" w:space="0" w:color="auto"/>
            </w:tcBorders>
            <w:shd w:val="clear" w:color="auto" w:fill="auto"/>
            <w:noWrap/>
            <w:vAlign w:val="center"/>
          </w:tcPr>
          <w:p w14:paraId="2A5E667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154</w:t>
            </w:r>
          </w:p>
        </w:tc>
      </w:tr>
      <w:tr w:rsidR="004D177A" w:rsidRPr="00125162" w14:paraId="4C4659F6" w14:textId="77777777" w:rsidTr="005F4B8A">
        <w:trPr>
          <w:trHeight w:val="225"/>
        </w:trPr>
        <w:tc>
          <w:tcPr>
            <w:tcW w:w="2717" w:type="dxa"/>
            <w:tcBorders>
              <w:top w:val="single" w:sz="4" w:space="0" w:color="BFBFBF"/>
              <w:left w:val="double" w:sz="6" w:space="0" w:color="auto"/>
              <w:bottom w:val="double" w:sz="4" w:space="0" w:color="auto"/>
              <w:right w:val="nil"/>
            </w:tcBorders>
            <w:shd w:val="clear" w:color="auto" w:fill="auto"/>
            <w:noWrap/>
            <w:vAlign w:val="center"/>
          </w:tcPr>
          <w:p w14:paraId="36FF6A11"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Non-Concession HHs</w:t>
            </w:r>
          </w:p>
        </w:tc>
        <w:tc>
          <w:tcPr>
            <w:tcW w:w="857"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7F94E1A5" w14:textId="1C1DEB3E"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448</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0DA17520" w14:textId="37654BF5"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681</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0616FB9C" w14:textId="17F84537"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130</w:t>
            </w:r>
          </w:p>
        </w:tc>
        <w:tc>
          <w:tcPr>
            <w:tcW w:w="857" w:type="dxa"/>
            <w:tcBorders>
              <w:top w:val="single" w:sz="4" w:space="0" w:color="BFBFBF"/>
              <w:left w:val="nil"/>
              <w:bottom w:val="double" w:sz="4" w:space="0" w:color="auto"/>
              <w:right w:val="single" w:sz="4" w:space="0" w:color="BFBFBF"/>
            </w:tcBorders>
            <w:shd w:val="clear" w:color="auto" w:fill="auto"/>
            <w:noWrap/>
            <w:vAlign w:val="center"/>
          </w:tcPr>
          <w:p w14:paraId="3ABF3EE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381</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55DC01D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495</w:t>
            </w:r>
          </w:p>
        </w:tc>
        <w:tc>
          <w:tcPr>
            <w:tcW w:w="808" w:type="dxa"/>
            <w:tcBorders>
              <w:top w:val="single" w:sz="4" w:space="0" w:color="BFBFBF"/>
              <w:left w:val="nil"/>
              <w:bottom w:val="double" w:sz="4" w:space="0" w:color="auto"/>
              <w:right w:val="nil"/>
            </w:tcBorders>
            <w:shd w:val="clear" w:color="auto" w:fill="auto"/>
            <w:noWrap/>
            <w:vAlign w:val="center"/>
          </w:tcPr>
          <w:p w14:paraId="743FBFF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872</w:t>
            </w:r>
          </w:p>
        </w:tc>
        <w:tc>
          <w:tcPr>
            <w:tcW w:w="857"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4CB35FC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334</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186E76C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497</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60CF016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831</w:t>
            </w:r>
          </w:p>
        </w:tc>
        <w:tc>
          <w:tcPr>
            <w:tcW w:w="826" w:type="dxa"/>
            <w:tcBorders>
              <w:top w:val="single" w:sz="4" w:space="0" w:color="BFBFBF"/>
              <w:left w:val="nil"/>
              <w:bottom w:val="double" w:sz="4" w:space="0" w:color="auto"/>
              <w:right w:val="nil"/>
            </w:tcBorders>
            <w:shd w:val="clear" w:color="auto" w:fill="auto"/>
            <w:noWrap/>
            <w:vAlign w:val="center"/>
          </w:tcPr>
          <w:p w14:paraId="0075180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666</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bottom"/>
          </w:tcPr>
          <w:p w14:paraId="2728391C"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single" w:sz="4" w:space="0" w:color="BFBFBF"/>
              <w:left w:val="nil"/>
              <w:bottom w:val="double" w:sz="4" w:space="0" w:color="auto"/>
              <w:right w:val="nil"/>
            </w:tcBorders>
            <w:shd w:val="clear" w:color="auto" w:fill="auto"/>
            <w:noWrap/>
            <w:vAlign w:val="center"/>
          </w:tcPr>
          <w:p w14:paraId="4D23BC37"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375</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6EF8758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single" w:sz="4" w:space="0" w:color="BFBFBF"/>
              <w:left w:val="nil"/>
              <w:bottom w:val="double" w:sz="4" w:space="0" w:color="auto"/>
              <w:right w:val="double" w:sz="6" w:space="0" w:color="auto"/>
            </w:tcBorders>
            <w:shd w:val="clear" w:color="auto" w:fill="auto"/>
            <w:noWrap/>
            <w:vAlign w:val="center"/>
          </w:tcPr>
          <w:p w14:paraId="4CC2125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155</w:t>
            </w:r>
          </w:p>
        </w:tc>
      </w:tr>
      <w:tr w:rsidR="004D177A" w:rsidRPr="00125162" w14:paraId="104D6298" w14:textId="77777777" w:rsidTr="005F4B8A">
        <w:trPr>
          <w:trHeight w:val="225"/>
        </w:trPr>
        <w:tc>
          <w:tcPr>
            <w:tcW w:w="2717" w:type="dxa"/>
            <w:tcBorders>
              <w:top w:val="double" w:sz="4" w:space="0" w:color="auto"/>
            </w:tcBorders>
            <w:shd w:val="clear" w:color="auto" w:fill="auto"/>
            <w:noWrap/>
            <w:vAlign w:val="center"/>
          </w:tcPr>
          <w:p w14:paraId="41F621B6" w14:textId="77777777" w:rsidR="004D177A" w:rsidRPr="00125162" w:rsidRDefault="004D177A" w:rsidP="00970E2F">
            <w:pPr>
              <w:spacing w:before="0" w:after="0"/>
              <w:rPr>
                <w:rFonts w:ascii="Arial" w:hAnsi="Arial" w:cs="Arial"/>
                <w:bCs/>
                <w:color w:val="000000"/>
                <w:sz w:val="16"/>
                <w:szCs w:val="16"/>
                <w:lang w:val="en-AU" w:eastAsia="en-AU"/>
              </w:rPr>
            </w:pPr>
            <w:r w:rsidRPr="00125162">
              <w:rPr>
                <w:rFonts w:ascii="Arial" w:hAnsi="Arial" w:cs="Arial"/>
                <w:bCs/>
                <w:color w:val="000000"/>
                <w:sz w:val="16"/>
                <w:szCs w:val="16"/>
                <w:lang w:val="en-AU" w:eastAsia="en-AU"/>
              </w:rPr>
              <w:t>Continued on next page</w:t>
            </w:r>
          </w:p>
        </w:tc>
        <w:tc>
          <w:tcPr>
            <w:tcW w:w="857" w:type="dxa"/>
            <w:tcBorders>
              <w:top w:val="double" w:sz="4" w:space="0" w:color="auto"/>
            </w:tcBorders>
            <w:shd w:val="clear" w:color="auto" w:fill="auto"/>
            <w:noWrap/>
            <w:vAlign w:val="center"/>
          </w:tcPr>
          <w:p w14:paraId="1A7819D0"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0C82FA1C"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7C1CAD5"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008F0BE0"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0AC73039"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691B5C1"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6EF6712F"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7F6105E1"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82B7D40"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26" w:type="dxa"/>
            <w:tcBorders>
              <w:top w:val="double" w:sz="4" w:space="0" w:color="auto"/>
            </w:tcBorders>
            <w:shd w:val="clear" w:color="auto" w:fill="auto"/>
            <w:noWrap/>
            <w:vAlign w:val="center"/>
          </w:tcPr>
          <w:p w14:paraId="4770EB79"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bottom"/>
          </w:tcPr>
          <w:p w14:paraId="52065806"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586BBA91"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37E12518"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5358CA15" w14:textId="77777777" w:rsidR="004D177A" w:rsidRPr="00125162" w:rsidRDefault="004D177A" w:rsidP="00970E2F">
            <w:pPr>
              <w:spacing w:before="0" w:after="0"/>
              <w:jc w:val="center"/>
              <w:rPr>
                <w:rFonts w:ascii="Arial" w:hAnsi="Arial" w:cs="Arial"/>
                <w:color w:val="000000"/>
                <w:sz w:val="16"/>
                <w:szCs w:val="16"/>
                <w:lang w:val="en-AU" w:eastAsia="en-AU"/>
              </w:rPr>
            </w:pPr>
          </w:p>
        </w:tc>
      </w:tr>
      <w:tr w:rsidR="004D177A" w:rsidRPr="00125162" w14:paraId="1B02E8DB" w14:textId="77777777" w:rsidTr="005F4B8A">
        <w:trPr>
          <w:trHeight w:val="225"/>
        </w:trPr>
        <w:tc>
          <w:tcPr>
            <w:tcW w:w="2717" w:type="dxa"/>
            <w:tcBorders>
              <w:left w:val="double" w:sz="6" w:space="0" w:color="auto"/>
              <w:bottom w:val="single" w:sz="4" w:space="0" w:color="BFBFBF"/>
              <w:right w:val="nil"/>
            </w:tcBorders>
            <w:shd w:val="clear" w:color="auto" w:fill="auto"/>
            <w:noWrap/>
            <w:vAlign w:val="center"/>
          </w:tcPr>
          <w:p w14:paraId="03CC2854" w14:textId="77777777" w:rsidR="004D177A" w:rsidRPr="00125162" w:rsidRDefault="004D177A" w:rsidP="00970E2F">
            <w:pPr>
              <w:spacing w:before="0" w:after="0"/>
              <w:rPr>
                <w:rFonts w:ascii="Arial" w:hAnsi="Arial" w:cs="Arial"/>
                <w:b/>
                <w:bCs/>
                <w:color w:val="000000"/>
                <w:sz w:val="16"/>
                <w:szCs w:val="16"/>
                <w:lang w:val="en-AU" w:eastAsia="en-AU"/>
              </w:rPr>
            </w:pPr>
          </w:p>
          <w:p w14:paraId="4A33E074" w14:textId="77777777" w:rsidR="004D177A" w:rsidRPr="00125162" w:rsidRDefault="004D177A"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Household Size -</w:t>
            </w:r>
          </w:p>
        </w:tc>
        <w:tc>
          <w:tcPr>
            <w:tcW w:w="857" w:type="dxa"/>
            <w:tcBorders>
              <w:left w:val="single" w:sz="4" w:space="0" w:color="auto"/>
              <w:bottom w:val="single" w:sz="4" w:space="0" w:color="BFBFBF"/>
              <w:right w:val="single" w:sz="4" w:space="0" w:color="BFBFBF"/>
            </w:tcBorders>
            <w:shd w:val="clear" w:color="auto" w:fill="auto"/>
            <w:noWrap/>
            <w:vAlign w:val="center"/>
          </w:tcPr>
          <w:p w14:paraId="433695F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2024C83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3E213CB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57" w:type="dxa"/>
            <w:tcBorders>
              <w:left w:val="nil"/>
              <w:bottom w:val="single" w:sz="4" w:space="0" w:color="BFBFBF"/>
              <w:right w:val="single" w:sz="4" w:space="0" w:color="BFBFBF"/>
            </w:tcBorders>
            <w:shd w:val="clear" w:color="auto" w:fill="auto"/>
            <w:noWrap/>
            <w:vAlign w:val="center"/>
          </w:tcPr>
          <w:p w14:paraId="1C224F4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6B48561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nil"/>
            </w:tcBorders>
            <w:shd w:val="clear" w:color="auto" w:fill="auto"/>
            <w:noWrap/>
            <w:vAlign w:val="center"/>
          </w:tcPr>
          <w:p w14:paraId="511BC7D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57" w:type="dxa"/>
            <w:tcBorders>
              <w:left w:val="single" w:sz="4" w:space="0" w:color="auto"/>
              <w:bottom w:val="single" w:sz="4" w:space="0" w:color="BFBFBF"/>
              <w:right w:val="single" w:sz="4" w:space="0" w:color="BFBFBF"/>
            </w:tcBorders>
            <w:shd w:val="clear" w:color="auto" w:fill="auto"/>
            <w:noWrap/>
            <w:vAlign w:val="center"/>
          </w:tcPr>
          <w:p w14:paraId="31CF278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732D23E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25C6A93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left w:val="nil"/>
              <w:bottom w:val="single" w:sz="4" w:space="0" w:color="BFBFBF"/>
              <w:right w:val="nil"/>
            </w:tcBorders>
            <w:shd w:val="clear" w:color="auto" w:fill="auto"/>
            <w:noWrap/>
            <w:vAlign w:val="center"/>
          </w:tcPr>
          <w:p w14:paraId="515740A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single" w:sz="4" w:space="0" w:color="auto"/>
              <w:bottom w:val="single" w:sz="4" w:space="0" w:color="BFBFBF"/>
              <w:right w:val="single" w:sz="4" w:space="0" w:color="BFBFBF"/>
            </w:tcBorders>
            <w:shd w:val="clear" w:color="auto" w:fill="auto"/>
            <w:noWrap/>
            <w:vAlign w:val="bottom"/>
          </w:tcPr>
          <w:p w14:paraId="1B5943E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nil"/>
            </w:tcBorders>
            <w:shd w:val="clear" w:color="auto" w:fill="auto"/>
            <w:noWrap/>
            <w:vAlign w:val="center"/>
          </w:tcPr>
          <w:p w14:paraId="4A8ED5F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single" w:sz="4" w:space="0" w:color="auto"/>
              <w:bottom w:val="single" w:sz="4" w:space="0" w:color="BFBFBF"/>
              <w:right w:val="single" w:sz="4" w:space="0" w:color="BFBFBF"/>
            </w:tcBorders>
            <w:shd w:val="clear" w:color="auto" w:fill="auto"/>
            <w:noWrap/>
            <w:vAlign w:val="center"/>
          </w:tcPr>
          <w:p w14:paraId="64B2ADB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double" w:sz="6" w:space="0" w:color="auto"/>
            </w:tcBorders>
            <w:shd w:val="clear" w:color="auto" w:fill="auto"/>
            <w:noWrap/>
            <w:vAlign w:val="center"/>
          </w:tcPr>
          <w:p w14:paraId="35BFD2B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4D177A" w:rsidRPr="00125162" w14:paraId="0AC5BDF7"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59ABEC81"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1 person</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39CEDA0" w14:textId="0271D525"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274</w:t>
            </w:r>
          </w:p>
        </w:tc>
        <w:tc>
          <w:tcPr>
            <w:tcW w:w="808" w:type="dxa"/>
            <w:tcBorders>
              <w:top w:val="nil"/>
              <w:left w:val="nil"/>
              <w:bottom w:val="single" w:sz="4" w:space="0" w:color="BFBFBF"/>
              <w:right w:val="single" w:sz="4" w:space="0" w:color="BFBFBF"/>
            </w:tcBorders>
            <w:shd w:val="clear" w:color="auto" w:fill="auto"/>
            <w:noWrap/>
            <w:vAlign w:val="center"/>
          </w:tcPr>
          <w:p w14:paraId="2654E805" w14:textId="05443BF5"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398</w:t>
            </w:r>
          </w:p>
        </w:tc>
        <w:tc>
          <w:tcPr>
            <w:tcW w:w="808" w:type="dxa"/>
            <w:tcBorders>
              <w:top w:val="nil"/>
              <w:left w:val="nil"/>
              <w:bottom w:val="single" w:sz="4" w:space="0" w:color="BFBFBF"/>
              <w:right w:val="single" w:sz="4" w:space="0" w:color="auto"/>
            </w:tcBorders>
            <w:shd w:val="clear" w:color="auto" w:fill="auto"/>
            <w:noWrap/>
            <w:vAlign w:val="center"/>
          </w:tcPr>
          <w:p w14:paraId="2255D9F1" w14:textId="57CAE28C"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709</w:t>
            </w:r>
          </w:p>
        </w:tc>
        <w:tc>
          <w:tcPr>
            <w:tcW w:w="857" w:type="dxa"/>
            <w:tcBorders>
              <w:top w:val="nil"/>
              <w:left w:val="nil"/>
              <w:bottom w:val="single" w:sz="4" w:space="0" w:color="BFBFBF"/>
              <w:right w:val="single" w:sz="4" w:space="0" w:color="BFBFBF"/>
            </w:tcBorders>
            <w:shd w:val="clear" w:color="auto" w:fill="auto"/>
            <w:noWrap/>
            <w:vAlign w:val="center"/>
          </w:tcPr>
          <w:p w14:paraId="5296A90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152</w:t>
            </w:r>
          </w:p>
        </w:tc>
        <w:tc>
          <w:tcPr>
            <w:tcW w:w="808" w:type="dxa"/>
            <w:tcBorders>
              <w:top w:val="nil"/>
              <w:left w:val="nil"/>
              <w:bottom w:val="single" w:sz="4" w:space="0" w:color="BFBFBF"/>
              <w:right w:val="single" w:sz="4" w:space="0" w:color="BFBFBF"/>
            </w:tcBorders>
            <w:shd w:val="clear" w:color="auto" w:fill="auto"/>
            <w:noWrap/>
            <w:vAlign w:val="center"/>
          </w:tcPr>
          <w:p w14:paraId="78DF270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236</w:t>
            </w:r>
          </w:p>
        </w:tc>
        <w:tc>
          <w:tcPr>
            <w:tcW w:w="808" w:type="dxa"/>
            <w:tcBorders>
              <w:top w:val="nil"/>
              <w:left w:val="nil"/>
              <w:bottom w:val="single" w:sz="4" w:space="0" w:color="BFBFBF"/>
              <w:right w:val="nil"/>
            </w:tcBorders>
            <w:shd w:val="clear" w:color="auto" w:fill="auto"/>
            <w:noWrap/>
            <w:vAlign w:val="center"/>
          </w:tcPr>
          <w:p w14:paraId="23E99F0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48579E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229</w:t>
            </w:r>
          </w:p>
        </w:tc>
        <w:tc>
          <w:tcPr>
            <w:tcW w:w="808" w:type="dxa"/>
            <w:tcBorders>
              <w:top w:val="nil"/>
              <w:left w:val="nil"/>
              <w:bottom w:val="single" w:sz="4" w:space="0" w:color="BFBFBF"/>
              <w:right w:val="single" w:sz="4" w:space="0" w:color="BFBFBF"/>
            </w:tcBorders>
            <w:shd w:val="clear" w:color="auto" w:fill="auto"/>
            <w:noWrap/>
            <w:vAlign w:val="center"/>
          </w:tcPr>
          <w:p w14:paraId="1FA3320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326</w:t>
            </w:r>
          </w:p>
        </w:tc>
        <w:tc>
          <w:tcPr>
            <w:tcW w:w="808" w:type="dxa"/>
            <w:tcBorders>
              <w:top w:val="nil"/>
              <w:left w:val="nil"/>
              <w:bottom w:val="single" w:sz="4" w:space="0" w:color="BFBFBF"/>
              <w:right w:val="single" w:sz="4" w:space="0" w:color="auto"/>
            </w:tcBorders>
            <w:shd w:val="clear" w:color="auto" w:fill="auto"/>
            <w:noWrap/>
            <w:vAlign w:val="center"/>
          </w:tcPr>
          <w:p w14:paraId="52C3ABA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555</w:t>
            </w:r>
          </w:p>
        </w:tc>
        <w:tc>
          <w:tcPr>
            <w:tcW w:w="826" w:type="dxa"/>
            <w:tcBorders>
              <w:top w:val="nil"/>
              <w:left w:val="nil"/>
              <w:bottom w:val="single" w:sz="4" w:space="0" w:color="BFBFBF"/>
              <w:right w:val="nil"/>
            </w:tcBorders>
            <w:shd w:val="clear" w:color="auto" w:fill="auto"/>
            <w:noWrap/>
            <w:vAlign w:val="center"/>
          </w:tcPr>
          <w:p w14:paraId="379C455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431</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11BD147"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233841A6"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03B414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nil"/>
              <w:left w:val="nil"/>
              <w:bottom w:val="single" w:sz="4" w:space="0" w:color="BFBFBF"/>
              <w:right w:val="double" w:sz="6" w:space="0" w:color="auto"/>
            </w:tcBorders>
            <w:shd w:val="clear" w:color="auto" w:fill="auto"/>
            <w:noWrap/>
            <w:vAlign w:val="center"/>
          </w:tcPr>
          <w:p w14:paraId="3C43A96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154</w:t>
            </w:r>
          </w:p>
        </w:tc>
      </w:tr>
      <w:tr w:rsidR="004D177A" w:rsidRPr="00125162" w14:paraId="68629303"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5F156A65"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2 persons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39F9156" w14:textId="50BE9E52"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427</w:t>
            </w:r>
          </w:p>
        </w:tc>
        <w:tc>
          <w:tcPr>
            <w:tcW w:w="808" w:type="dxa"/>
            <w:tcBorders>
              <w:top w:val="nil"/>
              <w:left w:val="nil"/>
              <w:bottom w:val="single" w:sz="4" w:space="0" w:color="BFBFBF"/>
              <w:right w:val="single" w:sz="4" w:space="0" w:color="BFBFBF"/>
            </w:tcBorders>
            <w:shd w:val="clear" w:color="auto" w:fill="auto"/>
            <w:noWrap/>
            <w:vAlign w:val="center"/>
          </w:tcPr>
          <w:p w14:paraId="2B97789E" w14:textId="30C2F76C"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635</w:t>
            </w:r>
          </w:p>
        </w:tc>
        <w:tc>
          <w:tcPr>
            <w:tcW w:w="808" w:type="dxa"/>
            <w:tcBorders>
              <w:top w:val="nil"/>
              <w:left w:val="nil"/>
              <w:bottom w:val="single" w:sz="4" w:space="0" w:color="BFBFBF"/>
              <w:right w:val="single" w:sz="4" w:space="0" w:color="auto"/>
            </w:tcBorders>
            <w:shd w:val="clear" w:color="auto" w:fill="auto"/>
            <w:noWrap/>
            <w:vAlign w:val="center"/>
          </w:tcPr>
          <w:p w14:paraId="6CFB2036" w14:textId="2A841E8E"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061</w:t>
            </w:r>
          </w:p>
        </w:tc>
        <w:tc>
          <w:tcPr>
            <w:tcW w:w="857" w:type="dxa"/>
            <w:tcBorders>
              <w:top w:val="nil"/>
              <w:left w:val="nil"/>
              <w:bottom w:val="single" w:sz="4" w:space="0" w:color="BFBFBF"/>
              <w:right w:val="single" w:sz="4" w:space="0" w:color="BFBFBF"/>
            </w:tcBorders>
            <w:shd w:val="clear" w:color="auto" w:fill="auto"/>
            <w:noWrap/>
            <w:vAlign w:val="center"/>
          </w:tcPr>
          <w:p w14:paraId="790F972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243</w:t>
            </w:r>
          </w:p>
        </w:tc>
        <w:tc>
          <w:tcPr>
            <w:tcW w:w="808" w:type="dxa"/>
            <w:tcBorders>
              <w:top w:val="nil"/>
              <w:left w:val="nil"/>
              <w:bottom w:val="single" w:sz="4" w:space="0" w:color="BFBFBF"/>
              <w:right w:val="single" w:sz="4" w:space="0" w:color="BFBFBF"/>
            </w:tcBorders>
            <w:shd w:val="clear" w:color="auto" w:fill="auto"/>
            <w:noWrap/>
            <w:vAlign w:val="center"/>
          </w:tcPr>
          <w:p w14:paraId="66267D6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371</w:t>
            </w:r>
          </w:p>
        </w:tc>
        <w:tc>
          <w:tcPr>
            <w:tcW w:w="808" w:type="dxa"/>
            <w:tcBorders>
              <w:top w:val="nil"/>
              <w:left w:val="nil"/>
              <w:bottom w:val="single" w:sz="4" w:space="0" w:color="BFBFBF"/>
              <w:right w:val="nil"/>
            </w:tcBorders>
            <w:shd w:val="clear" w:color="auto" w:fill="auto"/>
            <w:noWrap/>
            <w:vAlign w:val="center"/>
          </w:tcPr>
          <w:p w14:paraId="6DA6725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614</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57E940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299</w:t>
            </w:r>
          </w:p>
        </w:tc>
        <w:tc>
          <w:tcPr>
            <w:tcW w:w="808" w:type="dxa"/>
            <w:tcBorders>
              <w:top w:val="nil"/>
              <w:left w:val="nil"/>
              <w:bottom w:val="single" w:sz="4" w:space="0" w:color="BFBFBF"/>
              <w:right w:val="single" w:sz="4" w:space="0" w:color="BFBFBF"/>
            </w:tcBorders>
            <w:shd w:val="clear" w:color="auto" w:fill="auto"/>
            <w:noWrap/>
            <w:vAlign w:val="center"/>
          </w:tcPr>
          <w:p w14:paraId="0402CC8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441</w:t>
            </w:r>
          </w:p>
        </w:tc>
        <w:tc>
          <w:tcPr>
            <w:tcW w:w="808" w:type="dxa"/>
            <w:tcBorders>
              <w:top w:val="nil"/>
              <w:left w:val="nil"/>
              <w:bottom w:val="single" w:sz="4" w:space="0" w:color="BFBFBF"/>
              <w:right w:val="single" w:sz="4" w:space="0" w:color="auto"/>
            </w:tcBorders>
            <w:shd w:val="clear" w:color="auto" w:fill="auto"/>
            <w:noWrap/>
            <w:vAlign w:val="center"/>
          </w:tcPr>
          <w:p w14:paraId="7A6C4E8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739</w:t>
            </w:r>
          </w:p>
        </w:tc>
        <w:tc>
          <w:tcPr>
            <w:tcW w:w="826" w:type="dxa"/>
            <w:tcBorders>
              <w:top w:val="nil"/>
              <w:left w:val="nil"/>
              <w:bottom w:val="single" w:sz="4" w:space="0" w:color="BFBFBF"/>
              <w:right w:val="nil"/>
            </w:tcBorders>
            <w:shd w:val="clear" w:color="auto" w:fill="auto"/>
            <w:noWrap/>
            <w:vAlign w:val="center"/>
          </w:tcPr>
          <w:p w14:paraId="280D467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551</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05530B4"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7F3A2B53"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59D095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6" w:space="0" w:color="auto"/>
            </w:tcBorders>
            <w:shd w:val="clear" w:color="auto" w:fill="auto"/>
            <w:noWrap/>
            <w:vAlign w:val="center"/>
          </w:tcPr>
          <w:p w14:paraId="247CF22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154</w:t>
            </w:r>
          </w:p>
        </w:tc>
      </w:tr>
      <w:tr w:rsidR="004D177A" w:rsidRPr="00125162" w14:paraId="59314C3D"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28AED9EB"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3 persons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6EAE190" w14:textId="4A6B153E"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440</w:t>
            </w:r>
          </w:p>
        </w:tc>
        <w:tc>
          <w:tcPr>
            <w:tcW w:w="808" w:type="dxa"/>
            <w:tcBorders>
              <w:top w:val="nil"/>
              <w:left w:val="nil"/>
              <w:bottom w:val="single" w:sz="4" w:space="0" w:color="BFBFBF"/>
              <w:right w:val="single" w:sz="4" w:space="0" w:color="BFBFBF"/>
            </w:tcBorders>
            <w:shd w:val="clear" w:color="auto" w:fill="auto"/>
            <w:noWrap/>
            <w:vAlign w:val="center"/>
          </w:tcPr>
          <w:p w14:paraId="0BDC3F50" w14:textId="6390CCC4"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652</w:t>
            </w:r>
          </w:p>
        </w:tc>
        <w:tc>
          <w:tcPr>
            <w:tcW w:w="808" w:type="dxa"/>
            <w:tcBorders>
              <w:top w:val="nil"/>
              <w:left w:val="nil"/>
              <w:bottom w:val="single" w:sz="4" w:space="0" w:color="BFBFBF"/>
              <w:right w:val="single" w:sz="4" w:space="0" w:color="auto"/>
            </w:tcBorders>
            <w:shd w:val="clear" w:color="auto" w:fill="auto"/>
            <w:noWrap/>
            <w:vAlign w:val="center"/>
          </w:tcPr>
          <w:p w14:paraId="1B75860E" w14:textId="299503AE"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115</w:t>
            </w:r>
          </w:p>
        </w:tc>
        <w:tc>
          <w:tcPr>
            <w:tcW w:w="857" w:type="dxa"/>
            <w:tcBorders>
              <w:top w:val="nil"/>
              <w:left w:val="nil"/>
              <w:bottom w:val="single" w:sz="4" w:space="0" w:color="BFBFBF"/>
              <w:right w:val="single" w:sz="4" w:space="0" w:color="BFBFBF"/>
            </w:tcBorders>
            <w:shd w:val="clear" w:color="auto" w:fill="auto"/>
            <w:noWrap/>
            <w:vAlign w:val="center"/>
          </w:tcPr>
          <w:p w14:paraId="06A47E1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288</w:t>
            </w:r>
          </w:p>
        </w:tc>
        <w:tc>
          <w:tcPr>
            <w:tcW w:w="808" w:type="dxa"/>
            <w:tcBorders>
              <w:top w:val="nil"/>
              <w:left w:val="nil"/>
              <w:bottom w:val="single" w:sz="4" w:space="0" w:color="BFBFBF"/>
              <w:right w:val="single" w:sz="4" w:space="0" w:color="BFBFBF"/>
            </w:tcBorders>
            <w:shd w:val="clear" w:color="auto" w:fill="auto"/>
            <w:noWrap/>
            <w:vAlign w:val="center"/>
          </w:tcPr>
          <w:p w14:paraId="6F85D1E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418</w:t>
            </w:r>
          </w:p>
        </w:tc>
        <w:tc>
          <w:tcPr>
            <w:tcW w:w="808" w:type="dxa"/>
            <w:tcBorders>
              <w:top w:val="nil"/>
              <w:left w:val="nil"/>
              <w:bottom w:val="single" w:sz="4" w:space="0" w:color="BFBFBF"/>
              <w:right w:val="nil"/>
            </w:tcBorders>
            <w:shd w:val="clear" w:color="auto" w:fill="auto"/>
            <w:noWrap/>
            <w:vAlign w:val="center"/>
          </w:tcPr>
          <w:p w14:paraId="7BD288C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707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6D6D9F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364</w:t>
            </w:r>
          </w:p>
        </w:tc>
        <w:tc>
          <w:tcPr>
            <w:tcW w:w="808" w:type="dxa"/>
            <w:tcBorders>
              <w:top w:val="nil"/>
              <w:left w:val="nil"/>
              <w:bottom w:val="single" w:sz="4" w:space="0" w:color="BFBFBF"/>
              <w:right w:val="single" w:sz="4" w:space="0" w:color="BFBFBF"/>
            </w:tcBorders>
            <w:shd w:val="clear" w:color="auto" w:fill="auto"/>
            <w:noWrap/>
            <w:vAlign w:val="center"/>
          </w:tcPr>
          <w:p w14:paraId="0B73D8A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499</w:t>
            </w:r>
          </w:p>
        </w:tc>
        <w:tc>
          <w:tcPr>
            <w:tcW w:w="808" w:type="dxa"/>
            <w:tcBorders>
              <w:top w:val="nil"/>
              <w:left w:val="nil"/>
              <w:bottom w:val="single" w:sz="4" w:space="0" w:color="BFBFBF"/>
              <w:right w:val="single" w:sz="4" w:space="0" w:color="auto"/>
            </w:tcBorders>
            <w:shd w:val="clear" w:color="auto" w:fill="auto"/>
            <w:noWrap/>
            <w:vAlign w:val="center"/>
          </w:tcPr>
          <w:p w14:paraId="764C54C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863</w:t>
            </w:r>
          </w:p>
        </w:tc>
        <w:tc>
          <w:tcPr>
            <w:tcW w:w="826" w:type="dxa"/>
            <w:tcBorders>
              <w:top w:val="nil"/>
              <w:left w:val="nil"/>
              <w:bottom w:val="single" w:sz="4" w:space="0" w:color="BFBFBF"/>
              <w:right w:val="nil"/>
            </w:tcBorders>
            <w:shd w:val="clear" w:color="auto" w:fill="auto"/>
            <w:noWrap/>
            <w:vAlign w:val="center"/>
          </w:tcPr>
          <w:p w14:paraId="695DB17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670</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A6DBAE2"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6EA740B9"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16AE42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double" w:sz="6" w:space="0" w:color="auto"/>
            </w:tcBorders>
            <w:shd w:val="clear" w:color="auto" w:fill="auto"/>
            <w:noWrap/>
            <w:vAlign w:val="center"/>
          </w:tcPr>
          <w:p w14:paraId="1CBEA79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153</w:t>
            </w:r>
          </w:p>
        </w:tc>
      </w:tr>
      <w:tr w:rsidR="004D177A" w:rsidRPr="00125162" w14:paraId="34111FEB"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534692F4"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4 or more persons</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5808FD4" w14:textId="27DE77FD"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544</w:t>
            </w:r>
          </w:p>
        </w:tc>
        <w:tc>
          <w:tcPr>
            <w:tcW w:w="808" w:type="dxa"/>
            <w:tcBorders>
              <w:top w:val="nil"/>
              <w:left w:val="nil"/>
              <w:bottom w:val="single" w:sz="4" w:space="0" w:color="BFBFBF"/>
              <w:right w:val="single" w:sz="4" w:space="0" w:color="BFBFBF"/>
            </w:tcBorders>
            <w:shd w:val="clear" w:color="auto" w:fill="auto"/>
            <w:noWrap/>
            <w:vAlign w:val="center"/>
          </w:tcPr>
          <w:p w14:paraId="401A9527" w14:textId="563BC9A6"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825</w:t>
            </w:r>
          </w:p>
        </w:tc>
        <w:tc>
          <w:tcPr>
            <w:tcW w:w="808" w:type="dxa"/>
            <w:tcBorders>
              <w:top w:val="nil"/>
              <w:left w:val="nil"/>
              <w:bottom w:val="single" w:sz="4" w:space="0" w:color="BFBFBF"/>
              <w:right w:val="single" w:sz="4" w:space="0" w:color="auto"/>
            </w:tcBorders>
            <w:shd w:val="clear" w:color="auto" w:fill="auto"/>
            <w:noWrap/>
            <w:vAlign w:val="center"/>
          </w:tcPr>
          <w:p w14:paraId="56D8CA8A" w14:textId="54BAF8BC"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364</w:t>
            </w:r>
          </w:p>
        </w:tc>
        <w:tc>
          <w:tcPr>
            <w:tcW w:w="857" w:type="dxa"/>
            <w:tcBorders>
              <w:top w:val="nil"/>
              <w:left w:val="nil"/>
              <w:bottom w:val="single" w:sz="4" w:space="0" w:color="BFBFBF"/>
              <w:right w:val="single" w:sz="4" w:space="0" w:color="BFBFBF"/>
            </w:tcBorders>
            <w:shd w:val="clear" w:color="auto" w:fill="auto"/>
            <w:noWrap/>
            <w:vAlign w:val="center"/>
          </w:tcPr>
          <w:p w14:paraId="55DEF40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563</w:t>
            </w:r>
          </w:p>
        </w:tc>
        <w:tc>
          <w:tcPr>
            <w:tcW w:w="808" w:type="dxa"/>
            <w:tcBorders>
              <w:top w:val="nil"/>
              <w:left w:val="nil"/>
              <w:bottom w:val="single" w:sz="4" w:space="0" w:color="BFBFBF"/>
              <w:right w:val="single" w:sz="4" w:space="0" w:color="BFBFBF"/>
            </w:tcBorders>
            <w:shd w:val="clear" w:color="auto" w:fill="auto"/>
            <w:noWrap/>
            <w:vAlign w:val="center"/>
          </w:tcPr>
          <w:p w14:paraId="6543F5C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675</w:t>
            </w:r>
          </w:p>
        </w:tc>
        <w:tc>
          <w:tcPr>
            <w:tcW w:w="808" w:type="dxa"/>
            <w:tcBorders>
              <w:top w:val="nil"/>
              <w:left w:val="nil"/>
              <w:bottom w:val="single" w:sz="4" w:space="0" w:color="BFBFBF"/>
              <w:right w:val="nil"/>
            </w:tcBorders>
            <w:shd w:val="clear" w:color="auto" w:fill="auto"/>
            <w:noWrap/>
            <w:vAlign w:val="center"/>
          </w:tcPr>
          <w:p w14:paraId="7B3983B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1229</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87F50A2"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363</w:t>
            </w:r>
          </w:p>
        </w:tc>
        <w:tc>
          <w:tcPr>
            <w:tcW w:w="808" w:type="dxa"/>
            <w:tcBorders>
              <w:top w:val="nil"/>
              <w:left w:val="nil"/>
              <w:bottom w:val="single" w:sz="4" w:space="0" w:color="BFBFBF"/>
              <w:right w:val="single" w:sz="4" w:space="0" w:color="BFBFBF"/>
            </w:tcBorders>
            <w:shd w:val="clear" w:color="auto" w:fill="auto"/>
            <w:noWrap/>
            <w:vAlign w:val="center"/>
          </w:tcPr>
          <w:p w14:paraId="77453D9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565</w:t>
            </w:r>
          </w:p>
        </w:tc>
        <w:tc>
          <w:tcPr>
            <w:tcW w:w="808" w:type="dxa"/>
            <w:tcBorders>
              <w:top w:val="nil"/>
              <w:left w:val="nil"/>
              <w:bottom w:val="single" w:sz="4" w:space="0" w:color="BFBFBF"/>
              <w:right w:val="single" w:sz="4" w:space="0" w:color="auto"/>
            </w:tcBorders>
            <w:shd w:val="clear" w:color="auto" w:fill="auto"/>
            <w:noWrap/>
            <w:vAlign w:val="center"/>
          </w:tcPr>
          <w:p w14:paraId="365831B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928</w:t>
            </w:r>
          </w:p>
        </w:tc>
        <w:tc>
          <w:tcPr>
            <w:tcW w:w="826" w:type="dxa"/>
            <w:tcBorders>
              <w:top w:val="nil"/>
              <w:left w:val="nil"/>
              <w:bottom w:val="single" w:sz="4" w:space="0" w:color="BFBFBF"/>
              <w:right w:val="nil"/>
            </w:tcBorders>
            <w:shd w:val="clear" w:color="auto" w:fill="auto"/>
            <w:noWrap/>
            <w:vAlign w:val="center"/>
          </w:tcPr>
          <w:p w14:paraId="70789A3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744</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DC019AC"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2DA5CD9A"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CCD58E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nil"/>
              <w:left w:val="nil"/>
              <w:bottom w:val="single" w:sz="4" w:space="0" w:color="BFBFBF"/>
              <w:right w:val="double" w:sz="6" w:space="0" w:color="auto"/>
            </w:tcBorders>
            <w:shd w:val="clear" w:color="auto" w:fill="auto"/>
            <w:noWrap/>
            <w:vAlign w:val="center"/>
          </w:tcPr>
          <w:p w14:paraId="7CD9369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159</w:t>
            </w:r>
          </w:p>
        </w:tc>
      </w:tr>
      <w:tr w:rsidR="004D177A" w:rsidRPr="00125162" w14:paraId="65971EBD"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10025004" w14:textId="77777777" w:rsidR="004D177A" w:rsidRPr="00125162" w:rsidRDefault="004D177A"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Housing Status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3C47488" w14:textId="5F686AC0"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single" w:sz="4" w:space="0" w:color="BFBFBF"/>
            </w:tcBorders>
            <w:shd w:val="clear" w:color="auto" w:fill="auto"/>
            <w:noWrap/>
            <w:vAlign w:val="center"/>
          </w:tcPr>
          <w:p w14:paraId="62B75F65" w14:textId="3EE24F74"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single" w:sz="4" w:space="0" w:color="auto"/>
            </w:tcBorders>
            <w:shd w:val="clear" w:color="auto" w:fill="auto"/>
            <w:noWrap/>
            <w:vAlign w:val="center"/>
          </w:tcPr>
          <w:p w14:paraId="2FD3854D" w14:textId="58F28DD6"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57" w:type="dxa"/>
            <w:tcBorders>
              <w:top w:val="nil"/>
              <w:left w:val="nil"/>
              <w:bottom w:val="single" w:sz="4" w:space="0" w:color="BFBFBF"/>
              <w:right w:val="single" w:sz="4" w:space="0" w:color="BFBFBF"/>
            </w:tcBorders>
            <w:shd w:val="clear" w:color="auto" w:fill="auto"/>
            <w:noWrap/>
            <w:vAlign w:val="center"/>
          </w:tcPr>
          <w:p w14:paraId="60ADAC1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1B0F03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7BFD18D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7AFEC2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3031CC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5974209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top w:val="nil"/>
              <w:left w:val="nil"/>
              <w:bottom w:val="single" w:sz="4" w:space="0" w:color="BFBFBF"/>
              <w:right w:val="nil"/>
            </w:tcBorders>
            <w:shd w:val="clear" w:color="auto" w:fill="auto"/>
            <w:noWrap/>
            <w:vAlign w:val="center"/>
          </w:tcPr>
          <w:p w14:paraId="5713051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FB81596"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2420CC1F"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94396A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50F86DB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4D177A" w:rsidRPr="00125162" w14:paraId="647F101B"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71831724"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Owned/paid off</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D1BC227" w14:textId="401CC298"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425</w:t>
            </w:r>
          </w:p>
        </w:tc>
        <w:tc>
          <w:tcPr>
            <w:tcW w:w="808" w:type="dxa"/>
            <w:tcBorders>
              <w:top w:val="nil"/>
              <w:left w:val="nil"/>
              <w:bottom w:val="single" w:sz="4" w:space="0" w:color="BFBFBF"/>
              <w:right w:val="single" w:sz="4" w:space="0" w:color="BFBFBF"/>
            </w:tcBorders>
            <w:shd w:val="clear" w:color="auto" w:fill="auto"/>
            <w:noWrap/>
            <w:vAlign w:val="center"/>
          </w:tcPr>
          <w:p w14:paraId="3CF43898" w14:textId="1269CC77"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600</w:t>
            </w:r>
          </w:p>
        </w:tc>
        <w:tc>
          <w:tcPr>
            <w:tcW w:w="808" w:type="dxa"/>
            <w:tcBorders>
              <w:top w:val="nil"/>
              <w:left w:val="nil"/>
              <w:bottom w:val="single" w:sz="4" w:space="0" w:color="BFBFBF"/>
              <w:right w:val="single" w:sz="4" w:space="0" w:color="auto"/>
            </w:tcBorders>
            <w:shd w:val="clear" w:color="auto" w:fill="auto"/>
            <w:noWrap/>
            <w:vAlign w:val="center"/>
          </w:tcPr>
          <w:p w14:paraId="002C04AD" w14:textId="23E52BED"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033</w:t>
            </w:r>
          </w:p>
        </w:tc>
        <w:tc>
          <w:tcPr>
            <w:tcW w:w="857" w:type="dxa"/>
            <w:tcBorders>
              <w:top w:val="nil"/>
              <w:left w:val="nil"/>
              <w:bottom w:val="single" w:sz="4" w:space="0" w:color="BFBFBF"/>
              <w:right w:val="single" w:sz="4" w:space="0" w:color="BFBFBF"/>
            </w:tcBorders>
            <w:shd w:val="clear" w:color="auto" w:fill="auto"/>
            <w:noWrap/>
            <w:vAlign w:val="center"/>
          </w:tcPr>
          <w:p w14:paraId="33BC121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262</w:t>
            </w:r>
          </w:p>
        </w:tc>
        <w:tc>
          <w:tcPr>
            <w:tcW w:w="808" w:type="dxa"/>
            <w:tcBorders>
              <w:top w:val="nil"/>
              <w:left w:val="nil"/>
              <w:bottom w:val="single" w:sz="4" w:space="0" w:color="BFBFBF"/>
              <w:right w:val="single" w:sz="4" w:space="0" w:color="BFBFBF"/>
            </w:tcBorders>
            <w:shd w:val="clear" w:color="auto" w:fill="auto"/>
            <w:noWrap/>
            <w:vAlign w:val="center"/>
          </w:tcPr>
          <w:p w14:paraId="510E49B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389</w:t>
            </w:r>
          </w:p>
        </w:tc>
        <w:tc>
          <w:tcPr>
            <w:tcW w:w="808" w:type="dxa"/>
            <w:tcBorders>
              <w:top w:val="nil"/>
              <w:left w:val="nil"/>
              <w:bottom w:val="single" w:sz="4" w:space="0" w:color="BFBFBF"/>
              <w:right w:val="nil"/>
            </w:tcBorders>
            <w:shd w:val="clear" w:color="auto" w:fill="auto"/>
            <w:noWrap/>
            <w:vAlign w:val="center"/>
          </w:tcPr>
          <w:p w14:paraId="2C2E6EB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651</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C59FA5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319</w:t>
            </w:r>
          </w:p>
        </w:tc>
        <w:tc>
          <w:tcPr>
            <w:tcW w:w="808" w:type="dxa"/>
            <w:tcBorders>
              <w:top w:val="nil"/>
              <w:left w:val="nil"/>
              <w:bottom w:val="single" w:sz="4" w:space="0" w:color="BFBFBF"/>
              <w:right w:val="single" w:sz="4" w:space="0" w:color="BFBFBF"/>
            </w:tcBorders>
            <w:shd w:val="clear" w:color="auto" w:fill="auto"/>
            <w:noWrap/>
            <w:vAlign w:val="center"/>
          </w:tcPr>
          <w:p w14:paraId="72E4796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463</w:t>
            </w:r>
          </w:p>
        </w:tc>
        <w:tc>
          <w:tcPr>
            <w:tcW w:w="808" w:type="dxa"/>
            <w:tcBorders>
              <w:top w:val="nil"/>
              <w:left w:val="nil"/>
              <w:bottom w:val="single" w:sz="4" w:space="0" w:color="BFBFBF"/>
              <w:right w:val="single" w:sz="4" w:space="0" w:color="auto"/>
            </w:tcBorders>
            <w:shd w:val="clear" w:color="auto" w:fill="auto"/>
            <w:noWrap/>
            <w:vAlign w:val="center"/>
          </w:tcPr>
          <w:p w14:paraId="4212099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782</w:t>
            </w:r>
          </w:p>
        </w:tc>
        <w:tc>
          <w:tcPr>
            <w:tcW w:w="826" w:type="dxa"/>
            <w:tcBorders>
              <w:top w:val="nil"/>
              <w:left w:val="nil"/>
              <w:bottom w:val="single" w:sz="4" w:space="0" w:color="BFBFBF"/>
              <w:right w:val="nil"/>
            </w:tcBorders>
            <w:shd w:val="clear" w:color="auto" w:fill="auto"/>
            <w:noWrap/>
            <w:vAlign w:val="center"/>
          </w:tcPr>
          <w:p w14:paraId="4906769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630</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7FF5F90"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3B01C458"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DD6442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6" w:space="0" w:color="auto"/>
            </w:tcBorders>
            <w:shd w:val="clear" w:color="auto" w:fill="auto"/>
            <w:noWrap/>
            <w:vAlign w:val="center"/>
          </w:tcPr>
          <w:p w14:paraId="300254E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153</w:t>
            </w:r>
          </w:p>
        </w:tc>
      </w:tr>
      <w:tr w:rsidR="004D177A" w:rsidRPr="00125162" w14:paraId="324AD59A"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7999C9E0"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Buying/paying off</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BE29010" w14:textId="55F7BFAB"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466</w:t>
            </w:r>
          </w:p>
        </w:tc>
        <w:tc>
          <w:tcPr>
            <w:tcW w:w="808" w:type="dxa"/>
            <w:tcBorders>
              <w:top w:val="nil"/>
              <w:left w:val="nil"/>
              <w:bottom w:val="single" w:sz="4" w:space="0" w:color="BFBFBF"/>
              <w:right w:val="single" w:sz="4" w:space="0" w:color="BFBFBF"/>
            </w:tcBorders>
            <w:shd w:val="clear" w:color="auto" w:fill="auto"/>
            <w:noWrap/>
            <w:vAlign w:val="center"/>
          </w:tcPr>
          <w:p w14:paraId="5DBD68B0" w14:textId="1A2A72B1"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712</w:t>
            </w:r>
          </w:p>
        </w:tc>
        <w:tc>
          <w:tcPr>
            <w:tcW w:w="808" w:type="dxa"/>
            <w:tcBorders>
              <w:top w:val="nil"/>
              <w:left w:val="nil"/>
              <w:bottom w:val="single" w:sz="4" w:space="0" w:color="BFBFBF"/>
              <w:right w:val="single" w:sz="4" w:space="0" w:color="auto"/>
            </w:tcBorders>
            <w:shd w:val="clear" w:color="auto" w:fill="auto"/>
            <w:noWrap/>
            <w:vAlign w:val="center"/>
          </w:tcPr>
          <w:p w14:paraId="46660E97" w14:textId="29D2DE98"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186</w:t>
            </w:r>
          </w:p>
        </w:tc>
        <w:tc>
          <w:tcPr>
            <w:tcW w:w="857" w:type="dxa"/>
            <w:tcBorders>
              <w:top w:val="nil"/>
              <w:left w:val="nil"/>
              <w:bottom w:val="single" w:sz="4" w:space="0" w:color="BFBFBF"/>
              <w:right w:val="single" w:sz="4" w:space="0" w:color="BFBFBF"/>
            </w:tcBorders>
            <w:shd w:val="clear" w:color="auto" w:fill="auto"/>
            <w:noWrap/>
            <w:vAlign w:val="center"/>
          </w:tcPr>
          <w:p w14:paraId="544A8AD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492</w:t>
            </w:r>
          </w:p>
        </w:tc>
        <w:tc>
          <w:tcPr>
            <w:tcW w:w="808" w:type="dxa"/>
            <w:tcBorders>
              <w:top w:val="nil"/>
              <w:left w:val="nil"/>
              <w:bottom w:val="single" w:sz="4" w:space="0" w:color="BFBFBF"/>
              <w:right w:val="single" w:sz="4" w:space="0" w:color="BFBFBF"/>
            </w:tcBorders>
            <w:shd w:val="clear" w:color="auto" w:fill="auto"/>
            <w:noWrap/>
            <w:vAlign w:val="center"/>
          </w:tcPr>
          <w:p w14:paraId="4ABD986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583</w:t>
            </w:r>
          </w:p>
        </w:tc>
        <w:tc>
          <w:tcPr>
            <w:tcW w:w="808" w:type="dxa"/>
            <w:tcBorders>
              <w:top w:val="nil"/>
              <w:left w:val="nil"/>
              <w:bottom w:val="single" w:sz="4" w:space="0" w:color="BFBFBF"/>
              <w:right w:val="nil"/>
            </w:tcBorders>
            <w:shd w:val="clear" w:color="auto" w:fill="auto"/>
            <w:noWrap/>
            <w:vAlign w:val="center"/>
          </w:tcPr>
          <w:p w14:paraId="668D4F2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1066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622AF4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335</w:t>
            </w:r>
          </w:p>
        </w:tc>
        <w:tc>
          <w:tcPr>
            <w:tcW w:w="808" w:type="dxa"/>
            <w:tcBorders>
              <w:top w:val="nil"/>
              <w:left w:val="nil"/>
              <w:bottom w:val="single" w:sz="4" w:space="0" w:color="BFBFBF"/>
              <w:right w:val="single" w:sz="4" w:space="0" w:color="BFBFBF"/>
            </w:tcBorders>
            <w:shd w:val="clear" w:color="auto" w:fill="auto"/>
            <w:noWrap/>
            <w:vAlign w:val="center"/>
          </w:tcPr>
          <w:p w14:paraId="0BAA6F3D"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516</w:t>
            </w:r>
          </w:p>
        </w:tc>
        <w:tc>
          <w:tcPr>
            <w:tcW w:w="808" w:type="dxa"/>
            <w:tcBorders>
              <w:top w:val="nil"/>
              <w:left w:val="nil"/>
              <w:bottom w:val="single" w:sz="4" w:space="0" w:color="BFBFBF"/>
              <w:right w:val="single" w:sz="4" w:space="0" w:color="auto"/>
            </w:tcBorders>
            <w:shd w:val="clear" w:color="auto" w:fill="auto"/>
            <w:noWrap/>
            <w:vAlign w:val="center"/>
          </w:tcPr>
          <w:p w14:paraId="247A3F1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851</w:t>
            </w:r>
          </w:p>
        </w:tc>
        <w:tc>
          <w:tcPr>
            <w:tcW w:w="826" w:type="dxa"/>
            <w:tcBorders>
              <w:top w:val="nil"/>
              <w:left w:val="nil"/>
              <w:bottom w:val="single" w:sz="4" w:space="0" w:color="BFBFBF"/>
              <w:right w:val="nil"/>
            </w:tcBorders>
            <w:shd w:val="clear" w:color="auto" w:fill="auto"/>
            <w:noWrap/>
            <w:vAlign w:val="center"/>
          </w:tcPr>
          <w:p w14:paraId="00D33D96"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681</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2EE4A01"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4A99F024"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E9E69F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6" w:space="0" w:color="auto"/>
            </w:tcBorders>
            <w:shd w:val="clear" w:color="auto" w:fill="auto"/>
            <w:noWrap/>
            <w:vAlign w:val="center"/>
          </w:tcPr>
          <w:p w14:paraId="6E54479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157</w:t>
            </w:r>
          </w:p>
        </w:tc>
      </w:tr>
      <w:tr w:rsidR="004D177A" w:rsidRPr="00125162" w14:paraId="1C9E26CF"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7BF150E1"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Private</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3B8C311" w14:textId="44C2B78E"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344</w:t>
            </w:r>
          </w:p>
        </w:tc>
        <w:tc>
          <w:tcPr>
            <w:tcW w:w="808" w:type="dxa"/>
            <w:tcBorders>
              <w:top w:val="nil"/>
              <w:left w:val="nil"/>
              <w:bottom w:val="single" w:sz="4" w:space="0" w:color="BFBFBF"/>
              <w:right w:val="single" w:sz="4" w:space="0" w:color="BFBFBF"/>
            </w:tcBorders>
            <w:shd w:val="clear" w:color="auto" w:fill="auto"/>
            <w:noWrap/>
            <w:vAlign w:val="center"/>
          </w:tcPr>
          <w:p w14:paraId="122062C8" w14:textId="50D2B756"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588</w:t>
            </w:r>
          </w:p>
        </w:tc>
        <w:tc>
          <w:tcPr>
            <w:tcW w:w="808" w:type="dxa"/>
            <w:tcBorders>
              <w:top w:val="nil"/>
              <w:left w:val="nil"/>
              <w:bottom w:val="single" w:sz="4" w:space="0" w:color="BFBFBF"/>
              <w:right w:val="single" w:sz="4" w:space="0" w:color="auto"/>
            </w:tcBorders>
            <w:shd w:val="clear" w:color="auto" w:fill="auto"/>
            <w:noWrap/>
            <w:vAlign w:val="center"/>
          </w:tcPr>
          <w:p w14:paraId="7F7A5304" w14:textId="53CDDD44"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986</w:t>
            </w:r>
          </w:p>
        </w:tc>
        <w:tc>
          <w:tcPr>
            <w:tcW w:w="857" w:type="dxa"/>
            <w:tcBorders>
              <w:top w:val="nil"/>
              <w:left w:val="nil"/>
              <w:bottom w:val="single" w:sz="4" w:space="0" w:color="BFBFBF"/>
              <w:right w:val="single" w:sz="4" w:space="0" w:color="BFBFBF"/>
            </w:tcBorders>
            <w:shd w:val="clear" w:color="auto" w:fill="auto"/>
            <w:noWrap/>
            <w:vAlign w:val="center"/>
          </w:tcPr>
          <w:p w14:paraId="12CFC1C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234</w:t>
            </w:r>
          </w:p>
        </w:tc>
        <w:tc>
          <w:tcPr>
            <w:tcW w:w="808" w:type="dxa"/>
            <w:tcBorders>
              <w:top w:val="nil"/>
              <w:left w:val="nil"/>
              <w:bottom w:val="single" w:sz="4" w:space="0" w:color="BFBFBF"/>
              <w:right w:val="single" w:sz="4" w:space="0" w:color="BFBFBF"/>
            </w:tcBorders>
            <w:shd w:val="clear" w:color="auto" w:fill="auto"/>
            <w:noWrap/>
            <w:vAlign w:val="center"/>
          </w:tcPr>
          <w:p w14:paraId="4749DCE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363</w:t>
            </w:r>
          </w:p>
        </w:tc>
        <w:tc>
          <w:tcPr>
            <w:tcW w:w="808" w:type="dxa"/>
            <w:tcBorders>
              <w:top w:val="nil"/>
              <w:left w:val="nil"/>
              <w:bottom w:val="single" w:sz="4" w:space="0" w:color="BFBFBF"/>
              <w:right w:val="nil"/>
            </w:tcBorders>
            <w:shd w:val="clear" w:color="auto" w:fill="auto"/>
            <w:noWrap/>
            <w:vAlign w:val="center"/>
          </w:tcPr>
          <w:p w14:paraId="77ACCCE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597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B3CC5B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282</w:t>
            </w:r>
          </w:p>
        </w:tc>
        <w:tc>
          <w:tcPr>
            <w:tcW w:w="808" w:type="dxa"/>
            <w:tcBorders>
              <w:top w:val="nil"/>
              <w:left w:val="nil"/>
              <w:bottom w:val="single" w:sz="4" w:space="0" w:color="BFBFBF"/>
              <w:right w:val="single" w:sz="4" w:space="0" w:color="BFBFBF"/>
            </w:tcBorders>
            <w:shd w:val="clear" w:color="auto" w:fill="auto"/>
            <w:noWrap/>
            <w:vAlign w:val="center"/>
          </w:tcPr>
          <w:p w14:paraId="25796EDF"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408</w:t>
            </w:r>
          </w:p>
        </w:tc>
        <w:tc>
          <w:tcPr>
            <w:tcW w:w="808" w:type="dxa"/>
            <w:tcBorders>
              <w:top w:val="nil"/>
              <w:left w:val="nil"/>
              <w:bottom w:val="single" w:sz="4" w:space="0" w:color="BFBFBF"/>
              <w:right w:val="single" w:sz="4" w:space="0" w:color="auto"/>
            </w:tcBorders>
            <w:shd w:val="clear" w:color="auto" w:fill="auto"/>
            <w:noWrap/>
            <w:vAlign w:val="center"/>
          </w:tcPr>
          <w:p w14:paraId="3E9F2AB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690</w:t>
            </w:r>
          </w:p>
        </w:tc>
        <w:tc>
          <w:tcPr>
            <w:tcW w:w="826" w:type="dxa"/>
            <w:tcBorders>
              <w:top w:val="nil"/>
              <w:left w:val="nil"/>
              <w:bottom w:val="single" w:sz="4" w:space="0" w:color="BFBFBF"/>
              <w:right w:val="nil"/>
            </w:tcBorders>
            <w:shd w:val="clear" w:color="auto" w:fill="auto"/>
            <w:noWrap/>
            <w:vAlign w:val="center"/>
          </w:tcPr>
          <w:p w14:paraId="7B378AA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526</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CCFC58C"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69DA5669"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831F014"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6" w:space="0" w:color="auto"/>
            </w:tcBorders>
            <w:shd w:val="clear" w:color="auto" w:fill="auto"/>
            <w:noWrap/>
            <w:vAlign w:val="center"/>
          </w:tcPr>
          <w:p w14:paraId="2ED42BB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156</w:t>
            </w:r>
          </w:p>
        </w:tc>
      </w:tr>
      <w:tr w:rsidR="004D177A" w:rsidRPr="00125162" w14:paraId="5840DC29" w14:textId="77777777" w:rsidTr="005F4B8A">
        <w:trPr>
          <w:trHeight w:val="225"/>
        </w:trPr>
        <w:tc>
          <w:tcPr>
            <w:tcW w:w="2717" w:type="dxa"/>
            <w:tcBorders>
              <w:top w:val="nil"/>
              <w:left w:val="double" w:sz="6" w:space="0" w:color="auto"/>
              <w:bottom w:val="single" w:sz="4" w:space="0" w:color="BFBFBF"/>
              <w:right w:val="nil"/>
            </w:tcBorders>
            <w:shd w:val="clear" w:color="auto" w:fill="auto"/>
            <w:noWrap/>
            <w:vAlign w:val="center"/>
          </w:tcPr>
          <w:p w14:paraId="7A439B6D"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Public</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EAEA8B3" w14:textId="0D2BE61D"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333</w:t>
            </w:r>
          </w:p>
        </w:tc>
        <w:tc>
          <w:tcPr>
            <w:tcW w:w="808" w:type="dxa"/>
            <w:tcBorders>
              <w:top w:val="nil"/>
              <w:left w:val="nil"/>
              <w:bottom w:val="single" w:sz="4" w:space="0" w:color="BFBFBF"/>
              <w:right w:val="single" w:sz="4" w:space="0" w:color="BFBFBF"/>
            </w:tcBorders>
            <w:shd w:val="clear" w:color="auto" w:fill="auto"/>
            <w:noWrap/>
            <w:vAlign w:val="center"/>
          </w:tcPr>
          <w:p w14:paraId="5D8A977E" w14:textId="5571128D"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540</w:t>
            </w:r>
          </w:p>
        </w:tc>
        <w:tc>
          <w:tcPr>
            <w:tcW w:w="808" w:type="dxa"/>
            <w:tcBorders>
              <w:top w:val="nil"/>
              <w:left w:val="nil"/>
              <w:bottom w:val="single" w:sz="4" w:space="0" w:color="BFBFBF"/>
              <w:right w:val="single" w:sz="4" w:space="0" w:color="auto"/>
            </w:tcBorders>
            <w:shd w:val="clear" w:color="auto" w:fill="auto"/>
            <w:noWrap/>
            <w:vAlign w:val="center"/>
          </w:tcPr>
          <w:p w14:paraId="28E2AD05" w14:textId="7F364E6E" w:rsidR="004D177A" w:rsidRPr="00125162" w:rsidRDefault="004D177A" w:rsidP="005F4B8A">
            <w:pPr>
              <w:spacing w:before="0" w:after="0"/>
              <w:jc w:val="center"/>
              <w:rPr>
                <w:rFonts w:ascii="Arial" w:hAnsi="Arial" w:cs="Arial"/>
                <w:color w:val="000000"/>
                <w:sz w:val="16"/>
                <w:szCs w:val="16"/>
                <w:lang w:val="en-AU" w:eastAsia="en-AU"/>
              </w:rPr>
            </w:pPr>
            <w:r>
              <w:rPr>
                <w:rFonts w:ascii="Arial" w:hAnsi="Arial" w:cs="Arial"/>
                <w:color w:val="000000"/>
                <w:sz w:val="16"/>
                <w:szCs w:val="16"/>
              </w:rPr>
              <w:t>900</w:t>
            </w:r>
          </w:p>
        </w:tc>
        <w:tc>
          <w:tcPr>
            <w:tcW w:w="857" w:type="dxa"/>
            <w:tcBorders>
              <w:top w:val="nil"/>
              <w:left w:val="nil"/>
              <w:bottom w:val="single" w:sz="4" w:space="0" w:color="BFBFBF"/>
              <w:right w:val="single" w:sz="4" w:space="0" w:color="BFBFBF"/>
            </w:tcBorders>
            <w:shd w:val="clear" w:color="auto" w:fill="auto"/>
            <w:noWrap/>
            <w:vAlign w:val="center"/>
          </w:tcPr>
          <w:p w14:paraId="1B14500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190</w:t>
            </w:r>
          </w:p>
        </w:tc>
        <w:tc>
          <w:tcPr>
            <w:tcW w:w="808" w:type="dxa"/>
            <w:tcBorders>
              <w:top w:val="nil"/>
              <w:left w:val="nil"/>
              <w:bottom w:val="single" w:sz="4" w:space="0" w:color="BFBFBF"/>
              <w:right w:val="single" w:sz="4" w:space="0" w:color="BFBFBF"/>
            </w:tcBorders>
            <w:shd w:val="clear" w:color="auto" w:fill="auto"/>
            <w:noWrap/>
            <w:vAlign w:val="center"/>
          </w:tcPr>
          <w:p w14:paraId="754F6473"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293</w:t>
            </w:r>
          </w:p>
        </w:tc>
        <w:tc>
          <w:tcPr>
            <w:tcW w:w="808" w:type="dxa"/>
            <w:tcBorders>
              <w:top w:val="nil"/>
              <w:left w:val="nil"/>
              <w:bottom w:val="single" w:sz="4" w:space="0" w:color="BFBFBF"/>
              <w:right w:val="nil"/>
            </w:tcBorders>
            <w:shd w:val="clear" w:color="auto" w:fill="auto"/>
            <w:noWrap/>
            <w:vAlign w:val="center"/>
          </w:tcPr>
          <w:p w14:paraId="01CD814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483</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3E5FB4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234</w:t>
            </w:r>
          </w:p>
        </w:tc>
        <w:tc>
          <w:tcPr>
            <w:tcW w:w="808" w:type="dxa"/>
            <w:tcBorders>
              <w:top w:val="nil"/>
              <w:left w:val="nil"/>
              <w:bottom w:val="single" w:sz="4" w:space="0" w:color="BFBFBF"/>
              <w:right w:val="single" w:sz="4" w:space="0" w:color="BFBFBF"/>
            </w:tcBorders>
            <w:shd w:val="clear" w:color="auto" w:fill="auto"/>
            <w:noWrap/>
            <w:vAlign w:val="center"/>
          </w:tcPr>
          <w:p w14:paraId="68E5B540"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331</w:t>
            </w:r>
          </w:p>
        </w:tc>
        <w:tc>
          <w:tcPr>
            <w:tcW w:w="808" w:type="dxa"/>
            <w:tcBorders>
              <w:top w:val="nil"/>
              <w:left w:val="nil"/>
              <w:bottom w:val="single" w:sz="4" w:space="0" w:color="BFBFBF"/>
              <w:right w:val="single" w:sz="4" w:space="0" w:color="auto"/>
            </w:tcBorders>
            <w:shd w:val="clear" w:color="auto" w:fill="auto"/>
            <w:noWrap/>
            <w:vAlign w:val="center"/>
          </w:tcPr>
          <w:p w14:paraId="4F673CA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566</w:t>
            </w:r>
          </w:p>
        </w:tc>
        <w:tc>
          <w:tcPr>
            <w:tcW w:w="826" w:type="dxa"/>
            <w:tcBorders>
              <w:top w:val="nil"/>
              <w:left w:val="nil"/>
              <w:bottom w:val="single" w:sz="4" w:space="0" w:color="BFBFBF"/>
              <w:right w:val="nil"/>
            </w:tcBorders>
            <w:shd w:val="clear" w:color="auto" w:fill="auto"/>
            <w:noWrap/>
            <w:vAlign w:val="center"/>
          </w:tcPr>
          <w:p w14:paraId="468EBBC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417</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CC72E83"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30505AA4" w14:textId="77777777" w:rsidR="004D177A" w:rsidRPr="00125162" w:rsidRDefault="004D177A" w:rsidP="005F4B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5B2139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nil"/>
              <w:left w:val="nil"/>
              <w:bottom w:val="single" w:sz="4" w:space="0" w:color="BFBFBF"/>
              <w:right w:val="double" w:sz="6" w:space="0" w:color="auto"/>
            </w:tcBorders>
            <w:shd w:val="clear" w:color="auto" w:fill="auto"/>
            <w:noWrap/>
            <w:vAlign w:val="center"/>
          </w:tcPr>
          <w:p w14:paraId="6BA5F1F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151</w:t>
            </w:r>
          </w:p>
        </w:tc>
      </w:tr>
      <w:tr w:rsidR="004D177A" w:rsidRPr="00125162" w14:paraId="10298E99" w14:textId="77777777" w:rsidTr="005F4B8A">
        <w:trPr>
          <w:trHeight w:val="240"/>
        </w:trPr>
        <w:tc>
          <w:tcPr>
            <w:tcW w:w="2717" w:type="dxa"/>
            <w:tcBorders>
              <w:top w:val="nil"/>
              <w:left w:val="double" w:sz="6" w:space="0" w:color="auto"/>
              <w:bottom w:val="double" w:sz="6" w:space="0" w:color="auto"/>
              <w:right w:val="nil"/>
            </w:tcBorders>
            <w:shd w:val="clear" w:color="auto" w:fill="auto"/>
            <w:noWrap/>
            <w:vAlign w:val="center"/>
          </w:tcPr>
          <w:p w14:paraId="4B4AF0BA" w14:textId="77777777" w:rsidR="004D177A" w:rsidRPr="00125162" w:rsidRDefault="004D177A"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 Households</w:t>
            </w:r>
          </w:p>
        </w:tc>
        <w:tc>
          <w:tcPr>
            <w:tcW w:w="857" w:type="dxa"/>
            <w:tcBorders>
              <w:top w:val="nil"/>
              <w:left w:val="single" w:sz="4" w:space="0" w:color="auto"/>
              <w:bottom w:val="double" w:sz="6" w:space="0" w:color="auto"/>
              <w:right w:val="single" w:sz="4" w:space="0" w:color="BFBFBF"/>
            </w:tcBorders>
            <w:shd w:val="clear" w:color="auto" w:fill="auto"/>
            <w:noWrap/>
            <w:vAlign w:val="center"/>
          </w:tcPr>
          <w:p w14:paraId="1501F5A0" w14:textId="0002EBAA" w:rsidR="004D177A" w:rsidRPr="00125162" w:rsidRDefault="004D177A" w:rsidP="005F4B8A">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420</w:t>
            </w:r>
          </w:p>
        </w:tc>
        <w:tc>
          <w:tcPr>
            <w:tcW w:w="808" w:type="dxa"/>
            <w:tcBorders>
              <w:top w:val="nil"/>
              <w:left w:val="nil"/>
              <w:bottom w:val="double" w:sz="6" w:space="0" w:color="auto"/>
              <w:right w:val="single" w:sz="4" w:space="0" w:color="BFBFBF"/>
            </w:tcBorders>
            <w:shd w:val="clear" w:color="auto" w:fill="auto"/>
            <w:noWrap/>
            <w:vAlign w:val="center"/>
          </w:tcPr>
          <w:p w14:paraId="0738BDBD" w14:textId="21A24904" w:rsidR="004D177A" w:rsidRPr="00125162" w:rsidRDefault="004D177A" w:rsidP="005F4B8A">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627</w:t>
            </w:r>
          </w:p>
        </w:tc>
        <w:tc>
          <w:tcPr>
            <w:tcW w:w="808" w:type="dxa"/>
            <w:tcBorders>
              <w:top w:val="nil"/>
              <w:left w:val="nil"/>
              <w:bottom w:val="double" w:sz="6" w:space="0" w:color="auto"/>
              <w:right w:val="single" w:sz="4" w:space="0" w:color="auto"/>
            </w:tcBorders>
            <w:shd w:val="clear" w:color="auto" w:fill="auto"/>
            <w:noWrap/>
            <w:vAlign w:val="center"/>
          </w:tcPr>
          <w:p w14:paraId="26D3C17F" w14:textId="19B2293D" w:rsidR="004D177A" w:rsidRPr="00125162" w:rsidRDefault="004D177A" w:rsidP="005F4B8A">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1</w:t>
            </w:r>
            <w:r w:rsidR="00F65866">
              <w:rPr>
                <w:rFonts w:ascii="Arial" w:hAnsi="Arial" w:cs="Arial"/>
                <w:b/>
                <w:bCs/>
                <w:color w:val="000000"/>
                <w:sz w:val="16"/>
                <w:szCs w:val="16"/>
              </w:rPr>
              <w:t>,</w:t>
            </w:r>
            <w:r>
              <w:rPr>
                <w:rFonts w:ascii="Arial" w:hAnsi="Arial" w:cs="Arial"/>
                <w:b/>
                <w:bCs/>
                <w:color w:val="000000"/>
                <w:sz w:val="16"/>
                <w:szCs w:val="16"/>
              </w:rPr>
              <w:t>063</w:t>
            </w:r>
          </w:p>
        </w:tc>
        <w:tc>
          <w:tcPr>
            <w:tcW w:w="857" w:type="dxa"/>
            <w:tcBorders>
              <w:top w:val="nil"/>
              <w:left w:val="nil"/>
              <w:bottom w:val="double" w:sz="6" w:space="0" w:color="auto"/>
              <w:right w:val="single" w:sz="4" w:space="0" w:color="BFBFBF"/>
            </w:tcBorders>
            <w:shd w:val="clear" w:color="auto" w:fill="auto"/>
            <w:noWrap/>
            <w:vAlign w:val="center"/>
          </w:tcPr>
          <w:p w14:paraId="24B2E3B4" w14:textId="77777777" w:rsidR="004D177A" w:rsidRPr="00125162" w:rsidRDefault="004D177A"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320</w:t>
            </w:r>
          </w:p>
        </w:tc>
        <w:tc>
          <w:tcPr>
            <w:tcW w:w="808" w:type="dxa"/>
            <w:tcBorders>
              <w:top w:val="nil"/>
              <w:left w:val="nil"/>
              <w:bottom w:val="double" w:sz="6" w:space="0" w:color="auto"/>
              <w:right w:val="single" w:sz="4" w:space="0" w:color="BFBFBF"/>
            </w:tcBorders>
            <w:shd w:val="clear" w:color="auto" w:fill="auto"/>
            <w:noWrap/>
            <w:vAlign w:val="center"/>
          </w:tcPr>
          <w:p w14:paraId="7DD63D90" w14:textId="77777777" w:rsidR="004D177A" w:rsidRPr="00125162" w:rsidRDefault="004D177A"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435</w:t>
            </w:r>
          </w:p>
        </w:tc>
        <w:tc>
          <w:tcPr>
            <w:tcW w:w="808" w:type="dxa"/>
            <w:tcBorders>
              <w:top w:val="nil"/>
              <w:left w:val="nil"/>
              <w:bottom w:val="double" w:sz="6" w:space="0" w:color="auto"/>
              <w:right w:val="nil"/>
            </w:tcBorders>
            <w:shd w:val="clear" w:color="auto" w:fill="auto"/>
            <w:noWrap/>
            <w:vAlign w:val="center"/>
          </w:tcPr>
          <w:p w14:paraId="1F04C0F7" w14:textId="77777777" w:rsidR="004D177A" w:rsidRPr="00125162" w:rsidRDefault="004D177A"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753</w:t>
            </w:r>
          </w:p>
        </w:tc>
        <w:tc>
          <w:tcPr>
            <w:tcW w:w="857" w:type="dxa"/>
            <w:tcBorders>
              <w:top w:val="nil"/>
              <w:left w:val="single" w:sz="4" w:space="0" w:color="auto"/>
              <w:bottom w:val="double" w:sz="6" w:space="0" w:color="auto"/>
              <w:right w:val="single" w:sz="4" w:space="0" w:color="BFBFBF"/>
            </w:tcBorders>
            <w:shd w:val="clear" w:color="auto" w:fill="auto"/>
            <w:noWrap/>
            <w:vAlign w:val="center"/>
          </w:tcPr>
          <w:p w14:paraId="146B7CC1" w14:textId="77777777" w:rsidR="004D177A" w:rsidRPr="00125162" w:rsidRDefault="004D177A"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315</w:t>
            </w:r>
          </w:p>
        </w:tc>
        <w:tc>
          <w:tcPr>
            <w:tcW w:w="808" w:type="dxa"/>
            <w:tcBorders>
              <w:top w:val="nil"/>
              <w:left w:val="nil"/>
              <w:bottom w:val="double" w:sz="6" w:space="0" w:color="auto"/>
              <w:right w:val="single" w:sz="4" w:space="0" w:color="BFBFBF"/>
            </w:tcBorders>
            <w:shd w:val="clear" w:color="auto" w:fill="auto"/>
            <w:noWrap/>
            <w:vAlign w:val="center"/>
          </w:tcPr>
          <w:p w14:paraId="7A9DB45A" w14:textId="77777777" w:rsidR="004D177A" w:rsidRPr="00125162" w:rsidRDefault="004D177A"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465</w:t>
            </w:r>
          </w:p>
        </w:tc>
        <w:tc>
          <w:tcPr>
            <w:tcW w:w="808" w:type="dxa"/>
            <w:tcBorders>
              <w:top w:val="nil"/>
              <w:left w:val="nil"/>
              <w:bottom w:val="double" w:sz="6" w:space="0" w:color="auto"/>
              <w:right w:val="single" w:sz="4" w:space="0" w:color="auto"/>
            </w:tcBorders>
            <w:shd w:val="clear" w:color="auto" w:fill="auto"/>
            <w:noWrap/>
            <w:vAlign w:val="center"/>
          </w:tcPr>
          <w:p w14:paraId="0F1CE266" w14:textId="77777777" w:rsidR="004D177A" w:rsidRPr="00125162" w:rsidRDefault="004D177A"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780</w:t>
            </w:r>
          </w:p>
        </w:tc>
        <w:tc>
          <w:tcPr>
            <w:tcW w:w="826" w:type="dxa"/>
            <w:tcBorders>
              <w:top w:val="nil"/>
              <w:left w:val="nil"/>
              <w:bottom w:val="double" w:sz="6" w:space="0" w:color="auto"/>
              <w:right w:val="nil"/>
            </w:tcBorders>
            <w:shd w:val="clear" w:color="auto" w:fill="auto"/>
            <w:noWrap/>
            <w:vAlign w:val="center"/>
          </w:tcPr>
          <w:p w14:paraId="622626B7" w14:textId="77777777" w:rsidR="004D177A" w:rsidRPr="00125162" w:rsidRDefault="004D177A"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610</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6CA81524" w14:textId="77777777" w:rsidR="004D177A" w:rsidRPr="00125162" w:rsidRDefault="004D177A" w:rsidP="005F4B8A">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100%</w:t>
            </w:r>
          </w:p>
        </w:tc>
        <w:tc>
          <w:tcPr>
            <w:tcW w:w="808" w:type="dxa"/>
            <w:tcBorders>
              <w:top w:val="nil"/>
              <w:left w:val="nil"/>
              <w:bottom w:val="double" w:sz="6" w:space="0" w:color="auto"/>
              <w:right w:val="nil"/>
            </w:tcBorders>
            <w:shd w:val="clear" w:color="auto" w:fill="auto"/>
            <w:noWrap/>
            <w:vAlign w:val="center"/>
          </w:tcPr>
          <w:p w14:paraId="073FFE0B" w14:textId="77777777" w:rsidR="004D177A" w:rsidRPr="00125162" w:rsidRDefault="004D177A" w:rsidP="005F4B8A">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379</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3D019821" w14:textId="77777777" w:rsidR="004D177A" w:rsidRPr="00125162" w:rsidRDefault="004D177A"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99%</w:t>
            </w:r>
          </w:p>
        </w:tc>
        <w:tc>
          <w:tcPr>
            <w:tcW w:w="808" w:type="dxa"/>
            <w:tcBorders>
              <w:top w:val="nil"/>
              <w:left w:val="nil"/>
              <w:bottom w:val="double" w:sz="6" w:space="0" w:color="auto"/>
              <w:right w:val="double" w:sz="6" w:space="0" w:color="auto"/>
            </w:tcBorders>
            <w:shd w:val="clear" w:color="auto" w:fill="auto"/>
            <w:noWrap/>
            <w:vAlign w:val="center"/>
          </w:tcPr>
          <w:p w14:paraId="0136034F" w14:textId="77777777" w:rsidR="004D177A" w:rsidRPr="00125162" w:rsidRDefault="004D177A"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155</w:t>
            </w:r>
          </w:p>
        </w:tc>
      </w:tr>
    </w:tbl>
    <w:p w14:paraId="25502D18" w14:textId="77777777" w:rsidR="00D109F7" w:rsidRPr="009748AD" w:rsidRDefault="00D109F7" w:rsidP="00EF772B">
      <w:pPr>
        <w:numPr>
          <w:ilvl w:val="0"/>
          <w:numId w:val="5"/>
        </w:numPr>
        <w:spacing w:after="0" w:line="160" w:lineRule="atLeast"/>
        <w:ind w:left="357" w:hanging="357"/>
        <w:jc w:val="both"/>
        <w:rPr>
          <w:sz w:val="18"/>
          <w:szCs w:val="18"/>
          <w:lang w:val="en-AU"/>
        </w:rPr>
      </w:pPr>
      <w:r w:rsidRPr="009748AD">
        <w:rPr>
          <w:sz w:val="18"/>
          <w:szCs w:val="18"/>
          <w:lang w:val="en-AU"/>
        </w:rPr>
        <w:t xml:space="preserve">GST applies to </w:t>
      </w:r>
      <w:r w:rsidR="00801036" w:rsidRPr="009748AD">
        <w:rPr>
          <w:sz w:val="18"/>
          <w:szCs w:val="18"/>
          <w:lang w:val="en-AU"/>
        </w:rPr>
        <w:t xml:space="preserve">2014, 2007 and </w:t>
      </w:r>
      <w:r w:rsidRPr="009748AD">
        <w:rPr>
          <w:sz w:val="18"/>
          <w:szCs w:val="18"/>
          <w:lang w:val="en-AU"/>
        </w:rPr>
        <w:t>2001</w:t>
      </w:r>
      <w:r w:rsidR="00CC42CD" w:rsidRPr="009748AD">
        <w:rPr>
          <w:sz w:val="18"/>
          <w:szCs w:val="18"/>
          <w:lang w:val="en-AU"/>
        </w:rPr>
        <w:t xml:space="preserve"> </w:t>
      </w:r>
      <w:r w:rsidRPr="009748AD">
        <w:rPr>
          <w:sz w:val="18"/>
          <w:szCs w:val="18"/>
          <w:lang w:val="en-AU"/>
        </w:rPr>
        <w:t>charges, but not 1996 charges.</w:t>
      </w:r>
    </w:p>
    <w:p w14:paraId="70CB1357" w14:textId="77777777" w:rsidR="00CC42CD" w:rsidRPr="009748AD" w:rsidRDefault="00CC42CD" w:rsidP="009748AD">
      <w:pPr>
        <w:numPr>
          <w:ilvl w:val="0"/>
          <w:numId w:val="5"/>
        </w:numPr>
        <w:spacing w:after="0" w:line="160" w:lineRule="atLeast"/>
        <w:ind w:left="357" w:hanging="357"/>
        <w:jc w:val="both"/>
        <w:rPr>
          <w:sz w:val="18"/>
          <w:szCs w:val="18"/>
          <w:lang w:val="en-AU"/>
        </w:rPr>
      </w:pPr>
      <w:r w:rsidRPr="009748AD">
        <w:rPr>
          <w:sz w:val="18"/>
          <w:szCs w:val="18"/>
          <w:lang w:val="en-AU"/>
        </w:rPr>
        <w:t>The supply charge was not separated out from consumption charges in 2001 and 1996, so details for these years could not be provided.</w:t>
      </w:r>
    </w:p>
    <w:p w14:paraId="03236A23" w14:textId="1E6F8DA6" w:rsidR="00A32FA3" w:rsidRPr="009748AD" w:rsidRDefault="00A32FA3" w:rsidP="009748AD">
      <w:pPr>
        <w:spacing w:after="0"/>
        <w:rPr>
          <w:sz w:val="18"/>
          <w:szCs w:val="18"/>
          <w:lang w:val="en-AU"/>
        </w:rPr>
      </w:pPr>
      <w:r w:rsidRPr="009748AD">
        <w:rPr>
          <w:sz w:val="18"/>
          <w:szCs w:val="18"/>
          <w:lang w:val="en-AU"/>
        </w:rPr>
        <w:t>Five months of summer (i.e. December-April) average monthly Electricity Charge Applicable is $</w:t>
      </w:r>
      <w:r w:rsidR="00C220D0">
        <w:rPr>
          <w:sz w:val="18"/>
          <w:szCs w:val="18"/>
          <w:lang w:val="en-AU"/>
        </w:rPr>
        <w:t>84</w:t>
      </w:r>
      <w:r w:rsidRPr="009748AD">
        <w:rPr>
          <w:sz w:val="18"/>
          <w:szCs w:val="18"/>
          <w:lang w:val="en-AU"/>
        </w:rPr>
        <w:t xml:space="preserve"> (2007 - $64; 2001 - $63 incl. GST).  For the seven months of winter (i.e. May-November) average monthly Electricity Charge Applicable is $</w:t>
      </w:r>
      <w:r w:rsidR="00C220D0">
        <w:rPr>
          <w:sz w:val="18"/>
          <w:szCs w:val="18"/>
          <w:lang w:val="en-AU"/>
        </w:rPr>
        <w:t>90</w:t>
      </w:r>
      <w:r w:rsidRPr="009748AD">
        <w:rPr>
          <w:sz w:val="18"/>
          <w:szCs w:val="18"/>
          <w:lang w:val="en-AU"/>
        </w:rPr>
        <w:t xml:space="preserve"> (2007 - $62; 2001 - $66 incl. GST).</w:t>
      </w:r>
    </w:p>
    <w:p w14:paraId="39B1DA25" w14:textId="77777777" w:rsidR="00D109F7" w:rsidRPr="00125162" w:rsidRDefault="00D109F7" w:rsidP="00D109F7">
      <w:pPr>
        <w:pStyle w:val="Heading2"/>
        <w:spacing w:before="0" w:after="0"/>
        <w:rPr>
          <w:lang w:val="en-AU"/>
        </w:rPr>
        <w:sectPr w:rsidR="00D109F7" w:rsidRPr="00125162" w:rsidSect="003B68D0">
          <w:headerReference w:type="default" r:id="rId29"/>
          <w:footerReference w:type="default" r:id="rId30"/>
          <w:footnotePr>
            <w:numRestart w:val="eachPage"/>
          </w:footnotePr>
          <w:pgSz w:w="16840" w:h="11907" w:orient="landscape" w:code="9"/>
          <w:pgMar w:top="1701" w:right="1418" w:bottom="1418" w:left="851" w:header="851" w:footer="170" w:gutter="0"/>
          <w:cols w:space="720"/>
          <w:formProt w:val="0"/>
        </w:sectPr>
      </w:pPr>
    </w:p>
    <w:p w14:paraId="770A7E1A" w14:textId="77777777" w:rsidR="00801036" w:rsidRPr="00125162" w:rsidRDefault="00801036" w:rsidP="002618D8">
      <w:pPr>
        <w:pStyle w:val="Para"/>
        <w:spacing w:after="120"/>
        <w:jc w:val="center"/>
        <w:outlineLvl w:val="0"/>
        <w:rPr>
          <w:b/>
          <w:u w:val="single"/>
          <w:lang w:val="en-AU"/>
        </w:rPr>
      </w:pPr>
      <w:r w:rsidRPr="00125162">
        <w:rPr>
          <w:b/>
          <w:lang w:val="en-AU"/>
        </w:rPr>
        <w:lastRenderedPageBreak/>
        <w:t xml:space="preserve">Table 4.2.2.2: </w:t>
      </w:r>
      <w:r w:rsidRPr="00125162">
        <w:rPr>
          <w:b/>
          <w:u w:val="single"/>
          <w:lang w:val="en-AU"/>
        </w:rPr>
        <w:t>Electricity Consumption Charges – Part 2</w:t>
      </w:r>
    </w:p>
    <w:tbl>
      <w:tblPr>
        <w:tblW w:w="13146" w:type="dxa"/>
        <w:jc w:val="center"/>
        <w:tblLook w:val="04A0" w:firstRow="1" w:lastRow="0" w:firstColumn="1" w:lastColumn="0" w:noHBand="0" w:noVBand="1"/>
      </w:tblPr>
      <w:tblGrid>
        <w:gridCol w:w="2575"/>
        <w:gridCol w:w="808"/>
        <w:gridCol w:w="675"/>
        <w:gridCol w:w="816"/>
        <w:gridCol w:w="586"/>
        <w:gridCol w:w="846"/>
        <w:gridCol w:w="675"/>
        <w:gridCol w:w="846"/>
        <w:gridCol w:w="586"/>
        <w:gridCol w:w="808"/>
        <w:gridCol w:w="675"/>
        <w:gridCol w:w="826"/>
        <w:gridCol w:w="808"/>
        <w:gridCol w:w="808"/>
        <w:gridCol w:w="808"/>
      </w:tblGrid>
      <w:tr w:rsidR="00970E2F" w:rsidRPr="00125162" w14:paraId="1AB75E0A" w14:textId="77777777" w:rsidTr="009771F8">
        <w:trPr>
          <w:trHeight w:val="465"/>
          <w:tblHeader/>
          <w:jc w:val="center"/>
        </w:trPr>
        <w:tc>
          <w:tcPr>
            <w:tcW w:w="2575" w:type="dxa"/>
            <w:tcBorders>
              <w:top w:val="double" w:sz="6" w:space="0" w:color="auto"/>
              <w:left w:val="double" w:sz="6" w:space="0" w:color="auto"/>
              <w:bottom w:val="single" w:sz="4" w:space="0" w:color="BFBFBF"/>
              <w:right w:val="nil"/>
            </w:tcBorders>
            <w:shd w:val="clear" w:color="auto" w:fill="auto"/>
            <w:noWrap/>
            <w:vAlign w:val="center"/>
          </w:tcPr>
          <w:p w14:paraId="6894A248"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1483" w:type="dxa"/>
            <w:gridSpan w:val="2"/>
            <w:tcBorders>
              <w:top w:val="double" w:sz="6" w:space="0" w:color="auto"/>
              <w:left w:val="single" w:sz="4" w:space="0" w:color="auto"/>
              <w:bottom w:val="single" w:sz="4" w:space="0" w:color="BFBFBF"/>
              <w:right w:val="single" w:sz="4" w:space="0" w:color="000000"/>
            </w:tcBorders>
            <w:shd w:val="clear" w:color="auto" w:fill="auto"/>
          </w:tcPr>
          <w:p w14:paraId="2922814B"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Carbon Tax Charge</w:t>
            </w:r>
          </w:p>
        </w:tc>
        <w:tc>
          <w:tcPr>
            <w:tcW w:w="1402" w:type="dxa"/>
            <w:gridSpan w:val="2"/>
            <w:tcBorders>
              <w:top w:val="double" w:sz="6" w:space="0" w:color="auto"/>
              <w:left w:val="nil"/>
              <w:bottom w:val="single" w:sz="4" w:space="0" w:color="BFBFBF"/>
              <w:right w:val="single" w:sz="4" w:space="0" w:color="000000"/>
            </w:tcBorders>
            <w:shd w:val="clear" w:color="auto" w:fill="auto"/>
          </w:tcPr>
          <w:p w14:paraId="2BC6EB9F"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Renewable Energy Charge</w:t>
            </w:r>
          </w:p>
        </w:tc>
        <w:tc>
          <w:tcPr>
            <w:tcW w:w="2953" w:type="dxa"/>
            <w:gridSpan w:val="4"/>
            <w:tcBorders>
              <w:top w:val="double" w:sz="6" w:space="0" w:color="auto"/>
              <w:left w:val="nil"/>
              <w:bottom w:val="single" w:sz="4" w:space="0" w:color="BFBFBF"/>
              <w:right w:val="nil"/>
            </w:tcBorders>
            <w:shd w:val="clear" w:color="auto" w:fill="auto"/>
            <w:noWrap/>
          </w:tcPr>
          <w:p w14:paraId="0949F048"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Other Charges</w:t>
            </w:r>
          </w:p>
        </w:tc>
        <w:tc>
          <w:tcPr>
            <w:tcW w:w="3117" w:type="dxa"/>
            <w:gridSpan w:val="4"/>
            <w:tcBorders>
              <w:top w:val="double" w:sz="6" w:space="0" w:color="auto"/>
              <w:left w:val="single" w:sz="4" w:space="0" w:color="auto"/>
              <w:bottom w:val="single" w:sz="4" w:space="0" w:color="BFBFBF"/>
              <w:right w:val="double" w:sz="4" w:space="0" w:color="000000" w:themeColor="text1"/>
            </w:tcBorders>
            <w:shd w:val="clear" w:color="auto" w:fill="auto"/>
            <w:noWrap/>
          </w:tcPr>
          <w:p w14:paraId="7493B280"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 Other Charges</w:t>
            </w:r>
          </w:p>
        </w:tc>
        <w:tc>
          <w:tcPr>
            <w:tcW w:w="1616" w:type="dxa"/>
            <w:gridSpan w:val="2"/>
            <w:tcBorders>
              <w:top w:val="double" w:sz="4" w:space="0" w:color="000000" w:themeColor="text1"/>
              <w:left w:val="double" w:sz="4" w:space="0" w:color="000000" w:themeColor="text1"/>
              <w:bottom w:val="single" w:sz="4" w:space="0" w:color="BFBFBF"/>
              <w:right w:val="double" w:sz="4" w:space="0" w:color="000000" w:themeColor="text1"/>
            </w:tcBorders>
            <w:shd w:val="clear" w:color="auto" w:fill="auto"/>
          </w:tcPr>
          <w:p w14:paraId="6133C91E"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 ALL CHARGES</w:t>
            </w:r>
          </w:p>
        </w:tc>
      </w:tr>
      <w:tr w:rsidR="00970E2F" w:rsidRPr="00125162" w14:paraId="3FDB6840" w14:textId="77777777" w:rsidTr="009771F8">
        <w:trPr>
          <w:trHeight w:val="225"/>
          <w:tblHeader/>
          <w:jc w:val="center"/>
        </w:trPr>
        <w:tc>
          <w:tcPr>
            <w:tcW w:w="2575" w:type="dxa"/>
            <w:tcBorders>
              <w:top w:val="nil"/>
              <w:left w:val="double" w:sz="6" w:space="0" w:color="auto"/>
              <w:bottom w:val="single" w:sz="4" w:space="0" w:color="BFBFBF"/>
              <w:right w:val="nil"/>
            </w:tcBorders>
            <w:shd w:val="clear" w:color="auto" w:fill="auto"/>
            <w:noWrap/>
          </w:tcPr>
          <w:p w14:paraId="079F6CD2"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1483" w:type="dxa"/>
            <w:gridSpan w:val="2"/>
            <w:tcBorders>
              <w:top w:val="single" w:sz="4" w:space="0" w:color="BFBFBF"/>
              <w:left w:val="single" w:sz="4" w:space="0" w:color="auto"/>
              <w:bottom w:val="single" w:sz="4" w:space="0" w:color="BFBFBF"/>
              <w:right w:val="single" w:sz="4" w:space="0" w:color="000000"/>
            </w:tcBorders>
            <w:shd w:val="clear" w:color="auto" w:fill="auto"/>
            <w:noWrap/>
          </w:tcPr>
          <w:p w14:paraId="0A1E56D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402" w:type="dxa"/>
            <w:gridSpan w:val="2"/>
            <w:tcBorders>
              <w:top w:val="single" w:sz="4" w:space="0" w:color="BFBFBF"/>
              <w:left w:val="nil"/>
              <w:bottom w:val="single" w:sz="4" w:space="0" w:color="BFBFBF"/>
              <w:right w:val="single" w:sz="4" w:space="0" w:color="000000"/>
            </w:tcBorders>
            <w:shd w:val="clear" w:color="auto" w:fill="auto"/>
            <w:noWrap/>
          </w:tcPr>
          <w:p w14:paraId="48F5F91A"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1521" w:type="dxa"/>
            <w:gridSpan w:val="2"/>
            <w:tcBorders>
              <w:top w:val="single" w:sz="4" w:space="0" w:color="BFBFBF"/>
              <w:left w:val="nil"/>
              <w:bottom w:val="single" w:sz="4" w:space="0" w:color="BFBFBF"/>
              <w:right w:val="nil"/>
            </w:tcBorders>
            <w:shd w:val="clear" w:color="auto" w:fill="auto"/>
            <w:noWrap/>
          </w:tcPr>
          <w:p w14:paraId="1F623E7A"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432" w:type="dxa"/>
            <w:gridSpan w:val="2"/>
            <w:tcBorders>
              <w:top w:val="single" w:sz="4" w:space="0" w:color="BFBFBF"/>
              <w:left w:val="single" w:sz="4" w:space="0" w:color="auto"/>
              <w:bottom w:val="single" w:sz="4" w:space="0" w:color="BFBFBF"/>
              <w:right w:val="nil"/>
            </w:tcBorders>
            <w:shd w:val="clear" w:color="auto" w:fill="auto"/>
            <w:noWrap/>
          </w:tcPr>
          <w:p w14:paraId="1703949B"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1483" w:type="dxa"/>
            <w:gridSpan w:val="2"/>
            <w:tcBorders>
              <w:top w:val="single" w:sz="4" w:space="0" w:color="BFBFBF"/>
              <w:left w:val="single" w:sz="4" w:space="0" w:color="auto"/>
              <w:bottom w:val="single" w:sz="4" w:space="0" w:color="BFBFBF"/>
              <w:right w:val="single" w:sz="4" w:space="0" w:color="000000"/>
            </w:tcBorders>
            <w:shd w:val="clear" w:color="auto" w:fill="auto"/>
            <w:noWrap/>
          </w:tcPr>
          <w:p w14:paraId="7F68C05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634" w:type="dxa"/>
            <w:gridSpan w:val="2"/>
            <w:tcBorders>
              <w:top w:val="single" w:sz="4" w:space="0" w:color="BFBFBF"/>
              <w:left w:val="nil"/>
              <w:bottom w:val="single" w:sz="4" w:space="0" w:color="BFBFBF"/>
              <w:right w:val="double" w:sz="4" w:space="0" w:color="000000" w:themeColor="text1"/>
            </w:tcBorders>
            <w:shd w:val="clear" w:color="auto" w:fill="auto"/>
            <w:noWrap/>
          </w:tcPr>
          <w:p w14:paraId="70A6E499"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808" w:type="dxa"/>
            <w:tcBorders>
              <w:top w:val="nil"/>
              <w:left w:val="double" w:sz="4" w:space="0" w:color="000000" w:themeColor="text1"/>
              <w:bottom w:val="single" w:sz="4" w:space="0" w:color="BFBFBF"/>
              <w:right w:val="single" w:sz="4" w:space="0" w:color="BFBFBF"/>
            </w:tcBorders>
            <w:shd w:val="clear" w:color="auto" w:fill="auto"/>
            <w:noWrap/>
          </w:tcPr>
          <w:p w14:paraId="4D9CC77A"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808" w:type="dxa"/>
            <w:tcBorders>
              <w:top w:val="nil"/>
              <w:left w:val="nil"/>
              <w:bottom w:val="single" w:sz="4" w:space="0" w:color="BFBFBF"/>
              <w:right w:val="double" w:sz="4" w:space="0" w:color="000000" w:themeColor="text1"/>
            </w:tcBorders>
            <w:shd w:val="clear" w:color="auto" w:fill="auto"/>
            <w:noWrap/>
          </w:tcPr>
          <w:p w14:paraId="129D83F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r>
      <w:tr w:rsidR="00970E2F" w:rsidRPr="00125162" w14:paraId="5FB773AE" w14:textId="77777777" w:rsidTr="009771F8">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5F3B45D3"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FF2A30A"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1A65AC59"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16" w:type="dxa"/>
            <w:tcBorders>
              <w:top w:val="nil"/>
              <w:left w:val="nil"/>
              <w:bottom w:val="single" w:sz="4" w:space="0" w:color="BFBFBF"/>
              <w:right w:val="single" w:sz="4" w:space="0" w:color="BFBFBF"/>
            </w:tcBorders>
            <w:shd w:val="clear" w:color="auto" w:fill="auto"/>
            <w:noWrap/>
            <w:vAlign w:val="center"/>
          </w:tcPr>
          <w:p w14:paraId="49919398"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586" w:type="dxa"/>
            <w:tcBorders>
              <w:top w:val="nil"/>
              <w:left w:val="nil"/>
              <w:bottom w:val="single" w:sz="4" w:space="0" w:color="BFBFBF"/>
              <w:right w:val="single" w:sz="4" w:space="0" w:color="auto"/>
            </w:tcBorders>
            <w:shd w:val="clear" w:color="auto" w:fill="auto"/>
            <w:noWrap/>
            <w:vAlign w:val="center"/>
          </w:tcPr>
          <w:p w14:paraId="70D81013"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46" w:type="dxa"/>
            <w:tcBorders>
              <w:top w:val="nil"/>
              <w:left w:val="nil"/>
              <w:bottom w:val="single" w:sz="4" w:space="0" w:color="BFBFBF"/>
              <w:right w:val="single" w:sz="4" w:space="0" w:color="BFBFBF"/>
            </w:tcBorders>
            <w:shd w:val="clear" w:color="auto" w:fill="auto"/>
            <w:noWrap/>
            <w:vAlign w:val="center"/>
          </w:tcPr>
          <w:p w14:paraId="2BED8B49"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nil"/>
            </w:tcBorders>
            <w:shd w:val="clear" w:color="auto" w:fill="auto"/>
            <w:noWrap/>
            <w:vAlign w:val="center"/>
          </w:tcPr>
          <w:p w14:paraId="53053607"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09F68177"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50D15A5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A82B61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5390299B"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26" w:type="dxa"/>
            <w:tcBorders>
              <w:top w:val="nil"/>
              <w:left w:val="nil"/>
              <w:bottom w:val="single" w:sz="4" w:space="0" w:color="BFBFBF"/>
              <w:right w:val="single" w:sz="4" w:space="0" w:color="BFBFBF"/>
            </w:tcBorders>
            <w:shd w:val="clear" w:color="auto" w:fill="auto"/>
            <w:noWrap/>
            <w:vAlign w:val="center"/>
          </w:tcPr>
          <w:p w14:paraId="5C990150"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double" w:sz="4" w:space="0" w:color="000000" w:themeColor="text1"/>
            </w:tcBorders>
            <w:shd w:val="clear" w:color="auto" w:fill="auto"/>
            <w:noWrap/>
            <w:vAlign w:val="center"/>
          </w:tcPr>
          <w:p w14:paraId="74D44A6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0F364FCC"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double" w:sz="4" w:space="0" w:color="000000" w:themeColor="text1"/>
            </w:tcBorders>
            <w:shd w:val="clear" w:color="auto" w:fill="auto"/>
            <w:noWrap/>
            <w:vAlign w:val="center"/>
          </w:tcPr>
          <w:p w14:paraId="319FEF98"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r>
      <w:tr w:rsidR="00970E2F" w:rsidRPr="00125162" w14:paraId="75D04B34" w14:textId="77777777" w:rsidTr="009771F8">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1BDDD5C5" w14:textId="77777777" w:rsidR="00970E2F" w:rsidRPr="00125162" w:rsidRDefault="00970E2F"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Sub-groups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85EAE33" w14:textId="77777777" w:rsidR="00970E2F" w:rsidRPr="00125162" w:rsidRDefault="00970E2F" w:rsidP="0080172E">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80172E" w:rsidRPr="00125162">
              <w:rPr>
                <w:rFonts w:ascii="Arial" w:hAnsi="Arial" w:cs="Arial"/>
                <w:b/>
                <w:bCs/>
                <w:color w:val="000000"/>
                <w:sz w:val="16"/>
                <w:szCs w:val="16"/>
                <w:lang w:val="en-AU" w:eastAsia="en-AU"/>
              </w:rPr>
              <w:t>855</w:t>
            </w:r>
          </w:p>
        </w:tc>
        <w:tc>
          <w:tcPr>
            <w:tcW w:w="675" w:type="dxa"/>
            <w:tcBorders>
              <w:top w:val="nil"/>
              <w:left w:val="nil"/>
              <w:bottom w:val="single" w:sz="4" w:space="0" w:color="BFBFBF"/>
              <w:right w:val="single" w:sz="4" w:space="0" w:color="auto"/>
            </w:tcBorders>
            <w:shd w:val="clear" w:color="auto" w:fill="auto"/>
            <w:noWrap/>
            <w:vAlign w:val="center"/>
          </w:tcPr>
          <w:p w14:paraId="534DA6E1" w14:textId="77777777" w:rsidR="00970E2F" w:rsidRPr="00125162" w:rsidRDefault="00970E2F" w:rsidP="0080172E">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n=3</w:t>
            </w:r>
            <w:r w:rsidR="0080172E" w:rsidRPr="00125162">
              <w:rPr>
                <w:rFonts w:ascii="Arial" w:hAnsi="Arial" w:cs="Arial"/>
                <w:b/>
                <w:bCs/>
                <w:color w:val="000000"/>
                <w:sz w:val="16"/>
                <w:szCs w:val="16"/>
                <w:lang w:val="en-AU" w:eastAsia="en-AU"/>
              </w:rPr>
              <w:t>32</w:t>
            </w:r>
          </w:p>
        </w:tc>
        <w:tc>
          <w:tcPr>
            <w:tcW w:w="816" w:type="dxa"/>
            <w:tcBorders>
              <w:top w:val="nil"/>
              <w:left w:val="nil"/>
              <w:bottom w:val="single" w:sz="4" w:space="0" w:color="BFBFBF"/>
              <w:right w:val="single" w:sz="4" w:space="0" w:color="BFBFBF"/>
            </w:tcBorders>
            <w:shd w:val="clear" w:color="auto" w:fill="auto"/>
            <w:noWrap/>
            <w:vAlign w:val="center"/>
          </w:tcPr>
          <w:p w14:paraId="6507E319" w14:textId="77777777" w:rsidR="00970E2F" w:rsidRPr="00125162" w:rsidRDefault="00970E2F"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586" w:type="dxa"/>
            <w:tcBorders>
              <w:top w:val="nil"/>
              <w:left w:val="nil"/>
              <w:bottom w:val="single" w:sz="4" w:space="0" w:color="BFBFBF"/>
              <w:right w:val="single" w:sz="4" w:space="0" w:color="auto"/>
            </w:tcBorders>
            <w:shd w:val="clear" w:color="auto" w:fill="auto"/>
            <w:noWrap/>
            <w:vAlign w:val="center"/>
          </w:tcPr>
          <w:p w14:paraId="7AA01C5B" w14:textId="77777777" w:rsidR="00970E2F" w:rsidRPr="00125162" w:rsidRDefault="00970E2F"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n=25</w:t>
            </w:r>
          </w:p>
        </w:tc>
        <w:tc>
          <w:tcPr>
            <w:tcW w:w="846" w:type="dxa"/>
            <w:tcBorders>
              <w:top w:val="nil"/>
              <w:left w:val="nil"/>
              <w:bottom w:val="single" w:sz="4" w:space="0" w:color="BFBFBF"/>
              <w:right w:val="single" w:sz="4" w:space="0" w:color="BFBFBF"/>
            </w:tcBorders>
            <w:shd w:val="clear" w:color="auto" w:fill="auto"/>
            <w:noWrap/>
            <w:vAlign w:val="center"/>
          </w:tcPr>
          <w:p w14:paraId="6B6CCCF0" w14:textId="77777777" w:rsidR="00970E2F" w:rsidRPr="00125162" w:rsidRDefault="00970E2F" w:rsidP="005C4D4D">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5C4D4D" w:rsidRPr="00125162">
              <w:rPr>
                <w:rFonts w:ascii="Arial" w:hAnsi="Arial" w:cs="Arial"/>
                <w:b/>
                <w:bCs/>
                <w:color w:val="000000"/>
                <w:sz w:val="16"/>
                <w:szCs w:val="16"/>
                <w:lang w:val="en-AU" w:eastAsia="en-AU"/>
              </w:rPr>
              <w:t>855</w:t>
            </w:r>
          </w:p>
        </w:tc>
        <w:tc>
          <w:tcPr>
            <w:tcW w:w="675" w:type="dxa"/>
            <w:tcBorders>
              <w:top w:val="nil"/>
              <w:left w:val="nil"/>
              <w:bottom w:val="single" w:sz="4" w:space="0" w:color="BFBFBF"/>
              <w:right w:val="nil"/>
            </w:tcBorders>
            <w:shd w:val="clear" w:color="auto" w:fill="auto"/>
            <w:noWrap/>
            <w:vAlign w:val="center"/>
          </w:tcPr>
          <w:p w14:paraId="47FEF305" w14:textId="77777777" w:rsidR="00970E2F" w:rsidRPr="00125162" w:rsidRDefault="00970E2F" w:rsidP="005C4D4D">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w:t>
            </w:r>
            <w:r w:rsidR="005C4D4D" w:rsidRPr="00125162">
              <w:rPr>
                <w:rFonts w:ascii="Arial" w:hAnsi="Arial" w:cs="Arial"/>
                <w:b/>
                <w:bCs/>
                <w:color w:val="000000"/>
                <w:sz w:val="16"/>
                <w:szCs w:val="16"/>
                <w:lang w:val="en-AU" w:eastAsia="en-AU"/>
              </w:rPr>
              <w:t>321</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1ABDECF2" w14:textId="77777777" w:rsidR="00970E2F" w:rsidRPr="00125162" w:rsidRDefault="00970E2F"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586" w:type="dxa"/>
            <w:tcBorders>
              <w:top w:val="nil"/>
              <w:left w:val="nil"/>
              <w:bottom w:val="single" w:sz="4" w:space="0" w:color="BFBFBF"/>
              <w:right w:val="nil"/>
            </w:tcBorders>
            <w:shd w:val="clear" w:color="auto" w:fill="auto"/>
            <w:noWrap/>
            <w:vAlign w:val="center"/>
          </w:tcPr>
          <w:p w14:paraId="0337C97F" w14:textId="77777777" w:rsidR="00970E2F" w:rsidRPr="00125162" w:rsidRDefault="00970E2F"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n=56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E39CEDA" w14:textId="77777777" w:rsidR="00970E2F" w:rsidRPr="00125162" w:rsidRDefault="00970E2F" w:rsidP="00E8464E">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E8464E" w:rsidRPr="00125162">
              <w:rPr>
                <w:rFonts w:ascii="Arial" w:hAnsi="Arial" w:cs="Arial"/>
                <w:b/>
                <w:bCs/>
                <w:color w:val="000000"/>
                <w:sz w:val="16"/>
                <w:szCs w:val="16"/>
                <w:lang w:val="en-AU" w:eastAsia="en-AU"/>
              </w:rPr>
              <w:t>855</w:t>
            </w:r>
          </w:p>
        </w:tc>
        <w:tc>
          <w:tcPr>
            <w:tcW w:w="675" w:type="dxa"/>
            <w:tcBorders>
              <w:top w:val="nil"/>
              <w:left w:val="nil"/>
              <w:bottom w:val="single" w:sz="4" w:space="0" w:color="BFBFBF"/>
              <w:right w:val="single" w:sz="4" w:space="0" w:color="auto"/>
            </w:tcBorders>
            <w:shd w:val="clear" w:color="auto" w:fill="auto"/>
            <w:noWrap/>
            <w:vAlign w:val="center"/>
          </w:tcPr>
          <w:p w14:paraId="5AC14023" w14:textId="77777777" w:rsidR="00970E2F" w:rsidRPr="00125162" w:rsidRDefault="00970E2F"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n=520</w:t>
            </w:r>
          </w:p>
        </w:tc>
        <w:tc>
          <w:tcPr>
            <w:tcW w:w="826" w:type="dxa"/>
            <w:tcBorders>
              <w:top w:val="nil"/>
              <w:left w:val="nil"/>
              <w:bottom w:val="single" w:sz="4" w:space="0" w:color="BFBFBF"/>
              <w:right w:val="single" w:sz="4" w:space="0" w:color="BFBFBF"/>
            </w:tcBorders>
            <w:shd w:val="clear" w:color="auto" w:fill="auto"/>
            <w:noWrap/>
            <w:vAlign w:val="center"/>
          </w:tcPr>
          <w:p w14:paraId="42C65F5F" w14:textId="77777777" w:rsidR="00970E2F" w:rsidRPr="00125162" w:rsidRDefault="00F614A0"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w:t>
            </w:r>
            <w:r w:rsidR="00970E2F" w:rsidRPr="00125162">
              <w:rPr>
                <w:rFonts w:ascii="Arial" w:hAnsi="Arial" w:cs="Arial"/>
                <w:b/>
                <w:bCs/>
                <w:color w:val="000000"/>
                <w:sz w:val="16"/>
                <w:szCs w:val="16"/>
                <w:lang w:val="en-AU" w:eastAsia="en-AU"/>
              </w:rPr>
              <w:t>=2,060</w:t>
            </w:r>
          </w:p>
        </w:tc>
        <w:tc>
          <w:tcPr>
            <w:tcW w:w="808" w:type="dxa"/>
            <w:tcBorders>
              <w:top w:val="nil"/>
              <w:left w:val="nil"/>
              <w:bottom w:val="single" w:sz="4" w:space="0" w:color="BFBFBF"/>
              <w:right w:val="double" w:sz="4" w:space="0" w:color="000000" w:themeColor="text1"/>
            </w:tcBorders>
            <w:shd w:val="clear" w:color="auto" w:fill="auto"/>
            <w:noWrap/>
            <w:vAlign w:val="center"/>
          </w:tcPr>
          <w:p w14:paraId="4F45A57D" w14:textId="77777777" w:rsidR="00970E2F" w:rsidRPr="00125162" w:rsidRDefault="00970E2F"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n=2,030</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3DEA8E6B" w14:textId="77777777" w:rsidR="00970E2F" w:rsidRPr="00125162" w:rsidRDefault="00970E2F" w:rsidP="00E8464E">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31234C" w:rsidRPr="00125162">
              <w:rPr>
                <w:rFonts w:ascii="Arial" w:hAnsi="Arial" w:cs="Arial"/>
                <w:b/>
                <w:bCs/>
                <w:color w:val="000000"/>
                <w:sz w:val="16"/>
                <w:szCs w:val="16"/>
                <w:lang w:val="en-AU" w:eastAsia="en-AU"/>
              </w:rPr>
              <w:t>,</w:t>
            </w:r>
            <w:r w:rsidR="00E8464E" w:rsidRPr="00125162">
              <w:rPr>
                <w:rFonts w:ascii="Arial" w:hAnsi="Arial" w:cs="Arial"/>
                <w:b/>
                <w:bCs/>
                <w:color w:val="000000"/>
                <w:sz w:val="16"/>
                <w:szCs w:val="16"/>
                <w:lang w:val="en-AU" w:eastAsia="en-AU"/>
              </w:rPr>
              <w:t>852</w:t>
            </w:r>
          </w:p>
        </w:tc>
        <w:tc>
          <w:tcPr>
            <w:tcW w:w="808" w:type="dxa"/>
            <w:tcBorders>
              <w:top w:val="nil"/>
              <w:left w:val="nil"/>
              <w:bottom w:val="single" w:sz="4" w:space="0" w:color="BFBFBF"/>
              <w:right w:val="double" w:sz="4" w:space="0" w:color="000000" w:themeColor="text1"/>
            </w:tcBorders>
            <w:shd w:val="clear" w:color="auto" w:fill="auto"/>
            <w:noWrap/>
            <w:vAlign w:val="center"/>
          </w:tcPr>
          <w:p w14:paraId="6A6668D3" w14:textId="77777777" w:rsidR="00970E2F" w:rsidRPr="00125162" w:rsidRDefault="00970E2F"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r>
      <w:tr w:rsidR="00970E2F" w:rsidRPr="00125162" w14:paraId="4748EDB3"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2E200F3" w14:textId="77777777" w:rsidR="00970E2F" w:rsidRPr="00125162" w:rsidRDefault="00970E2F"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Region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34B5C3E" w14:textId="77777777" w:rsidR="00970E2F" w:rsidRPr="00125162" w:rsidRDefault="00970E2F" w:rsidP="009E6A8A">
            <w:pPr>
              <w:spacing w:before="0" w:after="0"/>
              <w:jc w:val="center"/>
              <w:rPr>
                <w:rFonts w:ascii="Arial" w:hAnsi="Arial" w:cs="Arial"/>
                <w:color w:val="FF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3D1E9AEE" w14:textId="77777777" w:rsidR="00970E2F" w:rsidRPr="00125162" w:rsidRDefault="00970E2F" w:rsidP="009E6A8A">
            <w:pPr>
              <w:spacing w:before="0" w:after="0"/>
              <w:jc w:val="center"/>
              <w:rPr>
                <w:rFonts w:ascii="Arial" w:hAnsi="Arial" w:cs="Arial"/>
                <w:color w:val="000000"/>
                <w:sz w:val="16"/>
                <w:szCs w:val="16"/>
                <w:lang w:val="en-AU" w:eastAsia="en-AU"/>
              </w:rPr>
            </w:pPr>
          </w:p>
        </w:tc>
        <w:tc>
          <w:tcPr>
            <w:tcW w:w="816" w:type="dxa"/>
            <w:tcBorders>
              <w:top w:val="nil"/>
              <w:left w:val="nil"/>
              <w:bottom w:val="single" w:sz="4" w:space="0" w:color="BFBFBF"/>
              <w:right w:val="single" w:sz="4" w:space="0" w:color="BFBFBF"/>
            </w:tcBorders>
            <w:shd w:val="clear" w:color="auto" w:fill="auto"/>
            <w:noWrap/>
            <w:vAlign w:val="center"/>
          </w:tcPr>
          <w:p w14:paraId="5A2A5F39" w14:textId="77777777" w:rsidR="00970E2F" w:rsidRPr="00125162" w:rsidRDefault="00970E2F"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single" w:sz="4" w:space="0" w:color="auto"/>
            </w:tcBorders>
            <w:shd w:val="clear" w:color="auto" w:fill="auto"/>
            <w:noWrap/>
            <w:vAlign w:val="center"/>
          </w:tcPr>
          <w:p w14:paraId="2693E17B" w14:textId="77777777" w:rsidR="00970E2F" w:rsidRPr="00125162" w:rsidRDefault="00970E2F" w:rsidP="009E6A8A">
            <w:pPr>
              <w:spacing w:before="0" w:after="0"/>
              <w:jc w:val="center"/>
              <w:rPr>
                <w:rFonts w:ascii="Arial" w:hAnsi="Arial" w:cs="Arial"/>
                <w:color w:val="000000"/>
                <w:sz w:val="16"/>
                <w:szCs w:val="16"/>
                <w:lang w:val="en-AU" w:eastAsia="en-AU"/>
              </w:rPr>
            </w:pPr>
          </w:p>
        </w:tc>
        <w:tc>
          <w:tcPr>
            <w:tcW w:w="846" w:type="dxa"/>
            <w:tcBorders>
              <w:top w:val="nil"/>
              <w:left w:val="nil"/>
              <w:bottom w:val="single" w:sz="4" w:space="0" w:color="BFBFBF"/>
              <w:right w:val="single" w:sz="4" w:space="0" w:color="BFBFBF"/>
            </w:tcBorders>
            <w:shd w:val="clear" w:color="auto" w:fill="auto"/>
            <w:noWrap/>
            <w:vAlign w:val="center"/>
          </w:tcPr>
          <w:p w14:paraId="123DE202" w14:textId="77777777" w:rsidR="00970E2F" w:rsidRPr="00125162" w:rsidRDefault="00970E2F" w:rsidP="009E6A8A">
            <w:pPr>
              <w:spacing w:before="0" w:after="0"/>
              <w:jc w:val="center"/>
              <w:rPr>
                <w:rFonts w:ascii="Arial" w:hAnsi="Arial" w:cs="Arial"/>
                <w:color w:val="FF0000"/>
                <w:sz w:val="16"/>
                <w:szCs w:val="16"/>
                <w:lang w:val="en-AU" w:eastAsia="en-AU"/>
              </w:rPr>
            </w:pPr>
          </w:p>
        </w:tc>
        <w:tc>
          <w:tcPr>
            <w:tcW w:w="675" w:type="dxa"/>
            <w:tcBorders>
              <w:top w:val="nil"/>
              <w:left w:val="nil"/>
              <w:bottom w:val="single" w:sz="4" w:space="0" w:color="BFBFBF"/>
              <w:right w:val="nil"/>
            </w:tcBorders>
            <w:shd w:val="clear" w:color="auto" w:fill="auto"/>
            <w:noWrap/>
            <w:vAlign w:val="center"/>
          </w:tcPr>
          <w:p w14:paraId="6B1434A6" w14:textId="77777777" w:rsidR="00970E2F" w:rsidRPr="00125162" w:rsidRDefault="00970E2F" w:rsidP="009E6A8A">
            <w:pPr>
              <w:spacing w:before="0" w:after="0"/>
              <w:jc w:val="center"/>
              <w:rPr>
                <w:rFonts w:ascii="Arial" w:hAnsi="Arial" w:cs="Arial"/>
                <w:color w:val="000000"/>
                <w:sz w:val="16"/>
                <w:szCs w:val="16"/>
                <w:lang w:val="en-AU" w:eastAsia="en-AU"/>
              </w:rPr>
            </w:pP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0134C0EA" w14:textId="77777777" w:rsidR="00970E2F" w:rsidRPr="00125162" w:rsidRDefault="00970E2F"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nil"/>
            </w:tcBorders>
            <w:shd w:val="clear" w:color="auto" w:fill="auto"/>
            <w:noWrap/>
            <w:vAlign w:val="center"/>
          </w:tcPr>
          <w:p w14:paraId="5FD9872E" w14:textId="77777777" w:rsidR="00970E2F" w:rsidRPr="00125162" w:rsidRDefault="00970E2F" w:rsidP="009E6A8A">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723D611" w14:textId="77777777" w:rsidR="00970E2F" w:rsidRPr="00125162" w:rsidRDefault="00970E2F" w:rsidP="009E6A8A">
            <w:pPr>
              <w:spacing w:before="0" w:after="0"/>
              <w:jc w:val="center"/>
              <w:rPr>
                <w:rFonts w:ascii="Arial" w:hAnsi="Arial" w:cs="Arial"/>
                <w:color w:val="FF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74D80DC2" w14:textId="77777777" w:rsidR="00970E2F" w:rsidRPr="00125162" w:rsidRDefault="00970E2F" w:rsidP="009E6A8A">
            <w:pPr>
              <w:spacing w:before="0" w:after="0"/>
              <w:jc w:val="center"/>
              <w:rPr>
                <w:rFonts w:ascii="Arial" w:hAnsi="Arial" w:cs="Arial"/>
                <w:color w:val="000000"/>
                <w:sz w:val="16"/>
                <w:szCs w:val="16"/>
                <w:lang w:val="en-AU" w:eastAsia="en-AU"/>
              </w:rPr>
            </w:pPr>
          </w:p>
        </w:tc>
        <w:tc>
          <w:tcPr>
            <w:tcW w:w="826" w:type="dxa"/>
            <w:tcBorders>
              <w:top w:val="nil"/>
              <w:left w:val="nil"/>
              <w:bottom w:val="single" w:sz="4" w:space="0" w:color="BFBFBF"/>
              <w:right w:val="single" w:sz="4" w:space="0" w:color="BFBFBF"/>
            </w:tcBorders>
            <w:shd w:val="clear" w:color="auto" w:fill="auto"/>
            <w:noWrap/>
            <w:vAlign w:val="center"/>
          </w:tcPr>
          <w:p w14:paraId="1F94C589" w14:textId="77777777" w:rsidR="00970E2F" w:rsidRPr="00125162" w:rsidRDefault="00970E2F" w:rsidP="009E6A8A">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double" w:sz="4" w:space="0" w:color="000000" w:themeColor="text1"/>
            </w:tcBorders>
            <w:shd w:val="clear" w:color="auto" w:fill="auto"/>
            <w:noWrap/>
            <w:vAlign w:val="center"/>
          </w:tcPr>
          <w:p w14:paraId="296AEE90" w14:textId="77777777" w:rsidR="00970E2F" w:rsidRPr="00125162" w:rsidRDefault="00970E2F" w:rsidP="009E6A8A">
            <w:pPr>
              <w:spacing w:before="0" w:after="0"/>
              <w:jc w:val="center"/>
              <w:rPr>
                <w:rFonts w:ascii="Arial" w:hAnsi="Arial" w:cs="Arial"/>
                <w:color w:val="000000"/>
                <w:sz w:val="16"/>
                <w:szCs w:val="16"/>
                <w:lang w:val="en-AU" w:eastAsia="en-AU"/>
              </w:rPr>
            </w:pP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064EE355" w14:textId="77777777" w:rsidR="00970E2F" w:rsidRPr="00125162" w:rsidRDefault="00970E2F" w:rsidP="009E6A8A">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double" w:sz="4" w:space="0" w:color="000000" w:themeColor="text1"/>
            </w:tcBorders>
            <w:shd w:val="clear" w:color="auto" w:fill="auto"/>
            <w:noWrap/>
            <w:vAlign w:val="center"/>
          </w:tcPr>
          <w:p w14:paraId="1B73DF44" w14:textId="77777777" w:rsidR="00970E2F" w:rsidRPr="00125162" w:rsidRDefault="00970E2F" w:rsidP="009E6A8A">
            <w:pPr>
              <w:spacing w:before="0" w:after="0"/>
              <w:jc w:val="center"/>
              <w:rPr>
                <w:rFonts w:ascii="Arial" w:hAnsi="Arial" w:cs="Arial"/>
                <w:color w:val="000000"/>
                <w:sz w:val="16"/>
                <w:szCs w:val="16"/>
                <w:lang w:val="en-AU" w:eastAsia="en-AU"/>
              </w:rPr>
            </w:pPr>
          </w:p>
        </w:tc>
      </w:tr>
      <w:tr w:rsidR="004D177A" w:rsidRPr="00125162" w14:paraId="318C84AE"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3D3B621"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125162">
                  <w:rPr>
                    <w:rFonts w:ascii="Arial" w:hAnsi="Arial" w:cs="Arial"/>
                    <w:color w:val="000000"/>
                    <w:sz w:val="16"/>
                    <w:szCs w:val="16"/>
                    <w:lang w:val="en-AU" w:eastAsia="en-AU"/>
                  </w:rPr>
                  <w:t>Melbourne</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BFF027A"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010EF125"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16" w:type="dxa"/>
            <w:tcBorders>
              <w:top w:val="nil"/>
              <w:left w:val="nil"/>
              <w:bottom w:val="single" w:sz="4" w:space="0" w:color="BFBFBF"/>
              <w:right w:val="single" w:sz="4" w:space="0" w:color="BFBFBF"/>
            </w:tcBorders>
            <w:shd w:val="clear" w:color="auto" w:fill="auto"/>
            <w:noWrap/>
            <w:vAlign w:val="center"/>
          </w:tcPr>
          <w:p w14:paraId="3545BE6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4FA75F52"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85</w:t>
            </w:r>
          </w:p>
        </w:tc>
        <w:tc>
          <w:tcPr>
            <w:tcW w:w="846" w:type="dxa"/>
            <w:tcBorders>
              <w:top w:val="nil"/>
              <w:left w:val="nil"/>
              <w:bottom w:val="single" w:sz="4" w:space="0" w:color="BFBFBF"/>
              <w:right w:val="single" w:sz="4" w:space="0" w:color="BFBFBF"/>
            </w:tcBorders>
            <w:shd w:val="clear" w:color="auto" w:fill="auto"/>
            <w:noWrap/>
            <w:vAlign w:val="bottom"/>
          </w:tcPr>
          <w:p w14:paraId="6300BE91"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nil"/>
            </w:tcBorders>
            <w:shd w:val="clear" w:color="auto" w:fill="auto"/>
            <w:noWrap/>
            <w:vAlign w:val="center"/>
          </w:tcPr>
          <w:p w14:paraId="2E9BA6E1"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245DD64A"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3EF2927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-164</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AEA11A2"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single" w:sz="4" w:space="0" w:color="auto"/>
            </w:tcBorders>
            <w:shd w:val="clear" w:color="auto" w:fill="auto"/>
            <w:noWrap/>
            <w:vAlign w:val="center"/>
          </w:tcPr>
          <w:p w14:paraId="00B3605A"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w:t>
            </w:r>
          </w:p>
        </w:tc>
        <w:tc>
          <w:tcPr>
            <w:tcW w:w="826" w:type="dxa"/>
            <w:tcBorders>
              <w:top w:val="nil"/>
              <w:left w:val="nil"/>
              <w:bottom w:val="single" w:sz="4" w:space="0" w:color="BFBFBF"/>
              <w:right w:val="single" w:sz="4" w:space="0" w:color="BFBFBF"/>
            </w:tcBorders>
            <w:shd w:val="clear" w:color="auto" w:fill="auto"/>
            <w:noWrap/>
            <w:vAlign w:val="center"/>
          </w:tcPr>
          <w:p w14:paraId="7C8410C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7184389F"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149</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787D1615" w14:textId="62E4CF97"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425</w:t>
            </w:r>
          </w:p>
        </w:tc>
        <w:tc>
          <w:tcPr>
            <w:tcW w:w="808" w:type="dxa"/>
            <w:tcBorders>
              <w:top w:val="nil"/>
              <w:left w:val="nil"/>
              <w:bottom w:val="single" w:sz="4" w:space="0" w:color="BFBFBF"/>
              <w:right w:val="double" w:sz="4" w:space="0" w:color="000000" w:themeColor="text1"/>
            </w:tcBorders>
            <w:shd w:val="clear" w:color="auto" w:fill="auto"/>
            <w:noWrap/>
            <w:vAlign w:val="center"/>
          </w:tcPr>
          <w:p w14:paraId="71C51A3D"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977</w:t>
            </w:r>
          </w:p>
        </w:tc>
      </w:tr>
      <w:tr w:rsidR="004D177A" w:rsidRPr="00125162" w14:paraId="788C4AE7"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76CADE0D"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Country VIC</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FB58691"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675" w:type="dxa"/>
            <w:tcBorders>
              <w:top w:val="nil"/>
              <w:left w:val="nil"/>
              <w:bottom w:val="single" w:sz="4" w:space="0" w:color="BFBFBF"/>
              <w:right w:val="single" w:sz="4" w:space="0" w:color="auto"/>
            </w:tcBorders>
            <w:shd w:val="clear" w:color="auto" w:fill="auto"/>
            <w:noWrap/>
            <w:vAlign w:val="center"/>
          </w:tcPr>
          <w:p w14:paraId="51F84D9A"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w:t>
            </w:r>
          </w:p>
        </w:tc>
        <w:tc>
          <w:tcPr>
            <w:tcW w:w="816" w:type="dxa"/>
            <w:tcBorders>
              <w:top w:val="nil"/>
              <w:left w:val="nil"/>
              <w:bottom w:val="single" w:sz="4" w:space="0" w:color="BFBFBF"/>
              <w:right w:val="single" w:sz="4" w:space="0" w:color="BFBFBF"/>
            </w:tcBorders>
            <w:shd w:val="clear" w:color="auto" w:fill="auto"/>
            <w:noWrap/>
            <w:vAlign w:val="center"/>
          </w:tcPr>
          <w:p w14:paraId="3DC6007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700D725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68</w:t>
            </w:r>
          </w:p>
        </w:tc>
        <w:tc>
          <w:tcPr>
            <w:tcW w:w="846" w:type="dxa"/>
            <w:tcBorders>
              <w:top w:val="nil"/>
              <w:left w:val="nil"/>
              <w:bottom w:val="single" w:sz="4" w:space="0" w:color="BFBFBF"/>
              <w:right w:val="single" w:sz="4" w:space="0" w:color="BFBFBF"/>
            </w:tcBorders>
            <w:shd w:val="clear" w:color="auto" w:fill="auto"/>
            <w:noWrap/>
            <w:vAlign w:val="bottom"/>
          </w:tcPr>
          <w:p w14:paraId="4EE80630"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675" w:type="dxa"/>
            <w:tcBorders>
              <w:top w:val="nil"/>
              <w:left w:val="nil"/>
              <w:bottom w:val="single" w:sz="4" w:space="0" w:color="BFBFBF"/>
              <w:right w:val="nil"/>
            </w:tcBorders>
            <w:shd w:val="clear" w:color="auto" w:fill="auto"/>
            <w:noWrap/>
            <w:vAlign w:val="center"/>
          </w:tcPr>
          <w:p w14:paraId="36423B1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70</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25E1275D"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49AFDDFF"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177</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AE456DA"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675" w:type="dxa"/>
            <w:tcBorders>
              <w:top w:val="nil"/>
              <w:left w:val="nil"/>
              <w:bottom w:val="single" w:sz="4" w:space="0" w:color="BFBFBF"/>
              <w:right w:val="single" w:sz="4" w:space="0" w:color="auto"/>
            </w:tcBorders>
            <w:shd w:val="clear" w:color="auto" w:fill="auto"/>
            <w:noWrap/>
            <w:vAlign w:val="center"/>
          </w:tcPr>
          <w:p w14:paraId="24E4D385"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70</w:t>
            </w:r>
          </w:p>
        </w:tc>
        <w:tc>
          <w:tcPr>
            <w:tcW w:w="826" w:type="dxa"/>
            <w:tcBorders>
              <w:top w:val="nil"/>
              <w:left w:val="nil"/>
              <w:bottom w:val="single" w:sz="4" w:space="0" w:color="BFBFBF"/>
              <w:right w:val="single" w:sz="4" w:space="0" w:color="BFBFBF"/>
            </w:tcBorders>
            <w:shd w:val="clear" w:color="auto" w:fill="auto"/>
            <w:noWrap/>
            <w:vAlign w:val="center"/>
          </w:tcPr>
          <w:p w14:paraId="7993659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96%</w:t>
            </w:r>
          </w:p>
        </w:tc>
        <w:tc>
          <w:tcPr>
            <w:tcW w:w="808" w:type="dxa"/>
            <w:tcBorders>
              <w:top w:val="nil"/>
              <w:left w:val="nil"/>
              <w:bottom w:val="single" w:sz="4" w:space="0" w:color="BFBFBF"/>
              <w:right w:val="double" w:sz="4" w:space="0" w:color="000000" w:themeColor="text1"/>
            </w:tcBorders>
            <w:shd w:val="clear" w:color="auto" w:fill="auto"/>
            <w:noWrap/>
            <w:vAlign w:val="center"/>
          </w:tcPr>
          <w:p w14:paraId="26AC33C2"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165</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374A696D" w14:textId="7EFCCA2A"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539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3CBB4D2B"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881</w:t>
            </w:r>
          </w:p>
        </w:tc>
      </w:tr>
      <w:tr w:rsidR="004D177A" w:rsidRPr="00125162" w14:paraId="779BEC00"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922696B" w14:textId="64CD0D0F" w:rsidR="004D177A" w:rsidRPr="00125162" w:rsidRDefault="004D177A" w:rsidP="00970E2F">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Pr="00125162">
              <w:rPr>
                <w:rFonts w:ascii="Arial" w:hAnsi="Arial" w:cs="Arial"/>
                <w:color w:val="000000"/>
                <w:sz w:val="16"/>
                <w:szCs w:val="16"/>
                <w:lang w:val="en-AU" w:eastAsia="en-AU"/>
              </w:rPr>
              <w:t>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832FE1E" w14:textId="77777777" w:rsidR="004D177A" w:rsidRPr="00125162" w:rsidRDefault="004D177A" w:rsidP="00763E5C">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17</w:t>
            </w:r>
            <w:r w:rsidRPr="00125162">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574BB357" w14:textId="77777777" w:rsidR="004D177A" w:rsidRPr="00125162" w:rsidRDefault="004D177A" w:rsidP="00763E5C">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44</w:t>
            </w:r>
          </w:p>
        </w:tc>
        <w:tc>
          <w:tcPr>
            <w:tcW w:w="816" w:type="dxa"/>
            <w:tcBorders>
              <w:top w:val="nil"/>
              <w:left w:val="nil"/>
              <w:bottom w:val="single" w:sz="4" w:space="0" w:color="BFBFBF"/>
              <w:right w:val="single" w:sz="4" w:space="0" w:color="BFBFBF"/>
            </w:tcBorders>
            <w:shd w:val="clear" w:color="auto" w:fill="auto"/>
            <w:noWrap/>
            <w:vAlign w:val="center"/>
          </w:tcPr>
          <w:p w14:paraId="0E2C06E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4A1237F1"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124</w:t>
            </w:r>
          </w:p>
        </w:tc>
        <w:tc>
          <w:tcPr>
            <w:tcW w:w="846" w:type="dxa"/>
            <w:tcBorders>
              <w:top w:val="nil"/>
              <w:left w:val="nil"/>
              <w:bottom w:val="single" w:sz="4" w:space="0" w:color="BFBFBF"/>
              <w:right w:val="single" w:sz="4" w:space="0" w:color="BFBFBF"/>
            </w:tcBorders>
            <w:shd w:val="clear" w:color="auto" w:fill="auto"/>
            <w:noWrap/>
            <w:vAlign w:val="bottom"/>
          </w:tcPr>
          <w:p w14:paraId="37F8F8D6" w14:textId="77777777" w:rsidR="004D177A" w:rsidRPr="00125162" w:rsidRDefault="004D177A" w:rsidP="00AD7D78">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20</w:t>
            </w:r>
            <w:r w:rsidRPr="00125162">
              <w:rPr>
                <w:rFonts w:ascii="Arial" w:hAnsi="Arial" w:cs="Arial"/>
                <w:color w:val="000000"/>
                <w:sz w:val="16"/>
                <w:szCs w:val="16"/>
                <w:lang w:val="en-AU" w:eastAsia="en-AU"/>
              </w:rPr>
              <w:t>%</w:t>
            </w:r>
          </w:p>
        </w:tc>
        <w:tc>
          <w:tcPr>
            <w:tcW w:w="675" w:type="dxa"/>
            <w:tcBorders>
              <w:top w:val="nil"/>
              <w:left w:val="nil"/>
              <w:bottom w:val="single" w:sz="4" w:space="0" w:color="BFBFBF"/>
              <w:right w:val="nil"/>
            </w:tcBorders>
            <w:shd w:val="clear" w:color="auto" w:fill="auto"/>
            <w:noWrap/>
            <w:vAlign w:val="center"/>
          </w:tcPr>
          <w:p w14:paraId="656EECE0" w14:textId="77777777" w:rsidR="004D177A" w:rsidRPr="00125162" w:rsidRDefault="004D177A" w:rsidP="00AD7D78">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108</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6B8243F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7F7708FD"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623</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4A0C83A" w14:textId="77777777" w:rsidR="004D177A" w:rsidRPr="00125162" w:rsidRDefault="004D177A" w:rsidP="00AD7D78">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20</w:t>
            </w:r>
            <w:r w:rsidRPr="00125162">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772E055A" w14:textId="77777777" w:rsidR="004D177A" w:rsidRPr="00125162" w:rsidRDefault="004D177A" w:rsidP="00AD7D78">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108</w:t>
            </w:r>
          </w:p>
        </w:tc>
        <w:tc>
          <w:tcPr>
            <w:tcW w:w="826" w:type="dxa"/>
            <w:tcBorders>
              <w:top w:val="nil"/>
              <w:left w:val="nil"/>
              <w:bottom w:val="single" w:sz="4" w:space="0" w:color="BFBFBF"/>
              <w:right w:val="single" w:sz="4" w:space="0" w:color="BFBFBF"/>
            </w:tcBorders>
            <w:shd w:val="clear" w:color="auto" w:fill="auto"/>
            <w:noWrap/>
            <w:vAlign w:val="center"/>
          </w:tcPr>
          <w:p w14:paraId="3B9034F2"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96%</w:t>
            </w:r>
          </w:p>
        </w:tc>
        <w:tc>
          <w:tcPr>
            <w:tcW w:w="808" w:type="dxa"/>
            <w:tcBorders>
              <w:top w:val="nil"/>
              <w:left w:val="nil"/>
              <w:bottom w:val="single" w:sz="4" w:space="0" w:color="BFBFBF"/>
              <w:right w:val="double" w:sz="4" w:space="0" w:color="000000" w:themeColor="text1"/>
            </w:tcBorders>
            <w:shd w:val="clear" w:color="auto" w:fill="auto"/>
            <w:noWrap/>
            <w:vAlign w:val="center"/>
          </w:tcPr>
          <w:p w14:paraId="264C0D72"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179</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4EAC869C" w14:textId="42E4A631"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871</w:t>
            </w:r>
          </w:p>
        </w:tc>
        <w:tc>
          <w:tcPr>
            <w:tcW w:w="808" w:type="dxa"/>
            <w:tcBorders>
              <w:top w:val="nil"/>
              <w:left w:val="nil"/>
              <w:bottom w:val="single" w:sz="4" w:space="0" w:color="BFBFBF"/>
              <w:right w:val="double" w:sz="4" w:space="0" w:color="000000" w:themeColor="text1"/>
            </w:tcBorders>
            <w:shd w:val="clear" w:color="auto" w:fill="auto"/>
            <w:noWrap/>
            <w:vAlign w:val="center"/>
          </w:tcPr>
          <w:p w14:paraId="4BB4F15A" w14:textId="053B66E9"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1</w:t>
            </w:r>
            <w:r>
              <w:rPr>
                <w:rFonts w:ascii="Arial" w:hAnsi="Arial" w:cs="Arial"/>
                <w:color w:val="000000"/>
                <w:sz w:val="16"/>
                <w:szCs w:val="16"/>
                <w:lang w:val="en-AU" w:eastAsia="en-AU"/>
              </w:rPr>
              <w:t>,</w:t>
            </w:r>
            <w:r w:rsidRPr="00B70236">
              <w:rPr>
                <w:rFonts w:ascii="Arial" w:hAnsi="Arial" w:cs="Arial"/>
                <w:color w:val="000000"/>
                <w:sz w:val="16"/>
                <w:szCs w:val="16"/>
                <w:lang w:val="en-AU" w:eastAsia="en-AU"/>
              </w:rPr>
              <w:t>132</w:t>
            </w:r>
          </w:p>
        </w:tc>
      </w:tr>
      <w:tr w:rsidR="004D177A" w:rsidRPr="00125162" w14:paraId="79FA5265"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3B9A1D4" w14:textId="77777777" w:rsidR="004D177A" w:rsidRPr="00125162" w:rsidRDefault="004D177A"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xml:space="preserve">By DHHS Area -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3821628"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6098FC0F"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16" w:type="dxa"/>
            <w:tcBorders>
              <w:top w:val="nil"/>
              <w:left w:val="nil"/>
              <w:bottom w:val="single" w:sz="4" w:space="0" w:color="BFBFBF"/>
              <w:right w:val="single" w:sz="4" w:space="0" w:color="BFBFBF"/>
            </w:tcBorders>
            <w:shd w:val="clear" w:color="auto" w:fill="auto"/>
            <w:noWrap/>
            <w:vAlign w:val="center"/>
          </w:tcPr>
          <w:p w14:paraId="680AAB48"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single" w:sz="4" w:space="0" w:color="auto"/>
            </w:tcBorders>
            <w:shd w:val="clear" w:color="auto" w:fill="auto"/>
            <w:noWrap/>
            <w:vAlign w:val="center"/>
          </w:tcPr>
          <w:p w14:paraId="7C59CF35"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46" w:type="dxa"/>
            <w:tcBorders>
              <w:top w:val="nil"/>
              <w:left w:val="nil"/>
              <w:bottom w:val="single" w:sz="4" w:space="0" w:color="BFBFBF"/>
              <w:right w:val="single" w:sz="4" w:space="0" w:color="BFBFBF"/>
            </w:tcBorders>
            <w:shd w:val="clear" w:color="auto" w:fill="auto"/>
            <w:noWrap/>
            <w:vAlign w:val="bottom"/>
          </w:tcPr>
          <w:p w14:paraId="1C6F0D3B"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6B5B5657"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2A0C3381"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nil"/>
            </w:tcBorders>
            <w:shd w:val="clear" w:color="auto" w:fill="auto"/>
            <w:noWrap/>
            <w:vAlign w:val="center"/>
          </w:tcPr>
          <w:p w14:paraId="3120A4EB"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C63A908"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265873B2"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top w:val="nil"/>
              <w:left w:val="nil"/>
              <w:bottom w:val="single" w:sz="4" w:space="0" w:color="BFBFBF"/>
              <w:right w:val="single" w:sz="4" w:space="0" w:color="BFBFBF"/>
            </w:tcBorders>
            <w:shd w:val="clear" w:color="auto" w:fill="auto"/>
            <w:noWrap/>
            <w:vAlign w:val="center"/>
          </w:tcPr>
          <w:p w14:paraId="2A5B3AB3"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double" w:sz="4" w:space="0" w:color="000000" w:themeColor="text1"/>
            </w:tcBorders>
            <w:shd w:val="clear" w:color="auto" w:fill="auto"/>
            <w:noWrap/>
            <w:vAlign w:val="center"/>
          </w:tcPr>
          <w:p w14:paraId="08E7A000"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38F1D19A" w14:textId="6FF84F90"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double" w:sz="4" w:space="0" w:color="000000" w:themeColor="text1"/>
            </w:tcBorders>
            <w:shd w:val="clear" w:color="auto" w:fill="auto"/>
            <w:noWrap/>
            <w:vAlign w:val="center"/>
          </w:tcPr>
          <w:p w14:paraId="3002E43A"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 </w:t>
            </w:r>
          </w:p>
        </w:tc>
      </w:tr>
      <w:tr w:rsidR="004D177A" w:rsidRPr="00125162" w14:paraId="36011C02"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1337D7EB"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Hume Moreland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0630326"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517CAC29"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816" w:type="dxa"/>
            <w:tcBorders>
              <w:top w:val="nil"/>
              <w:left w:val="nil"/>
              <w:bottom w:val="single" w:sz="4" w:space="0" w:color="BFBFBF"/>
              <w:right w:val="single" w:sz="4" w:space="0" w:color="BFBFBF"/>
            </w:tcBorders>
            <w:shd w:val="clear" w:color="auto" w:fill="auto"/>
            <w:noWrap/>
            <w:vAlign w:val="center"/>
          </w:tcPr>
          <w:p w14:paraId="36E57531"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1BCD998B"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39881A9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nil"/>
            </w:tcBorders>
            <w:shd w:val="clear" w:color="auto" w:fill="auto"/>
            <w:noWrap/>
            <w:vAlign w:val="center"/>
          </w:tcPr>
          <w:p w14:paraId="35705245"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88</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3110E4E1"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70294DF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BA1392C"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single" w:sz="4" w:space="0" w:color="auto"/>
            </w:tcBorders>
            <w:shd w:val="clear" w:color="auto" w:fill="auto"/>
            <w:noWrap/>
            <w:vAlign w:val="center"/>
          </w:tcPr>
          <w:p w14:paraId="731B4697"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88</w:t>
            </w:r>
          </w:p>
        </w:tc>
        <w:tc>
          <w:tcPr>
            <w:tcW w:w="826" w:type="dxa"/>
            <w:tcBorders>
              <w:top w:val="nil"/>
              <w:left w:val="nil"/>
              <w:bottom w:val="single" w:sz="4" w:space="0" w:color="BFBFBF"/>
              <w:right w:val="single" w:sz="4" w:space="0" w:color="BFBFBF"/>
            </w:tcBorders>
            <w:shd w:val="clear" w:color="auto" w:fill="auto"/>
            <w:noWrap/>
            <w:vAlign w:val="center"/>
          </w:tcPr>
          <w:p w14:paraId="7870079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7CDF112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14A0F589" w14:textId="58C8863B"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284</w:t>
            </w:r>
          </w:p>
        </w:tc>
        <w:tc>
          <w:tcPr>
            <w:tcW w:w="808" w:type="dxa"/>
            <w:tcBorders>
              <w:top w:val="nil"/>
              <w:left w:val="nil"/>
              <w:bottom w:val="single" w:sz="4" w:space="0" w:color="BFBFBF"/>
              <w:right w:val="double" w:sz="4" w:space="0" w:color="000000" w:themeColor="text1"/>
            </w:tcBorders>
            <w:shd w:val="clear" w:color="auto" w:fill="auto"/>
            <w:noWrap/>
            <w:vAlign w:val="center"/>
          </w:tcPr>
          <w:p w14:paraId="7DF83473"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2405B149"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39C58DC"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North Eastern Melbourne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009CB7D"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675" w:type="dxa"/>
            <w:tcBorders>
              <w:top w:val="nil"/>
              <w:left w:val="nil"/>
              <w:bottom w:val="single" w:sz="4" w:space="0" w:color="BFBFBF"/>
              <w:right w:val="single" w:sz="4" w:space="0" w:color="auto"/>
            </w:tcBorders>
            <w:shd w:val="clear" w:color="auto" w:fill="auto"/>
            <w:noWrap/>
            <w:vAlign w:val="center"/>
          </w:tcPr>
          <w:p w14:paraId="12D02C8A"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816" w:type="dxa"/>
            <w:tcBorders>
              <w:top w:val="nil"/>
              <w:left w:val="nil"/>
              <w:bottom w:val="single" w:sz="4" w:space="0" w:color="BFBFBF"/>
              <w:right w:val="single" w:sz="4" w:space="0" w:color="BFBFBF"/>
            </w:tcBorders>
            <w:shd w:val="clear" w:color="auto" w:fill="auto"/>
            <w:noWrap/>
            <w:vAlign w:val="center"/>
          </w:tcPr>
          <w:p w14:paraId="5749717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3792C6BB"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14DEB5CC"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nil"/>
            </w:tcBorders>
            <w:shd w:val="clear" w:color="auto" w:fill="auto"/>
            <w:noWrap/>
            <w:vAlign w:val="center"/>
          </w:tcPr>
          <w:p w14:paraId="3EF11FFC"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94</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4364EE53"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1217AF9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1B7C145"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single" w:sz="4" w:space="0" w:color="auto"/>
            </w:tcBorders>
            <w:shd w:val="clear" w:color="auto" w:fill="auto"/>
            <w:noWrap/>
            <w:vAlign w:val="center"/>
          </w:tcPr>
          <w:p w14:paraId="717E3B3F"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94</w:t>
            </w:r>
          </w:p>
        </w:tc>
        <w:tc>
          <w:tcPr>
            <w:tcW w:w="826" w:type="dxa"/>
            <w:tcBorders>
              <w:top w:val="nil"/>
              <w:left w:val="nil"/>
              <w:bottom w:val="single" w:sz="4" w:space="0" w:color="BFBFBF"/>
              <w:right w:val="single" w:sz="4" w:space="0" w:color="BFBFBF"/>
            </w:tcBorders>
            <w:shd w:val="clear" w:color="auto" w:fill="auto"/>
            <w:noWrap/>
            <w:vAlign w:val="center"/>
          </w:tcPr>
          <w:p w14:paraId="12B3CF2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171F015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1B82DE84" w14:textId="1FD27CDF"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533</w:t>
            </w:r>
          </w:p>
        </w:tc>
        <w:tc>
          <w:tcPr>
            <w:tcW w:w="808" w:type="dxa"/>
            <w:tcBorders>
              <w:top w:val="nil"/>
              <w:left w:val="nil"/>
              <w:bottom w:val="single" w:sz="4" w:space="0" w:color="BFBFBF"/>
              <w:right w:val="double" w:sz="4" w:space="0" w:color="000000" w:themeColor="text1"/>
            </w:tcBorders>
            <w:shd w:val="clear" w:color="auto" w:fill="auto"/>
            <w:noWrap/>
            <w:vAlign w:val="center"/>
          </w:tcPr>
          <w:p w14:paraId="069F301E"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0222C824"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096F14D1"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Outer </w:t>
            </w:r>
            <w:smartTag w:uri="urn:schemas-microsoft-com:office:smarttags" w:element="place">
              <w:r w:rsidRPr="00125162">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57E3A7F"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675" w:type="dxa"/>
            <w:tcBorders>
              <w:top w:val="nil"/>
              <w:left w:val="nil"/>
              <w:bottom w:val="single" w:sz="4" w:space="0" w:color="BFBFBF"/>
              <w:right w:val="single" w:sz="4" w:space="0" w:color="auto"/>
            </w:tcBorders>
            <w:shd w:val="clear" w:color="auto" w:fill="auto"/>
            <w:noWrap/>
            <w:vAlign w:val="center"/>
          </w:tcPr>
          <w:p w14:paraId="5696BFD3"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16" w:type="dxa"/>
            <w:tcBorders>
              <w:top w:val="nil"/>
              <w:left w:val="nil"/>
              <w:bottom w:val="single" w:sz="4" w:space="0" w:color="BFBFBF"/>
              <w:right w:val="single" w:sz="4" w:space="0" w:color="BFBFBF"/>
            </w:tcBorders>
            <w:shd w:val="clear" w:color="auto" w:fill="auto"/>
            <w:noWrap/>
            <w:vAlign w:val="center"/>
          </w:tcPr>
          <w:p w14:paraId="7049E98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5E8FCA43"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4D4F426F"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675" w:type="dxa"/>
            <w:tcBorders>
              <w:top w:val="nil"/>
              <w:left w:val="nil"/>
              <w:bottom w:val="single" w:sz="4" w:space="0" w:color="BFBFBF"/>
              <w:right w:val="nil"/>
            </w:tcBorders>
            <w:shd w:val="clear" w:color="auto" w:fill="auto"/>
            <w:noWrap/>
            <w:vAlign w:val="center"/>
          </w:tcPr>
          <w:p w14:paraId="74B46AD9"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4873EE7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228FE07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4A1EBAD"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675" w:type="dxa"/>
            <w:tcBorders>
              <w:top w:val="nil"/>
              <w:left w:val="nil"/>
              <w:bottom w:val="single" w:sz="4" w:space="0" w:color="BFBFBF"/>
              <w:right w:val="single" w:sz="4" w:space="0" w:color="auto"/>
            </w:tcBorders>
            <w:shd w:val="clear" w:color="auto" w:fill="auto"/>
            <w:noWrap/>
            <w:vAlign w:val="center"/>
          </w:tcPr>
          <w:p w14:paraId="52DB0E29"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826" w:type="dxa"/>
            <w:tcBorders>
              <w:top w:val="nil"/>
              <w:left w:val="nil"/>
              <w:bottom w:val="single" w:sz="4" w:space="0" w:color="BFBFBF"/>
              <w:right w:val="single" w:sz="4" w:space="0" w:color="BFBFBF"/>
            </w:tcBorders>
            <w:shd w:val="clear" w:color="auto" w:fill="auto"/>
            <w:noWrap/>
            <w:vAlign w:val="center"/>
          </w:tcPr>
          <w:p w14:paraId="38BB0B3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7AAA326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6E5C185E" w14:textId="690D3F04"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490</w:t>
            </w:r>
          </w:p>
        </w:tc>
        <w:tc>
          <w:tcPr>
            <w:tcW w:w="808" w:type="dxa"/>
            <w:tcBorders>
              <w:top w:val="nil"/>
              <w:left w:val="nil"/>
              <w:bottom w:val="single" w:sz="4" w:space="0" w:color="BFBFBF"/>
              <w:right w:val="double" w:sz="4" w:space="0" w:color="000000" w:themeColor="text1"/>
            </w:tcBorders>
            <w:shd w:val="clear" w:color="auto" w:fill="auto"/>
            <w:noWrap/>
            <w:vAlign w:val="center"/>
          </w:tcPr>
          <w:p w14:paraId="5E1FB9AB"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495A44F8"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0B64B997"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Inner </w:t>
            </w:r>
            <w:smartTag w:uri="urn:schemas-microsoft-com:office:smarttags" w:element="place">
              <w:r w:rsidRPr="00125162">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230854A"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single" w:sz="4" w:space="0" w:color="auto"/>
            </w:tcBorders>
            <w:shd w:val="clear" w:color="auto" w:fill="auto"/>
            <w:noWrap/>
            <w:vAlign w:val="center"/>
          </w:tcPr>
          <w:p w14:paraId="0A763188"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816" w:type="dxa"/>
            <w:tcBorders>
              <w:top w:val="nil"/>
              <w:left w:val="nil"/>
              <w:bottom w:val="single" w:sz="4" w:space="0" w:color="BFBFBF"/>
              <w:right w:val="single" w:sz="4" w:space="0" w:color="BFBFBF"/>
            </w:tcBorders>
            <w:shd w:val="clear" w:color="auto" w:fill="auto"/>
            <w:noWrap/>
            <w:vAlign w:val="center"/>
          </w:tcPr>
          <w:p w14:paraId="7356E7D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6808F27D"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3A4BA3AA"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nil"/>
            </w:tcBorders>
            <w:shd w:val="clear" w:color="auto" w:fill="auto"/>
            <w:noWrap/>
            <w:vAlign w:val="center"/>
          </w:tcPr>
          <w:p w14:paraId="02D28D1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627ABCF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19B0FA6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582E649"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single" w:sz="4" w:space="0" w:color="auto"/>
            </w:tcBorders>
            <w:shd w:val="clear" w:color="auto" w:fill="auto"/>
            <w:noWrap/>
            <w:vAlign w:val="center"/>
          </w:tcPr>
          <w:p w14:paraId="79C94014"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w:t>
            </w:r>
          </w:p>
        </w:tc>
        <w:tc>
          <w:tcPr>
            <w:tcW w:w="826" w:type="dxa"/>
            <w:tcBorders>
              <w:top w:val="nil"/>
              <w:left w:val="nil"/>
              <w:bottom w:val="single" w:sz="4" w:space="0" w:color="BFBFBF"/>
              <w:right w:val="single" w:sz="4" w:space="0" w:color="BFBFBF"/>
            </w:tcBorders>
            <w:shd w:val="clear" w:color="auto" w:fill="auto"/>
            <w:noWrap/>
            <w:vAlign w:val="center"/>
          </w:tcPr>
          <w:p w14:paraId="38AC3CFF"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42ACD4AF"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7B681370" w14:textId="3C376BA6"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335</w:t>
            </w:r>
          </w:p>
        </w:tc>
        <w:tc>
          <w:tcPr>
            <w:tcW w:w="808" w:type="dxa"/>
            <w:tcBorders>
              <w:top w:val="nil"/>
              <w:left w:val="nil"/>
              <w:bottom w:val="single" w:sz="4" w:space="0" w:color="BFBFBF"/>
              <w:right w:val="double" w:sz="4" w:space="0" w:color="000000" w:themeColor="text1"/>
            </w:tcBorders>
            <w:shd w:val="clear" w:color="auto" w:fill="auto"/>
            <w:noWrap/>
            <w:vAlign w:val="center"/>
          </w:tcPr>
          <w:p w14:paraId="62BEB608"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4085843A"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2714C5CC"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smartTag w:uri="urn:schemas-microsoft-com:office:smarttags" w:element="place">
              <w:r w:rsidRPr="00125162">
                <w:rPr>
                  <w:rFonts w:ascii="Arial" w:hAnsi="Arial" w:cs="Arial"/>
                  <w:color w:val="000000"/>
                  <w:sz w:val="16"/>
                  <w:szCs w:val="16"/>
                  <w:lang w:val="en-AU" w:eastAsia="en-AU"/>
                </w:rPr>
                <w:t>Southern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2F4E592"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single" w:sz="4" w:space="0" w:color="auto"/>
            </w:tcBorders>
            <w:shd w:val="clear" w:color="auto" w:fill="auto"/>
            <w:noWrap/>
            <w:vAlign w:val="center"/>
          </w:tcPr>
          <w:p w14:paraId="6817F04C"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w:t>
            </w:r>
          </w:p>
        </w:tc>
        <w:tc>
          <w:tcPr>
            <w:tcW w:w="816" w:type="dxa"/>
            <w:tcBorders>
              <w:top w:val="nil"/>
              <w:left w:val="nil"/>
              <w:bottom w:val="single" w:sz="4" w:space="0" w:color="BFBFBF"/>
              <w:right w:val="single" w:sz="4" w:space="0" w:color="BFBFBF"/>
            </w:tcBorders>
            <w:shd w:val="clear" w:color="auto" w:fill="auto"/>
            <w:noWrap/>
            <w:vAlign w:val="center"/>
          </w:tcPr>
          <w:p w14:paraId="796A80C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05DB451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47F61AF5"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c>
          <w:tcPr>
            <w:tcW w:w="675" w:type="dxa"/>
            <w:tcBorders>
              <w:top w:val="nil"/>
              <w:left w:val="nil"/>
              <w:bottom w:val="single" w:sz="4" w:space="0" w:color="BFBFBF"/>
              <w:right w:val="nil"/>
            </w:tcBorders>
            <w:shd w:val="clear" w:color="auto" w:fill="auto"/>
            <w:noWrap/>
            <w:vAlign w:val="center"/>
          </w:tcPr>
          <w:p w14:paraId="47750B29"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7039FBC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7B7D2A5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BCDD054"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c>
          <w:tcPr>
            <w:tcW w:w="675" w:type="dxa"/>
            <w:tcBorders>
              <w:top w:val="nil"/>
              <w:left w:val="nil"/>
              <w:bottom w:val="single" w:sz="4" w:space="0" w:color="BFBFBF"/>
              <w:right w:val="single" w:sz="4" w:space="0" w:color="auto"/>
            </w:tcBorders>
            <w:shd w:val="clear" w:color="auto" w:fill="auto"/>
            <w:noWrap/>
            <w:vAlign w:val="center"/>
          </w:tcPr>
          <w:p w14:paraId="71BDEB1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w:t>
            </w:r>
          </w:p>
        </w:tc>
        <w:tc>
          <w:tcPr>
            <w:tcW w:w="826" w:type="dxa"/>
            <w:tcBorders>
              <w:top w:val="nil"/>
              <w:left w:val="nil"/>
              <w:bottom w:val="single" w:sz="4" w:space="0" w:color="BFBFBF"/>
              <w:right w:val="single" w:sz="4" w:space="0" w:color="BFBFBF"/>
            </w:tcBorders>
            <w:shd w:val="clear" w:color="auto" w:fill="auto"/>
            <w:noWrap/>
            <w:vAlign w:val="center"/>
          </w:tcPr>
          <w:p w14:paraId="1DF0197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1F0D8A8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65881B88" w14:textId="35298810"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555</w:t>
            </w:r>
          </w:p>
        </w:tc>
        <w:tc>
          <w:tcPr>
            <w:tcW w:w="808" w:type="dxa"/>
            <w:tcBorders>
              <w:top w:val="nil"/>
              <w:left w:val="nil"/>
              <w:bottom w:val="single" w:sz="4" w:space="0" w:color="BFBFBF"/>
              <w:right w:val="double" w:sz="4" w:space="0" w:color="000000" w:themeColor="text1"/>
            </w:tcBorders>
            <w:shd w:val="clear" w:color="auto" w:fill="auto"/>
            <w:noWrap/>
            <w:vAlign w:val="center"/>
          </w:tcPr>
          <w:p w14:paraId="31951CFB"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6A17669D"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5D2E8401"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Bayside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C8AF985"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675" w:type="dxa"/>
            <w:tcBorders>
              <w:top w:val="nil"/>
              <w:left w:val="nil"/>
              <w:bottom w:val="single" w:sz="4" w:space="0" w:color="BFBFBF"/>
              <w:right w:val="single" w:sz="4" w:space="0" w:color="auto"/>
            </w:tcBorders>
            <w:shd w:val="clear" w:color="auto" w:fill="auto"/>
            <w:noWrap/>
            <w:vAlign w:val="center"/>
          </w:tcPr>
          <w:p w14:paraId="5A935761" w14:textId="3984CDC1"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816" w:type="dxa"/>
            <w:tcBorders>
              <w:top w:val="nil"/>
              <w:left w:val="nil"/>
              <w:bottom w:val="single" w:sz="4" w:space="0" w:color="BFBFBF"/>
              <w:right w:val="single" w:sz="4" w:space="0" w:color="BFBFBF"/>
            </w:tcBorders>
            <w:shd w:val="clear" w:color="auto" w:fill="auto"/>
            <w:noWrap/>
            <w:vAlign w:val="center"/>
          </w:tcPr>
          <w:p w14:paraId="618C0BF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54B2DF03"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6D225459"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675" w:type="dxa"/>
            <w:tcBorders>
              <w:top w:val="nil"/>
              <w:left w:val="nil"/>
              <w:bottom w:val="single" w:sz="4" w:space="0" w:color="BFBFBF"/>
              <w:right w:val="nil"/>
            </w:tcBorders>
            <w:shd w:val="clear" w:color="auto" w:fill="auto"/>
            <w:noWrap/>
            <w:vAlign w:val="center"/>
          </w:tcPr>
          <w:p w14:paraId="590AC780"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0D946C5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120E171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1985EAA"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675" w:type="dxa"/>
            <w:tcBorders>
              <w:top w:val="nil"/>
              <w:left w:val="nil"/>
              <w:bottom w:val="single" w:sz="4" w:space="0" w:color="BFBFBF"/>
              <w:right w:val="single" w:sz="4" w:space="0" w:color="auto"/>
            </w:tcBorders>
            <w:shd w:val="clear" w:color="auto" w:fill="auto"/>
            <w:noWrap/>
            <w:vAlign w:val="center"/>
          </w:tcPr>
          <w:p w14:paraId="0D747807"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w:t>
            </w:r>
          </w:p>
        </w:tc>
        <w:tc>
          <w:tcPr>
            <w:tcW w:w="826" w:type="dxa"/>
            <w:tcBorders>
              <w:top w:val="nil"/>
              <w:left w:val="nil"/>
              <w:bottom w:val="single" w:sz="4" w:space="0" w:color="BFBFBF"/>
              <w:right w:val="single" w:sz="4" w:space="0" w:color="BFBFBF"/>
            </w:tcBorders>
            <w:shd w:val="clear" w:color="auto" w:fill="auto"/>
            <w:noWrap/>
            <w:vAlign w:val="center"/>
          </w:tcPr>
          <w:p w14:paraId="482D56F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0E6E4B4D"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384B8F55" w14:textId="15558F9A"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385</w:t>
            </w:r>
          </w:p>
        </w:tc>
        <w:tc>
          <w:tcPr>
            <w:tcW w:w="808" w:type="dxa"/>
            <w:tcBorders>
              <w:top w:val="nil"/>
              <w:left w:val="nil"/>
              <w:bottom w:val="single" w:sz="4" w:space="0" w:color="BFBFBF"/>
              <w:right w:val="double" w:sz="4" w:space="0" w:color="000000" w:themeColor="text1"/>
            </w:tcBorders>
            <w:shd w:val="clear" w:color="auto" w:fill="auto"/>
            <w:noWrap/>
            <w:vAlign w:val="center"/>
          </w:tcPr>
          <w:p w14:paraId="45C678DC"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0B7AA250"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1EC874F2"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smartTag w:uri="urn:schemas-microsoft-com:office:smarttags" w:element="place">
              <w:r w:rsidRPr="00125162">
                <w:rPr>
                  <w:rFonts w:ascii="Arial" w:hAnsi="Arial" w:cs="Arial"/>
                  <w:color w:val="000000"/>
                  <w:sz w:val="16"/>
                  <w:szCs w:val="16"/>
                  <w:lang w:val="en-AU" w:eastAsia="en-AU"/>
                </w:rPr>
                <w:t>Western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B3B2E93"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single" w:sz="4" w:space="0" w:color="auto"/>
            </w:tcBorders>
            <w:shd w:val="clear" w:color="auto" w:fill="auto"/>
            <w:noWrap/>
            <w:vAlign w:val="center"/>
          </w:tcPr>
          <w:p w14:paraId="78767BE4"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816" w:type="dxa"/>
            <w:tcBorders>
              <w:top w:val="nil"/>
              <w:left w:val="nil"/>
              <w:bottom w:val="single" w:sz="4" w:space="0" w:color="BFBFBF"/>
              <w:right w:val="single" w:sz="4" w:space="0" w:color="BFBFBF"/>
            </w:tcBorders>
            <w:shd w:val="clear" w:color="auto" w:fill="auto"/>
            <w:noWrap/>
            <w:vAlign w:val="center"/>
          </w:tcPr>
          <w:p w14:paraId="747BC66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4B77188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32F525C0"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nil"/>
            </w:tcBorders>
            <w:shd w:val="clear" w:color="auto" w:fill="auto"/>
            <w:noWrap/>
            <w:vAlign w:val="center"/>
          </w:tcPr>
          <w:p w14:paraId="01B5F266"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3C20D6A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52D75C7F"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B045BD7"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61440991"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26" w:type="dxa"/>
            <w:tcBorders>
              <w:top w:val="nil"/>
              <w:left w:val="nil"/>
              <w:bottom w:val="single" w:sz="4" w:space="0" w:color="BFBFBF"/>
              <w:right w:val="single" w:sz="4" w:space="0" w:color="BFBFBF"/>
            </w:tcBorders>
            <w:shd w:val="clear" w:color="auto" w:fill="auto"/>
            <w:noWrap/>
            <w:vAlign w:val="center"/>
          </w:tcPr>
          <w:p w14:paraId="0A2FDDF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696206F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70B33110" w14:textId="0E72CCDB"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392</w:t>
            </w:r>
          </w:p>
        </w:tc>
        <w:tc>
          <w:tcPr>
            <w:tcW w:w="808" w:type="dxa"/>
            <w:tcBorders>
              <w:top w:val="nil"/>
              <w:left w:val="nil"/>
              <w:bottom w:val="single" w:sz="4" w:space="0" w:color="BFBFBF"/>
              <w:right w:val="double" w:sz="4" w:space="0" w:color="000000" w:themeColor="text1"/>
            </w:tcBorders>
            <w:shd w:val="clear" w:color="auto" w:fill="auto"/>
            <w:noWrap/>
            <w:vAlign w:val="center"/>
          </w:tcPr>
          <w:p w14:paraId="256E1725"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28389801"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AB18F8E"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Brimbank Melton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8DD3925"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675" w:type="dxa"/>
            <w:tcBorders>
              <w:top w:val="nil"/>
              <w:left w:val="nil"/>
              <w:bottom w:val="single" w:sz="4" w:space="0" w:color="BFBFBF"/>
              <w:right w:val="single" w:sz="4" w:space="0" w:color="auto"/>
            </w:tcBorders>
            <w:shd w:val="clear" w:color="auto" w:fill="auto"/>
            <w:noWrap/>
            <w:vAlign w:val="center"/>
          </w:tcPr>
          <w:p w14:paraId="29E5EBFA"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16" w:type="dxa"/>
            <w:tcBorders>
              <w:top w:val="nil"/>
              <w:left w:val="nil"/>
              <w:bottom w:val="single" w:sz="4" w:space="0" w:color="BFBFBF"/>
              <w:right w:val="single" w:sz="4" w:space="0" w:color="BFBFBF"/>
            </w:tcBorders>
            <w:shd w:val="clear" w:color="auto" w:fill="auto"/>
            <w:noWrap/>
            <w:vAlign w:val="center"/>
          </w:tcPr>
          <w:p w14:paraId="749A9DC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6AA2B6F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7F5261C5"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675" w:type="dxa"/>
            <w:tcBorders>
              <w:top w:val="nil"/>
              <w:left w:val="nil"/>
              <w:bottom w:val="single" w:sz="4" w:space="0" w:color="BFBFBF"/>
              <w:right w:val="nil"/>
            </w:tcBorders>
            <w:shd w:val="clear" w:color="auto" w:fill="auto"/>
            <w:noWrap/>
            <w:vAlign w:val="center"/>
          </w:tcPr>
          <w:p w14:paraId="167DB150"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119</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6F080F8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234849C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742C62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675" w:type="dxa"/>
            <w:tcBorders>
              <w:top w:val="nil"/>
              <w:left w:val="nil"/>
              <w:bottom w:val="single" w:sz="4" w:space="0" w:color="BFBFBF"/>
              <w:right w:val="single" w:sz="4" w:space="0" w:color="auto"/>
            </w:tcBorders>
            <w:shd w:val="clear" w:color="auto" w:fill="auto"/>
            <w:noWrap/>
            <w:vAlign w:val="center"/>
          </w:tcPr>
          <w:p w14:paraId="47B7EFB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119</w:t>
            </w:r>
          </w:p>
        </w:tc>
        <w:tc>
          <w:tcPr>
            <w:tcW w:w="826" w:type="dxa"/>
            <w:tcBorders>
              <w:top w:val="nil"/>
              <w:left w:val="nil"/>
              <w:bottom w:val="single" w:sz="4" w:space="0" w:color="BFBFBF"/>
              <w:right w:val="single" w:sz="4" w:space="0" w:color="BFBFBF"/>
            </w:tcBorders>
            <w:shd w:val="clear" w:color="auto" w:fill="auto"/>
            <w:noWrap/>
            <w:vAlign w:val="center"/>
          </w:tcPr>
          <w:p w14:paraId="76738EB3"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4A365FB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2302BE88" w14:textId="6529B317"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470</w:t>
            </w:r>
          </w:p>
        </w:tc>
        <w:tc>
          <w:tcPr>
            <w:tcW w:w="808" w:type="dxa"/>
            <w:tcBorders>
              <w:top w:val="nil"/>
              <w:left w:val="nil"/>
              <w:bottom w:val="single" w:sz="4" w:space="0" w:color="BFBFBF"/>
              <w:right w:val="double" w:sz="4" w:space="0" w:color="000000" w:themeColor="text1"/>
            </w:tcBorders>
            <w:shd w:val="clear" w:color="auto" w:fill="auto"/>
            <w:noWrap/>
            <w:vAlign w:val="center"/>
          </w:tcPr>
          <w:p w14:paraId="3B543316"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222BFAEE"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1E2C1D01"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Mallee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D618383"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w:t>
            </w:r>
          </w:p>
        </w:tc>
        <w:tc>
          <w:tcPr>
            <w:tcW w:w="675" w:type="dxa"/>
            <w:tcBorders>
              <w:top w:val="nil"/>
              <w:left w:val="nil"/>
              <w:bottom w:val="single" w:sz="4" w:space="0" w:color="BFBFBF"/>
              <w:right w:val="single" w:sz="4" w:space="0" w:color="auto"/>
            </w:tcBorders>
            <w:shd w:val="clear" w:color="auto" w:fill="auto"/>
            <w:noWrap/>
            <w:vAlign w:val="center"/>
          </w:tcPr>
          <w:p w14:paraId="40FEEB64"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47</w:t>
            </w:r>
          </w:p>
        </w:tc>
        <w:tc>
          <w:tcPr>
            <w:tcW w:w="816" w:type="dxa"/>
            <w:tcBorders>
              <w:top w:val="nil"/>
              <w:left w:val="nil"/>
              <w:bottom w:val="single" w:sz="4" w:space="0" w:color="BFBFBF"/>
              <w:right w:val="single" w:sz="4" w:space="0" w:color="BFBFBF"/>
            </w:tcBorders>
            <w:shd w:val="clear" w:color="auto" w:fill="auto"/>
            <w:noWrap/>
            <w:vAlign w:val="center"/>
          </w:tcPr>
          <w:p w14:paraId="0E993B0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2779BA3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03E94E1C"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nil"/>
            </w:tcBorders>
            <w:shd w:val="clear" w:color="auto" w:fill="auto"/>
            <w:noWrap/>
            <w:vAlign w:val="center"/>
          </w:tcPr>
          <w:p w14:paraId="28664D42"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77AEA29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01A0248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7A5B57D"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single" w:sz="4" w:space="0" w:color="auto"/>
            </w:tcBorders>
            <w:shd w:val="clear" w:color="auto" w:fill="auto"/>
            <w:noWrap/>
            <w:vAlign w:val="center"/>
          </w:tcPr>
          <w:p w14:paraId="2B307EF0"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w:t>
            </w:r>
          </w:p>
        </w:tc>
        <w:tc>
          <w:tcPr>
            <w:tcW w:w="826" w:type="dxa"/>
            <w:tcBorders>
              <w:top w:val="nil"/>
              <w:left w:val="nil"/>
              <w:bottom w:val="single" w:sz="4" w:space="0" w:color="BFBFBF"/>
              <w:right w:val="single" w:sz="4" w:space="0" w:color="BFBFBF"/>
            </w:tcBorders>
            <w:shd w:val="clear" w:color="auto" w:fill="auto"/>
            <w:noWrap/>
            <w:vAlign w:val="center"/>
          </w:tcPr>
          <w:p w14:paraId="7E828C3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714ACBD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5D7ABC43" w14:textId="0BC868C7"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842</w:t>
            </w:r>
          </w:p>
        </w:tc>
        <w:tc>
          <w:tcPr>
            <w:tcW w:w="808" w:type="dxa"/>
            <w:tcBorders>
              <w:top w:val="nil"/>
              <w:left w:val="nil"/>
              <w:bottom w:val="single" w:sz="4" w:space="0" w:color="BFBFBF"/>
              <w:right w:val="double" w:sz="4" w:space="0" w:color="000000" w:themeColor="text1"/>
            </w:tcBorders>
            <w:shd w:val="clear" w:color="auto" w:fill="auto"/>
            <w:noWrap/>
            <w:vAlign w:val="center"/>
          </w:tcPr>
          <w:p w14:paraId="4895495B"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45F07EB5"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0C465242"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Loddon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0CE60A2"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single" w:sz="4" w:space="0" w:color="auto"/>
            </w:tcBorders>
            <w:shd w:val="clear" w:color="auto" w:fill="auto"/>
            <w:noWrap/>
            <w:vAlign w:val="center"/>
          </w:tcPr>
          <w:p w14:paraId="085DD23D"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16" w:type="dxa"/>
            <w:tcBorders>
              <w:top w:val="nil"/>
              <w:left w:val="nil"/>
              <w:bottom w:val="single" w:sz="4" w:space="0" w:color="BFBFBF"/>
              <w:right w:val="single" w:sz="4" w:space="0" w:color="BFBFBF"/>
            </w:tcBorders>
            <w:shd w:val="clear" w:color="auto" w:fill="auto"/>
            <w:noWrap/>
            <w:vAlign w:val="center"/>
          </w:tcPr>
          <w:p w14:paraId="1257282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34AC5C23"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5357857D"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nil"/>
            </w:tcBorders>
            <w:shd w:val="clear" w:color="auto" w:fill="auto"/>
            <w:noWrap/>
            <w:vAlign w:val="center"/>
          </w:tcPr>
          <w:p w14:paraId="5FA8FBA4"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166</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70CAA20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28B71CD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3DA61C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3BE540C5"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166</w:t>
            </w:r>
          </w:p>
        </w:tc>
        <w:tc>
          <w:tcPr>
            <w:tcW w:w="826" w:type="dxa"/>
            <w:tcBorders>
              <w:top w:val="nil"/>
              <w:left w:val="nil"/>
              <w:bottom w:val="single" w:sz="4" w:space="0" w:color="BFBFBF"/>
              <w:right w:val="single" w:sz="4" w:space="0" w:color="BFBFBF"/>
            </w:tcBorders>
            <w:shd w:val="clear" w:color="auto" w:fill="auto"/>
            <w:noWrap/>
            <w:vAlign w:val="center"/>
          </w:tcPr>
          <w:p w14:paraId="64F2919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48C9424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6BFF61A5" w14:textId="22685198"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502</w:t>
            </w:r>
          </w:p>
        </w:tc>
        <w:tc>
          <w:tcPr>
            <w:tcW w:w="808" w:type="dxa"/>
            <w:tcBorders>
              <w:top w:val="nil"/>
              <w:left w:val="nil"/>
              <w:bottom w:val="single" w:sz="4" w:space="0" w:color="BFBFBF"/>
              <w:right w:val="double" w:sz="4" w:space="0" w:color="000000" w:themeColor="text1"/>
            </w:tcBorders>
            <w:shd w:val="clear" w:color="auto" w:fill="auto"/>
            <w:noWrap/>
            <w:vAlign w:val="center"/>
          </w:tcPr>
          <w:p w14:paraId="3F51F353"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68E8AC40"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3639D180"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125162">
                  <w:rPr>
                    <w:rFonts w:ascii="Arial" w:hAnsi="Arial" w:cs="Arial"/>
                    <w:color w:val="000000"/>
                    <w:sz w:val="16"/>
                    <w:szCs w:val="16"/>
                    <w:lang w:val="en-AU" w:eastAsia="en-AU"/>
                  </w:rPr>
                  <w:t>Murray</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326FCFB"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w:t>
            </w:r>
          </w:p>
        </w:tc>
        <w:tc>
          <w:tcPr>
            <w:tcW w:w="675" w:type="dxa"/>
            <w:tcBorders>
              <w:top w:val="nil"/>
              <w:left w:val="nil"/>
              <w:bottom w:val="single" w:sz="4" w:space="0" w:color="BFBFBF"/>
              <w:right w:val="single" w:sz="4" w:space="0" w:color="auto"/>
            </w:tcBorders>
            <w:shd w:val="clear" w:color="auto" w:fill="auto"/>
            <w:noWrap/>
            <w:vAlign w:val="center"/>
          </w:tcPr>
          <w:p w14:paraId="69C40F15"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16" w:type="dxa"/>
            <w:tcBorders>
              <w:top w:val="nil"/>
              <w:left w:val="nil"/>
              <w:bottom w:val="single" w:sz="4" w:space="0" w:color="BFBFBF"/>
              <w:right w:val="single" w:sz="4" w:space="0" w:color="BFBFBF"/>
            </w:tcBorders>
            <w:shd w:val="clear" w:color="auto" w:fill="auto"/>
            <w:noWrap/>
            <w:vAlign w:val="center"/>
          </w:tcPr>
          <w:p w14:paraId="21839A0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50B8F2FB"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624E6B5C"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675" w:type="dxa"/>
            <w:tcBorders>
              <w:top w:val="nil"/>
              <w:left w:val="nil"/>
              <w:bottom w:val="single" w:sz="4" w:space="0" w:color="BFBFBF"/>
              <w:right w:val="nil"/>
            </w:tcBorders>
            <w:shd w:val="clear" w:color="auto" w:fill="auto"/>
            <w:noWrap/>
            <w:vAlign w:val="center"/>
          </w:tcPr>
          <w:p w14:paraId="7579A300"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566F3D7F"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04970CC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1D1E764"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675" w:type="dxa"/>
            <w:tcBorders>
              <w:top w:val="nil"/>
              <w:left w:val="nil"/>
              <w:bottom w:val="single" w:sz="4" w:space="0" w:color="BFBFBF"/>
              <w:right w:val="single" w:sz="4" w:space="0" w:color="auto"/>
            </w:tcBorders>
            <w:shd w:val="clear" w:color="auto" w:fill="auto"/>
            <w:noWrap/>
            <w:vAlign w:val="center"/>
          </w:tcPr>
          <w:p w14:paraId="5CA6AA8A"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826" w:type="dxa"/>
            <w:tcBorders>
              <w:top w:val="nil"/>
              <w:left w:val="nil"/>
              <w:bottom w:val="single" w:sz="4" w:space="0" w:color="BFBFBF"/>
              <w:right w:val="single" w:sz="4" w:space="0" w:color="BFBFBF"/>
            </w:tcBorders>
            <w:shd w:val="clear" w:color="auto" w:fill="auto"/>
            <w:noWrap/>
            <w:vAlign w:val="center"/>
          </w:tcPr>
          <w:p w14:paraId="00E9475B"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10630BA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42C2FC35" w14:textId="170EE9A5"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553</w:t>
            </w:r>
          </w:p>
        </w:tc>
        <w:tc>
          <w:tcPr>
            <w:tcW w:w="808" w:type="dxa"/>
            <w:tcBorders>
              <w:top w:val="nil"/>
              <w:left w:val="nil"/>
              <w:bottom w:val="single" w:sz="4" w:space="0" w:color="BFBFBF"/>
              <w:right w:val="double" w:sz="4" w:space="0" w:color="000000" w:themeColor="text1"/>
            </w:tcBorders>
            <w:shd w:val="clear" w:color="auto" w:fill="auto"/>
            <w:noWrap/>
            <w:vAlign w:val="center"/>
          </w:tcPr>
          <w:p w14:paraId="4D5249DE"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4A000BAD"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412514F3"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Goulburn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6A1983A"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675" w:type="dxa"/>
            <w:tcBorders>
              <w:top w:val="nil"/>
              <w:left w:val="nil"/>
              <w:bottom w:val="single" w:sz="4" w:space="0" w:color="BFBFBF"/>
              <w:right w:val="single" w:sz="4" w:space="0" w:color="auto"/>
            </w:tcBorders>
            <w:shd w:val="clear" w:color="auto" w:fill="auto"/>
            <w:noWrap/>
            <w:vAlign w:val="center"/>
          </w:tcPr>
          <w:p w14:paraId="4059BCC4"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16" w:type="dxa"/>
            <w:tcBorders>
              <w:top w:val="nil"/>
              <w:left w:val="nil"/>
              <w:bottom w:val="single" w:sz="4" w:space="0" w:color="BFBFBF"/>
              <w:right w:val="single" w:sz="4" w:space="0" w:color="BFBFBF"/>
            </w:tcBorders>
            <w:shd w:val="clear" w:color="auto" w:fill="auto"/>
            <w:noWrap/>
            <w:vAlign w:val="center"/>
          </w:tcPr>
          <w:p w14:paraId="4DAB80E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477DAFC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3BCD6186"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675" w:type="dxa"/>
            <w:tcBorders>
              <w:top w:val="nil"/>
              <w:left w:val="nil"/>
              <w:bottom w:val="single" w:sz="4" w:space="0" w:color="BFBFBF"/>
              <w:right w:val="nil"/>
            </w:tcBorders>
            <w:shd w:val="clear" w:color="auto" w:fill="auto"/>
            <w:noWrap/>
            <w:vAlign w:val="center"/>
          </w:tcPr>
          <w:p w14:paraId="512331A9"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89</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4E351462"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655BD45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EEDADD4"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675" w:type="dxa"/>
            <w:tcBorders>
              <w:top w:val="nil"/>
              <w:left w:val="nil"/>
              <w:bottom w:val="single" w:sz="4" w:space="0" w:color="BFBFBF"/>
              <w:right w:val="single" w:sz="4" w:space="0" w:color="auto"/>
            </w:tcBorders>
            <w:shd w:val="clear" w:color="auto" w:fill="auto"/>
            <w:noWrap/>
            <w:vAlign w:val="center"/>
          </w:tcPr>
          <w:p w14:paraId="4F325589"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89</w:t>
            </w:r>
          </w:p>
        </w:tc>
        <w:tc>
          <w:tcPr>
            <w:tcW w:w="826" w:type="dxa"/>
            <w:tcBorders>
              <w:top w:val="nil"/>
              <w:left w:val="nil"/>
              <w:bottom w:val="single" w:sz="4" w:space="0" w:color="BFBFBF"/>
              <w:right w:val="single" w:sz="4" w:space="0" w:color="BFBFBF"/>
            </w:tcBorders>
            <w:shd w:val="clear" w:color="auto" w:fill="auto"/>
            <w:noWrap/>
            <w:vAlign w:val="center"/>
          </w:tcPr>
          <w:p w14:paraId="5908597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305CE4E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76C62E02" w14:textId="322625F9"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710</w:t>
            </w:r>
          </w:p>
        </w:tc>
        <w:tc>
          <w:tcPr>
            <w:tcW w:w="808" w:type="dxa"/>
            <w:tcBorders>
              <w:top w:val="nil"/>
              <w:left w:val="nil"/>
              <w:bottom w:val="single" w:sz="4" w:space="0" w:color="BFBFBF"/>
              <w:right w:val="double" w:sz="4" w:space="0" w:color="000000" w:themeColor="text1"/>
            </w:tcBorders>
            <w:shd w:val="clear" w:color="auto" w:fill="auto"/>
            <w:noWrap/>
            <w:vAlign w:val="center"/>
          </w:tcPr>
          <w:p w14:paraId="2BDFF67E"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40465113"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ECCC5C2"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Outer Gippsland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0CBA27C"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675" w:type="dxa"/>
            <w:tcBorders>
              <w:top w:val="nil"/>
              <w:left w:val="nil"/>
              <w:bottom w:val="single" w:sz="4" w:space="0" w:color="BFBFBF"/>
              <w:right w:val="single" w:sz="4" w:space="0" w:color="auto"/>
            </w:tcBorders>
            <w:shd w:val="clear" w:color="auto" w:fill="auto"/>
            <w:noWrap/>
            <w:vAlign w:val="center"/>
          </w:tcPr>
          <w:p w14:paraId="6F251E06"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816" w:type="dxa"/>
            <w:tcBorders>
              <w:top w:val="nil"/>
              <w:left w:val="nil"/>
              <w:bottom w:val="single" w:sz="4" w:space="0" w:color="BFBFBF"/>
              <w:right w:val="single" w:sz="4" w:space="0" w:color="BFBFBF"/>
            </w:tcBorders>
            <w:shd w:val="clear" w:color="auto" w:fill="auto"/>
            <w:noWrap/>
            <w:vAlign w:val="center"/>
          </w:tcPr>
          <w:p w14:paraId="7DFDC81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0BF2C4C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7B748BDD"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675" w:type="dxa"/>
            <w:tcBorders>
              <w:top w:val="nil"/>
              <w:left w:val="nil"/>
              <w:bottom w:val="single" w:sz="4" w:space="0" w:color="BFBFBF"/>
              <w:right w:val="nil"/>
            </w:tcBorders>
            <w:shd w:val="clear" w:color="auto" w:fill="auto"/>
            <w:noWrap/>
            <w:vAlign w:val="center"/>
          </w:tcPr>
          <w:p w14:paraId="4126A19C"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0212AF1F"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21D4FCC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2F105FB"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675" w:type="dxa"/>
            <w:tcBorders>
              <w:top w:val="nil"/>
              <w:left w:val="nil"/>
              <w:bottom w:val="single" w:sz="4" w:space="0" w:color="BFBFBF"/>
              <w:right w:val="single" w:sz="4" w:space="0" w:color="auto"/>
            </w:tcBorders>
            <w:shd w:val="clear" w:color="auto" w:fill="auto"/>
            <w:noWrap/>
            <w:vAlign w:val="center"/>
          </w:tcPr>
          <w:p w14:paraId="737F297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826" w:type="dxa"/>
            <w:tcBorders>
              <w:top w:val="nil"/>
              <w:left w:val="nil"/>
              <w:bottom w:val="single" w:sz="4" w:space="0" w:color="BFBFBF"/>
              <w:right w:val="single" w:sz="4" w:space="0" w:color="BFBFBF"/>
            </w:tcBorders>
            <w:shd w:val="clear" w:color="auto" w:fill="auto"/>
            <w:noWrap/>
            <w:vAlign w:val="center"/>
          </w:tcPr>
          <w:p w14:paraId="7066149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1731DB4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6EB5D93B" w14:textId="7C8BA2C9"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748</w:t>
            </w:r>
          </w:p>
        </w:tc>
        <w:tc>
          <w:tcPr>
            <w:tcW w:w="808" w:type="dxa"/>
            <w:tcBorders>
              <w:top w:val="nil"/>
              <w:left w:val="nil"/>
              <w:bottom w:val="single" w:sz="4" w:space="0" w:color="BFBFBF"/>
              <w:right w:val="double" w:sz="4" w:space="0" w:color="000000" w:themeColor="text1"/>
            </w:tcBorders>
            <w:shd w:val="clear" w:color="auto" w:fill="auto"/>
            <w:noWrap/>
            <w:vAlign w:val="center"/>
          </w:tcPr>
          <w:p w14:paraId="515B8D3D"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5870E90C"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4A11FAA"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Inner Gippsland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448ADD4"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675" w:type="dxa"/>
            <w:tcBorders>
              <w:top w:val="nil"/>
              <w:left w:val="nil"/>
              <w:bottom w:val="single" w:sz="4" w:space="0" w:color="BFBFBF"/>
              <w:right w:val="single" w:sz="4" w:space="0" w:color="auto"/>
            </w:tcBorders>
            <w:shd w:val="clear" w:color="auto" w:fill="auto"/>
            <w:noWrap/>
            <w:vAlign w:val="center"/>
          </w:tcPr>
          <w:p w14:paraId="4341552A"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816" w:type="dxa"/>
            <w:tcBorders>
              <w:top w:val="nil"/>
              <w:left w:val="nil"/>
              <w:bottom w:val="single" w:sz="4" w:space="0" w:color="BFBFBF"/>
              <w:right w:val="single" w:sz="4" w:space="0" w:color="BFBFBF"/>
            </w:tcBorders>
            <w:shd w:val="clear" w:color="auto" w:fill="auto"/>
            <w:noWrap/>
            <w:vAlign w:val="center"/>
          </w:tcPr>
          <w:p w14:paraId="3C6CFA1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3BC3D372"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62939CFF"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w:t>
            </w:r>
          </w:p>
        </w:tc>
        <w:tc>
          <w:tcPr>
            <w:tcW w:w="675" w:type="dxa"/>
            <w:tcBorders>
              <w:top w:val="nil"/>
              <w:left w:val="nil"/>
              <w:bottom w:val="single" w:sz="4" w:space="0" w:color="BFBFBF"/>
              <w:right w:val="nil"/>
            </w:tcBorders>
            <w:shd w:val="clear" w:color="auto" w:fill="auto"/>
            <w:noWrap/>
            <w:vAlign w:val="center"/>
          </w:tcPr>
          <w:p w14:paraId="53FAC1A5"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55E3BD11"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1CD9251F"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171D7F9"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w:t>
            </w:r>
          </w:p>
        </w:tc>
        <w:tc>
          <w:tcPr>
            <w:tcW w:w="675" w:type="dxa"/>
            <w:tcBorders>
              <w:top w:val="nil"/>
              <w:left w:val="nil"/>
              <w:bottom w:val="single" w:sz="4" w:space="0" w:color="BFBFBF"/>
              <w:right w:val="single" w:sz="4" w:space="0" w:color="auto"/>
            </w:tcBorders>
            <w:shd w:val="clear" w:color="auto" w:fill="auto"/>
            <w:noWrap/>
            <w:vAlign w:val="center"/>
          </w:tcPr>
          <w:p w14:paraId="177750C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826" w:type="dxa"/>
            <w:tcBorders>
              <w:top w:val="nil"/>
              <w:left w:val="nil"/>
              <w:bottom w:val="single" w:sz="4" w:space="0" w:color="BFBFBF"/>
              <w:right w:val="single" w:sz="4" w:space="0" w:color="BFBFBF"/>
            </w:tcBorders>
            <w:shd w:val="clear" w:color="auto" w:fill="auto"/>
            <w:noWrap/>
            <w:vAlign w:val="center"/>
          </w:tcPr>
          <w:p w14:paraId="5762127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686C5AD1"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1FE4E51C" w14:textId="13F0F75A"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638</w:t>
            </w:r>
          </w:p>
        </w:tc>
        <w:tc>
          <w:tcPr>
            <w:tcW w:w="808" w:type="dxa"/>
            <w:tcBorders>
              <w:top w:val="nil"/>
              <w:left w:val="nil"/>
              <w:bottom w:val="single" w:sz="4" w:space="0" w:color="BFBFBF"/>
              <w:right w:val="double" w:sz="4" w:space="0" w:color="000000" w:themeColor="text1"/>
            </w:tcBorders>
            <w:shd w:val="clear" w:color="auto" w:fill="auto"/>
            <w:noWrap/>
            <w:vAlign w:val="center"/>
          </w:tcPr>
          <w:p w14:paraId="2B362D34"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0342FDA4"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EA9644C"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Western District</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379A9E0"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675" w:type="dxa"/>
            <w:tcBorders>
              <w:top w:val="nil"/>
              <w:left w:val="nil"/>
              <w:bottom w:val="single" w:sz="4" w:space="0" w:color="BFBFBF"/>
              <w:right w:val="single" w:sz="4" w:space="0" w:color="auto"/>
            </w:tcBorders>
            <w:shd w:val="clear" w:color="auto" w:fill="auto"/>
            <w:noWrap/>
            <w:vAlign w:val="center"/>
          </w:tcPr>
          <w:p w14:paraId="2D76D05E"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31</w:t>
            </w:r>
          </w:p>
        </w:tc>
        <w:tc>
          <w:tcPr>
            <w:tcW w:w="816" w:type="dxa"/>
            <w:tcBorders>
              <w:top w:val="nil"/>
              <w:left w:val="nil"/>
              <w:bottom w:val="single" w:sz="4" w:space="0" w:color="BFBFBF"/>
              <w:right w:val="single" w:sz="4" w:space="0" w:color="BFBFBF"/>
            </w:tcBorders>
            <w:shd w:val="clear" w:color="auto" w:fill="auto"/>
            <w:noWrap/>
            <w:vAlign w:val="center"/>
          </w:tcPr>
          <w:p w14:paraId="42245F6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086C76D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4417E514"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w:t>
            </w:r>
          </w:p>
        </w:tc>
        <w:tc>
          <w:tcPr>
            <w:tcW w:w="675" w:type="dxa"/>
            <w:tcBorders>
              <w:top w:val="nil"/>
              <w:left w:val="nil"/>
              <w:bottom w:val="single" w:sz="4" w:space="0" w:color="BFBFBF"/>
              <w:right w:val="nil"/>
            </w:tcBorders>
            <w:shd w:val="clear" w:color="auto" w:fill="auto"/>
            <w:noWrap/>
            <w:vAlign w:val="center"/>
          </w:tcPr>
          <w:p w14:paraId="63BC1B56"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34</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4271A1B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1C568DE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F8F94C4"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w:t>
            </w:r>
          </w:p>
        </w:tc>
        <w:tc>
          <w:tcPr>
            <w:tcW w:w="675" w:type="dxa"/>
            <w:tcBorders>
              <w:top w:val="nil"/>
              <w:left w:val="nil"/>
              <w:bottom w:val="single" w:sz="4" w:space="0" w:color="BFBFBF"/>
              <w:right w:val="single" w:sz="4" w:space="0" w:color="auto"/>
            </w:tcBorders>
            <w:shd w:val="clear" w:color="auto" w:fill="auto"/>
            <w:noWrap/>
            <w:vAlign w:val="center"/>
          </w:tcPr>
          <w:p w14:paraId="024AEA9D"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34</w:t>
            </w:r>
          </w:p>
        </w:tc>
        <w:tc>
          <w:tcPr>
            <w:tcW w:w="826" w:type="dxa"/>
            <w:tcBorders>
              <w:top w:val="nil"/>
              <w:left w:val="nil"/>
              <w:bottom w:val="single" w:sz="4" w:space="0" w:color="BFBFBF"/>
              <w:right w:val="single" w:sz="4" w:space="0" w:color="BFBFBF"/>
            </w:tcBorders>
            <w:shd w:val="clear" w:color="auto" w:fill="auto"/>
            <w:noWrap/>
            <w:vAlign w:val="center"/>
          </w:tcPr>
          <w:p w14:paraId="0F17407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0A11986A"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6010C9F0" w14:textId="1E4DF4C4"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370</w:t>
            </w:r>
          </w:p>
        </w:tc>
        <w:tc>
          <w:tcPr>
            <w:tcW w:w="808" w:type="dxa"/>
            <w:tcBorders>
              <w:top w:val="nil"/>
              <w:left w:val="nil"/>
              <w:bottom w:val="single" w:sz="4" w:space="0" w:color="BFBFBF"/>
              <w:right w:val="double" w:sz="4" w:space="0" w:color="000000" w:themeColor="text1"/>
            </w:tcBorders>
            <w:shd w:val="clear" w:color="auto" w:fill="auto"/>
            <w:noWrap/>
            <w:vAlign w:val="center"/>
          </w:tcPr>
          <w:p w14:paraId="7F1FD533"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60950A08"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3C0936A6"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Barwon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8824F61"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4A2C1B3F"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16" w:type="dxa"/>
            <w:tcBorders>
              <w:top w:val="nil"/>
              <w:left w:val="nil"/>
              <w:bottom w:val="single" w:sz="4" w:space="0" w:color="BFBFBF"/>
              <w:right w:val="single" w:sz="4" w:space="0" w:color="BFBFBF"/>
            </w:tcBorders>
            <w:shd w:val="clear" w:color="auto" w:fill="auto"/>
            <w:noWrap/>
            <w:vAlign w:val="center"/>
          </w:tcPr>
          <w:p w14:paraId="191E260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34A5310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4056E7FB"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nil"/>
            </w:tcBorders>
            <w:shd w:val="clear" w:color="auto" w:fill="auto"/>
            <w:noWrap/>
            <w:vAlign w:val="center"/>
          </w:tcPr>
          <w:p w14:paraId="610E6D7C"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73</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018B1E12"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510D3ADB"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397C4BF"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single" w:sz="4" w:space="0" w:color="auto"/>
            </w:tcBorders>
            <w:shd w:val="clear" w:color="auto" w:fill="auto"/>
            <w:noWrap/>
            <w:vAlign w:val="center"/>
          </w:tcPr>
          <w:p w14:paraId="70638284"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73</w:t>
            </w:r>
          </w:p>
        </w:tc>
        <w:tc>
          <w:tcPr>
            <w:tcW w:w="826" w:type="dxa"/>
            <w:tcBorders>
              <w:top w:val="nil"/>
              <w:left w:val="nil"/>
              <w:bottom w:val="single" w:sz="4" w:space="0" w:color="BFBFBF"/>
              <w:right w:val="single" w:sz="4" w:space="0" w:color="BFBFBF"/>
            </w:tcBorders>
            <w:shd w:val="clear" w:color="auto" w:fill="auto"/>
            <w:noWrap/>
            <w:vAlign w:val="center"/>
          </w:tcPr>
          <w:p w14:paraId="3492E57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02799BBD"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0E585A29" w14:textId="2FB3B81B"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351</w:t>
            </w:r>
          </w:p>
        </w:tc>
        <w:tc>
          <w:tcPr>
            <w:tcW w:w="808" w:type="dxa"/>
            <w:tcBorders>
              <w:top w:val="nil"/>
              <w:left w:val="nil"/>
              <w:bottom w:val="single" w:sz="4" w:space="0" w:color="BFBFBF"/>
              <w:right w:val="double" w:sz="4" w:space="0" w:color="000000" w:themeColor="text1"/>
            </w:tcBorders>
            <w:shd w:val="clear" w:color="auto" w:fill="auto"/>
            <w:noWrap/>
            <w:vAlign w:val="center"/>
          </w:tcPr>
          <w:p w14:paraId="6E8788B9"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291AF72D"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50AEB33E"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Central Highlands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91F1F4C"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1A009548"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w:t>
            </w:r>
          </w:p>
        </w:tc>
        <w:tc>
          <w:tcPr>
            <w:tcW w:w="816" w:type="dxa"/>
            <w:tcBorders>
              <w:top w:val="nil"/>
              <w:left w:val="nil"/>
              <w:bottom w:val="single" w:sz="4" w:space="0" w:color="BFBFBF"/>
              <w:right w:val="single" w:sz="4" w:space="0" w:color="BFBFBF"/>
            </w:tcBorders>
            <w:shd w:val="clear" w:color="auto" w:fill="auto"/>
            <w:noWrap/>
            <w:vAlign w:val="center"/>
          </w:tcPr>
          <w:p w14:paraId="236BA98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74524BC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46" w:type="dxa"/>
            <w:tcBorders>
              <w:top w:val="nil"/>
              <w:left w:val="nil"/>
              <w:bottom w:val="single" w:sz="4" w:space="0" w:color="BFBFBF"/>
              <w:right w:val="single" w:sz="4" w:space="0" w:color="BFBFBF"/>
            </w:tcBorders>
            <w:shd w:val="clear" w:color="auto" w:fill="auto"/>
            <w:noWrap/>
            <w:vAlign w:val="bottom"/>
          </w:tcPr>
          <w:p w14:paraId="1431AE38"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675" w:type="dxa"/>
            <w:tcBorders>
              <w:top w:val="nil"/>
              <w:left w:val="nil"/>
              <w:bottom w:val="single" w:sz="4" w:space="0" w:color="BFBFBF"/>
              <w:right w:val="nil"/>
            </w:tcBorders>
            <w:shd w:val="clear" w:color="auto" w:fill="auto"/>
            <w:noWrap/>
            <w:vAlign w:val="center"/>
          </w:tcPr>
          <w:p w14:paraId="50F55251"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6E63BB33"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03118233"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1BC9CF1"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675" w:type="dxa"/>
            <w:tcBorders>
              <w:top w:val="nil"/>
              <w:left w:val="nil"/>
              <w:bottom w:val="single" w:sz="4" w:space="0" w:color="BFBFBF"/>
              <w:right w:val="single" w:sz="4" w:space="0" w:color="auto"/>
            </w:tcBorders>
            <w:shd w:val="clear" w:color="auto" w:fill="auto"/>
            <w:noWrap/>
            <w:vAlign w:val="center"/>
          </w:tcPr>
          <w:p w14:paraId="4BDDAF28"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w:t>
            </w:r>
          </w:p>
        </w:tc>
        <w:tc>
          <w:tcPr>
            <w:tcW w:w="826" w:type="dxa"/>
            <w:tcBorders>
              <w:top w:val="nil"/>
              <w:left w:val="nil"/>
              <w:bottom w:val="single" w:sz="4" w:space="0" w:color="BFBFBF"/>
              <w:right w:val="single" w:sz="4" w:space="0" w:color="BFBFBF"/>
            </w:tcBorders>
            <w:shd w:val="clear" w:color="auto" w:fill="auto"/>
            <w:noWrap/>
            <w:vAlign w:val="center"/>
          </w:tcPr>
          <w:p w14:paraId="129567B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4" w:space="0" w:color="000000" w:themeColor="text1"/>
            </w:tcBorders>
            <w:shd w:val="clear" w:color="auto" w:fill="auto"/>
            <w:noWrap/>
            <w:vAlign w:val="center"/>
          </w:tcPr>
          <w:p w14:paraId="08B8138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18D1B8D3" w14:textId="1CAAA06E"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509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40AC3285"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n/a</w:t>
            </w:r>
          </w:p>
        </w:tc>
      </w:tr>
      <w:tr w:rsidR="004D177A" w:rsidRPr="00125162" w14:paraId="66023419"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A89518B" w14:textId="77777777" w:rsidR="004D177A" w:rsidRPr="00125162" w:rsidRDefault="004D177A"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Concession Status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109ECF4"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04D433F8"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16" w:type="dxa"/>
            <w:tcBorders>
              <w:top w:val="nil"/>
              <w:left w:val="nil"/>
              <w:bottom w:val="single" w:sz="4" w:space="0" w:color="BFBFBF"/>
              <w:right w:val="single" w:sz="4" w:space="0" w:color="BFBFBF"/>
            </w:tcBorders>
            <w:shd w:val="clear" w:color="auto" w:fill="auto"/>
            <w:noWrap/>
            <w:vAlign w:val="center"/>
          </w:tcPr>
          <w:p w14:paraId="5BDA7713"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single" w:sz="4" w:space="0" w:color="auto"/>
            </w:tcBorders>
            <w:shd w:val="clear" w:color="auto" w:fill="auto"/>
            <w:noWrap/>
            <w:vAlign w:val="center"/>
          </w:tcPr>
          <w:p w14:paraId="671706C4"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46" w:type="dxa"/>
            <w:tcBorders>
              <w:top w:val="nil"/>
              <w:left w:val="nil"/>
              <w:bottom w:val="single" w:sz="4" w:space="0" w:color="BFBFBF"/>
              <w:right w:val="single" w:sz="4" w:space="0" w:color="BFBFBF"/>
            </w:tcBorders>
            <w:shd w:val="clear" w:color="auto" w:fill="auto"/>
            <w:noWrap/>
            <w:vAlign w:val="bottom"/>
          </w:tcPr>
          <w:p w14:paraId="796B787F"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2AFAA489"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6C86F41C"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nil"/>
            </w:tcBorders>
            <w:shd w:val="clear" w:color="auto" w:fill="auto"/>
            <w:noWrap/>
            <w:vAlign w:val="center"/>
          </w:tcPr>
          <w:p w14:paraId="104FB5EF"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D034AB1"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62556355"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top w:val="nil"/>
              <w:left w:val="nil"/>
              <w:bottom w:val="single" w:sz="4" w:space="0" w:color="BFBFBF"/>
              <w:right w:val="single" w:sz="4" w:space="0" w:color="BFBFBF"/>
            </w:tcBorders>
            <w:shd w:val="clear" w:color="auto" w:fill="auto"/>
            <w:noWrap/>
            <w:vAlign w:val="center"/>
          </w:tcPr>
          <w:p w14:paraId="00D09776"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double" w:sz="4" w:space="0" w:color="000000" w:themeColor="text1"/>
            </w:tcBorders>
            <w:shd w:val="clear" w:color="auto" w:fill="auto"/>
            <w:noWrap/>
            <w:vAlign w:val="center"/>
          </w:tcPr>
          <w:p w14:paraId="5D4F4CB4"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463E7021" w14:textId="34BE833C"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double" w:sz="4" w:space="0" w:color="000000" w:themeColor="text1"/>
            </w:tcBorders>
            <w:shd w:val="clear" w:color="auto" w:fill="auto"/>
            <w:noWrap/>
            <w:vAlign w:val="center"/>
          </w:tcPr>
          <w:p w14:paraId="64608604"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 </w:t>
            </w:r>
          </w:p>
        </w:tc>
      </w:tr>
      <w:tr w:rsidR="004D177A" w:rsidRPr="00125162" w14:paraId="33831005"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7D958B74"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Aged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D13E251"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single" w:sz="4" w:space="0" w:color="auto"/>
            </w:tcBorders>
            <w:shd w:val="clear" w:color="auto" w:fill="auto"/>
            <w:noWrap/>
            <w:vAlign w:val="center"/>
          </w:tcPr>
          <w:p w14:paraId="2EDE1CF6"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816" w:type="dxa"/>
            <w:tcBorders>
              <w:top w:val="nil"/>
              <w:left w:val="nil"/>
              <w:bottom w:val="single" w:sz="4" w:space="0" w:color="BFBFBF"/>
              <w:right w:val="single" w:sz="4" w:space="0" w:color="BFBFBF"/>
            </w:tcBorders>
            <w:shd w:val="clear" w:color="auto" w:fill="auto"/>
            <w:noWrap/>
            <w:vAlign w:val="center"/>
          </w:tcPr>
          <w:p w14:paraId="1A09D3A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auto"/>
            </w:tcBorders>
            <w:shd w:val="clear" w:color="auto" w:fill="auto"/>
            <w:noWrap/>
            <w:vAlign w:val="center"/>
          </w:tcPr>
          <w:p w14:paraId="060854D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128</w:t>
            </w:r>
          </w:p>
        </w:tc>
        <w:tc>
          <w:tcPr>
            <w:tcW w:w="846" w:type="dxa"/>
            <w:tcBorders>
              <w:top w:val="nil"/>
              <w:left w:val="nil"/>
              <w:bottom w:val="single" w:sz="4" w:space="0" w:color="BFBFBF"/>
              <w:right w:val="single" w:sz="4" w:space="0" w:color="BFBFBF"/>
            </w:tcBorders>
            <w:shd w:val="clear" w:color="auto" w:fill="auto"/>
            <w:noWrap/>
            <w:vAlign w:val="bottom"/>
          </w:tcPr>
          <w:p w14:paraId="08AB093C"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nil"/>
            </w:tcBorders>
            <w:shd w:val="clear" w:color="auto" w:fill="auto"/>
            <w:noWrap/>
            <w:vAlign w:val="center"/>
          </w:tcPr>
          <w:p w14:paraId="248DE976"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77</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7342233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4B4DDC8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53</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512287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24A66B7E"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77</w:t>
            </w:r>
          </w:p>
        </w:tc>
        <w:tc>
          <w:tcPr>
            <w:tcW w:w="826" w:type="dxa"/>
            <w:tcBorders>
              <w:top w:val="nil"/>
              <w:left w:val="nil"/>
              <w:bottom w:val="single" w:sz="4" w:space="0" w:color="BFBFBF"/>
              <w:right w:val="single" w:sz="4" w:space="0" w:color="BFBFBF"/>
            </w:tcBorders>
            <w:shd w:val="clear" w:color="auto" w:fill="auto"/>
            <w:noWrap/>
            <w:vAlign w:val="center"/>
          </w:tcPr>
          <w:p w14:paraId="1F767E9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1FE33B1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154</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6B5E2808" w14:textId="58D94D6A"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318</w:t>
            </w:r>
          </w:p>
        </w:tc>
        <w:tc>
          <w:tcPr>
            <w:tcW w:w="808" w:type="dxa"/>
            <w:tcBorders>
              <w:top w:val="nil"/>
              <w:left w:val="nil"/>
              <w:bottom w:val="single" w:sz="4" w:space="0" w:color="BFBFBF"/>
              <w:right w:val="double" w:sz="4" w:space="0" w:color="000000" w:themeColor="text1"/>
            </w:tcBorders>
            <w:shd w:val="clear" w:color="auto" w:fill="auto"/>
            <w:noWrap/>
            <w:vAlign w:val="center"/>
          </w:tcPr>
          <w:p w14:paraId="1632BCD6"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733</w:t>
            </w:r>
          </w:p>
        </w:tc>
      </w:tr>
      <w:tr w:rsidR="004D177A" w:rsidRPr="00125162" w14:paraId="1783B5F5"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460A6516"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Other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7D4CB98"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675" w:type="dxa"/>
            <w:tcBorders>
              <w:top w:val="nil"/>
              <w:left w:val="nil"/>
              <w:bottom w:val="single" w:sz="4" w:space="0" w:color="BFBFBF"/>
              <w:right w:val="single" w:sz="4" w:space="0" w:color="auto"/>
            </w:tcBorders>
            <w:shd w:val="clear" w:color="auto" w:fill="auto"/>
            <w:noWrap/>
            <w:vAlign w:val="center"/>
          </w:tcPr>
          <w:p w14:paraId="59934E73"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816" w:type="dxa"/>
            <w:tcBorders>
              <w:top w:val="nil"/>
              <w:left w:val="nil"/>
              <w:bottom w:val="single" w:sz="4" w:space="0" w:color="BFBFBF"/>
              <w:right w:val="single" w:sz="4" w:space="0" w:color="BFBFBF"/>
            </w:tcBorders>
            <w:shd w:val="clear" w:color="auto" w:fill="auto"/>
            <w:noWrap/>
            <w:vAlign w:val="center"/>
          </w:tcPr>
          <w:p w14:paraId="03356F8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3403D75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w:t>
            </w:r>
          </w:p>
        </w:tc>
        <w:tc>
          <w:tcPr>
            <w:tcW w:w="846" w:type="dxa"/>
            <w:tcBorders>
              <w:top w:val="nil"/>
              <w:left w:val="nil"/>
              <w:bottom w:val="single" w:sz="4" w:space="0" w:color="BFBFBF"/>
              <w:right w:val="single" w:sz="4" w:space="0" w:color="BFBFBF"/>
            </w:tcBorders>
            <w:shd w:val="clear" w:color="auto" w:fill="auto"/>
            <w:noWrap/>
            <w:vAlign w:val="bottom"/>
          </w:tcPr>
          <w:p w14:paraId="12693440"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c>
          <w:tcPr>
            <w:tcW w:w="675" w:type="dxa"/>
            <w:tcBorders>
              <w:top w:val="nil"/>
              <w:left w:val="nil"/>
              <w:bottom w:val="single" w:sz="4" w:space="0" w:color="BFBFBF"/>
              <w:right w:val="nil"/>
            </w:tcBorders>
            <w:shd w:val="clear" w:color="auto" w:fill="auto"/>
            <w:noWrap/>
            <w:vAlign w:val="center"/>
          </w:tcPr>
          <w:p w14:paraId="6906273B"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72</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2C1BF42D"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586" w:type="dxa"/>
            <w:tcBorders>
              <w:top w:val="nil"/>
              <w:left w:val="nil"/>
              <w:bottom w:val="single" w:sz="4" w:space="0" w:color="BFBFBF"/>
              <w:right w:val="nil"/>
            </w:tcBorders>
            <w:shd w:val="clear" w:color="auto" w:fill="auto"/>
            <w:noWrap/>
            <w:vAlign w:val="center"/>
          </w:tcPr>
          <w:p w14:paraId="477331D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149</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94C20F5"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c>
          <w:tcPr>
            <w:tcW w:w="675" w:type="dxa"/>
            <w:tcBorders>
              <w:top w:val="nil"/>
              <w:left w:val="nil"/>
              <w:bottom w:val="single" w:sz="4" w:space="0" w:color="BFBFBF"/>
              <w:right w:val="single" w:sz="4" w:space="0" w:color="auto"/>
            </w:tcBorders>
            <w:shd w:val="clear" w:color="auto" w:fill="auto"/>
            <w:noWrap/>
            <w:vAlign w:val="center"/>
          </w:tcPr>
          <w:p w14:paraId="689929A6"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72</w:t>
            </w:r>
          </w:p>
        </w:tc>
        <w:tc>
          <w:tcPr>
            <w:tcW w:w="826" w:type="dxa"/>
            <w:tcBorders>
              <w:top w:val="nil"/>
              <w:left w:val="nil"/>
              <w:bottom w:val="single" w:sz="4" w:space="0" w:color="BFBFBF"/>
              <w:right w:val="single" w:sz="4" w:space="0" w:color="BFBFBF"/>
            </w:tcBorders>
            <w:shd w:val="clear" w:color="auto" w:fill="auto"/>
            <w:noWrap/>
            <w:vAlign w:val="center"/>
          </w:tcPr>
          <w:p w14:paraId="56DFAC8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5DEBA8F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162</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34BDDC5B" w14:textId="237BB0DA"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454</w:t>
            </w:r>
          </w:p>
        </w:tc>
        <w:tc>
          <w:tcPr>
            <w:tcW w:w="808" w:type="dxa"/>
            <w:tcBorders>
              <w:top w:val="nil"/>
              <w:left w:val="nil"/>
              <w:bottom w:val="single" w:sz="4" w:space="0" w:color="BFBFBF"/>
              <w:right w:val="double" w:sz="4" w:space="0" w:color="000000" w:themeColor="text1"/>
            </w:tcBorders>
            <w:shd w:val="clear" w:color="auto" w:fill="auto"/>
            <w:noWrap/>
            <w:vAlign w:val="center"/>
          </w:tcPr>
          <w:p w14:paraId="72BB539D"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828</w:t>
            </w:r>
          </w:p>
        </w:tc>
      </w:tr>
      <w:tr w:rsidR="004D177A" w:rsidRPr="00125162" w14:paraId="1D7299B9"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2E83EAA"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Total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2B8BE40"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675" w:type="dxa"/>
            <w:tcBorders>
              <w:top w:val="nil"/>
              <w:left w:val="nil"/>
              <w:bottom w:val="single" w:sz="4" w:space="0" w:color="BFBFBF"/>
              <w:right w:val="single" w:sz="4" w:space="0" w:color="auto"/>
            </w:tcBorders>
            <w:shd w:val="clear" w:color="auto" w:fill="auto"/>
            <w:noWrap/>
            <w:vAlign w:val="center"/>
          </w:tcPr>
          <w:p w14:paraId="54676375"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816" w:type="dxa"/>
            <w:tcBorders>
              <w:top w:val="nil"/>
              <w:left w:val="nil"/>
              <w:bottom w:val="single" w:sz="4" w:space="0" w:color="BFBFBF"/>
              <w:right w:val="single" w:sz="4" w:space="0" w:color="BFBFBF"/>
            </w:tcBorders>
            <w:shd w:val="clear" w:color="auto" w:fill="auto"/>
            <w:noWrap/>
            <w:vAlign w:val="center"/>
          </w:tcPr>
          <w:p w14:paraId="1D5F60EA"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6F15A993"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60</w:t>
            </w:r>
          </w:p>
        </w:tc>
        <w:tc>
          <w:tcPr>
            <w:tcW w:w="846" w:type="dxa"/>
            <w:tcBorders>
              <w:top w:val="nil"/>
              <w:left w:val="nil"/>
              <w:bottom w:val="single" w:sz="4" w:space="0" w:color="BFBFBF"/>
              <w:right w:val="single" w:sz="4" w:space="0" w:color="BFBFBF"/>
            </w:tcBorders>
            <w:shd w:val="clear" w:color="auto" w:fill="auto"/>
            <w:noWrap/>
            <w:vAlign w:val="bottom"/>
          </w:tcPr>
          <w:p w14:paraId="2D1771ED"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nil"/>
            </w:tcBorders>
            <w:shd w:val="clear" w:color="auto" w:fill="auto"/>
            <w:noWrap/>
            <w:vAlign w:val="center"/>
          </w:tcPr>
          <w:p w14:paraId="777A5EF2"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74</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2C995F8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12F384F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115</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3407197"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single" w:sz="4" w:space="0" w:color="auto"/>
            </w:tcBorders>
            <w:shd w:val="clear" w:color="auto" w:fill="auto"/>
            <w:noWrap/>
            <w:vAlign w:val="center"/>
          </w:tcPr>
          <w:p w14:paraId="7A526560"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74</w:t>
            </w:r>
          </w:p>
        </w:tc>
        <w:tc>
          <w:tcPr>
            <w:tcW w:w="826" w:type="dxa"/>
            <w:tcBorders>
              <w:top w:val="nil"/>
              <w:left w:val="nil"/>
              <w:bottom w:val="single" w:sz="4" w:space="0" w:color="BFBFBF"/>
              <w:right w:val="single" w:sz="4" w:space="0" w:color="BFBFBF"/>
            </w:tcBorders>
            <w:shd w:val="clear" w:color="auto" w:fill="auto"/>
            <w:noWrap/>
            <w:vAlign w:val="center"/>
          </w:tcPr>
          <w:p w14:paraId="46080491"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3CA40FB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158</w:t>
            </w:r>
          </w:p>
        </w:tc>
        <w:tc>
          <w:tcPr>
            <w:tcW w:w="808" w:type="dxa"/>
            <w:tcBorders>
              <w:top w:val="nil"/>
              <w:left w:val="double" w:sz="4" w:space="0" w:color="000000" w:themeColor="text1"/>
              <w:bottom w:val="single" w:sz="4" w:space="0" w:color="BFBFBF"/>
              <w:right w:val="single" w:sz="4" w:space="0" w:color="BFBFBF"/>
            </w:tcBorders>
            <w:shd w:val="clear" w:color="auto" w:fill="auto"/>
            <w:noWrap/>
            <w:vAlign w:val="center"/>
          </w:tcPr>
          <w:p w14:paraId="7CFB7535" w14:textId="5B3C70C3"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385</w:t>
            </w:r>
          </w:p>
        </w:tc>
        <w:tc>
          <w:tcPr>
            <w:tcW w:w="808" w:type="dxa"/>
            <w:tcBorders>
              <w:top w:val="nil"/>
              <w:left w:val="nil"/>
              <w:bottom w:val="single" w:sz="4" w:space="0" w:color="BFBFBF"/>
              <w:right w:val="double" w:sz="4" w:space="0" w:color="000000" w:themeColor="text1"/>
            </w:tcBorders>
            <w:shd w:val="clear" w:color="auto" w:fill="auto"/>
            <w:noWrap/>
            <w:vAlign w:val="center"/>
          </w:tcPr>
          <w:p w14:paraId="55CC6604"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778</w:t>
            </w:r>
          </w:p>
        </w:tc>
      </w:tr>
      <w:tr w:rsidR="004D177A" w:rsidRPr="00125162" w14:paraId="208B404E" w14:textId="77777777" w:rsidTr="009771F8">
        <w:trPr>
          <w:trHeight w:val="225"/>
          <w:jc w:val="center"/>
        </w:trPr>
        <w:tc>
          <w:tcPr>
            <w:tcW w:w="2575" w:type="dxa"/>
            <w:tcBorders>
              <w:top w:val="single" w:sz="4" w:space="0" w:color="BFBFBF"/>
              <w:left w:val="double" w:sz="6" w:space="0" w:color="auto"/>
              <w:bottom w:val="double" w:sz="4" w:space="0" w:color="auto"/>
              <w:right w:val="nil"/>
            </w:tcBorders>
            <w:shd w:val="clear" w:color="auto" w:fill="auto"/>
            <w:noWrap/>
            <w:vAlign w:val="center"/>
          </w:tcPr>
          <w:p w14:paraId="508001C2"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Non-Concession HHs</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bottom"/>
          </w:tcPr>
          <w:p w14:paraId="59D0481E"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single" w:sz="4" w:space="0" w:color="BFBFBF"/>
              <w:left w:val="nil"/>
              <w:bottom w:val="double" w:sz="4" w:space="0" w:color="auto"/>
              <w:right w:val="single" w:sz="4" w:space="0" w:color="auto"/>
            </w:tcBorders>
            <w:shd w:val="clear" w:color="auto" w:fill="auto"/>
            <w:noWrap/>
            <w:vAlign w:val="center"/>
          </w:tcPr>
          <w:p w14:paraId="266B7C2B"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16" w:type="dxa"/>
            <w:tcBorders>
              <w:top w:val="single" w:sz="4" w:space="0" w:color="BFBFBF"/>
              <w:left w:val="nil"/>
              <w:bottom w:val="double" w:sz="4" w:space="0" w:color="auto"/>
              <w:right w:val="single" w:sz="4" w:space="0" w:color="BFBFBF"/>
            </w:tcBorders>
            <w:shd w:val="clear" w:color="auto" w:fill="auto"/>
            <w:noWrap/>
            <w:vAlign w:val="center"/>
          </w:tcPr>
          <w:p w14:paraId="04874C3A"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single" w:sz="4" w:space="0" w:color="BFBFBF"/>
              <w:left w:val="nil"/>
              <w:bottom w:val="double" w:sz="4" w:space="0" w:color="auto"/>
              <w:right w:val="single" w:sz="4" w:space="0" w:color="auto"/>
            </w:tcBorders>
            <w:shd w:val="clear" w:color="auto" w:fill="auto"/>
            <w:noWrap/>
            <w:vAlign w:val="center"/>
          </w:tcPr>
          <w:p w14:paraId="5583EEF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86</w:t>
            </w:r>
          </w:p>
        </w:tc>
        <w:tc>
          <w:tcPr>
            <w:tcW w:w="846" w:type="dxa"/>
            <w:tcBorders>
              <w:top w:val="single" w:sz="4" w:space="0" w:color="BFBFBF"/>
              <w:left w:val="nil"/>
              <w:bottom w:val="double" w:sz="4" w:space="0" w:color="auto"/>
              <w:right w:val="single" w:sz="4" w:space="0" w:color="BFBFBF"/>
            </w:tcBorders>
            <w:shd w:val="clear" w:color="auto" w:fill="auto"/>
            <w:noWrap/>
            <w:vAlign w:val="bottom"/>
          </w:tcPr>
          <w:p w14:paraId="41724AEC"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single" w:sz="4" w:space="0" w:color="BFBFBF"/>
              <w:left w:val="nil"/>
              <w:bottom w:val="double" w:sz="4" w:space="0" w:color="auto"/>
              <w:right w:val="nil"/>
            </w:tcBorders>
            <w:shd w:val="clear" w:color="auto" w:fill="auto"/>
            <w:noWrap/>
            <w:vAlign w:val="center"/>
          </w:tcPr>
          <w:p w14:paraId="58B1227D"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46"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1E84FEB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single" w:sz="4" w:space="0" w:color="BFBFBF"/>
              <w:left w:val="nil"/>
              <w:bottom w:val="double" w:sz="4" w:space="0" w:color="auto"/>
              <w:right w:val="nil"/>
            </w:tcBorders>
            <w:shd w:val="clear" w:color="auto" w:fill="auto"/>
            <w:noWrap/>
            <w:vAlign w:val="center"/>
          </w:tcPr>
          <w:p w14:paraId="6F2B614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-217</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bottom"/>
          </w:tcPr>
          <w:p w14:paraId="6E3FDB99"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single" w:sz="4" w:space="0" w:color="BFBFBF"/>
              <w:left w:val="nil"/>
              <w:bottom w:val="double" w:sz="4" w:space="0" w:color="auto"/>
              <w:right w:val="single" w:sz="4" w:space="0" w:color="auto"/>
            </w:tcBorders>
            <w:shd w:val="clear" w:color="auto" w:fill="auto"/>
            <w:noWrap/>
            <w:vAlign w:val="center"/>
          </w:tcPr>
          <w:p w14:paraId="22D871B2"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26" w:type="dxa"/>
            <w:tcBorders>
              <w:top w:val="single" w:sz="4" w:space="0" w:color="BFBFBF"/>
              <w:left w:val="nil"/>
              <w:bottom w:val="double" w:sz="4" w:space="0" w:color="auto"/>
              <w:right w:val="single" w:sz="4" w:space="0" w:color="BFBFBF"/>
            </w:tcBorders>
            <w:shd w:val="clear" w:color="auto" w:fill="auto"/>
            <w:noWrap/>
            <w:vAlign w:val="center"/>
          </w:tcPr>
          <w:p w14:paraId="648E8FE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single" w:sz="4" w:space="0" w:color="BFBFBF"/>
              <w:left w:val="nil"/>
              <w:bottom w:val="double" w:sz="4" w:space="0" w:color="auto"/>
              <w:right w:val="double" w:sz="4" w:space="0" w:color="000000" w:themeColor="text1"/>
            </w:tcBorders>
            <w:shd w:val="clear" w:color="auto" w:fill="auto"/>
            <w:noWrap/>
            <w:vAlign w:val="center"/>
          </w:tcPr>
          <w:p w14:paraId="4C3393B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152</w:t>
            </w:r>
          </w:p>
        </w:tc>
        <w:tc>
          <w:tcPr>
            <w:tcW w:w="808" w:type="dxa"/>
            <w:tcBorders>
              <w:top w:val="single" w:sz="4" w:space="0" w:color="BFBFBF"/>
              <w:left w:val="double" w:sz="4" w:space="0" w:color="000000" w:themeColor="text1"/>
              <w:bottom w:val="double" w:sz="4" w:space="0" w:color="000000" w:themeColor="text1"/>
              <w:right w:val="single" w:sz="4" w:space="0" w:color="BFBFBF"/>
            </w:tcBorders>
            <w:shd w:val="clear" w:color="auto" w:fill="auto"/>
            <w:noWrap/>
            <w:vAlign w:val="center"/>
          </w:tcPr>
          <w:p w14:paraId="71B7BF68" w14:textId="38BED350"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513</w:t>
            </w:r>
          </w:p>
        </w:tc>
        <w:tc>
          <w:tcPr>
            <w:tcW w:w="808" w:type="dxa"/>
            <w:tcBorders>
              <w:top w:val="single" w:sz="4" w:space="0" w:color="BFBFBF"/>
              <w:left w:val="nil"/>
              <w:bottom w:val="double" w:sz="4" w:space="0" w:color="000000" w:themeColor="text1"/>
              <w:right w:val="double" w:sz="4" w:space="0" w:color="000000" w:themeColor="text1"/>
            </w:tcBorders>
            <w:shd w:val="clear" w:color="auto" w:fill="auto"/>
            <w:noWrap/>
            <w:vAlign w:val="center"/>
          </w:tcPr>
          <w:p w14:paraId="3136DB63" w14:textId="52E79A49"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1</w:t>
            </w:r>
            <w:r>
              <w:rPr>
                <w:rFonts w:ascii="Arial" w:hAnsi="Arial" w:cs="Arial"/>
                <w:color w:val="000000"/>
                <w:sz w:val="16"/>
                <w:szCs w:val="16"/>
                <w:lang w:val="en-AU" w:eastAsia="en-AU"/>
              </w:rPr>
              <w:t>,</w:t>
            </w:r>
            <w:r w:rsidRPr="00B70236">
              <w:rPr>
                <w:rFonts w:ascii="Arial" w:hAnsi="Arial" w:cs="Arial"/>
                <w:color w:val="000000"/>
                <w:sz w:val="16"/>
                <w:szCs w:val="16"/>
                <w:lang w:val="en-AU" w:eastAsia="en-AU"/>
              </w:rPr>
              <w:t>062</w:t>
            </w:r>
          </w:p>
        </w:tc>
      </w:tr>
      <w:tr w:rsidR="004D177A" w:rsidRPr="00125162" w14:paraId="05609AE1" w14:textId="77777777" w:rsidTr="009771F8">
        <w:trPr>
          <w:trHeight w:val="225"/>
          <w:jc w:val="center"/>
        </w:trPr>
        <w:tc>
          <w:tcPr>
            <w:tcW w:w="2575" w:type="dxa"/>
            <w:tcBorders>
              <w:top w:val="double" w:sz="4" w:space="0" w:color="auto"/>
            </w:tcBorders>
            <w:shd w:val="clear" w:color="auto" w:fill="auto"/>
            <w:noWrap/>
            <w:vAlign w:val="center"/>
          </w:tcPr>
          <w:p w14:paraId="192EB3ED" w14:textId="77777777" w:rsidR="004D177A" w:rsidRPr="00125162" w:rsidRDefault="004D177A" w:rsidP="00970E2F">
            <w:pPr>
              <w:spacing w:before="0" w:after="0"/>
              <w:rPr>
                <w:rFonts w:ascii="Arial" w:hAnsi="Arial" w:cs="Arial"/>
                <w:bCs/>
                <w:color w:val="000000"/>
                <w:sz w:val="16"/>
                <w:szCs w:val="16"/>
                <w:lang w:val="en-AU" w:eastAsia="en-AU"/>
              </w:rPr>
            </w:pPr>
            <w:r w:rsidRPr="00125162">
              <w:rPr>
                <w:rFonts w:ascii="Arial" w:hAnsi="Arial" w:cs="Arial"/>
                <w:bCs/>
                <w:color w:val="000000"/>
                <w:sz w:val="16"/>
                <w:szCs w:val="16"/>
                <w:lang w:val="en-AU" w:eastAsia="en-AU"/>
              </w:rPr>
              <w:t>Continued on next page</w:t>
            </w:r>
          </w:p>
        </w:tc>
        <w:tc>
          <w:tcPr>
            <w:tcW w:w="808" w:type="dxa"/>
            <w:tcBorders>
              <w:top w:val="double" w:sz="4" w:space="0" w:color="auto"/>
            </w:tcBorders>
            <w:shd w:val="clear" w:color="auto" w:fill="auto"/>
            <w:noWrap/>
            <w:vAlign w:val="bottom"/>
          </w:tcPr>
          <w:p w14:paraId="2FB9386E"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6FB6A9AD"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16" w:type="dxa"/>
            <w:tcBorders>
              <w:top w:val="double" w:sz="4" w:space="0" w:color="auto"/>
            </w:tcBorders>
            <w:shd w:val="clear" w:color="auto" w:fill="auto"/>
            <w:noWrap/>
            <w:vAlign w:val="center"/>
          </w:tcPr>
          <w:p w14:paraId="4D984A42"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586" w:type="dxa"/>
            <w:tcBorders>
              <w:top w:val="double" w:sz="4" w:space="0" w:color="auto"/>
            </w:tcBorders>
            <w:shd w:val="clear" w:color="auto" w:fill="auto"/>
            <w:noWrap/>
            <w:vAlign w:val="center"/>
          </w:tcPr>
          <w:p w14:paraId="66659BEB"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46" w:type="dxa"/>
            <w:tcBorders>
              <w:top w:val="double" w:sz="4" w:space="0" w:color="auto"/>
            </w:tcBorders>
            <w:shd w:val="clear" w:color="auto" w:fill="auto"/>
            <w:noWrap/>
            <w:vAlign w:val="bottom"/>
          </w:tcPr>
          <w:p w14:paraId="631B6D52"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2E3DD2A9"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46" w:type="dxa"/>
            <w:tcBorders>
              <w:top w:val="double" w:sz="4" w:space="0" w:color="auto"/>
            </w:tcBorders>
            <w:shd w:val="clear" w:color="auto" w:fill="auto"/>
            <w:noWrap/>
            <w:vAlign w:val="center"/>
          </w:tcPr>
          <w:p w14:paraId="14C75824"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586" w:type="dxa"/>
            <w:tcBorders>
              <w:top w:val="double" w:sz="4" w:space="0" w:color="auto"/>
            </w:tcBorders>
            <w:shd w:val="clear" w:color="auto" w:fill="auto"/>
            <w:noWrap/>
            <w:vAlign w:val="center"/>
          </w:tcPr>
          <w:p w14:paraId="3E8D2024"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bottom"/>
          </w:tcPr>
          <w:p w14:paraId="4716CE5C"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50F76BA0"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26" w:type="dxa"/>
            <w:tcBorders>
              <w:top w:val="double" w:sz="4" w:space="0" w:color="auto"/>
            </w:tcBorders>
            <w:shd w:val="clear" w:color="auto" w:fill="auto"/>
            <w:noWrap/>
            <w:vAlign w:val="center"/>
          </w:tcPr>
          <w:p w14:paraId="3EE8A88D"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7E96F160"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000000" w:themeColor="text1"/>
              <w:bottom w:val="single" w:sz="4" w:space="0" w:color="D9D9D9" w:themeColor="background1" w:themeShade="D9"/>
            </w:tcBorders>
            <w:shd w:val="clear" w:color="auto" w:fill="auto"/>
            <w:noWrap/>
            <w:vAlign w:val="center"/>
          </w:tcPr>
          <w:p w14:paraId="7FB6ED00" w14:textId="77777777" w:rsidR="004D177A" w:rsidRPr="00125162" w:rsidRDefault="004D177A" w:rsidP="00970E2F">
            <w:pPr>
              <w:spacing w:before="0" w:after="0"/>
              <w:jc w:val="center"/>
              <w:rPr>
                <w:rFonts w:ascii="Arial" w:hAnsi="Arial" w:cs="Arial"/>
                <w:color w:val="000000"/>
                <w:sz w:val="16"/>
                <w:szCs w:val="16"/>
                <w:lang w:val="en-AU" w:eastAsia="en-AU"/>
              </w:rPr>
            </w:pPr>
          </w:p>
        </w:tc>
        <w:tc>
          <w:tcPr>
            <w:tcW w:w="808" w:type="dxa"/>
            <w:tcBorders>
              <w:top w:val="double" w:sz="4" w:space="0" w:color="000000" w:themeColor="text1"/>
              <w:bottom w:val="single" w:sz="4" w:space="0" w:color="D9D9D9" w:themeColor="background1" w:themeShade="D9"/>
            </w:tcBorders>
            <w:shd w:val="clear" w:color="auto" w:fill="auto"/>
            <w:noWrap/>
            <w:vAlign w:val="center"/>
          </w:tcPr>
          <w:p w14:paraId="27AF2664" w14:textId="77777777" w:rsidR="004D177A" w:rsidRPr="00125162" w:rsidRDefault="004D177A" w:rsidP="00970E2F">
            <w:pPr>
              <w:spacing w:before="0" w:after="0"/>
              <w:jc w:val="center"/>
              <w:rPr>
                <w:rFonts w:ascii="Arial" w:hAnsi="Arial" w:cs="Arial"/>
                <w:color w:val="000000"/>
                <w:sz w:val="16"/>
                <w:szCs w:val="16"/>
                <w:lang w:val="en-AU" w:eastAsia="en-AU"/>
              </w:rPr>
            </w:pPr>
          </w:p>
        </w:tc>
      </w:tr>
      <w:tr w:rsidR="004D177A" w:rsidRPr="00125162" w14:paraId="7828540B" w14:textId="77777777" w:rsidTr="009771F8">
        <w:trPr>
          <w:trHeight w:val="225"/>
          <w:jc w:val="center"/>
        </w:trPr>
        <w:tc>
          <w:tcPr>
            <w:tcW w:w="2575" w:type="dxa"/>
            <w:tcBorders>
              <w:left w:val="double" w:sz="6" w:space="0" w:color="auto"/>
              <w:bottom w:val="single" w:sz="4" w:space="0" w:color="BFBFBF"/>
              <w:right w:val="nil"/>
            </w:tcBorders>
            <w:shd w:val="clear" w:color="auto" w:fill="auto"/>
            <w:noWrap/>
            <w:vAlign w:val="center"/>
          </w:tcPr>
          <w:p w14:paraId="66226754" w14:textId="77777777" w:rsidR="004D177A" w:rsidRPr="00125162" w:rsidRDefault="004D177A" w:rsidP="00970E2F">
            <w:pPr>
              <w:spacing w:before="0" w:after="0"/>
              <w:rPr>
                <w:rFonts w:ascii="Arial" w:hAnsi="Arial" w:cs="Arial"/>
                <w:b/>
                <w:bCs/>
                <w:color w:val="000000"/>
                <w:sz w:val="16"/>
                <w:szCs w:val="16"/>
                <w:lang w:val="en-AU" w:eastAsia="en-AU"/>
              </w:rPr>
            </w:pPr>
          </w:p>
          <w:p w14:paraId="50E2E731" w14:textId="77777777" w:rsidR="004D177A" w:rsidRPr="00125162" w:rsidRDefault="004D177A"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Household Size -</w:t>
            </w:r>
          </w:p>
        </w:tc>
        <w:tc>
          <w:tcPr>
            <w:tcW w:w="808" w:type="dxa"/>
            <w:tcBorders>
              <w:left w:val="single" w:sz="4" w:space="0" w:color="auto"/>
              <w:bottom w:val="single" w:sz="4" w:space="0" w:color="BFBFBF"/>
              <w:right w:val="single" w:sz="4" w:space="0" w:color="BFBFBF"/>
            </w:tcBorders>
            <w:shd w:val="clear" w:color="auto" w:fill="auto"/>
            <w:noWrap/>
            <w:vAlign w:val="bottom"/>
          </w:tcPr>
          <w:p w14:paraId="2BCC2F4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left w:val="nil"/>
              <w:bottom w:val="single" w:sz="4" w:space="0" w:color="BFBFBF"/>
              <w:right w:val="single" w:sz="4" w:space="0" w:color="auto"/>
            </w:tcBorders>
            <w:shd w:val="clear" w:color="auto" w:fill="auto"/>
            <w:noWrap/>
            <w:vAlign w:val="center"/>
          </w:tcPr>
          <w:p w14:paraId="533F510C"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16" w:type="dxa"/>
            <w:tcBorders>
              <w:left w:val="nil"/>
              <w:bottom w:val="single" w:sz="4" w:space="0" w:color="BFBFBF"/>
              <w:right w:val="single" w:sz="4" w:space="0" w:color="BFBFBF"/>
            </w:tcBorders>
            <w:shd w:val="clear" w:color="auto" w:fill="auto"/>
            <w:noWrap/>
            <w:vAlign w:val="center"/>
          </w:tcPr>
          <w:p w14:paraId="3F151C6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86" w:type="dxa"/>
            <w:tcBorders>
              <w:left w:val="nil"/>
              <w:bottom w:val="single" w:sz="4" w:space="0" w:color="BFBFBF"/>
              <w:right w:val="single" w:sz="4" w:space="0" w:color="auto"/>
            </w:tcBorders>
            <w:shd w:val="clear" w:color="auto" w:fill="auto"/>
            <w:noWrap/>
            <w:vAlign w:val="center"/>
          </w:tcPr>
          <w:p w14:paraId="27EFED4B"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46" w:type="dxa"/>
            <w:tcBorders>
              <w:left w:val="nil"/>
              <w:bottom w:val="single" w:sz="4" w:space="0" w:color="BFBFBF"/>
              <w:right w:val="single" w:sz="4" w:space="0" w:color="BFBFBF"/>
            </w:tcBorders>
            <w:shd w:val="clear" w:color="auto" w:fill="auto"/>
            <w:noWrap/>
            <w:vAlign w:val="bottom"/>
          </w:tcPr>
          <w:p w14:paraId="3A6F2778"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left w:val="nil"/>
              <w:bottom w:val="single" w:sz="4" w:space="0" w:color="BFBFBF"/>
              <w:right w:val="nil"/>
            </w:tcBorders>
            <w:shd w:val="clear" w:color="auto" w:fill="auto"/>
            <w:noWrap/>
            <w:vAlign w:val="center"/>
          </w:tcPr>
          <w:p w14:paraId="5549FC8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46" w:type="dxa"/>
            <w:tcBorders>
              <w:left w:val="single" w:sz="4" w:space="0" w:color="auto"/>
              <w:bottom w:val="single" w:sz="4" w:space="0" w:color="BFBFBF"/>
              <w:right w:val="single" w:sz="4" w:space="0" w:color="BFBFBF"/>
            </w:tcBorders>
            <w:shd w:val="clear" w:color="auto" w:fill="auto"/>
            <w:noWrap/>
            <w:vAlign w:val="center"/>
          </w:tcPr>
          <w:p w14:paraId="1269FAB9"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86" w:type="dxa"/>
            <w:tcBorders>
              <w:left w:val="nil"/>
              <w:bottom w:val="single" w:sz="4" w:space="0" w:color="BFBFBF"/>
              <w:right w:val="nil"/>
            </w:tcBorders>
            <w:shd w:val="clear" w:color="auto" w:fill="auto"/>
            <w:noWrap/>
            <w:vAlign w:val="center"/>
          </w:tcPr>
          <w:p w14:paraId="06C454B7"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single" w:sz="4" w:space="0" w:color="auto"/>
              <w:bottom w:val="single" w:sz="4" w:space="0" w:color="BFBFBF"/>
              <w:right w:val="single" w:sz="4" w:space="0" w:color="BFBFBF"/>
            </w:tcBorders>
            <w:shd w:val="clear" w:color="auto" w:fill="auto"/>
            <w:noWrap/>
            <w:vAlign w:val="bottom"/>
          </w:tcPr>
          <w:p w14:paraId="34F2AB3A"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left w:val="nil"/>
              <w:bottom w:val="single" w:sz="4" w:space="0" w:color="BFBFBF"/>
              <w:right w:val="single" w:sz="4" w:space="0" w:color="auto"/>
            </w:tcBorders>
            <w:shd w:val="clear" w:color="auto" w:fill="auto"/>
            <w:noWrap/>
            <w:vAlign w:val="center"/>
          </w:tcPr>
          <w:p w14:paraId="5C9F932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left w:val="nil"/>
              <w:bottom w:val="single" w:sz="4" w:space="0" w:color="BFBFBF"/>
              <w:right w:val="single" w:sz="4" w:space="0" w:color="BFBFBF"/>
            </w:tcBorders>
            <w:shd w:val="clear" w:color="auto" w:fill="auto"/>
            <w:noWrap/>
            <w:vAlign w:val="center"/>
          </w:tcPr>
          <w:p w14:paraId="70DC48A1"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double" w:sz="4" w:space="0" w:color="000000" w:themeColor="text1"/>
            </w:tcBorders>
            <w:shd w:val="clear" w:color="auto" w:fill="auto"/>
            <w:noWrap/>
            <w:vAlign w:val="center"/>
          </w:tcPr>
          <w:p w14:paraId="4DDB3B0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single" w:sz="4" w:space="0" w:color="D9D9D9" w:themeColor="background1" w:themeShade="D9"/>
              <w:left w:val="double" w:sz="4" w:space="0" w:color="000000" w:themeColor="text1"/>
              <w:bottom w:val="single" w:sz="4" w:space="0" w:color="BFBFBF"/>
              <w:right w:val="single" w:sz="4" w:space="0" w:color="BFBFBF"/>
            </w:tcBorders>
            <w:shd w:val="clear" w:color="auto" w:fill="auto"/>
            <w:noWrap/>
            <w:vAlign w:val="center"/>
          </w:tcPr>
          <w:p w14:paraId="6E755795"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single" w:sz="4" w:space="0" w:color="D9D9D9" w:themeColor="background1" w:themeShade="D9"/>
              <w:left w:val="nil"/>
              <w:bottom w:val="single" w:sz="4" w:space="0" w:color="BFBFBF"/>
              <w:right w:val="double" w:sz="4" w:space="0" w:color="000000" w:themeColor="text1"/>
            </w:tcBorders>
            <w:shd w:val="clear" w:color="auto" w:fill="auto"/>
            <w:noWrap/>
            <w:vAlign w:val="center"/>
          </w:tcPr>
          <w:p w14:paraId="26ADE49E" w14:textId="77777777" w:rsidR="004D177A" w:rsidRPr="00125162" w:rsidRDefault="004D177A"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4D177A" w:rsidRPr="00125162" w14:paraId="05D1B33A"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E2D113F"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1 person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1FB836A"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675" w:type="dxa"/>
            <w:tcBorders>
              <w:top w:val="nil"/>
              <w:left w:val="nil"/>
              <w:bottom w:val="single" w:sz="4" w:space="0" w:color="BFBFBF"/>
              <w:right w:val="single" w:sz="4" w:space="0" w:color="auto"/>
            </w:tcBorders>
            <w:shd w:val="clear" w:color="auto" w:fill="auto"/>
            <w:noWrap/>
            <w:vAlign w:val="center"/>
          </w:tcPr>
          <w:p w14:paraId="08ED5812"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816" w:type="dxa"/>
            <w:tcBorders>
              <w:top w:val="nil"/>
              <w:left w:val="nil"/>
              <w:bottom w:val="single" w:sz="4" w:space="0" w:color="BFBFBF"/>
              <w:right w:val="single" w:sz="4" w:space="0" w:color="BFBFBF"/>
            </w:tcBorders>
            <w:shd w:val="clear" w:color="auto" w:fill="auto"/>
            <w:noWrap/>
            <w:vAlign w:val="center"/>
          </w:tcPr>
          <w:p w14:paraId="145866DC"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1E6EC1D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846" w:type="dxa"/>
            <w:tcBorders>
              <w:top w:val="nil"/>
              <w:left w:val="nil"/>
              <w:bottom w:val="single" w:sz="4" w:space="0" w:color="BFBFBF"/>
              <w:right w:val="single" w:sz="4" w:space="0" w:color="BFBFBF"/>
            </w:tcBorders>
            <w:shd w:val="clear" w:color="auto" w:fill="auto"/>
            <w:noWrap/>
            <w:vAlign w:val="bottom"/>
          </w:tcPr>
          <w:p w14:paraId="1A10211E"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nil"/>
            </w:tcBorders>
            <w:shd w:val="clear" w:color="auto" w:fill="auto"/>
            <w:noWrap/>
            <w:vAlign w:val="center"/>
          </w:tcPr>
          <w:p w14:paraId="77D3299A"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44</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7AEFF18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586" w:type="dxa"/>
            <w:tcBorders>
              <w:top w:val="nil"/>
              <w:left w:val="nil"/>
              <w:bottom w:val="single" w:sz="4" w:space="0" w:color="BFBFBF"/>
              <w:right w:val="nil"/>
            </w:tcBorders>
            <w:shd w:val="clear" w:color="auto" w:fill="auto"/>
            <w:noWrap/>
            <w:vAlign w:val="center"/>
          </w:tcPr>
          <w:p w14:paraId="6210C5B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65</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87EE8CF"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single" w:sz="4" w:space="0" w:color="auto"/>
            </w:tcBorders>
            <w:shd w:val="clear" w:color="auto" w:fill="auto"/>
            <w:noWrap/>
            <w:vAlign w:val="center"/>
          </w:tcPr>
          <w:p w14:paraId="77B61E6B"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44</w:t>
            </w:r>
          </w:p>
        </w:tc>
        <w:tc>
          <w:tcPr>
            <w:tcW w:w="826" w:type="dxa"/>
            <w:tcBorders>
              <w:top w:val="nil"/>
              <w:left w:val="nil"/>
              <w:bottom w:val="single" w:sz="4" w:space="0" w:color="BFBFBF"/>
              <w:right w:val="single" w:sz="4" w:space="0" w:color="BFBFBF"/>
            </w:tcBorders>
            <w:shd w:val="clear" w:color="auto" w:fill="auto"/>
            <w:noWrap/>
            <w:vAlign w:val="center"/>
          </w:tcPr>
          <w:p w14:paraId="20B9EB2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1780046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157</w:t>
            </w:r>
          </w:p>
        </w:tc>
        <w:tc>
          <w:tcPr>
            <w:tcW w:w="808" w:type="dxa"/>
            <w:tcBorders>
              <w:top w:val="single" w:sz="4" w:space="0" w:color="BFBFBF"/>
              <w:left w:val="double" w:sz="4" w:space="0" w:color="000000" w:themeColor="text1"/>
              <w:bottom w:val="single" w:sz="4" w:space="0" w:color="BFBFBF"/>
              <w:right w:val="single" w:sz="4" w:space="0" w:color="BFBFBF"/>
            </w:tcBorders>
            <w:shd w:val="clear" w:color="auto" w:fill="auto"/>
            <w:noWrap/>
            <w:vAlign w:val="center"/>
          </w:tcPr>
          <w:p w14:paraId="2534A75A" w14:textId="0BBD822D"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099</w:t>
            </w:r>
          </w:p>
        </w:tc>
        <w:tc>
          <w:tcPr>
            <w:tcW w:w="808" w:type="dxa"/>
            <w:tcBorders>
              <w:top w:val="single" w:sz="4" w:space="0" w:color="BFBFBF"/>
              <w:left w:val="nil"/>
              <w:bottom w:val="single" w:sz="4" w:space="0" w:color="BFBFBF"/>
              <w:right w:val="double" w:sz="4" w:space="0" w:color="000000" w:themeColor="text1"/>
            </w:tcBorders>
            <w:shd w:val="clear" w:color="auto" w:fill="auto"/>
            <w:noWrap/>
            <w:vAlign w:val="center"/>
          </w:tcPr>
          <w:p w14:paraId="7004DE51"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580</w:t>
            </w:r>
          </w:p>
        </w:tc>
      </w:tr>
      <w:tr w:rsidR="004D177A" w:rsidRPr="00125162" w14:paraId="29AD0E7B"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8D57DD4"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2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1490BFB"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675" w:type="dxa"/>
            <w:tcBorders>
              <w:top w:val="nil"/>
              <w:left w:val="nil"/>
              <w:bottom w:val="single" w:sz="4" w:space="0" w:color="BFBFBF"/>
              <w:right w:val="single" w:sz="4" w:space="0" w:color="auto"/>
            </w:tcBorders>
            <w:shd w:val="clear" w:color="auto" w:fill="auto"/>
            <w:noWrap/>
            <w:vAlign w:val="center"/>
          </w:tcPr>
          <w:p w14:paraId="3A5D471E"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16" w:type="dxa"/>
            <w:tcBorders>
              <w:top w:val="nil"/>
              <w:left w:val="nil"/>
              <w:bottom w:val="single" w:sz="4" w:space="0" w:color="BFBFBF"/>
              <w:right w:val="single" w:sz="4" w:space="0" w:color="BFBFBF"/>
            </w:tcBorders>
            <w:shd w:val="clear" w:color="auto" w:fill="auto"/>
            <w:noWrap/>
            <w:vAlign w:val="center"/>
          </w:tcPr>
          <w:p w14:paraId="277E26D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2DA3B60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85</w:t>
            </w:r>
          </w:p>
        </w:tc>
        <w:tc>
          <w:tcPr>
            <w:tcW w:w="846" w:type="dxa"/>
            <w:tcBorders>
              <w:top w:val="nil"/>
              <w:left w:val="nil"/>
              <w:bottom w:val="single" w:sz="4" w:space="0" w:color="BFBFBF"/>
              <w:right w:val="single" w:sz="4" w:space="0" w:color="BFBFBF"/>
            </w:tcBorders>
            <w:shd w:val="clear" w:color="auto" w:fill="auto"/>
            <w:noWrap/>
            <w:vAlign w:val="bottom"/>
          </w:tcPr>
          <w:p w14:paraId="7C8B1AC8"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nil"/>
            </w:tcBorders>
            <w:shd w:val="clear" w:color="auto" w:fill="auto"/>
            <w:noWrap/>
            <w:vAlign w:val="center"/>
          </w:tcPr>
          <w:p w14:paraId="7F8F6E9A"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3C93053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6F3B6E16"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136</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5FB25CC"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single" w:sz="4" w:space="0" w:color="auto"/>
            </w:tcBorders>
            <w:shd w:val="clear" w:color="auto" w:fill="auto"/>
            <w:noWrap/>
            <w:vAlign w:val="center"/>
          </w:tcPr>
          <w:p w14:paraId="1EE5DADA"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826" w:type="dxa"/>
            <w:tcBorders>
              <w:top w:val="nil"/>
              <w:left w:val="nil"/>
              <w:bottom w:val="single" w:sz="4" w:space="0" w:color="BFBFBF"/>
              <w:right w:val="single" w:sz="4" w:space="0" w:color="BFBFBF"/>
            </w:tcBorders>
            <w:shd w:val="clear" w:color="auto" w:fill="auto"/>
            <w:noWrap/>
            <w:vAlign w:val="center"/>
          </w:tcPr>
          <w:p w14:paraId="7309AB91"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nil"/>
              <w:left w:val="nil"/>
              <w:bottom w:val="single" w:sz="4" w:space="0" w:color="BFBFBF"/>
              <w:right w:val="double" w:sz="4" w:space="0" w:color="000000" w:themeColor="text1"/>
            </w:tcBorders>
            <w:shd w:val="clear" w:color="auto" w:fill="auto"/>
            <w:noWrap/>
            <w:vAlign w:val="center"/>
          </w:tcPr>
          <w:p w14:paraId="5507D9BA"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158</w:t>
            </w:r>
          </w:p>
        </w:tc>
        <w:tc>
          <w:tcPr>
            <w:tcW w:w="808" w:type="dxa"/>
            <w:tcBorders>
              <w:top w:val="single" w:sz="4" w:space="0" w:color="BFBFBF"/>
              <w:left w:val="double" w:sz="4" w:space="0" w:color="000000" w:themeColor="text1"/>
              <w:bottom w:val="single" w:sz="4" w:space="0" w:color="BFBFBF"/>
              <w:right w:val="single" w:sz="4" w:space="0" w:color="BFBFBF"/>
            </w:tcBorders>
            <w:shd w:val="clear" w:color="auto" w:fill="auto"/>
            <w:noWrap/>
            <w:vAlign w:val="center"/>
          </w:tcPr>
          <w:p w14:paraId="29389EBF" w14:textId="0037B139"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454</w:t>
            </w:r>
          </w:p>
        </w:tc>
        <w:tc>
          <w:tcPr>
            <w:tcW w:w="808" w:type="dxa"/>
            <w:tcBorders>
              <w:top w:val="single" w:sz="4" w:space="0" w:color="BFBFBF"/>
              <w:left w:val="nil"/>
              <w:bottom w:val="single" w:sz="4" w:space="0" w:color="BFBFBF"/>
              <w:right w:val="double" w:sz="4" w:space="0" w:color="000000" w:themeColor="text1"/>
            </w:tcBorders>
            <w:shd w:val="clear" w:color="auto" w:fill="auto"/>
            <w:noWrap/>
            <w:vAlign w:val="center"/>
          </w:tcPr>
          <w:p w14:paraId="7C2EC79F"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816</w:t>
            </w:r>
          </w:p>
        </w:tc>
      </w:tr>
      <w:tr w:rsidR="004D177A" w:rsidRPr="00125162" w14:paraId="48CB3BD0"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F1157ED"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3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76717BC"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675" w:type="dxa"/>
            <w:tcBorders>
              <w:top w:val="nil"/>
              <w:left w:val="nil"/>
              <w:bottom w:val="single" w:sz="4" w:space="0" w:color="BFBFBF"/>
              <w:right w:val="single" w:sz="4" w:space="0" w:color="auto"/>
            </w:tcBorders>
            <w:shd w:val="clear" w:color="auto" w:fill="auto"/>
            <w:noWrap/>
            <w:vAlign w:val="center"/>
          </w:tcPr>
          <w:p w14:paraId="19064BDC"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32</w:t>
            </w:r>
          </w:p>
        </w:tc>
        <w:tc>
          <w:tcPr>
            <w:tcW w:w="816" w:type="dxa"/>
            <w:tcBorders>
              <w:top w:val="nil"/>
              <w:left w:val="nil"/>
              <w:bottom w:val="single" w:sz="4" w:space="0" w:color="BFBFBF"/>
              <w:right w:val="single" w:sz="4" w:space="0" w:color="BFBFBF"/>
            </w:tcBorders>
            <w:shd w:val="clear" w:color="auto" w:fill="auto"/>
            <w:noWrap/>
            <w:vAlign w:val="center"/>
          </w:tcPr>
          <w:p w14:paraId="2198F21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038D2F6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846" w:type="dxa"/>
            <w:tcBorders>
              <w:top w:val="nil"/>
              <w:left w:val="nil"/>
              <w:bottom w:val="single" w:sz="4" w:space="0" w:color="BFBFBF"/>
              <w:right w:val="single" w:sz="4" w:space="0" w:color="BFBFBF"/>
            </w:tcBorders>
            <w:shd w:val="clear" w:color="auto" w:fill="auto"/>
            <w:noWrap/>
            <w:vAlign w:val="bottom"/>
          </w:tcPr>
          <w:p w14:paraId="5A607FB2"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675" w:type="dxa"/>
            <w:tcBorders>
              <w:top w:val="nil"/>
              <w:left w:val="nil"/>
              <w:bottom w:val="single" w:sz="4" w:space="0" w:color="BFBFBF"/>
              <w:right w:val="nil"/>
            </w:tcBorders>
            <w:shd w:val="clear" w:color="auto" w:fill="auto"/>
            <w:noWrap/>
            <w:vAlign w:val="center"/>
          </w:tcPr>
          <w:p w14:paraId="430FC47A"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83</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4EF15CFA"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1C88C8CD"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71</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68C1C1E"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675" w:type="dxa"/>
            <w:tcBorders>
              <w:top w:val="nil"/>
              <w:left w:val="nil"/>
              <w:bottom w:val="single" w:sz="4" w:space="0" w:color="BFBFBF"/>
              <w:right w:val="single" w:sz="4" w:space="0" w:color="auto"/>
            </w:tcBorders>
            <w:shd w:val="clear" w:color="auto" w:fill="auto"/>
            <w:noWrap/>
            <w:vAlign w:val="center"/>
          </w:tcPr>
          <w:p w14:paraId="081F74DB"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83</w:t>
            </w:r>
          </w:p>
        </w:tc>
        <w:tc>
          <w:tcPr>
            <w:tcW w:w="826" w:type="dxa"/>
            <w:tcBorders>
              <w:top w:val="nil"/>
              <w:left w:val="nil"/>
              <w:bottom w:val="single" w:sz="4" w:space="0" w:color="BFBFBF"/>
              <w:right w:val="single" w:sz="4" w:space="0" w:color="BFBFBF"/>
            </w:tcBorders>
            <w:shd w:val="clear" w:color="auto" w:fill="auto"/>
            <w:noWrap/>
            <w:vAlign w:val="center"/>
          </w:tcPr>
          <w:p w14:paraId="39D2B3C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63469D72"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155</w:t>
            </w:r>
          </w:p>
        </w:tc>
        <w:tc>
          <w:tcPr>
            <w:tcW w:w="808" w:type="dxa"/>
            <w:tcBorders>
              <w:top w:val="single" w:sz="4" w:space="0" w:color="BFBFBF"/>
              <w:left w:val="double" w:sz="4" w:space="0" w:color="000000" w:themeColor="text1"/>
              <w:bottom w:val="single" w:sz="4" w:space="0" w:color="BFBFBF"/>
              <w:right w:val="single" w:sz="4" w:space="0" w:color="BFBFBF"/>
            </w:tcBorders>
            <w:shd w:val="clear" w:color="auto" w:fill="auto"/>
            <w:noWrap/>
            <w:vAlign w:val="center"/>
          </w:tcPr>
          <w:p w14:paraId="2713104F" w14:textId="73968603"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500</w:t>
            </w:r>
          </w:p>
        </w:tc>
        <w:tc>
          <w:tcPr>
            <w:tcW w:w="808" w:type="dxa"/>
            <w:tcBorders>
              <w:top w:val="single" w:sz="4" w:space="0" w:color="BFBFBF"/>
              <w:left w:val="nil"/>
              <w:bottom w:val="single" w:sz="4" w:space="0" w:color="BFBFBF"/>
              <w:right w:val="double" w:sz="4" w:space="0" w:color="000000" w:themeColor="text1"/>
            </w:tcBorders>
            <w:shd w:val="clear" w:color="auto" w:fill="auto"/>
            <w:noWrap/>
            <w:vAlign w:val="center"/>
          </w:tcPr>
          <w:p w14:paraId="21655DC6"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904</w:t>
            </w:r>
          </w:p>
        </w:tc>
      </w:tr>
      <w:tr w:rsidR="004D177A" w:rsidRPr="00125162" w14:paraId="07343F15"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7C26DF5"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4 or more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9013036"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675" w:type="dxa"/>
            <w:tcBorders>
              <w:top w:val="nil"/>
              <w:left w:val="nil"/>
              <w:bottom w:val="single" w:sz="4" w:space="0" w:color="BFBFBF"/>
              <w:right w:val="single" w:sz="4" w:space="0" w:color="auto"/>
            </w:tcBorders>
            <w:shd w:val="clear" w:color="auto" w:fill="auto"/>
            <w:noWrap/>
            <w:vAlign w:val="center"/>
          </w:tcPr>
          <w:p w14:paraId="7DA36A25"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35</w:t>
            </w:r>
          </w:p>
        </w:tc>
        <w:tc>
          <w:tcPr>
            <w:tcW w:w="816" w:type="dxa"/>
            <w:tcBorders>
              <w:top w:val="nil"/>
              <w:left w:val="nil"/>
              <w:bottom w:val="single" w:sz="4" w:space="0" w:color="BFBFBF"/>
              <w:right w:val="single" w:sz="4" w:space="0" w:color="BFBFBF"/>
            </w:tcBorders>
            <w:shd w:val="clear" w:color="auto" w:fill="auto"/>
            <w:noWrap/>
            <w:vAlign w:val="center"/>
          </w:tcPr>
          <w:p w14:paraId="012C082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11426E3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101</w:t>
            </w:r>
          </w:p>
        </w:tc>
        <w:tc>
          <w:tcPr>
            <w:tcW w:w="846" w:type="dxa"/>
            <w:tcBorders>
              <w:top w:val="nil"/>
              <w:left w:val="nil"/>
              <w:bottom w:val="single" w:sz="4" w:space="0" w:color="BFBFBF"/>
              <w:right w:val="single" w:sz="4" w:space="0" w:color="BFBFBF"/>
            </w:tcBorders>
            <w:shd w:val="clear" w:color="auto" w:fill="auto"/>
            <w:noWrap/>
            <w:vAlign w:val="bottom"/>
          </w:tcPr>
          <w:p w14:paraId="3C8AA226"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675" w:type="dxa"/>
            <w:tcBorders>
              <w:top w:val="nil"/>
              <w:left w:val="nil"/>
              <w:bottom w:val="single" w:sz="4" w:space="0" w:color="BFBFBF"/>
              <w:right w:val="nil"/>
            </w:tcBorders>
            <w:shd w:val="clear" w:color="auto" w:fill="auto"/>
            <w:noWrap/>
            <w:vAlign w:val="center"/>
          </w:tcPr>
          <w:p w14:paraId="2D7B684E"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70</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725D480F"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7FA24B7A"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-536</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036740B"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675" w:type="dxa"/>
            <w:tcBorders>
              <w:top w:val="nil"/>
              <w:left w:val="nil"/>
              <w:bottom w:val="single" w:sz="4" w:space="0" w:color="BFBFBF"/>
              <w:right w:val="single" w:sz="4" w:space="0" w:color="auto"/>
            </w:tcBorders>
            <w:shd w:val="clear" w:color="auto" w:fill="auto"/>
            <w:noWrap/>
            <w:vAlign w:val="center"/>
          </w:tcPr>
          <w:p w14:paraId="140E930E"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70</w:t>
            </w:r>
          </w:p>
        </w:tc>
        <w:tc>
          <w:tcPr>
            <w:tcW w:w="826" w:type="dxa"/>
            <w:tcBorders>
              <w:top w:val="nil"/>
              <w:left w:val="nil"/>
              <w:bottom w:val="single" w:sz="4" w:space="0" w:color="BFBFBF"/>
              <w:right w:val="single" w:sz="4" w:space="0" w:color="BFBFBF"/>
            </w:tcBorders>
            <w:shd w:val="clear" w:color="auto" w:fill="auto"/>
            <w:noWrap/>
            <w:vAlign w:val="center"/>
          </w:tcPr>
          <w:p w14:paraId="0E2C3763"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double" w:sz="4" w:space="0" w:color="000000" w:themeColor="text1"/>
            </w:tcBorders>
            <w:shd w:val="clear" w:color="auto" w:fill="auto"/>
            <w:noWrap/>
            <w:vAlign w:val="center"/>
          </w:tcPr>
          <w:p w14:paraId="51558663"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146</w:t>
            </w:r>
          </w:p>
        </w:tc>
        <w:tc>
          <w:tcPr>
            <w:tcW w:w="808" w:type="dxa"/>
            <w:tcBorders>
              <w:top w:val="single" w:sz="4" w:space="0" w:color="BFBFBF"/>
              <w:left w:val="double" w:sz="4" w:space="0" w:color="000000" w:themeColor="text1"/>
              <w:bottom w:val="single" w:sz="4" w:space="0" w:color="BFBFBF"/>
              <w:right w:val="single" w:sz="4" w:space="0" w:color="BFBFBF"/>
            </w:tcBorders>
            <w:shd w:val="clear" w:color="auto" w:fill="auto"/>
            <w:noWrap/>
            <w:vAlign w:val="center"/>
          </w:tcPr>
          <w:p w14:paraId="5911715C" w14:textId="70A004AB"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760</w:t>
            </w:r>
          </w:p>
        </w:tc>
        <w:tc>
          <w:tcPr>
            <w:tcW w:w="808" w:type="dxa"/>
            <w:tcBorders>
              <w:top w:val="single" w:sz="4" w:space="0" w:color="BFBFBF"/>
              <w:left w:val="nil"/>
              <w:bottom w:val="single" w:sz="4" w:space="0" w:color="BFBFBF"/>
              <w:right w:val="double" w:sz="4" w:space="0" w:color="000000" w:themeColor="text1"/>
            </w:tcBorders>
            <w:shd w:val="clear" w:color="auto" w:fill="auto"/>
            <w:noWrap/>
            <w:vAlign w:val="center"/>
          </w:tcPr>
          <w:p w14:paraId="0D36B7C2" w14:textId="1A16D1B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1</w:t>
            </w:r>
            <w:r>
              <w:rPr>
                <w:rFonts w:ascii="Arial" w:hAnsi="Arial" w:cs="Arial"/>
                <w:color w:val="000000"/>
                <w:sz w:val="16"/>
                <w:szCs w:val="16"/>
                <w:lang w:val="en-AU" w:eastAsia="en-AU"/>
              </w:rPr>
              <w:t>,</w:t>
            </w:r>
            <w:r w:rsidRPr="00B70236">
              <w:rPr>
                <w:rFonts w:ascii="Arial" w:hAnsi="Arial" w:cs="Arial"/>
                <w:color w:val="000000"/>
                <w:sz w:val="16"/>
                <w:szCs w:val="16"/>
                <w:lang w:val="en-AU" w:eastAsia="en-AU"/>
              </w:rPr>
              <w:t>411</w:t>
            </w:r>
          </w:p>
        </w:tc>
      </w:tr>
      <w:tr w:rsidR="004D177A" w:rsidRPr="00125162" w14:paraId="727E34DD"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7A64C58B" w14:textId="77777777" w:rsidR="004D177A" w:rsidRPr="00125162" w:rsidRDefault="004D177A"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Housing Status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6FB5930"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73994B4B"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16" w:type="dxa"/>
            <w:tcBorders>
              <w:top w:val="nil"/>
              <w:left w:val="nil"/>
              <w:bottom w:val="single" w:sz="4" w:space="0" w:color="BFBFBF"/>
              <w:right w:val="single" w:sz="4" w:space="0" w:color="BFBFBF"/>
            </w:tcBorders>
            <w:shd w:val="clear" w:color="auto" w:fill="auto"/>
            <w:noWrap/>
            <w:vAlign w:val="center"/>
          </w:tcPr>
          <w:p w14:paraId="5AEA79AD"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single" w:sz="4" w:space="0" w:color="auto"/>
            </w:tcBorders>
            <w:shd w:val="clear" w:color="auto" w:fill="auto"/>
            <w:noWrap/>
            <w:vAlign w:val="center"/>
          </w:tcPr>
          <w:p w14:paraId="704ABE62"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46" w:type="dxa"/>
            <w:tcBorders>
              <w:top w:val="nil"/>
              <w:left w:val="nil"/>
              <w:bottom w:val="single" w:sz="4" w:space="0" w:color="BFBFBF"/>
              <w:right w:val="single" w:sz="4" w:space="0" w:color="BFBFBF"/>
            </w:tcBorders>
            <w:shd w:val="clear" w:color="auto" w:fill="auto"/>
            <w:noWrap/>
            <w:vAlign w:val="bottom"/>
          </w:tcPr>
          <w:p w14:paraId="7E769BF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2749BE47"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53156D27"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nil"/>
            </w:tcBorders>
            <w:shd w:val="clear" w:color="auto" w:fill="auto"/>
            <w:noWrap/>
            <w:vAlign w:val="center"/>
          </w:tcPr>
          <w:p w14:paraId="78095651"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94169DF"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7D876101"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top w:val="nil"/>
              <w:left w:val="nil"/>
              <w:bottom w:val="single" w:sz="4" w:space="0" w:color="BFBFBF"/>
              <w:right w:val="single" w:sz="4" w:space="0" w:color="BFBFBF"/>
            </w:tcBorders>
            <w:shd w:val="clear" w:color="auto" w:fill="auto"/>
            <w:noWrap/>
            <w:vAlign w:val="center"/>
          </w:tcPr>
          <w:p w14:paraId="4DA17121"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double" w:sz="4" w:space="0" w:color="000000" w:themeColor="text1"/>
            </w:tcBorders>
            <w:shd w:val="clear" w:color="auto" w:fill="auto"/>
            <w:noWrap/>
            <w:vAlign w:val="center"/>
          </w:tcPr>
          <w:p w14:paraId="457DCBF1" w14:textId="77777777" w:rsidR="004D177A" w:rsidRPr="00125162" w:rsidRDefault="004D177A" w:rsidP="009E6A8A">
            <w:pPr>
              <w:spacing w:before="0" w:after="0"/>
              <w:jc w:val="center"/>
              <w:rPr>
                <w:rFonts w:ascii="Arial" w:hAnsi="Arial" w:cs="Arial"/>
                <w:color w:val="000000"/>
                <w:sz w:val="16"/>
                <w:szCs w:val="16"/>
                <w:lang w:val="en-AU" w:eastAsia="en-AU"/>
              </w:rPr>
            </w:pPr>
          </w:p>
        </w:tc>
        <w:tc>
          <w:tcPr>
            <w:tcW w:w="808" w:type="dxa"/>
            <w:tcBorders>
              <w:top w:val="single" w:sz="4" w:space="0" w:color="BFBFBF"/>
              <w:left w:val="double" w:sz="4" w:space="0" w:color="000000" w:themeColor="text1"/>
              <w:bottom w:val="single" w:sz="4" w:space="0" w:color="BFBFBF"/>
              <w:right w:val="single" w:sz="4" w:space="0" w:color="BFBFBF"/>
            </w:tcBorders>
            <w:shd w:val="clear" w:color="auto" w:fill="auto"/>
            <w:noWrap/>
            <w:vAlign w:val="center"/>
          </w:tcPr>
          <w:p w14:paraId="0605A4EF" w14:textId="77245727"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single" w:sz="4" w:space="0" w:color="BFBFBF"/>
              <w:left w:val="nil"/>
              <w:bottom w:val="single" w:sz="4" w:space="0" w:color="BFBFBF"/>
              <w:right w:val="double" w:sz="4" w:space="0" w:color="000000" w:themeColor="text1"/>
            </w:tcBorders>
            <w:shd w:val="clear" w:color="auto" w:fill="auto"/>
            <w:noWrap/>
            <w:vAlign w:val="center"/>
          </w:tcPr>
          <w:p w14:paraId="21952A23"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 </w:t>
            </w:r>
          </w:p>
        </w:tc>
      </w:tr>
      <w:tr w:rsidR="004D177A" w:rsidRPr="00125162" w14:paraId="590B4C5B"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EBEEC4E"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Owned/paid off</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D7C6D70"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197F3A55"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816" w:type="dxa"/>
            <w:tcBorders>
              <w:top w:val="nil"/>
              <w:left w:val="nil"/>
              <w:bottom w:val="single" w:sz="4" w:space="0" w:color="BFBFBF"/>
              <w:right w:val="single" w:sz="4" w:space="0" w:color="BFBFBF"/>
            </w:tcBorders>
            <w:shd w:val="clear" w:color="auto" w:fill="auto"/>
            <w:noWrap/>
            <w:vAlign w:val="center"/>
          </w:tcPr>
          <w:p w14:paraId="40ED7DC9"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auto"/>
            </w:tcBorders>
            <w:shd w:val="clear" w:color="auto" w:fill="auto"/>
            <w:noWrap/>
            <w:vAlign w:val="center"/>
          </w:tcPr>
          <w:p w14:paraId="71FF569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46" w:type="dxa"/>
            <w:tcBorders>
              <w:top w:val="nil"/>
              <w:left w:val="nil"/>
              <w:bottom w:val="single" w:sz="4" w:space="0" w:color="BFBFBF"/>
              <w:right w:val="single" w:sz="4" w:space="0" w:color="BFBFBF"/>
            </w:tcBorders>
            <w:shd w:val="clear" w:color="auto" w:fill="auto"/>
            <w:noWrap/>
            <w:vAlign w:val="bottom"/>
          </w:tcPr>
          <w:p w14:paraId="6BAAD9FE"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675" w:type="dxa"/>
            <w:tcBorders>
              <w:top w:val="nil"/>
              <w:left w:val="nil"/>
              <w:bottom w:val="single" w:sz="4" w:space="0" w:color="BFBFBF"/>
              <w:right w:val="nil"/>
            </w:tcBorders>
            <w:shd w:val="clear" w:color="auto" w:fill="auto"/>
            <w:noWrap/>
            <w:vAlign w:val="center"/>
          </w:tcPr>
          <w:p w14:paraId="1479C30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1E3B068F"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597765D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67</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48A539A"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675" w:type="dxa"/>
            <w:tcBorders>
              <w:top w:val="nil"/>
              <w:left w:val="nil"/>
              <w:bottom w:val="single" w:sz="4" w:space="0" w:color="BFBFBF"/>
              <w:right w:val="single" w:sz="4" w:space="0" w:color="auto"/>
            </w:tcBorders>
            <w:shd w:val="clear" w:color="auto" w:fill="auto"/>
            <w:noWrap/>
            <w:vAlign w:val="center"/>
          </w:tcPr>
          <w:p w14:paraId="59B60FC3"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826" w:type="dxa"/>
            <w:tcBorders>
              <w:top w:val="nil"/>
              <w:left w:val="nil"/>
              <w:bottom w:val="single" w:sz="4" w:space="0" w:color="BFBFBF"/>
              <w:right w:val="single" w:sz="4" w:space="0" w:color="BFBFBF"/>
            </w:tcBorders>
            <w:shd w:val="clear" w:color="auto" w:fill="auto"/>
            <w:noWrap/>
            <w:vAlign w:val="center"/>
          </w:tcPr>
          <w:p w14:paraId="38879D5B"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45AC8D0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155</w:t>
            </w:r>
          </w:p>
        </w:tc>
        <w:tc>
          <w:tcPr>
            <w:tcW w:w="808" w:type="dxa"/>
            <w:tcBorders>
              <w:top w:val="single" w:sz="4" w:space="0" w:color="BFBFBF"/>
              <w:left w:val="double" w:sz="4" w:space="0" w:color="000000" w:themeColor="text1"/>
              <w:bottom w:val="single" w:sz="4" w:space="0" w:color="BFBFBF"/>
              <w:right w:val="single" w:sz="4" w:space="0" w:color="BFBFBF"/>
            </w:tcBorders>
            <w:shd w:val="clear" w:color="auto" w:fill="auto"/>
            <w:noWrap/>
            <w:vAlign w:val="center"/>
          </w:tcPr>
          <w:p w14:paraId="07AAADF2" w14:textId="45E00BC8"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430</w:t>
            </w:r>
          </w:p>
        </w:tc>
        <w:tc>
          <w:tcPr>
            <w:tcW w:w="808" w:type="dxa"/>
            <w:tcBorders>
              <w:top w:val="single" w:sz="4" w:space="0" w:color="BFBFBF"/>
              <w:left w:val="nil"/>
              <w:bottom w:val="single" w:sz="4" w:space="0" w:color="BFBFBF"/>
              <w:right w:val="double" w:sz="4" w:space="0" w:color="000000" w:themeColor="text1"/>
            </w:tcBorders>
            <w:shd w:val="clear" w:color="auto" w:fill="auto"/>
            <w:noWrap/>
            <w:vAlign w:val="center"/>
          </w:tcPr>
          <w:p w14:paraId="39DFC813"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851</w:t>
            </w:r>
          </w:p>
        </w:tc>
      </w:tr>
      <w:tr w:rsidR="004D177A" w:rsidRPr="00125162" w14:paraId="0538D0C5"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217D1587"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Buying/paying off</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6AFA70C"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675" w:type="dxa"/>
            <w:tcBorders>
              <w:top w:val="nil"/>
              <w:left w:val="nil"/>
              <w:bottom w:val="single" w:sz="4" w:space="0" w:color="BFBFBF"/>
              <w:right w:val="single" w:sz="4" w:space="0" w:color="auto"/>
            </w:tcBorders>
            <w:shd w:val="clear" w:color="auto" w:fill="auto"/>
            <w:noWrap/>
            <w:vAlign w:val="center"/>
          </w:tcPr>
          <w:p w14:paraId="2BA84A62"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816" w:type="dxa"/>
            <w:tcBorders>
              <w:top w:val="nil"/>
              <w:left w:val="nil"/>
              <w:bottom w:val="single" w:sz="4" w:space="0" w:color="BFBFBF"/>
              <w:right w:val="single" w:sz="4" w:space="0" w:color="BFBFBF"/>
            </w:tcBorders>
            <w:shd w:val="clear" w:color="auto" w:fill="auto"/>
            <w:noWrap/>
            <w:vAlign w:val="center"/>
          </w:tcPr>
          <w:p w14:paraId="723A4EF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41F450DE"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97</w:t>
            </w:r>
          </w:p>
        </w:tc>
        <w:tc>
          <w:tcPr>
            <w:tcW w:w="846" w:type="dxa"/>
            <w:tcBorders>
              <w:top w:val="nil"/>
              <w:left w:val="nil"/>
              <w:bottom w:val="single" w:sz="4" w:space="0" w:color="BFBFBF"/>
              <w:right w:val="single" w:sz="4" w:space="0" w:color="BFBFBF"/>
            </w:tcBorders>
            <w:shd w:val="clear" w:color="auto" w:fill="auto"/>
            <w:noWrap/>
            <w:vAlign w:val="bottom"/>
          </w:tcPr>
          <w:p w14:paraId="54CF274B"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nil"/>
            </w:tcBorders>
            <w:shd w:val="clear" w:color="auto" w:fill="auto"/>
            <w:noWrap/>
            <w:vAlign w:val="center"/>
          </w:tcPr>
          <w:p w14:paraId="2A234F80"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68</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27ADA08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4AF3B893"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-562</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2FCCA54"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single" w:sz="4" w:space="0" w:color="auto"/>
            </w:tcBorders>
            <w:shd w:val="clear" w:color="auto" w:fill="auto"/>
            <w:noWrap/>
            <w:vAlign w:val="center"/>
          </w:tcPr>
          <w:p w14:paraId="36EAB3B6"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68</w:t>
            </w:r>
          </w:p>
        </w:tc>
        <w:tc>
          <w:tcPr>
            <w:tcW w:w="826" w:type="dxa"/>
            <w:tcBorders>
              <w:top w:val="nil"/>
              <w:left w:val="nil"/>
              <w:bottom w:val="single" w:sz="4" w:space="0" w:color="BFBFBF"/>
              <w:right w:val="single" w:sz="4" w:space="0" w:color="BFBFBF"/>
            </w:tcBorders>
            <w:shd w:val="clear" w:color="auto" w:fill="auto"/>
            <w:noWrap/>
            <w:vAlign w:val="center"/>
          </w:tcPr>
          <w:p w14:paraId="64FD13A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5BE6CF0B"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146</w:t>
            </w:r>
          </w:p>
        </w:tc>
        <w:tc>
          <w:tcPr>
            <w:tcW w:w="808" w:type="dxa"/>
            <w:tcBorders>
              <w:top w:val="single" w:sz="4" w:space="0" w:color="BFBFBF"/>
              <w:left w:val="double" w:sz="4" w:space="0" w:color="000000" w:themeColor="text1"/>
              <w:bottom w:val="single" w:sz="4" w:space="0" w:color="BFBFBF"/>
              <w:right w:val="single" w:sz="4" w:space="0" w:color="BFBFBF"/>
            </w:tcBorders>
            <w:shd w:val="clear" w:color="auto" w:fill="auto"/>
            <w:noWrap/>
            <w:vAlign w:val="center"/>
          </w:tcPr>
          <w:p w14:paraId="40A1C4BE" w14:textId="3F30D4A5"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575</w:t>
            </w:r>
          </w:p>
        </w:tc>
        <w:tc>
          <w:tcPr>
            <w:tcW w:w="808" w:type="dxa"/>
            <w:tcBorders>
              <w:top w:val="single" w:sz="4" w:space="0" w:color="BFBFBF"/>
              <w:left w:val="nil"/>
              <w:bottom w:val="single" w:sz="4" w:space="0" w:color="BFBFBF"/>
              <w:right w:val="double" w:sz="4" w:space="0" w:color="000000" w:themeColor="text1"/>
            </w:tcBorders>
            <w:shd w:val="clear" w:color="auto" w:fill="auto"/>
            <w:noWrap/>
            <w:vAlign w:val="center"/>
          </w:tcPr>
          <w:p w14:paraId="19058E82" w14:textId="7878223C"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1</w:t>
            </w:r>
            <w:r>
              <w:rPr>
                <w:rFonts w:ascii="Arial" w:hAnsi="Arial" w:cs="Arial"/>
                <w:color w:val="000000"/>
                <w:sz w:val="16"/>
                <w:szCs w:val="16"/>
                <w:lang w:val="en-AU" w:eastAsia="en-AU"/>
              </w:rPr>
              <w:t>,</w:t>
            </w:r>
            <w:r w:rsidRPr="00B70236">
              <w:rPr>
                <w:rFonts w:ascii="Arial" w:hAnsi="Arial" w:cs="Arial"/>
                <w:color w:val="000000"/>
                <w:sz w:val="16"/>
                <w:szCs w:val="16"/>
                <w:lang w:val="en-AU" w:eastAsia="en-AU"/>
              </w:rPr>
              <w:t>250</w:t>
            </w:r>
          </w:p>
        </w:tc>
      </w:tr>
      <w:tr w:rsidR="004D177A" w:rsidRPr="00125162" w14:paraId="1C4863E0"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FADCA3D"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Private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9347A98"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single" w:sz="4" w:space="0" w:color="auto"/>
            </w:tcBorders>
            <w:shd w:val="clear" w:color="auto" w:fill="auto"/>
            <w:noWrap/>
            <w:vAlign w:val="center"/>
          </w:tcPr>
          <w:p w14:paraId="6D5023E9"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w:t>
            </w:r>
          </w:p>
        </w:tc>
        <w:tc>
          <w:tcPr>
            <w:tcW w:w="816" w:type="dxa"/>
            <w:tcBorders>
              <w:top w:val="nil"/>
              <w:left w:val="nil"/>
              <w:bottom w:val="single" w:sz="4" w:space="0" w:color="BFBFBF"/>
              <w:right w:val="single" w:sz="4" w:space="0" w:color="BFBFBF"/>
            </w:tcBorders>
            <w:shd w:val="clear" w:color="auto" w:fill="auto"/>
            <w:noWrap/>
            <w:vAlign w:val="center"/>
          </w:tcPr>
          <w:p w14:paraId="367E83E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2E96074F"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w:t>
            </w:r>
          </w:p>
        </w:tc>
        <w:tc>
          <w:tcPr>
            <w:tcW w:w="846" w:type="dxa"/>
            <w:tcBorders>
              <w:top w:val="nil"/>
              <w:left w:val="nil"/>
              <w:bottom w:val="single" w:sz="4" w:space="0" w:color="BFBFBF"/>
              <w:right w:val="single" w:sz="4" w:space="0" w:color="BFBFBF"/>
            </w:tcBorders>
            <w:shd w:val="clear" w:color="auto" w:fill="auto"/>
            <w:noWrap/>
            <w:vAlign w:val="bottom"/>
          </w:tcPr>
          <w:p w14:paraId="4CA340DC"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nil"/>
            </w:tcBorders>
            <w:shd w:val="clear" w:color="auto" w:fill="auto"/>
            <w:noWrap/>
            <w:vAlign w:val="center"/>
          </w:tcPr>
          <w:p w14:paraId="2DFC05A0"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38708C7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w:t>
            </w:r>
          </w:p>
        </w:tc>
        <w:tc>
          <w:tcPr>
            <w:tcW w:w="586" w:type="dxa"/>
            <w:tcBorders>
              <w:top w:val="nil"/>
              <w:left w:val="nil"/>
              <w:bottom w:val="single" w:sz="4" w:space="0" w:color="BFBFBF"/>
              <w:right w:val="nil"/>
            </w:tcBorders>
            <w:shd w:val="clear" w:color="auto" w:fill="auto"/>
            <w:noWrap/>
            <w:vAlign w:val="center"/>
          </w:tcPr>
          <w:p w14:paraId="50C973B1"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132</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B682B8F"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single" w:sz="4" w:space="0" w:color="auto"/>
            </w:tcBorders>
            <w:shd w:val="clear" w:color="auto" w:fill="auto"/>
            <w:noWrap/>
            <w:vAlign w:val="center"/>
          </w:tcPr>
          <w:p w14:paraId="465BFA1F"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826" w:type="dxa"/>
            <w:tcBorders>
              <w:top w:val="nil"/>
              <w:left w:val="nil"/>
              <w:bottom w:val="single" w:sz="4" w:space="0" w:color="BFBFBF"/>
              <w:right w:val="single" w:sz="4" w:space="0" w:color="BFBFBF"/>
            </w:tcBorders>
            <w:shd w:val="clear" w:color="auto" w:fill="auto"/>
            <w:noWrap/>
            <w:vAlign w:val="center"/>
          </w:tcPr>
          <w:p w14:paraId="519743B0"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330C9B4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167</w:t>
            </w:r>
          </w:p>
        </w:tc>
        <w:tc>
          <w:tcPr>
            <w:tcW w:w="808" w:type="dxa"/>
            <w:tcBorders>
              <w:top w:val="single" w:sz="4" w:space="0" w:color="BFBFBF"/>
              <w:left w:val="double" w:sz="4" w:space="0" w:color="000000" w:themeColor="text1"/>
              <w:bottom w:val="single" w:sz="4" w:space="0" w:color="BFBFBF"/>
              <w:right w:val="single" w:sz="4" w:space="0" w:color="BFBFBF"/>
            </w:tcBorders>
            <w:shd w:val="clear" w:color="auto" w:fill="auto"/>
            <w:noWrap/>
            <w:vAlign w:val="center"/>
          </w:tcPr>
          <w:p w14:paraId="05AD61DD" w14:textId="4F5A8160"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372</w:t>
            </w:r>
          </w:p>
        </w:tc>
        <w:tc>
          <w:tcPr>
            <w:tcW w:w="808" w:type="dxa"/>
            <w:tcBorders>
              <w:top w:val="single" w:sz="4" w:space="0" w:color="BFBFBF"/>
              <w:left w:val="nil"/>
              <w:bottom w:val="single" w:sz="4" w:space="0" w:color="BFBFBF"/>
              <w:right w:val="double" w:sz="4" w:space="0" w:color="000000" w:themeColor="text1"/>
            </w:tcBorders>
            <w:shd w:val="clear" w:color="auto" w:fill="auto"/>
            <w:noWrap/>
            <w:vAlign w:val="center"/>
          </w:tcPr>
          <w:p w14:paraId="67900CD0"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799</w:t>
            </w:r>
          </w:p>
        </w:tc>
      </w:tr>
      <w:tr w:rsidR="004D177A" w:rsidRPr="00125162" w14:paraId="2560AC7F" w14:textId="77777777" w:rsidTr="009771F8">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202C59D3" w14:textId="77777777" w:rsidR="004D177A" w:rsidRPr="00125162" w:rsidRDefault="004D177A"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Public</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07EB823"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786AF14D" w14:textId="77777777" w:rsidR="004D177A" w:rsidRPr="00125162" w:rsidRDefault="004D177A" w:rsidP="00763E5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c>
          <w:tcPr>
            <w:tcW w:w="816" w:type="dxa"/>
            <w:tcBorders>
              <w:top w:val="nil"/>
              <w:left w:val="nil"/>
              <w:bottom w:val="single" w:sz="4" w:space="0" w:color="BFBFBF"/>
              <w:right w:val="single" w:sz="4" w:space="0" w:color="BFBFBF"/>
            </w:tcBorders>
            <w:shd w:val="clear" w:color="auto" w:fill="auto"/>
            <w:noWrap/>
            <w:vAlign w:val="center"/>
          </w:tcPr>
          <w:p w14:paraId="39B807F7"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64166545"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846" w:type="dxa"/>
            <w:tcBorders>
              <w:top w:val="nil"/>
              <w:left w:val="nil"/>
              <w:bottom w:val="single" w:sz="4" w:space="0" w:color="BFBFBF"/>
              <w:right w:val="single" w:sz="4" w:space="0" w:color="BFBFBF"/>
            </w:tcBorders>
            <w:shd w:val="clear" w:color="auto" w:fill="auto"/>
            <w:noWrap/>
            <w:vAlign w:val="bottom"/>
          </w:tcPr>
          <w:p w14:paraId="4A380067"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nil"/>
            </w:tcBorders>
            <w:shd w:val="clear" w:color="auto" w:fill="auto"/>
            <w:noWrap/>
            <w:vAlign w:val="center"/>
          </w:tcPr>
          <w:p w14:paraId="61743E51"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46" w:type="dxa"/>
            <w:tcBorders>
              <w:top w:val="nil"/>
              <w:left w:val="single" w:sz="4" w:space="0" w:color="auto"/>
              <w:bottom w:val="single" w:sz="4" w:space="0" w:color="BFBFBF"/>
              <w:right w:val="single" w:sz="4" w:space="0" w:color="BFBFBF"/>
            </w:tcBorders>
            <w:shd w:val="clear" w:color="auto" w:fill="auto"/>
            <w:noWrap/>
            <w:vAlign w:val="center"/>
          </w:tcPr>
          <w:p w14:paraId="43878D8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586" w:type="dxa"/>
            <w:tcBorders>
              <w:top w:val="nil"/>
              <w:left w:val="nil"/>
              <w:bottom w:val="single" w:sz="4" w:space="0" w:color="BFBFBF"/>
              <w:right w:val="nil"/>
            </w:tcBorders>
            <w:shd w:val="clear" w:color="auto" w:fill="auto"/>
            <w:noWrap/>
            <w:vAlign w:val="center"/>
          </w:tcPr>
          <w:p w14:paraId="424D67A8"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60</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E8E7C49"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single" w:sz="4" w:space="0" w:color="auto"/>
            </w:tcBorders>
            <w:shd w:val="clear" w:color="auto" w:fill="auto"/>
            <w:noWrap/>
            <w:vAlign w:val="center"/>
          </w:tcPr>
          <w:p w14:paraId="2B42D7B5" w14:textId="77777777" w:rsidR="004D177A" w:rsidRPr="00125162" w:rsidRDefault="004D177A" w:rsidP="00AD7D78">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26" w:type="dxa"/>
            <w:tcBorders>
              <w:top w:val="nil"/>
              <w:left w:val="nil"/>
              <w:bottom w:val="single" w:sz="4" w:space="0" w:color="BFBFBF"/>
              <w:right w:val="single" w:sz="4" w:space="0" w:color="BFBFBF"/>
            </w:tcBorders>
            <w:shd w:val="clear" w:color="auto" w:fill="auto"/>
            <w:noWrap/>
            <w:vAlign w:val="center"/>
          </w:tcPr>
          <w:p w14:paraId="3E5A16C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double" w:sz="4" w:space="0" w:color="000000" w:themeColor="text1"/>
            </w:tcBorders>
            <w:shd w:val="clear" w:color="auto" w:fill="auto"/>
            <w:noWrap/>
            <w:vAlign w:val="center"/>
          </w:tcPr>
          <w:p w14:paraId="21283924" w14:textId="77777777" w:rsidR="004D177A" w:rsidRPr="00125162" w:rsidRDefault="004D177A"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155</w:t>
            </w:r>
          </w:p>
        </w:tc>
        <w:tc>
          <w:tcPr>
            <w:tcW w:w="808" w:type="dxa"/>
            <w:tcBorders>
              <w:top w:val="single" w:sz="4" w:space="0" w:color="BFBFBF"/>
              <w:left w:val="double" w:sz="4" w:space="0" w:color="000000" w:themeColor="text1"/>
              <w:bottom w:val="single" w:sz="4" w:space="0" w:color="BFBFBF"/>
              <w:right w:val="single" w:sz="4" w:space="0" w:color="BFBFBF"/>
            </w:tcBorders>
            <w:shd w:val="clear" w:color="auto" w:fill="auto"/>
            <w:noWrap/>
            <w:vAlign w:val="center"/>
          </w:tcPr>
          <w:p w14:paraId="1F24EF0D" w14:textId="5E222BFF" w:rsidR="004D177A" w:rsidRPr="00B70236" w:rsidRDefault="004D177A"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rPr>
              <w:t>1</w:t>
            </w:r>
            <w:r w:rsidR="00F65866">
              <w:rPr>
                <w:rFonts w:ascii="Arial" w:hAnsi="Arial" w:cs="Arial"/>
                <w:color w:val="000000"/>
                <w:sz w:val="16"/>
                <w:szCs w:val="16"/>
              </w:rPr>
              <w:t>,</w:t>
            </w:r>
            <w:r>
              <w:rPr>
                <w:rFonts w:ascii="Arial" w:hAnsi="Arial" w:cs="Arial"/>
                <w:color w:val="000000"/>
                <w:sz w:val="16"/>
                <w:szCs w:val="16"/>
              </w:rPr>
              <w:t>274</w:t>
            </w:r>
          </w:p>
        </w:tc>
        <w:tc>
          <w:tcPr>
            <w:tcW w:w="808" w:type="dxa"/>
            <w:tcBorders>
              <w:top w:val="single" w:sz="4" w:space="0" w:color="BFBFBF"/>
              <w:left w:val="nil"/>
              <w:bottom w:val="single" w:sz="4" w:space="0" w:color="BFBFBF"/>
              <w:right w:val="double" w:sz="4" w:space="0" w:color="000000" w:themeColor="text1"/>
            </w:tcBorders>
            <w:shd w:val="clear" w:color="auto" w:fill="auto"/>
            <w:noWrap/>
            <w:vAlign w:val="center"/>
          </w:tcPr>
          <w:p w14:paraId="66F37872" w14:textId="77777777" w:rsidR="004D177A" w:rsidRPr="00B70236" w:rsidRDefault="004D177A" w:rsidP="00B70236">
            <w:pPr>
              <w:spacing w:before="0" w:after="0"/>
              <w:jc w:val="center"/>
              <w:rPr>
                <w:rFonts w:ascii="Arial" w:hAnsi="Arial" w:cs="Arial"/>
                <w:color w:val="000000"/>
                <w:sz w:val="16"/>
                <w:szCs w:val="16"/>
                <w:lang w:val="en-AU" w:eastAsia="en-AU"/>
              </w:rPr>
            </w:pPr>
            <w:r w:rsidRPr="00B70236">
              <w:rPr>
                <w:rFonts w:ascii="Arial" w:hAnsi="Arial" w:cs="Arial"/>
                <w:color w:val="000000"/>
                <w:sz w:val="16"/>
                <w:szCs w:val="16"/>
                <w:lang w:val="en-AU" w:eastAsia="en-AU"/>
              </w:rPr>
              <w:t>645</w:t>
            </w:r>
          </w:p>
        </w:tc>
      </w:tr>
      <w:tr w:rsidR="004D177A" w:rsidRPr="00125162" w14:paraId="24FD2282" w14:textId="77777777" w:rsidTr="009771F8">
        <w:trPr>
          <w:trHeight w:val="240"/>
          <w:jc w:val="center"/>
        </w:trPr>
        <w:tc>
          <w:tcPr>
            <w:tcW w:w="2575" w:type="dxa"/>
            <w:tcBorders>
              <w:top w:val="nil"/>
              <w:left w:val="double" w:sz="6" w:space="0" w:color="auto"/>
              <w:bottom w:val="double" w:sz="6" w:space="0" w:color="auto"/>
              <w:right w:val="nil"/>
            </w:tcBorders>
            <w:shd w:val="clear" w:color="auto" w:fill="auto"/>
            <w:noWrap/>
            <w:vAlign w:val="center"/>
          </w:tcPr>
          <w:p w14:paraId="08C63A04" w14:textId="77777777" w:rsidR="004D177A" w:rsidRPr="00125162" w:rsidRDefault="004D177A"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 Households</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37AC4F92" w14:textId="77777777" w:rsidR="004D177A" w:rsidRPr="00125162" w:rsidRDefault="004D177A" w:rsidP="00763E5C">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18%</w:t>
            </w:r>
          </w:p>
        </w:tc>
        <w:tc>
          <w:tcPr>
            <w:tcW w:w="675" w:type="dxa"/>
            <w:tcBorders>
              <w:top w:val="nil"/>
              <w:left w:val="nil"/>
              <w:bottom w:val="double" w:sz="6" w:space="0" w:color="auto"/>
              <w:right w:val="single" w:sz="4" w:space="0" w:color="auto"/>
            </w:tcBorders>
            <w:shd w:val="clear" w:color="auto" w:fill="auto"/>
            <w:noWrap/>
            <w:vAlign w:val="center"/>
          </w:tcPr>
          <w:p w14:paraId="68755CA4" w14:textId="77777777" w:rsidR="004D177A" w:rsidRPr="00125162" w:rsidRDefault="004D177A" w:rsidP="00763E5C">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26</w:t>
            </w:r>
          </w:p>
        </w:tc>
        <w:tc>
          <w:tcPr>
            <w:tcW w:w="816" w:type="dxa"/>
            <w:tcBorders>
              <w:top w:val="nil"/>
              <w:left w:val="nil"/>
              <w:bottom w:val="double" w:sz="6" w:space="0" w:color="auto"/>
              <w:right w:val="single" w:sz="4" w:space="0" w:color="BFBFBF"/>
            </w:tcBorders>
            <w:shd w:val="clear" w:color="auto" w:fill="auto"/>
            <w:noWrap/>
            <w:vAlign w:val="center"/>
          </w:tcPr>
          <w:p w14:paraId="79700027" w14:textId="77777777" w:rsidR="004D177A" w:rsidRPr="00125162" w:rsidRDefault="004D177A"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w:t>
            </w:r>
          </w:p>
        </w:tc>
        <w:tc>
          <w:tcPr>
            <w:tcW w:w="586" w:type="dxa"/>
            <w:tcBorders>
              <w:top w:val="nil"/>
              <w:left w:val="nil"/>
              <w:bottom w:val="double" w:sz="6" w:space="0" w:color="auto"/>
              <w:right w:val="single" w:sz="4" w:space="0" w:color="auto"/>
            </w:tcBorders>
            <w:shd w:val="clear" w:color="auto" w:fill="auto"/>
            <w:noWrap/>
            <w:vAlign w:val="center"/>
          </w:tcPr>
          <w:p w14:paraId="58C2CCAE" w14:textId="77777777" w:rsidR="004D177A" w:rsidRPr="00125162" w:rsidRDefault="004D177A"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81</w:t>
            </w:r>
          </w:p>
        </w:tc>
        <w:tc>
          <w:tcPr>
            <w:tcW w:w="846" w:type="dxa"/>
            <w:tcBorders>
              <w:top w:val="nil"/>
              <w:left w:val="nil"/>
              <w:bottom w:val="double" w:sz="6" w:space="0" w:color="auto"/>
              <w:right w:val="single" w:sz="4" w:space="0" w:color="BFBFBF"/>
            </w:tcBorders>
            <w:shd w:val="clear" w:color="auto" w:fill="auto"/>
            <w:noWrap/>
            <w:vAlign w:val="center"/>
          </w:tcPr>
          <w:p w14:paraId="44331A6F" w14:textId="77777777" w:rsidR="004D177A" w:rsidRPr="00125162" w:rsidRDefault="004D177A" w:rsidP="00AD7D78">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18%</w:t>
            </w:r>
          </w:p>
        </w:tc>
        <w:tc>
          <w:tcPr>
            <w:tcW w:w="675" w:type="dxa"/>
            <w:tcBorders>
              <w:top w:val="nil"/>
              <w:left w:val="nil"/>
              <w:bottom w:val="double" w:sz="6" w:space="0" w:color="auto"/>
              <w:right w:val="nil"/>
            </w:tcBorders>
            <w:shd w:val="clear" w:color="auto" w:fill="auto"/>
            <w:noWrap/>
            <w:vAlign w:val="center"/>
          </w:tcPr>
          <w:p w14:paraId="7789EB63" w14:textId="77777777" w:rsidR="004D177A" w:rsidRPr="00125162" w:rsidRDefault="004D177A" w:rsidP="00AD7D78">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59</w:t>
            </w:r>
          </w:p>
        </w:tc>
        <w:tc>
          <w:tcPr>
            <w:tcW w:w="846" w:type="dxa"/>
            <w:tcBorders>
              <w:top w:val="nil"/>
              <w:left w:val="single" w:sz="4" w:space="0" w:color="auto"/>
              <w:bottom w:val="double" w:sz="6" w:space="0" w:color="auto"/>
              <w:right w:val="single" w:sz="4" w:space="0" w:color="BFBFBF"/>
            </w:tcBorders>
            <w:shd w:val="clear" w:color="auto" w:fill="auto"/>
            <w:noWrap/>
            <w:vAlign w:val="center"/>
          </w:tcPr>
          <w:p w14:paraId="011837B8" w14:textId="77777777" w:rsidR="004D177A" w:rsidRPr="00125162" w:rsidRDefault="004D177A"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3%</w:t>
            </w:r>
          </w:p>
        </w:tc>
        <w:tc>
          <w:tcPr>
            <w:tcW w:w="586" w:type="dxa"/>
            <w:tcBorders>
              <w:top w:val="nil"/>
              <w:left w:val="nil"/>
              <w:bottom w:val="double" w:sz="6" w:space="0" w:color="auto"/>
              <w:right w:val="nil"/>
            </w:tcBorders>
            <w:shd w:val="clear" w:color="auto" w:fill="auto"/>
            <w:noWrap/>
            <w:vAlign w:val="center"/>
          </w:tcPr>
          <w:p w14:paraId="191E3FF9" w14:textId="77777777" w:rsidR="004D177A" w:rsidRPr="00125162" w:rsidRDefault="004D177A"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-70</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3888FACA" w14:textId="77777777" w:rsidR="004D177A" w:rsidRPr="00125162" w:rsidRDefault="004D177A" w:rsidP="00AD7D78">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18%</w:t>
            </w:r>
          </w:p>
        </w:tc>
        <w:tc>
          <w:tcPr>
            <w:tcW w:w="675" w:type="dxa"/>
            <w:tcBorders>
              <w:top w:val="nil"/>
              <w:left w:val="nil"/>
              <w:bottom w:val="double" w:sz="6" w:space="0" w:color="auto"/>
              <w:right w:val="single" w:sz="4" w:space="0" w:color="auto"/>
            </w:tcBorders>
            <w:shd w:val="clear" w:color="auto" w:fill="auto"/>
            <w:noWrap/>
            <w:vAlign w:val="center"/>
          </w:tcPr>
          <w:p w14:paraId="7A09F9B9" w14:textId="77777777" w:rsidR="004D177A" w:rsidRPr="00125162" w:rsidRDefault="004D177A" w:rsidP="00AD7D78">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59</w:t>
            </w:r>
          </w:p>
        </w:tc>
        <w:tc>
          <w:tcPr>
            <w:tcW w:w="826" w:type="dxa"/>
            <w:tcBorders>
              <w:top w:val="nil"/>
              <w:left w:val="nil"/>
              <w:bottom w:val="double" w:sz="6" w:space="0" w:color="auto"/>
              <w:right w:val="single" w:sz="4" w:space="0" w:color="BFBFBF"/>
            </w:tcBorders>
            <w:shd w:val="clear" w:color="auto" w:fill="auto"/>
            <w:noWrap/>
            <w:vAlign w:val="center"/>
          </w:tcPr>
          <w:p w14:paraId="6BBE2ABC" w14:textId="77777777" w:rsidR="004D177A" w:rsidRPr="00125162" w:rsidRDefault="004D177A"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99%</w:t>
            </w:r>
          </w:p>
        </w:tc>
        <w:tc>
          <w:tcPr>
            <w:tcW w:w="808" w:type="dxa"/>
            <w:tcBorders>
              <w:top w:val="nil"/>
              <w:left w:val="nil"/>
              <w:bottom w:val="double" w:sz="6" w:space="0" w:color="auto"/>
              <w:right w:val="double" w:sz="4" w:space="0" w:color="000000" w:themeColor="text1"/>
            </w:tcBorders>
            <w:shd w:val="clear" w:color="auto" w:fill="auto"/>
            <w:noWrap/>
            <w:vAlign w:val="center"/>
          </w:tcPr>
          <w:p w14:paraId="797A6A4D" w14:textId="77777777" w:rsidR="004D177A" w:rsidRPr="00125162" w:rsidRDefault="004D177A"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154</w:t>
            </w:r>
          </w:p>
        </w:tc>
        <w:tc>
          <w:tcPr>
            <w:tcW w:w="808" w:type="dxa"/>
            <w:tcBorders>
              <w:top w:val="single" w:sz="4" w:space="0" w:color="BFBFBF"/>
              <w:left w:val="double" w:sz="4" w:space="0" w:color="000000" w:themeColor="text1"/>
              <w:bottom w:val="double" w:sz="4" w:space="0" w:color="000000" w:themeColor="text1"/>
              <w:right w:val="single" w:sz="4" w:space="0" w:color="BFBFBF"/>
            </w:tcBorders>
            <w:shd w:val="clear" w:color="auto" w:fill="auto"/>
            <w:noWrap/>
            <w:vAlign w:val="center"/>
          </w:tcPr>
          <w:p w14:paraId="684CFD7D" w14:textId="5FFEB398" w:rsidR="004D177A" w:rsidRPr="00B70236" w:rsidRDefault="004D177A" w:rsidP="00B70236">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1</w:t>
            </w:r>
            <w:r w:rsidR="00F65866">
              <w:rPr>
                <w:rFonts w:ascii="Arial" w:hAnsi="Arial" w:cs="Arial"/>
                <w:b/>
                <w:bCs/>
                <w:color w:val="000000"/>
                <w:sz w:val="16"/>
                <w:szCs w:val="16"/>
              </w:rPr>
              <w:t>,</w:t>
            </w:r>
            <w:r>
              <w:rPr>
                <w:rFonts w:ascii="Arial" w:hAnsi="Arial" w:cs="Arial"/>
                <w:b/>
                <w:bCs/>
                <w:color w:val="000000"/>
                <w:sz w:val="16"/>
                <w:szCs w:val="16"/>
              </w:rPr>
              <w:t>455</w:t>
            </w:r>
          </w:p>
        </w:tc>
        <w:tc>
          <w:tcPr>
            <w:tcW w:w="808" w:type="dxa"/>
            <w:tcBorders>
              <w:top w:val="single" w:sz="4" w:space="0" w:color="BFBFBF"/>
              <w:left w:val="nil"/>
              <w:bottom w:val="double" w:sz="4" w:space="0" w:color="000000" w:themeColor="text1"/>
              <w:right w:val="double" w:sz="4" w:space="0" w:color="000000" w:themeColor="text1"/>
            </w:tcBorders>
            <w:shd w:val="clear" w:color="auto" w:fill="auto"/>
            <w:noWrap/>
            <w:vAlign w:val="center"/>
          </w:tcPr>
          <w:p w14:paraId="6CA58571" w14:textId="77777777" w:rsidR="004D177A" w:rsidRPr="00B70236" w:rsidRDefault="004D177A" w:rsidP="00B70236">
            <w:pPr>
              <w:spacing w:before="0" w:after="0"/>
              <w:jc w:val="center"/>
              <w:rPr>
                <w:rFonts w:ascii="Arial" w:hAnsi="Arial" w:cs="Arial"/>
                <w:b/>
                <w:color w:val="000000"/>
                <w:sz w:val="16"/>
                <w:szCs w:val="16"/>
                <w:lang w:val="en-AU" w:eastAsia="en-AU"/>
              </w:rPr>
            </w:pPr>
            <w:r w:rsidRPr="00B70236">
              <w:rPr>
                <w:rFonts w:ascii="Arial" w:hAnsi="Arial" w:cs="Arial"/>
                <w:b/>
                <w:color w:val="000000"/>
                <w:sz w:val="16"/>
                <w:szCs w:val="16"/>
                <w:lang w:val="en-AU" w:eastAsia="en-AU"/>
              </w:rPr>
              <w:t>946</w:t>
            </w:r>
          </w:p>
        </w:tc>
      </w:tr>
    </w:tbl>
    <w:p w14:paraId="1E21A2C8" w14:textId="77777777" w:rsidR="00801036" w:rsidRPr="00125162" w:rsidRDefault="00801036" w:rsidP="00801036">
      <w:pPr>
        <w:pStyle w:val="Para"/>
        <w:spacing w:after="120"/>
        <w:jc w:val="left"/>
        <w:outlineLvl w:val="0"/>
        <w:rPr>
          <w:b/>
          <w:u w:val="single"/>
          <w:lang w:val="en-AU"/>
        </w:rPr>
      </w:pPr>
    </w:p>
    <w:p w14:paraId="0B6E8610" w14:textId="77777777" w:rsidR="00D109F7" w:rsidRPr="00125162" w:rsidRDefault="00801036" w:rsidP="00763E5C">
      <w:pPr>
        <w:spacing w:before="0" w:after="0"/>
        <w:jc w:val="center"/>
        <w:rPr>
          <w:b/>
          <w:u w:val="single"/>
          <w:lang w:val="en-AU"/>
        </w:rPr>
      </w:pPr>
      <w:r w:rsidRPr="00125162">
        <w:rPr>
          <w:b/>
          <w:lang w:val="en-AU"/>
        </w:rPr>
        <w:br w:type="page"/>
      </w:r>
      <w:r w:rsidR="00D109F7" w:rsidRPr="00125162">
        <w:rPr>
          <w:b/>
          <w:lang w:val="en-AU"/>
        </w:rPr>
        <w:lastRenderedPageBreak/>
        <w:t>Table 4.2.2.</w:t>
      </w:r>
      <w:r w:rsidRPr="00125162">
        <w:rPr>
          <w:b/>
          <w:lang w:val="en-AU"/>
        </w:rPr>
        <w:t>3</w:t>
      </w:r>
      <w:r w:rsidR="00D109F7" w:rsidRPr="00125162">
        <w:rPr>
          <w:b/>
          <w:lang w:val="en-AU"/>
        </w:rPr>
        <w:t xml:space="preserve">: </w:t>
      </w:r>
      <w:r w:rsidR="00D109F7" w:rsidRPr="00125162">
        <w:rPr>
          <w:b/>
          <w:u w:val="single"/>
          <w:lang w:val="en-AU"/>
        </w:rPr>
        <w:t>D</w:t>
      </w:r>
      <w:r w:rsidR="0031234C" w:rsidRPr="00125162">
        <w:rPr>
          <w:b/>
          <w:u w:val="single"/>
          <w:lang w:val="en-AU"/>
        </w:rPr>
        <w:t>H</w:t>
      </w:r>
      <w:r w:rsidR="00D109F7" w:rsidRPr="00125162">
        <w:rPr>
          <w:b/>
          <w:u w:val="single"/>
          <w:lang w:val="en-AU"/>
        </w:rPr>
        <w:t>HS Funded Electricity Consumption Concessions</w:t>
      </w:r>
      <w:r w:rsidR="004A4BCE" w:rsidRPr="00125162">
        <w:rPr>
          <w:b/>
          <w:u w:val="single"/>
          <w:lang w:val="en-AU"/>
        </w:rPr>
        <w:t xml:space="preserve"> – Part 1</w:t>
      </w:r>
    </w:p>
    <w:tbl>
      <w:tblPr>
        <w:tblW w:w="15299" w:type="dxa"/>
        <w:tblInd w:w="85" w:type="dxa"/>
        <w:tblLook w:val="04A0" w:firstRow="1" w:lastRow="0" w:firstColumn="1" w:lastColumn="0" w:noHBand="0" w:noVBand="1"/>
      </w:tblPr>
      <w:tblGrid>
        <w:gridCol w:w="2291"/>
        <w:gridCol w:w="808"/>
        <w:gridCol w:w="808"/>
        <w:gridCol w:w="808"/>
        <w:gridCol w:w="675"/>
        <w:gridCol w:w="808"/>
        <w:gridCol w:w="808"/>
        <w:gridCol w:w="808"/>
        <w:gridCol w:w="675"/>
        <w:gridCol w:w="808"/>
        <w:gridCol w:w="675"/>
        <w:gridCol w:w="826"/>
        <w:gridCol w:w="586"/>
        <w:gridCol w:w="808"/>
        <w:gridCol w:w="497"/>
        <w:gridCol w:w="808"/>
        <w:gridCol w:w="497"/>
        <w:gridCol w:w="808"/>
        <w:gridCol w:w="497"/>
      </w:tblGrid>
      <w:tr w:rsidR="00970E2F" w:rsidRPr="00125162" w14:paraId="632F017C" w14:textId="77777777" w:rsidTr="00184A24">
        <w:trPr>
          <w:trHeight w:val="220"/>
          <w:tblHeader/>
        </w:trPr>
        <w:tc>
          <w:tcPr>
            <w:tcW w:w="2291" w:type="dxa"/>
            <w:vMerge w:val="restart"/>
            <w:tcBorders>
              <w:top w:val="double" w:sz="6" w:space="0" w:color="auto"/>
              <w:left w:val="double" w:sz="6" w:space="0" w:color="auto"/>
              <w:bottom w:val="single" w:sz="4" w:space="0" w:color="BFBFBF"/>
              <w:right w:val="nil"/>
            </w:tcBorders>
            <w:shd w:val="clear" w:color="auto" w:fill="auto"/>
            <w:noWrap/>
            <w:vAlign w:val="center"/>
          </w:tcPr>
          <w:p w14:paraId="2A19B828"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715" w:type="dxa"/>
            <w:gridSpan w:val="6"/>
            <w:vMerge w:val="restart"/>
            <w:tcBorders>
              <w:top w:val="double" w:sz="6" w:space="0" w:color="auto"/>
              <w:left w:val="single" w:sz="4" w:space="0" w:color="auto"/>
              <w:bottom w:val="single" w:sz="4" w:space="0" w:color="BFBFBF"/>
              <w:right w:val="single" w:sz="4" w:space="0" w:color="000000"/>
            </w:tcBorders>
            <w:shd w:val="clear" w:color="auto" w:fill="auto"/>
            <w:vAlign w:val="center"/>
          </w:tcPr>
          <w:p w14:paraId="37BA8DAE" w14:textId="77777777" w:rsidR="00970E2F" w:rsidRPr="00125162" w:rsidRDefault="00970E2F" w:rsidP="00E615C8">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xml:space="preserve">Annual </w:t>
            </w:r>
            <w:r w:rsidR="00E615C8" w:rsidRPr="00125162">
              <w:rPr>
                <w:rFonts w:ascii="Arial" w:hAnsi="Arial" w:cs="Arial"/>
                <w:b/>
                <w:bCs/>
                <w:color w:val="000000"/>
                <w:sz w:val="16"/>
                <w:szCs w:val="16"/>
                <w:lang w:val="en-AU" w:eastAsia="en-AU"/>
              </w:rPr>
              <w:t xml:space="preserve">Electricity </w:t>
            </w:r>
            <w:r w:rsidRPr="00125162">
              <w:rPr>
                <w:rFonts w:ascii="Arial" w:hAnsi="Arial" w:cs="Arial"/>
                <w:b/>
                <w:bCs/>
                <w:color w:val="000000"/>
                <w:sz w:val="16"/>
                <w:szCs w:val="16"/>
                <w:lang w:val="en-AU" w:eastAsia="en-AU"/>
              </w:rPr>
              <w:t>Concession (formerly Winter Energy Concession)</w:t>
            </w:r>
          </w:p>
        </w:tc>
        <w:tc>
          <w:tcPr>
            <w:tcW w:w="2966" w:type="dxa"/>
            <w:gridSpan w:val="4"/>
            <w:vMerge w:val="restart"/>
            <w:tcBorders>
              <w:top w:val="double" w:sz="6" w:space="0" w:color="auto"/>
              <w:left w:val="nil"/>
              <w:bottom w:val="single" w:sz="4" w:space="0" w:color="BFBFBF"/>
              <w:right w:val="nil"/>
            </w:tcBorders>
            <w:shd w:val="clear" w:color="auto" w:fill="auto"/>
            <w:vAlign w:val="center"/>
          </w:tcPr>
          <w:p w14:paraId="0ADA1A1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Controlled Load Concession</w:t>
            </w:r>
            <w:r w:rsidRPr="00125162">
              <w:rPr>
                <w:rFonts w:ascii="Arial" w:hAnsi="Arial" w:cs="Arial"/>
                <w:b/>
                <w:bCs/>
                <w:color w:val="000000"/>
                <w:sz w:val="16"/>
                <w:szCs w:val="16"/>
                <w:lang w:val="en-AU" w:eastAsia="en-AU"/>
              </w:rPr>
              <w:br/>
              <w:t>(formerly Off Peak Concession)</w:t>
            </w:r>
          </w:p>
        </w:tc>
        <w:tc>
          <w:tcPr>
            <w:tcW w:w="2717" w:type="dxa"/>
            <w:gridSpan w:val="4"/>
            <w:vMerge w:val="restart"/>
            <w:tcBorders>
              <w:top w:val="double" w:sz="6" w:space="0" w:color="auto"/>
              <w:left w:val="single" w:sz="4" w:space="0" w:color="auto"/>
              <w:bottom w:val="single" w:sz="4" w:space="0" w:color="BFBFBF"/>
              <w:right w:val="single" w:sz="4" w:space="0" w:color="000000"/>
            </w:tcBorders>
            <w:shd w:val="clear" w:color="auto" w:fill="auto"/>
            <w:vAlign w:val="center"/>
          </w:tcPr>
          <w:p w14:paraId="6C26A71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Medical Cooling Concession</w:t>
            </w:r>
            <w:r w:rsidRPr="00125162">
              <w:rPr>
                <w:rFonts w:ascii="Arial" w:hAnsi="Arial" w:cs="Arial"/>
                <w:b/>
                <w:bCs/>
                <w:color w:val="000000"/>
                <w:sz w:val="16"/>
                <w:szCs w:val="16"/>
                <w:lang w:val="en-AU" w:eastAsia="en-AU"/>
              </w:rPr>
              <w:br/>
              <w:t>(formerly Multiple Sclerosis Concession)</w:t>
            </w:r>
          </w:p>
        </w:tc>
        <w:tc>
          <w:tcPr>
            <w:tcW w:w="2610" w:type="dxa"/>
            <w:gridSpan w:val="4"/>
            <w:vMerge w:val="restart"/>
            <w:tcBorders>
              <w:top w:val="double" w:sz="6" w:space="0" w:color="auto"/>
              <w:left w:val="nil"/>
              <w:bottom w:val="single" w:sz="4" w:space="0" w:color="BFBFBF"/>
              <w:right w:val="double" w:sz="6" w:space="0" w:color="000000"/>
            </w:tcBorders>
            <w:shd w:val="clear" w:color="auto" w:fill="auto"/>
            <w:vAlign w:val="center"/>
          </w:tcPr>
          <w:p w14:paraId="21E4D794"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Life Support Concession</w:t>
            </w:r>
          </w:p>
        </w:tc>
      </w:tr>
      <w:tr w:rsidR="00970E2F" w:rsidRPr="00125162" w14:paraId="00CB68E6" w14:textId="77777777" w:rsidTr="00184A24">
        <w:trPr>
          <w:trHeight w:val="206"/>
          <w:tblHeader/>
        </w:trPr>
        <w:tc>
          <w:tcPr>
            <w:tcW w:w="2291" w:type="dxa"/>
            <w:vMerge/>
            <w:tcBorders>
              <w:top w:val="double" w:sz="6" w:space="0" w:color="auto"/>
              <w:left w:val="double" w:sz="6" w:space="0" w:color="auto"/>
              <w:bottom w:val="single" w:sz="4" w:space="0" w:color="BFBFBF"/>
              <w:right w:val="nil"/>
            </w:tcBorders>
            <w:vAlign w:val="center"/>
          </w:tcPr>
          <w:p w14:paraId="1D58DF25" w14:textId="77777777" w:rsidR="00970E2F" w:rsidRPr="00125162" w:rsidRDefault="00970E2F" w:rsidP="00970E2F">
            <w:pPr>
              <w:spacing w:before="0" w:after="0"/>
              <w:rPr>
                <w:rFonts w:ascii="Arial" w:hAnsi="Arial" w:cs="Arial"/>
                <w:color w:val="000000"/>
                <w:sz w:val="16"/>
                <w:szCs w:val="16"/>
                <w:lang w:val="en-AU" w:eastAsia="en-AU"/>
              </w:rPr>
            </w:pPr>
          </w:p>
        </w:tc>
        <w:tc>
          <w:tcPr>
            <w:tcW w:w="4715" w:type="dxa"/>
            <w:gridSpan w:val="6"/>
            <w:vMerge/>
            <w:tcBorders>
              <w:top w:val="double" w:sz="6" w:space="0" w:color="auto"/>
              <w:left w:val="single" w:sz="4" w:space="0" w:color="auto"/>
              <w:bottom w:val="single" w:sz="4" w:space="0" w:color="BFBFBF"/>
              <w:right w:val="single" w:sz="4" w:space="0" w:color="000000"/>
            </w:tcBorders>
            <w:vAlign w:val="center"/>
          </w:tcPr>
          <w:p w14:paraId="757553E6" w14:textId="77777777" w:rsidR="00970E2F" w:rsidRPr="00125162" w:rsidRDefault="00970E2F" w:rsidP="00970E2F">
            <w:pPr>
              <w:spacing w:before="0" w:after="0"/>
              <w:rPr>
                <w:rFonts w:ascii="Arial" w:hAnsi="Arial" w:cs="Arial"/>
                <w:b/>
                <w:bCs/>
                <w:color w:val="000000"/>
                <w:sz w:val="16"/>
                <w:szCs w:val="16"/>
                <w:lang w:val="en-AU" w:eastAsia="en-AU"/>
              </w:rPr>
            </w:pPr>
          </w:p>
        </w:tc>
        <w:tc>
          <w:tcPr>
            <w:tcW w:w="2966" w:type="dxa"/>
            <w:gridSpan w:val="4"/>
            <w:vMerge/>
            <w:tcBorders>
              <w:top w:val="double" w:sz="6" w:space="0" w:color="auto"/>
              <w:left w:val="nil"/>
              <w:bottom w:val="single" w:sz="4" w:space="0" w:color="BFBFBF"/>
              <w:right w:val="nil"/>
            </w:tcBorders>
            <w:vAlign w:val="center"/>
          </w:tcPr>
          <w:p w14:paraId="31208702" w14:textId="77777777" w:rsidR="00970E2F" w:rsidRPr="00125162" w:rsidRDefault="00970E2F" w:rsidP="00970E2F">
            <w:pPr>
              <w:spacing w:before="0" w:after="0"/>
              <w:rPr>
                <w:rFonts w:ascii="Arial" w:hAnsi="Arial" w:cs="Arial"/>
                <w:b/>
                <w:bCs/>
                <w:color w:val="000000"/>
                <w:sz w:val="16"/>
                <w:szCs w:val="16"/>
                <w:lang w:val="en-AU" w:eastAsia="en-AU"/>
              </w:rPr>
            </w:pPr>
          </w:p>
        </w:tc>
        <w:tc>
          <w:tcPr>
            <w:tcW w:w="2717" w:type="dxa"/>
            <w:gridSpan w:val="4"/>
            <w:vMerge/>
            <w:tcBorders>
              <w:top w:val="double" w:sz="6" w:space="0" w:color="auto"/>
              <w:left w:val="single" w:sz="4" w:space="0" w:color="auto"/>
              <w:bottom w:val="single" w:sz="4" w:space="0" w:color="BFBFBF"/>
              <w:right w:val="single" w:sz="4" w:space="0" w:color="000000"/>
            </w:tcBorders>
            <w:vAlign w:val="center"/>
          </w:tcPr>
          <w:p w14:paraId="47E8134B" w14:textId="77777777" w:rsidR="00970E2F" w:rsidRPr="00125162" w:rsidRDefault="00970E2F" w:rsidP="00970E2F">
            <w:pPr>
              <w:spacing w:before="0" w:after="0"/>
              <w:rPr>
                <w:rFonts w:ascii="Arial" w:hAnsi="Arial" w:cs="Arial"/>
                <w:b/>
                <w:bCs/>
                <w:color w:val="000000"/>
                <w:sz w:val="16"/>
                <w:szCs w:val="16"/>
                <w:lang w:val="en-AU" w:eastAsia="en-AU"/>
              </w:rPr>
            </w:pPr>
          </w:p>
        </w:tc>
        <w:tc>
          <w:tcPr>
            <w:tcW w:w="2610" w:type="dxa"/>
            <w:gridSpan w:val="4"/>
            <w:vMerge/>
            <w:tcBorders>
              <w:top w:val="double" w:sz="6" w:space="0" w:color="auto"/>
              <w:left w:val="nil"/>
              <w:bottom w:val="single" w:sz="4" w:space="0" w:color="BFBFBF"/>
              <w:right w:val="double" w:sz="6" w:space="0" w:color="000000"/>
            </w:tcBorders>
            <w:vAlign w:val="center"/>
          </w:tcPr>
          <w:p w14:paraId="2D390D99" w14:textId="77777777" w:rsidR="00970E2F" w:rsidRPr="00125162" w:rsidRDefault="00970E2F" w:rsidP="00970E2F">
            <w:pPr>
              <w:spacing w:before="0" w:after="0"/>
              <w:rPr>
                <w:rFonts w:ascii="Arial" w:hAnsi="Arial" w:cs="Arial"/>
                <w:b/>
                <w:bCs/>
                <w:color w:val="000000"/>
                <w:sz w:val="16"/>
                <w:szCs w:val="16"/>
                <w:lang w:val="en-AU" w:eastAsia="en-AU"/>
              </w:rPr>
            </w:pPr>
          </w:p>
        </w:tc>
      </w:tr>
      <w:tr w:rsidR="00970E2F" w:rsidRPr="00125162" w14:paraId="6FE4403A" w14:textId="77777777" w:rsidTr="00184A24">
        <w:trPr>
          <w:trHeight w:val="206"/>
          <w:tblHeader/>
        </w:trPr>
        <w:tc>
          <w:tcPr>
            <w:tcW w:w="2291" w:type="dxa"/>
            <w:tcBorders>
              <w:top w:val="nil"/>
              <w:left w:val="double" w:sz="6" w:space="0" w:color="auto"/>
              <w:bottom w:val="single" w:sz="4" w:space="0" w:color="BFBFBF"/>
              <w:right w:val="nil"/>
            </w:tcBorders>
            <w:shd w:val="clear" w:color="auto" w:fill="auto"/>
            <w:noWrap/>
            <w:vAlign w:val="center"/>
          </w:tcPr>
          <w:p w14:paraId="1683E984" w14:textId="77777777" w:rsidR="00970E2F" w:rsidRPr="00125162" w:rsidRDefault="00970E2F"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w:t>
            </w:r>
          </w:p>
        </w:tc>
        <w:tc>
          <w:tcPr>
            <w:tcW w:w="1616" w:type="dxa"/>
            <w:gridSpan w:val="2"/>
            <w:tcBorders>
              <w:top w:val="single" w:sz="4" w:space="0" w:color="BFBFBF"/>
              <w:left w:val="single" w:sz="4" w:space="0" w:color="auto"/>
              <w:bottom w:val="single" w:sz="4" w:space="0" w:color="BFBFBF"/>
              <w:right w:val="single" w:sz="4" w:space="0" w:color="BFBFBF"/>
            </w:tcBorders>
            <w:shd w:val="clear" w:color="auto" w:fill="auto"/>
            <w:noWrap/>
          </w:tcPr>
          <w:p w14:paraId="5DA23C0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483" w:type="dxa"/>
            <w:gridSpan w:val="2"/>
            <w:tcBorders>
              <w:top w:val="single" w:sz="4" w:space="0" w:color="BFBFBF"/>
              <w:left w:val="single" w:sz="4" w:space="0" w:color="auto"/>
              <w:bottom w:val="single" w:sz="4" w:space="0" w:color="BFBFBF"/>
              <w:right w:val="single" w:sz="4" w:space="0" w:color="000000"/>
            </w:tcBorders>
            <w:shd w:val="clear" w:color="auto" w:fill="auto"/>
            <w:noWrap/>
          </w:tcPr>
          <w:p w14:paraId="33E4C98B"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1616" w:type="dxa"/>
            <w:gridSpan w:val="2"/>
            <w:tcBorders>
              <w:top w:val="single" w:sz="4" w:space="0" w:color="BFBFBF"/>
              <w:left w:val="nil"/>
              <w:bottom w:val="single" w:sz="4" w:space="0" w:color="BFBFBF"/>
              <w:right w:val="single" w:sz="4" w:space="0" w:color="000000"/>
            </w:tcBorders>
            <w:shd w:val="clear" w:color="auto" w:fill="auto"/>
            <w:noWrap/>
          </w:tcPr>
          <w:p w14:paraId="6B14AD1D"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2001</w:t>
            </w:r>
          </w:p>
        </w:tc>
        <w:tc>
          <w:tcPr>
            <w:tcW w:w="1483" w:type="dxa"/>
            <w:gridSpan w:val="2"/>
            <w:tcBorders>
              <w:top w:val="single" w:sz="4" w:space="0" w:color="BFBFBF"/>
              <w:left w:val="nil"/>
              <w:bottom w:val="single" w:sz="4" w:space="0" w:color="BFBFBF"/>
              <w:right w:val="single" w:sz="4" w:space="0" w:color="000000"/>
            </w:tcBorders>
            <w:shd w:val="clear" w:color="auto" w:fill="auto"/>
            <w:noWrap/>
          </w:tcPr>
          <w:p w14:paraId="134226A7"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483" w:type="dxa"/>
            <w:gridSpan w:val="2"/>
            <w:tcBorders>
              <w:top w:val="single" w:sz="4" w:space="0" w:color="BFBFBF"/>
              <w:left w:val="nil"/>
              <w:bottom w:val="single" w:sz="4" w:space="0" w:color="BFBFBF"/>
              <w:right w:val="single" w:sz="4" w:space="0" w:color="BFBFBF"/>
            </w:tcBorders>
            <w:shd w:val="clear" w:color="auto" w:fill="auto"/>
            <w:noWrap/>
          </w:tcPr>
          <w:p w14:paraId="6BD1848B"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1412" w:type="dxa"/>
            <w:gridSpan w:val="2"/>
            <w:tcBorders>
              <w:top w:val="single" w:sz="4" w:space="0" w:color="BFBFBF"/>
              <w:left w:val="single" w:sz="4" w:space="0" w:color="auto"/>
              <w:bottom w:val="single" w:sz="4" w:space="0" w:color="BFBFBF"/>
              <w:right w:val="single" w:sz="4" w:space="0" w:color="BFBFBF"/>
            </w:tcBorders>
            <w:shd w:val="clear" w:color="auto" w:fill="auto"/>
            <w:noWrap/>
          </w:tcPr>
          <w:p w14:paraId="5FD6CB52"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305" w:type="dxa"/>
            <w:gridSpan w:val="2"/>
            <w:tcBorders>
              <w:top w:val="single" w:sz="4" w:space="0" w:color="BFBFBF"/>
              <w:left w:val="single" w:sz="4" w:space="0" w:color="auto"/>
              <w:bottom w:val="single" w:sz="4" w:space="0" w:color="BFBFBF"/>
              <w:right w:val="single" w:sz="4" w:space="0" w:color="000000"/>
            </w:tcBorders>
            <w:shd w:val="clear" w:color="auto" w:fill="auto"/>
            <w:noWrap/>
          </w:tcPr>
          <w:p w14:paraId="4E42E852"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1305" w:type="dxa"/>
            <w:gridSpan w:val="2"/>
            <w:tcBorders>
              <w:top w:val="single" w:sz="4" w:space="0" w:color="BFBFBF"/>
              <w:left w:val="nil"/>
              <w:bottom w:val="single" w:sz="4" w:space="0" w:color="BFBFBF"/>
              <w:right w:val="single" w:sz="4" w:space="0" w:color="000000"/>
            </w:tcBorders>
            <w:shd w:val="clear" w:color="auto" w:fill="auto"/>
            <w:noWrap/>
          </w:tcPr>
          <w:p w14:paraId="77D78254"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305" w:type="dxa"/>
            <w:gridSpan w:val="2"/>
            <w:tcBorders>
              <w:top w:val="single" w:sz="4" w:space="0" w:color="BFBFBF"/>
              <w:left w:val="nil"/>
              <w:bottom w:val="single" w:sz="4" w:space="0" w:color="BFBFBF"/>
              <w:right w:val="double" w:sz="6" w:space="0" w:color="000000"/>
            </w:tcBorders>
            <w:shd w:val="clear" w:color="auto" w:fill="auto"/>
            <w:noWrap/>
          </w:tcPr>
          <w:p w14:paraId="21AFC9FA"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r>
      <w:tr w:rsidR="00970E2F" w:rsidRPr="00125162" w14:paraId="5E4A016E" w14:textId="77777777" w:rsidTr="00184A24">
        <w:trPr>
          <w:trHeight w:val="206"/>
          <w:tblHeader/>
        </w:trPr>
        <w:tc>
          <w:tcPr>
            <w:tcW w:w="2291" w:type="dxa"/>
            <w:tcBorders>
              <w:top w:val="nil"/>
              <w:left w:val="double" w:sz="6" w:space="0" w:color="auto"/>
              <w:bottom w:val="single" w:sz="4" w:space="0" w:color="BFBFBF"/>
              <w:right w:val="nil"/>
            </w:tcBorders>
            <w:shd w:val="clear" w:color="auto" w:fill="auto"/>
            <w:noWrap/>
            <w:vAlign w:val="center"/>
          </w:tcPr>
          <w:p w14:paraId="2280EB0E"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6C646D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3F9855E9"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224A123"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62469F38"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4A570993"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auto"/>
            </w:tcBorders>
            <w:shd w:val="clear" w:color="auto" w:fill="auto"/>
            <w:noWrap/>
            <w:vAlign w:val="center"/>
          </w:tcPr>
          <w:p w14:paraId="08172B44"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BE38187"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61ED103A"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E946865"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nil"/>
            </w:tcBorders>
            <w:shd w:val="clear" w:color="auto" w:fill="auto"/>
            <w:noWrap/>
            <w:vAlign w:val="center"/>
          </w:tcPr>
          <w:p w14:paraId="7E75D709"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26" w:type="dxa"/>
            <w:tcBorders>
              <w:top w:val="nil"/>
              <w:left w:val="single" w:sz="4" w:space="0" w:color="auto"/>
              <w:bottom w:val="single" w:sz="4" w:space="0" w:color="BFBFBF"/>
              <w:right w:val="single" w:sz="4" w:space="0" w:color="BFBFBF"/>
            </w:tcBorders>
            <w:shd w:val="clear" w:color="auto" w:fill="auto"/>
            <w:noWrap/>
            <w:vAlign w:val="center"/>
          </w:tcPr>
          <w:p w14:paraId="09C76723"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41CC6EB9"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AC0943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2902AFC3"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71DA50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74FF70B"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1C55F79"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497" w:type="dxa"/>
            <w:tcBorders>
              <w:top w:val="nil"/>
              <w:left w:val="nil"/>
              <w:bottom w:val="single" w:sz="4" w:space="0" w:color="BFBFBF"/>
              <w:right w:val="double" w:sz="6" w:space="0" w:color="auto"/>
            </w:tcBorders>
            <w:shd w:val="clear" w:color="auto" w:fill="auto"/>
            <w:noWrap/>
            <w:vAlign w:val="center"/>
          </w:tcPr>
          <w:p w14:paraId="1BEC962D"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r>
      <w:tr w:rsidR="00970E2F" w:rsidRPr="00125162" w14:paraId="1612DA3D" w14:textId="77777777" w:rsidTr="00184A24">
        <w:trPr>
          <w:trHeight w:val="206"/>
          <w:tblHeader/>
        </w:trPr>
        <w:tc>
          <w:tcPr>
            <w:tcW w:w="2291" w:type="dxa"/>
            <w:tcBorders>
              <w:top w:val="nil"/>
              <w:left w:val="double" w:sz="6" w:space="0" w:color="auto"/>
              <w:bottom w:val="single" w:sz="4" w:space="0" w:color="BFBFBF"/>
              <w:right w:val="nil"/>
            </w:tcBorders>
            <w:shd w:val="clear" w:color="auto" w:fill="auto"/>
            <w:noWrap/>
            <w:vAlign w:val="center"/>
          </w:tcPr>
          <w:p w14:paraId="5825C4EE" w14:textId="77777777" w:rsidR="00970E2F" w:rsidRPr="00125162" w:rsidRDefault="00970E2F"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Sub-groups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00D4D9" w14:textId="77777777" w:rsidR="00970E2F" w:rsidRPr="00125162" w:rsidRDefault="00970E2F" w:rsidP="003A1F53">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3A1F53" w:rsidRPr="00125162">
              <w:rPr>
                <w:rFonts w:ascii="Arial" w:hAnsi="Arial" w:cs="Arial"/>
                <w:b/>
                <w:bCs/>
                <w:color w:val="000000"/>
                <w:sz w:val="16"/>
                <w:szCs w:val="16"/>
                <w:lang w:val="en-AU" w:eastAsia="en-AU"/>
              </w:rPr>
              <w:t>855</w:t>
            </w:r>
          </w:p>
        </w:tc>
        <w:tc>
          <w:tcPr>
            <w:tcW w:w="808" w:type="dxa"/>
            <w:tcBorders>
              <w:top w:val="nil"/>
              <w:left w:val="nil"/>
              <w:bottom w:val="single" w:sz="4" w:space="0" w:color="BFBFBF"/>
              <w:right w:val="nil"/>
            </w:tcBorders>
            <w:shd w:val="clear" w:color="auto" w:fill="auto"/>
            <w:noWrap/>
            <w:vAlign w:val="center"/>
          </w:tcPr>
          <w:p w14:paraId="06F26260" w14:textId="77777777" w:rsidR="00970E2F" w:rsidRPr="00125162" w:rsidRDefault="00970E2F" w:rsidP="003A1F53">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w:t>
            </w:r>
            <w:r w:rsidR="003A1F53" w:rsidRPr="00125162">
              <w:rPr>
                <w:rFonts w:ascii="Arial" w:hAnsi="Arial" w:cs="Arial"/>
                <w:b/>
                <w:bCs/>
                <w:color w:val="000000"/>
                <w:sz w:val="16"/>
                <w:szCs w:val="16"/>
                <w:lang w:val="en-AU" w:eastAsia="en-AU"/>
              </w:rPr>
              <w:t>1,009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BB4B2AD"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675" w:type="dxa"/>
            <w:tcBorders>
              <w:top w:val="nil"/>
              <w:left w:val="nil"/>
              <w:bottom w:val="single" w:sz="4" w:space="0" w:color="BFBFBF"/>
              <w:right w:val="single" w:sz="4" w:space="0" w:color="auto"/>
            </w:tcBorders>
            <w:shd w:val="clear" w:color="auto" w:fill="auto"/>
            <w:noWrap/>
            <w:vAlign w:val="center"/>
          </w:tcPr>
          <w:p w14:paraId="7E375A5B"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n=885</w:t>
            </w:r>
          </w:p>
        </w:tc>
        <w:tc>
          <w:tcPr>
            <w:tcW w:w="808" w:type="dxa"/>
            <w:tcBorders>
              <w:top w:val="nil"/>
              <w:left w:val="nil"/>
              <w:bottom w:val="single" w:sz="4" w:space="0" w:color="BFBFBF"/>
              <w:right w:val="single" w:sz="4" w:space="0" w:color="BFBFBF"/>
            </w:tcBorders>
            <w:shd w:val="clear" w:color="auto" w:fill="auto"/>
            <w:noWrap/>
            <w:vAlign w:val="center"/>
          </w:tcPr>
          <w:p w14:paraId="2C92482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n=2,006</w:t>
            </w:r>
          </w:p>
        </w:tc>
        <w:tc>
          <w:tcPr>
            <w:tcW w:w="808" w:type="dxa"/>
            <w:tcBorders>
              <w:top w:val="nil"/>
              <w:left w:val="nil"/>
              <w:bottom w:val="single" w:sz="4" w:space="0" w:color="BFBFBF"/>
              <w:right w:val="single" w:sz="4" w:space="0" w:color="auto"/>
            </w:tcBorders>
            <w:shd w:val="clear" w:color="auto" w:fill="auto"/>
            <w:noWrap/>
            <w:vAlign w:val="center"/>
          </w:tcPr>
          <w:p w14:paraId="02E6B3A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n=2,006</w:t>
            </w:r>
          </w:p>
        </w:tc>
        <w:tc>
          <w:tcPr>
            <w:tcW w:w="808" w:type="dxa"/>
            <w:tcBorders>
              <w:top w:val="nil"/>
              <w:left w:val="nil"/>
              <w:bottom w:val="single" w:sz="4" w:space="0" w:color="BFBFBF"/>
              <w:right w:val="single" w:sz="4" w:space="0" w:color="BFBFBF"/>
            </w:tcBorders>
            <w:shd w:val="clear" w:color="auto" w:fill="auto"/>
            <w:noWrap/>
            <w:vAlign w:val="center"/>
          </w:tcPr>
          <w:p w14:paraId="6786929C" w14:textId="77777777" w:rsidR="00970E2F" w:rsidRPr="00125162" w:rsidRDefault="00970E2F" w:rsidP="003A1F53">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3A1F53" w:rsidRPr="00125162">
              <w:rPr>
                <w:rFonts w:ascii="Arial" w:hAnsi="Arial" w:cs="Arial"/>
                <w:b/>
                <w:bCs/>
                <w:color w:val="000000"/>
                <w:sz w:val="16"/>
                <w:szCs w:val="16"/>
                <w:lang w:val="en-AU" w:eastAsia="en-AU"/>
              </w:rPr>
              <w:t>855</w:t>
            </w:r>
          </w:p>
        </w:tc>
        <w:tc>
          <w:tcPr>
            <w:tcW w:w="675" w:type="dxa"/>
            <w:tcBorders>
              <w:top w:val="nil"/>
              <w:left w:val="nil"/>
              <w:bottom w:val="single" w:sz="4" w:space="0" w:color="BFBFBF"/>
              <w:right w:val="single" w:sz="4" w:space="0" w:color="auto"/>
            </w:tcBorders>
            <w:shd w:val="clear" w:color="auto" w:fill="auto"/>
            <w:noWrap/>
            <w:vAlign w:val="center"/>
          </w:tcPr>
          <w:p w14:paraId="30B36A6E" w14:textId="77777777" w:rsidR="00970E2F" w:rsidRPr="00125162" w:rsidRDefault="00970E2F" w:rsidP="003A1F53">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n=26</w:t>
            </w:r>
            <w:r w:rsidR="003A1F53" w:rsidRPr="00125162">
              <w:rPr>
                <w:rFonts w:ascii="Arial" w:hAnsi="Arial" w:cs="Arial"/>
                <w:b/>
                <w:bCs/>
                <w:color w:val="000000"/>
                <w:sz w:val="16"/>
                <w:szCs w:val="16"/>
                <w:lang w:val="en-AU" w:eastAsia="en-AU"/>
              </w:rPr>
              <w:t>8</w:t>
            </w:r>
          </w:p>
        </w:tc>
        <w:tc>
          <w:tcPr>
            <w:tcW w:w="808" w:type="dxa"/>
            <w:tcBorders>
              <w:top w:val="nil"/>
              <w:left w:val="nil"/>
              <w:bottom w:val="single" w:sz="4" w:space="0" w:color="BFBFBF"/>
              <w:right w:val="single" w:sz="4" w:space="0" w:color="BFBFBF"/>
            </w:tcBorders>
            <w:shd w:val="clear" w:color="auto" w:fill="auto"/>
            <w:noWrap/>
            <w:vAlign w:val="center"/>
          </w:tcPr>
          <w:p w14:paraId="6E06BCD3"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675" w:type="dxa"/>
            <w:tcBorders>
              <w:top w:val="nil"/>
              <w:left w:val="nil"/>
              <w:bottom w:val="single" w:sz="4" w:space="0" w:color="BFBFBF"/>
              <w:right w:val="nil"/>
            </w:tcBorders>
            <w:shd w:val="clear" w:color="auto" w:fill="auto"/>
            <w:noWrap/>
            <w:vAlign w:val="center"/>
          </w:tcPr>
          <w:p w14:paraId="1386D3B4"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n=239</w:t>
            </w:r>
          </w:p>
        </w:tc>
        <w:tc>
          <w:tcPr>
            <w:tcW w:w="826" w:type="dxa"/>
            <w:tcBorders>
              <w:top w:val="nil"/>
              <w:left w:val="single" w:sz="4" w:space="0" w:color="auto"/>
              <w:bottom w:val="single" w:sz="4" w:space="0" w:color="BFBFBF"/>
              <w:right w:val="single" w:sz="4" w:space="0" w:color="BFBFBF"/>
            </w:tcBorders>
            <w:shd w:val="clear" w:color="auto" w:fill="auto"/>
            <w:noWrap/>
            <w:vAlign w:val="center"/>
          </w:tcPr>
          <w:p w14:paraId="36746D58" w14:textId="77777777" w:rsidR="00970E2F" w:rsidRPr="00125162" w:rsidRDefault="00F1282F" w:rsidP="00F128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w:t>
            </w:r>
            <w:r w:rsidR="00970E2F" w:rsidRPr="00125162">
              <w:rPr>
                <w:rFonts w:ascii="Arial" w:hAnsi="Arial" w:cs="Arial"/>
                <w:b/>
                <w:bCs/>
                <w:color w:val="000000"/>
                <w:sz w:val="16"/>
                <w:szCs w:val="16"/>
                <w:lang w:val="en-AU" w:eastAsia="en-AU"/>
              </w:rPr>
              <w:t>=1,</w:t>
            </w:r>
            <w:r w:rsidRPr="00125162">
              <w:rPr>
                <w:rFonts w:ascii="Arial" w:hAnsi="Arial" w:cs="Arial"/>
                <w:b/>
                <w:bCs/>
                <w:color w:val="000000"/>
                <w:sz w:val="16"/>
                <w:szCs w:val="16"/>
                <w:lang w:val="en-AU" w:eastAsia="en-AU"/>
              </w:rPr>
              <w:t>855</w:t>
            </w:r>
          </w:p>
        </w:tc>
        <w:tc>
          <w:tcPr>
            <w:tcW w:w="586" w:type="dxa"/>
            <w:tcBorders>
              <w:top w:val="nil"/>
              <w:left w:val="nil"/>
              <w:bottom w:val="single" w:sz="4" w:space="0" w:color="BFBFBF"/>
              <w:right w:val="nil"/>
            </w:tcBorders>
            <w:shd w:val="clear" w:color="auto" w:fill="auto"/>
            <w:noWrap/>
            <w:vAlign w:val="center"/>
          </w:tcPr>
          <w:p w14:paraId="2B93915A" w14:textId="77777777" w:rsidR="00970E2F" w:rsidRPr="00125162" w:rsidRDefault="00970E2F" w:rsidP="00F128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w:t>
            </w:r>
            <w:r w:rsidR="00F1282F" w:rsidRPr="00125162">
              <w:rPr>
                <w:rFonts w:ascii="Arial" w:hAnsi="Arial" w:cs="Arial"/>
                <w:b/>
                <w:bCs/>
                <w:color w:val="000000"/>
                <w:sz w:val="16"/>
                <w:szCs w:val="16"/>
                <w:lang w:val="en-AU" w:eastAsia="en-AU"/>
              </w:rPr>
              <w:t>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73BEF0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497" w:type="dxa"/>
            <w:tcBorders>
              <w:top w:val="nil"/>
              <w:left w:val="nil"/>
              <w:bottom w:val="single" w:sz="4" w:space="0" w:color="BFBFBF"/>
              <w:right w:val="single" w:sz="4" w:space="0" w:color="auto"/>
            </w:tcBorders>
            <w:shd w:val="clear" w:color="auto" w:fill="auto"/>
            <w:noWrap/>
            <w:vAlign w:val="center"/>
          </w:tcPr>
          <w:p w14:paraId="314CD3E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n=5</w:t>
            </w:r>
          </w:p>
        </w:tc>
        <w:tc>
          <w:tcPr>
            <w:tcW w:w="808" w:type="dxa"/>
            <w:tcBorders>
              <w:top w:val="nil"/>
              <w:left w:val="nil"/>
              <w:bottom w:val="single" w:sz="4" w:space="0" w:color="BFBFBF"/>
              <w:right w:val="single" w:sz="4" w:space="0" w:color="BFBFBF"/>
            </w:tcBorders>
            <w:shd w:val="clear" w:color="auto" w:fill="auto"/>
            <w:noWrap/>
            <w:vAlign w:val="center"/>
          </w:tcPr>
          <w:p w14:paraId="6B692265" w14:textId="77777777" w:rsidR="00970E2F" w:rsidRPr="00125162" w:rsidRDefault="00970E2F" w:rsidP="00F128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F1282F" w:rsidRPr="00125162">
              <w:rPr>
                <w:rFonts w:ascii="Arial" w:hAnsi="Arial" w:cs="Arial"/>
                <w:b/>
                <w:bCs/>
                <w:color w:val="000000"/>
                <w:sz w:val="16"/>
                <w:szCs w:val="16"/>
                <w:lang w:val="en-AU" w:eastAsia="en-AU"/>
              </w:rPr>
              <w:t>855</w:t>
            </w:r>
          </w:p>
        </w:tc>
        <w:tc>
          <w:tcPr>
            <w:tcW w:w="497" w:type="dxa"/>
            <w:tcBorders>
              <w:top w:val="nil"/>
              <w:left w:val="nil"/>
              <w:bottom w:val="single" w:sz="4" w:space="0" w:color="BFBFBF"/>
              <w:right w:val="single" w:sz="4" w:space="0" w:color="auto"/>
            </w:tcBorders>
            <w:shd w:val="clear" w:color="auto" w:fill="auto"/>
            <w:noWrap/>
            <w:vAlign w:val="center"/>
          </w:tcPr>
          <w:p w14:paraId="3B597DB8"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w:t>
            </w:r>
          </w:p>
        </w:tc>
        <w:tc>
          <w:tcPr>
            <w:tcW w:w="808" w:type="dxa"/>
            <w:tcBorders>
              <w:top w:val="nil"/>
              <w:left w:val="nil"/>
              <w:bottom w:val="single" w:sz="4" w:space="0" w:color="BFBFBF"/>
              <w:right w:val="single" w:sz="4" w:space="0" w:color="BFBFBF"/>
            </w:tcBorders>
            <w:shd w:val="clear" w:color="auto" w:fill="auto"/>
            <w:noWrap/>
            <w:vAlign w:val="center"/>
          </w:tcPr>
          <w:p w14:paraId="7338CD9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497" w:type="dxa"/>
            <w:tcBorders>
              <w:top w:val="nil"/>
              <w:left w:val="nil"/>
              <w:bottom w:val="single" w:sz="4" w:space="0" w:color="BFBFBF"/>
              <w:right w:val="double" w:sz="6" w:space="0" w:color="auto"/>
            </w:tcBorders>
            <w:shd w:val="clear" w:color="auto" w:fill="auto"/>
            <w:noWrap/>
            <w:vAlign w:val="center"/>
          </w:tcPr>
          <w:p w14:paraId="6533FA3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n=7</w:t>
            </w:r>
          </w:p>
        </w:tc>
      </w:tr>
      <w:tr w:rsidR="00970E2F" w:rsidRPr="00125162" w14:paraId="0C3C4779"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6C4B09DC" w14:textId="77777777" w:rsidR="00970E2F" w:rsidRPr="00125162" w:rsidRDefault="00970E2F"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Region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5C62380" w14:textId="77777777" w:rsidR="00970E2F" w:rsidRPr="00125162" w:rsidRDefault="00970E2F" w:rsidP="00970E2F">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808" w:type="dxa"/>
            <w:tcBorders>
              <w:top w:val="nil"/>
              <w:left w:val="nil"/>
              <w:bottom w:val="single" w:sz="4" w:space="0" w:color="BFBFBF"/>
              <w:right w:val="nil"/>
            </w:tcBorders>
            <w:shd w:val="clear" w:color="auto" w:fill="auto"/>
            <w:noWrap/>
            <w:vAlign w:val="bottom"/>
          </w:tcPr>
          <w:p w14:paraId="6D4CB299"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26C9444"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0A80B1C6"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630ADD5"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14898100"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7A268E73" w14:textId="77777777" w:rsidR="00970E2F" w:rsidRPr="00125162" w:rsidRDefault="00970E2F" w:rsidP="00970E2F">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3433CD7C"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25EE3B1"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4D51C861"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55810B3A" w14:textId="77777777" w:rsidR="00970E2F" w:rsidRPr="00125162" w:rsidRDefault="00970E2F" w:rsidP="00970E2F">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586" w:type="dxa"/>
            <w:tcBorders>
              <w:top w:val="nil"/>
              <w:left w:val="nil"/>
              <w:bottom w:val="single" w:sz="4" w:space="0" w:color="BFBFBF"/>
              <w:right w:val="nil"/>
            </w:tcBorders>
            <w:shd w:val="clear" w:color="auto" w:fill="auto"/>
            <w:noWrap/>
            <w:vAlign w:val="bottom"/>
          </w:tcPr>
          <w:p w14:paraId="52988FAE"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1CCD75C"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center"/>
          </w:tcPr>
          <w:p w14:paraId="6A6EB365"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33E514C4" w14:textId="77777777" w:rsidR="00970E2F" w:rsidRPr="00125162" w:rsidRDefault="00970E2F" w:rsidP="00970E2F">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bottom"/>
          </w:tcPr>
          <w:p w14:paraId="765A6C55"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5FADD83"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double" w:sz="6" w:space="0" w:color="auto"/>
            </w:tcBorders>
            <w:shd w:val="clear" w:color="auto" w:fill="auto"/>
            <w:noWrap/>
            <w:vAlign w:val="center"/>
          </w:tcPr>
          <w:p w14:paraId="04109BF9"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184A24" w:rsidRPr="00125162" w14:paraId="5536B0FA"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7F8EA048"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125162">
                  <w:rPr>
                    <w:rFonts w:ascii="Arial" w:hAnsi="Arial" w:cs="Arial"/>
                    <w:color w:val="000000"/>
                    <w:sz w:val="16"/>
                    <w:szCs w:val="16"/>
                    <w:lang w:val="en-AU" w:eastAsia="en-AU"/>
                  </w:rPr>
                  <w:t>Melbourne</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DA7D44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08" w:type="dxa"/>
            <w:tcBorders>
              <w:top w:val="nil"/>
              <w:left w:val="nil"/>
              <w:bottom w:val="single" w:sz="4" w:space="0" w:color="BFBFBF"/>
              <w:right w:val="nil"/>
            </w:tcBorders>
            <w:shd w:val="clear" w:color="auto" w:fill="auto"/>
            <w:noWrap/>
            <w:vAlign w:val="center"/>
          </w:tcPr>
          <w:p w14:paraId="4A86A33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A31755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c>
          <w:tcPr>
            <w:tcW w:w="675" w:type="dxa"/>
            <w:tcBorders>
              <w:top w:val="nil"/>
              <w:left w:val="nil"/>
              <w:bottom w:val="single" w:sz="4" w:space="0" w:color="BFBFBF"/>
              <w:right w:val="single" w:sz="4" w:space="0" w:color="auto"/>
            </w:tcBorders>
            <w:shd w:val="clear" w:color="auto" w:fill="auto"/>
            <w:noWrap/>
            <w:vAlign w:val="center"/>
          </w:tcPr>
          <w:p w14:paraId="4670439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77</w:t>
            </w:r>
          </w:p>
        </w:tc>
        <w:tc>
          <w:tcPr>
            <w:tcW w:w="808" w:type="dxa"/>
            <w:tcBorders>
              <w:top w:val="nil"/>
              <w:left w:val="nil"/>
              <w:bottom w:val="single" w:sz="4" w:space="0" w:color="BFBFBF"/>
              <w:right w:val="single" w:sz="4" w:space="0" w:color="BFBFBF"/>
            </w:tcBorders>
            <w:shd w:val="clear" w:color="auto" w:fill="auto"/>
            <w:noWrap/>
            <w:vAlign w:val="center"/>
          </w:tcPr>
          <w:p w14:paraId="5BDD79F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5A9C62C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808" w:type="dxa"/>
            <w:tcBorders>
              <w:top w:val="nil"/>
              <w:left w:val="nil"/>
              <w:bottom w:val="single" w:sz="4" w:space="0" w:color="BFBFBF"/>
              <w:right w:val="single" w:sz="4" w:space="0" w:color="BFBFBF"/>
            </w:tcBorders>
            <w:shd w:val="clear" w:color="auto" w:fill="auto"/>
            <w:noWrap/>
            <w:vAlign w:val="bottom"/>
          </w:tcPr>
          <w:p w14:paraId="3C863DA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w:t>
            </w:r>
          </w:p>
        </w:tc>
        <w:tc>
          <w:tcPr>
            <w:tcW w:w="675" w:type="dxa"/>
            <w:tcBorders>
              <w:top w:val="nil"/>
              <w:left w:val="nil"/>
              <w:bottom w:val="single" w:sz="4" w:space="0" w:color="BFBFBF"/>
              <w:right w:val="single" w:sz="4" w:space="0" w:color="auto"/>
            </w:tcBorders>
            <w:shd w:val="clear" w:color="auto" w:fill="auto"/>
            <w:noWrap/>
            <w:vAlign w:val="center"/>
          </w:tcPr>
          <w:p w14:paraId="04F886A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31</w:t>
            </w:r>
          </w:p>
        </w:tc>
        <w:tc>
          <w:tcPr>
            <w:tcW w:w="808" w:type="dxa"/>
            <w:tcBorders>
              <w:top w:val="nil"/>
              <w:left w:val="nil"/>
              <w:bottom w:val="single" w:sz="4" w:space="0" w:color="BFBFBF"/>
              <w:right w:val="single" w:sz="4" w:space="0" w:color="BFBFBF"/>
            </w:tcBorders>
            <w:shd w:val="clear" w:color="auto" w:fill="auto"/>
            <w:noWrap/>
            <w:vAlign w:val="center"/>
          </w:tcPr>
          <w:p w14:paraId="4D51F9E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675" w:type="dxa"/>
            <w:tcBorders>
              <w:top w:val="nil"/>
              <w:left w:val="nil"/>
              <w:bottom w:val="single" w:sz="4" w:space="0" w:color="BFBFBF"/>
              <w:right w:val="nil"/>
            </w:tcBorders>
            <w:shd w:val="clear" w:color="auto" w:fill="auto"/>
            <w:noWrap/>
            <w:vAlign w:val="center"/>
          </w:tcPr>
          <w:p w14:paraId="5CEDC35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286C2DC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5924520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16CB01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21AD17E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808" w:type="dxa"/>
            <w:tcBorders>
              <w:top w:val="nil"/>
              <w:left w:val="nil"/>
              <w:bottom w:val="single" w:sz="4" w:space="0" w:color="BFBFBF"/>
              <w:right w:val="single" w:sz="4" w:space="0" w:color="BFBFBF"/>
            </w:tcBorders>
            <w:shd w:val="clear" w:color="auto" w:fill="auto"/>
            <w:noWrap/>
            <w:vAlign w:val="bottom"/>
          </w:tcPr>
          <w:p w14:paraId="087A20A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5043818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409</w:t>
            </w:r>
          </w:p>
        </w:tc>
        <w:tc>
          <w:tcPr>
            <w:tcW w:w="808" w:type="dxa"/>
            <w:tcBorders>
              <w:top w:val="nil"/>
              <w:left w:val="nil"/>
              <w:bottom w:val="single" w:sz="4" w:space="0" w:color="BFBFBF"/>
              <w:right w:val="single" w:sz="4" w:space="0" w:color="BFBFBF"/>
            </w:tcBorders>
            <w:shd w:val="clear" w:color="auto" w:fill="auto"/>
            <w:noWrap/>
            <w:vAlign w:val="center"/>
          </w:tcPr>
          <w:p w14:paraId="48CE0B1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double" w:sz="6" w:space="0" w:color="auto"/>
            </w:tcBorders>
            <w:shd w:val="clear" w:color="auto" w:fill="auto"/>
            <w:noWrap/>
            <w:vAlign w:val="center"/>
          </w:tcPr>
          <w:p w14:paraId="238C376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82</w:t>
            </w:r>
          </w:p>
        </w:tc>
      </w:tr>
      <w:tr w:rsidR="00184A24" w:rsidRPr="00125162" w14:paraId="4BA9C04C" w14:textId="77777777" w:rsidTr="002B0E16">
        <w:trPr>
          <w:trHeight w:val="206"/>
        </w:trPr>
        <w:tc>
          <w:tcPr>
            <w:tcW w:w="2291" w:type="dxa"/>
            <w:tcBorders>
              <w:top w:val="nil"/>
              <w:left w:val="double" w:sz="6" w:space="0" w:color="auto"/>
              <w:bottom w:val="single" w:sz="4" w:space="0" w:color="BFBFBF"/>
              <w:right w:val="nil"/>
            </w:tcBorders>
            <w:shd w:val="clear" w:color="auto" w:fill="auto"/>
            <w:noWrap/>
            <w:vAlign w:val="center"/>
          </w:tcPr>
          <w:p w14:paraId="2E304DFF"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Country VIC</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E2D0E0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47%</w:t>
            </w:r>
          </w:p>
        </w:tc>
        <w:tc>
          <w:tcPr>
            <w:tcW w:w="808" w:type="dxa"/>
            <w:tcBorders>
              <w:top w:val="nil"/>
              <w:left w:val="nil"/>
              <w:bottom w:val="single" w:sz="4" w:space="0" w:color="BFBFBF"/>
              <w:right w:val="nil"/>
            </w:tcBorders>
            <w:shd w:val="clear" w:color="auto" w:fill="auto"/>
            <w:noWrap/>
            <w:vAlign w:val="center"/>
          </w:tcPr>
          <w:p w14:paraId="7180B71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1FD4AF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c>
          <w:tcPr>
            <w:tcW w:w="675" w:type="dxa"/>
            <w:tcBorders>
              <w:top w:val="nil"/>
              <w:left w:val="nil"/>
              <w:bottom w:val="single" w:sz="4" w:space="0" w:color="BFBFBF"/>
              <w:right w:val="single" w:sz="4" w:space="0" w:color="auto"/>
            </w:tcBorders>
            <w:shd w:val="clear" w:color="auto" w:fill="auto"/>
            <w:noWrap/>
            <w:vAlign w:val="center"/>
          </w:tcPr>
          <w:p w14:paraId="1D32D78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83</w:t>
            </w:r>
          </w:p>
        </w:tc>
        <w:tc>
          <w:tcPr>
            <w:tcW w:w="808" w:type="dxa"/>
            <w:tcBorders>
              <w:top w:val="nil"/>
              <w:left w:val="nil"/>
              <w:bottom w:val="single" w:sz="4" w:space="0" w:color="BFBFBF"/>
              <w:right w:val="single" w:sz="4" w:space="0" w:color="BFBFBF"/>
            </w:tcBorders>
            <w:shd w:val="clear" w:color="auto" w:fill="auto"/>
            <w:noWrap/>
            <w:vAlign w:val="center"/>
          </w:tcPr>
          <w:p w14:paraId="428232A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17DCF7E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BFBFBF"/>
            </w:tcBorders>
            <w:shd w:val="clear" w:color="auto" w:fill="auto"/>
            <w:noWrap/>
            <w:vAlign w:val="bottom"/>
          </w:tcPr>
          <w:p w14:paraId="131EE8E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675" w:type="dxa"/>
            <w:tcBorders>
              <w:top w:val="nil"/>
              <w:left w:val="nil"/>
              <w:bottom w:val="single" w:sz="4" w:space="0" w:color="BFBFBF"/>
              <w:right w:val="single" w:sz="4" w:space="0" w:color="auto"/>
            </w:tcBorders>
            <w:shd w:val="clear" w:color="auto" w:fill="auto"/>
            <w:noWrap/>
            <w:vAlign w:val="center"/>
          </w:tcPr>
          <w:p w14:paraId="23D8CDA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w:t>
            </w:r>
          </w:p>
        </w:tc>
        <w:tc>
          <w:tcPr>
            <w:tcW w:w="808" w:type="dxa"/>
            <w:tcBorders>
              <w:top w:val="nil"/>
              <w:left w:val="nil"/>
              <w:bottom w:val="single" w:sz="4" w:space="0" w:color="BFBFBF"/>
              <w:right w:val="single" w:sz="4" w:space="0" w:color="BFBFBF"/>
            </w:tcBorders>
            <w:shd w:val="clear" w:color="auto" w:fill="auto"/>
            <w:noWrap/>
            <w:vAlign w:val="center"/>
          </w:tcPr>
          <w:p w14:paraId="4F56C90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675" w:type="dxa"/>
            <w:tcBorders>
              <w:top w:val="nil"/>
              <w:left w:val="nil"/>
              <w:bottom w:val="single" w:sz="4" w:space="0" w:color="BFBFBF"/>
              <w:right w:val="nil"/>
            </w:tcBorders>
            <w:shd w:val="clear" w:color="auto" w:fill="auto"/>
            <w:noWrap/>
            <w:vAlign w:val="center"/>
          </w:tcPr>
          <w:p w14:paraId="4F69E17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2BFB4B4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6282B8D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BFA84E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64C92F2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BFBFBF"/>
            </w:tcBorders>
            <w:shd w:val="clear" w:color="auto" w:fill="auto"/>
            <w:noWrap/>
            <w:vAlign w:val="bottom"/>
          </w:tcPr>
          <w:p w14:paraId="15224BC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bottom"/>
          </w:tcPr>
          <w:p w14:paraId="5FC1C0A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708725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double" w:sz="6" w:space="0" w:color="auto"/>
            </w:tcBorders>
            <w:shd w:val="clear" w:color="auto" w:fill="auto"/>
            <w:noWrap/>
            <w:vAlign w:val="center"/>
          </w:tcPr>
          <w:p w14:paraId="0A17BC9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74</w:t>
            </w:r>
          </w:p>
        </w:tc>
      </w:tr>
      <w:tr w:rsidR="00184A24" w:rsidRPr="00125162" w14:paraId="16504D1E"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4A42F13C" w14:textId="680A70BE" w:rsidR="00184A24" w:rsidRPr="00125162" w:rsidRDefault="00BC6314" w:rsidP="00970E2F">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184A24" w:rsidRPr="00125162">
              <w:rPr>
                <w:rFonts w:ascii="Arial" w:hAnsi="Arial" w:cs="Arial"/>
                <w:color w:val="000000"/>
                <w:sz w:val="16"/>
                <w:szCs w:val="16"/>
                <w:lang w:val="en-AU" w:eastAsia="en-AU"/>
              </w:rPr>
              <w:t>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52D6B89" w14:textId="77777777" w:rsidR="00184A24" w:rsidRPr="00125162" w:rsidRDefault="00B70236"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50</w:t>
            </w:r>
            <w:r w:rsidR="00184A24" w:rsidRPr="00125162">
              <w:rPr>
                <w:rFonts w:ascii="Arial" w:hAnsi="Arial" w:cs="Arial"/>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3A8306FD" w14:textId="77777777" w:rsidR="00184A24" w:rsidRPr="00125162" w:rsidRDefault="00B70236" w:rsidP="00B70236">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209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FAFF5C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53%</w:t>
            </w:r>
          </w:p>
        </w:tc>
        <w:tc>
          <w:tcPr>
            <w:tcW w:w="675" w:type="dxa"/>
            <w:tcBorders>
              <w:top w:val="nil"/>
              <w:left w:val="nil"/>
              <w:bottom w:val="single" w:sz="4" w:space="0" w:color="BFBFBF"/>
              <w:right w:val="single" w:sz="4" w:space="0" w:color="auto"/>
            </w:tcBorders>
            <w:shd w:val="clear" w:color="auto" w:fill="auto"/>
            <w:noWrap/>
            <w:vAlign w:val="center"/>
          </w:tcPr>
          <w:p w14:paraId="2C755D7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97</w:t>
            </w:r>
          </w:p>
        </w:tc>
        <w:tc>
          <w:tcPr>
            <w:tcW w:w="808" w:type="dxa"/>
            <w:tcBorders>
              <w:top w:val="nil"/>
              <w:left w:val="nil"/>
              <w:bottom w:val="single" w:sz="4" w:space="0" w:color="BFBFBF"/>
              <w:right w:val="single" w:sz="4" w:space="0" w:color="BFBFBF"/>
            </w:tcBorders>
            <w:shd w:val="clear" w:color="auto" w:fill="auto"/>
            <w:noWrap/>
            <w:vAlign w:val="center"/>
          </w:tcPr>
          <w:p w14:paraId="2D8E72B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CD3DF4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772A5A5F" w14:textId="77777777" w:rsidR="00184A24" w:rsidRPr="00125162" w:rsidRDefault="00B70236" w:rsidP="00184A24">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25</w:t>
            </w:r>
            <w:r w:rsidR="00184A24" w:rsidRPr="00125162">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2ED9E0B4" w14:textId="77777777" w:rsidR="00184A24" w:rsidRPr="00125162" w:rsidRDefault="00B70236" w:rsidP="00184A24">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BFBFBF"/>
            </w:tcBorders>
            <w:shd w:val="clear" w:color="auto" w:fill="auto"/>
            <w:noWrap/>
            <w:vAlign w:val="center"/>
          </w:tcPr>
          <w:p w14:paraId="778E2C5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w:t>
            </w:r>
          </w:p>
        </w:tc>
        <w:tc>
          <w:tcPr>
            <w:tcW w:w="675" w:type="dxa"/>
            <w:tcBorders>
              <w:top w:val="nil"/>
              <w:left w:val="nil"/>
              <w:bottom w:val="single" w:sz="4" w:space="0" w:color="BFBFBF"/>
              <w:right w:val="nil"/>
            </w:tcBorders>
            <w:shd w:val="clear" w:color="auto" w:fill="auto"/>
            <w:noWrap/>
            <w:vAlign w:val="center"/>
          </w:tcPr>
          <w:p w14:paraId="2447BC0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31</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6F04476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123440D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9A84CD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48990B6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c>
          <w:tcPr>
            <w:tcW w:w="808" w:type="dxa"/>
            <w:tcBorders>
              <w:top w:val="nil"/>
              <w:left w:val="nil"/>
              <w:bottom w:val="single" w:sz="4" w:space="0" w:color="BFBFBF"/>
              <w:right w:val="single" w:sz="4" w:space="0" w:color="BFBFBF"/>
            </w:tcBorders>
            <w:shd w:val="clear" w:color="auto" w:fill="auto"/>
            <w:noWrap/>
            <w:vAlign w:val="bottom"/>
          </w:tcPr>
          <w:p w14:paraId="32566D78" w14:textId="77777777" w:rsidR="00184A24" w:rsidRPr="00125162" w:rsidRDefault="00B70236" w:rsidP="00184A24">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38B2574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555</w:t>
            </w:r>
          </w:p>
        </w:tc>
        <w:tc>
          <w:tcPr>
            <w:tcW w:w="808" w:type="dxa"/>
            <w:tcBorders>
              <w:top w:val="nil"/>
              <w:left w:val="nil"/>
              <w:bottom w:val="single" w:sz="4" w:space="0" w:color="BFBFBF"/>
              <w:right w:val="single" w:sz="4" w:space="0" w:color="BFBFBF"/>
            </w:tcBorders>
            <w:shd w:val="clear" w:color="auto" w:fill="auto"/>
            <w:noWrap/>
            <w:vAlign w:val="center"/>
          </w:tcPr>
          <w:p w14:paraId="2CCB31F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double" w:sz="6" w:space="0" w:color="auto"/>
            </w:tcBorders>
            <w:shd w:val="clear" w:color="auto" w:fill="auto"/>
            <w:noWrap/>
            <w:vAlign w:val="center"/>
          </w:tcPr>
          <w:p w14:paraId="0A4864D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r>
      <w:tr w:rsidR="00184A24" w:rsidRPr="00125162" w14:paraId="715434C2"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21AB2B4D" w14:textId="77777777" w:rsidR="00184A24" w:rsidRPr="00125162" w:rsidRDefault="00184A24"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xml:space="preserve">By DHHS Area -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EA8F3A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7299115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53BC445"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10E580C8"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F8A39EB"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04DCCE3B"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25E0697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2D3A4D9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0BED05A"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234BDF45"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30C113F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86" w:type="dxa"/>
            <w:tcBorders>
              <w:top w:val="nil"/>
              <w:left w:val="nil"/>
              <w:bottom w:val="single" w:sz="4" w:space="0" w:color="BFBFBF"/>
              <w:right w:val="nil"/>
            </w:tcBorders>
            <w:shd w:val="clear" w:color="auto" w:fill="auto"/>
            <w:noWrap/>
            <w:vAlign w:val="center"/>
          </w:tcPr>
          <w:p w14:paraId="7A28940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1C4609D"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center"/>
          </w:tcPr>
          <w:p w14:paraId="65BB08D3"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534E83C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center"/>
          </w:tcPr>
          <w:p w14:paraId="06228D8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69CA09A"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double" w:sz="6" w:space="0" w:color="auto"/>
            </w:tcBorders>
            <w:shd w:val="clear" w:color="auto" w:fill="auto"/>
            <w:noWrap/>
            <w:vAlign w:val="center"/>
          </w:tcPr>
          <w:p w14:paraId="71CA19FF"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184A24" w:rsidRPr="00125162" w14:paraId="08B56D2F"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4678F0AF"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Hume Moreland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8B64D4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w:t>
            </w:r>
          </w:p>
        </w:tc>
        <w:tc>
          <w:tcPr>
            <w:tcW w:w="808" w:type="dxa"/>
            <w:tcBorders>
              <w:top w:val="nil"/>
              <w:left w:val="nil"/>
              <w:bottom w:val="single" w:sz="4" w:space="0" w:color="BFBFBF"/>
              <w:right w:val="nil"/>
            </w:tcBorders>
            <w:shd w:val="clear" w:color="auto" w:fill="auto"/>
            <w:noWrap/>
            <w:vAlign w:val="center"/>
          </w:tcPr>
          <w:p w14:paraId="74C07A1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71956A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21EB78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F72EAD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6A71FA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3477223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w:t>
            </w:r>
          </w:p>
        </w:tc>
        <w:tc>
          <w:tcPr>
            <w:tcW w:w="675" w:type="dxa"/>
            <w:tcBorders>
              <w:top w:val="nil"/>
              <w:left w:val="nil"/>
              <w:bottom w:val="single" w:sz="4" w:space="0" w:color="BFBFBF"/>
              <w:right w:val="single" w:sz="4" w:space="0" w:color="auto"/>
            </w:tcBorders>
            <w:shd w:val="clear" w:color="auto" w:fill="auto"/>
            <w:noWrap/>
            <w:vAlign w:val="center"/>
          </w:tcPr>
          <w:p w14:paraId="59676C5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w:t>
            </w:r>
          </w:p>
        </w:tc>
        <w:tc>
          <w:tcPr>
            <w:tcW w:w="808" w:type="dxa"/>
            <w:tcBorders>
              <w:top w:val="nil"/>
              <w:left w:val="nil"/>
              <w:bottom w:val="single" w:sz="4" w:space="0" w:color="BFBFBF"/>
              <w:right w:val="single" w:sz="4" w:space="0" w:color="BFBFBF"/>
            </w:tcBorders>
            <w:shd w:val="clear" w:color="auto" w:fill="auto"/>
            <w:noWrap/>
            <w:vAlign w:val="center"/>
          </w:tcPr>
          <w:p w14:paraId="6FB35A4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4E9C5E5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5FDC211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1AEF833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189D6D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50037AE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308EBB5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6EB701F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363</w:t>
            </w:r>
          </w:p>
        </w:tc>
        <w:tc>
          <w:tcPr>
            <w:tcW w:w="808" w:type="dxa"/>
            <w:tcBorders>
              <w:top w:val="nil"/>
              <w:left w:val="nil"/>
              <w:bottom w:val="single" w:sz="4" w:space="0" w:color="BFBFBF"/>
              <w:right w:val="single" w:sz="4" w:space="0" w:color="BFBFBF"/>
            </w:tcBorders>
            <w:shd w:val="clear" w:color="auto" w:fill="auto"/>
            <w:noWrap/>
            <w:vAlign w:val="center"/>
          </w:tcPr>
          <w:p w14:paraId="7DD3C52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4040958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0AB166C0"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332A5155"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North Eastern Melbourne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97EF8A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w:t>
            </w:r>
          </w:p>
        </w:tc>
        <w:tc>
          <w:tcPr>
            <w:tcW w:w="808" w:type="dxa"/>
            <w:tcBorders>
              <w:top w:val="nil"/>
              <w:left w:val="nil"/>
              <w:bottom w:val="single" w:sz="4" w:space="0" w:color="BFBFBF"/>
              <w:right w:val="nil"/>
            </w:tcBorders>
            <w:shd w:val="clear" w:color="auto" w:fill="auto"/>
            <w:noWrap/>
            <w:vAlign w:val="center"/>
          </w:tcPr>
          <w:p w14:paraId="17150EA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DE018A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91F6FE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615B11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937789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301A7D1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675" w:type="dxa"/>
            <w:tcBorders>
              <w:top w:val="nil"/>
              <w:left w:val="nil"/>
              <w:bottom w:val="single" w:sz="4" w:space="0" w:color="BFBFBF"/>
              <w:right w:val="single" w:sz="4" w:space="0" w:color="auto"/>
            </w:tcBorders>
            <w:shd w:val="clear" w:color="auto" w:fill="auto"/>
            <w:noWrap/>
            <w:vAlign w:val="center"/>
          </w:tcPr>
          <w:p w14:paraId="033DD0B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32</w:t>
            </w:r>
          </w:p>
        </w:tc>
        <w:tc>
          <w:tcPr>
            <w:tcW w:w="808" w:type="dxa"/>
            <w:tcBorders>
              <w:top w:val="nil"/>
              <w:left w:val="nil"/>
              <w:bottom w:val="single" w:sz="4" w:space="0" w:color="BFBFBF"/>
              <w:right w:val="single" w:sz="4" w:space="0" w:color="BFBFBF"/>
            </w:tcBorders>
            <w:shd w:val="clear" w:color="auto" w:fill="auto"/>
            <w:noWrap/>
            <w:vAlign w:val="center"/>
          </w:tcPr>
          <w:p w14:paraId="757C015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314D890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068DE71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0CE6731C"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FDABD4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059C514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58E67CF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D53D7DC"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48CD02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1919B7E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13658791"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52BF85F3"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Outer </w:t>
            </w:r>
            <w:smartTag w:uri="urn:schemas-microsoft-com:office:smarttags" w:element="place">
              <w:r w:rsidRPr="00125162">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882AFF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c>
          <w:tcPr>
            <w:tcW w:w="808" w:type="dxa"/>
            <w:tcBorders>
              <w:top w:val="nil"/>
              <w:left w:val="nil"/>
              <w:bottom w:val="single" w:sz="4" w:space="0" w:color="BFBFBF"/>
              <w:right w:val="nil"/>
            </w:tcBorders>
            <w:shd w:val="clear" w:color="auto" w:fill="auto"/>
            <w:noWrap/>
            <w:vAlign w:val="center"/>
          </w:tcPr>
          <w:p w14:paraId="68A4834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A4CDC4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1ABBDC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49C4C4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B279A4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2956AF7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675" w:type="dxa"/>
            <w:tcBorders>
              <w:top w:val="nil"/>
              <w:left w:val="nil"/>
              <w:bottom w:val="single" w:sz="4" w:space="0" w:color="BFBFBF"/>
              <w:right w:val="single" w:sz="4" w:space="0" w:color="auto"/>
            </w:tcBorders>
            <w:shd w:val="clear" w:color="auto" w:fill="auto"/>
            <w:noWrap/>
            <w:vAlign w:val="center"/>
          </w:tcPr>
          <w:p w14:paraId="7D967D5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08" w:type="dxa"/>
            <w:tcBorders>
              <w:top w:val="nil"/>
              <w:left w:val="nil"/>
              <w:bottom w:val="single" w:sz="4" w:space="0" w:color="BFBFBF"/>
              <w:right w:val="single" w:sz="4" w:space="0" w:color="BFBFBF"/>
            </w:tcBorders>
            <w:shd w:val="clear" w:color="auto" w:fill="auto"/>
            <w:noWrap/>
            <w:vAlign w:val="center"/>
          </w:tcPr>
          <w:p w14:paraId="115337E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4094E69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2B5F463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01155C2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B7D62D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0446AD8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267CC37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B63882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46A3EA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0AF27B0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15F866AC"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390E93FA"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Inner </w:t>
            </w:r>
            <w:smartTag w:uri="urn:schemas-microsoft-com:office:smarttags" w:element="place">
              <w:r w:rsidRPr="00125162">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F4FB08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808" w:type="dxa"/>
            <w:tcBorders>
              <w:top w:val="nil"/>
              <w:left w:val="nil"/>
              <w:bottom w:val="single" w:sz="4" w:space="0" w:color="BFBFBF"/>
              <w:right w:val="nil"/>
            </w:tcBorders>
            <w:shd w:val="clear" w:color="auto" w:fill="auto"/>
            <w:noWrap/>
            <w:vAlign w:val="center"/>
          </w:tcPr>
          <w:p w14:paraId="2F348C5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DF93A0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D33F68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D84BC8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840948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508FD07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w:t>
            </w:r>
          </w:p>
        </w:tc>
        <w:tc>
          <w:tcPr>
            <w:tcW w:w="675" w:type="dxa"/>
            <w:tcBorders>
              <w:top w:val="nil"/>
              <w:left w:val="nil"/>
              <w:bottom w:val="single" w:sz="4" w:space="0" w:color="BFBFBF"/>
              <w:right w:val="single" w:sz="4" w:space="0" w:color="auto"/>
            </w:tcBorders>
            <w:shd w:val="clear" w:color="auto" w:fill="auto"/>
            <w:noWrap/>
            <w:vAlign w:val="center"/>
          </w:tcPr>
          <w:p w14:paraId="383C7C7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w:t>
            </w:r>
          </w:p>
        </w:tc>
        <w:tc>
          <w:tcPr>
            <w:tcW w:w="808" w:type="dxa"/>
            <w:tcBorders>
              <w:top w:val="nil"/>
              <w:left w:val="nil"/>
              <w:bottom w:val="single" w:sz="4" w:space="0" w:color="BFBFBF"/>
              <w:right w:val="single" w:sz="4" w:space="0" w:color="BFBFBF"/>
            </w:tcBorders>
            <w:shd w:val="clear" w:color="auto" w:fill="auto"/>
            <w:noWrap/>
            <w:vAlign w:val="center"/>
          </w:tcPr>
          <w:p w14:paraId="0380571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6D9925F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2751E85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0C4C393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33AB48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5E2BE9C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55B3FEC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542452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0A63C4B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307F129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3D492AEC"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7587A315"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smartTag w:uri="urn:schemas-microsoft-com:office:smarttags" w:element="place">
              <w:r w:rsidRPr="00125162">
                <w:rPr>
                  <w:rFonts w:ascii="Arial" w:hAnsi="Arial" w:cs="Arial"/>
                  <w:color w:val="000000"/>
                  <w:sz w:val="16"/>
                  <w:szCs w:val="16"/>
                  <w:lang w:val="en-AU" w:eastAsia="en-AU"/>
                </w:rPr>
                <w:t>Southern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F884B3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w:t>
            </w:r>
          </w:p>
        </w:tc>
        <w:tc>
          <w:tcPr>
            <w:tcW w:w="808" w:type="dxa"/>
            <w:tcBorders>
              <w:top w:val="nil"/>
              <w:left w:val="nil"/>
              <w:bottom w:val="single" w:sz="4" w:space="0" w:color="BFBFBF"/>
              <w:right w:val="nil"/>
            </w:tcBorders>
            <w:shd w:val="clear" w:color="auto" w:fill="auto"/>
            <w:noWrap/>
            <w:vAlign w:val="center"/>
          </w:tcPr>
          <w:p w14:paraId="5ABAA77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5B67CE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4E1B3F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1C281C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DF9376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5CCE9C1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w:t>
            </w:r>
          </w:p>
        </w:tc>
        <w:tc>
          <w:tcPr>
            <w:tcW w:w="675" w:type="dxa"/>
            <w:tcBorders>
              <w:top w:val="nil"/>
              <w:left w:val="nil"/>
              <w:bottom w:val="single" w:sz="4" w:space="0" w:color="BFBFBF"/>
              <w:right w:val="single" w:sz="4" w:space="0" w:color="auto"/>
            </w:tcBorders>
            <w:shd w:val="clear" w:color="auto" w:fill="auto"/>
            <w:noWrap/>
            <w:vAlign w:val="center"/>
          </w:tcPr>
          <w:p w14:paraId="7D480BE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08" w:type="dxa"/>
            <w:tcBorders>
              <w:top w:val="nil"/>
              <w:left w:val="nil"/>
              <w:bottom w:val="single" w:sz="4" w:space="0" w:color="BFBFBF"/>
              <w:right w:val="single" w:sz="4" w:space="0" w:color="BFBFBF"/>
            </w:tcBorders>
            <w:shd w:val="clear" w:color="auto" w:fill="auto"/>
            <w:noWrap/>
            <w:vAlign w:val="center"/>
          </w:tcPr>
          <w:p w14:paraId="4FFE8BE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734A83E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0CB3CE8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6905CF5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EF09B2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0F7CA00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3B14E2B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2B4B92E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555</w:t>
            </w:r>
          </w:p>
        </w:tc>
        <w:tc>
          <w:tcPr>
            <w:tcW w:w="808" w:type="dxa"/>
            <w:tcBorders>
              <w:top w:val="nil"/>
              <w:left w:val="nil"/>
              <w:bottom w:val="single" w:sz="4" w:space="0" w:color="BFBFBF"/>
              <w:right w:val="single" w:sz="4" w:space="0" w:color="BFBFBF"/>
            </w:tcBorders>
            <w:shd w:val="clear" w:color="auto" w:fill="auto"/>
            <w:noWrap/>
            <w:vAlign w:val="center"/>
          </w:tcPr>
          <w:p w14:paraId="0D506A4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61094FD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25AE1F03"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3B007993"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Bayside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C44CE1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808" w:type="dxa"/>
            <w:tcBorders>
              <w:top w:val="nil"/>
              <w:left w:val="nil"/>
              <w:bottom w:val="single" w:sz="4" w:space="0" w:color="BFBFBF"/>
              <w:right w:val="nil"/>
            </w:tcBorders>
            <w:shd w:val="clear" w:color="auto" w:fill="auto"/>
            <w:noWrap/>
            <w:vAlign w:val="center"/>
          </w:tcPr>
          <w:p w14:paraId="16A2884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453737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081B4B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AFE762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F08377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1944ED5C"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w:t>
            </w:r>
          </w:p>
        </w:tc>
        <w:tc>
          <w:tcPr>
            <w:tcW w:w="675" w:type="dxa"/>
            <w:tcBorders>
              <w:top w:val="nil"/>
              <w:left w:val="nil"/>
              <w:bottom w:val="single" w:sz="4" w:space="0" w:color="BFBFBF"/>
              <w:right w:val="single" w:sz="4" w:space="0" w:color="auto"/>
            </w:tcBorders>
            <w:shd w:val="clear" w:color="auto" w:fill="auto"/>
            <w:noWrap/>
            <w:vAlign w:val="center"/>
          </w:tcPr>
          <w:p w14:paraId="0452921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808" w:type="dxa"/>
            <w:tcBorders>
              <w:top w:val="nil"/>
              <w:left w:val="nil"/>
              <w:bottom w:val="single" w:sz="4" w:space="0" w:color="BFBFBF"/>
              <w:right w:val="single" w:sz="4" w:space="0" w:color="BFBFBF"/>
            </w:tcBorders>
            <w:shd w:val="clear" w:color="auto" w:fill="auto"/>
            <w:noWrap/>
            <w:vAlign w:val="center"/>
          </w:tcPr>
          <w:p w14:paraId="6EBAD0D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0FE9F40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1D43DEE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4FCB116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67227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5BA2E43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131AAEF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01B5D83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833DA0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3840B6B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792180C3"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23E88717"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smartTag w:uri="urn:schemas-microsoft-com:office:smarttags" w:element="place">
              <w:r w:rsidRPr="00125162">
                <w:rPr>
                  <w:rFonts w:ascii="Arial" w:hAnsi="Arial" w:cs="Arial"/>
                  <w:color w:val="000000"/>
                  <w:sz w:val="16"/>
                  <w:szCs w:val="16"/>
                  <w:lang w:val="en-AU" w:eastAsia="en-AU"/>
                </w:rPr>
                <w:t>Western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A933E6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31%</w:t>
            </w:r>
          </w:p>
        </w:tc>
        <w:tc>
          <w:tcPr>
            <w:tcW w:w="808" w:type="dxa"/>
            <w:tcBorders>
              <w:top w:val="nil"/>
              <w:left w:val="nil"/>
              <w:bottom w:val="single" w:sz="4" w:space="0" w:color="BFBFBF"/>
              <w:right w:val="nil"/>
            </w:tcBorders>
            <w:shd w:val="clear" w:color="auto" w:fill="auto"/>
            <w:noWrap/>
            <w:vAlign w:val="center"/>
          </w:tcPr>
          <w:p w14:paraId="6DCD75A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E27035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9B74C9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802E53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21F97E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0113C34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675" w:type="dxa"/>
            <w:tcBorders>
              <w:top w:val="nil"/>
              <w:left w:val="nil"/>
              <w:bottom w:val="single" w:sz="4" w:space="0" w:color="BFBFBF"/>
              <w:right w:val="single" w:sz="4" w:space="0" w:color="auto"/>
            </w:tcBorders>
            <w:shd w:val="clear" w:color="auto" w:fill="auto"/>
            <w:noWrap/>
            <w:vAlign w:val="center"/>
          </w:tcPr>
          <w:p w14:paraId="6E382BE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808" w:type="dxa"/>
            <w:tcBorders>
              <w:top w:val="nil"/>
              <w:left w:val="nil"/>
              <w:bottom w:val="single" w:sz="4" w:space="0" w:color="BFBFBF"/>
              <w:right w:val="single" w:sz="4" w:space="0" w:color="BFBFBF"/>
            </w:tcBorders>
            <w:shd w:val="clear" w:color="auto" w:fill="auto"/>
            <w:noWrap/>
            <w:vAlign w:val="center"/>
          </w:tcPr>
          <w:p w14:paraId="7BF908F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1BDA059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1614155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1B83950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1F81E8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46B71E3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7A0F1EA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31173A5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3250CD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1F6B798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07486A77"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1555A171"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Brimbank Melton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11F356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808" w:type="dxa"/>
            <w:tcBorders>
              <w:top w:val="nil"/>
              <w:left w:val="nil"/>
              <w:bottom w:val="single" w:sz="4" w:space="0" w:color="BFBFBF"/>
              <w:right w:val="nil"/>
            </w:tcBorders>
            <w:shd w:val="clear" w:color="auto" w:fill="auto"/>
            <w:noWrap/>
            <w:vAlign w:val="center"/>
          </w:tcPr>
          <w:p w14:paraId="7550A9F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294C0F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FBACC8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C44E48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A00038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7D9549B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w:t>
            </w:r>
          </w:p>
        </w:tc>
        <w:tc>
          <w:tcPr>
            <w:tcW w:w="675" w:type="dxa"/>
            <w:tcBorders>
              <w:top w:val="nil"/>
              <w:left w:val="nil"/>
              <w:bottom w:val="single" w:sz="4" w:space="0" w:color="BFBFBF"/>
              <w:right w:val="single" w:sz="4" w:space="0" w:color="auto"/>
            </w:tcBorders>
            <w:shd w:val="clear" w:color="auto" w:fill="auto"/>
            <w:noWrap/>
            <w:vAlign w:val="center"/>
          </w:tcPr>
          <w:p w14:paraId="633A816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33</w:t>
            </w:r>
          </w:p>
        </w:tc>
        <w:tc>
          <w:tcPr>
            <w:tcW w:w="808" w:type="dxa"/>
            <w:tcBorders>
              <w:top w:val="nil"/>
              <w:left w:val="nil"/>
              <w:bottom w:val="single" w:sz="4" w:space="0" w:color="BFBFBF"/>
              <w:right w:val="single" w:sz="4" w:space="0" w:color="BFBFBF"/>
            </w:tcBorders>
            <w:shd w:val="clear" w:color="auto" w:fill="auto"/>
            <w:noWrap/>
            <w:vAlign w:val="center"/>
          </w:tcPr>
          <w:p w14:paraId="5682E04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75E2BC7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1663FAD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1499ED9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03C35C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50E9276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1B98A4B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49F37FE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1D7DC98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7DAA3F3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0994EB4C"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00291B58"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Mallee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40AB6B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w:t>
            </w:r>
          </w:p>
        </w:tc>
        <w:tc>
          <w:tcPr>
            <w:tcW w:w="808" w:type="dxa"/>
            <w:tcBorders>
              <w:top w:val="nil"/>
              <w:left w:val="nil"/>
              <w:bottom w:val="single" w:sz="4" w:space="0" w:color="BFBFBF"/>
              <w:right w:val="nil"/>
            </w:tcBorders>
            <w:shd w:val="clear" w:color="auto" w:fill="auto"/>
            <w:noWrap/>
            <w:vAlign w:val="center"/>
          </w:tcPr>
          <w:p w14:paraId="6A1069B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2B4748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FE78A8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0BB3AC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9CBED2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6F55650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w:t>
            </w:r>
          </w:p>
        </w:tc>
        <w:tc>
          <w:tcPr>
            <w:tcW w:w="675" w:type="dxa"/>
            <w:tcBorders>
              <w:top w:val="nil"/>
              <w:left w:val="nil"/>
              <w:bottom w:val="single" w:sz="4" w:space="0" w:color="BFBFBF"/>
              <w:right w:val="single" w:sz="4" w:space="0" w:color="auto"/>
            </w:tcBorders>
            <w:shd w:val="clear" w:color="auto" w:fill="auto"/>
            <w:noWrap/>
            <w:vAlign w:val="center"/>
          </w:tcPr>
          <w:p w14:paraId="3A11AD6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35</w:t>
            </w:r>
          </w:p>
        </w:tc>
        <w:tc>
          <w:tcPr>
            <w:tcW w:w="808" w:type="dxa"/>
            <w:tcBorders>
              <w:top w:val="nil"/>
              <w:left w:val="nil"/>
              <w:bottom w:val="single" w:sz="4" w:space="0" w:color="BFBFBF"/>
              <w:right w:val="single" w:sz="4" w:space="0" w:color="BFBFBF"/>
            </w:tcBorders>
            <w:shd w:val="clear" w:color="auto" w:fill="auto"/>
            <w:noWrap/>
            <w:vAlign w:val="center"/>
          </w:tcPr>
          <w:p w14:paraId="5336765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6B663E8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4C7A460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09DCFA7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D81A07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70F5CB0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207A7E4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64AF5DC"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4C6B5C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6637E68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1E23D6A6"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311372F0"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Loddon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22D411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w:t>
            </w:r>
          </w:p>
        </w:tc>
        <w:tc>
          <w:tcPr>
            <w:tcW w:w="808" w:type="dxa"/>
            <w:tcBorders>
              <w:top w:val="nil"/>
              <w:left w:val="nil"/>
              <w:bottom w:val="single" w:sz="4" w:space="0" w:color="BFBFBF"/>
              <w:right w:val="nil"/>
            </w:tcBorders>
            <w:shd w:val="clear" w:color="auto" w:fill="auto"/>
            <w:noWrap/>
            <w:vAlign w:val="center"/>
          </w:tcPr>
          <w:p w14:paraId="2D2722B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16C918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D173B2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F45754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6B1E9E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2267487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675" w:type="dxa"/>
            <w:tcBorders>
              <w:top w:val="nil"/>
              <w:left w:val="nil"/>
              <w:bottom w:val="single" w:sz="4" w:space="0" w:color="BFBFBF"/>
              <w:right w:val="single" w:sz="4" w:space="0" w:color="auto"/>
            </w:tcBorders>
            <w:shd w:val="clear" w:color="auto" w:fill="auto"/>
            <w:noWrap/>
            <w:vAlign w:val="center"/>
          </w:tcPr>
          <w:p w14:paraId="6F52E4E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08" w:type="dxa"/>
            <w:tcBorders>
              <w:top w:val="nil"/>
              <w:left w:val="nil"/>
              <w:bottom w:val="single" w:sz="4" w:space="0" w:color="BFBFBF"/>
              <w:right w:val="single" w:sz="4" w:space="0" w:color="BFBFBF"/>
            </w:tcBorders>
            <w:shd w:val="clear" w:color="auto" w:fill="auto"/>
            <w:noWrap/>
            <w:vAlign w:val="center"/>
          </w:tcPr>
          <w:p w14:paraId="5A24413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3BE5D58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7B3DAF5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586" w:type="dxa"/>
            <w:tcBorders>
              <w:top w:val="nil"/>
              <w:left w:val="nil"/>
              <w:bottom w:val="single" w:sz="4" w:space="0" w:color="BFBFBF"/>
              <w:right w:val="nil"/>
            </w:tcBorders>
            <w:shd w:val="clear" w:color="auto" w:fill="auto"/>
            <w:noWrap/>
            <w:vAlign w:val="center"/>
          </w:tcPr>
          <w:p w14:paraId="087CED9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BB3378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6566446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1F5B281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071ED4A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44D1B92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3CB8F1D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5E638B83"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5FEE6197"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125162">
                  <w:rPr>
                    <w:rFonts w:ascii="Arial" w:hAnsi="Arial" w:cs="Arial"/>
                    <w:color w:val="000000"/>
                    <w:sz w:val="16"/>
                    <w:szCs w:val="16"/>
                    <w:lang w:val="en-AU" w:eastAsia="en-AU"/>
                  </w:rPr>
                  <w:t>Murray</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722BC0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c>
          <w:tcPr>
            <w:tcW w:w="808" w:type="dxa"/>
            <w:tcBorders>
              <w:top w:val="nil"/>
              <w:left w:val="nil"/>
              <w:bottom w:val="single" w:sz="4" w:space="0" w:color="BFBFBF"/>
              <w:right w:val="nil"/>
            </w:tcBorders>
            <w:shd w:val="clear" w:color="auto" w:fill="auto"/>
            <w:noWrap/>
            <w:vAlign w:val="center"/>
          </w:tcPr>
          <w:p w14:paraId="6A94B1D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5772F4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85E0DD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B45B06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B8DE55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0DA5219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single" w:sz="4" w:space="0" w:color="auto"/>
            </w:tcBorders>
            <w:shd w:val="clear" w:color="auto" w:fill="auto"/>
            <w:noWrap/>
            <w:vAlign w:val="center"/>
          </w:tcPr>
          <w:p w14:paraId="13065AA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34</w:t>
            </w:r>
          </w:p>
        </w:tc>
        <w:tc>
          <w:tcPr>
            <w:tcW w:w="808" w:type="dxa"/>
            <w:tcBorders>
              <w:top w:val="nil"/>
              <w:left w:val="nil"/>
              <w:bottom w:val="single" w:sz="4" w:space="0" w:color="BFBFBF"/>
              <w:right w:val="single" w:sz="4" w:space="0" w:color="BFBFBF"/>
            </w:tcBorders>
            <w:shd w:val="clear" w:color="auto" w:fill="auto"/>
            <w:noWrap/>
            <w:vAlign w:val="center"/>
          </w:tcPr>
          <w:p w14:paraId="75CF6B8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315C740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42DD137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364119B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847EF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48086CE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0646AE5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609BF47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9FE221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056DBFC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296B203A"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2BEC0658"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Goulburn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8BC2B1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w:t>
            </w:r>
          </w:p>
        </w:tc>
        <w:tc>
          <w:tcPr>
            <w:tcW w:w="808" w:type="dxa"/>
            <w:tcBorders>
              <w:top w:val="nil"/>
              <w:left w:val="nil"/>
              <w:bottom w:val="single" w:sz="4" w:space="0" w:color="BFBFBF"/>
              <w:right w:val="nil"/>
            </w:tcBorders>
            <w:shd w:val="clear" w:color="auto" w:fill="auto"/>
            <w:noWrap/>
            <w:vAlign w:val="center"/>
          </w:tcPr>
          <w:p w14:paraId="05CD27DC"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A7EDFF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6063C82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F0322F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661358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3A50113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single" w:sz="4" w:space="0" w:color="auto"/>
            </w:tcBorders>
            <w:shd w:val="clear" w:color="auto" w:fill="auto"/>
            <w:noWrap/>
            <w:vAlign w:val="center"/>
          </w:tcPr>
          <w:p w14:paraId="2CB0CD7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15C6EBF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0B57B3E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3E9E90B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6421D15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0688D7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4607AAB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2F2C962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5C8856F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57C250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36A66B3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285840DC"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0DC01A5B"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Outer Gippsland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DBFBAE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w:t>
            </w:r>
          </w:p>
        </w:tc>
        <w:tc>
          <w:tcPr>
            <w:tcW w:w="808" w:type="dxa"/>
            <w:tcBorders>
              <w:top w:val="nil"/>
              <w:left w:val="nil"/>
              <w:bottom w:val="single" w:sz="4" w:space="0" w:color="BFBFBF"/>
              <w:right w:val="nil"/>
            </w:tcBorders>
            <w:shd w:val="clear" w:color="auto" w:fill="auto"/>
            <w:noWrap/>
            <w:vAlign w:val="center"/>
          </w:tcPr>
          <w:p w14:paraId="5F71D8F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D9DDD5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1C41296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ADD086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C97A6D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40E9518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35%</w:t>
            </w:r>
          </w:p>
        </w:tc>
        <w:tc>
          <w:tcPr>
            <w:tcW w:w="675" w:type="dxa"/>
            <w:tcBorders>
              <w:top w:val="nil"/>
              <w:left w:val="nil"/>
              <w:bottom w:val="single" w:sz="4" w:space="0" w:color="BFBFBF"/>
              <w:right w:val="single" w:sz="4" w:space="0" w:color="auto"/>
            </w:tcBorders>
            <w:shd w:val="clear" w:color="auto" w:fill="auto"/>
            <w:noWrap/>
            <w:vAlign w:val="center"/>
          </w:tcPr>
          <w:p w14:paraId="51E8F7A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w:t>
            </w:r>
          </w:p>
        </w:tc>
        <w:tc>
          <w:tcPr>
            <w:tcW w:w="808" w:type="dxa"/>
            <w:tcBorders>
              <w:top w:val="nil"/>
              <w:left w:val="nil"/>
              <w:bottom w:val="single" w:sz="4" w:space="0" w:color="BFBFBF"/>
              <w:right w:val="single" w:sz="4" w:space="0" w:color="BFBFBF"/>
            </w:tcBorders>
            <w:shd w:val="clear" w:color="auto" w:fill="auto"/>
            <w:noWrap/>
            <w:vAlign w:val="center"/>
          </w:tcPr>
          <w:p w14:paraId="71711B6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1B34390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3D7D4EE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586" w:type="dxa"/>
            <w:tcBorders>
              <w:top w:val="nil"/>
              <w:left w:val="nil"/>
              <w:bottom w:val="single" w:sz="4" w:space="0" w:color="BFBFBF"/>
              <w:right w:val="nil"/>
            </w:tcBorders>
            <w:shd w:val="clear" w:color="auto" w:fill="auto"/>
            <w:noWrap/>
            <w:vAlign w:val="center"/>
          </w:tcPr>
          <w:p w14:paraId="0B491A6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E86F8D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6B057A5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4C334FD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6789FAA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36126C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3119081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05FDE697"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5CBCFDFA"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Inner Gippsland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96859A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808" w:type="dxa"/>
            <w:tcBorders>
              <w:top w:val="nil"/>
              <w:left w:val="nil"/>
              <w:bottom w:val="single" w:sz="4" w:space="0" w:color="BFBFBF"/>
              <w:right w:val="nil"/>
            </w:tcBorders>
            <w:shd w:val="clear" w:color="auto" w:fill="auto"/>
            <w:noWrap/>
            <w:vAlign w:val="center"/>
          </w:tcPr>
          <w:p w14:paraId="134442D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C536E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4D72A7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D859B3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9A10BA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02493B8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675" w:type="dxa"/>
            <w:tcBorders>
              <w:top w:val="nil"/>
              <w:left w:val="nil"/>
              <w:bottom w:val="single" w:sz="4" w:space="0" w:color="BFBFBF"/>
              <w:right w:val="single" w:sz="4" w:space="0" w:color="auto"/>
            </w:tcBorders>
            <w:shd w:val="clear" w:color="auto" w:fill="auto"/>
            <w:noWrap/>
            <w:vAlign w:val="center"/>
          </w:tcPr>
          <w:p w14:paraId="4E7D311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66</w:t>
            </w:r>
          </w:p>
        </w:tc>
        <w:tc>
          <w:tcPr>
            <w:tcW w:w="808" w:type="dxa"/>
            <w:tcBorders>
              <w:top w:val="nil"/>
              <w:left w:val="nil"/>
              <w:bottom w:val="single" w:sz="4" w:space="0" w:color="BFBFBF"/>
              <w:right w:val="single" w:sz="4" w:space="0" w:color="BFBFBF"/>
            </w:tcBorders>
            <w:shd w:val="clear" w:color="auto" w:fill="auto"/>
            <w:noWrap/>
            <w:vAlign w:val="center"/>
          </w:tcPr>
          <w:p w14:paraId="33D0F5A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726DF92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7FFBA74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744C460C"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D2827A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788718A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71C97B5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598E575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44BA1D4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33029AE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0D301C53"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7883F1B0"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Western District</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8DBEE0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53%</w:t>
            </w:r>
          </w:p>
        </w:tc>
        <w:tc>
          <w:tcPr>
            <w:tcW w:w="808" w:type="dxa"/>
            <w:tcBorders>
              <w:top w:val="nil"/>
              <w:left w:val="nil"/>
              <w:bottom w:val="single" w:sz="4" w:space="0" w:color="BFBFBF"/>
              <w:right w:val="nil"/>
            </w:tcBorders>
            <w:shd w:val="clear" w:color="auto" w:fill="auto"/>
            <w:noWrap/>
            <w:vAlign w:val="center"/>
          </w:tcPr>
          <w:p w14:paraId="2847CE4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5C128C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E46098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FE7379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44D39C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21AE8CE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w:t>
            </w:r>
          </w:p>
        </w:tc>
        <w:tc>
          <w:tcPr>
            <w:tcW w:w="675" w:type="dxa"/>
            <w:tcBorders>
              <w:top w:val="nil"/>
              <w:left w:val="nil"/>
              <w:bottom w:val="single" w:sz="4" w:space="0" w:color="BFBFBF"/>
              <w:right w:val="single" w:sz="4" w:space="0" w:color="auto"/>
            </w:tcBorders>
            <w:shd w:val="clear" w:color="auto" w:fill="auto"/>
            <w:noWrap/>
            <w:vAlign w:val="center"/>
          </w:tcPr>
          <w:p w14:paraId="405FDB7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08" w:type="dxa"/>
            <w:tcBorders>
              <w:top w:val="nil"/>
              <w:left w:val="nil"/>
              <w:bottom w:val="single" w:sz="4" w:space="0" w:color="BFBFBF"/>
              <w:right w:val="single" w:sz="4" w:space="0" w:color="BFBFBF"/>
            </w:tcBorders>
            <w:shd w:val="clear" w:color="auto" w:fill="auto"/>
            <w:noWrap/>
            <w:vAlign w:val="center"/>
          </w:tcPr>
          <w:p w14:paraId="38747AB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6794A7A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4CF198F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6B857AD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C67EC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2BFA1E5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356BA4B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D99B1A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0C422D7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61D6EC3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64F424BD"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09BB4DAF"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Barwon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19FE88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808" w:type="dxa"/>
            <w:tcBorders>
              <w:top w:val="nil"/>
              <w:left w:val="nil"/>
              <w:bottom w:val="single" w:sz="4" w:space="0" w:color="BFBFBF"/>
              <w:right w:val="nil"/>
            </w:tcBorders>
            <w:shd w:val="clear" w:color="auto" w:fill="auto"/>
            <w:noWrap/>
            <w:vAlign w:val="center"/>
          </w:tcPr>
          <w:p w14:paraId="1EA82E2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4FE6C8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1F97186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290876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DA66B2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7469ABF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w:t>
            </w:r>
          </w:p>
        </w:tc>
        <w:tc>
          <w:tcPr>
            <w:tcW w:w="675" w:type="dxa"/>
            <w:tcBorders>
              <w:top w:val="nil"/>
              <w:left w:val="nil"/>
              <w:bottom w:val="single" w:sz="4" w:space="0" w:color="BFBFBF"/>
              <w:right w:val="single" w:sz="4" w:space="0" w:color="auto"/>
            </w:tcBorders>
            <w:shd w:val="clear" w:color="auto" w:fill="auto"/>
            <w:noWrap/>
            <w:vAlign w:val="center"/>
          </w:tcPr>
          <w:p w14:paraId="14F7B3D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32</w:t>
            </w:r>
          </w:p>
        </w:tc>
        <w:tc>
          <w:tcPr>
            <w:tcW w:w="808" w:type="dxa"/>
            <w:tcBorders>
              <w:top w:val="nil"/>
              <w:left w:val="nil"/>
              <w:bottom w:val="single" w:sz="4" w:space="0" w:color="BFBFBF"/>
              <w:right w:val="single" w:sz="4" w:space="0" w:color="BFBFBF"/>
            </w:tcBorders>
            <w:shd w:val="clear" w:color="auto" w:fill="auto"/>
            <w:noWrap/>
            <w:vAlign w:val="center"/>
          </w:tcPr>
          <w:p w14:paraId="7DBB427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13F145F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2A14F45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00ED58A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C6F1CB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3DAC8F3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1FFEF8F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3A15AD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026DEC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5E3CFE4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2ABC1D19"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bottom"/>
          </w:tcPr>
          <w:p w14:paraId="053247EC"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Central Highlands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4FDD35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808" w:type="dxa"/>
            <w:tcBorders>
              <w:top w:val="nil"/>
              <w:left w:val="nil"/>
              <w:bottom w:val="single" w:sz="4" w:space="0" w:color="BFBFBF"/>
              <w:right w:val="nil"/>
            </w:tcBorders>
            <w:shd w:val="clear" w:color="auto" w:fill="auto"/>
            <w:noWrap/>
            <w:vAlign w:val="center"/>
          </w:tcPr>
          <w:p w14:paraId="48A2A48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28F822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681C0B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ACB8B3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DA9A41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1009B73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w:t>
            </w:r>
          </w:p>
        </w:tc>
        <w:tc>
          <w:tcPr>
            <w:tcW w:w="675" w:type="dxa"/>
            <w:tcBorders>
              <w:top w:val="nil"/>
              <w:left w:val="nil"/>
              <w:bottom w:val="single" w:sz="4" w:space="0" w:color="BFBFBF"/>
              <w:right w:val="single" w:sz="4" w:space="0" w:color="auto"/>
            </w:tcBorders>
            <w:shd w:val="clear" w:color="auto" w:fill="auto"/>
            <w:noWrap/>
            <w:vAlign w:val="center"/>
          </w:tcPr>
          <w:p w14:paraId="5FC77CA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08" w:type="dxa"/>
            <w:tcBorders>
              <w:top w:val="nil"/>
              <w:left w:val="nil"/>
              <w:bottom w:val="single" w:sz="4" w:space="0" w:color="BFBFBF"/>
              <w:right w:val="single" w:sz="4" w:space="0" w:color="BFBFBF"/>
            </w:tcBorders>
            <w:shd w:val="clear" w:color="auto" w:fill="auto"/>
            <w:noWrap/>
            <w:vAlign w:val="center"/>
          </w:tcPr>
          <w:p w14:paraId="0306A05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3041D28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6835F28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78A667C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2E840B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43079D6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bottom"/>
          </w:tcPr>
          <w:p w14:paraId="162E21A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02CCF39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0BA969A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double" w:sz="6" w:space="0" w:color="auto"/>
            </w:tcBorders>
            <w:shd w:val="clear" w:color="auto" w:fill="auto"/>
            <w:noWrap/>
            <w:vAlign w:val="center"/>
          </w:tcPr>
          <w:p w14:paraId="7D47134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184A24" w:rsidRPr="00125162" w14:paraId="0535D2A4"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0DB51231" w14:textId="77777777" w:rsidR="00184A24" w:rsidRPr="00125162" w:rsidRDefault="00184A24"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Concession Status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687879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48688E2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E217AB3" w14:textId="77777777" w:rsidR="00184A24" w:rsidRPr="00125162" w:rsidRDefault="00184A24"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156D28C1" w14:textId="77777777" w:rsidR="00184A24" w:rsidRPr="00125162" w:rsidRDefault="00184A24"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7C1342E" w14:textId="77777777" w:rsidR="00184A24" w:rsidRPr="00125162" w:rsidRDefault="00184A24"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69FB87CC" w14:textId="77777777" w:rsidR="00184A24" w:rsidRPr="00125162" w:rsidRDefault="00184A24"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71959B1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136A9B9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BE0B7F7" w14:textId="77777777" w:rsidR="00184A24" w:rsidRPr="00125162" w:rsidRDefault="00184A24"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76FE6814" w14:textId="77777777" w:rsidR="00184A24" w:rsidRPr="00125162" w:rsidRDefault="00184A24"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18EBB01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86" w:type="dxa"/>
            <w:tcBorders>
              <w:top w:val="nil"/>
              <w:left w:val="nil"/>
              <w:bottom w:val="single" w:sz="4" w:space="0" w:color="BFBFBF"/>
              <w:right w:val="nil"/>
            </w:tcBorders>
            <w:shd w:val="clear" w:color="auto" w:fill="auto"/>
            <w:noWrap/>
            <w:vAlign w:val="center"/>
          </w:tcPr>
          <w:p w14:paraId="24CF40B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DF19414"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center"/>
          </w:tcPr>
          <w:p w14:paraId="77CA8B91" w14:textId="77777777" w:rsidR="00184A24" w:rsidRPr="00125162" w:rsidRDefault="00184A24"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305944B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center"/>
          </w:tcPr>
          <w:p w14:paraId="6BAF0BA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55F15AE" w14:textId="77777777" w:rsidR="00184A24" w:rsidRPr="00125162" w:rsidRDefault="00184A24" w:rsidP="00970E2F">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double" w:sz="6" w:space="0" w:color="auto"/>
            </w:tcBorders>
            <w:shd w:val="clear" w:color="auto" w:fill="auto"/>
            <w:noWrap/>
            <w:vAlign w:val="center"/>
          </w:tcPr>
          <w:p w14:paraId="1BCF928C" w14:textId="77777777" w:rsidR="00184A24" w:rsidRPr="00125162" w:rsidRDefault="00184A24"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184A24" w:rsidRPr="00125162" w14:paraId="0C6D69FA"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7CDE7F84"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Aged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ECEF60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93%</w:t>
            </w:r>
          </w:p>
        </w:tc>
        <w:tc>
          <w:tcPr>
            <w:tcW w:w="808" w:type="dxa"/>
            <w:tcBorders>
              <w:top w:val="nil"/>
              <w:left w:val="nil"/>
              <w:bottom w:val="single" w:sz="4" w:space="0" w:color="BFBFBF"/>
              <w:right w:val="nil"/>
            </w:tcBorders>
            <w:shd w:val="clear" w:color="auto" w:fill="auto"/>
            <w:noWrap/>
            <w:vAlign w:val="center"/>
          </w:tcPr>
          <w:p w14:paraId="64C0FC7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AA1B18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82%</w:t>
            </w:r>
          </w:p>
        </w:tc>
        <w:tc>
          <w:tcPr>
            <w:tcW w:w="675" w:type="dxa"/>
            <w:tcBorders>
              <w:top w:val="nil"/>
              <w:left w:val="nil"/>
              <w:bottom w:val="single" w:sz="4" w:space="0" w:color="BFBFBF"/>
              <w:right w:val="single" w:sz="4" w:space="0" w:color="auto"/>
            </w:tcBorders>
            <w:shd w:val="clear" w:color="auto" w:fill="auto"/>
            <w:noWrap/>
            <w:vAlign w:val="center"/>
          </w:tcPr>
          <w:p w14:paraId="082360A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503FC8C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3A053EA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67</w:t>
            </w:r>
          </w:p>
        </w:tc>
        <w:tc>
          <w:tcPr>
            <w:tcW w:w="808" w:type="dxa"/>
            <w:tcBorders>
              <w:top w:val="nil"/>
              <w:left w:val="nil"/>
              <w:bottom w:val="single" w:sz="4" w:space="0" w:color="BFBFBF"/>
              <w:right w:val="single" w:sz="4" w:space="0" w:color="BFBFBF"/>
            </w:tcBorders>
            <w:shd w:val="clear" w:color="auto" w:fill="auto"/>
            <w:noWrap/>
            <w:vAlign w:val="bottom"/>
          </w:tcPr>
          <w:p w14:paraId="76422CE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675" w:type="dxa"/>
            <w:tcBorders>
              <w:top w:val="nil"/>
              <w:left w:val="nil"/>
              <w:bottom w:val="single" w:sz="4" w:space="0" w:color="BFBFBF"/>
              <w:right w:val="single" w:sz="4" w:space="0" w:color="auto"/>
            </w:tcBorders>
            <w:shd w:val="clear" w:color="auto" w:fill="auto"/>
            <w:noWrap/>
            <w:vAlign w:val="center"/>
          </w:tcPr>
          <w:p w14:paraId="63C2047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34</w:t>
            </w:r>
          </w:p>
        </w:tc>
        <w:tc>
          <w:tcPr>
            <w:tcW w:w="808" w:type="dxa"/>
            <w:tcBorders>
              <w:top w:val="nil"/>
              <w:left w:val="nil"/>
              <w:bottom w:val="single" w:sz="4" w:space="0" w:color="BFBFBF"/>
              <w:right w:val="single" w:sz="4" w:space="0" w:color="BFBFBF"/>
            </w:tcBorders>
            <w:shd w:val="clear" w:color="auto" w:fill="auto"/>
            <w:noWrap/>
            <w:vAlign w:val="center"/>
          </w:tcPr>
          <w:p w14:paraId="2531519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nil"/>
            </w:tcBorders>
            <w:shd w:val="clear" w:color="auto" w:fill="auto"/>
            <w:noWrap/>
            <w:vAlign w:val="center"/>
          </w:tcPr>
          <w:p w14:paraId="701324C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2977D9B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75E8041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0F1D28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3827502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w:t>
            </w:r>
          </w:p>
        </w:tc>
        <w:tc>
          <w:tcPr>
            <w:tcW w:w="808" w:type="dxa"/>
            <w:tcBorders>
              <w:top w:val="nil"/>
              <w:left w:val="nil"/>
              <w:bottom w:val="single" w:sz="4" w:space="0" w:color="BFBFBF"/>
              <w:right w:val="single" w:sz="4" w:space="0" w:color="BFBFBF"/>
            </w:tcBorders>
            <w:shd w:val="clear" w:color="auto" w:fill="auto"/>
            <w:noWrap/>
            <w:vAlign w:val="bottom"/>
          </w:tcPr>
          <w:p w14:paraId="573AB55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024BCE4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363</w:t>
            </w:r>
          </w:p>
        </w:tc>
        <w:tc>
          <w:tcPr>
            <w:tcW w:w="808" w:type="dxa"/>
            <w:tcBorders>
              <w:top w:val="nil"/>
              <w:left w:val="nil"/>
              <w:bottom w:val="single" w:sz="4" w:space="0" w:color="BFBFBF"/>
              <w:right w:val="single" w:sz="4" w:space="0" w:color="BFBFBF"/>
            </w:tcBorders>
            <w:shd w:val="clear" w:color="auto" w:fill="auto"/>
            <w:noWrap/>
            <w:vAlign w:val="center"/>
          </w:tcPr>
          <w:p w14:paraId="313472E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double" w:sz="6" w:space="0" w:color="auto"/>
            </w:tcBorders>
            <w:shd w:val="clear" w:color="auto" w:fill="auto"/>
            <w:noWrap/>
            <w:vAlign w:val="center"/>
          </w:tcPr>
          <w:p w14:paraId="4429A36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76</w:t>
            </w:r>
          </w:p>
        </w:tc>
      </w:tr>
      <w:tr w:rsidR="00184A24" w:rsidRPr="00125162" w14:paraId="20EF8F15"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5C8755F7"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Other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EF9BCC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86%</w:t>
            </w:r>
          </w:p>
        </w:tc>
        <w:tc>
          <w:tcPr>
            <w:tcW w:w="808" w:type="dxa"/>
            <w:tcBorders>
              <w:top w:val="nil"/>
              <w:left w:val="nil"/>
              <w:bottom w:val="single" w:sz="4" w:space="0" w:color="BFBFBF"/>
              <w:right w:val="nil"/>
            </w:tcBorders>
            <w:shd w:val="clear" w:color="auto" w:fill="auto"/>
            <w:noWrap/>
            <w:vAlign w:val="center"/>
          </w:tcPr>
          <w:p w14:paraId="5DCBBBD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BF10A2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70%</w:t>
            </w:r>
          </w:p>
        </w:tc>
        <w:tc>
          <w:tcPr>
            <w:tcW w:w="675" w:type="dxa"/>
            <w:tcBorders>
              <w:top w:val="nil"/>
              <w:left w:val="nil"/>
              <w:bottom w:val="single" w:sz="4" w:space="0" w:color="BFBFBF"/>
              <w:right w:val="single" w:sz="4" w:space="0" w:color="auto"/>
            </w:tcBorders>
            <w:shd w:val="clear" w:color="auto" w:fill="auto"/>
            <w:noWrap/>
            <w:vAlign w:val="center"/>
          </w:tcPr>
          <w:p w14:paraId="191E7F9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79</w:t>
            </w:r>
          </w:p>
        </w:tc>
        <w:tc>
          <w:tcPr>
            <w:tcW w:w="808" w:type="dxa"/>
            <w:tcBorders>
              <w:top w:val="nil"/>
              <w:left w:val="nil"/>
              <w:bottom w:val="single" w:sz="4" w:space="0" w:color="BFBFBF"/>
              <w:right w:val="single" w:sz="4" w:space="0" w:color="BFBFBF"/>
            </w:tcBorders>
            <w:shd w:val="clear" w:color="auto" w:fill="auto"/>
            <w:noWrap/>
            <w:vAlign w:val="center"/>
          </w:tcPr>
          <w:p w14:paraId="4211710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322A546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65</w:t>
            </w:r>
          </w:p>
        </w:tc>
        <w:tc>
          <w:tcPr>
            <w:tcW w:w="808" w:type="dxa"/>
            <w:tcBorders>
              <w:top w:val="nil"/>
              <w:left w:val="nil"/>
              <w:bottom w:val="single" w:sz="4" w:space="0" w:color="BFBFBF"/>
              <w:right w:val="single" w:sz="4" w:space="0" w:color="BFBFBF"/>
            </w:tcBorders>
            <w:shd w:val="clear" w:color="auto" w:fill="auto"/>
            <w:noWrap/>
            <w:vAlign w:val="bottom"/>
          </w:tcPr>
          <w:p w14:paraId="1CF540C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07C3A73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31</w:t>
            </w:r>
          </w:p>
        </w:tc>
        <w:tc>
          <w:tcPr>
            <w:tcW w:w="808" w:type="dxa"/>
            <w:tcBorders>
              <w:top w:val="nil"/>
              <w:left w:val="nil"/>
              <w:bottom w:val="single" w:sz="4" w:space="0" w:color="BFBFBF"/>
              <w:right w:val="single" w:sz="4" w:space="0" w:color="BFBFBF"/>
            </w:tcBorders>
            <w:shd w:val="clear" w:color="auto" w:fill="auto"/>
            <w:noWrap/>
            <w:vAlign w:val="center"/>
          </w:tcPr>
          <w:p w14:paraId="77F3431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w:t>
            </w:r>
          </w:p>
        </w:tc>
        <w:tc>
          <w:tcPr>
            <w:tcW w:w="675" w:type="dxa"/>
            <w:tcBorders>
              <w:top w:val="nil"/>
              <w:left w:val="nil"/>
              <w:bottom w:val="single" w:sz="4" w:space="0" w:color="BFBFBF"/>
              <w:right w:val="nil"/>
            </w:tcBorders>
            <w:shd w:val="clear" w:color="auto" w:fill="auto"/>
            <w:noWrap/>
            <w:vAlign w:val="center"/>
          </w:tcPr>
          <w:p w14:paraId="4A61E68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28D6B2B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4F93349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D54F5A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1F6099A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808" w:type="dxa"/>
            <w:tcBorders>
              <w:top w:val="nil"/>
              <w:left w:val="nil"/>
              <w:bottom w:val="single" w:sz="4" w:space="0" w:color="BFBFBF"/>
              <w:right w:val="single" w:sz="4" w:space="0" w:color="BFBFBF"/>
            </w:tcBorders>
            <w:shd w:val="clear" w:color="auto" w:fill="auto"/>
            <w:noWrap/>
            <w:vAlign w:val="bottom"/>
          </w:tcPr>
          <w:p w14:paraId="57F365EC"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2F99E8C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555</w:t>
            </w:r>
          </w:p>
        </w:tc>
        <w:tc>
          <w:tcPr>
            <w:tcW w:w="808" w:type="dxa"/>
            <w:tcBorders>
              <w:top w:val="nil"/>
              <w:left w:val="nil"/>
              <w:bottom w:val="single" w:sz="4" w:space="0" w:color="BFBFBF"/>
              <w:right w:val="single" w:sz="4" w:space="0" w:color="BFBFBF"/>
            </w:tcBorders>
            <w:shd w:val="clear" w:color="auto" w:fill="auto"/>
            <w:noWrap/>
            <w:vAlign w:val="center"/>
          </w:tcPr>
          <w:p w14:paraId="3E84C0B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double" w:sz="6" w:space="0" w:color="auto"/>
            </w:tcBorders>
            <w:shd w:val="clear" w:color="auto" w:fill="auto"/>
            <w:noWrap/>
            <w:vAlign w:val="center"/>
          </w:tcPr>
          <w:p w14:paraId="05E0ECF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111</w:t>
            </w:r>
          </w:p>
        </w:tc>
      </w:tr>
      <w:tr w:rsidR="00184A24" w:rsidRPr="00125162" w14:paraId="506330E4"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2150D9D2"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Total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5C101D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89%</w:t>
            </w:r>
          </w:p>
        </w:tc>
        <w:tc>
          <w:tcPr>
            <w:tcW w:w="808" w:type="dxa"/>
            <w:tcBorders>
              <w:top w:val="nil"/>
              <w:left w:val="nil"/>
              <w:bottom w:val="single" w:sz="4" w:space="0" w:color="BFBFBF"/>
              <w:right w:val="nil"/>
            </w:tcBorders>
            <w:shd w:val="clear" w:color="auto" w:fill="auto"/>
            <w:noWrap/>
            <w:vAlign w:val="center"/>
          </w:tcPr>
          <w:p w14:paraId="486F6F1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604A53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76%</w:t>
            </w:r>
          </w:p>
        </w:tc>
        <w:tc>
          <w:tcPr>
            <w:tcW w:w="675" w:type="dxa"/>
            <w:tcBorders>
              <w:top w:val="nil"/>
              <w:left w:val="nil"/>
              <w:bottom w:val="single" w:sz="4" w:space="0" w:color="BFBFBF"/>
              <w:right w:val="single" w:sz="4" w:space="0" w:color="auto"/>
            </w:tcBorders>
            <w:shd w:val="clear" w:color="auto" w:fill="auto"/>
            <w:noWrap/>
            <w:vAlign w:val="center"/>
          </w:tcPr>
          <w:p w14:paraId="2B43C24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BFBFBF"/>
            </w:tcBorders>
            <w:shd w:val="clear" w:color="auto" w:fill="auto"/>
            <w:noWrap/>
            <w:vAlign w:val="center"/>
          </w:tcPr>
          <w:p w14:paraId="6180920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1C6F02E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66</w:t>
            </w:r>
          </w:p>
        </w:tc>
        <w:tc>
          <w:tcPr>
            <w:tcW w:w="808" w:type="dxa"/>
            <w:tcBorders>
              <w:top w:val="nil"/>
              <w:left w:val="nil"/>
              <w:bottom w:val="single" w:sz="4" w:space="0" w:color="BFBFBF"/>
              <w:right w:val="single" w:sz="4" w:space="0" w:color="BFBFBF"/>
            </w:tcBorders>
            <w:shd w:val="clear" w:color="auto" w:fill="auto"/>
            <w:noWrap/>
            <w:vAlign w:val="bottom"/>
          </w:tcPr>
          <w:p w14:paraId="69CEB15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675" w:type="dxa"/>
            <w:tcBorders>
              <w:top w:val="nil"/>
              <w:left w:val="nil"/>
              <w:bottom w:val="single" w:sz="4" w:space="0" w:color="BFBFBF"/>
              <w:right w:val="single" w:sz="4" w:space="0" w:color="auto"/>
            </w:tcBorders>
            <w:shd w:val="clear" w:color="auto" w:fill="auto"/>
            <w:noWrap/>
            <w:vAlign w:val="center"/>
          </w:tcPr>
          <w:p w14:paraId="3975CED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33</w:t>
            </w:r>
          </w:p>
        </w:tc>
        <w:tc>
          <w:tcPr>
            <w:tcW w:w="808" w:type="dxa"/>
            <w:tcBorders>
              <w:top w:val="nil"/>
              <w:left w:val="nil"/>
              <w:bottom w:val="single" w:sz="4" w:space="0" w:color="BFBFBF"/>
              <w:right w:val="single" w:sz="4" w:space="0" w:color="BFBFBF"/>
            </w:tcBorders>
            <w:shd w:val="clear" w:color="auto" w:fill="auto"/>
            <w:noWrap/>
            <w:vAlign w:val="center"/>
          </w:tcPr>
          <w:p w14:paraId="778BDF9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675" w:type="dxa"/>
            <w:tcBorders>
              <w:top w:val="nil"/>
              <w:left w:val="nil"/>
              <w:bottom w:val="single" w:sz="4" w:space="0" w:color="BFBFBF"/>
              <w:right w:val="nil"/>
            </w:tcBorders>
            <w:shd w:val="clear" w:color="auto" w:fill="auto"/>
            <w:noWrap/>
            <w:vAlign w:val="center"/>
          </w:tcPr>
          <w:p w14:paraId="4C0DC8D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47DF05C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51ED47B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6E4CF3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62EEFA8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w:t>
            </w:r>
          </w:p>
        </w:tc>
        <w:tc>
          <w:tcPr>
            <w:tcW w:w="808" w:type="dxa"/>
            <w:tcBorders>
              <w:top w:val="nil"/>
              <w:left w:val="nil"/>
              <w:bottom w:val="single" w:sz="4" w:space="0" w:color="BFBFBF"/>
              <w:right w:val="single" w:sz="4" w:space="0" w:color="BFBFBF"/>
            </w:tcBorders>
            <w:shd w:val="clear" w:color="auto" w:fill="auto"/>
            <w:noWrap/>
            <w:vAlign w:val="bottom"/>
          </w:tcPr>
          <w:p w14:paraId="050DDCB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FD84F5C"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409</w:t>
            </w:r>
          </w:p>
        </w:tc>
        <w:tc>
          <w:tcPr>
            <w:tcW w:w="808" w:type="dxa"/>
            <w:tcBorders>
              <w:top w:val="nil"/>
              <w:left w:val="nil"/>
              <w:bottom w:val="single" w:sz="4" w:space="0" w:color="BFBFBF"/>
              <w:right w:val="single" w:sz="4" w:space="0" w:color="BFBFBF"/>
            </w:tcBorders>
            <w:shd w:val="clear" w:color="auto" w:fill="auto"/>
            <w:noWrap/>
            <w:vAlign w:val="center"/>
          </w:tcPr>
          <w:p w14:paraId="28696D3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double" w:sz="6" w:space="0" w:color="auto"/>
            </w:tcBorders>
            <w:shd w:val="clear" w:color="auto" w:fill="auto"/>
            <w:noWrap/>
            <w:vAlign w:val="center"/>
          </w:tcPr>
          <w:p w14:paraId="6F8EB28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85</w:t>
            </w:r>
          </w:p>
        </w:tc>
      </w:tr>
      <w:tr w:rsidR="00184A24" w:rsidRPr="00125162" w14:paraId="6E195FA3" w14:textId="77777777" w:rsidTr="00184A24">
        <w:trPr>
          <w:trHeight w:val="206"/>
        </w:trPr>
        <w:tc>
          <w:tcPr>
            <w:tcW w:w="2291" w:type="dxa"/>
            <w:tcBorders>
              <w:top w:val="single" w:sz="4" w:space="0" w:color="BFBFBF"/>
              <w:left w:val="double" w:sz="6" w:space="0" w:color="auto"/>
              <w:bottom w:val="double" w:sz="4" w:space="0" w:color="auto"/>
              <w:right w:val="nil"/>
            </w:tcBorders>
            <w:shd w:val="clear" w:color="auto" w:fill="auto"/>
            <w:noWrap/>
            <w:vAlign w:val="center"/>
          </w:tcPr>
          <w:p w14:paraId="08578ADA"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Non-Concession HHs</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bottom"/>
          </w:tcPr>
          <w:p w14:paraId="21766F8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w:t>
            </w:r>
          </w:p>
        </w:tc>
        <w:tc>
          <w:tcPr>
            <w:tcW w:w="808" w:type="dxa"/>
            <w:tcBorders>
              <w:top w:val="single" w:sz="4" w:space="0" w:color="BFBFBF"/>
              <w:left w:val="nil"/>
              <w:bottom w:val="double" w:sz="4" w:space="0" w:color="auto"/>
              <w:right w:val="nil"/>
            </w:tcBorders>
            <w:shd w:val="clear" w:color="auto" w:fill="auto"/>
            <w:noWrap/>
            <w:vAlign w:val="center"/>
          </w:tcPr>
          <w:p w14:paraId="57A0D5C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173</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5035D6F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w:t>
            </w:r>
          </w:p>
        </w:tc>
        <w:tc>
          <w:tcPr>
            <w:tcW w:w="675" w:type="dxa"/>
            <w:tcBorders>
              <w:top w:val="single" w:sz="4" w:space="0" w:color="BFBFBF"/>
              <w:left w:val="nil"/>
              <w:bottom w:val="double" w:sz="4" w:space="0" w:color="auto"/>
              <w:right w:val="single" w:sz="4" w:space="0" w:color="auto"/>
            </w:tcBorders>
            <w:shd w:val="clear" w:color="auto" w:fill="auto"/>
            <w:noWrap/>
            <w:vAlign w:val="center"/>
          </w:tcPr>
          <w:p w14:paraId="3C84608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101</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3D77E79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3BFD8AA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808" w:type="dxa"/>
            <w:tcBorders>
              <w:top w:val="single" w:sz="4" w:space="0" w:color="BFBFBF"/>
              <w:left w:val="nil"/>
              <w:bottom w:val="double" w:sz="4" w:space="0" w:color="auto"/>
              <w:right w:val="single" w:sz="4" w:space="0" w:color="BFBFBF"/>
            </w:tcBorders>
            <w:shd w:val="clear" w:color="auto" w:fill="auto"/>
            <w:noWrap/>
            <w:vAlign w:val="bottom"/>
          </w:tcPr>
          <w:p w14:paraId="08BD75A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675" w:type="dxa"/>
            <w:tcBorders>
              <w:top w:val="single" w:sz="4" w:space="0" w:color="BFBFBF"/>
              <w:left w:val="nil"/>
              <w:bottom w:val="double" w:sz="4" w:space="0" w:color="auto"/>
              <w:right w:val="single" w:sz="4" w:space="0" w:color="auto"/>
            </w:tcBorders>
            <w:shd w:val="clear" w:color="auto" w:fill="auto"/>
            <w:noWrap/>
            <w:vAlign w:val="center"/>
          </w:tcPr>
          <w:p w14:paraId="6758201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3AD540E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675" w:type="dxa"/>
            <w:tcBorders>
              <w:top w:val="single" w:sz="4" w:space="0" w:color="BFBFBF"/>
              <w:left w:val="nil"/>
              <w:bottom w:val="double" w:sz="4" w:space="0" w:color="auto"/>
              <w:right w:val="nil"/>
            </w:tcBorders>
            <w:shd w:val="clear" w:color="auto" w:fill="auto"/>
            <w:noWrap/>
            <w:vAlign w:val="center"/>
          </w:tcPr>
          <w:p w14:paraId="22275FC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826" w:type="dxa"/>
            <w:tcBorders>
              <w:top w:val="single" w:sz="4" w:space="0" w:color="BFBFBF"/>
              <w:left w:val="single" w:sz="4" w:space="0" w:color="auto"/>
              <w:bottom w:val="double" w:sz="4" w:space="0" w:color="auto"/>
              <w:right w:val="single" w:sz="4" w:space="0" w:color="BFBFBF"/>
            </w:tcBorders>
            <w:shd w:val="clear" w:color="auto" w:fill="auto"/>
            <w:noWrap/>
            <w:vAlign w:val="bottom"/>
          </w:tcPr>
          <w:p w14:paraId="5B92B6F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single" w:sz="4" w:space="0" w:color="BFBFBF"/>
              <w:left w:val="nil"/>
              <w:bottom w:val="double" w:sz="4" w:space="0" w:color="auto"/>
              <w:right w:val="nil"/>
            </w:tcBorders>
            <w:shd w:val="clear" w:color="auto" w:fill="auto"/>
            <w:noWrap/>
            <w:vAlign w:val="center"/>
          </w:tcPr>
          <w:p w14:paraId="2682728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96</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7571945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single" w:sz="4" w:space="0" w:color="BFBFBF"/>
              <w:left w:val="nil"/>
              <w:bottom w:val="double" w:sz="4" w:space="0" w:color="auto"/>
              <w:right w:val="single" w:sz="4" w:space="0" w:color="auto"/>
            </w:tcBorders>
            <w:shd w:val="clear" w:color="auto" w:fill="auto"/>
            <w:noWrap/>
            <w:vAlign w:val="center"/>
          </w:tcPr>
          <w:p w14:paraId="2154B6E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c>
          <w:tcPr>
            <w:tcW w:w="808" w:type="dxa"/>
            <w:tcBorders>
              <w:top w:val="single" w:sz="4" w:space="0" w:color="BFBFBF"/>
              <w:left w:val="nil"/>
              <w:bottom w:val="double" w:sz="4" w:space="0" w:color="auto"/>
              <w:right w:val="single" w:sz="4" w:space="0" w:color="BFBFBF"/>
            </w:tcBorders>
            <w:shd w:val="clear" w:color="auto" w:fill="auto"/>
            <w:noWrap/>
            <w:vAlign w:val="bottom"/>
          </w:tcPr>
          <w:p w14:paraId="49F8B78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single" w:sz="4" w:space="0" w:color="BFBFBF"/>
              <w:left w:val="nil"/>
              <w:bottom w:val="double" w:sz="4" w:space="0" w:color="auto"/>
              <w:right w:val="single" w:sz="4" w:space="0" w:color="auto"/>
            </w:tcBorders>
            <w:shd w:val="clear" w:color="auto" w:fill="auto"/>
            <w:noWrap/>
            <w:vAlign w:val="center"/>
          </w:tcPr>
          <w:p w14:paraId="65A544B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104A847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single" w:sz="4" w:space="0" w:color="BFBFBF"/>
              <w:left w:val="nil"/>
              <w:bottom w:val="double" w:sz="4" w:space="0" w:color="auto"/>
              <w:right w:val="double" w:sz="6" w:space="0" w:color="auto"/>
            </w:tcBorders>
            <w:shd w:val="clear" w:color="auto" w:fill="auto"/>
            <w:noWrap/>
            <w:vAlign w:val="center"/>
          </w:tcPr>
          <w:p w14:paraId="15C97EF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r>
      <w:tr w:rsidR="00184A24" w:rsidRPr="00125162" w14:paraId="2C9C256D" w14:textId="77777777" w:rsidTr="00184A24">
        <w:trPr>
          <w:trHeight w:val="206"/>
        </w:trPr>
        <w:tc>
          <w:tcPr>
            <w:tcW w:w="2291" w:type="dxa"/>
            <w:tcBorders>
              <w:top w:val="double" w:sz="4" w:space="0" w:color="auto"/>
            </w:tcBorders>
            <w:shd w:val="clear" w:color="auto" w:fill="auto"/>
            <w:noWrap/>
            <w:vAlign w:val="center"/>
          </w:tcPr>
          <w:p w14:paraId="5E76E51A" w14:textId="77777777" w:rsidR="00184A24" w:rsidRPr="00125162" w:rsidRDefault="00184A24" w:rsidP="00970E2F">
            <w:pPr>
              <w:spacing w:before="0" w:after="0"/>
              <w:rPr>
                <w:rFonts w:ascii="Arial" w:hAnsi="Arial" w:cs="Arial"/>
                <w:b/>
                <w:bCs/>
                <w:color w:val="000000"/>
                <w:sz w:val="16"/>
                <w:szCs w:val="16"/>
                <w:lang w:val="en-AU" w:eastAsia="en-AU"/>
              </w:rPr>
            </w:pPr>
          </w:p>
          <w:p w14:paraId="123FFE13" w14:textId="77777777" w:rsidR="00184A24" w:rsidRDefault="00184A24" w:rsidP="00970E2F">
            <w:pPr>
              <w:spacing w:before="0" w:after="0"/>
              <w:rPr>
                <w:rFonts w:ascii="Arial" w:hAnsi="Arial" w:cs="Arial"/>
                <w:bCs/>
                <w:color w:val="000000"/>
                <w:sz w:val="16"/>
                <w:szCs w:val="16"/>
                <w:lang w:val="en-AU" w:eastAsia="en-AU"/>
              </w:rPr>
            </w:pPr>
            <w:r w:rsidRPr="00125162">
              <w:rPr>
                <w:rFonts w:ascii="Arial" w:hAnsi="Arial" w:cs="Arial"/>
                <w:bCs/>
                <w:color w:val="000000"/>
                <w:sz w:val="16"/>
                <w:szCs w:val="16"/>
                <w:lang w:val="en-AU" w:eastAsia="en-AU"/>
              </w:rPr>
              <w:t>Continued on next page</w:t>
            </w:r>
          </w:p>
          <w:p w14:paraId="7D2D2CAC" w14:textId="77777777" w:rsidR="00A32FA3" w:rsidRPr="00125162" w:rsidRDefault="00A32FA3" w:rsidP="00970E2F">
            <w:pPr>
              <w:spacing w:before="0" w:after="0"/>
              <w:rPr>
                <w:rFonts w:ascii="Arial" w:hAnsi="Arial" w:cs="Arial"/>
                <w:bCs/>
                <w:color w:val="000000"/>
                <w:sz w:val="16"/>
                <w:szCs w:val="16"/>
                <w:lang w:val="en-AU" w:eastAsia="en-AU"/>
              </w:rPr>
            </w:pPr>
          </w:p>
          <w:p w14:paraId="3C02DA65" w14:textId="77777777" w:rsidR="00184A24" w:rsidRPr="00125162" w:rsidRDefault="00184A24" w:rsidP="00970E2F">
            <w:pPr>
              <w:spacing w:before="0" w:after="0"/>
              <w:rPr>
                <w:rFonts w:ascii="Arial" w:hAnsi="Arial" w:cs="Arial"/>
                <w:b/>
                <w:bCs/>
                <w:color w:val="000000"/>
                <w:sz w:val="16"/>
                <w:szCs w:val="16"/>
                <w:lang w:val="en-AU" w:eastAsia="en-AU"/>
              </w:rPr>
            </w:pPr>
          </w:p>
          <w:p w14:paraId="54813712" w14:textId="77777777" w:rsidR="00184A24" w:rsidRPr="00125162" w:rsidRDefault="00184A24" w:rsidP="00970E2F">
            <w:pPr>
              <w:spacing w:before="0" w:after="0"/>
              <w:rPr>
                <w:rFonts w:ascii="Arial" w:hAnsi="Arial" w:cs="Arial"/>
                <w:b/>
                <w:bCs/>
                <w:color w:val="000000"/>
                <w:sz w:val="16"/>
                <w:szCs w:val="16"/>
                <w:lang w:val="en-AU" w:eastAsia="en-AU"/>
              </w:rPr>
            </w:pPr>
          </w:p>
        </w:tc>
        <w:tc>
          <w:tcPr>
            <w:tcW w:w="808" w:type="dxa"/>
            <w:tcBorders>
              <w:top w:val="double" w:sz="4" w:space="0" w:color="auto"/>
            </w:tcBorders>
            <w:shd w:val="clear" w:color="auto" w:fill="auto"/>
            <w:noWrap/>
            <w:vAlign w:val="bottom"/>
          </w:tcPr>
          <w:p w14:paraId="7C2A9A55"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096FA532"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B211B73"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6026CBAA"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B601E23"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170F557"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bottom"/>
          </w:tcPr>
          <w:p w14:paraId="2580CF2B"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59985FD0"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5A09B6F"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3D77C83E"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826" w:type="dxa"/>
            <w:tcBorders>
              <w:top w:val="double" w:sz="4" w:space="0" w:color="auto"/>
            </w:tcBorders>
            <w:shd w:val="clear" w:color="auto" w:fill="auto"/>
            <w:noWrap/>
            <w:vAlign w:val="bottom"/>
          </w:tcPr>
          <w:p w14:paraId="3749C0F9"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586" w:type="dxa"/>
            <w:tcBorders>
              <w:top w:val="double" w:sz="4" w:space="0" w:color="auto"/>
            </w:tcBorders>
            <w:shd w:val="clear" w:color="auto" w:fill="auto"/>
            <w:noWrap/>
            <w:vAlign w:val="center"/>
          </w:tcPr>
          <w:p w14:paraId="237CF11E"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0B3ACB84"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497" w:type="dxa"/>
            <w:tcBorders>
              <w:top w:val="double" w:sz="4" w:space="0" w:color="auto"/>
            </w:tcBorders>
            <w:shd w:val="clear" w:color="auto" w:fill="auto"/>
            <w:noWrap/>
            <w:vAlign w:val="center"/>
          </w:tcPr>
          <w:p w14:paraId="699E4298"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bottom"/>
          </w:tcPr>
          <w:p w14:paraId="776DB188"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497" w:type="dxa"/>
            <w:tcBorders>
              <w:top w:val="double" w:sz="4" w:space="0" w:color="auto"/>
            </w:tcBorders>
            <w:shd w:val="clear" w:color="auto" w:fill="auto"/>
            <w:noWrap/>
            <w:vAlign w:val="center"/>
          </w:tcPr>
          <w:p w14:paraId="4640B953"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3C127600" w14:textId="77777777" w:rsidR="00184A24" w:rsidRPr="00125162" w:rsidRDefault="00184A24" w:rsidP="00970E2F">
            <w:pPr>
              <w:spacing w:before="0" w:after="0"/>
              <w:jc w:val="center"/>
              <w:rPr>
                <w:rFonts w:ascii="Arial" w:hAnsi="Arial" w:cs="Arial"/>
                <w:color w:val="000000"/>
                <w:sz w:val="16"/>
                <w:szCs w:val="16"/>
                <w:lang w:val="en-AU" w:eastAsia="en-AU"/>
              </w:rPr>
            </w:pPr>
          </w:p>
        </w:tc>
        <w:tc>
          <w:tcPr>
            <w:tcW w:w="497" w:type="dxa"/>
            <w:tcBorders>
              <w:top w:val="double" w:sz="4" w:space="0" w:color="auto"/>
            </w:tcBorders>
            <w:shd w:val="clear" w:color="auto" w:fill="auto"/>
            <w:noWrap/>
            <w:vAlign w:val="center"/>
          </w:tcPr>
          <w:p w14:paraId="2B45B777" w14:textId="77777777" w:rsidR="00184A24" w:rsidRPr="00125162" w:rsidRDefault="00184A24" w:rsidP="00970E2F">
            <w:pPr>
              <w:spacing w:before="0" w:after="0"/>
              <w:jc w:val="center"/>
              <w:rPr>
                <w:rFonts w:ascii="Arial" w:hAnsi="Arial" w:cs="Arial"/>
                <w:color w:val="000000"/>
                <w:sz w:val="16"/>
                <w:szCs w:val="16"/>
                <w:lang w:val="en-AU" w:eastAsia="en-AU"/>
              </w:rPr>
            </w:pPr>
          </w:p>
        </w:tc>
      </w:tr>
      <w:tr w:rsidR="00184A24" w:rsidRPr="00125162" w14:paraId="31E1D0D8" w14:textId="77777777" w:rsidTr="00184A24">
        <w:trPr>
          <w:trHeight w:val="206"/>
        </w:trPr>
        <w:tc>
          <w:tcPr>
            <w:tcW w:w="2291" w:type="dxa"/>
            <w:tcBorders>
              <w:left w:val="double" w:sz="6" w:space="0" w:color="auto"/>
              <w:bottom w:val="single" w:sz="4" w:space="0" w:color="BFBFBF"/>
              <w:right w:val="nil"/>
            </w:tcBorders>
            <w:shd w:val="clear" w:color="auto" w:fill="auto"/>
            <w:noWrap/>
            <w:vAlign w:val="center"/>
          </w:tcPr>
          <w:p w14:paraId="7D548E3A" w14:textId="77777777" w:rsidR="00184A24" w:rsidRPr="00125162" w:rsidRDefault="00184A24" w:rsidP="00970E2F">
            <w:pPr>
              <w:spacing w:before="0" w:after="0"/>
              <w:rPr>
                <w:rFonts w:ascii="Arial" w:hAnsi="Arial" w:cs="Arial"/>
                <w:b/>
                <w:bCs/>
                <w:color w:val="000000"/>
                <w:sz w:val="16"/>
                <w:szCs w:val="16"/>
                <w:lang w:val="en-AU" w:eastAsia="en-AU"/>
              </w:rPr>
            </w:pPr>
          </w:p>
          <w:p w14:paraId="2FE139C9" w14:textId="77777777" w:rsidR="00184A24" w:rsidRPr="00125162" w:rsidRDefault="00184A24"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Household Size -</w:t>
            </w:r>
          </w:p>
        </w:tc>
        <w:tc>
          <w:tcPr>
            <w:tcW w:w="808" w:type="dxa"/>
            <w:tcBorders>
              <w:left w:val="single" w:sz="4" w:space="0" w:color="auto"/>
              <w:bottom w:val="single" w:sz="4" w:space="0" w:color="BFBFBF"/>
              <w:right w:val="single" w:sz="4" w:space="0" w:color="BFBFBF"/>
            </w:tcBorders>
            <w:shd w:val="clear" w:color="auto" w:fill="auto"/>
            <w:noWrap/>
            <w:vAlign w:val="bottom"/>
          </w:tcPr>
          <w:p w14:paraId="6E72B17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nil"/>
            </w:tcBorders>
            <w:shd w:val="clear" w:color="auto" w:fill="auto"/>
            <w:noWrap/>
            <w:vAlign w:val="center"/>
          </w:tcPr>
          <w:p w14:paraId="410E9C6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single" w:sz="4" w:space="0" w:color="auto"/>
              <w:bottom w:val="single" w:sz="4" w:space="0" w:color="BFBFBF"/>
              <w:right w:val="single" w:sz="4" w:space="0" w:color="BFBFBF"/>
            </w:tcBorders>
            <w:shd w:val="clear" w:color="auto" w:fill="auto"/>
            <w:noWrap/>
            <w:vAlign w:val="center"/>
          </w:tcPr>
          <w:p w14:paraId="6892558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left w:val="nil"/>
              <w:bottom w:val="single" w:sz="4" w:space="0" w:color="BFBFBF"/>
              <w:right w:val="single" w:sz="4" w:space="0" w:color="auto"/>
            </w:tcBorders>
            <w:shd w:val="clear" w:color="auto" w:fill="auto"/>
            <w:noWrap/>
            <w:vAlign w:val="center"/>
          </w:tcPr>
          <w:p w14:paraId="50E74A5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541CF8C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7681A59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bottom"/>
          </w:tcPr>
          <w:p w14:paraId="66BA78E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left w:val="nil"/>
              <w:bottom w:val="single" w:sz="4" w:space="0" w:color="BFBFBF"/>
              <w:right w:val="single" w:sz="4" w:space="0" w:color="auto"/>
            </w:tcBorders>
            <w:shd w:val="clear" w:color="auto" w:fill="auto"/>
            <w:noWrap/>
            <w:vAlign w:val="center"/>
          </w:tcPr>
          <w:p w14:paraId="1ABC46A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43EF3242"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left w:val="nil"/>
              <w:bottom w:val="single" w:sz="4" w:space="0" w:color="BFBFBF"/>
              <w:right w:val="nil"/>
            </w:tcBorders>
            <w:shd w:val="clear" w:color="auto" w:fill="auto"/>
            <w:noWrap/>
            <w:vAlign w:val="center"/>
          </w:tcPr>
          <w:p w14:paraId="4A67F3A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left w:val="single" w:sz="4" w:space="0" w:color="auto"/>
              <w:bottom w:val="single" w:sz="4" w:space="0" w:color="BFBFBF"/>
              <w:right w:val="single" w:sz="4" w:space="0" w:color="BFBFBF"/>
            </w:tcBorders>
            <w:shd w:val="clear" w:color="auto" w:fill="auto"/>
            <w:noWrap/>
            <w:vAlign w:val="bottom"/>
          </w:tcPr>
          <w:p w14:paraId="10FB3A2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86" w:type="dxa"/>
            <w:tcBorders>
              <w:left w:val="nil"/>
              <w:bottom w:val="single" w:sz="4" w:space="0" w:color="BFBFBF"/>
              <w:right w:val="nil"/>
            </w:tcBorders>
            <w:shd w:val="clear" w:color="auto" w:fill="auto"/>
            <w:noWrap/>
            <w:vAlign w:val="center"/>
          </w:tcPr>
          <w:p w14:paraId="10F337B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single" w:sz="4" w:space="0" w:color="auto"/>
              <w:bottom w:val="single" w:sz="4" w:space="0" w:color="BFBFBF"/>
              <w:right w:val="single" w:sz="4" w:space="0" w:color="BFBFBF"/>
            </w:tcBorders>
            <w:shd w:val="clear" w:color="auto" w:fill="auto"/>
            <w:noWrap/>
            <w:vAlign w:val="center"/>
          </w:tcPr>
          <w:p w14:paraId="5DAC8AB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left w:val="nil"/>
              <w:bottom w:val="single" w:sz="4" w:space="0" w:color="BFBFBF"/>
              <w:right w:val="single" w:sz="4" w:space="0" w:color="auto"/>
            </w:tcBorders>
            <w:shd w:val="clear" w:color="auto" w:fill="auto"/>
            <w:noWrap/>
            <w:vAlign w:val="center"/>
          </w:tcPr>
          <w:p w14:paraId="3F5293A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bottom"/>
          </w:tcPr>
          <w:p w14:paraId="5DF658B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left w:val="nil"/>
              <w:bottom w:val="single" w:sz="4" w:space="0" w:color="BFBFBF"/>
              <w:right w:val="single" w:sz="4" w:space="0" w:color="auto"/>
            </w:tcBorders>
            <w:shd w:val="clear" w:color="auto" w:fill="auto"/>
            <w:noWrap/>
            <w:vAlign w:val="center"/>
          </w:tcPr>
          <w:p w14:paraId="4EB6140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3A2C6A6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left w:val="nil"/>
              <w:bottom w:val="single" w:sz="4" w:space="0" w:color="BFBFBF"/>
              <w:right w:val="double" w:sz="6" w:space="0" w:color="auto"/>
            </w:tcBorders>
            <w:shd w:val="clear" w:color="auto" w:fill="auto"/>
            <w:noWrap/>
            <w:vAlign w:val="center"/>
          </w:tcPr>
          <w:p w14:paraId="54FABAE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184A24" w:rsidRPr="00125162" w14:paraId="298F923D"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3F15B188"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1 person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E4877B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808" w:type="dxa"/>
            <w:tcBorders>
              <w:top w:val="nil"/>
              <w:left w:val="nil"/>
              <w:bottom w:val="single" w:sz="4" w:space="0" w:color="BFBFBF"/>
              <w:right w:val="nil"/>
            </w:tcBorders>
            <w:shd w:val="clear" w:color="auto" w:fill="auto"/>
            <w:noWrap/>
            <w:vAlign w:val="center"/>
          </w:tcPr>
          <w:p w14:paraId="7D24672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8959F8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675" w:type="dxa"/>
            <w:tcBorders>
              <w:top w:val="nil"/>
              <w:left w:val="nil"/>
              <w:bottom w:val="single" w:sz="4" w:space="0" w:color="BFBFBF"/>
              <w:right w:val="single" w:sz="4" w:space="0" w:color="auto"/>
            </w:tcBorders>
            <w:shd w:val="clear" w:color="auto" w:fill="auto"/>
            <w:noWrap/>
            <w:vAlign w:val="center"/>
          </w:tcPr>
          <w:p w14:paraId="1F14E00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w:t>
            </w:r>
          </w:p>
        </w:tc>
        <w:tc>
          <w:tcPr>
            <w:tcW w:w="808" w:type="dxa"/>
            <w:tcBorders>
              <w:top w:val="nil"/>
              <w:left w:val="nil"/>
              <w:bottom w:val="single" w:sz="4" w:space="0" w:color="BFBFBF"/>
              <w:right w:val="single" w:sz="4" w:space="0" w:color="BFBFBF"/>
            </w:tcBorders>
            <w:shd w:val="clear" w:color="auto" w:fill="auto"/>
            <w:noWrap/>
            <w:vAlign w:val="center"/>
          </w:tcPr>
          <w:p w14:paraId="7EE2F6A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641D78E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BFBFBF"/>
            </w:tcBorders>
            <w:shd w:val="clear" w:color="auto" w:fill="auto"/>
            <w:noWrap/>
            <w:vAlign w:val="bottom"/>
          </w:tcPr>
          <w:p w14:paraId="59B30E4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single" w:sz="4" w:space="0" w:color="auto"/>
            </w:tcBorders>
            <w:shd w:val="clear" w:color="auto" w:fill="auto"/>
            <w:noWrap/>
            <w:vAlign w:val="center"/>
          </w:tcPr>
          <w:p w14:paraId="4538938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808" w:type="dxa"/>
            <w:tcBorders>
              <w:top w:val="nil"/>
              <w:left w:val="nil"/>
              <w:bottom w:val="single" w:sz="4" w:space="0" w:color="BFBFBF"/>
              <w:right w:val="single" w:sz="4" w:space="0" w:color="BFBFBF"/>
            </w:tcBorders>
            <w:shd w:val="clear" w:color="auto" w:fill="auto"/>
            <w:noWrap/>
            <w:vAlign w:val="center"/>
          </w:tcPr>
          <w:p w14:paraId="267FE5E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nil"/>
            </w:tcBorders>
            <w:shd w:val="clear" w:color="auto" w:fill="auto"/>
            <w:noWrap/>
            <w:vAlign w:val="center"/>
          </w:tcPr>
          <w:p w14:paraId="13A2A1B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6121923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5FF3011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87D1F7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432D628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w:t>
            </w:r>
          </w:p>
        </w:tc>
        <w:tc>
          <w:tcPr>
            <w:tcW w:w="808" w:type="dxa"/>
            <w:tcBorders>
              <w:top w:val="nil"/>
              <w:left w:val="nil"/>
              <w:bottom w:val="single" w:sz="4" w:space="0" w:color="BFBFBF"/>
              <w:right w:val="single" w:sz="4" w:space="0" w:color="BFBFBF"/>
            </w:tcBorders>
            <w:shd w:val="clear" w:color="auto" w:fill="auto"/>
            <w:noWrap/>
            <w:vAlign w:val="bottom"/>
          </w:tcPr>
          <w:p w14:paraId="3F2A0C1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4B1EC4E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363</w:t>
            </w:r>
          </w:p>
        </w:tc>
        <w:tc>
          <w:tcPr>
            <w:tcW w:w="808" w:type="dxa"/>
            <w:tcBorders>
              <w:top w:val="nil"/>
              <w:left w:val="nil"/>
              <w:bottom w:val="single" w:sz="4" w:space="0" w:color="BFBFBF"/>
              <w:right w:val="single" w:sz="4" w:space="0" w:color="BFBFBF"/>
            </w:tcBorders>
            <w:shd w:val="clear" w:color="auto" w:fill="auto"/>
            <w:noWrap/>
            <w:vAlign w:val="center"/>
          </w:tcPr>
          <w:p w14:paraId="7674464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double" w:sz="6" w:space="0" w:color="auto"/>
            </w:tcBorders>
            <w:shd w:val="clear" w:color="auto" w:fill="auto"/>
            <w:noWrap/>
            <w:vAlign w:val="center"/>
          </w:tcPr>
          <w:p w14:paraId="65B9F24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r>
      <w:tr w:rsidR="00184A24" w:rsidRPr="00125162" w14:paraId="7CEA09C5"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03E9F3D9"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2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13C7C7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52%</w:t>
            </w:r>
          </w:p>
        </w:tc>
        <w:tc>
          <w:tcPr>
            <w:tcW w:w="808" w:type="dxa"/>
            <w:tcBorders>
              <w:top w:val="nil"/>
              <w:left w:val="nil"/>
              <w:bottom w:val="single" w:sz="4" w:space="0" w:color="BFBFBF"/>
              <w:right w:val="nil"/>
            </w:tcBorders>
            <w:shd w:val="clear" w:color="auto" w:fill="auto"/>
            <w:noWrap/>
            <w:vAlign w:val="center"/>
          </w:tcPr>
          <w:p w14:paraId="487F904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0CF1D0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675" w:type="dxa"/>
            <w:tcBorders>
              <w:top w:val="nil"/>
              <w:left w:val="nil"/>
              <w:bottom w:val="single" w:sz="4" w:space="0" w:color="BFBFBF"/>
              <w:right w:val="single" w:sz="4" w:space="0" w:color="auto"/>
            </w:tcBorders>
            <w:shd w:val="clear" w:color="auto" w:fill="auto"/>
            <w:noWrap/>
            <w:vAlign w:val="center"/>
          </w:tcPr>
          <w:p w14:paraId="049A887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BFBFBF"/>
            </w:tcBorders>
            <w:shd w:val="clear" w:color="auto" w:fill="auto"/>
            <w:noWrap/>
            <w:vAlign w:val="center"/>
          </w:tcPr>
          <w:p w14:paraId="37710F2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075FE6B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65</w:t>
            </w:r>
          </w:p>
        </w:tc>
        <w:tc>
          <w:tcPr>
            <w:tcW w:w="808" w:type="dxa"/>
            <w:tcBorders>
              <w:top w:val="nil"/>
              <w:left w:val="nil"/>
              <w:bottom w:val="single" w:sz="4" w:space="0" w:color="BFBFBF"/>
              <w:right w:val="single" w:sz="4" w:space="0" w:color="BFBFBF"/>
            </w:tcBorders>
            <w:shd w:val="clear" w:color="auto" w:fill="auto"/>
            <w:noWrap/>
            <w:vAlign w:val="bottom"/>
          </w:tcPr>
          <w:p w14:paraId="0522211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single" w:sz="4" w:space="0" w:color="auto"/>
            </w:tcBorders>
            <w:shd w:val="clear" w:color="auto" w:fill="auto"/>
            <w:noWrap/>
            <w:vAlign w:val="center"/>
          </w:tcPr>
          <w:p w14:paraId="095C54D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35</w:t>
            </w:r>
          </w:p>
        </w:tc>
        <w:tc>
          <w:tcPr>
            <w:tcW w:w="808" w:type="dxa"/>
            <w:tcBorders>
              <w:top w:val="nil"/>
              <w:left w:val="nil"/>
              <w:bottom w:val="single" w:sz="4" w:space="0" w:color="BFBFBF"/>
              <w:right w:val="single" w:sz="4" w:space="0" w:color="BFBFBF"/>
            </w:tcBorders>
            <w:shd w:val="clear" w:color="auto" w:fill="auto"/>
            <w:noWrap/>
            <w:vAlign w:val="center"/>
          </w:tcPr>
          <w:p w14:paraId="362E60C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w:t>
            </w:r>
          </w:p>
        </w:tc>
        <w:tc>
          <w:tcPr>
            <w:tcW w:w="675" w:type="dxa"/>
            <w:tcBorders>
              <w:top w:val="nil"/>
              <w:left w:val="nil"/>
              <w:bottom w:val="single" w:sz="4" w:space="0" w:color="BFBFBF"/>
              <w:right w:val="nil"/>
            </w:tcBorders>
            <w:shd w:val="clear" w:color="auto" w:fill="auto"/>
            <w:noWrap/>
            <w:vAlign w:val="center"/>
          </w:tcPr>
          <w:p w14:paraId="2C440C3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4994490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58C194B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572F2C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5D9261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26964F9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6F781F9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555</w:t>
            </w:r>
          </w:p>
        </w:tc>
        <w:tc>
          <w:tcPr>
            <w:tcW w:w="808" w:type="dxa"/>
            <w:tcBorders>
              <w:top w:val="nil"/>
              <w:left w:val="nil"/>
              <w:bottom w:val="single" w:sz="4" w:space="0" w:color="BFBFBF"/>
              <w:right w:val="single" w:sz="4" w:space="0" w:color="BFBFBF"/>
            </w:tcBorders>
            <w:shd w:val="clear" w:color="auto" w:fill="auto"/>
            <w:noWrap/>
            <w:vAlign w:val="center"/>
          </w:tcPr>
          <w:p w14:paraId="6E616FA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double" w:sz="6" w:space="0" w:color="auto"/>
            </w:tcBorders>
            <w:shd w:val="clear" w:color="auto" w:fill="auto"/>
            <w:noWrap/>
            <w:vAlign w:val="center"/>
          </w:tcPr>
          <w:p w14:paraId="2B05145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r>
      <w:tr w:rsidR="00184A24" w:rsidRPr="00125162" w14:paraId="6AA061B5"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3985C54D"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3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BEEE2D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w:t>
            </w:r>
          </w:p>
        </w:tc>
        <w:tc>
          <w:tcPr>
            <w:tcW w:w="808" w:type="dxa"/>
            <w:tcBorders>
              <w:top w:val="nil"/>
              <w:left w:val="nil"/>
              <w:bottom w:val="single" w:sz="4" w:space="0" w:color="BFBFBF"/>
              <w:right w:val="nil"/>
            </w:tcBorders>
            <w:shd w:val="clear" w:color="auto" w:fill="auto"/>
            <w:noWrap/>
            <w:vAlign w:val="center"/>
          </w:tcPr>
          <w:p w14:paraId="7680C04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45D0E6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675" w:type="dxa"/>
            <w:tcBorders>
              <w:top w:val="nil"/>
              <w:left w:val="nil"/>
              <w:bottom w:val="single" w:sz="4" w:space="0" w:color="BFBFBF"/>
              <w:right w:val="single" w:sz="4" w:space="0" w:color="auto"/>
            </w:tcBorders>
            <w:shd w:val="clear" w:color="auto" w:fill="auto"/>
            <w:noWrap/>
            <w:vAlign w:val="center"/>
          </w:tcPr>
          <w:p w14:paraId="40FF531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88</w:t>
            </w:r>
          </w:p>
        </w:tc>
        <w:tc>
          <w:tcPr>
            <w:tcW w:w="808" w:type="dxa"/>
            <w:tcBorders>
              <w:top w:val="nil"/>
              <w:left w:val="nil"/>
              <w:bottom w:val="single" w:sz="4" w:space="0" w:color="BFBFBF"/>
              <w:right w:val="single" w:sz="4" w:space="0" w:color="BFBFBF"/>
            </w:tcBorders>
            <w:shd w:val="clear" w:color="auto" w:fill="auto"/>
            <w:noWrap/>
            <w:vAlign w:val="center"/>
          </w:tcPr>
          <w:p w14:paraId="1E22D3D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392509E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BFBFBF"/>
            </w:tcBorders>
            <w:shd w:val="clear" w:color="auto" w:fill="auto"/>
            <w:noWrap/>
            <w:vAlign w:val="bottom"/>
          </w:tcPr>
          <w:p w14:paraId="5CFA1BB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w:t>
            </w:r>
          </w:p>
        </w:tc>
        <w:tc>
          <w:tcPr>
            <w:tcW w:w="675" w:type="dxa"/>
            <w:tcBorders>
              <w:top w:val="nil"/>
              <w:left w:val="nil"/>
              <w:bottom w:val="single" w:sz="4" w:space="0" w:color="BFBFBF"/>
              <w:right w:val="single" w:sz="4" w:space="0" w:color="auto"/>
            </w:tcBorders>
            <w:shd w:val="clear" w:color="auto" w:fill="auto"/>
            <w:noWrap/>
            <w:vAlign w:val="center"/>
          </w:tcPr>
          <w:p w14:paraId="02052C4C"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c>
          <w:tcPr>
            <w:tcW w:w="808" w:type="dxa"/>
            <w:tcBorders>
              <w:top w:val="nil"/>
              <w:left w:val="nil"/>
              <w:bottom w:val="single" w:sz="4" w:space="0" w:color="BFBFBF"/>
              <w:right w:val="single" w:sz="4" w:space="0" w:color="BFBFBF"/>
            </w:tcBorders>
            <w:shd w:val="clear" w:color="auto" w:fill="auto"/>
            <w:noWrap/>
            <w:vAlign w:val="center"/>
          </w:tcPr>
          <w:p w14:paraId="1B810EA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w:t>
            </w:r>
          </w:p>
        </w:tc>
        <w:tc>
          <w:tcPr>
            <w:tcW w:w="675" w:type="dxa"/>
            <w:tcBorders>
              <w:top w:val="nil"/>
              <w:left w:val="nil"/>
              <w:bottom w:val="single" w:sz="4" w:space="0" w:color="BFBFBF"/>
              <w:right w:val="nil"/>
            </w:tcBorders>
            <w:shd w:val="clear" w:color="auto" w:fill="auto"/>
            <w:noWrap/>
            <w:vAlign w:val="center"/>
          </w:tcPr>
          <w:p w14:paraId="411C6C4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7A73769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3A99C75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882175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71C58B2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52</w:t>
            </w:r>
          </w:p>
        </w:tc>
        <w:tc>
          <w:tcPr>
            <w:tcW w:w="808" w:type="dxa"/>
            <w:tcBorders>
              <w:top w:val="nil"/>
              <w:left w:val="nil"/>
              <w:bottom w:val="single" w:sz="4" w:space="0" w:color="BFBFBF"/>
              <w:right w:val="single" w:sz="4" w:space="0" w:color="BFBFBF"/>
            </w:tcBorders>
            <w:shd w:val="clear" w:color="auto" w:fill="auto"/>
            <w:noWrap/>
            <w:vAlign w:val="bottom"/>
          </w:tcPr>
          <w:p w14:paraId="4277C29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076FEA1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B74AE7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double" w:sz="6" w:space="0" w:color="auto"/>
            </w:tcBorders>
            <w:shd w:val="clear" w:color="auto" w:fill="auto"/>
            <w:noWrap/>
            <w:vAlign w:val="center"/>
          </w:tcPr>
          <w:p w14:paraId="76565FA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r>
      <w:tr w:rsidR="00184A24" w:rsidRPr="00125162" w14:paraId="35CA14FC" w14:textId="77777777" w:rsidTr="002B0E16">
        <w:trPr>
          <w:trHeight w:val="206"/>
        </w:trPr>
        <w:tc>
          <w:tcPr>
            <w:tcW w:w="2291" w:type="dxa"/>
            <w:tcBorders>
              <w:top w:val="nil"/>
              <w:left w:val="double" w:sz="6" w:space="0" w:color="auto"/>
              <w:bottom w:val="single" w:sz="4" w:space="0" w:color="BFBFBF"/>
              <w:right w:val="nil"/>
            </w:tcBorders>
            <w:shd w:val="clear" w:color="auto" w:fill="auto"/>
            <w:noWrap/>
            <w:vAlign w:val="center"/>
          </w:tcPr>
          <w:p w14:paraId="25D14714"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4 or more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8A09A7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808" w:type="dxa"/>
            <w:tcBorders>
              <w:top w:val="nil"/>
              <w:left w:val="nil"/>
              <w:bottom w:val="single" w:sz="4" w:space="0" w:color="BFBFBF"/>
              <w:right w:val="nil"/>
            </w:tcBorders>
            <w:shd w:val="clear" w:color="auto" w:fill="auto"/>
            <w:noWrap/>
            <w:vAlign w:val="center"/>
          </w:tcPr>
          <w:p w14:paraId="7451A229"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C6F92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675" w:type="dxa"/>
            <w:tcBorders>
              <w:top w:val="nil"/>
              <w:left w:val="nil"/>
              <w:bottom w:val="single" w:sz="4" w:space="0" w:color="BFBFBF"/>
              <w:right w:val="single" w:sz="4" w:space="0" w:color="auto"/>
            </w:tcBorders>
            <w:shd w:val="clear" w:color="auto" w:fill="auto"/>
            <w:noWrap/>
            <w:vAlign w:val="center"/>
          </w:tcPr>
          <w:p w14:paraId="3E521DF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115</w:t>
            </w:r>
          </w:p>
        </w:tc>
        <w:tc>
          <w:tcPr>
            <w:tcW w:w="808" w:type="dxa"/>
            <w:tcBorders>
              <w:top w:val="nil"/>
              <w:left w:val="nil"/>
              <w:bottom w:val="single" w:sz="4" w:space="0" w:color="BFBFBF"/>
              <w:right w:val="single" w:sz="4" w:space="0" w:color="BFBFBF"/>
            </w:tcBorders>
            <w:shd w:val="clear" w:color="auto" w:fill="auto"/>
            <w:noWrap/>
            <w:vAlign w:val="center"/>
          </w:tcPr>
          <w:p w14:paraId="6F549F3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1C6CDEF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BFBFBF"/>
            </w:tcBorders>
            <w:shd w:val="clear" w:color="auto" w:fill="auto"/>
            <w:noWrap/>
            <w:vAlign w:val="bottom"/>
          </w:tcPr>
          <w:p w14:paraId="17B1950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675" w:type="dxa"/>
            <w:tcBorders>
              <w:top w:val="nil"/>
              <w:left w:val="nil"/>
              <w:bottom w:val="single" w:sz="4" w:space="0" w:color="BFBFBF"/>
              <w:right w:val="single" w:sz="4" w:space="0" w:color="auto"/>
            </w:tcBorders>
            <w:shd w:val="clear" w:color="auto" w:fill="auto"/>
            <w:noWrap/>
            <w:vAlign w:val="center"/>
          </w:tcPr>
          <w:p w14:paraId="12ADE57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w:t>
            </w:r>
          </w:p>
        </w:tc>
        <w:tc>
          <w:tcPr>
            <w:tcW w:w="808" w:type="dxa"/>
            <w:tcBorders>
              <w:top w:val="nil"/>
              <w:left w:val="nil"/>
              <w:bottom w:val="single" w:sz="4" w:space="0" w:color="BFBFBF"/>
              <w:right w:val="single" w:sz="4" w:space="0" w:color="BFBFBF"/>
            </w:tcBorders>
            <w:shd w:val="clear" w:color="auto" w:fill="auto"/>
            <w:noWrap/>
            <w:vAlign w:val="center"/>
          </w:tcPr>
          <w:p w14:paraId="3449A0A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675" w:type="dxa"/>
            <w:tcBorders>
              <w:top w:val="nil"/>
              <w:left w:val="nil"/>
              <w:bottom w:val="single" w:sz="4" w:space="0" w:color="BFBFBF"/>
              <w:right w:val="nil"/>
            </w:tcBorders>
            <w:shd w:val="clear" w:color="auto" w:fill="auto"/>
            <w:noWrap/>
            <w:vAlign w:val="center"/>
          </w:tcPr>
          <w:p w14:paraId="07A457D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46CAD00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6D9AD50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7EC95B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A384B4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5CAD76D4"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05B4832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918245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double" w:sz="6" w:space="0" w:color="auto"/>
            </w:tcBorders>
            <w:shd w:val="clear" w:color="auto" w:fill="auto"/>
            <w:noWrap/>
            <w:vAlign w:val="center"/>
          </w:tcPr>
          <w:p w14:paraId="2E3802A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r>
      <w:tr w:rsidR="00184A24" w:rsidRPr="00125162" w14:paraId="30454A08"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2493E55C" w14:textId="77777777" w:rsidR="00184A24" w:rsidRPr="00125162" w:rsidRDefault="00184A24"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Housing Status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8D2BDC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27C786D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C8B954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01EABC1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53E2BB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5D1F431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135E1B7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1C50174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7997BA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6629510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5A15EBC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86" w:type="dxa"/>
            <w:tcBorders>
              <w:top w:val="nil"/>
              <w:left w:val="nil"/>
              <w:bottom w:val="single" w:sz="4" w:space="0" w:color="BFBFBF"/>
              <w:right w:val="nil"/>
            </w:tcBorders>
            <w:shd w:val="clear" w:color="auto" w:fill="auto"/>
            <w:noWrap/>
            <w:vAlign w:val="center"/>
          </w:tcPr>
          <w:p w14:paraId="16023B2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EA3500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center"/>
          </w:tcPr>
          <w:p w14:paraId="0A42241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266F507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center"/>
          </w:tcPr>
          <w:p w14:paraId="176E8AF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6D72119"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double" w:sz="6" w:space="0" w:color="auto"/>
            </w:tcBorders>
            <w:shd w:val="clear" w:color="auto" w:fill="auto"/>
            <w:noWrap/>
            <w:vAlign w:val="center"/>
          </w:tcPr>
          <w:p w14:paraId="061D620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184A24" w:rsidRPr="00125162" w14:paraId="40E6D68E"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6D35D8F0"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Owned/paid off</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5D06CB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c>
          <w:tcPr>
            <w:tcW w:w="808" w:type="dxa"/>
            <w:tcBorders>
              <w:top w:val="nil"/>
              <w:left w:val="nil"/>
              <w:bottom w:val="single" w:sz="4" w:space="0" w:color="BFBFBF"/>
              <w:right w:val="nil"/>
            </w:tcBorders>
            <w:shd w:val="clear" w:color="auto" w:fill="auto"/>
            <w:noWrap/>
            <w:vAlign w:val="center"/>
          </w:tcPr>
          <w:p w14:paraId="67E6A5B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670D23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675" w:type="dxa"/>
            <w:tcBorders>
              <w:top w:val="nil"/>
              <w:left w:val="nil"/>
              <w:bottom w:val="single" w:sz="4" w:space="0" w:color="BFBFBF"/>
              <w:right w:val="single" w:sz="4" w:space="0" w:color="auto"/>
            </w:tcBorders>
            <w:shd w:val="clear" w:color="auto" w:fill="auto"/>
            <w:noWrap/>
            <w:vAlign w:val="center"/>
          </w:tcPr>
          <w:p w14:paraId="013CAB2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BFBFBF"/>
            </w:tcBorders>
            <w:shd w:val="clear" w:color="auto" w:fill="auto"/>
            <w:noWrap/>
            <w:vAlign w:val="center"/>
          </w:tcPr>
          <w:p w14:paraId="0F7E824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0357F35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65</w:t>
            </w:r>
          </w:p>
        </w:tc>
        <w:tc>
          <w:tcPr>
            <w:tcW w:w="808" w:type="dxa"/>
            <w:tcBorders>
              <w:top w:val="nil"/>
              <w:left w:val="nil"/>
              <w:bottom w:val="single" w:sz="4" w:space="0" w:color="BFBFBF"/>
              <w:right w:val="single" w:sz="4" w:space="0" w:color="BFBFBF"/>
            </w:tcBorders>
            <w:shd w:val="clear" w:color="auto" w:fill="auto"/>
            <w:noWrap/>
            <w:vAlign w:val="bottom"/>
          </w:tcPr>
          <w:p w14:paraId="601E71D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675" w:type="dxa"/>
            <w:tcBorders>
              <w:top w:val="nil"/>
              <w:left w:val="nil"/>
              <w:bottom w:val="single" w:sz="4" w:space="0" w:color="BFBFBF"/>
              <w:right w:val="single" w:sz="4" w:space="0" w:color="auto"/>
            </w:tcBorders>
            <w:shd w:val="clear" w:color="auto" w:fill="auto"/>
            <w:noWrap/>
            <w:vAlign w:val="center"/>
          </w:tcPr>
          <w:p w14:paraId="0B02D7A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34</w:t>
            </w:r>
          </w:p>
        </w:tc>
        <w:tc>
          <w:tcPr>
            <w:tcW w:w="808" w:type="dxa"/>
            <w:tcBorders>
              <w:top w:val="nil"/>
              <w:left w:val="nil"/>
              <w:bottom w:val="single" w:sz="4" w:space="0" w:color="BFBFBF"/>
              <w:right w:val="single" w:sz="4" w:space="0" w:color="BFBFBF"/>
            </w:tcBorders>
            <w:shd w:val="clear" w:color="auto" w:fill="auto"/>
            <w:noWrap/>
            <w:vAlign w:val="center"/>
          </w:tcPr>
          <w:p w14:paraId="07190CC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675" w:type="dxa"/>
            <w:tcBorders>
              <w:top w:val="nil"/>
              <w:left w:val="nil"/>
              <w:bottom w:val="single" w:sz="4" w:space="0" w:color="BFBFBF"/>
              <w:right w:val="nil"/>
            </w:tcBorders>
            <w:shd w:val="clear" w:color="auto" w:fill="auto"/>
            <w:noWrap/>
            <w:vAlign w:val="center"/>
          </w:tcPr>
          <w:p w14:paraId="670BC43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4974873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167348A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FB61C8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68726C2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08ABAB4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3CD567A1"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1F559D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double" w:sz="6" w:space="0" w:color="auto"/>
            </w:tcBorders>
            <w:shd w:val="clear" w:color="auto" w:fill="auto"/>
            <w:noWrap/>
            <w:vAlign w:val="center"/>
          </w:tcPr>
          <w:p w14:paraId="1C854CF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79</w:t>
            </w:r>
          </w:p>
        </w:tc>
      </w:tr>
      <w:tr w:rsidR="00184A24" w:rsidRPr="00125162" w14:paraId="290FEDBB"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72C1E737"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Buying/paying off</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3D01CD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08" w:type="dxa"/>
            <w:tcBorders>
              <w:top w:val="nil"/>
              <w:left w:val="nil"/>
              <w:bottom w:val="single" w:sz="4" w:space="0" w:color="BFBFBF"/>
              <w:right w:val="nil"/>
            </w:tcBorders>
            <w:shd w:val="clear" w:color="auto" w:fill="auto"/>
            <w:noWrap/>
            <w:vAlign w:val="center"/>
          </w:tcPr>
          <w:p w14:paraId="31EE773C"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461158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3B84E3D8"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110</w:t>
            </w:r>
          </w:p>
        </w:tc>
        <w:tc>
          <w:tcPr>
            <w:tcW w:w="808" w:type="dxa"/>
            <w:tcBorders>
              <w:top w:val="nil"/>
              <w:left w:val="nil"/>
              <w:bottom w:val="single" w:sz="4" w:space="0" w:color="BFBFBF"/>
              <w:right w:val="single" w:sz="4" w:space="0" w:color="BFBFBF"/>
            </w:tcBorders>
            <w:shd w:val="clear" w:color="auto" w:fill="auto"/>
            <w:noWrap/>
            <w:vAlign w:val="center"/>
          </w:tcPr>
          <w:p w14:paraId="7425A79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639B28B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BFBFBF"/>
            </w:tcBorders>
            <w:shd w:val="clear" w:color="auto" w:fill="auto"/>
            <w:noWrap/>
            <w:vAlign w:val="bottom"/>
          </w:tcPr>
          <w:p w14:paraId="5274EA3D"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675" w:type="dxa"/>
            <w:tcBorders>
              <w:top w:val="nil"/>
              <w:left w:val="nil"/>
              <w:bottom w:val="single" w:sz="4" w:space="0" w:color="BFBFBF"/>
              <w:right w:val="single" w:sz="4" w:space="0" w:color="auto"/>
            </w:tcBorders>
            <w:shd w:val="clear" w:color="auto" w:fill="auto"/>
            <w:noWrap/>
            <w:vAlign w:val="center"/>
          </w:tcPr>
          <w:p w14:paraId="6A4AFB2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33</w:t>
            </w:r>
          </w:p>
        </w:tc>
        <w:tc>
          <w:tcPr>
            <w:tcW w:w="808" w:type="dxa"/>
            <w:tcBorders>
              <w:top w:val="nil"/>
              <w:left w:val="nil"/>
              <w:bottom w:val="single" w:sz="4" w:space="0" w:color="BFBFBF"/>
              <w:right w:val="single" w:sz="4" w:space="0" w:color="BFBFBF"/>
            </w:tcBorders>
            <w:shd w:val="clear" w:color="auto" w:fill="auto"/>
            <w:noWrap/>
            <w:vAlign w:val="center"/>
          </w:tcPr>
          <w:p w14:paraId="5990FA14"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675" w:type="dxa"/>
            <w:tcBorders>
              <w:top w:val="nil"/>
              <w:left w:val="nil"/>
              <w:bottom w:val="single" w:sz="4" w:space="0" w:color="BFBFBF"/>
              <w:right w:val="nil"/>
            </w:tcBorders>
            <w:shd w:val="clear" w:color="auto" w:fill="auto"/>
            <w:noWrap/>
            <w:vAlign w:val="center"/>
          </w:tcPr>
          <w:p w14:paraId="29D6A9FB"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65</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2B43DE6C"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65B89FB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6D3F81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3CE13E3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c>
          <w:tcPr>
            <w:tcW w:w="808" w:type="dxa"/>
            <w:tcBorders>
              <w:top w:val="nil"/>
              <w:left w:val="nil"/>
              <w:bottom w:val="single" w:sz="4" w:space="0" w:color="BFBFBF"/>
              <w:right w:val="single" w:sz="4" w:space="0" w:color="BFBFBF"/>
            </w:tcBorders>
            <w:shd w:val="clear" w:color="auto" w:fill="auto"/>
            <w:noWrap/>
            <w:vAlign w:val="bottom"/>
          </w:tcPr>
          <w:p w14:paraId="281C456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5F9F6B9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363</w:t>
            </w:r>
          </w:p>
        </w:tc>
        <w:tc>
          <w:tcPr>
            <w:tcW w:w="808" w:type="dxa"/>
            <w:tcBorders>
              <w:top w:val="nil"/>
              <w:left w:val="nil"/>
              <w:bottom w:val="single" w:sz="4" w:space="0" w:color="BFBFBF"/>
              <w:right w:val="single" w:sz="4" w:space="0" w:color="BFBFBF"/>
            </w:tcBorders>
            <w:shd w:val="clear" w:color="auto" w:fill="auto"/>
            <w:noWrap/>
            <w:vAlign w:val="center"/>
          </w:tcPr>
          <w:p w14:paraId="01EE69C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double" w:sz="6" w:space="0" w:color="auto"/>
            </w:tcBorders>
            <w:shd w:val="clear" w:color="auto" w:fill="auto"/>
            <w:noWrap/>
            <w:vAlign w:val="center"/>
          </w:tcPr>
          <w:p w14:paraId="325CB17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r>
      <w:tr w:rsidR="00184A24" w:rsidRPr="00125162" w14:paraId="05103B4D" w14:textId="77777777" w:rsidTr="00184A24">
        <w:trPr>
          <w:trHeight w:val="206"/>
        </w:trPr>
        <w:tc>
          <w:tcPr>
            <w:tcW w:w="2291" w:type="dxa"/>
            <w:tcBorders>
              <w:top w:val="nil"/>
              <w:left w:val="double" w:sz="6" w:space="0" w:color="auto"/>
              <w:bottom w:val="single" w:sz="4" w:space="0" w:color="BFBFBF"/>
              <w:right w:val="nil"/>
            </w:tcBorders>
            <w:shd w:val="clear" w:color="auto" w:fill="auto"/>
            <w:noWrap/>
            <w:vAlign w:val="center"/>
          </w:tcPr>
          <w:p w14:paraId="631FF9D2"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Private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CBFD3CA"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c>
          <w:tcPr>
            <w:tcW w:w="808" w:type="dxa"/>
            <w:tcBorders>
              <w:top w:val="nil"/>
              <w:left w:val="nil"/>
              <w:bottom w:val="single" w:sz="4" w:space="0" w:color="BFBFBF"/>
              <w:right w:val="nil"/>
            </w:tcBorders>
            <w:shd w:val="clear" w:color="auto" w:fill="auto"/>
            <w:noWrap/>
            <w:vAlign w:val="center"/>
          </w:tcPr>
          <w:p w14:paraId="462CD8C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1862A4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c>
          <w:tcPr>
            <w:tcW w:w="675" w:type="dxa"/>
            <w:tcBorders>
              <w:top w:val="nil"/>
              <w:left w:val="nil"/>
              <w:bottom w:val="single" w:sz="4" w:space="0" w:color="BFBFBF"/>
              <w:right w:val="single" w:sz="4" w:space="0" w:color="auto"/>
            </w:tcBorders>
            <w:shd w:val="clear" w:color="auto" w:fill="auto"/>
            <w:noWrap/>
            <w:vAlign w:val="center"/>
          </w:tcPr>
          <w:p w14:paraId="5311D983"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74</w:t>
            </w:r>
          </w:p>
        </w:tc>
        <w:tc>
          <w:tcPr>
            <w:tcW w:w="808" w:type="dxa"/>
            <w:tcBorders>
              <w:top w:val="nil"/>
              <w:left w:val="nil"/>
              <w:bottom w:val="single" w:sz="4" w:space="0" w:color="BFBFBF"/>
              <w:right w:val="single" w:sz="4" w:space="0" w:color="BFBFBF"/>
            </w:tcBorders>
            <w:shd w:val="clear" w:color="auto" w:fill="auto"/>
            <w:noWrap/>
            <w:vAlign w:val="center"/>
          </w:tcPr>
          <w:p w14:paraId="6ED254F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1613B5B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w:t>
            </w:r>
          </w:p>
        </w:tc>
        <w:tc>
          <w:tcPr>
            <w:tcW w:w="808" w:type="dxa"/>
            <w:tcBorders>
              <w:top w:val="nil"/>
              <w:left w:val="nil"/>
              <w:bottom w:val="single" w:sz="4" w:space="0" w:color="BFBFBF"/>
              <w:right w:val="single" w:sz="4" w:space="0" w:color="BFBFBF"/>
            </w:tcBorders>
            <w:shd w:val="clear" w:color="auto" w:fill="auto"/>
            <w:noWrap/>
            <w:vAlign w:val="bottom"/>
          </w:tcPr>
          <w:p w14:paraId="0D3024A6"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w:t>
            </w:r>
          </w:p>
        </w:tc>
        <w:tc>
          <w:tcPr>
            <w:tcW w:w="675" w:type="dxa"/>
            <w:tcBorders>
              <w:top w:val="nil"/>
              <w:left w:val="nil"/>
              <w:bottom w:val="single" w:sz="4" w:space="0" w:color="BFBFBF"/>
              <w:right w:val="single" w:sz="4" w:space="0" w:color="auto"/>
            </w:tcBorders>
            <w:shd w:val="clear" w:color="auto" w:fill="auto"/>
            <w:noWrap/>
            <w:vAlign w:val="center"/>
          </w:tcPr>
          <w:p w14:paraId="0AFAB9FE"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w:t>
            </w:r>
          </w:p>
        </w:tc>
        <w:tc>
          <w:tcPr>
            <w:tcW w:w="808" w:type="dxa"/>
            <w:tcBorders>
              <w:top w:val="nil"/>
              <w:left w:val="nil"/>
              <w:bottom w:val="single" w:sz="4" w:space="0" w:color="BFBFBF"/>
              <w:right w:val="single" w:sz="4" w:space="0" w:color="BFBFBF"/>
            </w:tcBorders>
            <w:shd w:val="clear" w:color="auto" w:fill="auto"/>
            <w:noWrap/>
            <w:vAlign w:val="center"/>
          </w:tcPr>
          <w:p w14:paraId="4FBDF5E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w:t>
            </w:r>
          </w:p>
        </w:tc>
        <w:tc>
          <w:tcPr>
            <w:tcW w:w="675" w:type="dxa"/>
            <w:tcBorders>
              <w:top w:val="nil"/>
              <w:left w:val="nil"/>
              <w:bottom w:val="single" w:sz="4" w:space="0" w:color="BFBFBF"/>
              <w:right w:val="nil"/>
            </w:tcBorders>
            <w:shd w:val="clear" w:color="auto" w:fill="auto"/>
            <w:noWrap/>
            <w:vAlign w:val="center"/>
          </w:tcPr>
          <w:p w14:paraId="458F745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2B6EE3C8"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58252FA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5A1AB6E"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463A504F"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w:t>
            </w:r>
          </w:p>
        </w:tc>
        <w:tc>
          <w:tcPr>
            <w:tcW w:w="808" w:type="dxa"/>
            <w:tcBorders>
              <w:top w:val="nil"/>
              <w:left w:val="nil"/>
              <w:bottom w:val="single" w:sz="4" w:space="0" w:color="BFBFBF"/>
              <w:right w:val="single" w:sz="4" w:space="0" w:color="BFBFBF"/>
            </w:tcBorders>
            <w:shd w:val="clear" w:color="auto" w:fill="auto"/>
            <w:noWrap/>
            <w:vAlign w:val="bottom"/>
          </w:tcPr>
          <w:p w14:paraId="4627CD20"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FF52A1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555</w:t>
            </w:r>
          </w:p>
        </w:tc>
        <w:tc>
          <w:tcPr>
            <w:tcW w:w="808" w:type="dxa"/>
            <w:tcBorders>
              <w:top w:val="nil"/>
              <w:left w:val="nil"/>
              <w:bottom w:val="single" w:sz="4" w:space="0" w:color="BFBFBF"/>
              <w:right w:val="single" w:sz="4" w:space="0" w:color="BFBFBF"/>
            </w:tcBorders>
            <w:shd w:val="clear" w:color="auto" w:fill="auto"/>
            <w:noWrap/>
            <w:vAlign w:val="center"/>
          </w:tcPr>
          <w:p w14:paraId="7B5C18DA"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double" w:sz="6" w:space="0" w:color="auto"/>
            </w:tcBorders>
            <w:shd w:val="clear" w:color="auto" w:fill="auto"/>
            <w:noWrap/>
            <w:vAlign w:val="center"/>
          </w:tcPr>
          <w:p w14:paraId="17327070"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r>
      <w:tr w:rsidR="00184A24" w:rsidRPr="00125162" w14:paraId="76C896E6" w14:textId="77777777" w:rsidTr="00184A24">
        <w:trPr>
          <w:trHeight w:val="220"/>
        </w:trPr>
        <w:tc>
          <w:tcPr>
            <w:tcW w:w="2291" w:type="dxa"/>
            <w:tcBorders>
              <w:top w:val="nil"/>
              <w:left w:val="double" w:sz="6" w:space="0" w:color="auto"/>
              <w:bottom w:val="single" w:sz="4" w:space="0" w:color="BFBFBF"/>
              <w:right w:val="nil"/>
            </w:tcBorders>
            <w:shd w:val="clear" w:color="auto" w:fill="auto"/>
            <w:noWrap/>
            <w:vAlign w:val="center"/>
          </w:tcPr>
          <w:p w14:paraId="5ABFBECE" w14:textId="77777777" w:rsidR="00184A24" w:rsidRPr="00125162" w:rsidRDefault="00184A2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Public</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907C9C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w:t>
            </w:r>
          </w:p>
        </w:tc>
        <w:tc>
          <w:tcPr>
            <w:tcW w:w="808" w:type="dxa"/>
            <w:tcBorders>
              <w:top w:val="nil"/>
              <w:left w:val="nil"/>
              <w:bottom w:val="single" w:sz="4" w:space="0" w:color="BFBFBF"/>
              <w:right w:val="nil"/>
            </w:tcBorders>
            <w:shd w:val="clear" w:color="auto" w:fill="auto"/>
            <w:noWrap/>
            <w:vAlign w:val="center"/>
          </w:tcPr>
          <w:p w14:paraId="0AD43162"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977338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73%</w:t>
            </w:r>
          </w:p>
        </w:tc>
        <w:tc>
          <w:tcPr>
            <w:tcW w:w="675" w:type="dxa"/>
            <w:tcBorders>
              <w:top w:val="nil"/>
              <w:left w:val="nil"/>
              <w:bottom w:val="single" w:sz="4" w:space="0" w:color="BFBFBF"/>
              <w:right w:val="single" w:sz="4" w:space="0" w:color="auto"/>
            </w:tcBorders>
            <w:shd w:val="clear" w:color="auto" w:fill="auto"/>
            <w:noWrap/>
            <w:vAlign w:val="center"/>
          </w:tcPr>
          <w:p w14:paraId="3D007AF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65</w:t>
            </w:r>
          </w:p>
        </w:tc>
        <w:tc>
          <w:tcPr>
            <w:tcW w:w="808" w:type="dxa"/>
            <w:tcBorders>
              <w:top w:val="nil"/>
              <w:left w:val="nil"/>
              <w:bottom w:val="single" w:sz="4" w:space="0" w:color="BFBFBF"/>
              <w:right w:val="single" w:sz="4" w:space="0" w:color="BFBFBF"/>
            </w:tcBorders>
            <w:shd w:val="clear" w:color="auto" w:fill="auto"/>
            <w:noWrap/>
            <w:vAlign w:val="center"/>
          </w:tcPr>
          <w:p w14:paraId="567B178C"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4B43355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BFBFBF"/>
            </w:tcBorders>
            <w:shd w:val="clear" w:color="auto" w:fill="auto"/>
            <w:noWrap/>
            <w:vAlign w:val="bottom"/>
          </w:tcPr>
          <w:p w14:paraId="6C614DF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w:t>
            </w:r>
          </w:p>
        </w:tc>
        <w:tc>
          <w:tcPr>
            <w:tcW w:w="675" w:type="dxa"/>
            <w:tcBorders>
              <w:top w:val="nil"/>
              <w:left w:val="nil"/>
              <w:bottom w:val="single" w:sz="4" w:space="0" w:color="BFBFBF"/>
              <w:right w:val="single" w:sz="4" w:space="0" w:color="auto"/>
            </w:tcBorders>
            <w:shd w:val="clear" w:color="auto" w:fill="auto"/>
            <w:noWrap/>
            <w:vAlign w:val="center"/>
          </w:tcPr>
          <w:p w14:paraId="6BFA2D37"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w:t>
            </w:r>
          </w:p>
        </w:tc>
        <w:tc>
          <w:tcPr>
            <w:tcW w:w="808" w:type="dxa"/>
            <w:tcBorders>
              <w:top w:val="nil"/>
              <w:left w:val="nil"/>
              <w:bottom w:val="single" w:sz="4" w:space="0" w:color="BFBFBF"/>
              <w:right w:val="single" w:sz="4" w:space="0" w:color="BFBFBF"/>
            </w:tcBorders>
            <w:shd w:val="clear" w:color="auto" w:fill="auto"/>
            <w:noWrap/>
            <w:vAlign w:val="center"/>
          </w:tcPr>
          <w:p w14:paraId="77A5814D"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675" w:type="dxa"/>
            <w:tcBorders>
              <w:top w:val="nil"/>
              <w:left w:val="nil"/>
              <w:bottom w:val="single" w:sz="4" w:space="0" w:color="BFBFBF"/>
              <w:right w:val="nil"/>
            </w:tcBorders>
            <w:shd w:val="clear" w:color="auto" w:fill="auto"/>
            <w:noWrap/>
            <w:vAlign w:val="center"/>
          </w:tcPr>
          <w:p w14:paraId="235E5D9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26" w:type="dxa"/>
            <w:tcBorders>
              <w:top w:val="nil"/>
              <w:left w:val="single" w:sz="4" w:space="0" w:color="auto"/>
              <w:bottom w:val="single" w:sz="4" w:space="0" w:color="BFBFBF"/>
              <w:right w:val="single" w:sz="4" w:space="0" w:color="BFBFBF"/>
            </w:tcBorders>
            <w:shd w:val="clear" w:color="auto" w:fill="auto"/>
            <w:noWrap/>
            <w:vAlign w:val="bottom"/>
          </w:tcPr>
          <w:p w14:paraId="76390BA5"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0580B613"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5D5B791"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62F00626"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808" w:type="dxa"/>
            <w:tcBorders>
              <w:top w:val="nil"/>
              <w:left w:val="nil"/>
              <w:bottom w:val="single" w:sz="4" w:space="0" w:color="BFBFBF"/>
              <w:right w:val="single" w:sz="4" w:space="0" w:color="BFBFBF"/>
            </w:tcBorders>
            <w:shd w:val="clear" w:color="auto" w:fill="auto"/>
            <w:noWrap/>
            <w:vAlign w:val="bottom"/>
          </w:tcPr>
          <w:p w14:paraId="2D28BCCB"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0EDF7B2F" w14:textId="77777777" w:rsidR="00184A24" w:rsidRPr="00125162" w:rsidRDefault="00184A24" w:rsidP="00184A2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E857FD5"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double" w:sz="6" w:space="0" w:color="auto"/>
            </w:tcBorders>
            <w:shd w:val="clear" w:color="auto" w:fill="auto"/>
            <w:noWrap/>
            <w:vAlign w:val="center"/>
          </w:tcPr>
          <w:p w14:paraId="5285EC57" w14:textId="77777777" w:rsidR="00184A24" w:rsidRPr="00125162" w:rsidRDefault="00184A24" w:rsidP="00970E2F">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59</w:t>
            </w:r>
          </w:p>
        </w:tc>
      </w:tr>
      <w:tr w:rsidR="00184A24" w:rsidRPr="00125162" w14:paraId="1BA2AE43" w14:textId="77777777" w:rsidTr="00184A24">
        <w:trPr>
          <w:trHeight w:val="234"/>
        </w:trPr>
        <w:tc>
          <w:tcPr>
            <w:tcW w:w="2291" w:type="dxa"/>
            <w:tcBorders>
              <w:top w:val="nil"/>
              <w:left w:val="double" w:sz="6" w:space="0" w:color="auto"/>
              <w:bottom w:val="double" w:sz="6" w:space="0" w:color="auto"/>
              <w:right w:val="nil"/>
            </w:tcBorders>
            <w:shd w:val="clear" w:color="auto" w:fill="auto"/>
            <w:noWrap/>
            <w:vAlign w:val="center"/>
          </w:tcPr>
          <w:p w14:paraId="0851F8D5" w14:textId="77777777" w:rsidR="00184A24" w:rsidRPr="00125162" w:rsidRDefault="00184A24"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 Households</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4BC3BFD8" w14:textId="77777777" w:rsidR="00184A24" w:rsidRPr="00125162" w:rsidRDefault="00184A24" w:rsidP="00184A2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44%</w:t>
            </w:r>
          </w:p>
        </w:tc>
        <w:tc>
          <w:tcPr>
            <w:tcW w:w="808" w:type="dxa"/>
            <w:tcBorders>
              <w:top w:val="nil"/>
              <w:left w:val="nil"/>
              <w:bottom w:val="double" w:sz="6" w:space="0" w:color="auto"/>
              <w:right w:val="nil"/>
            </w:tcBorders>
            <w:shd w:val="clear" w:color="auto" w:fill="auto"/>
            <w:noWrap/>
            <w:vAlign w:val="center"/>
          </w:tcPr>
          <w:p w14:paraId="2FA3B1B6" w14:textId="77777777" w:rsidR="00184A24" w:rsidRPr="00125162" w:rsidRDefault="00184A24" w:rsidP="00184A2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165</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35E570B4" w14:textId="77777777" w:rsidR="00184A24" w:rsidRPr="00125162" w:rsidRDefault="00184A24"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36%</w:t>
            </w:r>
          </w:p>
        </w:tc>
        <w:tc>
          <w:tcPr>
            <w:tcW w:w="675" w:type="dxa"/>
            <w:tcBorders>
              <w:top w:val="nil"/>
              <w:left w:val="nil"/>
              <w:bottom w:val="double" w:sz="6" w:space="0" w:color="auto"/>
              <w:right w:val="single" w:sz="4" w:space="0" w:color="auto"/>
            </w:tcBorders>
            <w:shd w:val="clear" w:color="auto" w:fill="auto"/>
            <w:noWrap/>
            <w:vAlign w:val="center"/>
          </w:tcPr>
          <w:p w14:paraId="3E217E36" w14:textId="77777777" w:rsidR="00184A24" w:rsidRPr="00125162" w:rsidRDefault="00184A24"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79</w:t>
            </w:r>
          </w:p>
        </w:tc>
        <w:tc>
          <w:tcPr>
            <w:tcW w:w="808" w:type="dxa"/>
            <w:tcBorders>
              <w:top w:val="nil"/>
              <w:left w:val="nil"/>
              <w:bottom w:val="double" w:sz="6" w:space="0" w:color="auto"/>
              <w:right w:val="single" w:sz="4" w:space="0" w:color="BFBFBF"/>
            </w:tcBorders>
            <w:shd w:val="clear" w:color="auto" w:fill="auto"/>
            <w:noWrap/>
            <w:vAlign w:val="center"/>
          </w:tcPr>
          <w:p w14:paraId="25F3A8C6" w14:textId="77777777" w:rsidR="00184A24" w:rsidRPr="00125162" w:rsidRDefault="00184A24"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100%</w:t>
            </w:r>
          </w:p>
        </w:tc>
        <w:tc>
          <w:tcPr>
            <w:tcW w:w="808" w:type="dxa"/>
            <w:tcBorders>
              <w:top w:val="nil"/>
              <w:left w:val="nil"/>
              <w:bottom w:val="double" w:sz="6" w:space="0" w:color="auto"/>
              <w:right w:val="single" w:sz="4" w:space="0" w:color="auto"/>
            </w:tcBorders>
            <w:shd w:val="clear" w:color="auto" w:fill="auto"/>
            <w:noWrap/>
            <w:vAlign w:val="center"/>
          </w:tcPr>
          <w:p w14:paraId="0F9E6E87" w14:textId="77777777" w:rsidR="00184A24" w:rsidRPr="00125162" w:rsidRDefault="00184A24"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65</w:t>
            </w:r>
          </w:p>
        </w:tc>
        <w:tc>
          <w:tcPr>
            <w:tcW w:w="808" w:type="dxa"/>
            <w:tcBorders>
              <w:top w:val="nil"/>
              <w:left w:val="nil"/>
              <w:bottom w:val="double" w:sz="6" w:space="0" w:color="auto"/>
              <w:right w:val="single" w:sz="4" w:space="0" w:color="BFBFBF"/>
            </w:tcBorders>
            <w:shd w:val="clear" w:color="auto" w:fill="auto"/>
            <w:noWrap/>
            <w:vAlign w:val="center"/>
          </w:tcPr>
          <w:p w14:paraId="4C02E62B" w14:textId="77777777" w:rsidR="00184A24" w:rsidRPr="00125162" w:rsidRDefault="00184A24" w:rsidP="00184A2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10%</w:t>
            </w:r>
          </w:p>
        </w:tc>
        <w:tc>
          <w:tcPr>
            <w:tcW w:w="675" w:type="dxa"/>
            <w:tcBorders>
              <w:top w:val="nil"/>
              <w:left w:val="nil"/>
              <w:bottom w:val="double" w:sz="6" w:space="0" w:color="auto"/>
              <w:right w:val="single" w:sz="4" w:space="0" w:color="auto"/>
            </w:tcBorders>
            <w:shd w:val="clear" w:color="auto" w:fill="auto"/>
            <w:noWrap/>
            <w:vAlign w:val="center"/>
          </w:tcPr>
          <w:p w14:paraId="2644D125" w14:textId="77777777" w:rsidR="00184A24" w:rsidRPr="00125162" w:rsidRDefault="00184A24" w:rsidP="00184A2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34</w:t>
            </w:r>
          </w:p>
        </w:tc>
        <w:tc>
          <w:tcPr>
            <w:tcW w:w="808" w:type="dxa"/>
            <w:tcBorders>
              <w:top w:val="nil"/>
              <w:left w:val="nil"/>
              <w:bottom w:val="double" w:sz="6" w:space="0" w:color="auto"/>
              <w:right w:val="single" w:sz="4" w:space="0" w:color="BFBFBF"/>
            </w:tcBorders>
            <w:shd w:val="clear" w:color="auto" w:fill="auto"/>
            <w:noWrap/>
            <w:vAlign w:val="center"/>
          </w:tcPr>
          <w:p w14:paraId="391843E5" w14:textId="77777777" w:rsidR="00184A24" w:rsidRPr="00125162" w:rsidRDefault="00184A24"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9%</w:t>
            </w:r>
          </w:p>
        </w:tc>
        <w:tc>
          <w:tcPr>
            <w:tcW w:w="675" w:type="dxa"/>
            <w:tcBorders>
              <w:top w:val="nil"/>
              <w:left w:val="nil"/>
              <w:bottom w:val="double" w:sz="6" w:space="0" w:color="auto"/>
              <w:right w:val="nil"/>
            </w:tcBorders>
            <w:shd w:val="clear" w:color="auto" w:fill="auto"/>
            <w:noWrap/>
            <w:vAlign w:val="center"/>
          </w:tcPr>
          <w:p w14:paraId="72F17EA8" w14:textId="77777777" w:rsidR="00184A24" w:rsidRPr="00125162" w:rsidRDefault="00184A24"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32</w:t>
            </w:r>
          </w:p>
        </w:tc>
        <w:tc>
          <w:tcPr>
            <w:tcW w:w="826" w:type="dxa"/>
            <w:tcBorders>
              <w:top w:val="nil"/>
              <w:left w:val="single" w:sz="4" w:space="0" w:color="auto"/>
              <w:bottom w:val="double" w:sz="6" w:space="0" w:color="auto"/>
              <w:right w:val="single" w:sz="4" w:space="0" w:color="BFBFBF"/>
            </w:tcBorders>
            <w:shd w:val="clear" w:color="auto" w:fill="auto"/>
            <w:noWrap/>
            <w:vAlign w:val="center"/>
          </w:tcPr>
          <w:p w14:paraId="3594E466" w14:textId="77777777" w:rsidR="00184A24" w:rsidRPr="00125162" w:rsidRDefault="00184A24" w:rsidP="00184A2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w:t>
            </w:r>
          </w:p>
        </w:tc>
        <w:tc>
          <w:tcPr>
            <w:tcW w:w="586" w:type="dxa"/>
            <w:tcBorders>
              <w:top w:val="nil"/>
              <w:left w:val="nil"/>
              <w:bottom w:val="double" w:sz="6" w:space="0" w:color="auto"/>
              <w:right w:val="nil"/>
            </w:tcBorders>
            <w:shd w:val="clear" w:color="auto" w:fill="auto"/>
            <w:noWrap/>
            <w:vAlign w:val="center"/>
          </w:tcPr>
          <w:p w14:paraId="2C0AF027" w14:textId="77777777" w:rsidR="00184A24" w:rsidRPr="00125162" w:rsidRDefault="00184A24" w:rsidP="00184A2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105</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3AABCC81" w14:textId="77777777" w:rsidR="00184A24" w:rsidRPr="00125162" w:rsidRDefault="00184A24"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497" w:type="dxa"/>
            <w:tcBorders>
              <w:top w:val="nil"/>
              <w:left w:val="nil"/>
              <w:bottom w:val="double" w:sz="6" w:space="0" w:color="auto"/>
              <w:right w:val="single" w:sz="4" w:space="0" w:color="auto"/>
            </w:tcBorders>
            <w:shd w:val="clear" w:color="auto" w:fill="auto"/>
            <w:noWrap/>
            <w:vAlign w:val="center"/>
          </w:tcPr>
          <w:p w14:paraId="6BD13D83" w14:textId="77777777" w:rsidR="00184A24" w:rsidRPr="00125162" w:rsidRDefault="00184A24"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47</w:t>
            </w:r>
          </w:p>
        </w:tc>
        <w:tc>
          <w:tcPr>
            <w:tcW w:w="808" w:type="dxa"/>
            <w:tcBorders>
              <w:top w:val="nil"/>
              <w:left w:val="nil"/>
              <w:bottom w:val="double" w:sz="6" w:space="0" w:color="auto"/>
              <w:right w:val="single" w:sz="4" w:space="0" w:color="BFBFBF"/>
            </w:tcBorders>
            <w:shd w:val="clear" w:color="auto" w:fill="auto"/>
            <w:noWrap/>
            <w:vAlign w:val="center"/>
          </w:tcPr>
          <w:p w14:paraId="5531C3D3" w14:textId="77777777" w:rsidR="00184A24" w:rsidRPr="00125162" w:rsidRDefault="00184A24" w:rsidP="00184A2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w:t>
            </w:r>
          </w:p>
        </w:tc>
        <w:tc>
          <w:tcPr>
            <w:tcW w:w="497" w:type="dxa"/>
            <w:tcBorders>
              <w:top w:val="nil"/>
              <w:left w:val="nil"/>
              <w:bottom w:val="double" w:sz="6" w:space="0" w:color="auto"/>
              <w:right w:val="single" w:sz="4" w:space="0" w:color="auto"/>
            </w:tcBorders>
            <w:shd w:val="clear" w:color="auto" w:fill="auto"/>
            <w:noWrap/>
            <w:vAlign w:val="center"/>
          </w:tcPr>
          <w:p w14:paraId="71324B98" w14:textId="77777777" w:rsidR="00184A24" w:rsidRPr="00125162" w:rsidRDefault="00184A24" w:rsidP="00184A2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409</w:t>
            </w:r>
          </w:p>
        </w:tc>
        <w:tc>
          <w:tcPr>
            <w:tcW w:w="808" w:type="dxa"/>
            <w:tcBorders>
              <w:top w:val="nil"/>
              <w:left w:val="nil"/>
              <w:bottom w:val="double" w:sz="6" w:space="0" w:color="auto"/>
              <w:right w:val="single" w:sz="4" w:space="0" w:color="BFBFBF"/>
            </w:tcBorders>
            <w:shd w:val="clear" w:color="auto" w:fill="auto"/>
            <w:noWrap/>
            <w:vAlign w:val="center"/>
          </w:tcPr>
          <w:p w14:paraId="318AED2C" w14:textId="77777777" w:rsidR="00184A24" w:rsidRPr="00125162" w:rsidRDefault="00184A24"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497" w:type="dxa"/>
            <w:tcBorders>
              <w:top w:val="nil"/>
              <w:left w:val="nil"/>
              <w:bottom w:val="double" w:sz="6" w:space="0" w:color="auto"/>
              <w:right w:val="double" w:sz="6" w:space="0" w:color="auto"/>
            </w:tcBorders>
            <w:shd w:val="clear" w:color="auto" w:fill="auto"/>
            <w:noWrap/>
            <w:vAlign w:val="center"/>
          </w:tcPr>
          <w:p w14:paraId="39B97AA4" w14:textId="77777777" w:rsidR="00184A24" w:rsidRPr="00125162" w:rsidRDefault="00184A24"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77</w:t>
            </w:r>
          </w:p>
        </w:tc>
      </w:tr>
    </w:tbl>
    <w:p w14:paraId="4B03FB29" w14:textId="77777777" w:rsidR="004A4BCE" w:rsidRPr="00125162" w:rsidRDefault="004A4BCE" w:rsidP="002618D8">
      <w:pPr>
        <w:pStyle w:val="Para"/>
        <w:spacing w:line="240" w:lineRule="auto"/>
        <w:jc w:val="left"/>
        <w:outlineLvl w:val="0"/>
        <w:rPr>
          <w:b/>
          <w:sz w:val="16"/>
          <w:szCs w:val="16"/>
          <w:u w:val="single"/>
          <w:lang w:val="en-AU"/>
        </w:rPr>
      </w:pPr>
    </w:p>
    <w:p w14:paraId="72C71DEC" w14:textId="77777777" w:rsidR="00D109F7" w:rsidRPr="009748AD" w:rsidRDefault="00D109F7" w:rsidP="00D109F7">
      <w:pPr>
        <w:numPr>
          <w:ilvl w:val="0"/>
          <w:numId w:val="6"/>
        </w:numPr>
        <w:tabs>
          <w:tab w:val="left" w:pos="11624"/>
        </w:tabs>
        <w:spacing w:after="0" w:line="160" w:lineRule="atLeast"/>
        <w:jc w:val="both"/>
        <w:rPr>
          <w:sz w:val="18"/>
          <w:szCs w:val="18"/>
          <w:lang w:val="en-AU"/>
        </w:rPr>
      </w:pPr>
      <w:r w:rsidRPr="009748AD">
        <w:rPr>
          <w:sz w:val="18"/>
          <w:szCs w:val="18"/>
          <w:lang w:val="en-AU"/>
        </w:rPr>
        <w:t xml:space="preserve">Some households received multiples of the </w:t>
      </w:r>
      <w:r w:rsidR="00CC42CD" w:rsidRPr="009748AD">
        <w:rPr>
          <w:sz w:val="18"/>
          <w:szCs w:val="18"/>
          <w:lang w:val="en-AU"/>
        </w:rPr>
        <w:t>W</w:t>
      </w:r>
      <w:r w:rsidRPr="009748AD">
        <w:rPr>
          <w:sz w:val="18"/>
          <w:szCs w:val="18"/>
          <w:lang w:val="en-AU"/>
        </w:rPr>
        <w:t xml:space="preserve">inter </w:t>
      </w:r>
      <w:r w:rsidR="006C0055" w:rsidRPr="009748AD">
        <w:rPr>
          <w:sz w:val="18"/>
          <w:szCs w:val="18"/>
          <w:lang w:val="en-AU"/>
        </w:rPr>
        <w:t>Bonus</w:t>
      </w:r>
      <w:r w:rsidRPr="009748AD">
        <w:rPr>
          <w:sz w:val="18"/>
          <w:szCs w:val="18"/>
          <w:lang w:val="en-AU"/>
        </w:rPr>
        <w:t xml:space="preserve"> value in 2001 (i.e. $120 or $180 for bonuses not paid in 200</w:t>
      </w:r>
      <w:r w:rsidR="00AC0AF0" w:rsidRPr="009748AD">
        <w:rPr>
          <w:sz w:val="18"/>
          <w:szCs w:val="18"/>
          <w:lang w:val="en-AU"/>
        </w:rPr>
        <w:t>1</w:t>
      </w:r>
      <w:r w:rsidRPr="009748AD">
        <w:rPr>
          <w:sz w:val="18"/>
          <w:szCs w:val="18"/>
          <w:lang w:val="en-AU"/>
        </w:rPr>
        <w:t xml:space="preserve"> or </w:t>
      </w:r>
      <w:r w:rsidR="00AC0AF0" w:rsidRPr="009748AD">
        <w:rPr>
          <w:sz w:val="18"/>
          <w:szCs w:val="18"/>
          <w:lang w:val="en-AU"/>
        </w:rPr>
        <w:t>2000</w:t>
      </w:r>
      <w:r w:rsidRPr="009748AD">
        <w:rPr>
          <w:sz w:val="18"/>
          <w:szCs w:val="18"/>
          <w:lang w:val="en-AU"/>
        </w:rPr>
        <w:t xml:space="preserve">).  Hence the average value of the </w:t>
      </w:r>
      <w:r w:rsidR="00CC42CD" w:rsidRPr="009748AD">
        <w:rPr>
          <w:sz w:val="18"/>
          <w:szCs w:val="18"/>
          <w:lang w:val="en-AU"/>
        </w:rPr>
        <w:t>W</w:t>
      </w:r>
      <w:r w:rsidR="006C0055" w:rsidRPr="009748AD">
        <w:rPr>
          <w:sz w:val="18"/>
          <w:szCs w:val="18"/>
          <w:lang w:val="en-AU"/>
        </w:rPr>
        <w:t>inter Bonus</w:t>
      </w:r>
      <w:r w:rsidRPr="009748AD">
        <w:rPr>
          <w:sz w:val="18"/>
          <w:szCs w:val="18"/>
          <w:lang w:val="en-AU"/>
        </w:rPr>
        <w:t xml:space="preserve"> in 2001is greater than $60.</w:t>
      </w:r>
    </w:p>
    <w:p w14:paraId="5BD3D241" w14:textId="77777777" w:rsidR="00D109F7" w:rsidRPr="009748AD" w:rsidRDefault="00D109F7" w:rsidP="00D109F7">
      <w:pPr>
        <w:numPr>
          <w:ilvl w:val="0"/>
          <w:numId w:val="6"/>
        </w:numPr>
        <w:spacing w:before="0" w:after="0" w:line="160" w:lineRule="atLeast"/>
        <w:jc w:val="both"/>
        <w:rPr>
          <w:sz w:val="18"/>
          <w:szCs w:val="18"/>
          <w:lang w:val="en-AU"/>
        </w:rPr>
      </w:pPr>
      <w:r w:rsidRPr="009748AD">
        <w:rPr>
          <w:sz w:val="18"/>
          <w:szCs w:val="18"/>
          <w:lang w:val="en-AU"/>
        </w:rPr>
        <w:t xml:space="preserve">Whilst the person who pays the bills for the household may not hold a concession card, another person in the household may do so. </w:t>
      </w:r>
    </w:p>
    <w:p w14:paraId="6835FAA0" w14:textId="77777777" w:rsidR="00D109F7" w:rsidRPr="00125162" w:rsidRDefault="00D109F7" w:rsidP="00D109F7">
      <w:pPr>
        <w:pStyle w:val="Para"/>
        <w:outlineLvl w:val="0"/>
        <w:rPr>
          <w:u w:val="single"/>
          <w:lang w:val="en-AU"/>
        </w:rPr>
      </w:pPr>
    </w:p>
    <w:p w14:paraId="79DCC55B" w14:textId="77777777" w:rsidR="004A4BCE" w:rsidRPr="00125162" w:rsidRDefault="004A4BCE" w:rsidP="00F47A9C">
      <w:pPr>
        <w:pStyle w:val="Para"/>
        <w:spacing w:after="120"/>
        <w:jc w:val="center"/>
        <w:outlineLvl w:val="0"/>
        <w:rPr>
          <w:b/>
          <w:u w:val="single"/>
          <w:lang w:val="en-AU"/>
        </w:rPr>
      </w:pPr>
      <w:r w:rsidRPr="00125162">
        <w:rPr>
          <w:b/>
          <w:lang w:val="en-AU"/>
        </w:rPr>
        <w:br w:type="page"/>
      </w:r>
      <w:r w:rsidRPr="00125162">
        <w:rPr>
          <w:b/>
          <w:lang w:val="en-AU"/>
        </w:rPr>
        <w:lastRenderedPageBreak/>
        <w:t>Table 4.2.2.</w:t>
      </w:r>
      <w:r w:rsidR="00C23ECC" w:rsidRPr="00125162">
        <w:rPr>
          <w:b/>
          <w:lang w:val="en-AU"/>
        </w:rPr>
        <w:t>4</w:t>
      </w:r>
      <w:r w:rsidRPr="00125162">
        <w:rPr>
          <w:b/>
          <w:lang w:val="en-AU"/>
        </w:rPr>
        <w:t xml:space="preserve">: </w:t>
      </w:r>
      <w:r w:rsidRPr="00125162">
        <w:rPr>
          <w:b/>
          <w:u w:val="single"/>
          <w:lang w:val="en-AU"/>
        </w:rPr>
        <w:t>DH</w:t>
      </w:r>
      <w:r w:rsidR="0031234C" w:rsidRPr="00125162">
        <w:rPr>
          <w:b/>
          <w:u w:val="single"/>
          <w:lang w:val="en-AU"/>
        </w:rPr>
        <w:t>H</w:t>
      </w:r>
      <w:r w:rsidRPr="00125162">
        <w:rPr>
          <w:b/>
          <w:u w:val="single"/>
          <w:lang w:val="en-AU"/>
        </w:rPr>
        <w:t xml:space="preserve">S Funded Electricity Consumption Concessions – Part </w:t>
      </w:r>
      <w:r w:rsidR="00C23ECC" w:rsidRPr="00125162">
        <w:rPr>
          <w:b/>
          <w:u w:val="single"/>
          <w:lang w:val="en-AU"/>
        </w:rPr>
        <w:t>2</w:t>
      </w:r>
    </w:p>
    <w:tbl>
      <w:tblPr>
        <w:tblW w:w="13963" w:type="dxa"/>
        <w:jc w:val="center"/>
        <w:tblLook w:val="04A0" w:firstRow="1" w:lastRow="0" w:firstColumn="1" w:lastColumn="0" w:noHBand="0" w:noVBand="1"/>
      </w:tblPr>
      <w:tblGrid>
        <w:gridCol w:w="2575"/>
        <w:gridCol w:w="808"/>
        <w:gridCol w:w="675"/>
        <w:gridCol w:w="808"/>
        <w:gridCol w:w="586"/>
        <w:gridCol w:w="816"/>
        <w:gridCol w:w="586"/>
        <w:gridCol w:w="813"/>
        <w:gridCol w:w="497"/>
        <w:gridCol w:w="808"/>
        <w:gridCol w:w="808"/>
        <w:gridCol w:w="808"/>
        <w:gridCol w:w="675"/>
        <w:gridCol w:w="675"/>
        <w:gridCol w:w="675"/>
        <w:gridCol w:w="675"/>
        <w:gridCol w:w="675"/>
      </w:tblGrid>
      <w:tr w:rsidR="00970E2F" w:rsidRPr="00125162" w14:paraId="60224574" w14:textId="77777777" w:rsidTr="002B0E16">
        <w:trPr>
          <w:trHeight w:val="240"/>
          <w:tblHeader/>
          <w:jc w:val="center"/>
        </w:trPr>
        <w:tc>
          <w:tcPr>
            <w:tcW w:w="2575" w:type="dxa"/>
            <w:vMerge w:val="restart"/>
            <w:tcBorders>
              <w:top w:val="double" w:sz="6" w:space="0" w:color="auto"/>
              <w:left w:val="double" w:sz="6" w:space="0" w:color="auto"/>
              <w:bottom w:val="single" w:sz="4" w:space="0" w:color="BFBFBF"/>
              <w:right w:val="nil"/>
            </w:tcBorders>
            <w:shd w:val="clear" w:color="auto" w:fill="auto"/>
            <w:noWrap/>
            <w:vAlign w:val="center"/>
          </w:tcPr>
          <w:p w14:paraId="258C3037"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2877" w:type="dxa"/>
            <w:gridSpan w:val="4"/>
            <w:vMerge w:val="restart"/>
            <w:tcBorders>
              <w:top w:val="double" w:sz="6" w:space="0" w:color="auto"/>
              <w:left w:val="single" w:sz="4" w:space="0" w:color="auto"/>
              <w:bottom w:val="single" w:sz="4" w:space="0" w:color="BFBFBF"/>
              <w:right w:val="single" w:sz="4" w:space="0" w:color="000000"/>
            </w:tcBorders>
            <w:shd w:val="clear" w:color="auto" w:fill="auto"/>
            <w:vAlign w:val="center"/>
          </w:tcPr>
          <w:p w14:paraId="0E228713"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Service to Property Concession</w:t>
            </w:r>
          </w:p>
        </w:tc>
        <w:tc>
          <w:tcPr>
            <w:tcW w:w="1402" w:type="dxa"/>
            <w:gridSpan w:val="2"/>
            <w:vMerge w:val="restart"/>
            <w:tcBorders>
              <w:top w:val="double" w:sz="6" w:space="0" w:color="auto"/>
              <w:left w:val="nil"/>
              <w:bottom w:val="single" w:sz="4" w:space="0" w:color="BFBFBF"/>
              <w:right w:val="nil"/>
            </w:tcBorders>
            <w:shd w:val="clear" w:color="auto" w:fill="auto"/>
            <w:vAlign w:val="bottom"/>
          </w:tcPr>
          <w:p w14:paraId="5DA49641"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Excess Energy Concession</w:t>
            </w:r>
          </w:p>
        </w:tc>
        <w:tc>
          <w:tcPr>
            <w:tcW w:w="1310" w:type="dxa"/>
            <w:gridSpan w:val="2"/>
            <w:vMerge w:val="restart"/>
            <w:tcBorders>
              <w:top w:val="double" w:sz="6" w:space="0" w:color="auto"/>
              <w:left w:val="single" w:sz="4" w:space="0" w:color="auto"/>
              <w:bottom w:val="single" w:sz="4" w:space="0" w:color="BFBFBF"/>
              <w:right w:val="single" w:sz="4" w:space="0" w:color="000000"/>
            </w:tcBorders>
            <w:shd w:val="clear" w:color="auto" w:fill="auto"/>
            <w:vAlign w:val="bottom"/>
          </w:tcPr>
          <w:p w14:paraId="0E2517DA"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Electricity Transfer Fee Waiver</w:t>
            </w:r>
          </w:p>
        </w:tc>
        <w:tc>
          <w:tcPr>
            <w:tcW w:w="5799" w:type="dxa"/>
            <w:gridSpan w:val="8"/>
            <w:vMerge w:val="restart"/>
            <w:tcBorders>
              <w:top w:val="double" w:sz="6" w:space="0" w:color="auto"/>
              <w:left w:val="nil"/>
              <w:bottom w:val="single" w:sz="4" w:space="0" w:color="BFBFBF"/>
              <w:right w:val="double" w:sz="6" w:space="0" w:color="000000"/>
            </w:tcBorders>
            <w:shd w:val="clear" w:color="auto" w:fill="auto"/>
            <w:noWrap/>
            <w:vAlign w:val="center"/>
          </w:tcPr>
          <w:p w14:paraId="4010D0AD"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 DHHS Funded Concessions</w:t>
            </w:r>
          </w:p>
        </w:tc>
      </w:tr>
      <w:tr w:rsidR="00970E2F" w:rsidRPr="00125162" w14:paraId="2A67DBE9" w14:textId="77777777" w:rsidTr="002B0E16">
        <w:trPr>
          <w:trHeight w:val="225"/>
          <w:tblHeader/>
          <w:jc w:val="center"/>
        </w:trPr>
        <w:tc>
          <w:tcPr>
            <w:tcW w:w="2575" w:type="dxa"/>
            <w:vMerge/>
            <w:tcBorders>
              <w:top w:val="double" w:sz="6" w:space="0" w:color="auto"/>
              <w:left w:val="double" w:sz="6" w:space="0" w:color="auto"/>
              <w:bottom w:val="single" w:sz="4" w:space="0" w:color="BFBFBF"/>
              <w:right w:val="nil"/>
            </w:tcBorders>
            <w:vAlign w:val="center"/>
          </w:tcPr>
          <w:p w14:paraId="1DCF4D5B" w14:textId="77777777" w:rsidR="00970E2F" w:rsidRPr="00125162" w:rsidRDefault="00970E2F" w:rsidP="00970E2F">
            <w:pPr>
              <w:spacing w:before="0" w:after="0"/>
              <w:rPr>
                <w:rFonts w:ascii="Arial" w:hAnsi="Arial" w:cs="Arial"/>
                <w:color w:val="000000"/>
                <w:sz w:val="16"/>
                <w:szCs w:val="16"/>
                <w:lang w:val="en-AU" w:eastAsia="en-AU"/>
              </w:rPr>
            </w:pPr>
          </w:p>
        </w:tc>
        <w:tc>
          <w:tcPr>
            <w:tcW w:w="2877" w:type="dxa"/>
            <w:gridSpan w:val="4"/>
            <w:vMerge/>
            <w:tcBorders>
              <w:top w:val="double" w:sz="6" w:space="0" w:color="auto"/>
              <w:left w:val="single" w:sz="4" w:space="0" w:color="auto"/>
              <w:bottom w:val="single" w:sz="4" w:space="0" w:color="BFBFBF"/>
              <w:right w:val="single" w:sz="4" w:space="0" w:color="000000"/>
            </w:tcBorders>
            <w:vAlign w:val="center"/>
          </w:tcPr>
          <w:p w14:paraId="34D76A36" w14:textId="77777777" w:rsidR="00970E2F" w:rsidRPr="00125162" w:rsidRDefault="00970E2F" w:rsidP="00970E2F">
            <w:pPr>
              <w:spacing w:before="0" w:after="0"/>
              <w:rPr>
                <w:rFonts w:ascii="Arial" w:hAnsi="Arial" w:cs="Arial"/>
                <w:b/>
                <w:bCs/>
                <w:color w:val="000000"/>
                <w:sz w:val="16"/>
                <w:szCs w:val="16"/>
                <w:lang w:val="en-AU" w:eastAsia="en-AU"/>
              </w:rPr>
            </w:pPr>
          </w:p>
        </w:tc>
        <w:tc>
          <w:tcPr>
            <w:tcW w:w="1402" w:type="dxa"/>
            <w:gridSpan w:val="2"/>
            <w:vMerge/>
            <w:tcBorders>
              <w:top w:val="double" w:sz="6" w:space="0" w:color="auto"/>
              <w:left w:val="nil"/>
              <w:bottom w:val="single" w:sz="4" w:space="0" w:color="BFBFBF"/>
              <w:right w:val="nil"/>
            </w:tcBorders>
            <w:vAlign w:val="center"/>
          </w:tcPr>
          <w:p w14:paraId="47125E67" w14:textId="77777777" w:rsidR="00970E2F" w:rsidRPr="00125162" w:rsidRDefault="00970E2F" w:rsidP="00970E2F">
            <w:pPr>
              <w:spacing w:before="0" w:after="0"/>
              <w:rPr>
                <w:rFonts w:ascii="Arial" w:hAnsi="Arial" w:cs="Arial"/>
                <w:b/>
                <w:bCs/>
                <w:color w:val="000000"/>
                <w:sz w:val="16"/>
                <w:szCs w:val="16"/>
                <w:lang w:val="en-AU" w:eastAsia="en-AU"/>
              </w:rPr>
            </w:pPr>
          </w:p>
        </w:tc>
        <w:tc>
          <w:tcPr>
            <w:tcW w:w="1310" w:type="dxa"/>
            <w:gridSpan w:val="2"/>
            <w:vMerge/>
            <w:tcBorders>
              <w:top w:val="double" w:sz="6" w:space="0" w:color="auto"/>
              <w:left w:val="single" w:sz="4" w:space="0" w:color="auto"/>
              <w:bottom w:val="single" w:sz="4" w:space="0" w:color="BFBFBF"/>
              <w:right w:val="single" w:sz="4" w:space="0" w:color="000000"/>
            </w:tcBorders>
            <w:vAlign w:val="center"/>
          </w:tcPr>
          <w:p w14:paraId="26BC6585" w14:textId="77777777" w:rsidR="00970E2F" w:rsidRPr="00125162" w:rsidRDefault="00970E2F" w:rsidP="00970E2F">
            <w:pPr>
              <w:spacing w:before="0" w:after="0"/>
              <w:rPr>
                <w:rFonts w:ascii="Arial" w:hAnsi="Arial" w:cs="Arial"/>
                <w:b/>
                <w:bCs/>
                <w:color w:val="000000"/>
                <w:sz w:val="16"/>
                <w:szCs w:val="16"/>
                <w:lang w:val="en-AU" w:eastAsia="en-AU"/>
              </w:rPr>
            </w:pPr>
          </w:p>
        </w:tc>
        <w:tc>
          <w:tcPr>
            <w:tcW w:w="5799" w:type="dxa"/>
            <w:gridSpan w:val="8"/>
            <w:vMerge/>
            <w:tcBorders>
              <w:top w:val="double" w:sz="6" w:space="0" w:color="auto"/>
              <w:left w:val="nil"/>
              <w:bottom w:val="single" w:sz="4" w:space="0" w:color="BFBFBF"/>
              <w:right w:val="double" w:sz="6" w:space="0" w:color="000000"/>
            </w:tcBorders>
            <w:vAlign w:val="center"/>
          </w:tcPr>
          <w:p w14:paraId="248F5976" w14:textId="77777777" w:rsidR="00970E2F" w:rsidRPr="00125162" w:rsidRDefault="00970E2F" w:rsidP="00970E2F">
            <w:pPr>
              <w:spacing w:before="0" w:after="0"/>
              <w:rPr>
                <w:rFonts w:ascii="Arial" w:hAnsi="Arial" w:cs="Arial"/>
                <w:b/>
                <w:bCs/>
                <w:color w:val="000000"/>
                <w:sz w:val="16"/>
                <w:szCs w:val="16"/>
                <w:lang w:val="en-AU" w:eastAsia="en-AU"/>
              </w:rPr>
            </w:pPr>
          </w:p>
        </w:tc>
      </w:tr>
      <w:tr w:rsidR="00970E2F" w:rsidRPr="00125162" w14:paraId="787C1E00" w14:textId="77777777" w:rsidTr="009771F8">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6D6C3D87" w14:textId="77777777" w:rsidR="00970E2F" w:rsidRPr="00125162" w:rsidRDefault="00970E2F"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w:t>
            </w:r>
          </w:p>
        </w:tc>
        <w:tc>
          <w:tcPr>
            <w:tcW w:w="1483" w:type="dxa"/>
            <w:gridSpan w:val="2"/>
            <w:tcBorders>
              <w:top w:val="single" w:sz="4" w:space="0" w:color="BFBFBF"/>
              <w:left w:val="single" w:sz="4" w:space="0" w:color="auto"/>
              <w:bottom w:val="single" w:sz="4" w:space="0" w:color="BFBFBF"/>
              <w:right w:val="single" w:sz="4" w:space="0" w:color="BFBFBF"/>
            </w:tcBorders>
            <w:shd w:val="clear" w:color="auto" w:fill="auto"/>
            <w:noWrap/>
            <w:vAlign w:val="center"/>
          </w:tcPr>
          <w:p w14:paraId="6C81539C" w14:textId="77777777" w:rsidR="00970E2F" w:rsidRPr="00125162" w:rsidRDefault="00970E2F" w:rsidP="009771F8">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394" w:type="dxa"/>
            <w:gridSpan w:val="2"/>
            <w:tcBorders>
              <w:top w:val="single" w:sz="4" w:space="0" w:color="BFBFBF"/>
              <w:left w:val="single" w:sz="4" w:space="0" w:color="auto"/>
              <w:bottom w:val="single" w:sz="4" w:space="0" w:color="BFBFBF"/>
              <w:right w:val="single" w:sz="4" w:space="0" w:color="000000"/>
            </w:tcBorders>
            <w:shd w:val="clear" w:color="auto" w:fill="auto"/>
            <w:noWrap/>
            <w:vAlign w:val="center"/>
          </w:tcPr>
          <w:p w14:paraId="38717358" w14:textId="77777777" w:rsidR="00970E2F" w:rsidRPr="00125162" w:rsidRDefault="00970E2F" w:rsidP="009771F8">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1402" w:type="dxa"/>
            <w:gridSpan w:val="2"/>
            <w:tcBorders>
              <w:top w:val="single" w:sz="4" w:space="0" w:color="BFBFBF"/>
              <w:left w:val="nil"/>
              <w:bottom w:val="single" w:sz="4" w:space="0" w:color="BFBFBF"/>
              <w:right w:val="single" w:sz="4" w:space="0" w:color="BFBFBF"/>
            </w:tcBorders>
            <w:shd w:val="clear" w:color="auto" w:fill="auto"/>
            <w:noWrap/>
            <w:vAlign w:val="center"/>
          </w:tcPr>
          <w:p w14:paraId="7362D18E" w14:textId="77777777" w:rsidR="00970E2F" w:rsidRPr="00125162" w:rsidRDefault="00970E2F" w:rsidP="009771F8">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310" w:type="dxa"/>
            <w:gridSpan w:val="2"/>
            <w:tcBorders>
              <w:top w:val="single" w:sz="4" w:space="0" w:color="BFBFBF"/>
              <w:left w:val="single" w:sz="4" w:space="0" w:color="auto"/>
              <w:bottom w:val="single" w:sz="4" w:space="0" w:color="BFBFBF"/>
              <w:right w:val="single" w:sz="4" w:space="0" w:color="000000"/>
            </w:tcBorders>
            <w:shd w:val="clear" w:color="auto" w:fill="auto"/>
            <w:noWrap/>
            <w:vAlign w:val="center"/>
          </w:tcPr>
          <w:p w14:paraId="310E2594" w14:textId="77777777" w:rsidR="00970E2F" w:rsidRPr="00125162" w:rsidRDefault="00970E2F" w:rsidP="009771F8">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616" w:type="dxa"/>
            <w:gridSpan w:val="2"/>
            <w:tcBorders>
              <w:top w:val="single" w:sz="4" w:space="0" w:color="BFBFBF"/>
              <w:left w:val="nil"/>
              <w:bottom w:val="single" w:sz="4" w:space="0" w:color="BFBFBF"/>
              <w:right w:val="nil"/>
            </w:tcBorders>
            <w:shd w:val="clear" w:color="auto" w:fill="auto"/>
            <w:noWrap/>
            <w:vAlign w:val="center"/>
          </w:tcPr>
          <w:p w14:paraId="06C47550" w14:textId="77777777" w:rsidR="00970E2F" w:rsidRPr="00125162" w:rsidRDefault="00970E2F" w:rsidP="009771F8">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483" w:type="dxa"/>
            <w:gridSpan w:val="2"/>
            <w:tcBorders>
              <w:top w:val="single" w:sz="4" w:space="0" w:color="BFBFBF"/>
              <w:left w:val="single" w:sz="4" w:space="0" w:color="auto"/>
              <w:bottom w:val="single" w:sz="4" w:space="0" w:color="BFBFBF"/>
              <w:right w:val="single" w:sz="4" w:space="0" w:color="000000"/>
            </w:tcBorders>
            <w:shd w:val="clear" w:color="auto" w:fill="auto"/>
            <w:noWrap/>
            <w:vAlign w:val="center"/>
          </w:tcPr>
          <w:p w14:paraId="39D529AC" w14:textId="77777777" w:rsidR="00970E2F" w:rsidRPr="00125162" w:rsidRDefault="00970E2F" w:rsidP="009771F8">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1350" w:type="dxa"/>
            <w:gridSpan w:val="2"/>
            <w:tcBorders>
              <w:top w:val="single" w:sz="4" w:space="0" w:color="BFBFBF"/>
              <w:left w:val="nil"/>
              <w:bottom w:val="single" w:sz="4" w:space="0" w:color="BFBFBF"/>
              <w:right w:val="nil"/>
            </w:tcBorders>
            <w:shd w:val="clear" w:color="auto" w:fill="auto"/>
            <w:noWrap/>
            <w:vAlign w:val="center"/>
          </w:tcPr>
          <w:p w14:paraId="41AC7A62" w14:textId="77777777" w:rsidR="00970E2F" w:rsidRPr="00125162" w:rsidRDefault="00970E2F" w:rsidP="009771F8">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2001</w:t>
            </w:r>
          </w:p>
        </w:tc>
        <w:tc>
          <w:tcPr>
            <w:tcW w:w="1350" w:type="dxa"/>
            <w:gridSpan w:val="2"/>
            <w:tcBorders>
              <w:top w:val="single" w:sz="4" w:space="0" w:color="BFBFBF"/>
              <w:left w:val="single" w:sz="4" w:space="0" w:color="auto"/>
              <w:bottom w:val="single" w:sz="4" w:space="0" w:color="BFBFBF"/>
              <w:right w:val="double" w:sz="6" w:space="0" w:color="000000"/>
            </w:tcBorders>
            <w:shd w:val="clear" w:color="auto" w:fill="auto"/>
            <w:noWrap/>
            <w:vAlign w:val="center"/>
          </w:tcPr>
          <w:p w14:paraId="10DFE5B5" w14:textId="77777777" w:rsidR="00970E2F" w:rsidRPr="00125162" w:rsidRDefault="00970E2F" w:rsidP="009771F8">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1996</w:t>
            </w:r>
          </w:p>
        </w:tc>
      </w:tr>
      <w:tr w:rsidR="00970E2F" w:rsidRPr="00125162" w14:paraId="3A53FEB6" w14:textId="77777777" w:rsidTr="002B0E16">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4C97F09E"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BF6B8BC"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nil"/>
            </w:tcBorders>
            <w:shd w:val="clear" w:color="auto" w:fill="auto"/>
            <w:noWrap/>
            <w:vAlign w:val="center"/>
          </w:tcPr>
          <w:p w14:paraId="4319EE3F"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4D5BABB"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586" w:type="dxa"/>
            <w:tcBorders>
              <w:top w:val="nil"/>
              <w:left w:val="nil"/>
              <w:bottom w:val="single" w:sz="4" w:space="0" w:color="BFBFBF"/>
              <w:right w:val="single" w:sz="4" w:space="0" w:color="auto"/>
            </w:tcBorders>
            <w:shd w:val="clear" w:color="auto" w:fill="auto"/>
            <w:noWrap/>
            <w:vAlign w:val="center"/>
          </w:tcPr>
          <w:p w14:paraId="26697B97"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16" w:type="dxa"/>
            <w:tcBorders>
              <w:top w:val="nil"/>
              <w:left w:val="nil"/>
              <w:bottom w:val="single" w:sz="4" w:space="0" w:color="BFBFBF"/>
              <w:right w:val="single" w:sz="4" w:space="0" w:color="BFBFBF"/>
            </w:tcBorders>
            <w:shd w:val="clear" w:color="auto" w:fill="auto"/>
            <w:noWrap/>
            <w:vAlign w:val="center"/>
          </w:tcPr>
          <w:p w14:paraId="37B719A9"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06603F04"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13" w:type="dxa"/>
            <w:tcBorders>
              <w:top w:val="nil"/>
              <w:left w:val="single" w:sz="4" w:space="0" w:color="auto"/>
              <w:bottom w:val="single" w:sz="4" w:space="0" w:color="BFBFBF"/>
              <w:right w:val="single" w:sz="4" w:space="0" w:color="BFBFBF"/>
            </w:tcBorders>
            <w:shd w:val="clear" w:color="auto" w:fill="auto"/>
            <w:noWrap/>
            <w:vAlign w:val="center"/>
          </w:tcPr>
          <w:p w14:paraId="355E2F08"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93F10AE"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036FEE0F"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780C58E3"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CBAF973"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7C00635A"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35F064D7"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nil"/>
            </w:tcBorders>
            <w:shd w:val="clear" w:color="auto" w:fill="auto"/>
            <w:noWrap/>
            <w:vAlign w:val="center"/>
          </w:tcPr>
          <w:p w14:paraId="62594A5E"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1686F62E"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double" w:sz="6" w:space="0" w:color="auto"/>
            </w:tcBorders>
            <w:shd w:val="clear" w:color="auto" w:fill="auto"/>
            <w:noWrap/>
            <w:vAlign w:val="center"/>
          </w:tcPr>
          <w:p w14:paraId="529F0A1E"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r>
      <w:tr w:rsidR="00970E2F" w:rsidRPr="00125162" w14:paraId="648D4F66" w14:textId="77777777" w:rsidTr="002B0E16">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435F4F7A" w14:textId="77777777" w:rsidR="00970E2F" w:rsidRPr="00125162" w:rsidRDefault="00970E2F"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Sub-groups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A78E079" w14:textId="77777777" w:rsidR="00970E2F" w:rsidRPr="00125162" w:rsidRDefault="00970E2F" w:rsidP="002B0E16">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2B0E16" w:rsidRPr="00125162">
              <w:rPr>
                <w:rFonts w:ascii="Arial" w:hAnsi="Arial" w:cs="Arial"/>
                <w:b/>
                <w:bCs/>
                <w:color w:val="000000"/>
                <w:sz w:val="16"/>
                <w:szCs w:val="16"/>
                <w:lang w:val="en-AU" w:eastAsia="en-AU"/>
              </w:rPr>
              <w:t>855</w:t>
            </w:r>
          </w:p>
        </w:tc>
        <w:tc>
          <w:tcPr>
            <w:tcW w:w="675" w:type="dxa"/>
            <w:tcBorders>
              <w:top w:val="nil"/>
              <w:left w:val="nil"/>
              <w:bottom w:val="single" w:sz="4" w:space="0" w:color="BFBFBF"/>
              <w:right w:val="nil"/>
            </w:tcBorders>
            <w:shd w:val="clear" w:color="auto" w:fill="auto"/>
            <w:noWrap/>
            <w:vAlign w:val="center"/>
          </w:tcPr>
          <w:p w14:paraId="4A48640A" w14:textId="77777777" w:rsidR="00970E2F" w:rsidRPr="00125162" w:rsidRDefault="002B0E16"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n=175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632A48E"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586" w:type="dxa"/>
            <w:tcBorders>
              <w:top w:val="nil"/>
              <w:left w:val="nil"/>
              <w:bottom w:val="single" w:sz="4" w:space="0" w:color="BFBFBF"/>
              <w:right w:val="single" w:sz="4" w:space="0" w:color="auto"/>
            </w:tcBorders>
            <w:shd w:val="clear" w:color="auto" w:fill="auto"/>
            <w:noWrap/>
            <w:vAlign w:val="center"/>
          </w:tcPr>
          <w:p w14:paraId="6FDFBC04"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n=38</w:t>
            </w:r>
          </w:p>
        </w:tc>
        <w:tc>
          <w:tcPr>
            <w:tcW w:w="816" w:type="dxa"/>
            <w:tcBorders>
              <w:top w:val="nil"/>
              <w:left w:val="nil"/>
              <w:bottom w:val="single" w:sz="4" w:space="0" w:color="BFBFBF"/>
              <w:right w:val="single" w:sz="4" w:space="0" w:color="BFBFBF"/>
            </w:tcBorders>
            <w:shd w:val="clear" w:color="auto" w:fill="auto"/>
            <w:noWrap/>
            <w:vAlign w:val="center"/>
          </w:tcPr>
          <w:p w14:paraId="753CDCE3" w14:textId="77777777" w:rsidR="00970E2F" w:rsidRPr="00125162" w:rsidRDefault="00970E2F" w:rsidP="002B0E16">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2B0E16" w:rsidRPr="00125162">
              <w:rPr>
                <w:rFonts w:ascii="Arial" w:hAnsi="Arial" w:cs="Arial"/>
                <w:b/>
                <w:bCs/>
                <w:color w:val="000000"/>
                <w:sz w:val="16"/>
                <w:szCs w:val="16"/>
                <w:lang w:val="en-AU" w:eastAsia="en-AU"/>
              </w:rPr>
              <w:t>855</w:t>
            </w:r>
          </w:p>
        </w:tc>
        <w:tc>
          <w:tcPr>
            <w:tcW w:w="586" w:type="dxa"/>
            <w:tcBorders>
              <w:top w:val="nil"/>
              <w:left w:val="nil"/>
              <w:bottom w:val="single" w:sz="4" w:space="0" w:color="BFBFBF"/>
              <w:right w:val="nil"/>
            </w:tcBorders>
            <w:shd w:val="clear" w:color="auto" w:fill="auto"/>
            <w:noWrap/>
            <w:vAlign w:val="center"/>
          </w:tcPr>
          <w:p w14:paraId="3AF2DEFC" w14:textId="77777777" w:rsidR="00970E2F" w:rsidRPr="00125162" w:rsidRDefault="002B0E16"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n=66</w:t>
            </w:r>
          </w:p>
        </w:tc>
        <w:tc>
          <w:tcPr>
            <w:tcW w:w="813" w:type="dxa"/>
            <w:tcBorders>
              <w:top w:val="nil"/>
              <w:left w:val="single" w:sz="4" w:space="0" w:color="auto"/>
              <w:bottom w:val="single" w:sz="4" w:space="0" w:color="BFBFBF"/>
              <w:right w:val="single" w:sz="4" w:space="0" w:color="BFBFBF"/>
            </w:tcBorders>
            <w:shd w:val="clear" w:color="auto" w:fill="auto"/>
            <w:noWrap/>
            <w:vAlign w:val="center"/>
          </w:tcPr>
          <w:p w14:paraId="12614064" w14:textId="77777777" w:rsidR="00970E2F" w:rsidRPr="00125162" w:rsidRDefault="00970E2F" w:rsidP="002B0E16">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2B0E16" w:rsidRPr="00125162">
              <w:rPr>
                <w:rFonts w:ascii="Arial" w:hAnsi="Arial" w:cs="Arial"/>
                <w:b/>
                <w:bCs/>
                <w:color w:val="000000"/>
                <w:sz w:val="16"/>
                <w:szCs w:val="16"/>
                <w:lang w:val="en-AU" w:eastAsia="en-AU"/>
              </w:rPr>
              <w:t>855</w:t>
            </w:r>
          </w:p>
        </w:tc>
        <w:tc>
          <w:tcPr>
            <w:tcW w:w="497" w:type="dxa"/>
            <w:tcBorders>
              <w:top w:val="nil"/>
              <w:left w:val="nil"/>
              <w:bottom w:val="single" w:sz="4" w:space="0" w:color="BFBFBF"/>
              <w:right w:val="single" w:sz="4" w:space="0" w:color="auto"/>
            </w:tcBorders>
            <w:shd w:val="clear" w:color="auto" w:fill="auto"/>
            <w:noWrap/>
            <w:vAlign w:val="center"/>
          </w:tcPr>
          <w:p w14:paraId="37F003CF" w14:textId="77777777" w:rsidR="00970E2F" w:rsidRPr="00125162" w:rsidRDefault="00970E2F" w:rsidP="002B0E16">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w:t>
            </w:r>
            <w:r w:rsidR="002B0E16" w:rsidRPr="00125162">
              <w:rPr>
                <w:rFonts w:ascii="Arial" w:hAnsi="Arial" w:cs="Arial"/>
                <w:b/>
                <w:bCs/>
                <w:color w:val="000000"/>
                <w:sz w:val="16"/>
                <w:szCs w:val="16"/>
                <w:lang w:val="en-AU" w:eastAsia="en-AU"/>
              </w:rPr>
              <w:t>6</w:t>
            </w:r>
          </w:p>
        </w:tc>
        <w:tc>
          <w:tcPr>
            <w:tcW w:w="808" w:type="dxa"/>
            <w:tcBorders>
              <w:top w:val="nil"/>
              <w:left w:val="nil"/>
              <w:bottom w:val="single" w:sz="4" w:space="0" w:color="BFBFBF"/>
              <w:right w:val="single" w:sz="4" w:space="0" w:color="BFBFBF"/>
            </w:tcBorders>
            <w:shd w:val="clear" w:color="auto" w:fill="auto"/>
            <w:noWrap/>
            <w:vAlign w:val="center"/>
          </w:tcPr>
          <w:p w14:paraId="0DCF00FB" w14:textId="77777777" w:rsidR="00970E2F" w:rsidRPr="00125162" w:rsidRDefault="00970E2F" w:rsidP="002B0E16">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2B0E16" w:rsidRPr="00125162">
              <w:rPr>
                <w:rFonts w:ascii="Arial" w:hAnsi="Arial" w:cs="Arial"/>
                <w:b/>
                <w:bCs/>
                <w:color w:val="000000"/>
                <w:sz w:val="16"/>
                <w:szCs w:val="16"/>
                <w:lang w:val="en-AU" w:eastAsia="en-AU"/>
              </w:rPr>
              <w:t>855</w:t>
            </w:r>
          </w:p>
        </w:tc>
        <w:tc>
          <w:tcPr>
            <w:tcW w:w="808" w:type="dxa"/>
            <w:tcBorders>
              <w:top w:val="nil"/>
              <w:left w:val="nil"/>
              <w:bottom w:val="single" w:sz="4" w:space="0" w:color="BFBFBF"/>
              <w:right w:val="nil"/>
            </w:tcBorders>
            <w:shd w:val="clear" w:color="auto" w:fill="auto"/>
            <w:noWrap/>
            <w:vAlign w:val="center"/>
          </w:tcPr>
          <w:p w14:paraId="59655C6C" w14:textId="77777777" w:rsidR="00970E2F" w:rsidRPr="00125162" w:rsidRDefault="00970E2F" w:rsidP="002B0E16">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w:t>
            </w:r>
            <w:r w:rsidR="002B0E16" w:rsidRPr="00125162">
              <w:rPr>
                <w:rFonts w:ascii="Arial" w:hAnsi="Arial" w:cs="Arial"/>
                <w:b/>
                <w:bCs/>
                <w:color w:val="000000"/>
                <w:sz w:val="16"/>
                <w:szCs w:val="16"/>
                <w:lang w:val="en-AU" w:eastAsia="en-AU"/>
              </w:rPr>
              <w:t>1,011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09780C4"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675" w:type="dxa"/>
            <w:tcBorders>
              <w:top w:val="nil"/>
              <w:left w:val="nil"/>
              <w:bottom w:val="single" w:sz="4" w:space="0" w:color="BFBFBF"/>
              <w:right w:val="single" w:sz="4" w:space="0" w:color="auto"/>
            </w:tcBorders>
            <w:shd w:val="clear" w:color="auto" w:fill="auto"/>
            <w:noWrap/>
            <w:vAlign w:val="center"/>
          </w:tcPr>
          <w:p w14:paraId="6F339766"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n=929</w:t>
            </w:r>
          </w:p>
        </w:tc>
        <w:tc>
          <w:tcPr>
            <w:tcW w:w="675" w:type="dxa"/>
            <w:tcBorders>
              <w:top w:val="nil"/>
              <w:left w:val="nil"/>
              <w:bottom w:val="single" w:sz="4" w:space="0" w:color="BFBFBF"/>
              <w:right w:val="single" w:sz="4" w:space="0" w:color="BFBFBF"/>
            </w:tcBorders>
            <w:shd w:val="clear" w:color="auto" w:fill="auto"/>
            <w:noWrap/>
            <w:vAlign w:val="center"/>
          </w:tcPr>
          <w:p w14:paraId="294406BD"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n=463</w:t>
            </w:r>
          </w:p>
        </w:tc>
        <w:tc>
          <w:tcPr>
            <w:tcW w:w="675" w:type="dxa"/>
            <w:tcBorders>
              <w:top w:val="nil"/>
              <w:left w:val="nil"/>
              <w:bottom w:val="single" w:sz="4" w:space="0" w:color="BFBFBF"/>
              <w:right w:val="nil"/>
            </w:tcBorders>
            <w:shd w:val="clear" w:color="auto" w:fill="auto"/>
            <w:noWrap/>
            <w:vAlign w:val="center"/>
          </w:tcPr>
          <w:p w14:paraId="31C33CAE"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n=452</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29FBA5A5"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n=589</w:t>
            </w:r>
          </w:p>
        </w:tc>
        <w:tc>
          <w:tcPr>
            <w:tcW w:w="675" w:type="dxa"/>
            <w:tcBorders>
              <w:top w:val="nil"/>
              <w:left w:val="nil"/>
              <w:bottom w:val="single" w:sz="4" w:space="0" w:color="BFBFBF"/>
              <w:right w:val="double" w:sz="6" w:space="0" w:color="auto"/>
            </w:tcBorders>
            <w:shd w:val="clear" w:color="auto" w:fill="auto"/>
            <w:noWrap/>
            <w:vAlign w:val="center"/>
          </w:tcPr>
          <w:p w14:paraId="360E7AE4" w14:textId="77777777" w:rsidR="00970E2F" w:rsidRPr="00125162" w:rsidRDefault="00970E2F" w:rsidP="00970E2F">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n=589</w:t>
            </w:r>
          </w:p>
        </w:tc>
      </w:tr>
      <w:tr w:rsidR="00970E2F" w:rsidRPr="00125162" w14:paraId="7A90D217" w14:textId="77777777" w:rsidTr="002B0E16">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1C2BDC57" w14:textId="77777777" w:rsidR="00970E2F" w:rsidRPr="00125162" w:rsidRDefault="00970E2F"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Region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9B0B8BD" w14:textId="77777777" w:rsidR="00970E2F" w:rsidRPr="00125162" w:rsidRDefault="00970E2F" w:rsidP="00970E2F">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675" w:type="dxa"/>
            <w:tcBorders>
              <w:top w:val="nil"/>
              <w:left w:val="nil"/>
              <w:bottom w:val="single" w:sz="4" w:space="0" w:color="BFBFBF"/>
              <w:right w:val="nil"/>
            </w:tcBorders>
            <w:shd w:val="clear" w:color="auto" w:fill="auto"/>
            <w:noWrap/>
            <w:vAlign w:val="bottom"/>
          </w:tcPr>
          <w:p w14:paraId="6BAC2145"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5854283"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86" w:type="dxa"/>
            <w:tcBorders>
              <w:top w:val="nil"/>
              <w:left w:val="nil"/>
              <w:bottom w:val="single" w:sz="4" w:space="0" w:color="BFBFBF"/>
              <w:right w:val="single" w:sz="4" w:space="0" w:color="auto"/>
            </w:tcBorders>
            <w:shd w:val="clear" w:color="auto" w:fill="auto"/>
            <w:noWrap/>
            <w:vAlign w:val="center"/>
          </w:tcPr>
          <w:p w14:paraId="24556B8A"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16" w:type="dxa"/>
            <w:tcBorders>
              <w:top w:val="nil"/>
              <w:left w:val="nil"/>
              <w:bottom w:val="single" w:sz="4" w:space="0" w:color="BFBFBF"/>
              <w:right w:val="single" w:sz="4" w:space="0" w:color="BFBFBF"/>
            </w:tcBorders>
            <w:shd w:val="clear" w:color="auto" w:fill="auto"/>
            <w:noWrap/>
            <w:vAlign w:val="bottom"/>
          </w:tcPr>
          <w:p w14:paraId="7C0B5FB3" w14:textId="77777777" w:rsidR="00970E2F" w:rsidRPr="00125162" w:rsidRDefault="00970E2F" w:rsidP="00970E2F">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586" w:type="dxa"/>
            <w:tcBorders>
              <w:top w:val="nil"/>
              <w:left w:val="nil"/>
              <w:bottom w:val="single" w:sz="4" w:space="0" w:color="BFBFBF"/>
              <w:right w:val="nil"/>
            </w:tcBorders>
            <w:shd w:val="clear" w:color="auto" w:fill="auto"/>
            <w:noWrap/>
            <w:vAlign w:val="bottom"/>
          </w:tcPr>
          <w:p w14:paraId="5B635CAC"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0DE71C10" w14:textId="77777777" w:rsidR="00970E2F" w:rsidRPr="00125162" w:rsidRDefault="00970E2F" w:rsidP="00970E2F">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bottom"/>
          </w:tcPr>
          <w:p w14:paraId="762C42AA"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1B065E15" w14:textId="77777777" w:rsidR="00970E2F" w:rsidRPr="00125162" w:rsidRDefault="00970E2F" w:rsidP="00970E2F">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808" w:type="dxa"/>
            <w:tcBorders>
              <w:top w:val="nil"/>
              <w:left w:val="nil"/>
              <w:bottom w:val="single" w:sz="4" w:space="0" w:color="BFBFBF"/>
              <w:right w:val="nil"/>
            </w:tcBorders>
            <w:shd w:val="clear" w:color="auto" w:fill="auto"/>
            <w:noWrap/>
            <w:vAlign w:val="bottom"/>
          </w:tcPr>
          <w:p w14:paraId="5E541BE0"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BBE4ED1"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2EE29E17"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46D79CFD"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58AE7E6F"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39355113"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double" w:sz="6" w:space="0" w:color="auto"/>
            </w:tcBorders>
            <w:shd w:val="clear" w:color="auto" w:fill="auto"/>
            <w:noWrap/>
            <w:vAlign w:val="center"/>
          </w:tcPr>
          <w:p w14:paraId="4D741D31" w14:textId="77777777" w:rsidR="00970E2F" w:rsidRPr="00125162" w:rsidRDefault="00970E2F" w:rsidP="00970E2F">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D30C84" w:rsidRPr="00125162" w14:paraId="5AB97BE3"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20D8AEC6"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Melbourne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3B5A37E"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w:t>
            </w:r>
          </w:p>
        </w:tc>
        <w:tc>
          <w:tcPr>
            <w:tcW w:w="675" w:type="dxa"/>
            <w:tcBorders>
              <w:top w:val="nil"/>
              <w:left w:val="nil"/>
              <w:bottom w:val="single" w:sz="4" w:space="0" w:color="BFBFBF"/>
              <w:right w:val="nil"/>
            </w:tcBorders>
            <w:shd w:val="clear" w:color="auto" w:fill="auto"/>
            <w:noWrap/>
            <w:vAlign w:val="center"/>
          </w:tcPr>
          <w:p w14:paraId="5A4DF023"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B0266F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26354CC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16" w:type="dxa"/>
            <w:tcBorders>
              <w:top w:val="nil"/>
              <w:left w:val="nil"/>
              <w:bottom w:val="single" w:sz="4" w:space="0" w:color="BFBFBF"/>
              <w:right w:val="single" w:sz="4" w:space="0" w:color="BFBFBF"/>
            </w:tcBorders>
            <w:shd w:val="clear" w:color="auto" w:fill="auto"/>
            <w:noWrap/>
            <w:vAlign w:val="bottom"/>
          </w:tcPr>
          <w:p w14:paraId="65CE49F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35F8C8B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24383C7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C73847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08" w:type="dxa"/>
            <w:tcBorders>
              <w:top w:val="nil"/>
              <w:left w:val="nil"/>
              <w:bottom w:val="single" w:sz="4" w:space="0" w:color="BFBFBF"/>
              <w:right w:val="single" w:sz="4" w:space="0" w:color="BFBFBF"/>
            </w:tcBorders>
            <w:shd w:val="clear" w:color="auto" w:fill="auto"/>
            <w:noWrap/>
            <w:vAlign w:val="bottom"/>
          </w:tcPr>
          <w:p w14:paraId="16AE3CD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08" w:type="dxa"/>
            <w:tcBorders>
              <w:top w:val="nil"/>
              <w:left w:val="nil"/>
              <w:bottom w:val="single" w:sz="4" w:space="0" w:color="BFBFBF"/>
              <w:right w:val="nil"/>
            </w:tcBorders>
            <w:shd w:val="clear" w:color="auto" w:fill="auto"/>
            <w:noWrap/>
            <w:vAlign w:val="center"/>
          </w:tcPr>
          <w:p w14:paraId="356031D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664A7A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c>
          <w:tcPr>
            <w:tcW w:w="675" w:type="dxa"/>
            <w:tcBorders>
              <w:top w:val="nil"/>
              <w:left w:val="nil"/>
              <w:bottom w:val="single" w:sz="4" w:space="0" w:color="BFBFBF"/>
              <w:right w:val="single" w:sz="4" w:space="0" w:color="auto"/>
            </w:tcBorders>
            <w:shd w:val="clear" w:color="auto" w:fill="auto"/>
            <w:noWrap/>
            <w:vAlign w:val="center"/>
          </w:tcPr>
          <w:p w14:paraId="1E805B0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92</w:t>
            </w:r>
          </w:p>
        </w:tc>
        <w:tc>
          <w:tcPr>
            <w:tcW w:w="675" w:type="dxa"/>
            <w:tcBorders>
              <w:top w:val="nil"/>
              <w:left w:val="nil"/>
              <w:bottom w:val="single" w:sz="4" w:space="0" w:color="BFBFBF"/>
              <w:right w:val="single" w:sz="4" w:space="0" w:color="BFBFBF"/>
            </w:tcBorders>
            <w:shd w:val="clear" w:color="auto" w:fill="auto"/>
            <w:noWrap/>
            <w:vAlign w:val="center"/>
          </w:tcPr>
          <w:p w14:paraId="3D30FF9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675" w:type="dxa"/>
            <w:tcBorders>
              <w:top w:val="nil"/>
              <w:left w:val="nil"/>
              <w:bottom w:val="single" w:sz="4" w:space="0" w:color="BFBFBF"/>
              <w:right w:val="nil"/>
            </w:tcBorders>
            <w:shd w:val="clear" w:color="auto" w:fill="auto"/>
            <w:noWrap/>
            <w:vAlign w:val="center"/>
          </w:tcPr>
          <w:p w14:paraId="1BC970B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59</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19F4D1F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w:t>
            </w:r>
          </w:p>
        </w:tc>
        <w:tc>
          <w:tcPr>
            <w:tcW w:w="675" w:type="dxa"/>
            <w:tcBorders>
              <w:top w:val="nil"/>
              <w:left w:val="nil"/>
              <w:bottom w:val="single" w:sz="4" w:space="0" w:color="BFBFBF"/>
              <w:right w:val="double" w:sz="6" w:space="0" w:color="auto"/>
            </w:tcBorders>
            <w:shd w:val="clear" w:color="auto" w:fill="auto"/>
            <w:noWrap/>
            <w:vAlign w:val="center"/>
          </w:tcPr>
          <w:p w14:paraId="6027321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276</w:t>
            </w:r>
          </w:p>
        </w:tc>
      </w:tr>
      <w:tr w:rsidR="00D30C84" w:rsidRPr="00125162" w14:paraId="62BE07E0"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18D2A403"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Country VIC</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3EAB3D2"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w:t>
            </w:r>
          </w:p>
        </w:tc>
        <w:tc>
          <w:tcPr>
            <w:tcW w:w="675" w:type="dxa"/>
            <w:tcBorders>
              <w:top w:val="nil"/>
              <w:left w:val="nil"/>
              <w:bottom w:val="single" w:sz="4" w:space="0" w:color="BFBFBF"/>
              <w:right w:val="nil"/>
            </w:tcBorders>
            <w:shd w:val="clear" w:color="auto" w:fill="auto"/>
            <w:noWrap/>
            <w:vAlign w:val="center"/>
          </w:tcPr>
          <w:p w14:paraId="3E0169FD"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74BDB9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1432F63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816" w:type="dxa"/>
            <w:tcBorders>
              <w:top w:val="nil"/>
              <w:left w:val="nil"/>
              <w:bottom w:val="single" w:sz="4" w:space="0" w:color="BFBFBF"/>
              <w:right w:val="single" w:sz="4" w:space="0" w:color="BFBFBF"/>
            </w:tcBorders>
            <w:shd w:val="clear" w:color="auto" w:fill="auto"/>
            <w:noWrap/>
            <w:vAlign w:val="bottom"/>
          </w:tcPr>
          <w:p w14:paraId="021B3EDF"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586" w:type="dxa"/>
            <w:tcBorders>
              <w:top w:val="nil"/>
              <w:left w:val="nil"/>
              <w:bottom w:val="single" w:sz="4" w:space="0" w:color="BFBFBF"/>
              <w:right w:val="nil"/>
            </w:tcBorders>
            <w:shd w:val="clear" w:color="auto" w:fill="auto"/>
            <w:noWrap/>
            <w:vAlign w:val="center"/>
          </w:tcPr>
          <w:p w14:paraId="6A47A3A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595E828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9C1863A"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35</w:t>
            </w:r>
          </w:p>
        </w:tc>
        <w:tc>
          <w:tcPr>
            <w:tcW w:w="808" w:type="dxa"/>
            <w:tcBorders>
              <w:top w:val="nil"/>
              <w:left w:val="nil"/>
              <w:bottom w:val="single" w:sz="4" w:space="0" w:color="BFBFBF"/>
              <w:right w:val="single" w:sz="4" w:space="0" w:color="BFBFBF"/>
            </w:tcBorders>
            <w:shd w:val="clear" w:color="auto" w:fill="auto"/>
            <w:noWrap/>
            <w:vAlign w:val="bottom"/>
          </w:tcPr>
          <w:p w14:paraId="3047201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47%</w:t>
            </w:r>
          </w:p>
        </w:tc>
        <w:tc>
          <w:tcPr>
            <w:tcW w:w="808" w:type="dxa"/>
            <w:tcBorders>
              <w:top w:val="nil"/>
              <w:left w:val="nil"/>
              <w:bottom w:val="single" w:sz="4" w:space="0" w:color="BFBFBF"/>
              <w:right w:val="nil"/>
            </w:tcBorders>
            <w:shd w:val="clear" w:color="auto" w:fill="auto"/>
            <w:noWrap/>
            <w:vAlign w:val="center"/>
          </w:tcPr>
          <w:p w14:paraId="33A79F20"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090570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675" w:type="dxa"/>
            <w:tcBorders>
              <w:top w:val="nil"/>
              <w:left w:val="nil"/>
              <w:bottom w:val="single" w:sz="4" w:space="0" w:color="BFBFBF"/>
              <w:right w:val="single" w:sz="4" w:space="0" w:color="auto"/>
            </w:tcBorders>
            <w:shd w:val="clear" w:color="auto" w:fill="auto"/>
            <w:noWrap/>
            <w:vAlign w:val="center"/>
          </w:tcPr>
          <w:p w14:paraId="7C66AD0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116</w:t>
            </w:r>
          </w:p>
        </w:tc>
        <w:tc>
          <w:tcPr>
            <w:tcW w:w="675" w:type="dxa"/>
            <w:tcBorders>
              <w:top w:val="nil"/>
              <w:left w:val="nil"/>
              <w:bottom w:val="single" w:sz="4" w:space="0" w:color="BFBFBF"/>
              <w:right w:val="single" w:sz="4" w:space="0" w:color="BFBFBF"/>
            </w:tcBorders>
            <w:shd w:val="clear" w:color="auto" w:fill="auto"/>
            <w:noWrap/>
            <w:vAlign w:val="center"/>
          </w:tcPr>
          <w:p w14:paraId="0A090CC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w:t>
            </w:r>
          </w:p>
        </w:tc>
        <w:tc>
          <w:tcPr>
            <w:tcW w:w="675" w:type="dxa"/>
            <w:tcBorders>
              <w:top w:val="nil"/>
              <w:left w:val="nil"/>
              <w:bottom w:val="single" w:sz="4" w:space="0" w:color="BFBFBF"/>
              <w:right w:val="nil"/>
            </w:tcBorders>
            <w:shd w:val="clear" w:color="auto" w:fill="auto"/>
            <w:noWrap/>
            <w:vAlign w:val="center"/>
          </w:tcPr>
          <w:p w14:paraId="183C3EA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67</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5A3D73D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double" w:sz="6" w:space="0" w:color="auto"/>
            </w:tcBorders>
            <w:shd w:val="clear" w:color="auto" w:fill="auto"/>
            <w:noWrap/>
            <w:vAlign w:val="center"/>
          </w:tcPr>
          <w:p w14:paraId="029329F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82</w:t>
            </w:r>
          </w:p>
        </w:tc>
      </w:tr>
      <w:tr w:rsidR="00D30C84" w:rsidRPr="00125162" w14:paraId="19A4707F"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2F411517" w14:textId="130789E3" w:rsidR="00D30C84" w:rsidRPr="00125162" w:rsidRDefault="00BC6314" w:rsidP="00970E2F">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D30C84" w:rsidRPr="00125162">
              <w:rPr>
                <w:rFonts w:ascii="Arial" w:hAnsi="Arial" w:cs="Arial"/>
                <w:color w:val="000000"/>
                <w:sz w:val="16"/>
                <w:szCs w:val="16"/>
                <w:lang w:val="en-AU" w:eastAsia="en-AU"/>
              </w:rPr>
              <w:t>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ED2CF5F" w14:textId="77777777" w:rsidR="00D30C84" w:rsidRPr="00125162" w:rsidRDefault="00C73B77" w:rsidP="002B0E16">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3</w:t>
            </w:r>
            <w:r w:rsidR="00D30C84" w:rsidRPr="00125162">
              <w:rPr>
                <w:rFonts w:ascii="Arial" w:hAnsi="Arial" w:cs="Arial"/>
                <w:color w:val="000000"/>
                <w:sz w:val="16"/>
                <w:szCs w:val="16"/>
                <w:lang w:val="en-AU" w:eastAsia="en-AU"/>
              </w:rPr>
              <w:t>%</w:t>
            </w:r>
          </w:p>
        </w:tc>
        <w:tc>
          <w:tcPr>
            <w:tcW w:w="675" w:type="dxa"/>
            <w:tcBorders>
              <w:top w:val="nil"/>
              <w:left w:val="nil"/>
              <w:bottom w:val="single" w:sz="4" w:space="0" w:color="BFBFBF"/>
              <w:right w:val="nil"/>
            </w:tcBorders>
            <w:shd w:val="clear" w:color="auto" w:fill="auto"/>
            <w:noWrap/>
            <w:vAlign w:val="center"/>
          </w:tcPr>
          <w:p w14:paraId="286A5C4F" w14:textId="77777777" w:rsidR="00D30C84" w:rsidRPr="00125162" w:rsidRDefault="00C73B77" w:rsidP="002B0E16">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11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36412A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012C3CE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w:t>
            </w:r>
          </w:p>
        </w:tc>
        <w:tc>
          <w:tcPr>
            <w:tcW w:w="816" w:type="dxa"/>
            <w:tcBorders>
              <w:top w:val="nil"/>
              <w:left w:val="nil"/>
              <w:bottom w:val="single" w:sz="4" w:space="0" w:color="BFBFBF"/>
              <w:right w:val="single" w:sz="4" w:space="0" w:color="BFBFBF"/>
            </w:tcBorders>
            <w:shd w:val="clear" w:color="auto" w:fill="auto"/>
            <w:noWrap/>
            <w:vAlign w:val="bottom"/>
          </w:tcPr>
          <w:p w14:paraId="19283DA9" w14:textId="77777777" w:rsidR="00D30C84" w:rsidRPr="00125162" w:rsidRDefault="00C73B77" w:rsidP="00D30C84">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6</w:t>
            </w:r>
            <w:r w:rsidR="00D30C84"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37D23F88" w14:textId="77777777" w:rsidR="00D30C84" w:rsidRPr="00125162" w:rsidRDefault="00C73B77" w:rsidP="00D30C84">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38</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17DC2029" w14:textId="77777777" w:rsidR="00D30C84" w:rsidRPr="00125162" w:rsidRDefault="00C73B77" w:rsidP="00D30C84">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2CA754C" w14:textId="77777777" w:rsidR="00D30C84" w:rsidRPr="00125162" w:rsidRDefault="00C73B77" w:rsidP="00D30C84">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5C02CB7C" w14:textId="77777777" w:rsidR="00D30C84" w:rsidRPr="00125162" w:rsidRDefault="00C73B77" w:rsidP="00D30C84">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50%</w:t>
            </w:r>
          </w:p>
        </w:tc>
        <w:tc>
          <w:tcPr>
            <w:tcW w:w="808" w:type="dxa"/>
            <w:tcBorders>
              <w:top w:val="nil"/>
              <w:left w:val="nil"/>
              <w:bottom w:val="single" w:sz="4" w:space="0" w:color="BFBFBF"/>
              <w:right w:val="nil"/>
            </w:tcBorders>
            <w:shd w:val="clear" w:color="auto" w:fill="auto"/>
            <w:noWrap/>
            <w:vAlign w:val="center"/>
          </w:tcPr>
          <w:p w14:paraId="72453D05" w14:textId="77777777" w:rsidR="00D30C84" w:rsidRPr="00125162" w:rsidRDefault="00C73B77" w:rsidP="00C73B77">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242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542D50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60%</w:t>
            </w:r>
          </w:p>
        </w:tc>
        <w:tc>
          <w:tcPr>
            <w:tcW w:w="675" w:type="dxa"/>
            <w:tcBorders>
              <w:top w:val="nil"/>
              <w:left w:val="nil"/>
              <w:bottom w:val="single" w:sz="4" w:space="0" w:color="BFBFBF"/>
              <w:right w:val="single" w:sz="4" w:space="0" w:color="auto"/>
            </w:tcBorders>
            <w:shd w:val="clear" w:color="auto" w:fill="auto"/>
            <w:noWrap/>
            <w:vAlign w:val="center"/>
          </w:tcPr>
          <w:p w14:paraId="4FF2B90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142</w:t>
            </w:r>
          </w:p>
        </w:tc>
        <w:tc>
          <w:tcPr>
            <w:tcW w:w="675" w:type="dxa"/>
            <w:tcBorders>
              <w:top w:val="nil"/>
              <w:left w:val="nil"/>
              <w:bottom w:val="single" w:sz="4" w:space="0" w:color="BFBFBF"/>
              <w:right w:val="single" w:sz="4" w:space="0" w:color="BFBFBF"/>
            </w:tcBorders>
            <w:shd w:val="clear" w:color="auto" w:fill="auto"/>
            <w:noWrap/>
            <w:vAlign w:val="center"/>
          </w:tcPr>
          <w:p w14:paraId="2DB0C1F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710F0A8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6914EF4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632B929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545D4529"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47C7B59" w14:textId="77777777" w:rsidR="00D30C84" w:rsidRPr="00125162" w:rsidRDefault="00D30C84"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xml:space="preserve">By DHHS Area -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694DC8C"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57DDD12E"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3AEC83F"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single" w:sz="4" w:space="0" w:color="auto"/>
            </w:tcBorders>
            <w:shd w:val="clear" w:color="auto" w:fill="auto"/>
            <w:noWrap/>
            <w:vAlign w:val="center"/>
          </w:tcPr>
          <w:p w14:paraId="1345005E"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16" w:type="dxa"/>
            <w:tcBorders>
              <w:top w:val="nil"/>
              <w:left w:val="nil"/>
              <w:bottom w:val="single" w:sz="4" w:space="0" w:color="BFBFBF"/>
              <w:right w:val="single" w:sz="4" w:space="0" w:color="BFBFBF"/>
            </w:tcBorders>
            <w:shd w:val="clear" w:color="auto" w:fill="auto"/>
            <w:noWrap/>
            <w:vAlign w:val="bottom"/>
          </w:tcPr>
          <w:p w14:paraId="592BC3C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86" w:type="dxa"/>
            <w:tcBorders>
              <w:top w:val="nil"/>
              <w:left w:val="nil"/>
              <w:bottom w:val="single" w:sz="4" w:space="0" w:color="BFBFBF"/>
              <w:right w:val="nil"/>
            </w:tcBorders>
            <w:shd w:val="clear" w:color="auto" w:fill="auto"/>
            <w:noWrap/>
            <w:vAlign w:val="center"/>
          </w:tcPr>
          <w:p w14:paraId="7F029AE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21FCB80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center"/>
          </w:tcPr>
          <w:p w14:paraId="772CBBF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0A348B6A"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1CD52578"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80B3CC5"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222712AE"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BFBFBF"/>
            </w:tcBorders>
            <w:shd w:val="clear" w:color="auto" w:fill="auto"/>
            <w:noWrap/>
            <w:vAlign w:val="center"/>
          </w:tcPr>
          <w:p w14:paraId="50047121"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nil"/>
            </w:tcBorders>
            <w:shd w:val="clear" w:color="auto" w:fill="auto"/>
            <w:noWrap/>
            <w:vAlign w:val="center"/>
          </w:tcPr>
          <w:p w14:paraId="5574E99C"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0132F1B9"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double" w:sz="6" w:space="0" w:color="auto"/>
            </w:tcBorders>
            <w:shd w:val="clear" w:color="auto" w:fill="auto"/>
            <w:noWrap/>
            <w:vAlign w:val="center"/>
          </w:tcPr>
          <w:p w14:paraId="1A6FF6D7" w14:textId="77777777" w:rsidR="00D30C84" w:rsidRPr="00125162" w:rsidRDefault="00D30C84" w:rsidP="009E6A8A">
            <w:pPr>
              <w:spacing w:before="0" w:after="0"/>
              <w:jc w:val="center"/>
              <w:rPr>
                <w:rFonts w:ascii="Arial" w:hAnsi="Arial" w:cs="Arial"/>
                <w:color w:val="000000"/>
                <w:sz w:val="16"/>
                <w:szCs w:val="16"/>
                <w:lang w:val="en-AU" w:eastAsia="en-AU"/>
              </w:rPr>
            </w:pPr>
          </w:p>
        </w:tc>
      </w:tr>
      <w:tr w:rsidR="00D30C84" w:rsidRPr="00125162" w14:paraId="39909A07"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19331DEF"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Hume Moreland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910287F"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675" w:type="dxa"/>
            <w:tcBorders>
              <w:top w:val="nil"/>
              <w:left w:val="nil"/>
              <w:bottom w:val="single" w:sz="4" w:space="0" w:color="BFBFBF"/>
              <w:right w:val="nil"/>
            </w:tcBorders>
            <w:shd w:val="clear" w:color="auto" w:fill="auto"/>
            <w:noWrap/>
            <w:vAlign w:val="center"/>
          </w:tcPr>
          <w:p w14:paraId="5BEE85B3"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88BFDA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5D8E5FB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39FA888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5B53B05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34A05CD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497" w:type="dxa"/>
            <w:tcBorders>
              <w:top w:val="nil"/>
              <w:left w:val="nil"/>
              <w:bottom w:val="single" w:sz="4" w:space="0" w:color="BFBFBF"/>
              <w:right w:val="single" w:sz="4" w:space="0" w:color="auto"/>
            </w:tcBorders>
            <w:shd w:val="clear" w:color="auto" w:fill="auto"/>
            <w:noWrap/>
            <w:vAlign w:val="center"/>
          </w:tcPr>
          <w:p w14:paraId="07163AD0"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808" w:type="dxa"/>
            <w:tcBorders>
              <w:top w:val="nil"/>
              <w:left w:val="nil"/>
              <w:bottom w:val="single" w:sz="4" w:space="0" w:color="BFBFBF"/>
              <w:right w:val="single" w:sz="4" w:space="0" w:color="BFBFBF"/>
            </w:tcBorders>
            <w:shd w:val="clear" w:color="auto" w:fill="auto"/>
            <w:noWrap/>
            <w:vAlign w:val="bottom"/>
          </w:tcPr>
          <w:p w14:paraId="7ADAF275"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w:t>
            </w:r>
          </w:p>
        </w:tc>
        <w:tc>
          <w:tcPr>
            <w:tcW w:w="808" w:type="dxa"/>
            <w:tcBorders>
              <w:top w:val="nil"/>
              <w:left w:val="nil"/>
              <w:bottom w:val="single" w:sz="4" w:space="0" w:color="BFBFBF"/>
              <w:right w:val="nil"/>
            </w:tcBorders>
            <w:shd w:val="clear" w:color="auto" w:fill="auto"/>
            <w:noWrap/>
            <w:vAlign w:val="center"/>
          </w:tcPr>
          <w:p w14:paraId="3C947BD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7600BB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AAE948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68483C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24BFBAB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6A69CC8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77D821A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1D62DEE2"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B71D096"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North Eastern Melbourne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85C06B9"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675" w:type="dxa"/>
            <w:tcBorders>
              <w:top w:val="nil"/>
              <w:left w:val="nil"/>
              <w:bottom w:val="single" w:sz="4" w:space="0" w:color="BFBFBF"/>
              <w:right w:val="nil"/>
            </w:tcBorders>
            <w:shd w:val="clear" w:color="auto" w:fill="auto"/>
            <w:noWrap/>
            <w:vAlign w:val="center"/>
          </w:tcPr>
          <w:p w14:paraId="5D7AC757"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A3E302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4ECABA1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5252B1D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497E687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117B714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47B4AF6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79B974E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w:t>
            </w:r>
          </w:p>
        </w:tc>
        <w:tc>
          <w:tcPr>
            <w:tcW w:w="808" w:type="dxa"/>
            <w:tcBorders>
              <w:top w:val="nil"/>
              <w:left w:val="nil"/>
              <w:bottom w:val="single" w:sz="4" w:space="0" w:color="BFBFBF"/>
              <w:right w:val="nil"/>
            </w:tcBorders>
            <w:shd w:val="clear" w:color="auto" w:fill="auto"/>
            <w:noWrap/>
            <w:vAlign w:val="center"/>
          </w:tcPr>
          <w:p w14:paraId="5AC7B3F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A50CF8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936F12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5BCDF6A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077B3E5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1E12ED1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571D62C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7CE13CDB"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50D4A3B"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Outer </w:t>
            </w:r>
            <w:smartTag w:uri="urn:schemas-microsoft-com:office:smarttags" w:element="place">
              <w:r w:rsidRPr="00125162">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9E5BA3D"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w:t>
            </w:r>
          </w:p>
        </w:tc>
        <w:tc>
          <w:tcPr>
            <w:tcW w:w="675" w:type="dxa"/>
            <w:tcBorders>
              <w:top w:val="nil"/>
              <w:left w:val="nil"/>
              <w:bottom w:val="single" w:sz="4" w:space="0" w:color="BFBFBF"/>
              <w:right w:val="nil"/>
            </w:tcBorders>
            <w:shd w:val="clear" w:color="auto" w:fill="auto"/>
            <w:noWrap/>
            <w:vAlign w:val="center"/>
          </w:tcPr>
          <w:p w14:paraId="1D2672EE"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713D3D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7EB31F4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38C47CE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64F9738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50D1DD4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E23DC5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60C7E73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c>
          <w:tcPr>
            <w:tcW w:w="808" w:type="dxa"/>
            <w:tcBorders>
              <w:top w:val="nil"/>
              <w:left w:val="nil"/>
              <w:bottom w:val="single" w:sz="4" w:space="0" w:color="BFBFBF"/>
              <w:right w:val="nil"/>
            </w:tcBorders>
            <w:shd w:val="clear" w:color="auto" w:fill="auto"/>
            <w:noWrap/>
            <w:vAlign w:val="center"/>
          </w:tcPr>
          <w:p w14:paraId="6FFF0AD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650BC3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251749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9F323F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4FB89E4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789C831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275EDA1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115607B2"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7E8869B"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Inner </w:t>
            </w:r>
            <w:smartTag w:uri="urn:schemas-microsoft-com:office:smarttags" w:element="place">
              <w:r w:rsidRPr="00125162">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E80DB9F"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w:t>
            </w:r>
          </w:p>
        </w:tc>
        <w:tc>
          <w:tcPr>
            <w:tcW w:w="675" w:type="dxa"/>
            <w:tcBorders>
              <w:top w:val="nil"/>
              <w:left w:val="nil"/>
              <w:bottom w:val="single" w:sz="4" w:space="0" w:color="BFBFBF"/>
              <w:right w:val="nil"/>
            </w:tcBorders>
            <w:shd w:val="clear" w:color="auto" w:fill="auto"/>
            <w:noWrap/>
            <w:vAlign w:val="center"/>
          </w:tcPr>
          <w:p w14:paraId="10765182"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621AD8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750B3B4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4AEE232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2CC8767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79</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2174F258"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E81E845"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78B871C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808" w:type="dxa"/>
            <w:tcBorders>
              <w:top w:val="nil"/>
              <w:left w:val="nil"/>
              <w:bottom w:val="single" w:sz="4" w:space="0" w:color="BFBFBF"/>
              <w:right w:val="nil"/>
            </w:tcBorders>
            <w:shd w:val="clear" w:color="auto" w:fill="auto"/>
            <w:noWrap/>
            <w:vAlign w:val="center"/>
          </w:tcPr>
          <w:p w14:paraId="56F21A3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0E5777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1E25F4B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312AD9F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53F7BFE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6288DF9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37F6C7A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2D122180"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2C71E9B8"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smartTag w:uri="urn:schemas-microsoft-com:office:smarttags" w:element="place">
              <w:r w:rsidRPr="00125162">
                <w:rPr>
                  <w:rFonts w:ascii="Arial" w:hAnsi="Arial" w:cs="Arial"/>
                  <w:color w:val="000000"/>
                  <w:sz w:val="16"/>
                  <w:szCs w:val="16"/>
                  <w:lang w:val="en-AU" w:eastAsia="en-AU"/>
                </w:rPr>
                <w:t>Southern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91FF835"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w:t>
            </w:r>
          </w:p>
        </w:tc>
        <w:tc>
          <w:tcPr>
            <w:tcW w:w="675" w:type="dxa"/>
            <w:tcBorders>
              <w:top w:val="nil"/>
              <w:left w:val="nil"/>
              <w:bottom w:val="single" w:sz="4" w:space="0" w:color="BFBFBF"/>
              <w:right w:val="nil"/>
            </w:tcBorders>
            <w:shd w:val="clear" w:color="auto" w:fill="auto"/>
            <w:noWrap/>
            <w:vAlign w:val="center"/>
          </w:tcPr>
          <w:p w14:paraId="4A81E437"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41CFF7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1780C71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42621E1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4929FBD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6AAEBDD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4CB4F7E8"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c>
          <w:tcPr>
            <w:tcW w:w="808" w:type="dxa"/>
            <w:tcBorders>
              <w:top w:val="nil"/>
              <w:left w:val="nil"/>
              <w:bottom w:val="single" w:sz="4" w:space="0" w:color="BFBFBF"/>
              <w:right w:val="single" w:sz="4" w:space="0" w:color="BFBFBF"/>
            </w:tcBorders>
            <w:shd w:val="clear" w:color="auto" w:fill="auto"/>
            <w:noWrap/>
            <w:vAlign w:val="bottom"/>
          </w:tcPr>
          <w:p w14:paraId="55975838"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w:t>
            </w:r>
          </w:p>
        </w:tc>
        <w:tc>
          <w:tcPr>
            <w:tcW w:w="808" w:type="dxa"/>
            <w:tcBorders>
              <w:top w:val="nil"/>
              <w:left w:val="nil"/>
              <w:bottom w:val="single" w:sz="4" w:space="0" w:color="BFBFBF"/>
              <w:right w:val="nil"/>
            </w:tcBorders>
            <w:shd w:val="clear" w:color="auto" w:fill="auto"/>
            <w:noWrap/>
            <w:vAlign w:val="center"/>
          </w:tcPr>
          <w:p w14:paraId="2A204D7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449728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0BB6EC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3195719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4D3317D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3C25F5E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17582F0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51364EF6"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2B9BF72E"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Bayside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96664B9"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675" w:type="dxa"/>
            <w:tcBorders>
              <w:top w:val="nil"/>
              <w:left w:val="nil"/>
              <w:bottom w:val="single" w:sz="4" w:space="0" w:color="BFBFBF"/>
              <w:right w:val="nil"/>
            </w:tcBorders>
            <w:shd w:val="clear" w:color="auto" w:fill="auto"/>
            <w:noWrap/>
            <w:vAlign w:val="center"/>
          </w:tcPr>
          <w:p w14:paraId="0832CBDA"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FC317F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1A7BAAF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155B653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6E47608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434FCC1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6754E06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3E32822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808" w:type="dxa"/>
            <w:tcBorders>
              <w:top w:val="nil"/>
              <w:left w:val="nil"/>
              <w:bottom w:val="single" w:sz="4" w:space="0" w:color="BFBFBF"/>
              <w:right w:val="nil"/>
            </w:tcBorders>
            <w:shd w:val="clear" w:color="auto" w:fill="auto"/>
            <w:noWrap/>
            <w:vAlign w:val="center"/>
          </w:tcPr>
          <w:p w14:paraId="32B8C440"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54DA52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EC614E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501C90E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72EF9D1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6D6B98B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53CF427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4AE835EB"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2B800AE3"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smartTag w:uri="urn:schemas-microsoft-com:office:smarttags" w:element="place">
              <w:r w:rsidRPr="00125162">
                <w:rPr>
                  <w:rFonts w:ascii="Arial" w:hAnsi="Arial" w:cs="Arial"/>
                  <w:color w:val="000000"/>
                  <w:sz w:val="16"/>
                  <w:szCs w:val="16"/>
                  <w:lang w:val="en-AU" w:eastAsia="en-AU"/>
                </w:rPr>
                <w:t>Western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A2E5FEF"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w:t>
            </w:r>
          </w:p>
        </w:tc>
        <w:tc>
          <w:tcPr>
            <w:tcW w:w="675" w:type="dxa"/>
            <w:tcBorders>
              <w:top w:val="nil"/>
              <w:left w:val="nil"/>
              <w:bottom w:val="single" w:sz="4" w:space="0" w:color="BFBFBF"/>
              <w:right w:val="nil"/>
            </w:tcBorders>
            <w:shd w:val="clear" w:color="auto" w:fill="auto"/>
            <w:noWrap/>
            <w:vAlign w:val="center"/>
          </w:tcPr>
          <w:p w14:paraId="102339E1"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2702F5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14D5558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573F00F8"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27151DA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701EAD2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63E4F70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BFBFBF"/>
            </w:tcBorders>
            <w:shd w:val="clear" w:color="auto" w:fill="auto"/>
            <w:noWrap/>
            <w:vAlign w:val="bottom"/>
          </w:tcPr>
          <w:p w14:paraId="61E57CD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31%</w:t>
            </w:r>
          </w:p>
        </w:tc>
        <w:tc>
          <w:tcPr>
            <w:tcW w:w="808" w:type="dxa"/>
            <w:tcBorders>
              <w:top w:val="nil"/>
              <w:left w:val="nil"/>
              <w:bottom w:val="single" w:sz="4" w:space="0" w:color="BFBFBF"/>
              <w:right w:val="nil"/>
            </w:tcBorders>
            <w:shd w:val="clear" w:color="auto" w:fill="auto"/>
            <w:noWrap/>
            <w:vAlign w:val="center"/>
          </w:tcPr>
          <w:p w14:paraId="3BF23D6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729C22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80B0F9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5B60F1A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3122CA7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1EBDFF5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79F86FD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1E53057F"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496960E5"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Brimbank Melton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AB719F0"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675" w:type="dxa"/>
            <w:tcBorders>
              <w:top w:val="nil"/>
              <w:left w:val="nil"/>
              <w:bottom w:val="single" w:sz="4" w:space="0" w:color="BFBFBF"/>
              <w:right w:val="nil"/>
            </w:tcBorders>
            <w:shd w:val="clear" w:color="auto" w:fill="auto"/>
            <w:noWrap/>
            <w:vAlign w:val="center"/>
          </w:tcPr>
          <w:p w14:paraId="0D6B09D8"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E656E6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74490B1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313BF2A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63D90DF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165</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18F8BA8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917CC8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410EB6A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w:t>
            </w:r>
          </w:p>
        </w:tc>
        <w:tc>
          <w:tcPr>
            <w:tcW w:w="808" w:type="dxa"/>
            <w:tcBorders>
              <w:top w:val="nil"/>
              <w:left w:val="nil"/>
              <w:bottom w:val="single" w:sz="4" w:space="0" w:color="BFBFBF"/>
              <w:right w:val="nil"/>
            </w:tcBorders>
            <w:shd w:val="clear" w:color="auto" w:fill="auto"/>
            <w:noWrap/>
            <w:vAlign w:val="center"/>
          </w:tcPr>
          <w:p w14:paraId="6C8118E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FA61F2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1305FA1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758969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4C96860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459FE26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21BE586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4565AFA3"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2069FF1"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Mallee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332D358"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675" w:type="dxa"/>
            <w:tcBorders>
              <w:top w:val="nil"/>
              <w:left w:val="nil"/>
              <w:bottom w:val="single" w:sz="4" w:space="0" w:color="BFBFBF"/>
              <w:right w:val="nil"/>
            </w:tcBorders>
            <w:shd w:val="clear" w:color="auto" w:fill="auto"/>
            <w:noWrap/>
            <w:vAlign w:val="center"/>
          </w:tcPr>
          <w:p w14:paraId="4FE294EF"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27876F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22796A1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26E7548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13A1F7D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47AE9DB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0E4894A"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2A738445"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w:t>
            </w:r>
          </w:p>
        </w:tc>
        <w:tc>
          <w:tcPr>
            <w:tcW w:w="808" w:type="dxa"/>
            <w:tcBorders>
              <w:top w:val="nil"/>
              <w:left w:val="nil"/>
              <w:bottom w:val="single" w:sz="4" w:space="0" w:color="BFBFBF"/>
              <w:right w:val="nil"/>
            </w:tcBorders>
            <w:shd w:val="clear" w:color="auto" w:fill="auto"/>
            <w:noWrap/>
            <w:vAlign w:val="center"/>
          </w:tcPr>
          <w:p w14:paraId="2CA6213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C55D04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3248A6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2BDDDA3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79088F0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5863C85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070AD3A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6853D151"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90FEC7C"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Loddon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2F03CF2"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w:t>
            </w:r>
          </w:p>
        </w:tc>
        <w:tc>
          <w:tcPr>
            <w:tcW w:w="675" w:type="dxa"/>
            <w:tcBorders>
              <w:top w:val="nil"/>
              <w:left w:val="nil"/>
              <w:bottom w:val="single" w:sz="4" w:space="0" w:color="BFBFBF"/>
              <w:right w:val="nil"/>
            </w:tcBorders>
            <w:shd w:val="clear" w:color="auto" w:fill="auto"/>
            <w:noWrap/>
            <w:vAlign w:val="center"/>
          </w:tcPr>
          <w:p w14:paraId="755ED8F7"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2B67FC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3E4FEB0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1AF926B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586" w:type="dxa"/>
            <w:tcBorders>
              <w:top w:val="nil"/>
              <w:left w:val="nil"/>
              <w:bottom w:val="single" w:sz="4" w:space="0" w:color="BFBFBF"/>
              <w:right w:val="nil"/>
            </w:tcBorders>
            <w:shd w:val="clear" w:color="auto" w:fill="auto"/>
            <w:noWrap/>
            <w:vAlign w:val="center"/>
          </w:tcPr>
          <w:p w14:paraId="634E2D6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47</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49302E0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5863383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7171204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w:t>
            </w:r>
          </w:p>
        </w:tc>
        <w:tc>
          <w:tcPr>
            <w:tcW w:w="808" w:type="dxa"/>
            <w:tcBorders>
              <w:top w:val="nil"/>
              <w:left w:val="nil"/>
              <w:bottom w:val="single" w:sz="4" w:space="0" w:color="BFBFBF"/>
              <w:right w:val="nil"/>
            </w:tcBorders>
            <w:shd w:val="clear" w:color="auto" w:fill="auto"/>
            <w:noWrap/>
            <w:vAlign w:val="center"/>
          </w:tcPr>
          <w:p w14:paraId="1BF00C6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3187F5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DDA281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7540BB0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4F537F4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5147170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2F4AEC3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24C5B545"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291EF22"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125162">
                  <w:rPr>
                    <w:rFonts w:ascii="Arial" w:hAnsi="Arial" w:cs="Arial"/>
                    <w:color w:val="000000"/>
                    <w:sz w:val="16"/>
                    <w:szCs w:val="16"/>
                    <w:lang w:val="en-AU" w:eastAsia="en-AU"/>
                  </w:rPr>
                  <w:t>Murray</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38FDBF8"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675" w:type="dxa"/>
            <w:tcBorders>
              <w:top w:val="nil"/>
              <w:left w:val="nil"/>
              <w:bottom w:val="single" w:sz="4" w:space="0" w:color="BFBFBF"/>
              <w:right w:val="nil"/>
            </w:tcBorders>
            <w:shd w:val="clear" w:color="auto" w:fill="auto"/>
            <w:noWrap/>
            <w:vAlign w:val="center"/>
          </w:tcPr>
          <w:p w14:paraId="20F6933C"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E7B2BF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4653051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79F7131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586" w:type="dxa"/>
            <w:tcBorders>
              <w:top w:val="nil"/>
              <w:left w:val="nil"/>
              <w:bottom w:val="single" w:sz="4" w:space="0" w:color="BFBFBF"/>
              <w:right w:val="nil"/>
            </w:tcBorders>
            <w:shd w:val="clear" w:color="auto" w:fill="auto"/>
            <w:noWrap/>
            <w:vAlign w:val="center"/>
          </w:tcPr>
          <w:p w14:paraId="16A3CA4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24948BF8"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1CA721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7E87199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c>
          <w:tcPr>
            <w:tcW w:w="808" w:type="dxa"/>
            <w:tcBorders>
              <w:top w:val="nil"/>
              <w:left w:val="nil"/>
              <w:bottom w:val="single" w:sz="4" w:space="0" w:color="BFBFBF"/>
              <w:right w:val="nil"/>
            </w:tcBorders>
            <w:shd w:val="clear" w:color="auto" w:fill="auto"/>
            <w:noWrap/>
            <w:vAlign w:val="center"/>
          </w:tcPr>
          <w:p w14:paraId="1FEDBC3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E59E49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59A35C8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B229C6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29D7466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42B4CAB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2CD28F0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64304C0B"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4FC7D49C"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Goulburn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0343585"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675" w:type="dxa"/>
            <w:tcBorders>
              <w:top w:val="nil"/>
              <w:left w:val="nil"/>
              <w:bottom w:val="single" w:sz="4" w:space="0" w:color="BFBFBF"/>
              <w:right w:val="nil"/>
            </w:tcBorders>
            <w:shd w:val="clear" w:color="auto" w:fill="auto"/>
            <w:noWrap/>
            <w:vAlign w:val="center"/>
          </w:tcPr>
          <w:p w14:paraId="2DF608C8"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2BBB5D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063C33D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4E9D185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586" w:type="dxa"/>
            <w:tcBorders>
              <w:top w:val="nil"/>
              <w:left w:val="nil"/>
              <w:bottom w:val="single" w:sz="4" w:space="0" w:color="BFBFBF"/>
              <w:right w:val="nil"/>
            </w:tcBorders>
            <w:shd w:val="clear" w:color="auto" w:fill="auto"/>
            <w:noWrap/>
            <w:vAlign w:val="center"/>
          </w:tcPr>
          <w:p w14:paraId="7BBCAB8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100C808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4AAAAC7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10A6C4F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w:t>
            </w:r>
          </w:p>
        </w:tc>
        <w:tc>
          <w:tcPr>
            <w:tcW w:w="808" w:type="dxa"/>
            <w:tcBorders>
              <w:top w:val="nil"/>
              <w:left w:val="nil"/>
              <w:bottom w:val="single" w:sz="4" w:space="0" w:color="BFBFBF"/>
              <w:right w:val="nil"/>
            </w:tcBorders>
            <w:shd w:val="clear" w:color="auto" w:fill="auto"/>
            <w:noWrap/>
            <w:vAlign w:val="center"/>
          </w:tcPr>
          <w:p w14:paraId="68DE337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F69DF0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B9E1E9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4C080A7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6B85D33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0803CA7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147B95D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13B4731D"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2BE23443"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Outer Gippsland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FFBC842"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675" w:type="dxa"/>
            <w:tcBorders>
              <w:top w:val="nil"/>
              <w:left w:val="nil"/>
              <w:bottom w:val="single" w:sz="4" w:space="0" w:color="BFBFBF"/>
              <w:right w:val="nil"/>
            </w:tcBorders>
            <w:shd w:val="clear" w:color="auto" w:fill="auto"/>
            <w:noWrap/>
            <w:vAlign w:val="center"/>
          </w:tcPr>
          <w:p w14:paraId="193E3E42"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3E718E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53B264B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7DCE159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586" w:type="dxa"/>
            <w:tcBorders>
              <w:top w:val="nil"/>
              <w:left w:val="nil"/>
              <w:bottom w:val="single" w:sz="4" w:space="0" w:color="BFBFBF"/>
              <w:right w:val="nil"/>
            </w:tcBorders>
            <w:shd w:val="clear" w:color="auto" w:fill="auto"/>
            <w:noWrap/>
            <w:vAlign w:val="center"/>
          </w:tcPr>
          <w:p w14:paraId="6620527F"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62</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0109B4F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497" w:type="dxa"/>
            <w:tcBorders>
              <w:top w:val="nil"/>
              <w:left w:val="nil"/>
              <w:bottom w:val="single" w:sz="4" w:space="0" w:color="BFBFBF"/>
              <w:right w:val="single" w:sz="4" w:space="0" w:color="auto"/>
            </w:tcBorders>
            <w:shd w:val="clear" w:color="auto" w:fill="auto"/>
            <w:noWrap/>
            <w:vAlign w:val="center"/>
          </w:tcPr>
          <w:p w14:paraId="6C7057F8"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c>
          <w:tcPr>
            <w:tcW w:w="808" w:type="dxa"/>
            <w:tcBorders>
              <w:top w:val="nil"/>
              <w:left w:val="nil"/>
              <w:bottom w:val="single" w:sz="4" w:space="0" w:color="BFBFBF"/>
              <w:right w:val="single" w:sz="4" w:space="0" w:color="BFBFBF"/>
            </w:tcBorders>
            <w:shd w:val="clear" w:color="auto" w:fill="auto"/>
            <w:noWrap/>
            <w:vAlign w:val="bottom"/>
          </w:tcPr>
          <w:p w14:paraId="2CEBC90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w:t>
            </w:r>
          </w:p>
        </w:tc>
        <w:tc>
          <w:tcPr>
            <w:tcW w:w="808" w:type="dxa"/>
            <w:tcBorders>
              <w:top w:val="nil"/>
              <w:left w:val="nil"/>
              <w:bottom w:val="single" w:sz="4" w:space="0" w:color="BFBFBF"/>
              <w:right w:val="nil"/>
            </w:tcBorders>
            <w:shd w:val="clear" w:color="auto" w:fill="auto"/>
            <w:noWrap/>
            <w:vAlign w:val="center"/>
          </w:tcPr>
          <w:p w14:paraId="6C8C8B6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6CDCC0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0193D6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356555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0215B7A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1633C4E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5B16C5F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52FC04E5"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0CB0DABB"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Inner Gippsland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7C3FE70"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w:t>
            </w:r>
          </w:p>
        </w:tc>
        <w:tc>
          <w:tcPr>
            <w:tcW w:w="675" w:type="dxa"/>
            <w:tcBorders>
              <w:top w:val="nil"/>
              <w:left w:val="nil"/>
              <w:bottom w:val="single" w:sz="4" w:space="0" w:color="BFBFBF"/>
              <w:right w:val="nil"/>
            </w:tcBorders>
            <w:shd w:val="clear" w:color="auto" w:fill="auto"/>
            <w:noWrap/>
            <w:vAlign w:val="center"/>
          </w:tcPr>
          <w:p w14:paraId="35050BF8"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DA8F78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762D702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48346E25"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w:t>
            </w:r>
          </w:p>
        </w:tc>
        <w:tc>
          <w:tcPr>
            <w:tcW w:w="586" w:type="dxa"/>
            <w:tcBorders>
              <w:top w:val="nil"/>
              <w:left w:val="nil"/>
              <w:bottom w:val="single" w:sz="4" w:space="0" w:color="BFBFBF"/>
              <w:right w:val="nil"/>
            </w:tcBorders>
            <w:shd w:val="clear" w:color="auto" w:fill="auto"/>
            <w:noWrap/>
            <w:vAlign w:val="center"/>
          </w:tcPr>
          <w:p w14:paraId="1E72638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2560DC9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0FFBE06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33</w:t>
            </w:r>
          </w:p>
        </w:tc>
        <w:tc>
          <w:tcPr>
            <w:tcW w:w="808" w:type="dxa"/>
            <w:tcBorders>
              <w:top w:val="nil"/>
              <w:left w:val="nil"/>
              <w:bottom w:val="single" w:sz="4" w:space="0" w:color="BFBFBF"/>
              <w:right w:val="single" w:sz="4" w:space="0" w:color="BFBFBF"/>
            </w:tcBorders>
            <w:shd w:val="clear" w:color="auto" w:fill="auto"/>
            <w:noWrap/>
            <w:vAlign w:val="bottom"/>
          </w:tcPr>
          <w:p w14:paraId="4CDBBA4F"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808" w:type="dxa"/>
            <w:tcBorders>
              <w:top w:val="nil"/>
              <w:left w:val="nil"/>
              <w:bottom w:val="single" w:sz="4" w:space="0" w:color="BFBFBF"/>
              <w:right w:val="nil"/>
            </w:tcBorders>
            <w:shd w:val="clear" w:color="auto" w:fill="auto"/>
            <w:noWrap/>
            <w:vAlign w:val="center"/>
          </w:tcPr>
          <w:p w14:paraId="2487571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724165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E7B034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10392FE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7CF08A5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32F7ED0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6C4CA25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121E61E3"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2954AE9E"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Western District</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0BBACAE"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nil"/>
            </w:tcBorders>
            <w:shd w:val="clear" w:color="auto" w:fill="auto"/>
            <w:noWrap/>
            <w:vAlign w:val="center"/>
          </w:tcPr>
          <w:p w14:paraId="2ADC5B6A"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2ABC0E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721558F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38036BF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w:t>
            </w:r>
          </w:p>
        </w:tc>
        <w:tc>
          <w:tcPr>
            <w:tcW w:w="586" w:type="dxa"/>
            <w:tcBorders>
              <w:top w:val="nil"/>
              <w:left w:val="nil"/>
              <w:bottom w:val="single" w:sz="4" w:space="0" w:color="BFBFBF"/>
              <w:right w:val="nil"/>
            </w:tcBorders>
            <w:shd w:val="clear" w:color="auto" w:fill="auto"/>
            <w:noWrap/>
            <w:vAlign w:val="center"/>
          </w:tcPr>
          <w:p w14:paraId="7651304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23B6F0D0"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3C41125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27693E9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53%</w:t>
            </w:r>
          </w:p>
        </w:tc>
        <w:tc>
          <w:tcPr>
            <w:tcW w:w="808" w:type="dxa"/>
            <w:tcBorders>
              <w:top w:val="nil"/>
              <w:left w:val="nil"/>
              <w:bottom w:val="single" w:sz="4" w:space="0" w:color="BFBFBF"/>
              <w:right w:val="nil"/>
            </w:tcBorders>
            <w:shd w:val="clear" w:color="auto" w:fill="auto"/>
            <w:noWrap/>
            <w:vAlign w:val="center"/>
          </w:tcPr>
          <w:p w14:paraId="0B93F0E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58E1FB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863A01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2101B92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5A28A72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64A1F79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34A3FC9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31619EAF"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329DEEF3"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Barwon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FE49D91"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w:t>
            </w:r>
          </w:p>
        </w:tc>
        <w:tc>
          <w:tcPr>
            <w:tcW w:w="675" w:type="dxa"/>
            <w:tcBorders>
              <w:top w:val="nil"/>
              <w:left w:val="nil"/>
              <w:bottom w:val="single" w:sz="4" w:space="0" w:color="BFBFBF"/>
              <w:right w:val="nil"/>
            </w:tcBorders>
            <w:shd w:val="clear" w:color="auto" w:fill="auto"/>
            <w:noWrap/>
            <w:vAlign w:val="center"/>
          </w:tcPr>
          <w:p w14:paraId="307DB3D8"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1693C2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1D35D0C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3498357F"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4E4907A0"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62B671B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0C349B1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592DE07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808" w:type="dxa"/>
            <w:tcBorders>
              <w:top w:val="nil"/>
              <w:left w:val="nil"/>
              <w:bottom w:val="single" w:sz="4" w:space="0" w:color="BFBFBF"/>
              <w:right w:val="nil"/>
            </w:tcBorders>
            <w:shd w:val="clear" w:color="auto" w:fill="auto"/>
            <w:noWrap/>
            <w:vAlign w:val="center"/>
          </w:tcPr>
          <w:p w14:paraId="5009611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2DF899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4AE9A4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5961A4F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12030F7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1A744F3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7B100A2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3CFFF7ED"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09115B72"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Central Highlands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9EDDCE8"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w:t>
            </w:r>
          </w:p>
        </w:tc>
        <w:tc>
          <w:tcPr>
            <w:tcW w:w="675" w:type="dxa"/>
            <w:tcBorders>
              <w:top w:val="nil"/>
              <w:left w:val="nil"/>
              <w:bottom w:val="single" w:sz="4" w:space="0" w:color="BFBFBF"/>
              <w:right w:val="nil"/>
            </w:tcBorders>
            <w:shd w:val="clear" w:color="auto" w:fill="auto"/>
            <w:noWrap/>
            <w:vAlign w:val="center"/>
          </w:tcPr>
          <w:p w14:paraId="3540AED6"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D8019A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0664708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16" w:type="dxa"/>
            <w:tcBorders>
              <w:top w:val="nil"/>
              <w:left w:val="nil"/>
              <w:bottom w:val="single" w:sz="4" w:space="0" w:color="BFBFBF"/>
              <w:right w:val="single" w:sz="4" w:space="0" w:color="BFBFBF"/>
            </w:tcBorders>
            <w:shd w:val="clear" w:color="auto" w:fill="auto"/>
            <w:noWrap/>
            <w:vAlign w:val="bottom"/>
          </w:tcPr>
          <w:p w14:paraId="563D137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00201605"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69F97F3A"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2392C3D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5070DDCF"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808" w:type="dxa"/>
            <w:tcBorders>
              <w:top w:val="nil"/>
              <w:left w:val="nil"/>
              <w:bottom w:val="single" w:sz="4" w:space="0" w:color="BFBFBF"/>
              <w:right w:val="nil"/>
            </w:tcBorders>
            <w:shd w:val="clear" w:color="auto" w:fill="auto"/>
            <w:noWrap/>
            <w:vAlign w:val="center"/>
          </w:tcPr>
          <w:p w14:paraId="14FA36F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E1ADF9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7FFAEF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36E82C2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nil"/>
            </w:tcBorders>
            <w:shd w:val="clear" w:color="auto" w:fill="auto"/>
            <w:noWrap/>
            <w:vAlign w:val="center"/>
          </w:tcPr>
          <w:p w14:paraId="03F26F4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06A460A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6B1C6FF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D30C84" w:rsidRPr="00125162" w14:paraId="6FB86A1E"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42D7048E" w14:textId="77777777" w:rsidR="00D30C84" w:rsidRPr="00125162" w:rsidRDefault="00D30C84"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Concession Status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DD6A409"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3E5FCF0D"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C970122"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single" w:sz="4" w:space="0" w:color="auto"/>
            </w:tcBorders>
            <w:shd w:val="clear" w:color="auto" w:fill="auto"/>
            <w:noWrap/>
            <w:vAlign w:val="center"/>
          </w:tcPr>
          <w:p w14:paraId="48136645"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16" w:type="dxa"/>
            <w:tcBorders>
              <w:top w:val="nil"/>
              <w:left w:val="nil"/>
              <w:bottom w:val="single" w:sz="4" w:space="0" w:color="BFBFBF"/>
              <w:right w:val="single" w:sz="4" w:space="0" w:color="BFBFBF"/>
            </w:tcBorders>
            <w:shd w:val="clear" w:color="auto" w:fill="auto"/>
            <w:noWrap/>
            <w:vAlign w:val="bottom"/>
          </w:tcPr>
          <w:p w14:paraId="2B4734B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86" w:type="dxa"/>
            <w:tcBorders>
              <w:top w:val="nil"/>
              <w:left w:val="nil"/>
              <w:bottom w:val="single" w:sz="4" w:space="0" w:color="BFBFBF"/>
              <w:right w:val="nil"/>
            </w:tcBorders>
            <w:shd w:val="clear" w:color="auto" w:fill="auto"/>
            <w:noWrap/>
            <w:vAlign w:val="center"/>
          </w:tcPr>
          <w:p w14:paraId="65BE2D8A"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4BE5F7E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center"/>
          </w:tcPr>
          <w:p w14:paraId="50641A8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2B5B97E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73E0068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46697E5"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1EDE10F9"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BFBFBF"/>
            </w:tcBorders>
            <w:shd w:val="clear" w:color="auto" w:fill="auto"/>
            <w:noWrap/>
            <w:vAlign w:val="center"/>
          </w:tcPr>
          <w:p w14:paraId="483DDFC5"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nil"/>
            </w:tcBorders>
            <w:shd w:val="clear" w:color="auto" w:fill="auto"/>
            <w:noWrap/>
            <w:vAlign w:val="center"/>
          </w:tcPr>
          <w:p w14:paraId="08BE7511"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0D9DC141"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double" w:sz="6" w:space="0" w:color="auto"/>
            </w:tcBorders>
            <w:shd w:val="clear" w:color="auto" w:fill="auto"/>
            <w:noWrap/>
            <w:vAlign w:val="center"/>
          </w:tcPr>
          <w:p w14:paraId="780B974D" w14:textId="77777777" w:rsidR="00D30C84" w:rsidRPr="00125162" w:rsidRDefault="00D30C84" w:rsidP="009E6A8A">
            <w:pPr>
              <w:spacing w:before="0" w:after="0"/>
              <w:jc w:val="center"/>
              <w:rPr>
                <w:rFonts w:ascii="Arial" w:hAnsi="Arial" w:cs="Arial"/>
                <w:color w:val="000000"/>
                <w:sz w:val="16"/>
                <w:szCs w:val="16"/>
                <w:lang w:val="en-AU" w:eastAsia="en-AU"/>
              </w:rPr>
            </w:pPr>
          </w:p>
        </w:tc>
      </w:tr>
      <w:tr w:rsidR="00D30C84" w:rsidRPr="00125162" w14:paraId="2405E864"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10CBF890"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Aged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C0B62EF"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675" w:type="dxa"/>
            <w:tcBorders>
              <w:top w:val="nil"/>
              <w:left w:val="nil"/>
              <w:bottom w:val="single" w:sz="4" w:space="0" w:color="BFBFBF"/>
              <w:right w:val="nil"/>
            </w:tcBorders>
            <w:shd w:val="clear" w:color="auto" w:fill="auto"/>
            <w:noWrap/>
            <w:vAlign w:val="center"/>
          </w:tcPr>
          <w:p w14:paraId="5BDF549F"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1BE43E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single" w:sz="4" w:space="0" w:color="auto"/>
            </w:tcBorders>
            <w:shd w:val="clear" w:color="auto" w:fill="auto"/>
            <w:noWrap/>
            <w:vAlign w:val="center"/>
          </w:tcPr>
          <w:p w14:paraId="1B3F131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816" w:type="dxa"/>
            <w:tcBorders>
              <w:top w:val="nil"/>
              <w:left w:val="nil"/>
              <w:bottom w:val="single" w:sz="4" w:space="0" w:color="BFBFBF"/>
              <w:right w:val="single" w:sz="4" w:space="0" w:color="BFBFBF"/>
            </w:tcBorders>
            <w:shd w:val="clear" w:color="auto" w:fill="auto"/>
            <w:noWrap/>
            <w:vAlign w:val="bottom"/>
          </w:tcPr>
          <w:p w14:paraId="5DCB1E1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w:t>
            </w:r>
          </w:p>
        </w:tc>
        <w:tc>
          <w:tcPr>
            <w:tcW w:w="586" w:type="dxa"/>
            <w:tcBorders>
              <w:top w:val="nil"/>
              <w:left w:val="nil"/>
              <w:bottom w:val="single" w:sz="4" w:space="0" w:color="BFBFBF"/>
              <w:right w:val="nil"/>
            </w:tcBorders>
            <w:shd w:val="clear" w:color="auto" w:fill="auto"/>
            <w:noWrap/>
            <w:vAlign w:val="center"/>
          </w:tcPr>
          <w:p w14:paraId="544EF515"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741D0975"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900BDC0"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c>
          <w:tcPr>
            <w:tcW w:w="808" w:type="dxa"/>
            <w:tcBorders>
              <w:top w:val="nil"/>
              <w:left w:val="nil"/>
              <w:bottom w:val="single" w:sz="4" w:space="0" w:color="BFBFBF"/>
              <w:right w:val="single" w:sz="4" w:space="0" w:color="BFBFBF"/>
            </w:tcBorders>
            <w:shd w:val="clear" w:color="auto" w:fill="auto"/>
            <w:noWrap/>
            <w:vAlign w:val="bottom"/>
          </w:tcPr>
          <w:p w14:paraId="4C7C261F"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93%</w:t>
            </w:r>
          </w:p>
        </w:tc>
        <w:tc>
          <w:tcPr>
            <w:tcW w:w="808" w:type="dxa"/>
            <w:tcBorders>
              <w:top w:val="nil"/>
              <w:left w:val="nil"/>
              <w:bottom w:val="single" w:sz="4" w:space="0" w:color="BFBFBF"/>
              <w:right w:val="nil"/>
            </w:tcBorders>
            <w:shd w:val="clear" w:color="auto" w:fill="auto"/>
            <w:noWrap/>
            <w:vAlign w:val="center"/>
          </w:tcPr>
          <w:p w14:paraId="51CF560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A23C0B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82%</w:t>
            </w:r>
          </w:p>
        </w:tc>
        <w:tc>
          <w:tcPr>
            <w:tcW w:w="675" w:type="dxa"/>
            <w:tcBorders>
              <w:top w:val="nil"/>
              <w:left w:val="nil"/>
              <w:bottom w:val="single" w:sz="4" w:space="0" w:color="BFBFBF"/>
              <w:right w:val="single" w:sz="4" w:space="0" w:color="auto"/>
            </w:tcBorders>
            <w:shd w:val="clear" w:color="auto" w:fill="auto"/>
            <w:noWrap/>
            <w:vAlign w:val="center"/>
          </w:tcPr>
          <w:p w14:paraId="68A5814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95</w:t>
            </w:r>
          </w:p>
        </w:tc>
        <w:tc>
          <w:tcPr>
            <w:tcW w:w="675" w:type="dxa"/>
            <w:tcBorders>
              <w:top w:val="nil"/>
              <w:left w:val="nil"/>
              <w:bottom w:val="single" w:sz="4" w:space="0" w:color="BFBFBF"/>
              <w:right w:val="single" w:sz="4" w:space="0" w:color="BFBFBF"/>
            </w:tcBorders>
            <w:shd w:val="clear" w:color="auto" w:fill="auto"/>
            <w:noWrap/>
            <w:vAlign w:val="center"/>
          </w:tcPr>
          <w:p w14:paraId="305D553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c>
          <w:tcPr>
            <w:tcW w:w="675" w:type="dxa"/>
            <w:tcBorders>
              <w:top w:val="nil"/>
              <w:left w:val="nil"/>
              <w:bottom w:val="single" w:sz="4" w:space="0" w:color="BFBFBF"/>
              <w:right w:val="nil"/>
            </w:tcBorders>
            <w:shd w:val="clear" w:color="auto" w:fill="auto"/>
            <w:noWrap/>
            <w:vAlign w:val="center"/>
          </w:tcPr>
          <w:p w14:paraId="079BD3D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001A87F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w:t>
            </w:r>
          </w:p>
        </w:tc>
        <w:tc>
          <w:tcPr>
            <w:tcW w:w="675" w:type="dxa"/>
            <w:tcBorders>
              <w:top w:val="nil"/>
              <w:left w:val="nil"/>
              <w:bottom w:val="single" w:sz="4" w:space="0" w:color="BFBFBF"/>
              <w:right w:val="double" w:sz="6" w:space="0" w:color="auto"/>
            </w:tcBorders>
            <w:shd w:val="clear" w:color="auto" w:fill="auto"/>
            <w:noWrap/>
            <w:vAlign w:val="center"/>
          </w:tcPr>
          <w:p w14:paraId="14DE022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169</w:t>
            </w:r>
          </w:p>
        </w:tc>
      </w:tr>
      <w:tr w:rsidR="00D30C84" w:rsidRPr="00125162" w14:paraId="2FCD7F7E"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11B11217"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Other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10FA62A"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nil"/>
            </w:tcBorders>
            <w:shd w:val="clear" w:color="auto" w:fill="auto"/>
            <w:noWrap/>
            <w:vAlign w:val="center"/>
          </w:tcPr>
          <w:p w14:paraId="606680BB"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765803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6BF4A89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c>
          <w:tcPr>
            <w:tcW w:w="816" w:type="dxa"/>
            <w:tcBorders>
              <w:top w:val="nil"/>
              <w:left w:val="nil"/>
              <w:bottom w:val="single" w:sz="4" w:space="0" w:color="BFBFBF"/>
              <w:right w:val="single" w:sz="4" w:space="0" w:color="BFBFBF"/>
            </w:tcBorders>
            <w:shd w:val="clear" w:color="auto" w:fill="auto"/>
            <w:noWrap/>
            <w:vAlign w:val="bottom"/>
          </w:tcPr>
          <w:p w14:paraId="23F507F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0A40726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32</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65722FD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497" w:type="dxa"/>
            <w:tcBorders>
              <w:top w:val="nil"/>
              <w:left w:val="nil"/>
              <w:bottom w:val="single" w:sz="4" w:space="0" w:color="BFBFBF"/>
              <w:right w:val="single" w:sz="4" w:space="0" w:color="auto"/>
            </w:tcBorders>
            <w:shd w:val="clear" w:color="auto" w:fill="auto"/>
            <w:noWrap/>
            <w:vAlign w:val="center"/>
          </w:tcPr>
          <w:p w14:paraId="68A3059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808" w:type="dxa"/>
            <w:tcBorders>
              <w:top w:val="nil"/>
              <w:left w:val="nil"/>
              <w:bottom w:val="single" w:sz="4" w:space="0" w:color="BFBFBF"/>
              <w:right w:val="single" w:sz="4" w:space="0" w:color="BFBFBF"/>
            </w:tcBorders>
            <w:shd w:val="clear" w:color="auto" w:fill="auto"/>
            <w:noWrap/>
            <w:vAlign w:val="bottom"/>
          </w:tcPr>
          <w:p w14:paraId="5119E5D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86%</w:t>
            </w:r>
          </w:p>
        </w:tc>
        <w:tc>
          <w:tcPr>
            <w:tcW w:w="808" w:type="dxa"/>
            <w:tcBorders>
              <w:top w:val="nil"/>
              <w:left w:val="nil"/>
              <w:bottom w:val="single" w:sz="4" w:space="0" w:color="BFBFBF"/>
              <w:right w:val="nil"/>
            </w:tcBorders>
            <w:shd w:val="clear" w:color="auto" w:fill="auto"/>
            <w:noWrap/>
            <w:vAlign w:val="center"/>
          </w:tcPr>
          <w:p w14:paraId="69944D1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95E443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71%</w:t>
            </w:r>
          </w:p>
        </w:tc>
        <w:tc>
          <w:tcPr>
            <w:tcW w:w="675" w:type="dxa"/>
            <w:tcBorders>
              <w:top w:val="nil"/>
              <w:left w:val="nil"/>
              <w:bottom w:val="single" w:sz="4" w:space="0" w:color="BFBFBF"/>
              <w:right w:val="single" w:sz="4" w:space="0" w:color="auto"/>
            </w:tcBorders>
            <w:shd w:val="clear" w:color="auto" w:fill="auto"/>
            <w:noWrap/>
            <w:vAlign w:val="center"/>
          </w:tcPr>
          <w:p w14:paraId="306C028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101</w:t>
            </w:r>
          </w:p>
        </w:tc>
        <w:tc>
          <w:tcPr>
            <w:tcW w:w="675" w:type="dxa"/>
            <w:tcBorders>
              <w:top w:val="nil"/>
              <w:left w:val="nil"/>
              <w:bottom w:val="single" w:sz="4" w:space="0" w:color="BFBFBF"/>
              <w:right w:val="single" w:sz="4" w:space="0" w:color="BFBFBF"/>
            </w:tcBorders>
            <w:shd w:val="clear" w:color="auto" w:fill="auto"/>
            <w:noWrap/>
            <w:vAlign w:val="center"/>
          </w:tcPr>
          <w:p w14:paraId="3AA96AA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35%</w:t>
            </w:r>
          </w:p>
        </w:tc>
        <w:tc>
          <w:tcPr>
            <w:tcW w:w="675" w:type="dxa"/>
            <w:tcBorders>
              <w:top w:val="nil"/>
              <w:left w:val="nil"/>
              <w:bottom w:val="single" w:sz="4" w:space="0" w:color="BFBFBF"/>
              <w:right w:val="nil"/>
            </w:tcBorders>
            <w:shd w:val="clear" w:color="auto" w:fill="auto"/>
            <w:noWrap/>
            <w:vAlign w:val="center"/>
          </w:tcPr>
          <w:p w14:paraId="106C72D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2B7D649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675" w:type="dxa"/>
            <w:tcBorders>
              <w:top w:val="nil"/>
              <w:left w:val="nil"/>
              <w:bottom w:val="single" w:sz="4" w:space="0" w:color="BFBFBF"/>
              <w:right w:val="double" w:sz="6" w:space="0" w:color="auto"/>
            </w:tcBorders>
            <w:shd w:val="clear" w:color="auto" w:fill="auto"/>
            <w:noWrap/>
            <w:vAlign w:val="center"/>
          </w:tcPr>
          <w:p w14:paraId="0489A6B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210</w:t>
            </w:r>
          </w:p>
        </w:tc>
      </w:tr>
      <w:tr w:rsidR="00D30C84" w:rsidRPr="00125162" w14:paraId="55E50756"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79A0C369"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Total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7758DA7"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675" w:type="dxa"/>
            <w:tcBorders>
              <w:top w:val="nil"/>
              <w:left w:val="nil"/>
              <w:bottom w:val="single" w:sz="4" w:space="0" w:color="BFBFBF"/>
              <w:right w:val="nil"/>
            </w:tcBorders>
            <w:shd w:val="clear" w:color="auto" w:fill="auto"/>
            <w:noWrap/>
            <w:vAlign w:val="center"/>
          </w:tcPr>
          <w:p w14:paraId="63C818E8"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E7062F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single" w:sz="4" w:space="0" w:color="auto"/>
            </w:tcBorders>
            <w:shd w:val="clear" w:color="auto" w:fill="auto"/>
            <w:noWrap/>
            <w:vAlign w:val="center"/>
          </w:tcPr>
          <w:p w14:paraId="08903ED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816" w:type="dxa"/>
            <w:tcBorders>
              <w:top w:val="nil"/>
              <w:left w:val="nil"/>
              <w:bottom w:val="single" w:sz="4" w:space="0" w:color="BFBFBF"/>
              <w:right w:val="single" w:sz="4" w:space="0" w:color="BFBFBF"/>
            </w:tcBorders>
            <w:shd w:val="clear" w:color="auto" w:fill="auto"/>
            <w:noWrap/>
            <w:vAlign w:val="bottom"/>
          </w:tcPr>
          <w:p w14:paraId="20C6C985"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586" w:type="dxa"/>
            <w:tcBorders>
              <w:top w:val="nil"/>
              <w:left w:val="nil"/>
              <w:bottom w:val="single" w:sz="4" w:space="0" w:color="BFBFBF"/>
              <w:right w:val="nil"/>
            </w:tcBorders>
            <w:shd w:val="clear" w:color="auto" w:fill="auto"/>
            <w:noWrap/>
            <w:vAlign w:val="center"/>
          </w:tcPr>
          <w:p w14:paraId="052DB4E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4580F31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7EFB24B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08" w:type="dxa"/>
            <w:tcBorders>
              <w:top w:val="nil"/>
              <w:left w:val="nil"/>
              <w:bottom w:val="single" w:sz="4" w:space="0" w:color="BFBFBF"/>
              <w:right w:val="single" w:sz="4" w:space="0" w:color="BFBFBF"/>
            </w:tcBorders>
            <w:shd w:val="clear" w:color="auto" w:fill="auto"/>
            <w:noWrap/>
            <w:vAlign w:val="bottom"/>
          </w:tcPr>
          <w:p w14:paraId="03BBFBB0"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89%</w:t>
            </w:r>
          </w:p>
        </w:tc>
        <w:tc>
          <w:tcPr>
            <w:tcW w:w="808" w:type="dxa"/>
            <w:tcBorders>
              <w:top w:val="nil"/>
              <w:left w:val="nil"/>
              <w:bottom w:val="single" w:sz="4" w:space="0" w:color="BFBFBF"/>
              <w:right w:val="nil"/>
            </w:tcBorders>
            <w:shd w:val="clear" w:color="auto" w:fill="auto"/>
            <w:noWrap/>
            <w:vAlign w:val="center"/>
          </w:tcPr>
          <w:p w14:paraId="5DB350CC"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32F955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77%</w:t>
            </w:r>
          </w:p>
        </w:tc>
        <w:tc>
          <w:tcPr>
            <w:tcW w:w="675" w:type="dxa"/>
            <w:tcBorders>
              <w:top w:val="nil"/>
              <w:left w:val="nil"/>
              <w:bottom w:val="single" w:sz="4" w:space="0" w:color="BFBFBF"/>
              <w:right w:val="single" w:sz="4" w:space="0" w:color="auto"/>
            </w:tcBorders>
            <w:shd w:val="clear" w:color="auto" w:fill="auto"/>
            <w:noWrap/>
            <w:vAlign w:val="center"/>
          </w:tcPr>
          <w:p w14:paraId="13815F1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675" w:type="dxa"/>
            <w:tcBorders>
              <w:top w:val="nil"/>
              <w:left w:val="nil"/>
              <w:bottom w:val="single" w:sz="4" w:space="0" w:color="BFBFBF"/>
              <w:right w:val="single" w:sz="4" w:space="0" w:color="BFBFBF"/>
            </w:tcBorders>
            <w:shd w:val="clear" w:color="auto" w:fill="auto"/>
            <w:noWrap/>
            <w:vAlign w:val="center"/>
          </w:tcPr>
          <w:p w14:paraId="652A7E9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w:t>
            </w:r>
          </w:p>
        </w:tc>
        <w:tc>
          <w:tcPr>
            <w:tcW w:w="675" w:type="dxa"/>
            <w:tcBorders>
              <w:top w:val="nil"/>
              <w:left w:val="nil"/>
              <w:bottom w:val="single" w:sz="4" w:space="0" w:color="BFBFBF"/>
              <w:right w:val="nil"/>
            </w:tcBorders>
            <w:shd w:val="clear" w:color="auto" w:fill="auto"/>
            <w:noWrap/>
            <w:vAlign w:val="center"/>
          </w:tcPr>
          <w:p w14:paraId="2A47B41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1BD4772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675" w:type="dxa"/>
            <w:tcBorders>
              <w:top w:val="nil"/>
              <w:left w:val="nil"/>
              <w:bottom w:val="single" w:sz="4" w:space="0" w:color="BFBFBF"/>
              <w:right w:val="double" w:sz="6" w:space="0" w:color="auto"/>
            </w:tcBorders>
            <w:shd w:val="clear" w:color="auto" w:fill="auto"/>
            <w:noWrap/>
            <w:vAlign w:val="center"/>
          </w:tcPr>
          <w:p w14:paraId="40ECC24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185</w:t>
            </w:r>
          </w:p>
        </w:tc>
      </w:tr>
      <w:tr w:rsidR="00D30C84" w:rsidRPr="00125162" w14:paraId="061A4B13" w14:textId="77777777" w:rsidTr="00D30C84">
        <w:trPr>
          <w:trHeight w:val="225"/>
          <w:jc w:val="center"/>
        </w:trPr>
        <w:tc>
          <w:tcPr>
            <w:tcW w:w="2575" w:type="dxa"/>
            <w:tcBorders>
              <w:top w:val="single" w:sz="4" w:space="0" w:color="BFBFBF"/>
              <w:left w:val="double" w:sz="6" w:space="0" w:color="auto"/>
              <w:bottom w:val="double" w:sz="4" w:space="0" w:color="auto"/>
              <w:right w:val="nil"/>
            </w:tcBorders>
            <w:shd w:val="clear" w:color="auto" w:fill="auto"/>
            <w:noWrap/>
            <w:vAlign w:val="center"/>
          </w:tcPr>
          <w:p w14:paraId="4E575245"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Non-Concession HHs</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bottom"/>
          </w:tcPr>
          <w:p w14:paraId="06FC0DB7"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675" w:type="dxa"/>
            <w:tcBorders>
              <w:top w:val="single" w:sz="4" w:space="0" w:color="BFBFBF"/>
              <w:left w:val="nil"/>
              <w:bottom w:val="double" w:sz="4" w:space="0" w:color="auto"/>
              <w:right w:val="nil"/>
            </w:tcBorders>
            <w:shd w:val="clear" w:color="auto" w:fill="auto"/>
            <w:noWrap/>
            <w:vAlign w:val="center"/>
          </w:tcPr>
          <w:p w14:paraId="0EA6E77F"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127</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340BA79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single" w:sz="4" w:space="0" w:color="BFBFBF"/>
              <w:left w:val="nil"/>
              <w:bottom w:val="double" w:sz="4" w:space="0" w:color="auto"/>
              <w:right w:val="single" w:sz="4" w:space="0" w:color="auto"/>
            </w:tcBorders>
            <w:shd w:val="clear" w:color="auto" w:fill="auto"/>
            <w:noWrap/>
            <w:vAlign w:val="center"/>
          </w:tcPr>
          <w:p w14:paraId="3E29050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w:t>
            </w:r>
          </w:p>
        </w:tc>
        <w:tc>
          <w:tcPr>
            <w:tcW w:w="816" w:type="dxa"/>
            <w:tcBorders>
              <w:top w:val="single" w:sz="4" w:space="0" w:color="BFBFBF"/>
              <w:left w:val="nil"/>
              <w:bottom w:val="double" w:sz="4" w:space="0" w:color="auto"/>
              <w:right w:val="single" w:sz="4" w:space="0" w:color="BFBFBF"/>
            </w:tcBorders>
            <w:shd w:val="clear" w:color="auto" w:fill="auto"/>
            <w:noWrap/>
            <w:vAlign w:val="bottom"/>
          </w:tcPr>
          <w:p w14:paraId="46B2A7B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single" w:sz="4" w:space="0" w:color="BFBFBF"/>
              <w:left w:val="nil"/>
              <w:bottom w:val="double" w:sz="4" w:space="0" w:color="auto"/>
              <w:right w:val="nil"/>
            </w:tcBorders>
            <w:shd w:val="clear" w:color="auto" w:fill="auto"/>
            <w:noWrap/>
            <w:vAlign w:val="center"/>
          </w:tcPr>
          <w:p w14:paraId="4ED9374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73</w:t>
            </w:r>
          </w:p>
        </w:tc>
        <w:tc>
          <w:tcPr>
            <w:tcW w:w="813" w:type="dxa"/>
            <w:tcBorders>
              <w:top w:val="single" w:sz="4" w:space="0" w:color="BFBFBF"/>
              <w:left w:val="single" w:sz="4" w:space="0" w:color="auto"/>
              <w:bottom w:val="double" w:sz="4" w:space="0" w:color="auto"/>
              <w:right w:val="single" w:sz="4" w:space="0" w:color="BFBFBF"/>
            </w:tcBorders>
            <w:shd w:val="clear" w:color="auto" w:fill="auto"/>
            <w:noWrap/>
            <w:vAlign w:val="bottom"/>
          </w:tcPr>
          <w:p w14:paraId="7E2B6FA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single" w:sz="4" w:space="0" w:color="BFBFBF"/>
              <w:left w:val="nil"/>
              <w:bottom w:val="double" w:sz="4" w:space="0" w:color="auto"/>
              <w:right w:val="single" w:sz="4" w:space="0" w:color="auto"/>
            </w:tcBorders>
            <w:shd w:val="clear" w:color="auto" w:fill="auto"/>
            <w:noWrap/>
            <w:vAlign w:val="center"/>
          </w:tcPr>
          <w:p w14:paraId="6367E62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c>
          <w:tcPr>
            <w:tcW w:w="808" w:type="dxa"/>
            <w:tcBorders>
              <w:top w:val="single" w:sz="4" w:space="0" w:color="BFBFBF"/>
              <w:left w:val="nil"/>
              <w:bottom w:val="double" w:sz="4" w:space="0" w:color="auto"/>
              <w:right w:val="single" w:sz="4" w:space="0" w:color="BFBFBF"/>
            </w:tcBorders>
            <w:shd w:val="clear" w:color="auto" w:fill="auto"/>
            <w:noWrap/>
            <w:vAlign w:val="bottom"/>
          </w:tcPr>
          <w:p w14:paraId="23F49FAA"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w:t>
            </w:r>
          </w:p>
        </w:tc>
        <w:tc>
          <w:tcPr>
            <w:tcW w:w="808" w:type="dxa"/>
            <w:tcBorders>
              <w:top w:val="single" w:sz="4" w:space="0" w:color="BFBFBF"/>
              <w:left w:val="nil"/>
              <w:bottom w:val="double" w:sz="4" w:space="0" w:color="auto"/>
              <w:right w:val="nil"/>
            </w:tcBorders>
            <w:shd w:val="clear" w:color="auto" w:fill="auto"/>
            <w:noWrap/>
            <w:vAlign w:val="center"/>
          </w:tcPr>
          <w:p w14:paraId="7A9DF32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187</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18861A6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675" w:type="dxa"/>
            <w:tcBorders>
              <w:top w:val="single" w:sz="4" w:space="0" w:color="BFBFBF"/>
              <w:left w:val="nil"/>
              <w:bottom w:val="double" w:sz="4" w:space="0" w:color="auto"/>
              <w:right w:val="single" w:sz="4" w:space="0" w:color="auto"/>
            </w:tcBorders>
            <w:shd w:val="clear" w:color="auto" w:fill="auto"/>
            <w:noWrap/>
            <w:vAlign w:val="center"/>
          </w:tcPr>
          <w:p w14:paraId="6BB099C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113</w:t>
            </w:r>
          </w:p>
        </w:tc>
        <w:tc>
          <w:tcPr>
            <w:tcW w:w="675" w:type="dxa"/>
            <w:tcBorders>
              <w:top w:val="single" w:sz="4" w:space="0" w:color="BFBFBF"/>
              <w:left w:val="nil"/>
              <w:bottom w:val="double" w:sz="4" w:space="0" w:color="auto"/>
              <w:right w:val="single" w:sz="4" w:space="0" w:color="BFBFBF"/>
            </w:tcBorders>
            <w:shd w:val="clear" w:color="auto" w:fill="auto"/>
            <w:noWrap/>
            <w:vAlign w:val="center"/>
          </w:tcPr>
          <w:p w14:paraId="7108E48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675" w:type="dxa"/>
            <w:tcBorders>
              <w:top w:val="single" w:sz="4" w:space="0" w:color="BFBFBF"/>
              <w:left w:val="nil"/>
              <w:bottom w:val="double" w:sz="4" w:space="0" w:color="auto"/>
              <w:right w:val="nil"/>
            </w:tcBorders>
            <w:shd w:val="clear" w:color="auto" w:fill="auto"/>
            <w:noWrap/>
            <w:vAlign w:val="center"/>
          </w:tcPr>
          <w:p w14:paraId="7D34CCF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52</w:t>
            </w:r>
          </w:p>
        </w:tc>
        <w:tc>
          <w:tcPr>
            <w:tcW w:w="675"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6DA7EE2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single" w:sz="4" w:space="0" w:color="BFBFBF"/>
              <w:left w:val="nil"/>
              <w:bottom w:val="double" w:sz="4" w:space="0" w:color="auto"/>
              <w:right w:val="double" w:sz="6" w:space="0" w:color="auto"/>
            </w:tcBorders>
            <w:shd w:val="clear" w:color="auto" w:fill="auto"/>
            <w:noWrap/>
            <w:vAlign w:val="center"/>
          </w:tcPr>
          <w:p w14:paraId="5E693B7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335</w:t>
            </w:r>
          </w:p>
        </w:tc>
      </w:tr>
      <w:tr w:rsidR="00D30C84" w:rsidRPr="00125162" w14:paraId="0613E3EC" w14:textId="77777777" w:rsidTr="002B0E16">
        <w:trPr>
          <w:trHeight w:val="225"/>
          <w:jc w:val="center"/>
        </w:trPr>
        <w:tc>
          <w:tcPr>
            <w:tcW w:w="2575" w:type="dxa"/>
            <w:tcBorders>
              <w:top w:val="double" w:sz="4" w:space="0" w:color="auto"/>
            </w:tcBorders>
            <w:shd w:val="clear" w:color="auto" w:fill="auto"/>
            <w:noWrap/>
            <w:vAlign w:val="center"/>
          </w:tcPr>
          <w:p w14:paraId="39BED665" w14:textId="77777777" w:rsidR="00D30C84" w:rsidRPr="00125162" w:rsidRDefault="00D30C84" w:rsidP="00970E2F">
            <w:pPr>
              <w:spacing w:before="0" w:after="0"/>
              <w:rPr>
                <w:rFonts w:ascii="Arial" w:hAnsi="Arial" w:cs="Arial"/>
                <w:bCs/>
                <w:color w:val="000000"/>
                <w:sz w:val="16"/>
                <w:szCs w:val="16"/>
                <w:lang w:val="en-AU" w:eastAsia="en-AU"/>
              </w:rPr>
            </w:pPr>
            <w:r w:rsidRPr="00125162">
              <w:rPr>
                <w:rFonts w:ascii="Arial" w:hAnsi="Arial" w:cs="Arial"/>
                <w:bCs/>
                <w:color w:val="000000"/>
                <w:sz w:val="16"/>
                <w:szCs w:val="16"/>
                <w:lang w:val="en-AU" w:eastAsia="en-AU"/>
              </w:rPr>
              <w:t>Continued on next page</w:t>
            </w:r>
          </w:p>
        </w:tc>
        <w:tc>
          <w:tcPr>
            <w:tcW w:w="808" w:type="dxa"/>
            <w:tcBorders>
              <w:top w:val="double" w:sz="4" w:space="0" w:color="auto"/>
            </w:tcBorders>
            <w:shd w:val="clear" w:color="auto" w:fill="auto"/>
            <w:noWrap/>
            <w:vAlign w:val="center"/>
          </w:tcPr>
          <w:p w14:paraId="6933A6E6"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7D96A6F5"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7900A4E"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586" w:type="dxa"/>
            <w:tcBorders>
              <w:top w:val="double" w:sz="4" w:space="0" w:color="auto"/>
            </w:tcBorders>
            <w:shd w:val="clear" w:color="auto" w:fill="auto"/>
            <w:noWrap/>
            <w:vAlign w:val="center"/>
          </w:tcPr>
          <w:p w14:paraId="0BE80B36"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16" w:type="dxa"/>
            <w:tcBorders>
              <w:top w:val="double" w:sz="4" w:space="0" w:color="auto"/>
            </w:tcBorders>
            <w:shd w:val="clear" w:color="auto" w:fill="auto"/>
            <w:noWrap/>
            <w:vAlign w:val="center"/>
          </w:tcPr>
          <w:p w14:paraId="6002C4EC"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586" w:type="dxa"/>
            <w:tcBorders>
              <w:top w:val="double" w:sz="4" w:space="0" w:color="auto"/>
            </w:tcBorders>
            <w:shd w:val="clear" w:color="auto" w:fill="auto"/>
            <w:noWrap/>
            <w:vAlign w:val="center"/>
          </w:tcPr>
          <w:p w14:paraId="65497550"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13" w:type="dxa"/>
            <w:tcBorders>
              <w:top w:val="double" w:sz="4" w:space="0" w:color="auto"/>
            </w:tcBorders>
            <w:shd w:val="clear" w:color="auto" w:fill="auto"/>
            <w:noWrap/>
            <w:vAlign w:val="center"/>
          </w:tcPr>
          <w:p w14:paraId="4E266743"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497" w:type="dxa"/>
            <w:tcBorders>
              <w:top w:val="double" w:sz="4" w:space="0" w:color="auto"/>
            </w:tcBorders>
            <w:shd w:val="clear" w:color="auto" w:fill="auto"/>
            <w:noWrap/>
            <w:vAlign w:val="center"/>
          </w:tcPr>
          <w:p w14:paraId="32545014"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6790E7D4"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3D1AA4AE"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22C79EF"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3F4E8DAE"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439E2D78"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26432598"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7905F941"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753825ED" w14:textId="77777777" w:rsidR="00D30C84" w:rsidRPr="00125162" w:rsidRDefault="00D30C84" w:rsidP="009E6A8A">
            <w:pPr>
              <w:spacing w:before="0" w:after="0"/>
              <w:jc w:val="center"/>
              <w:rPr>
                <w:rFonts w:ascii="Arial" w:hAnsi="Arial" w:cs="Arial"/>
                <w:color w:val="000000"/>
                <w:sz w:val="16"/>
                <w:szCs w:val="16"/>
                <w:lang w:val="en-AU" w:eastAsia="en-AU"/>
              </w:rPr>
            </w:pPr>
          </w:p>
        </w:tc>
      </w:tr>
      <w:tr w:rsidR="00D30C84" w:rsidRPr="00125162" w14:paraId="4FE75203" w14:textId="77777777" w:rsidTr="002B0E16">
        <w:trPr>
          <w:trHeight w:val="225"/>
          <w:jc w:val="center"/>
        </w:trPr>
        <w:tc>
          <w:tcPr>
            <w:tcW w:w="2575" w:type="dxa"/>
            <w:tcBorders>
              <w:left w:val="double" w:sz="6" w:space="0" w:color="auto"/>
              <w:bottom w:val="single" w:sz="4" w:space="0" w:color="BFBFBF"/>
              <w:right w:val="nil"/>
            </w:tcBorders>
            <w:shd w:val="clear" w:color="auto" w:fill="auto"/>
            <w:noWrap/>
            <w:vAlign w:val="center"/>
          </w:tcPr>
          <w:p w14:paraId="441B7AB9" w14:textId="77777777" w:rsidR="00D30C84" w:rsidRPr="00125162" w:rsidRDefault="00D30C84" w:rsidP="00970E2F">
            <w:pPr>
              <w:spacing w:before="0" w:after="0"/>
              <w:rPr>
                <w:rFonts w:ascii="Arial" w:hAnsi="Arial" w:cs="Arial"/>
                <w:bCs/>
                <w:color w:val="000000"/>
                <w:sz w:val="16"/>
                <w:szCs w:val="16"/>
                <w:lang w:val="en-AU" w:eastAsia="en-AU"/>
              </w:rPr>
            </w:pPr>
          </w:p>
          <w:p w14:paraId="6D3FE891" w14:textId="77777777" w:rsidR="00D30C84" w:rsidRPr="00125162" w:rsidRDefault="00D30C84"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Household Size -</w:t>
            </w:r>
          </w:p>
        </w:tc>
        <w:tc>
          <w:tcPr>
            <w:tcW w:w="808" w:type="dxa"/>
            <w:tcBorders>
              <w:left w:val="single" w:sz="4" w:space="0" w:color="auto"/>
              <w:bottom w:val="single" w:sz="4" w:space="0" w:color="BFBFBF"/>
              <w:right w:val="single" w:sz="4" w:space="0" w:color="BFBFBF"/>
            </w:tcBorders>
            <w:shd w:val="clear" w:color="auto" w:fill="auto"/>
            <w:noWrap/>
            <w:vAlign w:val="center"/>
          </w:tcPr>
          <w:p w14:paraId="47C9E8F4"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left w:val="nil"/>
              <w:bottom w:val="single" w:sz="4" w:space="0" w:color="BFBFBF"/>
              <w:right w:val="nil"/>
            </w:tcBorders>
            <w:shd w:val="clear" w:color="auto" w:fill="auto"/>
            <w:noWrap/>
            <w:vAlign w:val="center"/>
          </w:tcPr>
          <w:p w14:paraId="27FAB03C"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08" w:type="dxa"/>
            <w:tcBorders>
              <w:left w:val="single" w:sz="4" w:space="0" w:color="auto"/>
              <w:bottom w:val="single" w:sz="4" w:space="0" w:color="BFBFBF"/>
              <w:right w:val="single" w:sz="4" w:space="0" w:color="BFBFBF"/>
            </w:tcBorders>
            <w:shd w:val="clear" w:color="auto" w:fill="auto"/>
            <w:noWrap/>
            <w:vAlign w:val="center"/>
          </w:tcPr>
          <w:p w14:paraId="5747AE3C"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586" w:type="dxa"/>
            <w:tcBorders>
              <w:left w:val="nil"/>
              <w:bottom w:val="single" w:sz="4" w:space="0" w:color="BFBFBF"/>
              <w:right w:val="single" w:sz="4" w:space="0" w:color="auto"/>
            </w:tcBorders>
            <w:shd w:val="clear" w:color="auto" w:fill="auto"/>
            <w:noWrap/>
            <w:vAlign w:val="center"/>
          </w:tcPr>
          <w:p w14:paraId="73F415BA"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16" w:type="dxa"/>
            <w:tcBorders>
              <w:left w:val="nil"/>
              <w:bottom w:val="single" w:sz="4" w:space="0" w:color="BFBFBF"/>
              <w:right w:val="single" w:sz="4" w:space="0" w:color="BFBFBF"/>
            </w:tcBorders>
            <w:shd w:val="clear" w:color="auto" w:fill="auto"/>
            <w:noWrap/>
            <w:vAlign w:val="center"/>
          </w:tcPr>
          <w:p w14:paraId="75F269EB"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586" w:type="dxa"/>
            <w:tcBorders>
              <w:left w:val="nil"/>
              <w:bottom w:val="single" w:sz="4" w:space="0" w:color="BFBFBF"/>
              <w:right w:val="nil"/>
            </w:tcBorders>
            <w:shd w:val="clear" w:color="auto" w:fill="auto"/>
            <w:noWrap/>
            <w:vAlign w:val="center"/>
          </w:tcPr>
          <w:p w14:paraId="6FD64531"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13" w:type="dxa"/>
            <w:tcBorders>
              <w:left w:val="single" w:sz="4" w:space="0" w:color="auto"/>
              <w:bottom w:val="single" w:sz="4" w:space="0" w:color="BFBFBF"/>
              <w:right w:val="single" w:sz="4" w:space="0" w:color="BFBFBF"/>
            </w:tcBorders>
            <w:shd w:val="clear" w:color="auto" w:fill="auto"/>
            <w:noWrap/>
            <w:vAlign w:val="center"/>
          </w:tcPr>
          <w:p w14:paraId="0A296D81"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497" w:type="dxa"/>
            <w:tcBorders>
              <w:left w:val="nil"/>
              <w:bottom w:val="single" w:sz="4" w:space="0" w:color="BFBFBF"/>
              <w:right w:val="single" w:sz="4" w:space="0" w:color="auto"/>
            </w:tcBorders>
            <w:shd w:val="clear" w:color="auto" w:fill="auto"/>
            <w:noWrap/>
            <w:vAlign w:val="center"/>
          </w:tcPr>
          <w:p w14:paraId="725A9559"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08" w:type="dxa"/>
            <w:tcBorders>
              <w:left w:val="nil"/>
              <w:bottom w:val="single" w:sz="4" w:space="0" w:color="BFBFBF"/>
              <w:right w:val="single" w:sz="4" w:space="0" w:color="BFBFBF"/>
            </w:tcBorders>
            <w:shd w:val="clear" w:color="auto" w:fill="auto"/>
            <w:noWrap/>
            <w:vAlign w:val="center"/>
          </w:tcPr>
          <w:p w14:paraId="18206CF9"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08" w:type="dxa"/>
            <w:tcBorders>
              <w:left w:val="nil"/>
              <w:bottom w:val="single" w:sz="4" w:space="0" w:color="BFBFBF"/>
              <w:right w:val="nil"/>
            </w:tcBorders>
            <w:shd w:val="clear" w:color="auto" w:fill="auto"/>
            <w:noWrap/>
            <w:vAlign w:val="center"/>
          </w:tcPr>
          <w:p w14:paraId="2F0146D4"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08" w:type="dxa"/>
            <w:tcBorders>
              <w:left w:val="single" w:sz="4" w:space="0" w:color="auto"/>
              <w:bottom w:val="single" w:sz="4" w:space="0" w:color="BFBFBF"/>
              <w:right w:val="single" w:sz="4" w:space="0" w:color="BFBFBF"/>
            </w:tcBorders>
            <w:shd w:val="clear" w:color="auto" w:fill="auto"/>
            <w:noWrap/>
            <w:vAlign w:val="center"/>
          </w:tcPr>
          <w:p w14:paraId="5F06F999"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left w:val="nil"/>
              <w:bottom w:val="single" w:sz="4" w:space="0" w:color="BFBFBF"/>
              <w:right w:val="single" w:sz="4" w:space="0" w:color="auto"/>
            </w:tcBorders>
            <w:shd w:val="clear" w:color="auto" w:fill="auto"/>
            <w:noWrap/>
            <w:vAlign w:val="center"/>
          </w:tcPr>
          <w:p w14:paraId="29A24078"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left w:val="nil"/>
              <w:bottom w:val="single" w:sz="4" w:space="0" w:color="BFBFBF"/>
              <w:right w:val="single" w:sz="4" w:space="0" w:color="BFBFBF"/>
            </w:tcBorders>
            <w:shd w:val="clear" w:color="auto" w:fill="auto"/>
            <w:noWrap/>
            <w:vAlign w:val="center"/>
          </w:tcPr>
          <w:p w14:paraId="509005EC"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left w:val="nil"/>
              <w:bottom w:val="single" w:sz="4" w:space="0" w:color="BFBFBF"/>
              <w:right w:val="nil"/>
            </w:tcBorders>
            <w:shd w:val="clear" w:color="auto" w:fill="auto"/>
            <w:noWrap/>
            <w:vAlign w:val="center"/>
          </w:tcPr>
          <w:p w14:paraId="40400FC4"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left w:val="single" w:sz="4" w:space="0" w:color="auto"/>
              <w:bottom w:val="single" w:sz="4" w:space="0" w:color="BFBFBF"/>
              <w:right w:val="single" w:sz="4" w:space="0" w:color="BFBFBF"/>
            </w:tcBorders>
            <w:shd w:val="clear" w:color="auto" w:fill="auto"/>
            <w:noWrap/>
            <w:vAlign w:val="center"/>
          </w:tcPr>
          <w:p w14:paraId="74A9B4A8"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left w:val="nil"/>
              <w:bottom w:val="single" w:sz="4" w:space="0" w:color="BFBFBF"/>
              <w:right w:val="double" w:sz="6" w:space="0" w:color="auto"/>
            </w:tcBorders>
            <w:shd w:val="clear" w:color="auto" w:fill="auto"/>
            <w:noWrap/>
            <w:vAlign w:val="center"/>
          </w:tcPr>
          <w:p w14:paraId="2D8484CC" w14:textId="77777777" w:rsidR="00D30C84" w:rsidRPr="00125162" w:rsidRDefault="00D30C84" w:rsidP="009E6A8A">
            <w:pPr>
              <w:spacing w:before="0" w:after="0"/>
              <w:jc w:val="center"/>
              <w:rPr>
                <w:rFonts w:ascii="Arial" w:hAnsi="Arial" w:cs="Arial"/>
                <w:color w:val="000000"/>
                <w:sz w:val="16"/>
                <w:szCs w:val="16"/>
                <w:lang w:val="en-AU" w:eastAsia="en-AU"/>
              </w:rPr>
            </w:pPr>
          </w:p>
        </w:tc>
      </w:tr>
      <w:tr w:rsidR="00D30C84" w:rsidRPr="00125162" w14:paraId="0ACB6D67"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78421700"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1 person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A795A02"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675" w:type="dxa"/>
            <w:tcBorders>
              <w:top w:val="nil"/>
              <w:left w:val="nil"/>
              <w:bottom w:val="single" w:sz="4" w:space="0" w:color="BFBFBF"/>
              <w:right w:val="nil"/>
            </w:tcBorders>
            <w:shd w:val="clear" w:color="auto" w:fill="auto"/>
            <w:noWrap/>
            <w:vAlign w:val="center"/>
          </w:tcPr>
          <w:p w14:paraId="3C7EADB5"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2DACE5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single" w:sz="4" w:space="0" w:color="auto"/>
            </w:tcBorders>
            <w:shd w:val="clear" w:color="auto" w:fill="auto"/>
            <w:noWrap/>
            <w:vAlign w:val="center"/>
          </w:tcPr>
          <w:p w14:paraId="7F2A0A4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16" w:type="dxa"/>
            <w:tcBorders>
              <w:top w:val="nil"/>
              <w:left w:val="nil"/>
              <w:bottom w:val="single" w:sz="4" w:space="0" w:color="BFBFBF"/>
              <w:right w:val="single" w:sz="4" w:space="0" w:color="BFBFBF"/>
            </w:tcBorders>
            <w:shd w:val="clear" w:color="auto" w:fill="auto"/>
            <w:noWrap/>
            <w:vAlign w:val="bottom"/>
          </w:tcPr>
          <w:p w14:paraId="0AD88A7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30443D0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44E570C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3123A60F"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3FA6504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808" w:type="dxa"/>
            <w:tcBorders>
              <w:top w:val="nil"/>
              <w:left w:val="nil"/>
              <w:bottom w:val="single" w:sz="4" w:space="0" w:color="BFBFBF"/>
              <w:right w:val="nil"/>
            </w:tcBorders>
            <w:shd w:val="clear" w:color="auto" w:fill="auto"/>
            <w:noWrap/>
            <w:vAlign w:val="center"/>
          </w:tcPr>
          <w:p w14:paraId="6A62DB4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D824B8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52%</w:t>
            </w:r>
          </w:p>
        </w:tc>
        <w:tc>
          <w:tcPr>
            <w:tcW w:w="675" w:type="dxa"/>
            <w:tcBorders>
              <w:top w:val="nil"/>
              <w:left w:val="nil"/>
              <w:bottom w:val="single" w:sz="4" w:space="0" w:color="BFBFBF"/>
              <w:right w:val="single" w:sz="4" w:space="0" w:color="auto"/>
            </w:tcBorders>
            <w:shd w:val="clear" w:color="auto" w:fill="auto"/>
            <w:noWrap/>
            <w:vAlign w:val="center"/>
          </w:tcPr>
          <w:p w14:paraId="3A98E1C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74</w:t>
            </w:r>
          </w:p>
        </w:tc>
        <w:tc>
          <w:tcPr>
            <w:tcW w:w="675" w:type="dxa"/>
            <w:tcBorders>
              <w:top w:val="nil"/>
              <w:left w:val="nil"/>
              <w:bottom w:val="single" w:sz="4" w:space="0" w:color="BFBFBF"/>
              <w:right w:val="single" w:sz="4" w:space="0" w:color="BFBFBF"/>
            </w:tcBorders>
            <w:shd w:val="clear" w:color="auto" w:fill="auto"/>
            <w:noWrap/>
            <w:vAlign w:val="center"/>
          </w:tcPr>
          <w:p w14:paraId="161B21E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675" w:type="dxa"/>
            <w:tcBorders>
              <w:top w:val="nil"/>
              <w:left w:val="nil"/>
              <w:bottom w:val="single" w:sz="4" w:space="0" w:color="BFBFBF"/>
              <w:right w:val="nil"/>
            </w:tcBorders>
            <w:shd w:val="clear" w:color="auto" w:fill="auto"/>
            <w:noWrap/>
            <w:vAlign w:val="center"/>
          </w:tcPr>
          <w:p w14:paraId="29F0901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0CD538F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33%</w:t>
            </w:r>
          </w:p>
        </w:tc>
        <w:tc>
          <w:tcPr>
            <w:tcW w:w="675" w:type="dxa"/>
            <w:tcBorders>
              <w:top w:val="nil"/>
              <w:left w:val="nil"/>
              <w:bottom w:val="single" w:sz="4" w:space="0" w:color="BFBFBF"/>
              <w:right w:val="double" w:sz="6" w:space="0" w:color="auto"/>
            </w:tcBorders>
            <w:shd w:val="clear" w:color="auto" w:fill="auto"/>
            <w:noWrap/>
            <w:vAlign w:val="center"/>
          </w:tcPr>
          <w:p w14:paraId="6AF66D4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128</w:t>
            </w:r>
          </w:p>
        </w:tc>
      </w:tr>
      <w:tr w:rsidR="00D30C84" w:rsidRPr="00125162" w14:paraId="521CFC54"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930C0D7"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2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E62C955"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w:t>
            </w:r>
          </w:p>
        </w:tc>
        <w:tc>
          <w:tcPr>
            <w:tcW w:w="675" w:type="dxa"/>
            <w:tcBorders>
              <w:top w:val="nil"/>
              <w:left w:val="nil"/>
              <w:bottom w:val="single" w:sz="4" w:space="0" w:color="BFBFBF"/>
              <w:right w:val="nil"/>
            </w:tcBorders>
            <w:shd w:val="clear" w:color="auto" w:fill="auto"/>
            <w:noWrap/>
            <w:vAlign w:val="center"/>
          </w:tcPr>
          <w:p w14:paraId="4ED27175"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577C7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094E5E0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816" w:type="dxa"/>
            <w:tcBorders>
              <w:top w:val="nil"/>
              <w:left w:val="nil"/>
              <w:bottom w:val="single" w:sz="4" w:space="0" w:color="BFBFBF"/>
              <w:right w:val="single" w:sz="4" w:space="0" w:color="BFBFBF"/>
            </w:tcBorders>
            <w:shd w:val="clear" w:color="auto" w:fill="auto"/>
            <w:noWrap/>
            <w:vAlign w:val="bottom"/>
          </w:tcPr>
          <w:p w14:paraId="1E7953E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2F94DBA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7CBC410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5D16B64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35</w:t>
            </w:r>
          </w:p>
        </w:tc>
        <w:tc>
          <w:tcPr>
            <w:tcW w:w="808" w:type="dxa"/>
            <w:tcBorders>
              <w:top w:val="nil"/>
              <w:left w:val="nil"/>
              <w:bottom w:val="single" w:sz="4" w:space="0" w:color="BFBFBF"/>
              <w:right w:val="single" w:sz="4" w:space="0" w:color="BFBFBF"/>
            </w:tcBorders>
            <w:shd w:val="clear" w:color="auto" w:fill="auto"/>
            <w:noWrap/>
            <w:vAlign w:val="bottom"/>
          </w:tcPr>
          <w:p w14:paraId="4B5C9A6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52%</w:t>
            </w:r>
          </w:p>
        </w:tc>
        <w:tc>
          <w:tcPr>
            <w:tcW w:w="808" w:type="dxa"/>
            <w:tcBorders>
              <w:top w:val="nil"/>
              <w:left w:val="nil"/>
              <w:bottom w:val="single" w:sz="4" w:space="0" w:color="BFBFBF"/>
              <w:right w:val="nil"/>
            </w:tcBorders>
            <w:shd w:val="clear" w:color="auto" w:fill="auto"/>
            <w:noWrap/>
            <w:vAlign w:val="center"/>
          </w:tcPr>
          <w:p w14:paraId="3A9BAFD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1B4B55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44%</w:t>
            </w:r>
          </w:p>
        </w:tc>
        <w:tc>
          <w:tcPr>
            <w:tcW w:w="675" w:type="dxa"/>
            <w:tcBorders>
              <w:top w:val="nil"/>
              <w:left w:val="nil"/>
              <w:bottom w:val="single" w:sz="4" w:space="0" w:color="BFBFBF"/>
              <w:right w:val="single" w:sz="4" w:space="0" w:color="auto"/>
            </w:tcBorders>
            <w:shd w:val="clear" w:color="auto" w:fill="auto"/>
            <w:noWrap/>
            <w:vAlign w:val="center"/>
          </w:tcPr>
          <w:p w14:paraId="0C9D072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97</w:t>
            </w:r>
          </w:p>
        </w:tc>
        <w:tc>
          <w:tcPr>
            <w:tcW w:w="675" w:type="dxa"/>
            <w:tcBorders>
              <w:top w:val="nil"/>
              <w:left w:val="nil"/>
              <w:bottom w:val="single" w:sz="4" w:space="0" w:color="BFBFBF"/>
              <w:right w:val="single" w:sz="4" w:space="0" w:color="BFBFBF"/>
            </w:tcBorders>
            <w:shd w:val="clear" w:color="auto" w:fill="auto"/>
            <w:noWrap/>
            <w:vAlign w:val="center"/>
          </w:tcPr>
          <w:p w14:paraId="7F28EA8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675" w:type="dxa"/>
            <w:tcBorders>
              <w:top w:val="nil"/>
              <w:left w:val="nil"/>
              <w:bottom w:val="single" w:sz="4" w:space="0" w:color="BFBFBF"/>
              <w:right w:val="nil"/>
            </w:tcBorders>
            <w:shd w:val="clear" w:color="auto" w:fill="auto"/>
            <w:noWrap/>
            <w:vAlign w:val="center"/>
          </w:tcPr>
          <w:p w14:paraId="5FBAB2D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186D049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675" w:type="dxa"/>
            <w:tcBorders>
              <w:top w:val="nil"/>
              <w:left w:val="nil"/>
              <w:bottom w:val="single" w:sz="4" w:space="0" w:color="BFBFBF"/>
              <w:right w:val="double" w:sz="6" w:space="0" w:color="auto"/>
            </w:tcBorders>
            <w:shd w:val="clear" w:color="auto" w:fill="auto"/>
            <w:noWrap/>
            <w:vAlign w:val="center"/>
          </w:tcPr>
          <w:p w14:paraId="29558D5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226</w:t>
            </w:r>
          </w:p>
        </w:tc>
      </w:tr>
      <w:tr w:rsidR="00D30C84" w:rsidRPr="00125162" w14:paraId="59650C60"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D0910A9"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3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FD0FDAF"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675" w:type="dxa"/>
            <w:tcBorders>
              <w:top w:val="nil"/>
              <w:left w:val="nil"/>
              <w:bottom w:val="single" w:sz="4" w:space="0" w:color="BFBFBF"/>
              <w:right w:val="nil"/>
            </w:tcBorders>
            <w:shd w:val="clear" w:color="auto" w:fill="auto"/>
            <w:noWrap/>
            <w:vAlign w:val="center"/>
          </w:tcPr>
          <w:p w14:paraId="2FA0F7B2"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D4B285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5756EEF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16" w:type="dxa"/>
            <w:tcBorders>
              <w:top w:val="nil"/>
              <w:left w:val="nil"/>
              <w:bottom w:val="single" w:sz="4" w:space="0" w:color="BFBFBF"/>
              <w:right w:val="single" w:sz="4" w:space="0" w:color="BFBFBF"/>
            </w:tcBorders>
            <w:shd w:val="clear" w:color="auto" w:fill="auto"/>
            <w:noWrap/>
            <w:vAlign w:val="bottom"/>
          </w:tcPr>
          <w:p w14:paraId="3D1B3CE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58FC06F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52</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57A50408"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709884D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808" w:type="dxa"/>
            <w:tcBorders>
              <w:top w:val="nil"/>
              <w:left w:val="nil"/>
              <w:bottom w:val="single" w:sz="4" w:space="0" w:color="BFBFBF"/>
              <w:right w:val="single" w:sz="4" w:space="0" w:color="BFBFBF"/>
            </w:tcBorders>
            <w:shd w:val="clear" w:color="auto" w:fill="auto"/>
            <w:noWrap/>
            <w:vAlign w:val="bottom"/>
          </w:tcPr>
          <w:p w14:paraId="262E09F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w:t>
            </w:r>
          </w:p>
        </w:tc>
        <w:tc>
          <w:tcPr>
            <w:tcW w:w="808" w:type="dxa"/>
            <w:tcBorders>
              <w:top w:val="nil"/>
              <w:left w:val="nil"/>
              <w:bottom w:val="single" w:sz="4" w:space="0" w:color="BFBFBF"/>
              <w:right w:val="nil"/>
            </w:tcBorders>
            <w:shd w:val="clear" w:color="auto" w:fill="auto"/>
            <w:noWrap/>
            <w:vAlign w:val="center"/>
          </w:tcPr>
          <w:p w14:paraId="4F4065E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492125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675" w:type="dxa"/>
            <w:tcBorders>
              <w:top w:val="nil"/>
              <w:left w:val="nil"/>
              <w:bottom w:val="single" w:sz="4" w:space="0" w:color="BFBFBF"/>
              <w:right w:val="single" w:sz="4" w:space="0" w:color="auto"/>
            </w:tcBorders>
            <w:shd w:val="clear" w:color="auto" w:fill="auto"/>
            <w:noWrap/>
            <w:vAlign w:val="center"/>
          </w:tcPr>
          <w:p w14:paraId="22D6F2D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111</w:t>
            </w:r>
          </w:p>
        </w:tc>
        <w:tc>
          <w:tcPr>
            <w:tcW w:w="675" w:type="dxa"/>
            <w:tcBorders>
              <w:top w:val="nil"/>
              <w:left w:val="nil"/>
              <w:bottom w:val="single" w:sz="4" w:space="0" w:color="BFBFBF"/>
              <w:right w:val="single" w:sz="4" w:space="0" w:color="BFBFBF"/>
            </w:tcBorders>
            <w:shd w:val="clear" w:color="auto" w:fill="auto"/>
            <w:noWrap/>
            <w:vAlign w:val="center"/>
          </w:tcPr>
          <w:p w14:paraId="2B2E19F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675" w:type="dxa"/>
            <w:tcBorders>
              <w:top w:val="nil"/>
              <w:left w:val="nil"/>
              <w:bottom w:val="single" w:sz="4" w:space="0" w:color="BFBFBF"/>
              <w:right w:val="nil"/>
            </w:tcBorders>
            <w:shd w:val="clear" w:color="auto" w:fill="auto"/>
            <w:noWrap/>
            <w:vAlign w:val="center"/>
          </w:tcPr>
          <w:p w14:paraId="22A6CAA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73B881A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675" w:type="dxa"/>
            <w:tcBorders>
              <w:top w:val="nil"/>
              <w:left w:val="nil"/>
              <w:bottom w:val="single" w:sz="4" w:space="0" w:color="BFBFBF"/>
              <w:right w:val="double" w:sz="6" w:space="0" w:color="auto"/>
            </w:tcBorders>
            <w:shd w:val="clear" w:color="auto" w:fill="auto"/>
            <w:noWrap/>
            <w:vAlign w:val="center"/>
          </w:tcPr>
          <w:p w14:paraId="085253C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278</w:t>
            </w:r>
          </w:p>
        </w:tc>
      </w:tr>
      <w:tr w:rsidR="00D30C84" w:rsidRPr="00125162" w14:paraId="107F9583"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1498AE39"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4 or more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0607109"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675" w:type="dxa"/>
            <w:tcBorders>
              <w:top w:val="nil"/>
              <w:left w:val="nil"/>
              <w:bottom w:val="single" w:sz="4" w:space="0" w:color="BFBFBF"/>
              <w:right w:val="nil"/>
            </w:tcBorders>
            <w:shd w:val="clear" w:color="auto" w:fill="auto"/>
            <w:noWrap/>
            <w:vAlign w:val="center"/>
          </w:tcPr>
          <w:p w14:paraId="4EDD462D"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9DA195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auto"/>
            </w:tcBorders>
            <w:shd w:val="clear" w:color="auto" w:fill="auto"/>
            <w:noWrap/>
            <w:vAlign w:val="center"/>
          </w:tcPr>
          <w:p w14:paraId="5F0C100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816" w:type="dxa"/>
            <w:tcBorders>
              <w:top w:val="nil"/>
              <w:left w:val="nil"/>
              <w:bottom w:val="single" w:sz="4" w:space="0" w:color="BFBFBF"/>
              <w:right w:val="single" w:sz="4" w:space="0" w:color="BFBFBF"/>
            </w:tcBorders>
            <w:shd w:val="clear" w:color="auto" w:fill="auto"/>
            <w:noWrap/>
            <w:vAlign w:val="bottom"/>
          </w:tcPr>
          <w:p w14:paraId="6CCEBC9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52250E7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86</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72A80A58"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33A1D77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w:t>
            </w:r>
          </w:p>
        </w:tc>
        <w:tc>
          <w:tcPr>
            <w:tcW w:w="808" w:type="dxa"/>
            <w:tcBorders>
              <w:top w:val="nil"/>
              <w:left w:val="nil"/>
              <w:bottom w:val="single" w:sz="4" w:space="0" w:color="BFBFBF"/>
              <w:right w:val="single" w:sz="4" w:space="0" w:color="BFBFBF"/>
            </w:tcBorders>
            <w:shd w:val="clear" w:color="auto" w:fill="auto"/>
            <w:noWrap/>
            <w:vAlign w:val="bottom"/>
          </w:tcPr>
          <w:p w14:paraId="62D4CA9F"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808" w:type="dxa"/>
            <w:tcBorders>
              <w:top w:val="nil"/>
              <w:left w:val="nil"/>
              <w:bottom w:val="single" w:sz="4" w:space="0" w:color="BFBFBF"/>
              <w:right w:val="nil"/>
            </w:tcBorders>
            <w:shd w:val="clear" w:color="auto" w:fill="auto"/>
            <w:noWrap/>
            <w:vAlign w:val="center"/>
          </w:tcPr>
          <w:p w14:paraId="186E2B6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583C8A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675" w:type="dxa"/>
            <w:tcBorders>
              <w:top w:val="nil"/>
              <w:left w:val="nil"/>
              <w:bottom w:val="single" w:sz="4" w:space="0" w:color="BFBFBF"/>
              <w:right w:val="single" w:sz="4" w:space="0" w:color="auto"/>
            </w:tcBorders>
            <w:shd w:val="clear" w:color="auto" w:fill="auto"/>
            <w:noWrap/>
            <w:vAlign w:val="center"/>
          </w:tcPr>
          <w:p w14:paraId="3BB4F43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141</w:t>
            </w:r>
          </w:p>
        </w:tc>
        <w:tc>
          <w:tcPr>
            <w:tcW w:w="675" w:type="dxa"/>
            <w:tcBorders>
              <w:top w:val="nil"/>
              <w:left w:val="nil"/>
              <w:bottom w:val="single" w:sz="4" w:space="0" w:color="BFBFBF"/>
              <w:right w:val="single" w:sz="4" w:space="0" w:color="BFBFBF"/>
            </w:tcBorders>
            <w:shd w:val="clear" w:color="auto" w:fill="auto"/>
            <w:noWrap/>
            <w:vAlign w:val="center"/>
          </w:tcPr>
          <w:p w14:paraId="280A14D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w:t>
            </w:r>
          </w:p>
        </w:tc>
        <w:tc>
          <w:tcPr>
            <w:tcW w:w="675" w:type="dxa"/>
            <w:tcBorders>
              <w:top w:val="nil"/>
              <w:left w:val="nil"/>
              <w:bottom w:val="single" w:sz="4" w:space="0" w:color="BFBFBF"/>
              <w:right w:val="nil"/>
            </w:tcBorders>
            <w:shd w:val="clear" w:color="auto" w:fill="auto"/>
            <w:noWrap/>
            <w:vAlign w:val="center"/>
          </w:tcPr>
          <w:p w14:paraId="25CE1F5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6F9474DD"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675" w:type="dxa"/>
            <w:tcBorders>
              <w:top w:val="nil"/>
              <w:left w:val="nil"/>
              <w:bottom w:val="single" w:sz="4" w:space="0" w:color="BFBFBF"/>
              <w:right w:val="double" w:sz="6" w:space="0" w:color="auto"/>
            </w:tcBorders>
            <w:shd w:val="clear" w:color="auto" w:fill="auto"/>
            <w:noWrap/>
            <w:vAlign w:val="center"/>
          </w:tcPr>
          <w:p w14:paraId="2D54279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326</w:t>
            </w:r>
          </w:p>
        </w:tc>
      </w:tr>
      <w:tr w:rsidR="00D30C84" w:rsidRPr="00125162" w14:paraId="190E70E9"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9978B46" w14:textId="77777777" w:rsidR="00D30C84" w:rsidRPr="00125162" w:rsidRDefault="00D30C84"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Housing Status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5C6B740"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nil"/>
            </w:tcBorders>
            <w:shd w:val="clear" w:color="auto" w:fill="auto"/>
            <w:noWrap/>
            <w:vAlign w:val="center"/>
          </w:tcPr>
          <w:p w14:paraId="0370DC48"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BBF7B51"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single" w:sz="4" w:space="0" w:color="auto"/>
            </w:tcBorders>
            <w:shd w:val="clear" w:color="auto" w:fill="auto"/>
            <w:noWrap/>
            <w:vAlign w:val="center"/>
          </w:tcPr>
          <w:p w14:paraId="1BEA9F01"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816" w:type="dxa"/>
            <w:tcBorders>
              <w:top w:val="nil"/>
              <w:left w:val="nil"/>
              <w:bottom w:val="single" w:sz="4" w:space="0" w:color="BFBFBF"/>
              <w:right w:val="single" w:sz="4" w:space="0" w:color="BFBFBF"/>
            </w:tcBorders>
            <w:shd w:val="clear" w:color="auto" w:fill="auto"/>
            <w:noWrap/>
            <w:vAlign w:val="bottom"/>
          </w:tcPr>
          <w:p w14:paraId="12E2B545"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86" w:type="dxa"/>
            <w:tcBorders>
              <w:top w:val="nil"/>
              <w:left w:val="nil"/>
              <w:bottom w:val="single" w:sz="4" w:space="0" w:color="BFBFBF"/>
              <w:right w:val="nil"/>
            </w:tcBorders>
            <w:shd w:val="clear" w:color="auto" w:fill="auto"/>
            <w:noWrap/>
            <w:vAlign w:val="center"/>
          </w:tcPr>
          <w:p w14:paraId="1E50CB9F"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1CA0450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center"/>
          </w:tcPr>
          <w:p w14:paraId="4B8565E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57A31D8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27B03F8D"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F82BB99"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456398F9"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BFBFBF"/>
            </w:tcBorders>
            <w:shd w:val="clear" w:color="auto" w:fill="auto"/>
            <w:noWrap/>
            <w:vAlign w:val="center"/>
          </w:tcPr>
          <w:p w14:paraId="18F071BC"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nil"/>
            </w:tcBorders>
            <w:shd w:val="clear" w:color="auto" w:fill="auto"/>
            <w:noWrap/>
            <w:vAlign w:val="center"/>
          </w:tcPr>
          <w:p w14:paraId="5B47F4A4"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72810C05" w14:textId="77777777" w:rsidR="00D30C84" w:rsidRPr="00125162" w:rsidRDefault="00D30C84"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double" w:sz="6" w:space="0" w:color="auto"/>
            </w:tcBorders>
            <w:shd w:val="clear" w:color="auto" w:fill="auto"/>
            <w:noWrap/>
            <w:vAlign w:val="center"/>
          </w:tcPr>
          <w:p w14:paraId="5BB710DA" w14:textId="77777777" w:rsidR="00D30C84" w:rsidRPr="00125162" w:rsidRDefault="00D30C84" w:rsidP="009E6A8A">
            <w:pPr>
              <w:spacing w:before="0" w:after="0"/>
              <w:jc w:val="center"/>
              <w:rPr>
                <w:rFonts w:ascii="Arial" w:hAnsi="Arial" w:cs="Arial"/>
                <w:color w:val="000000"/>
                <w:sz w:val="16"/>
                <w:szCs w:val="16"/>
                <w:lang w:val="en-AU" w:eastAsia="en-AU"/>
              </w:rPr>
            </w:pPr>
          </w:p>
        </w:tc>
      </w:tr>
      <w:tr w:rsidR="00D30C84" w:rsidRPr="00125162" w14:paraId="26E920AD"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A0E5BD5"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Owned/paid off</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3E5D544"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w:t>
            </w:r>
          </w:p>
        </w:tc>
        <w:tc>
          <w:tcPr>
            <w:tcW w:w="675" w:type="dxa"/>
            <w:tcBorders>
              <w:top w:val="nil"/>
              <w:left w:val="nil"/>
              <w:bottom w:val="single" w:sz="4" w:space="0" w:color="BFBFBF"/>
              <w:right w:val="nil"/>
            </w:tcBorders>
            <w:shd w:val="clear" w:color="auto" w:fill="auto"/>
            <w:noWrap/>
            <w:vAlign w:val="center"/>
          </w:tcPr>
          <w:p w14:paraId="53337834"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8974F4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5FCA838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16" w:type="dxa"/>
            <w:tcBorders>
              <w:top w:val="nil"/>
              <w:left w:val="nil"/>
              <w:bottom w:val="single" w:sz="4" w:space="0" w:color="BFBFBF"/>
              <w:right w:val="single" w:sz="4" w:space="0" w:color="BFBFBF"/>
            </w:tcBorders>
            <w:shd w:val="clear" w:color="auto" w:fill="auto"/>
            <w:noWrap/>
            <w:vAlign w:val="bottom"/>
          </w:tcPr>
          <w:p w14:paraId="7724DFBB"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86" w:type="dxa"/>
            <w:tcBorders>
              <w:top w:val="nil"/>
              <w:left w:val="nil"/>
              <w:bottom w:val="single" w:sz="4" w:space="0" w:color="BFBFBF"/>
              <w:right w:val="nil"/>
            </w:tcBorders>
            <w:shd w:val="clear" w:color="auto" w:fill="auto"/>
            <w:noWrap/>
            <w:vAlign w:val="center"/>
          </w:tcPr>
          <w:p w14:paraId="5CA7F54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327997CF"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DC1B31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808" w:type="dxa"/>
            <w:tcBorders>
              <w:top w:val="nil"/>
              <w:left w:val="nil"/>
              <w:bottom w:val="single" w:sz="4" w:space="0" w:color="BFBFBF"/>
              <w:right w:val="single" w:sz="4" w:space="0" w:color="BFBFBF"/>
            </w:tcBorders>
            <w:shd w:val="clear" w:color="auto" w:fill="auto"/>
            <w:noWrap/>
            <w:vAlign w:val="bottom"/>
          </w:tcPr>
          <w:p w14:paraId="0AFF8F5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c>
          <w:tcPr>
            <w:tcW w:w="808" w:type="dxa"/>
            <w:tcBorders>
              <w:top w:val="nil"/>
              <w:left w:val="nil"/>
              <w:bottom w:val="single" w:sz="4" w:space="0" w:color="BFBFBF"/>
              <w:right w:val="nil"/>
            </w:tcBorders>
            <w:shd w:val="clear" w:color="auto" w:fill="auto"/>
            <w:noWrap/>
            <w:vAlign w:val="center"/>
          </w:tcPr>
          <w:p w14:paraId="092A88F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FD56AC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w:t>
            </w:r>
          </w:p>
        </w:tc>
        <w:tc>
          <w:tcPr>
            <w:tcW w:w="675" w:type="dxa"/>
            <w:tcBorders>
              <w:top w:val="nil"/>
              <w:left w:val="nil"/>
              <w:bottom w:val="single" w:sz="4" w:space="0" w:color="BFBFBF"/>
              <w:right w:val="single" w:sz="4" w:space="0" w:color="auto"/>
            </w:tcBorders>
            <w:shd w:val="clear" w:color="auto" w:fill="auto"/>
            <w:noWrap/>
            <w:vAlign w:val="center"/>
          </w:tcPr>
          <w:p w14:paraId="796F636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97</w:t>
            </w:r>
          </w:p>
        </w:tc>
        <w:tc>
          <w:tcPr>
            <w:tcW w:w="675" w:type="dxa"/>
            <w:tcBorders>
              <w:top w:val="nil"/>
              <w:left w:val="nil"/>
              <w:bottom w:val="single" w:sz="4" w:space="0" w:color="BFBFBF"/>
              <w:right w:val="single" w:sz="4" w:space="0" w:color="BFBFBF"/>
            </w:tcBorders>
            <w:shd w:val="clear" w:color="auto" w:fill="auto"/>
            <w:noWrap/>
            <w:vAlign w:val="center"/>
          </w:tcPr>
          <w:p w14:paraId="41468A2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675" w:type="dxa"/>
            <w:tcBorders>
              <w:top w:val="nil"/>
              <w:left w:val="nil"/>
              <w:bottom w:val="single" w:sz="4" w:space="0" w:color="BFBFBF"/>
              <w:right w:val="nil"/>
            </w:tcBorders>
            <w:shd w:val="clear" w:color="auto" w:fill="auto"/>
            <w:noWrap/>
            <w:vAlign w:val="center"/>
          </w:tcPr>
          <w:p w14:paraId="4A2F5C6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15F7B70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w:t>
            </w:r>
          </w:p>
        </w:tc>
        <w:tc>
          <w:tcPr>
            <w:tcW w:w="675" w:type="dxa"/>
            <w:tcBorders>
              <w:top w:val="nil"/>
              <w:left w:val="nil"/>
              <w:bottom w:val="single" w:sz="4" w:space="0" w:color="BFBFBF"/>
              <w:right w:val="double" w:sz="6" w:space="0" w:color="auto"/>
            </w:tcBorders>
            <w:shd w:val="clear" w:color="auto" w:fill="auto"/>
            <w:noWrap/>
            <w:vAlign w:val="center"/>
          </w:tcPr>
          <w:p w14:paraId="5B354D73"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265</w:t>
            </w:r>
          </w:p>
        </w:tc>
      </w:tr>
      <w:tr w:rsidR="00D30C84" w:rsidRPr="00125162" w14:paraId="646765EC"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89755E7"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Buying/paying off</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0C75C94"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675" w:type="dxa"/>
            <w:tcBorders>
              <w:top w:val="nil"/>
              <w:left w:val="nil"/>
              <w:bottom w:val="single" w:sz="4" w:space="0" w:color="BFBFBF"/>
              <w:right w:val="nil"/>
            </w:tcBorders>
            <w:shd w:val="clear" w:color="auto" w:fill="auto"/>
            <w:noWrap/>
            <w:vAlign w:val="center"/>
          </w:tcPr>
          <w:p w14:paraId="3B37758E"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9A58F9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auto"/>
            </w:tcBorders>
            <w:shd w:val="clear" w:color="auto" w:fill="auto"/>
            <w:noWrap/>
            <w:vAlign w:val="center"/>
          </w:tcPr>
          <w:p w14:paraId="3F8381BB"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16" w:type="dxa"/>
            <w:tcBorders>
              <w:top w:val="nil"/>
              <w:left w:val="nil"/>
              <w:bottom w:val="single" w:sz="4" w:space="0" w:color="BFBFBF"/>
              <w:right w:val="single" w:sz="4" w:space="0" w:color="BFBFBF"/>
            </w:tcBorders>
            <w:shd w:val="clear" w:color="auto" w:fill="auto"/>
            <w:noWrap/>
            <w:vAlign w:val="bottom"/>
          </w:tcPr>
          <w:p w14:paraId="3314BAE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3D52ECD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53</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31549B1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5CDC667"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33</w:t>
            </w:r>
          </w:p>
        </w:tc>
        <w:tc>
          <w:tcPr>
            <w:tcW w:w="808" w:type="dxa"/>
            <w:tcBorders>
              <w:top w:val="nil"/>
              <w:left w:val="nil"/>
              <w:bottom w:val="single" w:sz="4" w:space="0" w:color="BFBFBF"/>
              <w:right w:val="single" w:sz="4" w:space="0" w:color="BFBFBF"/>
            </w:tcBorders>
            <w:shd w:val="clear" w:color="auto" w:fill="auto"/>
            <w:noWrap/>
            <w:vAlign w:val="bottom"/>
          </w:tcPr>
          <w:p w14:paraId="12410E20"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08" w:type="dxa"/>
            <w:tcBorders>
              <w:top w:val="nil"/>
              <w:left w:val="nil"/>
              <w:bottom w:val="single" w:sz="4" w:space="0" w:color="BFBFBF"/>
              <w:right w:val="nil"/>
            </w:tcBorders>
            <w:shd w:val="clear" w:color="auto" w:fill="auto"/>
            <w:noWrap/>
            <w:vAlign w:val="center"/>
          </w:tcPr>
          <w:p w14:paraId="64C797A5"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81193B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single" w:sz="4" w:space="0" w:color="auto"/>
            </w:tcBorders>
            <w:shd w:val="clear" w:color="auto" w:fill="auto"/>
            <w:noWrap/>
            <w:vAlign w:val="center"/>
          </w:tcPr>
          <w:p w14:paraId="355CE09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136</w:t>
            </w:r>
          </w:p>
        </w:tc>
        <w:tc>
          <w:tcPr>
            <w:tcW w:w="675" w:type="dxa"/>
            <w:tcBorders>
              <w:top w:val="nil"/>
              <w:left w:val="nil"/>
              <w:bottom w:val="single" w:sz="4" w:space="0" w:color="BFBFBF"/>
              <w:right w:val="single" w:sz="4" w:space="0" w:color="BFBFBF"/>
            </w:tcBorders>
            <w:shd w:val="clear" w:color="auto" w:fill="auto"/>
            <w:noWrap/>
            <w:vAlign w:val="center"/>
          </w:tcPr>
          <w:p w14:paraId="47201C00"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w:t>
            </w:r>
          </w:p>
        </w:tc>
        <w:tc>
          <w:tcPr>
            <w:tcW w:w="675" w:type="dxa"/>
            <w:tcBorders>
              <w:top w:val="nil"/>
              <w:left w:val="nil"/>
              <w:bottom w:val="single" w:sz="4" w:space="0" w:color="BFBFBF"/>
              <w:right w:val="nil"/>
            </w:tcBorders>
            <w:shd w:val="clear" w:color="auto" w:fill="auto"/>
            <w:noWrap/>
            <w:vAlign w:val="center"/>
          </w:tcPr>
          <w:p w14:paraId="35DF197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4AE0F8E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double" w:sz="6" w:space="0" w:color="auto"/>
            </w:tcBorders>
            <w:shd w:val="clear" w:color="auto" w:fill="auto"/>
            <w:noWrap/>
            <w:vAlign w:val="center"/>
          </w:tcPr>
          <w:p w14:paraId="33B93D0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321</w:t>
            </w:r>
          </w:p>
        </w:tc>
      </w:tr>
      <w:tr w:rsidR="00D30C84" w:rsidRPr="00125162" w14:paraId="038A5EA6" w14:textId="77777777" w:rsidTr="00D30C8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DBDFEE6"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Private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CE8BA89"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w:t>
            </w:r>
          </w:p>
        </w:tc>
        <w:tc>
          <w:tcPr>
            <w:tcW w:w="675" w:type="dxa"/>
            <w:tcBorders>
              <w:top w:val="nil"/>
              <w:left w:val="nil"/>
              <w:bottom w:val="single" w:sz="4" w:space="0" w:color="BFBFBF"/>
              <w:right w:val="nil"/>
            </w:tcBorders>
            <w:shd w:val="clear" w:color="auto" w:fill="auto"/>
            <w:noWrap/>
            <w:vAlign w:val="center"/>
          </w:tcPr>
          <w:p w14:paraId="7748F2B5"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493FAE5"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7C0D07D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w:t>
            </w:r>
          </w:p>
        </w:tc>
        <w:tc>
          <w:tcPr>
            <w:tcW w:w="816" w:type="dxa"/>
            <w:tcBorders>
              <w:top w:val="nil"/>
              <w:left w:val="nil"/>
              <w:bottom w:val="single" w:sz="4" w:space="0" w:color="BFBFBF"/>
              <w:right w:val="single" w:sz="4" w:space="0" w:color="BFBFBF"/>
            </w:tcBorders>
            <w:shd w:val="clear" w:color="auto" w:fill="auto"/>
            <w:noWrap/>
            <w:vAlign w:val="bottom"/>
          </w:tcPr>
          <w:p w14:paraId="1AF1DAF5"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4B69B08F"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30A749B3"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1CC31326"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808" w:type="dxa"/>
            <w:tcBorders>
              <w:top w:val="nil"/>
              <w:left w:val="nil"/>
              <w:bottom w:val="single" w:sz="4" w:space="0" w:color="BFBFBF"/>
              <w:right w:val="single" w:sz="4" w:space="0" w:color="BFBFBF"/>
            </w:tcBorders>
            <w:shd w:val="clear" w:color="auto" w:fill="auto"/>
            <w:noWrap/>
            <w:vAlign w:val="bottom"/>
          </w:tcPr>
          <w:p w14:paraId="02C25859"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c>
          <w:tcPr>
            <w:tcW w:w="808" w:type="dxa"/>
            <w:tcBorders>
              <w:top w:val="nil"/>
              <w:left w:val="nil"/>
              <w:bottom w:val="single" w:sz="4" w:space="0" w:color="BFBFBF"/>
              <w:right w:val="nil"/>
            </w:tcBorders>
            <w:shd w:val="clear" w:color="auto" w:fill="auto"/>
            <w:noWrap/>
            <w:vAlign w:val="center"/>
          </w:tcPr>
          <w:p w14:paraId="74C4030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EB431C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675" w:type="dxa"/>
            <w:tcBorders>
              <w:top w:val="nil"/>
              <w:left w:val="nil"/>
              <w:bottom w:val="single" w:sz="4" w:space="0" w:color="BFBFBF"/>
              <w:right w:val="single" w:sz="4" w:space="0" w:color="auto"/>
            </w:tcBorders>
            <w:shd w:val="clear" w:color="auto" w:fill="auto"/>
            <w:noWrap/>
            <w:vAlign w:val="center"/>
          </w:tcPr>
          <w:p w14:paraId="01E780B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92</w:t>
            </w:r>
          </w:p>
        </w:tc>
        <w:tc>
          <w:tcPr>
            <w:tcW w:w="675" w:type="dxa"/>
            <w:tcBorders>
              <w:top w:val="nil"/>
              <w:left w:val="nil"/>
              <w:bottom w:val="single" w:sz="4" w:space="0" w:color="BFBFBF"/>
              <w:right w:val="single" w:sz="4" w:space="0" w:color="BFBFBF"/>
            </w:tcBorders>
            <w:shd w:val="clear" w:color="auto" w:fill="auto"/>
            <w:noWrap/>
            <w:vAlign w:val="center"/>
          </w:tcPr>
          <w:p w14:paraId="2942580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nil"/>
            </w:tcBorders>
            <w:shd w:val="clear" w:color="auto" w:fill="auto"/>
            <w:noWrap/>
            <w:vAlign w:val="center"/>
          </w:tcPr>
          <w:p w14:paraId="7138EDEC"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60</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300C699A"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c>
          <w:tcPr>
            <w:tcW w:w="675" w:type="dxa"/>
            <w:tcBorders>
              <w:top w:val="nil"/>
              <w:left w:val="nil"/>
              <w:bottom w:val="single" w:sz="4" w:space="0" w:color="BFBFBF"/>
              <w:right w:val="double" w:sz="6" w:space="0" w:color="auto"/>
            </w:tcBorders>
            <w:shd w:val="clear" w:color="auto" w:fill="auto"/>
            <w:noWrap/>
            <w:vAlign w:val="center"/>
          </w:tcPr>
          <w:p w14:paraId="673BFDF4"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150</w:t>
            </w:r>
          </w:p>
        </w:tc>
      </w:tr>
      <w:tr w:rsidR="00D30C84" w:rsidRPr="00125162" w14:paraId="3CC49195" w14:textId="77777777" w:rsidTr="00D30C84">
        <w:trPr>
          <w:trHeight w:val="240"/>
          <w:jc w:val="center"/>
        </w:trPr>
        <w:tc>
          <w:tcPr>
            <w:tcW w:w="2575" w:type="dxa"/>
            <w:tcBorders>
              <w:top w:val="nil"/>
              <w:left w:val="double" w:sz="6" w:space="0" w:color="auto"/>
              <w:bottom w:val="single" w:sz="4" w:space="0" w:color="BFBFBF"/>
              <w:right w:val="nil"/>
            </w:tcBorders>
            <w:shd w:val="clear" w:color="auto" w:fill="auto"/>
            <w:noWrap/>
            <w:vAlign w:val="center"/>
          </w:tcPr>
          <w:p w14:paraId="6E5DB415" w14:textId="77777777" w:rsidR="00D30C84" w:rsidRPr="00125162" w:rsidRDefault="00D30C84" w:rsidP="00970E2F">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Public</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BD28929"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675" w:type="dxa"/>
            <w:tcBorders>
              <w:top w:val="nil"/>
              <w:left w:val="nil"/>
              <w:bottom w:val="single" w:sz="4" w:space="0" w:color="BFBFBF"/>
              <w:right w:val="nil"/>
            </w:tcBorders>
            <w:shd w:val="clear" w:color="auto" w:fill="auto"/>
            <w:noWrap/>
            <w:vAlign w:val="center"/>
          </w:tcPr>
          <w:p w14:paraId="76E4A35D" w14:textId="77777777" w:rsidR="00D30C84" w:rsidRPr="00125162" w:rsidRDefault="00D30C84" w:rsidP="002B0E16">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5C0CD7"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586" w:type="dxa"/>
            <w:tcBorders>
              <w:top w:val="nil"/>
              <w:left w:val="nil"/>
              <w:bottom w:val="single" w:sz="4" w:space="0" w:color="BFBFBF"/>
              <w:right w:val="single" w:sz="4" w:space="0" w:color="auto"/>
            </w:tcBorders>
            <w:shd w:val="clear" w:color="auto" w:fill="auto"/>
            <w:noWrap/>
            <w:vAlign w:val="center"/>
          </w:tcPr>
          <w:p w14:paraId="326556DE"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32</w:t>
            </w:r>
          </w:p>
        </w:tc>
        <w:tc>
          <w:tcPr>
            <w:tcW w:w="816" w:type="dxa"/>
            <w:tcBorders>
              <w:top w:val="nil"/>
              <w:left w:val="nil"/>
              <w:bottom w:val="single" w:sz="4" w:space="0" w:color="BFBFBF"/>
              <w:right w:val="single" w:sz="4" w:space="0" w:color="BFBFBF"/>
            </w:tcBorders>
            <w:shd w:val="clear" w:color="auto" w:fill="auto"/>
            <w:noWrap/>
            <w:vAlign w:val="bottom"/>
          </w:tcPr>
          <w:p w14:paraId="74C2566A"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5E7A238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813" w:type="dxa"/>
            <w:tcBorders>
              <w:top w:val="nil"/>
              <w:left w:val="single" w:sz="4" w:space="0" w:color="auto"/>
              <w:bottom w:val="single" w:sz="4" w:space="0" w:color="BFBFBF"/>
              <w:right w:val="single" w:sz="4" w:space="0" w:color="BFBFBF"/>
            </w:tcBorders>
            <w:shd w:val="clear" w:color="auto" w:fill="auto"/>
            <w:noWrap/>
            <w:vAlign w:val="bottom"/>
          </w:tcPr>
          <w:p w14:paraId="0EB2F2F4"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021F317E"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01BA60C1"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w:t>
            </w:r>
          </w:p>
        </w:tc>
        <w:tc>
          <w:tcPr>
            <w:tcW w:w="808" w:type="dxa"/>
            <w:tcBorders>
              <w:top w:val="nil"/>
              <w:left w:val="nil"/>
              <w:bottom w:val="single" w:sz="4" w:space="0" w:color="BFBFBF"/>
              <w:right w:val="nil"/>
            </w:tcBorders>
            <w:shd w:val="clear" w:color="auto" w:fill="auto"/>
            <w:noWrap/>
            <w:vAlign w:val="center"/>
          </w:tcPr>
          <w:p w14:paraId="661E8582" w14:textId="77777777" w:rsidR="00D30C84" w:rsidRPr="00125162" w:rsidRDefault="00D30C84" w:rsidP="00D30C84">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BF4C24F"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74%</w:t>
            </w:r>
          </w:p>
        </w:tc>
        <w:tc>
          <w:tcPr>
            <w:tcW w:w="675" w:type="dxa"/>
            <w:tcBorders>
              <w:top w:val="nil"/>
              <w:left w:val="nil"/>
              <w:bottom w:val="single" w:sz="4" w:space="0" w:color="BFBFBF"/>
              <w:right w:val="single" w:sz="4" w:space="0" w:color="auto"/>
            </w:tcBorders>
            <w:shd w:val="clear" w:color="auto" w:fill="auto"/>
            <w:noWrap/>
            <w:vAlign w:val="center"/>
          </w:tcPr>
          <w:p w14:paraId="37CF2D16"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84</w:t>
            </w:r>
          </w:p>
        </w:tc>
        <w:tc>
          <w:tcPr>
            <w:tcW w:w="675" w:type="dxa"/>
            <w:tcBorders>
              <w:top w:val="nil"/>
              <w:left w:val="nil"/>
              <w:bottom w:val="single" w:sz="4" w:space="0" w:color="BFBFBF"/>
              <w:right w:val="single" w:sz="4" w:space="0" w:color="BFBFBF"/>
            </w:tcBorders>
            <w:shd w:val="clear" w:color="auto" w:fill="auto"/>
            <w:noWrap/>
            <w:vAlign w:val="center"/>
          </w:tcPr>
          <w:p w14:paraId="22017D69"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675" w:type="dxa"/>
            <w:tcBorders>
              <w:top w:val="nil"/>
              <w:left w:val="nil"/>
              <w:bottom w:val="single" w:sz="4" w:space="0" w:color="BFBFBF"/>
              <w:right w:val="nil"/>
            </w:tcBorders>
            <w:shd w:val="clear" w:color="auto" w:fill="auto"/>
            <w:noWrap/>
            <w:vAlign w:val="center"/>
          </w:tcPr>
          <w:p w14:paraId="2E34E582"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w:t>
            </w:r>
          </w:p>
        </w:tc>
        <w:tc>
          <w:tcPr>
            <w:tcW w:w="675" w:type="dxa"/>
            <w:tcBorders>
              <w:top w:val="nil"/>
              <w:left w:val="single" w:sz="4" w:space="0" w:color="auto"/>
              <w:bottom w:val="single" w:sz="4" w:space="0" w:color="BFBFBF"/>
              <w:right w:val="single" w:sz="4" w:space="0" w:color="BFBFBF"/>
            </w:tcBorders>
            <w:shd w:val="clear" w:color="auto" w:fill="auto"/>
            <w:noWrap/>
            <w:vAlign w:val="center"/>
          </w:tcPr>
          <w:p w14:paraId="3E558731"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w:t>
            </w:r>
          </w:p>
        </w:tc>
        <w:tc>
          <w:tcPr>
            <w:tcW w:w="675" w:type="dxa"/>
            <w:tcBorders>
              <w:top w:val="nil"/>
              <w:left w:val="nil"/>
              <w:bottom w:val="single" w:sz="4" w:space="0" w:color="BFBFBF"/>
              <w:right w:val="double" w:sz="6" w:space="0" w:color="auto"/>
            </w:tcBorders>
            <w:shd w:val="clear" w:color="auto" w:fill="auto"/>
            <w:noWrap/>
            <w:vAlign w:val="center"/>
          </w:tcPr>
          <w:p w14:paraId="723029E8" w14:textId="77777777" w:rsidR="00D30C84" w:rsidRPr="00125162" w:rsidRDefault="00D30C84"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138</w:t>
            </w:r>
          </w:p>
        </w:tc>
      </w:tr>
      <w:tr w:rsidR="00D30C84" w:rsidRPr="00125162" w14:paraId="147FFECF" w14:textId="77777777" w:rsidTr="002B0E16">
        <w:trPr>
          <w:trHeight w:val="255"/>
          <w:jc w:val="center"/>
        </w:trPr>
        <w:tc>
          <w:tcPr>
            <w:tcW w:w="2575" w:type="dxa"/>
            <w:tcBorders>
              <w:top w:val="nil"/>
              <w:left w:val="double" w:sz="6" w:space="0" w:color="auto"/>
              <w:bottom w:val="double" w:sz="6" w:space="0" w:color="auto"/>
              <w:right w:val="nil"/>
            </w:tcBorders>
            <w:shd w:val="clear" w:color="auto" w:fill="auto"/>
            <w:noWrap/>
            <w:vAlign w:val="center"/>
          </w:tcPr>
          <w:p w14:paraId="5C11D4F9" w14:textId="77777777" w:rsidR="00D30C84" w:rsidRPr="00125162" w:rsidRDefault="00D30C84" w:rsidP="00970E2F">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 Households</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3324381D" w14:textId="77777777" w:rsidR="00D30C84" w:rsidRPr="00125162" w:rsidRDefault="00D30C84" w:rsidP="002B0E16">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8%</w:t>
            </w:r>
          </w:p>
        </w:tc>
        <w:tc>
          <w:tcPr>
            <w:tcW w:w="675" w:type="dxa"/>
            <w:tcBorders>
              <w:top w:val="nil"/>
              <w:left w:val="nil"/>
              <w:bottom w:val="double" w:sz="6" w:space="0" w:color="auto"/>
              <w:right w:val="nil"/>
            </w:tcBorders>
            <w:shd w:val="clear" w:color="auto" w:fill="auto"/>
            <w:noWrap/>
            <w:vAlign w:val="center"/>
          </w:tcPr>
          <w:p w14:paraId="0F897A58" w14:textId="77777777" w:rsidR="00D30C84" w:rsidRPr="00125162" w:rsidRDefault="00D30C84" w:rsidP="002B0E16">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44</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28273239" w14:textId="77777777" w:rsidR="00D30C84" w:rsidRPr="00125162" w:rsidRDefault="00D30C84"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w:t>
            </w:r>
          </w:p>
        </w:tc>
        <w:tc>
          <w:tcPr>
            <w:tcW w:w="586" w:type="dxa"/>
            <w:tcBorders>
              <w:top w:val="nil"/>
              <w:left w:val="nil"/>
              <w:bottom w:val="double" w:sz="6" w:space="0" w:color="auto"/>
              <w:right w:val="single" w:sz="4" w:space="0" w:color="auto"/>
            </w:tcBorders>
            <w:shd w:val="clear" w:color="auto" w:fill="auto"/>
            <w:noWrap/>
            <w:vAlign w:val="center"/>
          </w:tcPr>
          <w:p w14:paraId="02BE8DA7" w14:textId="77777777" w:rsidR="00D30C84" w:rsidRPr="00125162" w:rsidRDefault="00D30C84"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22</w:t>
            </w:r>
          </w:p>
        </w:tc>
        <w:tc>
          <w:tcPr>
            <w:tcW w:w="816" w:type="dxa"/>
            <w:tcBorders>
              <w:top w:val="nil"/>
              <w:left w:val="nil"/>
              <w:bottom w:val="double" w:sz="6" w:space="0" w:color="auto"/>
              <w:right w:val="single" w:sz="4" w:space="0" w:color="BFBFBF"/>
            </w:tcBorders>
            <w:shd w:val="clear" w:color="auto" w:fill="auto"/>
            <w:noWrap/>
            <w:vAlign w:val="center"/>
          </w:tcPr>
          <w:p w14:paraId="634CE415" w14:textId="77777777" w:rsidR="00D30C84" w:rsidRPr="00125162" w:rsidRDefault="00D30C84" w:rsidP="00D30C8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2%</w:t>
            </w:r>
          </w:p>
        </w:tc>
        <w:tc>
          <w:tcPr>
            <w:tcW w:w="586" w:type="dxa"/>
            <w:tcBorders>
              <w:top w:val="nil"/>
              <w:left w:val="nil"/>
              <w:bottom w:val="double" w:sz="6" w:space="0" w:color="auto"/>
              <w:right w:val="nil"/>
            </w:tcBorders>
            <w:shd w:val="clear" w:color="auto" w:fill="auto"/>
            <w:noWrap/>
            <w:vAlign w:val="center"/>
          </w:tcPr>
          <w:p w14:paraId="17D6DE1D" w14:textId="77777777" w:rsidR="00D30C84" w:rsidRPr="00125162" w:rsidRDefault="00D30C84" w:rsidP="00D30C8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44</w:t>
            </w:r>
          </w:p>
        </w:tc>
        <w:tc>
          <w:tcPr>
            <w:tcW w:w="813" w:type="dxa"/>
            <w:tcBorders>
              <w:top w:val="nil"/>
              <w:left w:val="single" w:sz="4" w:space="0" w:color="auto"/>
              <w:bottom w:val="double" w:sz="6" w:space="0" w:color="auto"/>
              <w:right w:val="single" w:sz="4" w:space="0" w:color="BFBFBF"/>
            </w:tcBorders>
            <w:shd w:val="clear" w:color="auto" w:fill="auto"/>
            <w:noWrap/>
            <w:vAlign w:val="center"/>
          </w:tcPr>
          <w:p w14:paraId="2913B8E8" w14:textId="77777777" w:rsidR="00D30C84" w:rsidRPr="00125162" w:rsidRDefault="00D30C84" w:rsidP="00D30C8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w:t>
            </w:r>
          </w:p>
        </w:tc>
        <w:tc>
          <w:tcPr>
            <w:tcW w:w="497" w:type="dxa"/>
            <w:tcBorders>
              <w:top w:val="nil"/>
              <w:left w:val="nil"/>
              <w:bottom w:val="double" w:sz="6" w:space="0" w:color="auto"/>
              <w:right w:val="single" w:sz="4" w:space="0" w:color="auto"/>
            </w:tcBorders>
            <w:shd w:val="clear" w:color="auto" w:fill="auto"/>
            <w:noWrap/>
            <w:vAlign w:val="center"/>
          </w:tcPr>
          <w:p w14:paraId="74A962DC" w14:textId="77777777" w:rsidR="00D30C84" w:rsidRPr="00125162" w:rsidRDefault="00D30C84" w:rsidP="00D30C8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22</w:t>
            </w:r>
          </w:p>
        </w:tc>
        <w:tc>
          <w:tcPr>
            <w:tcW w:w="808" w:type="dxa"/>
            <w:tcBorders>
              <w:top w:val="nil"/>
              <w:left w:val="nil"/>
              <w:bottom w:val="double" w:sz="6" w:space="0" w:color="auto"/>
              <w:right w:val="single" w:sz="4" w:space="0" w:color="BFBFBF"/>
            </w:tcBorders>
            <w:shd w:val="clear" w:color="auto" w:fill="auto"/>
            <w:noWrap/>
            <w:vAlign w:val="center"/>
          </w:tcPr>
          <w:p w14:paraId="2142962C" w14:textId="77777777" w:rsidR="00D30C84" w:rsidRPr="00125162" w:rsidRDefault="00D30C84" w:rsidP="00D30C8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44%</w:t>
            </w:r>
          </w:p>
        </w:tc>
        <w:tc>
          <w:tcPr>
            <w:tcW w:w="808" w:type="dxa"/>
            <w:tcBorders>
              <w:top w:val="nil"/>
              <w:left w:val="nil"/>
              <w:bottom w:val="double" w:sz="6" w:space="0" w:color="auto"/>
              <w:right w:val="nil"/>
            </w:tcBorders>
            <w:shd w:val="clear" w:color="auto" w:fill="auto"/>
            <w:noWrap/>
            <w:vAlign w:val="center"/>
          </w:tcPr>
          <w:p w14:paraId="1287E064" w14:textId="77777777" w:rsidR="00D30C84" w:rsidRPr="00125162" w:rsidRDefault="00D30C84" w:rsidP="00D30C84">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186</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01B81DF8" w14:textId="77777777" w:rsidR="00D30C84" w:rsidRPr="00125162" w:rsidRDefault="00D30C84"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38%</w:t>
            </w:r>
          </w:p>
        </w:tc>
        <w:tc>
          <w:tcPr>
            <w:tcW w:w="675" w:type="dxa"/>
            <w:tcBorders>
              <w:top w:val="nil"/>
              <w:left w:val="nil"/>
              <w:bottom w:val="double" w:sz="6" w:space="0" w:color="auto"/>
              <w:right w:val="single" w:sz="4" w:space="0" w:color="auto"/>
            </w:tcBorders>
            <w:shd w:val="clear" w:color="auto" w:fill="auto"/>
            <w:noWrap/>
            <w:vAlign w:val="center"/>
          </w:tcPr>
          <w:p w14:paraId="0F626B12" w14:textId="77777777" w:rsidR="00D30C84" w:rsidRPr="00125162" w:rsidRDefault="00D30C84"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100</w:t>
            </w:r>
          </w:p>
        </w:tc>
        <w:tc>
          <w:tcPr>
            <w:tcW w:w="675" w:type="dxa"/>
            <w:tcBorders>
              <w:top w:val="nil"/>
              <w:left w:val="nil"/>
              <w:bottom w:val="double" w:sz="6" w:space="0" w:color="auto"/>
              <w:right w:val="single" w:sz="4" w:space="0" w:color="BFBFBF"/>
            </w:tcBorders>
            <w:shd w:val="clear" w:color="auto" w:fill="auto"/>
            <w:noWrap/>
            <w:vAlign w:val="center"/>
          </w:tcPr>
          <w:p w14:paraId="4DB238F4" w14:textId="77777777" w:rsidR="00D30C84" w:rsidRPr="00125162" w:rsidRDefault="00D30C84"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17%</w:t>
            </w:r>
          </w:p>
        </w:tc>
        <w:tc>
          <w:tcPr>
            <w:tcW w:w="675" w:type="dxa"/>
            <w:tcBorders>
              <w:top w:val="nil"/>
              <w:left w:val="nil"/>
              <w:bottom w:val="double" w:sz="6" w:space="0" w:color="auto"/>
              <w:right w:val="nil"/>
            </w:tcBorders>
            <w:shd w:val="clear" w:color="auto" w:fill="auto"/>
            <w:noWrap/>
            <w:vAlign w:val="center"/>
          </w:tcPr>
          <w:p w14:paraId="493FC7F3" w14:textId="77777777" w:rsidR="00D30C84" w:rsidRPr="00125162" w:rsidRDefault="00D30C84"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61</w:t>
            </w:r>
          </w:p>
        </w:tc>
        <w:tc>
          <w:tcPr>
            <w:tcW w:w="675" w:type="dxa"/>
            <w:tcBorders>
              <w:top w:val="nil"/>
              <w:left w:val="single" w:sz="4" w:space="0" w:color="auto"/>
              <w:bottom w:val="double" w:sz="6" w:space="0" w:color="auto"/>
              <w:right w:val="single" w:sz="4" w:space="0" w:color="BFBFBF"/>
            </w:tcBorders>
            <w:shd w:val="clear" w:color="auto" w:fill="auto"/>
            <w:noWrap/>
            <w:vAlign w:val="center"/>
          </w:tcPr>
          <w:p w14:paraId="2EE690EA" w14:textId="77777777" w:rsidR="00D30C84" w:rsidRPr="00125162" w:rsidRDefault="00D30C84"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27%</w:t>
            </w:r>
          </w:p>
        </w:tc>
        <w:tc>
          <w:tcPr>
            <w:tcW w:w="675" w:type="dxa"/>
            <w:tcBorders>
              <w:top w:val="nil"/>
              <w:left w:val="nil"/>
              <w:bottom w:val="double" w:sz="6" w:space="0" w:color="auto"/>
              <w:right w:val="double" w:sz="6" w:space="0" w:color="auto"/>
            </w:tcBorders>
            <w:shd w:val="clear" w:color="auto" w:fill="auto"/>
            <w:noWrap/>
            <w:vAlign w:val="center"/>
          </w:tcPr>
          <w:p w14:paraId="5E524077" w14:textId="77777777" w:rsidR="00D30C84" w:rsidRPr="00125162" w:rsidRDefault="00D30C84"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240</w:t>
            </w:r>
          </w:p>
        </w:tc>
      </w:tr>
    </w:tbl>
    <w:p w14:paraId="0D5EFC0E" w14:textId="77777777" w:rsidR="00D109F7" w:rsidRPr="00125162" w:rsidRDefault="00D109F7" w:rsidP="00F47A9C">
      <w:pPr>
        <w:pStyle w:val="Para"/>
        <w:spacing w:after="120"/>
        <w:jc w:val="center"/>
        <w:outlineLvl w:val="0"/>
        <w:rPr>
          <w:b/>
          <w:u w:val="single"/>
          <w:lang w:val="en-AU"/>
        </w:rPr>
      </w:pPr>
      <w:r w:rsidRPr="00125162">
        <w:rPr>
          <w:b/>
          <w:lang w:val="en-AU"/>
        </w:rPr>
        <w:br w:type="page"/>
      </w:r>
      <w:r w:rsidR="00D1026E" w:rsidRPr="00125162">
        <w:rPr>
          <w:b/>
          <w:lang w:val="en-AU"/>
        </w:rPr>
        <w:lastRenderedPageBreak/>
        <w:t>Table 4.2.2.5</w:t>
      </w:r>
      <w:r w:rsidRPr="00125162">
        <w:rPr>
          <w:b/>
          <w:lang w:val="en-AU"/>
        </w:rPr>
        <w:t xml:space="preserve">: </w:t>
      </w:r>
      <w:r w:rsidR="004F0718" w:rsidRPr="00125162">
        <w:rPr>
          <w:b/>
          <w:u w:val="single"/>
          <w:lang w:val="en-AU"/>
        </w:rPr>
        <w:t>Other</w:t>
      </w:r>
      <w:r w:rsidRPr="00125162">
        <w:rPr>
          <w:b/>
          <w:u w:val="single"/>
          <w:lang w:val="en-AU"/>
        </w:rPr>
        <w:t xml:space="preserve"> Electricity </w:t>
      </w:r>
      <w:r w:rsidR="004F0718" w:rsidRPr="00125162">
        <w:rPr>
          <w:b/>
          <w:u w:val="single"/>
          <w:lang w:val="en-AU"/>
        </w:rPr>
        <w:t>Discounts</w:t>
      </w:r>
      <w:r w:rsidRPr="00125162">
        <w:rPr>
          <w:b/>
          <w:u w:val="single"/>
          <w:lang w:val="en-AU"/>
        </w:rPr>
        <w:t xml:space="preserve"> and Total Electricity</w:t>
      </w:r>
      <w:r w:rsidR="00D1026E" w:rsidRPr="00125162">
        <w:rPr>
          <w:b/>
          <w:u w:val="single"/>
          <w:lang w:val="en-AU"/>
        </w:rPr>
        <w:t xml:space="preserve"> Bill – Part 1</w:t>
      </w:r>
    </w:p>
    <w:tbl>
      <w:tblPr>
        <w:tblW w:w="14431" w:type="dxa"/>
        <w:jc w:val="center"/>
        <w:tblLook w:val="04A0" w:firstRow="1" w:lastRow="0" w:firstColumn="1" w:lastColumn="0" w:noHBand="0" w:noVBand="1"/>
      </w:tblPr>
      <w:tblGrid>
        <w:gridCol w:w="2575"/>
        <w:gridCol w:w="808"/>
        <w:gridCol w:w="808"/>
        <w:gridCol w:w="808"/>
        <w:gridCol w:w="808"/>
        <w:gridCol w:w="808"/>
        <w:gridCol w:w="675"/>
        <w:gridCol w:w="808"/>
        <w:gridCol w:w="586"/>
        <w:gridCol w:w="808"/>
        <w:gridCol w:w="535"/>
        <w:gridCol w:w="808"/>
        <w:gridCol w:w="497"/>
        <w:gridCol w:w="808"/>
        <w:gridCol w:w="808"/>
        <w:gridCol w:w="808"/>
        <w:gridCol w:w="675"/>
      </w:tblGrid>
      <w:tr w:rsidR="00702F35" w:rsidRPr="00125162" w14:paraId="612765E1" w14:textId="77777777" w:rsidTr="005214AE">
        <w:trPr>
          <w:trHeight w:val="240"/>
          <w:tblHeader/>
          <w:jc w:val="center"/>
        </w:trPr>
        <w:tc>
          <w:tcPr>
            <w:tcW w:w="2575" w:type="dxa"/>
            <w:tcBorders>
              <w:top w:val="double" w:sz="6" w:space="0" w:color="auto"/>
              <w:left w:val="double" w:sz="6" w:space="0" w:color="auto"/>
              <w:bottom w:val="single" w:sz="4" w:space="0" w:color="BFBFBF"/>
              <w:right w:val="single" w:sz="4" w:space="0" w:color="BFBFBF"/>
            </w:tcBorders>
            <w:shd w:val="clear" w:color="auto" w:fill="auto"/>
            <w:noWrap/>
            <w:vAlign w:val="center"/>
          </w:tcPr>
          <w:p w14:paraId="0FF8690D"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11856" w:type="dxa"/>
            <w:gridSpan w:val="16"/>
            <w:tcBorders>
              <w:top w:val="double" w:sz="6" w:space="0" w:color="auto"/>
              <w:left w:val="nil"/>
              <w:bottom w:val="single" w:sz="4" w:space="0" w:color="BFBFBF"/>
              <w:right w:val="double" w:sz="6" w:space="0" w:color="000000"/>
            </w:tcBorders>
            <w:shd w:val="clear" w:color="auto" w:fill="auto"/>
            <w:noWrap/>
            <w:vAlign w:val="center"/>
          </w:tcPr>
          <w:p w14:paraId="47E2C188"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Other Discounts or Rebates</w:t>
            </w:r>
          </w:p>
        </w:tc>
      </w:tr>
      <w:tr w:rsidR="00702F35" w:rsidRPr="00125162" w14:paraId="7A694977" w14:textId="77777777" w:rsidTr="005214AE">
        <w:trPr>
          <w:trHeight w:val="480"/>
          <w:tblHeader/>
          <w:jc w:val="center"/>
        </w:trPr>
        <w:tc>
          <w:tcPr>
            <w:tcW w:w="2575" w:type="dxa"/>
            <w:tcBorders>
              <w:top w:val="nil"/>
              <w:left w:val="double" w:sz="6" w:space="0" w:color="auto"/>
              <w:bottom w:val="single" w:sz="4" w:space="0" w:color="BFBFBF"/>
              <w:right w:val="nil"/>
            </w:tcBorders>
            <w:shd w:val="clear" w:color="auto" w:fill="auto"/>
            <w:noWrap/>
          </w:tcPr>
          <w:p w14:paraId="3F7C6306"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1616" w:type="dxa"/>
            <w:gridSpan w:val="2"/>
            <w:tcBorders>
              <w:top w:val="single" w:sz="4" w:space="0" w:color="BFBFBF"/>
              <w:left w:val="single" w:sz="4" w:space="0" w:color="auto"/>
              <w:bottom w:val="single" w:sz="4" w:space="0" w:color="BFBFBF"/>
              <w:right w:val="single" w:sz="4" w:space="0" w:color="000000"/>
            </w:tcBorders>
            <w:shd w:val="clear" w:color="auto" w:fill="auto"/>
          </w:tcPr>
          <w:p w14:paraId="21EFA171"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Carbon Tax Rebate</w:t>
            </w:r>
          </w:p>
        </w:tc>
        <w:tc>
          <w:tcPr>
            <w:tcW w:w="1616" w:type="dxa"/>
            <w:gridSpan w:val="2"/>
            <w:tcBorders>
              <w:top w:val="single" w:sz="4" w:space="0" w:color="BFBFBF"/>
              <w:left w:val="nil"/>
              <w:bottom w:val="single" w:sz="4" w:space="0" w:color="BFBFBF"/>
              <w:right w:val="single" w:sz="4" w:space="0" w:color="BFBFBF"/>
            </w:tcBorders>
            <w:shd w:val="clear" w:color="auto" w:fill="auto"/>
          </w:tcPr>
          <w:p w14:paraId="011131BD"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Network Tariff</w:t>
            </w:r>
          </w:p>
        </w:tc>
        <w:tc>
          <w:tcPr>
            <w:tcW w:w="1483" w:type="dxa"/>
            <w:gridSpan w:val="2"/>
            <w:tcBorders>
              <w:top w:val="single" w:sz="4" w:space="0" w:color="BFBFBF"/>
              <w:left w:val="single" w:sz="4" w:space="0" w:color="auto"/>
              <w:bottom w:val="single" w:sz="4" w:space="0" w:color="BFBFBF"/>
              <w:right w:val="single" w:sz="4" w:space="0" w:color="000000"/>
            </w:tcBorders>
            <w:shd w:val="clear" w:color="auto" w:fill="auto"/>
          </w:tcPr>
          <w:p w14:paraId="0BADD04B"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xml:space="preserve">Generation / Solar Credits </w:t>
            </w:r>
          </w:p>
        </w:tc>
        <w:tc>
          <w:tcPr>
            <w:tcW w:w="1394" w:type="dxa"/>
            <w:gridSpan w:val="2"/>
            <w:tcBorders>
              <w:top w:val="single" w:sz="4" w:space="0" w:color="BFBFBF"/>
              <w:left w:val="nil"/>
              <w:bottom w:val="single" w:sz="4" w:space="0" w:color="BFBFBF"/>
              <w:right w:val="single" w:sz="4" w:space="0" w:color="BFBFBF"/>
            </w:tcBorders>
            <w:shd w:val="clear" w:color="auto" w:fill="auto"/>
          </w:tcPr>
          <w:p w14:paraId="261C7C4E"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Renewable Energy Discount</w:t>
            </w:r>
          </w:p>
        </w:tc>
        <w:tc>
          <w:tcPr>
            <w:tcW w:w="2648" w:type="dxa"/>
            <w:gridSpan w:val="4"/>
            <w:tcBorders>
              <w:top w:val="single" w:sz="4" w:space="0" w:color="BFBFBF"/>
              <w:left w:val="single" w:sz="4" w:space="0" w:color="auto"/>
              <w:bottom w:val="single" w:sz="4" w:space="0" w:color="BFBFBF"/>
              <w:right w:val="single" w:sz="4" w:space="0" w:color="000000"/>
            </w:tcBorders>
            <w:shd w:val="clear" w:color="auto" w:fill="auto"/>
          </w:tcPr>
          <w:p w14:paraId="2DD97E03"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URGS</w:t>
            </w:r>
          </w:p>
        </w:tc>
        <w:tc>
          <w:tcPr>
            <w:tcW w:w="3099" w:type="dxa"/>
            <w:gridSpan w:val="4"/>
            <w:tcBorders>
              <w:top w:val="single" w:sz="4" w:space="0" w:color="BFBFBF"/>
              <w:left w:val="nil"/>
              <w:bottom w:val="single" w:sz="4" w:space="0" w:color="BFBFBF"/>
              <w:right w:val="double" w:sz="6" w:space="0" w:color="000000"/>
            </w:tcBorders>
            <w:shd w:val="clear" w:color="auto" w:fill="auto"/>
          </w:tcPr>
          <w:p w14:paraId="0BC407BB"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Other Discounts or Rebates</w:t>
            </w:r>
          </w:p>
        </w:tc>
      </w:tr>
      <w:tr w:rsidR="00702F35" w:rsidRPr="00125162" w14:paraId="00A1668F" w14:textId="77777777" w:rsidTr="005214AE">
        <w:trPr>
          <w:trHeight w:val="225"/>
          <w:tblHeader/>
          <w:jc w:val="center"/>
        </w:trPr>
        <w:tc>
          <w:tcPr>
            <w:tcW w:w="2575" w:type="dxa"/>
            <w:tcBorders>
              <w:top w:val="nil"/>
              <w:left w:val="double" w:sz="6" w:space="0" w:color="auto"/>
              <w:bottom w:val="single" w:sz="4" w:space="0" w:color="BFBFBF"/>
              <w:right w:val="nil"/>
            </w:tcBorders>
            <w:shd w:val="clear" w:color="auto" w:fill="auto"/>
            <w:noWrap/>
          </w:tcPr>
          <w:p w14:paraId="34344917" w14:textId="77777777" w:rsidR="00702F35" w:rsidRPr="00125162" w:rsidRDefault="00702F35" w:rsidP="00702F35">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w:t>
            </w:r>
          </w:p>
        </w:tc>
        <w:tc>
          <w:tcPr>
            <w:tcW w:w="1616" w:type="dxa"/>
            <w:gridSpan w:val="2"/>
            <w:tcBorders>
              <w:top w:val="single" w:sz="4" w:space="0" w:color="BFBFBF"/>
              <w:left w:val="single" w:sz="4" w:space="0" w:color="auto"/>
              <w:bottom w:val="single" w:sz="4" w:space="0" w:color="BFBFBF"/>
              <w:right w:val="single" w:sz="4" w:space="0" w:color="000000"/>
            </w:tcBorders>
            <w:shd w:val="clear" w:color="auto" w:fill="auto"/>
            <w:noWrap/>
          </w:tcPr>
          <w:p w14:paraId="54E4B3F9"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616" w:type="dxa"/>
            <w:gridSpan w:val="2"/>
            <w:tcBorders>
              <w:top w:val="single" w:sz="4" w:space="0" w:color="BFBFBF"/>
              <w:left w:val="nil"/>
              <w:bottom w:val="single" w:sz="4" w:space="0" w:color="BFBFBF"/>
              <w:right w:val="single" w:sz="4" w:space="0" w:color="BFBFBF"/>
            </w:tcBorders>
            <w:shd w:val="clear" w:color="auto" w:fill="auto"/>
            <w:noWrap/>
          </w:tcPr>
          <w:p w14:paraId="64D92F45"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Rebate 2007</w:t>
            </w:r>
          </w:p>
        </w:tc>
        <w:tc>
          <w:tcPr>
            <w:tcW w:w="1483" w:type="dxa"/>
            <w:gridSpan w:val="2"/>
            <w:tcBorders>
              <w:top w:val="single" w:sz="4" w:space="0" w:color="BFBFBF"/>
              <w:left w:val="single" w:sz="4" w:space="0" w:color="auto"/>
              <w:bottom w:val="single" w:sz="4" w:space="0" w:color="BFBFBF"/>
              <w:right w:val="single" w:sz="4" w:space="0" w:color="000000"/>
            </w:tcBorders>
            <w:shd w:val="clear" w:color="auto" w:fill="auto"/>
            <w:noWrap/>
          </w:tcPr>
          <w:p w14:paraId="7AF765C5"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394" w:type="dxa"/>
            <w:gridSpan w:val="2"/>
            <w:tcBorders>
              <w:top w:val="single" w:sz="4" w:space="0" w:color="BFBFBF"/>
              <w:left w:val="nil"/>
              <w:bottom w:val="single" w:sz="4" w:space="0" w:color="BFBFBF"/>
              <w:right w:val="single" w:sz="4" w:space="0" w:color="BFBFBF"/>
            </w:tcBorders>
            <w:shd w:val="clear" w:color="auto" w:fill="auto"/>
            <w:noWrap/>
          </w:tcPr>
          <w:p w14:paraId="00083281"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1343" w:type="dxa"/>
            <w:gridSpan w:val="2"/>
            <w:tcBorders>
              <w:top w:val="single" w:sz="4" w:space="0" w:color="BFBFBF"/>
              <w:left w:val="single" w:sz="4" w:space="0" w:color="auto"/>
              <w:bottom w:val="single" w:sz="4" w:space="0" w:color="BFBFBF"/>
              <w:right w:val="single" w:sz="4" w:space="0" w:color="BFBFBF"/>
            </w:tcBorders>
            <w:shd w:val="clear" w:color="auto" w:fill="auto"/>
            <w:noWrap/>
          </w:tcPr>
          <w:p w14:paraId="55861CC2"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305" w:type="dxa"/>
            <w:gridSpan w:val="2"/>
            <w:tcBorders>
              <w:top w:val="single" w:sz="4" w:space="0" w:color="BFBFBF"/>
              <w:left w:val="single" w:sz="4" w:space="0" w:color="auto"/>
              <w:bottom w:val="single" w:sz="4" w:space="0" w:color="BFBFBF"/>
              <w:right w:val="single" w:sz="4" w:space="0" w:color="000000"/>
            </w:tcBorders>
            <w:shd w:val="clear" w:color="auto" w:fill="auto"/>
            <w:noWrap/>
          </w:tcPr>
          <w:p w14:paraId="150A2A87"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1616" w:type="dxa"/>
            <w:gridSpan w:val="2"/>
            <w:tcBorders>
              <w:top w:val="single" w:sz="4" w:space="0" w:color="BFBFBF"/>
              <w:left w:val="nil"/>
              <w:bottom w:val="single" w:sz="4" w:space="0" w:color="BFBFBF"/>
              <w:right w:val="single" w:sz="4" w:space="0" w:color="000000"/>
            </w:tcBorders>
            <w:shd w:val="clear" w:color="auto" w:fill="auto"/>
            <w:noWrap/>
          </w:tcPr>
          <w:p w14:paraId="420E3B4F"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483" w:type="dxa"/>
            <w:gridSpan w:val="2"/>
            <w:tcBorders>
              <w:top w:val="single" w:sz="4" w:space="0" w:color="BFBFBF"/>
              <w:left w:val="nil"/>
              <w:bottom w:val="single" w:sz="4" w:space="0" w:color="BFBFBF"/>
              <w:right w:val="double" w:sz="6" w:space="0" w:color="000000"/>
            </w:tcBorders>
            <w:shd w:val="clear" w:color="auto" w:fill="auto"/>
            <w:noWrap/>
          </w:tcPr>
          <w:p w14:paraId="37061D5E"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r>
      <w:tr w:rsidR="00702F35" w:rsidRPr="00125162" w14:paraId="0EF2818C" w14:textId="77777777" w:rsidTr="005214AE">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4AE83365"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908936B"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auto"/>
            </w:tcBorders>
            <w:shd w:val="clear" w:color="auto" w:fill="auto"/>
            <w:noWrap/>
            <w:vAlign w:val="center"/>
          </w:tcPr>
          <w:p w14:paraId="690C3A1F"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151EB7B1"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5679C183"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801B1FB"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1415B989"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07B7DF6"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3C9BFAE4"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6F4E354"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3BC1F9F0"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B9E3FA9"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20FCF736"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3A48AAA"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auto"/>
            </w:tcBorders>
            <w:shd w:val="clear" w:color="auto" w:fill="auto"/>
            <w:noWrap/>
            <w:vAlign w:val="center"/>
          </w:tcPr>
          <w:p w14:paraId="7A687080"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13B0C90D"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675" w:type="dxa"/>
            <w:tcBorders>
              <w:top w:val="nil"/>
              <w:left w:val="nil"/>
              <w:bottom w:val="single" w:sz="4" w:space="0" w:color="BFBFBF"/>
              <w:right w:val="double" w:sz="6" w:space="0" w:color="auto"/>
            </w:tcBorders>
            <w:shd w:val="clear" w:color="auto" w:fill="auto"/>
            <w:noWrap/>
            <w:vAlign w:val="center"/>
          </w:tcPr>
          <w:p w14:paraId="001DB697"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r>
      <w:tr w:rsidR="00702F35" w:rsidRPr="00125162" w14:paraId="43DE88BB" w14:textId="77777777" w:rsidTr="005214AE">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08607E4E" w14:textId="77777777" w:rsidR="00702F35" w:rsidRPr="00125162" w:rsidRDefault="00702F35" w:rsidP="00702F35">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Sub-groups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8DA18C8" w14:textId="77777777" w:rsidR="00702F35" w:rsidRPr="00125162" w:rsidRDefault="00702F35" w:rsidP="00D30C84">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D30C84" w:rsidRPr="00125162">
              <w:rPr>
                <w:rFonts w:ascii="Arial" w:hAnsi="Arial" w:cs="Arial"/>
                <w:b/>
                <w:bCs/>
                <w:color w:val="000000"/>
                <w:sz w:val="16"/>
                <w:szCs w:val="16"/>
                <w:lang w:val="en-AU" w:eastAsia="en-AU"/>
              </w:rPr>
              <w:t>855</w:t>
            </w:r>
          </w:p>
        </w:tc>
        <w:tc>
          <w:tcPr>
            <w:tcW w:w="808" w:type="dxa"/>
            <w:tcBorders>
              <w:top w:val="nil"/>
              <w:left w:val="nil"/>
              <w:bottom w:val="single" w:sz="4" w:space="0" w:color="BFBFBF"/>
              <w:right w:val="single" w:sz="4" w:space="0" w:color="auto"/>
            </w:tcBorders>
            <w:shd w:val="clear" w:color="auto" w:fill="auto"/>
            <w:noWrap/>
            <w:vAlign w:val="center"/>
          </w:tcPr>
          <w:p w14:paraId="61F5A79F" w14:textId="77777777" w:rsidR="00702F35" w:rsidRPr="00125162" w:rsidRDefault="00702F35" w:rsidP="00D30C84">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w:t>
            </w:r>
            <w:r w:rsidR="00D30C84" w:rsidRPr="00125162">
              <w:rPr>
                <w:rFonts w:ascii="Arial" w:hAnsi="Arial" w:cs="Arial"/>
                <w:b/>
                <w:bCs/>
                <w:color w:val="000000"/>
                <w:sz w:val="16"/>
                <w:szCs w:val="16"/>
                <w:lang w:val="en-AU" w:eastAsia="en-AU"/>
              </w:rPr>
              <w:t>1,204</w:t>
            </w:r>
          </w:p>
        </w:tc>
        <w:tc>
          <w:tcPr>
            <w:tcW w:w="808" w:type="dxa"/>
            <w:tcBorders>
              <w:top w:val="nil"/>
              <w:left w:val="nil"/>
              <w:bottom w:val="single" w:sz="4" w:space="0" w:color="BFBFBF"/>
              <w:right w:val="single" w:sz="4" w:space="0" w:color="BFBFBF"/>
            </w:tcBorders>
            <w:shd w:val="clear" w:color="auto" w:fill="auto"/>
            <w:noWrap/>
            <w:vAlign w:val="center"/>
          </w:tcPr>
          <w:p w14:paraId="282C71A1"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808" w:type="dxa"/>
            <w:tcBorders>
              <w:top w:val="nil"/>
              <w:left w:val="nil"/>
              <w:bottom w:val="single" w:sz="4" w:space="0" w:color="BFBFBF"/>
              <w:right w:val="nil"/>
            </w:tcBorders>
            <w:shd w:val="clear" w:color="auto" w:fill="auto"/>
            <w:noWrap/>
            <w:vAlign w:val="center"/>
          </w:tcPr>
          <w:p w14:paraId="4C0FF26C"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n=1,050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AD3F746" w14:textId="77777777" w:rsidR="00702F35" w:rsidRPr="00125162" w:rsidRDefault="00702F35" w:rsidP="00D30C84">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D30C84" w:rsidRPr="00125162">
              <w:rPr>
                <w:rFonts w:ascii="Arial" w:hAnsi="Arial" w:cs="Arial"/>
                <w:b/>
                <w:bCs/>
                <w:color w:val="000000"/>
                <w:sz w:val="16"/>
                <w:szCs w:val="16"/>
                <w:lang w:val="en-AU" w:eastAsia="en-AU"/>
              </w:rPr>
              <w:t>855</w:t>
            </w:r>
          </w:p>
        </w:tc>
        <w:tc>
          <w:tcPr>
            <w:tcW w:w="675" w:type="dxa"/>
            <w:tcBorders>
              <w:top w:val="nil"/>
              <w:left w:val="nil"/>
              <w:bottom w:val="single" w:sz="4" w:space="0" w:color="BFBFBF"/>
              <w:right w:val="single" w:sz="4" w:space="0" w:color="auto"/>
            </w:tcBorders>
            <w:shd w:val="clear" w:color="auto" w:fill="auto"/>
            <w:noWrap/>
            <w:vAlign w:val="center"/>
          </w:tcPr>
          <w:p w14:paraId="50C1EA55" w14:textId="77777777" w:rsidR="00702F35" w:rsidRPr="00125162" w:rsidRDefault="00702F35" w:rsidP="00D30C84">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n=39</w:t>
            </w:r>
            <w:r w:rsidR="00D30C84" w:rsidRPr="00125162">
              <w:rPr>
                <w:rFonts w:ascii="Arial" w:hAnsi="Arial" w:cs="Arial"/>
                <w:b/>
                <w:bCs/>
                <w:color w:val="000000"/>
                <w:sz w:val="16"/>
                <w:szCs w:val="16"/>
                <w:lang w:val="en-AU" w:eastAsia="en-AU"/>
              </w:rPr>
              <w:t>9</w:t>
            </w:r>
          </w:p>
        </w:tc>
        <w:tc>
          <w:tcPr>
            <w:tcW w:w="808" w:type="dxa"/>
            <w:tcBorders>
              <w:top w:val="nil"/>
              <w:left w:val="nil"/>
              <w:bottom w:val="single" w:sz="4" w:space="0" w:color="BFBFBF"/>
              <w:right w:val="single" w:sz="4" w:space="0" w:color="BFBFBF"/>
            </w:tcBorders>
            <w:shd w:val="clear" w:color="auto" w:fill="auto"/>
            <w:noWrap/>
            <w:vAlign w:val="center"/>
          </w:tcPr>
          <w:p w14:paraId="3A4797AB"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586" w:type="dxa"/>
            <w:tcBorders>
              <w:top w:val="nil"/>
              <w:left w:val="nil"/>
              <w:bottom w:val="single" w:sz="4" w:space="0" w:color="BFBFBF"/>
              <w:right w:val="nil"/>
            </w:tcBorders>
            <w:shd w:val="clear" w:color="auto" w:fill="auto"/>
            <w:noWrap/>
            <w:vAlign w:val="center"/>
          </w:tcPr>
          <w:p w14:paraId="67925E53"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53982DF" w14:textId="77777777" w:rsidR="00702F35" w:rsidRPr="00125162" w:rsidRDefault="00702F35" w:rsidP="00D30C84">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D30C84" w:rsidRPr="00125162">
              <w:rPr>
                <w:rFonts w:ascii="Arial" w:hAnsi="Arial" w:cs="Arial"/>
                <w:b/>
                <w:bCs/>
                <w:color w:val="000000"/>
                <w:sz w:val="16"/>
                <w:szCs w:val="16"/>
                <w:lang w:val="en-AU" w:eastAsia="en-AU"/>
              </w:rPr>
              <w:t>855</w:t>
            </w:r>
          </w:p>
        </w:tc>
        <w:tc>
          <w:tcPr>
            <w:tcW w:w="535" w:type="dxa"/>
            <w:tcBorders>
              <w:top w:val="nil"/>
              <w:left w:val="nil"/>
              <w:bottom w:val="single" w:sz="4" w:space="0" w:color="BFBFBF"/>
              <w:right w:val="nil"/>
            </w:tcBorders>
            <w:shd w:val="clear" w:color="auto" w:fill="auto"/>
            <w:noWrap/>
            <w:vAlign w:val="center"/>
          </w:tcPr>
          <w:p w14:paraId="3A5E945B" w14:textId="77777777" w:rsidR="00702F35" w:rsidRPr="00125162" w:rsidRDefault="00702F35" w:rsidP="00D30C84">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w:t>
            </w:r>
            <w:r w:rsidR="00D30C84" w:rsidRPr="00125162">
              <w:rPr>
                <w:rFonts w:ascii="Arial" w:hAnsi="Arial" w:cs="Arial"/>
                <w:b/>
                <w:bCs/>
                <w:color w:val="000000"/>
                <w:sz w:val="16"/>
                <w:szCs w:val="16"/>
                <w:lang w:val="en-AU" w:eastAsia="en-AU"/>
              </w:rPr>
              <w:t>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96E3DE6"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497" w:type="dxa"/>
            <w:tcBorders>
              <w:top w:val="nil"/>
              <w:left w:val="nil"/>
              <w:bottom w:val="single" w:sz="4" w:space="0" w:color="BFBFBF"/>
              <w:right w:val="single" w:sz="4" w:space="0" w:color="auto"/>
            </w:tcBorders>
            <w:shd w:val="clear" w:color="auto" w:fill="auto"/>
            <w:noWrap/>
            <w:vAlign w:val="center"/>
          </w:tcPr>
          <w:p w14:paraId="75498E66"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n=3</w:t>
            </w:r>
          </w:p>
        </w:tc>
        <w:tc>
          <w:tcPr>
            <w:tcW w:w="808" w:type="dxa"/>
            <w:tcBorders>
              <w:top w:val="nil"/>
              <w:left w:val="nil"/>
              <w:bottom w:val="single" w:sz="4" w:space="0" w:color="BFBFBF"/>
              <w:right w:val="single" w:sz="4" w:space="0" w:color="BFBFBF"/>
            </w:tcBorders>
            <w:shd w:val="clear" w:color="auto" w:fill="auto"/>
            <w:noWrap/>
            <w:vAlign w:val="center"/>
          </w:tcPr>
          <w:p w14:paraId="21E8C3D6" w14:textId="77777777" w:rsidR="00702F35" w:rsidRPr="00125162" w:rsidRDefault="00702F35" w:rsidP="00D30C84">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D30C84" w:rsidRPr="00125162">
              <w:rPr>
                <w:rFonts w:ascii="Arial" w:hAnsi="Arial" w:cs="Arial"/>
                <w:b/>
                <w:bCs/>
                <w:color w:val="000000"/>
                <w:sz w:val="16"/>
                <w:szCs w:val="16"/>
                <w:lang w:val="en-AU" w:eastAsia="en-AU"/>
              </w:rPr>
              <w:t>855</w:t>
            </w:r>
          </w:p>
        </w:tc>
        <w:tc>
          <w:tcPr>
            <w:tcW w:w="808" w:type="dxa"/>
            <w:tcBorders>
              <w:top w:val="nil"/>
              <w:left w:val="nil"/>
              <w:bottom w:val="single" w:sz="4" w:space="0" w:color="BFBFBF"/>
              <w:right w:val="single" w:sz="4" w:space="0" w:color="auto"/>
            </w:tcBorders>
            <w:shd w:val="clear" w:color="auto" w:fill="auto"/>
            <w:noWrap/>
            <w:vAlign w:val="center"/>
          </w:tcPr>
          <w:p w14:paraId="79ADA80E" w14:textId="77777777" w:rsidR="00702F35" w:rsidRPr="00125162" w:rsidRDefault="00702F35" w:rsidP="00B71923">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B71923" w:rsidRPr="00125162">
              <w:rPr>
                <w:rFonts w:ascii="Arial" w:hAnsi="Arial" w:cs="Arial"/>
                <w:b/>
                <w:bCs/>
                <w:color w:val="000000"/>
                <w:sz w:val="16"/>
                <w:szCs w:val="16"/>
                <w:lang w:val="en-AU" w:eastAsia="en-AU"/>
              </w:rPr>
              <w:t>,475</w:t>
            </w:r>
          </w:p>
        </w:tc>
        <w:tc>
          <w:tcPr>
            <w:tcW w:w="808" w:type="dxa"/>
            <w:tcBorders>
              <w:top w:val="nil"/>
              <w:left w:val="nil"/>
              <w:bottom w:val="single" w:sz="4" w:space="0" w:color="BFBFBF"/>
              <w:right w:val="single" w:sz="4" w:space="0" w:color="BFBFBF"/>
            </w:tcBorders>
            <w:shd w:val="clear" w:color="auto" w:fill="auto"/>
            <w:noWrap/>
            <w:vAlign w:val="center"/>
          </w:tcPr>
          <w:p w14:paraId="16150D96"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675" w:type="dxa"/>
            <w:tcBorders>
              <w:top w:val="nil"/>
              <w:left w:val="nil"/>
              <w:bottom w:val="single" w:sz="4" w:space="0" w:color="BFBFBF"/>
              <w:right w:val="double" w:sz="6" w:space="0" w:color="auto"/>
            </w:tcBorders>
            <w:shd w:val="clear" w:color="auto" w:fill="auto"/>
            <w:noWrap/>
            <w:vAlign w:val="center"/>
          </w:tcPr>
          <w:p w14:paraId="40B6E791" w14:textId="77777777" w:rsidR="00702F35" w:rsidRPr="00125162" w:rsidRDefault="00702F35" w:rsidP="00702F3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n=972</w:t>
            </w:r>
          </w:p>
        </w:tc>
      </w:tr>
      <w:tr w:rsidR="00702F35" w:rsidRPr="00125162" w14:paraId="266B186D" w14:textId="77777777" w:rsidTr="005214AE">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4B304CB8" w14:textId="77777777" w:rsidR="00702F35" w:rsidRPr="00125162" w:rsidRDefault="00702F35" w:rsidP="00702F35">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Region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6FC0012" w14:textId="77777777" w:rsidR="00702F35" w:rsidRPr="00125162" w:rsidRDefault="00702F35" w:rsidP="00702F35">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bottom"/>
          </w:tcPr>
          <w:p w14:paraId="5C9B621E"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500FFFD9" w14:textId="77777777" w:rsidR="00702F35" w:rsidRPr="00125162" w:rsidRDefault="00702F35" w:rsidP="00702F35">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10D717B4"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6B50F23" w14:textId="77777777" w:rsidR="00702F35" w:rsidRPr="00125162" w:rsidRDefault="00702F35" w:rsidP="00702F35">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bottom"/>
          </w:tcPr>
          <w:p w14:paraId="0B1274C7"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E16BF92"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86" w:type="dxa"/>
            <w:tcBorders>
              <w:top w:val="nil"/>
              <w:left w:val="nil"/>
              <w:bottom w:val="single" w:sz="4" w:space="0" w:color="BFBFBF"/>
              <w:right w:val="nil"/>
            </w:tcBorders>
            <w:shd w:val="clear" w:color="auto" w:fill="auto"/>
            <w:noWrap/>
            <w:vAlign w:val="center"/>
          </w:tcPr>
          <w:p w14:paraId="29C0369B"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DFBA7BB" w14:textId="77777777" w:rsidR="00702F35" w:rsidRPr="00125162" w:rsidRDefault="00702F35" w:rsidP="00702F35">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535" w:type="dxa"/>
            <w:tcBorders>
              <w:top w:val="nil"/>
              <w:left w:val="nil"/>
              <w:bottom w:val="single" w:sz="4" w:space="0" w:color="BFBFBF"/>
              <w:right w:val="nil"/>
            </w:tcBorders>
            <w:shd w:val="clear" w:color="auto" w:fill="auto"/>
            <w:noWrap/>
            <w:vAlign w:val="bottom"/>
          </w:tcPr>
          <w:p w14:paraId="4A5E9F74"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B17FBE9"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97" w:type="dxa"/>
            <w:tcBorders>
              <w:top w:val="nil"/>
              <w:left w:val="nil"/>
              <w:bottom w:val="single" w:sz="4" w:space="0" w:color="BFBFBF"/>
              <w:right w:val="single" w:sz="4" w:space="0" w:color="auto"/>
            </w:tcBorders>
            <w:shd w:val="clear" w:color="auto" w:fill="auto"/>
            <w:noWrap/>
            <w:vAlign w:val="center"/>
          </w:tcPr>
          <w:p w14:paraId="5227DA28"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5DE9196E" w14:textId="77777777" w:rsidR="00702F35" w:rsidRPr="00125162" w:rsidRDefault="00702F35" w:rsidP="00702F35">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bottom"/>
          </w:tcPr>
          <w:p w14:paraId="52817630"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B9FF87D"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double" w:sz="6" w:space="0" w:color="auto"/>
            </w:tcBorders>
            <w:shd w:val="clear" w:color="auto" w:fill="auto"/>
            <w:noWrap/>
            <w:vAlign w:val="center"/>
          </w:tcPr>
          <w:p w14:paraId="530CA036" w14:textId="77777777" w:rsidR="00702F35" w:rsidRPr="00125162" w:rsidRDefault="00702F35" w:rsidP="00702F35">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F44114" w:rsidRPr="00125162" w14:paraId="40197137"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7594DB25"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125162">
                  <w:rPr>
                    <w:rFonts w:ascii="Arial" w:hAnsi="Arial" w:cs="Arial"/>
                    <w:color w:val="000000"/>
                    <w:sz w:val="16"/>
                    <w:szCs w:val="16"/>
                    <w:lang w:val="en-AU" w:eastAsia="en-AU"/>
                  </w:rPr>
                  <w:t>Melbourne</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AA81A9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808" w:type="dxa"/>
            <w:tcBorders>
              <w:top w:val="nil"/>
              <w:left w:val="nil"/>
              <w:bottom w:val="single" w:sz="4" w:space="0" w:color="BFBFBF"/>
              <w:right w:val="single" w:sz="4" w:space="0" w:color="auto"/>
            </w:tcBorders>
            <w:shd w:val="clear" w:color="auto" w:fill="auto"/>
            <w:noWrap/>
            <w:vAlign w:val="center"/>
          </w:tcPr>
          <w:p w14:paraId="4E101DE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808" w:type="dxa"/>
            <w:tcBorders>
              <w:top w:val="nil"/>
              <w:left w:val="nil"/>
              <w:bottom w:val="single" w:sz="4" w:space="0" w:color="BFBFBF"/>
              <w:right w:val="single" w:sz="4" w:space="0" w:color="BFBFBF"/>
            </w:tcBorders>
            <w:shd w:val="clear" w:color="auto" w:fill="auto"/>
            <w:noWrap/>
            <w:vAlign w:val="center"/>
          </w:tcPr>
          <w:p w14:paraId="5B579F4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808" w:type="dxa"/>
            <w:tcBorders>
              <w:top w:val="nil"/>
              <w:left w:val="nil"/>
              <w:bottom w:val="single" w:sz="4" w:space="0" w:color="BFBFBF"/>
              <w:right w:val="nil"/>
            </w:tcBorders>
            <w:shd w:val="clear" w:color="auto" w:fill="auto"/>
            <w:noWrap/>
            <w:vAlign w:val="center"/>
          </w:tcPr>
          <w:p w14:paraId="4B862C6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5623B7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548F379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563</w:t>
            </w:r>
          </w:p>
        </w:tc>
        <w:tc>
          <w:tcPr>
            <w:tcW w:w="808" w:type="dxa"/>
            <w:tcBorders>
              <w:top w:val="nil"/>
              <w:left w:val="nil"/>
              <w:bottom w:val="single" w:sz="4" w:space="0" w:color="BFBFBF"/>
              <w:right w:val="single" w:sz="4" w:space="0" w:color="BFBFBF"/>
            </w:tcBorders>
            <w:shd w:val="clear" w:color="auto" w:fill="auto"/>
            <w:noWrap/>
            <w:vAlign w:val="center"/>
          </w:tcPr>
          <w:p w14:paraId="1554781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648FFB3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2A49C2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00069E9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8FDEED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60C016C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466</w:t>
            </w:r>
          </w:p>
        </w:tc>
        <w:tc>
          <w:tcPr>
            <w:tcW w:w="808" w:type="dxa"/>
            <w:tcBorders>
              <w:top w:val="nil"/>
              <w:left w:val="nil"/>
              <w:bottom w:val="single" w:sz="4" w:space="0" w:color="BFBFBF"/>
              <w:right w:val="single" w:sz="4" w:space="0" w:color="BFBFBF"/>
            </w:tcBorders>
            <w:shd w:val="clear" w:color="auto" w:fill="auto"/>
            <w:noWrap/>
            <w:vAlign w:val="center"/>
          </w:tcPr>
          <w:p w14:paraId="44376C8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81%</w:t>
            </w:r>
          </w:p>
        </w:tc>
        <w:tc>
          <w:tcPr>
            <w:tcW w:w="808" w:type="dxa"/>
            <w:tcBorders>
              <w:top w:val="nil"/>
              <w:left w:val="nil"/>
              <w:bottom w:val="single" w:sz="4" w:space="0" w:color="BFBFBF"/>
              <w:right w:val="single" w:sz="4" w:space="0" w:color="auto"/>
            </w:tcBorders>
            <w:shd w:val="clear" w:color="auto" w:fill="auto"/>
            <w:noWrap/>
            <w:vAlign w:val="center"/>
          </w:tcPr>
          <w:p w14:paraId="1D4B8C7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140</w:t>
            </w:r>
          </w:p>
        </w:tc>
        <w:tc>
          <w:tcPr>
            <w:tcW w:w="808" w:type="dxa"/>
            <w:tcBorders>
              <w:top w:val="nil"/>
              <w:left w:val="nil"/>
              <w:bottom w:val="single" w:sz="4" w:space="0" w:color="BFBFBF"/>
              <w:right w:val="single" w:sz="4" w:space="0" w:color="BFBFBF"/>
            </w:tcBorders>
            <w:shd w:val="clear" w:color="auto" w:fill="auto"/>
            <w:noWrap/>
            <w:vAlign w:val="center"/>
          </w:tcPr>
          <w:p w14:paraId="7657F8F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w:t>
            </w:r>
          </w:p>
        </w:tc>
        <w:tc>
          <w:tcPr>
            <w:tcW w:w="675" w:type="dxa"/>
            <w:tcBorders>
              <w:top w:val="nil"/>
              <w:left w:val="nil"/>
              <w:bottom w:val="single" w:sz="4" w:space="0" w:color="BFBFBF"/>
              <w:right w:val="double" w:sz="6" w:space="0" w:color="auto"/>
            </w:tcBorders>
            <w:shd w:val="clear" w:color="auto" w:fill="auto"/>
            <w:noWrap/>
            <w:vAlign w:val="center"/>
          </w:tcPr>
          <w:p w14:paraId="27F6BF6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r>
      <w:tr w:rsidR="00F44114" w:rsidRPr="00125162" w14:paraId="09D7B3D0"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2B19178F"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Country VIC</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CA994D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67%</w:t>
            </w:r>
          </w:p>
        </w:tc>
        <w:tc>
          <w:tcPr>
            <w:tcW w:w="808" w:type="dxa"/>
            <w:tcBorders>
              <w:top w:val="nil"/>
              <w:left w:val="nil"/>
              <w:bottom w:val="single" w:sz="4" w:space="0" w:color="BFBFBF"/>
              <w:right w:val="single" w:sz="4" w:space="0" w:color="auto"/>
            </w:tcBorders>
            <w:shd w:val="clear" w:color="auto" w:fill="auto"/>
            <w:noWrap/>
            <w:vAlign w:val="center"/>
          </w:tcPr>
          <w:p w14:paraId="10C0491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808" w:type="dxa"/>
            <w:tcBorders>
              <w:top w:val="nil"/>
              <w:left w:val="nil"/>
              <w:bottom w:val="single" w:sz="4" w:space="0" w:color="BFBFBF"/>
              <w:right w:val="single" w:sz="4" w:space="0" w:color="BFBFBF"/>
            </w:tcBorders>
            <w:shd w:val="clear" w:color="auto" w:fill="auto"/>
            <w:noWrap/>
            <w:vAlign w:val="center"/>
          </w:tcPr>
          <w:p w14:paraId="3BC18FD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87%</w:t>
            </w:r>
          </w:p>
        </w:tc>
        <w:tc>
          <w:tcPr>
            <w:tcW w:w="808" w:type="dxa"/>
            <w:tcBorders>
              <w:top w:val="nil"/>
              <w:left w:val="nil"/>
              <w:bottom w:val="single" w:sz="4" w:space="0" w:color="BFBFBF"/>
              <w:right w:val="nil"/>
            </w:tcBorders>
            <w:shd w:val="clear" w:color="auto" w:fill="auto"/>
            <w:noWrap/>
            <w:vAlign w:val="center"/>
          </w:tcPr>
          <w:p w14:paraId="0BB6F3D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4B500F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675" w:type="dxa"/>
            <w:tcBorders>
              <w:top w:val="nil"/>
              <w:left w:val="nil"/>
              <w:bottom w:val="single" w:sz="4" w:space="0" w:color="BFBFBF"/>
              <w:right w:val="single" w:sz="4" w:space="0" w:color="auto"/>
            </w:tcBorders>
            <w:shd w:val="clear" w:color="auto" w:fill="auto"/>
            <w:noWrap/>
            <w:vAlign w:val="center"/>
          </w:tcPr>
          <w:p w14:paraId="2EF3656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662</w:t>
            </w:r>
          </w:p>
        </w:tc>
        <w:tc>
          <w:tcPr>
            <w:tcW w:w="808" w:type="dxa"/>
            <w:tcBorders>
              <w:top w:val="nil"/>
              <w:left w:val="nil"/>
              <w:bottom w:val="single" w:sz="4" w:space="0" w:color="BFBFBF"/>
              <w:right w:val="single" w:sz="4" w:space="0" w:color="BFBFBF"/>
            </w:tcBorders>
            <w:shd w:val="clear" w:color="auto" w:fill="auto"/>
            <w:noWrap/>
            <w:vAlign w:val="center"/>
          </w:tcPr>
          <w:p w14:paraId="4A86713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22B33A4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0CF9F1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35" w:type="dxa"/>
            <w:tcBorders>
              <w:top w:val="nil"/>
              <w:left w:val="nil"/>
              <w:bottom w:val="single" w:sz="4" w:space="0" w:color="BFBFBF"/>
              <w:right w:val="nil"/>
            </w:tcBorders>
            <w:shd w:val="clear" w:color="auto" w:fill="auto"/>
            <w:noWrap/>
            <w:vAlign w:val="center"/>
          </w:tcPr>
          <w:p w14:paraId="481630E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65E228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3460238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168</w:t>
            </w:r>
          </w:p>
        </w:tc>
        <w:tc>
          <w:tcPr>
            <w:tcW w:w="808" w:type="dxa"/>
            <w:tcBorders>
              <w:top w:val="nil"/>
              <w:left w:val="nil"/>
              <w:bottom w:val="single" w:sz="4" w:space="0" w:color="BFBFBF"/>
              <w:right w:val="single" w:sz="4" w:space="0" w:color="BFBFBF"/>
            </w:tcBorders>
            <w:shd w:val="clear" w:color="auto" w:fill="auto"/>
            <w:noWrap/>
            <w:vAlign w:val="center"/>
          </w:tcPr>
          <w:p w14:paraId="67400DF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77%</w:t>
            </w:r>
          </w:p>
        </w:tc>
        <w:tc>
          <w:tcPr>
            <w:tcW w:w="808" w:type="dxa"/>
            <w:tcBorders>
              <w:top w:val="nil"/>
              <w:left w:val="nil"/>
              <w:bottom w:val="single" w:sz="4" w:space="0" w:color="BFBFBF"/>
              <w:right w:val="single" w:sz="4" w:space="0" w:color="auto"/>
            </w:tcBorders>
            <w:shd w:val="clear" w:color="auto" w:fill="auto"/>
            <w:noWrap/>
            <w:vAlign w:val="center"/>
          </w:tcPr>
          <w:p w14:paraId="1F64BCB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147</w:t>
            </w:r>
          </w:p>
        </w:tc>
        <w:tc>
          <w:tcPr>
            <w:tcW w:w="808" w:type="dxa"/>
            <w:tcBorders>
              <w:top w:val="nil"/>
              <w:left w:val="nil"/>
              <w:bottom w:val="single" w:sz="4" w:space="0" w:color="BFBFBF"/>
              <w:right w:val="single" w:sz="4" w:space="0" w:color="BFBFBF"/>
            </w:tcBorders>
            <w:shd w:val="clear" w:color="auto" w:fill="auto"/>
            <w:noWrap/>
            <w:vAlign w:val="center"/>
          </w:tcPr>
          <w:p w14:paraId="76A84EE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w:t>
            </w:r>
          </w:p>
        </w:tc>
        <w:tc>
          <w:tcPr>
            <w:tcW w:w="675" w:type="dxa"/>
            <w:tcBorders>
              <w:top w:val="nil"/>
              <w:left w:val="nil"/>
              <w:bottom w:val="single" w:sz="4" w:space="0" w:color="BFBFBF"/>
              <w:right w:val="double" w:sz="6" w:space="0" w:color="auto"/>
            </w:tcBorders>
            <w:shd w:val="clear" w:color="auto" w:fill="auto"/>
            <w:noWrap/>
            <w:vAlign w:val="center"/>
          </w:tcPr>
          <w:p w14:paraId="31E719D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w:t>
            </w:r>
          </w:p>
        </w:tc>
      </w:tr>
      <w:tr w:rsidR="00F44114" w:rsidRPr="00125162" w14:paraId="78DC7DB7"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319F074" w14:textId="246863F2" w:rsidR="005214AE" w:rsidRPr="00125162" w:rsidRDefault="00BC6314" w:rsidP="00702F35">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5214AE" w:rsidRPr="00125162">
              <w:rPr>
                <w:rFonts w:ascii="Arial" w:hAnsi="Arial" w:cs="Arial"/>
                <w:color w:val="000000"/>
                <w:sz w:val="16"/>
                <w:szCs w:val="16"/>
                <w:lang w:val="en-AU" w:eastAsia="en-AU"/>
              </w:rPr>
              <w:t>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52A6D55" w14:textId="77777777" w:rsidR="005214AE" w:rsidRPr="00125162" w:rsidRDefault="00C73B77">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59</w:t>
            </w:r>
            <w:r w:rsidR="005214AE"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auto"/>
            </w:tcBorders>
            <w:shd w:val="clear" w:color="auto" w:fill="auto"/>
            <w:noWrap/>
            <w:vAlign w:val="center"/>
          </w:tcPr>
          <w:p w14:paraId="47B10B87" w14:textId="77777777" w:rsidR="005214AE" w:rsidRPr="00125162" w:rsidRDefault="00C73B77">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35</w:t>
            </w:r>
          </w:p>
        </w:tc>
        <w:tc>
          <w:tcPr>
            <w:tcW w:w="808" w:type="dxa"/>
            <w:tcBorders>
              <w:top w:val="nil"/>
              <w:left w:val="nil"/>
              <w:bottom w:val="single" w:sz="4" w:space="0" w:color="BFBFBF"/>
              <w:right w:val="single" w:sz="4" w:space="0" w:color="BFBFBF"/>
            </w:tcBorders>
            <w:shd w:val="clear" w:color="auto" w:fill="auto"/>
            <w:noWrap/>
            <w:vAlign w:val="center"/>
          </w:tcPr>
          <w:p w14:paraId="6E1415F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85%</w:t>
            </w:r>
          </w:p>
        </w:tc>
        <w:tc>
          <w:tcPr>
            <w:tcW w:w="808" w:type="dxa"/>
            <w:tcBorders>
              <w:top w:val="nil"/>
              <w:left w:val="nil"/>
              <w:bottom w:val="single" w:sz="4" w:space="0" w:color="BFBFBF"/>
              <w:right w:val="nil"/>
            </w:tcBorders>
            <w:shd w:val="clear" w:color="auto" w:fill="auto"/>
            <w:noWrap/>
            <w:vAlign w:val="center"/>
          </w:tcPr>
          <w:p w14:paraId="139C132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5979868" w14:textId="77777777" w:rsidR="005214AE" w:rsidRPr="00125162" w:rsidRDefault="00C73B77">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23</w:t>
            </w:r>
            <w:r w:rsidR="005214AE" w:rsidRPr="00125162">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03BEB47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r w:rsidR="00C73B77">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461CDA5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5BF0470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BE14C61" w14:textId="77777777" w:rsidR="005214AE" w:rsidRPr="00125162" w:rsidRDefault="00C73B77">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7D3BFC9A" w14:textId="77777777" w:rsidR="005214AE" w:rsidRPr="00125162" w:rsidRDefault="00C73B77">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156983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7219F14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849602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w:t>
            </w:r>
            <w:r w:rsidR="00C73B77">
              <w:rPr>
                <w:rFonts w:ascii="Arial" w:hAnsi="Arial" w:cs="Arial"/>
                <w:color w:val="000000"/>
                <w:sz w:val="16"/>
                <w:szCs w:val="16"/>
                <w:lang w:val="en-AU" w:eastAsia="en-AU"/>
              </w:rPr>
              <w:t>2</w:t>
            </w: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auto"/>
            </w:tcBorders>
            <w:shd w:val="clear" w:color="auto" w:fill="auto"/>
            <w:noWrap/>
            <w:vAlign w:val="center"/>
          </w:tcPr>
          <w:p w14:paraId="61FB4C4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r w:rsidR="00C73B77">
              <w:rPr>
                <w:rFonts w:ascii="Arial" w:hAnsi="Arial" w:cs="Arial"/>
                <w:color w:val="000000"/>
                <w:sz w:val="16"/>
                <w:szCs w:val="16"/>
                <w:lang w:val="en-AU" w:eastAsia="en-AU"/>
              </w:rPr>
              <w:t>85</w:t>
            </w:r>
          </w:p>
        </w:tc>
        <w:tc>
          <w:tcPr>
            <w:tcW w:w="808" w:type="dxa"/>
            <w:tcBorders>
              <w:top w:val="nil"/>
              <w:left w:val="nil"/>
              <w:bottom w:val="single" w:sz="4" w:space="0" w:color="BFBFBF"/>
              <w:right w:val="single" w:sz="4" w:space="0" w:color="BFBFBF"/>
            </w:tcBorders>
            <w:shd w:val="clear" w:color="auto" w:fill="auto"/>
            <w:noWrap/>
            <w:vAlign w:val="center"/>
          </w:tcPr>
          <w:p w14:paraId="00AA26E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w:t>
            </w:r>
          </w:p>
        </w:tc>
        <w:tc>
          <w:tcPr>
            <w:tcW w:w="675" w:type="dxa"/>
            <w:tcBorders>
              <w:top w:val="nil"/>
              <w:left w:val="nil"/>
              <w:bottom w:val="single" w:sz="4" w:space="0" w:color="BFBFBF"/>
              <w:right w:val="double" w:sz="6" w:space="0" w:color="auto"/>
            </w:tcBorders>
            <w:shd w:val="clear" w:color="auto" w:fill="auto"/>
            <w:noWrap/>
            <w:vAlign w:val="center"/>
          </w:tcPr>
          <w:p w14:paraId="1AA2F6A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58</w:t>
            </w:r>
          </w:p>
        </w:tc>
      </w:tr>
      <w:tr w:rsidR="00F44114" w:rsidRPr="00125162" w14:paraId="34FC31FB"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DCFCB28" w14:textId="77777777" w:rsidR="005214AE" w:rsidRPr="00125162" w:rsidRDefault="005214AE" w:rsidP="00702F35">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xml:space="preserve">By DHHS Area -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7B18E87" w14:textId="33D47B0C"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auto"/>
            </w:tcBorders>
            <w:shd w:val="clear" w:color="auto" w:fill="auto"/>
            <w:noWrap/>
            <w:vAlign w:val="center"/>
          </w:tcPr>
          <w:p w14:paraId="21B5B872" w14:textId="79814589"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5371BA5D" w14:textId="77777777"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nil"/>
            </w:tcBorders>
            <w:shd w:val="clear" w:color="auto" w:fill="auto"/>
            <w:noWrap/>
            <w:vAlign w:val="center"/>
          </w:tcPr>
          <w:p w14:paraId="4D077087" w14:textId="77777777"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174D6B7" w14:textId="6F55923A" w:rsidR="005214AE" w:rsidRPr="00125162" w:rsidRDefault="005214AE">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6A5E04FE" w14:textId="40D7A5D8"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33F26E4C" w14:textId="77777777" w:rsidR="005214AE" w:rsidRPr="00125162" w:rsidRDefault="005214AE">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nil"/>
            </w:tcBorders>
            <w:shd w:val="clear" w:color="auto" w:fill="auto"/>
            <w:noWrap/>
            <w:vAlign w:val="center"/>
          </w:tcPr>
          <w:p w14:paraId="767E3445" w14:textId="77777777"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2A83306" w14:textId="2C02232A" w:rsidR="005214AE" w:rsidRPr="00125162" w:rsidRDefault="005214AE">
            <w:pPr>
              <w:spacing w:before="0" w:after="0"/>
              <w:jc w:val="center"/>
              <w:rPr>
                <w:rFonts w:ascii="Arial" w:hAnsi="Arial" w:cs="Arial"/>
                <w:color w:val="000000"/>
                <w:sz w:val="16"/>
                <w:szCs w:val="16"/>
                <w:lang w:val="en-AU" w:eastAsia="en-AU"/>
              </w:rPr>
            </w:pPr>
          </w:p>
        </w:tc>
        <w:tc>
          <w:tcPr>
            <w:tcW w:w="535" w:type="dxa"/>
            <w:tcBorders>
              <w:top w:val="nil"/>
              <w:left w:val="nil"/>
              <w:bottom w:val="single" w:sz="4" w:space="0" w:color="BFBFBF"/>
              <w:right w:val="nil"/>
            </w:tcBorders>
            <w:shd w:val="clear" w:color="auto" w:fill="auto"/>
            <w:noWrap/>
            <w:vAlign w:val="center"/>
          </w:tcPr>
          <w:p w14:paraId="69BA6609" w14:textId="690BD7F9"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EE966F3" w14:textId="77777777" w:rsidR="005214AE" w:rsidRPr="00125162" w:rsidRDefault="005214AE">
            <w:pPr>
              <w:spacing w:before="0" w:after="0"/>
              <w:jc w:val="center"/>
              <w:rPr>
                <w:rFonts w:ascii="Arial" w:hAnsi="Arial" w:cs="Arial"/>
                <w:color w:val="000000"/>
                <w:sz w:val="16"/>
                <w:szCs w:val="16"/>
                <w:lang w:val="en-AU" w:eastAsia="en-AU"/>
              </w:rPr>
            </w:pPr>
          </w:p>
        </w:tc>
        <w:tc>
          <w:tcPr>
            <w:tcW w:w="497" w:type="dxa"/>
            <w:tcBorders>
              <w:top w:val="nil"/>
              <w:left w:val="nil"/>
              <w:bottom w:val="single" w:sz="4" w:space="0" w:color="BFBFBF"/>
              <w:right w:val="single" w:sz="4" w:space="0" w:color="auto"/>
            </w:tcBorders>
            <w:shd w:val="clear" w:color="auto" w:fill="auto"/>
            <w:noWrap/>
            <w:vAlign w:val="center"/>
          </w:tcPr>
          <w:p w14:paraId="4B1F3F89" w14:textId="77777777"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08D53AA6" w14:textId="066963DF"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auto"/>
            </w:tcBorders>
            <w:shd w:val="clear" w:color="auto" w:fill="auto"/>
            <w:noWrap/>
            <w:vAlign w:val="center"/>
          </w:tcPr>
          <w:p w14:paraId="7737978A" w14:textId="14291185"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2ABD93E7" w14:textId="77777777" w:rsidR="005214AE" w:rsidRPr="00125162" w:rsidRDefault="005214AE">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double" w:sz="6" w:space="0" w:color="auto"/>
            </w:tcBorders>
            <w:shd w:val="clear" w:color="auto" w:fill="auto"/>
            <w:noWrap/>
            <w:vAlign w:val="center"/>
          </w:tcPr>
          <w:p w14:paraId="45DFC7AE" w14:textId="77777777" w:rsidR="005214AE" w:rsidRPr="00125162" w:rsidRDefault="005214AE">
            <w:pPr>
              <w:spacing w:before="0" w:after="0"/>
              <w:jc w:val="center"/>
              <w:rPr>
                <w:rFonts w:ascii="Arial" w:hAnsi="Arial" w:cs="Arial"/>
                <w:color w:val="000000"/>
                <w:sz w:val="16"/>
                <w:szCs w:val="16"/>
                <w:lang w:val="en-AU" w:eastAsia="en-AU"/>
              </w:rPr>
            </w:pPr>
          </w:p>
        </w:tc>
      </w:tr>
      <w:tr w:rsidR="00F44114" w:rsidRPr="00125162" w14:paraId="3AFC1D95"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4A1646DF"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Hume Moreland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3A9A6F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58%</w:t>
            </w:r>
          </w:p>
        </w:tc>
        <w:tc>
          <w:tcPr>
            <w:tcW w:w="808" w:type="dxa"/>
            <w:tcBorders>
              <w:top w:val="nil"/>
              <w:left w:val="nil"/>
              <w:bottom w:val="single" w:sz="4" w:space="0" w:color="BFBFBF"/>
              <w:right w:val="single" w:sz="4" w:space="0" w:color="auto"/>
            </w:tcBorders>
            <w:shd w:val="clear" w:color="auto" w:fill="auto"/>
            <w:noWrap/>
            <w:vAlign w:val="center"/>
          </w:tcPr>
          <w:p w14:paraId="2E761B6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w:t>
            </w:r>
          </w:p>
        </w:tc>
        <w:tc>
          <w:tcPr>
            <w:tcW w:w="808" w:type="dxa"/>
            <w:tcBorders>
              <w:top w:val="nil"/>
              <w:left w:val="nil"/>
              <w:bottom w:val="single" w:sz="4" w:space="0" w:color="BFBFBF"/>
              <w:right w:val="single" w:sz="4" w:space="0" w:color="BFBFBF"/>
            </w:tcBorders>
            <w:shd w:val="clear" w:color="auto" w:fill="auto"/>
            <w:noWrap/>
            <w:vAlign w:val="center"/>
          </w:tcPr>
          <w:p w14:paraId="0407276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180399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F2F450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675" w:type="dxa"/>
            <w:tcBorders>
              <w:top w:val="nil"/>
              <w:left w:val="nil"/>
              <w:bottom w:val="single" w:sz="4" w:space="0" w:color="BFBFBF"/>
              <w:right w:val="single" w:sz="4" w:space="0" w:color="auto"/>
            </w:tcBorders>
            <w:shd w:val="clear" w:color="auto" w:fill="auto"/>
            <w:noWrap/>
            <w:vAlign w:val="center"/>
          </w:tcPr>
          <w:p w14:paraId="637712B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664</w:t>
            </w:r>
          </w:p>
        </w:tc>
        <w:tc>
          <w:tcPr>
            <w:tcW w:w="808" w:type="dxa"/>
            <w:tcBorders>
              <w:top w:val="nil"/>
              <w:left w:val="nil"/>
              <w:bottom w:val="single" w:sz="4" w:space="0" w:color="BFBFBF"/>
              <w:right w:val="single" w:sz="4" w:space="0" w:color="BFBFBF"/>
            </w:tcBorders>
            <w:shd w:val="clear" w:color="auto" w:fill="auto"/>
            <w:noWrap/>
            <w:vAlign w:val="center"/>
          </w:tcPr>
          <w:p w14:paraId="6A1546F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4D50B88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CC375A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35" w:type="dxa"/>
            <w:tcBorders>
              <w:top w:val="nil"/>
              <w:left w:val="nil"/>
              <w:bottom w:val="single" w:sz="4" w:space="0" w:color="BFBFBF"/>
              <w:right w:val="nil"/>
            </w:tcBorders>
            <w:shd w:val="clear" w:color="auto" w:fill="auto"/>
            <w:noWrap/>
            <w:vAlign w:val="center"/>
          </w:tcPr>
          <w:p w14:paraId="6186198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08E4C4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1E10F96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C3D253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81%</w:t>
            </w:r>
          </w:p>
        </w:tc>
        <w:tc>
          <w:tcPr>
            <w:tcW w:w="808" w:type="dxa"/>
            <w:tcBorders>
              <w:top w:val="nil"/>
              <w:left w:val="nil"/>
              <w:bottom w:val="single" w:sz="4" w:space="0" w:color="BFBFBF"/>
              <w:right w:val="single" w:sz="4" w:space="0" w:color="auto"/>
            </w:tcBorders>
            <w:shd w:val="clear" w:color="auto" w:fill="auto"/>
            <w:noWrap/>
            <w:vAlign w:val="center"/>
          </w:tcPr>
          <w:p w14:paraId="20C949F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113</w:t>
            </w:r>
          </w:p>
        </w:tc>
        <w:tc>
          <w:tcPr>
            <w:tcW w:w="808" w:type="dxa"/>
            <w:tcBorders>
              <w:top w:val="nil"/>
              <w:left w:val="nil"/>
              <w:bottom w:val="single" w:sz="4" w:space="0" w:color="BFBFBF"/>
              <w:right w:val="single" w:sz="4" w:space="0" w:color="BFBFBF"/>
            </w:tcBorders>
            <w:shd w:val="clear" w:color="auto" w:fill="auto"/>
            <w:noWrap/>
            <w:vAlign w:val="center"/>
          </w:tcPr>
          <w:p w14:paraId="6526FE7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23FCF97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33CB977C"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507A98E"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North Eastern Melbourne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20090E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w:t>
            </w:r>
          </w:p>
        </w:tc>
        <w:tc>
          <w:tcPr>
            <w:tcW w:w="808" w:type="dxa"/>
            <w:tcBorders>
              <w:top w:val="nil"/>
              <w:left w:val="nil"/>
              <w:bottom w:val="single" w:sz="4" w:space="0" w:color="BFBFBF"/>
              <w:right w:val="single" w:sz="4" w:space="0" w:color="auto"/>
            </w:tcBorders>
            <w:shd w:val="clear" w:color="auto" w:fill="auto"/>
            <w:noWrap/>
            <w:vAlign w:val="center"/>
          </w:tcPr>
          <w:p w14:paraId="2AC4433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808" w:type="dxa"/>
            <w:tcBorders>
              <w:top w:val="nil"/>
              <w:left w:val="nil"/>
              <w:bottom w:val="single" w:sz="4" w:space="0" w:color="BFBFBF"/>
              <w:right w:val="single" w:sz="4" w:space="0" w:color="BFBFBF"/>
            </w:tcBorders>
            <w:shd w:val="clear" w:color="auto" w:fill="auto"/>
            <w:noWrap/>
            <w:vAlign w:val="center"/>
          </w:tcPr>
          <w:p w14:paraId="46545A0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D0E4A0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83A008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w:t>
            </w:r>
          </w:p>
        </w:tc>
        <w:tc>
          <w:tcPr>
            <w:tcW w:w="675" w:type="dxa"/>
            <w:tcBorders>
              <w:top w:val="nil"/>
              <w:left w:val="nil"/>
              <w:bottom w:val="single" w:sz="4" w:space="0" w:color="BFBFBF"/>
              <w:right w:val="single" w:sz="4" w:space="0" w:color="auto"/>
            </w:tcBorders>
            <w:shd w:val="clear" w:color="auto" w:fill="auto"/>
            <w:noWrap/>
            <w:vAlign w:val="center"/>
          </w:tcPr>
          <w:p w14:paraId="0433E23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592</w:t>
            </w:r>
          </w:p>
        </w:tc>
        <w:tc>
          <w:tcPr>
            <w:tcW w:w="808" w:type="dxa"/>
            <w:tcBorders>
              <w:top w:val="nil"/>
              <w:left w:val="nil"/>
              <w:bottom w:val="single" w:sz="4" w:space="0" w:color="BFBFBF"/>
              <w:right w:val="single" w:sz="4" w:space="0" w:color="BFBFBF"/>
            </w:tcBorders>
            <w:shd w:val="clear" w:color="auto" w:fill="auto"/>
            <w:noWrap/>
            <w:vAlign w:val="center"/>
          </w:tcPr>
          <w:p w14:paraId="5579116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209E28B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E8D9F9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4A30684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E1C5DF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614D396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A9FDD2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82%</w:t>
            </w:r>
          </w:p>
        </w:tc>
        <w:tc>
          <w:tcPr>
            <w:tcW w:w="808" w:type="dxa"/>
            <w:tcBorders>
              <w:top w:val="nil"/>
              <w:left w:val="nil"/>
              <w:bottom w:val="single" w:sz="4" w:space="0" w:color="BFBFBF"/>
              <w:right w:val="single" w:sz="4" w:space="0" w:color="auto"/>
            </w:tcBorders>
            <w:shd w:val="clear" w:color="auto" w:fill="auto"/>
            <w:noWrap/>
            <w:vAlign w:val="center"/>
          </w:tcPr>
          <w:p w14:paraId="11F374D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130</w:t>
            </w:r>
          </w:p>
        </w:tc>
        <w:tc>
          <w:tcPr>
            <w:tcW w:w="808" w:type="dxa"/>
            <w:tcBorders>
              <w:top w:val="nil"/>
              <w:left w:val="nil"/>
              <w:bottom w:val="single" w:sz="4" w:space="0" w:color="BFBFBF"/>
              <w:right w:val="single" w:sz="4" w:space="0" w:color="BFBFBF"/>
            </w:tcBorders>
            <w:shd w:val="clear" w:color="auto" w:fill="auto"/>
            <w:noWrap/>
            <w:vAlign w:val="center"/>
          </w:tcPr>
          <w:p w14:paraId="43D5150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6094494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52004503"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247F4B76"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Outer </w:t>
            </w:r>
            <w:smartTag w:uri="urn:schemas-microsoft-com:office:smarttags" w:element="place">
              <w:r w:rsidRPr="00125162">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27EB86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66%</w:t>
            </w:r>
          </w:p>
        </w:tc>
        <w:tc>
          <w:tcPr>
            <w:tcW w:w="808" w:type="dxa"/>
            <w:tcBorders>
              <w:top w:val="nil"/>
              <w:left w:val="nil"/>
              <w:bottom w:val="single" w:sz="4" w:space="0" w:color="BFBFBF"/>
              <w:right w:val="single" w:sz="4" w:space="0" w:color="auto"/>
            </w:tcBorders>
            <w:shd w:val="clear" w:color="auto" w:fill="auto"/>
            <w:noWrap/>
            <w:vAlign w:val="center"/>
          </w:tcPr>
          <w:p w14:paraId="1275D6D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808" w:type="dxa"/>
            <w:tcBorders>
              <w:top w:val="nil"/>
              <w:left w:val="nil"/>
              <w:bottom w:val="single" w:sz="4" w:space="0" w:color="BFBFBF"/>
              <w:right w:val="single" w:sz="4" w:space="0" w:color="BFBFBF"/>
            </w:tcBorders>
            <w:shd w:val="clear" w:color="auto" w:fill="auto"/>
            <w:noWrap/>
            <w:vAlign w:val="center"/>
          </w:tcPr>
          <w:p w14:paraId="4DBE994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40BA0C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D238D3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675" w:type="dxa"/>
            <w:tcBorders>
              <w:top w:val="nil"/>
              <w:left w:val="nil"/>
              <w:bottom w:val="single" w:sz="4" w:space="0" w:color="BFBFBF"/>
              <w:right w:val="single" w:sz="4" w:space="0" w:color="auto"/>
            </w:tcBorders>
            <w:shd w:val="clear" w:color="auto" w:fill="auto"/>
            <w:noWrap/>
            <w:vAlign w:val="center"/>
          </w:tcPr>
          <w:p w14:paraId="07EC72A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458</w:t>
            </w:r>
          </w:p>
        </w:tc>
        <w:tc>
          <w:tcPr>
            <w:tcW w:w="808" w:type="dxa"/>
            <w:tcBorders>
              <w:top w:val="nil"/>
              <w:left w:val="nil"/>
              <w:bottom w:val="single" w:sz="4" w:space="0" w:color="BFBFBF"/>
              <w:right w:val="single" w:sz="4" w:space="0" w:color="BFBFBF"/>
            </w:tcBorders>
            <w:shd w:val="clear" w:color="auto" w:fill="auto"/>
            <w:noWrap/>
            <w:vAlign w:val="center"/>
          </w:tcPr>
          <w:p w14:paraId="14F7799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74FF5DA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3B9CA4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0991FF8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105A46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1081F27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440A02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auto"/>
            </w:tcBorders>
            <w:shd w:val="clear" w:color="auto" w:fill="auto"/>
            <w:noWrap/>
            <w:vAlign w:val="center"/>
          </w:tcPr>
          <w:p w14:paraId="1E4C732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157</w:t>
            </w:r>
          </w:p>
        </w:tc>
        <w:tc>
          <w:tcPr>
            <w:tcW w:w="808" w:type="dxa"/>
            <w:tcBorders>
              <w:top w:val="nil"/>
              <w:left w:val="nil"/>
              <w:bottom w:val="single" w:sz="4" w:space="0" w:color="BFBFBF"/>
              <w:right w:val="single" w:sz="4" w:space="0" w:color="BFBFBF"/>
            </w:tcBorders>
            <w:shd w:val="clear" w:color="auto" w:fill="auto"/>
            <w:noWrap/>
            <w:vAlign w:val="center"/>
          </w:tcPr>
          <w:p w14:paraId="75EA4C1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387740D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00F27FFE"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F645F0D"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Inner </w:t>
            </w:r>
            <w:smartTag w:uri="urn:schemas-microsoft-com:office:smarttags" w:element="place">
              <w:r w:rsidRPr="00125162">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89F633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66%</w:t>
            </w:r>
          </w:p>
        </w:tc>
        <w:tc>
          <w:tcPr>
            <w:tcW w:w="808" w:type="dxa"/>
            <w:tcBorders>
              <w:top w:val="nil"/>
              <w:left w:val="nil"/>
              <w:bottom w:val="single" w:sz="4" w:space="0" w:color="BFBFBF"/>
              <w:right w:val="single" w:sz="4" w:space="0" w:color="auto"/>
            </w:tcBorders>
            <w:shd w:val="clear" w:color="auto" w:fill="auto"/>
            <w:noWrap/>
            <w:vAlign w:val="center"/>
          </w:tcPr>
          <w:p w14:paraId="15AD372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808" w:type="dxa"/>
            <w:tcBorders>
              <w:top w:val="nil"/>
              <w:left w:val="nil"/>
              <w:bottom w:val="single" w:sz="4" w:space="0" w:color="BFBFBF"/>
              <w:right w:val="single" w:sz="4" w:space="0" w:color="BFBFBF"/>
            </w:tcBorders>
            <w:shd w:val="clear" w:color="auto" w:fill="auto"/>
            <w:noWrap/>
            <w:vAlign w:val="center"/>
          </w:tcPr>
          <w:p w14:paraId="312A943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4985A84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796580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675" w:type="dxa"/>
            <w:tcBorders>
              <w:top w:val="nil"/>
              <w:left w:val="nil"/>
              <w:bottom w:val="single" w:sz="4" w:space="0" w:color="BFBFBF"/>
              <w:right w:val="single" w:sz="4" w:space="0" w:color="auto"/>
            </w:tcBorders>
            <w:shd w:val="clear" w:color="auto" w:fill="auto"/>
            <w:noWrap/>
            <w:vAlign w:val="center"/>
          </w:tcPr>
          <w:p w14:paraId="4DBBFE6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699</w:t>
            </w:r>
          </w:p>
        </w:tc>
        <w:tc>
          <w:tcPr>
            <w:tcW w:w="808" w:type="dxa"/>
            <w:tcBorders>
              <w:top w:val="nil"/>
              <w:left w:val="nil"/>
              <w:bottom w:val="single" w:sz="4" w:space="0" w:color="BFBFBF"/>
              <w:right w:val="single" w:sz="4" w:space="0" w:color="BFBFBF"/>
            </w:tcBorders>
            <w:shd w:val="clear" w:color="auto" w:fill="auto"/>
            <w:noWrap/>
            <w:vAlign w:val="center"/>
          </w:tcPr>
          <w:p w14:paraId="401A900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5615212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3A4EA1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68B5854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6C666C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5461E1C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A1F179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76%</w:t>
            </w:r>
          </w:p>
        </w:tc>
        <w:tc>
          <w:tcPr>
            <w:tcW w:w="808" w:type="dxa"/>
            <w:tcBorders>
              <w:top w:val="nil"/>
              <w:left w:val="nil"/>
              <w:bottom w:val="single" w:sz="4" w:space="0" w:color="BFBFBF"/>
              <w:right w:val="single" w:sz="4" w:space="0" w:color="auto"/>
            </w:tcBorders>
            <w:shd w:val="clear" w:color="auto" w:fill="auto"/>
            <w:noWrap/>
            <w:vAlign w:val="center"/>
          </w:tcPr>
          <w:p w14:paraId="25D99BB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127</w:t>
            </w:r>
          </w:p>
        </w:tc>
        <w:tc>
          <w:tcPr>
            <w:tcW w:w="808" w:type="dxa"/>
            <w:tcBorders>
              <w:top w:val="nil"/>
              <w:left w:val="nil"/>
              <w:bottom w:val="single" w:sz="4" w:space="0" w:color="BFBFBF"/>
              <w:right w:val="single" w:sz="4" w:space="0" w:color="BFBFBF"/>
            </w:tcBorders>
            <w:shd w:val="clear" w:color="auto" w:fill="auto"/>
            <w:noWrap/>
            <w:vAlign w:val="center"/>
          </w:tcPr>
          <w:p w14:paraId="2838298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0D9DFCA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174DADA9"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224E745"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Southern Melbourne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CC9448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60%</w:t>
            </w:r>
          </w:p>
        </w:tc>
        <w:tc>
          <w:tcPr>
            <w:tcW w:w="808" w:type="dxa"/>
            <w:tcBorders>
              <w:top w:val="nil"/>
              <w:left w:val="nil"/>
              <w:bottom w:val="single" w:sz="4" w:space="0" w:color="BFBFBF"/>
              <w:right w:val="single" w:sz="4" w:space="0" w:color="auto"/>
            </w:tcBorders>
            <w:shd w:val="clear" w:color="auto" w:fill="auto"/>
            <w:noWrap/>
            <w:vAlign w:val="center"/>
          </w:tcPr>
          <w:p w14:paraId="20566A7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808" w:type="dxa"/>
            <w:tcBorders>
              <w:top w:val="nil"/>
              <w:left w:val="nil"/>
              <w:bottom w:val="single" w:sz="4" w:space="0" w:color="BFBFBF"/>
              <w:right w:val="single" w:sz="4" w:space="0" w:color="BFBFBF"/>
            </w:tcBorders>
            <w:shd w:val="clear" w:color="auto" w:fill="auto"/>
            <w:noWrap/>
            <w:vAlign w:val="center"/>
          </w:tcPr>
          <w:p w14:paraId="2E3F7AB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5453F21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37AF88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675" w:type="dxa"/>
            <w:tcBorders>
              <w:top w:val="nil"/>
              <w:left w:val="nil"/>
              <w:bottom w:val="single" w:sz="4" w:space="0" w:color="BFBFBF"/>
              <w:right w:val="single" w:sz="4" w:space="0" w:color="auto"/>
            </w:tcBorders>
            <w:shd w:val="clear" w:color="auto" w:fill="auto"/>
            <w:noWrap/>
            <w:vAlign w:val="center"/>
          </w:tcPr>
          <w:p w14:paraId="0F9D384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623</w:t>
            </w:r>
          </w:p>
        </w:tc>
        <w:tc>
          <w:tcPr>
            <w:tcW w:w="808" w:type="dxa"/>
            <w:tcBorders>
              <w:top w:val="nil"/>
              <w:left w:val="nil"/>
              <w:bottom w:val="single" w:sz="4" w:space="0" w:color="BFBFBF"/>
              <w:right w:val="single" w:sz="4" w:space="0" w:color="BFBFBF"/>
            </w:tcBorders>
            <w:shd w:val="clear" w:color="auto" w:fill="auto"/>
            <w:noWrap/>
            <w:vAlign w:val="center"/>
          </w:tcPr>
          <w:p w14:paraId="1D84981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02CC83B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E54AD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35" w:type="dxa"/>
            <w:tcBorders>
              <w:top w:val="nil"/>
              <w:left w:val="nil"/>
              <w:bottom w:val="single" w:sz="4" w:space="0" w:color="BFBFBF"/>
              <w:right w:val="nil"/>
            </w:tcBorders>
            <w:shd w:val="clear" w:color="auto" w:fill="auto"/>
            <w:noWrap/>
            <w:vAlign w:val="center"/>
          </w:tcPr>
          <w:p w14:paraId="4974C14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F284B0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67D29A1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56E42B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82%</w:t>
            </w:r>
          </w:p>
        </w:tc>
        <w:tc>
          <w:tcPr>
            <w:tcW w:w="808" w:type="dxa"/>
            <w:tcBorders>
              <w:top w:val="nil"/>
              <w:left w:val="nil"/>
              <w:bottom w:val="single" w:sz="4" w:space="0" w:color="BFBFBF"/>
              <w:right w:val="single" w:sz="4" w:space="0" w:color="auto"/>
            </w:tcBorders>
            <w:shd w:val="clear" w:color="auto" w:fill="auto"/>
            <w:noWrap/>
            <w:vAlign w:val="center"/>
          </w:tcPr>
          <w:p w14:paraId="42014E1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128</w:t>
            </w:r>
          </w:p>
        </w:tc>
        <w:tc>
          <w:tcPr>
            <w:tcW w:w="808" w:type="dxa"/>
            <w:tcBorders>
              <w:top w:val="nil"/>
              <w:left w:val="nil"/>
              <w:bottom w:val="single" w:sz="4" w:space="0" w:color="BFBFBF"/>
              <w:right w:val="single" w:sz="4" w:space="0" w:color="BFBFBF"/>
            </w:tcBorders>
            <w:shd w:val="clear" w:color="auto" w:fill="auto"/>
            <w:noWrap/>
            <w:vAlign w:val="center"/>
          </w:tcPr>
          <w:p w14:paraId="471D1D9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43044EB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7359E926"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1A0BEFAF"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Bayside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6F6C46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60%</w:t>
            </w:r>
          </w:p>
        </w:tc>
        <w:tc>
          <w:tcPr>
            <w:tcW w:w="808" w:type="dxa"/>
            <w:tcBorders>
              <w:top w:val="nil"/>
              <w:left w:val="nil"/>
              <w:bottom w:val="single" w:sz="4" w:space="0" w:color="BFBFBF"/>
              <w:right w:val="single" w:sz="4" w:space="0" w:color="auto"/>
            </w:tcBorders>
            <w:shd w:val="clear" w:color="auto" w:fill="auto"/>
            <w:noWrap/>
            <w:vAlign w:val="center"/>
          </w:tcPr>
          <w:p w14:paraId="53D93CE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808" w:type="dxa"/>
            <w:tcBorders>
              <w:top w:val="nil"/>
              <w:left w:val="nil"/>
              <w:bottom w:val="single" w:sz="4" w:space="0" w:color="BFBFBF"/>
              <w:right w:val="single" w:sz="4" w:space="0" w:color="BFBFBF"/>
            </w:tcBorders>
            <w:shd w:val="clear" w:color="auto" w:fill="auto"/>
            <w:noWrap/>
            <w:vAlign w:val="center"/>
          </w:tcPr>
          <w:p w14:paraId="5001EDB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750A4F9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79D1FB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51D675B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630</w:t>
            </w:r>
          </w:p>
        </w:tc>
        <w:tc>
          <w:tcPr>
            <w:tcW w:w="808" w:type="dxa"/>
            <w:tcBorders>
              <w:top w:val="nil"/>
              <w:left w:val="nil"/>
              <w:bottom w:val="single" w:sz="4" w:space="0" w:color="BFBFBF"/>
              <w:right w:val="single" w:sz="4" w:space="0" w:color="BFBFBF"/>
            </w:tcBorders>
            <w:shd w:val="clear" w:color="auto" w:fill="auto"/>
            <w:noWrap/>
            <w:vAlign w:val="center"/>
          </w:tcPr>
          <w:p w14:paraId="2B6DC25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2CC588E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121E51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7C5DFDF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E4D46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31B668C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DDEC54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85%</w:t>
            </w:r>
          </w:p>
        </w:tc>
        <w:tc>
          <w:tcPr>
            <w:tcW w:w="808" w:type="dxa"/>
            <w:tcBorders>
              <w:top w:val="nil"/>
              <w:left w:val="nil"/>
              <w:bottom w:val="single" w:sz="4" w:space="0" w:color="BFBFBF"/>
              <w:right w:val="single" w:sz="4" w:space="0" w:color="auto"/>
            </w:tcBorders>
            <w:shd w:val="clear" w:color="auto" w:fill="auto"/>
            <w:noWrap/>
            <w:vAlign w:val="center"/>
          </w:tcPr>
          <w:p w14:paraId="264321F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148</w:t>
            </w:r>
          </w:p>
        </w:tc>
        <w:tc>
          <w:tcPr>
            <w:tcW w:w="808" w:type="dxa"/>
            <w:tcBorders>
              <w:top w:val="nil"/>
              <w:left w:val="nil"/>
              <w:bottom w:val="single" w:sz="4" w:space="0" w:color="BFBFBF"/>
              <w:right w:val="single" w:sz="4" w:space="0" w:color="BFBFBF"/>
            </w:tcBorders>
            <w:shd w:val="clear" w:color="auto" w:fill="auto"/>
            <w:noWrap/>
            <w:vAlign w:val="center"/>
          </w:tcPr>
          <w:p w14:paraId="787ACD2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1A1D5BD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63E52F43"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5B525C07"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Western Melbourne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1A150E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w:t>
            </w:r>
          </w:p>
        </w:tc>
        <w:tc>
          <w:tcPr>
            <w:tcW w:w="808" w:type="dxa"/>
            <w:tcBorders>
              <w:top w:val="nil"/>
              <w:left w:val="nil"/>
              <w:bottom w:val="single" w:sz="4" w:space="0" w:color="BFBFBF"/>
              <w:right w:val="single" w:sz="4" w:space="0" w:color="auto"/>
            </w:tcBorders>
            <w:shd w:val="clear" w:color="auto" w:fill="auto"/>
            <w:noWrap/>
            <w:vAlign w:val="center"/>
          </w:tcPr>
          <w:p w14:paraId="24A8CDD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808" w:type="dxa"/>
            <w:tcBorders>
              <w:top w:val="nil"/>
              <w:left w:val="nil"/>
              <w:bottom w:val="single" w:sz="4" w:space="0" w:color="BFBFBF"/>
              <w:right w:val="single" w:sz="4" w:space="0" w:color="BFBFBF"/>
            </w:tcBorders>
            <w:shd w:val="clear" w:color="auto" w:fill="auto"/>
            <w:noWrap/>
            <w:vAlign w:val="center"/>
          </w:tcPr>
          <w:p w14:paraId="7AEE500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3802EF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796678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single" w:sz="4" w:space="0" w:color="auto"/>
            </w:tcBorders>
            <w:shd w:val="clear" w:color="auto" w:fill="auto"/>
            <w:noWrap/>
            <w:vAlign w:val="center"/>
          </w:tcPr>
          <w:p w14:paraId="300DE5C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574</w:t>
            </w:r>
          </w:p>
        </w:tc>
        <w:tc>
          <w:tcPr>
            <w:tcW w:w="808" w:type="dxa"/>
            <w:tcBorders>
              <w:top w:val="nil"/>
              <w:left w:val="nil"/>
              <w:bottom w:val="single" w:sz="4" w:space="0" w:color="BFBFBF"/>
              <w:right w:val="single" w:sz="4" w:space="0" w:color="BFBFBF"/>
            </w:tcBorders>
            <w:shd w:val="clear" w:color="auto" w:fill="auto"/>
            <w:noWrap/>
            <w:vAlign w:val="center"/>
          </w:tcPr>
          <w:p w14:paraId="2033FCC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0575F63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973D9E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0C7C1E2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09EB6B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33D3279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6A2F21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83%</w:t>
            </w:r>
          </w:p>
        </w:tc>
        <w:tc>
          <w:tcPr>
            <w:tcW w:w="808" w:type="dxa"/>
            <w:tcBorders>
              <w:top w:val="nil"/>
              <w:left w:val="nil"/>
              <w:bottom w:val="single" w:sz="4" w:space="0" w:color="BFBFBF"/>
              <w:right w:val="single" w:sz="4" w:space="0" w:color="auto"/>
            </w:tcBorders>
            <w:shd w:val="clear" w:color="auto" w:fill="auto"/>
            <w:noWrap/>
            <w:vAlign w:val="center"/>
          </w:tcPr>
          <w:p w14:paraId="742F6B6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143</w:t>
            </w:r>
          </w:p>
        </w:tc>
        <w:tc>
          <w:tcPr>
            <w:tcW w:w="808" w:type="dxa"/>
            <w:tcBorders>
              <w:top w:val="nil"/>
              <w:left w:val="nil"/>
              <w:bottom w:val="single" w:sz="4" w:space="0" w:color="BFBFBF"/>
              <w:right w:val="single" w:sz="4" w:space="0" w:color="BFBFBF"/>
            </w:tcBorders>
            <w:shd w:val="clear" w:color="auto" w:fill="auto"/>
            <w:noWrap/>
            <w:vAlign w:val="center"/>
          </w:tcPr>
          <w:p w14:paraId="5A38F81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569316F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44897E6E"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A531140"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Brimbank Melton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FC9C46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w:t>
            </w:r>
          </w:p>
        </w:tc>
        <w:tc>
          <w:tcPr>
            <w:tcW w:w="808" w:type="dxa"/>
            <w:tcBorders>
              <w:top w:val="nil"/>
              <w:left w:val="nil"/>
              <w:bottom w:val="single" w:sz="4" w:space="0" w:color="BFBFBF"/>
              <w:right w:val="single" w:sz="4" w:space="0" w:color="auto"/>
            </w:tcBorders>
            <w:shd w:val="clear" w:color="auto" w:fill="auto"/>
            <w:noWrap/>
            <w:vAlign w:val="center"/>
          </w:tcPr>
          <w:p w14:paraId="4A7F87F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808" w:type="dxa"/>
            <w:tcBorders>
              <w:top w:val="nil"/>
              <w:left w:val="nil"/>
              <w:bottom w:val="single" w:sz="4" w:space="0" w:color="BFBFBF"/>
              <w:right w:val="single" w:sz="4" w:space="0" w:color="BFBFBF"/>
            </w:tcBorders>
            <w:shd w:val="clear" w:color="auto" w:fill="auto"/>
            <w:noWrap/>
            <w:vAlign w:val="center"/>
          </w:tcPr>
          <w:p w14:paraId="198F061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1EE861A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3F7860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675" w:type="dxa"/>
            <w:tcBorders>
              <w:top w:val="nil"/>
              <w:left w:val="nil"/>
              <w:bottom w:val="single" w:sz="4" w:space="0" w:color="BFBFBF"/>
              <w:right w:val="single" w:sz="4" w:space="0" w:color="auto"/>
            </w:tcBorders>
            <w:shd w:val="clear" w:color="auto" w:fill="auto"/>
            <w:noWrap/>
            <w:vAlign w:val="center"/>
          </w:tcPr>
          <w:p w14:paraId="59DDC17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245</w:t>
            </w:r>
          </w:p>
        </w:tc>
        <w:tc>
          <w:tcPr>
            <w:tcW w:w="808" w:type="dxa"/>
            <w:tcBorders>
              <w:top w:val="nil"/>
              <w:left w:val="nil"/>
              <w:bottom w:val="single" w:sz="4" w:space="0" w:color="BFBFBF"/>
              <w:right w:val="single" w:sz="4" w:space="0" w:color="BFBFBF"/>
            </w:tcBorders>
            <w:shd w:val="clear" w:color="auto" w:fill="auto"/>
            <w:noWrap/>
            <w:vAlign w:val="center"/>
          </w:tcPr>
          <w:p w14:paraId="2B54B76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6C0D69F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9A84B9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286854F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591612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7548D69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65CDB9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w:t>
            </w:r>
          </w:p>
        </w:tc>
        <w:tc>
          <w:tcPr>
            <w:tcW w:w="808" w:type="dxa"/>
            <w:tcBorders>
              <w:top w:val="nil"/>
              <w:left w:val="nil"/>
              <w:bottom w:val="single" w:sz="4" w:space="0" w:color="BFBFBF"/>
              <w:right w:val="single" w:sz="4" w:space="0" w:color="auto"/>
            </w:tcBorders>
            <w:shd w:val="clear" w:color="auto" w:fill="auto"/>
            <w:noWrap/>
            <w:vAlign w:val="center"/>
          </w:tcPr>
          <w:p w14:paraId="335FD71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178</w:t>
            </w:r>
          </w:p>
        </w:tc>
        <w:tc>
          <w:tcPr>
            <w:tcW w:w="808" w:type="dxa"/>
            <w:tcBorders>
              <w:top w:val="nil"/>
              <w:left w:val="nil"/>
              <w:bottom w:val="single" w:sz="4" w:space="0" w:color="BFBFBF"/>
              <w:right w:val="single" w:sz="4" w:space="0" w:color="BFBFBF"/>
            </w:tcBorders>
            <w:shd w:val="clear" w:color="auto" w:fill="auto"/>
            <w:noWrap/>
            <w:vAlign w:val="center"/>
          </w:tcPr>
          <w:p w14:paraId="7ECB548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5976FB0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7142206C"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9C42CF5"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Mallee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5FD9B8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79%</w:t>
            </w:r>
          </w:p>
        </w:tc>
        <w:tc>
          <w:tcPr>
            <w:tcW w:w="808" w:type="dxa"/>
            <w:tcBorders>
              <w:top w:val="nil"/>
              <w:left w:val="nil"/>
              <w:bottom w:val="single" w:sz="4" w:space="0" w:color="BFBFBF"/>
              <w:right w:val="single" w:sz="4" w:space="0" w:color="auto"/>
            </w:tcBorders>
            <w:shd w:val="clear" w:color="auto" w:fill="auto"/>
            <w:noWrap/>
            <w:vAlign w:val="center"/>
          </w:tcPr>
          <w:p w14:paraId="0D4472C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808" w:type="dxa"/>
            <w:tcBorders>
              <w:top w:val="nil"/>
              <w:left w:val="nil"/>
              <w:bottom w:val="single" w:sz="4" w:space="0" w:color="BFBFBF"/>
              <w:right w:val="single" w:sz="4" w:space="0" w:color="BFBFBF"/>
            </w:tcBorders>
            <w:shd w:val="clear" w:color="auto" w:fill="auto"/>
            <w:noWrap/>
            <w:vAlign w:val="center"/>
          </w:tcPr>
          <w:p w14:paraId="15F4AD0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669F238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224175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675" w:type="dxa"/>
            <w:tcBorders>
              <w:top w:val="nil"/>
              <w:left w:val="nil"/>
              <w:bottom w:val="single" w:sz="4" w:space="0" w:color="BFBFBF"/>
              <w:right w:val="single" w:sz="4" w:space="0" w:color="auto"/>
            </w:tcBorders>
            <w:shd w:val="clear" w:color="auto" w:fill="auto"/>
            <w:noWrap/>
            <w:vAlign w:val="center"/>
          </w:tcPr>
          <w:p w14:paraId="3DA132A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682</w:t>
            </w:r>
          </w:p>
        </w:tc>
        <w:tc>
          <w:tcPr>
            <w:tcW w:w="808" w:type="dxa"/>
            <w:tcBorders>
              <w:top w:val="nil"/>
              <w:left w:val="nil"/>
              <w:bottom w:val="single" w:sz="4" w:space="0" w:color="BFBFBF"/>
              <w:right w:val="single" w:sz="4" w:space="0" w:color="BFBFBF"/>
            </w:tcBorders>
            <w:shd w:val="clear" w:color="auto" w:fill="auto"/>
            <w:noWrap/>
            <w:vAlign w:val="center"/>
          </w:tcPr>
          <w:p w14:paraId="6C20679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3233DF0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B01010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4090C3A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CADD4C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03C88F3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02BF2C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68%</w:t>
            </w:r>
          </w:p>
        </w:tc>
        <w:tc>
          <w:tcPr>
            <w:tcW w:w="808" w:type="dxa"/>
            <w:tcBorders>
              <w:top w:val="nil"/>
              <w:left w:val="nil"/>
              <w:bottom w:val="single" w:sz="4" w:space="0" w:color="BFBFBF"/>
              <w:right w:val="single" w:sz="4" w:space="0" w:color="auto"/>
            </w:tcBorders>
            <w:shd w:val="clear" w:color="auto" w:fill="auto"/>
            <w:noWrap/>
            <w:vAlign w:val="center"/>
          </w:tcPr>
          <w:p w14:paraId="710E5B9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225</w:t>
            </w:r>
          </w:p>
        </w:tc>
        <w:tc>
          <w:tcPr>
            <w:tcW w:w="808" w:type="dxa"/>
            <w:tcBorders>
              <w:top w:val="nil"/>
              <w:left w:val="nil"/>
              <w:bottom w:val="single" w:sz="4" w:space="0" w:color="BFBFBF"/>
              <w:right w:val="single" w:sz="4" w:space="0" w:color="BFBFBF"/>
            </w:tcBorders>
            <w:shd w:val="clear" w:color="auto" w:fill="auto"/>
            <w:noWrap/>
            <w:vAlign w:val="center"/>
          </w:tcPr>
          <w:p w14:paraId="4EDBB34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5D78758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0AC4E39C"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10E2C1A7"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Loddon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62BE53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69%</w:t>
            </w:r>
          </w:p>
        </w:tc>
        <w:tc>
          <w:tcPr>
            <w:tcW w:w="808" w:type="dxa"/>
            <w:tcBorders>
              <w:top w:val="nil"/>
              <w:left w:val="nil"/>
              <w:bottom w:val="single" w:sz="4" w:space="0" w:color="BFBFBF"/>
              <w:right w:val="single" w:sz="4" w:space="0" w:color="auto"/>
            </w:tcBorders>
            <w:shd w:val="clear" w:color="auto" w:fill="auto"/>
            <w:noWrap/>
            <w:vAlign w:val="center"/>
          </w:tcPr>
          <w:p w14:paraId="3D05DFC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08" w:type="dxa"/>
            <w:tcBorders>
              <w:top w:val="nil"/>
              <w:left w:val="nil"/>
              <w:bottom w:val="single" w:sz="4" w:space="0" w:color="BFBFBF"/>
              <w:right w:val="single" w:sz="4" w:space="0" w:color="BFBFBF"/>
            </w:tcBorders>
            <w:shd w:val="clear" w:color="auto" w:fill="auto"/>
            <w:noWrap/>
            <w:vAlign w:val="center"/>
          </w:tcPr>
          <w:p w14:paraId="25678D5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10A73D7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ED004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675" w:type="dxa"/>
            <w:tcBorders>
              <w:top w:val="nil"/>
              <w:left w:val="nil"/>
              <w:bottom w:val="single" w:sz="4" w:space="0" w:color="BFBFBF"/>
              <w:right w:val="single" w:sz="4" w:space="0" w:color="auto"/>
            </w:tcBorders>
            <w:shd w:val="clear" w:color="auto" w:fill="auto"/>
            <w:noWrap/>
            <w:vAlign w:val="center"/>
          </w:tcPr>
          <w:p w14:paraId="713070A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616</w:t>
            </w:r>
          </w:p>
        </w:tc>
        <w:tc>
          <w:tcPr>
            <w:tcW w:w="808" w:type="dxa"/>
            <w:tcBorders>
              <w:top w:val="nil"/>
              <w:left w:val="nil"/>
              <w:bottom w:val="single" w:sz="4" w:space="0" w:color="BFBFBF"/>
              <w:right w:val="single" w:sz="4" w:space="0" w:color="BFBFBF"/>
            </w:tcBorders>
            <w:shd w:val="clear" w:color="auto" w:fill="auto"/>
            <w:noWrap/>
            <w:vAlign w:val="center"/>
          </w:tcPr>
          <w:p w14:paraId="6A5F380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61F5FBC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4C9C05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3AE48D6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D12041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67346F8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1A7614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68%</w:t>
            </w:r>
          </w:p>
        </w:tc>
        <w:tc>
          <w:tcPr>
            <w:tcW w:w="808" w:type="dxa"/>
            <w:tcBorders>
              <w:top w:val="nil"/>
              <w:left w:val="nil"/>
              <w:bottom w:val="single" w:sz="4" w:space="0" w:color="BFBFBF"/>
              <w:right w:val="single" w:sz="4" w:space="0" w:color="auto"/>
            </w:tcBorders>
            <w:shd w:val="clear" w:color="auto" w:fill="auto"/>
            <w:noWrap/>
            <w:vAlign w:val="center"/>
          </w:tcPr>
          <w:p w14:paraId="6D4C262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156</w:t>
            </w:r>
          </w:p>
        </w:tc>
        <w:tc>
          <w:tcPr>
            <w:tcW w:w="808" w:type="dxa"/>
            <w:tcBorders>
              <w:top w:val="nil"/>
              <w:left w:val="nil"/>
              <w:bottom w:val="single" w:sz="4" w:space="0" w:color="BFBFBF"/>
              <w:right w:val="single" w:sz="4" w:space="0" w:color="BFBFBF"/>
            </w:tcBorders>
            <w:shd w:val="clear" w:color="auto" w:fill="auto"/>
            <w:noWrap/>
            <w:vAlign w:val="center"/>
          </w:tcPr>
          <w:p w14:paraId="1D6090F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1CA5414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610995FA"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3E5C835B"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125162">
                  <w:rPr>
                    <w:rFonts w:ascii="Arial" w:hAnsi="Arial" w:cs="Arial"/>
                    <w:color w:val="000000"/>
                    <w:sz w:val="16"/>
                    <w:szCs w:val="16"/>
                    <w:lang w:val="en-AU" w:eastAsia="en-AU"/>
                  </w:rPr>
                  <w:t>Murray</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E280FE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58%</w:t>
            </w:r>
          </w:p>
        </w:tc>
        <w:tc>
          <w:tcPr>
            <w:tcW w:w="808" w:type="dxa"/>
            <w:tcBorders>
              <w:top w:val="nil"/>
              <w:left w:val="nil"/>
              <w:bottom w:val="single" w:sz="4" w:space="0" w:color="BFBFBF"/>
              <w:right w:val="single" w:sz="4" w:space="0" w:color="auto"/>
            </w:tcBorders>
            <w:shd w:val="clear" w:color="auto" w:fill="auto"/>
            <w:noWrap/>
            <w:vAlign w:val="center"/>
          </w:tcPr>
          <w:p w14:paraId="61F7D71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808" w:type="dxa"/>
            <w:tcBorders>
              <w:top w:val="nil"/>
              <w:left w:val="nil"/>
              <w:bottom w:val="single" w:sz="4" w:space="0" w:color="BFBFBF"/>
              <w:right w:val="single" w:sz="4" w:space="0" w:color="BFBFBF"/>
            </w:tcBorders>
            <w:shd w:val="clear" w:color="auto" w:fill="auto"/>
            <w:noWrap/>
            <w:vAlign w:val="center"/>
          </w:tcPr>
          <w:p w14:paraId="7C030E5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1C49943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DC7EAC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675" w:type="dxa"/>
            <w:tcBorders>
              <w:top w:val="nil"/>
              <w:left w:val="nil"/>
              <w:bottom w:val="single" w:sz="4" w:space="0" w:color="BFBFBF"/>
              <w:right w:val="single" w:sz="4" w:space="0" w:color="auto"/>
            </w:tcBorders>
            <w:shd w:val="clear" w:color="auto" w:fill="auto"/>
            <w:noWrap/>
            <w:vAlign w:val="center"/>
          </w:tcPr>
          <w:p w14:paraId="0987BF1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610</w:t>
            </w:r>
          </w:p>
        </w:tc>
        <w:tc>
          <w:tcPr>
            <w:tcW w:w="808" w:type="dxa"/>
            <w:tcBorders>
              <w:top w:val="nil"/>
              <w:left w:val="nil"/>
              <w:bottom w:val="single" w:sz="4" w:space="0" w:color="BFBFBF"/>
              <w:right w:val="single" w:sz="4" w:space="0" w:color="BFBFBF"/>
            </w:tcBorders>
            <w:shd w:val="clear" w:color="auto" w:fill="auto"/>
            <w:noWrap/>
            <w:vAlign w:val="center"/>
          </w:tcPr>
          <w:p w14:paraId="37BAE8E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18853F4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AD884F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w:t>
            </w:r>
          </w:p>
        </w:tc>
        <w:tc>
          <w:tcPr>
            <w:tcW w:w="535" w:type="dxa"/>
            <w:tcBorders>
              <w:top w:val="nil"/>
              <w:left w:val="nil"/>
              <w:bottom w:val="single" w:sz="4" w:space="0" w:color="BFBFBF"/>
              <w:right w:val="nil"/>
            </w:tcBorders>
            <w:shd w:val="clear" w:color="auto" w:fill="auto"/>
            <w:noWrap/>
            <w:vAlign w:val="center"/>
          </w:tcPr>
          <w:p w14:paraId="6F70F3B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B423EA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176A1C5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CCD9AE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w:t>
            </w:r>
          </w:p>
        </w:tc>
        <w:tc>
          <w:tcPr>
            <w:tcW w:w="808" w:type="dxa"/>
            <w:tcBorders>
              <w:top w:val="nil"/>
              <w:left w:val="nil"/>
              <w:bottom w:val="single" w:sz="4" w:space="0" w:color="BFBFBF"/>
              <w:right w:val="single" w:sz="4" w:space="0" w:color="auto"/>
            </w:tcBorders>
            <w:shd w:val="clear" w:color="auto" w:fill="auto"/>
            <w:noWrap/>
            <w:vAlign w:val="center"/>
          </w:tcPr>
          <w:p w14:paraId="56BD833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131</w:t>
            </w:r>
          </w:p>
        </w:tc>
        <w:tc>
          <w:tcPr>
            <w:tcW w:w="808" w:type="dxa"/>
            <w:tcBorders>
              <w:top w:val="nil"/>
              <w:left w:val="nil"/>
              <w:bottom w:val="single" w:sz="4" w:space="0" w:color="BFBFBF"/>
              <w:right w:val="single" w:sz="4" w:space="0" w:color="BFBFBF"/>
            </w:tcBorders>
            <w:shd w:val="clear" w:color="auto" w:fill="auto"/>
            <w:noWrap/>
            <w:vAlign w:val="center"/>
          </w:tcPr>
          <w:p w14:paraId="3F5EA36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2CAF6D8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4DEA7C55"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47CB9207"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Goulburn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7ADFA3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62%</w:t>
            </w:r>
          </w:p>
        </w:tc>
        <w:tc>
          <w:tcPr>
            <w:tcW w:w="808" w:type="dxa"/>
            <w:tcBorders>
              <w:top w:val="nil"/>
              <w:left w:val="nil"/>
              <w:bottom w:val="single" w:sz="4" w:space="0" w:color="BFBFBF"/>
              <w:right w:val="single" w:sz="4" w:space="0" w:color="auto"/>
            </w:tcBorders>
            <w:shd w:val="clear" w:color="auto" w:fill="auto"/>
            <w:noWrap/>
            <w:vAlign w:val="center"/>
          </w:tcPr>
          <w:p w14:paraId="1864405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c>
          <w:tcPr>
            <w:tcW w:w="808" w:type="dxa"/>
            <w:tcBorders>
              <w:top w:val="nil"/>
              <w:left w:val="nil"/>
              <w:bottom w:val="single" w:sz="4" w:space="0" w:color="BFBFBF"/>
              <w:right w:val="single" w:sz="4" w:space="0" w:color="BFBFBF"/>
            </w:tcBorders>
            <w:shd w:val="clear" w:color="auto" w:fill="auto"/>
            <w:noWrap/>
            <w:vAlign w:val="center"/>
          </w:tcPr>
          <w:p w14:paraId="5904D37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932881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29B320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w:t>
            </w:r>
          </w:p>
        </w:tc>
        <w:tc>
          <w:tcPr>
            <w:tcW w:w="675" w:type="dxa"/>
            <w:tcBorders>
              <w:top w:val="nil"/>
              <w:left w:val="nil"/>
              <w:bottom w:val="single" w:sz="4" w:space="0" w:color="BFBFBF"/>
              <w:right w:val="single" w:sz="4" w:space="0" w:color="auto"/>
            </w:tcBorders>
            <w:shd w:val="clear" w:color="auto" w:fill="auto"/>
            <w:noWrap/>
            <w:vAlign w:val="center"/>
          </w:tcPr>
          <w:p w14:paraId="66DBB47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832</w:t>
            </w:r>
          </w:p>
        </w:tc>
        <w:tc>
          <w:tcPr>
            <w:tcW w:w="808" w:type="dxa"/>
            <w:tcBorders>
              <w:top w:val="nil"/>
              <w:left w:val="nil"/>
              <w:bottom w:val="single" w:sz="4" w:space="0" w:color="BFBFBF"/>
              <w:right w:val="single" w:sz="4" w:space="0" w:color="BFBFBF"/>
            </w:tcBorders>
            <w:shd w:val="clear" w:color="auto" w:fill="auto"/>
            <w:noWrap/>
            <w:vAlign w:val="center"/>
          </w:tcPr>
          <w:p w14:paraId="15A7760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5468A05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CDD399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5DF686C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59E74D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3AF5141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710110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auto"/>
            </w:tcBorders>
            <w:shd w:val="clear" w:color="auto" w:fill="auto"/>
            <w:noWrap/>
            <w:vAlign w:val="center"/>
          </w:tcPr>
          <w:p w14:paraId="6E6A9B4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175</w:t>
            </w:r>
          </w:p>
        </w:tc>
        <w:tc>
          <w:tcPr>
            <w:tcW w:w="808" w:type="dxa"/>
            <w:tcBorders>
              <w:top w:val="nil"/>
              <w:left w:val="nil"/>
              <w:bottom w:val="single" w:sz="4" w:space="0" w:color="BFBFBF"/>
              <w:right w:val="single" w:sz="4" w:space="0" w:color="BFBFBF"/>
            </w:tcBorders>
            <w:shd w:val="clear" w:color="auto" w:fill="auto"/>
            <w:noWrap/>
            <w:vAlign w:val="center"/>
          </w:tcPr>
          <w:p w14:paraId="0AD4BDA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1E7D747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3225EE76"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37B0A711"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Outer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F05F70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68%</w:t>
            </w:r>
          </w:p>
        </w:tc>
        <w:tc>
          <w:tcPr>
            <w:tcW w:w="808" w:type="dxa"/>
            <w:tcBorders>
              <w:top w:val="nil"/>
              <w:left w:val="nil"/>
              <w:bottom w:val="single" w:sz="4" w:space="0" w:color="BFBFBF"/>
              <w:right w:val="single" w:sz="4" w:space="0" w:color="auto"/>
            </w:tcBorders>
            <w:shd w:val="clear" w:color="auto" w:fill="auto"/>
            <w:noWrap/>
            <w:vAlign w:val="center"/>
          </w:tcPr>
          <w:p w14:paraId="72E2250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08" w:type="dxa"/>
            <w:tcBorders>
              <w:top w:val="nil"/>
              <w:left w:val="nil"/>
              <w:bottom w:val="single" w:sz="4" w:space="0" w:color="BFBFBF"/>
              <w:right w:val="single" w:sz="4" w:space="0" w:color="BFBFBF"/>
            </w:tcBorders>
            <w:shd w:val="clear" w:color="auto" w:fill="auto"/>
            <w:noWrap/>
            <w:vAlign w:val="center"/>
          </w:tcPr>
          <w:p w14:paraId="68B254F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1C71FA7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BA2A1A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675" w:type="dxa"/>
            <w:tcBorders>
              <w:top w:val="nil"/>
              <w:left w:val="nil"/>
              <w:bottom w:val="single" w:sz="4" w:space="0" w:color="BFBFBF"/>
              <w:right w:val="single" w:sz="4" w:space="0" w:color="auto"/>
            </w:tcBorders>
            <w:shd w:val="clear" w:color="auto" w:fill="auto"/>
            <w:noWrap/>
            <w:vAlign w:val="center"/>
          </w:tcPr>
          <w:p w14:paraId="0920C8F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777</w:t>
            </w:r>
          </w:p>
        </w:tc>
        <w:tc>
          <w:tcPr>
            <w:tcW w:w="808" w:type="dxa"/>
            <w:tcBorders>
              <w:top w:val="nil"/>
              <w:left w:val="nil"/>
              <w:bottom w:val="single" w:sz="4" w:space="0" w:color="BFBFBF"/>
              <w:right w:val="single" w:sz="4" w:space="0" w:color="BFBFBF"/>
            </w:tcBorders>
            <w:shd w:val="clear" w:color="auto" w:fill="auto"/>
            <w:noWrap/>
            <w:vAlign w:val="center"/>
          </w:tcPr>
          <w:p w14:paraId="49CA1C7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69B2192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07BE1E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5B965AF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22CC64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7ABF074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D8804B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83%</w:t>
            </w:r>
          </w:p>
        </w:tc>
        <w:tc>
          <w:tcPr>
            <w:tcW w:w="808" w:type="dxa"/>
            <w:tcBorders>
              <w:top w:val="nil"/>
              <w:left w:val="nil"/>
              <w:bottom w:val="single" w:sz="4" w:space="0" w:color="BFBFBF"/>
              <w:right w:val="single" w:sz="4" w:space="0" w:color="auto"/>
            </w:tcBorders>
            <w:shd w:val="clear" w:color="auto" w:fill="auto"/>
            <w:noWrap/>
            <w:vAlign w:val="center"/>
          </w:tcPr>
          <w:p w14:paraId="3628CD8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148</w:t>
            </w:r>
          </w:p>
        </w:tc>
        <w:tc>
          <w:tcPr>
            <w:tcW w:w="808" w:type="dxa"/>
            <w:tcBorders>
              <w:top w:val="nil"/>
              <w:left w:val="nil"/>
              <w:bottom w:val="single" w:sz="4" w:space="0" w:color="BFBFBF"/>
              <w:right w:val="single" w:sz="4" w:space="0" w:color="BFBFBF"/>
            </w:tcBorders>
            <w:shd w:val="clear" w:color="auto" w:fill="auto"/>
            <w:noWrap/>
            <w:vAlign w:val="center"/>
          </w:tcPr>
          <w:p w14:paraId="5662462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13294AC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7A6A0CC4"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439F39D"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Inner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E43CA9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w:t>
            </w:r>
          </w:p>
        </w:tc>
        <w:tc>
          <w:tcPr>
            <w:tcW w:w="808" w:type="dxa"/>
            <w:tcBorders>
              <w:top w:val="nil"/>
              <w:left w:val="nil"/>
              <w:bottom w:val="single" w:sz="4" w:space="0" w:color="BFBFBF"/>
              <w:right w:val="single" w:sz="4" w:space="0" w:color="auto"/>
            </w:tcBorders>
            <w:shd w:val="clear" w:color="auto" w:fill="auto"/>
            <w:noWrap/>
            <w:vAlign w:val="center"/>
          </w:tcPr>
          <w:p w14:paraId="39BEF25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08" w:type="dxa"/>
            <w:tcBorders>
              <w:top w:val="nil"/>
              <w:left w:val="nil"/>
              <w:bottom w:val="single" w:sz="4" w:space="0" w:color="BFBFBF"/>
              <w:right w:val="single" w:sz="4" w:space="0" w:color="BFBFBF"/>
            </w:tcBorders>
            <w:shd w:val="clear" w:color="auto" w:fill="auto"/>
            <w:noWrap/>
            <w:vAlign w:val="center"/>
          </w:tcPr>
          <w:p w14:paraId="6D62FEF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09DB448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BE00AD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34%</w:t>
            </w:r>
          </w:p>
        </w:tc>
        <w:tc>
          <w:tcPr>
            <w:tcW w:w="675" w:type="dxa"/>
            <w:tcBorders>
              <w:top w:val="nil"/>
              <w:left w:val="nil"/>
              <w:bottom w:val="single" w:sz="4" w:space="0" w:color="BFBFBF"/>
              <w:right w:val="single" w:sz="4" w:space="0" w:color="auto"/>
            </w:tcBorders>
            <w:shd w:val="clear" w:color="auto" w:fill="auto"/>
            <w:noWrap/>
            <w:vAlign w:val="center"/>
          </w:tcPr>
          <w:p w14:paraId="1D0D9FB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625</w:t>
            </w:r>
          </w:p>
        </w:tc>
        <w:tc>
          <w:tcPr>
            <w:tcW w:w="808" w:type="dxa"/>
            <w:tcBorders>
              <w:top w:val="nil"/>
              <w:left w:val="nil"/>
              <w:bottom w:val="single" w:sz="4" w:space="0" w:color="BFBFBF"/>
              <w:right w:val="single" w:sz="4" w:space="0" w:color="BFBFBF"/>
            </w:tcBorders>
            <w:shd w:val="clear" w:color="auto" w:fill="auto"/>
            <w:noWrap/>
            <w:vAlign w:val="center"/>
          </w:tcPr>
          <w:p w14:paraId="2EB6259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1CCD35C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795BD7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16911B8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7D8BE9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311560F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C355B4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94%</w:t>
            </w:r>
          </w:p>
        </w:tc>
        <w:tc>
          <w:tcPr>
            <w:tcW w:w="808" w:type="dxa"/>
            <w:tcBorders>
              <w:top w:val="nil"/>
              <w:left w:val="nil"/>
              <w:bottom w:val="single" w:sz="4" w:space="0" w:color="BFBFBF"/>
              <w:right w:val="single" w:sz="4" w:space="0" w:color="auto"/>
            </w:tcBorders>
            <w:shd w:val="clear" w:color="auto" w:fill="auto"/>
            <w:noWrap/>
            <w:vAlign w:val="center"/>
          </w:tcPr>
          <w:p w14:paraId="45FB056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154</w:t>
            </w:r>
          </w:p>
        </w:tc>
        <w:tc>
          <w:tcPr>
            <w:tcW w:w="808" w:type="dxa"/>
            <w:tcBorders>
              <w:top w:val="nil"/>
              <w:left w:val="nil"/>
              <w:bottom w:val="single" w:sz="4" w:space="0" w:color="BFBFBF"/>
              <w:right w:val="single" w:sz="4" w:space="0" w:color="BFBFBF"/>
            </w:tcBorders>
            <w:shd w:val="clear" w:color="auto" w:fill="auto"/>
            <w:noWrap/>
            <w:vAlign w:val="center"/>
          </w:tcPr>
          <w:p w14:paraId="4A0A7DF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0F8EF56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2C08B57D"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5178C7EB"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Western District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19A610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72%</w:t>
            </w:r>
          </w:p>
        </w:tc>
        <w:tc>
          <w:tcPr>
            <w:tcW w:w="808" w:type="dxa"/>
            <w:tcBorders>
              <w:top w:val="nil"/>
              <w:left w:val="nil"/>
              <w:bottom w:val="single" w:sz="4" w:space="0" w:color="BFBFBF"/>
              <w:right w:val="single" w:sz="4" w:space="0" w:color="auto"/>
            </w:tcBorders>
            <w:shd w:val="clear" w:color="auto" w:fill="auto"/>
            <w:noWrap/>
            <w:vAlign w:val="center"/>
          </w:tcPr>
          <w:p w14:paraId="3A884D0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c>
          <w:tcPr>
            <w:tcW w:w="808" w:type="dxa"/>
            <w:tcBorders>
              <w:top w:val="nil"/>
              <w:left w:val="nil"/>
              <w:bottom w:val="single" w:sz="4" w:space="0" w:color="BFBFBF"/>
              <w:right w:val="single" w:sz="4" w:space="0" w:color="BFBFBF"/>
            </w:tcBorders>
            <w:shd w:val="clear" w:color="auto" w:fill="auto"/>
            <w:noWrap/>
            <w:vAlign w:val="center"/>
          </w:tcPr>
          <w:p w14:paraId="19FF4A4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71D145A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469286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513FB51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459</w:t>
            </w:r>
          </w:p>
        </w:tc>
        <w:tc>
          <w:tcPr>
            <w:tcW w:w="808" w:type="dxa"/>
            <w:tcBorders>
              <w:top w:val="nil"/>
              <w:left w:val="nil"/>
              <w:bottom w:val="single" w:sz="4" w:space="0" w:color="BFBFBF"/>
              <w:right w:val="single" w:sz="4" w:space="0" w:color="BFBFBF"/>
            </w:tcBorders>
            <w:shd w:val="clear" w:color="auto" w:fill="auto"/>
            <w:noWrap/>
            <w:vAlign w:val="center"/>
          </w:tcPr>
          <w:p w14:paraId="1412D34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31400CC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13815A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w:t>
            </w:r>
          </w:p>
        </w:tc>
        <w:tc>
          <w:tcPr>
            <w:tcW w:w="535" w:type="dxa"/>
            <w:tcBorders>
              <w:top w:val="nil"/>
              <w:left w:val="nil"/>
              <w:bottom w:val="single" w:sz="4" w:space="0" w:color="BFBFBF"/>
              <w:right w:val="nil"/>
            </w:tcBorders>
            <w:shd w:val="clear" w:color="auto" w:fill="auto"/>
            <w:noWrap/>
            <w:vAlign w:val="center"/>
          </w:tcPr>
          <w:p w14:paraId="5FA360D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9C6E24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7DE3E91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B7186F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69%</w:t>
            </w:r>
          </w:p>
        </w:tc>
        <w:tc>
          <w:tcPr>
            <w:tcW w:w="808" w:type="dxa"/>
            <w:tcBorders>
              <w:top w:val="nil"/>
              <w:left w:val="nil"/>
              <w:bottom w:val="single" w:sz="4" w:space="0" w:color="BFBFBF"/>
              <w:right w:val="single" w:sz="4" w:space="0" w:color="auto"/>
            </w:tcBorders>
            <w:shd w:val="clear" w:color="auto" w:fill="auto"/>
            <w:noWrap/>
            <w:vAlign w:val="center"/>
          </w:tcPr>
          <w:p w14:paraId="3D52D44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151</w:t>
            </w:r>
          </w:p>
        </w:tc>
        <w:tc>
          <w:tcPr>
            <w:tcW w:w="808" w:type="dxa"/>
            <w:tcBorders>
              <w:top w:val="nil"/>
              <w:left w:val="nil"/>
              <w:bottom w:val="single" w:sz="4" w:space="0" w:color="BFBFBF"/>
              <w:right w:val="single" w:sz="4" w:space="0" w:color="BFBFBF"/>
            </w:tcBorders>
            <w:shd w:val="clear" w:color="auto" w:fill="auto"/>
            <w:noWrap/>
            <w:vAlign w:val="center"/>
          </w:tcPr>
          <w:p w14:paraId="2DA72E0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019E2BF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6233849D"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5273654"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Barwon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C5C298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68%</w:t>
            </w:r>
          </w:p>
        </w:tc>
        <w:tc>
          <w:tcPr>
            <w:tcW w:w="808" w:type="dxa"/>
            <w:tcBorders>
              <w:top w:val="nil"/>
              <w:left w:val="nil"/>
              <w:bottom w:val="single" w:sz="4" w:space="0" w:color="BFBFBF"/>
              <w:right w:val="single" w:sz="4" w:space="0" w:color="auto"/>
            </w:tcBorders>
            <w:shd w:val="clear" w:color="auto" w:fill="auto"/>
            <w:noWrap/>
            <w:vAlign w:val="center"/>
          </w:tcPr>
          <w:p w14:paraId="66B18BC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808" w:type="dxa"/>
            <w:tcBorders>
              <w:top w:val="nil"/>
              <w:left w:val="nil"/>
              <w:bottom w:val="single" w:sz="4" w:space="0" w:color="BFBFBF"/>
              <w:right w:val="single" w:sz="4" w:space="0" w:color="BFBFBF"/>
            </w:tcBorders>
            <w:shd w:val="clear" w:color="auto" w:fill="auto"/>
            <w:noWrap/>
            <w:vAlign w:val="center"/>
          </w:tcPr>
          <w:p w14:paraId="444D82C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6C9DF7E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33D732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single" w:sz="4" w:space="0" w:color="auto"/>
            </w:tcBorders>
            <w:shd w:val="clear" w:color="auto" w:fill="auto"/>
            <w:noWrap/>
            <w:vAlign w:val="center"/>
          </w:tcPr>
          <w:p w14:paraId="6777653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614</w:t>
            </w:r>
          </w:p>
        </w:tc>
        <w:tc>
          <w:tcPr>
            <w:tcW w:w="808" w:type="dxa"/>
            <w:tcBorders>
              <w:top w:val="nil"/>
              <w:left w:val="nil"/>
              <w:bottom w:val="single" w:sz="4" w:space="0" w:color="BFBFBF"/>
              <w:right w:val="single" w:sz="4" w:space="0" w:color="BFBFBF"/>
            </w:tcBorders>
            <w:shd w:val="clear" w:color="auto" w:fill="auto"/>
            <w:noWrap/>
            <w:vAlign w:val="center"/>
          </w:tcPr>
          <w:p w14:paraId="6A73358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60D9ED4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371EB6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6460CA5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03FA2C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545596F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28CA12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81%</w:t>
            </w:r>
          </w:p>
        </w:tc>
        <w:tc>
          <w:tcPr>
            <w:tcW w:w="808" w:type="dxa"/>
            <w:tcBorders>
              <w:top w:val="nil"/>
              <w:left w:val="nil"/>
              <w:bottom w:val="single" w:sz="4" w:space="0" w:color="BFBFBF"/>
              <w:right w:val="single" w:sz="4" w:space="0" w:color="auto"/>
            </w:tcBorders>
            <w:shd w:val="clear" w:color="auto" w:fill="auto"/>
            <w:noWrap/>
            <w:vAlign w:val="center"/>
          </w:tcPr>
          <w:p w14:paraId="180F037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107</w:t>
            </w:r>
          </w:p>
        </w:tc>
        <w:tc>
          <w:tcPr>
            <w:tcW w:w="808" w:type="dxa"/>
            <w:tcBorders>
              <w:top w:val="nil"/>
              <w:left w:val="nil"/>
              <w:bottom w:val="single" w:sz="4" w:space="0" w:color="BFBFBF"/>
              <w:right w:val="single" w:sz="4" w:space="0" w:color="BFBFBF"/>
            </w:tcBorders>
            <w:shd w:val="clear" w:color="auto" w:fill="auto"/>
            <w:noWrap/>
            <w:vAlign w:val="center"/>
          </w:tcPr>
          <w:p w14:paraId="13051CB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462A5CB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1D4792B3"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D735459"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Central Highlands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C77C7F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70%</w:t>
            </w:r>
          </w:p>
        </w:tc>
        <w:tc>
          <w:tcPr>
            <w:tcW w:w="808" w:type="dxa"/>
            <w:tcBorders>
              <w:top w:val="nil"/>
              <w:left w:val="nil"/>
              <w:bottom w:val="single" w:sz="4" w:space="0" w:color="BFBFBF"/>
              <w:right w:val="single" w:sz="4" w:space="0" w:color="auto"/>
            </w:tcBorders>
            <w:shd w:val="clear" w:color="auto" w:fill="auto"/>
            <w:noWrap/>
            <w:vAlign w:val="center"/>
          </w:tcPr>
          <w:p w14:paraId="1A3EAB9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808" w:type="dxa"/>
            <w:tcBorders>
              <w:top w:val="nil"/>
              <w:left w:val="nil"/>
              <w:bottom w:val="single" w:sz="4" w:space="0" w:color="BFBFBF"/>
              <w:right w:val="single" w:sz="4" w:space="0" w:color="BFBFBF"/>
            </w:tcBorders>
            <w:shd w:val="clear" w:color="auto" w:fill="auto"/>
            <w:noWrap/>
            <w:vAlign w:val="center"/>
          </w:tcPr>
          <w:p w14:paraId="7149928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E861FC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A7CEE4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675" w:type="dxa"/>
            <w:tcBorders>
              <w:top w:val="nil"/>
              <w:left w:val="nil"/>
              <w:bottom w:val="single" w:sz="4" w:space="0" w:color="BFBFBF"/>
              <w:right w:val="single" w:sz="4" w:space="0" w:color="auto"/>
            </w:tcBorders>
            <w:shd w:val="clear" w:color="auto" w:fill="auto"/>
            <w:noWrap/>
            <w:vAlign w:val="center"/>
          </w:tcPr>
          <w:p w14:paraId="55CDF85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758</w:t>
            </w:r>
          </w:p>
        </w:tc>
        <w:tc>
          <w:tcPr>
            <w:tcW w:w="808" w:type="dxa"/>
            <w:tcBorders>
              <w:top w:val="nil"/>
              <w:left w:val="nil"/>
              <w:bottom w:val="single" w:sz="4" w:space="0" w:color="BFBFBF"/>
              <w:right w:val="single" w:sz="4" w:space="0" w:color="BFBFBF"/>
            </w:tcBorders>
            <w:shd w:val="clear" w:color="auto" w:fill="auto"/>
            <w:noWrap/>
            <w:vAlign w:val="center"/>
          </w:tcPr>
          <w:p w14:paraId="59BD776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586" w:type="dxa"/>
            <w:tcBorders>
              <w:top w:val="nil"/>
              <w:left w:val="nil"/>
              <w:bottom w:val="single" w:sz="4" w:space="0" w:color="BFBFBF"/>
              <w:right w:val="nil"/>
            </w:tcBorders>
            <w:shd w:val="clear" w:color="auto" w:fill="auto"/>
            <w:noWrap/>
            <w:vAlign w:val="center"/>
          </w:tcPr>
          <w:p w14:paraId="5499802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FD74A8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2153643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737F11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497" w:type="dxa"/>
            <w:tcBorders>
              <w:top w:val="nil"/>
              <w:left w:val="nil"/>
              <w:bottom w:val="single" w:sz="4" w:space="0" w:color="BFBFBF"/>
              <w:right w:val="single" w:sz="4" w:space="0" w:color="auto"/>
            </w:tcBorders>
            <w:shd w:val="clear" w:color="auto" w:fill="auto"/>
            <w:noWrap/>
            <w:vAlign w:val="center"/>
          </w:tcPr>
          <w:p w14:paraId="5828BCC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DDFB5D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74%</w:t>
            </w:r>
          </w:p>
        </w:tc>
        <w:tc>
          <w:tcPr>
            <w:tcW w:w="808" w:type="dxa"/>
            <w:tcBorders>
              <w:top w:val="nil"/>
              <w:left w:val="nil"/>
              <w:bottom w:val="single" w:sz="4" w:space="0" w:color="BFBFBF"/>
              <w:right w:val="single" w:sz="4" w:space="0" w:color="auto"/>
            </w:tcBorders>
            <w:shd w:val="clear" w:color="auto" w:fill="auto"/>
            <w:noWrap/>
            <w:vAlign w:val="center"/>
          </w:tcPr>
          <w:p w14:paraId="7A503A9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147</w:t>
            </w:r>
          </w:p>
        </w:tc>
        <w:tc>
          <w:tcPr>
            <w:tcW w:w="808" w:type="dxa"/>
            <w:tcBorders>
              <w:top w:val="nil"/>
              <w:left w:val="nil"/>
              <w:bottom w:val="single" w:sz="4" w:space="0" w:color="BFBFBF"/>
              <w:right w:val="single" w:sz="4" w:space="0" w:color="BFBFBF"/>
            </w:tcBorders>
            <w:shd w:val="clear" w:color="auto" w:fill="auto"/>
            <w:noWrap/>
            <w:vAlign w:val="center"/>
          </w:tcPr>
          <w:p w14:paraId="72E3CCB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675" w:type="dxa"/>
            <w:tcBorders>
              <w:top w:val="nil"/>
              <w:left w:val="nil"/>
              <w:bottom w:val="single" w:sz="4" w:space="0" w:color="BFBFBF"/>
              <w:right w:val="double" w:sz="6" w:space="0" w:color="auto"/>
            </w:tcBorders>
            <w:shd w:val="clear" w:color="auto" w:fill="auto"/>
            <w:noWrap/>
            <w:vAlign w:val="center"/>
          </w:tcPr>
          <w:p w14:paraId="2831E5B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F44114" w:rsidRPr="00125162" w14:paraId="31AADEDB"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DD3AD59" w14:textId="77777777" w:rsidR="005214AE" w:rsidRPr="00125162" w:rsidRDefault="005214AE" w:rsidP="00702F35">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Concession Status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CAE24BF" w14:textId="0691D4F1"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auto"/>
            </w:tcBorders>
            <w:shd w:val="clear" w:color="auto" w:fill="auto"/>
            <w:noWrap/>
            <w:vAlign w:val="center"/>
          </w:tcPr>
          <w:p w14:paraId="5FC47F10" w14:textId="23A2C8D1"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104B7430" w14:textId="77777777"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nil"/>
            </w:tcBorders>
            <w:shd w:val="clear" w:color="auto" w:fill="auto"/>
            <w:noWrap/>
            <w:vAlign w:val="center"/>
          </w:tcPr>
          <w:p w14:paraId="39B51414" w14:textId="77777777"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2D01768" w14:textId="36FEB44C" w:rsidR="005214AE" w:rsidRPr="00125162" w:rsidRDefault="005214AE" w:rsidP="009748AD">
            <w:pPr>
              <w:jc w:val="center"/>
              <w:rPr>
                <w:rFonts w:ascii="Arial" w:hAnsi="Arial" w:cs="Arial"/>
                <w:color w:val="000000"/>
                <w:sz w:val="16"/>
                <w:szCs w:val="16"/>
              </w:rPr>
            </w:pPr>
          </w:p>
        </w:tc>
        <w:tc>
          <w:tcPr>
            <w:tcW w:w="675" w:type="dxa"/>
            <w:tcBorders>
              <w:top w:val="nil"/>
              <w:left w:val="nil"/>
              <w:bottom w:val="single" w:sz="4" w:space="0" w:color="BFBFBF"/>
              <w:right w:val="single" w:sz="4" w:space="0" w:color="auto"/>
            </w:tcBorders>
            <w:shd w:val="clear" w:color="auto" w:fill="auto"/>
            <w:noWrap/>
            <w:vAlign w:val="center"/>
          </w:tcPr>
          <w:p w14:paraId="341EF04F" w14:textId="64578E31" w:rsidR="005214AE" w:rsidRPr="00125162" w:rsidRDefault="005214AE">
            <w:pPr>
              <w:jc w:val="center"/>
              <w:rPr>
                <w:rFonts w:ascii="Arial" w:hAnsi="Arial" w:cs="Arial"/>
                <w:color w:val="000000"/>
                <w:sz w:val="16"/>
                <w:szCs w:val="16"/>
              </w:rPr>
            </w:pPr>
          </w:p>
        </w:tc>
        <w:tc>
          <w:tcPr>
            <w:tcW w:w="808" w:type="dxa"/>
            <w:tcBorders>
              <w:top w:val="nil"/>
              <w:left w:val="nil"/>
              <w:bottom w:val="single" w:sz="4" w:space="0" w:color="BFBFBF"/>
              <w:right w:val="single" w:sz="4" w:space="0" w:color="BFBFBF"/>
            </w:tcBorders>
            <w:shd w:val="clear" w:color="auto" w:fill="auto"/>
            <w:noWrap/>
            <w:vAlign w:val="center"/>
          </w:tcPr>
          <w:p w14:paraId="21F5E689" w14:textId="77777777" w:rsidR="005214AE" w:rsidRPr="00125162" w:rsidRDefault="005214AE">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nil"/>
            </w:tcBorders>
            <w:shd w:val="clear" w:color="auto" w:fill="auto"/>
            <w:noWrap/>
            <w:vAlign w:val="center"/>
          </w:tcPr>
          <w:p w14:paraId="7199D575" w14:textId="77777777"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59ED27B" w14:textId="0DF6CBB0" w:rsidR="005214AE" w:rsidRPr="00125162" w:rsidRDefault="005214AE">
            <w:pPr>
              <w:spacing w:before="0" w:after="0"/>
              <w:jc w:val="center"/>
              <w:rPr>
                <w:rFonts w:ascii="Arial" w:hAnsi="Arial" w:cs="Arial"/>
                <w:color w:val="000000"/>
                <w:sz w:val="16"/>
                <w:szCs w:val="16"/>
                <w:lang w:val="en-AU" w:eastAsia="en-AU"/>
              </w:rPr>
            </w:pPr>
          </w:p>
        </w:tc>
        <w:tc>
          <w:tcPr>
            <w:tcW w:w="535" w:type="dxa"/>
            <w:tcBorders>
              <w:top w:val="nil"/>
              <w:left w:val="nil"/>
              <w:bottom w:val="single" w:sz="4" w:space="0" w:color="BFBFBF"/>
              <w:right w:val="nil"/>
            </w:tcBorders>
            <w:shd w:val="clear" w:color="auto" w:fill="auto"/>
            <w:noWrap/>
            <w:vAlign w:val="center"/>
          </w:tcPr>
          <w:p w14:paraId="28FD7E98" w14:textId="4FF0E944"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FEE52C1" w14:textId="77777777" w:rsidR="005214AE" w:rsidRPr="00125162" w:rsidRDefault="005214AE">
            <w:pPr>
              <w:spacing w:before="0" w:after="0"/>
              <w:jc w:val="center"/>
              <w:rPr>
                <w:rFonts w:ascii="Arial" w:hAnsi="Arial" w:cs="Arial"/>
                <w:color w:val="000000"/>
                <w:sz w:val="16"/>
                <w:szCs w:val="16"/>
                <w:lang w:val="en-AU" w:eastAsia="en-AU"/>
              </w:rPr>
            </w:pPr>
          </w:p>
        </w:tc>
        <w:tc>
          <w:tcPr>
            <w:tcW w:w="497" w:type="dxa"/>
            <w:tcBorders>
              <w:top w:val="nil"/>
              <w:left w:val="nil"/>
              <w:bottom w:val="single" w:sz="4" w:space="0" w:color="BFBFBF"/>
              <w:right w:val="single" w:sz="4" w:space="0" w:color="auto"/>
            </w:tcBorders>
            <w:shd w:val="clear" w:color="auto" w:fill="auto"/>
            <w:noWrap/>
            <w:vAlign w:val="center"/>
          </w:tcPr>
          <w:p w14:paraId="14E97F2C" w14:textId="77777777"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5CC07248" w14:textId="6831B6BC"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auto"/>
            </w:tcBorders>
            <w:shd w:val="clear" w:color="auto" w:fill="auto"/>
            <w:noWrap/>
            <w:vAlign w:val="center"/>
          </w:tcPr>
          <w:p w14:paraId="5DED0FF1" w14:textId="563C2CC0" w:rsidR="005214AE" w:rsidRPr="00125162" w:rsidRDefault="005214AE">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6A897DF2" w14:textId="77777777" w:rsidR="005214AE" w:rsidRPr="00125162" w:rsidRDefault="005214AE">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double" w:sz="6" w:space="0" w:color="auto"/>
            </w:tcBorders>
            <w:shd w:val="clear" w:color="auto" w:fill="auto"/>
            <w:noWrap/>
            <w:vAlign w:val="center"/>
          </w:tcPr>
          <w:p w14:paraId="37B18E3F" w14:textId="77777777" w:rsidR="005214AE" w:rsidRPr="00125162" w:rsidRDefault="005214AE">
            <w:pPr>
              <w:spacing w:before="0" w:after="0"/>
              <w:jc w:val="center"/>
              <w:rPr>
                <w:rFonts w:ascii="Arial" w:hAnsi="Arial" w:cs="Arial"/>
                <w:color w:val="000000"/>
                <w:sz w:val="16"/>
                <w:szCs w:val="16"/>
                <w:lang w:val="en-AU" w:eastAsia="en-AU"/>
              </w:rPr>
            </w:pPr>
          </w:p>
        </w:tc>
      </w:tr>
      <w:tr w:rsidR="00F44114" w:rsidRPr="00125162" w14:paraId="2427187B"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334347B"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Aged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4CDF9A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65%</w:t>
            </w:r>
          </w:p>
        </w:tc>
        <w:tc>
          <w:tcPr>
            <w:tcW w:w="808" w:type="dxa"/>
            <w:tcBorders>
              <w:top w:val="nil"/>
              <w:left w:val="nil"/>
              <w:bottom w:val="single" w:sz="4" w:space="0" w:color="BFBFBF"/>
              <w:right w:val="single" w:sz="4" w:space="0" w:color="auto"/>
            </w:tcBorders>
            <w:shd w:val="clear" w:color="auto" w:fill="auto"/>
            <w:noWrap/>
            <w:vAlign w:val="center"/>
          </w:tcPr>
          <w:p w14:paraId="6CEF1A2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808" w:type="dxa"/>
            <w:tcBorders>
              <w:top w:val="nil"/>
              <w:left w:val="nil"/>
              <w:bottom w:val="single" w:sz="4" w:space="0" w:color="BFBFBF"/>
              <w:right w:val="single" w:sz="4" w:space="0" w:color="BFBFBF"/>
            </w:tcBorders>
            <w:shd w:val="clear" w:color="auto" w:fill="auto"/>
            <w:noWrap/>
            <w:vAlign w:val="center"/>
          </w:tcPr>
          <w:p w14:paraId="2BCBAB5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808" w:type="dxa"/>
            <w:tcBorders>
              <w:top w:val="nil"/>
              <w:left w:val="nil"/>
              <w:bottom w:val="single" w:sz="4" w:space="0" w:color="BFBFBF"/>
              <w:right w:val="nil"/>
            </w:tcBorders>
            <w:shd w:val="clear" w:color="auto" w:fill="auto"/>
            <w:noWrap/>
            <w:vAlign w:val="center"/>
          </w:tcPr>
          <w:p w14:paraId="3F782CE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05F51A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c>
          <w:tcPr>
            <w:tcW w:w="675" w:type="dxa"/>
            <w:tcBorders>
              <w:top w:val="nil"/>
              <w:left w:val="nil"/>
              <w:bottom w:val="single" w:sz="4" w:space="0" w:color="BFBFBF"/>
              <w:right w:val="single" w:sz="4" w:space="0" w:color="auto"/>
            </w:tcBorders>
            <w:shd w:val="clear" w:color="auto" w:fill="auto"/>
            <w:noWrap/>
            <w:vAlign w:val="center"/>
          </w:tcPr>
          <w:p w14:paraId="63CCC5F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497</w:t>
            </w:r>
          </w:p>
        </w:tc>
        <w:tc>
          <w:tcPr>
            <w:tcW w:w="808" w:type="dxa"/>
            <w:tcBorders>
              <w:top w:val="nil"/>
              <w:left w:val="nil"/>
              <w:bottom w:val="single" w:sz="4" w:space="0" w:color="BFBFBF"/>
              <w:right w:val="single" w:sz="4" w:space="0" w:color="BFBFBF"/>
            </w:tcBorders>
            <w:shd w:val="clear" w:color="auto" w:fill="auto"/>
            <w:noWrap/>
            <w:vAlign w:val="center"/>
          </w:tcPr>
          <w:p w14:paraId="41D475F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0EBD908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95DFC5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35" w:type="dxa"/>
            <w:tcBorders>
              <w:top w:val="nil"/>
              <w:left w:val="nil"/>
              <w:bottom w:val="single" w:sz="4" w:space="0" w:color="BFBFBF"/>
              <w:right w:val="nil"/>
            </w:tcBorders>
            <w:shd w:val="clear" w:color="auto" w:fill="auto"/>
            <w:noWrap/>
            <w:vAlign w:val="center"/>
          </w:tcPr>
          <w:p w14:paraId="45A7182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65796D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5942B92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FC6017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81%</w:t>
            </w:r>
          </w:p>
        </w:tc>
        <w:tc>
          <w:tcPr>
            <w:tcW w:w="808" w:type="dxa"/>
            <w:tcBorders>
              <w:top w:val="nil"/>
              <w:left w:val="nil"/>
              <w:bottom w:val="single" w:sz="4" w:space="0" w:color="BFBFBF"/>
              <w:right w:val="single" w:sz="4" w:space="0" w:color="auto"/>
            </w:tcBorders>
            <w:shd w:val="clear" w:color="auto" w:fill="auto"/>
            <w:noWrap/>
            <w:vAlign w:val="center"/>
          </w:tcPr>
          <w:p w14:paraId="1A32BBC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122</w:t>
            </w:r>
          </w:p>
        </w:tc>
        <w:tc>
          <w:tcPr>
            <w:tcW w:w="808" w:type="dxa"/>
            <w:tcBorders>
              <w:top w:val="nil"/>
              <w:left w:val="nil"/>
              <w:bottom w:val="single" w:sz="4" w:space="0" w:color="BFBFBF"/>
              <w:right w:val="single" w:sz="4" w:space="0" w:color="BFBFBF"/>
            </w:tcBorders>
            <w:shd w:val="clear" w:color="auto" w:fill="auto"/>
            <w:noWrap/>
            <w:vAlign w:val="center"/>
          </w:tcPr>
          <w:p w14:paraId="27596AE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w:t>
            </w:r>
          </w:p>
        </w:tc>
        <w:tc>
          <w:tcPr>
            <w:tcW w:w="675" w:type="dxa"/>
            <w:tcBorders>
              <w:top w:val="nil"/>
              <w:left w:val="nil"/>
              <w:bottom w:val="single" w:sz="4" w:space="0" w:color="BFBFBF"/>
              <w:right w:val="double" w:sz="6" w:space="0" w:color="auto"/>
            </w:tcBorders>
            <w:shd w:val="clear" w:color="auto" w:fill="auto"/>
            <w:noWrap/>
            <w:vAlign w:val="center"/>
          </w:tcPr>
          <w:p w14:paraId="2C67C61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r>
      <w:tr w:rsidR="00F44114" w:rsidRPr="00125162" w14:paraId="3D7F3A49"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AE2DC09"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Other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20055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w:t>
            </w:r>
          </w:p>
        </w:tc>
        <w:tc>
          <w:tcPr>
            <w:tcW w:w="808" w:type="dxa"/>
            <w:tcBorders>
              <w:top w:val="nil"/>
              <w:left w:val="nil"/>
              <w:bottom w:val="single" w:sz="4" w:space="0" w:color="BFBFBF"/>
              <w:right w:val="single" w:sz="4" w:space="0" w:color="auto"/>
            </w:tcBorders>
            <w:shd w:val="clear" w:color="auto" w:fill="auto"/>
            <w:noWrap/>
            <w:vAlign w:val="center"/>
          </w:tcPr>
          <w:p w14:paraId="3379735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17</w:t>
            </w:r>
          </w:p>
        </w:tc>
        <w:tc>
          <w:tcPr>
            <w:tcW w:w="808" w:type="dxa"/>
            <w:tcBorders>
              <w:top w:val="nil"/>
              <w:left w:val="nil"/>
              <w:bottom w:val="single" w:sz="4" w:space="0" w:color="BFBFBF"/>
              <w:right w:val="single" w:sz="4" w:space="0" w:color="BFBFBF"/>
            </w:tcBorders>
            <w:shd w:val="clear" w:color="auto" w:fill="auto"/>
            <w:noWrap/>
            <w:vAlign w:val="center"/>
          </w:tcPr>
          <w:p w14:paraId="554A5B7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w:t>
            </w:r>
          </w:p>
        </w:tc>
        <w:tc>
          <w:tcPr>
            <w:tcW w:w="808" w:type="dxa"/>
            <w:tcBorders>
              <w:top w:val="nil"/>
              <w:left w:val="nil"/>
              <w:bottom w:val="single" w:sz="4" w:space="0" w:color="BFBFBF"/>
              <w:right w:val="nil"/>
            </w:tcBorders>
            <w:shd w:val="clear" w:color="auto" w:fill="auto"/>
            <w:noWrap/>
            <w:vAlign w:val="center"/>
          </w:tcPr>
          <w:p w14:paraId="20A3F16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C70919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single" w:sz="4" w:space="0" w:color="auto"/>
            </w:tcBorders>
            <w:shd w:val="clear" w:color="auto" w:fill="auto"/>
            <w:noWrap/>
            <w:vAlign w:val="center"/>
          </w:tcPr>
          <w:p w14:paraId="158F6A1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379</w:t>
            </w:r>
          </w:p>
        </w:tc>
        <w:tc>
          <w:tcPr>
            <w:tcW w:w="808" w:type="dxa"/>
            <w:tcBorders>
              <w:top w:val="nil"/>
              <w:left w:val="nil"/>
              <w:bottom w:val="single" w:sz="4" w:space="0" w:color="BFBFBF"/>
              <w:right w:val="single" w:sz="4" w:space="0" w:color="BFBFBF"/>
            </w:tcBorders>
            <w:shd w:val="clear" w:color="auto" w:fill="auto"/>
            <w:noWrap/>
            <w:vAlign w:val="center"/>
          </w:tcPr>
          <w:p w14:paraId="39E69CD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5F1C012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0652A9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35" w:type="dxa"/>
            <w:tcBorders>
              <w:top w:val="nil"/>
              <w:left w:val="nil"/>
              <w:bottom w:val="single" w:sz="4" w:space="0" w:color="BFBFBF"/>
              <w:right w:val="nil"/>
            </w:tcBorders>
            <w:shd w:val="clear" w:color="auto" w:fill="auto"/>
            <w:noWrap/>
            <w:vAlign w:val="center"/>
          </w:tcPr>
          <w:p w14:paraId="541F61C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2F8073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039614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280</w:t>
            </w:r>
          </w:p>
        </w:tc>
        <w:tc>
          <w:tcPr>
            <w:tcW w:w="808" w:type="dxa"/>
            <w:tcBorders>
              <w:top w:val="nil"/>
              <w:left w:val="nil"/>
              <w:bottom w:val="single" w:sz="4" w:space="0" w:color="BFBFBF"/>
              <w:right w:val="single" w:sz="4" w:space="0" w:color="BFBFBF"/>
            </w:tcBorders>
            <w:shd w:val="clear" w:color="auto" w:fill="auto"/>
            <w:noWrap/>
            <w:vAlign w:val="center"/>
          </w:tcPr>
          <w:p w14:paraId="0454F520"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78%</w:t>
            </w:r>
          </w:p>
        </w:tc>
        <w:tc>
          <w:tcPr>
            <w:tcW w:w="808" w:type="dxa"/>
            <w:tcBorders>
              <w:top w:val="nil"/>
              <w:left w:val="nil"/>
              <w:bottom w:val="single" w:sz="4" w:space="0" w:color="BFBFBF"/>
              <w:right w:val="single" w:sz="4" w:space="0" w:color="auto"/>
            </w:tcBorders>
            <w:shd w:val="clear" w:color="auto" w:fill="auto"/>
            <w:noWrap/>
            <w:vAlign w:val="center"/>
          </w:tcPr>
          <w:p w14:paraId="4A4C7F6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150</w:t>
            </w:r>
          </w:p>
        </w:tc>
        <w:tc>
          <w:tcPr>
            <w:tcW w:w="808" w:type="dxa"/>
            <w:tcBorders>
              <w:top w:val="nil"/>
              <w:left w:val="nil"/>
              <w:bottom w:val="single" w:sz="4" w:space="0" w:color="BFBFBF"/>
              <w:right w:val="single" w:sz="4" w:space="0" w:color="BFBFBF"/>
            </w:tcBorders>
            <w:shd w:val="clear" w:color="auto" w:fill="auto"/>
            <w:noWrap/>
            <w:vAlign w:val="center"/>
          </w:tcPr>
          <w:p w14:paraId="73C1584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w:t>
            </w:r>
          </w:p>
        </w:tc>
        <w:tc>
          <w:tcPr>
            <w:tcW w:w="675" w:type="dxa"/>
            <w:tcBorders>
              <w:top w:val="nil"/>
              <w:left w:val="nil"/>
              <w:bottom w:val="single" w:sz="4" w:space="0" w:color="BFBFBF"/>
              <w:right w:val="double" w:sz="6" w:space="0" w:color="auto"/>
            </w:tcBorders>
            <w:shd w:val="clear" w:color="auto" w:fill="auto"/>
            <w:noWrap/>
            <w:vAlign w:val="center"/>
          </w:tcPr>
          <w:p w14:paraId="5B649A4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r>
      <w:tr w:rsidR="00F44114" w:rsidRPr="00125162" w14:paraId="790BD81A" w14:textId="77777777" w:rsidTr="00EF77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4EBC79A"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Total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4554AE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auto"/>
            </w:tcBorders>
            <w:shd w:val="clear" w:color="auto" w:fill="auto"/>
            <w:noWrap/>
            <w:vAlign w:val="center"/>
          </w:tcPr>
          <w:p w14:paraId="0727E966"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808" w:type="dxa"/>
            <w:tcBorders>
              <w:top w:val="nil"/>
              <w:left w:val="nil"/>
              <w:bottom w:val="single" w:sz="4" w:space="0" w:color="BFBFBF"/>
              <w:right w:val="single" w:sz="4" w:space="0" w:color="BFBFBF"/>
            </w:tcBorders>
            <w:shd w:val="clear" w:color="auto" w:fill="auto"/>
            <w:noWrap/>
            <w:vAlign w:val="center"/>
          </w:tcPr>
          <w:p w14:paraId="2131A13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62%</w:t>
            </w:r>
          </w:p>
        </w:tc>
        <w:tc>
          <w:tcPr>
            <w:tcW w:w="808" w:type="dxa"/>
            <w:tcBorders>
              <w:top w:val="nil"/>
              <w:left w:val="nil"/>
              <w:bottom w:val="single" w:sz="4" w:space="0" w:color="BFBFBF"/>
              <w:right w:val="nil"/>
            </w:tcBorders>
            <w:shd w:val="clear" w:color="auto" w:fill="auto"/>
            <w:noWrap/>
            <w:vAlign w:val="center"/>
          </w:tcPr>
          <w:p w14:paraId="0803309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D6C2117"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nil"/>
              <w:left w:val="nil"/>
              <w:bottom w:val="single" w:sz="4" w:space="0" w:color="BFBFBF"/>
              <w:right w:val="single" w:sz="4" w:space="0" w:color="auto"/>
            </w:tcBorders>
            <w:shd w:val="clear" w:color="auto" w:fill="auto"/>
            <w:noWrap/>
            <w:vAlign w:val="center"/>
          </w:tcPr>
          <w:p w14:paraId="383E6272"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449</w:t>
            </w:r>
          </w:p>
        </w:tc>
        <w:tc>
          <w:tcPr>
            <w:tcW w:w="808" w:type="dxa"/>
            <w:tcBorders>
              <w:top w:val="nil"/>
              <w:left w:val="nil"/>
              <w:bottom w:val="single" w:sz="4" w:space="0" w:color="BFBFBF"/>
              <w:right w:val="single" w:sz="4" w:space="0" w:color="BFBFBF"/>
            </w:tcBorders>
            <w:shd w:val="clear" w:color="auto" w:fill="auto"/>
            <w:noWrap/>
            <w:vAlign w:val="center"/>
          </w:tcPr>
          <w:p w14:paraId="4C538941"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3BC5544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C3F4DE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35" w:type="dxa"/>
            <w:tcBorders>
              <w:top w:val="nil"/>
              <w:left w:val="nil"/>
              <w:bottom w:val="single" w:sz="4" w:space="0" w:color="BFBFBF"/>
              <w:right w:val="nil"/>
            </w:tcBorders>
            <w:shd w:val="clear" w:color="auto" w:fill="auto"/>
            <w:noWrap/>
            <w:vAlign w:val="center"/>
          </w:tcPr>
          <w:p w14:paraId="439CB1D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D6083C3"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2AABC22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280</w:t>
            </w:r>
          </w:p>
        </w:tc>
        <w:tc>
          <w:tcPr>
            <w:tcW w:w="808" w:type="dxa"/>
            <w:tcBorders>
              <w:top w:val="nil"/>
              <w:left w:val="nil"/>
              <w:bottom w:val="single" w:sz="4" w:space="0" w:color="BFBFBF"/>
              <w:right w:val="single" w:sz="4" w:space="0" w:color="BFBFBF"/>
            </w:tcBorders>
            <w:shd w:val="clear" w:color="auto" w:fill="auto"/>
            <w:noWrap/>
            <w:vAlign w:val="center"/>
          </w:tcPr>
          <w:p w14:paraId="1A453FBF"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w:t>
            </w:r>
          </w:p>
        </w:tc>
        <w:tc>
          <w:tcPr>
            <w:tcW w:w="808" w:type="dxa"/>
            <w:tcBorders>
              <w:top w:val="nil"/>
              <w:left w:val="nil"/>
              <w:bottom w:val="single" w:sz="4" w:space="0" w:color="BFBFBF"/>
              <w:right w:val="single" w:sz="4" w:space="0" w:color="auto"/>
            </w:tcBorders>
            <w:shd w:val="clear" w:color="auto" w:fill="auto"/>
            <w:noWrap/>
            <w:vAlign w:val="center"/>
          </w:tcPr>
          <w:p w14:paraId="6DAB3E7A"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135</w:t>
            </w:r>
          </w:p>
        </w:tc>
        <w:tc>
          <w:tcPr>
            <w:tcW w:w="808" w:type="dxa"/>
            <w:tcBorders>
              <w:top w:val="nil"/>
              <w:left w:val="nil"/>
              <w:bottom w:val="single" w:sz="4" w:space="0" w:color="BFBFBF"/>
              <w:right w:val="single" w:sz="4" w:space="0" w:color="BFBFBF"/>
            </w:tcBorders>
            <w:shd w:val="clear" w:color="auto" w:fill="auto"/>
            <w:noWrap/>
            <w:vAlign w:val="center"/>
          </w:tcPr>
          <w:p w14:paraId="5D88C21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c>
          <w:tcPr>
            <w:tcW w:w="675" w:type="dxa"/>
            <w:tcBorders>
              <w:top w:val="nil"/>
              <w:left w:val="nil"/>
              <w:bottom w:val="single" w:sz="4" w:space="0" w:color="BFBFBF"/>
              <w:right w:val="double" w:sz="6" w:space="0" w:color="auto"/>
            </w:tcBorders>
            <w:shd w:val="clear" w:color="auto" w:fill="auto"/>
            <w:noWrap/>
            <w:vAlign w:val="center"/>
          </w:tcPr>
          <w:p w14:paraId="628A91E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w:t>
            </w:r>
          </w:p>
        </w:tc>
      </w:tr>
      <w:tr w:rsidR="00F44114" w:rsidRPr="00125162" w14:paraId="175E5A15" w14:textId="77777777" w:rsidTr="00EF772B">
        <w:trPr>
          <w:trHeight w:val="225"/>
          <w:jc w:val="center"/>
        </w:trPr>
        <w:tc>
          <w:tcPr>
            <w:tcW w:w="2575" w:type="dxa"/>
            <w:tcBorders>
              <w:top w:val="single" w:sz="4" w:space="0" w:color="BFBFBF"/>
              <w:left w:val="double" w:sz="6" w:space="0" w:color="auto"/>
              <w:bottom w:val="double" w:sz="4" w:space="0" w:color="auto"/>
              <w:right w:val="nil"/>
            </w:tcBorders>
            <w:shd w:val="clear" w:color="auto" w:fill="auto"/>
            <w:noWrap/>
            <w:vAlign w:val="center"/>
          </w:tcPr>
          <w:p w14:paraId="566E5C73"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Non-Concession HHs</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62DD7D1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6615E3D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70D2267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w:t>
            </w:r>
          </w:p>
        </w:tc>
        <w:tc>
          <w:tcPr>
            <w:tcW w:w="808" w:type="dxa"/>
            <w:tcBorders>
              <w:top w:val="single" w:sz="4" w:space="0" w:color="BFBFBF"/>
              <w:left w:val="nil"/>
              <w:bottom w:val="double" w:sz="4" w:space="0" w:color="auto"/>
              <w:right w:val="nil"/>
            </w:tcBorders>
            <w:shd w:val="clear" w:color="auto" w:fill="auto"/>
            <w:noWrap/>
            <w:vAlign w:val="center"/>
          </w:tcPr>
          <w:p w14:paraId="491B678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3B5F388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675" w:type="dxa"/>
            <w:tcBorders>
              <w:top w:val="single" w:sz="4" w:space="0" w:color="BFBFBF"/>
              <w:left w:val="nil"/>
              <w:bottom w:val="double" w:sz="4" w:space="0" w:color="auto"/>
              <w:right w:val="single" w:sz="4" w:space="0" w:color="auto"/>
            </w:tcBorders>
            <w:shd w:val="clear" w:color="auto" w:fill="auto"/>
            <w:noWrap/>
            <w:vAlign w:val="center"/>
          </w:tcPr>
          <w:p w14:paraId="4F094DE4"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715</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32FE076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single" w:sz="4" w:space="0" w:color="BFBFBF"/>
              <w:left w:val="nil"/>
              <w:bottom w:val="double" w:sz="4" w:space="0" w:color="auto"/>
              <w:right w:val="nil"/>
            </w:tcBorders>
            <w:shd w:val="clear" w:color="auto" w:fill="auto"/>
            <w:noWrap/>
            <w:vAlign w:val="center"/>
          </w:tcPr>
          <w:p w14:paraId="566F09F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7CDEBCEB"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single" w:sz="4" w:space="0" w:color="BFBFBF"/>
              <w:left w:val="nil"/>
              <w:bottom w:val="double" w:sz="4" w:space="0" w:color="auto"/>
              <w:right w:val="nil"/>
            </w:tcBorders>
            <w:shd w:val="clear" w:color="auto" w:fill="auto"/>
            <w:noWrap/>
            <w:vAlign w:val="center"/>
          </w:tcPr>
          <w:p w14:paraId="0802824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634D926C"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single" w:sz="4" w:space="0" w:color="BFBFBF"/>
              <w:left w:val="nil"/>
              <w:bottom w:val="double" w:sz="4" w:space="0" w:color="auto"/>
              <w:right w:val="single" w:sz="4" w:space="0" w:color="auto"/>
            </w:tcBorders>
            <w:shd w:val="clear" w:color="auto" w:fill="auto"/>
            <w:noWrap/>
            <w:vAlign w:val="center"/>
          </w:tcPr>
          <w:p w14:paraId="31F719E5"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551</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6FA925CE"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471C31D8"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147</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1FB0F56D"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w:t>
            </w:r>
          </w:p>
        </w:tc>
        <w:tc>
          <w:tcPr>
            <w:tcW w:w="675" w:type="dxa"/>
            <w:tcBorders>
              <w:top w:val="single" w:sz="4" w:space="0" w:color="BFBFBF"/>
              <w:left w:val="nil"/>
              <w:bottom w:val="double" w:sz="4" w:space="0" w:color="auto"/>
              <w:right w:val="double" w:sz="6" w:space="0" w:color="auto"/>
            </w:tcBorders>
            <w:shd w:val="clear" w:color="auto" w:fill="auto"/>
            <w:noWrap/>
            <w:vAlign w:val="center"/>
          </w:tcPr>
          <w:p w14:paraId="62C414C9" w14:textId="77777777" w:rsidR="005214AE" w:rsidRPr="00125162" w:rsidRDefault="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w:t>
            </w:r>
          </w:p>
        </w:tc>
      </w:tr>
      <w:tr w:rsidR="005214AE" w:rsidRPr="00125162" w14:paraId="3ECA8C44" w14:textId="77777777" w:rsidTr="005214AE">
        <w:trPr>
          <w:trHeight w:val="225"/>
          <w:jc w:val="center"/>
        </w:trPr>
        <w:tc>
          <w:tcPr>
            <w:tcW w:w="2575" w:type="dxa"/>
            <w:tcBorders>
              <w:top w:val="double" w:sz="4" w:space="0" w:color="auto"/>
              <w:left w:val="double" w:sz="6" w:space="0" w:color="auto"/>
              <w:bottom w:val="single" w:sz="4" w:space="0" w:color="BFBFBF"/>
              <w:right w:val="nil"/>
            </w:tcBorders>
            <w:shd w:val="clear" w:color="auto" w:fill="auto"/>
            <w:noWrap/>
            <w:vAlign w:val="center"/>
          </w:tcPr>
          <w:p w14:paraId="19B2A329" w14:textId="77777777" w:rsidR="005214AE" w:rsidRPr="00125162" w:rsidRDefault="005214AE" w:rsidP="00702F35">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lastRenderedPageBreak/>
              <w:t>By Household Size -</w:t>
            </w:r>
          </w:p>
        </w:tc>
        <w:tc>
          <w:tcPr>
            <w:tcW w:w="808" w:type="dxa"/>
            <w:tcBorders>
              <w:top w:val="double" w:sz="4" w:space="0" w:color="auto"/>
              <w:left w:val="single" w:sz="4" w:space="0" w:color="auto"/>
              <w:bottom w:val="single" w:sz="4" w:space="0" w:color="BFBFBF"/>
              <w:right w:val="single" w:sz="4" w:space="0" w:color="BFBFBF"/>
            </w:tcBorders>
            <w:shd w:val="clear" w:color="auto" w:fill="auto"/>
            <w:noWrap/>
            <w:vAlign w:val="center"/>
          </w:tcPr>
          <w:p w14:paraId="752A12F7"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double" w:sz="4" w:space="0" w:color="auto"/>
              <w:left w:val="nil"/>
              <w:bottom w:val="single" w:sz="4" w:space="0" w:color="BFBFBF"/>
              <w:right w:val="single" w:sz="4" w:space="0" w:color="auto"/>
            </w:tcBorders>
            <w:shd w:val="clear" w:color="auto" w:fill="auto"/>
            <w:noWrap/>
            <w:vAlign w:val="center"/>
          </w:tcPr>
          <w:p w14:paraId="6A267AF9"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double" w:sz="4" w:space="0" w:color="auto"/>
              <w:left w:val="nil"/>
              <w:bottom w:val="single" w:sz="4" w:space="0" w:color="BFBFBF"/>
              <w:right w:val="single" w:sz="4" w:space="0" w:color="BFBFBF"/>
            </w:tcBorders>
            <w:shd w:val="clear" w:color="auto" w:fill="auto"/>
            <w:noWrap/>
            <w:vAlign w:val="center"/>
          </w:tcPr>
          <w:p w14:paraId="61489C5D"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double" w:sz="4" w:space="0" w:color="auto"/>
              <w:left w:val="nil"/>
              <w:bottom w:val="single" w:sz="4" w:space="0" w:color="BFBFBF"/>
              <w:right w:val="nil"/>
            </w:tcBorders>
            <w:shd w:val="clear" w:color="auto" w:fill="auto"/>
            <w:noWrap/>
            <w:vAlign w:val="center"/>
          </w:tcPr>
          <w:p w14:paraId="39A389EE"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double" w:sz="4" w:space="0" w:color="auto"/>
              <w:left w:val="single" w:sz="4" w:space="0" w:color="auto"/>
              <w:bottom w:val="single" w:sz="4" w:space="0" w:color="BFBFBF"/>
              <w:right w:val="single" w:sz="4" w:space="0" w:color="BFBFBF"/>
            </w:tcBorders>
            <w:shd w:val="clear" w:color="auto" w:fill="auto"/>
            <w:noWrap/>
            <w:vAlign w:val="center"/>
          </w:tcPr>
          <w:p w14:paraId="51EF49C0"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675" w:type="dxa"/>
            <w:tcBorders>
              <w:top w:val="double" w:sz="4" w:space="0" w:color="auto"/>
              <w:left w:val="nil"/>
              <w:bottom w:val="single" w:sz="4" w:space="0" w:color="BFBFBF"/>
              <w:right w:val="single" w:sz="4" w:space="0" w:color="auto"/>
            </w:tcBorders>
            <w:shd w:val="clear" w:color="auto" w:fill="auto"/>
            <w:noWrap/>
            <w:vAlign w:val="center"/>
          </w:tcPr>
          <w:p w14:paraId="63ED1FDE"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double" w:sz="4" w:space="0" w:color="auto"/>
              <w:left w:val="nil"/>
              <w:bottom w:val="single" w:sz="4" w:space="0" w:color="BFBFBF"/>
              <w:right w:val="single" w:sz="4" w:space="0" w:color="BFBFBF"/>
            </w:tcBorders>
            <w:shd w:val="clear" w:color="auto" w:fill="auto"/>
            <w:noWrap/>
            <w:vAlign w:val="center"/>
          </w:tcPr>
          <w:p w14:paraId="1AEC6EAD"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586" w:type="dxa"/>
            <w:tcBorders>
              <w:top w:val="double" w:sz="4" w:space="0" w:color="auto"/>
              <w:left w:val="nil"/>
              <w:bottom w:val="single" w:sz="4" w:space="0" w:color="BFBFBF"/>
              <w:right w:val="nil"/>
            </w:tcBorders>
            <w:shd w:val="clear" w:color="auto" w:fill="auto"/>
            <w:noWrap/>
            <w:vAlign w:val="center"/>
          </w:tcPr>
          <w:p w14:paraId="7B5EB351"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double" w:sz="4" w:space="0" w:color="auto"/>
              <w:left w:val="single" w:sz="4" w:space="0" w:color="auto"/>
              <w:bottom w:val="single" w:sz="4" w:space="0" w:color="BFBFBF"/>
              <w:right w:val="single" w:sz="4" w:space="0" w:color="BFBFBF"/>
            </w:tcBorders>
            <w:shd w:val="clear" w:color="auto" w:fill="auto"/>
            <w:noWrap/>
            <w:vAlign w:val="center"/>
          </w:tcPr>
          <w:p w14:paraId="7B122DC6"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535" w:type="dxa"/>
            <w:tcBorders>
              <w:top w:val="double" w:sz="4" w:space="0" w:color="auto"/>
              <w:left w:val="nil"/>
              <w:bottom w:val="single" w:sz="4" w:space="0" w:color="BFBFBF"/>
              <w:right w:val="nil"/>
            </w:tcBorders>
            <w:shd w:val="clear" w:color="auto" w:fill="auto"/>
            <w:noWrap/>
            <w:vAlign w:val="center"/>
          </w:tcPr>
          <w:p w14:paraId="0372EECF"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double" w:sz="4" w:space="0" w:color="auto"/>
              <w:left w:val="single" w:sz="4" w:space="0" w:color="auto"/>
              <w:bottom w:val="single" w:sz="4" w:space="0" w:color="BFBFBF"/>
              <w:right w:val="single" w:sz="4" w:space="0" w:color="BFBFBF"/>
            </w:tcBorders>
            <w:shd w:val="clear" w:color="auto" w:fill="auto"/>
            <w:noWrap/>
            <w:vAlign w:val="center"/>
          </w:tcPr>
          <w:p w14:paraId="6B4021A3"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497" w:type="dxa"/>
            <w:tcBorders>
              <w:top w:val="double" w:sz="4" w:space="0" w:color="auto"/>
              <w:left w:val="nil"/>
              <w:bottom w:val="single" w:sz="4" w:space="0" w:color="BFBFBF"/>
              <w:right w:val="single" w:sz="4" w:space="0" w:color="auto"/>
            </w:tcBorders>
            <w:shd w:val="clear" w:color="auto" w:fill="auto"/>
            <w:noWrap/>
            <w:vAlign w:val="center"/>
          </w:tcPr>
          <w:p w14:paraId="16574B06"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double" w:sz="4" w:space="0" w:color="auto"/>
              <w:left w:val="nil"/>
              <w:bottom w:val="single" w:sz="4" w:space="0" w:color="BFBFBF"/>
              <w:right w:val="single" w:sz="4" w:space="0" w:color="BFBFBF"/>
            </w:tcBorders>
            <w:shd w:val="clear" w:color="auto" w:fill="auto"/>
            <w:noWrap/>
            <w:vAlign w:val="center"/>
          </w:tcPr>
          <w:p w14:paraId="2DE5F2BB"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double" w:sz="4" w:space="0" w:color="auto"/>
              <w:left w:val="nil"/>
              <w:bottom w:val="single" w:sz="4" w:space="0" w:color="BFBFBF"/>
              <w:right w:val="single" w:sz="4" w:space="0" w:color="auto"/>
            </w:tcBorders>
            <w:shd w:val="clear" w:color="auto" w:fill="auto"/>
            <w:noWrap/>
            <w:vAlign w:val="center"/>
          </w:tcPr>
          <w:p w14:paraId="699DC9B2"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double" w:sz="4" w:space="0" w:color="auto"/>
              <w:left w:val="nil"/>
              <w:bottom w:val="single" w:sz="4" w:space="0" w:color="BFBFBF"/>
              <w:right w:val="single" w:sz="4" w:space="0" w:color="BFBFBF"/>
            </w:tcBorders>
            <w:shd w:val="clear" w:color="auto" w:fill="auto"/>
            <w:noWrap/>
            <w:vAlign w:val="center"/>
          </w:tcPr>
          <w:p w14:paraId="654FA2BB"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675" w:type="dxa"/>
            <w:tcBorders>
              <w:top w:val="double" w:sz="4" w:space="0" w:color="auto"/>
              <w:left w:val="nil"/>
              <w:bottom w:val="single" w:sz="4" w:space="0" w:color="BFBFBF"/>
              <w:right w:val="double" w:sz="6" w:space="0" w:color="auto"/>
            </w:tcBorders>
            <w:shd w:val="clear" w:color="auto" w:fill="auto"/>
            <w:noWrap/>
            <w:vAlign w:val="center"/>
          </w:tcPr>
          <w:p w14:paraId="3B22BD72" w14:textId="77777777" w:rsidR="005214AE" w:rsidRPr="00125162" w:rsidRDefault="005214AE" w:rsidP="009E6A8A">
            <w:pPr>
              <w:spacing w:before="0" w:after="0"/>
              <w:jc w:val="center"/>
              <w:rPr>
                <w:rFonts w:ascii="Arial" w:hAnsi="Arial" w:cs="Arial"/>
                <w:color w:val="000000"/>
                <w:sz w:val="16"/>
                <w:szCs w:val="16"/>
                <w:lang w:val="en-AU" w:eastAsia="en-AU"/>
              </w:rPr>
            </w:pPr>
          </w:p>
        </w:tc>
      </w:tr>
      <w:tr w:rsidR="005214AE" w:rsidRPr="00125162" w14:paraId="27890E6A" w14:textId="77777777" w:rsidTr="005214AE">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7B73DBF9"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1 person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6CAE66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auto"/>
            </w:tcBorders>
            <w:shd w:val="clear" w:color="auto" w:fill="auto"/>
            <w:noWrap/>
            <w:vAlign w:val="center"/>
          </w:tcPr>
          <w:p w14:paraId="50F5DC80"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w:t>
            </w:r>
          </w:p>
        </w:tc>
        <w:tc>
          <w:tcPr>
            <w:tcW w:w="808" w:type="dxa"/>
            <w:tcBorders>
              <w:top w:val="nil"/>
              <w:left w:val="nil"/>
              <w:bottom w:val="single" w:sz="4" w:space="0" w:color="BFBFBF"/>
              <w:right w:val="single" w:sz="4" w:space="0" w:color="BFBFBF"/>
            </w:tcBorders>
            <w:shd w:val="clear" w:color="auto" w:fill="auto"/>
            <w:noWrap/>
            <w:vAlign w:val="center"/>
          </w:tcPr>
          <w:p w14:paraId="0319079A"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w:t>
            </w:r>
          </w:p>
        </w:tc>
        <w:tc>
          <w:tcPr>
            <w:tcW w:w="808" w:type="dxa"/>
            <w:tcBorders>
              <w:top w:val="nil"/>
              <w:left w:val="nil"/>
              <w:bottom w:val="single" w:sz="4" w:space="0" w:color="BFBFBF"/>
              <w:right w:val="nil"/>
            </w:tcBorders>
            <w:shd w:val="clear" w:color="auto" w:fill="auto"/>
            <w:noWrap/>
            <w:vAlign w:val="center"/>
          </w:tcPr>
          <w:p w14:paraId="72453E0A"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18</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569EE15"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w:t>
            </w:r>
          </w:p>
        </w:tc>
        <w:tc>
          <w:tcPr>
            <w:tcW w:w="675" w:type="dxa"/>
            <w:tcBorders>
              <w:top w:val="nil"/>
              <w:left w:val="nil"/>
              <w:bottom w:val="single" w:sz="4" w:space="0" w:color="BFBFBF"/>
              <w:right w:val="single" w:sz="4" w:space="0" w:color="auto"/>
            </w:tcBorders>
            <w:shd w:val="clear" w:color="auto" w:fill="auto"/>
            <w:noWrap/>
            <w:vAlign w:val="center"/>
          </w:tcPr>
          <w:p w14:paraId="2BDF947D"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479</w:t>
            </w:r>
          </w:p>
        </w:tc>
        <w:tc>
          <w:tcPr>
            <w:tcW w:w="808" w:type="dxa"/>
            <w:tcBorders>
              <w:top w:val="nil"/>
              <w:left w:val="nil"/>
              <w:bottom w:val="single" w:sz="4" w:space="0" w:color="BFBFBF"/>
              <w:right w:val="single" w:sz="4" w:space="0" w:color="BFBFBF"/>
            </w:tcBorders>
            <w:shd w:val="clear" w:color="auto" w:fill="auto"/>
            <w:noWrap/>
            <w:vAlign w:val="center"/>
          </w:tcPr>
          <w:p w14:paraId="3B5058BA"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14689ED5"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CA1FAE5"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3D22C86E"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70085D"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36FDC0E9"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168</w:t>
            </w:r>
          </w:p>
        </w:tc>
        <w:tc>
          <w:tcPr>
            <w:tcW w:w="808" w:type="dxa"/>
            <w:tcBorders>
              <w:top w:val="nil"/>
              <w:left w:val="nil"/>
              <w:bottom w:val="single" w:sz="4" w:space="0" w:color="BFBFBF"/>
              <w:right w:val="single" w:sz="4" w:space="0" w:color="BFBFBF"/>
            </w:tcBorders>
            <w:shd w:val="clear" w:color="auto" w:fill="auto"/>
            <w:noWrap/>
            <w:vAlign w:val="bottom"/>
          </w:tcPr>
          <w:p w14:paraId="3FDE7E7D"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81%</w:t>
            </w:r>
          </w:p>
        </w:tc>
        <w:tc>
          <w:tcPr>
            <w:tcW w:w="808" w:type="dxa"/>
            <w:tcBorders>
              <w:top w:val="nil"/>
              <w:left w:val="nil"/>
              <w:bottom w:val="single" w:sz="4" w:space="0" w:color="BFBFBF"/>
              <w:right w:val="single" w:sz="4" w:space="0" w:color="auto"/>
            </w:tcBorders>
            <w:shd w:val="clear" w:color="auto" w:fill="auto"/>
            <w:noWrap/>
            <w:vAlign w:val="center"/>
          </w:tcPr>
          <w:p w14:paraId="55A76510"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95</w:t>
            </w:r>
          </w:p>
        </w:tc>
        <w:tc>
          <w:tcPr>
            <w:tcW w:w="808" w:type="dxa"/>
            <w:tcBorders>
              <w:top w:val="nil"/>
              <w:left w:val="nil"/>
              <w:bottom w:val="single" w:sz="4" w:space="0" w:color="BFBFBF"/>
              <w:right w:val="single" w:sz="4" w:space="0" w:color="BFBFBF"/>
            </w:tcBorders>
            <w:shd w:val="clear" w:color="auto" w:fill="auto"/>
            <w:noWrap/>
            <w:vAlign w:val="center"/>
          </w:tcPr>
          <w:p w14:paraId="11DD06FC"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44%</w:t>
            </w:r>
          </w:p>
        </w:tc>
        <w:tc>
          <w:tcPr>
            <w:tcW w:w="675" w:type="dxa"/>
            <w:tcBorders>
              <w:top w:val="nil"/>
              <w:left w:val="nil"/>
              <w:bottom w:val="single" w:sz="4" w:space="0" w:color="BFBFBF"/>
              <w:right w:val="double" w:sz="6" w:space="0" w:color="auto"/>
            </w:tcBorders>
            <w:shd w:val="clear" w:color="auto" w:fill="auto"/>
            <w:noWrap/>
            <w:vAlign w:val="center"/>
          </w:tcPr>
          <w:p w14:paraId="6761A1CC"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w:t>
            </w:r>
          </w:p>
        </w:tc>
      </w:tr>
      <w:tr w:rsidR="005214AE" w:rsidRPr="00125162" w14:paraId="6DCCC2E1" w14:textId="77777777" w:rsidTr="005214AE">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4FFAC349"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2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222ABFF"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w:t>
            </w:r>
          </w:p>
        </w:tc>
        <w:tc>
          <w:tcPr>
            <w:tcW w:w="808" w:type="dxa"/>
            <w:tcBorders>
              <w:top w:val="nil"/>
              <w:left w:val="nil"/>
              <w:bottom w:val="single" w:sz="4" w:space="0" w:color="BFBFBF"/>
              <w:right w:val="single" w:sz="4" w:space="0" w:color="auto"/>
            </w:tcBorders>
            <w:shd w:val="clear" w:color="auto" w:fill="auto"/>
            <w:noWrap/>
            <w:vAlign w:val="center"/>
          </w:tcPr>
          <w:p w14:paraId="672D45BA"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808" w:type="dxa"/>
            <w:tcBorders>
              <w:top w:val="nil"/>
              <w:left w:val="nil"/>
              <w:bottom w:val="single" w:sz="4" w:space="0" w:color="BFBFBF"/>
              <w:right w:val="single" w:sz="4" w:space="0" w:color="BFBFBF"/>
            </w:tcBorders>
            <w:shd w:val="clear" w:color="auto" w:fill="auto"/>
            <w:noWrap/>
            <w:vAlign w:val="center"/>
          </w:tcPr>
          <w:p w14:paraId="4ED8E695"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w:t>
            </w:r>
          </w:p>
        </w:tc>
        <w:tc>
          <w:tcPr>
            <w:tcW w:w="808" w:type="dxa"/>
            <w:tcBorders>
              <w:top w:val="nil"/>
              <w:left w:val="nil"/>
              <w:bottom w:val="single" w:sz="4" w:space="0" w:color="BFBFBF"/>
              <w:right w:val="nil"/>
            </w:tcBorders>
            <w:shd w:val="clear" w:color="auto" w:fill="auto"/>
            <w:noWrap/>
            <w:vAlign w:val="center"/>
          </w:tcPr>
          <w:p w14:paraId="7212BF30"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43D8534"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675" w:type="dxa"/>
            <w:tcBorders>
              <w:top w:val="nil"/>
              <w:left w:val="nil"/>
              <w:bottom w:val="single" w:sz="4" w:space="0" w:color="BFBFBF"/>
              <w:right w:val="single" w:sz="4" w:space="0" w:color="auto"/>
            </w:tcBorders>
            <w:shd w:val="clear" w:color="auto" w:fill="auto"/>
            <w:noWrap/>
            <w:vAlign w:val="center"/>
          </w:tcPr>
          <w:p w14:paraId="572C03F7"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638</w:t>
            </w:r>
          </w:p>
        </w:tc>
        <w:tc>
          <w:tcPr>
            <w:tcW w:w="808" w:type="dxa"/>
            <w:tcBorders>
              <w:top w:val="nil"/>
              <w:left w:val="nil"/>
              <w:bottom w:val="single" w:sz="4" w:space="0" w:color="BFBFBF"/>
              <w:right w:val="single" w:sz="4" w:space="0" w:color="BFBFBF"/>
            </w:tcBorders>
            <w:shd w:val="clear" w:color="auto" w:fill="auto"/>
            <w:noWrap/>
            <w:vAlign w:val="center"/>
          </w:tcPr>
          <w:p w14:paraId="4EA10008"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118B22ED"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1C7A6C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0356017B"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5836F5A"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6E5394DA"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551</w:t>
            </w:r>
          </w:p>
        </w:tc>
        <w:tc>
          <w:tcPr>
            <w:tcW w:w="808" w:type="dxa"/>
            <w:tcBorders>
              <w:top w:val="nil"/>
              <w:left w:val="nil"/>
              <w:bottom w:val="single" w:sz="4" w:space="0" w:color="BFBFBF"/>
              <w:right w:val="single" w:sz="4" w:space="0" w:color="BFBFBF"/>
            </w:tcBorders>
            <w:shd w:val="clear" w:color="auto" w:fill="auto"/>
            <w:noWrap/>
            <w:vAlign w:val="bottom"/>
          </w:tcPr>
          <w:p w14:paraId="17826223"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79%</w:t>
            </w:r>
          </w:p>
        </w:tc>
        <w:tc>
          <w:tcPr>
            <w:tcW w:w="808" w:type="dxa"/>
            <w:tcBorders>
              <w:top w:val="nil"/>
              <w:left w:val="nil"/>
              <w:bottom w:val="single" w:sz="4" w:space="0" w:color="BFBFBF"/>
              <w:right w:val="single" w:sz="4" w:space="0" w:color="auto"/>
            </w:tcBorders>
            <w:shd w:val="clear" w:color="auto" w:fill="auto"/>
            <w:noWrap/>
            <w:vAlign w:val="center"/>
          </w:tcPr>
          <w:p w14:paraId="7FFBA4C3"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137</w:t>
            </w:r>
          </w:p>
        </w:tc>
        <w:tc>
          <w:tcPr>
            <w:tcW w:w="808" w:type="dxa"/>
            <w:tcBorders>
              <w:top w:val="nil"/>
              <w:left w:val="nil"/>
              <w:bottom w:val="single" w:sz="4" w:space="0" w:color="BFBFBF"/>
              <w:right w:val="single" w:sz="4" w:space="0" w:color="BFBFBF"/>
            </w:tcBorders>
            <w:shd w:val="clear" w:color="auto" w:fill="auto"/>
            <w:noWrap/>
            <w:vAlign w:val="center"/>
          </w:tcPr>
          <w:p w14:paraId="73ECDB0D"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w:t>
            </w:r>
          </w:p>
        </w:tc>
        <w:tc>
          <w:tcPr>
            <w:tcW w:w="675" w:type="dxa"/>
            <w:tcBorders>
              <w:top w:val="nil"/>
              <w:left w:val="nil"/>
              <w:bottom w:val="single" w:sz="4" w:space="0" w:color="BFBFBF"/>
              <w:right w:val="double" w:sz="6" w:space="0" w:color="auto"/>
            </w:tcBorders>
            <w:shd w:val="clear" w:color="auto" w:fill="auto"/>
            <w:noWrap/>
            <w:vAlign w:val="center"/>
          </w:tcPr>
          <w:p w14:paraId="609C78A2"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w:t>
            </w:r>
          </w:p>
        </w:tc>
      </w:tr>
      <w:tr w:rsidR="005214AE" w:rsidRPr="00125162" w14:paraId="5C5CBAF6" w14:textId="77777777" w:rsidTr="005214AE">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35D1E62"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3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6637E21"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w:t>
            </w:r>
          </w:p>
        </w:tc>
        <w:tc>
          <w:tcPr>
            <w:tcW w:w="808" w:type="dxa"/>
            <w:tcBorders>
              <w:top w:val="nil"/>
              <w:left w:val="nil"/>
              <w:bottom w:val="single" w:sz="4" w:space="0" w:color="BFBFBF"/>
              <w:right w:val="single" w:sz="4" w:space="0" w:color="auto"/>
            </w:tcBorders>
            <w:shd w:val="clear" w:color="auto" w:fill="auto"/>
            <w:noWrap/>
            <w:vAlign w:val="center"/>
          </w:tcPr>
          <w:p w14:paraId="31EA7A60"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808" w:type="dxa"/>
            <w:tcBorders>
              <w:top w:val="nil"/>
              <w:left w:val="nil"/>
              <w:bottom w:val="single" w:sz="4" w:space="0" w:color="BFBFBF"/>
              <w:right w:val="single" w:sz="4" w:space="0" w:color="BFBFBF"/>
            </w:tcBorders>
            <w:shd w:val="clear" w:color="auto" w:fill="auto"/>
            <w:noWrap/>
            <w:vAlign w:val="center"/>
          </w:tcPr>
          <w:p w14:paraId="0B658C2C"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w:t>
            </w:r>
          </w:p>
        </w:tc>
        <w:tc>
          <w:tcPr>
            <w:tcW w:w="808" w:type="dxa"/>
            <w:tcBorders>
              <w:top w:val="nil"/>
              <w:left w:val="nil"/>
              <w:bottom w:val="single" w:sz="4" w:space="0" w:color="BFBFBF"/>
              <w:right w:val="nil"/>
            </w:tcBorders>
            <w:shd w:val="clear" w:color="auto" w:fill="auto"/>
            <w:noWrap/>
            <w:vAlign w:val="center"/>
          </w:tcPr>
          <w:p w14:paraId="51BF188C"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B1DA547"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16%</w:t>
            </w:r>
          </w:p>
        </w:tc>
        <w:tc>
          <w:tcPr>
            <w:tcW w:w="675" w:type="dxa"/>
            <w:tcBorders>
              <w:top w:val="nil"/>
              <w:left w:val="nil"/>
              <w:bottom w:val="single" w:sz="4" w:space="0" w:color="BFBFBF"/>
              <w:right w:val="single" w:sz="4" w:space="0" w:color="auto"/>
            </w:tcBorders>
            <w:shd w:val="clear" w:color="auto" w:fill="auto"/>
            <w:noWrap/>
            <w:vAlign w:val="center"/>
          </w:tcPr>
          <w:p w14:paraId="2B5A564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573</w:t>
            </w:r>
          </w:p>
        </w:tc>
        <w:tc>
          <w:tcPr>
            <w:tcW w:w="808" w:type="dxa"/>
            <w:tcBorders>
              <w:top w:val="nil"/>
              <w:left w:val="nil"/>
              <w:bottom w:val="single" w:sz="4" w:space="0" w:color="BFBFBF"/>
              <w:right w:val="single" w:sz="4" w:space="0" w:color="BFBFBF"/>
            </w:tcBorders>
            <w:shd w:val="clear" w:color="auto" w:fill="auto"/>
            <w:noWrap/>
            <w:vAlign w:val="center"/>
          </w:tcPr>
          <w:p w14:paraId="43ACD88E"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58FC959A"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D0422DD"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52BA640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39C6889"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3263439C"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323</w:t>
            </w:r>
          </w:p>
        </w:tc>
        <w:tc>
          <w:tcPr>
            <w:tcW w:w="808" w:type="dxa"/>
            <w:tcBorders>
              <w:top w:val="nil"/>
              <w:left w:val="nil"/>
              <w:bottom w:val="single" w:sz="4" w:space="0" w:color="BFBFBF"/>
              <w:right w:val="single" w:sz="4" w:space="0" w:color="BFBFBF"/>
            </w:tcBorders>
            <w:shd w:val="clear" w:color="auto" w:fill="auto"/>
            <w:noWrap/>
            <w:vAlign w:val="bottom"/>
          </w:tcPr>
          <w:p w14:paraId="25258A7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82%</w:t>
            </w:r>
          </w:p>
        </w:tc>
        <w:tc>
          <w:tcPr>
            <w:tcW w:w="808" w:type="dxa"/>
            <w:tcBorders>
              <w:top w:val="nil"/>
              <w:left w:val="nil"/>
              <w:bottom w:val="single" w:sz="4" w:space="0" w:color="BFBFBF"/>
              <w:right w:val="single" w:sz="4" w:space="0" w:color="auto"/>
            </w:tcBorders>
            <w:shd w:val="clear" w:color="auto" w:fill="auto"/>
            <w:noWrap/>
            <w:vAlign w:val="center"/>
          </w:tcPr>
          <w:p w14:paraId="2C3DEC6B"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141</w:t>
            </w:r>
          </w:p>
        </w:tc>
        <w:tc>
          <w:tcPr>
            <w:tcW w:w="808" w:type="dxa"/>
            <w:tcBorders>
              <w:top w:val="nil"/>
              <w:left w:val="nil"/>
              <w:bottom w:val="single" w:sz="4" w:space="0" w:color="BFBFBF"/>
              <w:right w:val="single" w:sz="4" w:space="0" w:color="BFBFBF"/>
            </w:tcBorders>
            <w:shd w:val="clear" w:color="auto" w:fill="auto"/>
            <w:noWrap/>
            <w:vAlign w:val="center"/>
          </w:tcPr>
          <w:p w14:paraId="5EA3A201"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47%</w:t>
            </w:r>
          </w:p>
        </w:tc>
        <w:tc>
          <w:tcPr>
            <w:tcW w:w="675" w:type="dxa"/>
            <w:tcBorders>
              <w:top w:val="nil"/>
              <w:left w:val="nil"/>
              <w:bottom w:val="single" w:sz="4" w:space="0" w:color="BFBFBF"/>
              <w:right w:val="double" w:sz="6" w:space="0" w:color="auto"/>
            </w:tcBorders>
            <w:shd w:val="clear" w:color="auto" w:fill="auto"/>
            <w:noWrap/>
            <w:vAlign w:val="center"/>
          </w:tcPr>
          <w:p w14:paraId="468AF819"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w:t>
            </w:r>
          </w:p>
        </w:tc>
      </w:tr>
      <w:tr w:rsidR="005214AE" w:rsidRPr="00125162" w14:paraId="20B2DCB4" w14:textId="77777777" w:rsidTr="005214AE">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C7D4E13"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4 or more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E291F86"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63%</w:t>
            </w:r>
          </w:p>
        </w:tc>
        <w:tc>
          <w:tcPr>
            <w:tcW w:w="808" w:type="dxa"/>
            <w:tcBorders>
              <w:top w:val="nil"/>
              <w:left w:val="nil"/>
              <w:bottom w:val="single" w:sz="4" w:space="0" w:color="BFBFBF"/>
              <w:right w:val="single" w:sz="4" w:space="0" w:color="auto"/>
            </w:tcBorders>
            <w:shd w:val="clear" w:color="auto" w:fill="auto"/>
            <w:noWrap/>
            <w:vAlign w:val="center"/>
          </w:tcPr>
          <w:p w14:paraId="2AAB0B75"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24</w:t>
            </w:r>
          </w:p>
        </w:tc>
        <w:tc>
          <w:tcPr>
            <w:tcW w:w="808" w:type="dxa"/>
            <w:tcBorders>
              <w:top w:val="nil"/>
              <w:left w:val="nil"/>
              <w:bottom w:val="single" w:sz="4" w:space="0" w:color="BFBFBF"/>
              <w:right w:val="single" w:sz="4" w:space="0" w:color="BFBFBF"/>
            </w:tcBorders>
            <w:shd w:val="clear" w:color="auto" w:fill="auto"/>
            <w:noWrap/>
            <w:vAlign w:val="center"/>
          </w:tcPr>
          <w:p w14:paraId="7EE34EAF"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w:t>
            </w:r>
          </w:p>
        </w:tc>
        <w:tc>
          <w:tcPr>
            <w:tcW w:w="808" w:type="dxa"/>
            <w:tcBorders>
              <w:top w:val="nil"/>
              <w:left w:val="nil"/>
              <w:bottom w:val="single" w:sz="4" w:space="0" w:color="BFBFBF"/>
              <w:right w:val="nil"/>
            </w:tcBorders>
            <w:shd w:val="clear" w:color="auto" w:fill="auto"/>
            <w:noWrap/>
            <w:vAlign w:val="center"/>
          </w:tcPr>
          <w:p w14:paraId="714E7ED7"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B64F444"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22%</w:t>
            </w:r>
          </w:p>
        </w:tc>
        <w:tc>
          <w:tcPr>
            <w:tcW w:w="675" w:type="dxa"/>
            <w:tcBorders>
              <w:top w:val="nil"/>
              <w:left w:val="nil"/>
              <w:bottom w:val="single" w:sz="4" w:space="0" w:color="BFBFBF"/>
              <w:right w:val="single" w:sz="4" w:space="0" w:color="auto"/>
            </w:tcBorders>
            <w:shd w:val="clear" w:color="auto" w:fill="auto"/>
            <w:noWrap/>
            <w:vAlign w:val="center"/>
          </w:tcPr>
          <w:p w14:paraId="1AFBBFC7"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628</w:t>
            </w:r>
          </w:p>
        </w:tc>
        <w:tc>
          <w:tcPr>
            <w:tcW w:w="808" w:type="dxa"/>
            <w:tcBorders>
              <w:top w:val="nil"/>
              <w:left w:val="nil"/>
              <w:bottom w:val="single" w:sz="4" w:space="0" w:color="BFBFBF"/>
              <w:right w:val="single" w:sz="4" w:space="0" w:color="BFBFBF"/>
            </w:tcBorders>
            <w:shd w:val="clear" w:color="auto" w:fill="auto"/>
            <w:noWrap/>
            <w:vAlign w:val="center"/>
          </w:tcPr>
          <w:p w14:paraId="46F8FE7F"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594839BC"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2DBB4D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01B58A41"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C85938A"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B79EA42"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2F1C974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79%</w:t>
            </w:r>
          </w:p>
        </w:tc>
        <w:tc>
          <w:tcPr>
            <w:tcW w:w="808" w:type="dxa"/>
            <w:tcBorders>
              <w:top w:val="nil"/>
              <w:left w:val="nil"/>
              <w:bottom w:val="single" w:sz="4" w:space="0" w:color="BFBFBF"/>
              <w:right w:val="single" w:sz="4" w:space="0" w:color="auto"/>
            </w:tcBorders>
            <w:shd w:val="clear" w:color="auto" w:fill="auto"/>
            <w:noWrap/>
            <w:vAlign w:val="center"/>
          </w:tcPr>
          <w:p w14:paraId="76E46C8F"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192</w:t>
            </w:r>
          </w:p>
        </w:tc>
        <w:tc>
          <w:tcPr>
            <w:tcW w:w="808" w:type="dxa"/>
            <w:tcBorders>
              <w:top w:val="nil"/>
              <w:left w:val="nil"/>
              <w:bottom w:val="single" w:sz="4" w:space="0" w:color="BFBFBF"/>
              <w:right w:val="single" w:sz="4" w:space="0" w:color="BFBFBF"/>
            </w:tcBorders>
            <w:shd w:val="clear" w:color="auto" w:fill="auto"/>
            <w:noWrap/>
            <w:vAlign w:val="center"/>
          </w:tcPr>
          <w:p w14:paraId="3425AE20"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c>
          <w:tcPr>
            <w:tcW w:w="675" w:type="dxa"/>
            <w:tcBorders>
              <w:top w:val="nil"/>
              <w:left w:val="nil"/>
              <w:bottom w:val="single" w:sz="4" w:space="0" w:color="BFBFBF"/>
              <w:right w:val="double" w:sz="6" w:space="0" w:color="auto"/>
            </w:tcBorders>
            <w:shd w:val="clear" w:color="auto" w:fill="auto"/>
            <w:noWrap/>
            <w:vAlign w:val="center"/>
          </w:tcPr>
          <w:p w14:paraId="2495C4FD"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68</w:t>
            </w:r>
          </w:p>
        </w:tc>
      </w:tr>
      <w:tr w:rsidR="005214AE" w:rsidRPr="00125162" w14:paraId="3A179805" w14:textId="77777777" w:rsidTr="005214AE">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8C9A11D" w14:textId="77777777" w:rsidR="005214AE" w:rsidRPr="00125162" w:rsidRDefault="005214AE" w:rsidP="00702F35">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Housing Status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A36801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57DCF926"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34F1E3D"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nil"/>
            </w:tcBorders>
            <w:shd w:val="clear" w:color="auto" w:fill="auto"/>
            <w:noWrap/>
            <w:vAlign w:val="center"/>
          </w:tcPr>
          <w:p w14:paraId="1D47F888"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D16423C"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09F7E6EB"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662873D"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586" w:type="dxa"/>
            <w:tcBorders>
              <w:top w:val="nil"/>
              <w:left w:val="nil"/>
              <w:bottom w:val="single" w:sz="4" w:space="0" w:color="BFBFBF"/>
              <w:right w:val="nil"/>
            </w:tcBorders>
            <w:shd w:val="clear" w:color="auto" w:fill="auto"/>
            <w:noWrap/>
            <w:vAlign w:val="center"/>
          </w:tcPr>
          <w:p w14:paraId="0CEAD5AD"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8140F43"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535" w:type="dxa"/>
            <w:tcBorders>
              <w:top w:val="nil"/>
              <w:left w:val="nil"/>
              <w:bottom w:val="single" w:sz="4" w:space="0" w:color="BFBFBF"/>
              <w:right w:val="nil"/>
            </w:tcBorders>
            <w:shd w:val="clear" w:color="auto" w:fill="auto"/>
            <w:noWrap/>
            <w:vAlign w:val="center"/>
          </w:tcPr>
          <w:p w14:paraId="249A46C6"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D99CDB4"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497" w:type="dxa"/>
            <w:tcBorders>
              <w:top w:val="nil"/>
              <w:left w:val="nil"/>
              <w:bottom w:val="single" w:sz="4" w:space="0" w:color="BFBFBF"/>
              <w:right w:val="single" w:sz="4" w:space="0" w:color="auto"/>
            </w:tcBorders>
            <w:shd w:val="clear" w:color="auto" w:fill="auto"/>
            <w:noWrap/>
            <w:vAlign w:val="center"/>
          </w:tcPr>
          <w:p w14:paraId="20755FF0"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bottom"/>
          </w:tcPr>
          <w:p w14:paraId="51EE431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3C90BF71"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80D3615" w14:textId="77777777" w:rsidR="005214AE" w:rsidRPr="00125162" w:rsidRDefault="005214AE" w:rsidP="009E6A8A">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double" w:sz="6" w:space="0" w:color="auto"/>
            </w:tcBorders>
            <w:shd w:val="clear" w:color="auto" w:fill="auto"/>
            <w:noWrap/>
            <w:vAlign w:val="center"/>
          </w:tcPr>
          <w:p w14:paraId="4DE089E9" w14:textId="77777777" w:rsidR="005214AE" w:rsidRPr="00125162" w:rsidRDefault="005214AE" w:rsidP="009E6A8A">
            <w:pPr>
              <w:spacing w:before="0" w:after="0"/>
              <w:jc w:val="center"/>
              <w:rPr>
                <w:rFonts w:ascii="Arial" w:hAnsi="Arial" w:cs="Arial"/>
                <w:color w:val="000000"/>
                <w:sz w:val="16"/>
                <w:szCs w:val="16"/>
                <w:lang w:val="en-AU" w:eastAsia="en-AU"/>
              </w:rPr>
            </w:pPr>
          </w:p>
        </w:tc>
      </w:tr>
      <w:tr w:rsidR="005214AE" w:rsidRPr="00125162" w14:paraId="71EF451A" w14:textId="77777777" w:rsidTr="005214AE">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62FD2A1"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Owned/paid off</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3B04A05"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auto"/>
            </w:tcBorders>
            <w:shd w:val="clear" w:color="auto" w:fill="auto"/>
            <w:noWrap/>
            <w:vAlign w:val="center"/>
          </w:tcPr>
          <w:p w14:paraId="7D14925B"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19</w:t>
            </w:r>
          </w:p>
        </w:tc>
        <w:tc>
          <w:tcPr>
            <w:tcW w:w="808" w:type="dxa"/>
            <w:tcBorders>
              <w:top w:val="nil"/>
              <w:left w:val="nil"/>
              <w:bottom w:val="single" w:sz="4" w:space="0" w:color="BFBFBF"/>
              <w:right w:val="single" w:sz="4" w:space="0" w:color="BFBFBF"/>
            </w:tcBorders>
            <w:shd w:val="clear" w:color="auto" w:fill="auto"/>
            <w:noWrap/>
            <w:vAlign w:val="center"/>
          </w:tcPr>
          <w:p w14:paraId="193FA685"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c>
          <w:tcPr>
            <w:tcW w:w="808" w:type="dxa"/>
            <w:tcBorders>
              <w:top w:val="nil"/>
              <w:left w:val="nil"/>
              <w:bottom w:val="single" w:sz="4" w:space="0" w:color="BFBFBF"/>
              <w:right w:val="nil"/>
            </w:tcBorders>
            <w:shd w:val="clear" w:color="auto" w:fill="auto"/>
            <w:noWrap/>
            <w:vAlign w:val="center"/>
          </w:tcPr>
          <w:p w14:paraId="39E400BA"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AFCB330"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w:t>
            </w:r>
          </w:p>
        </w:tc>
        <w:tc>
          <w:tcPr>
            <w:tcW w:w="675" w:type="dxa"/>
            <w:tcBorders>
              <w:top w:val="nil"/>
              <w:left w:val="nil"/>
              <w:bottom w:val="single" w:sz="4" w:space="0" w:color="BFBFBF"/>
              <w:right w:val="single" w:sz="4" w:space="0" w:color="auto"/>
            </w:tcBorders>
            <w:shd w:val="clear" w:color="auto" w:fill="auto"/>
            <w:noWrap/>
            <w:vAlign w:val="center"/>
          </w:tcPr>
          <w:p w14:paraId="4B732D8D"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604</w:t>
            </w:r>
          </w:p>
        </w:tc>
        <w:tc>
          <w:tcPr>
            <w:tcW w:w="808" w:type="dxa"/>
            <w:tcBorders>
              <w:top w:val="nil"/>
              <w:left w:val="nil"/>
              <w:bottom w:val="single" w:sz="4" w:space="0" w:color="BFBFBF"/>
              <w:right w:val="single" w:sz="4" w:space="0" w:color="BFBFBF"/>
            </w:tcBorders>
            <w:shd w:val="clear" w:color="auto" w:fill="auto"/>
            <w:noWrap/>
            <w:vAlign w:val="center"/>
          </w:tcPr>
          <w:p w14:paraId="1CA75078"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59C6C1B1"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90182AF"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09FF562F"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399FE0D"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65B3FC4E"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44E33665"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81%</w:t>
            </w:r>
          </w:p>
        </w:tc>
        <w:tc>
          <w:tcPr>
            <w:tcW w:w="808" w:type="dxa"/>
            <w:tcBorders>
              <w:top w:val="nil"/>
              <w:left w:val="nil"/>
              <w:bottom w:val="single" w:sz="4" w:space="0" w:color="BFBFBF"/>
              <w:right w:val="single" w:sz="4" w:space="0" w:color="auto"/>
            </w:tcBorders>
            <w:shd w:val="clear" w:color="auto" w:fill="auto"/>
            <w:noWrap/>
            <w:vAlign w:val="center"/>
          </w:tcPr>
          <w:p w14:paraId="5BAA966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146</w:t>
            </w:r>
          </w:p>
        </w:tc>
        <w:tc>
          <w:tcPr>
            <w:tcW w:w="808" w:type="dxa"/>
            <w:tcBorders>
              <w:top w:val="nil"/>
              <w:left w:val="nil"/>
              <w:bottom w:val="single" w:sz="4" w:space="0" w:color="BFBFBF"/>
              <w:right w:val="single" w:sz="4" w:space="0" w:color="BFBFBF"/>
            </w:tcBorders>
            <w:shd w:val="clear" w:color="auto" w:fill="auto"/>
            <w:noWrap/>
            <w:vAlign w:val="center"/>
          </w:tcPr>
          <w:p w14:paraId="3A590C31"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w:t>
            </w:r>
          </w:p>
        </w:tc>
        <w:tc>
          <w:tcPr>
            <w:tcW w:w="675" w:type="dxa"/>
            <w:tcBorders>
              <w:top w:val="nil"/>
              <w:left w:val="nil"/>
              <w:bottom w:val="single" w:sz="4" w:space="0" w:color="BFBFBF"/>
              <w:right w:val="double" w:sz="6" w:space="0" w:color="auto"/>
            </w:tcBorders>
            <w:shd w:val="clear" w:color="auto" w:fill="auto"/>
            <w:noWrap/>
            <w:vAlign w:val="center"/>
          </w:tcPr>
          <w:p w14:paraId="053589AC"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47</w:t>
            </w:r>
          </w:p>
        </w:tc>
      </w:tr>
      <w:tr w:rsidR="005214AE" w:rsidRPr="00125162" w14:paraId="11D3EF1E" w14:textId="77777777" w:rsidTr="005214AE">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33AEA70"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Buying/paying off</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640850F"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60%</w:t>
            </w:r>
          </w:p>
        </w:tc>
        <w:tc>
          <w:tcPr>
            <w:tcW w:w="808" w:type="dxa"/>
            <w:tcBorders>
              <w:top w:val="nil"/>
              <w:left w:val="nil"/>
              <w:bottom w:val="single" w:sz="4" w:space="0" w:color="BFBFBF"/>
              <w:right w:val="single" w:sz="4" w:space="0" w:color="auto"/>
            </w:tcBorders>
            <w:shd w:val="clear" w:color="auto" w:fill="auto"/>
            <w:noWrap/>
            <w:vAlign w:val="center"/>
          </w:tcPr>
          <w:p w14:paraId="743D570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808" w:type="dxa"/>
            <w:tcBorders>
              <w:top w:val="nil"/>
              <w:left w:val="nil"/>
              <w:bottom w:val="single" w:sz="4" w:space="0" w:color="BFBFBF"/>
              <w:right w:val="single" w:sz="4" w:space="0" w:color="BFBFBF"/>
            </w:tcBorders>
            <w:shd w:val="clear" w:color="auto" w:fill="auto"/>
            <w:noWrap/>
            <w:vAlign w:val="center"/>
          </w:tcPr>
          <w:p w14:paraId="7040C2C8"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44%</w:t>
            </w:r>
          </w:p>
        </w:tc>
        <w:tc>
          <w:tcPr>
            <w:tcW w:w="808" w:type="dxa"/>
            <w:tcBorders>
              <w:top w:val="nil"/>
              <w:left w:val="nil"/>
              <w:bottom w:val="single" w:sz="4" w:space="0" w:color="BFBFBF"/>
              <w:right w:val="nil"/>
            </w:tcBorders>
            <w:shd w:val="clear" w:color="auto" w:fill="auto"/>
            <w:noWrap/>
            <w:vAlign w:val="center"/>
          </w:tcPr>
          <w:p w14:paraId="7F7D7182"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A787600"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675" w:type="dxa"/>
            <w:tcBorders>
              <w:top w:val="nil"/>
              <w:left w:val="nil"/>
              <w:bottom w:val="single" w:sz="4" w:space="0" w:color="BFBFBF"/>
              <w:right w:val="single" w:sz="4" w:space="0" w:color="auto"/>
            </w:tcBorders>
            <w:shd w:val="clear" w:color="auto" w:fill="auto"/>
            <w:noWrap/>
            <w:vAlign w:val="center"/>
          </w:tcPr>
          <w:p w14:paraId="4A539586"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586</w:t>
            </w:r>
          </w:p>
        </w:tc>
        <w:tc>
          <w:tcPr>
            <w:tcW w:w="808" w:type="dxa"/>
            <w:tcBorders>
              <w:top w:val="nil"/>
              <w:left w:val="nil"/>
              <w:bottom w:val="single" w:sz="4" w:space="0" w:color="BFBFBF"/>
              <w:right w:val="single" w:sz="4" w:space="0" w:color="BFBFBF"/>
            </w:tcBorders>
            <w:shd w:val="clear" w:color="auto" w:fill="auto"/>
            <w:noWrap/>
            <w:vAlign w:val="center"/>
          </w:tcPr>
          <w:p w14:paraId="039C0003"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86" w:type="dxa"/>
            <w:tcBorders>
              <w:top w:val="nil"/>
              <w:left w:val="nil"/>
              <w:bottom w:val="single" w:sz="4" w:space="0" w:color="BFBFBF"/>
              <w:right w:val="nil"/>
            </w:tcBorders>
            <w:shd w:val="clear" w:color="auto" w:fill="auto"/>
            <w:noWrap/>
            <w:vAlign w:val="center"/>
          </w:tcPr>
          <w:p w14:paraId="12B92DC3"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51D4DEE"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3043973A"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C0D57E6"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16F1E581"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58FE3C43"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79%</w:t>
            </w:r>
          </w:p>
        </w:tc>
        <w:tc>
          <w:tcPr>
            <w:tcW w:w="808" w:type="dxa"/>
            <w:tcBorders>
              <w:top w:val="nil"/>
              <w:left w:val="nil"/>
              <w:bottom w:val="single" w:sz="4" w:space="0" w:color="BFBFBF"/>
              <w:right w:val="single" w:sz="4" w:space="0" w:color="auto"/>
            </w:tcBorders>
            <w:shd w:val="clear" w:color="auto" w:fill="auto"/>
            <w:noWrap/>
            <w:vAlign w:val="center"/>
          </w:tcPr>
          <w:p w14:paraId="2C5AAB3C"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154</w:t>
            </w:r>
          </w:p>
        </w:tc>
        <w:tc>
          <w:tcPr>
            <w:tcW w:w="808" w:type="dxa"/>
            <w:tcBorders>
              <w:top w:val="nil"/>
              <w:left w:val="nil"/>
              <w:bottom w:val="single" w:sz="4" w:space="0" w:color="BFBFBF"/>
              <w:right w:val="single" w:sz="4" w:space="0" w:color="BFBFBF"/>
            </w:tcBorders>
            <w:shd w:val="clear" w:color="auto" w:fill="auto"/>
            <w:noWrap/>
            <w:vAlign w:val="center"/>
          </w:tcPr>
          <w:p w14:paraId="2D67EEEB"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w:t>
            </w:r>
          </w:p>
        </w:tc>
        <w:tc>
          <w:tcPr>
            <w:tcW w:w="675" w:type="dxa"/>
            <w:tcBorders>
              <w:top w:val="nil"/>
              <w:left w:val="nil"/>
              <w:bottom w:val="single" w:sz="4" w:space="0" w:color="BFBFBF"/>
              <w:right w:val="double" w:sz="6" w:space="0" w:color="auto"/>
            </w:tcBorders>
            <w:shd w:val="clear" w:color="auto" w:fill="auto"/>
            <w:noWrap/>
            <w:vAlign w:val="center"/>
          </w:tcPr>
          <w:p w14:paraId="07458A36"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r>
      <w:tr w:rsidR="005214AE" w:rsidRPr="00125162" w14:paraId="1CA0D718" w14:textId="77777777" w:rsidTr="005214AE">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A891FE7"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Private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99997C4"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w:t>
            </w:r>
          </w:p>
        </w:tc>
        <w:tc>
          <w:tcPr>
            <w:tcW w:w="808" w:type="dxa"/>
            <w:tcBorders>
              <w:top w:val="nil"/>
              <w:left w:val="nil"/>
              <w:bottom w:val="single" w:sz="4" w:space="0" w:color="BFBFBF"/>
              <w:right w:val="single" w:sz="4" w:space="0" w:color="auto"/>
            </w:tcBorders>
            <w:shd w:val="clear" w:color="auto" w:fill="auto"/>
            <w:noWrap/>
            <w:vAlign w:val="center"/>
          </w:tcPr>
          <w:p w14:paraId="2460128C"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08" w:type="dxa"/>
            <w:tcBorders>
              <w:top w:val="nil"/>
              <w:left w:val="nil"/>
              <w:bottom w:val="single" w:sz="4" w:space="0" w:color="BFBFBF"/>
              <w:right w:val="single" w:sz="4" w:space="0" w:color="BFBFBF"/>
            </w:tcBorders>
            <w:shd w:val="clear" w:color="auto" w:fill="auto"/>
            <w:noWrap/>
            <w:vAlign w:val="center"/>
          </w:tcPr>
          <w:p w14:paraId="14B43E42"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41%</w:t>
            </w:r>
          </w:p>
        </w:tc>
        <w:tc>
          <w:tcPr>
            <w:tcW w:w="808" w:type="dxa"/>
            <w:tcBorders>
              <w:top w:val="nil"/>
              <w:left w:val="nil"/>
              <w:bottom w:val="single" w:sz="4" w:space="0" w:color="BFBFBF"/>
              <w:right w:val="nil"/>
            </w:tcBorders>
            <w:shd w:val="clear" w:color="auto" w:fill="auto"/>
            <w:noWrap/>
            <w:vAlign w:val="center"/>
          </w:tcPr>
          <w:p w14:paraId="61C522B2"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2D0F3C2"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w:t>
            </w:r>
          </w:p>
        </w:tc>
        <w:tc>
          <w:tcPr>
            <w:tcW w:w="675" w:type="dxa"/>
            <w:tcBorders>
              <w:top w:val="nil"/>
              <w:left w:val="nil"/>
              <w:bottom w:val="single" w:sz="4" w:space="0" w:color="BFBFBF"/>
              <w:right w:val="single" w:sz="4" w:space="0" w:color="auto"/>
            </w:tcBorders>
            <w:shd w:val="clear" w:color="auto" w:fill="auto"/>
            <w:noWrap/>
            <w:vAlign w:val="center"/>
          </w:tcPr>
          <w:p w14:paraId="0524454D"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540</w:t>
            </w:r>
          </w:p>
        </w:tc>
        <w:tc>
          <w:tcPr>
            <w:tcW w:w="808" w:type="dxa"/>
            <w:tcBorders>
              <w:top w:val="nil"/>
              <w:left w:val="nil"/>
              <w:bottom w:val="single" w:sz="4" w:space="0" w:color="BFBFBF"/>
              <w:right w:val="single" w:sz="4" w:space="0" w:color="BFBFBF"/>
            </w:tcBorders>
            <w:shd w:val="clear" w:color="auto" w:fill="auto"/>
            <w:noWrap/>
            <w:vAlign w:val="center"/>
          </w:tcPr>
          <w:p w14:paraId="5B835D0F"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586" w:type="dxa"/>
            <w:tcBorders>
              <w:top w:val="nil"/>
              <w:left w:val="nil"/>
              <w:bottom w:val="single" w:sz="4" w:space="0" w:color="BFBFBF"/>
              <w:right w:val="nil"/>
            </w:tcBorders>
            <w:shd w:val="clear" w:color="auto" w:fill="auto"/>
            <w:noWrap/>
            <w:vAlign w:val="center"/>
          </w:tcPr>
          <w:p w14:paraId="5995EA3B"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747B4D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535" w:type="dxa"/>
            <w:tcBorders>
              <w:top w:val="nil"/>
              <w:left w:val="nil"/>
              <w:bottom w:val="single" w:sz="4" w:space="0" w:color="BFBFBF"/>
              <w:right w:val="nil"/>
            </w:tcBorders>
            <w:shd w:val="clear" w:color="auto" w:fill="auto"/>
            <w:noWrap/>
            <w:vAlign w:val="center"/>
          </w:tcPr>
          <w:p w14:paraId="44F1B363"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77BAC8B"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w:t>
            </w:r>
          </w:p>
        </w:tc>
        <w:tc>
          <w:tcPr>
            <w:tcW w:w="497" w:type="dxa"/>
            <w:tcBorders>
              <w:top w:val="nil"/>
              <w:left w:val="nil"/>
              <w:bottom w:val="single" w:sz="4" w:space="0" w:color="BFBFBF"/>
              <w:right w:val="single" w:sz="4" w:space="0" w:color="auto"/>
            </w:tcBorders>
            <w:shd w:val="clear" w:color="auto" w:fill="auto"/>
            <w:noWrap/>
            <w:vAlign w:val="center"/>
          </w:tcPr>
          <w:p w14:paraId="2E97003A"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429</w:t>
            </w:r>
          </w:p>
        </w:tc>
        <w:tc>
          <w:tcPr>
            <w:tcW w:w="808" w:type="dxa"/>
            <w:tcBorders>
              <w:top w:val="nil"/>
              <w:left w:val="nil"/>
              <w:bottom w:val="single" w:sz="4" w:space="0" w:color="BFBFBF"/>
              <w:right w:val="single" w:sz="4" w:space="0" w:color="BFBFBF"/>
            </w:tcBorders>
            <w:shd w:val="clear" w:color="auto" w:fill="auto"/>
            <w:noWrap/>
            <w:vAlign w:val="bottom"/>
          </w:tcPr>
          <w:p w14:paraId="71F07F98"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auto"/>
            </w:tcBorders>
            <w:shd w:val="clear" w:color="auto" w:fill="auto"/>
            <w:noWrap/>
            <w:vAlign w:val="center"/>
          </w:tcPr>
          <w:p w14:paraId="325BD1D9"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114</w:t>
            </w:r>
          </w:p>
        </w:tc>
        <w:tc>
          <w:tcPr>
            <w:tcW w:w="808" w:type="dxa"/>
            <w:tcBorders>
              <w:top w:val="nil"/>
              <w:left w:val="nil"/>
              <w:bottom w:val="single" w:sz="4" w:space="0" w:color="BFBFBF"/>
              <w:right w:val="single" w:sz="4" w:space="0" w:color="BFBFBF"/>
            </w:tcBorders>
            <w:shd w:val="clear" w:color="auto" w:fill="auto"/>
            <w:noWrap/>
            <w:vAlign w:val="center"/>
          </w:tcPr>
          <w:p w14:paraId="078E2D67"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w:t>
            </w:r>
          </w:p>
        </w:tc>
        <w:tc>
          <w:tcPr>
            <w:tcW w:w="675" w:type="dxa"/>
            <w:tcBorders>
              <w:top w:val="nil"/>
              <w:left w:val="nil"/>
              <w:bottom w:val="single" w:sz="4" w:space="0" w:color="BFBFBF"/>
              <w:right w:val="double" w:sz="6" w:space="0" w:color="auto"/>
            </w:tcBorders>
            <w:shd w:val="clear" w:color="auto" w:fill="auto"/>
            <w:noWrap/>
            <w:vAlign w:val="center"/>
          </w:tcPr>
          <w:p w14:paraId="74708B67"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r>
      <w:tr w:rsidR="005214AE" w:rsidRPr="00125162" w14:paraId="3DCB212B" w14:textId="77777777" w:rsidTr="005214AE">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168841D" w14:textId="77777777" w:rsidR="005214AE" w:rsidRPr="00125162" w:rsidRDefault="005214AE" w:rsidP="00702F35">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Public</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1A148EC"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67%</w:t>
            </w:r>
          </w:p>
        </w:tc>
        <w:tc>
          <w:tcPr>
            <w:tcW w:w="808" w:type="dxa"/>
            <w:tcBorders>
              <w:top w:val="nil"/>
              <w:left w:val="nil"/>
              <w:bottom w:val="single" w:sz="4" w:space="0" w:color="BFBFBF"/>
              <w:right w:val="single" w:sz="4" w:space="0" w:color="auto"/>
            </w:tcBorders>
            <w:shd w:val="clear" w:color="auto" w:fill="auto"/>
            <w:noWrap/>
            <w:vAlign w:val="center"/>
          </w:tcPr>
          <w:p w14:paraId="237726EE"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w:t>
            </w:r>
          </w:p>
        </w:tc>
        <w:tc>
          <w:tcPr>
            <w:tcW w:w="808" w:type="dxa"/>
            <w:tcBorders>
              <w:top w:val="nil"/>
              <w:left w:val="nil"/>
              <w:bottom w:val="single" w:sz="4" w:space="0" w:color="BFBFBF"/>
              <w:right w:val="single" w:sz="4" w:space="0" w:color="BFBFBF"/>
            </w:tcBorders>
            <w:shd w:val="clear" w:color="auto" w:fill="auto"/>
            <w:noWrap/>
            <w:vAlign w:val="center"/>
          </w:tcPr>
          <w:p w14:paraId="2D1D3DD9"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62%</w:t>
            </w:r>
          </w:p>
        </w:tc>
        <w:tc>
          <w:tcPr>
            <w:tcW w:w="808" w:type="dxa"/>
            <w:tcBorders>
              <w:top w:val="nil"/>
              <w:left w:val="nil"/>
              <w:bottom w:val="single" w:sz="4" w:space="0" w:color="BFBFBF"/>
              <w:right w:val="nil"/>
            </w:tcBorders>
            <w:shd w:val="clear" w:color="auto" w:fill="auto"/>
            <w:noWrap/>
            <w:vAlign w:val="center"/>
          </w:tcPr>
          <w:p w14:paraId="55DA7473"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20</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8B25454"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2C59F5EE"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123C7605"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w:t>
            </w:r>
          </w:p>
        </w:tc>
        <w:tc>
          <w:tcPr>
            <w:tcW w:w="586" w:type="dxa"/>
            <w:tcBorders>
              <w:top w:val="nil"/>
              <w:left w:val="nil"/>
              <w:bottom w:val="single" w:sz="4" w:space="0" w:color="BFBFBF"/>
              <w:right w:val="nil"/>
            </w:tcBorders>
            <w:shd w:val="clear" w:color="auto" w:fill="auto"/>
            <w:noWrap/>
            <w:vAlign w:val="center"/>
          </w:tcPr>
          <w:p w14:paraId="34884707"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B19ADA2"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w:t>
            </w:r>
          </w:p>
        </w:tc>
        <w:tc>
          <w:tcPr>
            <w:tcW w:w="535" w:type="dxa"/>
            <w:tcBorders>
              <w:top w:val="nil"/>
              <w:left w:val="nil"/>
              <w:bottom w:val="single" w:sz="4" w:space="0" w:color="BFBFBF"/>
              <w:right w:val="nil"/>
            </w:tcBorders>
            <w:shd w:val="clear" w:color="auto" w:fill="auto"/>
            <w:noWrap/>
            <w:vAlign w:val="center"/>
          </w:tcPr>
          <w:p w14:paraId="532714BD"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444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D537E4A"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497" w:type="dxa"/>
            <w:tcBorders>
              <w:top w:val="nil"/>
              <w:left w:val="nil"/>
              <w:bottom w:val="single" w:sz="4" w:space="0" w:color="BFBFBF"/>
              <w:right w:val="single" w:sz="4" w:space="0" w:color="auto"/>
            </w:tcBorders>
            <w:shd w:val="clear" w:color="auto" w:fill="auto"/>
            <w:noWrap/>
            <w:vAlign w:val="center"/>
          </w:tcPr>
          <w:p w14:paraId="27209861"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28827D42"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84%</w:t>
            </w:r>
          </w:p>
        </w:tc>
        <w:tc>
          <w:tcPr>
            <w:tcW w:w="808" w:type="dxa"/>
            <w:tcBorders>
              <w:top w:val="nil"/>
              <w:left w:val="nil"/>
              <w:bottom w:val="single" w:sz="4" w:space="0" w:color="BFBFBF"/>
              <w:right w:val="single" w:sz="4" w:space="0" w:color="auto"/>
            </w:tcBorders>
            <w:shd w:val="clear" w:color="auto" w:fill="auto"/>
            <w:noWrap/>
            <w:vAlign w:val="center"/>
          </w:tcPr>
          <w:p w14:paraId="310C1369" w14:textId="77777777" w:rsidR="005214AE" w:rsidRPr="00125162" w:rsidRDefault="005214AE" w:rsidP="005214A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108</w:t>
            </w:r>
          </w:p>
        </w:tc>
        <w:tc>
          <w:tcPr>
            <w:tcW w:w="808" w:type="dxa"/>
            <w:tcBorders>
              <w:top w:val="nil"/>
              <w:left w:val="nil"/>
              <w:bottom w:val="single" w:sz="4" w:space="0" w:color="BFBFBF"/>
              <w:right w:val="single" w:sz="4" w:space="0" w:color="BFBFBF"/>
            </w:tcBorders>
            <w:shd w:val="clear" w:color="auto" w:fill="auto"/>
            <w:noWrap/>
            <w:vAlign w:val="center"/>
          </w:tcPr>
          <w:p w14:paraId="37517318"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56%</w:t>
            </w:r>
          </w:p>
        </w:tc>
        <w:tc>
          <w:tcPr>
            <w:tcW w:w="675" w:type="dxa"/>
            <w:tcBorders>
              <w:top w:val="nil"/>
              <w:left w:val="nil"/>
              <w:bottom w:val="single" w:sz="4" w:space="0" w:color="BFBFBF"/>
              <w:right w:val="double" w:sz="6" w:space="0" w:color="auto"/>
            </w:tcBorders>
            <w:shd w:val="clear" w:color="auto" w:fill="auto"/>
            <w:noWrap/>
            <w:vAlign w:val="center"/>
          </w:tcPr>
          <w:p w14:paraId="4AB9324A" w14:textId="77777777" w:rsidR="005214AE" w:rsidRPr="00125162" w:rsidRDefault="005214AE" w:rsidP="009E6A8A">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w:t>
            </w:r>
          </w:p>
        </w:tc>
      </w:tr>
      <w:tr w:rsidR="005214AE" w:rsidRPr="00125162" w14:paraId="5D3D2EA7" w14:textId="77777777" w:rsidTr="005214AE">
        <w:trPr>
          <w:trHeight w:val="240"/>
          <w:jc w:val="center"/>
        </w:trPr>
        <w:tc>
          <w:tcPr>
            <w:tcW w:w="2575" w:type="dxa"/>
            <w:tcBorders>
              <w:top w:val="nil"/>
              <w:left w:val="double" w:sz="6" w:space="0" w:color="auto"/>
              <w:bottom w:val="double" w:sz="6" w:space="0" w:color="auto"/>
              <w:right w:val="nil"/>
            </w:tcBorders>
            <w:shd w:val="clear" w:color="auto" w:fill="auto"/>
            <w:noWrap/>
            <w:vAlign w:val="center"/>
          </w:tcPr>
          <w:p w14:paraId="34C431C2" w14:textId="77777777" w:rsidR="005214AE" w:rsidRPr="00125162" w:rsidRDefault="005214AE" w:rsidP="00702F35">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 Households</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65B5AFB9" w14:textId="77777777" w:rsidR="005214AE" w:rsidRPr="00125162" w:rsidRDefault="005214AE" w:rsidP="005214AE">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62%</w:t>
            </w:r>
          </w:p>
        </w:tc>
        <w:tc>
          <w:tcPr>
            <w:tcW w:w="808" w:type="dxa"/>
            <w:tcBorders>
              <w:top w:val="nil"/>
              <w:left w:val="nil"/>
              <w:bottom w:val="double" w:sz="6" w:space="0" w:color="auto"/>
              <w:right w:val="single" w:sz="4" w:space="0" w:color="auto"/>
            </w:tcBorders>
            <w:shd w:val="clear" w:color="auto" w:fill="auto"/>
            <w:noWrap/>
            <w:vAlign w:val="center"/>
          </w:tcPr>
          <w:p w14:paraId="06233AA8" w14:textId="77777777" w:rsidR="005214AE" w:rsidRPr="00125162" w:rsidRDefault="005214AE" w:rsidP="005214AE">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19</w:t>
            </w:r>
          </w:p>
        </w:tc>
        <w:tc>
          <w:tcPr>
            <w:tcW w:w="808" w:type="dxa"/>
            <w:tcBorders>
              <w:top w:val="nil"/>
              <w:left w:val="nil"/>
              <w:bottom w:val="double" w:sz="6" w:space="0" w:color="auto"/>
              <w:right w:val="single" w:sz="4" w:space="0" w:color="BFBFBF"/>
            </w:tcBorders>
            <w:shd w:val="clear" w:color="auto" w:fill="auto"/>
            <w:noWrap/>
            <w:vAlign w:val="center"/>
          </w:tcPr>
          <w:p w14:paraId="108DE878" w14:textId="77777777" w:rsidR="005214AE" w:rsidRPr="00125162" w:rsidRDefault="005214AE"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48%</w:t>
            </w:r>
          </w:p>
        </w:tc>
        <w:tc>
          <w:tcPr>
            <w:tcW w:w="808" w:type="dxa"/>
            <w:tcBorders>
              <w:top w:val="nil"/>
              <w:left w:val="nil"/>
              <w:bottom w:val="double" w:sz="6" w:space="0" w:color="auto"/>
              <w:right w:val="nil"/>
            </w:tcBorders>
            <w:shd w:val="clear" w:color="auto" w:fill="auto"/>
            <w:noWrap/>
            <w:vAlign w:val="center"/>
          </w:tcPr>
          <w:p w14:paraId="2F1C083B" w14:textId="77777777" w:rsidR="005214AE" w:rsidRPr="00125162" w:rsidRDefault="005214AE"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26</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61748198" w14:textId="77777777" w:rsidR="005214AE" w:rsidRPr="00125162" w:rsidRDefault="005214AE" w:rsidP="005214AE">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19%</w:t>
            </w:r>
          </w:p>
        </w:tc>
        <w:tc>
          <w:tcPr>
            <w:tcW w:w="675" w:type="dxa"/>
            <w:tcBorders>
              <w:top w:val="nil"/>
              <w:left w:val="nil"/>
              <w:bottom w:val="double" w:sz="6" w:space="0" w:color="auto"/>
              <w:right w:val="single" w:sz="4" w:space="0" w:color="auto"/>
            </w:tcBorders>
            <w:shd w:val="clear" w:color="auto" w:fill="auto"/>
            <w:noWrap/>
            <w:vAlign w:val="center"/>
          </w:tcPr>
          <w:p w14:paraId="4D9C8CF8" w14:textId="77777777" w:rsidR="005214AE" w:rsidRPr="00125162" w:rsidRDefault="005214AE" w:rsidP="005214AE">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596</w:t>
            </w:r>
          </w:p>
        </w:tc>
        <w:tc>
          <w:tcPr>
            <w:tcW w:w="808" w:type="dxa"/>
            <w:tcBorders>
              <w:top w:val="nil"/>
              <w:left w:val="nil"/>
              <w:bottom w:val="double" w:sz="6" w:space="0" w:color="auto"/>
              <w:right w:val="single" w:sz="4" w:space="0" w:color="BFBFBF"/>
            </w:tcBorders>
            <w:shd w:val="clear" w:color="auto" w:fill="auto"/>
            <w:noWrap/>
            <w:vAlign w:val="center"/>
          </w:tcPr>
          <w:p w14:paraId="09D8DD64" w14:textId="77777777" w:rsidR="005214AE" w:rsidRPr="00125162" w:rsidRDefault="005214AE"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w:t>
            </w:r>
          </w:p>
        </w:tc>
        <w:tc>
          <w:tcPr>
            <w:tcW w:w="586" w:type="dxa"/>
            <w:tcBorders>
              <w:top w:val="nil"/>
              <w:left w:val="nil"/>
              <w:bottom w:val="double" w:sz="6" w:space="0" w:color="auto"/>
              <w:right w:val="nil"/>
            </w:tcBorders>
            <w:shd w:val="clear" w:color="auto" w:fill="auto"/>
            <w:noWrap/>
            <w:vAlign w:val="center"/>
          </w:tcPr>
          <w:p w14:paraId="5FB1E9E4" w14:textId="77777777" w:rsidR="005214AE" w:rsidRPr="00125162" w:rsidRDefault="005214AE"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25</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4766C23E" w14:textId="77777777" w:rsidR="005214AE" w:rsidRPr="00125162" w:rsidRDefault="005214AE" w:rsidP="005214AE">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w:t>
            </w:r>
          </w:p>
        </w:tc>
        <w:tc>
          <w:tcPr>
            <w:tcW w:w="535" w:type="dxa"/>
            <w:tcBorders>
              <w:top w:val="nil"/>
              <w:left w:val="nil"/>
              <w:bottom w:val="double" w:sz="6" w:space="0" w:color="auto"/>
              <w:right w:val="nil"/>
            </w:tcBorders>
            <w:shd w:val="clear" w:color="auto" w:fill="auto"/>
            <w:noWrap/>
            <w:vAlign w:val="center"/>
          </w:tcPr>
          <w:p w14:paraId="4C36AC60" w14:textId="77777777" w:rsidR="005214AE" w:rsidRPr="00125162" w:rsidRDefault="005214AE" w:rsidP="005214AE">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452</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687FAF45" w14:textId="77777777" w:rsidR="005214AE" w:rsidRPr="00125162" w:rsidRDefault="005214AE"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497" w:type="dxa"/>
            <w:tcBorders>
              <w:top w:val="nil"/>
              <w:left w:val="nil"/>
              <w:bottom w:val="double" w:sz="6" w:space="0" w:color="auto"/>
              <w:right w:val="single" w:sz="4" w:space="0" w:color="auto"/>
            </w:tcBorders>
            <w:shd w:val="clear" w:color="auto" w:fill="auto"/>
            <w:noWrap/>
            <w:vAlign w:val="center"/>
          </w:tcPr>
          <w:p w14:paraId="0573E674" w14:textId="77777777" w:rsidR="005214AE" w:rsidRPr="00125162" w:rsidRDefault="005214AE"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429</w:t>
            </w:r>
          </w:p>
        </w:tc>
        <w:tc>
          <w:tcPr>
            <w:tcW w:w="808" w:type="dxa"/>
            <w:tcBorders>
              <w:top w:val="nil"/>
              <w:left w:val="nil"/>
              <w:bottom w:val="double" w:sz="6" w:space="0" w:color="auto"/>
              <w:right w:val="single" w:sz="4" w:space="0" w:color="BFBFBF"/>
            </w:tcBorders>
            <w:shd w:val="clear" w:color="auto" w:fill="auto"/>
            <w:noWrap/>
            <w:vAlign w:val="center"/>
          </w:tcPr>
          <w:p w14:paraId="4A5C9155" w14:textId="77777777" w:rsidR="005214AE" w:rsidRPr="00125162" w:rsidRDefault="005214AE" w:rsidP="005214AE">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80%</w:t>
            </w:r>
          </w:p>
        </w:tc>
        <w:tc>
          <w:tcPr>
            <w:tcW w:w="808" w:type="dxa"/>
            <w:tcBorders>
              <w:top w:val="nil"/>
              <w:left w:val="nil"/>
              <w:bottom w:val="double" w:sz="6" w:space="0" w:color="auto"/>
              <w:right w:val="single" w:sz="4" w:space="0" w:color="auto"/>
            </w:tcBorders>
            <w:shd w:val="clear" w:color="auto" w:fill="auto"/>
            <w:noWrap/>
            <w:vAlign w:val="center"/>
          </w:tcPr>
          <w:p w14:paraId="5C4055A0" w14:textId="77777777" w:rsidR="005214AE" w:rsidRPr="00125162" w:rsidRDefault="005214AE" w:rsidP="005214AE">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142</w:t>
            </w:r>
          </w:p>
        </w:tc>
        <w:tc>
          <w:tcPr>
            <w:tcW w:w="808" w:type="dxa"/>
            <w:tcBorders>
              <w:top w:val="nil"/>
              <w:left w:val="nil"/>
              <w:bottom w:val="double" w:sz="6" w:space="0" w:color="auto"/>
              <w:right w:val="single" w:sz="4" w:space="0" w:color="BFBFBF"/>
            </w:tcBorders>
            <w:shd w:val="clear" w:color="auto" w:fill="auto"/>
            <w:noWrap/>
            <w:vAlign w:val="center"/>
          </w:tcPr>
          <w:p w14:paraId="2B21BC9C" w14:textId="77777777" w:rsidR="005214AE" w:rsidRPr="00125162" w:rsidRDefault="005214AE"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48%</w:t>
            </w:r>
          </w:p>
        </w:tc>
        <w:tc>
          <w:tcPr>
            <w:tcW w:w="675" w:type="dxa"/>
            <w:tcBorders>
              <w:top w:val="nil"/>
              <w:left w:val="nil"/>
              <w:bottom w:val="double" w:sz="6" w:space="0" w:color="auto"/>
              <w:right w:val="double" w:sz="6" w:space="0" w:color="auto"/>
            </w:tcBorders>
            <w:shd w:val="clear" w:color="auto" w:fill="auto"/>
            <w:noWrap/>
            <w:vAlign w:val="center"/>
          </w:tcPr>
          <w:p w14:paraId="484D6C36" w14:textId="77777777" w:rsidR="005214AE" w:rsidRPr="00125162" w:rsidRDefault="005214AE" w:rsidP="009E6A8A">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48</w:t>
            </w:r>
          </w:p>
        </w:tc>
      </w:tr>
    </w:tbl>
    <w:p w14:paraId="0F33B11C" w14:textId="77777777" w:rsidR="00D109F7" w:rsidRPr="009748AD" w:rsidRDefault="0088198B" w:rsidP="00AE6445">
      <w:pPr>
        <w:numPr>
          <w:ilvl w:val="0"/>
          <w:numId w:val="7"/>
        </w:numPr>
        <w:spacing w:after="0" w:line="160" w:lineRule="atLeast"/>
        <w:ind w:left="357" w:hanging="357"/>
        <w:jc w:val="both"/>
        <w:rPr>
          <w:sz w:val="18"/>
          <w:szCs w:val="18"/>
          <w:lang w:val="en-AU"/>
        </w:rPr>
      </w:pPr>
      <w:r w:rsidRPr="009748AD">
        <w:rPr>
          <w:sz w:val="18"/>
          <w:szCs w:val="18"/>
          <w:lang w:val="en-AU"/>
        </w:rPr>
        <w:t xml:space="preserve">GST applies to </w:t>
      </w:r>
      <w:r w:rsidR="00D1026E" w:rsidRPr="009748AD">
        <w:rPr>
          <w:sz w:val="18"/>
          <w:szCs w:val="18"/>
          <w:lang w:val="en-AU"/>
        </w:rPr>
        <w:t>2014, 2007 and 2001</w:t>
      </w:r>
      <w:r w:rsidRPr="009748AD">
        <w:rPr>
          <w:sz w:val="18"/>
          <w:szCs w:val="18"/>
          <w:lang w:val="en-AU"/>
        </w:rPr>
        <w:t xml:space="preserve"> charges, but not 1996 charges.</w:t>
      </w:r>
    </w:p>
    <w:p w14:paraId="4D1E3CFD" w14:textId="77777777" w:rsidR="00D109F7" w:rsidRPr="009748AD" w:rsidRDefault="00D109F7" w:rsidP="00D109F7">
      <w:pPr>
        <w:numPr>
          <w:ilvl w:val="0"/>
          <w:numId w:val="7"/>
        </w:numPr>
        <w:spacing w:before="0" w:after="0" w:line="160" w:lineRule="atLeast"/>
        <w:jc w:val="both"/>
        <w:rPr>
          <w:sz w:val="18"/>
          <w:szCs w:val="18"/>
          <w:lang w:val="en-AU"/>
        </w:rPr>
      </w:pPr>
      <w:r w:rsidRPr="009748AD">
        <w:rPr>
          <w:sz w:val="18"/>
          <w:szCs w:val="18"/>
          <w:lang w:val="en-AU"/>
        </w:rPr>
        <w:t xml:space="preserve">Whilst the person who pays the bills for the household may not hold a concession card, another person in the household may do so. </w:t>
      </w:r>
    </w:p>
    <w:p w14:paraId="1C168A22" w14:textId="77777777" w:rsidR="00D1026E" w:rsidRPr="00125162" w:rsidRDefault="00D1026E" w:rsidP="00D1026E">
      <w:pPr>
        <w:spacing w:before="0" w:after="0" w:line="160" w:lineRule="atLeast"/>
        <w:jc w:val="both"/>
        <w:rPr>
          <w:sz w:val="16"/>
          <w:lang w:val="en-AU"/>
        </w:rPr>
      </w:pPr>
    </w:p>
    <w:p w14:paraId="27BDF420" w14:textId="77777777" w:rsidR="00D1026E" w:rsidRPr="00125162" w:rsidRDefault="00D1026E" w:rsidP="00D1026E">
      <w:pPr>
        <w:spacing w:before="0" w:after="0" w:line="160" w:lineRule="atLeast"/>
        <w:jc w:val="both"/>
        <w:rPr>
          <w:sz w:val="16"/>
          <w:lang w:val="en-AU"/>
        </w:rPr>
      </w:pPr>
    </w:p>
    <w:p w14:paraId="3D4B24D3" w14:textId="77777777" w:rsidR="00D1026E" w:rsidRPr="00125162" w:rsidRDefault="00D1026E" w:rsidP="00D1026E">
      <w:pPr>
        <w:spacing w:before="0" w:after="0" w:line="160" w:lineRule="atLeast"/>
        <w:jc w:val="both"/>
        <w:rPr>
          <w:sz w:val="16"/>
          <w:lang w:val="en-AU"/>
        </w:rPr>
      </w:pPr>
    </w:p>
    <w:p w14:paraId="06D08B25" w14:textId="77777777" w:rsidR="00D1026E" w:rsidRPr="00125162" w:rsidRDefault="00D1026E" w:rsidP="00F47A9C">
      <w:pPr>
        <w:spacing w:before="0" w:after="0" w:line="160" w:lineRule="atLeast"/>
        <w:jc w:val="center"/>
        <w:rPr>
          <w:sz w:val="16"/>
          <w:lang w:val="en-AU"/>
        </w:rPr>
      </w:pPr>
      <w:r w:rsidRPr="00125162">
        <w:rPr>
          <w:b/>
          <w:lang w:val="en-AU"/>
        </w:rPr>
        <w:br w:type="page"/>
      </w:r>
      <w:r w:rsidRPr="00125162">
        <w:rPr>
          <w:b/>
          <w:lang w:val="en-AU"/>
        </w:rPr>
        <w:lastRenderedPageBreak/>
        <w:t xml:space="preserve">Table 4.2.2.6: </w:t>
      </w:r>
      <w:r w:rsidRPr="00125162">
        <w:rPr>
          <w:b/>
          <w:u w:val="single"/>
          <w:lang w:val="en-AU"/>
        </w:rPr>
        <w:t>Other Electricity Discounts and Total Electricity Bill – Part 2</w:t>
      </w:r>
    </w:p>
    <w:p w14:paraId="0976D1C7" w14:textId="77777777" w:rsidR="00D1026E" w:rsidRPr="00125162" w:rsidRDefault="00D1026E" w:rsidP="00D1026E">
      <w:pPr>
        <w:spacing w:before="0" w:after="0" w:line="160" w:lineRule="atLeast"/>
        <w:jc w:val="both"/>
        <w:rPr>
          <w:sz w:val="16"/>
          <w:lang w:val="en-AU"/>
        </w:rPr>
      </w:pPr>
    </w:p>
    <w:tbl>
      <w:tblPr>
        <w:tblW w:w="10797" w:type="dxa"/>
        <w:jc w:val="center"/>
        <w:tblLook w:val="04A0" w:firstRow="1" w:lastRow="0" w:firstColumn="1" w:lastColumn="0" w:noHBand="0" w:noVBand="1"/>
      </w:tblPr>
      <w:tblGrid>
        <w:gridCol w:w="2717"/>
        <w:gridCol w:w="808"/>
        <w:gridCol w:w="808"/>
        <w:gridCol w:w="808"/>
        <w:gridCol w:w="808"/>
        <w:gridCol w:w="808"/>
        <w:gridCol w:w="808"/>
        <w:gridCol w:w="808"/>
        <w:gridCol w:w="808"/>
        <w:gridCol w:w="808"/>
        <w:gridCol w:w="808"/>
      </w:tblGrid>
      <w:tr w:rsidR="00086B9C" w:rsidRPr="00125162" w14:paraId="380DD957" w14:textId="77777777" w:rsidTr="006C3C5E">
        <w:trPr>
          <w:trHeight w:val="240"/>
          <w:tblHeader/>
          <w:jc w:val="center"/>
        </w:trPr>
        <w:tc>
          <w:tcPr>
            <w:tcW w:w="2717" w:type="dxa"/>
            <w:tcBorders>
              <w:top w:val="double" w:sz="6" w:space="0" w:color="auto"/>
              <w:left w:val="double" w:sz="6" w:space="0" w:color="auto"/>
              <w:bottom w:val="single" w:sz="4" w:space="0" w:color="BFBFBF"/>
              <w:right w:val="nil"/>
            </w:tcBorders>
            <w:shd w:val="clear" w:color="auto" w:fill="auto"/>
            <w:noWrap/>
            <w:vAlign w:val="center"/>
          </w:tcPr>
          <w:p w14:paraId="2E5A6FC6"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848" w:type="dxa"/>
            <w:gridSpan w:val="6"/>
            <w:vMerge w:val="restart"/>
            <w:tcBorders>
              <w:top w:val="double" w:sz="6" w:space="0" w:color="auto"/>
              <w:left w:val="single" w:sz="4" w:space="0" w:color="auto"/>
              <w:bottom w:val="single" w:sz="4" w:space="0" w:color="BFBFBF"/>
              <w:right w:val="single" w:sz="4" w:space="0" w:color="auto"/>
            </w:tcBorders>
            <w:shd w:val="clear" w:color="auto" w:fill="auto"/>
            <w:noWrap/>
            <w:vAlign w:val="center"/>
          </w:tcPr>
          <w:p w14:paraId="5E7EC669"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 ALL Discounts and Concessions</w:t>
            </w:r>
          </w:p>
        </w:tc>
        <w:tc>
          <w:tcPr>
            <w:tcW w:w="3232" w:type="dxa"/>
            <w:gridSpan w:val="4"/>
            <w:vMerge w:val="restart"/>
            <w:tcBorders>
              <w:top w:val="double" w:sz="6" w:space="0" w:color="auto"/>
              <w:left w:val="single" w:sz="4" w:space="0" w:color="auto"/>
              <w:bottom w:val="single" w:sz="4" w:space="0" w:color="BFBFBF"/>
              <w:right w:val="double" w:sz="4" w:space="0" w:color="auto"/>
            </w:tcBorders>
            <w:shd w:val="clear" w:color="auto" w:fill="auto"/>
            <w:vAlign w:val="center"/>
          </w:tcPr>
          <w:p w14:paraId="408E8EEC"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 Electricity Bill Amount</w:t>
            </w:r>
            <w:r w:rsidRPr="00125162">
              <w:rPr>
                <w:rFonts w:ascii="Arial" w:hAnsi="Arial" w:cs="Arial"/>
                <w:b/>
                <w:bCs/>
                <w:color w:val="000000"/>
                <w:sz w:val="16"/>
                <w:szCs w:val="16"/>
                <w:lang w:val="en-AU" w:eastAsia="en-AU"/>
              </w:rPr>
              <w:br/>
              <w:t>(incl. GST) ($)</w:t>
            </w:r>
          </w:p>
        </w:tc>
      </w:tr>
      <w:tr w:rsidR="00086B9C" w:rsidRPr="00125162" w14:paraId="45D35DA4" w14:textId="77777777" w:rsidTr="006C3C5E">
        <w:trPr>
          <w:trHeight w:val="227"/>
          <w:tblHeader/>
          <w:jc w:val="center"/>
        </w:trPr>
        <w:tc>
          <w:tcPr>
            <w:tcW w:w="2717" w:type="dxa"/>
            <w:tcBorders>
              <w:top w:val="single" w:sz="4" w:space="0" w:color="BFBFBF"/>
              <w:left w:val="double" w:sz="6" w:space="0" w:color="auto"/>
              <w:bottom w:val="single" w:sz="4" w:space="0" w:color="BFBFBF"/>
              <w:right w:val="single" w:sz="4" w:space="0" w:color="auto"/>
            </w:tcBorders>
            <w:shd w:val="clear" w:color="auto" w:fill="auto"/>
            <w:noWrap/>
          </w:tcPr>
          <w:p w14:paraId="06579DC6"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4848" w:type="dxa"/>
            <w:gridSpan w:val="6"/>
            <w:vMerge/>
            <w:tcBorders>
              <w:top w:val="single" w:sz="4" w:space="0" w:color="BFBFBF"/>
              <w:left w:val="single" w:sz="4" w:space="0" w:color="auto"/>
              <w:bottom w:val="single" w:sz="4" w:space="0" w:color="BFBFBF"/>
              <w:right w:val="single" w:sz="4" w:space="0" w:color="auto"/>
            </w:tcBorders>
            <w:vAlign w:val="center"/>
          </w:tcPr>
          <w:p w14:paraId="6A4C6D20" w14:textId="77777777" w:rsidR="00086B9C" w:rsidRPr="00125162" w:rsidRDefault="00086B9C" w:rsidP="00086B9C">
            <w:pPr>
              <w:spacing w:before="0" w:after="0"/>
              <w:rPr>
                <w:rFonts w:ascii="Arial" w:hAnsi="Arial" w:cs="Arial"/>
                <w:b/>
                <w:bCs/>
                <w:color w:val="000000"/>
                <w:sz w:val="16"/>
                <w:szCs w:val="16"/>
                <w:lang w:val="en-AU" w:eastAsia="en-AU"/>
              </w:rPr>
            </w:pPr>
          </w:p>
        </w:tc>
        <w:tc>
          <w:tcPr>
            <w:tcW w:w="3232" w:type="dxa"/>
            <w:gridSpan w:val="4"/>
            <w:vMerge/>
            <w:tcBorders>
              <w:top w:val="nil"/>
              <w:left w:val="single" w:sz="4" w:space="0" w:color="auto"/>
              <w:bottom w:val="single" w:sz="4" w:space="0" w:color="BFBFBF"/>
              <w:right w:val="double" w:sz="4" w:space="0" w:color="auto"/>
            </w:tcBorders>
            <w:vAlign w:val="center"/>
          </w:tcPr>
          <w:p w14:paraId="1103474F" w14:textId="77777777" w:rsidR="00086B9C" w:rsidRPr="00125162" w:rsidRDefault="00086B9C" w:rsidP="00086B9C">
            <w:pPr>
              <w:spacing w:before="0" w:after="0"/>
              <w:rPr>
                <w:rFonts w:ascii="Arial" w:hAnsi="Arial" w:cs="Arial"/>
                <w:b/>
                <w:bCs/>
                <w:color w:val="000000"/>
                <w:sz w:val="16"/>
                <w:szCs w:val="16"/>
                <w:lang w:val="en-AU" w:eastAsia="en-AU"/>
              </w:rPr>
            </w:pPr>
          </w:p>
        </w:tc>
      </w:tr>
      <w:tr w:rsidR="00086B9C" w:rsidRPr="00125162" w14:paraId="2334BB19" w14:textId="77777777" w:rsidTr="006C3C5E">
        <w:trPr>
          <w:trHeight w:val="225"/>
          <w:tblHeader/>
          <w:jc w:val="center"/>
        </w:trPr>
        <w:tc>
          <w:tcPr>
            <w:tcW w:w="2717" w:type="dxa"/>
            <w:tcBorders>
              <w:top w:val="nil"/>
              <w:left w:val="double" w:sz="6" w:space="0" w:color="auto"/>
              <w:bottom w:val="single" w:sz="4" w:space="0" w:color="BFBFBF"/>
              <w:right w:val="nil"/>
            </w:tcBorders>
            <w:shd w:val="clear" w:color="auto" w:fill="auto"/>
            <w:noWrap/>
          </w:tcPr>
          <w:p w14:paraId="58BC4268" w14:textId="77777777" w:rsidR="00086B9C" w:rsidRPr="00125162" w:rsidRDefault="00086B9C" w:rsidP="00086B9C">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w:t>
            </w:r>
          </w:p>
        </w:tc>
        <w:tc>
          <w:tcPr>
            <w:tcW w:w="1616" w:type="dxa"/>
            <w:gridSpan w:val="2"/>
            <w:tcBorders>
              <w:top w:val="single" w:sz="4" w:space="0" w:color="BFBFBF"/>
              <w:left w:val="single" w:sz="4" w:space="0" w:color="auto"/>
              <w:bottom w:val="single" w:sz="4" w:space="0" w:color="BFBFBF"/>
              <w:right w:val="single" w:sz="4" w:space="0" w:color="BFBFBF"/>
            </w:tcBorders>
            <w:shd w:val="clear" w:color="auto" w:fill="auto"/>
            <w:noWrap/>
          </w:tcPr>
          <w:p w14:paraId="494C63DA"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1616" w:type="dxa"/>
            <w:gridSpan w:val="2"/>
            <w:tcBorders>
              <w:top w:val="single" w:sz="4" w:space="0" w:color="BFBFBF"/>
              <w:left w:val="single" w:sz="4" w:space="0" w:color="auto"/>
              <w:bottom w:val="single" w:sz="4" w:space="0" w:color="BFBFBF"/>
              <w:right w:val="single" w:sz="4" w:space="0" w:color="000000"/>
            </w:tcBorders>
            <w:shd w:val="clear" w:color="auto" w:fill="auto"/>
            <w:noWrap/>
          </w:tcPr>
          <w:p w14:paraId="129F7465"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1616" w:type="dxa"/>
            <w:gridSpan w:val="2"/>
            <w:tcBorders>
              <w:top w:val="single" w:sz="4" w:space="0" w:color="BFBFBF"/>
              <w:left w:val="nil"/>
              <w:bottom w:val="single" w:sz="4" w:space="0" w:color="BFBFBF"/>
              <w:right w:val="single" w:sz="4" w:space="0" w:color="auto"/>
            </w:tcBorders>
            <w:shd w:val="clear" w:color="auto" w:fill="auto"/>
            <w:noWrap/>
          </w:tcPr>
          <w:p w14:paraId="0A410423"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2001</w:t>
            </w:r>
          </w:p>
        </w:tc>
        <w:tc>
          <w:tcPr>
            <w:tcW w:w="3232" w:type="dxa"/>
            <w:gridSpan w:val="4"/>
            <w:vMerge/>
            <w:tcBorders>
              <w:top w:val="nil"/>
              <w:left w:val="single" w:sz="4" w:space="0" w:color="auto"/>
              <w:bottom w:val="single" w:sz="4" w:space="0" w:color="BFBFBF"/>
              <w:right w:val="double" w:sz="4" w:space="0" w:color="auto"/>
            </w:tcBorders>
            <w:vAlign w:val="center"/>
          </w:tcPr>
          <w:p w14:paraId="7B486417" w14:textId="77777777" w:rsidR="00086B9C" w:rsidRPr="00125162" w:rsidRDefault="00086B9C" w:rsidP="00086B9C">
            <w:pPr>
              <w:spacing w:before="0" w:after="0"/>
              <w:rPr>
                <w:rFonts w:ascii="Arial" w:hAnsi="Arial" w:cs="Arial"/>
                <w:b/>
                <w:bCs/>
                <w:color w:val="000000"/>
                <w:sz w:val="16"/>
                <w:szCs w:val="16"/>
                <w:lang w:val="en-AU" w:eastAsia="en-AU"/>
              </w:rPr>
            </w:pPr>
          </w:p>
        </w:tc>
      </w:tr>
      <w:tr w:rsidR="00086B9C" w:rsidRPr="00125162" w14:paraId="03C1B8DB" w14:textId="77777777" w:rsidTr="006C3C5E">
        <w:trPr>
          <w:trHeight w:val="225"/>
          <w:tblHeader/>
          <w:jc w:val="center"/>
        </w:trPr>
        <w:tc>
          <w:tcPr>
            <w:tcW w:w="2717" w:type="dxa"/>
            <w:tcBorders>
              <w:top w:val="nil"/>
              <w:left w:val="double" w:sz="6" w:space="0" w:color="auto"/>
              <w:bottom w:val="single" w:sz="4" w:space="0" w:color="BFBFBF"/>
              <w:right w:val="nil"/>
            </w:tcBorders>
            <w:shd w:val="clear" w:color="auto" w:fill="auto"/>
            <w:noWrap/>
            <w:vAlign w:val="center"/>
          </w:tcPr>
          <w:p w14:paraId="38FA618F"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87D7C9E"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0122B928"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C25DB78"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auto"/>
            </w:tcBorders>
            <w:shd w:val="clear" w:color="auto" w:fill="auto"/>
            <w:noWrap/>
            <w:vAlign w:val="center"/>
          </w:tcPr>
          <w:p w14:paraId="43615D51"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0945BFCA"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auto"/>
            </w:tcBorders>
            <w:shd w:val="clear" w:color="auto" w:fill="auto"/>
            <w:noWrap/>
            <w:vAlign w:val="center"/>
          </w:tcPr>
          <w:p w14:paraId="53DB4B99"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bottom"/>
          </w:tcPr>
          <w:p w14:paraId="1EF014A9" w14:textId="77777777" w:rsidR="00086B9C" w:rsidRPr="00125162" w:rsidRDefault="00086B9C" w:rsidP="00086B9C">
            <w:pPr>
              <w:spacing w:before="0" w:after="0"/>
              <w:jc w:val="right"/>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2014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B555655" w14:textId="77777777" w:rsidR="00086B9C" w:rsidRPr="00125162" w:rsidRDefault="00086B9C" w:rsidP="00086B9C">
            <w:pPr>
              <w:spacing w:before="0" w:after="0"/>
              <w:jc w:val="right"/>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auto"/>
            </w:tcBorders>
            <w:shd w:val="clear" w:color="auto" w:fill="auto"/>
            <w:noWrap/>
            <w:vAlign w:val="center"/>
          </w:tcPr>
          <w:p w14:paraId="13DDEAE6" w14:textId="77777777" w:rsidR="00086B9C" w:rsidRPr="00125162" w:rsidRDefault="00086B9C" w:rsidP="00086B9C">
            <w:pPr>
              <w:spacing w:before="0" w:after="0"/>
              <w:jc w:val="right"/>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2001</w:t>
            </w:r>
          </w:p>
        </w:tc>
        <w:tc>
          <w:tcPr>
            <w:tcW w:w="808" w:type="dxa"/>
            <w:tcBorders>
              <w:top w:val="nil"/>
              <w:left w:val="nil"/>
              <w:bottom w:val="single" w:sz="4" w:space="0" w:color="BFBFBF"/>
              <w:right w:val="double" w:sz="6" w:space="0" w:color="auto"/>
            </w:tcBorders>
            <w:shd w:val="clear" w:color="auto" w:fill="auto"/>
            <w:noWrap/>
            <w:vAlign w:val="center"/>
          </w:tcPr>
          <w:p w14:paraId="4389424F" w14:textId="77777777" w:rsidR="00086B9C" w:rsidRPr="00125162" w:rsidRDefault="00086B9C" w:rsidP="00086B9C">
            <w:pPr>
              <w:spacing w:before="0" w:after="0"/>
              <w:jc w:val="right"/>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1996</w:t>
            </w:r>
          </w:p>
        </w:tc>
      </w:tr>
      <w:tr w:rsidR="00086B9C" w:rsidRPr="00125162" w14:paraId="54F927ED" w14:textId="77777777" w:rsidTr="006C3C5E">
        <w:trPr>
          <w:trHeight w:val="225"/>
          <w:tblHeader/>
          <w:jc w:val="center"/>
        </w:trPr>
        <w:tc>
          <w:tcPr>
            <w:tcW w:w="2717" w:type="dxa"/>
            <w:tcBorders>
              <w:top w:val="nil"/>
              <w:left w:val="double" w:sz="6" w:space="0" w:color="auto"/>
              <w:bottom w:val="single" w:sz="4" w:space="0" w:color="BFBFBF"/>
              <w:right w:val="nil"/>
            </w:tcBorders>
            <w:shd w:val="clear" w:color="auto" w:fill="auto"/>
            <w:noWrap/>
            <w:vAlign w:val="center"/>
          </w:tcPr>
          <w:p w14:paraId="39DD491B" w14:textId="77777777" w:rsidR="00086B9C" w:rsidRPr="00125162" w:rsidRDefault="00086B9C" w:rsidP="00086B9C">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Sub-groups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94A5657" w14:textId="77777777" w:rsidR="00086B9C" w:rsidRPr="00125162" w:rsidRDefault="00086B9C" w:rsidP="0080344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803445" w:rsidRPr="00125162">
              <w:rPr>
                <w:rFonts w:ascii="Arial" w:hAnsi="Arial" w:cs="Arial"/>
                <w:b/>
                <w:bCs/>
                <w:color w:val="000000"/>
                <w:sz w:val="16"/>
                <w:szCs w:val="16"/>
                <w:lang w:val="en-AU" w:eastAsia="en-AU"/>
              </w:rPr>
              <w:t>855</w:t>
            </w:r>
          </w:p>
        </w:tc>
        <w:tc>
          <w:tcPr>
            <w:tcW w:w="808" w:type="dxa"/>
            <w:tcBorders>
              <w:top w:val="nil"/>
              <w:left w:val="nil"/>
              <w:bottom w:val="single" w:sz="4" w:space="0" w:color="BFBFBF"/>
              <w:right w:val="nil"/>
            </w:tcBorders>
            <w:shd w:val="clear" w:color="auto" w:fill="auto"/>
            <w:noWrap/>
            <w:vAlign w:val="center"/>
          </w:tcPr>
          <w:p w14:paraId="33DF3706" w14:textId="77777777" w:rsidR="00086B9C" w:rsidRPr="00125162" w:rsidRDefault="00086B9C" w:rsidP="0080344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EF2404" w:rsidRPr="00125162">
              <w:rPr>
                <w:rFonts w:ascii="Arial" w:hAnsi="Arial" w:cs="Arial"/>
                <w:b/>
                <w:bCs/>
                <w:color w:val="000000"/>
                <w:sz w:val="16"/>
                <w:szCs w:val="16"/>
                <w:lang w:val="en-AU" w:eastAsia="en-AU"/>
              </w:rPr>
              <w:t>,</w:t>
            </w:r>
            <w:r w:rsidR="00803445" w:rsidRPr="00125162">
              <w:rPr>
                <w:rFonts w:ascii="Arial" w:hAnsi="Arial" w:cs="Arial"/>
                <w:b/>
                <w:bCs/>
                <w:color w:val="000000"/>
                <w:sz w:val="16"/>
                <w:szCs w:val="16"/>
                <w:lang w:val="en-AU" w:eastAsia="en-AU"/>
              </w:rPr>
              <w:t>835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54EBEEB"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808" w:type="dxa"/>
            <w:tcBorders>
              <w:top w:val="nil"/>
              <w:left w:val="nil"/>
              <w:bottom w:val="single" w:sz="4" w:space="0" w:color="BFBFBF"/>
              <w:right w:val="single" w:sz="4" w:space="0" w:color="auto"/>
            </w:tcBorders>
            <w:shd w:val="clear" w:color="auto" w:fill="auto"/>
            <w:noWrap/>
            <w:vAlign w:val="center"/>
          </w:tcPr>
          <w:p w14:paraId="08FEF9C4"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n=1,674</w:t>
            </w:r>
          </w:p>
        </w:tc>
        <w:tc>
          <w:tcPr>
            <w:tcW w:w="808" w:type="dxa"/>
            <w:tcBorders>
              <w:top w:val="nil"/>
              <w:left w:val="nil"/>
              <w:bottom w:val="single" w:sz="4" w:space="0" w:color="BFBFBF"/>
              <w:right w:val="single" w:sz="4" w:space="0" w:color="BFBFBF"/>
            </w:tcBorders>
            <w:shd w:val="clear" w:color="auto" w:fill="auto"/>
            <w:noWrap/>
            <w:vAlign w:val="center"/>
          </w:tcPr>
          <w:p w14:paraId="38C0971D"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n=2,006</w:t>
            </w:r>
          </w:p>
        </w:tc>
        <w:tc>
          <w:tcPr>
            <w:tcW w:w="808" w:type="dxa"/>
            <w:tcBorders>
              <w:top w:val="nil"/>
              <w:left w:val="nil"/>
              <w:bottom w:val="single" w:sz="4" w:space="0" w:color="BFBFBF"/>
              <w:right w:val="single" w:sz="4" w:space="0" w:color="auto"/>
            </w:tcBorders>
            <w:shd w:val="clear" w:color="auto" w:fill="auto"/>
            <w:noWrap/>
            <w:vAlign w:val="center"/>
          </w:tcPr>
          <w:p w14:paraId="4F72153E"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n=2,006</w:t>
            </w:r>
          </w:p>
        </w:tc>
        <w:tc>
          <w:tcPr>
            <w:tcW w:w="808" w:type="dxa"/>
            <w:tcBorders>
              <w:top w:val="nil"/>
              <w:left w:val="nil"/>
              <w:bottom w:val="single" w:sz="4" w:space="0" w:color="BFBFBF"/>
              <w:right w:val="nil"/>
            </w:tcBorders>
            <w:shd w:val="clear" w:color="auto" w:fill="auto"/>
            <w:noWrap/>
            <w:vAlign w:val="center"/>
          </w:tcPr>
          <w:p w14:paraId="66A5BFF7" w14:textId="77777777" w:rsidR="00086B9C" w:rsidRPr="00125162" w:rsidRDefault="00086B9C" w:rsidP="00803445">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w:t>
            </w:r>
            <w:r w:rsidR="00803445" w:rsidRPr="00125162">
              <w:rPr>
                <w:rFonts w:ascii="Arial" w:hAnsi="Arial" w:cs="Arial"/>
                <w:b/>
                <w:bCs/>
                <w:color w:val="000000"/>
                <w:sz w:val="16"/>
                <w:szCs w:val="16"/>
                <w:lang w:val="en-AU" w:eastAsia="en-AU"/>
              </w:rPr>
              <w:t>,852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FC25BC4"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n=2,060</w:t>
            </w:r>
          </w:p>
        </w:tc>
        <w:tc>
          <w:tcPr>
            <w:tcW w:w="808" w:type="dxa"/>
            <w:tcBorders>
              <w:top w:val="nil"/>
              <w:left w:val="nil"/>
              <w:bottom w:val="single" w:sz="4" w:space="0" w:color="BFBFBF"/>
              <w:right w:val="single" w:sz="4" w:space="0" w:color="auto"/>
            </w:tcBorders>
            <w:shd w:val="clear" w:color="auto" w:fill="auto"/>
            <w:noWrap/>
            <w:vAlign w:val="center"/>
          </w:tcPr>
          <w:p w14:paraId="5E4763C4"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n=2,006</w:t>
            </w:r>
          </w:p>
        </w:tc>
        <w:tc>
          <w:tcPr>
            <w:tcW w:w="808" w:type="dxa"/>
            <w:tcBorders>
              <w:top w:val="nil"/>
              <w:left w:val="nil"/>
              <w:bottom w:val="single" w:sz="4" w:space="0" w:color="BFBFBF"/>
              <w:right w:val="double" w:sz="6" w:space="0" w:color="auto"/>
            </w:tcBorders>
            <w:shd w:val="clear" w:color="auto" w:fill="auto"/>
            <w:noWrap/>
            <w:vAlign w:val="center"/>
          </w:tcPr>
          <w:p w14:paraId="73CB2FE4" w14:textId="77777777" w:rsidR="00086B9C" w:rsidRPr="00125162" w:rsidRDefault="00086B9C"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n=1,767</w:t>
            </w:r>
          </w:p>
        </w:tc>
      </w:tr>
      <w:tr w:rsidR="00086B9C" w:rsidRPr="00125162" w14:paraId="2F41A2B5"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757D90BA" w14:textId="77777777" w:rsidR="00086B9C" w:rsidRPr="00125162" w:rsidRDefault="00086B9C" w:rsidP="00086B9C">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Region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D262368" w14:textId="77777777" w:rsidR="00086B9C" w:rsidRPr="00125162" w:rsidRDefault="00086B9C" w:rsidP="00086B9C">
            <w:pPr>
              <w:spacing w:before="0" w:after="0"/>
              <w:rPr>
                <w:rFonts w:ascii="Arial" w:hAnsi="Arial" w:cs="Arial"/>
                <w:color w:val="FF0000"/>
                <w:sz w:val="16"/>
                <w:szCs w:val="16"/>
                <w:lang w:val="en-AU" w:eastAsia="en-AU"/>
              </w:rPr>
            </w:pPr>
            <w:r w:rsidRPr="00125162">
              <w:rPr>
                <w:rFonts w:ascii="Arial" w:hAnsi="Arial" w:cs="Arial"/>
                <w:color w:val="FF0000"/>
                <w:sz w:val="16"/>
                <w:szCs w:val="16"/>
                <w:lang w:val="en-AU" w:eastAsia="en-AU"/>
              </w:rPr>
              <w:t> </w:t>
            </w:r>
          </w:p>
        </w:tc>
        <w:tc>
          <w:tcPr>
            <w:tcW w:w="808" w:type="dxa"/>
            <w:tcBorders>
              <w:top w:val="nil"/>
              <w:left w:val="nil"/>
              <w:bottom w:val="single" w:sz="4" w:space="0" w:color="BFBFBF"/>
              <w:right w:val="nil"/>
            </w:tcBorders>
            <w:shd w:val="clear" w:color="auto" w:fill="auto"/>
            <w:noWrap/>
            <w:vAlign w:val="bottom"/>
          </w:tcPr>
          <w:p w14:paraId="6B294616"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972BD31"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31D0DCBD"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4B113A1"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084AE095"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bottom"/>
          </w:tcPr>
          <w:p w14:paraId="3B96667B"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3E658EC"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06EE2038"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7856A695" w14:textId="77777777" w:rsidR="00086B9C" w:rsidRPr="00125162" w:rsidRDefault="00086B9C"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C73B77" w:rsidRPr="00125162" w14:paraId="5156A2E6"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040BC7E8"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125162">
                  <w:rPr>
                    <w:rFonts w:ascii="Arial" w:hAnsi="Arial" w:cs="Arial"/>
                    <w:color w:val="000000"/>
                    <w:sz w:val="16"/>
                    <w:szCs w:val="16"/>
                    <w:lang w:val="en-AU" w:eastAsia="en-AU"/>
                  </w:rPr>
                  <w:t>Melbourne</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300D411"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61D46046"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B7E3DF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auto"/>
            </w:tcBorders>
            <w:shd w:val="clear" w:color="auto" w:fill="auto"/>
            <w:noWrap/>
            <w:vAlign w:val="center"/>
          </w:tcPr>
          <w:p w14:paraId="251AF83B"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86</w:t>
            </w:r>
          </w:p>
        </w:tc>
        <w:tc>
          <w:tcPr>
            <w:tcW w:w="808" w:type="dxa"/>
            <w:tcBorders>
              <w:top w:val="nil"/>
              <w:left w:val="nil"/>
              <w:bottom w:val="single" w:sz="4" w:space="0" w:color="BFBFBF"/>
              <w:right w:val="single" w:sz="4" w:space="0" w:color="BFBFBF"/>
            </w:tcBorders>
            <w:shd w:val="clear" w:color="auto" w:fill="auto"/>
            <w:noWrap/>
            <w:vAlign w:val="center"/>
          </w:tcPr>
          <w:p w14:paraId="16B1B35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3A3919F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73</w:t>
            </w:r>
          </w:p>
        </w:tc>
        <w:tc>
          <w:tcPr>
            <w:tcW w:w="808" w:type="dxa"/>
            <w:tcBorders>
              <w:top w:val="nil"/>
              <w:left w:val="nil"/>
              <w:bottom w:val="single" w:sz="4" w:space="0" w:color="BFBFBF"/>
              <w:right w:val="nil"/>
            </w:tcBorders>
            <w:shd w:val="clear" w:color="auto" w:fill="auto"/>
            <w:noWrap/>
            <w:vAlign w:val="center"/>
          </w:tcPr>
          <w:p w14:paraId="3BA710DF"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1,241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33F0E8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1,018</w:t>
            </w:r>
          </w:p>
        </w:tc>
        <w:tc>
          <w:tcPr>
            <w:tcW w:w="808" w:type="dxa"/>
            <w:tcBorders>
              <w:top w:val="nil"/>
              <w:left w:val="nil"/>
              <w:bottom w:val="single" w:sz="4" w:space="0" w:color="BFBFBF"/>
              <w:right w:val="single" w:sz="4" w:space="0" w:color="auto"/>
            </w:tcBorders>
            <w:shd w:val="clear" w:color="auto" w:fill="auto"/>
            <w:noWrap/>
            <w:vAlign w:val="center"/>
          </w:tcPr>
          <w:p w14:paraId="751E4BB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654</w:t>
            </w:r>
          </w:p>
        </w:tc>
        <w:tc>
          <w:tcPr>
            <w:tcW w:w="808" w:type="dxa"/>
            <w:tcBorders>
              <w:top w:val="nil"/>
              <w:left w:val="nil"/>
              <w:bottom w:val="single" w:sz="4" w:space="0" w:color="BFBFBF"/>
              <w:right w:val="double" w:sz="6" w:space="0" w:color="auto"/>
            </w:tcBorders>
            <w:shd w:val="clear" w:color="auto" w:fill="auto"/>
            <w:noWrap/>
            <w:vAlign w:val="center"/>
          </w:tcPr>
          <w:p w14:paraId="264C1F3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437</w:t>
            </w:r>
          </w:p>
        </w:tc>
      </w:tr>
      <w:tr w:rsidR="00C73B77" w:rsidRPr="00125162" w14:paraId="6F22A737"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03B43F8E"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Country VIC</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4F6D093"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7BAC74C2"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396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208431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96%</w:t>
            </w:r>
          </w:p>
        </w:tc>
        <w:tc>
          <w:tcPr>
            <w:tcW w:w="808" w:type="dxa"/>
            <w:tcBorders>
              <w:top w:val="nil"/>
              <w:left w:val="nil"/>
              <w:bottom w:val="single" w:sz="4" w:space="0" w:color="BFBFBF"/>
              <w:right w:val="single" w:sz="4" w:space="0" w:color="auto"/>
            </w:tcBorders>
            <w:shd w:val="clear" w:color="auto" w:fill="auto"/>
            <w:noWrap/>
            <w:vAlign w:val="center"/>
          </w:tcPr>
          <w:p w14:paraId="3203AD7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86</w:t>
            </w:r>
          </w:p>
        </w:tc>
        <w:tc>
          <w:tcPr>
            <w:tcW w:w="808" w:type="dxa"/>
            <w:tcBorders>
              <w:top w:val="nil"/>
              <w:left w:val="nil"/>
              <w:bottom w:val="single" w:sz="4" w:space="0" w:color="BFBFBF"/>
              <w:right w:val="single" w:sz="4" w:space="0" w:color="BFBFBF"/>
            </w:tcBorders>
            <w:shd w:val="clear" w:color="auto" w:fill="auto"/>
            <w:noWrap/>
            <w:vAlign w:val="center"/>
          </w:tcPr>
          <w:p w14:paraId="52237B36"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363AA88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w:t>
            </w:r>
          </w:p>
        </w:tc>
        <w:tc>
          <w:tcPr>
            <w:tcW w:w="808" w:type="dxa"/>
            <w:tcBorders>
              <w:top w:val="nil"/>
              <w:left w:val="nil"/>
              <w:bottom w:val="single" w:sz="4" w:space="0" w:color="BFBFBF"/>
              <w:right w:val="nil"/>
            </w:tcBorders>
            <w:shd w:val="clear" w:color="auto" w:fill="auto"/>
            <w:noWrap/>
            <w:vAlign w:val="center"/>
          </w:tcPr>
          <w:p w14:paraId="0360EC36"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1,264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85295E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879</w:t>
            </w:r>
          </w:p>
        </w:tc>
        <w:tc>
          <w:tcPr>
            <w:tcW w:w="808" w:type="dxa"/>
            <w:tcBorders>
              <w:top w:val="nil"/>
              <w:left w:val="nil"/>
              <w:bottom w:val="single" w:sz="4" w:space="0" w:color="BFBFBF"/>
              <w:right w:val="single" w:sz="4" w:space="0" w:color="auto"/>
            </w:tcBorders>
            <w:shd w:val="clear" w:color="auto" w:fill="auto"/>
            <w:noWrap/>
            <w:vAlign w:val="center"/>
          </w:tcPr>
          <w:p w14:paraId="534E9BC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835</w:t>
            </w:r>
          </w:p>
        </w:tc>
        <w:tc>
          <w:tcPr>
            <w:tcW w:w="808" w:type="dxa"/>
            <w:tcBorders>
              <w:top w:val="nil"/>
              <w:left w:val="nil"/>
              <w:bottom w:val="single" w:sz="4" w:space="0" w:color="BFBFBF"/>
              <w:right w:val="double" w:sz="6" w:space="0" w:color="auto"/>
            </w:tcBorders>
            <w:shd w:val="clear" w:color="auto" w:fill="auto"/>
            <w:noWrap/>
            <w:vAlign w:val="center"/>
          </w:tcPr>
          <w:p w14:paraId="09BB3D1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476</w:t>
            </w:r>
          </w:p>
        </w:tc>
      </w:tr>
      <w:tr w:rsidR="00C73B77" w:rsidRPr="00125162" w14:paraId="18869EF4"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1F75D45B" w14:textId="485C58CE" w:rsidR="00C73B77" w:rsidRPr="00125162" w:rsidRDefault="00BC6314" w:rsidP="00086B9C">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C73B77" w:rsidRPr="00125162">
              <w:rPr>
                <w:rFonts w:ascii="Arial" w:hAnsi="Arial" w:cs="Arial"/>
                <w:color w:val="000000"/>
                <w:sz w:val="16"/>
                <w:szCs w:val="16"/>
                <w:lang w:val="en-AU" w:eastAsia="en-AU"/>
              </w:rPr>
              <w:t>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66065C7" w14:textId="77777777" w:rsidR="00C73B77" w:rsidRPr="00125162" w:rsidRDefault="00C73B77" w:rsidP="006C3C5E">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98</w:t>
            </w:r>
            <w:r w:rsidRPr="00125162">
              <w:rPr>
                <w:rFonts w:ascii="Arial" w:hAnsi="Arial" w:cs="Arial"/>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3B2D380B" w14:textId="77777777" w:rsidR="00C73B77" w:rsidRPr="00125162" w:rsidRDefault="00C73B77" w:rsidP="006C3C5E">
            <w:pPr>
              <w:spacing w:before="0" w:after="0"/>
              <w:jc w:val="center"/>
              <w:rPr>
                <w:rFonts w:ascii="Arial" w:hAnsi="Arial" w:cs="Arial"/>
                <w:color w:val="000000"/>
                <w:sz w:val="16"/>
                <w:szCs w:val="16"/>
                <w:lang w:val="en-AU" w:eastAsia="en-AU"/>
              </w:rPr>
            </w:pPr>
            <w:r>
              <w:rPr>
                <w:rFonts w:ascii="Arial" w:hAnsi="Arial" w:cs="Arial"/>
                <w:color w:val="000000"/>
                <w:sz w:val="16"/>
                <w:szCs w:val="16"/>
                <w:lang w:val="en-AU" w:eastAsia="en-AU"/>
              </w:rPr>
              <w:t>406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0CBD30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94%</w:t>
            </w:r>
          </w:p>
        </w:tc>
        <w:tc>
          <w:tcPr>
            <w:tcW w:w="808" w:type="dxa"/>
            <w:tcBorders>
              <w:top w:val="nil"/>
              <w:left w:val="nil"/>
              <w:bottom w:val="single" w:sz="4" w:space="0" w:color="BFBFBF"/>
              <w:right w:val="single" w:sz="4" w:space="0" w:color="auto"/>
            </w:tcBorders>
            <w:shd w:val="clear" w:color="auto" w:fill="auto"/>
            <w:noWrap/>
            <w:vAlign w:val="center"/>
          </w:tcPr>
          <w:p w14:paraId="366C06B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126</w:t>
            </w:r>
          </w:p>
        </w:tc>
        <w:tc>
          <w:tcPr>
            <w:tcW w:w="808" w:type="dxa"/>
            <w:tcBorders>
              <w:top w:val="nil"/>
              <w:left w:val="nil"/>
              <w:bottom w:val="single" w:sz="4" w:space="0" w:color="BFBFBF"/>
              <w:right w:val="single" w:sz="4" w:space="0" w:color="BFBFBF"/>
            </w:tcBorders>
            <w:shd w:val="clear" w:color="auto" w:fill="auto"/>
            <w:noWrap/>
            <w:vAlign w:val="center"/>
          </w:tcPr>
          <w:p w14:paraId="694988E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51595C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6820C6CA"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1,620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C77341C"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1,116</w:t>
            </w:r>
          </w:p>
        </w:tc>
        <w:tc>
          <w:tcPr>
            <w:tcW w:w="808" w:type="dxa"/>
            <w:tcBorders>
              <w:top w:val="nil"/>
              <w:left w:val="nil"/>
              <w:bottom w:val="single" w:sz="4" w:space="0" w:color="BFBFBF"/>
              <w:right w:val="single" w:sz="4" w:space="0" w:color="auto"/>
            </w:tcBorders>
            <w:shd w:val="clear" w:color="auto" w:fill="auto"/>
            <w:noWrap/>
            <w:vAlign w:val="center"/>
          </w:tcPr>
          <w:p w14:paraId="1416F24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F58B0E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2531B994"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7F8CA9BD" w14:textId="77777777" w:rsidR="00C73B77" w:rsidRPr="00125162" w:rsidRDefault="00C73B77" w:rsidP="00086B9C">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 xml:space="preserve">By DHHS Area -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258B337"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2FE0330D"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7134D0B" w14:textId="77777777" w:rsidR="00C73B77" w:rsidRPr="00125162" w:rsidRDefault="00C73B77" w:rsidP="00086B9C">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4A7F783C" w14:textId="77777777" w:rsidR="00C73B77" w:rsidRPr="00125162" w:rsidRDefault="00C73B77" w:rsidP="00086B9C">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7347C74" w14:textId="77777777" w:rsidR="00C73B77" w:rsidRPr="00125162" w:rsidRDefault="00C73B77" w:rsidP="00086B9C">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53971BC5" w14:textId="77777777" w:rsidR="00C73B77" w:rsidRPr="00125162" w:rsidRDefault="00C73B77" w:rsidP="00086B9C">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67114628"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CBD5476" w14:textId="77777777" w:rsidR="00C73B77" w:rsidRPr="00125162" w:rsidRDefault="00C73B77" w:rsidP="00086B9C">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265DE3DF" w14:textId="77777777" w:rsidR="00C73B77" w:rsidRPr="00125162" w:rsidRDefault="00C73B77" w:rsidP="00086B9C">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7AFBB3E8" w14:textId="77777777" w:rsidR="00C73B77" w:rsidRPr="00125162" w:rsidRDefault="00C73B77" w:rsidP="00086B9C">
            <w:pPr>
              <w:spacing w:before="0" w:after="0"/>
              <w:jc w:val="right"/>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C73B77" w:rsidRPr="00125162" w14:paraId="072E5A2F"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7FA924A0"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Hume Moreland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6EF015E"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6A1434B5"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437017C"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D40C3F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8A9E2D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87060B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6A3A598A"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1,097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B89EAE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505B61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726D10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53579C99"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18465F9E"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North Eastern Melbourne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ECF001F"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97%</w:t>
            </w:r>
          </w:p>
        </w:tc>
        <w:tc>
          <w:tcPr>
            <w:tcW w:w="808" w:type="dxa"/>
            <w:tcBorders>
              <w:top w:val="nil"/>
              <w:left w:val="nil"/>
              <w:bottom w:val="single" w:sz="4" w:space="0" w:color="BFBFBF"/>
              <w:right w:val="nil"/>
            </w:tcBorders>
            <w:shd w:val="clear" w:color="auto" w:fill="auto"/>
            <w:noWrap/>
            <w:vAlign w:val="center"/>
          </w:tcPr>
          <w:p w14:paraId="4644894A"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E53C88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F40CB6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3C8A2A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315F31B"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C1C436D"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1,394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35386BC"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664C7D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353726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60FA7EEB"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631F7D9C"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Outer </w:t>
            </w:r>
            <w:smartTag w:uri="urn:schemas-microsoft-com:office:smarttags" w:element="place">
              <w:r w:rsidRPr="00125162">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A22B651"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30B929CD"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338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A85784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D64680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FF8AB4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1CF22F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127C968D"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1,272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0A863A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703117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7BC21DB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72257737"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04E3F962"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Inner </w:t>
            </w:r>
            <w:smartTag w:uri="urn:schemas-microsoft-com:office:smarttags" w:element="place">
              <w:r w:rsidRPr="00125162">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8E2C951"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6F520269"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266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8337C1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A2D5C0C"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9310756"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8F332F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04F683C6"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1,180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02A013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67CB2D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8E55CC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21F59DD1"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225B5DE9"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smartTag w:uri="urn:schemas-microsoft-com:office:smarttags" w:element="place">
              <w:r w:rsidRPr="00125162">
                <w:rPr>
                  <w:rFonts w:ascii="Arial" w:hAnsi="Arial" w:cs="Arial"/>
                  <w:color w:val="000000"/>
                  <w:sz w:val="16"/>
                  <w:szCs w:val="16"/>
                  <w:lang w:val="en-AU" w:eastAsia="en-AU"/>
                </w:rPr>
                <w:t>Southern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62E80E6"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6113B572"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C24B19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6BE3CF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B355EF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9881886"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45217F68"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1,310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121917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FD7915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3BF0DA5B"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15A935C3"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66B41CB6"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Bayside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6BE5E64"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7037E7DC"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317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BC6D25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580315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1F1B95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160E7B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0DA57960"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1,179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02E05F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0A756A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EB5206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1C0FFCAF"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1780369C"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smartTag w:uri="urn:schemas-microsoft-com:office:smarttags" w:element="place">
              <w:r w:rsidRPr="00125162">
                <w:rPr>
                  <w:rFonts w:ascii="Arial" w:hAnsi="Arial" w:cs="Arial"/>
                  <w:color w:val="000000"/>
                  <w:sz w:val="16"/>
                  <w:szCs w:val="16"/>
                  <w:lang w:val="en-AU" w:eastAsia="en-AU"/>
                </w:rPr>
                <w:t>Western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CBBBE10"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nil"/>
              <w:left w:val="nil"/>
              <w:bottom w:val="single" w:sz="4" w:space="0" w:color="BFBFBF"/>
              <w:right w:val="nil"/>
            </w:tcBorders>
            <w:shd w:val="clear" w:color="auto" w:fill="auto"/>
            <w:noWrap/>
            <w:vAlign w:val="center"/>
          </w:tcPr>
          <w:p w14:paraId="397738EA"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276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DCF3F5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2BD3696"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FE3CD6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14B584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5287BD84"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1,236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7E639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7BF949C"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BB50F1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37818BBB"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2C5D82A4"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Brimbank Melton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A69A8D8"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627F2315"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271DAC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4E40C8B"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BC2061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D6F7E4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794C94A0"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1,286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9EEC3B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7D764F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D48A8D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39C230A3"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7FDA600B"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Mallee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7A38166"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nil"/>
              <w:left w:val="nil"/>
              <w:bottom w:val="single" w:sz="4" w:space="0" w:color="BFBFBF"/>
              <w:right w:val="nil"/>
            </w:tcBorders>
            <w:shd w:val="clear" w:color="auto" w:fill="auto"/>
            <w:noWrap/>
            <w:vAlign w:val="center"/>
          </w:tcPr>
          <w:p w14:paraId="56A82C8D"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498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CC1F8D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874EF6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91045D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05313C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1E2AA39E"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1,494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4D3B49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8C32C8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28F97D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2D9E1243"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69D0A2E5"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Loddon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406288D"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nil"/>
              <w:left w:val="nil"/>
              <w:bottom w:val="single" w:sz="4" w:space="0" w:color="BFBFBF"/>
              <w:right w:val="nil"/>
            </w:tcBorders>
            <w:shd w:val="clear" w:color="auto" w:fill="auto"/>
            <w:noWrap/>
            <w:vAlign w:val="center"/>
          </w:tcPr>
          <w:p w14:paraId="7B4E5846"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79D785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F1E14F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016470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1AEC8F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59601F71"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1,219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7A321C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85355B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00CFEF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4787163C"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242F6796"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125162">
                  <w:rPr>
                    <w:rFonts w:ascii="Arial" w:hAnsi="Arial" w:cs="Arial"/>
                    <w:color w:val="000000"/>
                    <w:sz w:val="16"/>
                    <w:szCs w:val="16"/>
                    <w:lang w:val="en-AU" w:eastAsia="en-AU"/>
                  </w:rPr>
                  <w:t>Murray</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9A5B7C3"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75879E9C"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EDCC0A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5D7BBC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04BBDE6"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4C0FD0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0AB761D7"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1,301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831315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23EFEAB"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5BCD01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442C470D"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246CD184"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Goulburn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DAE86FF"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2B7DE0DF"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72884C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87AC83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95FE4D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EDAAD1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462E88BF"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1,333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240CED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B4CFF6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3EFDE3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5A083E83"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71AE83F7"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Outer Gippsland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F0992C4"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nil"/>
              <w:left w:val="nil"/>
              <w:bottom w:val="single" w:sz="4" w:space="0" w:color="BFBFBF"/>
              <w:right w:val="nil"/>
            </w:tcBorders>
            <w:shd w:val="clear" w:color="auto" w:fill="auto"/>
            <w:noWrap/>
            <w:vAlign w:val="center"/>
          </w:tcPr>
          <w:p w14:paraId="3D5042BE"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B1D4F2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E73A7F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5FEE20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E311A3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4CC70EA3"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1,404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B89639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0BDC88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7BC1EF5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56CDCAA4"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09531A4F"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Inner Gippsland</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424FFB2"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2A7235F1"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467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8C361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0030A0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FA3D4DB"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B299F3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56CDC9A9"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1,291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FBE399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FB3ACCC"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AF8D34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65248932"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2FE3E7D8"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Western District</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5422362"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65543F3D"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C0B02C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D76F45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788C2A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49FCBF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7161B4E0"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1,170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C64DAE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42EAE8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DEB40E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0DC6B0D9"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45B0295E"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Barwon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22FCBB3"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nil"/>
              <w:left w:val="nil"/>
              <w:bottom w:val="single" w:sz="4" w:space="0" w:color="BFBFBF"/>
              <w:right w:val="nil"/>
            </w:tcBorders>
            <w:shd w:val="clear" w:color="auto" w:fill="auto"/>
            <w:noWrap/>
            <w:vAlign w:val="center"/>
          </w:tcPr>
          <w:p w14:paraId="4EA64F9E"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D49461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F123366"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84AAA7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37B86D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74F051CC"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1,170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27EF6B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BCAE09C"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117814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796F02EF"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bottom"/>
          </w:tcPr>
          <w:p w14:paraId="1A7B2F94"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Central Highlands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2DD03D5"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73E8A54B"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F1A20D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869B1F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9DE1C5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8F2F36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3B6F90AD"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1,249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20E1EC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2BFA1A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7CA8F94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n/a</w:t>
            </w:r>
          </w:p>
        </w:tc>
      </w:tr>
      <w:tr w:rsidR="00C73B77" w:rsidRPr="00125162" w14:paraId="2BFBEBE3"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32D0803D" w14:textId="77777777" w:rsidR="00C73B77" w:rsidRPr="00125162" w:rsidRDefault="00C73B77" w:rsidP="00086B9C">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Concession Status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3D46FEB"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07D62FFD"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EFBB76E" w14:textId="77777777" w:rsidR="00C73B77" w:rsidRPr="00125162" w:rsidRDefault="00C73B77"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59B8CB7B" w14:textId="77777777" w:rsidR="00C73B77" w:rsidRPr="00125162" w:rsidRDefault="00C73B77"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1630354" w14:textId="77777777" w:rsidR="00C73B77" w:rsidRPr="00125162" w:rsidRDefault="00C73B77"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6E837897" w14:textId="77777777" w:rsidR="00C73B77" w:rsidRPr="00125162" w:rsidRDefault="00C73B77"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44B63935"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DBD85F1" w14:textId="77777777" w:rsidR="00C73B77" w:rsidRPr="00125162" w:rsidRDefault="00C73B77"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0AC8204F" w14:textId="77777777" w:rsidR="00C73B77" w:rsidRPr="00125162" w:rsidRDefault="00C73B77"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3A8C1B31" w14:textId="77777777" w:rsidR="00C73B77" w:rsidRPr="00125162" w:rsidRDefault="00C73B77" w:rsidP="00086B9C">
            <w:pPr>
              <w:spacing w:before="0" w:after="0"/>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C73B77" w:rsidRPr="00125162" w14:paraId="2797D6DB"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7A952912"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Aged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7558DED"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383296A3"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389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7C9C76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95%</w:t>
            </w:r>
          </w:p>
        </w:tc>
        <w:tc>
          <w:tcPr>
            <w:tcW w:w="808" w:type="dxa"/>
            <w:tcBorders>
              <w:top w:val="nil"/>
              <w:left w:val="nil"/>
              <w:bottom w:val="single" w:sz="4" w:space="0" w:color="BFBFBF"/>
              <w:right w:val="single" w:sz="4" w:space="0" w:color="auto"/>
            </w:tcBorders>
            <w:shd w:val="clear" w:color="auto" w:fill="auto"/>
            <w:noWrap/>
            <w:vAlign w:val="center"/>
          </w:tcPr>
          <w:p w14:paraId="62F297B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105</w:t>
            </w:r>
          </w:p>
        </w:tc>
        <w:tc>
          <w:tcPr>
            <w:tcW w:w="808" w:type="dxa"/>
            <w:tcBorders>
              <w:top w:val="nil"/>
              <w:left w:val="nil"/>
              <w:bottom w:val="single" w:sz="4" w:space="0" w:color="BFBFBF"/>
              <w:right w:val="single" w:sz="4" w:space="0" w:color="BFBFBF"/>
            </w:tcBorders>
            <w:shd w:val="clear" w:color="auto" w:fill="auto"/>
            <w:noWrap/>
            <w:vAlign w:val="center"/>
          </w:tcPr>
          <w:p w14:paraId="0FB46D7B"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17D8BB2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91</w:t>
            </w:r>
          </w:p>
        </w:tc>
        <w:tc>
          <w:tcPr>
            <w:tcW w:w="808" w:type="dxa"/>
            <w:tcBorders>
              <w:top w:val="nil"/>
              <w:left w:val="nil"/>
              <w:bottom w:val="single" w:sz="4" w:space="0" w:color="BFBFBF"/>
              <w:right w:val="nil"/>
            </w:tcBorders>
            <w:shd w:val="clear" w:color="auto" w:fill="auto"/>
            <w:noWrap/>
            <w:vAlign w:val="center"/>
          </w:tcPr>
          <w:p w14:paraId="7090E590"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1,023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1C3C51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697</w:t>
            </w:r>
          </w:p>
        </w:tc>
        <w:tc>
          <w:tcPr>
            <w:tcW w:w="808" w:type="dxa"/>
            <w:tcBorders>
              <w:top w:val="nil"/>
              <w:left w:val="nil"/>
              <w:bottom w:val="single" w:sz="4" w:space="0" w:color="BFBFBF"/>
              <w:right w:val="single" w:sz="4" w:space="0" w:color="auto"/>
            </w:tcBorders>
            <w:shd w:val="clear" w:color="auto" w:fill="auto"/>
            <w:noWrap/>
            <w:vAlign w:val="center"/>
          </w:tcPr>
          <w:p w14:paraId="4E6BEB7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576</w:t>
            </w:r>
          </w:p>
        </w:tc>
        <w:tc>
          <w:tcPr>
            <w:tcW w:w="808" w:type="dxa"/>
            <w:tcBorders>
              <w:top w:val="nil"/>
              <w:left w:val="nil"/>
              <w:bottom w:val="single" w:sz="4" w:space="0" w:color="BFBFBF"/>
              <w:right w:val="double" w:sz="6" w:space="0" w:color="auto"/>
            </w:tcBorders>
            <w:shd w:val="clear" w:color="auto" w:fill="auto"/>
            <w:noWrap/>
            <w:vAlign w:val="center"/>
          </w:tcPr>
          <w:p w14:paraId="1D357A0C"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363</w:t>
            </w:r>
          </w:p>
        </w:tc>
      </w:tr>
      <w:tr w:rsidR="00C73B77" w:rsidRPr="00125162" w14:paraId="0AE4C72D"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071A67C1"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Other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B0B0293"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106E825E"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359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8C162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90%</w:t>
            </w:r>
          </w:p>
        </w:tc>
        <w:tc>
          <w:tcPr>
            <w:tcW w:w="808" w:type="dxa"/>
            <w:tcBorders>
              <w:top w:val="nil"/>
              <w:left w:val="nil"/>
              <w:bottom w:val="single" w:sz="4" w:space="0" w:color="BFBFBF"/>
              <w:right w:val="single" w:sz="4" w:space="0" w:color="auto"/>
            </w:tcBorders>
            <w:shd w:val="clear" w:color="auto" w:fill="auto"/>
            <w:noWrap/>
            <w:vAlign w:val="center"/>
          </w:tcPr>
          <w:p w14:paraId="6B39E2D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109</w:t>
            </w:r>
          </w:p>
        </w:tc>
        <w:tc>
          <w:tcPr>
            <w:tcW w:w="808" w:type="dxa"/>
            <w:tcBorders>
              <w:top w:val="nil"/>
              <w:left w:val="nil"/>
              <w:bottom w:val="single" w:sz="4" w:space="0" w:color="BFBFBF"/>
              <w:right w:val="single" w:sz="4" w:space="0" w:color="BFBFBF"/>
            </w:tcBorders>
            <w:shd w:val="clear" w:color="auto" w:fill="auto"/>
            <w:noWrap/>
            <w:vAlign w:val="center"/>
          </w:tcPr>
          <w:p w14:paraId="26C0B09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49428FC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87</w:t>
            </w:r>
          </w:p>
        </w:tc>
        <w:tc>
          <w:tcPr>
            <w:tcW w:w="808" w:type="dxa"/>
            <w:tcBorders>
              <w:top w:val="nil"/>
              <w:left w:val="nil"/>
              <w:bottom w:val="single" w:sz="4" w:space="0" w:color="BFBFBF"/>
              <w:right w:val="nil"/>
            </w:tcBorders>
            <w:shd w:val="clear" w:color="auto" w:fill="auto"/>
            <w:noWrap/>
            <w:vAlign w:val="center"/>
          </w:tcPr>
          <w:p w14:paraId="1991BA3B"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1,206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6A2181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803</w:t>
            </w:r>
          </w:p>
        </w:tc>
        <w:tc>
          <w:tcPr>
            <w:tcW w:w="808" w:type="dxa"/>
            <w:tcBorders>
              <w:top w:val="nil"/>
              <w:left w:val="nil"/>
              <w:bottom w:val="single" w:sz="4" w:space="0" w:color="BFBFBF"/>
              <w:right w:val="single" w:sz="4" w:space="0" w:color="auto"/>
            </w:tcBorders>
            <w:shd w:val="clear" w:color="auto" w:fill="auto"/>
            <w:noWrap/>
            <w:vAlign w:val="center"/>
          </w:tcPr>
          <w:p w14:paraId="1383F09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641</w:t>
            </w:r>
          </w:p>
        </w:tc>
        <w:tc>
          <w:tcPr>
            <w:tcW w:w="808" w:type="dxa"/>
            <w:tcBorders>
              <w:top w:val="nil"/>
              <w:left w:val="nil"/>
              <w:bottom w:val="single" w:sz="4" w:space="0" w:color="BFBFBF"/>
              <w:right w:val="double" w:sz="6" w:space="0" w:color="auto"/>
            </w:tcBorders>
            <w:shd w:val="clear" w:color="auto" w:fill="auto"/>
            <w:noWrap/>
            <w:vAlign w:val="center"/>
          </w:tcPr>
          <w:p w14:paraId="47B1CBD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401</w:t>
            </w:r>
          </w:p>
        </w:tc>
      </w:tr>
      <w:tr w:rsidR="00C73B77" w:rsidRPr="00125162" w14:paraId="2152940A"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05B9D04F"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Total Concession HHs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4791AB3"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7502211C"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DBD387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93%</w:t>
            </w:r>
          </w:p>
        </w:tc>
        <w:tc>
          <w:tcPr>
            <w:tcW w:w="808" w:type="dxa"/>
            <w:tcBorders>
              <w:top w:val="nil"/>
              <w:left w:val="nil"/>
              <w:bottom w:val="single" w:sz="4" w:space="0" w:color="BFBFBF"/>
              <w:right w:val="single" w:sz="4" w:space="0" w:color="auto"/>
            </w:tcBorders>
            <w:shd w:val="clear" w:color="auto" w:fill="auto"/>
            <w:noWrap/>
            <w:vAlign w:val="center"/>
          </w:tcPr>
          <w:p w14:paraId="0F2B17E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107</w:t>
            </w:r>
          </w:p>
        </w:tc>
        <w:tc>
          <w:tcPr>
            <w:tcW w:w="808" w:type="dxa"/>
            <w:tcBorders>
              <w:top w:val="nil"/>
              <w:left w:val="nil"/>
              <w:bottom w:val="single" w:sz="4" w:space="0" w:color="BFBFBF"/>
              <w:right w:val="single" w:sz="4" w:space="0" w:color="BFBFBF"/>
            </w:tcBorders>
            <w:shd w:val="clear" w:color="auto" w:fill="auto"/>
            <w:noWrap/>
            <w:vAlign w:val="center"/>
          </w:tcPr>
          <w:p w14:paraId="0340AC1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6316F0E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89</w:t>
            </w:r>
          </w:p>
        </w:tc>
        <w:tc>
          <w:tcPr>
            <w:tcW w:w="808" w:type="dxa"/>
            <w:tcBorders>
              <w:top w:val="nil"/>
              <w:left w:val="nil"/>
              <w:bottom w:val="single" w:sz="4" w:space="0" w:color="BFBFBF"/>
              <w:right w:val="nil"/>
            </w:tcBorders>
            <w:shd w:val="clear" w:color="auto" w:fill="auto"/>
            <w:noWrap/>
            <w:vAlign w:val="center"/>
          </w:tcPr>
          <w:p w14:paraId="0223D19E"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1,113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32D57C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747</w:t>
            </w:r>
          </w:p>
        </w:tc>
        <w:tc>
          <w:tcPr>
            <w:tcW w:w="808" w:type="dxa"/>
            <w:tcBorders>
              <w:top w:val="nil"/>
              <w:left w:val="nil"/>
              <w:bottom w:val="single" w:sz="4" w:space="0" w:color="BFBFBF"/>
              <w:right w:val="single" w:sz="4" w:space="0" w:color="auto"/>
            </w:tcBorders>
            <w:shd w:val="clear" w:color="auto" w:fill="auto"/>
            <w:noWrap/>
            <w:vAlign w:val="center"/>
          </w:tcPr>
          <w:p w14:paraId="6D8CCAF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607</w:t>
            </w:r>
          </w:p>
        </w:tc>
        <w:tc>
          <w:tcPr>
            <w:tcW w:w="808" w:type="dxa"/>
            <w:tcBorders>
              <w:top w:val="nil"/>
              <w:left w:val="nil"/>
              <w:bottom w:val="single" w:sz="4" w:space="0" w:color="BFBFBF"/>
              <w:right w:val="double" w:sz="6" w:space="0" w:color="auto"/>
            </w:tcBorders>
            <w:shd w:val="clear" w:color="auto" w:fill="auto"/>
            <w:noWrap/>
            <w:vAlign w:val="center"/>
          </w:tcPr>
          <w:p w14:paraId="4D53C25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378</w:t>
            </w:r>
          </w:p>
        </w:tc>
      </w:tr>
      <w:tr w:rsidR="00C73B77" w:rsidRPr="00125162" w14:paraId="37DA2F03" w14:textId="77777777" w:rsidTr="006C3C5E">
        <w:trPr>
          <w:trHeight w:val="225"/>
          <w:jc w:val="center"/>
        </w:trPr>
        <w:tc>
          <w:tcPr>
            <w:tcW w:w="2717" w:type="dxa"/>
            <w:tcBorders>
              <w:top w:val="single" w:sz="4" w:space="0" w:color="BFBFBF"/>
              <w:left w:val="double" w:sz="6" w:space="0" w:color="auto"/>
              <w:bottom w:val="double" w:sz="4" w:space="0" w:color="auto"/>
              <w:right w:val="nil"/>
            </w:tcBorders>
            <w:shd w:val="clear" w:color="auto" w:fill="auto"/>
            <w:noWrap/>
            <w:vAlign w:val="center"/>
          </w:tcPr>
          <w:p w14:paraId="78060BB6"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Non-Concession HHs</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bottom"/>
          </w:tcPr>
          <w:p w14:paraId="1AFC3B48"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single" w:sz="4" w:space="0" w:color="BFBFBF"/>
              <w:left w:val="nil"/>
              <w:bottom w:val="double" w:sz="4" w:space="0" w:color="auto"/>
              <w:right w:val="nil"/>
            </w:tcBorders>
            <w:shd w:val="clear" w:color="auto" w:fill="auto"/>
            <w:noWrap/>
            <w:vAlign w:val="center"/>
          </w:tcPr>
          <w:p w14:paraId="597AFDDD"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287</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5E69F6C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70%</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222D14EC"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67</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3688796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2CA62BD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66</w:t>
            </w:r>
          </w:p>
        </w:tc>
        <w:tc>
          <w:tcPr>
            <w:tcW w:w="808" w:type="dxa"/>
            <w:tcBorders>
              <w:top w:val="single" w:sz="4" w:space="0" w:color="BFBFBF"/>
              <w:left w:val="nil"/>
              <w:bottom w:val="double" w:sz="4" w:space="0" w:color="auto"/>
              <w:right w:val="nil"/>
            </w:tcBorders>
            <w:shd w:val="clear" w:color="auto" w:fill="auto"/>
            <w:noWrap/>
            <w:vAlign w:val="center"/>
          </w:tcPr>
          <w:p w14:paraId="7DEC1B76"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1,358</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65E6679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1,128</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5320F11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765</w:t>
            </w:r>
          </w:p>
        </w:tc>
        <w:tc>
          <w:tcPr>
            <w:tcW w:w="808" w:type="dxa"/>
            <w:tcBorders>
              <w:top w:val="single" w:sz="4" w:space="0" w:color="BFBFBF"/>
              <w:left w:val="nil"/>
              <w:bottom w:val="double" w:sz="4" w:space="0" w:color="auto"/>
              <w:right w:val="double" w:sz="6" w:space="0" w:color="auto"/>
            </w:tcBorders>
            <w:shd w:val="clear" w:color="auto" w:fill="auto"/>
            <w:noWrap/>
            <w:vAlign w:val="center"/>
          </w:tcPr>
          <w:p w14:paraId="31CD9BA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500</w:t>
            </w:r>
          </w:p>
        </w:tc>
      </w:tr>
      <w:tr w:rsidR="00C73B77" w:rsidRPr="00125162" w14:paraId="15544542" w14:textId="77777777" w:rsidTr="006C3C5E">
        <w:trPr>
          <w:trHeight w:val="225"/>
          <w:jc w:val="center"/>
        </w:trPr>
        <w:tc>
          <w:tcPr>
            <w:tcW w:w="2717" w:type="dxa"/>
            <w:tcBorders>
              <w:top w:val="double" w:sz="4" w:space="0" w:color="auto"/>
            </w:tcBorders>
            <w:shd w:val="clear" w:color="auto" w:fill="auto"/>
            <w:noWrap/>
            <w:vAlign w:val="center"/>
          </w:tcPr>
          <w:p w14:paraId="484A66E6" w14:textId="77777777" w:rsidR="00C73B77" w:rsidRPr="00125162" w:rsidRDefault="00C73B77" w:rsidP="00086B9C">
            <w:pPr>
              <w:spacing w:before="0" w:after="0"/>
              <w:rPr>
                <w:rFonts w:ascii="Arial" w:hAnsi="Arial" w:cs="Arial"/>
                <w:bCs/>
                <w:color w:val="000000"/>
                <w:sz w:val="16"/>
                <w:szCs w:val="16"/>
                <w:lang w:val="en-AU" w:eastAsia="en-AU"/>
              </w:rPr>
            </w:pPr>
            <w:r w:rsidRPr="00125162">
              <w:rPr>
                <w:rFonts w:ascii="Arial" w:hAnsi="Arial" w:cs="Arial"/>
                <w:bCs/>
                <w:color w:val="000000"/>
                <w:sz w:val="16"/>
                <w:szCs w:val="16"/>
                <w:lang w:val="en-AU" w:eastAsia="en-AU"/>
              </w:rPr>
              <w:t>Continued on next page</w:t>
            </w:r>
          </w:p>
        </w:tc>
        <w:tc>
          <w:tcPr>
            <w:tcW w:w="808" w:type="dxa"/>
            <w:tcBorders>
              <w:top w:val="double" w:sz="4" w:space="0" w:color="auto"/>
            </w:tcBorders>
            <w:shd w:val="clear" w:color="auto" w:fill="auto"/>
            <w:noWrap/>
            <w:vAlign w:val="bottom"/>
          </w:tcPr>
          <w:p w14:paraId="695A531A" w14:textId="77777777" w:rsidR="00C73B77" w:rsidRPr="00125162" w:rsidRDefault="00C73B77" w:rsidP="00086B9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9330C93" w14:textId="77777777" w:rsidR="00C73B77" w:rsidRPr="00125162" w:rsidRDefault="00C73B77" w:rsidP="00086B9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6762E1B" w14:textId="77777777" w:rsidR="00C73B77" w:rsidRPr="00125162" w:rsidRDefault="00C73B77" w:rsidP="00086B9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3ED39F52" w14:textId="77777777" w:rsidR="00C73B77" w:rsidRPr="00125162" w:rsidRDefault="00C73B77" w:rsidP="00086B9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5793DAA3" w14:textId="77777777" w:rsidR="00C73B77" w:rsidRPr="00125162" w:rsidRDefault="00C73B77" w:rsidP="00086B9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5E3794DA" w14:textId="77777777" w:rsidR="00C73B77" w:rsidRPr="00125162" w:rsidRDefault="00C73B77" w:rsidP="00086B9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5564FC8" w14:textId="77777777" w:rsidR="00C73B77" w:rsidRPr="00125162" w:rsidRDefault="00C73B77" w:rsidP="00086B9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2B3F644E" w14:textId="77777777" w:rsidR="00C73B77" w:rsidRPr="00125162" w:rsidRDefault="00C73B77" w:rsidP="00086B9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39F7C41A" w14:textId="77777777" w:rsidR="00C73B77" w:rsidRPr="00125162" w:rsidRDefault="00C73B77" w:rsidP="00086B9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712AE306" w14:textId="77777777" w:rsidR="00C73B77" w:rsidRPr="00125162" w:rsidRDefault="00C73B77" w:rsidP="00086B9C">
            <w:pPr>
              <w:spacing w:before="0" w:after="0"/>
              <w:jc w:val="center"/>
              <w:rPr>
                <w:rFonts w:ascii="Arial" w:hAnsi="Arial" w:cs="Arial"/>
                <w:color w:val="000000"/>
                <w:sz w:val="16"/>
                <w:szCs w:val="16"/>
                <w:lang w:val="en-AU" w:eastAsia="en-AU"/>
              </w:rPr>
            </w:pPr>
          </w:p>
        </w:tc>
      </w:tr>
      <w:tr w:rsidR="00C73B77" w:rsidRPr="00125162" w14:paraId="13356DF0" w14:textId="77777777" w:rsidTr="006C3C5E">
        <w:trPr>
          <w:trHeight w:val="225"/>
          <w:jc w:val="center"/>
        </w:trPr>
        <w:tc>
          <w:tcPr>
            <w:tcW w:w="2717" w:type="dxa"/>
            <w:tcBorders>
              <w:left w:val="double" w:sz="6" w:space="0" w:color="auto"/>
              <w:bottom w:val="single" w:sz="4" w:space="0" w:color="BFBFBF"/>
              <w:right w:val="nil"/>
            </w:tcBorders>
            <w:shd w:val="clear" w:color="auto" w:fill="auto"/>
            <w:noWrap/>
            <w:vAlign w:val="center"/>
          </w:tcPr>
          <w:p w14:paraId="5CF1B3FD" w14:textId="77777777" w:rsidR="00C73B77" w:rsidRPr="00125162" w:rsidRDefault="00C73B77" w:rsidP="00086B9C">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lastRenderedPageBreak/>
              <w:t>By Household Size -</w:t>
            </w:r>
          </w:p>
        </w:tc>
        <w:tc>
          <w:tcPr>
            <w:tcW w:w="808" w:type="dxa"/>
            <w:tcBorders>
              <w:left w:val="single" w:sz="4" w:space="0" w:color="auto"/>
              <w:bottom w:val="single" w:sz="4" w:space="0" w:color="BFBFBF"/>
              <w:right w:val="single" w:sz="4" w:space="0" w:color="BFBFBF"/>
            </w:tcBorders>
            <w:shd w:val="clear" w:color="auto" w:fill="auto"/>
            <w:noWrap/>
            <w:vAlign w:val="bottom"/>
          </w:tcPr>
          <w:p w14:paraId="3F92E7E6"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nil"/>
            </w:tcBorders>
            <w:shd w:val="clear" w:color="auto" w:fill="auto"/>
            <w:noWrap/>
            <w:vAlign w:val="center"/>
          </w:tcPr>
          <w:p w14:paraId="01D7271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single" w:sz="4" w:space="0" w:color="auto"/>
              <w:bottom w:val="single" w:sz="4" w:space="0" w:color="BFBFBF"/>
              <w:right w:val="single" w:sz="4" w:space="0" w:color="BFBFBF"/>
            </w:tcBorders>
            <w:shd w:val="clear" w:color="auto" w:fill="auto"/>
            <w:noWrap/>
            <w:vAlign w:val="center"/>
          </w:tcPr>
          <w:p w14:paraId="3604651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61A7103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61266EF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1A7CCBA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nil"/>
            </w:tcBorders>
            <w:shd w:val="clear" w:color="auto" w:fill="auto"/>
            <w:noWrap/>
            <w:vAlign w:val="center"/>
          </w:tcPr>
          <w:p w14:paraId="409DCD8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single" w:sz="4" w:space="0" w:color="auto"/>
              <w:bottom w:val="single" w:sz="4" w:space="0" w:color="BFBFBF"/>
              <w:right w:val="single" w:sz="4" w:space="0" w:color="BFBFBF"/>
            </w:tcBorders>
            <w:shd w:val="clear" w:color="auto" w:fill="auto"/>
            <w:noWrap/>
            <w:vAlign w:val="center"/>
          </w:tcPr>
          <w:p w14:paraId="00E2007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7939BCC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left w:val="nil"/>
              <w:bottom w:val="single" w:sz="4" w:space="0" w:color="BFBFBF"/>
              <w:right w:val="double" w:sz="6" w:space="0" w:color="auto"/>
            </w:tcBorders>
            <w:shd w:val="clear" w:color="auto" w:fill="auto"/>
            <w:noWrap/>
            <w:vAlign w:val="center"/>
          </w:tcPr>
          <w:p w14:paraId="370D45A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C73B77" w:rsidRPr="00125162" w14:paraId="603F13AF"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03C73D00"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1 person</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D7BCDF1"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61985F14"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D847BE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w:t>
            </w:r>
          </w:p>
        </w:tc>
        <w:tc>
          <w:tcPr>
            <w:tcW w:w="808" w:type="dxa"/>
            <w:tcBorders>
              <w:top w:val="nil"/>
              <w:left w:val="nil"/>
              <w:bottom w:val="single" w:sz="4" w:space="0" w:color="BFBFBF"/>
              <w:right w:val="single" w:sz="4" w:space="0" w:color="auto"/>
            </w:tcBorders>
            <w:shd w:val="clear" w:color="auto" w:fill="auto"/>
            <w:noWrap/>
            <w:vAlign w:val="center"/>
          </w:tcPr>
          <w:p w14:paraId="4E9112A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73</w:t>
            </w:r>
          </w:p>
        </w:tc>
        <w:tc>
          <w:tcPr>
            <w:tcW w:w="808" w:type="dxa"/>
            <w:tcBorders>
              <w:top w:val="nil"/>
              <w:left w:val="nil"/>
              <w:bottom w:val="single" w:sz="4" w:space="0" w:color="BFBFBF"/>
              <w:right w:val="single" w:sz="4" w:space="0" w:color="BFBFBF"/>
            </w:tcBorders>
            <w:shd w:val="clear" w:color="auto" w:fill="auto"/>
            <w:noWrap/>
            <w:vAlign w:val="center"/>
          </w:tcPr>
          <w:p w14:paraId="2E852EB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465DF61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77</w:t>
            </w:r>
          </w:p>
        </w:tc>
        <w:tc>
          <w:tcPr>
            <w:tcW w:w="808" w:type="dxa"/>
            <w:tcBorders>
              <w:top w:val="nil"/>
              <w:left w:val="nil"/>
              <w:bottom w:val="single" w:sz="4" w:space="0" w:color="BFBFBF"/>
              <w:right w:val="nil"/>
            </w:tcBorders>
            <w:shd w:val="clear" w:color="auto" w:fill="auto"/>
            <w:noWrap/>
            <w:vAlign w:val="center"/>
          </w:tcPr>
          <w:p w14:paraId="1DB71233"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930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341DE56"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574</w:t>
            </w:r>
          </w:p>
        </w:tc>
        <w:tc>
          <w:tcPr>
            <w:tcW w:w="808" w:type="dxa"/>
            <w:tcBorders>
              <w:top w:val="nil"/>
              <w:left w:val="nil"/>
              <w:bottom w:val="single" w:sz="4" w:space="0" w:color="BFBFBF"/>
              <w:right w:val="single" w:sz="4" w:space="0" w:color="auto"/>
            </w:tcBorders>
            <w:shd w:val="clear" w:color="auto" w:fill="auto"/>
            <w:noWrap/>
            <w:vAlign w:val="center"/>
          </w:tcPr>
          <w:p w14:paraId="60FB385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478</w:t>
            </w:r>
          </w:p>
        </w:tc>
        <w:tc>
          <w:tcPr>
            <w:tcW w:w="808" w:type="dxa"/>
            <w:tcBorders>
              <w:top w:val="nil"/>
              <w:left w:val="nil"/>
              <w:bottom w:val="single" w:sz="4" w:space="0" w:color="BFBFBF"/>
              <w:right w:val="double" w:sz="6" w:space="0" w:color="auto"/>
            </w:tcBorders>
            <w:shd w:val="clear" w:color="auto" w:fill="auto"/>
            <w:noWrap/>
            <w:vAlign w:val="center"/>
          </w:tcPr>
          <w:p w14:paraId="20AE780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314</w:t>
            </w:r>
          </w:p>
        </w:tc>
      </w:tr>
      <w:tr w:rsidR="00C73B77" w:rsidRPr="00125162" w14:paraId="7ACAD737"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6EE2FF6E"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2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56E1D85"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3C6F22DA"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365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E98CD2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81%</w:t>
            </w:r>
          </w:p>
        </w:tc>
        <w:tc>
          <w:tcPr>
            <w:tcW w:w="808" w:type="dxa"/>
            <w:tcBorders>
              <w:top w:val="nil"/>
              <w:left w:val="nil"/>
              <w:bottom w:val="single" w:sz="4" w:space="0" w:color="BFBFBF"/>
              <w:right w:val="single" w:sz="4" w:space="0" w:color="auto"/>
            </w:tcBorders>
            <w:shd w:val="clear" w:color="auto" w:fill="auto"/>
            <w:noWrap/>
            <w:vAlign w:val="center"/>
          </w:tcPr>
          <w:p w14:paraId="17022CD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83</w:t>
            </w:r>
          </w:p>
        </w:tc>
        <w:tc>
          <w:tcPr>
            <w:tcW w:w="808" w:type="dxa"/>
            <w:tcBorders>
              <w:top w:val="nil"/>
              <w:left w:val="nil"/>
              <w:bottom w:val="single" w:sz="4" w:space="0" w:color="BFBFBF"/>
              <w:right w:val="single" w:sz="4" w:space="0" w:color="BFBFBF"/>
            </w:tcBorders>
            <w:shd w:val="clear" w:color="auto" w:fill="auto"/>
            <w:noWrap/>
            <w:vAlign w:val="center"/>
          </w:tcPr>
          <w:p w14:paraId="497F741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3994BE5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78</w:t>
            </w:r>
          </w:p>
        </w:tc>
        <w:tc>
          <w:tcPr>
            <w:tcW w:w="808" w:type="dxa"/>
            <w:tcBorders>
              <w:top w:val="nil"/>
              <w:left w:val="nil"/>
              <w:bottom w:val="single" w:sz="4" w:space="0" w:color="BFBFBF"/>
              <w:right w:val="nil"/>
            </w:tcBorders>
            <w:shd w:val="clear" w:color="auto" w:fill="auto"/>
            <w:noWrap/>
            <w:vAlign w:val="center"/>
          </w:tcPr>
          <w:p w14:paraId="1A55F2DC"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1,206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E5295B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823</w:t>
            </w:r>
          </w:p>
        </w:tc>
        <w:tc>
          <w:tcPr>
            <w:tcW w:w="808" w:type="dxa"/>
            <w:tcBorders>
              <w:top w:val="nil"/>
              <w:left w:val="nil"/>
              <w:bottom w:val="single" w:sz="4" w:space="0" w:color="BFBFBF"/>
              <w:right w:val="single" w:sz="4" w:space="0" w:color="auto"/>
            </w:tcBorders>
            <w:shd w:val="clear" w:color="auto" w:fill="auto"/>
            <w:noWrap/>
            <w:vAlign w:val="center"/>
          </w:tcPr>
          <w:p w14:paraId="7145BB3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661</w:t>
            </w:r>
          </w:p>
        </w:tc>
        <w:tc>
          <w:tcPr>
            <w:tcW w:w="808" w:type="dxa"/>
            <w:tcBorders>
              <w:top w:val="nil"/>
              <w:left w:val="nil"/>
              <w:bottom w:val="single" w:sz="4" w:space="0" w:color="BFBFBF"/>
              <w:right w:val="double" w:sz="6" w:space="0" w:color="auto"/>
            </w:tcBorders>
            <w:shd w:val="clear" w:color="auto" w:fill="auto"/>
            <w:noWrap/>
            <w:vAlign w:val="center"/>
          </w:tcPr>
          <w:p w14:paraId="1B2BCFA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404</w:t>
            </w:r>
          </w:p>
        </w:tc>
      </w:tr>
      <w:tr w:rsidR="00C73B77" w:rsidRPr="00125162" w14:paraId="08A20735"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52AF6219"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3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D534282"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98%</w:t>
            </w:r>
          </w:p>
        </w:tc>
        <w:tc>
          <w:tcPr>
            <w:tcW w:w="808" w:type="dxa"/>
            <w:tcBorders>
              <w:top w:val="nil"/>
              <w:left w:val="nil"/>
              <w:bottom w:val="single" w:sz="4" w:space="0" w:color="BFBFBF"/>
              <w:right w:val="nil"/>
            </w:tcBorders>
            <w:shd w:val="clear" w:color="auto" w:fill="auto"/>
            <w:noWrap/>
            <w:vAlign w:val="center"/>
          </w:tcPr>
          <w:p w14:paraId="6E2B3E81"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C09CD6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72%</w:t>
            </w:r>
          </w:p>
        </w:tc>
        <w:tc>
          <w:tcPr>
            <w:tcW w:w="808" w:type="dxa"/>
            <w:tcBorders>
              <w:top w:val="nil"/>
              <w:left w:val="nil"/>
              <w:bottom w:val="single" w:sz="4" w:space="0" w:color="BFBFBF"/>
              <w:right w:val="single" w:sz="4" w:space="0" w:color="auto"/>
            </w:tcBorders>
            <w:shd w:val="clear" w:color="auto" w:fill="auto"/>
            <w:noWrap/>
            <w:vAlign w:val="center"/>
          </w:tcPr>
          <w:p w14:paraId="6F1AC475"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86</w:t>
            </w:r>
          </w:p>
        </w:tc>
        <w:tc>
          <w:tcPr>
            <w:tcW w:w="808" w:type="dxa"/>
            <w:tcBorders>
              <w:top w:val="nil"/>
              <w:left w:val="nil"/>
              <w:bottom w:val="single" w:sz="4" w:space="0" w:color="BFBFBF"/>
              <w:right w:val="single" w:sz="4" w:space="0" w:color="BFBFBF"/>
            </w:tcBorders>
            <w:shd w:val="clear" w:color="auto" w:fill="auto"/>
            <w:noWrap/>
            <w:vAlign w:val="center"/>
          </w:tcPr>
          <w:p w14:paraId="70EFB1F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368C2FEC"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71</w:t>
            </w:r>
          </w:p>
        </w:tc>
        <w:tc>
          <w:tcPr>
            <w:tcW w:w="808" w:type="dxa"/>
            <w:tcBorders>
              <w:top w:val="nil"/>
              <w:left w:val="nil"/>
              <w:bottom w:val="single" w:sz="4" w:space="0" w:color="BFBFBF"/>
              <w:right w:val="nil"/>
            </w:tcBorders>
            <w:shd w:val="clear" w:color="auto" w:fill="auto"/>
            <w:noWrap/>
            <w:vAlign w:val="center"/>
          </w:tcPr>
          <w:p w14:paraId="3B1731B3"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1,325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3DA660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926</w:t>
            </w:r>
          </w:p>
        </w:tc>
        <w:tc>
          <w:tcPr>
            <w:tcW w:w="808" w:type="dxa"/>
            <w:tcBorders>
              <w:top w:val="nil"/>
              <w:left w:val="nil"/>
              <w:bottom w:val="single" w:sz="4" w:space="0" w:color="BFBFBF"/>
              <w:right w:val="single" w:sz="4" w:space="0" w:color="auto"/>
            </w:tcBorders>
            <w:shd w:val="clear" w:color="auto" w:fill="auto"/>
            <w:noWrap/>
            <w:vAlign w:val="center"/>
          </w:tcPr>
          <w:p w14:paraId="6C884D9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792</w:t>
            </w:r>
          </w:p>
        </w:tc>
        <w:tc>
          <w:tcPr>
            <w:tcW w:w="808" w:type="dxa"/>
            <w:tcBorders>
              <w:top w:val="nil"/>
              <w:left w:val="nil"/>
              <w:bottom w:val="single" w:sz="4" w:space="0" w:color="BFBFBF"/>
              <w:right w:val="double" w:sz="6" w:space="0" w:color="auto"/>
            </w:tcBorders>
            <w:shd w:val="clear" w:color="auto" w:fill="auto"/>
            <w:noWrap/>
            <w:vAlign w:val="center"/>
          </w:tcPr>
          <w:p w14:paraId="4415852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501</w:t>
            </w:r>
          </w:p>
        </w:tc>
      </w:tr>
      <w:tr w:rsidR="00C73B77" w:rsidRPr="00125162" w14:paraId="5B30FEB7"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4AFB2E28"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4 or more persons</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1268D53"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5F0865FE"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359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03DADF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79%</w:t>
            </w:r>
          </w:p>
        </w:tc>
        <w:tc>
          <w:tcPr>
            <w:tcW w:w="808" w:type="dxa"/>
            <w:tcBorders>
              <w:top w:val="nil"/>
              <w:left w:val="nil"/>
              <w:bottom w:val="single" w:sz="4" w:space="0" w:color="BFBFBF"/>
              <w:right w:val="single" w:sz="4" w:space="0" w:color="auto"/>
            </w:tcBorders>
            <w:shd w:val="clear" w:color="auto" w:fill="auto"/>
            <w:noWrap/>
            <w:vAlign w:val="center"/>
          </w:tcPr>
          <w:p w14:paraId="3948D89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single" w:sz="4" w:space="0" w:color="BFBFBF"/>
            </w:tcBorders>
            <w:shd w:val="clear" w:color="auto" w:fill="auto"/>
            <w:noWrap/>
            <w:vAlign w:val="center"/>
          </w:tcPr>
          <w:p w14:paraId="3AAAFC1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4C95DE4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72</w:t>
            </w:r>
          </w:p>
        </w:tc>
        <w:tc>
          <w:tcPr>
            <w:tcW w:w="808" w:type="dxa"/>
            <w:tcBorders>
              <w:top w:val="nil"/>
              <w:left w:val="nil"/>
              <w:bottom w:val="single" w:sz="4" w:space="0" w:color="BFBFBF"/>
              <w:right w:val="nil"/>
            </w:tcBorders>
            <w:shd w:val="clear" w:color="auto" w:fill="auto"/>
            <w:noWrap/>
            <w:vAlign w:val="center"/>
          </w:tcPr>
          <w:p w14:paraId="2C7C9D5D"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1,547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3ADB74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1,490</w:t>
            </w:r>
          </w:p>
        </w:tc>
        <w:tc>
          <w:tcPr>
            <w:tcW w:w="808" w:type="dxa"/>
            <w:tcBorders>
              <w:top w:val="nil"/>
              <w:left w:val="nil"/>
              <w:bottom w:val="single" w:sz="4" w:space="0" w:color="BFBFBF"/>
              <w:right w:val="single" w:sz="4" w:space="0" w:color="auto"/>
            </w:tcBorders>
            <w:shd w:val="clear" w:color="auto" w:fill="auto"/>
            <w:noWrap/>
            <w:vAlign w:val="center"/>
          </w:tcPr>
          <w:p w14:paraId="7A5CE4F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857</w:t>
            </w:r>
          </w:p>
        </w:tc>
        <w:tc>
          <w:tcPr>
            <w:tcW w:w="808" w:type="dxa"/>
            <w:tcBorders>
              <w:top w:val="nil"/>
              <w:left w:val="nil"/>
              <w:bottom w:val="single" w:sz="4" w:space="0" w:color="BFBFBF"/>
              <w:right w:val="double" w:sz="6" w:space="0" w:color="auto"/>
            </w:tcBorders>
            <w:shd w:val="clear" w:color="auto" w:fill="auto"/>
            <w:noWrap/>
            <w:vAlign w:val="center"/>
          </w:tcPr>
          <w:p w14:paraId="58CA126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551</w:t>
            </w:r>
          </w:p>
        </w:tc>
      </w:tr>
      <w:tr w:rsidR="00C73B77" w:rsidRPr="00125162" w14:paraId="414B01E8"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01A891A5" w14:textId="77777777" w:rsidR="00C73B77" w:rsidRPr="00125162" w:rsidRDefault="00C73B77" w:rsidP="00086B9C">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By Housing Status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AE80E48"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7378A17E"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5D8530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06F7630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B9FEC9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2145761E"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00D11506"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0203C8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1FBEED7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7AA905A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 </w:t>
            </w:r>
          </w:p>
        </w:tc>
      </w:tr>
      <w:tr w:rsidR="00C73B77" w:rsidRPr="00125162" w14:paraId="468D2440"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7594EF21"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Owned/paid off</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DA6BAA0"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30526CDC"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378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526FA9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81%</w:t>
            </w:r>
          </w:p>
        </w:tc>
        <w:tc>
          <w:tcPr>
            <w:tcW w:w="808" w:type="dxa"/>
            <w:tcBorders>
              <w:top w:val="nil"/>
              <w:left w:val="nil"/>
              <w:bottom w:val="single" w:sz="4" w:space="0" w:color="BFBFBF"/>
              <w:right w:val="single" w:sz="4" w:space="0" w:color="auto"/>
            </w:tcBorders>
            <w:shd w:val="clear" w:color="auto" w:fill="auto"/>
            <w:noWrap/>
            <w:vAlign w:val="center"/>
          </w:tcPr>
          <w:p w14:paraId="2367E49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85</w:t>
            </w:r>
          </w:p>
        </w:tc>
        <w:tc>
          <w:tcPr>
            <w:tcW w:w="808" w:type="dxa"/>
            <w:tcBorders>
              <w:top w:val="nil"/>
              <w:left w:val="nil"/>
              <w:bottom w:val="single" w:sz="4" w:space="0" w:color="BFBFBF"/>
              <w:right w:val="single" w:sz="4" w:space="0" w:color="BFBFBF"/>
            </w:tcBorders>
            <w:shd w:val="clear" w:color="auto" w:fill="auto"/>
            <w:noWrap/>
            <w:vAlign w:val="center"/>
          </w:tcPr>
          <w:p w14:paraId="63BA6DF8"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0219A48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79</w:t>
            </w:r>
          </w:p>
        </w:tc>
        <w:tc>
          <w:tcPr>
            <w:tcW w:w="808" w:type="dxa"/>
            <w:tcBorders>
              <w:top w:val="nil"/>
              <w:left w:val="nil"/>
              <w:bottom w:val="single" w:sz="4" w:space="0" w:color="BFBFBF"/>
              <w:right w:val="nil"/>
            </w:tcBorders>
            <w:shd w:val="clear" w:color="auto" w:fill="auto"/>
            <w:noWrap/>
            <w:vAlign w:val="center"/>
          </w:tcPr>
          <w:p w14:paraId="2CC8A170"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1,164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7E5FE7D"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860</w:t>
            </w:r>
          </w:p>
        </w:tc>
        <w:tc>
          <w:tcPr>
            <w:tcW w:w="808" w:type="dxa"/>
            <w:tcBorders>
              <w:top w:val="nil"/>
              <w:left w:val="nil"/>
              <w:bottom w:val="single" w:sz="4" w:space="0" w:color="BFBFBF"/>
              <w:right w:val="single" w:sz="4" w:space="0" w:color="auto"/>
            </w:tcBorders>
            <w:shd w:val="clear" w:color="auto" w:fill="auto"/>
            <w:noWrap/>
            <w:vAlign w:val="center"/>
          </w:tcPr>
          <w:p w14:paraId="3D60BFC0"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702</w:t>
            </w:r>
          </w:p>
        </w:tc>
        <w:tc>
          <w:tcPr>
            <w:tcW w:w="808" w:type="dxa"/>
            <w:tcBorders>
              <w:top w:val="nil"/>
              <w:left w:val="nil"/>
              <w:bottom w:val="single" w:sz="4" w:space="0" w:color="BFBFBF"/>
              <w:right w:val="double" w:sz="6" w:space="0" w:color="auto"/>
            </w:tcBorders>
            <w:shd w:val="clear" w:color="auto" w:fill="auto"/>
            <w:noWrap/>
            <w:vAlign w:val="center"/>
          </w:tcPr>
          <w:p w14:paraId="43A9076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454</w:t>
            </w:r>
          </w:p>
        </w:tc>
      </w:tr>
      <w:tr w:rsidR="00C73B77" w:rsidRPr="00125162" w14:paraId="40524127"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2FB48970"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Buying/paying off</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C094D87"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4BF00497"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305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1ECF8C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74%</w:t>
            </w:r>
          </w:p>
        </w:tc>
        <w:tc>
          <w:tcPr>
            <w:tcW w:w="808" w:type="dxa"/>
            <w:tcBorders>
              <w:top w:val="nil"/>
              <w:left w:val="nil"/>
              <w:bottom w:val="single" w:sz="4" w:space="0" w:color="BFBFBF"/>
              <w:right w:val="single" w:sz="4" w:space="0" w:color="auto"/>
            </w:tcBorders>
            <w:shd w:val="clear" w:color="auto" w:fill="auto"/>
            <w:noWrap/>
            <w:vAlign w:val="center"/>
          </w:tcPr>
          <w:p w14:paraId="0B1202E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87</w:t>
            </w:r>
          </w:p>
        </w:tc>
        <w:tc>
          <w:tcPr>
            <w:tcW w:w="808" w:type="dxa"/>
            <w:tcBorders>
              <w:top w:val="nil"/>
              <w:left w:val="nil"/>
              <w:bottom w:val="single" w:sz="4" w:space="0" w:color="BFBFBF"/>
              <w:right w:val="single" w:sz="4" w:space="0" w:color="BFBFBF"/>
            </w:tcBorders>
            <w:shd w:val="clear" w:color="auto" w:fill="auto"/>
            <w:noWrap/>
            <w:vAlign w:val="center"/>
          </w:tcPr>
          <w:p w14:paraId="4D0537D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5C3D407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69</w:t>
            </w:r>
          </w:p>
        </w:tc>
        <w:tc>
          <w:tcPr>
            <w:tcW w:w="808" w:type="dxa"/>
            <w:tcBorders>
              <w:top w:val="nil"/>
              <w:left w:val="nil"/>
              <w:bottom w:val="single" w:sz="4" w:space="0" w:color="BFBFBF"/>
              <w:right w:val="nil"/>
            </w:tcBorders>
            <w:shd w:val="clear" w:color="auto" w:fill="auto"/>
            <w:noWrap/>
            <w:vAlign w:val="center"/>
          </w:tcPr>
          <w:p w14:paraId="34DE5ED5"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1,404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1E8F02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1,328</w:t>
            </w:r>
          </w:p>
        </w:tc>
        <w:tc>
          <w:tcPr>
            <w:tcW w:w="808" w:type="dxa"/>
            <w:tcBorders>
              <w:top w:val="nil"/>
              <w:left w:val="nil"/>
              <w:bottom w:val="single" w:sz="4" w:space="0" w:color="BFBFBF"/>
              <w:right w:val="single" w:sz="4" w:space="0" w:color="auto"/>
            </w:tcBorders>
            <w:shd w:val="clear" w:color="auto" w:fill="auto"/>
            <w:noWrap/>
            <w:vAlign w:val="center"/>
          </w:tcPr>
          <w:p w14:paraId="70524C7A"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783</w:t>
            </w:r>
          </w:p>
        </w:tc>
        <w:tc>
          <w:tcPr>
            <w:tcW w:w="808" w:type="dxa"/>
            <w:tcBorders>
              <w:top w:val="nil"/>
              <w:left w:val="nil"/>
              <w:bottom w:val="single" w:sz="4" w:space="0" w:color="BFBFBF"/>
              <w:right w:val="double" w:sz="6" w:space="0" w:color="auto"/>
            </w:tcBorders>
            <w:shd w:val="clear" w:color="auto" w:fill="auto"/>
            <w:noWrap/>
            <w:vAlign w:val="center"/>
          </w:tcPr>
          <w:p w14:paraId="204CE0A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510</w:t>
            </w:r>
          </w:p>
        </w:tc>
      </w:tr>
      <w:tr w:rsidR="00C73B77" w:rsidRPr="00125162" w14:paraId="273F66F2"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2E9A45A4"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Private</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F6E8190"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7D6D5B1C"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214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74D2D4B"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76%</w:t>
            </w:r>
          </w:p>
        </w:tc>
        <w:tc>
          <w:tcPr>
            <w:tcW w:w="808" w:type="dxa"/>
            <w:tcBorders>
              <w:top w:val="nil"/>
              <w:left w:val="nil"/>
              <w:bottom w:val="single" w:sz="4" w:space="0" w:color="BFBFBF"/>
              <w:right w:val="single" w:sz="4" w:space="0" w:color="auto"/>
            </w:tcBorders>
            <w:shd w:val="clear" w:color="auto" w:fill="auto"/>
            <w:noWrap/>
            <w:vAlign w:val="center"/>
          </w:tcPr>
          <w:p w14:paraId="16CF744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84</w:t>
            </w:r>
          </w:p>
        </w:tc>
        <w:tc>
          <w:tcPr>
            <w:tcW w:w="808" w:type="dxa"/>
            <w:tcBorders>
              <w:top w:val="nil"/>
              <w:left w:val="nil"/>
              <w:bottom w:val="single" w:sz="4" w:space="0" w:color="BFBFBF"/>
              <w:right w:val="single" w:sz="4" w:space="0" w:color="BFBFBF"/>
            </w:tcBorders>
            <w:shd w:val="clear" w:color="auto" w:fill="auto"/>
            <w:noWrap/>
            <w:vAlign w:val="center"/>
          </w:tcPr>
          <w:p w14:paraId="2FACC66C"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1244F60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72</w:t>
            </w:r>
          </w:p>
        </w:tc>
        <w:tc>
          <w:tcPr>
            <w:tcW w:w="808" w:type="dxa"/>
            <w:tcBorders>
              <w:top w:val="nil"/>
              <w:left w:val="nil"/>
              <w:bottom w:val="single" w:sz="4" w:space="0" w:color="BFBFBF"/>
              <w:right w:val="nil"/>
            </w:tcBorders>
            <w:shd w:val="clear" w:color="auto" w:fill="auto"/>
            <w:noWrap/>
            <w:vAlign w:val="center"/>
          </w:tcPr>
          <w:p w14:paraId="7A9F2762"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1,276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6B6C75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808</w:t>
            </w:r>
          </w:p>
        </w:tc>
        <w:tc>
          <w:tcPr>
            <w:tcW w:w="808" w:type="dxa"/>
            <w:tcBorders>
              <w:top w:val="nil"/>
              <w:left w:val="nil"/>
              <w:bottom w:val="single" w:sz="4" w:space="0" w:color="BFBFBF"/>
              <w:right w:val="single" w:sz="4" w:space="0" w:color="auto"/>
            </w:tcBorders>
            <w:shd w:val="clear" w:color="auto" w:fill="auto"/>
            <w:noWrap/>
            <w:vAlign w:val="center"/>
          </w:tcPr>
          <w:p w14:paraId="6D098434"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619</w:t>
            </w:r>
          </w:p>
        </w:tc>
        <w:tc>
          <w:tcPr>
            <w:tcW w:w="808" w:type="dxa"/>
            <w:tcBorders>
              <w:top w:val="nil"/>
              <w:left w:val="nil"/>
              <w:bottom w:val="single" w:sz="4" w:space="0" w:color="BFBFBF"/>
              <w:right w:val="double" w:sz="6" w:space="0" w:color="auto"/>
            </w:tcBorders>
            <w:shd w:val="clear" w:color="auto" w:fill="auto"/>
            <w:noWrap/>
            <w:vAlign w:val="center"/>
          </w:tcPr>
          <w:p w14:paraId="2121C2EB"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409</w:t>
            </w:r>
          </w:p>
        </w:tc>
      </w:tr>
      <w:tr w:rsidR="00C73B77" w:rsidRPr="00125162" w14:paraId="006583A1" w14:textId="77777777" w:rsidTr="006C3C5E">
        <w:trPr>
          <w:trHeight w:val="225"/>
          <w:jc w:val="center"/>
        </w:trPr>
        <w:tc>
          <w:tcPr>
            <w:tcW w:w="2717" w:type="dxa"/>
            <w:tcBorders>
              <w:top w:val="nil"/>
              <w:left w:val="double" w:sz="6" w:space="0" w:color="auto"/>
              <w:bottom w:val="single" w:sz="4" w:space="0" w:color="BFBFBF"/>
              <w:right w:val="nil"/>
            </w:tcBorders>
            <w:shd w:val="clear" w:color="auto" w:fill="auto"/>
            <w:noWrap/>
            <w:vAlign w:val="center"/>
          </w:tcPr>
          <w:p w14:paraId="465D26E2" w14:textId="77777777" w:rsidR="00C73B77" w:rsidRPr="00125162" w:rsidRDefault="00C73B77" w:rsidP="00086B9C">
            <w:pPr>
              <w:spacing w:before="0" w:after="0"/>
              <w:ind w:firstLineChars="100" w:firstLine="160"/>
              <w:rPr>
                <w:rFonts w:ascii="Arial" w:hAnsi="Arial" w:cs="Arial"/>
                <w:color w:val="000000"/>
                <w:sz w:val="16"/>
                <w:szCs w:val="16"/>
                <w:lang w:val="en-AU" w:eastAsia="en-AU"/>
              </w:rPr>
            </w:pPr>
            <w:r w:rsidRPr="00125162">
              <w:rPr>
                <w:rFonts w:ascii="Arial" w:hAnsi="Arial" w:cs="Arial"/>
                <w:color w:val="000000"/>
                <w:sz w:val="16"/>
                <w:szCs w:val="16"/>
                <w:lang w:val="en-AU" w:eastAsia="en-AU"/>
              </w:rPr>
              <w:t>Renting – Public</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EA98530"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48678184" w14:textId="77777777" w:rsidR="00C73B77" w:rsidRPr="00125162" w:rsidRDefault="00C73B77" w:rsidP="006C3C5E">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259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5E08131"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93%</w:t>
            </w:r>
          </w:p>
        </w:tc>
        <w:tc>
          <w:tcPr>
            <w:tcW w:w="808" w:type="dxa"/>
            <w:tcBorders>
              <w:top w:val="nil"/>
              <w:left w:val="nil"/>
              <w:bottom w:val="single" w:sz="4" w:space="0" w:color="BFBFBF"/>
              <w:right w:val="single" w:sz="4" w:space="0" w:color="auto"/>
            </w:tcBorders>
            <w:shd w:val="clear" w:color="auto" w:fill="auto"/>
            <w:noWrap/>
            <w:vAlign w:val="center"/>
          </w:tcPr>
          <w:p w14:paraId="50C8FF47"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49F635C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100%</w:t>
            </w:r>
          </w:p>
        </w:tc>
        <w:tc>
          <w:tcPr>
            <w:tcW w:w="808" w:type="dxa"/>
            <w:tcBorders>
              <w:top w:val="nil"/>
              <w:left w:val="nil"/>
              <w:bottom w:val="single" w:sz="4" w:space="0" w:color="BFBFBF"/>
              <w:right w:val="single" w:sz="4" w:space="0" w:color="auto"/>
            </w:tcBorders>
            <w:shd w:val="clear" w:color="auto" w:fill="auto"/>
            <w:noWrap/>
            <w:vAlign w:val="center"/>
          </w:tcPr>
          <w:p w14:paraId="0579540F"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79</w:t>
            </w:r>
          </w:p>
        </w:tc>
        <w:tc>
          <w:tcPr>
            <w:tcW w:w="808" w:type="dxa"/>
            <w:tcBorders>
              <w:top w:val="nil"/>
              <w:left w:val="nil"/>
              <w:bottom w:val="single" w:sz="4" w:space="0" w:color="BFBFBF"/>
              <w:right w:val="nil"/>
            </w:tcBorders>
            <w:shd w:val="clear" w:color="auto" w:fill="auto"/>
            <w:noWrap/>
            <w:vAlign w:val="center"/>
          </w:tcPr>
          <w:p w14:paraId="1A9A6B3D" w14:textId="77777777" w:rsidR="00C73B77" w:rsidRPr="00C73B77" w:rsidRDefault="00C73B77" w:rsidP="00C73B77">
            <w:pPr>
              <w:spacing w:before="0" w:after="0"/>
              <w:jc w:val="center"/>
              <w:rPr>
                <w:rFonts w:ascii="Arial" w:hAnsi="Arial" w:cs="Arial"/>
                <w:color w:val="000000"/>
                <w:sz w:val="16"/>
                <w:szCs w:val="16"/>
                <w:lang w:val="en-AU" w:eastAsia="en-AU"/>
              </w:rPr>
            </w:pPr>
            <w:r w:rsidRPr="00C73B77">
              <w:rPr>
                <w:rFonts w:ascii="Arial" w:hAnsi="Arial" w:cs="Arial"/>
                <w:color w:val="000000"/>
                <w:sz w:val="16"/>
                <w:szCs w:val="16"/>
                <w:lang w:val="en-AU" w:eastAsia="en-AU"/>
              </w:rPr>
              <w:t>1,118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110C7F2"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615</w:t>
            </w:r>
          </w:p>
        </w:tc>
        <w:tc>
          <w:tcPr>
            <w:tcW w:w="808" w:type="dxa"/>
            <w:tcBorders>
              <w:top w:val="nil"/>
              <w:left w:val="nil"/>
              <w:bottom w:val="single" w:sz="4" w:space="0" w:color="BFBFBF"/>
              <w:right w:val="single" w:sz="4" w:space="0" w:color="auto"/>
            </w:tcBorders>
            <w:shd w:val="clear" w:color="auto" w:fill="auto"/>
            <w:noWrap/>
            <w:vAlign w:val="center"/>
          </w:tcPr>
          <w:p w14:paraId="6BD35F03"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486</w:t>
            </w:r>
          </w:p>
        </w:tc>
        <w:tc>
          <w:tcPr>
            <w:tcW w:w="808" w:type="dxa"/>
            <w:tcBorders>
              <w:top w:val="nil"/>
              <w:left w:val="nil"/>
              <w:bottom w:val="single" w:sz="4" w:space="0" w:color="BFBFBF"/>
              <w:right w:val="double" w:sz="6" w:space="0" w:color="auto"/>
            </w:tcBorders>
            <w:shd w:val="clear" w:color="auto" w:fill="auto"/>
            <w:noWrap/>
            <w:vAlign w:val="center"/>
          </w:tcPr>
          <w:p w14:paraId="26F0D699" w14:textId="77777777" w:rsidR="00C73B77" w:rsidRPr="00125162" w:rsidRDefault="00C73B77" w:rsidP="00086B9C">
            <w:pPr>
              <w:spacing w:before="0" w:after="0"/>
              <w:jc w:val="center"/>
              <w:rPr>
                <w:rFonts w:ascii="Arial" w:hAnsi="Arial" w:cs="Arial"/>
                <w:color w:val="000000"/>
                <w:sz w:val="16"/>
                <w:szCs w:val="16"/>
                <w:lang w:val="en-AU" w:eastAsia="en-AU"/>
              </w:rPr>
            </w:pPr>
            <w:r w:rsidRPr="00125162">
              <w:rPr>
                <w:rFonts w:ascii="Arial" w:hAnsi="Arial" w:cs="Arial"/>
                <w:color w:val="000000"/>
                <w:sz w:val="16"/>
                <w:szCs w:val="16"/>
                <w:lang w:val="en-AU" w:eastAsia="en-AU"/>
              </w:rPr>
              <w:t>293</w:t>
            </w:r>
          </w:p>
        </w:tc>
      </w:tr>
      <w:tr w:rsidR="00C73B77" w:rsidRPr="00125162" w14:paraId="058265B2" w14:textId="77777777" w:rsidTr="006C3C5E">
        <w:trPr>
          <w:trHeight w:val="240"/>
          <w:jc w:val="center"/>
        </w:trPr>
        <w:tc>
          <w:tcPr>
            <w:tcW w:w="2717" w:type="dxa"/>
            <w:tcBorders>
              <w:top w:val="nil"/>
              <w:left w:val="double" w:sz="6" w:space="0" w:color="auto"/>
              <w:bottom w:val="double" w:sz="6" w:space="0" w:color="auto"/>
              <w:right w:val="nil"/>
            </w:tcBorders>
            <w:shd w:val="clear" w:color="auto" w:fill="auto"/>
            <w:noWrap/>
            <w:vAlign w:val="center"/>
          </w:tcPr>
          <w:p w14:paraId="51775502" w14:textId="77777777" w:rsidR="00C73B77" w:rsidRPr="00125162" w:rsidRDefault="00C73B77" w:rsidP="00086B9C">
            <w:pPr>
              <w:spacing w:before="0" w:after="0"/>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Total Households</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6A051D4B" w14:textId="77777777" w:rsidR="00C73B77" w:rsidRPr="00125162" w:rsidRDefault="00C73B77" w:rsidP="006C3C5E">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99%</w:t>
            </w:r>
          </w:p>
        </w:tc>
        <w:tc>
          <w:tcPr>
            <w:tcW w:w="808" w:type="dxa"/>
            <w:tcBorders>
              <w:top w:val="nil"/>
              <w:left w:val="nil"/>
              <w:bottom w:val="double" w:sz="6" w:space="0" w:color="auto"/>
              <w:right w:val="nil"/>
            </w:tcBorders>
            <w:shd w:val="clear" w:color="auto" w:fill="auto"/>
            <w:noWrap/>
            <w:vAlign w:val="center"/>
          </w:tcPr>
          <w:p w14:paraId="6141C03A" w14:textId="77777777" w:rsidR="00C73B77" w:rsidRPr="00125162" w:rsidRDefault="00C73B77" w:rsidP="006C3C5E">
            <w:pPr>
              <w:spacing w:before="0" w:after="0"/>
              <w:jc w:val="center"/>
              <w:rPr>
                <w:rFonts w:ascii="Arial" w:hAnsi="Arial" w:cs="Arial"/>
                <w:b/>
                <w:color w:val="000000"/>
                <w:sz w:val="16"/>
                <w:szCs w:val="16"/>
                <w:lang w:val="en-AU" w:eastAsia="en-AU"/>
              </w:rPr>
            </w:pPr>
            <w:r w:rsidRPr="00125162">
              <w:rPr>
                <w:rFonts w:ascii="Arial" w:hAnsi="Arial" w:cs="Arial"/>
                <w:b/>
                <w:color w:val="000000"/>
                <w:sz w:val="16"/>
                <w:szCs w:val="16"/>
                <w:lang w:val="en-AU" w:eastAsia="en-AU"/>
              </w:rPr>
              <w:t>327</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3278662F" w14:textId="77777777" w:rsidR="00C73B77" w:rsidRPr="00125162" w:rsidRDefault="00C73B77"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79%</w:t>
            </w:r>
          </w:p>
        </w:tc>
        <w:tc>
          <w:tcPr>
            <w:tcW w:w="808" w:type="dxa"/>
            <w:tcBorders>
              <w:top w:val="nil"/>
              <w:left w:val="nil"/>
              <w:bottom w:val="double" w:sz="6" w:space="0" w:color="auto"/>
              <w:right w:val="single" w:sz="4" w:space="0" w:color="auto"/>
            </w:tcBorders>
            <w:shd w:val="clear" w:color="auto" w:fill="auto"/>
            <w:noWrap/>
            <w:vAlign w:val="center"/>
          </w:tcPr>
          <w:p w14:paraId="4FF4EF3E" w14:textId="77777777" w:rsidR="00C73B77" w:rsidRPr="00125162" w:rsidRDefault="00C73B77"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86</w:t>
            </w:r>
          </w:p>
        </w:tc>
        <w:tc>
          <w:tcPr>
            <w:tcW w:w="808" w:type="dxa"/>
            <w:tcBorders>
              <w:top w:val="nil"/>
              <w:left w:val="nil"/>
              <w:bottom w:val="double" w:sz="6" w:space="0" w:color="auto"/>
              <w:right w:val="single" w:sz="4" w:space="0" w:color="BFBFBF"/>
            </w:tcBorders>
            <w:shd w:val="clear" w:color="auto" w:fill="auto"/>
            <w:noWrap/>
            <w:vAlign w:val="center"/>
          </w:tcPr>
          <w:p w14:paraId="028AF305" w14:textId="77777777" w:rsidR="00C73B77" w:rsidRPr="00125162" w:rsidRDefault="00C73B77"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100%</w:t>
            </w:r>
          </w:p>
        </w:tc>
        <w:tc>
          <w:tcPr>
            <w:tcW w:w="808" w:type="dxa"/>
            <w:tcBorders>
              <w:top w:val="nil"/>
              <w:left w:val="nil"/>
              <w:bottom w:val="double" w:sz="6" w:space="0" w:color="auto"/>
              <w:right w:val="single" w:sz="4" w:space="0" w:color="auto"/>
            </w:tcBorders>
            <w:shd w:val="clear" w:color="auto" w:fill="auto"/>
            <w:noWrap/>
            <w:vAlign w:val="center"/>
          </w:tcPr>
          <w:p w14:paraId="2799C3F6" w14:textId="77777777" w:rsidR="00C73B77" w:rsidRPr="00125162" w:rsidRDefault="00C73B77"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75</w:t>
            </w:r>
          </w:p>
        </w:tc>
        <w:tc>
          <w:tcPr>
            <w:tcW w:w="808" w:type="dxa"/>
            <w:tcBorders>
              <w:top w:val="nil"/>
              <w:left w:val="nil"/>
              <w:bottom w:val="double" w:sz="6" w:space="0" w:color="auto"/>
              <w:right w:val="nil"/>
            </w:tcBorders>
            <w:shd w:val="clear" w:color="auto" w:fill="auto"/>
            <w:noWrap/>
            <w:vAlign w:val="center"/>
          </w:tcPr>
          <w:p w14:paraId="50FF703D" w14:textId="77777777" w:rsidR="00C73B77" w:rsidRPr="00C73B77" w:rsidRDefault="00C73B77" w:rsidP="00C73B77">
            <w:pPr>
              <w:spacing w:before="0" w:after="0"/>
              <w:jc w:val="center"/>
              <w:rPr>
                <w:rFonts w:ascii="Arial" w:hAnsi="Arial" w:cs="Arial"/>
                <w:b/>
                <w:color w:val="000000"/>
                <w:sz w:val="16"/>
                <w:szCs w:val="16"/>
                <w:lang w:val="en-AU" w:eastAsia="en-AU"/>
              </w:rPr>
            </w:pPr>
            <w:r w:rsidRPr="00C73B77">
              <w:rPr>
                <w:rFonts w:ascii="Arial" w:hAnsi="Arial" w:cs="Arial"/>
                <w:b/>
                <w:color w:val="000000"/>
                <w:sz w:val="16"/>
                <w:szCs w:val="16"/>
                <w:lang w:val="en-AU" w:eastAsia="en-AU"/>
              </w:rPr>
              <w:t>1,247</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7281A3A8" w14:textId="77777777" w:rsidR="00C73B77" w:rsidRPr="00125162" w:rsidRDefault="00C73B77"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973</w:t>
            </w:r>
          </w:p>
        </w:tc>
        <w:tc>
          <w:tcPr>
            <w:tcW w:w="808" w:type="dxa"/>
            <w:tcBorders>
              <w:top w:val="nil"/>
              <w:left w:val="nil"/>
              <w:bottom w:val="double" w:sz="6" w:space="0" w:color="auto"/>
              <w:right w:val="single" w:sz="4" w:space="0" w:color="auto"/>
            </w:tcBorders>
            <w:shd w:val="clear" w:color="auto" w:fill="auto"/>
            <w:noWrap/>
            <w:vAlign w:val="center"/>
          </w:tcPr>
          <w:p w14:paraId="72705984" w14:textId="77777777" w:rsidR="00C73B77" w:rsidRPr="00125162" w:rsidRDefault="00C73B77"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705</w:t>
            </w:r>
          </w:p>
        </w:tc>
        <w:tc>
          <w:tcPr>
            <w:tcW w:w="808" w:type="dxa"/>
            <w:tcBorders>
              <w:top w:val="nil"/>
              <w:left w:val="nil"/>
              <w:bottom w:val="double" w:sz="6" w:space="0" w:color="auto"/>
              <w:right w:val="double" w:sz="6" w:space="0" w:color="auto"/>
            </w:tcBorders>
            <w:shd w:val="clear" w:color="auto" w:fill="auto"/>
            <w:noWrap/>
            <w:vAlign w:val="center"/>
          </w:tcPr>
          <w:p w14:paraId="5B2715F6" w14:textId="77777777" w:rsidR="00C73B77" w:rsidRPr="00125162" w:rsidRDefault="00C73B77" w:rsidP="00086B9C">
            <w:pPr>
              <w:spacing w:before="0" w:after="0"/>
              <w:jc w:val="center"/>
              <w:rPr>
                <w:rFonts w:ascii="Arial" w:hAnsi="Arial" w:cs="Arial"/>
                <w:b/>
                <w:bCs/>
                <w:color w:val="000000"/>
                <w:sz w:val="16"/>
                <w:szCs w:val="16"/>
                <w:lang w:val="en-AU" w:eastAsia="en-AU"/>
              </w:rPr>
            </w:pPr>
            <w:r w:rsidRPr="00125162">
              <w:rPr>
                <w:rFonts w:ascii="Arial" w:hAnsi="Arial" w:cs="Arial"/>
                <w:b/>
                <w:bCs/>
                <w:color w:val="000000"/>
                <w:sz w:val="16"/>
                <w:szCs w:val="16"/>
                <w:lang w:val="en-AU" w:eastAsia="en-AU"/>
              </w:rPr>
              <w:t>449</w:t>
            </w:r>
          </w:p>
        </w:tc>
      </w:tr>
    </w:tbl>
    <w:p w14:paraId="768423A5" w14:textId="77777777" w:rsidR="00086B9C" w:rsidRPr="00125162" w:rsidRDefault="00086B9C" w:rsidP="00D1026E">
      <w:pPr>
        <w:spacing w:before="0" w:after="0" w:line="160" w:lineRule="atLeast"/>
        <w:jc w:val="both"/>
        <w:rPr>
          <w:sz w:val="16"/>
          <w:lang w:val="en-AU"/>
        </w:rPr>
      </w:pPr>
    </w:p>
    <w:p w14:paraId="465863CE" w14:textId="77777777" w:rsidR="00D109F7" w:rsidRPr="00125162" w:rsidRDefault="00D109F7" w:rsidP="00D109F7">
      <w:pPr>
        <w:pStyle w:val="Para"/>
        <w:outlineLvl w:val="0"/>
        <w:rPr>
          <w:u w:val="single"/>
          <w:lang w:val="en-AU"/>
        </w:rPr>
      </w:pPr>
    </w:p>
    <w:p w14:paraId="47F9C135" w14:textId="77777777" w:rsidR="00D109F7" w:rsidRPr="008B123D" w:rsidRDefault="004F0718" w:rsidP="00D109F7">
      <w:pPr>
        <w:pStyle w:val="Heading2"/>
        <w:rPr>
          <w:lang w:val="en-AU"/>
        </w:rPr>
      </w:pPr>
      <w:r w:rsidRPr="00125162">
        <w:rPr>
          <w:lang w:val="en-AU"/>
        </w:rPr>
        <w:br w:type="page"/>
      </w:r>
      <w:bookmarkStart w:id="177" w:name="_Toc439198316"/>
      <w:bookmarkStart w:id="178" w:name="_Toc445571694"/>
      <w:r w:rsidR="00D109F7" w:rsidRPr="008B123D">
        <w:rPr>
          <w:lang w:val="en-AU"/>
        </w:rPr>
        <w:lastRenderedPageBreak/>
        <w:t>GAS COSTS AND CONSUMPTION</w:t>
      </w:r>
      <w:bookmarkEnd w:id="177"/>
      <w:bookmarkEnd w:id="178"/>
      <w:r w:rsidR="00D109F7" w:rsidRPr="008B123D">
        <w:rPr>
          <w:lang w:val="en-AU"/>
        </w:rPr>
        <w:t xml:space="preserve"> </w:t>
      </w:r>
    </w:p>
    <w:p w14:paraId="5375F342" w14:textId="77777777" w:rsidR="00542EAF" w:rsidRPr="008B123D" w:rsidRDefault="00542EAF" w:rsidP="009748AD">
      <w:pPr>
        <w:pStyle w:val="Para"/>
        <w:spacing w:before="240"/>
        <w:rPr>
          <w:lang w:val="en-AU"/>
        </w:rPr>
      </w:pPr>
      <w:r w:rsidRPr="008B123D">
        <w:rPr>
          <w:lang w:val="en-AU"/>
        </w:rPr>
        <w:t>NB. This section is based on billing data supplied by energy suppliers and linked to respondent survey data.</w:t>
      </w:r>
    </w:p>
    <w:p w14:paraId="6F01FF1E" w14:textId="77777777" w:rsidR="009670BC" w:rsidRPr="008B123D" w:rsidRDefault="009670BC" w:rsidP="009670BC">
      <w:pPr>
        <w:pStyle w:val="Para"/>
        <w:rPr>
          <w:lang w:val="en-AU"/>
        </w:rPr>
      </w:pPr>
    </w:p>
    <w:p w14:paraId="3AA5216D" w14:textId="77777777" w:rsidR="009670BC" w:rsidRPr="008B123D" w:rsidRDefault="009670BC" w:rsidP="00542EAF">
      <w:pPr>
        <w:pStyle w:val="Para"/>
        <w:rPr>
          <w:lang w:val="en-AU"/>
        </w:rPr>
      </w:pPr>
    </w:p>
    <w:p w14:paraId="6C00326E" w14:textId="77777777" w:rsidR="003920D8" w:rsidRPr="008B123D" w:rsidRDefault="00D109F7">
      <w:pPr>
        <w:pStyle w:val="Heading3"/>
        <w:tabs>
          <w:tab w:val="clear" w:pos="8517"/>
          <w:tab w:val="num" w:pos="851"/>
        </w:tabs>
        <w:ind w:hanging="8517"/>
        <w:rPr>
          <w:lang w:val="en-AU"/>
        </w:rPr>
      </w:pPr>
      <w:bookmarkStart w:id="179" w:name="_Toc439198317"/>
      <w:bookmarkStart w:id="180" w:name="_Toc445571695"/>
      <w:r w:rsidRPr="008B123D">
        <w:rPr>
          <w:lang w:val="en-AU"/>
        </w:rPr>
        <w:t>Gas Consumption</w:t>
      </w:r>
      <w:bookmarkEnd w:id="179"/>
      <w:bookmarkEnd w:id="180"/>
    </w:p>
    <w:p w14:paraId="5E9B8C03" w14:textId="7924C1AF" w:rsidR="00D109F7" w:rsidRPr="008B123D" w:rsidRDefault="00D109F7" w:rsidP="00D109F7">
      <w:pPr>
        <w:pStyle w:val="Para"/>
        <w:rPr>
          <w:lang w:val="en-AU"/>
        </w:rPr>
      </w:pPr>
      <w:r w:rsidRPr="008B123D">
        <w:rPr>
          <w:lang w:val="en-AU"/>
        </w:rPr>
        <w:t xml:space="preserve">The proportion of households </w:t>
      </w:r>
      <w:r w:rsidR="00AD7058" w:rsidRPr="008B123D">
        <w:rPr>
          <w:lang w:val="en-AU"/>
        </w:rPr>
        <w:t xml:space="preserve">receiving </w:t>
      </w:r>
      <w:r w:rsidR="000E75AB">
        <w:rPr>
          <w:lang w:val="en-AU"/>
        </w:rPr>
        <w:t xml:space="preserve">mains </w:t>
      </w:r>
      <w:r w:rsidRPr="008B123D">
        <w:rPr>
          <w:lang w:val="en-AU"/>
        </w:rPr>
        <w:t>gas bills has remained relatively constant over time (</w:t>
      </w:r>
      <w:r w:rsidR="00AD7058" w:rsidRPr="008B123D">
        <w:rPr>
          <w:lang w:val="en-AU"/>
        </w:rPr>
        <w:t xml:space="preserve">88% in 2014 and </w:t>
      </w:r>
      <w:r w:rsidRPr="008B123D">
        <w:rPr>
          <w:lang w:val="en-AU"/>
        </w:rPr>
        <w:t>200</w:t>
      </w:r>
      <w:r w:rsidR="00691EAE" w:rsidRPr="008B123D">
        <w:rPr>
          <w:lang w:val="en-AU"/>
        </w:rPr>
        <w:t>7</w:t>
      </w:r>
      <w:r w:rsidRPr="008B123D">
        <w:rPr>
          <w:lang w:val="en-AU"/>
        </w:rPr>
        <w:t>, 94% in 2001 and 91% in 1996 (see Table 4.3.2.1).</w:t>
      </w:r>
      <w:r w:rsidRPr="008B123D">
        <w:rPr>
          <w:b/>
          <w:lang w:val="en-AU"/>
        </w:rPr>
        <w:t xml:space="preserve"> </w:t>
      </w:r>
      <w:r w:rsidR="00AD7058" w:rsidRPr="008B123D">
        <w:rPr>
          <w:b/>
          <w:lang w:val="en-AU"/>
        </w:rPr>
        <w:t xml:space="preserve"> </w:t>
      </w:r>
      <w:r w:rsidR="00AD7058" w:rsidRPr="008B123D">
        <w:rPr>
          <w:lang w:val="en-AU"/>
        </w:rPr>
        <w:t>Not surprisingly, the proportion</w:t>
      </w:r>
      <w:r w:rsidR="00AD7058" w:rsidRPr="008B123D">
        <w:rPr>
          <w:b/>
          <w:lang w:val="en-AU"/>
        </w:rPr>
        <w:t xml:space="preserve"> </w:t>
      </w:r>
      <w:r w:rsidR="00AD7058" w:rsidRPr="008B123D">
        <w:rPr>
          <w:lang w:val="en-AU"/>
        </w:rPr>
        <w:t>of households receiving a gas bill was substantially higher in Melbourne (94%) than in country Victoria (7</w:t>
      </w:r>
      <w:r w:rsidR="008B123D" w:rsidRPr="008B123D">
        <w:rPr>
          <w:lang w:val="en-AU"/>
        </w:rPr>
        <w:t>2</w:t>
      </w:r>
      <w:r w:rsidR="00AD7058" w:rsidRPr="008B123D">
        <w:rPr>
          <w:lang w:val="en-AU"/>
        </w:rPr>
        <w:t>%).</w:t>
      </w:r>
    </w:p>
    <w:p w14:paraId="10573838" w14:textId="77777777" w:rsidR="00AD7058" w:rsidRPr="008B123D" w:rsidRDefault="00AD7058" w:rsidP="00D109F7">
      <w:pPr>
        <w:pStyle w:val="Para"/>
        <w:rPr>
          <w:lang w:val="en-AU"/>
        </w:rPr>
      </w:pPr>
    </w:p>
    <w:p w14:paraId="7D1469BF" w14:textId="77777777" w:rsidR="00D109F7" w:rsidRPr="008B123D" w:rsidRDefault="00D109F7" w:rsidP="00D109F7">
      <w:pPr>
        <w:pStyle w:val="Para"/>
        <w:rPr>
          <w:lang w:val="en-AU"/>
        </w:rPr>
      </w:pPr>
      <w:r w:rsidRPr="008B123D">
        <w:rPr>
          <w:lang w:val="en-AU"/>
        </w:rPr>
        <w:t>Gas consumers on average received 6.</w:t>
      </w:r>
      <w:r w:rsidR="007679C3" w:rsidRPr="008B123D">
        <w:rPr>
          <w:lang w:val="en-AU"/>
        </w:rPr>
        <w:t>2</w:t>
      </w:r>
      <w:r w:rsidRPr="008B123D">
        <w:rPr>
          <w:lang w:val="en-AU"/>
        </w:rPr>
        <w:t xml:space="preserve"> bills per year</w:t>
      </w:r>
      <w:r w:rsidR="007679C3" w:rsidRPr="008B123D">
        <w:rPr>
          <w:lang w:val="en-AU"/>
        </w:rPr>
        <w:t xml:space="preserve"> in 2014, which was consistent with 2007 (6.3 bills)</w:t>
      </w:r>
      <w:r w:rsidRPr="008B123D">
        <w:rPr>
          <w:lang w:val="en-AU"/>
        </w:rPr>
        <w:t xml:space="preserve">.  </w:t>
      </w:r>
      <w:r w:rsidR="00D242F5" w:rsidRPr="008B123D">
        <w:rPr>
          <w:lang w:val="en-AU"/>
        </w:rPr>
        <w:t xml:space="preserve">The vast majority (94.4%) of gas </w:t>
      </w:r>
      <w:r w:rsidR="00C33CEC" w:rsidRPr="008B123D">
        <w:rPr>
          <w:lang w:val="en-AU"/>
        </w:rPr>
        <w:t>bill-payer</w:t>
      </w:r>
      <w:r w:rsidR="00D242F5" w:rsidRPr="008B123D">
        <w:rPr>
          <w:lang w:val="en-AU"/>
        </w:rPr>
        <w:t>s received bills based on actual meter readings only.</w:t>
      </w:r>
    </w:p>
    <w:p w14:paraId="1329C770" w14:textId="77777777" w:rsidR="00D109F7" w:rsidRPr="003835AE" w:rsidRDefault="00D109F7" w:rsidP="00D109F7">
      <w:pPr>
        <w:pStyle w:val="Para"/>
        <w:rPr>
          <w:highlight w:val="yellow"/>
          <w:lang w:val="en-AU"/>
        </w:rPr>
      </w:pPr>
    </w:p>
    <w:p w14:paraId="44D4E1B0" w14:textId="7B56B6FB" w:rsidR="00954B6A" w:rsidRPr="003835AE" w:rsidRDefault="00953185" w:rsidP="00DF177F">
      <w:pPr>
        <w:pStyle w:val="Para"/>
        <w:rPr>
          <w:highlight w:val="yellow"/>
          <w:lang w:val="en-AU"/>
        </w:rPr>
      </w:pPr>
      <w:r w:rsidRPr="00953185">
        <w:rPr>
          <w:lang w:val="en-AU"/>
        </w:rPr>
        <w:t>In 2014, 97</w:t>
      </w:r>
      <w:r w:rsidR="00954B6A" w:rsidRPr="00953185">
        <w:rPr>
          <w:lang w:val="en-AU"/>
        </w:rPr>
        <w:t xml:space="preserve">% </w:t>
      </w:r>
      <w:r w:rsidR="00D109F7" w:rsidRPr="00953185">
        <w:rPr>
          <w:lang w:val="en-AU"/>
        </w:rPr>
        <w:t>of gas using households paid their annual gas bill in full</w:t>
      </w:r>
      <w:r w:rsidRPr="00953185">
        <w:rPr>
          <w:lang w:val="en-AU"/>
        </w:rPr>
        <w:t xml:space="preserve">, with </w:t>
      </w:r>
      <w:r w:rsidR="00BB1B8E">
        <w:rPr>
          <w:lang w:val="en-AU"/>
        </w:rPr>
        <w:t xml:space="preserve">little difference </w:t>
      </w:r>
      <w:r w:rsidRPr="00953185">
        <w:rPr>
          <w:lang w:val="en-AU"/>
        </w:rPr>
        <w:t xml:space="preserve">in incidence </w:t>
      </w:r>
      <w:r w:rsidR="00BB1B8E">
        <w:rPr>
          <w:lang w:val="en-AU"/>
        </w:rPr>
        <w:t>across the various sample types.</w:t>
      </w:r>
      <w:r w:rsidR="004C1370">
        <w:rPr>
          <w:highlight w:val="yellow"/>
          <w:lang w:val="en-AU"/>
        </w:rPr>
        <w:t xml:space="preserve"> </w:t>
      </w:r>
    </w:p>
    <w:p w14:paraId="35E2FA26" w14:textId="77777777" w:rsidR="00D109F7" w:rsidRPr="00BB1B8E" w:rsidRDefault="00D109F7" w:rsidP="00D109F7">
      <w:pPr>
        <w:pStyle w:val="Para"/>
        <w:rPr>
          <w:lang w:val="en-AU"/>
        </w:rPr>
      </w:pPr>
    </w:p>
    <w:p w14:paraId="5FA35C25" w14:textId="6D739637" w:rsidR="00954B6A" w:rsidRPr="00BB1B8E" w:rsidRDefault="00BB1B8E" w:rsidP="00D109F7">
      <w:pPr>
        <w:pStyle w:val="Para"/>
        <w:rPr>
          <w:lang w:val="en-AU"/>
        </w:rPr>
      </w:pPr>
      <w:r w:rsidRPr="00BB1B8E">
        <w:rPr>
          <w:lang w:val="en-AU"/>
        </w:rPr>
        <w:t>In 2014, 7</w:t>
      </w:r>
      <w:r w:rsidR="00954B6A" w:rsidRPr="00BB1B8E">
        <w:rPr>
          <w:lang w:val="en-AU"/>
        </w:rPr>
        <w:t>% of households paid their gas bills by compulsory instalment, down from 13% in 2007.  Public renters (</w:t>
      </w:r>
      <w:r w:rsidRPr="00BB1B8E">
        <w:rPr>
          <w:lang w:val="en-AU"/>
        </w:rPr>
        <w:t>18</w:t>
      </w:r>
      <w:r w:rsidR="00954B6A" w:rsidRPr="00BB1B8E">
        <w:rPr>
          <w:lang w:val="en-AU"/>
        </w:rPr>
        <w:t xml:space="preserve">%) were by far the most likely to be paying by compulsory instalments, compared with </w:t>
      </w:r>
      <w:r w:rsidRPr="00BB1B8E">
        <w:rPr>
          <w:lang w:val="en-AU"/>
        </w:rPr>
        <w:t>9</w:t>
      </w:r>
      <w:r w:rsidR="00954B6A" w:rsidRPr="00BB1B8E">
        <w:rPr>
          <w:lang w:val="en-AU"/>
        </w:rPr>
        <w:t xml:space="preserve">% of private renters, </w:t>
      </w:r>
      <w:r w:rsidRPr="00BB1B8E">
        <w:rPr>
          <w:lang w:val="en-AU"/>
        </w:rPr>
        <w:t>9</w:t>
      </w:r>
      <w:r w:rsidR="00954B6A" w:rsidRPr="00BB1B8E">
        <w:rPr>
          <w:lang w:val="en-AU"/>
        </w:rPr>
        <w:t xml:space="preserve">% of home buyers and </w:t>
      </w:r>
      <w:r w:rsidRPr="00BB1B8E">
        <w:rPr>
          <w:lang w:val="en-AU"/>
        </w:rPr>
        <w:t>6</w:t>
      </w:r>
      <w:r w:rsidR="00954B6A" w:rsidRPr="00BB1B8E">
        <w:rPr>
          <w:lang w:val="en-AU"/>
        </w:rPr>
        <w:t>% of home owners.  Similarly, other concession households (1</w:t>
      </w:r>
      <w:r w:rsidRPr="00BB1B8E">
        <w:rPr>
          <w:lang w:val="en-AU"/>
        </w:rPr>
        <w:t>4</w:t>
      </w:r>
      <w:r w:rsidR="00954B6A" w:rsidRPr="00BB1B8E">
        <w:rPr>
          <w:lang w:val="en-AU"/>
        </w:rPr>
        <w:t>%) were much more likely than non-concession (</w:t>
      </w:r>
      <w:r w:rsidRPr="00BB1B8E">
        <w:rPr>
          <w:lang w:val="en-AU"/>
        </w:rPr>
        <w:t>6</w:t>
      </w:r>
      <w:r w:rsidR="00954B6A" w:rsidRPr="00BB1B8E">
        <w:rPr>
          <w:lang w:val="en-AU"/>
        </w:rPr>
        <w:t xml:space="preserve">%) or aged concession (2%) households to be paying by compulsory instalments. </w:t>
      </w:r>
      <w:r w:rsidRPr="00BB1B8E">
        <w:rPr>
          <w:lang w:val="en-AU"/>
        </w:rPr>
        <w:t>Households in Melbourne (6%) were less likely than those in country Victoria (9%) to be paying by compulsory instalments.</w:t>
      </w:r>
    </w:p>
    <w:p w14:paraId="1912D734" w14:textId="77777777" w:rsidR="00954B6A" w:rsidRPr="003835AE" w:rsidRDefault="00F56A7B" w:rsidP="00D109F7">
      <w:pPr>
        <w:pStyle w:val="Para"/>
        <w:rPr>
          <w:highlight w:val="yellow"/>
          <w:lang w:val="en-AU"/>
        </w:rPr>
      </w:pPr>
      <w:r w:rsidRPr="003835AE">
        <w:rPr>
          <w:highlight w:val="yellow"/>
          <w:lang w:val="en-AU"/>
        </w:rPr>
        <w:t xml:space="preserve"> </w:t>
      </w:r>
    </w:p>
    <w:p w14:paraId="02D69E9E" w14:textId="77777777" w:rsidR="00D109F7" w:rsidRPr="006337E6" w:rsidRDefault="00D109F7" w:rsidP="00D109F7">
      <w:pPr>
        <w:pStyle w:val="Para"/>
        <w:rPr>
          <w:lang w:val="en-AU"/>
        </w:rPr>
      </w:pPr>
      <w:r w:rsidRPr="006337E6">
        <w:rPr>
          <w:lang w:val="en-AU"/>
        </w:rPr>
        <w:t xml:space="preserve">A total of </w:t>
      </w:r>
      <w:r w:rsidR="00D242F5" w:rsidRPr="006337E6">
        <w:rPr>
          <w:lang w:val="en-AU"/>
        </w:rPr>
        <w:t>3</w:t>
      </w:r>
      <w:r w:rsidRPr="006337E6">
        <w:rPr>
          <w:lang w:val="en-AU"/>
        </w:rPr>
        <w:t xml:space="preserve"> respondents were recorded as being on </w:t>
      </w:r>
      <w:r w:rsidR="0088198B" w:rsidRPr="006337E6">
        <w:rPr>
          <w:lang w:val="en-AU"/>
        </w:rPr>
        <w:t>energy retailer</w:t>
      </w:r>
      <w:r w:rsidRPr="006337E6">
        <w:rPr>
          <w:lang w:val="en-AU"/>
        </w:rPr>
        <w:t xml:space="preserve"> </w:t>
      </w:r>
      <w:r w:rsidR="0088198B" w:rsidRPr="006337E6">
        <w:rPr>
          <w:lang w:val="en-AU"/>
        </w:rPr>
        <w:t>h</w:t>
      </w:r>
      <w:r w:rsidRPr="006337E6">
        <w:rPr>
          <w:lang w:val="en-AU"/>
        </w:rPr>
        <w:t xml:space="preserve">ardship </w:t>
      </w:r>
      <w:r w:rsidR="0088198B" w:rsidRPr="006337E6">
        <w:rPr>
          <w:lang w:val="en-AU"/>
        </w:rPr>
        <w:t>p</w:t>
      </w:r>
      <w:r w:rsidRPr="006337E6">
        <w:rPr>
          <w:lang w:val="en-AU"/>
        </w:rPr>
        <w:t>rogramme</w:t>
      </w:r>
      <w:r w:rsidR="0088198B" w:rsidRPr="006337E6">
        <w:rPr>
          <w:lang w:val="en-AU"/>
        </w:rPr>
        <w:t>s</w:t>
      </w:r>
      <w:r w:rsidRPr="006337E6">
        <w:rPr>
          <w:lang w:val="en-AU"/>
        </w:rPr>
        <w:t xml:space="preserve"> for gas bills, representing </w:t>
      </w:r>
      <w:r w:rsidR="009B6BB4" w:rsidRPr="006337E6">
        <w:rPr>
          <w:lang w:val="en-AU"/>
        </w:rPr>
        <w:t>approximately 0.15% of</w:t>
      </w:r>
      <w:r w:rsidR="00D242F5" w:rsidRPr="006337E6">
        <w:rPr>
          <w:lang w:val="en-AU"/>
        </w:rPr>
        <w:t xml:space="preserve"> </w:t>
      </w:r>
      <w:r w:rsidRPr="006337E6">
        <w:rPr>
          <w:lang w:val="en-AU"/>
        </w:rPr>
        <w:t xml:space="preserve">households across </w:t>
      </w:r>
      <w:smartTag w:uri="urn:schemas-microsoft-com:office:smarttags" w:element="State">
        <w:smartTag w:uri="urn:schemas-microsoft-com:office:smarttags" w:element="place">
          <w:r w:rsidRPr="006337E6">
            <w:rPr>
              <w:lang w:val="en-AU"/>
            </w:rPr>
            <w:t>Victoria</w:t>
          </w:r>
        </w:smartTag>
      </w:smartTag>
      <w:r w:rsidRPr="006337E6">
        <w:rPr>
          <w:lang w:val="en-AU"/>
        </w:rPr>
        <w:t xml:space="preserve">.  </w:t>
      </w:r>
      <w:r w:rsidR="00D242F5" w:rsidRPr="006337E6">
        <w:rPr>
          <w:lang w:val="en-AU"/>
        </w:rPr>
        <w:t xml:space="preserve">Two </w:t>
      </w:r>
      <w:r w:rsidRPr="006337E6">
        <w:rPr>
          <w:lang w:val="en-AU"/>
        </w:rPr>
        <w:t>of these came from public rental households</w:t>
      </w:r>
      <w:r w:rsidR="00C042BD" w:rsidRPr="006337E6">
        <w:rPr>
          <w:lang w:val="en-AU"/>
        </w:rPr>
        <w:t>, and the third was buying/paying off their home</w:t>
      </w:r>
      <w:r w:rsidRPr="006337E6">
        <w:rPr>
          <w:lang w:val="en-AU"/>
        </w:rPr>
        <w:t>.</w:t>
      </w:r>
      <w:r w:rsidR="00302B22" w:rsidRPr="006337E6">
        <w:rPr>
          <w:lang w:val="en-AU"/>
        </w:rPr>
        <w:t xml:space="preserve">  </w:t>
      </w:r>
    </w:p>
    <w:p w14:paraId="7E8FB3C4" w14:textId="77777777" w:rsidR="00F5752D" w:rsidRPr="00953185" w:rsidRDefault="00D109F7" w:rsidP="00FC7072">
      <w:pPr>
        <w:tabs>
          <w:tab w:val="left" w:pos="7655"/>
        </w:tabs>
        <w:spacing w:before="0" w:after="120" w:line="340" w:lineRule="exact"/>
        <w:jc w:val="center"/>
        <w:rPr>
          <w:b/>
          <w:szCs w:val="24"/>
          <w:u w:val="single"/>
          <w:lang w:val="en-AU"/>
        </w:rPr>
      </w:pPr>
      <w:r w:rsidRPr="00953185">
        <w:rPr>
          <w:b/>
          <w:lang w:val="en-AU"/>
        </w:rPr>
        <w:br w:type="page"/>
      </w:r>
      <w:r w:rsidRPr="00953185">
        <w:rPr>
          <w:b/>
          <w:szCs w:val="24"/>
          <w:lang w:val="en-AU"/>
        </w:rPr>
        <w:lastRenderedPageBreak/>
        <w:t xml:space="preserve">Table 4.3.1.1: </w:t>
      </w:r>
      <w:r w:rsidRPr="00953185">
        <w:rPr>
          <w:b/>
          <w:szCs w:val="24"/>
          <w:u w:val="single"/>
          <w:lang w:val="en-AU"/>
        </w:rPr>
        <w:t>Gas Bill</w:t>
      </w:r>
      <w:r w:rsidR="00F5752D" w:rsidRPr="00953185">
        <w:rPr>
          <w:b/>
          <w:szCs w:val="24"/>
          <w:u w:val="single"/>
          <w:lang w:val="en-AU"/>
        </w:rPr>
        <w:t>s</w:t>
      </w:r>
      <w:r w:rsidRPr="00953185">
        <w:rPr>
          <w:b/>
          <w:szCs w:val="24"/>
          <w:u w:val="single"/>
          <w:lang w:val="en-AU"/>
        </w:rPr>
        <w:t xml:space="preserve"> Paid in Full</w:t>
      </w:r>
      <w:r w:rsidR="00F5752D" w:rsidRPr="00953185">
        <w:rPr>
          <w:b/>
          <w:szCs w:val="24"/>
          <w:u w:val="single"/>
          <w:lang w:val="en-AU"/>
        </w:rPr>
        <w:t xml:space="preserve"> or by Compulsory Instalments</w:t>
      </w:r>
    </w:p>
    <w:tbl>
      <w:tblPr>
        <w:tblW w:w="6700" w:type="dxa"/>
        <w:jc w:val="center"/>
        <w:tblLook w:val="04A0" w:firstRow="1" w:lastRow="0" w:firstColumn="1" w:lastColumn="0" w:noHBand="0" w:noVBand="1"/>
      </w:tblPr>
      <w:tblGrid>
        <w:gridCol w:w="2860"/>
        <w:gridCol w:w="960"/>
        <w:gridCol w:w="960"/>
        <w:gridCol w:w="960"/>
        <w:gridCol w:w="960"/>
      </w:tblGrid>
      <w:tr w:rsidR="00F5752D" w:rsidRPr="00953185" w14:paraId="3CF440EA" w14:textId="77777777" w:rsidTr="00FC7072">
        <w:trPr>
          <w:trHeight w:val="675"/>
          <w:tblHeader/>
          <w:jc w:val="center"/>
        </w:trPr>
        <w:tc>
          <w:tcPr>
            <w:tcW w:w="2860" w:type="dxa"/>
            <w:vMerge w:val="restart"/>
            <w:tcBorders>
              <w:top w:val="double" w:sz="6" w:space="0" w:color="auto"/>
              <w:left w:val="double" w:sz="6" w:space="0" w:color="auto"/>
              <w:bottom w:val="single" w:sz="4" w:space="0" w:color="BFBFBF"/>
              <w:right w:val="nil"/>
            </w:tcBorders>
            <w:shd w:val="clear" w:color="auto" w:fill="auto"/>
            <w:vAlign w:val="center"/>
          </w:tcPr>
          <w:p w14:paraId="69F05206" w14:textId="77777777" w:rsidR="00F5752D" w:rsidRPr="00953185" w:rsidRDefault="00F5752D" w:rsidP="00F5752D">
            <w:pPr>
              <w:spacing w:before="0" w:after="0"/>
              <w:rPr>
                <w:rFonts w:ascii="Arial" w:hAnsi="Arial" w:cs="Arial"/>
                <w:b/>
                <w:bCs/>
                <w:color w:val="000000"/>
                <w:sz w:val="16"/>
                <w:szCs w:val="16"/>
                <w:lang w:val="en-AU" w:eastAsia="en-AU"/>
              </w:rPr>
            </w:pPr>
            <w:r w:rsidRPr="00953185">
              <w:rPr>
                <w:rFonts w:ascii="Arial" w:hAnsi="Arial" w:cs="Arial"/>
                <w:b/>
                <w:bCs/>
                <w:color w:val="000000"/>
                <w:sz w:val="16"/>
                <w:szCs w:val="16"/>
                <w:lang w:val="en-AU" w:eastAsia="en-AU"/>
              </w:rPr>
              <w:t xml:space="preserve">How Gas Bill Paid </w:t>
            </w:r>
            <w:r w:rsidRPr="00953185">
              <w:rPr>
                <w:rFonts w:ascii="Arial" w:hAnsi="Arial" w:cs="Arial"/>
                <w:b/>
                <w:bCs/>
                <w:color w:val="000000"/>
                <w:sz w:val="16"/>
                <w:szCs w:val="16"/>
                <w:lang w:val="en-AU" w:eastAsia="en-AU"/>
              </w:rPr>
              <w:br/>
              <w:t>(of those paying gas bills)</w:t>
            </w:r>
          </w:p>
        </w:tc>
        <w:tc>
          <w:tcPr>
            <w:tcW w:w="1920" w:type="dxa"/>
            <w:gridSpan w:val="2"/>
            <w:tcBorders>
              <w:top w:val="double" w:sz="6" w:space="0" w:color="auto"/>
              <w:left w:val="single" w:sz="4" w:space="0" w:color="auto"/>
              <w:bottom w:val="single" w:sz="4" w:space="0" w:color="BFBFBF"/>
              <w:right w:val="single" w:sz="4" w:space="0" w:color="000000"/>
            </w:tcBorders>
            <w:shd w:val="clear" w:color="auto" w:fill="auto"/>
            <w:noWrap/>
            <w:vAlign w:val="center"/>
          </w:tcPr>
          <w:p w14:paraId="4387AFA2" w14:textId="77777777" w:rsidR="00F5752D" w:rsidRPr="00953185" w:rsidRDefault="00F5752D" w:rsidP="00F5752D">
            <w:pPr>
              <w:spacing w:before="0" w:after="0"/>
              <w:jc w:val="center"/>
              <w:rPr>
                <w:rFonts w:ascii="Arial" w:hAnsi="Arial" w:cs="Arial"/>
                <w:b/>
                <w:bCs/>
                <w:color w:val="000000"/>
                <w:sz w:val="16"/>
                <w:szCs w:val="16"/>
                <w:lang w:val="en-AU" w:eastAsia="en-AU"/>
              </w:rPr>
            </w:pPr>
            <w:r w:rsidRPr="00953185">
              <w:rPr>
                <w:rFonts w:ascii="Arial" w:hAnsi="Arial" w:cs="Arial"/>
                <w:b/>
                <w:bCs/>
                <w:color w:val="000000"/>
                <w:sz w:val="16"/>
                <w:szCs w:val="16"/>
                <w:lang w:val="en-AU" w:eastAsia="en-AU"/>
              </w:rPr>
              <w:t>In Full</w:t>
            </w:r>
          </w:p>
        </w:tc>
        <w:tc>
          <w:tcPr>
            <w:tcW w:w="1920" w:type="dxa"/>
            <w:gridSpan w:val="2"/>
            <w:tcBorders>
              <w:top w:val="double" w:sz="6" w:space="0" w:color="auto"/>
              <w:left w:val="nil"/>
              <w:bottom w:val="single" w:sz="4" w:space="0" w:color="BFBFBF"/>
              <w:right w:val="double" w:sz="6" w:space="0" w:color="000000"/>
            </w:tcBorders>
            <w:shd w:val="clear" w:color="auto" w:fill="auto"/>
            <w:vAlign w:val="center"/>
          </w:tcPr>
          <w:p w14:paraId="4769B291" w14:textId="77777777" w:rsidR="00F5752D" w:rsidRPr="00953185" w:rsidRDefault="00F5752D" w:rsidP="00F5752D">
            <w:pPr>
              <w:spacing w:before="0" w:after="0"/>
              <w:jc w:val="center"/>
              <w:rPr>
                <w:rFonts w:ascii="Arial" w:hAnsi="Arial" w:cs="Arial"/>
                <w:b/>
                <w:bCs/>
                <w:color w:val="000000"/>
                <w:sz w:val="16"/>
                <w:szCs w:val="16"/>
                <w:lang w:val="en-AU" w:eastAsia="en-AU"/>
              </w:rPr>
            </w:pPr>
            <w:r w:rsidRPr="00953185">
              <w:rPr>
                <w:rFonts w:ascii="Arial" w:hAnsi="Arial" w:cs="Arial"/>
                <w:b/>
                <w:bCs/>
                <w:color w:val="000000"/>
                <w:sz w:val="16"/>
                <w:szCs w:val="16"/>
                <w:lang w:val="en-AU" w:eastAsia="en-AU"/>
              </w:rPr>
              <w:t>By Compulsory Instalment</w:t>
            </w:r>
          </w:p>
        </w:tc>
      </w:tr>
      <w:tr w:rsidR="00F5752D" w:rsidRPr="00953185" w14:paraId="37FC4595" w14:textId="77777777" w:rsidTr="00FC7072">
        <w:trPr>
          <w:trHeight w:val="225"/>
          <w:tblHeader/>
          <w:jc w:val="center"/>
        </w:trPr>
        <w:tc>
          <w:tcPr>
            <w:tcW w:w="2860" w:type="dxa"/>
            <w:vMerge/>
            <w:tcBorders>
              <w:top w:val="double" w:sz="6" w:space="0" w:color="auto"/>
              <w:left w:val="double" w:sz="6" w:space="0" w:color="auto"/>
              <w:bottom w:val="single" w:sz="4" w:space="0" w:color="BFBFBF"/>
              <w:right w:val="nil"/>
            </w:tcBorders>
            <w:vAlign w:val="center"/>
          </w:tcPr>
          <w:p w14:paraId="016B1B7E" w14:textId="77777777" w:rsidR="00F5752D" w:rsidRPr="00953185" w:rsidRDefault="00F5752D" w:rsidP="00F5752D">
            <w:pPr>
              <w:spacing w:before="0" w:after="0"/>
              <w:rPr>
                <w:rFonts w:ascii="Arial" w:hAnsi="Arial" w:cs="Arial"/>
                <w:b/>
                <w:bCs/>
                <w:color w:val="000000"/>
                <w:sz w:val="16"/>
                <w:szCs w:val="16"/>
                <w:lang w:val="en-AU" w:eastAsia="en-AU"/>
              </w:rPr>
            </w:pPr>
          </w:p>
        </w:tc>
        <w:tc>
          <w:tcPr>
            <w:tcW w:w="960" w:type="dxa"/>
            <w:tcBorders>
              <w:top w:val="nil"/>
              <w:left w:val="single" w:sz="4" w:space="0" w:color="auto"/>
              <w:bottom w:val="single" w:sz="4" w:space="0" w:color="BFBFBF"/>
              <w:right w:val="single" w:sz="4" w:space="0" w:color="BFBFBF"/>
            </w:tcBorders>
            <w:shd w:val="clear" w:color="auto" w:fill="auto"/>
            <w:noWrap/>
            <w:vAlign w:val="bottom"/>
          </w:tcPr>
          <w:p w14:paraId="050A5305" w14:textId="77777777" w:rsidR="00F5752D" w:rsidRPr="00953185" w:rsidRDefault="00F5752D" w:rsidP="00F5752D">
            <w:pPr>
              <w:spacing w:before="0" w:after="0"/>
              <w:jc w:val="center"/>
              <w:rPr>
                <w:rFonts w:ascii="Arial" w:hAnsi="Arial" w:cs="Arial"/>
                <w:b/>
                <w:bCs/>
                <w:color w:val="000000"/>
                <w:sz w:val="16"/>
                <w:szCs w:val="16"/>
                <w:lang w:val="en-AU" w:eastAsia="en-AU"/>
              </w:rPr>
            </w:pPr>
            <w:r w:rsidRPr="00953185">
              <w:rPr>
                <w:rFonts w:ascii="Arial" w:hAnsi="Arial" w:cs="Arial"/>
                <w:b/>
                <w:bCs/>
                <w:color w:val="000000"/>
                <w:sz w:val="16"/>
                <w:szCs w:val="16"/>
                <w:lang w:val="en-AU" w:eastAsia="en-AU"/>
              </w:rPr>
              <w:t>2014</w:t>
            </w:r>
          </w:p>
        </w:tc>
        <w:tc>
          <w:tcPr>
            <w:tcW w:w="960" w:type="dxa"/>
            <w:tcBorders>
              <w:top w:val="nil"/>
              <w:left w:val="nil"/>
              <w:bottom w:val="single" w:sz="4" w:space="0" w:color="BFBFBF"/>
              <w:right w:val="single" w:sz="4" w:space="0" w:color="auto"/>
            </w:tcBorders>
            <w:shd w:val="clear" w:color="auto" w:fill="auto"/>
            <w:noWrap/>
            <w:vAlign w:val="center"/>
          </w:tcPr>
          <w:p w14:paraId="781F9AAA" w14:textId="77777777" w:rsidR="00F5752D" w:rsidRPr="00953185" w:rsidRDefault="00F5752D" w:rsidP="00F5752D">
            <w:pPr>
              <w:spacing w:before="0" w:after="0"/>
              <w:jc w:val="center"/>
              <w:rPr>
                <w:rFonts w:ascii="Arial" w:hAnsi="Arial" w:cs="Arial"/>
                <w:b/>
                <w:bCs/>
                <w:color w:val="000000"/>
                <w:sz w:val="16"/>
                <w:szCs w:val="16"/>
                <w:lang w:val="en-AU" w:eastAsia="en-AU"/>
              </w:rPr>
            </w:pPr>
            <w:r w:rsidRPr="00953185">
              <w:rPr>
                <w:rFonts w:ascii="Arial" w:hAnsi="Arial" w:cs="Arial"/>
                <w:b/>
                <w:bCs/>
                <w:color w:val="000000"/>
                <w:sz w:val="16"/>
                <w:szCs w:val="16"/>
                <w:lang w:val="en-AU" w:eastAsia="en-AU"/>
              </w:rPr>
              <w:t>2007</w:t>
            </w:r>
          </w:p>
        </w:tc>
        <w:tc>
          <w:tcPr>
            <w:tcW w:w="960" w:type="dxa"/>
            <w:tcBorders>
              <w:top w:val="nil"/>
              <w:left w:val="nil"/>
              <w:bottom w:val="single" w:sz="4" w:space="0" w:color="BFBFBF"/>
              <w:right w:val="single" w:sz="4" w:space="0" w:color="BFBFBF"/>
            </w:tcBorders>
            <w:shd w:val="clear" w:color="auto" w:fill="auto"/>
            <w:noWrap/>
            <w:vAlign w:val="center"/>
          </w:tcPr>
          <w:p w14:paraId="6F7D6BC4" w14:textId="77777777" w:rsidR="00F5752D" w:rsidRPr="00953185" w:rsidRDefault="00F5752D" w:rsidP="00F5752D">
            <w:pPr>
              <w:spacing w:before="0" w:after="0"/>
              <w:jc w:val="center"/>
              <w:rPr>
                <w:rFonts w:ascii="Arial" w:hAnsi="Arial" w:cs="Arial"/>
                <w:b/>
                <w:bCs/>
                <w:color w:val="000000"/>
                <w:sz w:val="16"/>
                <w:szCs w:val="16"/>
                <w:lang w:val="en-AU" w:eastAsia="en-AU"/>
              </w:rPr>
            </w:pPr>
            <w:r w:rsidRPr="00953185">
              <w:rPr>
                <w:rFonts w:ascii="Arial" w:hAnsi="Arial" w:cs="Arial"/>
                <w:b/>
                <w:bCs/>
                <w:color w:val="000000"/>
                <w:sz w:val="16"/>
                <w:szCs w:val="16"/>
                <w:lang w:val="en-AU" w:eastAsia="en-AU"/>
              </w:rPr>
              <w:t>2014</w:t>
            </w:r>
          </w:p>
        </w:tc>
        <w:tc>
          <w:tcPr>
            <w:tcW w:w="960" w:type="dxa"/>
            <w:tcBorders>
              <w:top w:val="nil"/>
              <w:left w:val="nil"/>
              <w:bottom w:val="single" w:sz="4" w:space="0" w:color="BFBFBF"/>
              <w:right w:val="double" w:sz="6" w:space="0" w:color="auto"/>
            </w:tcBorders>
            <w:shd w:val="clear" w:color="auto" w:fill="auto"/>
            <w:noWrap/>
            <w:vAlign w:val="center"/>
          </w:tcPr>
          <w:p w14:paraId="399C3078" w14:textId="77777777" w:rsidR="00F5752D" w:rsidRPr="00953185" w:rsidRDefault="00F5752D" w:rsidP="00F5752D">
            <w:pPr>
              <w:spacing w:before="0" w:after="0"/>
              <w:jc w:val="center"/>
              <w:rPr>
                <w:rFonts w:ascii="Arial" w:hAnsi="Arial" w:cs="Arial"/>
                <w:b/>
                <w:bCs/>
                <w:color w:val="000000"/>
                <w:sz w:val="16"/>
                <w:szCs w:val="16"/>
                <w:lang w:val="en-AU" w:eastAsia="en-AU"/>
              </w:rPr>
            </w:pPr>
            <w:r w:rsidRPr="00953185">
              <w:rPr>
                <w:rFonts w:ascii="Arial" w:hAnsi="Arial" w:cs="Arial"/>
                <w:b/>
                <w:bCs/>
                <w:color w:val="000000"/>
                <w:sz w:val="16"/>
                <w:szCs w:val="16"/>
                <w:lang w:val="en-AU" w:eastAsia="en-AU"/>
              </w:rPr>
              <w:t>2007</w:t>
            </w:r>
          </w:p>
        </w:tc>
      </w:tr>
      <w:tr w:rsidR="00F5752D" w:rsidRPr="00953185" w14:paraId="18B76045" w14:textId="77777777" w:rsidTr="00FC7072">
        <w:trPr>
          <w:trHeight w:val="225"/>
          <w:jc w:val="center"/>
        </w:trPr>
        <w:tc>
          <w:tcPr>
            <w:tcW w:w="2860" w:type="dxa"/>
            <w:tcBorders>
              <w:top w:val="nil"/>
              <w:left w:val="double" w:sz="6" w:space="0" w:color="auto"/>
              <w:bottom w:val="single" w:sz="4" w:space="0" w:color="BFBFBF"/>
              <w:right w:val="nil"/>
            </w:tcBorders>
            <w:shd w:val="clear" w:color="auto" w:fill="auto"/>
            <w:noWrap/>
            <w:vAlign w:val="center"/>
          </w:tcPr>
          <w:p w14:paraId="640644BC" w14:textId="77777777" w:rsidR="00F5752D" w:rsidRPr="00953185" w:rsidRDefault="00F5752D" w:rsidP="00F5752D">
            <w:pPr>
              <w:spacing w:before="0" w:after="0"/>
              <w:rPr>
                <w:rFonts w:ascii="Arial" w:hAnsi="Arial" w:cs="Arial"/>
                <w:b/>
                <w:bCs/>
                <w:color w:val="000000"/>
                <w:sz w:val="16"/>
                <w:szCs w:val="16"/>
                <w:lang w:val="en-AU" w:eastAsia="en-AU"/>
              </w:rPr>
            </w:pPr>
            <w:r w:rsidRPr="00953185">
              <w:rPr>
                <w:rFonts w:ascii="Arial" w:hAnsi="Arial" w:cs="Arial"/>
                <w:b/>
                <w:bCs/>
                <w:color w:val="000000"/>
                <w:sz w:val="16"/>
                <w:szCs w:val="16"/>
                <w:lang w:val="en-AU" w:eastAsia="en-AU"/>
              </w:rPr>
              <w:t>By Region -</w:t>
            </w:r>
          </w:p>
        </w:tc>
        <w:tc>
          <w:tcPr>
            <w:tcW w:w="960" w:type="dxa"/>
            <w:tcBorders>
              <w:top w:val="nil"/>
              <w:left w:val="single" w:sz="4" w:space="0" w:color="auto"/>
              <w:bottom w:val="single" w:sz="4" w:space="0" w:color="BFBFBF"/>
              <w:right w:val="single" w:sz="4" w:space="0" w:color="BFBFBF"/>
            </w:tcBorders>
            <w:shd w:val="clear" w:color="auto" w:fill="auto"/>
            <w:noWrap/>
            <w:vAlign w:val="bottom"/>
          </w:tcPr>
          <w:p w14:paraId="5F87D7CE" w14:textId="77777777" w:rsidR="00F5752D" w:rsidRPr="00953185" w:rsidRDefault="00F5752D" w:rsidP="00F5752D">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auto"/>
            </w:tcBorders>
            <w:shd w:val="clear" w:color="auto" w:fill="auto"/>
            <w:noWrap/>
            <w:vAlign w:val="center"/>
          </w:tcPr>
          <w:p w14:paraId="796EEF2C" w14:textId="77777777" w:rsidR="00F5752D" w:rsidRPr="00953185" w:rsidRDefault="00F5752D" w:rsidP="00F5752D">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bottom"/>
          </w:tcPr>
          <w:p w14:paraId="2FDA560F" w14:textId="77777777" w:rsidR="00F5752D" w:rsidRPr="00953185" w:rsidRDefault="00F5752D" w:rsidP="00F5752D">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 </w:t>
            </w:r>
          </w:p>
        </w:tc>
        <w:tc>
          <w:tcPr>
            <w:tcW w:w="960" w:type="dxa"/>
            <w:tcBorders>
              <w:top w:val="nil"/>
              <w:left w:val="nil"/>
              <w:bottom w:val="single" w:sz="4" w:space="0" w:color="BFBFBF"/>
              <w:right w:val="double" w:sz="6" w:space="0" w:color="auto"/>
            </w:tcBorders>
            <w:shd w:val="clear" w:color="auto" w:fill="auto"/>
            <w:noWrap/>
            <w:vAlign w:val="center"/>
          </w:tcPr>
          <w:p w14:paraId="662446A7" w14:textId="77777777" w:rsidR="00F5752D" w:rsidRPr="00953185" w:rsidRDefault="00F5752D" w:rsidP="00F5752D">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 </w:t>
            </w:r>
          </w:p>
        </w:tc>
      </w:tr>
      <w:tr w:rsidR="00953185" w:rsidRPr="00953185" w14:paraId="5943379F"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center"/>
          </w:tcPr>
          <w:p w14:paraId="4DF4E43F"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953185">
                  <w:rPr>
                    <w:rFonts w:ascii="Arial" w:hAnsi="Arial" w:cs="Arial"/>
                    <w:color w:val="000000"/>
                    <w:sz w:val="16"/>
                    <w:szCs w:val="16"/>
                    <w:lang w:val="en-AU" w:eastAsia="en-AU"/>
                  </w:rPr>
                  <w:t>Melbourne</w:t>
                </w:r>
              </w:smartTag>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46E53308" w14:textId="51A0AC8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97%</w:t>
            </w:r>
          </w:p>
        </w:tc>
        <w:tc>
          <w:tcPr>
            <w:tcW w:w="960" w:type="dxa"/>
            <w:tcBorders>
              <w:top w:val="nil"/>
              <w:left w:val="nil"/>
              <w:bottom w:val="single" w:sz="4" w:space="0" w:color="BFBFBF"/>
              <w:right w:val="single" w:sz="4" w:space="0" w:color="auto"/>
            </w:tcBorders>
            <w:shd w:val="clear" w:color="auto" w:fill="auto"/>
            <w:noWrap/>
            <w:vAlign w:val="center"/>
          </w:tcPr>
          <w:p w14:paraId="61E39431"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76%</w:t>
            </w:r>
          </w:p>
        </w:tc>
        <w:tc>
          <w:tcPr>
            <w:tcW w:w="960" w:type="dxa"/>
            <w:tcBorders>
              <w:top w:val="nil"/>
              <w:left w:val="nil"/>
              <w:bottom w:val="single" w:sz="4" w:space="0" w:color="BFBFBF"/>
              <w:right w:val="single" w:sz="4" w:space="0" w:color="BFBFBF"/>
            </w:tcBorders>
            <w:shd w:val="clear" w:color="auto" w:fill="auto"/>
            <w:noWrap/>
            <w:vAlign w:val="center"/>
          </w:tcPr>
          <w:p w14:paraId="72B91748" w14:textId="0FAFB58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6%</w:t>
            </w:r>
          </w:p>
        </w:tc>
        <w:tc>
          <w:tcPr>
            <w:tcW w:w="960" w:type="dxa"/>
            <w:tcBorders>
              <w:top w:val="nil"/>
              <w:left w:val="nil"/>
              <w:bottom w:val="single" w:sz="4" w:space="0" w:color="BFBFBF"/>
              <w:right w:val="double" w:sz="6" w:space="0" w:color="auto"/>
            </w:tcBorders>
            <w:shd w:val="clear" w:color="auto" w:fill="auto"/>
            <w:noWrap/>
            <w:vAlign w:val="center"/>
          </w:tcPr>
          <w:p w14:paraId="41BF0C2F"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10%</w:t>
            </w:r>
          </w:p>
        </w:tc>
      </w:tr>
      <w:tr w:rsidR="00953185" w:rsidRPr="00953185" w14:paraId="5A1E281E"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center"/>
          </w:tcPr>
          <w:p w14:paraId="02B9B2B8"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Country VIC</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2909FC29" w14:textId="6C7E5B0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98%</w:t>
            </w:r>
          </w:p>
        </w:tc>
        <w:tc>
          <w:tcPr>
            <w:tcW w:w="960" w:type="dxa"/>
            <w:tcBorders>
              <w:top w:val="nil"/>
              <w:left w:val="nil"/>
              <w:bottom w:val="single" w:sz="4" w:space="0" w:color="BFBFBF"/>
              <w:right w:val="single" w:sz="4" w:space="0" w:color="auto"/>
            </w:tcBorders>
            <w:shd w:val="clear" w:color="auto" w:fill="auto"/>
            <w:noWrap/>
            <w:vAlign w:val="center"/>
          </w:tcPr>
          <w:p w14:paraId="7F1B7707"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76%</w:t>
            </w:r>
          </w:p>
        </w:tc>
        <w:tc>
          <w:tcPr>
            <w:tcW w:w="960" w:type="dxa"/>
            <w:tcBorders>
              <w:top w:val="nil"/>
              <w:left w:val="nil"/>
              <w:bottom w:val="single" w:sz="4" w:space="0" w:color="BFBFBF"/>
              <w:right w:val="single" w:sz="4" w:space="0" w:color="BFBFBF"/>
            </w:tcBorders>
            <w:shd w:val="clear" w:color="auto" w:fill="auto"/>
            <w:noWrap/>
            <w:vAlign w:val="center"/>
          </w:tcPr>
          <w:p w14:paraId="5BB238FC" w14:textId="0314C03F"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9%</w:t>
            </w:r>
          </w:p>
        </w:tc>
        <w:tc>
          <w:tcPr>
            <w:tcW w:w="960" w:type="dxa"/>
            <w:tcBorders>
              <w:top w:val="nil"/>
              <w:left w:val="nil"/>
              <w:bottom w:val="single" w:sz="4" w:space="0" w:color="BFBFBF"/>
              <w:right w:val="double" w:sz="6" w:space="0" w:color="auto"/>
            </w:tcBorders>
            <w:shd w:val="clear" w:color="auto" w:fill="auto"/>
            <w:noWrap/>
            <w:vAlign w:val="center"/>
          </w:tcPr>
          <w:p w14:paraId="5F40F5AF"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19%</w:t>
            </w:r>
          </w:p>
        </w:tc>
      </w:tr>
      <w:tr w:rsidR="00953185" w:rsidRPr="00953185" w14:paraId="6EBC8F38"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center"/>
          </w:tcPr>
          <w:p w14:paraId="51F5F62B" w14:textId="1D72A748" w:rsidR="00953185" w:rsidRPr="00953185" w:rsidRDefault="00BC6314" w:rsidP="00F5752D">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953185" w:rsidRPr="00953185">
              <w:rPr>
                <w:rFonts w:ascii="Arial" w:hAnsi="Arial" w:cs="Arial"/>
                <w:color w:val="000000"/>
                <w:sz w:val="16"/>
                <w:szCs w:val="16"/>
                <w:lang w:val="en-AU" w:eastAsia="en-AU"/>
              </w:rPr>
              <w:t>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63F19F58" w14:textId="767299AC"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w:t>
            </w:r>
          </w:p>
        </w:tc>
        <w:tc>
          <w:tcPr>
            <w:tcW w:w="960" w:type="dxa"/>
            <w:tcBorders>
              <w:top w:val="nil"/>
              <w:left w:val="nil"/>
              <w:bottom w:val="single" w:sz="4" w:space="0" w:color="BFBFBF"/>
              <w:right w:val="single" w:sz="4" w:space="0" w:color="auto"/>
            </w:tcBorders>
            <w:shd w:val="clear" w:color="auto" w:fill="auto"/>
            <w:noWrap/>
            <w:vAlign w:val="center"/>
          </w:tcPr>
          <w:p w14:paraId="477AD6FF"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25%</w:t>
            </w:r>
          </w:p>
        </w:tc>
        <w:tc>
          <w:tcPr>
            <w:tcW w:w="960" w:type="dxa"/>
            <w:tcBorders>
              <w:top w:val="nil"/>
              <w:left w:val="nil"/>
              <w:bottom w:val="single" w:sz="4" w:space="0" w:color="BFBFBF"/>
              <w:right w:val="single" w:sz="4" w:space="0" w:color="BFBFBF"/>
            </w:tcBorders>
            <w:shd w:val="clear" w:color="auto" w:fill="auto"/>
            <w:noWrap/>
            <w:vAlign w:val="center"/>
          </w:tcPr>
          <w:p w14:paraId="4E96E148" w14:textId="3A969DC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0D4D6F89"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w:t>
            </w:r>
          </w:p>
        </w:tc>
      </w:tr>
      <w:tr w:rsidR="00953185" w:rsidRPr="00953185" w14:paraId="6DC689B4"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center"/>
          </w:tcPr>
          <w:p w14:paraId="52CF36E0" w14:textId="77777777" w:rsidR="00953185" w:rsidRPr="00953185" w:rsidRDefault="00953185" w:rsidP="00F5752D">
            <w:pPr>
              <w:spacing w:before="0" w:after="0"/>
              <w:rPr>
                <w:rFonts w:ascii="Arial" w:hAnsi="Arial" w:cs="Arial"/>
                <w:b/>
                <w:bCs/>
                <w:color w:val="000000"/>
                <w:sz w:val="16"/>
                <w:szCs w:val="16"/>
                <w:lang w:val="en-AU" w:eastAsia="en-AU"/>
              </w:rPr>
            </w:pPr>
            <w:r w:rsidRPr="00953185">
              <w:rPr>
                <w:rFonts w:ascii="Arial" w:hAnsi="Arial" w:cs="Arial"/>
                <w:b/>
                <w:bCs/>
                <w:color w:val="000000"/>
                <w:sz w:val="16"/>
                <w:szCs w:val="16"/>
                <w:lang w:val="en-AU" w:eastAsia="en-AU"/>
              </w:rPr>
              <w:t>By DHHS Area -</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2791FFD" w14:textId="5D8DB583" w:rsidR="00953185" w:rsidRPr="00953185" w:rsidRDefault="00953185">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single" w:sz="4" w:space="0" w:color="auto"/>
            </w:tcBorders>
            <w:shd w:val="clear" w:color="auto" w:fill="auto"/>
            <w:noWrap/>
            <w:vAlign w:val="center"/>
          </w:tcPr>
          <w:p w14:paraId="2BCD2D57" w14:textId="207954C8" w:rsidR="00953185" w:rsidRPr="00953185" w:rsidRDefault="00953185">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single" w:sz="4" w:space="0" w:color="BFBFBF"/>
            </w:tcBorders>
            <w:shd w:val="clear" w:color="auto" w:fill="auto"/>
            <w:noWrap/>
            <w:vAlign w:val="center"/>
          </w:tcPr>
          <w:p w14:paraId="795122F7" w14:textId="69B64F9A" w:rsidR="00953185" w:rsidRPr="00953185" w:rsidRDefault="00953185">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double" w:sz="6" w:space="0" w:color="auto"/>
            </w:tcBorders>
            <w:shd w:val="clear" w:color="auto" w:fill="auto"/>
            <w:noWrap/>
            <w:vAlign w:val="center"/>
          </w:tcPr>
          <w:p w14:paraId="38B75F0F" w14:textId="1218A3B6" w:rsidR="00953185" w:rsidRPr="00953185" w:rsidRDefault="00953185">
            <w:pPr>
              <w:spacing w:before="0" w:after="0"/>
              <w:jc w:val="center"/>
              <w:rPr>
                <w:rFonts w:ascii="Arial" w:hAnsi="Arial" w:cs="Arial"/>
                <w:color w:val="000000"/>
                <w:sz w:val="16"/>
                <w:szCs w:val="16"/>
                <w:lang w:val="en-AU" w:eastAsia="en-AU"/>
              </w:rPr>
            </w:pPr>
          </w:p>
        </w:tc>
      </w:tr>
      <w:tr w:rsidR="00953185" w:rsidRPr="00953185" w14:paraId="421A441C"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749DB4A0"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Hume Moreland</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6127503D" w14:textId="6B497B9F"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99%</w:t>
            </w:r>
          </w:p>
        </w:tc>
        <w:tc>
          <w:tcPr>
            <w:tcW w:w="960" w:type="dxa"/>
            <w:tcBorders>
              <w:top w:val="nil"/>
              <w:left w:val="nil"/>
              <w:bottom w:val="single" w:sz="4" w:space="0" w:color="BFBFBF"/>
              <w:right w:val="single" w:sz="4" w:space="0" w:color="auto"/>
            </w:tcBorders>
            <w:shd w:val="clear" w:color="auto" w:fill="auto"/>
            <w:noWrap/>
            <w:vAlign w:val="center"/>
          </w:tcPr>
          <w:p w14:paraId="3C3E2694"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375ABD41" w14:textId="266AAD3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7%</w:t>
            </w:r>
          </w:p>
        </w:tc>
        <w:tc>
          <w:tcPr>
            <w:tcW w:w="960" w:type="dxa"/>
            <w:tcBorders>
              <w:top w:val="nil"/>
              <w:left w:val="nil"/>
              <w:bottom w:val="single" w:sz="4" w:space="0" w:color="BFBFBF"/>
              <w:right w:val="double" w:sz="6" w:space="0" w:color="auto"/>
            </w:tcBorders>
            <w:shd w:val="clear" w:color="auto" w:fill="auto"/>
            <w:noWrap/>
            <w:vAlign w:val="center"/>
          </w:tcPr>
          <w:p w14:paraId="2F1B3703"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6AA2705F"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04B3ADBB"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North Eastern Melbourne</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C1CA450" w14:textId="30878DED"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93%</w:t>
            </w:r>
          </w:p>
        </w:tc>
        <w:tc>
          <w:tcPr>
            <w:tcW w:w="960" w:type="dxa"/>
            <w:tcBorders>
              <w:top w:val="nil"/>
              <w:left w:val="nil"/>
              <w:bottom w:val="single" w:sz="4" w:space="0" w:color="BFBFBF"/>
              <w:right w:val="single" w:sz="4" w:space="0" w:color="auto"/>
            </w:tcBorders>
            <w:shd w:val="clear" w:color="auto" w:fill="auto"/>
            <w:noWrap/>
            <w:vAlign w:val="center"/>
          </w:tcPr>
          <w:p w14:paraId="71D898E8"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1D6EE243" w14:textId="285D753E"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11%</w:t>
            </w:r>
          </w:p>
        </w:tc>
        <w:tc>
          <w:tcPr>
            <w:tcW w:w="960" w:type="dxa"/>
            <w:tcBorders>
              <w:top w:val="nil"/>
              <w:left w:val="nil"/>
              <w:bottom w:val="single" w:sz="4" w:space="0" w:color="BFBFBF"/>
              <w:right w:val="double" w:sz="6" w:space="0" w:color="auto"/>
            </w:tcBorders>
            <w:shd w:val="clear" w:color="auto" w:fill="auto"/>
            <w:noWrap/>
            <w:vAlign w:val="center"/>
          </w:tcPr>
          <w:p w14:paraId="41EAE00F"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63A24E7F"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74BDCCF1"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 xml:space="preserve">Outer </w:t>
            </w:r>
            <w:smartTag w:uri="urn:schemas-microsoft-com:office:smarttags" w:element="place">
              <w:r w:rsidRPr="00953185">
                <w:rPr>
                  <w:rFonts w:ascii="Arial" w:hAnsi="Arial" w:cs="Arial"/>
                  <w:color w:val="000000"/>
                  <w:sz w:val="16"/>
                  <w:szCs w:val="16"/>
                  <w:lang w:val="en-AU" w:eastAsia="en-AU"/>
                </w:rPr>
                <w:t>Eastern Melbourne</w:t>
              </w:r>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306C30FD" w14:textId="096ACE9F"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98%</w:t>
            </w:r>
          </w:p>
        </w:tc>
        <w:tc>
          <w:tcPr>
            <w:tcW w:w="960" w:type="dxa"/>
            <w:tcBorders>
              <w:top w:val="nil"/>
              <w:left w:val="nil"/>
              <w:bottom w:val="single" w:sz="4" w:space="0" w:color="BFBFBF"/>
              <w:right w:val="single" w:sz="4" w:space="0" w:color="auto"/>
            </w:tcBorders>
            <w:shd w:val="clear" w:color="auto" w:fill="auto"/>
            <w:noWrap/>
            <w:vAlign w:val="center"/>
          </w:tcPr>
          <w:p w14:paraId="41A02211"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3747BCF2" w14:textId="33F2987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4%</w:t>
            </w:r>
          </w:p>
        </w:tc>
        <w:tc>
          <w:tcPr>
            <w:tcW w:w="960" w:type="dxa"/>
            <w:tcBorders>
              <w:top w:val="nil"/>
              <w:left w:val="nil"/>
              <w:bottom w:val="single" w:sz="4" w:space="0" w:color="BFBFBF"/>
              <w:right w:val="double" w:sz="6" w:space="0" w:color="auto"/>
            </w:tcBorders>
            <w:shd w:val="clear" w:color="auto" w:fill="auto"/>
            <w:noWrap/>
            <w:vAlign w:val="center"/>
          </w:tcPr>
          <w:p w14:paraId="5628506D"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00F78320"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64AA435D"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 xml:space="preserve">Inner </w:t>
            </w:r>
            <w:smartTag w:uri="urn:schemas-microsoft-com:office:smarttags" w:element="place">
              <w:r w:rsidRPr="00953185">
                <w:rPr>
                  <w:rFonts w:ascii="Arial" w:hAnsi="Arial" w:cs="Arial"/>
                  <w:color w:val="000000"/>
                  <w:sz w:val="16"/>
                  <w:szCs w:val="16"/>
                  <w:lang w:val="en-AU" w:eastAsia="en-AU"/>
                </w:rPr>
                <w:t>Eastern Melbourne</w:t>
              </w:r>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2E72FD5" w14:textId="56D4E21F"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99%</w:t>
            </w:r>
          </w:p>
        </w:tc>
        <w:tc>
          <w:tcPr>
            <w:tcW w:w="960" w:type="dxa"/>
            <w:tcBorders>
              <w:top w:val="nil"/>
              <w:left w:val="nil"/>
              <w:bottom w:val="single" w:sz="4" w:space="0" w:color="BFBFBF"/>
              <w:right w:val="single" w:sz="4" w:space="0" w:color="auto"/>
            </w:tcBorders>
            <w:shd w:val="clear" w:color="auto" w:fill="auto"/>
            <w:noWrap/>
            <w:vAlign w:val="center"/>
          </w:tcPr>
          <w:p w14:paraId="2A22F18C"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19994262" w14:textId="636702CD"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3%</w:t>
            </w:r>
          </w:p>
        </w:tc>
        <w:tc>
          <w:tcPr>
            <w:tcW w:w="960" w:type="dxa"/>
            <w:tcBorders>
              <w:top w:val="nil"/>
              <w:left w:val="nil"/>
              <w:bottom w:val="single" w:sz="4" w:space="0" w:color="BFBFBF"/>
              <w:right w:val="double" w:sz="6" w:space="0" w:color="auto"/>
            </w:tcBorders>
            <w:shd w:val="clear" w:color="auto" w:fill="auto"/>
            <w:noWrap/>
            <w:vAlign w:val="center"/>
          </w:tcPr>
          <w:p w14:paraId="279457C2"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519AE8AF"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326E0757"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smartTag w:uri="urn:schemas-microsoft-com:office:smarttags" w:element="place">
              <w:r w:rsidRPr="00953185">
                <w:rPr>
                  <w:rFonts w:ascii="Arial" w:hAnsi="Arial" w:cs="Arial"/>
                  <w:color w:val="000000"/>
                  <w:sz w:val="16"/>
                  <w:szCs w:val="16"/>
                  <w:lang w:val="en-AU" w:eastAsia="en-AU"/>
                </w:rPr>
                <w:t>Southern Melbourne</w:t>
              </w:r>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421C6E99" w14:textId="001442CF"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94%</w:t>
            </w:r>
          </w:p>
        </w:tc>
        <w:tc>
          <w:tcPr>
            <w:tcW w:w="960" w:type="dxa"/>
            <w:tcBorders>
              <w:top w:val="nil"/>
              <w:left w:val="nil"/>
              <w:bottom w:val="single" w:sz="4" w:space="0" w:color="BFBFBF"/>
              <w:right w:val="single" w:sz="4" w:space="0" w:color="auto"/>
            </w:tcBorders>
            <w:shd w:val="clear" w:color="auto" w:fill="auto"/>
            <w:noWrap/>
            <w:vAlign w:val="center"/>
          </w:tcPr>
          <w:p w14:paraId="57CBA854"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3B057E46" w14:textId="0B8B415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3%</w:t>
            </w:r>
          </w:p>
        </w:tc>
        <w:tc>
          <w:tcPr>
            <w:tcW w:w="960" w:type="dxa"/>
            <w:tcBorders>
              <w:top w:val="nil"/>
              <w:left w:val="nil"/>
              <w:bottom w:val="single" w:sz="4" w:space="0" w:color="BFBFBF"/>
              <w:right w:val="double" w:sz="6" w:space="0" w:color="auto"/>
            </w:tcBorders>
            <w:shd w:val="clear" w:color="auto" w:fill="auto"/>
            <w:noWrap/>
            <w:vAlign w:val="center"/>
          </w:tcPr>
          <w:p w14:paraId="5CCA2283"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0B5627B0"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3EDD6D65"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Bayside</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4FBAA424" w14:textId="3B7017B6"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97%</w:t>
            </w:r>
          </w:p>
        </w:tc>
        <w:tc>
          <w:tcPr>
            <w:tcW w:w="960" w:type="dxa"/>
            <w:tcBorders>
              <w:top w:val="nil"/>
              <w:left w:val="nil"/>
              <w:bottom w:val="single" w:sz="4" w:space="0" w:color="BFBFBF"/>
              <w:right w:val="single" w:sz="4" w:space="0" w:color="auto"/>
            </w:tcBorders>
            <w:shd w:val="clear" w:color="auto" w:fill="auto"/>
            <w:noWrap/>
            <w:vAlign w:val="center"/>
          </w:tcPr>
          <w:p w14:paraId="4637DADC"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67D40555" w14:textId="3890910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7%</w:t>
            </w:r>
          </w:p>
        </w:tc>
        <w:tc>
          <w:tcPr>
            <w:tcW w:w="960" w:type="dxa"/>
            <w:tcBorders>
              <w:top w:val="nil"/>
              <w:left w:val="nil"/>
              <w:bottom w:val="single" w:sz="4" w:space="0" w:color="BFBFBF"/>
              <w:right w:val="double" w:sz="6" w:space="0" w:color="auto"/>
            </w:tcBorders>
            <w:shd w:val="clear" w:color="auto" w:fill="auto"/>
            <w:noWrap/>
            <w:vAlign w:val="center"/>
          </w:tcPr>
          <w:p w14:paraId="4BDD7ECC"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47688040"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033D3AAC"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smartTag w:uri="urn:schemas-microsoft-com:office:smarttags" w:element="place">
              <w:r w:rsidRPr="00953185">
                <w:rPr>
                  <w:rFonts w:ascii="Arial" w:hAnsi="Arial" w:cs="Arial"/>
                  <w:color w:val="000000"/>
                  <w:sz w:val="16"/>
                  <w:szCs w:val="16"/>
                  <w:lang w:val="en-AU" w:eastAsia="en-AU"/>
                </w:rPr>
                <w:t>Western Melbourne</w:t>
              </w:r>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5F0080A5" w14:textId="7EC9C3CC"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97%</w:t>
            </w:r>
          </w:p>
        </w:tc>
        <w:tc>
          <w:tcPr>
            <w:tcW w:w="960" w:type="dxa"/>
            <w:tcBorders>
              <w:top w:val="nil"/>
              <w:left w:val="nil"/>
              <w:bottom w:val="single" w:sz="4" w:space="0" w:color="BFBFBF"/>
              <w:right w:val="single" w:sz="4" w:space="0" w:color="auto"/>
            </w:tcBorders>
            <w:shd w:val="clear" w:color="auto" w:fill="auto"/>
            <w:noWrap/>
            <w:vAlign w:val="center"/>
          </w:tcPr>
          <w:p w14:paraId="31542192"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0398B08A" w14:textId="67B1F83E"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5%</w:t>
            </w:r>
          </w:p>
        </w:tc>
        <w:tc>
          <w:tcPr>
            <w:tcW w:w="960" w:type="dxa"/>
            <w:tcBorders>
              <w:top w:val="nil"/>
              <w:left w:val="nil"/>
              <w:bottom w:val="single" w:sz="4" w:space="0" w:color="BFBFBF"/>
              <w:right w:val="double" w:sz="6" w:space="0" w:color="auto"/>
            </w:tcBorders>
            <w:shd w:val="clear" w:color="auto" w:fill="auto"/>
            <w:noWrap/>
            <w:vAlign w:val="center"/>
          </w:tcPr>
          <w:p w14:paraId="13B95116"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64E548BD"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0F0CE720"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Brimbank Melton</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D0B8239" w14:textId="70D469FA"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100%</w:t>
            </w:r>
          </w:p>
        </w:tc>
        <w:tc>
          <w:tcPr>
            <w:tcW w:w="960" w:type="dxa"/>
            <w:tcBorders>
              <w:top w:val="nil"/>
              <w:left w:val="nil"/>
              <w:bottom w:val="single" w:sz="4" w:space="0" w:color="BFBFBF"/>
              <w:right w:val="single" w:sz="4" w:space="0" w:color="auto"/>
            </w:tcBorders>
            <w:shd w:val="clear" w:color="auto" w:fill="auto"/>
            <w:noWrap/>
            <w:vAlign w:val="center"/>
          </w:tcPr>
          <w:p w14:paraId="3D8FCF7A"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51173E15" w14:textId="15D824DA"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12%</w:t>
            </w:r>
          </w:p>
        </w:tc>
        <w:tc>
          <w:tcPr>
            <w:tcW w:w="960" w:type="dxa"/>
            <w:tcBorders>
              <w:top w:val="nil"/>
              <w:left w:val="nil"/>
              <w:bottom w:val="single" w:sz="4" w:space="0" w:color="BFBFBF"/>
              <w:right w:val="double" w:sz="6" w:space="0" w:color="auto"/>
            </w:tcBorders>
            <w:shd w:val="clear" w:color="auto" w:fill="auto"/>
            <w:noWrap/>
            <w:vAlign w:val="center"/>
          </w:tcPr>
          <w:p w14:paraId="03B57F67"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600E717A"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4B246EF3"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Mallee</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4FC13685" w14:textId="3961039D"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100%</w:t>
            </w:r>
          </w:p>
        </w:tc>
        <w:tc>
          <w:tcPr>
            <w:tcW w:w="960" w:type="dxa"/>
            <w:tcBorders>
              <w:top w:val="nil"/>
              <w:left w:val="nil"/>
              <w:bottom w:val="single" w:sz="4" w:space="0" w:color="BFBFBF"/>
              <w:right w:val="single" w:sz="4" w:space="0" w:color="auto"/>
            </w:tcBorders>
            <w:shd w:val="clear" w:color="auto" w:fill="auto"/>
            <w:noWrap/>
            <w:vAlign w:val="center"/>
          </w:tcPr>
          <w:p w14:paraId="425568C7"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61A179AD" w14:textId="4D597116"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0AC5C475"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173DEAD9"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25243F45"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Loddon</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A9C0DC2" w14:textId="4732BC1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97%</w:t>
            </w:r>
          </w:p>
        </w:tc>
        <w:tc>
          <w:tcPr>
            <w:tcW w:w="960" w:type="dxa"/>
            <w:tcBorders>
              <w:top w:val="nil"/>
              <w:left w:val="nil"/>
              <w:bottom w:val="single" w:sz="4" w:space="0" w:color="BFBFBF"/>
              <w:right w:val="single" w:sz="4" w:space="0" w:color="auto"/>
            </w:tcBorders>
            <w:shd w:val="clear" w:color="auto" w:fill="auto"/>
            <w:noWrap/>
            <w:vAlign w:val="center"/>
          </w:tcPr>
          <w:p w14:paraId="4FC8C78F"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649C8AFE" w14:textId="671533B9"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13%</w:t>
            </w:r>
          </w:p>
        </w:tc>
        <w:tc>
          <w:tcPr>
            <w:tcW w:w="960" w:type="dxa"/>
            <w:tcBorders>
              <w:top w:val="nil"/>
              <w:left w:val="nil"/>
              <w:bottom w:val="single" w:sz="4" w:space="0" w:color="BFBFBF"/>
              <w:right w:val="double" w:sz="6" w:space="0" w:color="auto"/>
            </w:tcBorders>
            <w:shd w:val="clear" w:color="auto" w:fill="auto"/>
            <w:noWrap/>
            <w:vAlign w:val="center"/>
          </w:tcPr>
          <w:p w14:paraId="648D2E81"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68DA2A7D"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3D675475"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953185">
                  <w:rPr>
                    <w:rFonts w:ascii="Arial" w:hAnsi="Arial" w:cs="Arial"/>
                    <w:color w:val="000000"/>
                    <w:sz w:val="16"/>
                    <w:szCs w:val="16"/>
                    <w:lang w:val="en-AU" w:eastAsia="en-AU"/>
                  </w:rPr>
                  <w:t>Murray</w:t>
                </w:r>
              </w:smartTag>
            </w:smartTag>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401FED3D" w14:textId="14134605"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100%</w:t>
            </w:r>
          </w:p>
        </w:tc>
        <w:tc>
          <w:tcPr>
            <w:tcW w:w="960" w:type="dxa"/>
            <w:tcBorders>
              <w:top w:val="nil"/>
              <w:left w:val="nil"/>
              <w:bottom w:val="single" w:sz="4" w:space="0" w:color="BFBFBF"/>
              <w:right w:val="single" w:sz="4" w:space="0" w:color="auto"/>
            </w:tcBorders>
            <w:shd w:val="clear" w:color="auto" w:fill="auto"/>
            <w:noWrap/>
            <w:vAlign w:val="center"/>
          </w:tcPr>
          <w:p w14:paraId="23DD03BF"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70E56DE8" w14:textId="24E0EDE4"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8%</w:t>
            </w:r>
          </w:p>
        </w:tc>
        <w:tc>
          <w:tcPr>
            <w:tcW w:w="960" w:type="dxa"/>
            <w:tcBorders>
              <w:top w:val="nil"/>
              <w:left w:val="nil"/>
              <w:bottom w:val="single" w:sz="4" w:space="0" w:color="BFBFBF"/>
              <w:right w:val="double" w:sz="6" w:space="0" w:color="auto"/>
            </w:tcBorders>
            <w:shd w:val="clear" w:color="auto" w:fill="auto"/>
            <w:noWrap/>
            <w:vAlign w:val="center"/>
          </w:tcPr>
          <w:p w14:paraId="2CB64DFA"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3412497F"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149CDFDE"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Goulburn</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6145150C" w14:textId="27556958"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98%</w:t>
            </w:r>
          </w:p>
        </w:tc>
        <w:tc>
          <w:tcPr>
            <w:tcW w:w="960" w:type="dxa"/>
            <w:tcBorders>
              <w:top w:val="nil"/>
              <w:left w:val="nil"/>
              <w:bottom w:val="single" w:sz="4" w:space="0" w:color="BFBFBF"/>
              <w:right w:val="single" w:sz="4" w:space="0" w:color="auto"/>
            </w:tcBorders>
            <w:shd w:val="clear" w:color="auto" w:fill="auto"/>
            <w:noWrap/>
            <w:vAlign w:val="center"/>
          </w:tcPr>
          <w:p w14:paraId="32455F8D"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2A6F772B" w14:textId="4A43D35D"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8%</w:t>
            </w:r>
          </w:p>
        </w:tc>
        <w:tc>
          <w:tcPr>
            <w:tcW w:w="960" w:type="dxa"/>
            <w:tcBorders>
              <w:top w:val="nil"/>
              <w:left w:val="nil"/>
              <w:bottom w:val="single" w:sz="4" w:space="0" w:color="BFBFBF"/>
              <w:right w:val="double" w:sz="6" w:space="0" w:color="auto"/>
            </w:tcBorders>
            <w:shd w:val="clear" w:color="auto" w:fill="auto"/>
            <w:noWrap/>
            <w:vAlign w:val="center"/>
          </w:tcPr>
          <w:p w14:paraId="113B8963"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32B3F716"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3C9A5F42"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Outer Gippsland</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094543D1" w14:textId="1885CD22"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93%</w:t>
            </w:r>
          </w:p>
        </w:tc>
        <w:tc>
          <w:tcPr>
            <w:tcW w:w="960" w:type="dxa"/>
            <w:tcBorders>
              <w:top w:val="nil"/>
              <w:left w:val="nil"/>
              <w:bottom w:val="single" w:sz="4" w:space="0" w:color="BFBFBF"/>
              <w:right w:val="single" w:sz="4" w:space="0" w:color="auto"/>
            </w:tcBorders>
            <w:shd w:val="clear" w:color="auto" w:fill="auto"/>
            <w:noWrap/>
            <w:vAlign w:val="center"/>
          </w:tcPr>
          <w:p w14:paraId="41475E6D"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69FE4999" w14:textId="3F07E16A"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4%</w:t>
            </w:r>
          </w:p>
        </w:tc>
        <w:tc>
          <w:tcPr>
            <w:tcW w:w="960" w:type="dxa"/>
            <w:tcBorders>
              <w:top w:val="nil"/>
              <w:left w:val="nil"/>
              <w:bottom w:val="single" w:sz="4" w:space="0" w:color="BFBFBF"/>
              <w:right w:val="double" w:sz="6" w:space="0" w:color="auto"/>
            </w:tcBorders>
            <w:shd w:val="clear" w:color="auto" w:fill="auto"/>
            <w:noWrap/>
            <w:vAlign w:val="center"/>
          </w:tcPr>
          <w:p w14:paraId="5B5A4FCB"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69AF2BCD"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3D1AE6C0"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Inner Gippsland</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4C1332D5" w14:textId="12573D3E"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95%</w:t>
            </w:r>
          </w:p>
        </w:tc>
        <w:tc>
          <w:tcPr>
            <w:tcW w:w="960" w:type="dxa"/>
            <w:tcBorders>
              <w:top w:val="nil"/>
              <w:left w:val="nil"/>
              <w:bottom w:val="single" w:sz="4" w:space="0" w:color="BFBFBF"/>
              <w:right w:val="single" w:sz="4" w:space="0" w:color="auto"/>
            </w:tcBorders>
            <w:shd w:val="clear" w:color="auto" w:fill="auto"/>
            <w:noWrap/>
            <w:vAlign w:val="center"/>
          </w:tcPr>
          <w:p w14:paraId="1792027A"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5775C7C7" w14:textId="662C5816"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10%</w:t>
            </w:r>
          </w:p>
        </w:tc>
        <w:tc>
          <w:tcPr>
            <w:tcW w:w="960" w:type="dxa"/>
            <w:tcBorders>
              <w:top w:val="nil"/>
              <w:left w:val="nil"/>
              <w:bottom w:val="single" w:sz="4" w:space="0" w:color="BFBFBF"/>
              <w:right w:val="double" w:sz="6" w:space="0" w:color="auto"/>
            </w:tcBorders>
            <w:shd w:val="clear" w:color="auto" w:fill="auto"/>
            <w:noWrap/>
            <w:vAlign w:val="center"/>
          </w:tcPr>
          <w:p w14:paraId="5C7E05BE"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34491435"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00305941"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Western District</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59DCB6CD" w14:textId="0637C8D5"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100%</w:t>
            </w:r>
          </w:p>
        </w:tc>
        <w:tc>
          <w:tcPr>
            <w:tcW w:w="960" w:type="dxa"/>
            <w:tcBorders>
              <w:top w:val="nil"/>
              <w:left w:val="nil"/>
              <w:bottom w:val="single" w:sz="4" w:space="0" w:color="BFBFBF"/>
              <w:right w:val="single" w:sz="4" w:space="0" w:color="auto"/>
            </w:tcBorders>
            <w:shd w:val="clear" w:color="auto" w:fill="auto"/>
            <w:noWrap/>
            <w:vAlign w:val="center"/>
          </w:tcPr>
          <w:p w14:paraId="035DCC6A"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4077BCA0" w14:textId="78870A0A"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4C8C0FDB"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5134854B"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72991250"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Barwon</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756077D4" w14:textId="62C98B8A"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100%</w:t>
            </w:r>
          </w:p>
        </w:tc>
        <w:tc>
          <w:tcPr>
            <w:tcW w:w="960" w:type="dxa"/>
            <w:tcBorders>
              <w:top w:val="nil"/>
              <w:left w:val="nil"/>
              <w:bottom w:val="single" w:sz="4" w:space="0" w:color="BFBFBF"/>
              <w:right w:val="single" w:sz="4" w:space="0" w:color="auto"/>
            </w:tcBorders>
            <w:shd w:val="clear" w:color="auto" w:fill="auto"/>
            <w:noWrap/>
            <w:vAlign w:val="center"/>
          </w:tcPr>
          <w:p w14:paraId="10E1E818"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45919FBC" w14:textId="618896E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15%</w:t>
            </w:r>
          </w:p>
        </w:tc>
        <w:tc>
          <w:tcPr>
            <w:tcW w:w="960" w:type="dxa"/>
            <w:tcBorders>
              <w:top w:val="nil"/>
              <w:left w:val="nil"/>
              <w:bottom w:val="single" w:sz="4" w:space="0" w:color="BFBFBF"/>
              <w:right w:val="double" w:sz="6" w:space="0" w:color="auto"/>
            </w:tcBorders>
            <w:shd w:val="clear" w:color="auto" w:fill="auto"/>
            <w:noWrap/>
            <w:vAlign w:val="center"/>
          </w:tcPr>
          <w:p w14:paraId="7EA9BFEB"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074DA7A5"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bottom"/>
          </w:tcPr>
          <w:p w14:paraId="66EA6FE0"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Central Highlands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4AD2D837" w14:textId="02C87ECE"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92%</w:t>
            </w:r>
          </w:p>
        </w:tc>
        <w:tc>
          <w:tcPr>
            <w:tcW w:w="960" w:type="dxa"/>
            <w:tcBorders>
              <w:top w:val="nil"/>
              <w:left w:val="nil"/>
              <w:bottom w:val="single" w:sz="4" w:space="0" w:color="BFBFBF"/>
              <w:right w:val="single" w:sz="4" w:space="0" w:color="auto"/>
            </w:tcBorders>
            <w:shd w:val="clear" w:color="auto" w:fill="auto"/>
            <w:noWrap/>
            <w:vAlign w:val="center"/>
          </w:tcPr>
          <w:p w14:paraId="15BD88C7"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2335091F" w14:textId="74548D8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5%</w:t>
            </w:r>
          </w:p>
        </w:tc>
        <w:tc>
          <w:tcPr>
            <w:tcW w:w="960" w:type="dxa"/>
            <w:tcBorders>
              <w:top w:val="nil"/>
              <w:left w:val="nil"/>
              <w:bottom w:val="single" w:sz="4" w:space="0" w:color="BFBFBF"/>
              <w:right w:val="double" w:sz="6" w:space="0" w:color="auto"/>
            </w:tcBorders>
            <w:shd w:val="clear" w:color="auto" w:fill="auto"/>
            <w:noWrap/>
            <w:vAlign w:val="center"/>
          </w:tcPr>
          <w:p w14:paraId="44ABA109"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n/a</w:t>
            </w:r>
          </w:p>
        </w:tc>
      </w:tr>
      <w:tr w:rsidR="00953185" w:rsidRPr="00953185" w14:paraId="7BE32986"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center"/>
          </w:tcPr>
          <w:p w14:paraId="49252275" w14:textId="77777777" w:rsidR="00953185" w:rsidRPr="00953185" w:rsidRDefault="00953185" w:rsidP="00F5752D">
            <w:pPr>
              <w:spacing w:before="0" w:after="0"/>
              <w:rPr>
                <w:rFonts w:ascii="Arial" w:hAnsi="Arial" w:cs="Arial"/>
                <w:b/>
                <w:bCs/>
                <w:color w:val="000000"/>
                <w:sz w:val="16"/>
                <w:szCs w:val="16"/>
                <w:lang w:val="en-AU" w:eastAsia="en-AU"/>
              </w:rPr>
            </w:pPr>
            <w:r w:rsidRPr="00953185">
              <w:rPr>
                <w:rFonts w:ascii="Arial" w:hAnsi="Arial" w:cs="Arial"/>
                <w:b/>
                <w:bCs/>
                <w:color w:val="000000"/>
                <w:sz w:val="16"/>
                <w:szCs w:val="16"/>
                <w:lang w:val="en-AU" w:eastAsia="en-AU"/>
              </w:rPr>
              <w:t>By Concession Status -</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30A7C137" w14:textId="564D2BA6" w:rsidR="00953185" w:rsidRPr="00953185" w:rsidRDefault="00953185">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single" w:sz="4" w:space="0" w:color="auto"/>
            </w:tcBorders>
            <w:shd w:val="clear" w:color="auto" w:fill="auto"/>
            <w:noWrap/>
            <w:vAlign w:val="center"/>
          </w:tcPr>
          <w:p w14:paraId="2EAC253C" w14:textId="6990516D" w:rsidR="00953185" w:rsidRPr="00953185" w:rsidRDefault="00953185">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single" w:sz="4" w:space="0" w:color="BFBFBF"/>
            </w:tcBorders>
            <w:shd w:val="clear" w:color="auto" w:fill="auto"/>
            <w:noWrap/>
            <w:vAlign w:val="center"/>
          </w:tcPr>
          <w:p w14:paraId="1D1D48DD" w14:textId="60909F6F" w:rsidR="00953185" w:rsidRPr="00953185" w:rsidRDefault="00953185">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double" w:sz="6" w:space="0" w:color="auto"/>
            </w:tcBorders>
            <w:shd w:val="clear" w:color="auto" w:fill="auto"/>
            <w:noWrap/>
            <w:vAlign w:val="center"/>
          </w:tcPr>
          <w:p w14:paraId="07810681" w14:textId="27414130" w:rsidR="00953185" w:rsidRPr="00953185" w:rsidRDefault="00953185">
            <w:pPr>
              <w:spacing w:before="0" w:after="0"/>
              <w:jc w:val="center"/>
              <w:rPr>
                <w:rFonts w:ascii="Arial" w:hAnsi="Arial" w:cs="Arial"/>
                <w:color w:val="000000"/>
                <w:sz w:val="16"/>
                <w:szCs w:val="16"/>
                <w:lang w:val="en-AU" w:eastAsia="en-AU"/>
              </w:rPr>
            </w:pPr>
          </w:p>
        </w:tc>
      </w:tr>
      <w:tr w:rsidR="00953185" w:rsidRPr="00953185" w14:paraId="1CB1375A"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center"/>
          </w:tcPr>
          <w:p w14:paraId="54BCEF64"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Aged Concession HHs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6F38B6F4" w14:textId="4617C349"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98%</w:t>
            </w:r>
          </w:p>
        </w:tc>
        <w:tc>
          <w:tcPr>
            <w:tcW w:w="960" w:type="dxa"/>
            <w:tcBorders>
              <w:top w:val="nil"/>
              <w:left w:val="nil"/>
              <w:bottom w:val="single" w:sz="4" w:space="0" w:color="BFBFBF"/>
              <w:right w:val="single" w:sz="4" w:space="0" w:color="auto"/>
            </w:tcBorders>
            <w:shd w:val="clear" w:color="auto" w:fill="auto"/>
            <w:noWrap/>
            <w:vAlign w:val="center"/>
          </w:tcPr>
          <w:p w14:paraId="6DCF907F"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84%</w:t>
            </w:r>
          </w:p>
        </w:tc>
        <w:tc>
          <w:tcPr>
            <w:tcW w:w="960" w:type="dxa"/>
            <w:tcBorders>
              <w:top w:val="nil"/>
              <w:left w:val="nil"/>
              <w:bottom w:val="single" w:sz="4" w:space="0" w:color="BFBFBF"/>
              <w:right w:val="single" w:sz="4" w:space="0" w:color="BFBFBF"/>
            </w:tcBorders>
            <w:shd w:val="clear" w:color="auto" w:fill="auto"/>
            <w:noWrap/>
            <w:vAlign w:val="center"/>
          </w:tcPr>
          <w:p w14:paraId="4EE73AAB" w14:textId="583D472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2%</w:t>
            </w:r>
          </w:p>
        </w:tc>
        <w:tc>
          <w:tcPr>
            <w:tcW w:w="960" w:type="dxa"/>
            <w:tcBorders>
              <w:top w:val="nil"/>
              <w:left w:val="nil"/>
              <w:bottom w:val="single" w:sz="4" w:space="0" w:color="BFBFBF"/>
              <w:right w:val="double" w:sz="6" w:space="0" w:color="auto"/>
            </w:tcBorders>
            <w:shd w:val="clear" w:color="auto" w:fill="auto"/>
            <w:noWrap/>
            <w:vAlign w:val="center"/>
          </w:tcPr>
          <w:p w14:paraId="17C28691"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11%</w:t>
            </w:r>
          </w:p>
        </w:tc>
      </w:tr>
      <w:tr w:rsidR="00953185" w:rsidRPr="00953185" w14:paraId="1AB3AFF1"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center"/>
          </w:tcPr>
          <w:p w14:paraId="55A546E5" w14:textId="77777777" w:rsidR="00953185" w:rsidRPr="00953185" w:rsidRDefault="00953185" w:rsidP="00F5752D">
            <w:pPr>
              <w:spacing w:before="0" w:after="0"/>
              <w:ind w:firstLineChars="100" w:firstLine="160"/>
              <w:rPr>
                <w:rFonts w:ascii="Arial" w:hAnsi="Arial" w:cs="Arial"/>
                <w:color w:val="000000"/>
                <w:sz w:val="16"/>
                <w:szCs w:val="16"/>
                <w:lang w:val="en-AU" w:eastAsia="en-AU"/>
              </w:rPr>
            </w:pPr>
            <w:r w:rsidRPr="00953185">
              <w:rPr>
                <w:rFonts w:ascii="Arial" w:hAnsi="Arial" w:cs="Arial"/>
                <w:color w:val="000000"/>
                <w:sz w:val="16"/>
                <w:szCs w:val="16"/>
                <w:lang w:val="en-AU" w:eastAsia="en-AU"/>
              </w:rPr>
              <w:t>Other Concession HHs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409D98CE" w14:textId="09E7543F"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95%</w:t>
            </w:r>
          </w:p>
        </w:tc>
        <w:tc>
          <w:tcPr>
            <w:tcW w:w="960" w:type="dxa"/>
            <w:tcBorders>
              <w:top w:val="nil"/>
              <w:left w:val="nil"/>
              <w:bottom w:val="single" w:sz="4" w:space="0" w:color="BFBFBF"/>
              <w:right w:val="single" w:sz="4" w:space="0" w:color="auto"/>
            </w:tcBorders>
            <w:shd w:val="clear" w:color="auto" w:fill="auto"/>
            <w:noWrap/>
            <w:vAlign w:val="center"/>
          </w:tcPr>
          <w:p w14:paraId="78FBF9F7"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70%</w:t>
            </w:r>
          </w:p>
        </w:tc>
        <w:tc>
          <w:tcPr>
            <w:tcW w:w="960" w:type="dxa"/>
            <w:tcBorders>
              <w:top w:val="nil"/>
              <w:left w:val="nil"/>
              <w:bottom w:val="single" w:sz="4" w:space="0" w:color="BFBFBF"/>
              <w:right w:val="single" w:sz="4" w:space="0" w:color="BFBFBF"/>
            </w:tcBorders>
            <w:shd w:val="clear" w:color="auto" w:fill="auto"/>
            <w:noWrap/>
            <w:vAlign w:val="center"/>
          </w:tcPr>
          <w:p w14:paraId="75B15E7B" w14:textId="4BD9096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14%</w:t>
            </w:r>
          </w:p>
        </w:tc>
        <w:tc>
          <w:tcPr>
            <w:tcW w:w="960" w:type="dxa"/>
            <w:tcBorders>
              <w:top w:val="nil"/>
              <w:left w:val="nil"/>
              <w:bottom w:val="single" w:sz="4" w:space="0" w:color="BFBFBF"/>
              <w:right w:val="double" w:sz="6" w:space="0" w:color="auto"/>
            </w:tcBorders>
            <w:shd w:val="clear" w:color="auto" w:fill="auto"/>
            <w:noWrap/>
            <w:vAlign w:val="center"/>
          </w:tcPr>
          <w:p w14:paraId="3082884D"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18%</w:t>
            </w:r>
          </w:p>
        </w:tc>
      </w:tr>
      <w:tr w:rsidR="00953185" w:rsidRPr="00953185" w14:paraId="17767032" w14:textId="77777777" w:rsidTr="009748AD">
        <w:trPr>
          <w:trHeight w:val="225"/>
          <w:jc w:val="center"/>
        </w:trPr>
        <w:tc>
          <w:tcPr>
            <w:tcW w:w="2860" w:type="dxa"/>
            <w:tcBorders>
              <w:top w:val="nil"/>
              <w:left w:val="double" w:sz="6" w:space="0" w:color="auto"/>
              <w:bottom w:val="single" w:sz="4" w:space="0" w:color="BFBFBF"/>
              <w:right w:val="nil"/>
            </w:tcBorders>
            <w:shd w:val="clear" w:color="auto" w:fill="auto"/>
            <w:noWrap/>
            <w:vAlign w:val="center"/>
          </w:tcPr>
          <w:p w14:paraId="7A716C57" w14:textId="77777777" w:rsidR="00953185" w:rsidRPr="00953185" w:rsidRDefault="00953185" w:rsidP="00F5752D">
            <w:pPr>
              <w:spacing w:before="0" w:after="0"/>
              <w:rPr>
                <w:rFonts w:ascii="Arial" w:hAnsi="Arial" w:cs="Arial"/>
                <w:color w:val="000000"/>
                <w:sz w:val="16"/>
                <w:szCs w:val="16"/>
                <w:lang w:val="en-AU" w:eastAsia="en-AU"/>
              </w:rPr>
            </w:pPr>
            <w:r w:rsidRPr="00953185">
              <w:rPr>
                <w:rFonts w:ascii="Arial" w:hAnsi="Arial" w:cs="Arial"/>
                <w:color w:val="000000"/>
                <w:sz w:val="16"/>
                <w:szCs w:val="16"/>
                <w:lang w:val="en-AU" w:eastAsia="en-AU"/>
              </w:rPr>
              <w:t>Total Concession HHs</w:t>
            </w:r>
          </w:p>
        </w:tc>
        <w:tc>
          <w:tcPr>
            <w:tcW w:w="960" w:type="dxa"/>
            <w:tcBorders>
              <w:top w:val="nil"/>
              <w:left w:val="single" w:sz="4" w:space="0" w:color="auto"/>
              <w:bottom w:val="single" w:sz="4" w:space="0" w:color="BFBFBF"/>
              <w:right w:val="single" w:sz="4" w:space="0" w:color="BFBFBF"/>
            </w:tcBorders>
            <w:shd w:val="clear" w:color="auto" w:fill="auto"/>
            <w:noWrap/>
            <w:vAlign w:val="center"/>
          </w:tcPr>
          <w:p w14:paraId="6C5643DB" w14:textId="750C2182"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97%</w:t>
            </w:r>
          </w:p>
        </w:tc>
        <w:tc>
          <w:tcPr>
            <w:tcW w:w="960" w:type="dxa"/>
            <w:tcBorders>
              <w:top w:val="nil"/>
              <w:left w:val="nil"/>
              <w:bottom w:val="single" w:sz="4" w:space="0" w:color="BFBFBF"/>
              <w:right w:val="single" w:sz="4" w:space="0" w:color="auto"/>
            </w:tcBorders>
            <w:shd w:val="clear" w:color="auto" w:fill="auto"/>
            <w:noWrap/>
            <w:vAlign w:val="center"/>
          </w:tcPr>
          <w:p w14:paraId="44762B4F"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77%</w:t>
            </w:r>
          </w:p>
        </w:tc>
        <w:tc>
          <w:tcPr>
            <w:tcW w:w="960" w:type="dxa"/>
            <w:tcBorders>
              <w:top w:val="nil"/>
              <w:left w:val="nil"/>
              <w:bottom w:val="single" w:sz="4" w:space="0" w:color="BFBFBF"/>
              <w:right w:val="single" w:sz="4" w:space="0" w:color="BFBFBF"/>
            </w:tcBorders>
            <w:shd w:val="clear" w:color="auto" w:fill="auto"/>
            <w:noWrap/>
            <w:vAlign w:val="center"/>
          </w:tcPr>
          <w:p w14:paraId="04684E32" w14:textId="27518AE0"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8%</w:t>
            </w:r>
          </w:p>
        </w:tc>
        <w:tc>
          <w:tcPr>
            <w:tcW w:w="960" w:type="dxa"/>
            <w:tcBorders>
              <w:top w:val="nil"/>
              <w:left w:val="nil"/>
              <w:bottom w:val="single" w:sz="4" w:space="0" w:color="BFBFBF"/>
              <w:right w:val="double" w:sz="6" w:space="0" w:color="auto"/>
            </w:tcBorders>
            <w:shd w:val="clear" w:color="auto" w:fill="auto"/>
            <w:noWrap/>
            <w:vAlign w:val="center"/>
          </w:tcPr>
          <w:p w14:paraId="308C7522"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14%</w:t>
            </w:r>
          </w:p>
        </w:tc>
      </w:tr>
      <w:tr w:rsidR="00953185" w:rsidRPr="00953185" w14:paraId="5D331200" w14:textId="77777777" w:rsidTr="009748AD">
        <w:trPr>
          <w:trHeight w:val="225"/>
          <w:jc w:val="center"/>
        </w:trPr>
        <w:tc>
          <w:tcPr>
            <w:tcW w:w="2860" w:type="dxa"/>
            <w:tcBorders>
              <w:top w:val="nil"/>
              <w:left w:val="double" w:sz="6" w:space="0" w:color="auto"/>
              <w:bottom w:val="double" w:sz="6" w:space="0" w:color="auto"/>
              <w:right w:val="nil"/>
            </w:tcBorders>
            <w:shd w:val="clear" w:color="auto" w:fill="auto"/>
            <w:noWrap/>
            <w:vAlign w:val="center"/>
          </w:tcPr>
          <w:p w14:paraId="35BAF5A6" w14:textId="77777777" w:rsidR="00953185" w:rsidRPr="00953185" w:rsidRDefault="00953185" w:rsidP="00F5752D">
            <w:pPr>
              <w:spacing w:before="0" w:after="0"/>
              <w:rPr>
                <w:rFonts w:ascii="Arial" w:hAnsi="Arial" w:cs="Arial"/>
                <w:color w:val="000000"/>
                <w:sz w:val="16"/>
                <w:szCs w:val="16"/>
                <w:lang w:val="en-AU" w:eastAsia="en-AU"/>
              </w:rPr>
            </w:pPr>
            <w:r w:rsidRPr="00953185">
              <w:rPr>
                <w:rFonts w:ascii="Arial" w:hAnsi="Arial" w:cs="Arial"/>
                <w:color w:val="000000"/>
                <w:sz w:val="16"/>
                <w:szCs w:val="16"/>
                <w:lang w:val="en-AU" w:eastAsia="en-AU"/>
              </w:rPr>
              <w:t>Non-Concession HHs</w:t>
            </w:r>
          </w:p>
        </w:tc>
        <w:tc>
          <w:tcPr>
            <w:tcW w:w="960" w:type="dxa"/>
            <w:tcBorders>
              <w:top w:val="nil"/>
              <w:left w:val="single" w:sz="4" w:space="0" w:color="auto"/>
              <w:bottom w:val="double" w:sz="6" w:space="0" w:color="auto"/>
              <w:right w:val="single" w:sz="4" w:space="0" w:color="BFBFBF"/>
            </w:tcBorders>
            <w:shd w:val="clear" w:color="auto" w:fill="auto"/>
            <w:noWrap/>
            <w:vAlign w:val="center"/>
          </w:tcPr>
          <w:p w14:paraId="606E9FB8" w14:textId="41E0E7C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97%</w:t>
            </w:r>
          </w:p>
        </w:tc>
        <w:tc>
          <w:tcPr>
            <w:tcW w:w="960" w:type="dxa"/>
            <w:tcBorders>
              <w:top w:val="nil"/>
              <w:left w:val="nil"/>
              <w:bottom w:val="double" w:sz="6" w:space="0" w:color="auto"/>
              <w:right w:val="single" w:sz="4" w:space="0" w:color="auto"/>
            </w:tcBorders>
            <w:shd w:val="clear" w:color="auto" w:fill="auto"/>
            <w:noWrap/>
            <w:vAlign w:val="center"/>
          </w:tcPr>
          <w:p w14:paraId="0EF23B73"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75%</w:t>
            </w:r>
          </w:p>
        </w:tc>
        <w:tc>
          <w:tcPr>
            <w:tcW w:w="960" w:type="dxa"/>
            <w:tcBorders>
              <w:top w:val="nil"/>
              <w:left w:val="nil"/>
              <w:bottom w:val="double" w:sz="6" w:space="0" w:color="auto"/>
              <w:right w:val="single" w:sz="4" w:space="0" w:color="BFBFBF"/>
            </w:tcBorders>
            <w:shd w:val="clear" w:color="auto" w:fill="auto"/>
            <w:noWrap/>
            <w:vAlign w:val="center"/>
          </w:tcPr>
          <w:p w14:paraId="7DDF69F0" w14:textId="62F5741B"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rPr>
              <w:t>6%</w:t>
            </w:r>
          </w:p>
        </w:tc>
        <w:tc>
          <w:tcPr>
            <w:tcW w:w="960" w:type="dxa"/>
            <w:tcBorders>
              <w:top w:val="nil"/>
              <w:left w:val="nil"/>
              <w:bottom w:val="double" w:sz="6" w:space="0" w:color="auto"/>
              <w:right w:val="double" w:sz="6" w:space="0" w:color="auto"/>
            </w:tcBorders>
            <w:shd w:val="clear" w:color="auto" w:fill="auto"/>
            <w:noWrap/>
            <w:vAlign w:val="center"/>
          </w:tcPr>
          <w:p w14:paraId="7EF0211B" w14:textId="77777777" w:rsidR="00953185" w:rsidRPr="00953185" w:rsidRDefault="00953185">
            <w:pPr>
              <w:spacing w:before="0" w:after="0"/>
              <w:jc w:val="center"/>
              <w:rPr>
                <w:rFonts w:ascii="Arial" w:hAnsi="Arial" w:cs="Arial"/>
                <w:color w:val="000000"/>
                <w:sz w:val="16"/>
                <w:szCs w:val="16"/>
                <w:lang w:val="en-AU" w:eastAsia="en-AU"/>
              </w:rPr>
            </w:pPr>
            <w:r w:rsidRPr="00953185">
              <w:rPr>
                <w:rFonts w:ascii="Arial" w:hAnsi="Arial" w:cs="Arial"/>
                <w:color w:val="000000"/>
                <w:sz w:val="16"/>
                <w:szCs w:val="16"/>
                <w:lang w:val="en-AU" w:eastAsia="en-AU"/>
              </w:rPr>
              <w:t>12%</w:t>
            </w:r>
          </w:p>
        </w:tc>
      </w:tr>
    </w:tbl>
    <w:p w14:paraId="0B467A52" w14:textId="77777777" w:rsidR="009B6BB4" w:rsidRPr="00953185" w:rsidRDefault="00FC7072" w:rsidP="00FC7072">
      <w:pPr>
        <w:tabs>
          <w:tab w:val="left" w:pos="7655"/>
        </w:tabs>
        <w:spacing w:before="0" w:after="120" w:line="340" w:lineRule="exact"/>
        <w:ind w:left="3600"/>
        <w:rPr>
          <w:rFonts w:ascii="Arial" w:hAnsi="Arial" w:cs="Arial"/>
          <w:sz w:val="18"/>
          <w:szCs w:val="18"/>
        </w:rPr>
      </w:pPr>
      <w:r w:rsidRPr="00953185">
        <w:rPr>
          <w:rFonts w:ascii="Arial" w:hAnsi="Arial" w:cs="Arial"/>
          <w:sz w:val="18"/>
          <w:szCs w:val="18"/>
        </w:rPr>
        <w:t xml:space="preserve">       Continued on next page</w:t>
      </w:r>
      <w:r w:rsidR="009B6BB4" w:rsidRPr="00953185">
        <w:rPr>
          <w:rFonts w:ascii="Arial" w:hAnsi="Arial" w:cs="Arial"/>
          <w:sz w:val="18"/>
          <w:szCs w:val="18"/>
        </w:rPr>
        <w:br w:type="page"/>
      </w:r>
    </w:p>
    <w:tbl>
      <w:tblPr>
        <w:tblW w:w="6700" w:type="dxa"/>
        <w:jc w:val="center"/>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Look w:val="01E0" w:firstRow="1" w:lastRow="1" w:firstColumn="1" w:lastColumn="1" w:noHBand="0" w:noVBand="0"/>
      </w:tblPr>
      <w:tblGrid>
        <w:gridCol w:w="2860"/>
        <w:gridCol w:w="960"/>
        <w:gridCol w:w="960"/>
        <w:gridCol w:w="960"/>
        <w:gridCol w:w="960"/>
      </w:tblGrid>
      <w:tr w:rsidR="009B6BB4" w:rsidRPr="003835AE" w14:paraId="79D3B4EC" w14:textId="77777777" w:rsidTr="00FC7072">
        <w:trPr>
          <w:trHeight w:val="675"/>
          <w:jc w:val="center"/>
        </w:trPr>
        <w:tc>
          <w:tcPr>
            <w:tcW w:w="2860" w:type="dxa"/>
            <w:vMerge w:val="restart"/>
            <w:shd w:val="clear" w:color="auto" w:fill="auto"/>
            <w:vAlign w:val="center"/>
          </w:tcPr>
          <w:p w14:paraId="29CF59FB" w14:textId="77777777" w:rsidR="009B6BB4" w:rsidRPr="00953185" w:rsidRDefault="009B6BB4" w:rsidP="002540E9">
            <w:pPr>
              <w:spacing w:before="0" w:after="0"/>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lastRenderedPageBreak/>
              <w:t xml:space="preserve">How Gas Bill Paid </w:t>
            </w:r>
            <w:r w:rsidRPr="00953185">
              <w:rPr>
                <w:rFonts w:ascii="Arial" w:eastAsia="MS Mincho" w:hAnsi="Arial" w:cs="Arial"/>
                <w:b/>
                <w:bCs/>
                <w:color w:val="000000"/>
                <w:sz w:val="16"/>
                <w:szCs w:val="16"/>
                <w:lang w:val="en-AU" w:eastAsia="en-AU"/>
              </w:rPr>
              <w:br/>
              <w:t>(of those paying gas bills)</w:t>
            </w:r>
          </w:p>
        </w:tc>
        <w:tc>
          <w:tcPr>
            <w:tcW w:w="1920" w:type="dxa"/>
            <w:gridSpan w:val="2"/>
            <w:shd w:val="clear" w:color="auto" w:fill="auto"/>
            <w:noWrap/>
            <w:vAlign w:val="center"/>
          </w:tcPr>
          <w:p w14:paraId="12BBC2E2" w14:textId="77777777" w:rsidR="009B6BB4" w:rsidRPr="00953185" w:rsidRDefault="009B6BB4" w:rsidP="002540E9">
            <w:pPr>
              <w:spacing w:before="0" w:after="0"/>
              <w:jc w:val="center"/>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In Full</w:t>
            </w:r>
          </w:p>
        </w:tc>
        <w:tc>
          <w:tcPr>
            <w:tcW w:w="1920" w:type="dxa"/>
            <w:gridSpan w:val="2"/>
            <w:shd w:val="clear" w:color="auto" w:fill="auto"/>
            <w:vAlign w:val="center"/>
          </w:tcPr>
          <w:p w14:paraId="483023A1" w14:textId="77777777" w:rsidR="009B6BB4" w:rsidRPr="00953185" w:rsidRDefault="009B6BB4" w:rsidP="002540E9">
            <w:pPr>
              <w:spacing w:before="0" w:after="0"/>
              <w:jc w:val="center"/>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By Compulsory Instalment</w:t>
            </w:r>
          </w:p>
        </w:tc>
      </w:tr>
      <w:tr w:rsidR="002540E9" w:rsidRPr="003835AE" w14:paraId="435D4F9A" w14:textId="77777777" w:rsidTr="00FC7072">
        <w:trPr>
          <w:trHeight w:val="225"/>
          <w:jc w:val="center"/>
        </w:trPr>
        <w:tc>
          <w:tcPr>
            <w:tcW w:w="2860" w:type="dxa"/>
            <w:vMerge/>
            <w:shd w:val="clear" w:color="auto" w:fill="auto"/>
            <w:vAlign w:val="center"/>
          </w:tcPr>
          <w:p w14:paraId="49D0AEFB" w14:textId="77777777" w:rsidR="009B6BB4" w:rsidRPr="00953185" w:rsidRDefault="009B6BB4" w:rsidP="002540E9">
            <w:pPr>
              <w:spacing w:before="0" w:after="0"/>
              <w:rPr>
                <w:rFonts w:ascii="Arial" w:eastAsia="MS Mincho" w:hAnsi="Arial" w:cs="Arial"/>
                <w:b/>
                <w:bCs/>
                <w:color w:val="000000"/>
                <w:sz w:val="16"/>
                <w:szCs w:val="16"/>
                <w:lang w:val="en-AU" w:eastAsia="en-AU"/>
              </w:rPr>
            </w:pPr>
          </w:p>
        </w:tc>
        <w:tc>
          <w:tcPr>
            <w:tcW w:w="960" w:type="dxa"/>
            <w:shd w:val="clear" w:color="auto" w:fill="auto"/>
            <w:noWrap/>
            <w:vAlign w:val="center"/>
          </w:tcPr>
          <w:p w14:paraId="65D5A6BA" w14:textId="77777777" w:rsidR="009B6BB4" w:rsidRPr="00953185" w:rsidRDefault="009B6BB4" w:rsidP="002540E9">
            <w:pPr>
              <w:spacing w:before="0" w:after="0"/>
              <w:jc w:val="center"/>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2014</w:t>
            </w:r>
          </w:p>
        </w:tc>
        <w:tc>
          <w:tcPr>
            <w:tcW w:w="960" w:type="dxa"/>
            <w:shd w:val="clear" w:color="auto" w:fill="auto"/>
            <w:noWrap/>
            <w:vAlign w:val="center"/>
          </w:tcPr>
          <w:p w14:paraId="506A1BB7" w14:textId="77777777" w:rsidR="009B6BB4" w:rsidRPr="00953185" w:rsidRDefault="009B6BB4" w:rsidP="002540E9">
            <w:pPr>
              <w:spacing w:before="0" w:after="0"/>
              <w:jc w:val="center"/>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2007</w:t>
            </w:r>
          </w:p>
        </w:tc>
        <w:tc>
          <w:tcPr>
            <w:tcW w:w="960" w:type="dxa"/>
            <w:shd w:val="clear" w:color="auto" w:fill="auto"/>
            <w:noWrap/>
            <w:vAlign w:val="center"/>
          </w:tcPr>
          <w:p w14:paraId="11B615C6" w14:textId="77777777" w:rsidR="009B6BB4" w:rsidRPr="00953185" w:rsidRDefault="009B6BB4" w:rsidP="002540E9">
            <w:pPr>
              <w:spacing w:before="0" w:after="0"/>
              <w:jc w:val="center"/>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2014</w:t>
            </w:r>
          </w:p>
        </w:tc>
        <w:tc>
          <w:tcPr>
            <w:tcW w:w="960" w:type="dxa"/>
            <w:shd w:val="clear" w:color="auto" w:fill="auto"/>
            <w:noWrap/>
            <w:vAlign w:val="center"/>
          </w:tcPr>
          <w:p w14:paraId="116DFBB0" w14:textId="77777777" w:rsidR="009B6BB4" w:rsidRPr="00953185" w:rsidRDefault="009B6BB4" w:rsidP="002540E9">
            <w:pPr>
              <w:spacing w:before="0" w:after="0"/>
              <w:jc w:val="center"/>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2007</w:t>
            </w:r>
          </w:p>
        </w:tc>
      </w:tr>
      <w:tr w:rsidR="002540E9" w:rsidRPr="003835AE" w14:paraId="20870FFD" w14:textId="77777777" w:rsidTr="00FC7072">
        <w:trPr>
          <w:trHeight w:val="225"/>
          <w:jc w:val="center"/>
        </w:trPr>
        <w:tc>
          <w:tcPr>
            <w:tcW w:w="2860" w:type="dxa"/>
            <w:shd w:val="clear" w:color="auto" w:fill="auto"/>
            <w:noWrap/>
            <w:vAlign w:val="center"/>
          </w:tcPr>
          <w:p w14:paraId="6DC3976A" w14:textId="77777777" w:rsidR="00F5752D" w:rsidRPr="00953185" w:rsidRDefault="00F5752D" w:rsidP="002540E9">
            <w:pPr>
              <w:spacing w:before="0" w:after="0"/>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By Household Size -</w:t>
            </w:r>
          </w:p>
        </w:tc>
        <w:tc>
          <w:tcPr>
            <w:tcW w:w="960" w:type="dxa"/>
            <w:shd w:val="clear" w:color="auto" w:fill="auto"/>
            <w:noWrap/>
            <w:vAlign w:val="center"/>
          </w:tcPr>
          <w:p w14:paraId="0394C0DC" w14:textId="77777777" w:rsidR="00F5752D" w:rsidRPr="00953185" w:rsidRDefault="00F5752D" w:rsidP="002540E9">
            <w:pPr>
              <w:spacing w:before="0" w:after="0"/>
              <w:jc w:val="center"/>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 </w:t>
            </w:r>
          </w:p>
        </w:tc>
        <w:tc>
          <w:tcPr>
            <w:tcW w:w="960" w:type="dxa"/>
            <w:shd w:val="clear" w:color="auto" w:fill="auto"/>
            <w:noWrap/>
            <w:vAlign w:val="center"/>
          </w:tcPr>
          <w:p w14:paraId="7CB77B6E" w14:textId="77777777" w:rsidR="00F5752D" w:rsidRPr="00953185" w:rsidRDefault="00F5752D" w:rsidP="002540E9">
            <w:pPr>
              <w:spacing w:before="0" w:after="0"/>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 </w:t>
            </w:r>
          </w:p>
        </w:tc>
        <w:tc>
          <w:tcPr>
            <w:tcW w:w="960" w:type="dxa"/>
            <w:shd w:val="clear" w:color="auto" w:fill="auto"/>
            <w:noWrap/>
            <w:vAlign w:val="center"/>
          </w:tcPr>
          <w:p w14:paraId="26071E0D" w14:textId="77777777" w:rsidR="00F5752D" w:rsidRPr="00953185" w:rsidRDefault="00F5752D" w:rsidP="002540E9">
            <w:pPr>
              <w:spacing w:before="0" w:after="0"/>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 </w:t>
            </w:r>
          </w:p>
        </w:tc>
        <w:tc>
          <w:tcPr>
            <w:tcW w:w="960" w:type="dxa"/>
            <w:shd w:val="clear" w:color="auto" w:fill="auto"/>
            <w:noWrap/>
            <w:vAlign w:val="center"/>
          </w:tcPr>
          <w:p w14:paraId="7A18B28F" w14:textId="77777777" w:rsidR="00F5752D" w:rsidRPr="00953185" w:rsidRDefault="00F5752D" w:rsidP="002540E9">
            <w:pPr>
              <w:spacing w:before="0" w:after="0"/>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 </w:t>
            </w:r>
          </w:p>
        </w:tc>
      </w:tr>
      <w:tr w:rsidR="00953185" w:rsidRPr="003835AE" w14:paraId="5ABCD37A" w14:textId="77777777" w:rsidTr="009748AD">
        <w:trPr>
          <w:trHeight w:val="225"/>
          <w:jc w:val="center"/>
        </w:trPr>
        <w:tc>
          <w:tcPr>
            <w:tcW w:w="2860" w:type="dxa"/>
            <w:shd w:val="clear" w:color="auto" w:fill="auto"/>
            <w:noWrap/>
            <w:vAlign w:val="center"/>
          </w:tcPr>
          <w:p w14:paraId="787D1015" w14:textId="77777777" w:rsidR="00953185" w:rsidRPr="00953185" w:rsidRDefault="00953185" w:rsidP="002540E9">
            <w:pPr>
              <w:spacing w:before="0" w:after="0"/>
              <w:ind w:firstLineChars="100" w:firstLine="160"/>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1 person</w:t>
            </w:r>
          </w:p>
        </w:tc>
        <w:tc>
          <w:tcPr>
            <w:tcW w:w="960" w:type="dxa"/>
            <w:shd w:val="clear" w:color="auto" w:fill="auto"/>
            <w:noWrap/>
            <w:vAlign w:val="center"/>
          </w:tcPr>
          <w:p w14:paraId="70DEF827" w14:textId="0366611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97%</w:t>
            </w:r>
          </w:p>
        </w:tc>
        <w:tc>
          <w:tcPr>
            <w:tcW w:w="960" w:type="dxa"/>
            <w:shd w:val="clear" w:color="auto" w:fill="auto"/>
            <w:noWrap/>
            <w:vAlign w:val="center"/>
          </w:tcPr>
          <w:p w14:paraId="34E2DA31"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81%</w:t>
            </w:r>
          </w:p>
        </w:tc>
        <w:tc>
          <w:tcPr>
            <w:tcW w:w="960" w:type="dxa"/>
            <w:shd w:val="clear" w:color="auto" w:fill="auto"/>
            <w:noWrap/>
            <w:vAlign w:val="center"/>
          </w:tcPr>
          <w:p w14:paraId="7DD96489" w14:textId="58D2D4D0"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7%</w:t>
            </w:r>
          </w:p>
        </w:tc>
        <w:tc>
          <w:tcPr>
            <w:tcW w:w="960" w:type="dxa"/>
            <w:shd w:val="clear" w:color="auto" w:fill="auto"/>
            <w:noWrap/>
            <w:vAlign w:val="center"/>
          </w:tcPr>
          <w:p w14:paraId="17F2DAB3"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13%</w:t>
            </w:r>
          </w:p>
        </w:tc>
      </w:tr>
      <w:tr w:rsidR="00953185" w:rsidRPr="003835AE" w14:paraId="1A5D1473" w14:textId="77777777" w:rsidTr="009748AD">
        <w:trPr>
          <w:trHeight w:val="225"/>
          <w:jc w:val="center"/>
        </w:trPr>
        <w:tc>
          <w:tcPr>
            <w:tcW w:w="2860" w:type="dxa"/>
            <w:shd w:val="clear" w:color="auto" w:fill="auto"/>
            <w:noWrap/>
            <w:vAlign w:val="center"/>
          </w:tcPr>
          <w:p w14:paraId="1909CFFB" w14:textId="77777777" w:rsidR="00953185" w:rsidRPr="00953185" w:rsidRDefault="00953185" w:rsidP="002540E9">
            <w:pPr>
              <w:spacing w:before="0" w:after="0"/>
              <w:ind w:firstLineChars="100" w:firstLine="160"/>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2 persons</w:t>
            </w:r>
          </w:p>
        </w:tc>
        <w:tc>
          <w:tcPr>
            <w:tcW w:w="960" w:type="dxa"/>
            <w:shd w:val="clear" w:color="auto" w:fill="auto"/>
            <w:noWrap/>
            <w:vAlign w:val="center"/>
          </w:tcPr>
          <w:p w14:paraId="287C8FCD" w14:textId="73652F9F"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98%</w:t>
            </w:r>
          </w:p>
        </w:tc>
        <w:tc>
          <w:tcPr>
            <w:tcW w:w="960" w:type="dxa"/>
            <w:shd w:val="clear" w:color="auto" w:fill="auto"/>
            <w:noWrap/>
            <w:vAlign w:val="center"/>
          </w:tcPr>
          <w:p w14:paraId="4DA5671D"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75%</w:t>
            </w:r>
          </w:p>
        </w:tc>
        <w:tc>
          <w:tcPr>
            <w:tcW w:w="960" w:type="dxa"/>
            <w:shd w:val="clear" w:color="auto" w:fill="auto"/>
            <w:noWrap/>
            <w:vAlign w:val="center"/>
          </w:tcPr>
          <w:p w14:paraId="5D71B3DA" w14:textId="11FBB091"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6%</w:t>
            </w:r>
          </w:p>
        </w:tc>
        <w:tc>
          <w:tcPr>
            <w:tcW w:w="960" w:type="dxa"/>
            <w:shd w:val="clear" w:color="auto" w:fill="auto"/>
            <w:noWrap/>
            <w:vAlign w:val="center"/>
          </w:tcPr>
          <w:p w14:paraId="6E0D96BF"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10%</w:t>
            </w:r>
          </w:p>
        </w:tc>
      </w:tr>
      <w:tr w:rsidR="00953185" w:rsidRPr="003835AE" w14:paraId="3AF10BCC" w14:textId="77777777" w:rsidTr="009748AD">
        <w:trPr>
          <w:trHeight w:val="225"/>
          <w:jc w:val="center"/>
        </w:trPr>
        <w:tc>
          <w:tcPr>
            <w:tcW w:w="2860" w:type="dxa"/>
            <w:shd w:val="clear" w:color="auto" w:fill="auto"/>
            <w:noWrap/>
            <w:vAlign w:val="center"/>
          </w:tcPr>
          <w:p w14:paraId="7FE64B60" w14:textId="77777777" w:rsidR="00953185" w:rsidRPr="00953185" w:rsidRDefault="00953185" w:rsidP="002540E9">
            <w:pPr>
              <w:spacing w:before="0" w:after="0"/>
              <w:ind w:firstLineChars="100" w:firstLine="160"/>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3 persons</w:t>
            </w:r>
          </w:p>
        </w:tc>
        <w:tc>
          <w:tcPr>
            <w:tcW w:w="960" w:type="dxa"/>
            <w:shd w:val="clear" w:color="auto" w:fill="auto"/>
            <w:noWrap/>
            <w:vAlign w:val="center"/>
          </w:tcPr>
          <w:p w14:paraId="40E6ACA4" w14:textId="4A940B4F"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97%</w:t>
            </w:r>
          </w:p>
        </w:tc>
        <w:tc>
          <w:tcPr>
            <w:tcW w:w="960" w:type="dxa"/>
            <w:shd w:val="clear" w:color="auto" w:fill="auto"/>
            <w:noWrap/>
            <w:vAlign w:val="center"/>
          </w:tcPr>
          <w:p w14:paraId="6C79F8B3"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66%</w:t>
            </w:r>
          </w:p>
        </w:tc>
        <w:tc>
          <w:tcPr>
            <w:tcW w:w="960" w:type="dxa"/>
            <w:shd w:val="clear" w:color="auto" w:fill="auto"/>
            <w:noWrap/>
            <w:vAlign w:val="center"/>
          </w:tcPr>
          <w:p w14:paraId="1E46E52A" w14:textId="566C8230"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7%</w:t>
            </w:r>
          </w:p>
        </w:tc>
        <w:tc>
          <w:tcPr>
            <w:tcW w:w="960" w:type="dxa"/>
            <w:shd w:val="clear" w:color="auto" w:fill="auto"/>
            <w:noWrap/>
            <w:vAlign w:val="center"/>
          </w:tcPr>
          <w:p w14:paraId="20D232BC"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13%</w:t>
            </w:r>
          </w:p>
        </w:tc>
      </w:tr>
      <w:tr w:rsidR="00953185" w:rsidRPr="003835AE" w14:paraId="1C61E07F" w14:textId="77777777" w:rsidTr="009748AD">
        <w:trPr>
          <w:trHeight w:val="225"/>
          <w:jc w:val="center"/>
        </w:trPr>
        <w:tc>
          <w:tcPr>
            <w:tcW w:w="2860" w:type="dxa"/>
            <w:shd w:val="clear" w:color="auto" w:fill="auto"/>
            <w:noWrap/>
            <w:vAlign w:val="center"/>
          </w:tcPr>
          <w:p w14:paraId="4C5E5F1C" w14:textId="77777777" w:rsidR="00953185" w:rsidRPr="00953185" w:rsidRDefault="00953185" w:rsidP="002540E9">
            <w:pPr>
              <w:spacing w:before="0" w:after="0"/>
              <w:ind w:firstLineChars="100" w:firstLine="160"/>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4 or more persons</w:t>
            </w:r>
          </w:p>
        </w:tc>
        <w:tc>
          <w:tcPr>
            <w:tcW w:w="960" w:type="dxa"/>
            <w:shd w:val="clear" w:color="auto" w:fill="auto"/>
            <w:noWrap/>
            <w:vAlign w:val="center"/>
          </w:tcPr>
          <w:p w14:paraId="5B739262" w14:textId="2E0DA1DD"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97%</w:t>
            </w:r>
          </w:p>
        </w:tc>
        <w:tc>
          <w:tcPr>
            <w:tcW w:w="960" w:type="dxa"/>
            <w:shd w:val="clear" w:color="auto" w:fill="auto"/>
            <w:noWrap/>
            <w:vAlign w:val="center"/>
          </w:tcPr>
          <w:p w14:paraId="7BC391F0"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79%</w:t>
            </w:r>
          </w:p>
        </w:tc>
        <w:tc>
          <w:tcPr>
            <w:tcW w:w="960" w:type="dxa"/>
            <w:shd w:val="clear" w:color="auto" w:fill="auto"/>
            <w:noWrap/>
            <w:vAlign w:val="center"/>
          </w:tcPr>
          <w:p w14:paraId="18C2AA50" w14:textId="609501CF"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7%</w:t>
            </w:r>
          </w:p>
        </w:tc>
        <w:tc>
          <w:tcPr>
            <w:tcW w:w="960" w:type="dxa"/>
            <w:shd w:val="clear" w:color="auto" w:fill="auto"/>
            <w:noWrap/>
            <w:vAlign w:val="center"/>
          </w:tcPr>
          <w:p w14:paraId="7F0C77EE"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15%</w:t>
            </w:r>
          </w:p>
        </w:tc>
      </w:tr>
      <w:tr w:rsidR="00953185" w:rsidRPr="003835AE" w14:paraId="301BF169" w14:textId="77777777" w:rsidTr="009748AD">
        <w:trPr>
          <w:trHeight w:val="225"/>
          <w:jc w:val="center"/>
        </w:trPr>
        <w:tc>
          <w:tcPr>
            <w:tcW w:w="2860" w:type="dxa"/>
            <w:shd w:val="clear" w:color="auto" w:fill="auto"/>
            <w:noWrap/>
            <w:vAlign w:val="center"/>
          </w:tcPr>
          <w:p w14:paraId="71EE2580" w14:textId="77777777" w:rsidR="00953185" w:rsidRPr="00953185" w:rsidRDefault="00953185" w:rsidP="002540E9">
            <w:pPr>
              <w:spacing w:before="0" w:after="0"/>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By Housing Status -</w:t>
            </w:r>
          </w:p>
        </w:tc>
        <w:tc>
          <w:tcPr>
            <w:tcW w:w="960" w:type="dxa"/>
            <w:shd w:val="clear" w:color="auto" w:fill="auto"/>
            <w:noWrap/>
            <w:vAlign w:val="center"/>
          </w:tcPr>
          <w:p w14:paraId="582196A3" w14:textId="0D6E9C71" w:rsidR="00953185" w:rsidRPr="00953185" w:rsidRDefault="00953185">
            <w:pPr>
              <w:spacing w:before="0" w:after="0"/>
              <w:jc w:val="center"/>
              <w:rPr>
                <w:rFonts w:ascii="Arial" w:eastAsia="MS Mincho" w:hAnsi="Arial" w:cs="Arial"/>
                <w:b/>
                <w:bCs/>
                <w:color w:val="000000"/>
                <w:sz w:val="16"/>
                <w:szCs w:val="16"/>
                <w:lang w:val="en-AU" w:eastAsia="en-AU"/>
              </w:rPr>
            </w:pPr>
          </w:p>
        </w:tc>
        <w:tc>
          <w:tcPr>
            <w:tcW w:w="960" w:type="dxa"/>
            <w:shd w:val="clear" w:color="auto" w:fill="auto"/>
            <w:noWrap/>
            <w:vAlign w:val="center"/>
          </w:tcPr>
          <w:p w14:paraId="1B9CBDDD" w14:textId="677451E5" w:rsidR="00953185" w:rsidRPr="00953185" w:rsidRDefault="00953185">
            <w:pPr>
              <w:spacing w:before="0" w:after="0"/>
              <w:jc w:val="center"/>
              <w:rPr>
                <w:rFonts w:ascii="Arial" w:eastAsia="MS Mincho" w:hAnsi="Arial" w:cs="Arial"/>
                <w:color w:val="000000"/>
                <w:sz w:val="16"/>
                <w:szCs w:val="16"/>
                <w:lang w:val="en-AU" w:eastAsia="en-AU"/>
              </w:rPr>
            </w:pPr>
          </w:p>
        </w:tc>
        <w:tc>
          <w:tcPr>
            <w:tcW w:w="960" w:type="dxa"/>
            <w:shd w:val="clear" w:color="auto" w:fill="auto"/>
            <w:noWrap/>
            <w:vAlign w:val="center"/>
          </w:tcPr>
          <w:p w14:paraId="672C882C" w14:textId="7476BCE4" w:rsidR="00953185" w:rsidRPr="00953185" w:rsidRDefault="00953185">
            <w:pPr>
              <w:spacing w:before="0" w:after="0"/>
              <w:jc w:val="center"/>
              <w:rPr>
                <w:rFonts w:ascii="Arial" w:eastAsia="MS Mincho" w:hAnsi="Arial" w:cs="Arial"/>
                <w:color w:val="000000"/>
                <w:sz w:val="16"/>
                <w:szCs w:val="16"/>
                <w:lang w:val="en-AU" w:eastAsia="en-AU"/>
              </w:rPr>
            </w:pPr>
          </w:p>
        </w:tc>
        <w:tc>
          <w:tcPr>
            <w:tcW w:w="960" w:type="dxa"/>
            <w:shd w:val="clear" w:color="auto" w:fill="auto"/>
            <w:noWrap/>
            <w:vAlign w:val="center"/>
          </w:tcPr>
          <w:p w14:paraId="3270E55D" w14:textId="0A397CF4" w:rsidR="00953185" w:rsidRPr="00953185" w:rsidRDefault="00953185">
            <w:pPr>
              <w:spacing w:before="0" w:after="0"/>
              <w:jc w:val="center"/>
              <w:rPr>
                <w:rFonts w:ascii="Arial" w:eastAsia="MS Mincho" w:hAnsi="Arial" w:cs="Arial"/>
                <w:color w:val="000000"/>
                <w:sz w:val="16"/>
                <w:szCs w:val="16"/>
                <w:lang w:val="en-AU" w:eastAsia="en-AU"/>
              </w:rPr>
            </w:pPr>
          </w:p>
        </w:tc>
      </w:tr>
      <w:tr w:rsidR="00953185" w:rsidRPr="003835AE" w14:paraId="2C582EE0" w14:textId="77777777" w:rsidTr="009748AD">
        <w:trPr>
          <w:trHeight w:val="225"/>
          <w:jc w:val="center"/>
        </w:trPr>
        <w:tc>
          <w:tcPr>
            <w:tcW w:w="2860" w:type="dxa"/>
            <w:shd w:val="clear" w:color="auto" w:fill="auto"/>
            <w:noWrap/>
            <w:vAlign w:val="center"/>
          </w:tcPr>
          <w:p w14:paraId="3B090DB4" w14:textId="77777777" w:rsidR="00953185" w:rsidRPr="00953185" w:rsidRDefault="00953185" w:rsidP="002540E9">
            <w:pPr>
              <w:spacing w:before="0" w:after="0"/>
              <w:ind w:firstLineChars="100" w:firstLine="160"/>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Owned/paid off</w:t>
            </w:r>
          </w:p>
        </w:tc>
        <w:tc>
          <w:tcPr>
            <w:tcW w:w="960" w:type="dxa"/>
            <w:shd w:val="clear" w:color="auto" w:fill="auto"/>
            <w:noWrap/>
            <w:vAlign w:val="center"/>
          </w:tcPr>
          <w:p w14:paraId="655F93F2" w14:textId="71620C81"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99%</w:t>
            </w:r>
          </w:p>
        </w:tc>
        <w:tc>
          <w:tcPr>
            <w:tcW w:w="960" w:type="dxa"/>
            <w:shd w:val="clear" w:color="auto" w:fill="auto"/>
            <w:noWrap/>
            <w:vAlign w:val="center"/>
          </w:tcPr>
          <w:p w14:paraId="1EBB97CA"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76%</w:t>
            </w:r>
          </w:p>
        </w:tc>
        <w:tc>
          <w:tcPr>
            <w:tcW w:w="960" w:type="dxa"/>
            <w:shd w:val="clear" w:color="auto" w:fill="auto"/>
            <w:noWrap/>
            <w:vAlign w:val="center"/>
          </w:tcPr>
          <w:p w14:paraId="1DBAD0F0" w14:textId="2B0EA45E"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4%</w:t>
            </w:r>
          </w:p>
        </w:tc>
        <w:tc>
          <w:tcPr>
            <w:tcW w:w="960" w:type="dxa"/>
            <w:shd w:val="clear" w:color="auto" w:fill="auto"/>
            <w:noWrap/>
            <w:vAlign w:val="center"/>
          </w:tcPr>
          <w:p w14:paraId="22EE55A4"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8%</w:t>
            </w:r>
          </w:p>
        </w:tc>
      </w:tr>
      <w:tr w:rsidR="00953185" w:rsidRPr="003835AE" w14:paraId="58A65F69" w14:textId="77777777" w:rsidTr="009748AD">
        <w:trPr>
          <w:trHeight w:val="225"/>
          <w:jc w:val="center"/>
        </w:trPr>
        <w:tc>
          <w:tcPr>
            <w:tcW w:w="2860" w:type="dxa"/>
            <w:shd w:val="clear" w:color="auto" w:fill="auto"/>
            <w:noWrap/>
            <w:vAlign w:val="center"/>
          </w:tcPr>
          <w:p w14:paraId="4E0B06FD" w14:textId="77777777" w:rsidR="00953185" w:rsidRPr="00953185" w:rsidRDefault="00953185" w:rsidP="002540E9">
            <w:pPr>
              <w:spacing w:before="0" w:after="0"/>
              <w:ind w:firstLineChars="100" w:firstLine="160"/>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Buying/paying off</w:t>
            </w:r>
          </w:p>
        </w:tc>
        <w:tc>
          <w:tcPr>
            <w:tcW w:w="960" w:type="dxa"/>
            <w:shd w:val="clear" w:color="auto" w:fill="auto"/>
            <w:noWrap/>
            <w:vAlign w:val="center"/>
          </w:tcPr>
          <w:p w14:paraId="1817F9EB" w14:textId="1CD9A6A8"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96%</w:t>
            </w:r>
          </w:p>
        </w:tc>
        <w:tc>
          <w:tcPr>
            <w:tcW w:w="960" w:type="dxa"/>
            <w:shd w:val="clear" w:color="auto" w:fill="auto"/>
            <w:noWrap/>
            <w:vAlign w:val="center"/>
          </w:tcPr>
          <w:p w14:paraId="6ADB7653"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78%</w:t>
            </w:r>
          </w:p>
        </w:tc>
        <w:tc>
          <w:tcPr>
            <w:tcW w:w="960" w:type="dxa"/>
            <w:shd w:val="clear" w:color="auto" w:fill="auto"/>
            <w:noWrap/>
            <w:vAlign w:val="center"/>
          </w:tcPr>
          <w:p w14:paraId="005732B6" w14:textId="6CB7D633"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9%</w:t>
            </w:r>
          </w:p>
        </w:tc>
        <w:tc>
          <w:tcPr>
            <w:tcW w:w="960" w:type="dxa"/>
            <w:shd w:val="clear" w:color="auto" w:fill="auto"/>
            <w:noWrap/>
            <w:vAlign w:val="center"/>
          </w:tcPr>
          <w:p w14:paraId="2C411A9A"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15%</w:t>
            </w:r>
          </w:p>
        </w:tc>
      </w:tr>
      <w:tr w:rsidR="00953185" w:rsidRPr="003835AE" w14:paraId="6EF165BF" w14:textId="77777777" w:rsidTr="009748AD">
        <w:trPr>
          <w:trHeight w:val="225"/>
          <w:jc w:val="center"/>
        </w:trPr>
        <w:tc>
          <w:tcPr>
            <w:tcW w:w="2860" w:type="dxa"/>
            <w:shd w:val="clear" w:color="auto" w:fill="auto"/>
            <w:noWrap/>
            <w:vAlign w:val="center"/>
          </w:tcPr>
          <w:p w14:paraId="01A722BA" w14:textId="77777777" w:rsidR="00953185" w:rsidRPr="00953185" w:rsidRDefault="00953185" w:rsidP="002540E9">
            <w:pPr>
              <w:spacing w:before="0" w:after="0"/>
              <w:ind w:firstLineChars="100" w:firstLine="160"/>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Renting – Private</w:t>
            </w:r>
          </w:p>
        </w:tc>
        <w:tc>
          <w:tcPr>
            <w:tcW w:w="960" w:type="dxa"/>
            <w:shd w:val="clear" w:color="auto" w:fill="auto"/>
            <w:noWrap/>
            <w:vAlign w:val="center"/>
          </w:tcPr>
          <w:p w14:paraId="03EBFC69" w14:textId="480F9D56"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93%</w:t>
            </w:r>
          </w:p>
        </w:tc>
        <w:tc>
          <w:tcPr>
            <w:tcW w:w="960" w:type="dxa"/>
            <w:shd w:val="clear" w:color="auto" w:fill="auto"/>
            <w:noWrap/>
            <w:vAlign w:val="center"/>
          </w:tcPr>
          <w:p w14:paraId="0F3EFC86"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70%</w:t>
            </w:r>
          </w:p>
        </w:tc>
        <w:tc>
          <w:tcPr>
            <w:tcW w:w="960" w:type="dxa"/>
            <w:shd w:val="clear" w:color="auto" w:fill="auto"/>
            <w:noWrap/>
            <w:vAlign w:val="center"/>
          </w:tcPr>
          <w:p w14:paraId="7E6A5E60" w14:textId="415571AE"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9%</w:t>
            </w:r>
          </w:p>
        </w:tc>
        <w:tc>
          <w:tcPr>
            <w:tcW w:w="960" w:type="dxa"/>
            <w:shd w:val="clear" w:color="auto" w:fill="auto"/>
            <w:noWrap/>
            <w:vAlign w:val="center"/>
          </w:tcPr>
          <w:p w14:paraId="51B38490"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17%</w:t>
            </w:r>
          </w:p>
        </w:tc>
      </w:tr>
      <w:tr w:rsidR="00953185" w:rsidRPr="003835AE" w14:paraId="5490E427" w14:textId="77777777" w:rsidTr="009748AD">
        <w:trPr>
          <w:trHeight w:val="225"/>
          <w:jc w:val="center"/>
        </w:trPr>
        <w:tc>
          <w:tcPr>
            <w:tcW w:w="2860" w:type="dxa"/>
            <w:shd w:val="clear" w:color="auto" w:fill="auto"/>
            <w:noWrap/>
            <w:vAlign w:val="center"/>
          </w:tcPr>
          <w:p w14:paraId="3DD93DA2" w14:textId="77777777" w:rsidR="00953185" w:rsidRPr="00953185" w:rsidRDefault="00953185" w:rsidP="002540E9">
            <w:pPr>
              <w:spacing w:before="0" w:after="0"/>
              <w:ind w:firstLineChars="100" w:firstLine="160"/>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Renting – Public</w:t>
            </w:r>
          </w:p>
        </w:tc>
        <w:tc>
          <w:tcPr>
            <w:tcW w:w="960" w:type="dxa"/>
            <w:shd w:val="clear" w:color="auto" w:fill="auto"/>
            <w:noWrap/>
            <w:vAlign w:val="center"/>
          </w:tcPr>
          <w:p w14:paraId="521E4365" w14:textId="05C22CDD"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94%</w:t>
            </w:r>
          </w:p>
        </w:tc>
        <w:tc>
          <w:tcPr>
            <w:tcW w:w="960" w:type="dxa"/>
            <w:shd w:val="clear" w:color="auto" w:fill="auto"/>
            <w:noWrap/>
            <w:vAlign w:val="center"/>
          </w:tcPr>
          <w:p w14:paraId="6E0C67D5"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73%</w:t>
            </w:r>
          </w:p>
        </w:tc>
        <w:tc>
          <w:tcPr>
            <w:tcW w:w="960" w:type="dxa"/>
            <w:shd w:val="clear" w:color="auto" w:fill="auto"/>
            <w:noWrap/>
            <w:vAlign w:val="center"/>
          </w:tcPr>
          <w:p w14:paraId="6CF85707" w14:textId="6FDDAB24"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hAnsi="Arial" w:cs="Arial"/>
                <w:color w:val="000000"/>
                <w:sz w:val="16"/>
                <w:szCs w:val="16"/>
              </w:rPr>
              <w:t>18%</w:t>
            </w:r>
          </w:p>
        </w:tc>
        <w:tc>
          <w:tcPr>
            <w:tcW w:w="960" w:type="dxa"/>
            <w:shd w:val="clear" w:color="auto" w:fill="auto"/>
            <w:noWrap/>
            <w:vAlign w:val="center"/>
          </w:tcPr>
          <w:p w14:paraId="0E2FA31A" w14:textId="77777777" w:rsidR="00953185" w:rsidRPr="00953185" w:rsidRDefault="00953185">
            <w:pPr>
              <w:spacing w:before="0" w:after="0"/>
              <w:jc w:val="center"/>
              <w:rPr>
                <w:rFonts w:ascii="Arial" w:eastAsia="MS Mincho" w:hAnsi="Arial" w:cs="Arial"/>
                <w:color w:val="000000"/>
                <w:sz w:val="16"/>
                <w:szCs w:val="16"/>
                <w:lang w:val="en-AU" w:eastAsia="en-AU"/>
              </w:rPr>
            </w:pPr>
            <w:r w:rsidRPr="00953185">
              <w:rPr>
                <w:rFonts w:ascii="Arial" w:eastAsia="MS Mincho" w:hAnsi="Arial" w:cs="Arial"/>
                <w:color w:val="000000"/>
                <w:sz w:val="16"/>
                <w:szCs w:val="16"/>
                <w:lang w:val="en-AU" w:eastAsia="en-AU"/>
              </w:rPr>
              <w:t>29%</w:t>
            </w:r>
          </w:p>
        </w:tc>
      </w:tr>
      <w:tr w:rsidR="00953185" w:rsidRPr="003835AE" w14:paraId="7C65BFFE" w14:textId="77777777" w:rsidTr="009748AD">
        <w:trPr>
          <w:trHeight w:val="240"/>
          <w:jc w:val="center"/>
        </w:trPr>
        <w:tc>
          <w:tcPr>
            <w:tcW w:w="2860" w:type="dxa"/>
            <w:shd w:val="clear" w:color="auto" w:fill="auto"/>
            <w:noWrap/>
            <w:vAlign w:val="center"/>
          </w:tcPr>
          <w:p w14:paraId="558D7F7D" w14:textId="77777777" w:rsidR="00953185" w:rsidRPr="00953185" w:rsidRDefault="00953185" w:rsidP="002540E9">
            <w:pPr>
              <w:spacing w:before="0" w:after="0"/>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Total Households</w:t>
            </w:r>
          </w:p>
        </w:tc>
        <w:tc>
          <w:tcPr>
            <w:tcW w:w="960" w:type="dxa"/>
            <w:shd w:val="clear" w:color="auto" w:fill="auto"/>
            <w:noWrap/>
            <w:vAlign w:val="center"/>
          </w:tcPr>
          <w:p w14:paraId="3060B7A7" w14:textId="79F6B854" w:rsidR="00953185" w:rsidRPr="00953185" w:rsidRDefault="00953185">
            <w:pPr>
              <w:spacing w:before="0" w:after="0"/>
              <w:jc w:val="center"/>
              <w:rPr>
                <w:rFonts w:ascii="Arial" w:eastAsia="MS Mincho" w:hAnsi="Arial" w:cs="Arial"/>
                <w:b/>
                <w:color w:val="000000"/>
                <w:sz w:val="16"/>
                <w:szCs w:val="16"/>
                <w:lang w:val="en-AU" w:eastAsia="en-AU"/>
              </w:rPr>
            </w:pPr>
            <w:r w:rsidRPr="00953185">
              <w:rPr>
                <w:rFonts w:ascii="Arial" w:hAnsi="Arial" w:cs="Arial"/>
                <w:b/>
                <w:color w:val="000000"/>
                <w:sz w:val="16"/>
                <w:szCs w:val="16"/>
              </w:rPr>
              <w:t>97%</w:t>
            </w:r>
          </w:p>
        </w:tc>
        <w:tc>
          <w:tcPr>
            <w:tcW w:w="960" w:type="dxa"/>
            <w:shd w:val="clear" w:color="auto" w:fill="auto"/>
            <w:noWrap/>
            <w:vAlign w:val="center"/>
          </w:tcPr>
          <w:p w14:paraId="097241F6" w14:textId="77777777" w:rsidR="00953185" w:rsidRPr="00953185" w:rsidRDefault="00953185">
            <w:pPr>
              <w:spacing w:before="0" w:after="0"/>
              <w:jc w:val="center"/>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76%</w:t>
            </w:r>
          </w:p>
        </w:tc>
        <w:tc>
          <w:tcPr>
            <w:tcW w:w="960" w:type="dxa"/>
            <w:shd w:val="clear" w:color="auto" w:fill="auto"/>
            <w:noWrap/>
            <w:vAlign w:val="center"/>
          </w:tcPr>
          <w:p w14:paraId="7F5927FF" w14:textId="3B00877F" w:rsidR="00953185" w:rsidRPr="00953185" w:rsidRDefault="00953185">
            <w:pPr>
              <w:spacing w:before="0" w:after="0"/>
              <w:jc w:val="center"/>
              <w:rPr>
                <w:rFonts w:ascii="Arial" w:eastAsia="MS Mincho" w:hAnsi="Arial" w:cs="Arial"/>
                <w:b/>
                <w:color w:val="000000"/>
                <w:sz w:val="16"/>
                <w:szCs w:val="16"/>
                <w:lang w:val="en-AU" w:eastAsia="en-AU"/>
              </w:rPr>
            </w:pPr>
            <w:r w:rsidRPr="00953185">
              <w:rPr>
                <w:rFonts w:ascii="Arial" w:hAnsi="Arial" w:cs="Arial"/>
                <w:b/>
                <w:color w:val="000000"/>
                <w:sz w:val="16"/>
                <w:szCs w:val="16"/>
              </w:rPr>
              <w:t>7%</w:t>
            </w:r>
          </w:p>
        </w:tc>
        <w:tc>
          <w:tcPr>
            <w:tcW w:w="960" w:type="dxa"/>
            <w:shd w:val="clear" w:color="auto" w:fill="auto"/>
            <w:noWrap/>
            <w:vAlign w:val="center"/>
          </w:tcPr>
          <w:p w14:paraId="1A60533B" w14:textId="77777777" w:rsidR="00953185" w:rsidRPr="00953185" w:rsidRDefault="00953185">
            <w:pPr>
              <w:spacing w:before="0" w:after="0"/>
              <w:jc w:val="center"/>
              <w:rPr>
                <w:rFonts w:ascii="Arial" w:eastAsia="MS Mincho" w:hAnsi="Arial" w:cs="Arial"/>
                <w:b/>
                <w:bCs/>
                <w:color w:val="000000"/>
                <w:sz w:val="16"/>
                <w:szCs w:val="16"/>
                <w:lang w:val="en-AU" w:eastAsia="en-AU"/>
              </w:rPr>
            </w:pPr>
            <w:r w:rsidRPr="00953185">
              <w:rPr>
                <w:rFonts w:ascii="Arial" w:eastAsia="MS Mincho" w:hAnsi="Arial" w:cs="Arial"/>
                <w:b/>
                <w:bCs/>
                <w:color w:val="000000"/>
                <w:sz w:val="16"/>
                <w:szCs w:val="16"/>
                <w:lang w:val="en-AU" w:eastAsia="en-AU"/>
              </w:rPr>
              <w:t>13%</w:t>
            </w:r>
          </w:p>
        </w:tc>
      </w:tr>
    </w:tbl>
    <w:p w14:paraId="036D4EDF" w14:textId="0AF8186A" w:rsidR="009F2E43" w:rsidRPr="0015381B" w:rsidRDefault="009F2E43" w:rsidP="009F2E43">
      <w:pPr>
        <w:ind w:left="2160"/>
        <w:rPr>
          <w:sz w:val="20"/>
        </w:rPr>
      </w:pPr>
      <w:r w:rsidRPr="0015381B">
        <w:rPr>
          <w:sz w:val="20"/>
        </w:rPr>
        <w:t xml:space="preserve">Notes: </w:t>
      </w:r>
    </w:p>
    <w:p w14:paraId="68DC4FA8" w14:textId="6CBAC211" w:rsidR="009F2E43" w:rsidRPr="0015381B" w:rsidRDefault="009F2E43" w:rsidP="009F2E43">
      <w:pPr>
        <w:ind w:left="2160"/>
        <w:rPr>
          <w:sz w:val="20"/>
        </w:rPr>
      </w:pPr>
      <w:r w:rsidRPr="0015381B">
        <w:rPr>
          <w:sz w:val="20"/>
        </w:rPr>
        <w:t>The percentages for “Paid in Full”</w:t>
      </w:r>
      <w:r>
        <w:rPr>
          <w:sz w:val="20"/>
        </w:rPr>
        <w:t xml:space="preserve"> and</w:t>
      </w:r>
      <w:r w:rsidRPr="0015381B">
        <w:rPr>
          <w:sz w:val="20"/>
        </w:rPr>
        <w:t xml:space="preserve"> for “By Compulsory Instalment” in the table above </w:t>
      </w:r>
      <w:r>
        <w:rPr>
          <w:sz w:val="20"/>
        </w:rPr>
        <w:t xml:space="preserve">for 2014 </w:t>
      </w:r>
      <w:r w:rsidRPr="0015381B">
        <w:rPr>
          <w:sz w:val="20"/>
        </w:rPr>
        <w:t xml:space="preserve">are based to total </w:t>
      </w:r>
      <w:r w:rsidR="002A4B33">
        <w:rPr>
          <w:sz w:val="20"/>
        </w:rPr>
        <w:t xml:space="preserve">gas-using </w:t>
      </w:r>
      <w:r w:rsidRPr="0015381B">
        <w:rPr>
          <w:sz w:val="20"/>
        </w:rPr>
        <w:t>households where suppliers provided this information (n=1,</w:t>
      </w:r>
      <w:r>
        <w:rPr>
          <w:sz w:val="20"/>
        </w:rPr>
        <w:t>117</w:t>
      </w:r>
      <w:r w:rsidRPr="0015381B">
        <w:rPr>
          <w:sz w:val="20"/>
        </w:rPr>
        <w:t xml:space="preserve">). </w:t>
      </w:r>
    </w:p>
    <w:p w14:paraId="66E8D8D0" w14:textId="63C1F4CE" w:rsidR="009F2E43" w:rsidRDefault="009F2E43" w:rsidP="009F2E43">
      <w:pPr>
        <w:ind w:left="2160"/>
        <w:rPr>
          <w:sz w:val="20"/>
        </w:rPr>
      </w:pPr>
      <w:r w:rsidRPr="0015381B">
        <w:rPr>
          <w:sz w:val="20"/>
        </w:rPr>
        <w:t>Please note, there is no expectation that the two items in the table should add to 100%</w:t>
      </w:r>
      <w:r>
        <w:rPr>
          <w:sz w:val="20"/>
        </w:rPr>
        <w:t xml:space="preserve"> as</w:t>
      </w:r>
      <w:r w:rsidRPr="0015381B">
        <w:rPr>
          <w:sz w:val="20"/>
        </w:rPr>
        <w:t xml:space="preserve"> household</w:t>
      </w:r>
      <w:r>
        <w:rPr>
          <w:sz w:val="20"/>
        </w:rPr>
        <w:t>s</w:t>
      </w:r>
      <w:r w:rsidRPr="0015381B">
        <w:rPr>
          <w:sz w:val="20"/>
        </w:rPr>
        <w:t xml:space="preserve"> can appear in both columns. </w:t>
      </w:r>
    </w:p>
    <w:p w14:paraId="0DD29C46" w14:textId="77777777" w:rsidR="009F2E43" w:rsidRPr="0015381B" w:rsidRDefault="009F2E43" w:rsidP="009F2E43">
      <w:pPr>
        <w:ind w:left="2160"/>
        <w:rPr>
          <w:sz w:val="20"/>
        </w:rPr>
      </w:pPr>
      <w:r>
        <w:rPr>
          <w:sz w:val="20"/>
        </w:rPr>
        <w:t>Please also note that the “Instalment” data provided by suppliers in 2007 was in response to a slightly different data request. The 2007 “Instalment” data is therefore not directly comparable with 2014.</w:t>
      </w:r>
    </w:p>
    <w:p w14:paraId="4526FAB8" w14:textId="77777777" w:rsidR="009F2E43" w:rsidRPr="00953185" w:rsidRDefault="009F2E43" w:rsidP="009748AD">
      <w:pPr>
        <w:tabs>
          <w:tab w:val="left" w:pos="7655"/>
        </w:tabs>
        <w:spacing w:before="120" w:after="0"/>
        <w:ind w:left="3600"/>
        <w:jc w:val="both"/>
        <w:rPr>
          <w:lang w:val="en-AU"/>
        </w:rPr>
      </w:pPr>
    </w:p>
    <w:p w14:paraId="32436303" w14:textId="77777777" w:rsidR="00F5752D" w:rsidRPr="003835AE" w:rsidRDefault="00F5752D" w:rsidP="00D109F7">
      <w:pPr>
        <w:pStyle w:val="Para"/>
        <w:rPr>
          <w:b/>
          <w:highlight w:val="yellow"/>
          <w:lang w:val="en-AU"/>
        </w:rPr>
      </w:pPr>
    </w:p>
    <w:p w14:paraId="5E3A4A12" w14:textId="77777777" w:rsidR="00D109F7" w:rsidRPr="00CB7ECD" w:rsidRDefault="00D109F7" w:rsidP="00D109F7">
      <w:pPr>
        <w:pStyle w:val="Para"/>
        <w:rPr>
          <w:lang w:val="en-AU"/>
        </w:rPr>
      </w:pPr>
      <w:r w:rsidRPr="00CB7ECD">
        <w:rPr>
          <w:lang w:val="en-AU"/>
        </w:rPr>
        <w:t xml:space="preserve">Table 4.3.1.2 following shows the average annual gas consumption by </w:t>
      </w:r>
      <w:r w:rsidR="009670BC" w:rsidRPr="00CB7ECD">
        <w:rPr>
          <w:lang w:val="en-AU"/>
        </w:rPr>
        <w:t>concession status</w:t>
      </w:r>
      <w:r w:rsidRPr="00CB7ECD">
        <w:rPr>
          <w:lang w:val="en-AU"/>
        </w:rPr>
        <w:t xml:space="preserve"> and year.  In </w:t>
      </w:r>
      <w:r w:rsidR="00691EAE" w:rsidRPr="00CB7ECD">
        <w:rPr>
          <w:lang w:val="en-AU"/>
        </w:rPr>
        <w:t>20</w:t>
      </w:r>
      <w:r w:rsidR="00AD7058" w:rsidRPr="00CB7ECD">
        <w:rPr>
          <w:lang w:val="en-AU"/>
        </w:rPr>
        <w:t>14</w:t>
      </w:r>
      <w:r w:rsidRPr="00CB7ECD">
        <w:rPr>
          <w:lang w:val="en-AU"/>
        </w:rPr>
        <w:t xml:space="preserve">, each household on average consumed </w:t>
      </w:r>
      <w:r w:rsidR="00AD7058" w:rsidRPr="00CB7ECD">
        <w:rPr>
          <w:lang w:val="en-AU"/>
        </w:rPr>
        <w:t>4</w:t>
      </w:r>
      <w:r w:rsidR="00CB7ECD" w:rsidRPr="00CB7ECD">
        <w:rPr>
          <w:lang w:val="en-AU"/>
        </w:rPr>
        <w:t>6</w:t>
      </w:r>
      <w:r w:rsidR="00AD7058" w:rsidRPr="00CB7ECD">
        <w:rPr>
          <w:lang w:val="en-AU"/>
        </w:rPr>
        <w:t>,</w:t>
      </w:r>
      <w:r w:rsidR="00CB7ECD" w:rsidRPr="00CB7ECD">
        <w:rPr>
          <w:lang w:val="en-AU"/>
        </w:rPr>
        <w:t>845</w:t>
      </w:r>
      <w:r w:rsidR="00AD7058" w:rsidRPr="00CB7ECD">
        <w:rPr>
          <w:lang w:val="en-AU"/>
        </w:rPr>
        <w:t xml:space="preserve"> MJ, compared with </w:t>
      </w:r>
      <w:r w:rsidRPr="00CB7ECD">
        <w:rPr>
          <w:lang w:val="en-AU"/>
        </w:rPr>
        <w:t xml:space="preserve">62,529 </w:t>
      </w:r>
      <w:r w:rsidR="00B14ADF" w:rsidRPr="00CB7ECD">
        <w:rPr>
          <w:lang w:val="en-AU"/>
        </w:rPr>
        <w:t xml:space="preserve">in 2007, </w:t>
      </w:r>
      <w:r w:rsidRPr="00CB7ECD">
        <w:rPr>
          <w:lang w:val="en-AU"/>
        </w:rPr>
        <w:t xml:space="preserve">59,415 </w:t>
      </w:r>
      <w:r w:rsidR="001A2A49" w:rsidRPr="00CB7ECD">
        <w:rPr>
          <w:lang w:val="en-AU"/>
        </w:rPr>
        <w:t>MJ</w:t>
      </w:r>
      <w:r w:rsidRPr="00CB7ECD">
        <w:rPr>
          <w:lang w:val="en-AU"/>
        </w:rPr>
        <w:t xml:space="preserve"> in 2001 and 54,851 </w:t>
      </w:r>
      <w:r w:rsidR="001A2A49" w:rsidRPr="00CB7ECD">
        <w:rPr>
          <w:lang w:val="en-AU"/>
        </w:rPr>
        <w:t>MJ</w:t>
      </w:r>
      <w:r w:rsidRPr="00CB7ECD">
        <w:rPr>
          <w:lang w:val="en-AU"/>
        </w:rPr>
        <w:t xml:space="preserve"> in 1996.  This represents an average </w:t>
      </w:r>
      <w:r w:rsidR="00B14ADF" w:rsidRPr="00CB7ECD">
        <w:rPr>
          <w:lang w:val="en-AU"/>
        </w:rPr>
        <w:t xml:space="preserve">decrease in </w:t>
      </w:r>
      <w:r w:rsidRPr="00CB7ECD">
        <w:rPr>
          <w:lang w:val="en-AU"/>
        </w:rPr>
        <w:t xml:space="preserve">consumption per household of </w:t>
      </w:r>
      <w:r w:rsidR="00B14ADF" w:rsidRPr="00CB7ECD">
        <w:rPr>
          <w:lang w:val="en-AU"/>
        </w:rPr>
        <w:t>2</w:t>
      </w:r>
      <w:r w:rsidR="00CB7ECD" w:rsidRPr="00CB7ECD">
        <w:rPr>
          <w:lang w:val="en-AU"/>
        </w:rPr>
        <w:t>5.1</w:t>
      </w:r>
      <w:r w:rsidR="00B14ADF" w:rsidRPr="00CB7ECD">
        <w:rPr>
          <w:lang w:val="en-AU"/>
        </w:rPr>
        <w:t xml:space="preserve">% since the 2007 survey, compared with average increase of </w:t>
      </w:r>
      <w:r w:rsidRPr="00CB7ECD">
        <w:rPr>
          <w:lang w:val="en-AU"/>
        </w:rPr>
        <w:t xml:space="preserve">5.3% from 2001 to </w:t>
      </w:r>
      <w:r w:rsidR="00691EAE" w:rsidRPr="00CB7ECD">
        <w:rPr>
          <w:lang w:val="en-AU"/>
        </w:rPr>
        <w:t>2007</w:t>
      </w:r>
      <w:r w:rsidRPr="00CB7ECD">
        <w:rPr>
          <w:lang w:val="en-AU"/>
        </w:rPr>
        <w:t xml:space="preserve"> </w:t>
      </w:r>
      <w:r w:rsidR="00B14ADF" w:rsidRPr="00CB7ECD">
        <w:rPr>
          <w:lang w:val="en-AU"/>
        </w:rPr>
        <w:t xml:space="preserve">and 8.3% </w:t>
      </w:r>
      <w:r w:rsidRPr="00CB7ECD">
        <w:rPr>
          <w:lang w:val="en-AU"/>
        </w:rPr>
        <w:t xml:space="preserve">from 1996. </w:t>
      </w:r>
      <w:r w:rsidR="008E71D8" w:rsidRPr="00CB7ECD">
        <w:rPr>
          <w:lang w:val="en-AU"/>
        </w:rPr>
        <w:t xml:space="preserve"> This decrease in consumption was consistent across the various sub groups, with the only one differing </w:t>
      </w:r>
      <w:r w:rsidR="008A1E4C" w:rsidRPr="00CB7ECD">
        <w:rPr>
          <w:lang w:val="en-AU"/>
        </w:rPr>
        <w:t>substantially</w:t>
      </w:r>
      <w:r w:rsidR="008E71D8" w:rsidRPr="00CB7ECD">
        <w:rPr>
          <w:lang w:val="en-AU"/>
        </w:rPr>
        <w:t xml:space="preserve"> being single person households (down 20.</w:t>
      </w:r>
      <w:r w:rsidR="00CB7ECD" w:rsidRPr="00CB7ECD">
        <w:rPr>
          <w:lang w:val="en-AU"/>
        </w:rPr>
        <w:t>0</w:t>
      </w:r>
      <w:r w:rsidR="008E71D8" w:rsidRPr="00CB7ECD">
        <w:rPr>
          <w:lang w:val="en-AU"/>
        </w:rPr>
        <w:t>%).</w:t>
      </w:r>
    </w:p>
    <w:p w14:paraId="7D388886" w14:textId="77777777" w:rsidR="00D109F7" w:rsidRPr="003835AE" w:rsidRDefault="00D109F7" w:rsidP="00D109F7">
      <w:pPr>
        <w:pStyle w:val="Para"/>
        <w:rPr>
          <w:highlight w:val="yellow"/>
          <w:lang w:val="en-AU"/>
        </w:rPr>
      </w:pPr>
    </w:p>
    <w:p w14:paraId="59CA459C" w14:textId="77777777" w:rsidR="00877FC7" w:rsidRDefault="00877FC7">
      <w:pPr>
        <w:spacing w:before="0" w:after="0"/>
        <w:rPr>
          <w:lang w:val="en-AU"/>
        </w:rPr>
      </w:pPr>
      <w:r>
        <w:rPr>
          <w:lang w:val="en-AU"/>
        </w:rPr>
        <w:br w:type="page"/>
      </w:r>
    </w:p>
    <w:p w14:paraId="7CDA83C6" w14:textId="6ACD4BA9" w:rsidR="009E6A8A" w:rsidRPr="00A32FA3" w:rsidRDefault="009E6A8A" w:rsidP="00D109F7">
      <w:pPr>
        <w:pStyle w:val="Para"/>
        <w:rPr>
          <w:lang w:val="en-AU"/>
        </w:rPr>
      </w:pPr>
      <w:r w:rsidRPr="00A32FA3">
        <w:rPr>
          <w:lang w:val="en-AU"/>
        </w:rPr>
        <w:lastRenderedPageBreak/>
        <w:t xml:space="preserve">Possible explanations </w:t>
      </w:r>
      <w:r w:rsidR="003C5FD9" w:rsidRPr="00A32FA3">
        <w:rPr>
          <w:lang w:val="en-AU"/>
        </w:rPr>
        <w:t>for the decline in gas consumption could include</w:t>
      </w:r>
      <w:r w:rsidR="002A4B33">
        <w:rPr>
          <w:lang w:val="en-AU"/>
        </w:rPr>
        <w:t>:</w:t>
      </w:r>
      <w:r w:rsidRPr="00A32FA3">
        <w:rPr>
          <w:lang w:val="en-AU"/>
        </w:rPr>
        <w:t xml:space="preserve"> </w:t>
      </w:r>
      <w:r w:rsidR="0067791B" w:rsidRPr="00A32FA3">
        <w:rPr>
          <w:lang w:val="en-AU"/>
        </w:rPr>
        <w:t xml:space="preserve">weather differences between the years, </w:t>
      </w:r>
      <w:r w:rsidR="003C5FD9" w:rsidRPr="00A32FA3">
        <w:rPr>
          <w:lang w:val="en-AU"/>
        </w:rPr>
        <w:t xml:space="preserve">an increase in solar hot water systems, </w:t>
      </w:r>
      <w:r w:rsidRPr="00A32FA3">
        <w:rPr>
          <w:lang w:val="en-AU"/>
        </w:rPr>
        <w:t xml:space="preserve">an increase in the use of gas-efficient appliances, increased media focus on climate change having an impact, </w:t>
      </w:r>
      <w:r w:rsidR="003C5FD9" w:rsidRPr="00A32FA3">
        <w:rPr>
          <w:lang w:val="en-AU"/>
        </w:rPr>
        <w:t xml:space="preserve">an increase in households that generate their own electricity switching some of their energy usage from gas to solar electricity, </w:t>
      </w:r>
      <w:r w:rsidRPr="00A32FA3">
        <w:rPr>
          <w:lang w:val="en-AU"/>
        </w:rPr>
        <w:t>and the impact of significantly higher per unit gas prices (an increase of approximately 90% between 2007 and 2014</w:t>
      </w:r>
      <w:r w:rsidR="0067791B" w:rsidRPr="00A32FA3">
        <w:rPr>
          <w:lang w:val="en-AU"/>
        </w:rPr>
        <w:t>)</w:t>
      </w:r>
      <w:r w:rsidRPr="00A32FA3">
        <w:rPr>
          <w:lang w:val="en-AU"/>
        </w:rPr>
        <w:t>.</w:t>
      </w:r>
      <w:r w:rsidR="003C5FD9" w:rsidRPr="00A32FA3">
        <w:rPr>
          <w:lang w:val="en-AU"/>
        </w:rPr>
        <w:t xml:space="preserve">  </w:t>
      </w:r>
    </w:p>
    <w:p w14:paraId="1C33A189" w14:textId="77777777" w:rsidR="003C5FD9" w:rsidRPr="00A32FA3" w:rsidRDefault="003C5FD9" w:rsidP="00D109F7">
      <w:pPr>
        <w:pStyle w:val="Para"/>
        <w:rPr>
          <w:lang w:val="en-AU"/>
        </w:rPr>
      </w:pPr>
    </w:p>
    <w:p w14:paraId="63826234" w14:textId="7AA2B039" w:rsidR="00D109F7" w:rsidRPr="003835AE" w:rsidRDefault="00D109F7" w:rsidP="00D109F7">
      <w:pPr>
        <w:pStyle w:val="Para"/>
        <w:rPr>
          <w:highlight w:val="yellow"/>
          <w:lang w:val="en-AU"/>
        </w:rPr>
      </w:pPr>
      <w:r w:rsidRPr="00CB7ECD">
        <w:rPr>
          <w:lang w:val="en-AU"/>
        </w:rPr>
        <w:t>When 20</w:t>
      </w:r>
      <w:r w:rsidR="00C337B0" w:rsidRPr="00CB7ECD">
        <w:rPr>
          <w:lang w:val="en-AU"/>
        </w:rPr>
        <w:t>14</w:t>
      </w:r>
      <w:r w:rsidRPr="00CB7ECD">
        <w:rPr>
          <w:lang w:val="en-AU"/>
        </w:rPr>
        <w:t xml:space="preserve"> data was analysed by winter and summer consumption</w:t>
      </w:r>
      <w:r w:rsidR="001642EF" w:rsidRPr="00CB7ECD">
        <w:rPr>
          <w:rStyle w:val="FootnoteReference"/>
          <w:lang w:val="en-AU"/>
        </w:rPr>
        <w:footnoteReference w:id="8"/>
      </w:r>
      <w:r w:rsidRPr="00CB7ECD">
        <w:rPr>
          <w:lang w:val="en-AU"/>
        </w:rPr>
        <w:t xml:space="preserve">, on average winter month gas consumption was </w:t>
      </w:r>
      <w:r w:rsidR="00CB7ECD" w:rsidRPr="00CB7ECD">
        <w:rPr>
          <w:lang w:val="en-AU"/>
        </w:rPr>
        <w:t>2.8</w:t>
      </w:r>
      <w:r w:rsidRPr="00CB7ECD">
        <w:rPr>
          <w:lang w:val="en-AU"/>
        </w:rPr>
        <w:t xml:space="preserve"> times greater than summer month gas consumption</w:t>
      </w:r>
      <w:r w:rsidR="00302B22" w:rsidRPr="00CB7ECD">
        <w:rPr>
          <w:lang w:val="en-AU"/>
        </w:rPr>
        <w:t xml:space="preserve"> (in 200</w:t>
      </w:r>
      <w:r w:rsidR="00C337B0" w:rsidRPr="00CB7ECD">
        <w:rPr>
          <w:lang w:val="en-AU"/>
        </w:rPr>
        <w:t>7</w:t>
      </w:r>
      <w:r w:rsidR="00302B22" w:rsidRPr="00CB7ECD">
        <w:rPr>
          <w:lang w:val="en-AU"/>
        </w:rPr>
        <w:t xml:space="preserve"> the disparity was </w:t>
      </w:r>
      <w:r w:rsidR="00C337B0" w:rsidRPr="00CB7ECD">
        <w:rPr>
          <w:lang w:val="en-AU"/>
        </w:rPr>
        <w:t xml:space="preserve">3.6, and in 2001 it was </w:t>
      </w:r>
      <w:r w:rsidR="00302B22" w:rsidRPr="00CB7ECD">
        <w:rPr>
          <w:lang w:val="en-AU"/>
        </w:rPr>
        <w:t>2.9)</w:t>
      </w:r>
      <w:r w:rsidRPr="00CB7ECD">
        <w:rPr>
          <w:lang w:val="en-AU"/>
        </w:rPr>
        <w:t xml:space="preserve">.  This </w:t>
      </w:r>
      <w:r w:rsidR="006142BD">
        <w:rPr>
          <w:lang w:val="en-AU"/>
        </w:rPr>
        <w:t xml:space="preserve">result </w:t>
      </w:r>
      <w:r w:rsidRPr="00CB7ECD">
        <w:rPr>
          <w:lang w:val="en-AU"/>
        </w:rPr>
        <w:t>did not vary substantially by sub-group</w:t>
      </w:r>
      <w:r w:rsidR="006142BD">
        <w:rPr>
          <w:lang w:val="en-AU"/>
        </w:rPr>
        <w:t>.</w:t>
      </w:r>
      <w:r w:rsidR="003C5FD9">
        <w:rPr>
          <w:lang w:val="en-AU"/>
        </w:rPr>
        <w:t xml:space="preserve">  This suggests that the 2007 winter may have been more severe than either 2014’s or 2001’s winter.</w:t>
      </w:r>
    </w:p>
    <w:p w14:paraId="1BFE586F" w14:textId="77777777" w:rsidR="00302B22" w:rsidRPr="003835AE" w:rsidRDefault="00302B22" w:rsidP="001642EF">
      <w:pPr>
        <w:pStyle w:val="Para"/>
        <w:spacing w:before="120" w:line="200" w:lineRule="exact"/>
        <w:rPr>
          <w:b/>
          <w:sz w:val="20"/>
          <w:highlight w:val="yellow"/>
          <w:lang w:val="en-AU"/>
        </w:rPr>
        <w:sectPr w:rsidR="00302B22" w:rsidRPr="003835AE" w:rsidSect="00AF204F">
          <w:footnotePr>
            <w:numRestart w:val="eachPage"/>
          </w:footnotePr>
          <w:pgSz w:w="16840" w:h="11907" w:orient="landscape" w:code="9"/>
          <w:pgMar w:top="1701" w:right="1418" w:bottom="1418" w:left="851" w:header="851" w:footer="170" w:gutter="0"/>
          <w:cols w:space="720"/>
          <w:formProt w:val="0"/>
        </w:sectPr>
      </w:pPr>
    </w:p>
    <w:p w14:paraId="07935140" w14:textId="77777777" w:rsidR="00D109F7" w:rsidRPr="00CB7ECD" w:rsidRDefault="00D109F7" w:rsidP="00F15A9B">
      <w:pPr>
        <w:spacing w:before="0" w:after="120" w:line="340" w:lineRule="exact"/>
        <w:jc w:val="center"/>
        <w:rPr>
          <w:b/>
          <w:u w:val="single"/>
          <w:lang w:val="en-AU"/>
        </w:rPr>
      </w:pPr>
      <w:r w:rsidRPr="00CB7ECD">
        <w:rPr>
          <w:b/>
          <w:lang w:val="en-AU"/>
        </w:rPr>
        <w:lastRenderedPageBreak/>
        <w:t xml:space="preserve">Table 4.3.1.2: </w:t>
      </w:r>
      <w:r w:rsidRPr="00CB7ECD">
        <w:rPr>
          <w:b/>
          <w:u w:val="single"/>
          <w:lang w:val="en-AU"/>
        </w:rPr>
        <w:t>Average Annual Gas Consumption (Megajoules)</w:t>
      </w:r>
    </w:p>
    <w:tbl>
      <w:tblPr>
        <w:tblW w:w="12793" w:type="dxa"/>
        <w:jc w:val="center"/>
        <w:tblLayout w:type="fixed"/>
        <w:tblLook w:val="04A0" w:firstRow="1" w:lastRow="0" w:firstColumn="1" w:lastColumn="0" w:noHBand="0" w:noVBand="1"/>
      </w:tblPr>
      <w:tblGrid>
        <w:gridCol w:w="2268"/>
        <w:gridCol w:w="954"/>
        <w:gridCol w:w="747"/>
        <w:gridCol w:w="825"/>
        <w:gridCol w:w="857"/>
        <w:gridCol w:w="734"/>
        <w:gridCol w:w="734"/>
        <w:gridCol w:w="857"/>
        <w:gridCol w:w="734"/>
        <w:gridCol w:w="734"/>
        <w:gridCol w:w="775"/>
        <w:gridCol w:w="873"/>
        <w:gridCol w:w="850"/>
        <w:gridCol w:w="851"/>
      </w:tblGrid>
      <w:tr w:rsidR="00086B9C" w:rsidRPr="00CB7ECD" w14:paraId="1CEB010A" w14:textId="77777777" w:rsidTr="00B16465">
        <w:trPr>
          <w:cantSplit/>
          <w:trHeight w:val="240"/>
          <w:tblHeader/>
          <w:jc w:val="center"/>
        </w:trPr>
        <w:tc>
          <w:tcPr>
            <w:tcW w:w="2268" w:type="dxa"/>
            <w:tcBorders>
              <w:top w:val="double" w:sz="6" w:space="0" w:color="auto"/>
              <w:left w:val="double" w:sz="6" w:space="0" w:color="auto"/>
              <w:bottom w:val="single" w:sz="4" w:space="0" w:color="BFBFBF"/>
              <w:right w:val="nil"/>
            </w:tcBorders>
            <w:shd w:val="clear" w:color="auto" w:fill="auto"/>
            <w:noWrap/>
            <w:vAlign w:val="center"/>
          </w:tcPr>
          <w:p w14:paraId="39A0BD32"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951" w:type="dxa"/>
            <w:gridSpan w:val="10"/>
            <w:tcBorders>
              <w:top w:val="double" w:sz="6" w:space="0" w:color="auto"/>
              <w:left w:val="single" w:sz="4" w:space="0" w:color="auto"/>
              <w:bottom w:val="single" w:sz="4" w:space="0" w:color="BFBFBF"/>
              <w:right w:val="single" w:sz="4" w:space="0" w:color="BFBFBF"/>
            </w:tcBorders>
            <w:shd w:val="clear" w:color="auto" w:fill="auto"/>
            <w:noWrap/>
            <w:vAlign w:val="center"/>
          </w:tcPr>
          <w:p w14:paraId="668702CD" w14:textId="77777777" w:rsidR="00086B9C" w:rsidRPr="00CB7ECD" w:rsidRDefault="00086B9C"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Average Annual Gas Consumption (Megajoules)</w:t>
            </w:r>
          </w:p>
        </w:tc>
        <w:tc>
          <w:tcPr>
            <w:tcW w:w="2574" w:type="dxa"/>
            <w:gridSpan w:val="3"/>
            <w:tcBorders>
              <w:top w:val="double" w:sz="6" w:space="0" w:color="auto"/>
              <w:left w:val="single" w:sz="4" w:space="0" w:color="auto"/>
              <w:bottom w:val="single" w:sz="4" w:space="0" w:color="BFBFBF"/>
              <w:right w:val="double" w:sz="6" w:space="0" w:color="000000"/>
            </w:tcBorders>
            <w:shd w:val="clear" w:color="auto" w:fill="auto"/>
            <w:noWrap/>
            <w:vAlign w:val="bottom"/>
          </w:tcPr>
          <w:p w14:paraId="648351EE" w14:textId="77777777" w:rsidR="00086B9C" w:rsidRPr="00CB7ECD" w:rsidRDefault="00086B9C"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 Growth</w:t>
            </w:r>
          </w:p>
        </w:tc>
      </w:tr>
      <w:tr w:rsidR="00F614A0" w:rsidRPr="00CB7ECD" w14:paraId="76F39E2B" w14:textId="77777777" w:rsidTr="00B16465">
        <w:trPr>
          <w:cantSplit/>
          <w:trHeight w:val="225"/>
          <w:tblHeader/>
          <w:jc w:val="center"/>
        </w:trPr>
        <w:tc>
          <w:tcPr>
            <w:tcW w:w="2268" w:type="dxa"/>
            <w:tcBorders>
              <w:top w:val="nil"/>
              <w:left w:val="double" w:sz="6" w:space="0" w:color="auto"/>
              <w:bottom w:val="single" w:sz="4" w:space="0" w:color="BFBFBF"/>
              <w:right w:val="nil"/>
            </w:tcBorders>
            <w:shd w:val="clear" w:color="auto" w:fill="auto"/>
            <w:noWrap/>
            <w:vAlign w:val="center"/>
          </w:tcPr>
          <w:p w14:paraId="7E938D7C" w14:textId="77777777" w:rsidR="00F614A0" w:rsidRPr="00CB7ECD" w:rsidRDefault="00F614A0"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2526" w:type="dxa"/>
            <w:gridSpan w:val="3"/>
            <w:tcBorders>
              <w:top w:val="single" w:sz="4" w:space="0" w:color="BFBFBF"/>
              <w:left w:val="single" w:sz="4" w:space="0" w:color="auto"/>
              <w:bottom w:val="single" w:sz="4" w:space="0" w:color="BFBFBF"/>
              <w:right w:val="single" w:sz="4" w:space="0" w:color="BFBFBF"/>
            </w:tcBorders>
            <w:shd w:val="clear" w:color="auto" w:fill="auto"/>
            <w:noWrap/>
            <w:vAlign w:val="center"/>
          </w:tcPr>
          <w:p w14:paraId="7DA7B85E" w14:textId="77777777" w:rsidR="00F614A0" w:rsidRPr="00CB7ECD" w:rsidRDefault="00F614A0"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2014</w:t>
            </w:r>
          </w:p>
        </w:tc>
        <w:tc>
          <w:tcPr>
            <w:tcW w:w="2325" w:type="dxa"/>
            <w:gridSpan w:val="3"/>
            <w:tcBorders>
              <w:top w:val="single" w:sz="4" w:space="0" w:color="BFBFBF"/>
              <w:left w:val="single" w:sz="4" w:space="0" w:color="auto"/>
              <w:bottom w:val="single" w:sz="4" w:space="0" w:color="BFBFBF"/>
              <w:right w:val="single" w:sz="4" w:space="0" w:color="000000"/>
            </w:tcBorders>
            <w:shd w:val="clear" w:color="auto" w:fill="auto"/>
            <w:noWrap/>
            <w:vAlign w:val="center"/>
          </w:tcPr>
          <w:p w14:paraId="2658E4C3" w14:textId="77777777" w:rsidR="00F614A0" w:rsidRPr="00CB7ECD" w:rsidRDefault="00F614A0"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2007</w:t>
            </w:r>
          </w:p>
        </w:tc>
        <w:tc>
          <w:tcPr>
            <w:tcW w:w="2325" w:type="dxa"/>
            <w:gridSpan w:val="3"/>
            <w:tcBorders>
              <w:top w:val="single" w:sz="4" w:space="0" w:color="BFBFBF"/>
              <w:left w:val="nil"/>
              <w:bottom w:val="single" w:sz="4" w:space="0" w:color="BFBFBF"/>
              <w:right w:val="single" w:sz="4" w:space="0" w:color="000000"/>
            </w:tcBorders>
            <w:shd w:val="clear" w:color="auto" w:fill="auto"/>
            <w:noWrap/>
            <w:vAlign w:val="center"/>
          </w:tcPr>
          <w:p w14:paraId="3B4CD4FF" w14:textId="77777777" w:rsidR="00F614A0" w:rsidRPr="00CB7ECD" w:rsidRDefault="00F614A0"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2001</w:t>
            </w:r>
          </w:p>
        </w:tc>
        <w:tc>
          <w:tcPr>
            <w:tcW w:w="775" w:type="dxa"/>
            <w:vMerge w:val="restart"/>
            <w:tcBorders>
              <w:top w:val="nil"/>
              <w:left w:val="nil"/>
              <w:bottom w:val="single" w:sz="4" w:space="0" w:color="BFBFBF"/>
              <w:right w:val="nil"/>
            </w:tcBorders>
            <w:shd w:val="clear" w:color="auto" w:fill="auto"/>
            <w:vAlign w:val="center"/>
          </w:tcPr>
          <w:p w14:paraId="0D941168" w14:textId="77777777" w:rsidR="00F614A0" w:rsidRPr="00CB7ECD" w:rsidRDefault="00F614A0"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1996</w:t>
            </w:r>
            <w:r w:rsidRPr="00CB7ECD">
              <w:rPr>
                <w:rFonts w:ascii="Arial" w:hAnsi="Arial" w:cs="Arial"/>
                <w:b/>
                <w:bCs/>
                <w:color w:val="000000"/>
                <w:sz w:val="16"/>
                <w:szCs w:val="16"/>
                <w:lang w:val="en-AU" w:eastAsia="en-AU"/>
              </w:rPr>
              <w:br/>
            </w:r>
            <w:r w:rsidRPr="00CB7ECD">
              <w:rPr>
                <w:rFonts w:ascii="Arial" w:hAnsi="Arial" w:cs="Arial"/>
                <w:b/>
                <w:bCs/>
                <w:color w:val="000000"/>
                <w:sz w:val="16"/>
                <w:szCs w:val="16"/>
                <w:lang w:val="en-AU" w:eastAsia="en-AU"/>
              </w:rPr>
              <w:br/>
            </w:r>
            <w:r w:rsidRPr="00CB7ECD">
              <w:rPr>
                <w:rFonts w:ascii="Arial" w:hAnsi="Arial" w:cs="Arial"/>
                <w:b/>
                <w:bCs/>
                <w:color w:val="000000"/>
                <w:sz w:val="14"/>
                <w:szCs w:val="14"/>
                <w:lang w:val="en-AU" w:eastAsia="en-AU"/>
              </w:rPr>
              <w:t>n=1,768</w:t>
            </w:r>
          </w:p>
        </w:tc>
        <w:tc>
          <w:tcPr>
            <w:tcW w:w="873" w:type="dxa"/>
            <w:vMerge w:val="restart"/>
            <w:tcBorders>
              <w:top w:val="nil"/>
              <w:left w:val="single" w:sz="4" w:space="0" w:color="auto"/>
              <w:bottom w:val="single" w:sz="4" w:space="0" w:color="BFBFBF"/>
              <w:right w:val="single" w:sz="4" w:space="0" w:color="BFBFBF"/>
            </w:tcBorders>
            <w:shd w:val="clear" w:color="auto" w:fill="auto"/>
            <w:vAlign w:val="center"/>
          </w:tcPr>
          <w:p w14:paraId="046C834C" w14:textId="77777777" w:rsidR="00F614A0" w:rsidRPr="00CB7ECD" w:rsidRDefault="00F614A0"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 Growth from 2007 to 2014</w:t>
            </w:r>
          </w:p>
        </w:tc>
        <w:tc>
          <w:tcPr>
            <w:tcW w:w="850" w:type="dxa"/>
            <w:vMerge w:val="restart"/>
            <w:tcBorders>
              <w:top w:val="nil"/>
              <w:left w:val="single" w:sz="4" w:space="0" w:color="BFBFBF"/>
              <w:bottom w:val="single" w:sz="4" w:space="0" w:color="BFBFBF"/>
              <w:right w:val="single" w:sz="4" w:space="0" w:color="BFBFBF"/>
            </w:tcBorders>
            <w:shd w:val="clear" w:color="auto" w:fill="auto"/>
            <w:vAlign w:val="center"/>
          </w:tcPr>
          <w:p w14:paraId="51F5BD25" w14:textId="77777777" w:rsidR="00F614A0" w:rsidRPr="00CB7ECD" w:rsidRDefault="00F614A0"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 Growth from 2001 to 2007</w:t>
            </w:r>
          </w:p>
        </w:tc>
        <w:tc>
          <w:tcPr>
            <w:tcW w:w="851" w:type="dxa"/>
            <w:vMerge w:val="restart"/>
            <w:tcBorders>
              <w:top w:val="nil"/>
              <w:left w:val="single" w:sz="4" w:space="0" w:color="BFBFBF"/>
              <w:bottom w:val="single" w:sz="4" w:space="0" w:color="BFBFBF"/>
              <w:right w:val="double" w:sz="6" w:space="0" w:color="auto"/>
            </w:tcBorders>
            <w:shd w:val="clear" w:color="auto" w:fill="auto"/>
            <w:vAlign w:val="center"/>
          </w:tcPr>
          <w:p w14:paraId="5B6619AB" w14:textId="77777777" w:rsidR="00F614A0" w:rsidRPr="00CB7ECD" w:rsidRDefault="00F614A0"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 Growth from 1996 to 2001</w:t>
            </w:r>
          </w:p>
        </w:tc>
      </w:tr>
      <w:tr w:rsidR="00086B9C" w:rsidRPr="00CB7ECD" w14:paraId="645D9E9E" w14:textId="77777777" w:rsidTr="00B16465">
        <w:trPr>
          <w:cantSplit/>
          <w:trHeight w:val="225"/>
          <w:tblHeader/>
          <w:jc w:val="center"/>
        </w:trPr>
        <w:tc>
          <w:tcPr>
            <w:tcW w:w="2268" w:type="dxa"/>
            <w:tcBorders>
              <w:top w:val="nil"/>
              <w:left w:val="double" w:sz="6" w:space="0" w:color="auto"/>
              <w:bottom w:val="single" w:sz="4" w:space="0" w:color="BFBFBF"/>
              <w:right w:val="nil"/>
            </w:tcBorders>
            <w:shd w:val="clear" w:color="auto" w:fill="auto"/>
            <w:noWrap/>
            <w:vAlign w:val="center"/>
          </w:tcPr>
          <w:p w14:paraId="7B07CAC8"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74FB61E6" w14:textId="77777777" w:rsidR="00086B9C" w:rsidRPr="00CB7ECD" w:rsidRDefault="00086B9C"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Summer</w:t>
            </w:r>
          </w:p>
        </w:tc>
        <w:tc>
          <w:tcPr>
            <w:tcW w:w="747" w:type="dxa"/>
            <w:tcBorders>
              <w:top w:val="nil"/>
              <w:left w:val="nil"/>
              <w:bottom w:val="single" w:sz="4" w:space="0" w:color="BFBFBF"/>
              <w:right w:val="single" w:sz="4" w:space="0" w:color="BFBFBF"/>
            </w:tcBorders>
            <w:shd w:val="clear" w:color="auto" w:fill="auto"/>
            <w:noWrap/>
            <w:vAlign w:val="center"/>
          </w:tcPr>
          <w:p w14:paraId="6AE7AF82" w14:textId="77777777" w:rsidR="00086B9C" w:rsidRPr="00CB7ECD" w:rsidRDefault="00086B9C"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Winter</w:t>
            </w:r>
          </w:p>
        </w:tc>
        <w:tc>
          <w:tcPr>
            <w:tcW w:w="825" w:type="dxa"/>
            <w:tcBorders>
              <w:top w:val="nil"/>
              <w:left w:val="nil"/>
              <w:bottom w:val="single" w:sz="4" w:space="0" w:color="BFBFBF"/>
              <w:right w:val="nil"/>
            </w:tcBorders>
            <w:shd w:val="clear" w:color="auto" w:fill="auto"/>
            <w:noWrap/>
            <w:vAlign w:val="center"/>
          </w:tcPr>
          <w:p w14:paraId="55451146" w14:textId="77777777" w:rsidR="00086B9C" w:rsidRPr="00CB7ECD" w:rsidRDefault="00086B9C"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Total</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5B49ECB" w14:textId="77777777" w:rsidR="00086B9C" w:rsidRPr="00CB7ECD" w:rsidRDefault="00086B9C"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Summer</w:t>
            </w:r>
          </w:p>
        </w:tc>
        <w:tc>
          <w:tcPr>
            <w:tcW w:w="734" w:type="dxa"/>
            <w:tcBorders>
              <w:top w:val="nil"/>
              <w:left w:val="nil"/>
              <w:bottom w:val="single" w:sz="4" w:space="0" w:color="BFBFBF"/>
              <w:right w:val="single" w:sz="4" w:space="0" w:color="BFBFBF"/>
            </w:tcBorders>
            <w:shd w:val="clear" w:color="auto" w:fill="auto"/>
            <w:noWrap/>
            <w:vAlign w:val="center"/>
          </w:tcPr>
          <w:p w14:paraId="0D3CAEF6" w14:textId="77777777" w:rsidR="00086B9C" w:rsidRPr="00CB7ECD" w:rsidRDefault="00086B9C"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Winter</w:t>
            </w:r>
          </w:p>
        </w:tc>
        <w:tc>
          <w:tcPr>
            <w:tcW w:w="734" w:type="dxa"/>
            <w:tcBorders>
              <w:top w:val="nil"/>
              <w:left w:val="nil"/>
              <w:bottom w:val="single" w:sz="4" w:space="0" w:color="BFBFBF"/>
              <w:right w:val="single" w:sz="4" w:space="0" w:color="auto"/>
            </w:tcBorders>
            <w:shd w:val="clear" w:color="auto" w:fill="auto"/>
            <w:noWrap/>
            <w:vAlign w:val="center"/>
          </w:tcPr>
          <w:p w14:paraId="6C10C558" w14:textId="77777777" w:rsidR="00086B9C" w:rsidRPr="00CB7ECD" w:rsidRDefault="00086B9C"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Total</w:t>
            </w:r>
          </w:p>
        </w:tc>
        <w:tc>
          <w:tcPr>
            <w:tcW w:w="857" w:type="dxa"/>
            <w:tcBorders>
              <w:top w:val="nil"/>
              <w:left w:val="nil"/>
              <w:bottom w:val="single" w:sz="4" w:space="0" w:color="BFBFBF"/>
              <w:right w:val="single" w:sz="4" w:space="0" w:color="BFBFBF"/>
            </w:tcBorders>
            <w:shd w:val="clear" w:color="auto" w:fill="auto"/>
            <w:noWrap/>
            <w:vAlign w:val="center"/>
          </w:tcPr>
          <w:p w14:paraId="5A6FA0BA" w14:textId="77777777" w:rsidR="00086B9C" w:rsidRPr="00CB7ECD" w:rsidRDefault="00086B9C"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Summer</w:t>
            </w:r>
          </w:p>
        </w:tc>
        <w:tc>
          <w:tcPr>
            <w:tcW w:w="734" w:type="dxa"/>
            <w:tcBorders>
              <w:top w:val="nil"/>
              <w:left w:val="nil"/>
              <w:bottom w:val="single" w:sz="4" w:space="0" w:color="BFBFBF"/>
              <w:right w:val="single" w:sz="4" w:space="0" w:color="BFBFBF"/>
            </w:tcBorders>
            <w:shd w:val="clear" w:color="auto" w:fill="auto"/>
            <w:noWrap/>
            <w:vAlign w:val="center"/>
          </w:tcPr>
          <w:p w14:paraId="0775DECF" w14:textId="77777777" w:rsidR="00086B9C" w:rsidRPr="00CB7ECD" w:rsidRDefault="00086B9C"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Winter</w:t>
            </w:r>
          </w:p>
        </w:tc>
        <w:tc>
          <w:tcPr>
            <w:tcW w:w="734" w:type="dxa"/>
            <w:tcBorders>
              <w:top w:val="nil"/>
              <w:left w:val="nil"/>
              <w:bottom w:val="single" w:sz="4" w:space="0" w:color="BFBFBF"/>
              <w:right w:val="single" w:sz="4" w:space="0" w:color="auto"/>
            </w:tcBorders>
            <w:shd w:val="clear" w:color="auto" w:fill="auto"/>
            <w:noWrap/>
            <w:vAlign w:val="center"/>
          </w:tcPr>
          <w:p w14:paraId="4FF15981" w14:textId="77777777" w:rsidR="00086B9C" w:rsidRPr="00CB7ECD" w:rsidRDefault="00086B9C"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Total</w:t>
            </w:r>
          </w:p>
        </w:tc>
        <w:tc>
          <w:tcPr>
            <w:tcW w:w="775" w:type="dxa"/>
            <w:vMerge/>
            <w:tcBorders>
              <w:top w:val="nil"/>
              <w:left w:val="nil"/>
              <w:bottom w:val="single" w:sz="4" w:space="0" w:color="BFBFBF"/>
              <w:right w:val="nil"/>
            </w:tcBorders>
            <w:vAlign w:val="center"/>
          </w:tcPr>
          <w:p w14:paraId="79038D71" w14:textId="77777777" w:rsidR="00086B9C" w:rsidRPr="00CB7ECD" w:rsidRDefault="00086B9C" w:rsidP="00086B9C">
            <w:pPr>
              <w:spacing w:before="0" w:after="0"/>
              <w:rPr>
                <w:rFonts w:ascii="Arial" w:hAnsi="Arial" w:cs="Arial"/>
                <w:b/>
                <w:bCs/>
                <w:color w:val="000000"/>
                <w:sz w:val="16"/>
                <w:szCs w:val="16"/>
                <w:lang w:val="en-AU" w:eastAsia="en-AU"/>
              </w:rPr>
            </w:pPr>
          </w:p>
        </w:tc>
        <w:tc>
          <w:tcPr>
            <w:tcW w:w="873" w:type="dxa"/>
            <w:vMerge/>
            <w:tcBorders>
              <w:top w:val="nil"/>
              <w:left w:val="single" w:sz="4" w:space="0" w:color="auto"/>
              <w:bottom w:val="single" w:sz="4" w:space="0" w:color="BFBFBF"/>
              <w:right w:val="single" w:sz="4" w:space="0" w:color="BFBFBF"/>
            </w:tcBorders>
            <w:vAlign w:val="center"/>
          </w:tcPr>
          <w:p w14:paraId="18561141" w14:textId="77777777" w:rsidR="00086B9C" w:rsidRPr="00CB7ECD" w:rsidRDefault="00086B9C" w:rsidP="00086B9C">
            <w:pPr>
              <w:spacing w:before="0" w:after="0"/>
              <w:rPr>
                <w:rFonts w:ascii="Arial" w:hAnsi="Arial" w:cs="Arial"/>
                <w:b/>
                <w:bCs/>
                <w:color w:val="000000"/>
                <w:sz w:val="16"/>
                <w:szCs w:val="16"/>
                <w:lang w:val="en-AU" w:eastAsia="en-AU"/>
              </w:rPr>
            </w:pPr>
          </w:p>
        </w:tc>
        <w:tc>
          <w:tcPr>
            <w:tcW w:w="850" w:type="dxa"/>
            <w:vMerge/>
            <w:tcBorders>
              <w:top w:val="nil"/>
              <w:left w:val="single" w:sz="4" w:space="0" w:color="BFBFBF"/>
              <w:bottom w:val="single" w:sz="4" w:space="0" w:color="BFBFBF"/>
              <w:right w:val="single" w:sz="4" w:space="0" w:color="BFBFBF"/>
            </w:tcBorders>
            <w:vAlign w:val="center"/>
          </w:tcPr>
          <w:p w14:paraId="38E09EFD" w14:textId="77777777" w:rsidR="00086B9C" w:rsidRPr="00CB7ECD" w:rsidRDefault="00086B9C" w:rsidP="00086B9C">
            <w:pPr>
              <w:spacing w:before="0" w:after="0"/>
              <w:rPr>
                <w:rFonts w:ascii="Arial" w:hAnsi="Arial" w:cs="Arial"/>
                <w:b/>
                <w:bCs/>
                <w:color w:val="000000"/>
                <w:sz w:val="16"/>
                <w:szCs w:val="16"/>
                <w:lang w:val="en-AU" w:eastAsia="en-AU"/>
              </w:rPr>
            </w:pPr>
          </w:p>
        </w:tc>
        <w:tc>
          <w:tcPr>
            <w:tcW w:w="851" w:type="dxa"/>
            <w:vMerge/>
            <w:tcBorders>
              <w:top w:val="nil"/>
              <w:left w:val="single" w:sz="4" w:space="0" w:color="BFBFBF"/>
              <w:bottom w:val="single" w:sz="4" w:space="0" w:color="BFBFBF"/>
              <w:right w:val="double" w:sz="6" w:space="0" w:color="auto"/>
            </w:tcBorders>
            <w:vAlign w:val="center"/>
          </w:tcPr>
          <w:p w14:paraId="1C40287A" w14:textId="77777777" w:rsidR="00086B9C" w:rsidRPr="00CB7ECD" w:rsidRDefault="00086B9C" w:rsidP="00086B9C">
            <w:pPr>
              <w:spacing w:before="0" w:after="0"/>
              <w:rPr>
                <w:rFonts w:ascii="Arial" w:hAnsi="Arial" w:cs="Arial"/>
                <w:b/>
                <w:bCs/>
                <w:color w:val="000000"/>
                <w:sz w:val="16"/>
                <w:szCs w:val="16"/>
                <w:lang w:val="en-AU" w:eastAsia="en-AU"/>
              </w:rPr>
            </w:pPr>
          </w:p>
        </w:tc>
      </w:tr>
      <w:tr w:rsidR="00086B9C" w:rsidRPr="00CB7ECD" w14:paraId="547A0EE3" w14:textId="77777777" w:rsidTr="00B16465">
        <w:trPr>
          <w:cantSplit/>
          <w:trHeight w:val="225"/>
          <w:tblHeader/>
          <w:jc w:val="center"/>
        </w:trPr>
        <w:tc>
          <w:tcPr>
            <w:tcW w:w="2268" w:type="dxa"/>
            <w:tcBorders>
              <w:top w:val="nil"/>
              <w:left w:val="double" w:sz="6" w:space="0" w:color="auto"/>
              <w:bottom w:val="single" w:sz="4" w:space="0" w:color="BFBFBF"/>
              <w:right w:val="nil"/>
            </w:tcBorders>
            <w:shd w:val="clear" w:color="auto" w:fill="auto"/>
            <w:noWrap/>
            <w:vAlign w:val="center"/>
          </w:tcPr>
          <w:p w14:paraId="769B0C7B" w14:textId="77777777" w:rsidR="00086B9C" w:rsidRPr="00CB7ECD" w:rsidRDefault="00086B9C" w:rsidP="00086B9C">
            <w:pPr>
              <w:spacing w:before="0" w:after="0"/>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Sub-group</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353AB8E7" w14:textId="77777777" w:rsidR="00086B9C" w:rsidRPr="00CB7ECD" w:rsidRDefault="00086B9C" w:rsidP="00B16465">
            <w:pPr>
              <w:spacing w:before="0" w:after="0"/>
              <w:jc w:val="center"/>
              <w:rPr>
                <w:rFonts w:ascii="Arial" w:hAnsi="Arial" w:cs="Arial"/>
                <w:b/>
                <w:bCs/>
                <w:color w:val="000000"/>
                <w:sz w:val="14"/>
                <w:szCs w:val="14"/>
                <w:lang w:val="en-AU" w:eastAsia="en-AU"/>
              </w:rPr>
            </w:pPr>
            <w:r w:rsidRPr="00CB7ECD">
              <w:rPr>
                <w:rFonts w:ascii="Arial" w:hAnsi="Arial" w:cs="Arial"/>
                <w:b/>
                <w:bCs/>
                <w:color w:val="000000"/>
                <w:sz w:val="14"/>
                <w:szCs w:val="14"/>
                <w:lang w:val="en-AU" w:eastAsia="en-AU"/>
              </w:rPr>
              <w:t>n=1</w:t>
            </w:r>
            <w:r w:rsidR="00B16465" w:rsidRPr="00CB7ECD">
              <w:rPr>
                <w:rFonts w:ascii="Arial" w:hAnsi="Arial" w:cs="Arial"/>
                <w:b/>
                <w:bCs/>
                <w:color w:val="000000"/>
                <w:sz w:val="14"/>
                <w:szCs w:val="14"/>
                <w:lang w:val="en-AU" w:eastAsia="en-AU"/>
              </w:rPr>
              <w:t>,383</w:t>
            </w:r>
          </w:p>
        </w:tc>
        <w:tc>
          <w:tcPr>
            <w:tcW w:w="747" w:type="dxa"/>
            <w:tcBorders>
              <w:top w:val="nil"/>
              <w:left w:val="nil"/>
              <w:bottom w:val="single" w:sz="4" w:space="0" w:color="BFBFBF"/>
              <w:right w:val="single" w:sz="4" w:space="0" w:color="BFBFBF"/>
            </w:tcBorders>
            <w:shd w:val="clear" w:color="auto" w:fill="auto"/>
            <w:noWrap/>
            <w:vAlign w:val="center"/>
          </w:tcPr>
          <w:p w14:paraId="28D45740" w14:textId="77777777" w:rsidR="00086B9C" w:rsidRPr="00CB7ECD" w:rsidRDefault="00086B9C" w:rsidP="00B16465">
            <w:pPr>
              <w:spacing w:before="0" w:after="0"/>
              <w:jc w:val="center"/>
              <w:rPr>
                <w:rFonts w:ascii="Arial" w:hAnsi="Arial" w:cs="Arial"/>
                <w:b/>
                <w:bCs/>
                <w:color w:val="000000"/>
                <w:sz w:val="14"/>
                <w:szCs w:val="14"/>
                <w:lang w:val="en-AU" w:eastAsia="en-AU"/>
              </w:rPr>
            </w:pPr>
            <w:r w:rsidRPr="00CB7ECD">
              <w:rPr>
                <w:rFonts w:ascii="Arial" w:hAnsi="Arial" w:cs="Arial"/>
                <w:b/>
                <w:bCs/>
                <w:color w:val="000000"/>
                <w:sz w:val="14"/>
                <w:szCs w:val="14"/>
                <w:lang w:val="en-AU" w:eastAsia="en-AU"/>
              </w:rPr>
              <w:t>n=1</w:t>
            </w:r>
            <w:r w:rsidR="00B16465" w:rsidRPr="00CB7ECD">
              <w:rPr>
                <w:rFonts w:ascii="Arial" w:hAnsi="Arial" w:cs="Arial"/>
                <w:b/>
                <w:bCs/>
                <w:color w:val="000000"/>
                <w:sz w:val="14"/>
                <w:szCs w:val="14"/>
                <w:lang w:val="en-AU" w:eastAsia="en-AU"/>
              </w:rPr>
              <w:t>,390</w:t>
            </w:r>
          </w:p>
        </w:tc>
        <w:tc>
          <w:tcPr>
            <w:tcW w:w="825" w:type="dxa"/>
            <w:tcBorders>
              <w:top w:val="nil"/>
              <w:left w:val="nil"/>
              <w:bottom w:val="single" w:sz="4" w:space="0" w:color="BFBFBF"/>
              <w:right w:val="nil"/>
            </w:tcBorders>
            <w:shd w:val="clear" w:color="auto" w:fill="auto"/>
            <w:noWrap/>
            <w:vAlign w:val="center"/>
          </w:tcPr>
          <w:p w14:paraId="75240A37" w14:textId="77777777" w:rsidR="00086B9C" w:rsidRPr="00CB7ECD" w:rsidRDefault="00086B9C" w:rsidP="00B16465">
            <w:pPr>
              <w:spacing w:before="0" w:after="0"/>
              <w:jc w:val="center"/>
              <w:rPr>
                <w:rFonts w:ascii="Arial" w:hAnsi="Arial" w:cs="Arial"/>
                <w:b/>
                <w:bCs/>
                <w:color w:val="000000"/>
                <w:sz w:val="14"/>
                <w:szCs w:val="14"/>
                <w:lang w:val="en-AU" w:eastAsia="en-AU"/>
              </w:rPr>
            </w:pPr>
            <w:r w:rsidRPr="00CB7ECD">
              <w:rPr>
                <w:rFonts w:ascii="Arial" w:hAnsi="Arial" w:cs="Arial"/>
                <w:b/>
                <w:bCs/>
                <w:color w:val="000000"/>
                <w:sz w:val="14"/>
                <w:szCs w:val="14"/>
                <w:lang w:val="en-AU" w:eastAsia="en-AU"/>
              </w:rPr>
              <w:t>n=1</w:t>
            </w:r>
            <w:r w:rsidR="00B16465" w:rsidRPr="00CB7ECD">
              <w:rPr>
                <w:rFonts w:ascii="Arial" w:hAnsi="Arial" w:cs="Arial"/>
                <w:b/>
                <w:bCs/>
                <w:color w:val="000000"/>
                <w:sz w:val="14"/>
                <w:szCs w:val="14"/>
                <w:lang w:val="en-AU" w:eastAsia="en-AU"/>
              </w:rPr>
              <w:t>,533</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2A8C344" w14:textId="77777777" w:rsidR="00086B9C" w:rsidRPr="00CB7ECD" w:rsidRDefault="00086B9C" w:rsidP="00086B9C">
            <w:pPr>
              <w:spacing w:before="0" w:after="0"/>
              <w:jc w:val="center"/>
              <w:rPr>
                <w:rFonts w:ascii="Arial" w:hAnsi="Arial" w:cs="Arial"/>
                <w:b/>
                <w:bCs/>
                <w:color w:val="000000"/>
                <w:sz w:val="14"/>
                <w:szCs w:val="14"/>
                <w:lang w:val="en-AU" w:eastAsia="en-AU"/>
              </w:rPr>
            </w:pPr>
            <w:r w:rsidRPr="00CB7ECD">
              <w:rPr>
                <w:rFonts w:ascii="Arial" w:hAnsi="Arial" w:cs="Arial"/>
                <w:b/>
                <w:bCs/>
                <w:color w:val="000000"/>
                <w:sz w:val="14"/>
                <w:szCs w:val="14"/>
                <w:lang w:val="en-AU" w:eastAsia="en-AU"/>
              </w:rPr>
              <w:t>n=1,725</w:t>
            </w:r>
          </w:p>
        </w:tc>
        <w:tc>
          <w:tcPr>
            <w:tcW w:w="734" w:type="dxa"/>
            <w:tcBorders>
              <w:top w:val="nil"/>
              <w:left w:val="nil"/>
              <w:bottom w:val="single" w:sz="4" w:space="0" w:color="BFBFBF"/>
              <w:right w:val="single" w:sz="4" w:space="0" w:color="BFBFBF"/>
            </w:tcBorders>
            <w:shd w:val="clear" w:color="auto" w:fill="auto"/>
            <w:noWrap/>
            <w:vAlign w:val="center"/>
          </w:tcPr>
          <w:p w14:paraId="1F57AEBE" w14:textId="77777777" w:rsidR="00086B9C" w:rsidRPr="00CB7ECD" w:rsidRDefault="00086B9C" w:rsidP="00086B9C">
            <w:pPr>
              <w:spacing w:before="0" w:after="0"/>
              <w:jc w:val="center"/>
              <w:rPr>
                <w:rFonts w:ascii="Arial" w:hAnsi="Arial" w:cs="Arial"/>
                <w:b/>
                <w:bCs/>
                <w:color w:val="000000"/>
                <w:sz w:val="14"/>
                <w:szCs w:val="14"/>
                <w:lang w:val="en-AU" w:eastAsia="en-AU"/>
              </w:rPr>
            </w:pPr>
            <w:r w:rsidRPr="00CB7ECD">
              <w:rPr>
                <w:rFonts w:ascii="Arial" w:hAnsi="Arial" w:cs="Arial"/>
                <w:b/>
                <w:bCs/>
                <w:color w:val="000000"/>
                <w:sz w:val="14"/>
                <w:szCs w:val="14"/>
                <w:lang w:val="en-AU" w:eastAsia="en-AU"/>
              </w:rPr>
              <w:t>n=1,733</w:t>
            </w:r>
          </w:p>
        </w:tc>
        <w:tc>
          <w:tcPr>
            <w:tcW w:w="734" w:type="dxa"/>
            <w:tcBorders>
              <w:top w:val="nil"/>
              <w:left w:val="nil"/>
              <w:bottom w:val="single" w:sz="4" w:space="0" w:color="BFBFBF"/>
              <w:right w:val="single" w:sz="4" w:space="0" w:color="auto"/>
            </w:tcBorders>
            <w:shd w:val="clear" w:color="auto" w:fill="auto"/>
            <w:noWrap/>
            <w:vAlign w:val="center"/>
          </w:tcPr>
          <w:p w14:paraId="01D77ADB" w14:textId="77777777" w:rsidR="00086B9C" w:rsidRPr="00CB7ECD" w:rsidRDefault="00086B9C" w:rsidP="00086B9C">
            <w:pPr>
              <w:spacing w:before="0" w:after="0"/>
              <w:jc w:val="center"/>
              <w:rPr>
                <w:rFonts w:ascii="Arial" w:hAnsi="Arial" w:cs="Arial"/>
                <w:b/>
                <w:bCs/>
                <w:color w:val="000000"/>
                <w:sz w:val="14"/>
                <w:szCs w:val="14"/>
                <w:lang w:val="en-AU" w:eastAsia="en-AU"/>
              </w:rPr>
            </w:pPr>
            <w:r w:rsidRPr="00CB7ECD">
              <w:rPr>
                <w:rFonts w:ascii="Arial" w:hAnsi="Arial" w:cs="Arial"/>
                <w:b/>
                <w:bCs/>
                <w:color w:val="000000"/>
                <w:sz w:val="14"/>
                <w:szCs w:val="14"/>
                <w:lang w:val="en-AU" w:eastAsia="en-AU"/>
              </w:rPr>
              <w:t>n=1,733</w:t>
            </w:r>
          </w:p>
        </w:tc>
        <w:tc>
          <w:tcPr>
            <w:tcW w:w="857" w:type="dxa"/>
            <w:tcBorders>
              <w:top w:val="nil"/>
              <w:left w:val="nil"/>
              <w:bottom w:val="single" w:sz="4" w:space="0" w:color="BFBFBF"/>
              <w:right w:val="single" w:sz="4" w:space="0" w:color="BFBFBF"/>
            </w:tcBorders>
            <w:shd w:val="clear" w:color="auto" w:fill="auto"/>
            <w:noWrap/>
            <w:vAlign w:val="center"/>
          </w:tcPr>
          <w:p w14:paraId="4290E725" w14:textId="77777777" w:rsidR="00086B9C" w:rsidRPr="00CB7ECD" w:rsidRDefault="00086B9C" w:rsidP="00086B9C">
            <w:pPr>
              <w:spacing w:before="0" w:after="0"/>
              <w:jc w:val="center"/>
              <w:rPr>
                <w:rFonts w:ascii="Arial" w:hAnsi="Arial" w:cs="Arial"/>
                <w:b/>
                <w:bCs/>
                <w:color w:val="000000"/>
                <w:sz w:val="14"/>
                <w:szCs w:val="14"/>
                <w:lang w:val="en-AU" w:eastAsia="en-AU"/>
              </w:rPr>
            </w:pPr>
            <w:r w:rsidRPr="00CB7ECD">
              <w:rPr>
                <w:rFonts w:ascii="Arial" w:hAnsi="Arial" w:cs="Arial"/>
                <w:b/>
                <w:bCs/>
                <w:color w:val="000000"/>
                <w:sz w:val="14"/>
                <w:szCs w:val="14"/>
                <w:lang w:val="en-AU" w:eastAsia="en-AU"/>
              </w:rPr>
              <w:t>n=1,851</w:t>
            </w:r>
          </w:p>
        </w:tc>
        <w:tc>
          <w:tcPr>
            <w:tcW w:w="734" w:type="dxa"/>
            <w:tcBorders>
              <w:top w:val="nil"/>
              <w:left w:val="nil"/>
              <w:bottom w:val="single" w:sz="4" w:space="0" w:color="BFBFBF"/>
              <w:right w:val="single" w:sz="4" w:space="0" w:color="BFBFBF"/>
            </w:tcBorders>
            <w:shd w:val="clear" w:color="auto" w:fill="auto"/>
            <w:noWrap/>
            <w:vAlign w:val="center"/>
          </w:tcPr>
          <w:p w14:paraId="4C004A23" w14:textId="77777777" w:rsidR="00086B9C" w:rsidRPr="00CB7ECD" w:rsidRDefault="00086B9C" w:rsidP="00086B9C">
            <w:pPr>
              <w:spacing w:before="0" w:after="0"/>
              <w:jc w:val="center"/>
              <w:rPr>
                <w:rFonts w:ascii="Arial" w:hAnsi="Arial" w:cs="Arial"/>
                <w:b/>
                <w:bCs/>
                <w:color w:val="000000"/>
                <w:sz w:val="14"/>
                <w:szCs w:val="14"/>
                <w:lang w:val="en-AU" w:eastAsia="en-AU"/>
              </w:rPr>
            </w:pPr>
            <w:r w:rsidRPr="00CB7ECD">
              <w:rPr>
                <w:rFonts w:ascii="Arial" w:hAnsi="Arial" w:cs="Arial"/>
                <w:b/>
                <w:bCs/>
                <w:color w:val="000000"/>
                <w:sz w:val="14"/>
                <w:szCs w:val="14"/>
                <w:lang w:val="en-AU" w:eastAsia="en-AU"/>
              </w:rPr>
              <w:t>n=1,854</w:t>
            </w:r>
          </w:p>
        </w:tc>
        <w:tc>
          <w:tcPr>
            <w:tcW w:w="734" w:type="dxa"/>
            <w:tcBorders>
              <w:top w:val="nil"/>
              <w:left w:val="nil"/>
              <w:bottom w:val="single" w:sz="4" w:space="0" w:color="BFBFBF"/>
              <w:right w:val="single" w:sz="4" w:space="0" w:color="auto"/>
            </w:tcBorders>
            <w:shd w:val="clear" w:color="auto" w:fill="auto"/>
            <w:noWrap/>
            <w:vAlign w:val="center"/>
          </w:tcPr>
          <w:p w14:paraId="42290D70" w14:textId="77777777" w:rsidR="00086B9C" w:rsidRPr="00CB7ECD" w:rsidRDefault="00086B9C" w:rsidP="00086B9C">
            <w:pPr>
              <w:spacing w:before="0" w:after="0"/>
              <w:jc w:val="center"/>
              <w:rPr>
                <w:rFonts w:ascii="Arial" w:hAnsi="Arial" w:cs="Arial"/>
                <w:b/>
                <w:bCs/>
                <w:color w:val="000000"/>
                <w:sz w:val="14"/>
                <w:szCs w:val="14"/>
                <w:lang w:val="en-AU" w:eastAsia="en-AU"/>
              </w:rPr>
            </w:pPr>
            <w:r w:rsidRPr="00CB7ECD">
              <w:rPr>
                <w:rFonts w:ascii="Arial" w:hAnsi="Arial" w:cs="Arial"/>
                <w:b/>
                <w:bCs/>
                <w:color w:val="000000"/>
                <w:sz w:val="14"/>
                <w:szCs w:val="14"/>
                <w:lang w:val="en-AU" w:eastAsia="en-AU"/>
              </w:rPr>
              <w:t>n=1,854</w:t>
            </w:r>
          </w:p>
        </w:tc>
        <w:tc>
          <w:tcPr>
            <w:tcW w:w="775" w:type="dxa"/>
            <w:vMerge/>
            <w:tcBorders>
              <w:top w:val="nil"/>
              <w:left w:val="nil"/>
              <w:bottom w:val="single" w:sz="4" w:space="0" w:color="BFBFBF"/>
              <w:right w:val="nil"/>
            </w:tcBorders>
            <w:vAlign w:val="center"/>
          </w:tcPr>
          <w:p w14:paraId="3BF54AAB" w14:textId="77777777" w:rsidR="00086B9C" w:rsidRPr="00CB7ECD" w:rsidRDefault="00086B9C" w:rsidP="00086B9C">
            <w:pPr>
              <w:spacing w:before="0" w:after="0"/>
              <w:rPr>
                <w:rFonts w:ascii="Arial" w:hAnsi="Arial" w:cs="Arial"/>
                <w:b/>
                <w:bCs/>
                <w:color w:val="000000"/>
                <w:sz w:val="16"/>
                <w:szCs w:val="16"/>
                <w:lang w:val="en-AU" w:eastAsia="en-AU"/>
              </w:rPr>
            </w:pPr>
          </w:p>
        </w:tc>
        <w:tc>
          <w:tcPr>
            <w:tcW w:w="873" w:type="dxa"/>
            <w:vMerge/>
            <w:tcBorders>
              <w:top w:val="nil"/>
              <w:left w:val="single" w:sz="4" w:space="0" w:color="auto"/>
              <w:bottom w:val="single" w:sz="4" w:space="0" w:color="BFBFBF"/>
              <w:right w:val="single" w:sz="4" w:space="0" w:color="BFBFBF"/>
            </w:tcBorders>
            <w:vAlign w:val="center"/>
          </w:tcPr>
          <w:p w14:paraId="4C3E58D0" w14:textId="77777777" w:rsidR="00086B9C" w:rsidRPr="00CB7ECD" w:rsidRDefault="00086B9C" w:rsidP="00086B9C">
            <w:pPr>
              <w:spacing w:before="0" w:after="0"/>
              <w:rPr>
                <w:rFonts w:ascii="Arial" w:hAnsi="Arial" w:cs="Arial"/>
                <w:b/>
                <w:bCs/>
                <w:color w:val="000000"/>
                <w:sz w:val="16"/>
                <w:szCs w:val="16"/>
                <w:lang w:val="en-AU" w:eastAsia="en-AU"/>
              </w:rPr>
            </w:pPr>
          </w:p>
        </w:tc>
        <w:tc>
          <w:tcPr>
            <w:tcW w:w="850" w:type="dxa"/>
            <w:vMerge/>
            <w:tcBorders>
              <w:top w:val="nil"/>
              <w:left w:val="single" w:sz="4" w:space="0" w:color="BFBFBF"/>
              <w:bottom w:val="single" w:sz="4" w:space="0" w:color="BFBFBF"/>
              <w:right w:val="single" w:sz="4" w:space="0" w:color="BFBFBF"/>
            </w:tcBorders>
            <w:vAlign w:val="center"/>
          </w:tcPr>
          <w:p w14:paraId="0EE20379" w14:textId="77777777" w:rsidR="00086B9C" w:rsidRPr="00CB7ECD" w:rsidRDefault="00086B9C" w:rsidP="00086B9C">
            <w:pPr>
              <w:spacing w:before="0" w:after="0"/>
              <w:rPr>
                <w:rFonts w:ascii="Arial" w:hAnsi="Arial" w:cs="Arial"/>
                <w:b/>
                <w:bCs/>
                <w:color w:val="000000"/>
                <w:sz w:val="16"/>
                <w:szCs w:val="16"/>
                <w:lang w:val="en-AU" w:eastAsia="en-AU"/>
              </w:rPr>
            </w:pPr>
          </w:p>
        </w:tc>
        <w:tc>
          <w:tcPr>
            <w:tcW w:w="851" w:type="dxa"/>
            <w:vMerge/>
            <w:tcBorders>
              <w:top w:val="nil"/>
              <w:left w:val="single" w:sz="4" w:space="0" w:color="BFBFBF"/>
              <w:bottom w:val="single" w:sz="4" w:space="0" w:color="BFBFBF"/>
              <w:right w:val="double" w:sz="6" w:space="0" w:color="auto"/>
            </w:tcBorders>
            <w:vAlign w:val="center"/>
          </w:tcPr>
          <w:p w14:paraId="0FABFF9E" w14:textId="77777777" w:rsidR="00086B9C" w:rsidRPr="00CB7ECD" w:rsidRDefault="00086B9C" w:rsidP="00086B9C">
            <w:pPr>
              <w:spacing w:before="0" w:after="0"/>
              <w:rPr>
                <w:rFonts w:ascii="Arial" w:hAnsi="Arial" w:cs="Arial"/>
                <w:b/>
                <w:bCs/>
                <w:color w:val="000000"/>
                <w:sz w:val="16"/>
                <w:szCs w:val="16"/>
                <w:lang w:val="en-AU" w:eastAsia="en-AU"/>
              </w:rPr>
            </w:pPr>
          </w:p>
        </w:tc>
      </w:tr>
      <w:tr w:rsidR="00086B9C" w:rsidRPr="00CB7ECD" w14:paraId="7932E936"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699A0709" w14:textId="77777777" w:rsidR="00086B9C" w:rsidRPr="00CB7ECD" w:rsidRDefault="00086B9C" w:rsidP="00086B9C">
            <w:pPr>
              <w:spacing w:before="0" w:after="0"/>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By Region -</w:t>
            </w:r>
          </w:p>
        </w:tc>
        <w:tc>
          <w:tcPr>
            <w:tcW w:w="954" w:type="dxa"/>
            <w:tcBorders>
              <w:top w:val="nil"/>
              <w:left w:val="single" w:sz="4" w:space="0" w:color="auto"/>
              <w:bottom w:val="single" w:sz="4" w:space="0" w:color="BFBFBF"/>
              <w:right w:val="single" w:sz="4" w:space="0" w:color="BFBFBF"/>
            </w:tcBorders>
            <w:shd w:val="clear" w:color="auto" w:fill="auto"/>
            <w:noWrap/>
            <w:vAlign w:val="bottom"/>
          </w:tcPr>
          <w:p w14:paraId="550CC5AD"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47" w:type="dxa"/>
            <w:tcBorders>
              <w:top w:val="nil"/>
              <w:left w:val="nil"/>
              <w:bottom w:val="single" w:sz="4" w:space="0" w:color="BFBFBF"/>
              <w:right w:val="single" w:sz="4" w:space="0" w:color="BFBFBF"/>
            </w:tcBorders>
            <w:shd w:val="clear" w:color="auto" w:fill="auto"/>
            <w:noWrap/>
            <w:vAlign w:val="bottom"/>
          </w:tcPr>
          <w:p w14:paraId="66085CC8"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25" w:type="dxa"/>
            <w:tcBorders>
              <w:top w:val="nil"/>
              <w:left w:val="nil"/>
              <w:bottom w:val="single" w:sz="4" w:space="0" w:color="BFBFBF"/>
              <w:right w:val="nil"/>
            </w:tcBorders>
            <w:shd w:val="clear" w:color="auto" w:fill="auto"/>
            <w:noWrap/>
            <w:vAlign w:val="bottom"/>
          </w:tcPr>
          <w:p w14:paraId="69DC43D0"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22276A0"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F2DBFD3"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5924EA7A"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78442894"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9D5A2EF"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43D89DB0"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75" w:type="dxa"/>
            <w:tcBorders>
              <w:top w:val="nil"/>
              <w:left w:val="nil"/>
              <w:bottom w:val="single" w:sz="4" w:space="0" w:color="BFBFBF"/>
              <w:right w:val="nil"/>
            </w:tcBorders>
            <w:shd w:val="clear" w:color="auto" w:fill="auto"/>
            <w:noWrap/>
            <w:vAlign w:val="center"/>
          </w:tcPr>
          <w:p w14:paraId="6826543C"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73" w:type="dxa"/>
            <w:tcBorders>
              <w:top w:val="nil"/>
              <w:left w:val="single" w:sz="4" w:space="0" w:color="auto"/>
              <w:bottom w:val="single" w:sz="4" w:space="0" w:color="BFBFBF"/>
              <w:right w:val="single" w:sz="4" w:space="0" w:color="BFBFBF"/>
            </w:tcBorders>
            <w:shd w:val="clear" w:color="auto" w:fill="auto"/>
            <w:noWrap/>
            <w:vAlign w:val="bottom"/>
          </w:tcPr>
          <w:p w14:paraId="217A5FD6"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0" w:type="dxa"/>
            <w:tcBorders>
              <w:top w:val="nil"/>
              <w:left w:val="nil"/>
              <w:bottom w:val="single" w:sz="4" w:space="0" w:color="BFBFBF"/>
              <w:right w:val="single" w:sz="4" w:space="0" w:color="BFBFBF"/>
            </w:tcBorders>
            <w:shd w:val="clear" w:color="auto" w:fill="auto"/>
            <w:noWrap/>
            <w:vAlign w:val="center"/>
          </w:tcPr>
          <w:p w14:paraId="6EBB46A4"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1" w:type="dxa"/>
            <w:tcBorders>
              <w:top w:val="nil"/>
              <w:left w:val="nil"/>
              <w:bottom w:val="single" w:sz="4" w:space="0" w:color="BFBFBF"/>
              <w:right w:val="double" w:sz="6" w:space="0" w:color="auto"/>
            </w:tcBorders>
            <w:shd w:val="clear" w:color="auto" w:fill="auto"/>
            <w:noWrap/>
            <w:vAlign w:val="center"/>
          </w:tcPr>
          <w:p w14:paraId="219200BC" w14:textId="77777777" w:rsidR="00086B9C" w:rsidRPr="00CB7ECD" w:rsidRDefault="00086B9C"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r>
      <w:tr w:rsidR="00B16465" w:rsidRPr="00CB7ECD" w14:paraId="1E890AF9"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3129B04F"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CB7ECD">
                  <w:rPr>
                    <w:rFonts w:ascii="Arial" w:hAnsi="Arial" w:cs="Arial"/>
                    <w:color w:val="000000"/>
                    <w:sz w:val="16"/>
                    <w:szCs w:val="16"/>
                    <w:lang w:val="en-AU" w:eastAsia="en-AU"/>
                  </w:rPr>
                  <w:t>Melbourne</w:t>
                </w:r>
              </w:smartTag>
            </w:smartTag>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275D8B8F"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9,538</w:t>
            </w:r>
          </w:p>
        </w:tc>
        <w:tc>
          <w:tcPr>
            <w:tcW w:w="747" w:type="dxa"/>
            <w:tcBorders>
              <w:top w:val="nil"/>
              <w:left w:val="nil"/>
              <w:bottom w:val="single" w:sz="4" w:space="0" w:color="BFBFBF"/>
              <w:right w:val="single" w:sz="4" w:space="0" w:color="BFBFBF"/>
            </w:tcBorders>
            <w:shd w:val="clear" w:color="auto" w:fill="auto"/>
            <w:noWrap/>
            <w:vAlign w:val="center"/>
          </w:tcPr>
          <w:p w14:paraId="4ABFC404"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37,297</w:t>
            </w:r>
          </w:p>
        </w:tc>
        <w:tc>
          <w:tcPr>
            <w:tcW w:w="825" w:type="dxa"/>
            <w:tcBorders>
              <w:top w:val="nil"/>
              <w:left w:val="nil"/>
              <w:bottom w:val="single" w:sz="4" w:space="0" w:color="BFBFBF"/>
              <w:right w:val="nil"/>
            </w:tcBorders>
            <w:shd w:val="clear" w:color="auto" w:fill="auto"/>
            <w:noWrap/>
            <w:vAlign w:val="center"/>
          </w:tcPr>
          <w:p w14:paraId="39CFA9D7"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48,230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EB3758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13,909</w:t>
            </w:r>
          </w:p>
        </w:tc>
        <w:tc>
          <w:tcPr>
            <w:tcW w:w="734" w:type="dxa"/>
            <w:tcBorders>
              <w:top w:val="nil"/>
              <w:left w:val="nil"/>
              <w:bottom w:val="single" w:sz="4" w:space="0" w:color="BFBFBF"/>
              <w:right w:val="single" w:sz="4" w:space="0" w:color="BFBFBF"/>
            </w:tcBorders>
            <w:shd w:val="clear" w:color="auto" w:fill="auto"/>
            <w:noWrap/>
            <w:vAlign w:val="center"/>
          </w:tcPr>
          <w:p w14:paraId="75B0560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51,004</w:t>
            </w:r>
          </w:p>
        </w:tc>
        <w:tc>
          <w:tcPr>
            <w:tcW w:w="734" w:type="dxa"/>
            <w:tcBorders>
              <w:top w:val="nil"/>
              <w:left w:val="nil"/>
              <w:bottom w:val="single" w:sz="4" w:space="0" w:color="BFBFBF"/>
              <w:right w:val="single" w:sz="4" w:space="0" w:color="auto"/>
            </w:tcBorders>
            <w:shd w:val="clear" w:color="auto" w:fill="auto"/>
            <w:noWrap/>
            <w:vAlign w:val="center"/>
          </w:tcPr>
          <w:p w14:paraId="08E1BF0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65,187</w:t>
            </w:r>
          </w:p>
        </w:tc>
        <w:tc>
          <w:tcPr>
            <w:tcW w:w="857" w:type="dxa"/>
            <w:tcBorders>
              <w:top w:val="nil"/>
              <w:left w:val="nil"/>
              <w:bottom w:val="single" w:sz="4" w:space="0" w:color="BFBFBF"/>
              <w:right w:val="single" w:sz="4" w:space="0" w:color="BFBFBF"/>
            </w:tcBorders>
            <w:shd w:val="clear" w:color="auto" w:fill="auto"/>
            <w:noWrap/>
            <w:vAlign w:val="center"/>
          </w:tcPr>
          <w:p w14:paraId="576A8A6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15,356</w:t>
            </w:r>
          </w:p>
        </w:tc>
        <w:tc>
          <w:tcPr>
            <w:tcW w:w="734" w:type="dxa"/>
            <w:tcBorders>
              <w:top w:val="nil"/>
              <w:left w:val="nil"/>
              <w:bottom w:val="single" w:sz="4" w:space="0" w:color="BFBFBF"/>
              <w:right w:val="single" w:sz="4" w:space="0" w:color="BFBFBF"/>
            </w:tcBorders>
            <w:shd w:val="clear" w:color="auto" w:fill="auto"/>
            <w:noWrap/>
            <w:vAlign w:val="center"/>
          </w:tcPr>
          <w:p w14:paraId="2D4D160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45,399</w:t>
            </w:r>
          </w:p>
        </w:tc>
        <w:tc>
          <w:tcPr>
            <w:tcW w:w="734" w:type="dxa"/>
            <w:tcBorders>
              <w:top w:val="nil"/>
              <w:left w:val="nil"/>
              <w:bottom w:val="single" w:sz="4" w:space="0" w:color="BFBFBF"/>
              <w:right w:val="single" w:sz="4" w:space="0" w:color="auto"/>
            </w:tcBorders>
            <w:shd w:val="clear" w:color="auto" w:fill="auto"/>
            <w:noWrap/>
            <w:vAlign w:val="center"/>
          </w:tcPr>
          <w:p w14:paraId="01528DE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60,737</w:t>
            </w:r>
          </w:p>
        </w:tc>
        <w:tc>
          <w:tcPr>
            <w:tcW w:w="775" w:type="dxa"/>
            <w:tcBorders>
              <w:top w:val="nil"/>
              <w:left w:val="nil"/>
              <w:bottom w:val="single" w:sz="4" w:space="0" w:color="BFBFBF"/>
              <w:right w:val="nil"/>
            </w:tcBorders>
            <w:shd w:val="clear" w:color="auto" w:fill="auto"/>
            <w:noWrap/>
            <w:vAlign w:val="center"/>
          </w:tcPr>
          <w:p w14:paraId="571B2A8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56,329</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483AE1FF"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-26.0%</w:t>
            </w:r>
          </w:p>
        </w:tc>
        <w:tc>
          <w:tcPr>
            <w:tcW w:w="850" w:type="dxa"/>
            <w:tcBorders>
              <w:top w:val="nil"/>
              <w:left w:val="nil"/>
              <w:bottom w:val="single" w:sz="4" w:space="0" w:color="BFBFBF"/>
              <w:right w:val="single" w:sz="4" w:space="0" w:color="BFBFBF"/>
            </w:tcBorders>
            <w:shd w:val="clear" w:color="auto" w:fill="auto"/>
            <w:noWrap/>
            <w:vAlign w:val="center"/>
          </w:tcPr>
          <w:p w14:paraId="15FCC2F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7.3%</w:t>
            </w:r>
          </w:p>
        </w:tc>
        <w:tc>
          <w:tcPr>
            <w:tcW w:w="851" w:type="dxa"/>
            <w:tcBorders>
              <w:top w:val="nil"/>
              <w:left w:val="nil"/>
              <w:bottom w:val="single" w:sz="4" w:space="0" w:color="BFBFBF"/>
              <w:right w:val="double" w:sz="6" w:space="0" w:color="auto"/>
            </w:tcBorders>
            <w:shd w:val="clear" w:color="auto" w:fill="auto"/>
            <w:noWrap/>
            <w:vAlign w:val="center"/>
          </w:tcPr>
          <w:p w14:paraId="1CD1251A" w14:textId="77777777" w:rsidR="00B16465"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15.7</w:t>
            </w:r>
            <w:r w:rsidR="00B16465" w:rsidRPr="00CB7ECD">
              <w:rPr>
                <w:rFonts w:ascii="Arial" w:hAnsi="Arial" w:cs="Arial"/>
                <w:color w:val="000000"/>
                <w:sz w:val="16"/>
                <w:szCs w:val="16"/>
                <w:lang w:val="en-AU" w:eastAsia="en-AU"/>
              </w:rPr>
              <w:t>%</w:t>
            </w:r>
          </w:p>
        </w:tc>
      </w:tr>
      <w:tr w:rsidR="00B16465" w:rsidRPr="00CB7ECD" w14:paraId="50624252"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0A76B299"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Country VIC</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06AE5DA5"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7,722</w:t>
            </w:r>
          </w:p>
        </w:tc>
        <w:tc>
          <w:tcPr>
            <w:tcW w:w="747" w:type="dxa"/>
            <w:tcBorders>
              <w:top w:val="nil"/>
              <w:left w:val="nil"/>
              <w:bottom w:val="single" w:sz="4" w:space="0" w:color="BFBFBF"/>
              <w:right w:val="single" w:sz="4" w:space="0" w:color="BFBFBF"/>
            </w:tcBorders>
            <w:shd w:val="clear" w:color="auto" w:fill="auto"/>
            <w:noWrap/>
            <w:vAlign w:val="center"/>
          </w:tcPr>
          <w:p w14:paraId="6A4B300C"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31,852</w:t>
            </w:r>
          </w:p>
        </w:tc>
        <w:tc>
          <w:tcPr>
            <w:tcW w:w="825" w:type="dxa"/>
            <w:tcBorders>
              <w:top w:val="nil"/>
              <w:left w:val="nil"/>
              <w:bottom w:val="single" w:sz="4" w:space="0" w:color="BFBFBF"/>
              <w:right w:val="nil"/>
            </w:tcBorders>
            <w:shd w:val="clear" w:color="auto" w:fill="auto"/>
            <w:noWrap/>
            <w:vAlign w:val="center"/>
          </w:tcPr>
          <w:p w14:paraId="617F2389"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41,752</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5831D2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12,473</w:t>
            </w:r>
          </w:p>
        </w:tc>
        <w:tc>
          <w:tcPr>
            <w:tcW w:w="734" w:type="dxa"/>
            <w:tcBorders>
              <w:top w:val="nil"/>
              <w:left w:val="nil"/>
              <w:bottom w:val="single" w:sz="4" w:space="0" w:color="BFBFBF"/>
              <w:right w:val="single" w:sz="4" w:space="0" w:color="BFBFBF"/>
            </w:tcBorders>
            <w:shd w:val="clear" w:color="auto" w:fill="auto"/>
            <w:noWrap/>
            <w:vAlign w:val="center"/>
          </w:tcPr>
          <w:p w14:paraId="7203427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43,186</w:t>
            </w:r>
          </w:p>
        </w:tc>
        <w:tc>
          <w:tcPr>
            <w:tcW w:w="734" w:type="dxa"/>
            <w:tcBorders>
              <w:top w:val="nil"/>
              <w:left w:val="nil"/>
              <w:bottom w:val="single" w:sz="4" w:space="0" w:color="BFBFBF"/>
              <w:right w:val="single" w:sz="4" w:space="0" w:color="auto"/>
            </w:tcBorders>
            <w:shd w:val="clear" w:color="auto" w:fill="auto"/>
            <w:noWrap/>
            <w:vAlign w:val="center"/>
          </w:tcPr>
          <w:p w14:paraId="021946B1"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55,685</w:t>
            </w:r>
          </w:p>
        </w:tc>
        <w:tc>
          <w:tcPr>
            <w:tcW w:w="857" w:type="dxa"/>
            <w:tcBorders>
              <w:top w:val="nil"/>
              <w:left w:val="nil"/>
              <w:bottom w:val="single" w:sz="4" w:space="0" w:color="BFBFBF"/>
              <w:right w:val="single" w:sz="4" w:space="0" w:color="BFBFBF"/>
            </w:tcBorders>
            <w:shd w:val="clear" w:color="auto" w:fill="auto"/>
            <w:noWrap/>
            <w:vAlign w:val="center"/>
          </w:tcPr>
          <w:p w14:paraId="1EB9B32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14,389</w:t>
            </w:r>
          </w:p>
        </w:tc>
        <w:tc>
          <w:tcPr>
            <w:tcW w:w="734" w:type="dxa"/>
            <w:tcBorders>
              <w:top w:val="nil"/>
              <w:left w:val="nil"/>
              <w:bottom w:val="single" w:sz="4" w:space="0" w:color="BFBFBF"/>
              <w:right w:val="single" w:sz="4" w:space="0" w:color="BFBFBF"/>
            </w:tcBorders>
            <w:shd w:val="clear" w:color="auto" w:fill="auto"/>
            <w:noWrap/>
            <w:vAlign w:val="center"/>
          </w:tcPr>
          <w:p w14:paraId="551B3B4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41,680</w:t>
            </w:r>
          </w:p>
        </w:tc>
        <w:tc>
          <w:tcPr>
            <w:tcW w:w="734" w:type="dxa"/>
            <w:tcBorders>
              <w:top w:val="nil"/>
              <w:left w:val="nil"/>
              <w:bottom w:val="single" w:sz="4" w:space="0" w:color="BFBFBF"/>
              <w:right w:val="single" w:sz="4" w:space="0" w:color="auto"/>
            </w:tcBorders>
            <w:shd w:val="clear" w:color="auto" w:fill="auto"/>
            <w:noWrap/>
            <w:vAlign w:val="center"/>
          </w:tcPr>
          <w:p w14:paraId="10BF298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56,052</w:t>
            </w:r>
          </w:p>
        </w:tc>
        <w:tc>
          <w:tcPr>
            <w:tcW w:w="775" w:type="dxa"/>
            <w:tcBorders>
              <w:top w:val="nil"/>
              <w:left w:val="nil"/>
              <w:bottom w:val="single" w:sz="4" w:space="0" w:color="BFBFBF"/>
              <w:right w:val="nil"/>
            </w:tcBorders>
            <w:shd w:val="clear" w:color="auto" w:fill="auto"/>
            <w:noWrap/>
            <w:vAlign w:val="center"/>
          </w:tcPr>
          <w:p w14:paraId="10A8119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51,274</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1AB835B0"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-25.0%</w:t>
            </w:r>
          </w:p>
        </w:tc>
        <w:tc>
          <w:tcPr>
            <w:tcW w:w="850" w:type="dxa"/>
            <w:tcBorders>
              <w:top w:val="nil"/>
              <w:left w:val="nil"/>
              <w:bottom w:val="single" w:sz="4" w:space="0" w:color="BFBFBF"/>
              <w:right w:val="single" w:sz="4" w:space="0" w:color="BFBFBF"/>
            </w:tcBorders>
            <w:shd w:val="clear" w:color="auto" w:fill="auto"/>
            <w:noWrap/>
            <w:vAlign w:val="center"/>
          </w:tcPr>
          <w:p w14:paraId="27F0544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-0.7%</w:t>
            </w:r>
          </w:p>
        </w:tc>
        <w:tc>
          <w:tcPr>
            <w:tcW w:w="851" w:type="dxa"/>
            <w:tcBorders>
              <w:top w:val="nil"/>
              <w:left w:val="nil"/>
              <w:bottom w:val="single" w:sz="4" w:space="0" w:color="BFBFBF"/>
              <w:right w:val="double" w:sz="6" w:space="0" w:color="auto"/>
            </w:tcBorders>
            <w:shd w:val="clear" w:color="auto" w:fill="auto"/>
            <w:noWrap/>
            <w:vAlign w:val="center"/>
          </w:tcPr>
          <w:p w14:paraId="49DD7870" w14:textId="77777777" w:rsidR="00B16465"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8.6</w:t>
            </w:r>
            <w:r w:rsidR="00B16465" w:rsidRPr="00CB7ECD">
              <w:rPr>
                <w:rFonts w:ascii="Arial" w:hAnsi="Arial" w:cs="Arial"/>
                <w:color w:val="000000"/>
                <w:sz w:val="16"/>
                <w:szCs w:val="16"/>
                <w:lang w:val="en-AU" w:eastAsia="en-AU"/>
              </w:rPr>
              <w:t>%</w:t>
            </w:r>
          </w:p>
        </w:tc>
      </w:tr>
      <w:tr w:rsidR="00B16465" w:rsidRPr="00CB7ECD" w14:paraId="571585B9"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64971143" w14:textId="77777777" w:rsidR="00B16465" w:rsidRPr="00CB7ECD" w:rsidRDefault="00B16465" w:rsidP="00086B9C">
            <w:pPr>
              <w:spacing w:before="0" w:after="0"/>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By DHHS Area -</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127E3081"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47" w:type="dxa"/>
            <w:tcBorders>
              <w:top w:val="nil"/>
              <w:left w:val="nil"/>
              <w:bottom w:val="single" w:sz="4" w:space="0" w:color="BFBFBF"/>
              <w:right w:val="single" w:sz="4" w:space="0" w:color="BFBFBF"/>
            </w:tcBorders>
            <w:shd w:val="clear" w:color="auto" w:fill="auto"/>
            <w:noWrap/>
            <w:vAlign w:val="center"/>
          </w:tcPr>
          <w:p w14:paraId="0E176D54"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25" w:type="dxa"/>
            <w:tcBorders>
              <w:top w:val="nil"/>
              <w:left w:val="nil"/>
              <w:bottom w:val="single" w:sz="4" w:space="0" w:color="BFBFBF"/>
              <w:right w:val="nil"/>
            </w:tcBorders>
            <w:shd w:val="clear" w:color="auto" w:fill="auto"/>
            <w:noWrap/>
            <w:vAlign w:val="center"/>
          </w:tcPr>
          <w:p w14:paraId="33C9E64A"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3947641"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1897F7E"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22ECE37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74DFD64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A2D2209"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407F99F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75" w:type="dxa"/>
            <w:tcBorders>
              <w:top w:val="nil"/>
              <w:left w:val="nil"/>
              <w:bottom w:val="single" w:sz="4" w:space="0" w:color="BFBFBF"/>
              <w:right w:val="nil"/>
            </w:tcBorders>
            <w:shd w:val="clear" w:color="auto" w:fill="auto"/>
            <w:noWrap/>
            <w:vAlign w:val="center"/>
          </w:tcPr>
          <w:p w14:paraId="7A43A699"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73" w:type="dxa"/>
            <w:tcBorders>
              <w:top w:val="nil"/>
              <w:left w:val="single" w:sz="4" w:space="0" w:color="auto"/>
              <w:bottom w:val="single" w:sz="4" w:space="0" w:color="BFBFBF"/>
              <w:right w:val="single" w:sz="4" w:space="0" w:color="BFBFBF"/>
            </w:tcBorders>
            <w:shd w:val="clear" w:color="auto" w:fill="auto"/>
            <w:noWrap/>
            <w:vAlign w:val="bottom"/>
          </w:tcPr>
          <w:p w14:paraId="105B290E" w14:textId="77777777" w:rsidR="00B16465" w:rsidRPr="00CB7ECD" w:rsidRDefault="00B16465"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0" w:type="dxa"/>
            <w:tcBorders>
              <w:top w:val="nil"/>
              <w:left w:val="nil"/>
              <w:bottom w:val="single" w:sz="4" w:space="0" w:color="BFBFBF"/>
              <w:right w:val="single" w:sz="4" w:space="0" w:color="BFBFBF"/>
            </w:tcBorders>
            <w:shd w:val="clear" w:color="auto" w:fill="auto"/>
            <w:noWrap/>
            <w:vAlign w:val="center"/>
          </w:tcPr>
          <w:p w14:paraId="1442C01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1" w:type="dxa"/>
            <w:tcBorders>
              <w:top w:val="nil"/>
              <w:left w:val="nil"/>
              <w:bottom w:val="single" w:sz="4" w:space="0" w:color="BFBFBF"/>
              <w:right w:val="double" w:sz="6" w:space="0" w:color="auto"/>
            </w:tcBorders>
            <w:shd w:val="clear" w:color="auto" w:fill="auto"/>
            <w:noWrap/>
            <w:vAlign w:val="center"/>
          </w:tcPr>
          <w:p w14:paraId="5FD059E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r>
      <w:tr w:rsidR="00B16465" w:rsidRPr="00CB7ECD" w14:paraId="7B8BBAD6"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6FB7FABF"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Hume Moreland</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001B6ADA"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11,348</w:t>
            </w:r>
          </w:p>
        </w:tc>
        <w:tc>
          <w:tcPr>
            <w:tcW w:w="747" w:type="dxa"/>
            <w:tcBorders>
              <w:top w:val="nil"/>
              <w:left w:val="nil"/>
              <w:bottom w:val="single" w:sz="4" w:space="0" w:color="BFBFBF"/>
              <w:right w:val="single" w:sz="4" w:space="0" w:color="BFBFBF"/>
            </w:tcBorders>
            <w:shd w:val="clear" w:color="auto" w:fill="auto"/>
            <w:noWrap/>
            <w:vAlign w:val="center"/>
          </w:tcPr>
          <w:p w14:paraId="36DECB3E"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34,129</w:t>
            </w:r>
          </w:p>
        </w:tc>
        <w:tc>
          <w:tcPr>
            <w:tcW w:w="825" w:type="dxa"/>
            <w:tcBorders>
              <w:top w:val="nil"/>
              <w:left w:val="nil"/>
              <w:bottom w:val="single" w:sz="4" w:space="0" w:color="BFBFBF"/>
              <w:right w:val="nil"/>
            </w:tcBorders>
            <w:shd w:val="clear" w:color="auto" w:fill="auto"/>
            <w:noWrap/>
            <w:vAlign w:val="center"/>
          </w:tcPr>
          <w:p w14:paraId="1C27DD26"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46,508</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05BB19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8B84C2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14DBE97"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E95ABE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EF193B7"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4BCAD8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055A941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7EEF6A00"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41C27EAE"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5D82BCA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23328E49"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3A8BAD16"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North Eastern Melbourne</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1B7BFCE3"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9,882</w:t>
            </w:r>
          </w:p>
        </w:tc>
        <w:tc>
          <w:tcPr>
            <w:tcW w:w="747" w:type="dxa"/>
            <w:tcBorders>
              <w:top w:val="nil"/>
              <w:left w:val="nil"/>
              <w:bottom w:val="single" w:sz="4" w:space="0" w:color="BFBFBF"/>
              <w:right w:val="single" w:sz="4" w:space="0" w:color="BFBFBF"/>
            </w:tcBorders>
            <w:shd w:val="clear" w:color="auto" w:fill="auto"/>
            <w:noWrap/>
            <w:vAlign w:val="center"/>
          </w:tcPr>
          <w:p w14:paraId="7EA14669"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38,684</w:t>
            </w:r>
          </w:p>
        </w:tc>
        <w:tc>
          <w:tcPr>
            <w:tcW w:w="825" w:type="dxa"/>
            <w:tcBorders>
              <w:top w:val="nil"/>
              <w:left w:val="nil"/>
              <w:bottom w:val="single" w:sz="4" w:space="0" w:color="BFBFBF"/>
              <w:right w:val="nil"/>
            </w:tcBorders>
            <w:shd w:val="clear" w:color="auto" w:fill="auto"/>
            <w:noWrap/>
            <w:vAlign w:val="center"/>
          </w:tcPr>
          <w:p w14:paraId="0C1721F5"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49,666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E7E7890"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4E40DE0"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BF4EAA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3DDB86F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9D5EB0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EA64CF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1CE2E537"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478027C7"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1A82CAF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26B259F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22DE7ACB"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65893E6A"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 xml:space="preserve">Outer </w:t>
            </w:r>
            <w:smartTag w:uri="urn:schemas-microsoft-com:office:smarttags" w:element="place">
              <w:r w:rsidRPr="00CB7ECD">
                <w:rPr>
                  <w:rFonts w:ascii="Arial" w:hAnsi="Arial" w:cs="Arial"/>
                  <w:color w:val="000000"/>
                  <w:sz w:val="16"/>
                  <w:szCs w:val="16"/>
                  <w:lang w:val="en-AU" w:eastAsia="en-AU"/>
                </w:rPr>
                <w:t>Eastern Melbourne</w:t>
              </w:r>
            </w:smartTag>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5D2C55AD"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9,487</w:t>
            </w:r>
          </w:p>
        </w:tc>
        <w:tc>
          <w:tcPr>
            <w:tcW w:w="747" w:type="dxa"/>
            <w:tcBorders>
              <w:top w:val="nil"/>
              <w:left w:val="nil"/>
              <w:bottom w:val="single" w:sz="4" w:space="0" w:color="BFBFBF"/>
              <w:right w:val="single" w:sz="4" w:space="0" w:color="BFBFBF"/>
            </w:tcBorders>
            <w:shd w:val="clear" w:color="auto" w:fill="auto"/>
            <w:noWrap/>
            <w:vAlign w:val="center"/>
          </w:tcPr>
          <w:p w14:paraId="08DFC0A4"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42,662</w:t>
            </w:r>
          </w:p>
        </w:tc>
        <w:tc>
          <w:tcPr>
            <w:tcW w:w="825" w:type="dxa"/>
            <w:tcBorders>
              <w:top w:val="nil"/>
              <w:left w:val="nil"/>
              <w:bottom w:val="single" w:sz="4" w:space="0" w:color="BFBFBF"/>
              <w:right w:val="nil"/>
            </w:tcBorders>
            <w:shd w:val="clear" w:color="auto" w:fill="auto"/>
            <w:noWrap/>
            <w:vAlign w:val="center"/>
          </w:tcPr>
          <w:p w14:paraId="0AEE118C"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54,176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A23E3A6"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DE1558E"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89C2B43"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A347AC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A575BDE"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46C2E3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0536A4C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1C5CAFE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2AD5E91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6B5B2670"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2A02BBEF"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4C198AFF"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 xml:space="preserve">Inner </w:t>
            </w:r>
            <w:smartTag w:uri="urn:schemas-microsoft-com:office:smarttags" w:element="place">
              <w:r w:rsidRPr="00CB7ECD">
                <w:rPr>
                  <w:rFonts w:ascii="Arial" w:hAnsi="Arial" w:cs="Arial"/>
                  <w:color w:val="000000"/>
                  <w:sz w:val="16"/>
                  <w:szCs w:val="16"/>
                  <w:lang w:val="en-AU" w:eastAsia="en-AU"/>
                </w:rPr>
                <w:t>Eastern Melbourne</w:t>
              </w:r>
            </w:smartTag>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0AF63CE5"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12,138</w:t>
            </w:r>
          </w:p>
        </w:tc>
        <w:tc>
          <w:tcPr>
            <w:tcW w:w="747" w:type="dxa"/>
            <w:tcBorders>
              <w:top w:val="nil"/>
              <w:left w:val="nil"/>
              <w:bottom w:val="single" w:sz="4" w:space="0" w:color="BFBFBF"/>
              <w:right w:val="single" w:sz="4" w:space="0" w:color="BFBFBF"/>
            </w:tcBorders>
            <w:shd w:val="clear" w:color="auto" w:fill="auto"/>
            <w:noWrap/>
            <w:vAlign w:val="center"/>
          </w:tcPr>
          <w:p w14:paraId="238AD205"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46,627</w:t>
            </w:r>
          </w:p>
        </w:tc>
        <w:tc>
          <w:tcPr>
            <w:tcW w:w="825" w:type="dxa"/>
            <w:tcBorders>
              <w:top w:val="nil"/>
              <w:left w:val="nil"/>
              <w:bottom w:val="single" w:sz="4" w:space="0" w:color="BFBFBF"/>
              <w:right w:val="nil"/>
            </w:tcBorders>
            <w:shd w:val="clear" w:color="auto" w:fill="auto"/>
            <w:noWrap/>
            <w:vAlign w:val="center"/>
          </w:tcPr>
          <w:p w14:paraId="1FA7BF78"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60,217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169142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7378A97"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8CC9BF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0C877719"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3F0A7F0"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2678253"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57FF5F5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7AF9D82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5DE787C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165084C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1BA2B112"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45F07A0B"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smartTag w:uri="urn:schemas-microsoft-com:office:smarttags" w:element="place">
              <w:r w:rsidRPr="00CB7ECD">
                <w:rPr>
                  <w:rFonts w:ascii="Arial" w:hAnsi="Arial" w:cs="Arial"/>
                  <w:color w:val="000000"/>
                  <w:sz w:val="16"/>
                  <w:szCs w:val="16"/>
                  <w:lang w:val="en-AU" w:eastAsia="en-AU"/>
                </w:rPr>
                <w:t>Southern Melbourne</w:t>
              </w:r>
            </w:smartTag>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3586D702"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9,183</w:t>
            </w:r>
          </w:p>
        </w:tc>
        <w:tc>
          <w:tcPr>
            <w:tcW w:w="747" w:type="dxa"/>
            <w:tcBorders>
              <w:top w:val="nil"/>
              <w:left w:val="nil"/>
              <w:bottom w:val="single" w:sz="4" w:space="0" w:color="BFBFBF"/>
              <w:right w:val="single" w:sz="4" w:space="0" w:color="BFBFBF"/>
            </w:tcBorders>
            <w:shd w:val="clear" w:color="auto" w:fill="auto"/>
            <w:noWrap/>
            <w:vAlign w:val="center"/>
          </w:tcPr>
          <w:p w14:paraId="10F3277E"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34,147</w:t>
            </w:r>
          </w:p>
        </w:tc>
        <w:tc>
          <w:tcPr>
            <w:tcW w:w="825" w:type="dxa"/>
            <w:tcBorders>
              <w:top w:val="nil"/>
              <w:left w:val="nil"/>
              <w:bottom w:val="single" w:sz="4" w:space="0" w:color="BFBFBF"/>
              <w:right w:val="nil"/>
            </w:tcBorders>
            <w:shd w:val="clear" w:color="auto" w:fill="auto"/>
            <w:noWrap/>
            <w:vAlign w:val="center"/>
          </w:tcPr>
          <w:p w14:paraId="5B3ED65A"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44,470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4B222C6"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0ECC4D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64968A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94130CE"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4FA09A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7513C0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1279F6F9"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6C047B0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02F0D42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6C0875F9"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1CA36F80"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4B6FC167"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Bayside</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195B594C"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9,271</w:t>
            </w:r>
          </w:p>
        </w:tc>
        <w:tc>
          <w:tcPr>
            <w:tcW w:w="747" w:type="dxa"/>
            <w:tcBorders>
              <w:top w:val="nil"/>
              <w:left w:val="nil"/>
              <w:bottom w:val="single" w:sz="4" w:space="0" w:color="BFBFBF"/>
              <w:right w:val="single" w:sz="4" w:space="0" w:color="BFBFBF"/>
            </w:tcBorders>
            <w:shd w:val="clear" w:color="auto" w:fill="auto"/>
            <w:noWrap/>
            <w:vAlign w:val="center"/>
          </w:tcPr>
          <w:p w14:paraId="607D7A05"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34,577</w:t>
            </w:r>
          </w:p>
        </w:tc>
        <w:tc>
          <w:tcPr>
            <w:tcW w:w="825" w:type="dxa"/>
            <w:tcBorders>
              <w:top w:val="nil"/>
              <w:left w:val="nil"/>
              <w:bottom w:val="single" w:sz="4" w:space="0" w:color="BFBFBF"/>
              <w:right w:val="nil"/>
            </w:tcBorders>
            <w:shd w:val="clear" w:color="auto" w:fill="auto"/>
            <w:noWrap/>
            <w:vAlign w:val="center"/>
          </w:tcPr>
          <w:p w14:paraId="48BF019C"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44,736</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2AD97C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8A5CDB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BD2E14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419C9F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C661320"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2F878F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61462486"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5AF425B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63587D3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54C820E9"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6F669B45"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44F947B5"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smartTag w:uri="urn:schemas-microsoft-com:office:smarttags" w:element="place">
              <w:r w:rsidRPr="00CB7ECD">
                <w:rPr>
                  <w:rFonts w:ascii="Arial" w:hAnsi="Arial" w:cs="Arial"/>
                  <w:color w:val="000000"/>
                  <w:sz w:val="16"/>
                  <w:szCs w:val="16"/>
                  <w:lang w:val="en-AU" w:eastAsia="en-AU"/>
                </w:rPr>
                <w:t>Western Melbourne</w:t>
              </w:r>
            </w:smartTag>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2A40CC2A"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6,879</w:t>
            </w:r>
          </w:p>
        </w:tc>
        <w:tc>
          <w:tcPr>
            <w:tcW w:w="747" w:type="dxa"/>
            <w:tcBorders>
              <w:top w:val="nil"/>
              <w:left w:val="nil"/>
              <w:bottom w:val="single" w:sz="4" w:space="0" w:color="BFBFBF"/>
              <w:right w:val="single" w:sz="4" w:space="0" w:color="BFBFBF"/>
            </w:tcBorders>
            <w:shd w:val="clear" w:color="auto" w:fill="auto"/>
            <w:noWrap/>
            <w:vAlign w:val="center"/>
          </w:tcPr>
          <w:p w14:paraId="12E51FD5"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30,730</w:t>
            </w:r>
          </w:p>
        </w:tc>
        <w:tc>
          <w:tcPr>
            <w:tcW w:w="825" w:type="dxa"/>
            <w:tcBorders>
              <w:top w:val="nil"/>
              <w:left w:val="nil"/>
              <w:bottom w:val="single" w:sz="4" w:space="0" w:color="BFBFBF"/>
              <w:right w:val="nil"/>
            </w:tcBorders>
            <w:shd w:val="clear" w:color="auto" w:fill="auto"/>
            <w:noWrap/>
            <w:vAlign w:val="center"/>
          </w:tcPr>
          <w:p w14:paraId="7B02E72C"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39,495</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96B770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AC2EF2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535CDB2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C4FF49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266BF50"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AC628F9"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6F1E81D1"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006712F6"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0D4F075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2BDA43C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6E8D0E38"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4E5F984B"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Brimbank Melton</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44625EF8"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8,061</w:t>
            </w:r>
          </w:p>
        </w:tc>
        <w:tc>
          <w:tcPr>
            <w:tcW w:w="747" w:type="dxa"/>
            <w:tcBorders>
              <w:top w:val="nil"/>
              <w:left w:val="nil"/>
              <w:bottom w:val="single" w:sz="4" w:space="0" w:color="BFBFBF"/>
              <w:right w:val="single" w:sz="4" w:space="0" w:color="BFBFBF"/>
            </w:tcBorders>
            <w:shd w:val="clear" w:color="auto" w:fill="auto"/>
            <w:noWrap/>
            <w:vAlign w:val="center"/>
          </w:tcPr>
          <w:p w14:paraId="0CE23540"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38,575</w:t>
            </w:r>
          </w:p>
        </w:tc>
        <w:tc>
          <w:tcPr>
            <w:tcW w:w="825" w:type="dxa"/>
            <w:tcBorders>
              <w:top w:val="nil"/>
              <w:left w:val="nil"/>
              <w:bottom w:val="single" w:sz="4" w:space="0" w:color="BFBFBF"/>
              <w:right w:val="nil"/>
            </w:tcBorders>
            <w:shd w:val="clear" w:color="auto" w:fill="auto"/>
            <w:noWrap/>
            <w:vAlign w:val="center"/>
          </w:tcPr>
          <w:p w14:paraId="5D2193F7"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47,660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C36620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D5B13E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A16BC9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54EA216"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4ACF1A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9C0187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49787ED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2EA74C4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632747BE"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74F8241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191A1AA9"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34677D65"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Mallee</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014259B2"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3,899</w:t>
            </w:r>
          </w:p>
        </w:tc>
        <w:tc>
          <w:tcPr>
            <w:tcW w:w="747" w:type="dxa"/>
            <w:tcBorders>
              <w:top w:val="nil"/>
              <w:left w:val="nil"/>
              <w:bottom w:val="single" w:sz="4" w:space="0" w:color="BFBFBF"/>
              <w:right w:val="single" w:sz="4" w:space="0" w:color="BFBFBF"/>
            </w:tcBorders>
            <w:shd w:val="clear" w:color="auto" w:fill="auto"/>
            <w:noWrap/>
            <w:vAlign w:val="center"/>
          </w:tcPr>
          <w:p w14:paraId="6977B882"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14,746</w:t>
            </w:r>
          </w:p>
        </w:tc>
        <w:tc>
          <w:tcPr>
            <w:tcW w:w="825" w:type="dxa"/>
            <w:tcBorders>
              <w:top w:val="nil"/>
              <w:left w:val="nil"/>
              <w:bottom w:val="single" w:sz="4" w:space="0" w:color="BFBFBF"/>
              <w:right w:val="nil"/>
            </w:tcBorders>
            <w:shd w:val="clear" w:color="auto" w:fill="auto"/>
            <w:noWrap/>
            <w:vAlign w:val="center"/>
          </w:tcPr>
          <w:p w14:paraId="30EE51EF"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18,603</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1CA02A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DD5CAA3"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DCBD1F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F42C93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02E570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CCDF17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73B59CC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194D4941"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450001E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2C56CD9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3BDE73E3"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197D8217"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Loddon</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7EF464C6"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8,793</w:t>
            </w:r>
          </w:p>
        </w:tc>
        <w:tc>
          <w:tcPr>
            <w:tcW w:w="747" w:type="dxa"/>
            <w:tcBorders>
              <w:top w:val="nil"/>
              <w:left w:val="nil"/>
              <w:bottom w:val="single" w:sz="4" w:space="0" w:color="BFBFBF"/>
              <w:right w:val="single" w:sz="4" w:space="0" w:color="BFBFBF"/>
            </w:tcBorders>
            <w:shd w:val="clear" w:color="auto" w:fill="auto"/>
            <w:noWrap/>
            <w:vAlign w:val="center"/>
          </w:tcPr>
          <w:p w14:paraId="00CAF785"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35,544</w:t>
            </w:r>
          </w:p>
        </w:tc>
        <w:tc>
          <w:tcPr>
            <w:tcW w:w="825" w:type="dxa"/>
            <w:tcBorders>
              <w:top w:val="nil"/>
              <w:left w:val="nil"/>
              <w:bottom w:val="single" w:sz="4" w:space="0" w:color="BFBFBF"/>
              <w:right w:val="nil"/>
            </w:tcBorders>
            <w:shd w:val="clear" w:color="auto" w:fill="auto"/>
            <w:noWrap/>
            <w:vAlign w:val="center"/>
          </w:tcPr>
          <w:p w14:paraId="058658E6"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47,428</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E0D3026"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AFCD07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FD5672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8E443D9"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80BCA80"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764754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53F40A6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543FAA3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297204E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1632F49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3C55B41F"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6010B14A"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CB7ECD">
                  <w:rPr>
                    <w:rFonts w:ascii="Arial" w:hAnsi="Arial" w:cs="Arial"/>
                    <w:color w:val="000000"/>
                    <w:sz w:val="16"/>
                    <w:szCs w:val="16"/>
                    <w:lang w:val="en-AU" w:eastAsia="en-AU"/>
                  </w:rPr>
                  <w:t>Murray</w:t>
                </w:r>
              </w:smartTag>
            </w:smartTag>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7B6E5E50"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5,717</w:t>
            </w:r>
          </w:p>
        </w:tc>
        <w:tc>
          <w:tcPr>
            <w:tcW w:w="747" w:type="dxa"/>
            <w:tcBorders>
              <w:top w:val="nil"/>
              <w:left w:val="nil"/>
              <w:bottom w:val="single" w:sz="4" w:space="0" w:color="BFBFBF"/>
              <w:right w:val="single" w:sz="4" w:space="0" w:color="BFBFBF"/>
            </w:tcBorders>
            <w:shd w:val="clear" w:color="auto" w:fill="auto"/>
            <w:noWrap/>
            <w:vAlign w:val="center"/>
          </w:tcPr>
          <w:p w14:paraId="54251B9F"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34,649</w:t>
            </w:r>
          </w:p>
        </w:tc>
        <w:tc>
          <w:tcPr>
            <w:tcW w:w="825" w:type="dxa"/>
            <w:tcBorders>
              <w:top w:val="nil"/>
              <w:left w:val="nil"/>
              <w:bottom w:val="single" w:sz="4" w:space="0" w:color="BFBFBF"/>
              <w:right w:val="nil"/>
            </w:tcBorders>
            <w:shd w:val="clear" w:color="auto" w:fill="auto"/>
            <w:noWrap/>
            <w:vAlign w:val="center"/>
          </w:tcPr>
          <w:p w14:paraId="2EA186A4"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44,165</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5B7204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D5E8123"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D8CF5C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3BDB9DE"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0906D0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FB3E7F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43D76FB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3AE65A2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321EA39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5C762AD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7D32D5C0"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3EEBF070"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Goulburn</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7C73D718"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7,219</w:t>
            </w:r>
          </w:p>
        </w:tc>
        <w:tc>
          <w:tcPr>
            <w:tcW w:w="747" w:type="dxa"/>
            <w:tcBorders>
              <w:top w:val="nil"/>
              <w:left w:val="nil"/>
              <w:bottom w:val="single" w:sz="4" w:space="0" w:color="BFBFBF"/>
              <w:right w:val="single" w:sz="4" w:space="0" w:color="BFBFBF"/>
            </w:tcBorders>
            <w:shd w:val="clear" w:color="auto" w:fill="auto"/>
            <w:noWrap/>
            <w:vAlign w:val="center"/>
          </w:tcPr>
          <w:p w14:paraId="030FAED4"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28,025</w:t>
            </w:r>
          </w:p>
        </w:tc>
        <w:tc>
          <w:tcPr>
            <w:tcW w:w="825" w:type="dxa"/>
            <w:tcBorders>
              <w:top w:val="nil"/>
              <w:left w:val="nil"/>
              <w:bottom w:val="single" w:sz="4" w:space="0" w:color="BFBFBF"/>
              <w:right w:val="nil"/>
            </w:tcBorders>
            <w:shd w:val="clear" w:color="auto" w:fill="auto"/>
            <w:noWrap/>
            <w:vAlign w:val="center"/>
          </w:tcPr>
          <w:p w14:paraId="0BB2BF47"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37,892</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360CC7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391524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90F5DC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D8D0377"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5CACF36"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07C228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1544B18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075BCC9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67C4349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6D23459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19715585"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223F23A8"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Outer Gippsland</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6B47B613"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9,849</w:t>
            </w:r>
          </w:p>
        </w:tc>
        <w:tc>
          <w:tcPr>
            <w:tcW w:w="747" w:type="dxa"/>
            <w:tcBorders>
              <w:top w:val="nil"/>
              <w:left w:val="nil"/>
              <w:bottom w:val="single" w:sz="4" w:space="0" w:color="BFBFBF"/>
              <w:right w:val="single" w:sz="4" w:space="0" w:color="BFBFBF"/>
            </w:tcBorders>
            <w:shd w:val="clear" w:color="auto" w:fill="auto"/>
            <w:noWrap/>
            <w:vAlign w:val="center"/>
          </w:tcPr>
          <w:p w14:paraId="3920F322"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21,783</w:t>
            </w:r>
          </w:p>
        </w:tc>
        <w:tc>
          <w:tcPr>
            <w:tcW w:w="825" w:type="dxa"/>
            <w:tcBorders>
              <w:top w:val="nil"/>
              <w:left w:val="nil"/>
              <w:bottom w:val="single" w:sz="4" w:space="0" w:color="BFBFBF"/>
              <w:right w:val="nil"/>
            </w:tcBorders>
            <w:shd w:val="clear" w:color="auto" w:fill="auto"/>
            <w:noWrap/>
            <w:vAlign w:val="center"/>
          </w:tcPr>
          <w:p w14:paraId="401C3F7C"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34,747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16BC539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1E06029"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7D5F297"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5C861B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358D783"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2507B0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648BBAF7"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5F907B4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44D5888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4EE3EFB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7C5649EA"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2BEA8EB5"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Inner Gippsland</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607182DA"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9,351</w:t>
            </w:r>
          </w:p>
        </w:tc>
        <w:tc>
          <w:tcPr>
            <w:tcW w:w="747" w:type="dxa"/>
            <w:tcBorders>
              <w:top w:val="nil"/>
              <w:left w:val="nil"/>
              <w:bottom w:val="single" w:sz="4" w:space="0" w:color="BFBFBF"/>
              <w:right w:val="single" w:sz="4" w:space="0" w:color="BFBFBF"/>
            </w:tcBorders>
            <w:shd w:val="clear" w:color="auto" w:fill="auto"/>
            <w:noWrap/>
            <w:vAlign w:val="center"/>
          </w:tcPr>
          <w:p w14:paraId="7DB5E1DF"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29,678</w:t>
            </w:r>
          </w:p>
        </w:tc>
        <w:tc>
          <w:tcPr>
            <w:tcW w:w="825" w:type="dxa"/>
            <w:tcBorders>
              <w:top w:val="nil"/>
              <w:left w:val="nil"/>
              <w:bottom w:val="single" w:sz="4" w:space="0" w:color="BFBFBF"/>
              <w:right w:val="nil"/>
            </w:tcBorders>
            <w:shd w:val="clear" w:color="auto" w:fill="auto"/>
            <w:noWrap/>
            <w:vAlign w:val="center"/>
          </w:tcPr>
          <w:p w14:paraId="45A731CE"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40,830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A2E872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6048CE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79F8086"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D12440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0C8DF51"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552BFC4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137AA93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63BB0A0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197DC22F"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088F4BA9"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2C52975A"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155E86B4"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Western District</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6662620F"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4,514</w:t>
            </w:r>
          </w:p>
        </w:tc>
        <w:tc>
          <w:tcPr>
            <w:tcW w:w="747" w:type="dxa"/>
            <w:tcBorders>
              <w:top w:val="nil"/>
              <w:left w:val="nil"/>
              <w:bottom w:val="single" w:sz="4" w:space="0" w:color="BFBFBF"/>
              <w:right w:val="single" w:sz="4" w:space="0" w:color="BFBFBF"/>
            </w:tcBorders>
            <w:shd w:val="clear" w:color="auto" w:fill="auto"/>
            <w:noWrap/>
            <w:vAlign w:val="center"/>
          </w:tcPr>
          <w:p w14:paraId="6758BBE7"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26,296</w:t>
            </w:r>
          </w:p>
        </w:tc>
        <w:tc>
          <w:tcPr>
            <w:tcW w:w="825" w:type="dxa"/>
            <w:tcBorders>
              <w:top w:val="nil"/>
              <w:left w:val="nil"/>
              <w:bottom w:val="single" w:sz="4" w:space="0" w:color="BFBFBF"/>
              <w:right w:val="nil"/>
            </w:tcBorders>
            <w:shd w:val="clear" w:color="auto" w:fill="auto"/>
            <w:noWrap/>
            <w:vAlign w:val="center"/>
          </w:tcPr>
          <w:p w14:paraId="522D80AE"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32,495</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6AE8567"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040935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862338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A6056C0"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CECFC3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A9566A1"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008F30B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104CAA7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68350DE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5662EE0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491B2DBA"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7785277E"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Barwon</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4A48F7C5"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6,300</w:t>
            </w:r>
          </w:p>
        </w:tc>
        <w:tc>
          <w:tcPr>
            <w:tcW w:w="747" w:type="dxa"/>
            <w:tcBorders>
              <w:top w:val="nil"/>
              <w:left w:val="nil"/>
              <w:bottom w:val="single" w:sz="4" w:space="0" w:color="BFBFBF"/>
              <w:right w:val="single" w:sz="4" w:space="0" w:color="BFBFBF"/>
            </w:tcBorders>
            <w:shd w:val="clear" w:color="auto" w:fill="auto"/>
            <w:noWrap/>
            <w:vAlign w:val="center"/>
          </w:tcPr>
          <w:p w14:paraId="6C562917"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27,123</w:t>
            </w:r>
          </w:p>
        </w:tc>
        <w:tc>
          <w:tcPr>
            <w:tcW w:w="825" w:type="dxa"/>
            <w:tcBorders>
              <w:top w:val="nil"/>
              <w:left w:val="nil"/>
              <w:bottom w:val="single" w:sz="4" w:space="0" w:color="BFBFBF"/>
              <w:right w:val="nil"/>
            </w:tcBorders>
            <w:shd w:val="clear" w:color="auto" w:fill="auto"/>
            <w:noWrap/>
            <w:vAlign w:val="center"/>
          </w:tcPr>
          <w:p w14:paraId="4073401B"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35,200</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06F2341"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2A8271D"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7F16DB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340AA15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6DCE96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3F35AAE"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19EA908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56B6E07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40CEC84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57E6B78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7D5DE2F5"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bottom"/>
          </w:tcPr>
          <w:p w14:paraId="32B60C31" w14:textId="77777777" w:rsidR="00B16465" w:rsidRPr="00CB7ECD" w:rsidRDefault="00B16465"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Central Highlands</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0CFE828E"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12,624</w:t>
            </w:r>
          </w:p>
        </w:tc>
        <w:tc>
          <w:tcPr>
            <w:tcW w:w="747" w:type="dxa"/>
            <w:tcBorders>
              <w:top w:val="nil"/>
              <w:left w:val="nil"/>
              <w:bottom w:val="single" w:sz="4" w:space="0" w:color="BFBFBF"/>
              <w:right w:val="single" w:sz="4" w:space="0" w:color="BFBFBF"/>
            </w:tcBorders>
            <w:shd w:val="clear" w:color="auto" w:fill="auto"/>
            <w:noWrap/>
            <w:vAlign w:val="center"/>
          </w:tcPr>
          <w:p w14:paraId="1AE33165"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49,406</w:t>
            </w:r>
          </w:p>
        </w:tc>
        <w:tc>
          <w:tcPr>
            <w:tcW w:w="825" w:type="dxa"/>
            <w:tcBorders>
              <w:top w:val="nil"/>
              <w:left w:val="nil"/>
              <w:bottom w:val="single" w:sz="4" w:space="0" w:color="BFBFBF"/>
              <w:right w:val="nil"/>
            </w:tcBorders>
            <w:shd w:val="clear" w:color="auto" w:fill="auto"/>
            <w:noWrap/>
            <w:vAlign w:val="center"/>
          </w:tcPr>
          <w:p w14:paraId="18EA9ED3"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62,639</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7BDBC1C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8A66AF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362D7C1"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1FBE64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7BDD922"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93FAEB0"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775" w:type="dxa"/>
            <w:tcBorders>
              <w:top w:val="nil"/>
              <w:left w:val="nil"/>
              <w:bottom w:val="single" w:sz="4" w:space="0" w:color="BFBFBF"/>
              <w:right w:val="nil"/>
            </w:tcBorders>
            <w:shd w:val="clear" w:color="auto" w:fill="auto"/>
            <w:noWrap/>
            <w:vAlign w:val="center"/>
          </w:tcPr>
          <w:p w14:paraId="4B1D7EC3"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4594DD1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0" w:type="dxa"/>
            <w:tcBorders>
              <w:top w:val="nil"/>
              <w:left w:val="nil"/>
              <w:bottom w:val="single" w:sz="4" w:space="0" w:color="BFBFBF"/>
              <w:right w:val="single" w:sz="4" w:space="0" w:color="BFBFBF"/>
            </w:tcBorders>
            <w:shd w:val="clear" w:color="auto" w:fill="auto"/>
            <w:noWrap/>
            <w:vAlign w:val="center"/>
          </w:tcPr>
          <w:p w14:paraId="7AF2F540"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c>
          <w:tcPr>
            <w:tcW w:w="851" w:type="dxa"/>
            <w:tcBorders>
              <w:top w:val="nil"/>
              <w:left w:val="nil"/>
              <w:bottom w:val="single" w:sz="4" w:space="0" w:color="BFBFBF"/>
              <w:right w:val="double" w:sz="6" w:space="0" w:color="auto"/>
            </w:tcBorders>
            <w:shd w:val="clear" w:color="auto" w:fill="auto"/>
            <w:noWrap/>
            <w:vAlign w:val="center"/>
          </w:tcPr>
          <w:p w14:paraId="55B78B0A"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n/a</w:t>
            </w:r>
          </w:p>
        </w:tc>
      </w:tr>
      <w:tr w:rsidR="00B16465" w:rsidRPr="00CB7ECD" w14:paraId="3B423160"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15D8D987" w14:textId="77777777" w:rsidR="00B16465" w:rsidRPr="00CB7ECD" w:rsidRDefault="00B16465" w:rsidP="00086B9C">
            <w:pPr>
              <w:spacing w:before="0" w:after="0"/>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By Concession Status -</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3B1DC1B9"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47" w:type="dxa"/>
            <w:tcBorders>
              <w:top w:val="nil"/>
              <w:left w:val="nil"/>
              <w:bottom w:val="single" w:sz="4" w:space="0" w:color="BFBFBF"/>
              <w:right w:val="single" w:sz="4" w:space="0" w:color="BFBFBF"/>
            </w:tcBorders>
            <w:shd w:val="clear" w:color="auto" w:fill="auto"/>
            <w:noWrap/>
            <w:vAlign w:val="center"/>
          </w:tcPr>
          <w:p w14:paraId="7F9D9A17"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25" w:type="dxa"/>
            <w:tcBorders>
              <w:top w:val="nil"/>
              <w:left w:val="nil"/>
              <w:bottom w:val="single" w:sz="4" w:space="0" w:color="BFBFBF"/>
              <w:right w:val="nil"/>
            </w:tcBorders>
            <w:shd w:val="clear" w:color="auto" w:fill="auto"/>
            <w:noWrap/>
            <w:vAlign w:val="center"/>
          </w:tcPr>
          <w:p w14:paraId="5C2D53EC" w14:textId="77777777" w:rsidR="00B16465" w:rsidRPr="00CB7ECD" w:rsidRDefault="00B16465"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1F9706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95A204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4195C745"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2A0A7CBB"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F5FE387"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4CA8AAD4"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75" w:type="dxa"/>
            <w:tcBorders>
              <w:top w:val="nil"/>
              <w:left w:val="nil"/>
              <w:bottom w:val="single" w:sz="4" w:space="0" w:color="BFBFBF"/>
              <w:right w:val="nil"/>
            </w:tcBorders>
            <w:shd w:val="clear" w:color="auto" w:fill="auto"/>
            <w:noWrap/>
            <w:vAlign w:val="center"/>
          </w:tcPr>
          <w:p w14:paraId="7DAE595C"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73" w:type="dxa"/>
            <w:tcBorders>
              <w:top w:val="nil"/>
              <w:left w:val="single" w:sz="4" w:space="0" w:color="auto"/>
              <w:bottom w:val="single" w:sz="4" w:space="0" w:color="BFBFBF"/>
              <w:right w:val="single" w:sz="4" w:space="0" w:color="BFBFBF"/>
            </w:tcBorders>
            <w:shd w:val="clear" w:color="auto" w:fill="auto"/>
            <w:noWrap/>
            <w:vAlign w:val="bottom"/>
          </w:tcPr>
          <w:p w14:paraId="24A7102A" w14:textId="77777777" w:rsidR="00B16465" w:rsidRPr="00CB7ECD" w:rsidRDefault="00B16465"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0" w:type="dxa"/>
            <w:tcBorders>
              <w:top w:val="nil"/>
              <w:left w:val="nil"/>
              <w:bottom w:val="single" w:sz="4" w:space="0" w:color="BFBFBF"/>
              <w:right w:val="single" w:sz="4" w:space="0" w:color="BFBFBF"/>
            </w:tcBorders>
            <w:shd w:val="clear" w:color="auto" w:fill="auto"/>
            <w:noWrap/>
            <w:vAlign w:val="center"/>
          </w:tcPr>
          <w:p w14:paraId="3823EAE8"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1" w:type="dxa"/>
            <w:tcBorders>
              <w:top w:val="nil"/>
              <w:left w:val="nil"/>
              <w:bottom w:val="single" w:sz="4" w:space="0" w:color="BFBFBF"/>
              <w:right w:val="double" w:sz="6" w:space="0" w:color="auto"/>
            </w:tcBorders>
            <w:shd w:val="clear" w:color="auto" w:fill="auto"/>
            <w:noWrap/>
            <w:vAlign w:val="center"/>
          </w:tcPr>
          <w:p w14:paraId="54F7A357" w14:textId="77777777" w:rsidR="00B16465" w:rsidRPr="00CB7ECD" w:rsidRDefault="00B16465"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r>
      <w:tr w:rsidR="00CB7ECD" w:rsidRPr="00CB7ECD" w14:paraId="2750AA03"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756CF182"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Aged Concession HHs</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6F7A0CEC"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8,202</w:t>
            </w:r>
          </w:p>
        </w:tc>
        <w:tc>
          <w:tcPr>
            <w:tcW w:w="747" w:type="dxa"/>
            <w:tcBorders>
              <w:top w:val="nil"/>
              <w:left w:val="nil"/>
              <w:bottom w:val="single" w:sz="4" w:space="0" w:color="BFBFBF"/>
              <w:right w:val="single" w:sz="4" w:space="0" w:color="BFBFBF"/>
            </w:tcBorders>
            <w:shd w:val="clear" w:color="auto" w:fill="auto"/>
            <w:noWrap/>
            <w:vAlign w:val="center"/>
          </w:tcPr>
          <w:p w14:paraId="384EADF3"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33,291</w:t>
            </w:r>
          </w:p>
        </w:tc>
        <w:tc>
          <w:tcPr>
            <w:tcW w:w="825" w:type="dxa"/>
            <w:tcBorders>
              <w:top w:val="nil"/>
              <w:left w:val="nil"/>
              <w:bottom w:val="single" w:sz="4" w:space="0" w:color="BFBFBF"/>
              <w:right w:val="nil"/>
            </w:tcBorders>
            <w:shd w:val="clear" w:color="auto" w:fill="auto"/>
            <w:noWrap/>
            <w:vAlign w:val="center"/>
          </w:tcPr>
          <w:p w14:paraId="3D7412A0"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43,414</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8FB6BAD"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11,704</w:t>
            </w:r>
          </w:p>
        </w:tc>
        <w:tc>
          <w:tcPr>
            <w:tcW w:w="734" w:type="dxa"/>
            <w:tcBorders>
              <w:top w:val="nil"/>
              <w:left w:val="nil"/>
              <w:bottom w:val="single" w:sz="4" w:space="0" w:color="BFBFBF"/>
              <w:right w:val="single" w:sz="4" w:space="0" w:color="BFBFBF"/>
            </w:tcBorders>
            <w:shd w:val="clear" w:color="auto" w:fill="auto"/>
            <w:noWrap/>
            <w:vAlign w:val="center"/>
          </w:tcPr>
          <w:p w14:paraId="505EA6BC"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45,281</w:t>
            </w:r>
          </w:p>
        </w:tc>
        <w:tc>
          <w:tcPr>
            <w:tcW w:w="734" w:type="dxa"/>
            <w:tcBorders>
              <w:top w:val="nil"/>
              <w:left w:val="nil"/>
              <w:bottom w:val="single" w:sz="4" w:space="0" w:color="BFBFBF"/>
              <w:right w:val="single" w:sz="4" w:space="0" w:color="auto"/>
            </w:tcBorders>
            <w:shd w:val="clear" w:color="auto" w:fill="auto"/>
            <w:noWrap/>
            <w:vAlign w:val="center"/>
          </w:tcPr>
          <w:p w14:paraId="5A2F60CC"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57,457</w:t>
            </w:r>
          </w:p>
        </w:tc>
        <w:tc>
          <w:tcPr>
            <w:tcW w:w="857" w:type="dxa"/>
            <w:tcBorders>
              <w:top w:val="nil"/>
              <w:left w:val="nil"/>
              <w:bottom w:val="single" w:sz="4" w:space="0" w:color="BFBFBF"/>
              <w:right w:val="single" w:sz="4" w:space="0" w:color="BFBFBF"/>
            </w:tcBorders>
            <w:shd w:val="clear" w:color="auto" w:fill="auto"/>
            <w:noWrap/>
            <w:vAlign w:val="center"/>
          </w:tcPr>
          <w:p w14:paraId="66A15E87"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12,185</w:t>
            </w:r>
          </w:p>
        </w:tc>
        <w:tc>
          <w:tcPr>
            <w:tcW w:w="734" w:type="dxa"/>
            <w:tcBorders>
              <w:top w:val="nil"/>
              <w:left w:val="nil"/>
              <w:bottom w:val="single" w:sz="4" w:space="0" w:color="BFBFBF"/>
              <w:right w:val="single" w:sz="4" w:space="0" w:color="BFBFBF"/>
            </w:tcBorders>
            <w:shd w:val="clear" w:color="auto" w:fill="auto"/>
            <w:noWrap/>
            <w:vAlign w:val="center"/>
          </w:tcPr>
          <w:p w14:paraId="57B45AE0"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37,296</w:t>
            </w:r>
          </w:p>
        </w:tc>
        <w:tc>
          <w:tcPr>
            <w:tcW w:w="734" w:type="dxa"/>
            <w:tcBorders>
              <w:top w:val="nil"/>
              <w:left w:val="nil"/>
              <w:bottom w:val="single" w:sz="4" w:space="0" w:color="BFBFBF"/>
              <w:right w:val="single" w:sz="4" w:space="0" w:color="auto"/>
            </w:tcBorders>
            <w:shd w:val="clear" w:color="auto" w:fill="auto"/>
            <w:noWrap/>
            <w:vAlign w:val="center"/>
          </w:tcPr>
          <w:p w14:paraId="3D0F2A8D"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49,441</w:t>
            </w:r>
          </w:p>
        </w:tc>
        <w:tc>
          <w:tcPr>
            <w:tcW w:w="775" w:type="dxa"/>
            <w:tcBorders>
              <w:top w:val="nil"/>
              <w:left w:val="nil"/>
              <w:bottom w:val="single" w:sz="4" w:space="0" w:color="BFBFBF"/>
              <w:right w:val="nil"/>
            </w:tcBorders>
            <w:shd w:val="clear" w:color="auto" w:fill="auto"/>
            <w:noWrap/>
            <w:vAlign w:val="center"/>
          </w:tcPr>
          <w:p w14:paraId="09E041A3"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43,697</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7B42B898"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-24.4%</w:t>
            </w:r>
          </w:p>
        </w:tc>
        <w:tc>
          <w:tcPr>
            <w:tcW w:w="850" w:type="dxa"/>
            <w:tcBorders>
              <w:top w:val="nil"/>
              <w:left w:val="nil"/>
              <w:bottom w:val="single" w:sz="4" w:space="0" w:color="BFBFBF"/>
              <w:right w:val="single" w:sz="4" w:space="0" w:color="BFBFBF"/>
            </w:tcBorders>
            <w:shd w:val="clear" w:color="auto" w:fill="auto"/>
            <w:noWrap/>
            <w:vAlign w:val="center"/>
          </w:tcPr>
          <w:p w14:paraId="49B089C4"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16.2%</w:t>
            </w:r>
          </w:p>
        </w:tc>
        <w:tc>
          <w:tcPr>
            <w:tcW w:w="851" w:type="dxa"/>
            <w:tcBorders>
              <w:top w:val="nil"/>
              <w:left w:val="nil"/>
              <w:bottom w:val="single" w:sz="4" w:space="0" w:color="BFBFBF"/>
              <w:right w:val="double" w:sz="6" w:space="0" w:color="auto"/>
            </w:tcBorders>
            <w:shd w:val="clear" w:color="auto" w:fill="auto"/>
            <w:noWrap/>
            <w:vAlign w:val="center"/>
          </w:tcPr>
          <w:p w14:paraId="14A2096F"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31.5%</w:t>
            </w:r>
          </w:p>
        </w:tc>
      </w:tr>
      <w:tr w:rsidR="00CB7ECD" w:rsidRPr="00CB7ECD" w14:paraId="4C48839F"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5C9701E4"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Other Concession HHs</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283068A3"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10,411</w:t>
            </w:r>
          </w:p>
        </w:tc>
        <w:tc>
          <w:tcPr>
            <w:tcW w:w="747" w:type="dxa"/>
            <w:tcBorders>
              <w:top w:val="nil"/>
              <w:left w:val="nil"/>
              <w:bottom w:val="single" w:sz="4" w:space="0" w:color="BFBFBF"/>
              <w:right w:val="single" w:sz="4" w:space="0" w:color="BFBFBF"/>
            </w:tcBorders>
            <w:shd w:val="clear" w:color="auto" w:fill="auto"/>
            <w:noWrap/>
            <w:vAlign w:val="center"/>
          </w:tcPr>
          <w:p w14:paraId="642B02C4"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32,188</w:t>
            </w:r>
          </w:p>
        </w:tc>
        <w:tc>
          <w:tcPr>
            <w:tcW w:w="825" w:type="dxa"/>
            <w:tcBorders>
              <w:top w:val="nil"/>
              <w:left w:val="nil"/>
              <w:bottom w:val="single" w:sz="4" w:space="0" w:color="BFBFBF"/>
              <w:right w:val="nil"/>
            </w:tcBorders>
            <w:shd w:val="clear" w:color="auto" w:fill="auto"/>
            <w:noWrap/>
            <w:vAlign w:val="center"/>
          </w:tcPr>
          <w:p w14:paraId="6115F2F7"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44,638</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216DECD"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14,854</w:t>
            </w:r>
          </w:p>
        </w:tc>
        <w:tc>
          <w:tcPr>
            <w:tcW w:w="734" w:type="dxa"/>
            <w:tcBorders>
              <w:top w:val="nil"/>
              <w:left w:val="nil"/>
              <w:bottom w:val="single" w:sz="4" w:space="0" w:color="BFBFBF"/>
              <w:right w:val="single" w:sz="4" w:space="0" w:color="BFBFBF"/>
            </w:tcBorders>
            <w:shd w:val="clear" w:color="auto" w:fill="auto"/>
            <w:noWrap/>
            <w:vAlign w:val="center"/>
          </w:tcPr>
          <w:p w14:paraId="626E159E"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45,782</w:t>
            </w:r>
          </w:p>
        </w:tc>
        <w:tc>
          <w:tcPr>
            <w:tcW w:w="734" w:type="dxa"/>
            <w:tcBorders>
              <w:top w:val="nil"/>
              <w:left w:val="nil"/>
              <w:bottom w:val="single" w:sz="4" w:space="0" w:color="BFBFBF"/>
              <w:right w:val="single" w:sz="4" w:space="0" w:color="auto"/>
            </w:tcBorders>
            <w:shd w:val="clear" w:color="auto" w:fill="auto"/>
            <w:noWrap/>
            <w:vAlign w:val="center"/>
          </w:tcPr>
          <w:p w14:paraId="3440429D"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60,723</w:t>
            </w:r>
          </w:p>
        </w:tc>
        <w:tc>
          <w:tcPr>
            <w:tcW w:w="857" w:type="dxa"/>
            <w:tcBorders>
              <w:top w:val="nil"/>
              <w:left w:val="nil"/>
              <w:bottom w:val="single" w:sz="4" w:space="0" w:color="BFBFBF"/>
              <w:right w:val="single" w:sz="4" w:space="0" w:color="BFBFBF"/>
            </w:tcBorders>
            <w:shd w:val="clear" w:color="auto" w:fill="auto"/>
            <w:noWrap/>
            <w:vAlign w:val="center"/>
          </w:tcPr>
          <w:p w14:paraId="20485050"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14,134</w:t>
            </w:r>
          </w:p>
        </w:tc>
        <w:tc>
          <w:tcPr>
            <w:tcW w:w="734" w:type="dxa"/>
            <w:tcBorders>
              <w:top w:val="nil"/>
              <w:left w:val="nil"/>
              <w:bottom w:val="single" w:sz="4" w:space="0" w:color="BFBFBF"/>
              <w:right w:val="single" w:sz="4" w:space="0" w:color="BFBFBF"/>
            </w:tcBorders>
            <w:shd w:val="clear" w:color="auto" w:fill="auto"/>
            <w:noWrap/>
            <w:vAlign w:val="center"/>
          </w:tcPr>
          <w:p w14:paraId="113DC749"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41,009</w:t>
            </w:r>
          </w:p>
        </w:tc>
        <w:tc>
          <w:tcPr>
            <w:tcW w:w="734" w:type="dxa"/>
            <w:tcBorders>
              <w:top w:val="nil"/>
              <w:left w:val="nil"/>
              <w:bottom w:val="single" w:sz="4" w:space="0" w:color="BFBFBF"/>
              <w:right w:val="single" w:sz="4" w:space="0" w:color="auto"/>
            </w:tcBorders>
            <w:shd w:val="clear" w:color="auto" w:fill="auto"/>
            <w:noWrap/>
            <w:vAlign w:val="center"/>
          </w:tcPr>
          <w:p w14:paraId="0A12F42B"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55,144</w:t>
            </w:r>
          </w:p>
        </w:tc>
        <w:tc>
          <w:tcPr>
            <w:tcW w:w="775" w:type="dxa"/>
            <w:tcBorders>
              <w:top w:val="nil"/>
              <w:left w:val="nil"/>
              <w:bottom w:val="single" w:sz="4" w:space="0" w:color="BFBFBF"/>
              <w:right w:val="nil"/>
            </w:tcBorders>
            <w:shd w:val="clear" w:color="auto" w:fill="auto"/>
            <w:noWrap/>
            <w:vAlign w:val="center"/>
          </w:tcPr>
          <w:p w14:paraId="142DD563"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46,681</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3D60008B"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-26.5%</w:t>
            </w:r>
          </w:p>
        </w:tc>
        <w:tc>
          <w:tcPr>
            <w:tcW w:w="850" w:type="dxa"/>
            <w:tcBorders>
              <w:top w:val="nil"/>
              <w:left w:val="nil"/>
              <w:bottom w:val="single" w:sz="4" w:space="0" w:color="BFBFBF"/>
              <w:right w:val="single" w:sz="4" w:space="0" w:color="BFBFBF"/>
            </w:tcBorders>
            <w:shd w:val="clear" w:color="auto" w:fill="auto"/>
            <w:noWrap/>
            <w:vAlign w:val="center"/>
          </w:tcPr>
          <w:p w14:paraId="2701BC93"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10.1%</w:t>
            </w:r>
          </w:p>
        </w:tc>
        <w:tc>
          <w:tcPr>
            <w:tcW w:w="851" w:type="dxa"/>
            <w:tcBorders>
              <w:top w:val="nil"/>
              <w:left w:val="nil"/>
              <w:bottom w:val="single" w:sz="4" w:space="0" w:color="BFBFBF"/>
              <w:right w:val="double" w:sz="6" w:space="0" w:color="auto"/>
            </w:tcBorders>
            <w:shd w:val="clear" w:color="auto" w:fill="auto"/>
            <w:noWrap/>
            <w:vAlign w:val="center"/>
          </w:tcPr>
          <w:p w14:paraId="08AC1259"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30.1%</w:t>
            </w:r>
          </w:p>
        </w:tc>
      </w:tr>
      <w:tr w:rsidR="00CB7ECD" w:rsidRPr="00CB7ECD" w14:paraId="5D9E64A4"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14EE59CF"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Total Concession HHs</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16F81505"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9,309</w:t>
            </w:r>
          </w:p>
        </w:tc>
        <w:tc>
          <w:tcPr>
            <w:tcW w:w="747" w:type="dxa"/>
            <w:tcBorders>
              <w:top w:val="nil"/>
              <w:left w:val="nil"/>
              <w:bottom w:val="single" w:sz="4" w:space="0" w:color="BFBFBF"/>
              <w:right w:val="single" w:sz="4" w:space="0" w:color="BFBFBF"/>
            </w:tcBorders>
            <w:shd w:val="clear" w:color="auto" w:fill="auto"/>
            <w:noWrap/>
            <w:vAlign w:val="center"/>
          </w:tcPr>
          <w:p w14:paraId="464B2AD8"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32,743</w:t>
            </w:r>
          </w:p>
        </w:tc>
        <w:tc>
          <w:tcPr>
            <w:tcW w:w="825" w:type="dxa"/>
            <w:tcBorders>
              <w:top w:val="nil"/>
              <w:left w:val="nil"/>
              <w:bottom w:val="single" w:sz="4" w:space="0" w:color="BFBFBF"/>
              <w:right w:val="nil"/>
            </w:tcBorders>
            <w:shd w:val="clear" w:color="auto" w:fill="auto"/>
            <w:noWrap/>
            <w:vAlign w:val="center"/>
          </w:tcPr>
          <w:p w14:paraId="4CB78BFE"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44,014</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8825BDA"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13,198</w:t>
            </w:r>
          </w:p>
        </w:tc>
        <w:tc>
          <w:tcPr>
            <w:tcW w:w="734" w:type="dxa"/>
            <w:tcBorders>
              <w:top w:val="nil"/>
              <w:left w:val="nil"/>
              <w:bottom w:val="single" w:sz="4" w:space="0" w:color="BFBFBF"/>
              <w:right w:val="single" w:sz="4" w:space="0" w:color="BFBFBF"/>
            </w:tcBorders>
            <w:shd w:val="clear" w:color="auto" w:fill="auto"/>
            <w:noWrap/>
            <w:vAlign w:val="center"/>
          </w:tcPr>
          <w:p w14:paraId="7C0A8618"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45,518</w:t>
            </w:r>
          </w:p>
        </w:tc>
        <w:tc>
          <w:tcPr>
            <w:tcW w:w="734" w:type="dxa"/>
            <w:tcBorders>
              <w:top w:val="nil"/>
              <w:left w:val="nil"/>
              <w:bottom w:val="single" w:sz="4" w:space="0" w:color="BFBFBF"/>
              <w:right w:val="single" w:sz="4" w:space="0" w:color="auto"/>
            </w:tcBorders>
            <w:shd w:val="clear" w:color="auto" w:fill="auto"/>
            <w:noWrap/>
            <w:vAlign w:val="center"/>
          </w:tcPr>
          <w:p w14:paraId="3AC746FF"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59,004</w:t>
            </w:r>
          </w:p>
        </w:tc>
        <w:tc>
          <w:tcPr>
            <w:tcW w:w="857" w:type="dxa"/>
            <w:tcBorders>
              <w:top w:val="nil"/>
              <w:left w:val="nil"/>
              <w:bottom w:val="single" w:sz="4" w:space="0" w:color="BFBFBF"/>
              <w:right w:val="single" w:sz="4" w:space="0" w:color="BFBFBF"/>
            </w:tcBorders>
            <w:shd w:val="clear" w:color="auto" w:fill="auto"/>
            <w:noWrap/>
            <w:vAlign w:val="center"/>
          </w:tcPr>
          <w:p w14:paraId="09FB7D48"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13,130</w:t>
            </w:r>
          </w:p>
        </w:tc>
        <w:tc>
          <w:tcPr>
            <w:tcW w:w="734" w:type="dxa"/>
            <w:tcBorders>
              <w:top w:val="nil"/>
              <w:left w:val="nil"/>
              <w:bottom w:val="single" w:sz="4" w:space="0" w:color="BFBFBF"/>
              <w:right w:val="single" w:sz="4" w:space="0" w:color="BFBFBF"/>
            </w:tcBorders>
            <w:shd w:val="clear" w:color="auto" w:fill="auto"/>
            <w:noWrap/>
            <w:vAlign w:val="center"/>
          </w:tcPr>
          <w:p w14:paraId="1001E211"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39,093</w:t>
            </w:r>
          </w:p>
        </w:tc>
        <w:tc>
          <w:tcPr>
            <w:tcW w:w="734" w:type="dxa"/>
            <w:tcBorders>
              <w:top w:val="nil"/>
              <w:left w:val="nil"/>
              <w:bottom w:val="single" w:sz="4" w:space="0" w:color="BFBFBF"/>
              <w:right w:val="single" w:sz="4" w:space="0" w:color="auto"/>
            </w:tcBorders>
            <w:shd w:val="clear" w:color="auto" w:fill="auto"/>
            <w:noWrap/>
            <w:vAlign w:val="center"/>
          </w:tcPr>
          <w:p w14:paraId="334A4E6A"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52,200</w:t>
            </w:r>
          </w:p>
        </w:tc>
        <w:tc>
          <w:tcPr>
            <w:tcW w:w="775" w:type="dxa"/>
            <w:tcBorders>
              <w:top w:val="nil"/>
              <w:left w:val="nil"/>
              <w:bottom w:val="single" w:sz="4" w:space="0" w:color="BFBFBF"/>
              <w:right w:val="nil"/>
            </w:tcBorders>
            <w:shd w:val="clear" w:color="auto" w:fill="auto"/>
            <w:noWrap/>
            <w:vAlign w:val="center"/>
          </w:tcPr>
          <w:p w14:paraId="44AF00BD"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45,034</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08BC3066"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-25.4%</w:t>
            </w:r>
          </w:p>
        </w:tc>
        <w:tc>
          <w:tcPr>
            <w:tcW w:w="850" w:type="dxa"/>
            <w:tcBorders>
              <w:top w:val="nil"/>
              <w:left w:val="nil"/>
              <w:bottom w:val="single" w:sz="4" w:space="0" w:color="BFBFBF"/>
              <w:right w:val="single" w:sz="4" w:space="0" w:color="BFBFBF"/>
            </w:tcBorders>
            <w:shd w:val="clear" w:color="auto" w:fill="auto"/>
            <w:noWrap/>
            <w:vAlign w:val="center"/>
          </w:tcPr>
          <w:p w14:paraId="36997573"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13.0%</w:t>
            </w:r>
          </w:p>
        </w:tc>
        <w:tc>
          <w:tcPr>
            <w:tcW w:w="851" w:type="dxa"/>
            <w:tcBorders>
              <w:top w:val="nil"/>
              <w:left w:val="nil"/>
              <w:bottom w:val="single" w:sz="4" w:space="0" w:color="BFBFBF"/>
              <w:right w:val="double" w:sz="6" w:space="0" w:color="auto"/>
            </w:tcBorders>
            <w:shd w:val="clear" w:color="auto" w:fill="auto"/>
            <w:noWrap/>
            <w:vAlign w:val="center"/>
          </w:tcPr>
          <w:p w14:paraId="383B7FB0"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31.0%</w:t>
            </w:r>
          </w:p>
        </w:tc>
      </w:tr>
      <w:tr w:rsidR="00CB7ECD" w:rsidRPr="00CB7ECD" w14:paraId="07D9DDBF" w14:textId="77777777" w:rsidTr="00B16465">
        <w:trPr>
          <w:trHeight w:val="225"/>
          <w:jc w:val="center"/>
        </w:trPr>
        <w:tc>
          <w:tcPr>
            <w:tcW w:w="2268" w:type="dxa"/>
            <w:tcBorders>
              <w:top w:val="single" w:sz="4" w:space="0" w:color="BFBFBF"/>
              <w:left w:val="double" w:sz="6" w:space="0" w:color="auto"/>
              <w:bottom w:val="double" w:sz="4" w:space="0" w:color="auto"/>
              <w:right w:val="nil"/>
            </w:tcBorders>
            <w:shd w:val="clear" w:color="auto" w:fill="auto"/>
            <w:noWrap/>
            <w:vAlign w:val="center"/>
          </w:tcPr>
          <w:p w14:paraId="2087E263"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Non-Concession HHs</w:t>
            </w:r>
          </w:p>
        </w:tc>
        <w:tc>
          <w:tcPr>
            <w:tcW w:w="954"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1804BEA4"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9,034</w:t>
            </w:r>
          </w:p>
        </w:tc>
        <w:tc>
          <w:tcPr>
            <w:tcW w:w="747" w:type="dxa"/>
            <w:tcBorders>
              <w:top w:val="single" w:sz="4" w:space="0" w:color="BFBFBF"/>
              <w:left w:val="nil"/>
              <w:bottom w:val="double" w:sz="4" w:space="0" w:color="auto"/>
              <w:right w:val="single" w:sz="4" w:space="0" w:color="BFBFBF"/>
            </w:tcBorders>
            <w:shd w:val="clear" w:color="auto" w:fill="auto"/>
            <w:noWrap/>
            <w:vAlign w:val="center"/>
          </w:tcPr>
          <w:p w14:paraId="091268C8"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38,933</w:t>
            </w:r>
          </w:p>
        </w:tc>
        <w:tc>
          <w:tcPr>
            <w:tcW w:w="825" w:type="dxa"/>
            <w:tcBorders>
              <w:top w:val="single" w:sz="4" w:space="0" w:color="BFBFBF"/>
              <w:left w:val="nil"/>
              <w:bottom w:val="double" w:sz="4" w:space="0" w:color="auto"/>
              <w:right w:val="nil"/>
            </w:tcBorders>
            <w:shd w:val="clear" w:color="auto" w:fill="auto"/>
            <w:noWrap/>
            <w:vAlign w:val="center"/>
          </w:tcPr>
          <w:p w14:paraId="224A73E9"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49,072</w:t>
            </w:r>
          </w:p>
        </w:tc>
        <w:tc>
          <w:tcPr>
            <w:tcW w:w="857"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1D4D6E6A"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13,702</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3E9197E6"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50,893</w:t>
            </w:r>
          </w:p>
        </w:tc>
        <w:tc>
          <w:tcPr>
            <w:tcW w:w="734" w:type="dxa"/>
            <w:tcBorders>
              <w:top w:val="single" w:sz="4" w:space="0" w:color="BFBFBF"/>
              <w:left w:val="nil"/>
              <w:bottom w:val="double" w:sz="4" w:space="0" w:color="auto"/>
              <w:right w:val="single" w:sz="4" w:space="0" w:color="auto"/>
            </w:tcBorders>
            <w:shd w:val="clear" w:color="auto" w:fill="auto"/>
            <w:noWrap/>
            <w:vAlign w:val="center"/>
          </w:tcPr>
          <w:p w14:paraId="727D1FA7"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64,750</w:t>
            </w:r>
          </w:p>
        </w:tc>
        <w:tc>
          <w:tcPr>
            <w:tcW w:w="857" w:type="dxa"/>
            <w:tcBorders>
              <w:top w:val="single" w:sz="4" w:space="0" w:color="BFBFBF"/>
              <w:left w:val="nil"/>
              <w:bottom w:val="double" w:sz="4" w:space="0" w:color="auto"/>
              <w:right w:val="single" w:sz="4" w:space="0" w:color="BFBFBF"/>
            </w:tcBorders>
            <w:shd w:val="clear" w:color="auto" w:fill="auto"/>
            <w:noWrap/>
            <w:vAlign w:val="center"/>
          </w:tcPr>
          <w:p w14:paraId="45344659"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16,232</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017BA7C4"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47,443</w:t>
            </w:r>
          </w:p>
        </w:tc>
        <w:tc>
          <w:tcPr>
            <w:tcW w:w="734" w:type="dxa"/>
            <w:tcBorders>
              <w:top w:val="single" w:sz="4" w:space="0" w:color="BFBFBF"/>
              <w:left w:val="nil"/>
              <w:bottom w:val="double" w:sz="4" w:space="0" w:color="auto"/>
              <w:right w:val="single" w:sz="4" w:space="0" w:color="auto"/>
            </w:tcBorders>
            <w:shd w:val="clear" w:color="auto" w:fill="auto"/>
            <w:noWrap/>
            <w:vAlign w:val="center"/>
          </w:tcPr>
          <w:p w14:paraId="7FDFBF19"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63,661</w:t>
            </w:r>
          </w:p>
        </w:tc>
        <w:tc>
          <w:tcPr>
            <w:tcW w:w="775" w:type="dxa"/>
            <w:tcBorders>
              <w:top w:val="single" w:sz="4" w:space="0" w:color="BFBFBF"/>
              <w:left w:val="nil"/>
              <w:bottom w:val="double" w:sz="4" w:space="0" w:color="auto"/>
              <w:right w:val="nil"/>
            </w:tcBorders>
            <w:shd w:val="clear" w:color="auto" w:fill="auto"/>
            <w:noWrap/>
            <w:vAlign w:val="center"/>
          </w:tcPr>
          <w:p w14:paraId="45B32B6D"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61,005</w:t>
            </w:r>
          </w:p>
        </w:tc>
        <w:tc>
          <w:tcPr>
            <w:tcW w:w="873"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0595D808"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-24.2%</w:t>
            </w:r>
          </w:p>
        </w:tc>
        <w:tc>
          <w:tcPr>
            <w:tcW w:w="850" w:type="dxa"/>
            <w:tcBorders>
              <w:top w:val="single" w:sz="4" w:space="0" w:color="BFBFBF"/>
              <w:left w:val="nil"/>
              <w:bottom w:val="double" w:sz="4" w:space="0" w:color="auto"/>
              <w:right w:val="single" w:sz="4" w:space="0" w:color="BFBFBF"/>
            </w:tcBorders>
            <w:shd w:val="clear" w:color="auto" w:fill="auto"/>
            <w:noWrap/>
            <w:vAlign w:val="center"/>
          </w:tcPr>
          <w:p w14:paraId="608D5FCE"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1.7%</w:t>
            </w:r>
          </w:p>
        </w:tc>
        <w:tc>
          <w:tcPr>
            <w:tcW w:w="851" w:type="dxa"/>
            <w:tcBorders>
              <w:top w:val="single" w:sz="4" w:space="0" w:color="BFBFBF"/>
              <w:left w:val="nil"/>
              <w:bottom w:val="double" w:sz="4" w:space="0" w:color="auto"/>
              <w:right w:val="double" w:sz="6" w:space="0" w:color="auto"/>
            </w:tcBorders>
            <w:shd w:val="clear" w:color="auto" w:fill="auto"/>
            <w:noWrap/>
            <w:vAlign w:val="center"/>
          </w:tcPr>
          <w:p w14:paraId="2AA144D1"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6.1%</w:t>
            </w:r>
          </w:p>
        </w:tc>
      </w:tr>
      <w:tr w:rsidR="00CB7ECD" w:rsidRPr="00CB7ECD" w14:paraId="1F09818E" w14:textId="77777777" w:rsidTr="00B16465">
        <w:trPr>
          <w:trHeight w:val="225"/>
          <w:jc w:val="center"/>
        </w:trPr>
        <w:tc>
          <w:tcPr>
            <w:tcW w:w="2268" w:type="dxa"/>
            <w:tcBorders>
              <w:top w:val="double" w:sz="4" w:space="0" w:color="auto"/>
            </w:tcBorders>
            <w:shd w:val="clear" w:color="auto" w:fill="auto"/>
            <w:noWrap/>
            <w:vAlign w:val="center"/>
          </w:tcPr>
          <w:p w14:paraId="4C1C975E" w14:textId="77777777" w:rsidR="00CB7ECD" w:rsidRDefault="00CB7ECD" w:rsidP="00086B9C">
            <w:pPr>
              <w:spacing w:before="0" w:after="0"/>
              <w:rPr>
                <w:rFonts w:ascii="Arial" w:hAnsi="Arial" w:cs="Arial"/>
                <w:bCs/>
                <w:color w:val="000000"/>
                <w:sz w:val="16"/>
                <w:szCs w:val="16"/>
                <w:lang w:val="en-AU" w:eastAsia="en-AU"/>
              </w:rPr>
            </w:pPr>
            <w:r w:rsidRPr="00CB7ECD">
              <w:rPr>
                <w:rFonts w:ascii="Arial" w:hAnsi="Arial" w:cs="Arial"/>
                <w:bCs/>
                <w:color w:val="000000"/>
                <w:sz w:val="16"/>
                <w:szCs w:val="16"/>
                <w:lang w:val="en-AU" w:eastAsia="en-AU"/>
              </w:rPr>
              <w:t>Continued on next page</w:t>
            </w:r>
          </w:p>
          <w:p w14:paraId="7FE7C6B7" w14:textId="77777777" w:rsidR="00F908A7" w:rsidRDefault="00F908A7" w:rsidP="00086B9C">
            <w:pPr>
              <w:spacing w:before="0" w:after="0"/>
              <w:rPr>
                <w:rFonts w:ascii="Arial" w:hAnsi="Arial" w:cs="Arial"/>
                <w:bCs/>
                <w:color w:val="000000"/>
                <w:sz w:val="16"/>
                <w:szCs w:val="16"/>
                <w:lang w:val="en-AU" w:eastAsia="en-AU"/>
              </w:rPr>
            </w:pPr>
          </w:p>
          <w:p w14:paraId="79BF44F3" w14:textId="77777777" w:rsidR="00F908A7" w:rsidRPr="00CB7ECD" w:rsidRDefault="00F908A7" w:rsidP="00086B9C">
            <w:pPr>
              <w:spacing w:before="0" w:after="0"/>
              <w:rPr>
                <w:rFonts w:ascii="Arial" w:hAnsi="Arial" w:cs="Arial"/>
                <w:bCs/>
                <w:color w:val="000000"/>
                <w:sz w:val="16"/>
                <w:szCs w:val="16"/>
                <w:lang w:val="en-AU" w:eastAsia="en-AU"/>
              </w:rPr>
            </w:pPr>
          </w:p>
        </w:tc>
        <w:tc>
          <w:tcPr>
            <w:tcW w:w="954" w:type="dxa"/>
            <w:tcBorders>
              <w:top w:val="double" w:sz="4" w:space="0" w:color="auto"/>
            </w:tcBorders>
            <w:shd w:val="clear" w:color="auto" w:fill="auto"/>
            <w:noWrap/>
            <w:vAlign w:val="center"/>
          </w:tcPr>
          <w:p w14:paraId="39C522D4" w14:textId="77777777" w:rsidR="00CB7ECD" w:rsidRPr="00CB7ECD" w:rsidRDefault="00CB7ECD" w:rsidP="00086B9C">
            <w:pPr>
              <w:spacing w:before="0" w:after="0"/>
              <w:jc w:val="center"/>
              <w:rPr>
                <w:rFonts w:ascii="Arial" w:hAnsi="Arial" w:cs="Arial"/>
                <w:color w:val="000000"/>
                <w:sz w:val="16"/>
                <w:szCs w:val="16"/>
                <w:lang w:val="en-AU" w:eastAsia="en-AU"/>
              </w:rPr>
            </w:pPr>
          </w:p>
        </w:tc>
        <w:tc>
          <w:tcPr>
            <w:tcW w:w="747" w:type="dxa"/>
            <w:tcBorders>
              <w:top w:val="double" w:sz="4" w:space="0" w:color="auto"/>
            </w:tcBorders>
            <w:shd w:val="clear" w:color="auto" w:fill="auto"/>
            <w:noWrap/>
            <w:vAlign w:val="center"/>
          </w:tcPr>
          <w:p w14:paraId="5AD5DEEE" w14:textId="77777777" w:rsidR="00CB7ECD" w:rsidRPr="00CB7ECD" w:rsidRDefault="00CB7ECD" w:rsidP="00086B9C">
            <w:pPr>
              <w:spacing w:before="0" w:after="0"/>
              <w:jc w:val="center"/>
              <w:rPr>
                <w:rFonts w:ascii="Arial" w:hAnsi="Arial" w:cs="Arial"/>
                <w:color w:val="000000"/>
                <w:sz w:val="16"/>
                <w:szCs w:val="16"/>
                <w:lang w:val="en-AU" w:eastAsia="en-AU"/>
              </w:rPr>
            </w:pPr>
          </w:p>
        </w:tc>
        <w:tc>
          <w:tcPr>
            <w:tcW w:w="825" w:type="dxa"/>
            <w:tcBorders>
              <w:top w:val="double" w:sz="4" w:space="0" w:color="auto"/>
            </w:tcBorders>
            <w:shd w:val="clear" w:color="auto" w:fill="auto"/>
            <w:noWrap/>
            <w:vAlign w:val="center"/>
          </w:tcPr>
          <w:p w14:paraId="59D627FA" w14:textId="77777777" w:rsidR="00CB7ECD" w:rsidRPr="00CB7ECD" w:rsidRDefault="00CB7ECD" w:rsidP="00086B9C">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07C881A8" w14:textId="77777777" w:rsidR="00CB7ECD" w:rsidRPr="00CB7ECD" w:rsidRDefault="00CB7ECD"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222C9B9" w14:textId="77777777" w:rsidR="00CB7ECD" w:rsidRPr="00CB7ECD" w:rsidRDefault="00CB7ECD"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7BA180D1" w14:textId="77777777" w:rsidR="00CB7ECD" w:rsidRPr="00CB7ECD" w:rsidRDefault="00CB7ECD" w:rsidP="00086B9C">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7DD7BE1E" w14:textId="77777777" w:rsidR="00CB7ECD" w:rsidRPr="00CB7ECD" w:rsidRDefault="00CB7ECD"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58A59030" w14:textId="77777777" w:rsidR="00CB7ECD" w:rsidRPr="00CB7ECD" w:rsidRDefault="00CB7ECD"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6299750D" w14:textId="77777777" w:rsidR="00CB7ECD" w:rsidRPr="00CB7ECD" w:rsidRDefault="00CB7ECD" w:rsidP="00086B9C">
            <w:pPr>
              <w:spacing w:before="0" w:after="0"/>
              <w:jc w:val="center"/>
              <w:rPr>
                <w:rFonts w:ascii="Arial" w:hAnsi="Arial" w:cs="Arial"/>
                <w:color w:val="000000"/>
                <w:sz w:val="16"/>
                <w:szCs w:val="16"/>
                <w:lang w:val="en-AU" w:eastAsia="en-AU"/>
              </w:rPr>
            </w:pPr>
          </w:p>
        </w:tc>
        <w:tc>
          <w:tcPr>
            <w:tcW w:w="775" w:type="dxa"/>
            <w:tcBorders>
              <w:top w:val="double" w:sz="4" w:space="0" w:color="auto"/>
            </w:tcBorders>
            <w:shd w:val="clear" w:color="auto" w:fill="auto"/>
            <w:noWrap/>
            <w:vAlign w:val="center"/>
          </w:tcPr>
          <w:p w14:paraId="342C57FA" w14:textId="77777777" w:rsidR="00CB7ECD" w:rsidRPr="00CB7ECD" w:rsidRDefault="00CB7ECD" w:rsidP="00086B9C">
            <w:pPr>
              <w:spacing w:before="0" w:after="0"/>
              <w:jc w:val="center"/>
              <w:rPr>
                <w:rFonts w:ascii="Arial" w:hAnsi="Arial" w:cs="Arial"/>
                <w:color w:val="000000"/>
                <w:sz w:val="16"/>
                <w:szCs w:val="16"/>
                <w:lang w:val="en-AU" w:eastAsia="en-AU"/>
              </w:rPr>
            </w:pPr>
          </w:p>
        </w:tc>
        <w:tc>
          <w:tcPr>
            <w:tcW w:w="873" w:type="dxa"/>
            <w:tcBorders>
              <w:top w:val="double" w:sz="4" w:space="0" w:color="auto"/>
            </w:tcBorders>
            <w:shd w:val="clear" w:color="auto" w:fill="auto"/>
            <w:noWrap/>
            <w:vAlign w:val="bottom"/>
          </w:tcPr>
          <w:p w14:paraId="2437ED03" w14:textId="77777777" w:rsidR="00CB7ECD" w:rsidRPr="00CB7ECD" w:rsidRDefault="00CB7ECD" w:rsidP="00086B9C">
            <w:pPr>
              <w:spacing w:before="0" w:after="0"/>
              <w:rPr>
                <w:rFonts w:ascii="Arial" w:hAnsi="Arial" w:cs="Arial"/>
                <w:color w:val="000000"/>
                <w:sz w:val="16"/>
                <w:szCs w:val="16"/>
                <w:lang w:val="en-AU" w:eastAsia="en-AU"/>
              </w:rPr>
            </w:pPr>
          </w:p>
        </w:tc>
        <w:tc>
          <w:tcPr>
            <w:tcW w:w="850" w:type="dxa"/>
            <w:tcBorders>
              <w:top w:val="double" w:sz="4" w:space="0" w:color="auto"/>
            </w:tcBorders>
            <w:shd w:val="clear" w:color="auto" w:fill="auto"/>
            <w:noWrap/>
            <w:vAlign w:val="center"/>
          </w:tcPr>
          <w:p w14:paraId="108C41BE" w14:textId="77777777" w:rsidR="00CB7ECD" w:rsidRPr="00CB7ECD" w:rsidRDefault="00CB7ECD" w:rsidP="00086B9C">
            <w:pPr>
              <w:spacing w:before="0" w:after="0"/>
              <w:jc w:val="center"/>
              <w:rPr>
                <w:rFonts w:ascii="Arial" w:hAnsi="Arial" w:cs="Arial"/>
                <w:color w:val="000000"/>
                <w:sz w:val="16"/>
                <w:szCs w:val="16"/>
                <w:lang w:val="en-AU" w:eastAsia="en-AU"/>
              </w:rPr>
            </w:pPr>
          </w:p>
        </w:tc>
        <w:tc>
          <w:tcPr>
            <w:tcW w:w="851" w:type="dxa"/>
            <w:tcBorders>
              <w:top w:val="double" w:sz="4" w:space="0" w:color="auto"/>
            </w:tcBorders>
            <w:shd w:val="clear" w:color="auto" w:fill="auto"/>
            <w:noWrap/>
            <w:vAlign w:val="center"/>
          </w:tcPr>
          <w:p w14:paraId="6FC2CB98" w14:textId="77777777" w:rsidR="00CB7ECD" w:rsidRPr="00CB7ECD" w:rsidRDefault="00CB7ECD" w:rsidP="00086B9C">
            <w:pPr>
              <w:spacing w:before="0" w:after="0"/>
              <w:jc w:val="center"/>
              <w:rPr>
                <w:rFonts w:ascii="Arial" w:hAnsi="Arial" w:cs="Arial"/>
                <w:color w:val="000000"/>
                <w:sz w:val="16"/>
                <w:szCs w:val="16"/>
                <w:lang w:val="en-AU" w:eastAsia="en-AU"/>
              </w:rPr>
            </w:pPr>
          </w:p>
        </w:tc>
      </w:tr>
      <w:tr w:rsidR="00CB7ECD" w:rsidRPr="00CB7ECD" w14:paraId="1B64AA1B" w14:textId="77777777" w:rsidTr="00B16465">
        <w:trPr>
          <w:trHeight w:val="225"/>
          <w:jc w:val="center"/>
        </w:trPr>
        <w:tc>
          <w:tcPr>
            <w:tcW w:w="2268" w:type="dxa"/>
            <w:tcBorders>
              <w:left w:val="double" w:sz="6" w:space="0" w:color="auto"/>
              <w:bottom w:val="single" w:sz="4" w:space="0" w:color="BFBFBF"/>
              <w:right w:val="nil"/>
            </w:tcBorders>
            <w:shd w:val="clear" w:color="auto" w:fill="auto"/>
            <w:noWrap/>
            <w:vAlign w:val="center"/>
          </w:tcPr>
          <w:p w14:paraId="4ABBD776" w14:textId="77777777" w:rsidR="00CB7ECD" w:rsidRPr="00CB7ECD" w:rsidRDefault="00CB7ECD" w:rsidP="00086B9C">
            <w:pPr>
              <w:spacing w:before="0" w:after="0"/>
              <w:rPr>
                <w:rFonts w:ascii="Arial" w:hAnsi="Arial" w:cs="Arial"/>
                <w:b/>
                <w:bCs/>
                <w:color w:val="000000"/>
                <w:sz w:val="16"/>
                <w:szCs w:val="16"/>
                <w:lang w:val="en-AU" w:eastAsia="en-AU"/>
              </w:rPr>
            </w:pPr>
          </w:p>
          <w:p w14:paraId="2345B085" w14:textId="77777777" w:rsidR="00CB7ECD" w:rsidRPr="00CB7ECD" w:rsidRDefault="00CB7ECD" w:rsidP="00086B9C">
            <w:pPr>
              <w:spacing w:before="0" w:after="0"/>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By Household Size -</w:t>
            </w:r>
          </w:p>
        </w:tc>
        <w:tc>
          <w:tcPr>
            <w:tcW w:w="954" w:type="dxa"/>
            <w:tcBorders>
              <w:left w:val="single" w:sz="4" w:space="0" w:color="auto"/>
              <w:bottom w:val="single" w:sz="4" w:space="0" w:color="BFBFBF"/>
              <w:right w:val="single" w:sz="4" w:space="0" w:color="BFBFBF"/>
            </w:tcBorders>
            <w:shd w:val="clear" w:color="auto" w:fill="auto"/>
            <w:noWrap/>
            <w:vAlign w:val="center"/>
          </w:tcPr>
          <w:p w14:paraId="4391B250"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47" w:type="dxa"/>
            <w:tcBorders>
              <w:left w:val="nil"/>
              <w:bottom w:val="single" w:sz="4" w:space="0" w:color="BFBFBF"/>
              <w:right w:val="single" w:sz="4" w:space="0" w:color="BFBFBF"/>
            </w:tcBorders>
            <w:shd w:val="clear" w:color="auto" w:fill="auto"/>
            <w:noWrap/>
            <w:vAlign w:val="center"/>
          </w:tcPr>
          <w:p w14:paraId="4772724A"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25" w:type="dxa"/>
            <w:tcBorders>
              <w:left w:val="nil"/>
              <w:bottom w:val="single" w:sz="4" w:space="0" w:color="BFBFBF"/>
              <w:right w:val="nil"/>
            </w:tcBorders>
            <w:shd w:val="clear" w:color="auto" w:fill="auto"/>
            <w:noWrap/>
            <w:vAlign w:val="center"/>
          </w:tcPr>
          <w:p w14:paraId="0C9768D0"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7" w:type="dxa"/>
            <w:tcBorders>
              <w:left w:val="single" w:sz="4" w:space="0" w:color="auto"/>
              <w:bottom w:val="single" w:sz="4" w:space="0" w:color="BFBFBF"/>
              <w:right w:val="single" w:sz="4" w:space="0" w:color="BFBFBF"/>
            </w:tcBorders>
            <w:shd w:val="clear" w:color="auto" w:fill="auto"/>
            <w:noWrap/>
            <w:vAlign w:val="center"/>
          </w:tcPr>
          <w:p w14:paraId="279CA491"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3F622093"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left w:val="nil"/>
              <w:bottom w:val="single" w:sz="4" w:space="0" w:color="BFBFBF"/>
              <w:right w:val="single" w:sz="4" w:space="0" w:color="auto"/>
            </w:tcBorders>
            <w:shd w:val="clear" w:color="auto" w:fill="auto"/>
            <w:noWrap/>
            <w:vAlign w:val="center"/>
          </w:tcPr>
          <w:p w14:paraId="32886F56"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7" w:type="dxa"/>
            <w:tcBorders>
              <w:left w:val="nil"/>
              <w:bottom w:val="single" w:sz="4" w:space="0" w:color="BFBFBF"/>
              <w:right w:val="single" w:sz="4" w:space="0" w:color="BFBFBF"/>
            </w:tcBorders>
            <w:shd w:val="clear" w:color="auto" w:fill="auto"/>
            <w:noWrap/>
            <w:vAlign w:val="center"/>
          </w:tcPr>
          <w:p w14:paraId="3723F81B"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79F1F0AF"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left w:val="nil"/>
              <w:bottom w:val="single" w:sz="4" w:space="0" w:color="BFBFBF"/>
              <w:right w:val="single" w:sz="4" w:space="0" w:color="auto"/>
            </w:tcBorders>
            <w:shd w:val="clear" w:color="auto" w:fill="auto"/>
            <w:noWrap/>
            <w:vAlign w:val="center"/>
          </w:tcPr>
          <w:p w14:paraId="51AB5159"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75" w:type="dxa"/>
            <w:tcBorders>
              <w:left w:val="nil"/>
              <w:bottom w:val="single" w:sz="4" w:space="0" w:color="BFBFBF"/>
              <w:right w:val="nil"/>
            </w:tcBorders>
            <w:shd w:val="clear" w:color="auto" w:fill="auto"/>
            <w:noWrap/>
            <w:vAlign w:val="center"/>
          </w:tcPr>
          <w:p w14:paraId="345CB333"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73" w:type="dxa"/>
            <w:tcBorders>
              <w:left w:val="single" w:sz="4" w:space="0" w:color="auto"/>
              <w:bottom w:val="single" w:sz="4" w:space="0" w:color="BFBFBF"/>
              <w:right w:val="single" w:sz="4" w:space="0" w:color="BFBFBF"/>
            </w:tcBorders>
            <w:shd w:val="clear" w:color="auto" w:fill="auto"/>
            <w:noWrap/>
            <w:vAlign w:val="bottom"/>
          </w:tcPr>
          <w:p w14:paraId="63538CA2" w14:textId="77777777" w:rsidR="00CB7ECD" w:rsidRPr="00CB7ECD" w:rsidRDefault="00CB7ECD" w:rsidP="00086B9C">
            <w:pPr>
              <w:spacing w:before="0" w:after="0"/>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0" w:type="dxa"/>
            <w:tcBorders>
              <w:left w:val="nil"/>
              <w:bottom w:val="single" w:sz="4" w:space="0" w:color="BFBFBF"/>
              <w:right w:val="single" w:sz="4" w:space="0" w:color="BFBFBF"/>
            </w:tcBorders>
            <w:shd w:val="clear" w:color="auto" w:fill="auto"/>
            <w:noWrap/>
            <w:vAlign w:val="center"/>
          </w:tcPr>
          <w:p w14:paraId="17470C47"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1" w:type="dxa"/>
            <w:tcBorders>
              <w:left w:val="nil"/>
              <w:bottom w:val="single" w:sz="4" w:space="0" w:color="BFBFBF"/>
              <w:right w:val="double" w:sz="6" w:space="0" w:color="auto"/>
            </w:tcBorders>
            <w:shd w:val="clear" w:color="auto" w:fill="auto"/>
            <w:noWrap/>
            <w:vAlign w:val="center"/>
          </w:tcPr>
          <w:p w14:paraId="1BAEC913"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r>
      <w:tr w:rsidR="00CB7ECD" w:rsidRPr="00CB7ECD" w14:paraId="412A199C"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7FDE9D3B"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1 person</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1A42CEF5"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6,845</w:t>
            </w:r>
          </w:p>
        </w:tc>
        <w:tc>
          <w:tcPr>
            <w:tcW w:w="747" w:type="dxa"/>
            <w:tcBorders>
              <w:top w:val="nil"/>
              <w:left w:val="nil"/>
              <w:bottom w:val="single" w:sz="4" w:space="0" w:color="BFBFBF"/>
              <w:right w:val="single" w:sz="4" w:space="0" w:color="BFBFBF"/>
            </w:tcBorders>
            <w:shd w:val="clear" w:color="auto" w:fill="auto"/>
            <w:noWrap/>
            <w:vAlign w:val="center"/>
          </w:tcPr>
          <w:p w14:paraId="100A3D7C"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23,921</w:t>
            </w:r>
          </w:p>
        </w:tc>
        <w:tc>
          <w:tcPr>
            <w:tcW w:w="825" w:type="dxa"/>
            <w:tcBorders>
              <w:top w:val="nil"/>
              <w:left w:val="nil"/>
              <w:bottom w:val="single" w:sz="4" w:space="0" w:color="BFBFBF"/>
              <w:right w:val="nil"/>
            </w:tcBorders>
            <w:shd w:val="clear" w:color="auto" w:fill="auto"/>
            <w:noWrap/>
            <w:vAlign w:val="center"/>
          </w:tcPr>
          <w:p w14:paraId="73E58587"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32,973</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74070D2"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8,671</w:t>
            </w:r>
          </w:p>
        </w:tc>
        <w:tc>
          <w:tcPr>
            <w:tcW w:w="734" w:type="dxa"/>
            <w:tcBorders>
              <w:top w:val="nil"/>
              <w:left w:val="nil"/>
              <w:bottom w:val="single" w:sz="4" w:space="0" w:color="BFBFBF"/>
              <w:right w:val="single" w:sz="4" w:space="0" w:color="BFBFBF"/>
            </w:tcBorders>
            <w:shd w:val="clear" w:color="auto" w:fill="auto"/>
            <w:noWrap/>
            <w:vAlign w:val="center"/>
          </w:tcPr>
          <w:p w14:paraId="0E350DF8"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32,383</w:t>
            </w:r>
          </w:p>
        </w:tc>
        <w:tc>
          <w:tcPr>
            <w:tcW w:w="734" w:type="dxa"/>
            <w:tcBorders>
              <w:top w:val="nil"/>
              <w:left w:val="nil"/>
              <w:bottom w:val="single" w:sz="4" w:space="0" w:color="BFBFBF"/>
              <w:right w:val="single" w:sz="4" w:space="0" w:color="auto"/>
            </w:tcBorders>
            <w:shd w:val="clear" w:color="auto" w:fill="auto"/>
            <w:noWrap/>
            <w:vAlign w:val="center"/>
          </w:tcPr>
          <w:p w14:paraId="2465A93B"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41,211</w:t>
            </w:r>
          </w:p>
        </w:tc>
        <w:tc>
          <w:tcPr>
            <w:tcW w:w="857" w:type="dxa"/>
            <w:tcBorders>
              <w:top w:val="nil"/>
              <w:left w:val="nil"/>
              <w:bottom w:val="single" w:sz="4" w:space="0" w:color="BFBFBF"/>
              <w:right w:val="single" w:sz="4" w:space="0" w:color="BFBFBF"/>
            </w:tcBorders>
            <w:shd w:val="clear" w:color="auto" w:fill="auto"/>
            <w:noWrap/>
            <w:vAlign w:val="center"/>
          </w:tcPr>
          <w:p w14:paraId="6B19F082"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10,255</w:t>
            </w:r>
          </w:p>
        </w:tc>
        <w:tc>
          <w:tcPr>
            <w:tcW w:w="734" w:type="dxa"/>
            <w:tcBorders>
              <w:top w:val="nil"/>
              <w:left w:val="nil"/>
              <w:bottom w:val="single" w:sz="4" w:space="0" w:color="BFBFBF"/>
              <w:right w:val="single" w:sz="4" w:space="0" w:color="BFBFBF"/>
            </w:tcBorders>
            <w:shd w:val="clear" w:color="auto" w:fill="auto"/>
            <w:noWrap/>
            <w:vAlign w:val="center"/>
          </w:tcPr>
          <w:p w14:paraId="5D2C8E48"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31,580</w:t>
            </w:r>
          </w:p>
        </w:tc>
        <w:tc>
          <w:tcPr>
            <w:tcW w:w="734" w:type="dxa"/>
            <w:tcBorders>
              <w:top w:val="nil"/>
              <w:left w:val="nil"/>
              <w:bottom w:val="single" w:sz="4" w:space="0" w:color="BFBFBF"/>
              <w:right w:val="single" w:sz="4" w:space="0" w:color="auto"/>
            </w:tcBorders>
            <w:shd w:val="clear" w:color="auto" w:fill="auto"/>
            <w:noWrap/>
            <w:vAlign w:val="center"/>
          </w:tcPr>
          <w:p w14:paraId="115B3F18"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41,800</w:t>
            </w:r>
          </w:p>
        </w:tc>
        <w:tc>
          <w:tcPr>
            <w:tcW w:w="775" w:type="dxa"/>
            <w:tcBorders>
              <w:top w:val="nil"/>
              <w:left w:val="nil"/>
              <w:bottom w:val="single" w:sz="4" w:space="0" w:color="BFBFBF"/>
              <w:right w:val="nil"/>
            </w:tcBorders>
            <w:shd w:val="clear" w:color="auto" w:fill="auto"/>
            <w:noWrap/>
            <w:vAlign w:val="center"/>
          </w:tcPr>
          <w:p w14:paraId="74903483"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36,892</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5B3B79A7"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-20.0%</w:t>
            </w:r>
          </w:p>
        </w:tc>
        <w:tc>
          <w:tcPr>
            <w:tcW w:w="850" w:type="dxa"/>
            <w:tcBorders>
              <w:top w:val="nil"/>
              <w:left w:val="nil"/>
              <w:bottom w:val="single" w:sz="4" w:space="0" w:color="BFBFBF"/>
              <w:right w:val="single" w:sz="4" w:space="0" w:color="BFBFBF"/>
            </w:tcBorders>
            <w:shd w:val="clear" w:color="auto" w:fill="auto"/>
            <w:noWrap/>
            <w:vAlign w:val="center"/>
          </w:tcPr>
          <w:p w14:paraId="13B6E372"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-1.4%</w:t>
            </w:r>
          </w:p>
        </w:tc>
        <w:tc>
          <w:tcPr>
            <w:tcW w:w="851" w:type="dxa"/>
            <w:tcBorders>
              <w:top w:val="nil"/>
              <w:left w:val="nil"/>
              <w:bottom w:val="single" w:sz="4" w:space="0" w:color="BFBFBF"/>
              <w:right w:val="double" w:sz="6" w:space="0" w:color="auto"/>
            </w:tcBorders>
            <w:shd w:val="clear" w:color="auto" w:fill="auto"/>
            <w:noWrap/>
            <w:vAlign w:val="center"/>
          </w:tcPr>
          <w:p w14:paraId="6A4055D7"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11.7%</w:t>
            </w:r>
          </w:p>
        </w:tc>
      </w:tr>
      <w:tr w:rsidR="00CB7ECD" w:rsidRPr="00CB7ECD" w14:paraId="1F311E84"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07253CDC"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2 persons</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3A9C6677"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8,158</w:t>
            </w:r>
          </w:p>
        </w:tc>
        <w:tc>
          <w:tcPr>
            <w:tcW w:w="747" w:type="dxa"/>
            <w:tcBorders>
              <w:top w:val="nil"/>
              <w:left w:val="nil"/>
              <w:bottom w:val="single" w:sz="4" w:space="0" w:color="BFBFBF"/>
              <w:right w:val="single" w:sz="4" w:space="0" w:color="BFBFBF"/>
            </w:tcBorders>
            <w:shd w:val="clear" w:color="auto" w:fill="auto"/>
            <w:noWrap/>
            <w:vAlign w:val="center"/>
          </w:tcPr>
          <w:p w14:paraId="1D13B2F5"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34,909</w:t>
            </w:r>
          </w:p>
        </w:tc>
        <w:tc>
          <w:tcPr>
            <w:tcW w:w="825" w:type="dxa"/>
            <w:tcBorders>
              <w:top w:val="nil"/>
              <w:left w:val="nil"/>
              <w:bottom w:val="single" w:sz="4" w:space="0" w:color="BFBFBF"/>
              <w:right w:val="nil"/>
            </w:tcBorders>
            <w:shd w:val="clear" w:color="auto" w:fill="auto"/>
            <w:noWrap/>
            <w:vAlign w:val="center"/>
          </w:tcPr>
          <w:p w14:paraId="17C51EAC"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44,665</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03672C5"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12,270</w:t>
            </w:r>
          </w:p>
        </w:tc>
        <w:tc>
          <w:tcPr>
            <w:tcW w:w="734" w:type="dxa"/>
            <w:tcBorders>
              <w:top w:val="nil"/>
              <w:left w:val="nil"/>
              <w:bottom w:val="single" w:sz="4" w:space="0" w:color="BFBFBF"/>
              <w:right w:val="single" w:sz="4" w:space="0" w:color="BFBFBF"/>
            </w:tcBorders>
            <w:shd w:val="clear" w:color="auto" w:fill="auto"/>
            <w:noWrap/>
            <w:vAlign w:val="center"/>
          </w:tcPr>
          <w:p w14:paraId="43DDB194"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46,233</w:t>
            </w:r>
          </w:p>
        </w:tc>
        <w:tc>
          <w:tcPr>
            <w:tcW w:w="734" w:type="dxa"/>
            <w:tcBorders>
              <w:top w:val="nil"/>
              <w:left w:val="nil"/>
              <w:bottom w:val="single" w:sz="4" w:space="0" w:color="BFBFBF"/>
              <w:right w:val="single" w:sz="4" w:space="0" w:color="auto"/>
            </w:tcBorders>
            <w:shd w:val="clear" w:color="auto" w:fill="auto"/>
            <w:noWrap/>
            <w:vAlign w:val="center"/>
          </w:tcPr>
          <w:p w14:paraId="2AF25595"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58,622</w:t>
            </w:r>
          </w:p>
        </w:tc>
        <w:tc>
          <w:tcPr>
            <w:tcW w:w="857" w:type="dxa"/>
            <w:tcBorders>
              <w:top w:val="nil"/>
              <w:left w:val="nil"/>
              <w:bottom w:val="single" w:sz="4" w:space="0" w:color="BFBFBF"/>
              <w:right w:val="single" w:sz="4" w:space="0" w:color="BFBFBF"/>
            </w:tcBorders>
            <w:shd w:val="clear" w:color="auto" w:fill="auto"/>
            <w:noWrap/>
            <w:vAlign w:val="center"/>
          </w:tcPr>
          <w:p w14:paraId="2DC9FCB0"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14,328</w:t>
            </w:r>
          </w:p>
        </w:tc>
        <w:tc>
          <w:tcPr>
            <w:tcW w:w="734" w:type="dxa"/>
            <w:tcBorders>
              <w:top w:val="nil"/>
              <w:left w:val="nil"/>
              <w:bottom w:val="single" w:sz="4" w:space="0" w:color="BFBFBF"/>
              <w:right w:val="single" w:sz="4" w:space="0" w:color="BFBFBF"/>
            </w:tcBorders>
            <w:shd w:val="clear" w:color="auto" w:fill="auto"/>
            <w:noWrap/>
            <w:vAlign w:val="center"/>
          </w:tcPr>
          <w:p w14:paraId="38EFB152"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40,805</w:t>
            </w:r>
          </w:p>
        </w:tc>
        <w:tc>
          <w:tcPr>
            <w:tcW w:w="734" w:type="dxa"/>
            <w:tcBorders>
              <w:top w:val="nil"/>
              <w:left w:val="nil"/>
              <w:bottom w:val="single" w:sz="4" w:space="0" w:color="BFBFBF"/>
              <w:right w:val="single" w:sz="4" w:space="0" w:color="auto"/>
            </w:tcBorders>
            <w:shd w:val="clear" w:color="auto" w:fill="auto"/>
            <w:noWrap/>
            <w:vAlign w:val="center"/>
          </w:tcPr>
          <w:p w14:paraId="5E727845"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55,133</w:t>
            </w:r>
          </w:p>
        </w:tc>
        <w:tc>
          <w:tcPr>
            <w:tcW w:w="775" w:type="dxa"/>
            <w:tcBorders>
              <w:top w:val="nil"/>
              <w:left w:val="nil"/>
              <w:bottom w:val="single" w:sz="4" w:space="0" w:color="BFBFBF"/>
              <w:right w:val="nil"/>
            </w:tcBorders>
            <w:shd w:val="clear" w:color="auto" w:fill="auto"/>
            <w:noWrap/>
            <w:vAlign w:val="center"/>
          </w:tcPr>
          <w:p w14:paraId="687CD4F7"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47,651</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18030922"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-23.8%</w:t>
            </w:r>
          </w:p>
        </w:tc>
        <w:tc>
          <w:tcPr>
            <w:tcW w:w="850" w:type="dxa"/>
            <w:tcBorders>
              <w:top w:val="nil"/>
              <w:left w:val="nil"/>
              <w:bottom w:val="single" w:sz="4" w:space="0" w:color="BFBFBF"/>
              <w:right w:val="single" w:sz="4" w:space="0" w:color="BFBFBF"/>
            </w:tcBorders>
            <w:shd w:val="clear" w:color="auto" w:fill="auto"/>
            <w:noWrap/>
            <w:vAlign w:val="center"/>
          </w:tcPr>
          <w:p w14:paraId="47822B6D"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6.3%</w:t>
            </w:r>
          </w:p>
        </w:tc>
        <w:tc>
          <w:tcPr>
            <w:tcW w:w="851" w:type="dxa"/>
            <w:tcBorders>
              <w:top w:val="nil"/>
              <w:left w:val="nil"/>
              <w:bottom w:val="single" w:sz="4" w:space="0" w:color="BFBFBF"/>
              <w:right w:val="double" w:sz="6" w:space="0" w:color="auto"/>
            </w:tcBorders>
            <w:shd w:val="clear" w:color="auto" w:fill="auto"/>
            <w:noWrap/>
            <w:vAlign w:val="center"/>
          </w:tcPr>
          <w:p w14:paraId="67C8D8C6"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23.0%</w:t>
            </w:r>
          </w:p>
        </w:tc>
      </w:tr>
      <w:tr w:rsidR="00CB7ECD" w:rsidRPr="00CB7ECD" w14:paraId="6FAA2612"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3A6C67B9"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3 persons</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6BD3FFC4"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10,875</w:t>
            </w:r>
          </w:p>
        </w:tc>
        <w:tc>
          <w:tcPr>
            <w:tcW w:w="747" w:type="dxa"/>
            <w:tcBorders>
              <w:top w:val="nil"/>
              <w:left w:val="nil"/>
              <w:bottom w:val="single" w:sz="4" w:space="0" w:color="BFBFBF"/>
              <w:right w:val="single" w:sz="4" w:space="0" w:color="BFBFBF"/>
            </w:tcBorders>
            <w:shd w:val="clear" w:color="auto" w:fill="auto"/>
            <w:noWrap/>
            <w:vAlign w:val="center"/>
          </w:tcPr>
          <w:p w14:paraId="3F08010F"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39,461</w:t>
            </w:r>
          </w:p>
        </w:tc>
        <w:tc>
          <w:tcPr>
            <w:tcW w:w="825" w:type="dxa"/>
            <w:tcBorders>
              <w:top w:val="nil"/>
              <w:left w:val="nil"/>
              <w:bottom w:val="single" w:sz="4" w:space="0" w:color="BFBFBF"/>
              <w:right w:val="nil"/>
            </w:tcBorders>
            <w:shd w:val="clear" w:color="auto" w:fill="auto"/>
            <w:noWrap/>
            <w:vAlign w:val="center"/>
          </w:tcPr>
          <w:p w14:paraId="311D63DB"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50,725</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4F8CA65E"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15,864</w:t>
            </w:r>
          </w:p>
        </w:tc>
        <w:tc>
          <w:tcPr>
            <w:tcW w:w="734" w:type="dxa"/>
            <w:tcBorders>
              <w:top w:val="nil"/>
              <w:left w:val="nil"/>
              <w:bottom w:val="single" w:sz="4" w:space="0" w:color="BFBFBF"/>
              <w:right w:val="single" w:sz="4" w:space="0" w:color="BFBFBF"/>
            </w:tcBorders>
            <w:shd w:val="clear" w:color="auto" w:fill="auto"/>
            <w:noWrap/>
            <w:vAlign w:val="center"/>
          </w:tcPr>
          <w:p w14:paraId="61D74DDF"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51,115</w:t>
            </w:r>
          </w:p>
        </w:tc>
        <w:tc>
          <w:tcPr>
            <w:tcW w:w="734" w:type="dxa"/>
            <w:tcBorders>
              <w:top w:val="nil"/>
              <w:left w:val="nil"/>
              <w:bottom w:val="single" w:sz="4" w:space="0" w:color="BFBFBF"/>
              <w:right w:val="single" w:sz="4" w:space="0" w:color="auto"/>
            </w:tcBorders>
            <w:shd w:val="clear" w:color="auto" w:fill="auto"/>
            <w:noWrap/>
            <w:vAlign w:val="center"/>
          </w:tcPr>
          <w:p w14:paraId="1BD3492B"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66,987</w:t>
            </w:r>
          </w:p>
        </w:tc>
        <w:tc>
          <w:tcPr>
            <w:tcW w:w="857" w:type="dxa"/>
            <w:tcBorders>
              <w:top w:val="nil"/>
              <w:left w:val="nil"/>
              <w:bottom w:val="single" w:sz="4" w:space="0" w:color="BFBFBF"/>
              <w:right w:val="single" w:sz="4" w:space="0" w:color="BFBFBF"/>
            </w:tcBorders>
            <w:shd w:val="clear" w:color="auto" w:fill="auto"/>
            <w:noWrap/>
            <w:vAlign w:val="center"/>
          </w:tcPr>
          <w:p w14:paraId="13AAB258"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15,742</w:t>
            </w:r>
          </w:p>
        </w:tc>
        <w:tc>
          <w:tcPr>
            <w:tcW w:w="734" w:type="dxa"/>
            <w:tcBorders>
              <w:top w:val="nil"/>
              <w:left w:val="nil"/>
              <w:bottom w:val="single" w:sz="4" w:space="0" w:color="BFBFBF"/>
              <w:right w:val="single" w:sz="4" w:space="0" w:color="BFBFBF"/>
            </w:tcBorders>
            <w:shd w:val="clear" w:color="auto" w:fill="auto"/>
            <w:noWrap/>
            <w:vAlign w:val="center"/>
          </w:tcPr>
          <w:p w14:paraId="16888488"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48,672</w:t>
            </w:r>
          </w:p>
        </w:tc>
        <w:tc>
          <w:tcPr>
            <w:tcW w:w="734" w:type="dxa"/>
            <w:tcBorders>
              <w:top w:val="nil"/>
              <w:left w:val="nil"/>
              <w:bottom w:val="single" w:sz="4" w:space="0" w:color="BFBFBF"/>
              <w:right w:val="single" w:sz="4" w:space="0" w:color="auto"/>
            </w:tcBorders>
            <w:shd w:val="clear" w:color="auto" w:fill="auto"/>
            <w:noWrap/>
            <w:vAlign w:val="center"/>
          </w:tcPr>
          <w:p w14:paraId="0E510F7B"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64,366</w:t>
            </w:r>
          </w:p>
        </w:tc>
        <w:tc>
          <w:tcPr>
            <w:tcW w:w="775" w:type="dxa"/>
            <w:tcBorders>
              <w:top w:val="nil"/>
              <w:left w:val="nil"/>
              <w:bottom w:val="single" w:sz="4" w:space="0" w:color="BFBFBF"/>
              <w:right w:val="nil"/>
            </w:tcBorders>
            <w:shd w:val="clear" w:color="auto" w:fill="auto"/>
            <w:noWrap/>
            <w:vAlign w:val="center"/>
          </w:tcPr>
          <w:p w14:paraId="56CB8C64"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58,854</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59D5C6B2"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-24.3%</w:t>
            </w:r>
          </w:p>
        </w:tc>
        <w:tc>
          <w:tcPr>
            <w:tcW w:w="850" w:type="dxa"/>
            <w:tcBorders>
              <w:top w:val="nil"/>
              <w:left w:val="nil"/>
              <w:bottom w:val="single" w:sz="4" w:space="0" w:color="BFBFBF"/>
              <w:right w:val="single" w:sz="4" w:space="0" w:color="BFBFBF"/>
            </w:tcBorders>
            <w:shd w:val="clear" w:color="auto" w:fill="auto"/>
            <w:noWrap/>
            <w:vAlign w:val="center"/>
          </w:tcPr>
          <w:p w14:paraId="793489DB"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4.1%</w:t>
            </w:r>
          </w:p>
        </w:tc>
        <w:tc>
          <w:tcPr>
            <w:tcW w:w="851" w:type="dxa"/>
            <w:tcBorders>
              <w:top w:val="nil"/>
              <w:left w:val="nil"/>
              <w:bottom w:val="single" w:sz="4" w:space="0" w:color="BFBFBF"/>
              <w:right w:val="double" w:sz="6" w:space="0" w:color="auto"/>
            </w:tcBorders>
            <w:shd w:val="clear" w:color="auto" w:fill="auto"/>
            <w:noWrap/>
            <w:vAlign w:val="center"/>
          </w:tcPr>
          <w:p w14:paraId="6F9985AD"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13.8%</w:t>
            </w:r>
          </w:p>
        </w:tc>
      </w:tr>
      <w:tr w:rsidR="00CB7ECD" w:rsidRPr="00CB7ECD" w14:paraId="7E85351F"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6D8373DA"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4 or more persons</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67006103"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11,318</w:t>
            </w:r>
          </w:p>
        </w:tc>
        <w:tc>
          <w:tcPr>
            <w:tcW w:w="747" w:type="dxa"/>
            <w:tcBorders>
              <w:top w:val="nil"/>
              <w:left w:val="nil"/>
              <w:bottom w:val="single" w:sz="4" w:space="0" w:color="BFBFBF"/>
              <w:right w:val="single" w:sz="4" w:space="0" w:color="BFBFBF"/>
            </w:tcBorders>
            <w:shd w:val="clear" w:color="auto" w:fill="auto"/>
            <w:noWrap/>
            <w:vAlign w:val="center"/>
          </w:tcPr>
          <w:p w14:paraId="1496A2CF"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46,427</w:t>
            </w:r>
          </w:p>
        </w:tc>
        <w:tc>
          <w:tcPr>
            <w:tcW w:w="825" w:type="dxa"/>
            <w:tcBorders>
              <w:top w:val="nil"/>
              <w:left w:val="nil"/>
              <w:bottom w:val="single" w:sz="4" w:space="0" w:color="BFBFBF"/>
              <w:right w:val="nil"/>
            </w:tcBorders>
            <w:shd w:val="clear" w:color="auto" w:fill="auto"/>
            <w:noWrap/>
            <w:vAlign w:val="center"/>
          </w:tcPr>
          <w:p w14:paraId="71F09632"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59,031</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35BEE271"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16,908</w:t>
            </w:r>
          </w:p>
        </w:tc>
        <w:tc>
          <w:tcPr>
            <w:tcW w:w="734" w:type="dxa"/>
            <w:tcBorders>
              <w:top w:val="nil"/>
              <w:left w:val="nil"/>
              <w:bottom w:val="single" w:sz="4" w:space="0" w:color="BFBFBF"/>
              <w:right w:val="single" w:sz="4" w:space="0" w:color="BFBFBF"/>
            </w:tcBorders>
            <w:shd w:val="clear" w:color="auto" w:fill="auto"/>
            <w:noWrap/>
            <w:vAlign w:val="center"/>
          </w:tcPr>
          <w:p w14:paraId="7701E0A4"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61,544</w:t>
            </w:r>
          </w:p>
        </w:tc>
        <w:tc>
          <w:tcPr>
            <w:tcW w:w="734" w:type="dxa"/>
            <w:tcBorders>
              <w:top w:val="nil"/>
              <w:left w:val="nil"/>
              <w:bottom w:val="single" w:sz="4" w:space="0" w:color="BFBFBF"/>
              <w:right w:val="single" w:sz="4" w:space="0" w:color="auto"/>
            </w:tcBorders>
            <w:shd w:val="clear" w:color="auto" w:fill="auto"/>
            <w:noWrap/>
            <w:vAlign w:val="center"/>
          </w:tcPr>
          <w:p w14:paraId="1E13DA62"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78,923</w:t>
            </w:r>
          </w:p>
        </w:tc>
        <w:tc>
          <w:tcPr>
            <w:tcW w:w="857" w:type="dxa"/>
            <w:tcBorders>
              <w:top w:val="nil"/>
              <w:left w:val="nil"/>
              <w:bottom w:val="single" w:sz="4" w:space="0" w:color="BFBFBF"/>
              <w:right w:val="single" w:sz="4" w:space="0" w:color="BFBFBF"/>
            </w:tcBorders>
            <w:shd w:val="clear" w:color="auto" w:fill="auto"/>
            <w:noWrap/>
            <w:vAlign w:val="center"/>
          </w:tcPr>
          <w:p w14:paraId="7AAD9D2B"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18,555</w:t>
            </w:r>
          </w:p>
        </w:tc>
        <w:tc>
          <w:tcPr>
            <w:tcW w:w="734" w:type="dxa"/>
            <w:tcBorders>
              <w:top w:val="nil"/>
              <w:left w:val="nil"/>
              <w:bottom w:val="single" w:sz="4" w:space="0" w:color="BFBFBF"/>
              <w:right w:val="single" w:sz="4" w:space="0" w:color="BFBFBF"/>
            </w:tcBorders>
            <w:shd w:val="clear" w:color="auto" w:fill="auto"/>
            <w:noWrap/>
            <w:vAlign w:val="center"/>
          </w:tcPr>
          <w:p w14:paraId="717363F8"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53,764</w:t>
            </w:r>
          </w:p>
        </w:tc>
        <w:tc>
          <w:tcPr>
            <w:tcW w:w="734" w:type="dxa"/>
            <w:tcBorders>
              <w:top w:val="nil"/>
              <w:left w:val="nil"/>
              <w:bottom w:val="single" w:sz="4" w:space="0" w:color="BFBFBF"/>
              <w:right w:val="single" w:sz="4" w:space="0" w:color="auto"/>
            </w:tcBorders>
            <w:shd w:val="clear" w:color="auto" w:fill="auto"/>
            <w:noWrap/>
            <w:vAlign w:val="center"/>
          </w:tcPr>
          <w:p w14:paraId="72CF09EA"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72,319</w:t>
            </w:r>
          </w:p>
        </w:tc>
        <w:tc>
          <w:tcPr>
            <w:tcW w:w="775" w:type="dxa"/>
            <w:tcBorders>
              <w:top w:val="nil"/>
              <w:left w:val="nil"/>
              <w:bottom w:val="single" w:sz="4" w:space="0" w:color="BFBFBF"/>
              <w:right w:val="nil"/>
            </w:tcBorders>
            <w:shd w:val="clear" w:color="auto" w:fill="auto"/>
            <w:noWrap/>
            <w:vAlign w:val="center"/>
          </w:tcPr>
          <w:p w14:paraId="0BBC5AB6"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68,655</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53F09F9A"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-25.2%</w:t>
            </w:r>
          </w:p>
        </w:tc>
        <w:tc>
          <w:tcPr>
            <w:tcW w:w="850" w:type="dxa"/>
            <w:tcBorders>
              <w:top w:val="nil"/>
              <w:left w:val="nil"/>
              <w:bottom w:val="single" w:sz="4" w:space="0" w:color="BFBFBF"/>
              <w:right w:val="single" w:sz="4" w:space="0" w:color="BFBFBF"/>
            </w:tcBorders>
            <w:shd w:val="clear" w:color="auto" w:fill="auto"/>
            <w:noWrap/>
            <w:vAlign w:val="center"/>
          </w:tcPr>
          <w:p w14:paraId="5127CC95"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9.1%</w:t>
            </w:r>
          </w:p>
        </w:tc>
        <w:tc>
          <w:tcPr>
            <w:tcW w:w="851" w:type="dxa"/>
            <w:tcBorders>
              <w:top w:val="nil"/>
              <w:left w:val="nil"/>
              <w:bottom w:val="single" w:sz="4" w:space="0" w:color="BFBFBF"/>
              <w:right w:val="double" w:sz="6" w:space="0" w:color="auto"/>
            </w:tcBorders>
            <w:shd w:val="clear" w:color="auto" w:fill="auto"/>
            <w:noWrap/>
            <w:vAlign w:val="center"/>
          </w:tcPr>
          <w:p w14:paraId="7EE050B5"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15.0%</w:t>
            </w:r>
          </w:p>
        </w:tc>
      </w:tr>
      <w:tr w:rsidR="00CB7ECD" w:rsidRPr="00CB7ECD" w14:paraId="4803FA9F"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5753F2C0" w14:textId="77777777" w:rsidR="00CB7ECD" w:rsidRPr="00CB7ECD" w:rsidRDefault="00CB7ECD" w:rsidP="00086B9C">
            <w:pPr>
              <w:spacing w:before="0" w:after="0"/>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By Housing Status -</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4A949FC4"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47" w:type="dxa"/>
            <w:tcBorders>
              <w:top w:val="nil"/>
              <w:left w:val="nil"/>
              <w:bottom w:val="single" w:sz="4" w:space="0" w:color="BFBFBF"/>
              <w:right w:val="single" w:sz="4" w:space="0" w:color="BFBFBF"/>
            </w:tcBorders>
            <w:shd w:val="clear" w:color="auto" w:fill="auto"/>
            <w:noWrap/>
            <w:vAlign w:val="center"/>
          </w:tcPr>
          <w:p w14:paraId="42C2113F"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25" w:type="dxa"/>
            <w:tcBorders>
              <w:top w:val="nil"/>
              <w:left w:val="nil"/>
              <w:bottom w:val="single" w:sz="4" w:space="0" w:color="BFBFBF"/>
              <w:right w:val="nil"/>
            </w:tcBorders>
            <w:shd w:val="clear" w:color="auto" w:fill="auto"/>
            <w:noWrap/>
            <w:vAlign w:val="center"/>
          </w:tcPr>
          <w:p w14:paraId="2A1C7F12"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22439F92"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74D6933"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0FC9961B"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439055B6"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3350109"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7375688B"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775" w:type="dxa"/>
            <w:tcBorders>
              <w:top w:val="nil"/>
              <w:left w:val="nil"/>
              <w:bottom w:val="single" w:sz="4" w:space="0" w:color="BFBFBF"/>
              <w:right w:val="nil"/>
            </w:tcBorders>
            <w:shd w:val="clear" w:color="auto" w:fill="auto"/>
            <w:noWrap/>
            <w:vAlign w:val="center"/>
          </w:tcPr>
          <w:p w14:paraId="7A389820"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73" w:type="dxa"/>
            <w:tcBorders>
              <w:top w:val="nil"/>
              <w:left w:val="single" w:sz="4" w:space="0" w:color="auto"/>
              <w:bottom w:val="single" w:sz="4" w:space="0" w:color="BFBFBF"/>
              <w:right w:val="single" w:sz="4" w:space="0" w:color="BFBFBF"/>
            </w:tcBorders>
            <w:shd w:val="clear" w:color="auto" w:fill="auto"/>
            <w:noWrap/>
            <w:vAlign w:val="bottom"/>
          </w:tcPr>
          <w:p w14:paraId="6830F8BC"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0" w:type="dxa"/>
            <w:tcBorders>
              <w:top w:val="nil"/>
              <w:left w:val="nil"/>
              <w:bottom w:val="single" w:sz="4" w:space="0" w:color="BFBFBF"/>
              <w:right w:val="single" w:sz="4" w:space="0" w:color="BFBFBF"/>
            </w:tcBorders>
            <w:shd w:val="clear" w:color="auto" w:fill="auto"/>
            <w:noWrap/>
            <w:vAlign w:val="center"/>
          </w:tcPr>
          <w:p w14:paraId="39C340E7"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c>
          <w:tcPr>
            <w:tcW w:w="851" w:type="dxa"/>
            <w:tcBorders>
              <w:top w:val="nil"/>
              <w:left w:val="nil"/>
              <w:bottom w:val="single" w:sz="4" w:space="0" w:color="BFBFBF"/>
              <w:right w:val="double" w:sz="6" w:space="0" w:color="auto"/>
            </w:tcBorders>
            <w:shd w:val="clear" w:color="auto" w:fill="auto"/>
            <w:noWrap/>
            <w:vAlign w:val="center"/>
          </w:tcPr>
          <w:p w14:paraId="129DBA62"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 </w:t>
            </w:r>
          </w:p>
        </w:tc>
      </w:tr>
      <w:tr w:rsidR="00CB7ECD" w:rsidRPr="00CB7ECD" w14:paraId="0DE6B5B6"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5BB2885E"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Owned/paid off</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6B26597C"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9,647</w:t>
            </w:r>
          </w:p>
        </w:tc>
        <w:tc>
          <w:tcPr>
            <w:tcW w:w="747" w:type="dxa"/>
            <w:tcBorders>
              <w:top w:val="nil"/>
              <w:left w:val="nil"/>
              <w:bottom w:val="single" w:sz="4" w:space="0" w:color="BFBFBF"/>
              <w:right w:val="single" w:sz="4" w:space="0" w:color="BFBFBF"/>
            </w:tcBorders>
            <w:shd w:val="clear" w:color="auto" w:fill="auto"/>
            <w:noWrap/>
            <w:vAlign w:val="center"/>
          </w:tcPr>
          <w:p w14:paraId="3943D3FF"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37,123</w:t>
            </w:r>
          </w:p>
        </w:tc>
        <w:tc>
          <w:tcPr>
            <w:tcW w:w="825" w:type="dxa"/>
            <w:tcBorders>
              <w:top w:val="nil"/>
              <w:left w:val="nil"/>
              <w:bottom w:val="single" w:sz="4" w:space="0" w:color="BFBFBF"/>
              <w:right w:val="nil"/>
            </w:tcBorders>
            <w:shd w:val="clear" w:color="auto" w:fill="auto"/>
            <w:noWrap/>
            <w:vAlign w:val="center"/>
          </w:tcPr>
          <w:p w14:paraId="7A28B17A"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47,524</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062D9F58"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13,198</w:t>
            </w:r>
          </w:p>
        </w:tc>
        <w:tc>
          <w:tcPr>
            <w:tcW w:w="734" w:type="dxa"/>
            <w:tcBorders>
              <w:top w:val="nil"/>
              <w:left w:val="nil"/>
              <w:bottom w:val="single" w:sz="4" w:space="0" w:color="BFBFBF"/>
              <w:right w:val="single" w:sz="4" w:space="0" w:color="BFBFBF"/>
            </w:tcBorders>
            <w:shd w:val="clear" w:color="auto" w:fill="auto"/>
            <w:noWrap/>
            <w:vAlign w:val="center"/>
          </w:tcPr>
          <w:p w14:paraId="1F469690"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49,998</w:t>
            </w:r>
          </w:p>
        </w:tc>
        <w:tc>
          <w:tcPr>
            <w:tcW w:w="734" w:type="dxa"/>
            <w:tcBorders>
              <w:top w:val="nil"/>
              <w:left w:val="nil"/>
              <w:bottom w:val="single" w:sz="4" w:space="0" w:color="BFBFBF"/>
              <w:right w:val="single" w:sz="4" w:space="0" w:color="auto"/>
            </w:tcBorders>
            <w:shd w:val="clear" w:color="auto" w:fill="auto"/>
            <w:noWrap/>
            <w:vAlign w:val="center"/>
          </w:tcPr>
          <w:p w14:paraId="720AD080"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63,459</w:t>
            </w:r>
          </w:p>
        </w:tc>
        <w:tc>
          <w:tcPr>
            <w:tcW w:w="857" w:type="dxa"/>
            <w:tcBorders>
              <w:top w:val="nil"/>
              <w:left w:val="nil"/>
              <w:bottom w:val="single" w:sz="4" w:space="0" w:color="BFBFBF"/>
              <w:right w:val="single" w:sz="4" w:space="0" w:color="BFBFBF"/>
            </w:tcBorders>
            <w:shd w:val="clear" w:color="auto" w:fill="auto"/>
            <w:noWrap/>
            <w:vAlign w:val="center"/>
          </w:tcPr>
          <w:p w14:paraId="23EDB590"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14,568</w:t>
            </w:r>
          </w:p>
        </w:tc>
        <w:tc>
          <w:tcPr>
            <w:tcW w:w="734" w:type="dxa"/>
            <w:tcBorders>
              <w:top w:val="nil"/>
              <w:left w:val="nil"/>
              <w:bottom w:val="single" w:sz="4" w:space="0" w:color="BFBFBF"/>
              <w:right w:val="single" w:sz="4" w:space="0" w:color="BFBFBF"/>
            </w:tcBorders>
            <w:shd w:val="clear" w:color="auto" w:fill="auto"/>
            <w:noWrap/>
            <w:vAlign w:val="center"/>
          </w:tcPr>
          <w:p w14:paraId="715B20EA"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43,376</w:t>
            </w:r>
          </w:p>
        </w:tc>
        <w:tc>
          <w:tcPr>
            <w:tcW w:w="734" w:type="dxa"/>
            <w:tcBorders>
              <w:top w:val="nil"/>
              <w:left w:val="nil"/>
              <w:bottom w:val="single" w:sz="4" w:space="0" w:color="BFBFBF"/>
              <w:right w:val="single" w:sz="4" w:space="0" w:color="auto"/>
            </w:tcBorders>
            <w:shd w:val="clear" w:color="auto" w:fill="auto"/>
            <w:noWrap/>
            <w:vAlign w:val="center"/>
          </w:tcPr>
          <w:p w14:paraId="500A9569"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57,935</w:t>
            </w:r>
          </w:p>
        </w:tc>
        <w:tc>
          <w:tcPr>
            <w:tcW w:w="775" w:type="dxa"/>
            <w:tcBorders>
              <w:top w:val="nil"/>
              <w:left w:val="nil"/>
              <w:bottom w:val="single" w:sz="4" w:space="0" w:color="BFBFBF"/>
              <w:right w:val="nil"/>
            </w:tcBorders>
            <w:shd w:val="clear" w:color="auto" w:fill="auto"/>
            <w:noWrap/>
            <w:vAlign w:val="center"/>
          </w:tcPr>
          <w:p w14:paraId="4112C645"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56,440</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084D18D7"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-25.1%</w:t>
            </w:r>
          </w:p>
        </w:tc>
        <w:tc>
          <w:tcPr>
            <w:tcW w:w="850" w:type="dxa"/>
            <w:tcBorders>
              <w:top w:val="nil"/>
              <w:left w:val="nil"/>
              <w:bottom w:val="single" w:sz="4" w:space="0" w:color="BFBFBF"/>
              <w:right w:val="single" w:sz="4" w:space="0" w:color="BFBFBF"/>
            </w:tcBorders>
            <w:shd w:val="clear" w:color="auto" w:fill="auto"/>
            <w:noWrap/>
            <w:vAlign w:val="center"/>
          </w:tcPr>
          <w:p w14:paraId="10BEA66F"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9.5%</w:t>
            </w:r>
          </w:p>
        </w:tc>
        <w:tc>
          <w:tcPr>
            <w:tcW w:w="851" w:type="dxa"/>
            <w:tcBorders>
              <w:top w:val="nil"/>
              <w:left w:val="nil"/>
              <w:bottom w:val="single" w:sz="4" w:space="0" w:color="BFBFBF"/>
              <w:right w:val="double" w:sz="6" w:space="0" w:color="auto"/>
            </w:tcBorders>
            <w:shd w:val="clear" w:color="auto" w:fill="auto"/>
            <w:noWrap/>
            <w:vAlign w:val="center"/>
          </w:tcPr>
          <w:p w14:paraId="7D0397E2"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12.4%</w:t>
            </w:r>
          </w:p>
        </w:tc>
      </w:tr>
      <w:tr w:rsidR="00CB7ECD" w:rsidRPr="00CB7ECD" w14:paraId="53B4820B"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66D5BD4A"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Buying/paying off</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30CBA63C"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8,760</w:t>
            </w:r>
          </w:p>
        </w:tc>
        <w:tc>
          <w:tcPr>
            <w:tcW w:w="747" w:type="dxa"/>
            <w:tcBorders>
              <w:top w:val="nil"/>
              <w:left w:val="nil"/>
              <w:bottom w:val="single" w:sz="4" w:space="0" w:color="BFBFBF"/>
              <w:right w:val="single" w:sz="4" w:space="0" w:color="BFBFBF"/>
            </w:tcBorders>
            <w:shd w:val="clear" w:color="auto" w:fill="auto"/>
            <w:noWrap/>
            <w:vAlign w:val="center"/>
          </w:tcPr>
          <w:p w14:paraId="0FB52A49"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38,671</w:t>
            </w:r>
          </w:p>
        </w:tc>
        <w:tc>
          <w:tcPr>
            <w:tcW w:w="825" w:type="dxa"/>
            <w:tcBorders>
              <w:top w:val="nil"/>
              <w:left w:val="nil"/>
              <w:bottom w:val="single" w:sz="4" w:space="0" w:color="BFBFBF"/>
              <w:right w:val="nil"/>
            </w:tcBorders>
            <w:shd w:val="clear" w:color="auto" w:fill="auto"/>
            <w:noWrap/>
            <w:vAlign w:val="center"/>
          </w:tcPr>
          <w:p w14:paraId="3423E7DF"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49,057</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0831613"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13,965</w:t>
            </w:r>
          </w:p>
        </w:tc>
        <w:tc>
          <w:tcPr>
            <w:tcW w:w="734" w:type="dxa"/>
            <w:tcBorders>
              <w:top w:val="nil"/>
              <w:left w:val="nil"/>
              <w:bottom w:val="single" w:sz="4" w:space="0" w:color="BFBFBF"/>
              <w:right w:val="single" w:sz="4" w:space="0" w:color="BFBFBF"/>
            </w:tcBorders>
            <w:shd w:val="clear" w:color="auto" w:fill="auto"/>
            <w:noWrap/>
            <w:vAlign w:val="center"/>
          </w:tcPr>
          <w:p w14:paraId="1FF2BC5C"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52,644</w:t>
            </w:r>
          </w:p>
        </w:tc>
        <w:tc>
          <w:tcPr>
            <w:tcW w:w="734" w:type="dxa"/>
            <w:tcBorders>
              <w:top w:val="nil"/>
              <w:left w:val="nil"/>
              <w:bottom w:val="single" w:sz="4" w:space="0" w:color="BFBFBF"/>
              <w:right w:val="single" w:sz="4" w:space="0" w:color="auto"/>
            </w:tcBorders>
            <w:shd w:val="clear" w:color="auto" w:fill="auto"/>
            <w:noWrap/>
            <w:vAlign w:val="center"/>
          </w:tcPr>
          <w:p w14:paraId="3E30C6A6"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66,853</w:t>
            </w:r>
          </w:p>
        </w:tc>
        <w:tc>
          <w:tcPr>
            <w:tcW w:w="857" w:type="dxa"/>
            <w:tcBorders>
              <w:top w:val="nil"/>
              <w:left w:val="nil"/>
              <w:bottom w:val="single" w:sz="4" w:space="0" w:color="BFBFBF"/>
              <w:right w:val="single" w:sz="4" w:space="0" w:color="BFBFBF"/>
            </w:tcBorders>
            <w:shd w:val="clear" w:color="auto" w:fill="auto"/>
            <w:noWrap/>
            <w:vAlign w:val="center"/>
          </w:tcPr>
          <w:p w14:paraId="7041B51B"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17,115</w:t>
            </w:r>
          </w:p>
        </w:tc>
        <w:tc>
          <w:tcPr>
            <w:tcW w:w="734" w:type="dxa"/>
            <w:tcBorders>
              <w:top w:val="nil"/>
              <w:left w:val="nil"/>
              <w:bottom w:val="single" w:sz="4" w:space="0" w:color="BFBFBF"/>
              <w:right w:val="single" w:sz="4" w:space="0" w:color="BFBFBF"/>
            </w:tcBorders>
            <w:shd w:val="clear" w:color="auto" w:fill="auto"/>
            <w:noWrap/>
            <w:vAlign w:val="center"/>
          </w:tcPr>
          <w:p w14:paraId="23CDAEBE"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50,159</w:t>
            </w:r>
          </w:p>
        </w:tc>
        <w:tc>
          <w:tcPr>
            <w:tcW w:w="734" w:type="dxa"/>
            <w:tcBorders>
              <w:top w:val="nil"/>
              <w:left w:val="nil"/>
              <w:bottom w:val="single" w:sz="4" w:space="0" w:color="BFBFBF"/>
              <w:right w:val="single" w:sz="4" w:space="0" w:color="auto"/>
            </w:tcBorders>
            <w:shd w:val="clear" w:color="auto" w:fill="auto"/>
            <w:noWrap/>
            <w:vAlign w:val="center"/>
          </w:tcPr>
          <w:p w14:paraId="24B57216"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67,274</w:t>
            </w:r>
          </w:p>
        </w:tc>
        <w:tc>
          <w:tcPr>
            <w:tcW w:w="775" w:type="dxa"/>
            <w:tcBorders>
              <w:top w:val="nil"/>
              <w:left w:val="nil"/>
              <w:bottom w:val="single" w:sz="4" w:space="0" w:color="BFBFBF"/>
              <w:right w:val="nil"/>
            </w:tcBorders>
            <w:shd w:val="clear" w:color="auto" w:fill="auto"/>
            <w:noWrap/>
            <w:vAlign w:val="center"/>
          </w:tcPr>
          <w:p w14:paraId="5FE67F45"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63,230</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28AD6CA2"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-26.6%</w:t>
            </w:r>
          </w:p>
        </w:tc>
        <w:tc>
          <w:tcPr>
            <w:tcW w:w="850" w:type="dxa"/>
            <w:tcBorders>
              <w:top w:val="nil"/>
              <w:left w:val="nil"/>
              <w:bottom w:val="single" w:sz="4" w:space="0" w:color="BFBFBF"/>
              <w:right w:val="single" w:sz="4" w:space="0" w:color="BFBFBF"/>
            </w:tcBorders>
            <w:shd w:val="clear" w:color="auto" w:fill="auto"/>
            <w:noWrap/>
            <w:vAlign w:val="center"/>
          </w:tcPr>
          <w:p w14:paraId="202D5247"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-0.6%</w:t>
            </w:r>
          </w:p>
        </w:tc>
        <w:tc>
          <w:tcPr>
            <w:tcW w:w="851" w:type="dxa"/>
            <w:tcBorders>
              <w:top w:val="nil"/>
              <w:left w:val="nil"/>
              <w:bottom w:val="single" w:sz="4" w:space="0" w:color="BFBFBF"/>
              <w:right w:val="double" w:sz="6" w:space="0" w:color="auto"/>
            </w:tcBorders>
            <w:shd w:val="clear" w:color="auto" w:fill="auto"/>
            <w:noWrap/>
            <w:vAlign w:val="center"/>
          </w:tcPr>
          <w:p w14:paraId="05BA35F4"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5.7%</w:t>
            </w:r>
          </w:p>
        </w:tc>
      </w:tr>
      <w:tr w:rsidR="00CB7ECD" w:rsidRPr="00CB7ECD" w14:paraId="7BBB3C43" w14:textId="77777777" w:rsidTr="00B16465">
        <w:trPr>
          <w:trHeight w:val="225"/>
          <w:jc w:val="center"/>
        </w:trPr>
        <w:tc>
          <w:tcPr>
            <w:tcW w:w="2268" w:type="dxa"/>
            <w:tcBorders>
              <w:top w:val="nil"/>
              <w:left w:val="double" w:sz="6" w:space="0" w:color="auto"/>
              <w:bottom w:val="single" w:sz="4" w:space="0" w:color="BFBFBF"/>
              <w:right w:val="nil"/>
            </w:tcBorders>
            <w:shd w:val="clear" w:color="auto" w:fill="auto"/>
            <w:noWrap/>
            <w:vAlign w:val="center"/>
          </w:tcPr>
          <w:p w14:paraId="4EEDC6DF"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Renting – Private</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12F341EA"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8,314</w:t>
            </w:r>
          </w:p>
        </w:tc>
        <w:tc>
          <w:tcPr>
            <w:tcW w:w="747" w:type="dxa"/>
            <w:tcBorders>
              <w:top w:val="nil"/>
              <w:left w:val="nil"/>
              <w:bottom w:val="single" w:sz="4" w:space="0" w:color="BFBFBF"/>
              <w:right w:val="single" w:sz="4" w:space="0" w:color="BFBFBF"/>
            </w:tcBorders>
            <w:shd w:val="clear" w:color="auto" w:fill="auto"/>
            <w:noWrap/>
            <w:vAlign w:val="center"/>
          </w:tcPr>
          <w:p w14:paraId="19346CE0"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30,456</w:t>
            </w:r>
          </w:p>
        </w:tc>
        <w:tc>
          <w:tcPr>
            <w:tcW w:w="825" w:type="dxa"/>
            <w:tcBorders>
              <w:top w:val="nil"/>
              <w:left w:val="nil"/>
              <w:bottom w:val="single" w:sz="4" w:space="0" w:color="BFBFBF"/>
              <w:right w:val="nil"/>
            </w:tcBorders>
            <w:shd w:val="clear" w:color="auto" w:fill="auto"/>
            <w:noWrap/>
            <w:vAlign w:val="center"/>
          </w:tcPr>
          <w:p w14:paraId="0B419011"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42,218</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6D40829D"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13,451</w:t>
            </w:r>
          </w:p>
        </w:tc>
        <w:tc>
          <w:tcPr>
            <w:tcW w:w="734" w:type="dxa"/>
            <w:tcBorders>
              <w:top w:val="nil"/>
              <w:left w:val="nil"/>
              <w:bottom w:val="single" w:sz="4" w:space="0" w:color="BFBFBF"/>
              <w:right w:val="single" w:sz="4" w:space="0" w:color="BFBFBF"/>
            </w:tcBorders>
            <w:shd w:val="clear" w:color="auto" w:fill="auto"/>
            <w:noWrap/>
            <w:vAlign w:val="center"/>
          </w:tcPr>
          <w:p w14:paraId="5EDFA1D7"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41,599</w:t>
            </w:r>
          </w:p>
        </w:tc>
        <w:tc>
          <w:tcPr>
            <w:tcW w:w="734" w:type="dxa"/>
            <w:tcBorders>
              <w:top w:val="nil"/>
              <w:left w:val="nil"/>
              <w:bottom w:val="single" w:sz="4" w:space="0" w:color="BFBFBF"/>
              <w:right w:val="single" w:sz="4" w:space="0" w:color="auto"/>
            </w:tcBorders>
            <w:shd w:val="clear" w:color="auto" w:fill="auto"/>
            <w:noWrap/>
            <w:vAlign w:val="center"/>
          </w:tcPr>
          <w:p w14:paraId="4450A905"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55,097</w:t>
            </w:r>
          </w:p>
        </w:tc>
        <w:tc>
          <w:tcPr>
            <w:tcW w:w="857" w:type="dxa"/>
            <w:tcBorders>
              <w:top w:val="nil"/>
              <w:left w:val="nil"/>
              <w:bottom w:val="single" w:sz="4" w:space="0" w:color="BFBFBF"/>
              <w:right w:val="single" w:sz="4" w:space="0" w:color="BFBFBF"/>
            </w:tcBorders>
            <w:shd w:val="clear" w:color="auto" w:fill="auto"/>
            <w:noWrap/>
            <w:vAlign w:val="center"/>
          </w:tcPr>
          <w:p w14:paraId="6570FE94"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13,545</w:t>
            </w:r>
          </w:p>
        </w:tc>
        <w:tc>
          <w:tcPr>
            <w:tcW w:w="734" w:type="dxa"/>
            <w:tcBorders>
              <w:top w:val="nil"/>
              <w:left w:val="nil"/>
              <w:bottom w:val="single" w:sz="4" w:space="0" w:color="BFBFBF"/>
              <w:right w:val="single" w:sz="4" w:space="0" w:color="BFBFBF"/>
            </w:tcBorders>
            <w:shd w:val="clear" w:color="auto" w:fill="auto"/>
            <w:noWrap/>
            <w:vAlign w:val="center"/>
          </w:tcPr>
          <w:p w14:paraId="3AE364D5"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38,187</w:t>
            </w:r>
          </w:p>
        </w:tc>
        <w:tc>
          <w:tcPr>
            <w:tcW w:w="734" w:type="dxa"/>
            <w:tcBorders>
              <w:top w:val="nil"/>
              <w:left w:val="nil"/>
              <w:bottom w:val="single" w:sz="4" w:space="0" w:color="BFBFBF"/>
              <w:right w:val="single" w:sz="4" w:space="0" w:color="auto"/>
            </w:tcBorders>
            <w:shd w:val="clear" w:color="auto" w:fill="auto"/>
            <w:noWrap/>
            <w:vAlign w:val="center"/>
          </w:tcPr>
          <w:p w14:paraId="40A01CE4"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51,682</w:t>
            </w:r>
          </w:p>
        </w:tc>
        <w:tc>
          <w:tcPr>
            <w:tcW w:w="775" w:type="dxa"/>
            <w:tcBorders>
              <w:top w:val="nil"/>
              <w:left w:val="nil"/>
              <w:bottom w:val="single" w:sz="4" w:space="0" w:color="BFBFBF"/>
              <w:right w:val="nil"/>
            </w:tcBorders>
            <w:shd w:val="clear" w:color="auto" w:fill="auto"/>
            <w:noWrap/>
            <w:vAlign w:val="center"/>
          </w:tcPr>
          <w:p w14:paraId="598124AD"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38,421</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4A68F67C"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-23.4%</w:t>
            </w:r>
          </w:p>
        </w:tc>
        <w:tc>
          <w:tcPr>
            <w:tcW w:w="850" w:type="dxa"/>
            <w:tcBorders>
              <w:top w:val="nil"/>
              <w:left w:val="nil"/>
              <w:bottom w:val="single" w:sz="4" w:space="0" w:color="BFBFBF"/>
              <w:right w:val="single" w:sz="4" w:space="0" w:color="BFBFBF"/>
            </w:tcBorders>
            <w:shd w:val="clear" w:color="auto" w:fill="auto"/>
            <w:noWrap/>
            <w:vAlign w:val="center"/>
          </w:tcPr>
          <w:p w14:paraId="37C4D3A1"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6.6%</w:t>
            </w:r>
          </w:p>
        </w:tc>
        <w:tc>
          <w:tcPr>
            <w:tcW w:w="851" w:type="dxa"/>
            <w:tcBorders>
              <w:top w:val="nil"/>
              <w:left w:val="nil"/>
              <w:bottom w:val="single" w:sz="4" w:space="0" w:color="BFBFBF"/>
              <w:right w:val="double" w:sz="6" w:space="0" w:color="auto"/>
            </w:tcBorders>
            <w:shd w:val="clear" w:color="auto" w:fill="auto"/>
            <w:noWrap/>
            <w:vAlign w:val="center"/>
          </w:tcPr>
          <w:p w14:paraId="14F7A680"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43.4%</w:t>
            </w:r>
          </w:p>
        </w:tc>
      </w:tr>
      <w:tr w:rsidR="00CB7ECD" w:rsidRPr="00CB7ECD" w14:paraId="165F8513" w14:textId="77777777" w:rsidTr="00B16465">
        <w:trPr>
          <w:trHeight w:val="240"/>
          <w:jc w:val="center"/>
        </w:trPr>
        <w:tc>
          <w:tcPr>
            <w:tcW w:w="2268" w:type="dxa"/>
            <w:tcBorders>
              <w:top w:val="nil"/>
              <w:left w:val="double" w:sz="6" w:space="0" w:color="auto"/>
              <w:bottom w:val="single" w:sz="4" w:space="0" w:color="BFBFBF"/>
              <w:right w:val="nil"/>
            </w:tcBorders>
            <w:shd w:val="clear" w:color="auto" w:fill="auto"/>
            <w:noWrap/>
            <w:vAlign w:val="center"/>
          </w:tcPr>
          <w:p w14:paraId="5903C648" w14:textId="77777777" w:rsidR="00CB7ECD" w:rsidRPr="00CB7ECD" w:rsidRDefault="00CB7ECD" w:rsidP="00086B9C">
            <w:pPr>
              <w:spacing w:before="0" w:after="0"/>
              <w:ind w:firstLineChars="100" w:firstLine="160"/>
              <w:rPr>
                <w:rFonts w:ascii="Arial" w:hAnsi="Arial" w:cs="Arial"/>
                <w:color w:val="000000"/>
                <w:sz w:val="16"/>
                <w:szCs w:val="16"/>
                <w:lang w:val="en-AU" w:eastAsia="en-AU"/>
              </w:rPr>
            </w:pPr>
            <w:r w:rsidRPr="00CB7ECD">
              <w:rPr>
                <w:rFonts w:ascii="Arial" w:hAnsi="Arial" w:cs="Arial"/>
                <w:color w:val="000000"/>
                <w:sz w:val="16"/>
                <w:szCs w:val="16"/>
                <w:lang w:val="en-AU" w:eastAsia="en-AU"/>
              </w:rPr>
              <w:t>Renting – Public</w:t>
            </w:r>
          </w:p>
        </w:tc>
        <w:tc>
          <w:tcPr>
            <w:tcW w:w="954" w:type="dxa"/>
            <w:tcBorders>
              <w:top w:val="nil"/>
              <w:left w:val="single" w:sz="4" w:space="0" w:color="auto"/>
              <w:bottom w:val="single" w:sz="4" w:space="0" w:color="BFBFBF"/>
              <w:right w:val="single" w:sz="4" w:space="0" w:color="BFBFBF"/>
            </w:tcBorders>
            <w:shd w:val="clear" w:color="auto" w:fill="auto"/>
            <w:noWrap/>
            <w:vAlign w:val="center"/>
          </w:tcPr>
          <w:p w14:paraId="00DAA063"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9,022</w:t>
            </w:r>
          </w:p>
        </w:tc>
        <w:tc>
          <w:tcPr>
            <w:tcW w:w="747" w:type="dxa"/>
            <w:tcBorders>
              <w:top w:val="nil"/>
              <w:left w:val="nil"/>
              <w:bottom w:val="single" w:sz="4" w:space="0" w:color="BFBFBF"/>
              <w:right w:val="single" w:sz="4" w:space="0" w:color="BFBFBF"/>
            </w:tcBorders>
            <w:shd w:val="clear" w:color="auto" w:fill="auto"/>
            <w:noWrap/>
            <w:vAlign w:val="center"/>
          </w:tcPr>
          <w:p w14:paraId="5E479C7A"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26,849</w:t>
            </w:r>
          </w:p>
        </w:tc>
        <w:tc>
          <w:tcPr>
            <w:tcW w:w="825" w:type="dxa"/>
            <w:tcBorders>
              <w:top w:val="nil"/>
              <w:left w:val="nil"/>
              <w:bottom w:val="single" w:sz="4" w:space="0" w:color="BFBFBF"/>
              <w:right w:val="nil"/>
            </w:tcBorders>
            <w:shd w:val="clear" w:color="auto" w:fill="auto"/>
            <w:noWrap/>
            <w:vAlign w:val="center"/>
          </w:tcPr>
          <w:p w14:paraId="7C4ADC18" w14:textId="77777777" w:rsidR="00CB7ECD" w:rsidRPr="00CB7ECD" w:rsidRDefault="00CB7ECD" w:rsidP="00B16465">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38,959</w:t>
            </w:r>
          </w:p>
        </w:tc>
        <w:tc>
          <w:tcPr>
            <w:tcW w:w="857" w:type="dxa"/>
            <w:tcBorders>
              <w:top w:val="nil"/>
              <w:left w:val="single" w:sz="4" w:space="0" w:color="auto"/>
              <w:bottom w:val="single" w:sz="4" w:space="0" w:color="BFBFBF"/>
              <w:right w:val="single" w:sz="4" w:space="0" w:color="BFBFBF"/>
            </w:tcBorders>
            <w:shd w:val="clear" w:color="auto" w:fill="auto"/>
            <w:noWrap/>
            <w:vAlign w:val="center"/>
          </w:tcPr>
          <w:p w14:paraId="5EEA7FF9"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14,596</w:t>
            </w:r>
          </w:p>
        </w:tc>
        <w:tc>
          <w:tcPr>
            <w:tcW w:w="734" w:type="dxa"/>
            <w:tcBorders>
              <w:top w:val="nil"/>
              <w:left w:val="nil"/>
              <w:bottom w:val="single" w:sz="4" w:space="0" w:color="BFBFBF"/>
              <w:right w:val="single" w:sz="4" w:space="0" w:color="BFBFBF"/>
            </w:tcBorders>
            <w:shd w:val="clear" w:color="auto" w:fill="auto"/>
            <w:noWrap/>
            <w:vAlign w:val="center"/>
          </w:tcPr>
          <w:p w14:paraId="653C6C04"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37,853</w:t>
            </w:r>
          </w:p>
        </w:tc>
        <w:tc>
          <w:tcPr>
            <w:tcW w:w="734" w:type="dxa"/>
            <w:tcBorders>
              <w:top w:val="nil"/>
              <w:left w:val="nil"/>
              <w:bottom w:val="single" w:sz="4" w:space="0" w:color="BFBFBF"/>
              <w:right w:val="single" w:sz="4" w:space="0" w:color="auto"/>
            </w:tcBorders>
            <w:shd w:val="clear" w:color="auto" w:fill="auto"/>
            <w:noWrap/>
            <w:vAlign w:val="center"/>
          </w:tcPr>
          <w:p w14:paraId="5A08B942"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52,426</w:t>
            </w:r>
          </w:p>
        </w:tc>
        <w:tc>
          <w:tcPr>
            <w:tcW w:w="857" w:type="dxa"/>
            <w:tcBorders>
              <w:top w:val="nil"/>
              <w:left w:val="nil"/>
              <w:bottom w:val="single" w:sz="4" w:space="0" w:color="BFBFBF"/>
              <w:right w:val="single" w:sz="4" w:space="0" w:color="BFBFBF"/>
            </w:tcBorders>
            <w:shd w:val="clear" w:color="auto" w:fill="auto"/>
            <w:noWrap/>
            <w:vAlign w:val="center"/>
          </w:tcPr>
          <w:p w14:paraId="1BB7F0B8"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11,985</w:t>
            </w:r>
          </w:p>
        </w:tc>
        <w:tc>
          <w:tcPr>
            <w:tcW w:w="734" w:type="dxa"/>
            <w:tcBorders>
              <w:top w:val="nil"/>
              <w:left w:val="nil"/>
              <w:bottom w:val="single" w:sz="4" w:space="0" w:color="BFBFBF"/>
              <w:right w:val="single" w:sz="4" w:space="0" w:color="BFBFBF"/>
            </w:tcBorders>
            <w:shd w:val="clear" w:color="auto" w:fill="auto"/>
            <w:noWrap/>
            <w:vAlign w:val="center"/>
          </w:tcPr>
          <w:p w14:paraId="7A9A9137"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33,576</w:t>
            </w:r>
          </w:p>
        </w:tc>
        <w:tc>
          <w:tcPr>
            <w:tcW w:w="734" w:type="dxa"/>
            <w:tcBorders>
              <w:top w:val="nil"/>
              <w:left w:val="nil"/>
              <w:bottom w:val="single" w:sz="4" w:space="0" w:color="BFBFBF"/>
              <w:right w:val="single" w:sz="4" w:space="0" w:color="auto"/>
            </w:tcBorders>
            <w:shd w:val="clear" w:color="auto" w:fill="auto"/>
            <w:noWrap/>
            <w:vAlign w:val="center"/>
          </w:tcPr>
          <w:p w14:paraId="16C1EB09"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45,462</w:t>
            </w:r>
          </w:p>
        </w:tc>
        <w:tc>
          <w:tcPr>
            <w:tcW w:w="775" w:type="dxa"/>
            <w:tcBorders>
              <w:top w:val="nil"/>
              <w:left w:val="nil"/>
              <w:bottom w:val="single" w:sz="4" w:space="0" w:color="BFBFBF"/>
              <w:right w:val="nil"/>
            </w:tcBorders>
            <w:shd w:val="clear" w:color="auto" w:fill="auto"/>
            <w:noWrap/>
            <w:vAlign w:val="center"/>
          </w:tcPr>
          <w:p w14:paraId="28627C15"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39,334</w:t>
            </w:r>
          </w:p>
        </w:tc>
        <w:tc>
          <w:tcPr>
            <w:tcW w:w="873" w:type="dxa"/>
            <w:tcBorders>
              <w:top w:val="nil"/>
              <w:left w:val="single" w:sz="4" w:space="0" w:color="auto"/>
              <w:bottom w:val="single" w:sz="4" w:space="0" w:color="BFBFBF"/>
              <w:right w:val="single" w:sz="4" w:space="0" w:color="BFBFBF"/>
            </w:tcBorders>
            <w:shd w:val="clear" w:color="auto" w:fill="auto"/>
            <w:noWrap/>
            <w:vAlign w:val="center"/>
          </w:tcPr>
          <w:p w14:paraId="653EF3DD"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-25.7%</w:t>
            </w:r>
          </w:p>
        </w:tc>
        <w:tc>
          <w:tcPr>
            <w:tcW w:w="850" w:type="dxa"/>
            <w:tcBorders>
              <w:top w:val="nil"/>
              <w:left w:val="nil"/>
              <w:bottom w:val="single" w:sz="4" w:space="0" w:color="BFBFBF"/>
              <w:right w:val="single" w:sz="4" w:space="0" w:color="BFBFBF"/>
            </w:tcBorders>
            <w:shd w:val="clear" w:color="auto" w:fill="auto"/>
            <w:noWrap/>
            <w:vAlign w:val="center"/>
          </w:tcPr>
          <w:p w14:paraId="3B1E5501" w14:textId="77777777" w:rsidR="00CB7ECD" w:rsidRPr="00CB7ECD" w:rsidRDefault="00CB7ECD" w:rsidP="00086B9C">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15.3%</w:t>
            </w:r>
          </w:p>
        </w:tc>
        <w:tc>
          <w:tcPr>
            <w:tcW w:w="851" w:type="dxa"/>
            <w:tcBorders>
              <w:top w:val="nil"/>
              <w:left w:val="nil"/>
              <w:bottom w:val="single" w:sz="4" w:space="0" w:color="BFBFBF"/>
              <w:right w:val="double" w:sz="6" w:space="0" w:color="auto"/>
            </w:tcBorders>
            <w:shd w:val="clear" w:color="auto" w:fill="auto"/>
            <w:noWrap/>
            <w:vAlign w:val="center"/>
          </w:tcPr>
          <w:p w14:paraId="15AFDA89" w14:textId="77777777" w:rsidR="00CB7ECD" w:rsidRPr="00CB7ECD" w:rsidRDefault="00CB7ECD" w:rsidP="00CB7ECD">
            <w:pPr>
              <w:spacing w:before="0" w:after="0"/>
              <w:jc w:val="center"/>
              <w:rPr>
                <w:rFonts w:ascii="Arial" w:hAnsi="Arial" w:cs="Arial"/>
                <w:color w:val="000000"/>
                <w:sz w:val="16"/>
                <w:szCs w:val="16"/>
                <w:lang w:val="en-AU" w:eastAsia="en-AU"/>
              </w:rPr>
            </w:pPr>
            <w:r w:rsidRPr="00CB7ECD">
              <w:rPr>
                <w:rFonts w:ascii="Arial" w:hAnsi="Arial" w:cs="Arial"/>
                <w:color w:val="000000"/>
                <w:sz w:val="16"/>
                <w:szCs w:val="16"/>
                <w:lang w:val="en-AU" w:eastAsia="en-AU"/>
              </w:rPr>
              <w:t>33.3%</w:t>
            </w:r>
          </w:p>
        </w:tc>
      </w:tr>
      <w:tr w:rsidR="00CB7ECD" w:rsidRPr="00CB7ECD" w14:paraId="63CBBE35" w14:textId="77777777" w:rsidTr="00B16465">
        <w:trPr>
          <w:trHeight w:val="255"/>
          <w:jc w:val="center"/>
        </w:trPr>
        <w:tc>
          <w:tcPr>
            <w:tcW w:w="2268" w:type="dxa"/>
            <w:tcBorders>
              <w:top w:val="nil"/>
              <w:left w:val="double" w:sz="6" w:space="0" w:color="auto"/>
              <w:bottom w:val="double" w:sz="6" w:space="0" w:color="auto"/>
              <w:right w:val="nil"/>
            </w:tcBorders>
            <w:shd w:val="clear" w:color="auto" w:fill="auto"/>
            <w:noWrap/>
            <w:vAlign w:val="center"/>
          </w:tcPr>
          <w:p w14:paraId="6980F26E" w14:textId="77777777" w:rsidR="00CB7ECD" w:rsidRPr="00CB7ECD" w:rsidRDefault="00CB7ECD" w:rsidP="00086B9C">
            <w:pPr>
              <w:spacing w:before="0" w:after="0"/>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Total Households</w:t>
            </w:r>
          </w:p>
        </w:tc>
        <w:tc>
          <w:tcPr>
            <w:tcW w:w="954" w:type="dxa"/>
            <w:tcBorders>
              <w:top w:val="nil"/>
              <w:left w:val="single" w:sz="4" w:space="0" w:color="auto"/>
              <w:bottom w:val="double" w:sz="6" w:space="0" w:color="auto"/>
              <w:right w:val="single" w:sz="4" w:space="0" w:color="BFBFBF"/>
            </w:tcBorders>
            <w:shd w:val="clear" w:color="auto" w:fill="auto"/>
            <w:noWrap/>
            <w:vAlign w:val="center"/>
          </w:tcPr>
          <w:p w14:paraId="12E15F93" w14:textId="77777777" w:rsidR="00CB7ECD" w:rsidRPr="00CB7ECD" w:rsidRDefault="00CB7ECD" w:rsidP="00B16465">
            <w:pPr>
              <w:spacing w:before="0" w:after="0"/>
              <w:jc w:val="center"/>
              <w:rPr>
                <w:rFonts w:ascii="Arial" w:hAnsi="Arial" w:cs="Arial"/>
                <w:b/>
                <w:color w:val="000000"/>
                <w:sz w:val="16"/>
                <w:szCs w:val="16"/>
                <w:lang w:val="en-AU" w:eastAsia="en-AU"/>
              </w:rPr>
            </w:pPr>
            <w:r w:rsidRPr="00CB7ECD">
              <w:rPr>
                <w:rFonts w:ascii="Arial" w:hAnsi="Arial" w:cs="Arial"/>
                <w:b/>
                <w:color w:val="000000"/>
                <w:sz w:val="16"/>
                <w:szCs w:val="16"/>
                <w:lang w:val="en-AU" w:eastAsia="en-AU"/>
              </w:rPr>
              <w:t>9,157</w:t>
            </w:r>
          </w:p>
        </w:tc>
        <w:tc>
          <w:tcPr>
            <w:tcW w:w="747" w:type="dxa"/>
            <w:tcBorders>
              <w:top w:val="nil"/>
              <w:left w:val="nil"/>
              <w:bottom w:val="double" w:sz="6" w:space="0" w:color="auto"/>
              <w:right w:val="single" w:sz="4" w:space="0" w:color="BFBFBF"/>
            </w:tcBorders>
            <w:shd w:val="clear" w:color="auto" w:fill="auto"/>
            <w:noWrap/>
            <w:vAlign w:val="center"/>
          </w:tcPr>
          <w:p w14:paraId="6B1C364F" w14:textId="77777777" w:rsidR="00CB7ECD" w:rsidRPr="00CB7ECD" w:rsidRDefault="00CB7ECD" w:rsidP="00B16465">
            <w:pPr>
              <w:spacing w:before="0" w:after="0"/>
              <w:jc w:val="center"/>
              <w:rPr>
                <w:rFonts w:ascii="Arial" w:hAnsi="Arial" w:cs="Arial"/>
                <w:b/>
                <w:color w:val="000000"/>
                <w:sz w:val="16"/>
                <w:szCs w:val="16"/>
                <w:lang w:val="en-AU" w:eastAsia="en-AU"/>
              </w:rPr>
            </w:pPr>
            <w:r w:rsidRPr="00CB7ECD">
              <w:rPr>
                <w:rFonts w:ascii="Arial" w:hAnsi="Arial" w:cs="Arial"/>
                <w:b/>
                <w:color w:val="000000"/>
                <w:sz w:val="16"/>
                <w:szCs w:val="16"/>
                <w:lang w:val="en-AU" w:eastAsia="en-AU"/>
              </w:rPr>
              <w:t>36,154</w:t>
            </w:r>
          </w:p>
        </w:tc>
        <w:tc>
          <w:tcPr>
            <w:tcW w:w="825" w:type="dxa"/>
            <w:tcBorders>
              <w:top w:val="nil"/>
              <w:left w:val="nil"/>
              <w:bottom w:val="double" w:sz="6" w:space="0" w:color="auto"/>
              <w:right w:val="nil"/>
            </w:tcBorders>
            <w:shd w:val="clear" w:color="auto" w:fill="auto"/>
            <w:noWrap/>
            <w:vAlign w:val="center"/>
          </w:tcPr>
          <w:p w14:paraId="345C5F79" w14:textId="77777777" w:rsidR="00CB7ECD" w:rsidRPr="00CB7ECD" w:rsidRDefault="00CB7ECD" w:rsidP="00B16465">
            <w:pPr>
              <w:spacing w:before="0" w:after="0"/>
              <w:jc w:val="center"/>
              <w:rPr>
                <w:rFonts w:ascii="Arial" w:hAnsi="Arial" w:cs="Arial"/>
                <w:b/>
                <w:color w:val="000000"/>
                <w:sz w:val="16"/>
                <w:szCs w:val="16"/>
                <w:lang w:val="en-AU" w:eastAsia="en-AU"/>
              </w:rPr>
            </w:pPr>
            <w:r w:rsidRPr="00CB7ECD">
              <w:rPr>
                <w:rFonts w:ascii="Arial" w:hAnsi="Arial" w:cs="Arial"/>
                <w:b/>
                <w:color w:val="000000"/>
                <w:sz w:val="16"/>
                <w:szCs w:val="16"/>
                <w:lang w:val="en-AU" w:eastAsia="en-AU"/>
              </w:rPr>
              <w:t>46,845</w:t>
            </w:r>
          </w:p>
        </w:tc>
        <w:tc>
          <w:tcPr>
            <w:tcW w:w="857" w:type="dxa"/>
            <w:tcBorders>
              <w:top w:val="nil"/>
              <w:left w:val="single" w:sz="4" w:space="0" w:color="auto"/>
              <w:bottom w:val="double" w:sz="6" w:space="0" w:color="auto"/>
              <w:right w:val="single" w:sz="4" w:space="0" w:color="BFBFBF"/>
            </w:tcBorders>
            <w:shd w:val="clear" w:color="auto" w:fill="auto"/>
            <w:noWrap/>
            <w:vAlign w:val="center"/>
          </w:tcPr>
          <w:p w14:paraId="56C778A7" w14:textId="77777777" w:rsidR="00CB7ECD" w:rsidRPr="00CB7ECD" w:rsidRDefault="00CB7ECD"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13,508</w:t>
            </w:r>
          </w:p>
        </w:tc>
        <w:tc>
          <w:tcPr>
            <w:tcW w:w="734" w:type="dxa"/>
            <w:tcBorders>
              <w:top w:val="nil"/>
              <w:left w:val="nil"/>
              <w:bottom w:val="double" w:sz="6" w:space="0" w:color="auto"/>
              <w:right w:val="single" w:sz="4" w:space="0" w:color="BFBFBF"/>
            </w:tcBorders>
            <w:shd w:val="clear" w:color="auto" w:fill="auto"/>
            <w:noWrap/>
            <w:vAlign w:val="center"/>
          </w:tcPr>
          <w:p w14:paraId="3D6C7463" w14:textId="77777777" w:rsidR="00CB7ECD" w:rsidRPr="00CB7ECD" w:rsidRDefault="00CB7ECD"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48,825</w:t>
            </w:r>
          </w:p>
        </w:tc>
        <w:tc>
          <w:tcPr>
            <w:tcW w:w="734" w:type="dxa"/>
            <w:tcBorders>
              <w:top w:val="nil"/>
              <w:left w:val="nil"/>
              <w:bottom w:val="double" w:sz="6" w:space="0" w:color="auto"/>
              <w:right w:val="single" w:sz="4" w:space="0" w:color="auto"/>
            </w:tcBorders>
            <w:shd w:val="clear" w:color="auto" w:fill="auto"/>
            <w:noWrap/>
            <w:vAlign w:val="center"/>
          </w:tcPr>
          <w:p w14:paraId="04B9CC04" w14:textId="77777777" w:rsidR="00CB7ECD" w:rsidRPr="00CB7ECD" w:rsidRDefault="00CB7ECD"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62,539</w:t>
            </w:r>
          </w:p>
        </w:tc>
        <w:tc>
          <w:tcPr>
            <w:tcW w:w="857" w:type="dxa"/>
            <w:tcBorders>
              <w:top w:val="nil"/>
              <w:left w:val="nil"/>
              <w:bottom w:val="double" w:sz="6" w:space="0" w:color="auto"/>
              <w:right w:val="single" w:sz="4" w:space="0" w:color="BFBFBF"/>
            </w:tcBorders>
            <w:shd w:val="clear" w:color="auto" w:fill="auto"/>
            <w:noWrap/>
            <w:vAlign w:val="center"/>
          </w:tcPr>
          <w:p w14:paraId="66D464F5" w14:textId="77777777" w:rsidR="00CB7ECD" w:rsidRPr="00CB7ECD" w:rsidRDefault="00CB7ECD"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15,083</w:t>
            </w:r>
          </w:p>
        </w:tc>
        <w:tc>
          <w:tcPr>
            <w:tcW w:w="734" w:type="dxa"/>
            <w:tcBorders>
              <w:top w:val="nil"/>
              <w:left w:val="nil"/>
              <w:bottom w:val="double" w:sz="6" w:space="0" w:color="auto"/>
              <w:right w:val="single" w:sz="4" w:space="0" w:color="BFBFBF"/>
            </w:tcBorders>
            <w:shd w:val="clear" w:color="auto" w:fill="auto"/>
            <w:noWrap/>
            <w:vAlign w:val="center"/>
          </w:tcPr>
          <w:p w14:paraId="7D31EAFC" w14:textId="77777777" w:rsidR="00CB7ECD" w:rsidRPr="00CB7ECD" w:rsidRDefault="00CB7ECD"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44,350</w:t>
            </w:r>
          </w:p>
        </w:tc>
        <w:tc>
          <w:tcPr>
            <w:tcW w:w="734" w:type="dxa"/>
            <w:tcBorders>
              <w:top w:val="nil"/>
              <w:left w:val="nil"/>
              <w:bottom w:val="double" w:sz="6" w:space="0" w:color="auto"/>
              <w:right w:val="single" w:sz="4" w:space="0" w:color="auto"/>
            </w:tcBorders>
            <w:shd w:val="clear" w:color="auto" w:fill="auto"/>
            <w:noWrap/>
            <w:vAlign w:val="center"/>
          </w:tcPr>
          <w:p w14:paraId="7F10B988" w14:textId="77777777" w:rsidR="00CB7ECD" w:rsidRPr="00CB7ECD" w:rsidRDefault="00CB7ECD"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59,415</w:t>
            </w:r>
          </w:p>
        </w:tc>
        <w:tc>
          <w:tcPr>
            <w:tcW w:w="775" w:type="dxa"/>
            <w:tcBorders>
              <w:top w:val="nil"/>
              <w:left w:val="nil"/>
              <w:bottom w:val="double" w:sz="6" w:space="0" w:color="auto"/>
              <w:right w:val="nil"/>
            </w:tcBorders>
            <w:shd w:val="clear" w:color="auto" w:fill="auto"/>
            <w:noWrap/>
            <w:vAlign w:val="center"/>
          </w:tcPr>
          <w:p w14:paraId="3FAA9D81" w14:textId="77777777" w:rsidR="00CB7ECD" w:rsidRPr="00CB7ECD" w:rsidRDefault="00CB7ECD"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54,851</w:t>
            </w:r>
          </w:p>
        </w:tc>
        <w:tc>
          <w:tcPr>
            <w:tcW w:w="873" w:type="dxa"/>
            <w:tcBorders>
              <w:top w:val="nil"/>
              <w:left w:val="single" w:sz="4" w:space="0" w:color="auto"/>
              <w:bottom w:val="double" w:sz="6" w:space="0" w:color="auto"/>
              <w:right w:val="single" w:sz="4" w:space="0" w:color="BFBFBF"/>
            </w:tcBorders>
            <w:shd w:val="clear" w:color="auto" w:fill="auto"/>
            <w:noWrap/>
            <w:vAlign w:val="center"/>
          </w:tcPr>
          <w:p w14:paraId="0F692486" w14:textId="77777777" w:rsidR="00CB7ECD" w:rsidRPr="00CB7ECD" w:rsidRDefault="00CB7ECD" w:rsidP="00CB7ECD">
            <w:pPr>
              <w:spacing w:before="0" w:after="0"/>
              <w:jc w:val="center"/>
              <w:rPr>
                <w:rFonts w:ascii="Arial" w:hAnsi="Arial" w:cs="Arial"/>
                <w:b/>
                <w:color w:val="000000"/>
                <w:sz w:val="16"/>
                <w:szCs w:val="16"/>
                <w:lang w:val="en-AU" w:eastAsia="en-AU"/>
              </w:rPr>
            </w:pPr>
            <w:r w:rsidRPr="00CB7ECD">
              <w:rPr>
                <w:rFonts w:ascii="Arial" w:hAnsi="Arial" w:cs="Arial"/>
                <w:b/>
                <w:color w:val="000000"/>
                <w:sz w:val="16"/>
                <w:szCs w:val="16"/>
                <w:lang w:val="en-AU" w:eastAsia="en-AU"/>
              </w:rPr>
              <w:t>-25.1%</w:t>
            </w:r>
          </w:p>
        </w:tc>
        <w:tc>
          <w:tcPr>
            <w:tcW w:w="850" w:type="dxa"/>
            <w:tcBorders>
              <w:top w:val="nil"/>
              <w:left w:val="nil"/>
              <w:bottom w:val="double" w:sz="6" w:space="0" w:color="auto"/>
              <w:right w:val="single" w:sz="4" w:space="0" w:color="BFBFBF"/>
            </w:tcBorders>
            <w:shd w:val="clear" w:color="auto" w:fill="auto"/>
            <w:noWrap/>
            <w:vAlign w:val="center"/>
          </w:tcPr>
          <w:p w14:paraId="4FAAE72B" w14:textId="77777777" w:rsidR="00CB7ECD" w:rsidRPr="00CB7ECD" w:rsidRDefault="00CB7ECD" w:rsidP="00086B9C">
            <w:pPr>
              <w:spacing w:before="0" w:after="0"/>
              <w:jc w:val="center"/>
              <w:rPr>
                <w:rFonts w:ascii="Arial" w:hAnsi="Arial" w:cs="Arial"/>
                <w:b/>
                <w:bCs/>
                <w:color w:val="000000"/>
                <w:sz w:val="16"/>
                <w:szCs w:val="16"/>
                <w:lang w:val="en-AU" w:eastAsia="en-AU"/>
              </w:rPr>
            </w:pPr>
            <w:r w:rsidRPr="00CB7ECD">
              <w:rPr>
                <w:rFonts w:ascii="Arial" w:hAnsi="Arial" w:cs="Arial"/>
                <w:b/>
                <w:bCs/>
                <w:color w:val="000000"/>
                <w:sz w:val="16"/>
                <w:szCs w:val="16"/>
                <w:lang w:val="en-AU" w:eastAsia="en-AU"/>
              </w:rPr>
              <w:t>5.3%</w:t>
            </w:r>
          </w:p>
        </w:tc>
        <w:tc>
          <w:tcPr>
            <w:tcW w:w="851" w:type="dxa"/>
            <w:tcBorders>
              <w:top w:val="nil"/>
              <w:left w:val="nil"/>
              <w:bottom w:val="double" w:sz="6" w:space="0" w:color="auto"/>
              <w:right w:val="double" w:sz="6" w:space="0" w:color="auto"/>
            </w:tcBorders>
            <w:shd w:val="clear" w:color="auto" w:fill="auto"/>
            <w:noWrap/>
            <w:vAlign w:val="center"/>
          </w:tcPr>
          <w:p w14:paraId="6A734931" w14:textId="77777777" w:rsidR="00CB7ECD" w:rsidRPr="00CB7ECD" w:rsidRDefault="00CB7ECD" w:rsidP="00CB7ECD">
            <w:pPr>
              <w:spacing w:before="0" w:after="0"/>
              <w:jc w:val="center"/>
              <w:rPr>
                <w:rFonts w:ascii="Arial" w:hAnsi="Arial" w:cs="Arial"/>
                <w:b/>
                <w:color w:val="000000"/>
                <w:sz w:val="16"/>
                <w:szCs w:val="16"/>
                <w:lang w:val="en-AU" w:eastAsia="en-AU"/>
              </w:rPr>
            </w:pPr>
            <w:r w:rsidRPr="00CB7ECD">
              <w:rPr>
                <w:rFonts w:ascii="Arial" w:hAnsi="Arial" w:cs="Arial"/>
                <w:b/>
                <w:color w:val="000000"/>
                <w:sz w:val="16"/>
                <w:szCs w:val="16"/>
                <w:lang w:val="en-AU" w:eastAsia="en-AU"/>
              </w:rPr>
              <w:t>14.0%</w:t>
            </w:r>
          </w:p>
        </w:tc>
      </w:tr>
    </w:tbl>
    <w:p w14:paraId="1A4CD631" w14:textId="77777777" w:rsidR="00086B9C" w:rsidRPr="00CB7ECD" w:rsidRDefault="00086B9C" w:rsidP="009748AD">
      <w:pPr>
        <w:spacing w:after="0"/>
        <w:ind w:left="993"/>
        <w:jc w:val="both"/>
        <w:rPr>
          <w:sz w:val="20"/>
          <w:lang w:val="en-AU"/>
        </w:rPr>
      </w:pPr>
      <w:r w:rsidRPr="00CB7ECD">
        <w:rPr>
          <w:sz w:val="20"/>
          <w:lang w:val="en-AU"/>
        </w:rPr>
        <w:t>Average monthly winter gas consumption (May-November) in 2014 was 5,1</w:t>
      </w:r>
      <w:r w:rsidR="00B16465" w:rsidRPr="00CB7ECD">
        <w:rPr>
          <w:sz w:val="20"/>
          <w:lang w:val="en-AU"/>
        </w:rPr>
        <w:t>65</w:t>
      </w:r>
      <w:r w:rsidRPr="00CB7ECD">
        <w:rPr>
          <w:sz w:val="20"/>
          <w:lang w:val="en-AU"/>
        </w:rPr>
        <w:t xml:space="preserve"> MJ (2007: 6,975 MJ; 2001 - 6,336 MJ).  </w:t>
      </w:r>
    </w:p>
    <w:p w14:paraId="10C1CE9A" w14:textId="77777777" w:rsidR="00086B9C" w:rsidRPr="00CB7ECD" w:rsidRDefault="00086B9C" w:rsidP="009748AD">
      <w:pPr>
        <w:spacing w:after="0"/>
        <w:ind w:left="993"/>
        <w:jc w:val="both"/>
        <w:rPr>
          <w:sz w:val="20"/>
          <w:lang w:val="en-AU"/>
        </w:rPr>
      </w:pPr>
      <w:r w:rsidRPr="00CB7ECD">
        <w:rPr>
          <w:sz w:val="20"/>
          <w:lang w:val="en-AU"/>
        </w:rPr>
        <w:t>Average monthly summer gas consumption (December-April) in 2014 was 1,</w:t>
      </w:r>
      <w:r w:rsidR="00B16465" w:rsidRPr="00CB7ECD">
        <w:rPr>
          <w:sz w:val="20"/>
          <w:lang w:val="en-AU"/>
        </w:rPr>
        <w:t>831</w:t>
      </w:r>
      <w:r w:rsidRPr="00CB7ECD">
        <w:rPr>
          <w:sz w:val="20"/>
          <w:lang w:val="en-AU"/>
        </w:rPr>
        <w:t xml:space="preserve"> MJ (2007: 2,702 MJ; 2001: 3,017 MJ).</w:t>
      </w:r>
    </w:p>
    <w:p w14:paraId="761F9148" w14:textId="77777777" w:rsidR="008E71D8" w:rsidRPr="00CB7ECD" w:rsidRDefault="008E71D8" w:rsidP="00D109F7">
      <w:pPr>
        <w:spacing w:before="0" w:after="120" w:line="340" w:lineRule="exact"/>
        <w:jc w:val="both"/>
        <w:rPr>
          <w:b/>
          <w:lang w:val="en-AU"/>
        </w:rPr>
      </w:pPr>
    </w:p>
    <w:p w14:paraId="34155EDC" w14:textId="77777777" w:rsidR="00086B9C" w:rsidRPr="003835AE" w:rsidRDefault="00086B9C" w:rsidP="00086B9C">
      <w:pPr>
        <w:pStyle w:val="Heading3"/>
        <w:numPr>
          <w:ilvl w:val="0"/>
          <w:numId w:val="0"/>
        </w:numPr>
        <w:ind w:left="720"/>
        <w:rPr>
          <w:highlight w:val="yellow"/>
          <w:lang w:val="en-AU"/>
        </w:rPr>
      </w:pPr>
    </w:p>
    <w:p w14:paraId="32E4E062" w14:textId="77777777" w:rsidR="003920D8" w:rsidRPr="009E43C8" w:rsidRDefault="00086B9C">
      <w:pPr>
        <w:pStyle w:val="Heading3"/>
        <w:tabs>
          <w:tab w:val="clear" w:pos="8517"/>
          <w:tab w:val="num" w:pos="851"/>
        </w:tabs>
        <w:ind w:hanging="8517"/>
      </w:pPr>
      <w:r w:rsidRPr="009E43C8">
        <w:rPr>
          <w:lang w:val="en-AU"/>
        </w:rPr>
        <w:br w:type="page"/>
      </w:r>
      <w:bookmarkStart w:id="181" w:name="_Toc439198318"/>
      <w:bookmarkStart w:id="182" w:name="_Toc445571696"/>
      <w:r w:rsidR="00D109F7" w:rsidRPr="009E43C8">
        <w:lastRenderedPageBreak/>
        <w:t>Gas Charges</w:t>
      </w:r>
      <w:bookmarkEnd w:id="181"/>
      <w:bookmarkEnd w:id="182"/>
    </w:p>
    <w:p w14:paraId="1180EDDD" w14:textId="469B0C44" w:rsidR="005E6B81" w:rsidRPr="009E43C8" w:rsidRDefault="005E6B81" w:rsidP="005E6B81">
      <w:pPr>
        <w:pStyle w:val="Para"/>
        <w:rPr>
          <w:lang w:val="en-AU"/>
        </w:rPr>
      </w:pPr>
      <w:r w:rsidRPr="009E43C8">
        <w:rPr>
          <w:lang w:val="en-AU"/>
        </w:rPr>
        <w:t xml:space="preserve">Annual average gas charges, discounts and expenditure for 2014, 2007, 2001 and 1996 </w:t>
      </w:r>
      <w:r w:rsidR="00B16FCD">
        <w:rPr>
          <w:lang w:val="en-AU"/>
        </w:rPr>
        <w:t xml:space="preserve">are </w:t>
      </w:r>
      <w:r w:rsidRPr="009E43C8">
        <w:rPr>
          <w:lang w:val="en-AU"/>
        </w:rPr>
        <w:t>shown in Tables 4.3.2.</w:t>
      </w:r>
      <w:r w:rsidR="00865284">
        <w:rPr>
          <w:lang w:val="en-AU"/>
        </w:rPr>
        <w:t>2</w:t>
      </w:r>
      <w:r w:rsidRPr="009E43C8">
        <w:rPr>
          <w:lang w:val="en-AU"/>
        </w:rPr>
        <w:t>, 4.3.2.</w:t>
      </w:r>
      <w:r w:rsidR="00865284">
        <w:rPr>
          <w:lang w:val="en-AU"/>
        </w:rPr>
        <w:t>3</w:t>
      </w:r>
      <w:r w:rsidRPr="009E43C8">
        <w:rPr>
          <w:lang w:val="en-AU"/>
        </w:rPr>
        <w:t>, 4.3.2.</w:t>
      </w:r>
      <w:r w:rsidR="00865284">
        <w:rPr>
          <w:lang w:val="en-AU"/>
        </w:rPr>
        <w:t>4</w:t>
      </w:r>
      <w:r w:rsidRPr="009E43C8">
        <w:rPr>
          <w:lang w:val="en-AU"/>
        </w:rPr>
        <w:t xml:space="preserve"> and 4.3.2.</w:t>
      </w:r>
      <w:r w:rsidR="00865284">
        <w:rPr>
          <w:lang w:val="en-AU"/>
        </w:rPr>
        <w:t>5</w:t>
      </w:r>
      <w:r w:rsidRPr="009E43C8">
        <w:rPr>
          <w:lang w:val="en-AU"/>
        </w:rPr>
        <w:t xml:space="preserve"> on the following pages.  </w:t>
      </w:r>
    </w:p>
    <w:p w14:paraId="1A31FE18" w14:textId="77777777" w:rsidR="005E6B81" w:rsidRPr="009E43C8" w:rsidRDefault="005E6B81" w:rsidP="00D109F7">
      <w:pPr>
        <w:pStyle w:val="Para"/>
        <w:rPr>
          <w:lang w:val="en-AU"/>
        </w:rPr>
      </w:pPr>
    </w:p>
    <w:p w14:paraId="0AEDAB26" w14:textId="65C90AF5" w:rsidR="00D109F7" w:rsidRPr="00BA4AF0" w:rsidRDefault="00D109F7" w:rsidP="00D109F7">
      <w:pPr>
        <w:pStyle w:val="Para"/>
        <w:rPr>
          <w:lang w:val="en-AU"/>
        </w:rPr>
      </w:pPr>
      <w:r w:rsidRPr="00BA4AF0">
        <w:rPr>
          <w:lang w:val="en-AU"/>
        </w:rPr>
        <w:t xml:space="preserve">Households that received gas bills in </w:t>
      </w:r>
      <w:r w:rsidR="00691EAE" w:rsidRPr="00BA4AF0">
        <w:rPr>
          <w:lang w:val="en-AU"/>
        </w:rPr>
        <w:t>20</w:t>
      </w:r>
      <w:r w:rsidR="00160961" w:rsidRPr="00BA4AF0">
        <w:rPr>
          <w:lang w:val="en-AU"/>
        </w:rPr>
        <w:t>14</w:t>
      </w:r>
      <w:r w:rsidRPr="00BA4AF0">
        <w:rPr>
          <w:lang w:val="en-AU"/>
        </w:rPr>
        <w:t xml:space="preserve"> spent an average of $</w:t>
      </w:r>
      <w:r w:rsidR="00160961" w:rsidRPr="00BA4AF0">
        <w:rPr>
          <w:lang w:val="en-AU"/>
        </w:rPr>
        <w:t>9</w:t>
      </w:r>
      <w:r w:rsidR="00BA4AF0" w:rsidRPr="00BA4AF0">
        <w:rPr>
          <w:lang w:val="en-AU"/>
        </w:rPr>
        <w:t>80</w:t>
      </w:r>
      <w:r w:rsidRPr="00BA4AF0">
        <w:rPr>
          <w:lang w:val="en-AU"/>
        </w:rPr>
        <w:t xml:space="preserve"> per year</w:t>
      </w:r>
      <w:r w:rsidR="001642EF" w:rsidRPr="00BA4AF0">
        <w:rPr>
          <w:rStyle w:val="FootnoteReference"/>
          <w:lang w:val="en-AU"/>
        </w:rPr>
        <w:footnoteReference w:id="9"/>
      </w:r>
      <w:r w:rsidRPr="00BA4AF0">
        <w:rPr>
          <w:lang w:val="en-AU"/>
        </w:rPr>
        <w:t xml:space="preserve"> on gas consumption compared with </w:t>
      </w:r>
      <w:r w:rsidR="00160961" w:rsidRPr="00BA4AF0">
        <w:rPr>
          <w:lang w:val="en-AU"/>
        </w:rPr>
        <w:t xml:space="preserve">$700 in 2007, </w:t>
      </w:r>
      <w:r w:rsidRPr="00BA4AF0">
        <w:rPr>
          <w:lang w:val="en-AU"/>
        </w:rPr>
        <w:t xml:space="preserve">$500 in 2001 and $415 in 1996. This represents an increase in outlays of </w:t>
      </w:r>
      <w:r w:rsidR="00BA4AF0" w:rsidRPr="00BA4AF0">
        <w:rPr>
          <w:lang w:val="en-AU"/>
        </w:rPr>
        <w:t>40</w:t>
      </w:r>
      <w:r w:rsidRPr="00BA4AF0">
        <w:rPr>
          <w:lang w:val="en-AU"/>
        </w:rPr>
        <w:t>.0% since 200</w:t>
      </w:r>
      <w:r w:rsidR="004749AA" w:rsidRPr="00BA4AF0">
        <w:rPr>
          <w:lang w:val="en-AU"/>
        </w:rPr>
        <w:t>7</w:t>
      </w:r>
      <w:r w:rsidRPr="00BA4AF0">
        <w:rPr>
          <w:lang w:val="en-AU"/>
        </w:rPr>
        <w:t xml:space="preserve">, </w:t>
      </w:r>
      <w:r w:rsidR="004749AA" w:rsidRPr="00BA4AF0">
        <w:rPr>
          <w:lang w:val="en-AU"/>
        </w:rPr>
        <w:t xml:space="preserve">despite a reduction in </w:t>
      </w:r>
      <w:r w:rsidRPr="00BA4AF0">
        <w:rPr>
          <w:lang w:val="en-AU"/>
        </w:rPr>
        <w:t>gas consumption</w:t>
      </w:r>
      <w:r w:rsidR="004749AA" w:rsidRPr="00BA4AF0">
        <w:rPr>
          <w:lang w:val="en-AU"/>
        </w:rPr>
        <w:t xml:space="preserve"> of 2</w:t>
      </w:r>
      <w:r w:rsidR="007D2696">
        <w:rPr>
          <w:lang w:val="en-AU"/>
        </w:rPr>
        <w:t>5.1</w:t>
      </w:r>
      <w:r w:rsidR="004749AA" w:rsidRPr="00BA4AF0">
        <w:rPr>
          <w:lang w:val="en-AU"/>
        </w:rPr>
        <w:t xml:space="preserve">% </w:t>
      </w:r>
      <w:r w:rsidRPr="00BA4AF0">
        <w:rPr>
          <w:lang w:val="en-AU"/>
        </w:rPr>
        <w:t>over the same period.</w:t>
      </w:r>
      <w:r w:rsidR="004749AA" w:rsidRPr="00BA4AF0">
        <w:rPr>
          <w:lang w:val="en-AU"/>
        </w:rPr>
        <w:t xml:space="preserve">  This continues the trend since 1996 of gas bills </w:t>
      </w:r>
      <w:r w:rsidRPr="00BA4AF0">
        <w:rPr>
          <w:lang w:val="en-AU"/>
        </w:rPr>
        <w:t>increas</w:t>
      </w:r>
      <w:r w:rsidR="004749AA" w:rsidRPr="00BA4AF0">
        <w:rPr>
          <w:lang w:val="en-AU"/>
        </w:rPr>
        <w:t>ing</w:t>
      </w:r>
      <w:r w:rsidRPr="00BA4AF0">
        <w:rPr>
          <w:lang w:val="en-AU"/>
        </w:rPr>
        <w:t xml:space="preserve"> at a rate </w:t>
      </w:r>
      <w:r w:rsidR="004749AA" w:rsidRPr="00BA4AF0">
        <w:rPr>
          <w:lang w:val="en-AU"/>
        </w:rPr>
        <w:t xml:space="preserve">well above </w:t>
      </w:r>
      <w:r w:rsidRPr="00BA4AF0">
        <w:rPr>
          <w:lang w:val="en-AU"/>
        </w:rPr>
        <w:t>the inflation rate</w:t>
      </w:r>
      <w:r w:rsidR="004749AA" w:rsidRPr="00BA4AF0">
        <w:rPr>
          <w:lang w:val="en-AU"/>
        </w:rPr>
        <w:t>.</w:t>
      </w:r>
    </w:p>
    <w:p w14:paraId="5ACB8EC5" w14:textId="77777777" w:rsidR="00D109F7" w:rsidRPr="003835AE" w:rsidRDefault="00D109F7" w:rsidP="00D109F7">
      <w:pPr>
        <w:pStyle w:val="Para"/>
        <w:rPr>
          <w:highlight w:val="yellow"/>
          <w:lang w:val="en-AU"/>
        </w:rPr>
      </w:pPr>
    </w:p>
    <w:p w14:paraId="4E30FDB9" w14:textId="04170134" w:rsidR="00DF177F" w:rsidRDefault="004749AA" w:rsidP="00DF177F">
      <w:pPr>
        <w:pStyle w:val="Para"/>
        <w:rPr>
          <w:lang w:val="en-AU"/>
        </w:rPr>
      </w:pPr>
      <w:r w:rsidRPr="00BA4AF0">
        <w:rPr>
          <w:lang w:val="en-AU"/>
        </w:rPr>
        <w:t>The average annual gas bill was higher in Melbourne ($9</w:t>
      </w:r>
      <w:r w:rsidR="00BA4AF0" w:rsidRPr="00BA4AF0">
        <w:rPr>
          <w:lang w:val="en-AU"/>
        </w:rPr>
        <w:t>94</w:t>
      </w:r>
      <w:r w:rsidRPr="00BA4AF0">
        <w:rPr>
          <w:lang w:val="en-AU"/>
        </w:rPr>
        <w:t>) than in country Victoria ($</w:t>
      </w:r>
      <w:r w:rsidR="00BA4AF0" w:rsidRPr="00BA4AF0">
        <w:rPr>
          <w:lang w:val="en-AU"/>
        </w:rPr>
        <w:t>926</w:t>
      </w:r>
      <w:r w:rsidRPr="00BA4AF0">
        <w:rPr>
          <w:lang w:val="en-AU"/>
        </w:rPr>
        <w:t>), and higher for non-concession households ($1,0</w:t>
      </w:r>
      <w:r w:rsidR="00BA4AF0" w:rsidRPr="00BA4AF0">
        <w:rPr>
          <w:lang w:val="en-AU"/>
        </w:rPr>
        <w:t>50</w:t>
      </w:r>
      <w:r w:rsidRPr="00BA4AF0">
        <w:rPr>
          <w:lang w:val="en-AU"/>
        </w:rPr>
        <w:t>) than concession households ($8</w:t>
      </w:r>
      <w:r w:rsidR="00BA4AF0" w:rsidRPr="00BA4AF0">
        <w:rPr>
          <w:lang w:val="en-AU"/>
        </w:rPr>
        <w:t>92</w:t>
      </w:r>
      <w:r w:rsidRPr="00BA4AF0">
        <w:rPr>
          <w:lang w:val="en-AU"/>
        </w:rPr>
        <w:t xml:space="preserve">).  </w:t>
      </w:r>
      <w:r w:rsidRPr="005338DB">
        <w:rPr>
          <w:lang w:val="en-AU"/>
        </w:rPr>
        <w:t>The average amount paid by aged concession households ($8</w:t>
      </w:r>
      <w:r w:rsidR="00BA4AF0" w:rsidRPr="005338DB">
        <w:rPr>
          <w:lang w:val="en-AU"/>
        </w:rPr>
        <w:t>85</w:t>
      </w:r>
      <w:r w:rsidRPr="005338DB">
        <w:rPr>
          <w:lang w:val="en-AU"/>
        </w:rPr>
        <w:t>) represented an increase of 4</w:t>
      </w:r>
      <w:r w:rsidR="00BA4AF0" w:rsidRPr="005338DB">
        <w:rPr>
          <w:lang w:val="en-AU"/>
        </w:rPr>
        <w:t>8</w:t>
      </w:r>
      <w:r w:rsidRPr="005338DB">
        <w:rPr>
          <w:lang w:val="en-AU"/>
        </w:rPr>
        <w:t>.</w:t>
      </w:r>
      <w:r w:rsidR="00BA4AF0" w:rsidRPr="005338DB">
        <w:rPr>
          <w:lang w:val="en-AU"/>
        </w:rPr>
        <w:t>5</w:t>
      </w:r>
      <w:r w:rsidRPr="005338DB">
        <w:rPr>
          <w:lang w:val="en-AU"/>
        </w:rPr>
        <w:t xml:space="preserve">% since 2007, compared with </w:t>
      </w:r>
      <w:r w:rsidR="00BA4AF0" w:rsidRPr="005338DB">
        <w:rPr>
          <w:lang w:val="en-AU"/>
        </w:rPr>
        <w:t>42.4%</w:t>
      </w:r>
      <w:r w:rsidRPr="005338DB">
        <w:rPr>
          <w:lang w:val="en-AU"/>
        </w:rPr>
        <w:t>% for</w:t>
      </w:r>
      <w:r w:rsidR="009A14B2" w:rsidRPr="005338DB">
        <w:rPr>
          <w:lang w:val="en-AU"/>
        </w:rPr>
        <w:t xml:space="preserve"> non-</w:t>
      </w:r>
      <w:r w:rsidRPr="005338DB">
        <w:rPr>
          <w:lang w:val="en-AU"/>
        </w:rPr>
        <w:t xml:space="preserve">concession households and </w:t>
      </w:r>
      <w:r w:rsidR="00BA4AF0" w:rsidRPr="005338DB">
        <w:rPr>
          <w:lang w:val="en-AU"/>
        </w:rPr>
        <w:t>30.6%</w:t>
      </w:r>
      <w:r w:rsidRPr="005338DB">
        <w:rPr>
          <w:lang w:val="en-AU"/>
        </w:rPr>
        <w:t xml:space="preserve"> for other concess</w:t>
      </w:r>
      <w:r w:rsidR="009A14B2" w:rsidRPr="005338DB">
        <w:rPr>
          <w:lang w:val="en-AU"/>
        </w:rPr>
        <w:t>ion households.</w:t>
      </w:r>
      <w:r w:rsidR="00630B2F" w:rsidRPr="005338DB">
        <w:rPr>
          <w:lang w:val="en-AU"/>
        </w:rPr>
        <w:t xml:space="preserve">  </w:t>
      </w:r>
      <w:r w:rsidR="00BA4AF0" w:rsidRPr="005338DB">
        <w:rPr>
          <w:lang w:val="en-AU"/>
        </w:rPr>
        <w:t>As expected, the average amount paid rose with household size, though the rate of increase since 2007 for one or two person households (both 45.5%) was highe</w:t>
      </w:r>
      <w:r w:rsidR="005338DB">
        <w:rPr>
          <w:lang w:val="en-AU"/>
        </w:rPr>
        <w:t>r</w:t>
      </w:r>
      <w:r w:rsidR="00BA4AF0" w:rsidRPr="005338DB">
        <w:rPr>
          <w:lang w:val="en-AU"/>
        </w:rPr>
        <w:t xml:space="preserve"> than for three (38.4%) or four (37.9%) households.</w:t>
      </w:r>
      <w:r w:rsidR="009A14B2" w:rsidRPr="005338DB">
        <w:rPr>
          <w:lang w:val="en-AU"/>
        </w:rPr>
        <w:t xml:space="preserve">  </w:t>
      </w:r>
      <w:r w:rsidR="00DF177F">
        <w:rPr>
          <w:lang w:val="en-AU"/>
        </w:rPr>
        <w:t xml:space="preserve">Table 4.3.2.1 </w:t>
      </w:r>
      <w:r w:rsidR="00A32FA3">
        <w:rPr>
          <w:lang w:val="en-AU"/>
        </w:rPr>
        <w:t xml:space="preserve">overleaf </w:t>
      </w:r>
      <w:r w:rsidR="00DF177F">
        <w:rPr>
          <w:lang w:val="en-AU"/>
        </w:rPr>
        <w:t>shows average annual gas consumption (</w:t>
      </w:r>
      <w:r w:rsidR="00DD19AA">
        <w:rPr>
          <w:lang w:val="en-AU"/>
        </w:rPr>
        <w:t>MJ</w:t>
      </w:r>
      <w:r w:rsidR="00DF177F">
        <w:rPr>
          <w:lang w:val="en-AU"/>
        </w:rPr>
        <w:t>) by concession status and household size, and indicates that average gas usage increased with household size, regardless of concession status.  The difference in gas consumption, on average, between single person households and households with four or more persons was however greater among other concession households (111%) and aged concession households (102%) compared with non-concession households (77%).</w:t>
      </w:r>
    </w:p>
    <w:p w14:paraId="48827A19" w14:textId="77777777" w:rsidR="00DF177F" w:rsidRDefault="00DF177F" w:rsidP="00DF177F">
      <w:pPr>
        <w:pStyle w:val="Para"/>
        <w:rPr>
          <w:lang w:val="en-AU"/>
        </w:rPr>
      </w:pPr>
    </w:p>
    <w:p w14:paraId="7FBD7A27" w14:textId="77777777" w:rsidR="00A32FA3" w:rsidRDefault="00A32FA3">
      <w:pPr>
        <w:spacing w:before="0" w:after="0"/>
        <w:rPr>
          <w:b/>
          <w:szCs w:val="24"/>
          <w:lang w:val="en-AU"/>
        </w:rPr>
      </w:pPr>
      <w:r>
        <w:rPr>
          <w:b/>
          <w:szCs w:val="24"/>
          <w:lang w:val="en-AU"/>
        </w:rPr>
        <w:br w:type="page"/>
      </w:r>
    </w:p>
    <w:p w14:paraId="5092ED65" w14:textId="0195CB1C" w:rsidR="00DF177F" w:rsidRDefault="00DF177F" w:rsidP="00162EF6">
      <w:pPr>
        <w:pStyle w:val="Para"/>
        <w:jc w:val="center"/>
        <w:rPr>
          <w:b/>
          <w:szCs w:val="24"/>
          <w:lang w:val="en-AU"/>
        </w:rPr>
      </w:pPr>
      <w:r w:rsidRPr="00DA7FBB">
        <w:rPr>
          <w:b/>
          <w:szCs w:val="24"/>
          <w:lang w:val="en-AU"/>
        </w:rPr>
        <w:lastRenderedPageBreak/>
        <w:t>Table 4.</w:t>
      </w:r>
      <w:r>
        <w:rPr>
          <w:b/>
          <w:szCs w:val="24"/>
          <w:lang w:val="en-AU"/>
        </w:rPr>
        <w:t>3</w:t>
      </w:r>
      <w:r w:rsidRPr="00DA7FBB">
        <w:rPr>
          <w:b/>
          <w:szCs w:val="24"/>
          <w:lang w:val="en-AU"/>
        </w:rPr>
        <w:t>.</w:t>
      </w:r>
      <w:r>
        <w:rPr>
          <w:b/>
          <w:szCs w:val="24"/>
          <w:lang w:val="en-AU"/>
        </w:rPr>
        <w:t>2</w:t>
      </w:r>
      <w:r w:rsidRPr="00DA7FBB">
        <w:rPr>
          <w:b/>
          <w:szCs w:val="24"/>
          <w:lang w:val="en-AU"/>
        </w:rPr>
        <w:t>.</w:t>
      </w:r>
      <w:r>
        <w:rPr>
          <w:b/>
          <w:szCs w:val="24"/>
          <w:lang w:val="en-AU"/>
        </w:rPr>
        <w:t>1</w:t>
      </w:r>
      <w:r w:rsidRPr="00DA7FBB">
        <w:rPr>
          <w:b/>
          <w:szCs w:val="24"/>
          <w:lang w:val="en-AU"/>
        </w:rPr>
        <w:t xml:space="preserve">: Average annual </w:t>
      </w:r>
      <w:r>
        <w:rPr>
          <w:b/>
          <w:szCs w:val="24"/>
          <w:lang w:val="en-AU"/>
        </w:rPr>
        <w:t>gas</w:t>
      </w:r>
      <w:r w:rsidRPr="00DA7FBB">
        <w:rPr>
          <w:b/>
          <w:szCs w:val="24"/>
          <w:lang w:val="en-AU"/>
        </w:rPr>
        <w:t xml:space="preserve"> consumption (</w:t>
      </w:r>
      <w:r w:rsidR="00DD19AA">
        <w:rPr>
          <w:b/>
          <w:szCs w:val="24"/>
          <w:lang w:val="en-AU"/>
        </w:rPr>
        <w:t>MJ</w:t>
      </w:r>
      <w:r w:rsidRPr="00DA7FBB">
        <w:rPr>
          <w:b/>
          <w:szCs w:val="24"/>
          <w:lang w:val="en-AU"/>
        </w:rPr>
        <w:t>) by concession status and household size</w:t>
      </w:r>
    </w:p>
    <w:p w14:paraId="2FAA0D24" w14:textId="77777777" w:rsidR="00DF177F" w:rsidRDefault="00DF177F" w:rsidP="00DF177F">
      <w:pPr>
        <w:pStyle w:val="Para"/>
        <w:rPr>
          <w:lang w:val="en-AU"/>
        </w:rPr>
      </w:pPr>
    </w:p>
    <w:tbl>
      <w:tblPr>
        <w:tblW w:w="9400" w:type="dxa"/>
        <w:jc w:val="center"/>
        <w:tblLook w:val="04A0" w:firstRow="1" w:lastRow="0" w:firstColumn="1" w:lastColumn="0" w:noHBand="0" w:noVBand="1"/>
      </w:tblPr>
      <w:tblGrid>
        <w:gridCol w:w="2340"/>
        <w:gridCol w:w="1300"/>
        <w:gridCol w:w="1440"/>
        <w:gridCol w:w="1500"/>
        <w:gridCol w:w="1500"/>
        <w:gridCol w:w="1320"/>
      </w:tblGrid>
      <w:tr w:rsidR="00DF177F" w:rsidRPr="00B16FCD" w14:paraId="5306D08C" w14:textId="77777777" w:rsidTr="00162EF6">
        <w:trPr>
          <w:trHeight w:val="315"/>
          <w:jc w:val="center"/>
        </w:trPr>
        <w:tc>
          <w:tcPr>
            <w:tcW w:w="2340" w:type="dxa"/>
            <w:tcBorders>
              <w:top w:val="double" w:sz="4" w:space="0" w:color="auto"/>
              <w:left w:val="double" w:sz="4" w:space="0" w:color="auto"/>
              <w:bottom w:val="single" w:sz="8" w:space="0" w:color="auto"/>
              <w:right w:val="single" w:sz="8" w:space="0" w:color="auto"/>
            </w:tcBorders>
            <w:shd w:val="clear" w:color="auto" w:fill="auto"/>
            <w:noWrap/>
            <w:vAlign w:val="center"/>
            <w:hideMark/>
          </w:tcPr>
          <w:p w14:paraId="29C6E290" w14:textId="77777777" w:rsidR="00DF177F" w:rsidRPr="00162EF6" w:rsidRDefault="00DF177F" w:rsidP="00311E59">
            <w:pPr>
              <w:rPr>
                <w:rFonts w:ascii="Arial" w:hAnsi="Arial" w:cs="Arial"/>
                <w:color w:val="000000"/>
                <w:sz w:val="16"/>
                <w:szCs w:val="16"/>
              </w:rPr>
            </w:pPr>
            <w:r w:rsidRPr="00162EF6">
              <w:rPr>
                <w:rFonts w:ascii="Arial" w:hAnsi="Arial" w:cs="Arial"/>
                <w:color w:val="000000"/>
                <w:sz w:val="16"/>
                <w:szCs w:val="16"/>
              </w:rPr>
              <w:t> </w:t>
            </w:r>
          </w:p>
        </w:tc>
        <w:tc>
          <w:tcPr>
            <w:tcW w:w="7060" w:type="dxa"/>
            <w:gridSpan w:val="5"/>
            <w:tcBorders>
              <w:top w:val="double" w:sz="4" w:space="0" w:color="auto"/>
              <w:left w:val="nil"/>
              <w:bottom w:val="single" w:sz="8" w:space="0" w:color="auto"/>
              <w:right w:val="double" w:sz="4" w:space="0" w:color="auto"/>
            </w:tcBorders>
            <w:shd w:val="clear" w:color="auto" w:fill="auto"/>
            <w:noWrap/>
            <w:vAlign w:val="center"/>
            <w:hideMark/>
          </w:tcPr>
          <w:p w14:paraId="4DEE88E6" w14:textId="77777777" w:rsidR="00DF177F" w:rsidRPr="00162EF6" w:rsidRDefault="00DF177F" w:rsidP="00311E59">
            <w:pPr>
              <w:jc w:val="center"/>
              <w:rPr>
                <w:rFonts w:ascii="Arial" w:hAnsi="Arial" w:cs="Arial"/>
                <w:b/>
                <w:bCs/>
                <w:color w:val="000000"/>
                <w:sz w:val="16"/>
                <w:szCs w:val="16"/>
              </w:rPr>
            </w:pPr>
            <w:r w:rsidRPr="00162EF6">
              <w:rPr>
                <w:rFonts w:ascii="Arial" w:hAnsi="Arial" w:cs="Arial"/>
                <w:b/>
                <w:bCs/>
                <w:color w:val="000000"/>
                <w:sz w:val="16"/>
                <w:szCs w:val="16"/>
              </w:rPr>
              <w:t>Household size</w:t>
            </w:r>
          </w:p>
        </w:tc>
      </w:tr>
      <w:tr w:rsidR="00DF177F" w:rsidRPr="00B16FCD" w14:paraId="362226CD" w14:textId="77777777" w:rsidTr="00162EF6">
        <w:trPr>
          <w:trHeight w:val="315"/>
          <w:jc w:val="center"/>
        </w:trPr>
        <w:tc>
          <w:tcPr>
            <w:tcW w:w="2340" w:type="dxa"/>
            <w:tcBorders>
              <w:top w:val="nil"/>
              <w:left w:val="double" w:sz="4" w:space="0" w:color="auto"/>
              <w:bottom w:val="single" w:sz="8" w:space="0" w:color="auto"/>
              <w:right w:val="single" w:sz="8" w:space="0" w:color="auto"/>
            </w:tcBorders>
            <w:shd w:val="clear" w:color="auto" w:fill="auto"/>
            <w:noWrap/>
            <w:vAlign w:val="center"/>
            <w:hideMark/>
          </w:tcPr>
          <w:p w14:paraId="477B6167" w14:textId="77777777" w:rsidR="00DF177F" w:rsidRPr="00162EF6" w:rsidRDefault="00DF177F" w:rsidP="00311E59">
            <w:pPr>
              <w:rPr>
                <w:rFonts w:ascii="Arial" w:hAnsi="Arial" w:cs="Arial"/>
                <w:b/>
                <w:bCs/>
                <w:color w:val="000000"/>
                <w:sz w:val="16"/>
                <w:szCs w:val="16"/>
              </w:rPr>
            </w:pPr>
            <w:r w:rsidRPr="00162EF6">
              <w:rPr>
                <w:rFonts w:ascii="Arial" w:hAnsi="Arial" w:cs="Arial"/>
                <w:b/>
                <w:bCs/>
                <w:color w:val="000000"/>
                <w:sz w:val="16"/>
                <w:szCs w:val="16"/>
              </w:rPr>
              <w:t>Concession Status</w:t>
            </w:r>
          </w:p>
        </w:tc>
        <w:tc>
          <w:tcPr>
            <w:tcW w:w="1300" w:type="dxa"/>
            <w:tcBorders>
              <w:top w:val="nil"/>
              <w:left w:val="nil"/>
              <w:bottom w:val="single" w:sz="8" w:space="0" w:color="auto"/>
              <w:right w:val="single" w:sz="8" w:space="0" w:color="auto"/>
            </w:tcBorders>
            <w:shd w:val="clear" w:color="auto" w:fill="auto"/>
            <w:vAlign w:val="center"/>
            <w:hideMark/>
          </w:tcPr>
          <w:p w14:paraId="63547E63" w14:textId="77777777" w:rsidR="00DF177F" w:rsidRPr="009771F8" w:rsidRDefault="00DF177F" w:rsidP="00311E59">
            <w:pPr>
              <w:jc w:val="center"/>
              <w:rPr>
                <w:rFonts w:ascii="Arial" w:hAnsi="Arial" w:cs="Arial"/>
                <w:b/>
                <w:color w:val="000000"/>
                <w:sz w:val="16"/>
                <w:szCs w:val="16"/>
              </w:rPr>
            </w:pPr>
            <w:r w:rsidRPr="009771F8">
              <w:rPr>
                <w:rFonts w:ascii="Arial" w:hAnsi="Arial" w:cs="Arial"/>
                <w:b/>
                <w:color w:val="000000"/>
                <w:sz w:val="16"/>
                <w:szCs w:val="16"/>
              </w:rPr>
              <w:t>1 person HH</w:t>
            </w:r>
          </w:p>
        </w:tc>
        <w:tc>
          <w:tcPr>
            <w:tcW w:w="1440" w:type="dxa"/>
            <w:tcBorders>
              <w:top w:val="nil"/>
              <w:left w:val="nil"/>
              <w:bottom w:val="single" w:sz="8" w:space="0" w:color="auto"/>
              <w:right w:val="single" w:sz="8" w:space="0" w:color="auto"/>
            </w:tcBorders>
            <w:shd w:val="clear" w:color="auto" w:fill="auto"/>
            <w:vAlign w:val="center"/>
            <w:hideMark/>
          </w:tcPr>
          <w:p w14:paraId="3B81913A" w14:textId="77777777" w:rsidR="00DF177F" w:rsidRPr="009771F8" w:rsidRDefault="00DF177F" w:rsidP="00311E59">
            <w:pPr>
              <w:jc w:val="center"/>
              <w:rPr>
                <w:rFonts w:ascii="Arial" w:hAnsi="Arial" w:cs="Arial"/>
                <w:b/>
                <w:color w:val="000000"/>
                <w:sz w:val="16"/>
                <w:szCs w:val="16"/>
              </w:rPr>
            </w:pPr>
            <w:r w:rsidRPr="009771F8">
              <w:rPr>
                <w:rFonts w:ascii="Arial" w:hAnsi="Arial" w:cs="Arial"/>
                <w:b/>
                <w:color w:val="000000"/>
                <w:sz w:val="16"/>
                <w:szCs w:val="16"/>
              </w:rPr>
              <w:t>2 person HH</w:t>
            </w:r>
          </w:p>
        </w:tc>
        <w:tc>
          <w:tcPr>
            <w:tcW w:w="1500" w:type="dxa"/>
            <w:tcBorders>
              <w:top w:val="nil"/>
              <w:left w:val="nil"/>
              <w:bottom w:val="single" w:sz="8" w:space="0" w:color="auto"/>
              <w:right w:val="single" w:sz="8" w:space="0" w:color="auto"/>
            </w:tcBorders>
            <w:shd w:val="clear" w:color="auto" w:fill="auto"/>
            <w:vAlign w:val="center"/>
            <w:hideMark/>
          </w:tcPr>
          <w:p w14:paraId="74AD422C" w14:textId="77777777" w:rsidR="00DF177F" w:rsidRPr="009771F8" w:rsidRDefault="00DF177F" w:rsidP="00311E59">
            <w:pPr>
              <w:jc w:val="center"/>
              <w:rPr>
                <w:rFonts w:ascii="Arial" w:hAnsi="Arial" w:cs="Arial"/>
                <w:b/>
                <w:color w:val="000000"/>
                <w:sz w:val="16"/>
                <w:szCs w:val="16"/>
              </w:rPr>
            </w:pPr>
            <w:r w:rsidRPr="009771F8">
              <w:rPr>
                <w:rFonts w:ascii="Arial" w:hAnsi="Arial" w:cs="Arial"/>
                <w:b/>
                <w:color w:val="000000"/>
                <w:sz w:val="16"/>
                <w:szCs w:val="16"/>
              </w:rPr>
              <w:t>3 person HH</w:t>
            </w:r>
          </w:p>
        </w:tc>
        <w:tc>
          <w:tcPr>
            <w:tcW w:w="1500" w:type="dxa"/>
            <w:tcBorders>
              <w:top w:val="nil"/>
              <w:left w:val="nil"/>
              <w:bottom w:val="single" w:sz="8" w:space="0" w:color="auto"/>
              <w:right w:val="single" w:sz="8" w:space="0" w:color="auto"/>
            </w:tcBorders>
            <w:shd w:val="clear" w:color="auto" w:fill="auto"/>
            <w:vAlign w:val="center"/>
            <w:hideMark/>
          </w:tcPr>
          <w:p w14:paraId="35D0859A" w14:textId="77777777" w:rsidR="00DF177F" w:rsidRPr="009771F8" w:rsidRDefault="00DF177F" w:rsidP="00311E59">
            <w:pPr>
              <w:jc w:val="center"/>
              <w:rPr>
                <w:rFonts w:ascii="Arial" w:hAnsi="Arial" w:cs="Arial"/>
                <w:b/>
                <w:color w:val="000000"/>
                <w:sz w:val="16"/>
                <w:szCs w:val="16"/>
              </w:rPr>
            </w:pPr>
            <w:r w:rsidRPr="009771F8">
              <w:rPr>
                <w:rFonts w:ascii="Arial" w:hAnsi="Arial" w:cs="Arial"/>
                <w:b/>
                <w:color w:val="000000"/>
                <w:sz w:val="16"/>
                <w:szCs w:val="16"/>
              </w:rPr>
              <w:t>4+ person HH</w:t>
            </w:r>
          </w:p>
        </w:tc>
        <w:tc>
          <w:tcPr>
            <w:tcW w:w="1320" w:type="dxa"/>
            <w:tcBorders>
              <w:top w:val="nil"/>
              <w:left w:val="nil"/>
              <w:bottom w:val="single" w:sz="8" w:space="0" w:color="auto"/>
              <w:right w:val="double" w:sz="4" w:space="0" w:color="auto"/>
            </w:tcBorders>
            <w:shd w:val="clear" w:color="auto" w:fill="auto"/>
            <w:vAlign w:val="center"/>
            <w:hideMark/>
          </w:tcPr>
          <w:p w14:paraId="1BA222EA" w14:textId="77777777" w:rsidR="00DF177F" w:rsidRPr="009771F8" w:rsidRDefault="00DF177F" w:rsidP="00311E59">
            <w:pPr>
              <w:jc w:val="center"/>
              <w:rPr>
                <w:rFonts w:ascii="Arial" w:hAnsi="Arial" w:cs="Arial"/>
                <w:b/>
                <w:color w:val="000000"/>
                <w:sz w:val="16"/>
                <w:szCs w:val="16"/>
              </w:rPr>
            </w:pPr>
            <w:r w:rsidRPr="009771F8">
              <w:rPr>
                <w:rFonts w:ascii="Arial" w:hAnsi="Arial" w:cs="Arial"/>
                <w:b/>
                <w:color w:val="000000"/>
                <w:sz w:val="16"/>
                <w:szCs w:val="16"/>
              </w:rPr>
              <w:t>Total HHs</w:t>
            </w:r>
          </w:p>
        </w:tc>
      </w:tr>
      <w:tr w:rsidR="00DF177F" w:rsidRPr="00B16FCD" w14:paraId="24A8525E" w14:textId="77777777" w:rsidTr="00162EF6">
        <w:trPr>
          <w:trHeight w:val="315"/>
          <w:jc w:val="center"/>
        </w:trPr>
        <w:tc>
          <w:tcPr>
            <w:tcW w:w="2340" w:type="dxa"/>
            <w:tcBorders>
              <w:top w:val="nil"/>
              <w:left w:val="double" w:sz="4" w:space="0" w:color="auto"/>
              <w:bottom w:val="single" w:sz="8" w:space="0" w:color="auto"/>
              <w:right w:val="single" w:sz="8" w:space="0" w:color="auto"/>
            </w:tcBorders>
            <w:shd w:val="clear" w:color="auto" w:fill="auto"/>
            <w:noWrap/>
            <w:vAlign w:val="center"/>
            <w:hideMark/>
          </w:tcPr>
          <w:p w14:paraId="57375E5D" w14:textId="77777777" w:rsidR="00DF177F" w:rsidRPr="00162EF6" w:rsidRDefault="00DF177F" w:rsidP="00311E59">
            <w:pPr>
              <w:rPr>
                <w:rFonts w:ascii="Arial" w:hAnsi="Arial" w:cs="Arial"/>
                <w:color w:val="000000"/>
                <w:sz w:val="16"/>
                <w:szCs w:val="16"/>
              </w:rPr>
            </w:pPr>
            <w:r w:rsidRPr="00162EF6">
              <w:rPr>
                <w:rFonts w:ascii="Arial" w:hAnsi="Arial" w:cs="Arial"/>
                <w:color w:val="000000"/>
                <w:sz w:val="16"/>
                <w:szCs w:val="16"/>
              </w:rPr>
              <w:t>Aged Concession HH</w:t>
            </w:r>
          </w:p>
        </w:tc>
        <w:tc>
          <w:tcPr>
            <w:tcW w:w="1300" w:type="dxa"/>
            <w:tcBorders>
              <w:top w:val="nil"/>
              <w:left w:val="nil"/>
              <w:bottom w:val="single" w:sz="8" w:space="0" w:color="auto"/>
              <w:right w:val="single" w:sz="8" w:space="0" w:color="auto"/>
            </w:tcBorders>
            <w:shd w:val="clear" w:color="auto" w:fill="auto"/>
            <w:noWrap/>
            <w:vAlign w:val="center"/>
            <w:hideMark/>
          </w:tcPr>
          <w:p w14:paraId="022BF21A"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35,962</w:t>
            </w:r>
          </w:p>
        </w:tc>
        <w:tc>
          <w:tcPr>
            <w:tcW w:w="1440" w:type="dxa"/>
            <w:tcBorders>
              <w:top w:val="nil"/>
              <w:left w:val="nil"/>
              <w:bottom w:val="single" w:sz="8" w:space="0" w:color="auto"/>
              <w:right w:val="single" w:sz="8" w:space="0" w:color="auto"/>
            </w:tcBorders>
            <w:shd w:val="clear" w:color="auto" w:fill="auto"/>
            <w:noWrap/>
            <w:vAlign w:val="center"/>
            <w:hideMark/>
          </w:tcPr>
          <w:p w14:paraId="6AF37A87"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45,714</w:t>
            </w:r>
          </w:p>
        </w:tc>
        <w:tc>
          <w:tcPr>
            <w:tcW w:w="1500" w:type="dxa"/>
            <w:tcBorders>
              <w:top w:val="nil"/>
              <w:left w:val="nil"/>
              <w:bottom w:val="single" w:sz="8" w:space="0" w:color="auto"/>
              <w:right w:val="single" w:sz="8" w:space="0" w:color="auto"/>
            </w:tcBorders>
            <w:shd w:val="clear" w:color="auto" w:fill="auto"/>
            <w:noWrap/>
            <w:vAlign w:val="center"/>
            <w:hideMark/>
          </w:tcPr>
          <w:p w14:paraId="19B077E5"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50,505</w:t>
            </w:r>
          </w:p>
        </w:tc>
        <w:tc>
          <w:tcPr>
            <w:tcW w:w="1500" w:type="dxa"/>
            <w:tcBorders>
              <w:top w:val="nil"/>
              <w:left w:val="nil"/>
              <w:bottom w:val="single" w:sz="8" w:space="0" w:color="auto"/>
              <w:right w:val="single" w:sz="8" w:space="0" w:color="auto"/>
            </w:tcBorders>
            <w:shd w:val="clear" w:color="auto" w:fill="auto"/>
            <w:noWrap/>
            <w:vAlign w:val="center"/>
            <w:hideMark/>
          </w:tcPr>
          <w:p w14:paraId="21F4577F"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72,633</w:t>
            </w:r>
          </w:p>
        </w:tc>
        <w:tc>
          <w:tcPr>
            <w:tcW w:w="1320" w:type="dxa"/>
            <w:tcBorders>
              <w:top w:val="nil"/>
              <w:left w:val="nil"/>
              <w:bottom w:val="single" w:sz="8" w:space="0" w:color="auto"/>
              <w:right w:val="double" w:sz="4" w:space="0" w:color="auto"/>
            </w:tcBorders>
            <w:shd w:val="clear" w:color="auto" w:fill="auto"/>
            <w:noWrap/>
            <w:vAlign w:val="center"/>
            <w:hideMark/>
          </w:tcPr>
          <w:p w14:paraId="35CD6BAB"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43,414</w:t>
            </w:r>
          </w:p>
        </w:tc>
      </w:tr>
      <w:tr w:rsidR="00DF177F" w:rsidRPr="00B16FCD" w14:paraId="62CFF26D" w14:textId="77777777" w:rsidTr="00162EF6">
        <w:trPr>
          <w:trHeight w:val="315"/>
          <w:jc w:val="center"/>
        </w:trPr>
        <w:tc>
          <w:tcPr>
            <w:tcW w:w="2340" w:type="dxa"/>
            <w:tcBorders>
              <w:top w:val="nil"/>
              <w:left w:val="double" w:sz="4" w:space="0" w:color="auto"/>
              <w:bottom w:val="single" w:sz="8" w:space="0" w:color="auto"/>
              <w:right w:val="single" w:sz="8" w:space="0" w:color="auto"/>
            </w:tcBorders>
            <w:shd w:val="clear" w:color="auto" w:fill="auto"/>
            <w:noWrap/>
            <w:vAlign w:val="center"/>
            <w:hideMark/>
          </w:tcPr>
          <w:p w14:paraId="686CB26B" w14:textId="77777777" w:rsidR="00DF177F" w:rsidRPr="00162EF6" w:rsidRDefault="00DF177F" w:rsidP="00311E59">
            <w:pPr>
              <w:rPr>
                <w:rFonts w:ascii="Arial" w:hAnsi="Arial" w:cs="Arial"/>
                <w:color w:val="000000"/>
                <w:sz w:val="16"/>
                <w:szCs w:val="16"/>
              </w:rPr>
            </w:pPr>
            <w:r w:rsidRPr="00162EF6">
              <w:rPr>
                <w:rFonts w:ascii="Arial" w:hAnsi="Arial" w:cs="Arial"/>
                <w:color w:val="000000"/>
                <w:sz w:val="16"/>
                <w:szCs w:val="16"/>
              </w:rPr>
              <w:t>Other Concession HH</w:t>
            </w:r>
          </w:p>
        </w:tc>
        <w:tc>
          <w:tcPr>
            <w:tcW w:w="1300" w:type="dxa"/>
            <w:tcBorders>
              <w:top w:val="nil"/>
              <w:left w:val="nil"/>
              <w:bottom w:val="single" w:sz="8" w:space="0" w:color="auto"/>
              <w:right w:val="single" w:sz="8" w:space="0" w:color="auto"/>
            </w:tcBorders>
            <w:shd w:val="clear" w:color="auto" w:fill="auto"/>
            <w:noWrap/>
            <w:vAlign w:val="center"/>
            <w:hideMark/>
          </w:tcPr>
          <w:p w14:paraId="2D059DA5"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29,518</w:t>
            </w:r>
          </w:p>
        </w:tc>
        <w:tc>
          <w:tcPr>
            <w:tcW w:w="1440" w:type="dxa"/>
            <w:tcBorders>
              <w:top w:val="nil"/>
              <w:left w:val="nil"/>
              <w:bottom w:val="single" w:sz="8" w:space="0" w:color="auto"/>
              <w:right w:val="single" w:sz="8" w:space="0" w:color="auto"/>
            </w:tcBorders>
            <w:shd w:val="clear" w:color="auto" w:fill="auto"/>
            <w:noWrap/>
            <w:vAlign w:val="center"/>
            <w:hideMark/>
          </w:tcPr>
          <w:p w14:paraId="4B7D9690"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42,328</w:t>
            </w:r>
          </w:p>
        </w:tc>
        <w:tc>
          <w:tcPr>
            <w:tcW w:w="1500" w:type="dxa"/>
            <w:tcBorders>
              <w:top w:val="nil"/>
              <w:left w:val="nil"/>
              <w:bottom w:val="single" w:sz="8" w:space="0" w:color="auto"/>
              <w:right w:val="single" w:sz="8" w:space="0" w:color="auto"/>
            </w:tcBorders>
            <w:shd w:val="clear" w:color="auto" w:fill="auto"/>
            <w:noWrap/>
            <w:vAlign w:val="center"/>
            <w:hideMark/>
          </w:tcPr>
          <w:p w14:paraId="2C05E110"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45,893</w:t>
            </w:r>
          </w:p>
        </w:tc>
        <w:tc>
          <w:tcPr>
            <w:tcW w:w="1500" w:type="dxa"/>
            <w:tcBorders>
              <w:top w:val="nil"/>
              <w:left w:val="nil"/>
              <w:bottom w:val="single" w:sz="8" w:space="0" w:color="auto"/>
              <w:right w:val="single" w:sz="8" w:space="0" w:color="auto"/>
            </w:tcBorders>
            <w:shd w:val="clear" w:color="auto" w:fill="auto"/>
            <w:noWrap/>
            <w:vAlign w:val="center"/>
            <w:hideMark/>
          </w:tcPr>
          <w:p w14:paraId="7897F8FA"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62,152</w:t>
            </w:r>
          </w:p>
        </w:tc>
        <w:tc>
          <w:tcPr>
            <w:tcW w:w="1320" w:type="dxa"/>
            <w:tcBorders>
              <w:top w:val="nil"/>
              <w:left w:val="nil"/>
              <w:bottom w:val="single" w:sz="8" w:space="0" w:color="auto"/>
              <w:right w:val="double" w:sz="4" w:space="0" w:color="auto"/>
            </w:tcBorders>
            <w:shd w:val="clear" w:color="auto" w:fill="auto"/>
            <w:noWrap/>
            <w:vAlign w:val="center"/>
            <w:hideMark/>
          </w:tcPr>
          <w:p w14:paraId="79378AAC"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44,638</w:t>
            </w:r>
          </w:p>
        </w:tc>
      </w:tr>
      <w:tr w:rsidR="00DF177F" w:rsidRPr="00B16FCD" w14:paraId="42237434" w14:textId="77777777" w:rsidTr="00162EF6">
        <w:trPr>
          <w:trHeight w:val="315"/>
          <w:jc w:val="center"/>
        </w:trPr>
        <w:tc>
          <w:tcPr>
            <w:tcW w:w="2340" w:type="dxa"/>
            <w:tcBorders>
              <w:top w:val="nil"/>
              <w:left w:val="double" w:sz="4" w:space="0" w:color="auto"/>
              <w:bottom w:val="double" w:sz="4" w:space="0" w:color="auto"/>
              <w:right w:val="single" w:sz="8" w:space="0" w:color="auto"/>
            </w:tcBorders>
            <w:shd w:val="clear" w:color="auto" w:fill="auto"/>
            <w:noWrap/>
            <w:vAlign w:val="center"/>
            <w:hideMark/>
          </w:tcPr>
          <w:p w14:paraId="5E9428DF" w14:textId="77777777" w:rsidR="00DF177F" w:rsidRPr="00162EF6" w:rsidRDefault="00DF177F" w:rsidP="00311E59">
            <w:pPr>
              <w:rPr>
                <w:rFonts w:ascii="Arial" w:hAnsi="Arial" w:cs="Arial"/>
                <w:color w:val="000000"/>
                <w:sz w:val="16"/>
                <w:szCs w:val="16"/>
              </w:rPr>
            </w:pPr>
            <w:r w:rsidRPr="00162EF6">
              <w:rPr>
                <w:rFonts w:ascii="Arial" w:hAnsi="Arial" w:cs="Arial"/>
                <w:color w:val="000000"/>
                <w:sz w:val="16"/>
                <w:szCs w:val="16"/>
              </w:rPr>
              <w:t>Non-concession HH</w:t>
            </w:r>
          </w:p>
        </w:tc>
        <w:tc>
          <w:tcPr>
            <w:tcW w:w="1300" w:type="dxa"/>
            <w:tcBorders>
              <w:top w:val="nil"/>
              <w:left w:val="nil"/>
              <w:bottom w:val="double" w:sz="4" w:space="0" w:color="auto"/>
              <w:right w:val="single" w:sz="8" w:space="0" w:color="auto"/>
            </w:tcBorders>
            <w:shd w:val="clear" w:color="auto" w:fill="auto"/>
            <w:noWrap/>
            <w:vAlign w:val="center"/>
            <w:hideMark/>
          </w:tcPr>
          <w:p w14:paraId="74F0D4B7"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32,572</w:t>
            </w:r>
          </w:p>
        </w:tc>
        <w:tc>
          <w:tcPr>
            <w:tcW w:w="1440" w:type="dxa"/>
            <w:tcBorders>
              <w:top w:val="nil"/>
              <w:left w:val="nil"/>
              <w:bottom w:val="double" w:sz="4" w:space="0" w:color="auto"/>
              <w:right w:val="single" w:sz="8" w:space="0" w:color="auto"/>
            </w:tcBorders>
            <w:shd w:val="clear" w:color="auto" w:fill="auto"/>
            <w:noWrap/>
            <w:vAlign w:val="center"/>
            <w:hideMark/>
          </w:tcPr>
          <w:p w14:paraId="561D6B49"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44,733</w:t>
            </w:r>
          </w:p>
        </w:tc>
        <w:tc>
          <w:tcPr>
            <w:tcW w:w="1500" w:type="dxa"/>
            <w:tcBorders>
              <w:top w:val="nil"/>
              <w:left w:val="nil"/>
              <w:bottom w:val="double" w:sz="4" w:space="0" w:color="auto"/>
              <w:right w:val="single" w:sz="8" w:space="0" w:color="auto"/>
            </w:tcBorders>
            <w:shd w:val="clear" w:color="auto" w:fill="auto"/>
            <w:noWrap/>
            <w:vAlign w:val="center"/>
            <w:hideMark/>
          </w:tcPr>
          <w:p w14:paraId="41A9C4A2"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52,581</w:t>
            </w:r>
          </w:p>
        </w:tc>
        <w:tc>
          <w:tcPr>
            <w:tcW w:w="1500" w:type="dxa"/>
            <w:tcBorders>
              <w:top w:val="nil"/>
              <w:left w:val="nil"/>
              <w:bottom w:val="double" w:sz="4" w:space="0" w:color="auto"/>
              <w:right w:val="single" w:sz="8" w:space="0" w:color="auto"/>
            </w:tcBorders>
            <w:shd w:val="clear" w:color="auto" w:fill="auto"/>
            <w:noWrap/>
            <w:vAlign w:val="center"/>
            <w:hideMark/>
          </w:tcPr>
          <w:p w14:paraId="28E95105"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57,671</w:t>
            </w:r>
          </w:p>
        </w:tc>
        <w:tc>
          <w:tcPr>
            <w:tcW w:w="1320" w:type="dxa"/>
            <w:tcBorders>
              <w:top w:val="nil"/>
              <w:left w:val="nil"/>
              <w:bottom w:val="double" w:sz="4" w:space="0" w:color="auto"/>
              <w:right w:val="double" w:sz="4" w:space="0" w:color="auto"/>
            </w:tcBorders>
            <w:shd w:val="clear" w:color="auto" w:fill="auto"/>
            <w:noWrap/>
            <w:vAlign w:val="center"/>
            <w:hideMark/>
          </w:tcPr>
          <w:p w14:paraId="19D60250" w14:textId="77777777" w:rsidR="00DF177F" w:rsidRPr="00162EF6" w:rsidRDefault="00DF177F" w:rsidP="00311E59">
            <w:pPr>
              <w:jc w:val="center"/>
              <w:rPr>
                <w:rFonts w:ascii="Arial" w:hAnsi="Arial" w:cs="Arial"/>
                <w:color w:val="000000"/>
                <w:sz w:val="16"/>
                <w:szCs w:val="16"/>
              </w:rPr>
            </w:pPr>
            <w:r w:rsidRPr="00162EF6">
              <w:rPr>
                <w:rFonts w:ascii="Arial" w:hAnsi="Arial" w:cs="Arial"/>
                <w:color w:val="000000"/>
                <w:sz w:val="16"/>
                <w:szCs w:val="16"/>
              </w:rPr>
              <w:t>49,072</w:t>
            </w:r>
          </w:p>
        </w:tc>
      </w:tr>
    </w:tbl>
    <w:p w14:paraId="652DD11F" w14:textId="77777777" w:rsidR="00D109F7" w:rsidRPr="005338DB" w:rsidRDefault="00D109F7" w:rsidP="00D109F7">
      <w:pPr>
        <w:pStyle w:val="Para"/>
        <w:rPr>
          <w:lang w:val="en-AU"/>
        </w:rPr>
      </w:pPr>
    </w:p>
    <w:p w14:paraId="29BC711F" w14:textId="77777777" w:rsidR="00D109F7" w:rsidRPr="003835AE" w:rsidRDefault="00D109F7" w:rsidP="00D109F7">
      <w:pPr>
        <w:pStyle w:val="Para"/>
        <w:rPr>
          <w:highlight w:val="yellow"/>
          <w:lang w:val="en-AU"/>
        </w:rPr>
      </w:pPr>
    </w:p>
    <w:p w14:paraId="3D4C8A74" w14:textId="77777777" w:rsidR="00D109F7" w:rsidRPr="005338DB" w:rsidRDefault="00D109F7" w:rsidP="001642EF">
      <w:pPr>
        <w:pStyle w:val="Para"/>
        <w:rPr>
          <w:lang w:val="en-AU"/>
        </w:rPr>
      </w:pPr>
      <w:r w:rsidRPr="005338DB">
        <w:rPr>
          <w:lang w:val="en-AU"/>
        </w:rPr>
        <w:t xml:space="preserve">Analysis of gas consumption charges is not strictly comparable between </w:t>
      </w:r>
      <w:r w:rsidR="00691EAE" w:rsidRPr="005338DB">
        <w:rPr>
          <w:lang w:val="en-AU"/>
        </w:rPr>
        <w:t>2007</w:t>
      </w:r>
      <w:r w:rsidRPr="005338DB">
        <w:rPr>
          <w:lang w:val="en-AU"/>
        </w:rPr>
        <w:t xml:space="preserve"> and 2001, as it is assumed that supply charges and other charges would have been included together in the 2001 consumption charge amount, whilst in </w:t>
      </w:r>
      <w:r w:rsidR="00691EAE" w:rsidRPr="005338DB">
        <w:rPr>
          <w:lang w:val="en-AU"/>
        </w:rPr>
        <w:t>2007</w:t>
      </w:r>
      <w:r w:rsidRPr="005338DB">
        <w:rPr>
          <w:lang w:val="en-AU"/>
        </w:rPr>
        <w:t xml:space="preserve"> </w:t>
      </w:r>
      <w:r w:rsidR="00B57C17" w:rsidRPr="005338DB">
        <w:rPr>
          <w:lang w:val="en-AU"/>
        </w:rPr>
        <w:t xml:space="preserve">and 2014 </w:t>
      </w:r>
      <w:r w:rsidRPr="005338DB">
        <w:rPr>
          <w:lang w:val="en-AU"/>
        </w:rPr>
        <w:t xml:space="preserve">these have been separated.  However, by summing consumption, supply and other charges </w:t>
      </w:r>
      <w:r w:rsidR="002E68EF" w:rsidRPr="005338DB">
        <w:rPr>
          <w:lang w:val="en-AU"/>
        </w:rPr>
        <w:t xml:space="preserve">(excluding the carbon tax) </w:t>
      </w:r>
      <w:r w:rsidRPr="005338DB">
        <w:rPr>
          <w:lang w:val="en-AU"/>
        </w:rPr>
        <w:t xml:space="preserve">together for </w:t>
      </w:r>
      <w:r w:rsidR="00691EAE" w:rsidRPr="005338DB">
        <w:rPr>
          <w:lang w:val="en-AU"/>
        </w:rPr>
        <w:t>2007</w:t>
      </w:r>
      <w:r w:rsidRPr="005338DB">
        <w:rPr>
          <w:lang w:val="en-AU"/>
        </w:rPr>
        <w:t xml:space="preserve"> </w:t>
      </w:r>
      <w:r w:rsidR="00B57C17" w:rsidRPr="005338DB">
        <w:rPr>
          <w:lang w:val="en-AU"/>
        </w:rPr>
        <w:t xml:space="preserve">and 2014 </w:t>
      </w:r>
      <w:r w:rsidRPr="005338DB">
        <w:rPr>
          <w:lang w:val="en-AU"/>
        </w:rPr>
        <w:t xml:space="preserve">we have made some comparisons.  Overall charges in </w:t>
      </w:r>
      <w:r w:rsidR="00B57C17" w:rsidRPr="005338DB">
        <w:rPr>
          <w:lang w:val="en-AU"/>
        </w:rPr>
        <w:t>2014 were $</w:t>
      </w:r>
      <w:r w:rsidR="005338DB" w:rsidRPr="005338DB">
        <w:rPr>
          <w:lang w:val="en-AU"/>
        </w:rPr>
        <w:t>769</w:t>
      </w:r>
      <w:r w:rsidR="00B57C17" w:rsidRPr="005338DB">
        <w:rPr>
          <w:lang w:val="en-AU"/>
        </w:rPr>
        <w:t xml:space="preserve">, compared with </w:t>
      </w:r>
      <w:r w:rsidRPr="005338DB">
        <w:rPr>
          <w:lang w:val="en-AU"/>
        </w:rPr>
        <w:t>$</w:t>
      </w:r>
      <w:r w:rsidR="005338DB" w:rsidRPr="005338DB">
        <w:rPr>
          <w:lang w:val="en-AU"/>
        </w:rPr>
        <w:t>559</w:t>
      </w:r>
      <w:r w:rsidRPr="005338DB">
        <w:rPr>
          <w:lang w:val="en-AU"/>
        </w:rPr>
        <w:t xml:space="preserve"> </w:t>
      </w:r>
      <w:r w:rsidR="00B57C17" w:rsidRPr="005338DB">
        <w:rPr>
          <w:lang w:val="en-AU"/>
        </w:rPr>
        <w:t xml:space="preserve">in 2007, </w:t>
      </w:r>
      <w:r w:rsidRPr="005338DB">
        <w:rPr>
          <w:lang w:val="en-AU"/>
        </w:rPr>
        <w:t>$5</w:t>
      </w:r>
      <w:r w:rsidR="00B57C17" w:rsidRPr="005338DB">
        <w:rPr>
          <w:lang w:val="en-AU"/>
        </w:rPr>
        <w:t>38</w:t>
      </w:r>
      <w:r w:rsidRPr="005338DB">
        <w:rPr>
          <w:lang w:val="en-AU"/>
        </w:rPr>
        <w:t xml:space="preserve"> in 2001 and $500 in 1996, representing increases of </w:t>
      </w:r>
      <w:r w:rsidR="005338DB" w:rsidRPr="005338DB">
        <w:rPr>
          <w:lang w:val="en-AU"/>
        </w:rPr>
        <w:t>38</w:t>
      </w:r>
      <w:r w:rsidR="000B7B15" w:rsidRPr="005338DB">
        <w:rPr>
          <w:lang w:val="en-AU"/>
        </w:rPr>
        <w:t xml:space="preserve">%, </w:t>
      </w:r>
      <w:r w:rsidR="005338DB" w:rsidRPr="005338DB">
        <w:rPr>
          <w:lang w:val="en-AU"/>
        </w:rPr>
        <w:t>4</w:t>
      </w:r>
      <w:r w:rsidR="000B7B15" w:rsidRPr="005338DB">
        <w:rPr>
          <w:lang w:val="en-AU"/>
        </w:rPr>
        <w:t>% and 8%</w:t>
      </w:r>
      <w:r w:rsidRPr="005338DB">
        <w:rPr>
          <w:lang w:val="en-AU"/>
        </w:rPr>
        <w:t xml:space="preserve"> respectively</w:t>
      </w:r>
      <w:r w:rsidR="005338DB" w:rsidRPr="005338DB">
        <w:rPr>
          <w:lang w:val="en-AU"/>
        </w:rPr>
        <w:t>.</w:t>
      </w:r>
      <w:r w:rsidRPr="005338DB">
        <w:rPr>
          <w:lang w:val="en-AU"/>
        </w:rPr>
        <w:t xml:space="preserve"> </w:t>
      </w:r>
    </w:p>
    <w:p w14:paraId="3C6855F6" w14:textId="77777777" w:rsidR="000B7B15" w:rsidRPr="003835AE" w:rsidRDefault="000B7B15" w:rsidP="00D109F7">
      <w:pPr>
        <w:pStyle w:val="Para"/>
        <w:rPr>
          <w:highlight w:val="yellow"/>
          <w:lang w:val="en-AU"/>
        </w:rPr>
      </w:pPr>
    </w:p>
    <w:p w14:paraId="09B6A5B2" w14:textId="77777777" w:rsidR="000B7B15" w:rsidRPr="00AE3DB4" w:rsidRDefault="000B7B15" w:rsidP="00D109F7">
      <w:pPr>
        <w:pStyle w:val="Para"/>
        <w:rPr>
          <w:lang w:val="en-AU"/>
        </w:rPr>
      </w:pPr>
      <w:r w:rsidRPr="00AE3DB4">
        <w:rPr>
          <w:lang w:val="en-AU"/>
        </w:rPr>
        <w:t>Almost every respondent who received gas bills incurred a supply charge (1,5</w:t>
      </w:r>
      <w:r w:rsidR="00AE3DB4" w:rsidRPr="00AE3DB4">
        <w:rPr>
          <w:lang w:val="en-AU"/>
        </w:rPr>
        <w:t>34</w:t>
      </w:r>
      <w:r w:rsidRPr="00AE3DB4">
        <w:rPr>
          <w:lang w:val="en-AU"/>
        </w:rPr>
        <w:t xml:space="preserve"> of 1,5</w:t>
      </w:r>
      <w:r w:rsidR="00AE3DB4" w:rsidRPr="00AE3DB4">
        <w:rPr>
          <w:lang w:val="en-AU"/>
        </w:rPr>
        <w:t>35</w:t>
      </w:r>
      <w:r w:rsidRPr="00AE3DB4">
        <w:rPr>
          <w:lang w:val="en-AU"/>
        </w:rPr>
        <w:t xml:space="preserve"> respondents in 2014). </w:t>
      </w:r>
      <w:r w:rsidR="00324356" w:rsidRPr="00AE3DB4">
        <w:rPr>
          <w:lang w:val="en-AU"/>
        </w:rPr>
        <w:t xml:space="preserve">The </w:t>
      </w:r>
      <w:r w:rsidRPr="00AE3DB4">
        <w:rPr>
          <w:lang w:val="en-AU"/>
        </w:rPr>
        <w:t xml:space="preserve">average </w:t>
      </w:r>
      <w:r w:rsidR="00324356" w:rsidRPr="00AE3DB4">
        <w:rPr>
          <w:lang w:val="en-AU"/>
        </w:rPr>
        <w:t xml:space="preserve">annual supply charge amount obtained from billing data </w:t>
      </w:r>
      <w:r w:rsidRPr="00AE3DB4">
        <w:rPr>
          <w:lang w:val="en-AU"/>
        </w:rPr>
        <w:t>in 2014 was $21</w:t>
      </w:r>
      <w:r w:rsidR="00AE3DB4" w:rsidRPr="00AE3DB4">
        <w:rPr>
          <w:lang w:val="en-AU"/>
        </w:rPr>
        <w:t>5</w:t>
      </w:r>
      <w:r w:rsidRPr="00AE3DB4">
        <w:rPr>
          <w:lang w:val="en-AU"/>
        </w:rPr>
        <w:t xml:space="preserve"> compared with $115 in 2007, representing an 8</w:t>
      </w:r>
      <w:r w:rsidR="00AE3DB4" w:rsidRPr="00AE3DB4">
        <w:rPr>
          <w:lang w:val="en-AU"/>
        </w:rPr>
        <w:t>7</w:t>
      </w:r>
      <w:r w:rsidRPr="00AE3DB4">
        <w:rPr>
          <w:lang w:val="en-AU"/>
        </w:rPr>
        <w:t>% increase</w:t>
      </w:r>
      <w:r w:rsidR="00324356" w:rsidRPr="00AE3DB4">
        <w:rPr>
          <w:lang w:val="en-AU"/>
        </w:rPr>
        <w:t xml:space="preserve">.  </w:t>
      </w:r>
      <w:r w:rsidRPr="00AE3DB4">
        <w:rPr>
          <w:lang w:val="en-AU"/>
        </w:rPr>
        <w:t>There was very little variation in the amount between the various sub-groups.</w:t>
      </w:r>
      <w:r w:rsidR="00324356" w:rsidRPr="00AE3DB4">
        <w:rPr>
          <w:lang w:val="en-AU"/>
        </w:rPr>
        <w:t xml:space="preserve"> </w:t>
      </w:r>
    </w:p>
    <w:p w14:paraId="3EFF63A6" w14:textId="77777777" w:rsidR="000B7B15" w:rsidRPr="00AE3DB4" w:rsidRDefault="000B7B15" w:rsidP="00D109F7">
      <w:pPr>
        <w:pStyle w:val="Para"/>
        <w:rPr>
          <w:lang w:val="en-AU"/>
        </w:rPr>
      </w:pPr>
    </w:p>
    <w:p w14:paraId="669EA3CE" w14:textId="6A9DB2E2" w:rsidR="00092130" w:rsidRPr="00AE3DB4" w:rsidRDefault="000E7BE9" w:rsidP="00D109F7">
      <w:pPr>
        <w:pStyle w:val="Para"/>
        <w:rPr>
          <w:lang w:val="en-AU"/>
        </w:rPr>
      </w:pPr>
      <w:r w:rsidRPr="00AE3DB4">
        <w:rPr>
          <w:lang w:val="en-AU"/>
        </w:rPr>
        <w:t xml:space="preserve">Sixteen </w:t>
      </w:r>
      <w:r w:rsidR="00B942AA">
        <w:rPr>
          <w:lang w:val="en-AU"/>
        </w:rPr>
        <w:t>per cent</w:t>
      </w:r>
      <w:r w:rsidRPr="00AE3DB4">
        <w:rPr>
          <w:lang w:val="en-AU"/>
        </w:rPr>
        <w:t xml:space="preserve"> of gas </w:t>
      </w:r>
      <w:r w:rsidR="00C33CEC" w:rsidRPr="00AE3DB4">
        <w:rPr>
          <w:lang w:val="en-AU"/>
        </w:rPr>
        <w:t>bill-payer</w:t>
      </w:r>
      <w:r w:rsidRPr="00AE3DB4">
        <w:rPr>
          <w:lang w:val="en-AU"/>
        </w:rPr>
        <w:t xml:space="preserve">s also had other charges imposed upon them in 2014, up from 3% in 2007.  </w:t>
      </w:r>
      <w:r w:rsidR="00092130" w:rsidRPr="00AE3DB4">
        <w:rPr>
          <w:lang w:val="en-AU"/>
        </w:rPr>
        <w:t xml:space="preserve"> It was extremely rare for suppliers to provide any information as to the nature of these </w:t>
      </w:r>
      <w:r w:rsidR="00184CD0" w:rsidRPr="00AE3DB4">
        <w:rPr>
          <w:lang w:val="en-AU"/>
        </w:rPr>
        <w:t>other charges</w:t>
      </w:r>
      <w:r w:rsidR="00AE3DB4">
        <w:rPr>
          <w:lang w:val="en-AU"/>
        </w:rPr>
        <w:t>, so no clear conclusions could be drawn as to their nature.</w:t>
      </w:r>
    </w:p>
    <w:p w14:paraId="6EFF0121" w14:textId="77777777" w:rsidR="00092130" w:rsidRPr="00AE3DB4" w:rsidRDefault="00092130" w:rsidP="00D109F7">
      <w:pPr>
        <w:pStyle w:val="Para"/>
        <w:rPr>
          <w:lang w:val="en-AU"/>
        </w:rPr>
      </w:pPr>
    </w:p>
    <w:p w14:paraId="47DB5363" w14:textId="77777777" w:rsidR="00D109F7" w:rsidRPr="00AE3DB4" w:rsidRDefault="000E7BE9" w:rsidP="00D109F7">
      <w:pPr>
        <w:pStyle w:val="Para"/>
        <w:rPr>
          <w:lang w:val="en-AU"/>
        </w:rPr>
      </w:pPr>
      <w:r w:rsidRPr="00AE3DB4">
        <w:rPr>
          <w:lang w:val="en-AU"/>
        </w:rPr>
        <w:t>Households in Melbourne were slightly more likely than those in country Victoria to incur other charges (1</w:t>
      </w:r>
      <w:r w:rsidR="00AE3DB4" w:rsidRPr="00AE3DB4">
        <w:rPr>
          <w:lang w:val="en-AU"/>
        </w:rPr>
        <w:t>6</w:t>
      </w:r>
      <w:r w:rsidRPr="00AE3DB4">
        <w:rPr>
          <w:lang w:val="en-AU"/>
        </w:rPr>
        <w:t>% and 1</w:t>
      </w:r>
      <w:r w:rsidR="00AE3DB4" w:rsidRPr="00AE3DB4">
        <w:rPr>
          <w:lang w:val="en-AU"/>
        </w:rPr>
        <w:t>2</w:t>
      </w:r>
      <w:r w:rsidRPr="00AE3DB4">
        <w:rPr>
          <w:lang w:val="en-AU"/>
        </w:rPr>
        <w:t>% respectively), and other concession households (1</w:t>
      </w:r>
      <w:r w:rsidR="00AE3DB4" w:rsidRPr="00AE3DB4">
        <w:rPr>
          <w:lang w:val="en-AU"/>
        </w:rPr>
        <w:t>2</w:t>
      </w:r>
      <w:r w:rsidRPr="00AE3DB4">
        <w:rPr>
          <w:lang w:val="en-AU"/>
        </w:rPr>
        <w:t xml:space="preserve">%) slightly less likely than aged </w:t>
      </w:r>
      <w:r w:rsidR="00AE3DB4" w:rsidRPr="00AE3DB4">
        <w:rPr>
          <w:lang w:val="en-AU"/>
        </w:rPr>
        <w:t xml:space="preserve">concession (16%) </w:t>
      </w:r>
      <w:r w:rsidRPr="00AE3DB4">
        <w:rPr>
          <w:lang w:val="en-AU"/>
        </w:rPr>
        <w:t xml:space="preserve">or non-concession </w:t>
      </w:r>
      <w:r w:rsidR="00AE3DB4" w:rsidRPr="00AE3DB4">
        <w:rPr>
          <w:lang w:val="en-AU"/>
        </w:rPr>
        <w:t xml:space="preserve">(17%) </w:t>
      </w:r>
      <w:r w:rsidRPr="00AE3DB4">
        <w:rPr>
          <w:lang w:val="en-AU"/>
        </w:rPr>
        <w:t>households</w:t>
      </w:r>
      <w:r w:rsidR="00AE3DB4" w:rsidRPr="00AE3DB4">
        <w:rPr>
          <w:lang w:val="en-AU"/>
        </w:rPr>
        <w:t>.</w:t>
      </w:r>
      <w:r w:rsidRPr="00AE3DB4">
        <w:rPr>
          <w:lang w:val="en-AU"/>
        </w:rPr>
        <w:t xml:space="preserve"> The average amount of other charges in 2014 was $</w:t>
      </w:r>
      <w:r w:rsidR="00AE3DB4" w:rsidRPr="00AE3DB4">
        <w:rPr>
          <w:lang w:val="en-AU"/>
        </w:rPr>
        <w:t>36</w:t>
      </w:r>
      <w:r w:rsidRPr="00AE3DB4">
        <w:rPr>
          <w:lang w:val="en-AU"/>
        </w:rPr>
        <w:t>, compared with $35 in 2007</w:t>
      </w:r>
      <w:r w:rsidR="00D109F7" w:rsidRPr="00AE3DB4">
        <w:rPr>
          <w:lang w:val="en-AU"/>
        </w:rPr>
        <w:t>, but amounts varied widely across sub-groups</w:t>
      </w:r>
      <w:r w:rsidRPr="00AE3DB4">
        <w:rPr>
          <w:lang w:val="en-AU"/>
        </w:rPr>
        <w:t>, due at least in part to small sample sizes.</w:t>
      </w:r>
    </w:p>
    <w:p w14:paraId="4AC984C7" w14:textId="77777777" w:rsidR="000E5278" w:rsidRDefault="000E5278" w:rsidP="000E5278">
      <w:pPr>
        <w:pStyle w:val="Para"/>
        <w:rPr>
          <w:lang w:val="en-AU"/>
        </w:rPr>
      </w:pPr>
      <w:r w:rsidRPr="000E5278">
        <w:rPr>
          <w:lang w:val="en-AU"/>
        </w:rPr>
        <w:lastRenderedPageBreak/>
        <w:t>The average gas charge applicable (</w:t>
      </w:r>
      <w:r w:rsidRPr="00C641F8">
        <w:rPr>
          <w:lang w:val="en-AU"/>
        </w:rPr>
        <w:t>i.e. the amount that could be charged if concessions and discounts were not applied) in 2014 was $</w:t>
      </w:r>
      <w:r w:rsidRPr="000E5278">
        <w:rPr>
          <w:lang w:val="en-AU"/>
        </w:rPr>
        <w:t>993</w:t>
      </w:r>
      <w:r w:rsidRPr="00C641F8">
        <w:rPr>
          <w:lang w:val="en-AU"/>
        </w:rPr>
        <w:t xml:space="preserve"> (excluding GST), up </w:t>
      </w:r>
      <w:r w:rsidRPr="000E5278">
        <w:rPr>
          <w:lang w:val="en-AU"/>
        </w:rPr>
        <w:t>47</w:t>
      </w:r>
      <w:r w:rsidRPr="00C641F8">
        <w:rPr>
          <w:lang w:val="en-AU"/>
        </w:rPr>
        <w:t>% from $</w:t>
      </w:r>
      <w:r w:rsidRPr="000E5278">
        <w:rPr>
          <w:lang w:val="en-AU"/>
        </w:rPr>
        <w:t>675</w:t>
      </w:r>
      <w:r w:rsidRPr="00C641F8">
        <w:rPr>
          <w:lang w:val="en-AU"/>
        </w:rPr>
        <w:t xml:space="preserve"> in 2007.  </w:t>
      </w:r>
    </w:p>
    <w:p w14:paraId="2FF79857" w14:textId="77777777" w:rsidR="000E5278" w:rsidRDefault="000E5278" w:rsidP="000E5278"/>
    <w:p w14:paraId="5475F118" w14:textId="77777777" w:rsidR="008B4D46" w:rsidRDefault="000E7BE9" w:rsidP="00D109F7">
      <w:pPr>
        <w:pStyle w:val="Para"/>
        <w:rPr>
          <w:lang w:val="en-AU"/>
        </w:rPr>
      </w:pPr>
      <w:r w:rsidRPr="00AE3DB4">
        <w:rPr>
          <w:lang w:val="en-AU"/>
        </w:rPr>
        <w:t>In 2014, 4</w:t>
      </w:r>
      <w:r w:rsidR="00AE3DB4" w:rsidRPr="00AE3DB4">
        <w:rPr>
          <w:lang w:val="en-AU"/>
        </w:rPr>
        <w:t>2</w:t>
      </w:r>
      <w:r w:rsidRPr="00AE3DB4">
        <w:rPr>
          <w:lang w:val="en-AU"/>
        </w:rPr>
        <w:t>% of gas paying households received the DHHS concession on their gas bill</w:t>
      </w:r>
      <w:r w:rsidR="00FC640A" w:rsidRPr="00AE3DB4">
        <w:rPr>
          <w:lang w:val="en-AU"/>
        </w:rPr>
        <w:t>, up from 27% in 2007</w:t>
      </w:r>
      <w:r w:rsidR="008B4D46" w:rsidRPr="00AE3DB4">
        <w:rPr>
          <w:rStyle w:val="FootnoteReference"/>
          <w:lang w:val="en-AU"/>
        </w:rPr>
        <w:footnoteReference w:id="10"/>
      </w:r>
      <w:r w:rsidRPr="00AE3DB4">
        <w:rPr>
          <w:lang w:val="en-AU"/>
        </w:rPr>
        <w:t>.</w:t>
      </w:r>
      <w:r w:rsidR="00FC640A" w:rsidRPr="00AE3DB4">
        <w:rPr>
          <w:lang w:val="en-AU"/>
        </w:rPr>
        <w:t xml:space="preserve">  Respondents in Melbourne (4</w:t>
      </w:r>
      <w:r w:rsidR="00AE3DB4" w:rsidRPr="00AE3DB4">
        <w:rPr>
          <w:lang w:val="en-AU"/>
        </w:rPr>
        <w:t>1</w:t>
      </w:r>
      <w:r w:rsidR="00FC640A" w:rsidRPr="00AE3DB4">
        <w:rPr>
          <w:lang w:val="en-AU"/>
        </w:rPr>
        <w:t>%) were less likely than those in country Victoria (4</w:t>
      </w:r>
      <w:r w:rsidR="00AE3DB4" w:rsidRPr="00AE3DB4">
        <w:rPr>
          <w:lang w:val="en-AU"/>
        </w:rPr>
        <w:t>6</w:t>
      </w:r>
      <w:r w:rsidR="00FC640A" w:rsidRPr="00AE3DB4">
        <w:rPr>
          <w:lang w:val="en-AU"/>
        </w:rPr>
        <w:t xml:space="preserve">%) to receive a DHHS concession on their gas bill in 2014.  The </w:t>
      </w:r>
      <w:r w:rsidR="008B4D46" w:rsidRPr="00AE3DB4">
        <w:rPr>
          <w:lang w:val="en-AU"/>
        </w:rPr>
        <w:t xml:space="preserve">DHHS </w:t>
      </w:r>
      <w:r w:rsidR="00FC640A" w:rsidRPr="00AE3DB4">
        <w:rPr>
          <w:lang w:val="en-AU"/>
        </w:rPr>
        <w:t xml:space="preserve">concession was obtained by 82% of public renters, compared with </w:t>
      </w:r>
      <w:r w:rsidR="00AE3DB4" w:rsidRPr="00AE3DB4">
        <w:rPr>
          <w:lang w:val="en-AU"/>
        </w:rPr>
        <w:t xml:space="preserve">49% of home owners, </w:t>
      </w:r>
      <w:r w:rsidR="00FC640A" w:rsidRPr="00AE3DB4">
        <w:rPr>
          <w:lang w:val="en-AU"/>
        </w:rPr>
        <w:t>4</w:t>
      </w:r>
      <w:r w:rsidR="00AE3DB4" w:rsidRPr="00AE3DB4">
        <w:rPr>
          <w:lang w:val="en-AU"/>
        </w:rPr>
        <w:t>7</w:t>
      </w:r>
      <w:r w:rsidR="00FC640A" w:rsidRPr="00AE3DB4">
        <w:rPr>
          <w:lang w:val="en-AU"/>
        </w:rPr>
        <w:t xml:space="preserve">% of private renters and 21% of those paying off their home.  </w:t>
      </w:r>
      <w:r w:rsidR="008B4D46" w:rsidRPr="00AE3DB4">
        <w:rPr>
          <w:lang w:val="en-AU"/>
        </w:rPr>
        <w:t xml:space="preserve"> The average size of the DHHS concession in 2014 was $85, virtually unchanged from 2007 ($86).  </w:t>
      </w:r>
    </w:p>
    <w:p w14:paraId="0A2A379D" w14:textId="77777777" w:rsidR="0084681B" w:rsidRDefault="0084681B" w:rsidP="00D109F7">
      <w:pPr>
        <w:pStyle w:val="Para"/>
        <w:rPr>
          <w:lang w:val="en-AU"/>
        </w:rPr>
      </w:pPr>
    </w:p>
    <w:p w14:paraId="6A8E5C4E" w14:textId="7277FE31" w:rsidR="00C90BFA" w:rsidRPr="00C90BFA" w:rsidRDefault="0084681B" w:rsidP="00C90BFA">
      <w:pPr>
        <w:pStyle w:val="Para"/>
        <w:rPr>
          <w:lang w:val="en-AU"/>
        </w:rPr>
      </w:pPr>
      <w:r w:rsidRPr="0084681B">
        <w:rPr>
          <w:lang w:val="en-AU"/>
        </w:rPr>
        <w:t>The survey does not indicate the concession status of each person whose name is on each bill, but defines the concession status of the household according to the concession status of the respondent, who is the main bill-payer. Therefore it is not possible to calculate a precise estimate of the proportion of eligible households that actually received a gas concession.  Nevertheless, a very close approximation is the proportion of ‘concession households’ that received the concession</w:t>
      </w:r>
      <w:r w:rsidR="00C90BFA">
        <w:rPr>
          <w:lang w:val="en-AU"/>
        </w:rPr>
        <w:t xml:space="preserve"> (see Table 7.1.2). </w:t>
      </w:r>
    </w:p>
    <w:p w14:paraId="2820E800" w14:textId="2304201B" w:rsidR="0084681B" w:rsidRPr="0084681B" w:rsidRDefault="0084681B" w:rsidP="0084681B">
      <w:pPr>
        <w:pStyle w:val="Para"/>
        <w:rPr>
          <w:lang w:val="en-AU"/>
        </w:rPr>
      </w:pPr>
    </w:p>
    <w:p w14:paraId="14581992" w14:textId="05107596" w:rsidR="00D109F7" w:rsidRPr="009C7D53" w:rsidRDefault="00FC640A" w:rsidP="00D109F7">
      <w:pPr>
        <w:pStyle w:val="Para"/>
        <w:rPr>
          <w:lang w:val="en-AU"/>
        </w:rPr>
      </w:pPr>
      <w:r w:rsidRPr="00AE3DB4">
        <w:rPr>
          <w:lang w:val="en-AU"/>
        </w:rPr>
        <w:t xml:space="preserve">In 2014, </w:t>
      </w:r>
      <w:r w:rsidR="006F724A">
        <w:rPr>
          <w:lang w:val="en-AU"/>
        </w:rPr>
        <w:t>less than 1% (</w:t>
      </w:r>
      <w:r w:rsidR="00AE3DB4" w:rsidRPr="00AE3DB4">
        <w:rPr>
          <w:lang w:val="en-AU"/>
        </w:rPr>
        <w:t xml:space="preserve">one </w:t>
      </w:r>
      <w:r w:rsidR="00D109F7" w:rsidRPr="00AE3DB4">
        <w:rPr>
          <w:lang w:val="en-AU"/>
        </w:rPr>
        <w:t>household</w:t>
      </w:r>
      <w:r w:rsidR="006F724A">
        <w:rPr>
          <w:lang w:val="en-AU"/>
        </w:rPr>
        <w:t>)</w:t>
      </w:r>
      <w:r w:rsidR="00D109F7" w:rsidRPr="00AE3DB4">
        <w:rPr>
          <w:lang w:val="en-AU"/>
        </w:rPr>
        <w:t xml:space="preserve"> received </w:t>
      </w:r>
      <w:r w:rsidR="00BA33DE">
        <w:rPr>
          <w:lang w:val="en-AU"/>
        </w:rPr>
        <w:t>a</w:t>
      </w:r>
      <w:r w:rsidR="00BA33DE" w:rsidRPr="00AE3DB4">
        <w:rPr>
          <w:lang w:val="en-AU"/>
        </w:rPr>
        <w:t xml:space="preserve"> U</w:t>
      </w:r>
      <w:r w:rsidR="00BA33DE">
        <w:rPr>
          <w:lang w:val="en-AU"/>
        </w:rPr>
        <w:t xml:space="preserve">tility </w:t>
      </w:r>
      <w:r w:rsidR="00BA33DE" w:rsidRPr="00AE3DB4">
        <w:rPr>
          <w:lang w:val="en-AU"/>
        </w:rPr>
        <w:t>R</w:t>
      </w:r>
      <w:r w:rsidR="00BA33DE">
        <w:rPr>
          <w:lang w:val="en-AU"/>
        </w:rPr>
        <w:t xml:space="preserve">elief </w:t>
      </w:r>
      <w:r w:rsidR="00BA33DE" w:rsidRPr="00AE3DB4">
        <w:rPr>
          <w:lang w:val="en-AU"/>
        </w:rPr>
        <w:t>G</w:t>
      </w:r>
      <w:r w:rsidR="00BA33DE">
        <w:rPr>
          <w:lang w:val="en-AU"/>
        </w:rPr>
        <w:t xml:space="preserve">rant </w:t>
      </w:r>
      <w:r w:rsidR="00BA33DE" w:rsidRPr="00AE3DB4">
        <w:rPr>
          <w:lang w:val="en-AU"/>
        </w:rPr>
        <w:t>S</w:t>
      </w:r>
      <w:r w:rsidR="00BA33DE">
        <w:rPr>
          <w:lang w:val="en-AU"/>
        </w:rPr>
        <w:t>cheme</w:t>
      </w:r>
      <w:r w:rsidR="00BA33DE" w:rsidRPr="00AE3DB4">
        <w:rPr>
          <w:lang w:val="en-AU"/>
        </w:rPr>
        <w:t xml:space="preserve"> </w:t>
      </w:r>
      <w:r w:rsidR="00BA33DE">
        <w:rPr>
          <w:lang w:val="en-AU"/>
        </w:rPr>
        <w:t xml:space="preserve">grant </w:t>
      </w:r>
      <w:r w:rsidR="00D109F7" w:rsidRPr="00AE3DB4">
        <w:rPr>
          <w:lang w:val="en-AU"/>
        </w:rPr>
        <w:t xml:space="preserve">on their gas bill, </w:t>
      </w:r>
      <w:r w:rsidR="00AE3DB4" w:rsidRPr="00AE3DB4">
        <w:rPr>
          <w:lang w:val="en-AU"/>
        </w:rPr>
        <w:t>at an amount of $500</w:t>
      </w:r>
      <w:r w:rsidR="00AE3DB4" w:rsidRPr="006F724A">
        <w:rPr>
          <w:lang w:val="en-AU"/>
        </w:rPr>
        <w:t>.</w:t>
      </w:r>
      <w:r w:rsidRPr="006F724A">
        <w:rPr>
          <w:lang w:val="en-AU"/>
        </w:rPr>
        <w:t xml:space="preserve">  In 2007, the </w:t>
      </w:r>
      <w:r w:rsidRPr="008C257B">
        <w:rPr>
          <w:lang w:val="en-AU"/>
        </w:rPr>
        <w:t xml:space="preserve">figure </w:t>
      </w:r>
      <w:r w:rsidR="00B16FCD" w:rsidRPr="008C257B">
        <w:rPr>
          <w:lang w:val="en-AU"/>
        </w:rPr>
        <w:t xml:space="preserve">was </w:t>
      </w:r>
      <w:r w:rsidRPr="008C257B">
        <w:rPr>
          <w:lang w:val="en-AU"/>
        </w:rPr>
        <w:t xml:space="preserve">1%, but the average amount </w:t>
      </w:r>
      <w:r w:rsidR="00B16FCD" w:rsidRPr="008C257B">
        <w:rPr>
          <w:lang w:val="en-AU"/>
        </w:rPr>
        <w:t xml:space="preserve">was </w:t>
      </w:r>
      <w:r w:rsidRPr="008C257B">
        <w:rPr>
          <w:lang w:val="en-AU"/>
        </w:rPr>
        <w:t>considerably lower at $84</w:t>
      </w:r>
      <w:r w:rsidR="00DD19AA">
        <w:rPr>
          <w:lang w:val="en-AU"/>
        </w:rPr>
        <w:t>.</w:t>
      </w:r>
      <w:r w:rsidR="008C257B" w:rsidRPr="008C257B">
        <w:rPr>
          <w:lang w:val="en-AU"/>
        </w:rPr>
        <w:t xml:space="preserve">  We note that the 2007 figure is considered low, but it correctly reflects the data from the 2007 survey</w:t>
      </w:r>
      <w:r w:rsidRPr="008C257B">
        <w:rPr>
          <w:lang w:val="en-AU"/>
        </w:rPr>
        <w:t>.  In 2014, 8</w:t>
      </w:r>
      <w:r w:rsidR="00AE3DB4" w:rsidRPr="008C257B">
        <w:rPr>
          <w:lang w:val="en-AU"/>
        </w:rPr>
        <w:t>3</w:t>
      </w:r>
      <w:r w:rsidRPr="008C257B">
        <w:rPr>
          <w:lang w:val="en-AU"/>
        </w:rPr>
        <w:t>% of gas households r</w:t>
      </w:r>
      <w:r w:rsidR="00D109F7" w:rsidRPr="008C257B">
        <w:rPr>
          <w:lang w:val="en-AU"/>
        </w:rPr>
        <w:t xml:space="preserve">eceived other forms of </w:t>
      </w:r>
      <w:r w:rsidR="00F378A0" w:rsidRPr="008C257B">
        <w:rPr>
          <w:lang w:val="en-AU"/>
        </w:rPr>
        <w:t xml:space="preserve">retailer provided </w:t>
      </w:r>
      <w:r w:rsidR="00D109F7" w:rsidRPr="008C257B">
        <w:rPr>
          <w:lang w:val="en-AU"/>
        </w:rPr>
        <w:t>discount</w:t>
      </w:r>
      <w:r w:rsidR="00F378A0" w:rsidRPr="008C257B">
        <w:rPr>
          <w:lang w:val="en-AU"/>
        </w:rPr>
        <w:t>s</w:t>
      </w:r>
      <w:r w:rsidR="00D109F7" w:rsidRPr="008C257B">
        <w:rPr>
          <w:lang w:val="en-AU"/>
        </w:rPr>
        <w:t xml:space="preserve"> (</w:t>
      </w:r>
      <w:r w:rsidRPr="008C257B">
        <w:rPr>
          <w:lang w:val="en-AU"/>
        </w:rPr>
        <w:t>up from 26</w:t>
      </w:r>
      <w:r w:rsidR="00D109F7" w:rsidRPr="008C257B">
        <w:rPr>
          <w:lang w:val="en-AU"/>
        </w:rPr>
        <w:t>%</w:t>
      </w:r>
      <w:r w:rsidRPr="008C257B">
        <w:rPr>
          <w:lang w:val="en-AU"/>
        </w:rPr>
        <w:t xml:space="preserve"> in 2007</w:t>
      </w:r>
      <w:r w:rsidR="00D109F7" w:rsidRPr="008C257B">
        <w:rPr>
          <w:lang w:val="en-AU"/>
        </w:rPr>
        <w:t xml:space="preserve">), primarily </w:t>
      </w:r>
      <w:r w:rsidR="00F378A0" w:rsidRPr="008C257B">
        <w:rPr>
          <w:lang w:val="en-AU"/>
        </w:rPr>
        <w:t xml:space="preserve">in the form of </w:t>
      </w:r>
      <w:r w:rsidR="00D109F7" w:rsidRPr="008C257B">
        <w:rPr>
          <w:lang w:val="en-AU"/>
        </w:rPr>
        <w:t>a discount</w:t>
      </w:r>
      <w:r w:rsidR="00D109F7" w:rsidRPr="009C7D53">
        <w:rPr>
          <w:lang w:val="en-AU"/>
        </w:rPr>
        <w:t xml:space="preserve"> for paying the bill by the due date.</w:t>
      </w:r>
      <w:r w:rsidR="00F72351" w:rsidRPr="009C7D53">
        <w:rPr>
          <w:lang w:val="en-AU"/>
        </w:rPr>
        <w:t xml:space="preserve">  This proportion was fairly consistent across the various sub groups</w:t>
      </w:r>
      <w:r w:rsidR="00AE3DB4" w:rsidRPr="009C7D53">
        <w:rPr>
          <w:lang w:val="en-AU"/>
        </w:rPr>
        <w:t>, though households in Melbourne (84%) were more likely than those in country Victoria (79%) to have received a discount</w:t>
      </w:r>
      <w:r w:rsidR="00F72351" w:rsidRPr="009C7D53">
        <w:rPr>
          <w:lang w:val="en-AU"/>
        </w:rPr>
        <w:t>.  The average size of other discounts in 2014 was $</w:t>
      </w:r>
      <w:r w:rsidR="009C7D53" w:rsidRPr="009C7D53">
        <w:rPr>
          <w:lang w:val="en-AU"/>
        </w:rPr>
        <w:t>59</w:t>
      </w:r>
      <w:r w:rsidR="00F72351" w:rsidRPr="009C7D53">
        <w:rPr>
          <w:lang w:val="en-AU"/>
        </w:rPr>
        <w:t>, up from $54 in 2007.  The substantial increase in the proportion of gas households receiving other discounts probably reflects the growth in use of pay on time discounts as a feature of retail gas contracts.</w:t>
      </w:r>
      <w:r w:rsidRPr="009C7D53">
        <w:rPr>
          <w:lang w:val="en-AU"/>
        </w:rPr>
        <w:t xml:space="preserve">  </w:t>
      </w:r>
    </w:p>
    <w:p w14:paraId="12D9BB80" w14:textId="77777777" w:rsidR="00F72351" w:rsidRPr="006F724A" w:rsidRDefault="00F72351" w:rsidP="00D109F7">
      <w:pPr>
        <w:pStyle w:val="Para"/>
        <w:rPr>
          <w:lang w:val="en-AU"/>
        </w:rPr>
      </w:pPr>
    </w:p>
    <w:p w14:paraId="44605F46" w14:textId="77777777" w:rsidR="00D109F7" w:rsidRPr="003835AE" w:rsidRDefault="00D109F7" w:rsidP="00D109F7">
      <w:pPr>
        <w:pStyle w:val="Para"/>
        <w:outlineLvl w:val="0"/>
        <w:rPr>
          <w:highlight w:val="yellow"/>
          <w:lang w:val="en-AU"/>
        </w:rPr>
        <w:sectPr w:rsidR="00D109F7" w:rsidRPr="003835AE" w:rsidSect="003B68D0">
          <w:headerReference w:type="default" r:id="rId31"/>
          <w:footerReference w:type="default" r:id="rId32"/>
          <w:footnotePr>
            <w:numRestart w:val="eachPage"/>
          </w:footnotePr>
          <w:pgSz w:w="16840" w:h="11907" w:orient="landscape" w:code="9"/>
          <w:pgMar w:top="1701" w:right="1418" w:bottom="1418" w:left="851" w:header="851" w:footer="170" w:gutter="0"/>
          <w:cols w:space="720"/>
          <w:formProt w:val="0"/>
        </w:sectPr>
      </w:pPr>
    </w:p>
    <w:p w14:paraId="4033DBD8" w14:textId="6CB651DC" w:rsidR="00D109F7" w:rsidRPr="009C7D53" w:rsidRDefault="00D109F7" w:rsidP="00F15A9B">
      <w:pPr>
        <w:pStyle w:val="Para"/>
        <w:spacing w:after="120"/>
        <w:jc w:val="center"/>
        <w:outlineLvl w:val="0"/>
        <w:rPr>
          <w:b/>
          <w:u w:val="single"/>
          <w:lang w:val="en-AU"/>
        </w:rPr>
      </w:pPr>
      <w:r w:rsidRPr="009C7D53">
        <w:rPr>
          <w:b/>
          <w:lang w:val="en-AU"/>
        </w:rPr>
        <w:lastRenderedPageBreak/>
        <w:t>Table 4.3.2.</w:t>
      </w:r>
      <w:r w:rsidR="00DF177F">
        <w:rPr>
          <w:b/>
          <w:lang w:val="en-AU"/>
        </w:rPr>
        <w:t>2</w:t>
      </w:r>
      <w:r w:rsidRPr="009C7D53">
        <w:rPr>
          <w:b/>
          <w:lang w:val="en-AU"/>
        </w:rPr>
        <w:t xml:space="preserve">: </w:t>
      </w:r>
      <w:r w:rsidRPr="009C7D53">
        <w:rPr>
          <w:b/>
          <w:u w:val="single"/>
          <w:lang w:val="en-AU"/>
        </w:rPr>
        <w:t xml:space="preserve">Gas Bill Charges </w:t>
      </w:r>
      <w:r w:rsidR="0014364D" w:rsidRPr="009C7D53">
        <w:rPr>
          <w:b/>
          <w:u w:val="single"/>
          <w:lang w:val="en-AU"/>
        </w:rPr>
        <w:t>– Part 1</w:t>
      </w:r>
    </w:p>
    <w:tbl>
      <w:tblPr>
        <w:tblW w:w="12936" w:type="dxa"/>
        <w:jc w:val="center"/>
        <w:tblLook w:val="04A0" w:firstRow="1" w:lastRow="0" w:firstColumn="1" w:lastColumn="0" w:noHBand="0" w:noVBand="1"/>
      </w:tblPr>
      <w:tblGrid>
        <w:gridCol w:w="2291"/>
        <w:gridCol w:w="734"/>
        <w:gridCol w:w="734"/>
        <w:gridCol w:w="734"/>
        <w:gridCol w:w="734"/>
        <w:gridCol w:w="857"/>
        <w:gridCol w:w="734"/>
        <w:gridCol w:w="734"/>
        <w:gridCol w:w="857"/>
        <w:gridCol w:w="734"/>
        <w:gridCol w:w="734"/>
        <w:gridCol w:w="857"/>
        <w:gridCol w:w="734"/>
        <w:gridCol w:w="734"/>
        <w:gridCol w:w="734"/>
      </w:tblGrid>
      <w:tr w:rsidR="00086B9C" w:rsidRPr="009C7D53" w14:paraId="55CCEEC7" w14:textId="77777777" w:rsidTr="00AF0E73">
        <w:trPr>
          <w:cantSplit/>
          <w:trHeight w:val="255"/>
          <w:tblHeader/>
          <w:jc w:val="center"/>
        </w:trPr>
        <w:tc>
          <w:tcPr>
            <w:tcW w:w="2291" w:type="dxa"/>
            <w:tcBorders>
              <w:top w:val="double" w:sz="6" w:space="0" w:color="auto"/>
              <w:left w:val="double" w:sz="6" w:space="0" w:color="auto"/>
              <w:bottom w:val="single" w:sz="4" w:space="0" w:color="BFBFBF"/>
              <w:right w:val="nil"/>
            </w:tcBorders>
            <w:shd w:val="clear" w:color="auto" w:fill="auto"/>
            <w:noWrap/>
            <w:vAlign w:val="center"/>
          </w:tcPr>
          <w:p w14:paraId="2085B806"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2936" w:type="dxa"/>
            <w:gridSpan w:val="4"/>
            <w:vMerge w:val="restart"/>
            <w:tcBorders>
              <w:top w:val="double" w:sz="6" w:space="0" w:color="auto"/>
              <w:left w:val="single" w:sz="4" w:space="0" w:color="auto"/>
              <w:bottom w:val="single" w:sz="4" w:space="0" w:color="BFBFBF"/>
              <w:right w:val="single" w:sz="2" w:space="0" w:color="auto"/>
            </w:tcBorders>
            <w:shd w:val="clear" w:color="auto" w:fill="auto"/>
            <w:noWrap/>
            <w:vAlign w:val="center"/>
          </w:tcPr>
          <w:p w14:paraId="44F18DC1"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 Paying Mains Gas Bills</w:t>
            </w:r>
          </w:p>
        </w:tc>
        <w:tc>
          <w:tcPr>
            <w:tcW w:w="7709" w:type="dxa"/>
            <w:gridSpan w:val="10"/>
            <w:tcBorders>
              <w:top w:val="double" w:sz="6" w:space="0" w:color="auto"/>
              <w:left w:val="single" w:sz="2" w:space="0" w:color="auto"/>
              <w:bottom w:val="single" w:sz="4" w:space="0" w:color="BFBFBF"/>
              <w:right w:val="double" w:sz="6" w:space="0" w:color="000000"/>
            </w:tcBorders>
            <w:shd w:val="clear" w:color="auto" w:fill="auto"/>
            <w:noWrap/>
            <w:vAlign w:val="center"/>
          </w:tcPr>
          <w:p w14:paraId="01D7FB36"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Gas Consumption Charge ($)</w:t>
            </w:r>
          </w:p>
        </w:tc>
      </w:tr>
      <w:tr w:rsidR="00086B9C" w:rsidRPr="009C7D53" w14:paraId="0397C028" w14:textId="77777777" w:rsidTr="00D92C64">
        <w:trPr>
          <w:cantSplit/>
          <w:trHeight w:val="240"/>
          <w:tblHeader/>
          <w:jc w:val="center"/>
        </w:trPr>
        <w:tc>
          <w:tcPr>
            <w:tcW w:w="2291" w:type="dxa"/>
            <w:tcBorders>
              <w:top w:val="single" w:sz="4" w:space="0" w:color="BFBFBF"/>
              <w:left w:val="double" w:sz="6" w:space="0" w:color="auto"/>
              <w:bottom w:val="single" w:sz="4" w:space="0" w:color="BFBFBF"/>
              <w:right w:val="single" w:sz="2" w:space="0" w:color="auto"/>
            </w:tcBorders>
            <w:shd w:val="clear" w:color="auto" w:fill="auto"/>
            <w:noWrap/>
            <w:vAlign w:val="center"/>
          </w:tcPr>
          <w:p w14:paraId="31F12FEC"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2936" w:type="dxa"/>
            <w:gridSpan w:val="4"/>
            <w:vMerge/>
            <w:tcBorders>
              <w:top w:val="single" w:sz="4" w:space="0" w:color="BFBFBF"/>
              <w:left w:val="single" w:sz="2" w:space="0" w:color="auto"/>
              <w:bottom w:val="single" w:sz="4" w:space="0" w:color="BFBFBF"/>
              <w:right w:val="single" w:sz="2" w:space="0" w:color="auto"/>
            </w:tcBorders>
            <w:vAlign w:val="center"/>
          </w:tcPr>
          <w:p w14:paraId="0CC8433C" w14:textId="77777777" w:rsidR="00086B9C" w:rsidRPr="009C7D53" w:rsidRDefault="00086B9C" w:rsidP="00086B9C">
            <w:pPr>
              <w:spacing w:before="0" w:after="0"/>
              <w:rPr>
                <w:rFonts w:ascii="Arial" w:hAnsi="Arial" w:cs="Arial"/>
                <w:b/>
                <w:bCs/>
                <w:color w:val="000000"/>
                <w:sz w:val="16"/>
                <w:szCs w:val="16"/>
                <w:lang w:val="en-AU" w:eastAsia="en-AU"/>
              </w:rPr>
            </w:pPr>
          </w:p>
        </w:tc>
        <w:tc>
          <w:tcPr>
            <w:tcW w:w="2325" w:type="dxa"/>
            <w:gridSpan w:val="3"/>
            <w:tcBorders>
              <w:top w:val="single" w:sz="4" w:space="0" w:color="BFBFBF"/>
              <w:left w:val="single" w:sz="2" w:space="0" w:color="auto"/>
              <w:bottom w:val="single" w:sz="4" w:space="0" w:color="BFBFBF"/>
              <w:right w:val="single" w:sz="4" w:space="0" w:color="BFBFBF"/>
            </w:tcBorders>
            <w:shd w:val="clear" w:color="auto" w:fill="auto"/>
            <w:noWrap/>
            <w:vAlign w:val="center"/>
          </w:tcPr>
          <w:p w14:paraId="79C807BF" w14:textId="77777777" w:rsidR="00086B9C" w:rsidRPr="009C7D53" w:rsidRDefault="00086B9C" w:rsidP="00D92C64">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2014</w:t>
            </w:r>
          </w:p>
        </w:tc>
        <w:tc>
          <w:tcPr>
            <w:tcW w:w="2325" w:type="dxa"/>
            <w:gridSpan w:val="3"/>
            <w:tcBorders>
              <w:top w:val="single" w:sz="4" w:space="0" w:color="BFBFBF"/>
              <w:left w:val="nil"/>
              <w:bottom w:val="single" w:sz="4" w:space="0" w:color="BFBFBF"/>
              <w:right w:val="single" w:sz="4" w:space="0" w:color="BFBFBF"/>
            </w:tcBorders>
            <w:shd w:val="clear" w:color="auto" w:fill="auto"/>
            <w:noWrap/>
            <w:vAlign w:val="center"/>
          </w:tcPr>
          <w:p w14:paraId="09DE1803" w14:textId="77777777" w:rsidR="00086B9C" w:rsidRPr="009C7D53" w:rsidRDefault="00086B9C" w:rsidP="00D92C64">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2007</w:t>
            </w:r>
          </w:p>
        </w:tc>
        <w:tc>
          <w:tcPr>
            <w:tcW w:w="2325" w:type="dxa"/>
            <w:gridSpan w:val="3"/>
            <w:tcBorders>
              <w:top w:val="single" w:sz="4" w:space="0" w:color="BFBFBF"/>
              <w:left w:val="nil"/>
              <w:bottom w:val="single" w:sz="4" w:space="0" w:color="BFBFBF"/>
              <w:right w:val="single" w:sz="4" w:space="0" w:color="BFBFBF"/>
            </w:tcBorders>
            <w:shd w:val="clear" w:color="auto" w:fill="auto"/>
            <w:noWrap/>
            <w:vAlign w:val="center"/>
          </w:tcPr>
          <w:p w14:paraId="284BD4AD" w14:textId="77777777" w:rsidR="00086B9C" w:rsidRPr="009C7D53" w:rsidRDefault="00086B9C" w:rsidP="00D92C64">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2001*</w:t>
            </w:r>
          </w:p>
        </w:tc>
        <w:tc>
          <w:tcPr>
            <w:tcW w:w="734" w:type="dxa"/>
            <w:vMerge w:val="restart"/>
            <w:tcBorders>
              <w:top w:val="nil"/>
              <w:left w:val="single" w:sz="4" w:space="0" w:color="BFBFBF"/>
              <w:bottom w:val="single" w:sz="4" w:space="0" w:color="BFBFBF"/>
              <w:right w:val="double" w:sz="6" w:space="0" w:color="auto"/>
            </w:tcBorders>
            <w:shd w:val="clear" w:color="auto" w:fill="auto"/>
            <w:noWrap/>
            <w:vAlign w:val="center"/>
          </w:tcPr>
          <w:p w14:paraId="002AC36C"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1996^</w:t>
            </w:r>
          </w:p>
        </w:tc>
      </w:tr>
      <w:tr w:rsidR="00086B9C" w:rsidRPr="009C7D53" w14:paraId="09D91E30" w14:textId="77777777" w:rsidTr="00AF0E73">
        <w:trPr>
          <w:cantSplit/>
          <w:trHeight w:val="225"/>
          <w:tblHeader/>
          <w:jc w:val="center"/>
        </w:trPr>
        <w:tc>
          <w:tcPr>
            <w:tcW w:w="2291" w:type="dxa"/>
            <w:tcBorders>
              <w:top w:val="nil"/>
              <w:left w:val="double" w:sz="6" w:space="0" w:color="auto"/>
              <w:bottom w:val="single" w:sz="4" w:space="0" w:color="BFBFBF"/>
              <w:right w:val="nil"/>
            </w:tcBorders>
            <w:shd w:val="clear" w:color="auto" w:fill="auto"/>
            <w:noWrap/>
            <w:vAlign w:val="center"/>
          </w:tcPr>
          <w:p w14:paraId="6FB381AA"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54825BBE"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2014</w:t>
            </w:r>
          </w:p>
        </w:tc>
        <w:tc>
          <w:tcPr>
            <w:tcW w:w="734" w:type="dxa"/>
            <w:tcBorders>
              <w:top w:val="nil"/>
              <w:left w:val="nil"/>
              <w:bottom w:val="single" w:sz="4" w:space="0" w:color="BFBFBF"/>
              <w:right w:val="single" w:sz="4" w:space="0" w:color="BFBFBF"/>
            </w:tcBorders>
            <w:shd w:val="clear" w:color="auto" w:fill="auto"/>
            <w:noWrap/>
            <w:vAlign w:val="center"/>
          </w:tcPr>
          <w:p w14:paraId="28065AD2"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2007</w:t>
            </w:r>
          </w:p>
        </w:tc>
        <w:tc>
          <w:tcPr>
            <w:tcW w:w="734" w:type="dxa"/>
            <w:tcBorders>
              <w:top w:val="nil"/>
              <w:left w:val="nil"/>
              <w:bottom w:val="single" w:sz="4" w:space="0" w:color="BFBFBF"/>
              <w:right w:val="single" w:sz="4" w:space="0" w:color="BFBFBF"/>
            </w:tcBorders>
            <w:shd w:val="clear" w:color="auto" w:fill="auto"/>
            <w:noWrap/>
            <w:vAlign w:val="center"/>
          </w:tcPr>
          <w:p w14:paraId="16D6F91E"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2001</w:t>
            </w:r>
          </w:p>
        </w:tc>
        <w:tc>
          <w:tcPr>
            <w:tcW w:w="734" w:type="dxa"/>
            <w:tcBorders>
              <w:top w:val="nil"/>
              <w:left w:val="nil"/>
              <w:bottom w:val="single" w:sz="4" w:space="0" w:color="BFBFBF"/>
              <w:right w:val="single" w:sz="4" w:space="0" w:color="auto"/>
            </w:tcBorders>
            <w:shd w:val="clear" w:color="auto" w:fill="auto"/>
            <w:noWrap/>
            <w:vAlign w:val="center"/>
          </w:tcPr>
          <w:p w14:paraId="501FAAAC"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1996</w:t>
            </w:r>
          </w:p>
        </w:tc>
        <w:tc>
          <w:tcPr>
            <w:tcW w:w="857" w:type="dxa"/>
            <w:tcBorders>
              <w:top w:val="nil"/>
              <w:left w:val="nil"/>
              <w:bottom w:val="single" w:sz="4" w:space="0" w:color="BFBFBF"/>
              <w:right w:val="single" w:sz="4" w:space="0" w:color="BFBFBF"/>
            </w:tcBorders>
            <w:shd w:val="clear" w:color="auto" w:fill="auto"/>
            <w:noWrap/>
            <w:vAlign w:val="center"/>
          </w:tcPr>
          <w:p w14:paraId="69E359DB"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Summer</w:t>
            </w:r>
          </w:p>
        </w:tc>
        <w:tc>
          <w:tcPr>
            <w:tcW w:w="734" w:type="dxa"/>
            <w:tcBorders>
              <w:top w:val="nil"/>
              <w:left w:val="nil"/>
              <w:bottom w:val="single" w:sz="4" w:space="0" w:color="BFBFBF"/>
              <w:right w:val="single" w:sz="4" w:space="0" w:color="BFBFBF"/>
            </w:tcBorders>
            <w:shd w:val="clear" w:color="auto" w:fill="auto"/>
            <w:noWrap/>
            <w:vAlign w:val="center"/>
          </w:tcPr>
          <w:p w14:paraId="51FB0A70"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Winter</w:t>
            </w:r>
          </w:p>
        </w:tc>
        <w:tc>
          <w:tcPr>
            <w:tcW w:w="734" w:type="dxa"/>
            <w:tcBorders>
              <w:top w:val="nil"/>
              <w:left w:val="nil"/>
              <w:bottom w:val="single" w:sz="4" w:space="0" w:color="BFBFBF"/>
              <w:right w:val="single" w:sz="4" w:space="0" w:color="BFBFBF"/>
            </w:tcBorders>
            <w:shd w:val="clear" w:color="auto" w:fill="auto"/>
            <w:noWrap/>
            <w:vAlign w:val="center"/>
          </w:tcPr>
          <w:p w14:paraId="26CC4966"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Total</w:t>
            </w:r>
          </w:p>
        </w:tc>
        <w:tc>
          <w:tcPr>
            <w:tcW w:w="857" w:type="dxa"/>
            <w:tcBorders>
              <w:top w:val="nil"/>
              <w:left w:val="nil"/>
              <w:bottom w:val="single" w:sz="4" w:space="0" w:color="BFBFBF"/>
              <w:right w:val="single" w:sz="4" w:space="0" w:color="BFBFBF"/>
            </w:tcBorders>
            <w:shd w:val="clear" w:color="auto" w:fill="auto"/>
            <w:noWrap/>
            <w:vAlign w:val="center"/>
          </w:tcPr>
          <w:p w14:paraId="06289850"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Summer</w:t>
            </w:r>
          </w:p>
        </w:tc>
        <w:tc>
          <w:tcPr>
            <w:tcW w:w="734" w:type="dxa"/>
            <w:tcBorders>
              <w:top w:val="nil"/>
              <w:left w:val="nil"/>
              <w:bottom w:val="single" w:sz="4" w:space="0" w:color="BFBFBF"/>
              <w:right w:val="single" w:sz="4" w:space="0" w:color="BFBFBF"/>
            </w:tcBorders>
            <w:shd w:val="clear" w:color="auto" w:fill="auto"/>
            <w:noWrap/>
            <w:vAlign w:val="center"/>
          </w:tcPr>
          <w:p w14:paraId="5E67E8C3"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Winter</w:t>
            </w:r>
          </w:p>
        </w:tc>
        <w:tc>
          <w:tcPr>
            <w:tcW w:w="734" w:type="dxa"/>
            <w:tcBorders>
              <w:top w:val="nil"/>
              <w:left w:val="nil"/>
              <w:bottom w:val="single" w:sz="4" w:space="0" w:color="BFBFBF"/>
              <w:right w:val="single" w:sz="4" w:space="0" w:color="BFBFBF"/>
            </w:tcBorders>
            <w:shd w:val="clear" w:color="auto" w:fill="auto"/>
            <w:noWrap/>
            <w:vAlign w:val="center"/>
          </w:tcPr>
          <w:p w14:paraId="5359676A"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Total</w:t>
            </w:r>
          </w:p>
        </w:tc>
        <w:tc>
          <w:tcPr>
            <w:tcW w:w="857" w:type="dxa"/>
            <w:tcBorders>
              <w:top w:val="nil"/>
              <w:left w:val="nil"/>
              <w:bottom w:val="single" w:sz="4" w:space="0" w:color="BFBFBF"/>
              <w:right w:val="single" w:sz="4" w:space="0" w:color="BFBFBF"/>
            </w:tcBorders>
            <w:shd w:val="clear" w:color="auto" w:fill="auto"/>
            <w:noWrap/>
            <w:vAlign w:val="center"/>
          </w:tcPr>
          <w:p w14:paraId="27E140E6"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Summer</w:t>
            </w:r>
          </w:p>
        </w:tc>
        <w:tc>
          <w:tcPr>
            <w:tcW w:w="734" w:type="dxa"/>
            <w:tcBorders>
              <w:top w:val="nil"/>
              <w:left w:val="nil"/>
              <w:bottom w:val="single" w:sz="4" w:space="0" w:color="BFBFBF"/>
              <w:right w:val="single" w:sz="4" w:space="0" w:color="BFBFBF"/>
            </w:tcBorders>
            <w:shd w:val="clear" w:color="auto" w:fill="auto"/>
            <w:noWrap/>
            <w:vAlign w:val="center"/>
          </w:tcPr>
          <w:p w14:paraId="078386E8"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Winter</w:t>
            </w:r>
          </w:p>
        </w:tc>
        <w:tc>
          <w:tcPr>
            <w:tcW w:w="734" w:type="dxa"/>
            <w:tcBorders>
              <w:top w:val="nil"/>
              <w:left w:val="nil"/>
              <w:bottom w:val="single" w:sz="4" w:space="0" w:color="BFBFBF"/>
              <w:right w:val="single" w:sz="4" w:space="0" w:color="BFBFBF"/>
            </w:tcBorders>
            <w:shd w:val="clear" w:color="auto" w:fill="auto"/>
            <w:noWrap/>
            <w:vAlign w:val="center"/>
          </w:tcPr>
          <w:p w14:paraId="5BDB3378" w14:textId="77777777" w:rsidR="00086B9C" w:rsidRPr="009C7D53" w:rsidRDefault="00086B9C"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Total</w:t>
            </w:r>
          </w:p>
        </w:tc>
        <w:tc>
          <w:tcPr>
            <w:tcW w:w="734" w:type="dxa"/>
            <w:vMerge/>
            <w:tcBorders>
              <w:top w:val="nil"/>
              <w:left w:val="single" w:sz="4" w:space="0" w:color="BFBFBF"/>
              <w:bottom w:val="single" w:sz="4" w:space="0" w:color="BFBFBF"/>
              <w:right w:val="double" w:sz="6" w:space="0" w:color="auto"/>
            </w:tcBorders>
            <w:vAlign w:val="center"/>
          </w:tcPr>
          <w:p w14:paraId="03525D7C" w14:textId="77777777" w:rsidR="00086B9C" w:rsidRPr="009C7D53" w:rsidRDefault="00086B9C" w:rsidP="00086B9C">
            <w:pPr>
              <w:spacing w:before="0" w:after="0"/>
              <w:rPr>
                <w:rFonts w:ascii="Arial" w:hAnsi="Arial" w:cs="Arial"/>
                <w:b/>
                <w:bCs/>
                <w:color w:val="000000"/>
                <w:sz w:val="16"/>
                <w:szCs w:val="16"/>
                <w:lang w:val="en-AU" w:eastAsia="en-AU"/>
              </w:rPr>
            </w:pPr>
          </w:p>
        </w:tc>
      </w:tr>
      <w:tr w:rsidR="00086B9C" w:rsidRPr="009C7D53" w14:paraId="6149B31A" w14:textId="77777777" w:rsidTr="00AF0E73">
        <w:trPr>
          <w:cantSplit/>
          <w:trHeight w:val="225"/>
          <w:tblHeader/>
          <w:jc w:val="center"/>
        </w:trPr>
        <w:tc>
          <w:tcPr>
            <w:tcW w:w="2291" w:type="dxa"/>
            <w:tcBorders>
              <w:top w:val="nil"/>
              <w:left w:val="double" w:sz="6" w:space="0" w:color="auto"/>
              <w:bottom w:val="single" w:sz="4" w:space="0" w:color="BFBFBF"/>
              <w:right w:val="nil"/>
            </w:tcBorders>
            <w:shd w:val="clear" w:color="auto" w:fill="auto"/>
            <w:noWrap/>
            <w:vAlign w:val="center"/>
          </w:tcPr>
          <w:p w14:paraId="6967DD7F" w14:textId="77777777" w:rsidR="00086B9C" w:rsidRPr="009C7D53" w:rsidRDefault="00086B9C" w:rsidP="00086B9C">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Sub-groups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0A93B9A" w14:textId="77777777" w:rsidR="00086B9C" w:rsidRPr="009C7D53" w:rsidRDefault="00086B9C" w:rsidP="00086B9C">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n=1,861</w:t>
            </w:r>
          </w:p>
        </w:tc>
        <w:tc>
          <w:tcPr>
            <w:tcW w:w="734" w:type="dxa"/>
            <w:tcBorders>
              <w:top w:val="nil"/>
              <w:left w:val="nil"/>
              <w:bottom w:val="single" w:sz="4" w:space="0" w:color="BFBFBF"/>
              <w:right w:val="single" w:sz="4" w:space="0" w:color="BFBFBF"/>
            </w:tcBorders>
            <w:shd w:val="clear" w:color="auto" w:fill="auto"/>
            <w:noWrap/>
            <w:vAlign w:val="center"/>
          </w:tcPr>
          <w:p w14:paraId="076051C6" w14:textId="77777777" w:rsidR="00086B9C" w:rsidRPr="009C7D53" w:rsidRDefault="00086B9C" w:rsidP="00086B9C">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n=2,061</w:t>
            </w:r>
          </w:p>
        </w:tc>
        <w:tc>
          <w:tcPr>
            <w:tcW w:w="734" w:type="dxa"/>
            <w:tcBorders>
              <w:top w:val="nil"/>
              <w:left w:val="nil"/>
              <w:bottom w:val="single" w:sz="4" w:space="0" w:color="BFBFBF"/>
              <w:right w:val="single" w:sz="4" w:space="0" w:color="BFBFBF"/>
            </w:tcBorders>
            <w:shd w:val="clear" w:color="auto" w:fill="auto"/>
            <w:noWrap/>
            <w:vAlign w:val="center"/>
          </w:tcPr>
          <w:p w14:paraId="152DCFB5" w14:textId="77777777" w:rsidR="00086B9C" w:rsidRPr="009C7D53" w:rsidRDefault="00086B9C" w:rsidP="00086B9C">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n=2,006</w:t>
            </w:r>
          </w:p>
        </w:tc>
        <w:tc>
          <w:tcPr>
            <w:tcW w:w="734" w:type="dxa"/>
            <w:tcBorders>
              <w:top w:val="nil"/>
              <w:left w:val="nil"/>
              <w:bottom w:val="single" w:sz="4" w:space="0" w:color="BFBFBF"/>
              <w:right w:val="single" w:sz="4" w:space="0" w:color="auto"/>
            </w:tcBorders>
            <w:shd w:val="clear" w:color="auto" w:fill="auto"/>
            <w:noWrap/>
            <w:vAlign w:val="center"/>
          </w:tcPr>
          <w:p w14:paraId="1985FDC4" w14:textId="77777777" w:rsidR="00086B9C" w:rsidRPr="009C7D53" w:rsidRDefault="00086B9C" w:rsidP="00086B9C">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n=2,000</w:t>
            </w:r>
          </w:p>
        </w:tc>
        <w:tc>
          <w:tcPr>
            <w:tcW w:w="857" w:type="dxa"/>
            <w:tcBorders>
              <w:top w:val="nil"/>
              <w:left w:val="nil"/>
              <w:bottom w:val="single" w:sz="4" w:space="0" w:color="BFBFBF"/>
              <w:right w:val="single" w:sz="4" w:space="0" w:color="BFBFBF"/>
            </w:tcBorders>
            <w:shd w:val="clear" w:color="auto" w:fill="auto"/>
            <w:noWrap/>
            <w:vAlign w:val="center"/>
          </w:tcPr>
          <w:p w14:paraId="446505B8" w14:textId="77777777" w:rsidR="00086B9C" w:rsidRPr="009C7D53" w:rsidRDefault="00086B9C" w:rsidP="00AF0E73">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w:t>
            </w:r>
            <w:r w:rsidR="000B5F00" w:rsidRPr="009C7D53">
              <w:rPr>
                <w:rFonts w:ascii="Arial" w:hAnsi="Arial" w:cs="Arial"/>
                <w:b/>
                <w:bCs/>
                <w:color w:val="000000"/>
                <w:sz w:val="14"/>
                <w:szCs w:val="14"/>
                <w:lang w:val="en-AU" w:eastAsia="en-AU"/>
              </w:rPr>
              <w:t>,</w:t>
            </w:r>
            <w:r w:rsidRPr="009C7D53">
              <w:rPr>
                <w:rFonts w:ascii="Arial" w:hAnsi="Arial" w:cs="Arial"/>
                <w:b/>
                <w:bCs/>
                <w:color w:val="000000"/>
                <w:sz w:val="14"/>
                <w:szCs w:val="14"/>
                <w:lang w:val="en-AU" w:eastAsia="en-AU"/>
              </w:rPr>
              <w:t>3</w:t>
            </w:r>
            <w:r w:rsidR="00AF0E73" w:rsidRPr="009C7D53">
              <w:rPr>
                <w:rFonts w:ascii="Arial" w:hAnsi="Arial" w:cs="Arial"/>
                <w:b/>
                <w:bCs/>
                <w:color w:val="000000"/>
                <w:sz w:val="14"/>
                <w:szCs w:val="14"/>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7299428D" w14:textId="77777777" w:rsidR="00086B9C" w:rsidRPr="009C7D53" w:rsidRDefault="00086B9C" w:rsidP="00AF0E73">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w:t>
            </w:r>
            <w:r w:rsidR="000B5F00" w:rsidRPr="009C7D53">
              <w:rPr>
                <w:rFonts w:ascii="Arial" w:hAnsi="Arial" w:cs="Arial"/>
                <w:b/>
                <w:bCs/>
                <w:color w:val="000000"/>
                <w:sz w:val="14"/>
                <w:szCs w:val="14"/>
                <w:lang w:val="en-AU" w:eastAsia="en-AU"/>
              </w:rPr>
              <w:t>,</w:t>
            </w:r>
            <w:r w:rsidRPr="009C7D53">
              <w:rPr>
                <w:rFonts w:ascii="Arial" w:hAnsi="Arial" w:cs="Arial"/>
                <w:b/>
                <w:bCs/>
                <w:color w:val="000000"/>
                <w:sz w:val="14"/>
                <w:szCs w:val="14"/>
                <w:lang w:val="en-AU" w:eastAsia="en-AU"/>
              </w:rPr>
              <w:t>3</w:t>
            </w:r>
            <w:r w:rsidR="00AF0E73" w:rsidRPr="009C7D53">
              <w:rPr>
                <w:rFonts w:ascii="Arial" w:hAnsi="Arial" w:cs="Arial"/>
                <w:b/>
                <w:bCs/>
                <w:color w:val="000000"/>
                <w:sz w:val="14"/>
                <w:szCs w:val="14"/>
                <w:lang w:val="en-AU" w:eastAsia="en-AU"/>
              </w:rPr>
              <w:t>90</w:t>
            </w:r>
          </w:p>
        </w:tc>
        <w:tc>
          <w:tcPr>
            <w:tcW w:w="734" w:type="dxa"/>
            <w:tcBorders>
              <w:top w:val="nil"/>
              <w:left w:val="nil"/>
              <w:bottom w:val="single" w:sz="4" w:space="0" w:color="BFBFBF"/>
              <w:right w:val="single" w:sz="4" w:space="0" w:color="BFBFBF"/>
            </w:tcBorders>
            <w:shd w:val="clear" w:color="auto" w:fill="auto"/>
            <w:noWrap/>
            <w:vAlign w:val="center"/>
          </w:tcPr>
          <w:p w14:paraId="7C9B0BD6" w14:textId="77777777" w:rsidR="00086B9C" w:rsidRPr="009C7D53" w:rsidRDefault="00086B9C" w:rsidP="00AF0E73">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w:t>
            </w:r>
            <w:r w:rsidR="000B5F00" w:rsidRPr="009C7D53">
              <w:rPr>
                <w:rFonts w:ascii="Arial" w:hAnsi="Arial" w:cs="Arial"/>
                <w:b/>
                <w:bCs/>
                <w:color w:val="000000"/>
                <w:sz w:val="14"/>
                <w:szCs w:val="14"/>
                <w:lang w:val="en-AU" w:eastAsia="en-AU"/>
              </w:rPr>
              <w:t>,</w:t>
            </w:r>
            <w:r w:rsidRPr="009C7D53">
              <w:rPr>
                <w:rFonts w:ascii="Arial" w:hAnsi="Arial" w:cs="Arial"/>
                <w:b/>
                <w:bCs/>
                <w:color w:val="000000"/>
                <w:sz w:val="14"/>
                <w:szCs w:val="14"/>
                <w:lang w:val="en-AU" w:eastAsia="en-AU"/>
              </w:rPr>
              <w:t>5</w:t>
            </w:r>
            <w:r w:rsidR="00AF0E73" w:rsidRPr="009C7D53">
              <w:rPr>
                <w:rFonts w:ascii="Arial" w:hAnsi="Arial" w:cs="Arial"/>
                <w:b/>
                <w:bCs/>
                <w:color w:val="000000"/>
                <w:sz w:val="14"/>
                <w:szCs w:val="14"/>
                <w:lang w:val="en-AU" w:eastAsia="en-AU"/>
              </w:rPr>
              <w:t>33</w:t>
            </w:r>
          </w:p>
        </w:tc>
        <w:tc>
          <w:tcPr>
            <w:tcW w:w="857" w:type="dxa"/>
            <w:tcBorders>
              <w:top w:val="nil"/>
              <w:left w:val="nil"/>
              <w:bottom w:val="single" w:sz="4" w:space="0" w:color="BFBFBF"/>
              <w:right w:val="single" w:sz="4" w:space="0" w:color="BFBFBF"/>
            </w:tcBorders>
            <w:shd w:val="clear" w:color="auto" w:fill="auto"/>
            <w:noWrap/>
            <w:vAlign w:val="center"/>
          </w:tcPr>
          <w:p w14:paraId="6322113E" w14:textId="77777777" w:rsidR="00086B9C" w:rsidRPr="009C7D53" w:rsidRDefault="00086B9C" w:rsidP="00086B9C">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n=1,726</w:t>
            </w:r>
          </w:p>
        </w:tc>
        <w:tc>
          <w:tcPr>
            <w:tcW w:w="734" w:type="dxa"/>
            <w:tcBorders>
              <w:top w:val="nil"/>
              <w:left w:val="nil"/>
              <w:bottom w:val="single" w:sz="4" w:space="0" w:color="BFBFBF"/>
              <w:right w:val="single" w:sz="4" w:space="0" w:color="BFBFBF"/>
            </w:tcBorders>
            <w:shd w:val="clear" w:color="auto" w:fill="auto"/>
            <w:noWrap/>
            <w:vAlign w:val="center"/>
          </w:tcPr>
          <w:p w14:paraId="2CFC6525" w14:textId="77777777" w:rsidR="00086B9C" w:rsidRPr="009C7D53" w:rsidRDefault="00086B9C" w:rsidP="00086B9C">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n=1,733</w:t>
            </w:r>
          </w:p>
        </w:tc>
        <w:tc>
          <w:tcPr>
            <w:tcW w:w="734" w:type="dxa"/>
            <w:tcBorders>
              <w:top w:val="nil"/>
              <w:left w:val="nil"/>
              <w:bottom w:val="single" w:sz="4" w:space="0" w:color="BFBFBF"/>
              <w:right w:val="single" w:sz="4" w:space="0" w:color="BFBFBF"/>
            </w:tcBorders>
            <w:shd w:val="clear" w:color="auto" w:fill="auto"/>
            <w:noWrap/>
            <w:vAlign w:val="center"/>
          </w:tcPr>
          <w:p w14:paraId="69C10C50" w14:textId="77777777" w:rsidR="00086B9C" w:rsidRPr="009C7D53" w:rsidRDefault="00086B9C" w:rsidP="00086B9C">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n=1,734</w:t>
            </w:r>
          </w:p>
        </w:tc>
        <w:tc>
          <w:tcPr>
            <w:tcW w:w="857" w:type="dxa"/>
            <w:tcBorders>
              <w:top w:val="nil"/>
              <w:left w:val="nil"/>
              <w:bottom w:val="single" w:sz="4" w:space="0" w:color="BFBFBF"/>
              <w:right w:val="single" w:sz="4" w:space="0" w:color="BFBFBF"/>
            </w:tcBorders>
            <w:shd w:val="clear" w:color="auto" w:fill="auto"/>
            <w:noWrap/>
            <w:vAlign w:val="center"/>
          </w:tcPr>
          <w:p w14:paraId="2E024B08" w14:textId="77777777" w:rsidR="00086B9C" w:rsidRPr="009C7D53" w:rsidRDefault="00086B9C" w:rsidP="00086B9C">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n=1,853</w:t>
            </w:r>
          </w:p>
        </w:tc>
        <w:tc>
          <w:tcPr>
            <w:tcW w:w="734" w:type="dxa"/>
            <w:tcBorders>
              <w:top w:val="nil"/>
              <w:left w:val="nil"/>
              <w:bottom w:val="single" w:sz="4" w:space="0" w:color="BFBFBF"/>
              <w:right w:val="single" w:sz="4" w:space="0" w:color="BFBFBF"/>
            </w:tcBorders>
            <w:shd w:val="clear" w:color="auto" w:fill="auto"/>
            <w:noWrap/>
            <w:vAlign w:val="center"/>
          </w:tcPr>
          <w:p w14:paraId="29052FF3" w14:textId="77777777" w:rsidR="00086B9C" w:rsidRPr="009C7D53" w:rsidRDefault="00086B9C" w:rsidP="00086B9C">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n=1,853</w:t>
            </w:r>
          </w:p>
        </w:tc>
        <w:tc>
          <w:tcPr>
            <w:tcW w:w="734" w:type="dxa"/>
            <w:tcBorders>
              <w:top w:val="nil"/>
              <w:left w:val="nil"/>
              <w:bottom w:val="single" w:sz="4" w:space="0" w:color="BFBFBF"/>
              <w:right w:val="single" w:sz="4" w:space="0" w:color="BFBFBF"/>
            </w:tcBorders>
            <w:shd w:val="clear" w:color="auto" w:fill="auto"/>
            <w:noWrap/>
            <w:vAlign w:val="center"/>
          </w:tcPr>
          <w:p w14:paraId="470D400A" w14:textId="77777777" w:rsidR="00086B9C" w:rsidRPr="009C7D53" w:rsidRDefault="00086B9C" w:rsidP="00086B9C">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n=1,854</w:t>
            </w:r>
          </w:p>
        </w:tc>
        <w:tc>
          <w:tcPr>
            <w:tcW w:w="734" w:type="dxa"/>
            <w:tcBorders>
              <w:top w:val="nil"/>
              <w:left w:val="nil"/>
              <w:bottom w:val="single" w:sz="4" w:space="0" w:color="BFBFBF"/>
              <w:right w:val="double" w:sz="6" w:space="0" w:color="auto"/>
            </w:tcBorders>
            <w:shd w:val="clear" w:color="auto" w:fill="auto"/>
            <w:noWrap/>
            <w:vAlign w:val="center"/>
          </w:tcPr>
          <w:p w14:paraId="625E9367" w14:textId="77777777" w:rsidR="00086B9C" w:rsidRPr="009C7D53" w:rsidRDefault="00086B9C" w:rsidP="00086B9C">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n=1,767</w:t>
            </w:r>
          </w:p>
        </w:tc>
      </w:tr>
      <w:tr w:rsidR="00086B9C" w:rsidRPr="009C7D53" w14:paraId="40D1DC1E"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6368E0BB" w14:textId="77777777" w:rsidR="00086B9C" w:rsidRPr="009C7D53" w:rsidRDefault="00086B9C" w:rsidP="00086B9C">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Region -</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4982628A" w14:textId="77777777" w:rsidR="00086B9C" w:rsidRPr="009C7D53" w:rsidRDefault="00086B9C" w:rsidP="00086B9C">
            <w:pPr>
              <w:spacing w:before="0" w:after="0"/>
              <w:rPr>
                <w:rFonts w:ascii="Arial" w:hAnsi="Arial" w:cs="Arial"/>
                <w:color w:val="FF0000"/>
                <w:sz w:val="16"/>
                <w:szCs w:val="16"/>
                <w:lang w:val="en-AU" w:eastAsia="en-AU"/>
              </w:rPr>
            </w:pPr>
            <w:r w:rsidRPr="009C7D53">
              <w:rPr>
                <w:rFonts w:ascii="Arial" w:hAnsi="Arial" w:cs="Arial"/>
                <w:color w:val="FF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A0B2499"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887BA9B"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5A0E888D"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bottom"/>
          </w:tcPr>
          <w:p w14:paraId="7A99648F"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69B3ABE5"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2CD66A67"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38BCAEB6"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98745EC"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592455B"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277B66A3"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41D45FE"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21305C1"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1ED086D8" w14:textId="77777777" w:rsidR="00086B9C" w:rsidRPr="009C7D53" w:rsidRDefault="00086B9C" w:rsidP="00086B9C">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AF0E73" w:rsidRPr="009C7D53" w14:paraId="1D9A5772"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4DF647F5"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9C7D53">
                  <w:rPr>
                    <w:rFonts w:ascii="Arial" w:hAnsi="Arial" w:cs="Arial"/>
                    <w:color w:val="000000"/>
                    <w:sz w:val="16"/>
                    <w:szCs w:val="16"/>
                    <w:lang w:val="en-AU" w:eastAsia="en-AU"/>
                  </w:rPr>
                  <w:t>Melbourne</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C3372C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BFBFBF"/>
            </w:tcBorders>
            <w:shd w:val="clear" w:color="auto" w:fill="auto"/>
            <w:noWrap/>
            <w:vAlign w:val="center"/>
          </w:tcPr>
          <w:p w14:paraId="5CC6D79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BFBFBF"/>
            </w:tcBorders>
            <w:shd w:val="clear" w:color="auto" w:fill="auto"/>
            <w:noWrap/>
            <w:vAlign w:val="center"/>
          </w:tcPr>
          <w:p w14:paraId="5348B40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auto"/>
            </w:tcBorders>
            <w:shd w:val="clear" w:color="auto" w:fill="auto"/>
            <w:noWrap/>
            <w:vAlign w:val="center"/>
          </w:tcPr>
          <w:p w14:paraId="272EA4D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90%</w:t>
            </w:r>
          </w:p>
        </w:tc>
        <w:tc>
          <w:tcPr>
            <w:tcW w:w="857" w:type="dxa"/>
            <w:tcBorders>
              <w:top w:val="nil"/>
              <w:left w:val="nil"/>
              <w:bottom w:val="single" w:sz="4" w:space="0" w:color="BFBFBF"/>
              <w:right w:val="single" w:sz="4" w:space="0" w:color="BFBFBF"/>
            </w:tcBorders>
            <w:shd w:val="clear" w:color="auto" w:fill="auto"/>
            <w:noWrap/>
            <w:vAlign w:val="center"/>
          </w:tcPr>
          <w:p w14:paraId="4377A0F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163</w:t>
            </w:r>
          </w:p>
        </w:tc>
        <w:tc>
          <w:tcPr>
            <w:tcW w:w="734" w:type="dxa"/>
            <w:tcBorders>
              <w:top w:val="nil"/>
              <w:left w:val="nil"/>
              <w:bottom w:val="single" w:sz="4" w:space="0" w:color="BFBFBF"/>
              <w:right w:val="single" w:sz="4" w:space="0" w:color="BFBFBF"/>
            </w:tcBorders>
            <w:shd w:val="clear" w:color="auto" w:fill="auto"/>
            <w:noWrap/>
            <w:vAlign w:val="center"/>
          </w:tcPr>
          <w:p w14:paraId="5F669558"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598</w:t>
            </w:r>
          </w:p>
        </w:tc>
        <w:tc>
          <w:tcPr>
            <w:tcW w:w="734" w:type="dxa"/>
            <w:tcBorders>
              <w:top w:val="nil"/>
              <w:left w:val="nil"/>
              <w:bottom w:val="single" w:sz="4" w:space="0" w:color="BFBFBF"/>
              <w:right w:val="single" w:sz="4" w:space="0" w:color="BFBFBF"/>
            </w:tcBorders>
            <w:shd w:val="clear" w:color="auto" w:fill="auto"/>
            <w:noWrap/>
            <w:vAlign w:val="center"/>
          </w:tcPr>
          <w:p w14:paraId="7D7C2F9A"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785</w:t>
            </w:r>
          </w:p>
        </w:tc>
        <w:tc>
          <w:tcPr>
            <w:tcW w:w="857" w:type="dxa"/>
            <w:tcBorders>
              <w:top w:val="nil"/>
              <w:left w:val="nil"/>
              <w:bottom w:val="single" w:sz="4" w:space="0" w:color="BFBFBF"/>
              <w:right w:val="single" w:sz="4" w:space="0" w:color="BFBFBF"/>
            </w:tcBorders>
            <w:shd w:val="clear" w:color="auto" w:fill="auto"/>
            <w:noWrap/>
            <w:vAlign w:val="center"/>
          </w:tcPr>
          <w:p w14:paraId="203B109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124</w:t>
            </w:r>
          </w:p>
        </w:tc>
        <w:tc>
          <w:tcPr>
            <w:tcW w:w="734" w:type="dxa"/>
            <w:tcBorders>
              <w:top w:val="nil"/>
              <w:left w:val="nil"/>
              <w:bottom w:val="single" w:sz="4" w:space="0" w:color="BFBFBF"/>
              <w:right w:val="single" w:sz="4" w:space="0" w:color="BFBFBF"/>
            </w:tcBorders>
            <w:shd w:val="clear" w:color="auto" w:fill="auto"/>
            <w:noWrap/>
            <w:vAlign w:val="center"/>
          </w:tcPr>
          <w:p w14:paraId="14F8758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442</w:t>
            </w:r>
          </w:p>
        </w:tc>
        <w:tc>
          <w:tcPr>
            <w:tcW w:w="734" w:type="dxa"/>
            <w:tcBorders>
              <w:top w:val="nil"/>
              <w:left w:val="nil"/>
              <w:bottom w:val="single" w:sz="4" w:space="0" w:color="BFBFBF"/>
              <w:right w:val="single" w:sz="4" w:space="0" w:color="BFBFBF"/>
            </w:tcBorders>
            <w:shd w:val="clear" w:color="auto" w:fill="auto"/>
            <w:noWrap/>
            <w:vAlign w:val="center"/>
          </w:tcPr>
          <w:p w14:paraId="1AC2965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566</w:t>
            </w:r>
          </w:p>
        </w:tc>
        <w:tc>
          <w:tcPr>
            <w:tcW w:w="857" w:type="dxa"/>
            <w:tcBorders>
              <w:top w:val="nil"/>
              <w:left w:val="nil"/>
              <w:bottom w:val="single" w:sz="4" w:space="0" w:color="BFBFBF"/>
              <w:right w:val="single" w:sz="4" w:space="0" w:color="BFBFBF"/>
            </w:tcBorders>
            <w:shd w:val="clear" w:color="auto" w:fill="auto"/>
            <w:noWrap/>
            <w:vAlign w:val="center"/>
          </w:tcPr>
          <w:p w14:paraId="360F361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143</w:t>
            </w:r>
          </w:p>
        </w:tc>
        <w:tc>
          <w:tcPr>
            <w:tcW w:w="734" w:type="dxa"/>
            <w:tcBorders>
              <w:top w:val="nil"/>
              <w:left w:val="nil"/>
              <w:bottom w:val="single" w:sz="4" w:space="0" w:color="BFBFBF"/>
              <w:right w:val="single" w:sz="4" w:space="0" w:color="BFBFBF"/>
            </w:tcBorders>
            <w:shd w:val="clear" w:color="auto" w:fill="auto"/>
            <w:noWrap/>
            <w:vAlign w:val="center"/>
          </w:tcPr>
          <w:p w14:paraId="009AF51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407</w:t>
            </w:r>
          </w:p>
        </w:tc>
        <w:tc>
          <w:tcPr>
            <w:tcW w:w="734" w:type="dxa"/>
            <w:tcBorders>
              <w:top w:val="nil"/>
              <w:left w:val="nil"/>
              <w:bottom w:val="single" w:sz="4" w:space="0" w:color="BFBFBF"/>
              <w:right w:val="single" w:sz="4" w:space="0" w:color="BFBFBF"/>
            </w:tcBorders>
            <w:shd w:val="clear" w:color="auto" w:fill="auto"/>
            <w:noWrap/>
            <w:vAlign w:val="center"/>
          </w:tcPr>
          <w:p w14:paraId="53B81F1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549</w:t>
            </w:r>
          </w:p>
        </w:tc>
        <w:tc>
          <w:tcPr>
            <w:tcW w:w="734" w:type="dxa"/>
            <w:tcBorders>
              <w:top w:val="nil"/>
              <w:left w:val="nil"/>
              <w:bottom w:val="single" w:sz="4" w:space="0" w:color="BFBFBF"/>
              <w:right w:val="double" w:sz="6" w:space="0" w:color="auto"/>
            </w:tcBorders>
            <w:shd w:val="clear" w:color="auto" w:fill="auto"/>
            <w:noWrap/>
            <w:vAlign w:val="center"/>
          </w:tcPr>
          <w:p w14:paraId="598D524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512</w:t>
            </w:r>
          </w:p>
        </w:tc>
      </w:tr>
      <w:tr w:rsidR="00AF0E73" w:rsidRPr="009C7D53" w14:paraId="7051762A"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4519683C"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Country VIC</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AC0ABFF"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734" w:type="dxa"/>
            <w:tcBorders>
              <w:top w:val="nil"/>
              <w:left w:val="nil"/>
              <w:bottom w:val="single" w:sz="4" w:space="0" w:color="BFBFBF"/>
              <w:right w:val="single" w:sz="4" w:space="0" w:color="BFBFBF"/>
            </w:tcBorders>
            <w:shd w:val="clear" w:color="auto" w:fill="auto"/>
            <w:noWrap/>
            <w:vAlign w:val="center"/>
          </w:tcPr>
          <w:p w14:paraId="4C934C8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76%</w:t>
            </w:r>
          </w:p>
        </w:tc>
        <w:tc>
          <w:tcPr>
            <w:tcW w:w="734" w:type="dxa"/>
            <w:tcBorders>
              <w:top w:val="nil"/>
              <w:left w:val="nil"/>
              <w:bottom w:val="single" w:sz="4" w:space="0" w:color="BFBFBF"/>
              <w:right w:val="single" w:sz="4" w:space="0" w:color="BFBFBF"/>
            </w:tcBorders>
            <w:shd w:val="clear" w:color="auto" w:fill="auto"/>
            <w:noWrap/>
            <w:vAlign w:val="center"/>
          </w:tcPr>
          <w:p w14:paraId="49EC7AE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auto"/>
            </w:tcBorders>
            <w:shd w:val="clear" w:color="auto" w:fill="auto"/>
            <w:noWrap/>
            <w:vAlign w:val="center"/>
          </w:tcPr>
          <w:p w14:paraId="1033431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93%</w:t>
            </w:r>
          </w:p>
        </w:tc>
        <w:tc>
          <w:tcPr>
            <w:tcW w:w="857" w:type="dxa"/>
            <w:tcBorders>
              <w:top w:val="nil"/>
              <w:left w:val="nil"/>
              <w:bottom w:val="single" w:sz="4" w:space="0" w:color="BFBFBF"/>
              <w:right w:val="single" w:sz="4" w:space="0" w:color="BFBFBF"/>
            </w:tcBorders>
            <w:shd w:val="clear" w:color="auto" w:fill="auto"/>
            <w:noWrap/>
            <w:vAlign w:val="center"/>
          </w:tcPr>
          <w:p w14:paraId="19A2718D"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136</w:t>
            </w:r>
          </w:p>
        </w:tc>
        <w:tc>
          <w:tcPr>
            <w:tcW w:w="734" w:type="dxa"/>
            <w:tcBorders>
              <w:top w:val="nil"/>
              <w:left w:val="nil"/>
              <w:bottom w:val="single" w:sz="4" w:space="0" w:color="BFBFBF"/>
              <w:right w:val="single" w:sz="4" w:space="0" w:color="BFBFBF"/>
            </w:tcBorders>
            <w:shd w:val="clear" w:color="auto" w:fill="auto"/>
            <w:noWrap/>
            <w:vAlign w:val="center"/>
          </w:tcPr>
          <w:p w14:paraId="07EAE2AD"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539</w:t>
            </w:r>
          </w:p>
        </w:tc>
        <w:tc>
          <w:tcPr>
            <w:tcW w:w="734" w:type="dxa"/>
            <w:tcBorders>
              <w:top w:val="nil"/>
              <w:left w:val="nil"/>
              <w:bottom w:val="single" w:sz="4" w:space="0" w:color="BFBFBF"/>
              <w:right w:val="single" w:sz="4" w:space="0" w:color="BFBFBF"/>
            </w:tcBorders>
            <w:shd w:val="clear" w:color="auto" w:fill="auto"/>
            <w:noWrap/>
            <w:vAlign w:val="center"/>
          </w:tcPr>
          <w:p w14:paraId="5906C00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712</w:t>
            </w:r>
          </w:p>
        </w:tc>
        <w:tc>
          <w:tcPr>
            <w:tcW w:w="857" w:type="dxa"/>
            <w:tcBorders>
              <w:top w:val="nil"/>
              <w:left w:val="nil"/>
              <w:bottom w:val="single" w:sz="4" w:space="0" w:color="BFBFBF"/>
              <w:right w:val="single" w:sz="4" w:space="0" w:color="BFBFBF"/>
            </w:tcBorders>
            <w:shd w:val="clear" w:color="auto" w:fill="auto"/>
            <w:noWrap/>
            <w:vAlign w:val="center"/>
          </w:tcPr>
          <w:p w14:paraId="730149F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123</w:t>
            </w:r>
          </w:p>
        </w:tc>
        <w:tc>
          <w:tcPr>
            <w:tcW w:w="734" w:type="dxa"/>
            <w:tcBorders>
              <w:top w:val="nil"/>
              <w:left w:val="nil"/>
              <w:bottom w:val="single" w:sz="4" w:space="0" w:color="BFBFBF"/>
              <w:right w:val="single" w:sz="4" w:space="0" w:color="BFBFBF"/>
            </w:tcBorders>
            <w:shd w:val="clear" w:color="auto" w:fill="auto"/>
            <w:noWrap/>
            <w:vAlign w:val="center"/>
          </w:tcPr>
          <w:p w14:paraId="13808EB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420</w:t>
            </w:r>
          </w:p>
        </w:tc>
        <w:tc>
          <w:tcPr>
            <w:tcW w:w="734" w:type="dxa"/>
            <w:tcBorders>
              <w:top w:val="nil"/>
              <w:left w:val="nil"/>
              <w:bottom w:val="single" w:sz="4" w:space="0" w:color="BFBFBF"/>
              <w:right w:val="single" w:sz="4" w:space="0" w:color="BFBFBF"/>
            </w:tcBorders>
            <w:shd w:val="clear" w:color="auto" w:fill="auto"/>
            <w:noWrap/>
            <w:vAlign w:val="center"/>
          </w:tcPr>
          <w:p w14:paraId="45F086B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543</w:t>
            </w:r>
          </w:p>
        </w:tc>
        <w:tc>
          <w:tcPr>
            <w:tcW w:w="857" w:type="dxa"/>
            <w:tcBorders>
              <w:top w:val="nil"/>
              <w:left w:val="nil"/>
              <w:bottom w:val="single" w:sz="4" w:space="0" w:color="BFBFBF"/>
              <w:right w:val="single" w:sz="4" w:space="0" w:color="BFBFBF"/>
            </w:tcBorders>
            <w:shd w:val="clear" w:color="auto" w:fill="auto"/>
            <w:noWrap/>
            <w:vAlign w:val="center"/>
          </w:tcPr>
          <w:p w14:paraId="376CA16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135</w:t>
            </w:r>
          </w:p>
        </w:tc>
        <w:tc>
          <w:tcPr>
            <w:tcW w:w="734" w:type="dxa"/>
            <w:tcBorders>
              <w:top w:val="nil"/>
              <w:left w:val="nil"/>
              <w:bottom w:val="single" w:sz="4" w:space="0" w:color="BFBFBF"/>
              <w:right w:val="single" w:sz="4" w:space="0" w:color="BFBFBF"/>
            </w:tcBorders>
            <w:shd w:val="clear" w:color="auto" w:fill="auto"/>
            <w:noWrap/>
            <w:vAlign w:val="center"/>
          </w:tcPr>
          <w:p w14:paraId="5D77AEA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377</w:t>
            </w:r>
          </w:p>
        </w:tc>
        <w:tc>
          <w:tcPr>
            <w:tcW w:w="734" w:type="dxa"/>
            <w:tcBorders>
              <w:top w:val="nil"/>
              <w:left w:val="nil"/>
              <w:bottom w:val="single" w:sz="4" w:space="0" w:color="BFBFBF"/>
              <w:right w:val="single" w:sz="4" w:space="0" w:color="BFBFBF"/>
            </w:tcBorders>
            <w:shd w:val="clear" w:color="auto" w:fill="auto"/>
            <w:noWrap/>
            <w:vAlign w:val="center"/>
          </w:tcPr>
          <w:p w14:paraId="5373064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511</w:t>
            </w:r>
          </w:p>
        </w:tc>
        <w:tc>
          <w:tcPr>
            <w:tcW w:w="734" w:type="dxa"/>
            <w:tcBorders>
              <w:top w:val="nil"/>
              <w:left w:val="nil"/>
              <w:bottom w:val="single" w:sz="4" w:space="0" w:color="BFBFBF"/>
              <w:right w:val="double" w:sz="6" w:space="0" w:color="auto"/>
            </w:tcBorders>
            <w:shd w:val="clear" w:color="auto" w:fill="auto"/>
            <w:noWrap/>
            <w:vAlign w:val="center"/>
          </w:tcPr>
          <w:p w14:paraId="7EC540B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469</w:t>
            </w:r>
          </w:p>
        </w:tc>
      </w:tr>
      <w:tr w:rsidR="00AF0E73" w:rsidRPr="009C7D53" w14:paraId="5DDEAB4C"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002F0B7E" w14:textId="77777777" w:rsidR="00AF0E73" w:rsidRPr="009C7D53" w:rsidRDefault="00AF0E73" w:rsidP="00086B9C">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DHHS Area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7D8995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B7FA42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AC8621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646755C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6B53B70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5A220D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7D213FF"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1155F33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95FFC5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26159E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4BC2856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0857B4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BD6C34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190E8A5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AF0E73" w:rsidRPr="009C7D53" w14:paraId="18CF812D"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425E69D3"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Hume Moreland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B0E925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9106FB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69A991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3F010D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1BC33A96"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195</w:t>
            </w:r>
          </w:p>
        </w:tc>
        <w:tc>
          <w:tcPr>
            <w:tcW w:w="734" w:type="dxa"/>
            <w:tcBorders>
              <w:top w:val="nil"/>
              <w:left w:val="nil"/>
              <w:bottom w:val="single" w:sz="4" w:space="0" w:color="BFBFBF"/>
              <w:right w:val="single" w:sz="4" w:space="0" w:color="BFBFBF"/>
            </w:tcBorders>
            <w:shd w:val="clear" w:color="auto" w:fill="auto"/>
            <w:noWrap/>
            <w:vAlign w:val="center"/>
          </w:tcPr>
          <w:p w14:paraId="2BAB5998"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580</w:t>
            </w:r>
          </w:p>
        </w:tc>
        <w:tc>
          <w:tcPr>
            <w:tcW w:w="734" w:type="dxa"/>
            <w:tcBorders>
              <w:top w:val="nil"/>
              <w:left w:val="nil"/>
              <w:bottom w:val="single" w:sz="4" w:space="0" w:color="BFBFBF"/>
              <w:right w:val="single" w:sz="4" w:space="0" w:color="BFBFBF"/>
            </w:tcBorders>
            <w:shd w:val="clear" w:color="auto" w:fill="auto"/>
            <w:noWrap/>
            <w:vAlign w:val="center"/>
          </w:tcPr>
          <w:p w14:paraId="6798F289"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793</w:t>
            </w:r>
          </w:p>
        </w:tc>
        <w:tc>
          <w:tcPr>
            <w:tcW w:w="857" w:type="dxa"/>
            <w:tcBorders>
              <w:top w:val="nil"/>
              <w:left w:val="nil"/>
              <w:bottom w:val="single" w:sz="4" w:space="0" w:color="BFBFBF"/>
              <w:right w:val="single" w:sz="4" w:space="0" w:color="BFBFBF"/>
            </w:tcBorders>
            <w:shd w:val="clear" w:color="auto" w:fill="auto"/>
            <w:noWrap/>
            <w:vAlign w:val="center"/>
          </w:tcPr>
          <w:p w14:paraId="719D553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BDA60C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3C0088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39136F5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9A3501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94398D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414BECF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2A666EE1"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6B9B57F6"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North Eastern 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18A768C"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BFBFBF"/>
            </w:tcBorders>
            <w:shd w:val="clear" w:color="auto" w:fill="auto"/>
            <w:noWrap/>
            <w:vAlign w:val="center"/>
          </w:tcPr>
          <w:p w14:paraId="77F2AE3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411D67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B5D312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313284AC"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169</w:t>
            </w:r>
          </w:p>
        </w:tc>
        <w:tc>
          <w:tcPr>
            <w:tcW w:w="734" w:type="dxa"/>
            <w:tcBorders>
              <w:top w:val="nil"/>
              <w:left w:val="nil"/>
              <w:bottom w:val="single" w:sz="4" w:space="0" w:color="BFBFBF"/>
              <w:right w:val="single" w:sz="4" w:space="0" w:color="BFBFBF"/>
            </w:tcBorders>
            <w:shd w:val="clear" w:color="auto" w:fill="auto"/>
            <w:noWrap/>
            <w:vAlign w:val="center"/>
          </w:tcPr>
          <w:p w14:paraId="7A189179"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621</w:t>
            </w:r>
          </w:p>
        </w:tc>
        <w:tc>
          <w:tcPr>
            <w:tcW w:w="734" w:type="dxa"/>
            <w:tcBorders>
              <w:top w:val="nil"/>
              <w:left w:val="nil"/>
              <w:bottom w:val="single" w:sz="4" w:space="0" w:color="BFBFBF"/>
              <w:right w:val="single" w:sz="4" w:space="0" w:color="BFBFBF"/>
            </w:tcBorders>
            <w:shd w:val="clear" w:color="auto" w:fill="auto"/>
            <w:noWrap/>
            <w:vAlign w:val="center"/>
          </w:tcPr>
          <w:p w14:paraId="1B91CABE"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809</w:t>
            </w:r>
          </w:p>
        </w:tc>
        <w:tc>
          <w:tcPr>
            <w:tcW w:w="857" w:type="dxa"/>
            <w:tcBorders>
              <w:top w:val="nil"/>
              <w:left w:val="nil"/>
              <w:bottom w:val="single" w:sz="4" w:space="0" w:color="BFBFBF"/>
              <w:right w:val="single" w:sz="4" w:space="0" w:color="BFBFBF"/>
            </w:tcBorders>
            <w:shd w:val="clear" w:color="auto" w:fill="auto"/>
            <w:noWrap/>
            <w:vAlign w:val="center"/>
          </w:tcPr>
          <w:p w14:paraId="431B913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39E118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212D37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17464B6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EC76E7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3E64A2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74B6F87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5E71D8C3"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36B88794"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Outer </w:t>
            </w:r>
            <w:smartTag w:uri="urn:schemas-microsoft-com:office:smarttags" w:element="place">
              <w:r w:rsidRPr="009C7D53">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0360A70"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97%</w:t>
            </w:r>
          </w:p>
        </w:tc>
        <w:tc>
          <w:tcPr>
            <w:tcW w:w="734" w:type="dxa"/>
            <w:tcBorders>
              <w:top w:val="nil"/>
              <w:left w:val="nil"/>
              <w:bottom w:val="single" w:sz="4" w:space="0" w:color="BFBFBF"/>
              <w:right w:val="single" w:sz="4" w:space="0" w:color="BFBFBF"/>
            </w:tcBorders>
            <w:shd w:val="clear" w:color="auto" w:fill="auto"/>
            <w:noWrap/>
            <w:vAlign w:val="center"/>
          </w:tcPr>
          <w:p w14:paraId="143B441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0AF817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8078A8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45A2905"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161</w:t>
            </w:r>
          </w:p>
        </w:tc>
        <w:tc>
          <w:tcPr>
            <w:tcW w:w="734" w:type="dxa"/>
            <w:tcBorders>
              <w:top w:val="nil"/>
              <w:left w:val="nil"/>
              <w:bottom w:val="single" w:sz="4" w:space="0" w:color="BFBFBF"/>
              <w:right w:val="single" w:sz="4" w:space="0" w:color="BFBFBF"/>
            </w:tcBorders>
            <w:shd w:val="clear" w:color="auto" w:fill="auto"/>
            <w:noWrap/>
            <w:vAlign w:val="center"/>
          </w:tcPr>
          <w:p w14:paraId="51E485B3"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653</w:t>
            </w:r>
          </w:p>
        </w:tc>
        <w:tc>
          <w:tcPr>
            <w:tcW w:w="734" w:type="dxa"/>
            <w:tcBorders>
              <w:top w:val="nil"/>
              <w:left w:val="nil"/>
              <w:bottom w:val="single" w:sz="4" w:space="0" w:color="BFBFBF"/>
              <w:right w:val="single" w:sz="4" w:space="0" w:color="BFBFBF"/>
            </w:tcBorders>
            <w:shd w:val="clear" w:color="auto" w:fill="auto"/>
            <w:noWrap/>
            <w:vAlign w:val="center"/>
          </w:tcPr>
          <w:p w14:paraId="46E9F88C"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845</w:t>
            </w:r>
          </w:p>
        </w:tc>
        <w:tc>
          <w:tcPr>
            <w:tcW w:w="857" w:type="dxa"/>
            <w:tcBorders>
              <w:top w:val="nil"/>
              <w:left w:val="nil"/>
              <w:bottom w:val="single" w:sz="4" w:space="0" w:color="BFBFBF"/>
              <w:right w:val="single" w:sz="4" w:space="0" w:color="BFBFBF"/>
            </w:tcBorders>
            <w:shd w:val="clear" w:color="auto" w:fill="auto"/>
            <w:noWrap/>
            <w:vAlign w:val="center"/>
          </w:tcPr>
          <w:p w14:paraId="18F0E88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D1467F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2E4628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EA527D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0F5550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ECC51D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0F6CDD4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4C28A1A7"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5095A73A"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Inner </w:t>
            </w:r>
            <w:smartTag w:uri="urn:schemas-microsoft-com:office:smarttags" w:element="place">
              <w:r w:rsidRPr="009C7D53">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83D359D"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96%</w:t>
            </w:r>
          </w:p>
        </w:tc>
        <w:tc>
          <w:tcPr>
            <w:tcW w:w="734" w:type="dxa"/>
            <w:tcBorders>
              <w:top w:val="nil"/>
              <w:left w:val="nil"/>
              <w:bottom w:val="single" w:sz="4" w:space="0" w:color="BFBFBF"/>
              <w:right w:val="single" w:sz="4" w:space="0" w:color="BFBFBF"/>
            </w:tcBorders>
            <w:shd w:val="clear" w:color="auto" w:fill="auto"/>
            <w:noWrap/>
            <w:vAlign w:val="center"/>
          </w:tcPr>
          <w:p w14:paraId="7F3E7DD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B6E3E4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F57106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A1D9350"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199</w:t>
            </w:r>
          </w:p>
        </w:tc>
        <w:tc>
          <w:tcPr>
            <w:tcW w:w="734" w:type="dxa"/>
            <w:tcBorders>
              <w:top w:val="nil"/>
              <w:left w:val="nil"/>
              <w:bottom w:val="single" w:sz="4" w:space="0" w:color="BFBFBF"/>
              <w:right w:val="single" w:sz="4" w:space="0" w:color="BFBFBF"/>
            </w:tcBorders>
            <w:shd w:val="clear" w:color="auto" w:fill="auto"/>
            <w:noWrap/>
            <w:vAlign w:val="center"/>
          </w:tcPr>
          <w:p w14:paraId="5BA957FA"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677</w:t>
            </w:r>
          </w:p>
        </w:tc>
        <w:tc>
          <w:tcPr>
            <w:tcW w:w="734" w:type="dxa"/>
            <w:tcBorders>
              <w:top w:val="nil"/>
              <w:left w:val="nil"/>
              <w:bottom w:val="single" w:sz="4" w:space="0" w:color="BFBFBF"/>
              <w:right w:val="single" w:sz="4" w:space="0" w:color="BFBFBF"/>
            </w:tcBorders>
            <w:shd w:val="clear" w:color="auto" w:fill="auto"/>
            <w:noWrap/>
            <w:vAlign w:val="center"/>
          </w:tcPr>
          <w:p w14:paraId="0AA0EBAA"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898</w:t>
            </w:r>
          </w:p>
        </w:tc>
        <w:tc>
          <w:tcPr>
            <w:tcW w:w="857" w:type="dxa"/>
            <w:tcBorders>
              <w:top w:val="nil"/>
              <w:left w:val="nil"/>
              <w:bottom w:val="single" w:sz="4" w:space="0" w:color="BFBFBF"/>
              <w:right w:val="single" w:sz="4" w:space="0" w:color="BFBFBF"/>
            </w:tcBorders>
            <w:shd w:val="clear" w:color="auto" w:fill="auto"/>
            <w:noWrap/>
            <w:vAlign w:val="center"/>
          </w:tcPr>
          <w:p w14:paraId="5A7D841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C40599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BB8DDE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E25B2A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7443C8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FD33BA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35A3135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6A5DAC7F"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4DCE6958"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smartTag w:uri="urn:schemas-microsoft-com:office:smarttags" w:element="place">
              <w:r w:rsidRPr="009C7D53">
                <w:rPr>
                  <w:rFonts w:ascii="Arial" w:hAnsi="Arial" w:cs="Arial"/>
                  <w:color w:val="000000"/>
                  <w:sz w:val="16"/>
                  <w:szCs w:val="16"/>
                  <w:lang w:val="en-AU" w:eastAsia="en-AU"/>
                </w:rPr>
                <w:t>Southern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2AC4178"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89%</w:t>
            </w:r>
          </w:p>
        </w:tc>
        <w:tc>
          <w:tcPr>
            <w:tcW w:w="734" w:type="dxa"/>
            <w:tcBorders>
              <w:top w:val="nil"/>
              <w:left w:val="nil"/>
              <w:bottom w:val="single" w:sz="4" w:space="0" w:color="BFBFBF"/>
              <w:right w:val="single" w:sz="4" w:space="0" w:color="BFBFBF"/>
            </w:tcBorders>
            <w:shd w:val="clear" w:color="auto" w:fill="auto"/>
            <w:noWrap/>
            <w:vAlign w:val="center"/>
          </w:tcPr>
          <w:p w14:paraId="25584CA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7821F2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5F2F72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34FFC1DF"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160</w:t>
            </w:r>
          </w:p>
        </w:tc>
        <w:tc>
          <w:tcPr>
            <w:tcW w:w="734" w:type="dxa"/>
            <w:tcBorders>
              <w:top w:val="nil"/>
              <w:left w:val="nil"/>
              <w:bottom w:val="single" w:sz="4" w:space="0" w:color="BFBFBF"/>
              <w:right w:val="single" w:sz="4" w:space="0" w:color="BFBFBF"/>
            </w:tcBorders>
            <w:shd w:val="clear" w:color="auto" w:fill="auto"/>
            <w:noWrap/>
            <w:vAlign w:val="center"/>
          </w:tcPr>
          <w:p w14:paraId="52BD5EC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549</w:t>
            </w:r>
          </w:p>
        </w:tc>
        <w:tc>
          <w:tcPr>
            <w:tcW w:w="734" w:type="dxa"/>
            <w:tcBorders>
              <w:top w:val="nil"/>
              <w:left w:val="nil"/>
              <w:bottom w:val="single" w:sz="4" w:space="0" w:color="BFBFBF"/>
              <w:right w:val="single" w:sz="4" w:space="0" w:color="BFBFBF"/>
            </w:tcBorders>
            <w:shd w:val="clear" w:color="auto" w:fill="auto"/>
            <w:noWrap/>
            <w:vAlign w:val="center"/>
          </w:tcPr>
          <w:p w14:paraId="45E9DF2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729</w:t>
            </w:r>
          </w:p>
        </w:tc>
        <w:tc>
          <w:tcPr>
            <w:tcW w:w="857" w:type="dxa"/>
            <w:tcBorders>
              <w:top w:val="nil"/>
              <w:left w:val="nil"/>
              <w:bottom w:val="single" w:sz="4" w:space="0" w:color="BFBFBF"/>
              <w:right w:val="single" w:sz="4" w:space="0" w:color="BFBFBF"/>
            </w:tcBorders>
            <w:shd w:val="clear" w:color="auto" w:fill="auto"/>
            <w:noWrap/>
            <w:vAlign w:val="center"/>
          </w:tcPr>
          <w:p w14:paraId="38235D8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FC79C8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7CD698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E56ECA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7C1F03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628C87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459E70E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2203B130"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26AF83E4"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Bayside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663900E"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249A34D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AE9E81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A794E8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AC5CC1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159</w:t>
            </w:r>
          </w:p>
        </w:tc>
        <w:tc>
          <w:tcPr>
            <w:tcW w:w="734" w:type="dxa"/>
            <w:tcBorders>
              <w:top w:val="nil"/>
              <w:left w:val="nil"/>
              <w:bottom w:val="single" w:sz="4" w:space="0" w:color="BFBFBF"/>
              <w:right w:val="single" w:sz="4" w:space="0" w:color="BFBFBF"/>
            </w:tcBorders>
            <w:shd w:val="clear" w:color="auto" w:fill="auto"/>
            <w:noWrap/>
            <w:vAlign w:val="center"/>
          </w:tcPr>
          <w:p w14:paraId="413423D1"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550</w:t>
            </w:r>
          </w:p>
        </w:tc>
        <w:tc>
          <w:tcPr>
            <w:tcW w:w="734" w:type="dxa"/>
            <w:tcBorders>
              <w:top w:val="nil"/>
              <w:left w:val="nil"/>
              <w:bottom w:val="single" w:sz="4" w:space="0" w:color="BFBFBF"/>
              <w:right w:val="single" w:sz="4" w:space="0" w:color="BFBFBF"/>
            </w:tcBorders>
            <w:shd w:val="clear" w:color="auto" w:fill="auto"/>
            <w:noWrap/>
            <w:vAlign w:val="center"/>
          </w:tcPr>
          <w:p w14:paraId="084ED415"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724</w:t>
            </w:r>
          </w:p>
        </w:tc>
        <w:tc>
          <w:tcPr>
            <w:tcW w:w="857" w:type="dxa"/>
            <w:tcBorders>
              <w:top w:val="nil"/>
              <w:left w:val="nil"/>
              <w:bottom w:val="single" w:sz="4" w:space="0" w:color="BFBFBF"/>
              <w:right w:val="single" w:sz="4" w:space="0" w:color="BFBFBF"/>
            </w:tcBorders>
            <w:shd w:val="clear" w:color="auto" w:fill="auto"/>
            <w:noWrap/>
            <w:vAlign w:val="center"/>
          </w:tcPr>
          <w:p w14:paraId="532AE43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F823A3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1FF61B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D53686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3D89AC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7B74F1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2E62DEA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221B81AD"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02B14B18"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smartTag w:uri="urn:schemas-microsoft-com:office:smarttags" w:element="place">
              <w:r w:rsidRPr="009C7D53">
                <w:rPr>
                  <w:rFonts w:ascii="Arial" w:hAnsi="Arial" w:cs="Arial"/>
                  <w:color w:val="000000"/>
                  <w:sz w:val="16"/>
                  <w:szCs w:val="16"/>
                  <w:lang w:val="en-AU" w:eastAsia="en-AU"/>
                </w:rPr>
                <w:t>Western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69A8439"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50CF7AD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2A9604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6E0590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17C3CFA3"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123</w:t>
            </w:r>
          </w:p>
        </w:tc>
        <w:tc>
          <w:tcPr>
            <w:tcW w:w="734" w:type="dxa"/>
            <w:tcBorders>
              <w:top w:val="nil"/>
              <w:left w:val="nil"/>
              <w:bottom w:val="single" w:sz="4" w:space="0" w:color="BFBFBF"/>
              <w:right w:val="single" w:sz="4" w:space="0" w:color="BFBFBF"/>
            </w:tcBorders>
            <w:shd w:val="clear" w:color="auto" w:fill="auto"/>
            <w:noWrap/>
            <w:vAlign w:val="center"/>
          </w:tcPr>
          <w:p w14:paraId="4E016A52"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545</w:t>
            </w:r>
          </w:p>
        </w:tc>
        <w:tc>
          <w:tcPr>
            <w:tcW w:w="734" w:type="dxa"/>
            <w:tcBorders>
              <w:top w:val="nil"/>
              <w:left w:val="nil"/>
              <w:bottom w:val="single" w:sz="4" w:space="0" w:color="BFBFBF"/>
              <w:right w:val="single" w:sz="4" w:space="0" w:color="BFBFBF"/>
            </w:tcBorders>
            <w:shd w:val="clear" w:color="auto" w:fill="auto"/>
            <w:noWrap/>
            <w:vAlign w:val="center"/>
          </w:tcPr>
          <w:p w14:paraId="275897E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702</w:t>
            </w:r>
          </w:p>
        </w:tc>
        <w:tc>
          <w:tcPr>
            <w:tcW w:w="857" w:type="dxa"/>
            <w:tcBorders>
              <w:top w:val="nil"/>
              <w:left w:val="nil"/>
              <w:bottom w:val="single" w:sz="4" w:space="0" w:color="BFBFBF"/>
              <w:right w:val="single" w:sz="4" w:space="0" w:color="BFBFBF"/>
            </w:tcBorders>
            <w:shd w:val="clear" w:color="auto" w:fill="auto"/>
            <w:noWrap/>
            <w:vAlign w:val="center"/>
          </w:tcPr>
          <w:p w14:paraId="0CC8DAD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07FC34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073EAA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9FD599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763B32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6DDA8B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609DD5A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769961DC"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144AA14B"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Brimbank Melton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E1A6CC0"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26CAC59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C09E78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304D59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B8261EF"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141</w:t>
            </w:r>
          </w:p>
        </w:tc>
        <w:tc>
          <w:tcPr>
            <w:tcW w:w="734" w:type="dxa"/>
            <w:tcBorders>
              <w:top w:val="nil"/>
              <w:left w:val="nil"/>
              <w:bottom w:val="single" w:sz="4" w:space="0" w:color="BFBFBF"/>
              <w:right w:val="single" w:sz="4" w:space="0" w:color="BFBFBF"/>
            </w:tcBorders>
            <w:shd w:val="clear" w:color="auto" w:fill="auto"/>
            <w:noWrap/>
            <w:vAlign w:val="center"/>
          </w:tcPr>
          <w:p w14:paraId="33F3FF7E"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684</w:t>
            </w:r>
          </w:p>
        </w:tc>
        <w:tc>
          <w:tcPr>
            <w:tcW w:w="734" w:type="dxa"/>
            <w:tcBorders>
              <w:top w:val="nil"/>
              <w:left w:val="nil"/>
              <w:bottom w:val="single" w:sz="4" w:space="0" w:color="BFBFBF"/>
              <w:right w:val="single" w:sz="4" w:space="0" w:color="BFBFBF"/>
            </w:tcBorders>
            <w:shd w:val="clear" w:color="auto" w:fill="auto"/>
            <w:noWrap/>
            <w:vAlign w:val="center"/>
          </w:tcPr>
          <w:p w14:paraId="329D4D4E"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844</w:t>
            </w:r>
          </w:p>
        </w:tc>
        <w:tc>
          <w:tcPr>
            <w:tcW w:w="857" w:type="dxa"/>
            <w:tcBorders>
              <w:top w:val="nil"/>
              <w:left w:val="nil"/>
              <w:bottom w:val="single" w:sz="4" w:space="0" w:color="BFBFBF"/>
              <w:right w:val="single" w:sz="4" w:space="0" w:color="BFBFBF"/>
            </w:tcBorders>
            <w:shd w:val="clear" w:color="auto" w:fill="auto"/>
            <w:noWrap/>
            <w:vAlign w:val="center"/>
          </w:tcPr>
          <w:p w14:paraId="57AB7C9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8D7326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2B55DD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2DD61A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1F778F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DE871E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49665A0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413AD122"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754C3D83"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Mallee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8E0CFE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36%</w:t>
            </w:r>
          </w:p>
        </w:tc>
        <w:tc>
          <w:tcPr>
            <w:tcW w:w="734" w:type="dxa"/>
            <w:tcBorders>
              <w:top w:val="nil"/>
              <w:left w:val="nil"/>
              <w:bottom w:val="single" w:sz="4" w:space="0" w:color="BFBFBF"/>
              <w:right w:val="single" w:sz="4" w:space="0" w:color="BFBFBF"/>
            </w:tcBorders>
            <w:shd w:val="clear" w:color="auto" w:fill="auto"/>
            <w:noWrap/>
            <w:vAlign w:val="center"/>
          </w:tcPr>
          <w:p w14:paraId="339416B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337A5B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8DC813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E5710B9"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130</w:t>
            </w:r>
          </w:p>
        </w:tc>
        <w:tc>
          <w:tcPr>
            <w:tcW w:w="734" w:type="dxa"/>
            <w:tcBorders>
              <w:top w:val="nil"/>
              <w:left w:val="nil"/>
              <w:bottom w:val="single" w:sz="4" w:space="0" w:color="BFBFBF"/>
              <w:right w:val="single" w:sz="4" w:space="0" w:color="BFBFBF"/>
            </w:tcBorders>
            <w:shd w:val="clear" w:color="auto" w:fill="auto"/>
            <w:noWrap/>
            <w:vAlign w:val="center"/>
          </w:tcPr>
          <w:p w14:paraId="4D2963F2"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406</w:t>
            </w:r>
          </w:p>
        </w:tc>
        <w:tc>
          <w:tcPr>
            <w:tcW w:w="734" w:type="dxa"/>
            <w:tcBorders>
              <w:top w:val="nil"/>
              <w:left w:val="nil"/>
              <w:bottom w:val="single" w:sz="4" w:space="0" w:color="BFBFBF"/>
              <w:right w:val="single" w:sz="4" w:space="0" w:color="BFBFBF"/>
            </w:tcBorders>
            <w:shd w:val="clear" w:color="auto" w:fill="auto"/>
            <w:noWrap/>
            <w:vAlign w:val="center"/>
          </w:tcPr>
          <w:p w14:paraId="47EC137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537</w:t>
            </w:r>
          </w:p>
        </w:tc>
        <w:tc>
          <w:tcPr>
            <w:tcW w:w="857" w:type="dxa"/>
            <w:tcBorders>
              <w:top w:val="nil"/>
              <w:left w:val="nil"/>
              <w:bottom w:val="single" w:sz="4" w:space="0" w:color="BFBFBF"/>
              <w:right w:val="single" w:sz="4" w:space="0" w:color="BFBFBF"/>
            </w:tcBorders>
            <w:shd w:val="clear" w:color="auto" w:fill="auto"/>
            <w:noWrap/>
            <w:vAlign w:val="center"/>
          </w:tcPr>
          <w:p w14:paraId="46B423F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7D54D4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D0217E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45C99F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F8C764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AA21C8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682DD46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13D3A4EA"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0875CB0A"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Loddon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9FAEF43"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69%</w:t>
            </w:r>
          </w:p>
        </w:tc>
        <w:tc>
          <w:tcPr>
            <w:tcW w:w="734" w:type="dxa"/>
            <w:tcBorders>
              <w:top w:val="nil"/>
              <w:left w:val="nil"/>
              <w:bottom w:val="single" w:sz="4" w:space="0" w:color="BFBFBF"/>
              <w:right w:val="single" w:sz="4" w:space="0" w:color="BFBFBF"/>
            </w:tcBorders>
            <w:shd w:val="clear" w:color="auto" w:fill="auto"/>
            <w:noWrap/>
            <w:vAlign w:val="center"/>
          </w:tcPr>
          <w:p w14:paraId="1AB9B2C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10B990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4F9EE7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33D4389"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148</w:t>
            </w:r>
          </w:p>
        </w:tc>
        <w:tc>
          <w:tcPr>
            <w:tcW w:w="734" w:type="dxa"/>
            <w:tcBorders>
              <w:top w:val="nil"/>
              <w:left w:val="nil"/>
              <w:bottom w:val="single" w:sz="4" w:space="0" w:color="BFBFBF"/>
              <w:right w:val="single" w:sz="4" w:space="0" w:color="BFBFBF"/>
            </w:tcBorders>
            <w:shd w:val="clear" w:color="auto" w:fill="auto"/>
            <w:noWrap/>
            <w:vAlign w:val="center"/>
          </w:tcPr>
          <w:p w14:paraId="7054BA7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611</w:t>
            </w:r>
          </w:p>
        </w:tc>
        <w:tc>
          <w:tcPr>
            <w:tcW w:w="734" w:type="dxa"/>
            <w:tcBorders>
              <w:top w:val="nil"/>
              <w:left w:val="nil"/>
              <w:bottom w:val="single" w:sz="4" w:space="0" w:color="BFBFBF"/>
              <w:right w:val="single" w:sz="4" w:space="0" w:color="BFBFBF"/>
            </w:tcBorders>
            <w:shd w:val="clear" w:color="auto" w:fill="auto"/>
            <w:noWrap/>
            <w:vAlign w:val="center"/>
          </w:tcPr>
          <w:p w14:paraId="7D82E71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814</w:t>
            </w:r>
          </w:p>
        </w:tc>
        <w:tc>
          <w:tcPr>
            <w:tcW w:w="857" w:type="dxa"/>
            <w:tcBorders>
              <w:top w:val="nil"/>
              <w:left w:val="nil"/>
              <w:bottom w:val="single" w:sz="4" w:space="0" w:color="BFBFBF"/>
              <w:right w:val="single" w:sz="4" w:space="0" w:color="BFBFBF"/>
            </w:tcBorders>
            <w:shd w:val="clear" w:color="auto" w:fill="auto"/>
            <w:noWrap/>
            <w:vAlign w:val="center"/>
          </w:tcPr>
          <w:p w14:paraId="21E902B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3196BA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1441C0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CF4B02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217D1E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6DCB25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7BB2C24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4CE6D0FB"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396A6260"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9C7D53">
                  <w:rPr>
                    <w:rFonts w:ascii="Arial" w:hAnsi="Arial" w:cs="Arial"/>
                    <w:color w:val="000000"/>
                    <w:sz w:val="16"/>
                    <w:szCs w:val="16"/>
                    <w:lang w:val="en-AU" w:eastAsia="en-AU"/>
                  </w:rPr>
                  <w:t>Murray</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14CCDA6"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3A7A2BC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BEF30C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22F7CA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12CD6F88"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101</w:t>
            </w:r>
          </w:p>
        </w:tc>
        <w:tc>
          <w:tcPr>
            <w:tcW w:w="734" w:type="dxa"/>
            <w:tcBorders>
              <w:top w:val="nil"/>
              <w:left w:val="nil"/>
              <w:bottom w:val="single" w:sz="4" w:space="0" w:color="BFBFBF"/>
              <w:right w:val="single" w:sz="4" w:space="0" w:color="BFBFBF"/>
            </w:tcBorders>
            <w:shd w:val="clear" w:color="auto" w:fill="auto"/>
            <w:noWrap/>
            <w:vAlign w:val="center"/>
          </w:tcPr>
          <w:p w14:paraId="6E3C609D"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512</w:t>
            </w:r>
          </w:p>
        </w:tc>
        <w:tc>
          <w:tcPr>
            <w:tcW w:w="734" w:type="dxa"/>
            <w:tcBorders>
              <w:top w:val="nil"/>
              <w:left w:val="nil"/>
              <w:bottom w:val="single" w:sz="4" w:space="0" w:color="BFBFBF"/>
              <w:right w:val="single" w:sz="4" w:space="0" w:color="BFBFBF"/>
            </w:tcBorders>
            <w:shd w:val="clear" w:color="auto" w:fill="auto"/>
            <w:noWrap/>
            <w:vAlign w:val="center"/>
          </w:tcPr>
          <w:p w14:paraId="1D534752"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680</w:t>
            </w:r>
          </w:p>
        </w:tc>
        <w:tc>
          <w:tcPr>
            <w:tcW w:w="857" w:type="dxa"/>
            <w:tcBorders>
              <w:top w:val="nil"/>
              <w:left w:val="nil"/>
              <w:bottom w:val="single" w:sz="4" w:space="0" w:color="BFBFBF"/>
              <w:right w:val="single" w:sz="4" w:space="0" w:color="BFBFBF"/>
            </w:tcBorders>
            <w:shd w:val="clear" w:color="auto" w:fill="auto"/>
            <w:noWrap/>
            <w:vAlign w:val="center"/>
          </w:tcPr>
          <w:p w14:paraId="1EE3D80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5E24F3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605DB4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9BB0F8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84ED5D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36EEE0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51AF4B4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01B6856C"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4DEC1B41"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Goulburn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5DE5FEE"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BFBFBF"/>
            </w:tcBorders>
            <w:shd w:val="clear" w:color="auto" w:fill="auto"/>
            <w:noWrap/>
            <w:vAlign w:val="center"/>
          </w:tcPr>
          <w:p w14:paraId="6F132D1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DB4A58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63F7A2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C3EB80F"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131</w:t>
            </w:r>
          </w:p>
        </w:tc>
        <w:tc>
          <w:tcPr>
            <w:tcW w:w="734" w:type="dxa"/>
            <w:tcBorders>
              <w:top w:val="nil"/>
              <w:left w:val="nil"/>
              <w:bottom w:val="single" w:sz="4" w:space="0" w:color="BFBFBF"/>
              <w:right w:val="single" w:sz="4" w:space="0" w:color="BFBFBF"/>
            </w:tcBorders>
            <w:shd w:val="clear" w:color="auto" w:fill="auto"/>
            <w:noWrap/>
            <w:vAlign w:val="center"/>
          </w:tcPr>
          <w:p w14:paraId="3D27FBA1"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471</w:t>
            </w:r>
          </w:p>
        </w:tc>
        <w:tc>
          <w:tcPr>
            <w:tcW w:w="734" w:type="dxa"/>
            <w:tcBorders>
              <w:top w:val="nil"/>
              <w:left w:val="nil"/>
              <w:bottom w:val="single" w:sz="4" w:space="0" w:color="BFBFBF"/>
              <w:right w:val="single" w:sz="4" w:space="0" w:color="BFBFBF"/>
            </w:tcBorders>
            <w:shd w:val="clear" w:color="auto" w:fill="auto"/>
            <w:noWrap/>
            <w:vAlign w:val="center"/>
          </w:tcPr>
          <w:p w14:paraId="41ED23C8"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648</w:t>
            </w:r>
          </w:p>
        </w:tc>
        <w:tc>
          <w:tcPr>
            <w:tcW w:w="857" w:type="dxa"/>
            <w:tcBorders>
              <w:top w:val="nil"/>
              <w:left w:val="nil"/>
              <w:bottom w:val="single" w:sz="4" w:space="0" w:color="BFBFBF"/>
              <w:right w:val="single" w:sz="4" w:space="0" w:color="BFBFBF"/>
            </w:tcBorders>
            <w:shd w:val="clear" w:color="auto" w:fill="auto"/>
            <w:noWrap/>
            <w:vAlign w:val="center"/>
          </w:tcPr>
          <w:p w14:paraId="418296C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9DE67E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4457B3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89596F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DCD90C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237A5E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4BE3EAE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20907ACE"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52291EE1"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Outer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E9282BF"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34%</w:t>
            </w:r>
          </w:p>
        </w:tc>
        <w:tc>
          <w:tcPr>
            <w:tcW w:w="734" w:type="dxa"/>
            <w:tcBorders>
              <w:top w:val="nil"/>
              <w:left w:val="nil"/>
              <w:bottom w:val="single" w:sz="4" w:space="0" w:color="BFBFBF"/>
              <w:right w:val="single" w:sz="4" w:space="0" w:color="BFBFBF"/>
            </w:tcBorders>
            <w:shd w:val="clear" w:color="auto" w:fill="auto"/>
            <w:noWrap/>
            <w:vAlign w:val="center"/>
          </w:tcPr>
          <w:p w14:paraId="25AE9E2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6F6CE1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54CDC2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0A602C1"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182</w:t>
            </w:r>
          </w:p>
        </w:tc>
        <w:tc>
          <w:tcPr>
            <w:tcW w:w="734" w:type="dxa"/>
            <w:tcBorders>
              <w:top w:val="nil"/>
              <w:left w:val="nil"/>
              <w:bottom w:val="single" w:sz="4" w:space="0" w:color="BFBFBF"/>
              <w:right w:val="single" w:sz="4" w:space="0" w:color="BFBFBF"/>
            </w:tcBorders>
            <w:shd w:val="clear" w:color="auto" w:fill="auto"/>
            <w:noWrap/>
            <w:vAlign w:val="center"/>
          </w:tcPr>
          <w:p w14:paraId="5BC4905C"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398</w:t>
            </w:r>
          </w:p>
        </w:tc>
        <w:tc>
          <w:tcPr>
            <w:tcW w:w="734" w:type="dxa"/>
            <w:tcBorders>
              <w:top w:val="nil"/>
              <w:left w:val="nil"/>
              <w:bottom w:val="single" w:sz="4" w:space="0" w:color="BFBFBF"/>
              <w:right w:val="single" w:sz="4" w:space="0" w:color="BFBFBF"/>
            </w:tcBorders>
            <w:shd w:val="clear" w:color="auto" w:fill="auto"/>
            <w:noWrap/>
            <w:vAlign w:val="center"/>
          </w:tcPr>
          <w:p w14:paraId="1EE308FE"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641</w:t>
            </w:r>
          </w:p>
        </w:tc>
        <w:tc>
          <w:tcPr>
            <w:tcW w:w="857" w:type="dxa"/>
            <w:tcBorders>
              <w:top w:val="nil"/>
              <w:left w:val="nil"/>
              <w:bottom w:val="single" w:sz="4" w:space="0" w:color="BFBFBF"/>
              <w:right w:val="single" w:sz="4" w:space="0" w:color="BFBFBF"/>
            </w:tcBorders>
            <w:shd w:val="clear" w:color="auto" w:fill="auto"/>
            <w:noWrap/>
            <w:vAlign w:val="center"/>
          </w:tcPr>
          <w:p w14:paraId="06DCBD8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D5EF7C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F542EB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7B90D66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E7E28E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8F3E69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4FE1B2A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199FC8E1"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61C3F026"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Inner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4E0CE4D"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w:t>
            </w:r>
          </w:p>
        </w:tc>
        <w:tc>
          <w:tcPr>
            <w:tcW w:w="734" w:type="dxa"/>
            <w:tcBorders>
              <w:top w:val="nil"/>
              <w:left w:val="nil"/>
              <w:bottom w:val="single" w:sz="4" w:space="0" w:color="BFBFBF"/>
              <w:right w:val="single" w:sz="4" w:space="0" w:color="BFBFBF"/>
            </w:tcBorders>
            <w:shd w:val="clear" w:color="auto" w:fill="auto"/>
            <w:noWrap/>
            <w:vAlign w:val="center"/>
          </w:tcPr>
          <w:p w14:paraId="2F573A6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068B13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B62D05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8DE5E48"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169</w:t>
            </w:r>
          </w:p>
        </w:tc>
        <w:tc>
          <w:tcPr>
            <w:tcW w:w="734" w:type="dxa"/>
            <w:tcBorders>
              <w:top w:val="nil"/>
              <w:left w:val="nil"/>
              <w:bottom w:val="single" w:sz="4" w:space="0" w:color="BFBFBF"/>
              <w:right w:val="single" w:sz="4" w:space="0" w:color="BFBFBF"/>
            </w:tcBorders>
            <w:shd w:val="clear" w:color="auto" w:fill="auto"/>
            <w:noWrap/>
            <w:vAlign w:val="center"/>
          </w:tcPr>
          <w:p w14:paraId="35D3EC7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474</w:t>
            </w:r>
          </w:p>
        </w:tc>
        <w:tc>
          <w:tcPr>
            <w:tcW w:w="734" w:type="dxa"/>
            <w:tcBorders>
              <w:top w:val="nil"/>
              <w:left w:val="nil"/>
              <w:bottom w:val="single" w:sz="4" w:space="0" w:color="BFBFBF"/>
              <w:right w:val="single" w:sz="4" w:space="0" w:color="BFBFBF"/>
            </w:tcBorders>
            <w:shd w:val="clear" w:color="auto" w:fill="auto"/>
            <w:noWrap/>
            <w:vAlign w:val="center"/>
          </w:tcPr>
          <w:p w14:paraId="1E2351D2"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674</w:t>
            </w:r>
          </w:p>
        </w:tc>
        <w:tc>
          <w:tcPr>
            <w:tcW w:w="857" w:type="dxa"/>
            <w:tcBorders>
              <w:top w:val="nil"/>
              <w:left w:val="nil"/>
              <w:bottom w:val="single" w:sz="4" w:space="0" w:color="BFBFBF"/>
              <w:right w:val="single" w:sz="4" w:space="0" w:color="BFBFBF"/>
            </w:tcBorders>
            <w:shd w:val="clear" w:color="auto" w:fill="auto"/>
            <w:noWrap/>
            <w:vAlign w:val="center"/>
          </w:tcPr>
          <w:p w14:paraId="4C06AEC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76C82D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8E4CE9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CD7730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065393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65028F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5C3FE0C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627A3B70"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21EA2041"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Western District</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DE4202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BFBFBF"/>
            </w:tcBorders>
            <w:shd w:val="clear" w:color="auto" w:fill="auto"/>
            <w:noWrap/>
            <w:vAlign w:val="center"/>
          </w:tcPr>
          <w:p w14:paraId="23B2370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6F616F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9DB81C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650F9CA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71</w:t>
            </w:r>
          </w:p>
        </w:tc>
        <w:tc>
          <w:tcPr>
            <w:tcW w:w="734" w:type="dxa"/>
            <w:tcBorders>
              <w:top w:val="nil"/>
              <w:left w:val="nil"/>
              <w:bottom w:val="single" w:sz="4" w:space="0" w:color="BFBFBF"/>
              <w:right w:val="single" w:sz="4" w:space="0" w:color="BFBFBF"/>
            </w:tcBorders>
            <w:shd w:val="clear" w:color="auto" w:fill="auto"/>
            <w:noWrap/>
            <w:vAlign w:val="center"/>
          </w:tcPr>
          <w:p w14:paraId="22F9337F"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422</w:t>
            </w:r>
          </w:p>
        </w:tc>
        <w:tc>
          <w:tcPr>
            <w:tcW w:w="734" w:type="dxa"/>
            <w:tcBorders>
              <w:top w:val="nil"/>
              <w:left w:val="nil"/>
              <w:bottom w:val="single" w:sz="4" w:space="0" w:color="BFBFBF"/>
              <w:right w:val="single" w:sz="4" w:space="0" w:color="BFBFBF"/>
            </w:tcBorders>
            <w:shd w:val="clear" w:color="auto" w:fill="auto"/>
            <w:noWrap/>
            <w:vAlign w:val="center"/>
          </w:tcPr>
          <w:p w14:paraId="4D394289"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522</w:t>
            </w:r>
          </w:p>
        </w:tc>
        <w:tc>
          <w:tcPr>
            <w:tcW w:w="857" w:type="dxa"/>
            <w:tcBorders>
              <w:top w:val="nil"/>
              <w:left w:val="nil"/>
              <w:bottom w:val="single" w:sz="4" w:space="0" w:color="BFBFBF"/>
              <w:right w:val="single" w:sz="4" w:space="0" w:color="BFBFBF"/>
            </w:tcBorders>
            <w:shd w:val="clear" w:color="auto" w:fill="auto"/>
            <w:noWrap/>
            <w:vAlign w:val="center"/>
          </w:tcPr>
          <w:p w14:paraId="28BA72D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3D4594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470E07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0960048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399A97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906596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03A16A5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201DB374"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064726BC"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Barwon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2A5B51D"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5A2209E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6E3B49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895045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17D44983"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116</w:t>
            </w:r>
          </w:p>
        </w:tc>
        <w:tc>
          <w:tcPr>
            <w:tcW w:w="734" w:type="dxa"/>
            <w:tcBorders>
              <w:top w:val="nil"/>
              <w:left w:val="nil"/>
              <w:bottom w:val="single" w:sz="4" w:space="0" w:color="BFBFBF"/>
              <w:right w:val="single" w:sz="4" w:space="0" w:color="BFBFBF"/>
            </w:tcBorders>
            <w:shd w:val="clear" w:color="auto" w:fill="auto"/>
            <w:noWrap/>
            <w:vAlign w:val="center"/>
          </w:tcPr>
          <w:p w14:paraId="4614DA2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485</w:t>
            </w:r>
          </w:p>
        </w:tc>
        <w:tc>
          <w:tcPr>
            <w:tcW w:w="734" w:type="dxa"/>
            <w:tcBorders>
              <w:top w:val="nil"/>
              <w:left w:val="nil"/>
              <w:bottom w:val="single" w:sz="4" w:space="0" w:color="BFBFBF"/>
              <w:right w:val="single" w:sz="4" w:space="0" w:color="BFBFBF"/>
            </w:tcBorders>
            <w:shd w:val="clear" w:color="auto" w:fill="auto"/>
            <w:noWrap/>
            <w:vAlign w:val="center"/>
          </w:tcPr>
          <w:p w14:paraId="29016FB8"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633</w:t>
            </w:r>
          </w:p>
        </w:tc>
        <w:tc>
          <w:tcPr>
            <w:tcW w:w="857" w:type="dxa"/>
            <w:tcBorders>
              <w:top w:val="nil"/>
              <w:left w:val="nil"/>
              <w:bottom w:val="single" w:sz="4" w:space="0" w:color="BFBFBF"/>
              <w:right w:val="single" w:sz="4" w:space="0" w:color="BFBFBF"/>
            </w:tcBorders>
            <w:shd w:val="clear" w:color="auto" w:fill="auto"/>
            <w:noWrap/>
            <w:vAlign w:val="center"/>
          </w:tcPr>
          <w:p w14:paraId="3727BB1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A42162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45804F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5FC295A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6F3E40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580FCB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106C26E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648FBE88"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2E7A37D1"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Central Highlands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1BC1C21"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488FD13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05AF44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C5AA0A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4BD15A51"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206</w:t>
            </w:r>
          </w:p>
        </w:tc>
        <w:tc>
          <w:tcPr>
            <w:tcW w:w="734" w:type="dxa"/>
            <w:tcBorders>
              <w:top w:val="nil"/>
              <w:left w:val="nil"/>
              <w:bottom w:val="single" w:sz="4" w:space="0" w:color="BFBFBF"/>
              <w:right w:val="single" w:sz="4" w:space="0" w:color="BFBFBF"/>
            </w:tcBorders>
            <w:shd w:val="clear" w:color="auto" w:fill="auto"/>
            <w:noWrap/>
            <w:vAlign w:val="center"/>
          </w:tcPr>
          <w:p w14:paraId="3982ABBE"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836</w:t>
            </w:r>
          </w:p>
        </w:tc>
        <w:tc>
          <w:tcPr>
            <w:tcW w:w="734" w:type="dxa"/>
            <w:tcBorders>
              <w:top w:val="nil"/>
              <w:left w:val="nil"/>
              <w:bottom w:val="single" w:sz="4" w:space="0" w:color="BFBFBF"/>
              <w:right w:val="single" w:sz="4" w:space="0" w:color="BFBFBF"/>
            </w:tcBorders>
            <w:shd w:val="clear" w:color="auto" w:fill="auto"/>
            <w:noWrap/>
            <w:vAlign w:val="center"/>
          </w:tcPr>
          <w:p w14:paraId="65037B7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1053</w:t>
            </w:r>
          </w:p>
        </w:tc>
        <w:tc>
          <w:tcPr>
            <w:tcW w:w="857" w:type="dxa"/>
            <w:tcBorders>
              <w:top w:val="nil"/>
              <w:left w:val="nil"/>
              <w:bottom w:val="single" w:sz="4" w:space="0" w:color="BFBFBF"/>
              <w:right w:val="single" w:sz="4" w:space="0" w:color="BFBFBF"/>
            </w:tcBorders>
            <w:shd w:val="clear" w:color="auto" w:fill="auto"/>
            <w:noWrap/>
            <w:vAlign w:val="center"/>
          </w:tcPr>
          <w:p w14:paraId="51A3EC6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8B10E6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B8236D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857" w:type="dxa"/>
            <w:tcBorders>
              <w:top w:val="nil"/>
              <w:left w:val="nil"/>
              <w:bottom w:val="single" w:sz="4" w:space="0" w:color="BFBFBF"/>
              <w:right w:val="single" w:sz="4" w:space="0" w:color="BFBFBF"/>
            </w:tcBorders>
            <w:shd w:val="clear" w:color="auto" w:fill="auto"/>
            <w:noWrap/>
            <w:vAlign w:val="center"/>
          </w:tcPr>
          <w:p w14:paraId="2D7FDE5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D821EA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3DDCA9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0EB22DB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AF0E73" w:rsidRPr="009C7D53" w14:paraId="7A2B0B33"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798D626F" w14:textId="77777777" w:rsidR="00AF0E73" w:rsidRPr="009C7D53" w:rsidRDefault="00AF0E73" w:rsidP="00086B9C">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Concession Status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006464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BC287F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0E7638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47E2067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451FB816"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CE5FEA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E6744A1"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6AC0A6F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BD2EAD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588E78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50278F7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8B6DAF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9FBD5D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0D470F8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AF0E73" w:rsidRPr="009C7D53" w14:paraId="1864233D"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605991F8"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Aged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741CD6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BFBFBF"/>
            </w:tcBorders>
            <w:shd w:val="clear" w:color="auto" w:fill="auto"/>
            <w:noWrap/>
            <w:vAlign w:val="center"/>
          </w:tcPr>
          <w:p w14:paraId="6271E15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45DF19F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auto"/>
            </w:tcBorders>
            <w:shd w:val="clear" w:color="auto" w:fill="auto"/>
            <w:noWrap/>
            <w:vAlign w:val="center"/>
          </w:tcPr>
          <w:p w14:paraId="1AF4755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857" w:type="dxa"/>
            <w:tcBorders>
              <w:top w:val="nil"/>
              <w:left w:val="nil"/>
              <w:bottom w:val="single" w:sz="4" w:space="0" w:color="BFBFBF"/>
              <w:right w:val="single" w:sz="4" w:space="0" w:color="BFBFBF"/>
            </w:tcBorders>
            <w:shd w:val="clear" w:color="auto" w:fill="auto"/>
            <w:noWrap/>
            <w:vAlign w:val="center"/>
          </w:tcPr>
          <w:p w14:paraId="2F459B0A"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144</w:t>
            </w:r>
          </w:p>
        </w:tc>
        <w:tc>
          <w:tcPr>
            <w:tcW w:w="734" w:type="dxa"/>
            <w:tcBorders>
              <w:top w:val="nil"/>
              <w:left w:val="nil"/>
              <w:bottom w:val="single" w:sz="4" w:space="0" w:color="BFBFBF"/>
              <w:right w:val="single" w:sz="4" w:space="0" w:color="BFBFBF"/>
            </w:tcBorders>
            <w:shd w:val="clear" w:color="auto" w:fill="auto"/>
            <w:noWrap/>
            <w:vAlign w:val="center"/>
          </w:tcPr>
          <w:p w14:paraId="1C5996B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546</w:t>
            </w:r>
          </w:p>
        </w:tc>
        <w:tc>
          <w:tcPr>
            <w:tcW w:w="734" w:type="dxa"/>
            <w:tcBorders>
              <w:top w:val="nil"/>
              <w:left w:val="nil"/>
              <w:bottom w:val="single" w:sz="4" w:space="0" w:color="BFBFBF"/>
              <w:right w:val="single" w:sz="4" w:space="0" w:color="BFBFBF"/>
            </w:tcBorders>
            <w:shd w:val="clear" w:color="auto" w:fill="auto"/>
            <w:noWrap/>
            <w:vAlign w:val="center"/>
          </w:tcPr>
          <w:p w14:paraId="33F7BA48"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720</w:t>
            </w:r>
          </w:p>
        </w:tc>
        <w:tc>
          <w:tcPr>
            <w:tcW w:w="857" w:type="dxa"/>
            <w:tcBorders>
              <w:top w:val="nil"/>
              <w:left w:val="nil"/>
              <w:bottom w:val="single" w:sz="4" w:space="0" w:color="BFBFBF"/>
              <w:right w:val="single" w:sz="4" w:space="0" w:color="BFBFBF"/>
            </w:tcBorders>
            <w:shd w:val="clear" w:color="auto" w:fill="auto"/>
            <w:noWrap/>
            <w:vAlign w:val="center"/>
          </w:tcPr>
          <w:p w14:paraId="41B220C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103</w:t>
            </w:r>
          </w:p>
        </w:tc>
        <w:tc>
          <w:tcPr>
            <w:tcW w:w="734" w:type="dxa"/>
            <w:tcBorders>
              <w:top w:val="nil"/>
              <w:left w:val="nil"/>
              <w:bottom w:val="single" w:sz="4" w:space="0" w:color="BFBFBF"/>
              <w:right w:val="single" w:sz="4" w:space="0" w:color="BFBFBF"/>
            </w:tcBorders>
            <w:shd w:val="clear" w:color="auto" w:fill="auto"/>
            <w:noWrap/>
            <w:vAlign w:val="center"/>
          </w:tcPr>
          <w:p w14:paraId="69A0CDE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398</w:t>
            </w:r>
          </w:p>
        </w:tc>
        <w:tc>
          <w:tcPr>
            <w:tcW w:w="734" w:type="dxa"/>
            <w:tcBorders>
              <w:top w:val="nil"/>
              <w:left w:val="nil"/>
              <w:bottom w:val="single" w:sz="4" w:space="0" w:color="BFBFBF"/>
              <w:right w:val="single" w:sz="4" w:space="0" w:color="BFBFBF"/>
            </w:tcBorders>
            <w:shd w:val="clear" w:color="auto" w:fill="auto"/>
            <w:noWrap/>
            <w:vAlign w:val="center"/>
          </w:tcPr>
          <w:p w14:paraId="5908260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500</w:t>
            </w:r>
          </w:p>
        </w:tc>
        <w:tc>
          <w:tcPr>
            <w:tcW w:w="857" w:type="dxa"/>
            <w:tcBorders>
              <w:top w:val="nil"/>
              <w:left w:val="nil"/>
              <w:bottom w:val="single" w:sz="4" w:space="0" w:color="BFBFBF"/>
              <w:right w:val="single" w:sz="4" w:space="0" w:color="BFBFBF"/>
            </w:tcBorders>
            <w:shd w:val="clear" w:color="auto" w:fill="auto"/>
            <w:noWrap/>
            <w:vAlign w:val="center"/>
          </w:tcPr>
          <w:p w14:paraId="28A7D83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119</w:t>
            </w:r>
          </w:p>
        </w:tc>
        <w:tc>
          <w:tcPr>
            <w:tcW w:w="734" w:type="dxa"/>
            <w:tcBorders>
              <w:top w:val="nil"/>
              <w:left w:val="nil"/>
              <w:bottom w:val="single" w:sz="4" w:space="0" w:color="BFBFBF"/>
              <w:right w:val="single" w:sz="4" w:space="0" w:color="BFBFBF"/>
            </w:tcBorders>
            <w:shd w:val="clear" w:color="auto" w:fill="auto"/>
            <w:noWrap/>
            <w:vAlign w:val="center"/>
          </w:tcPr>
          <w:p w14:paraId="4A1DE77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340</w:t>
            </w:r>
          </w:p>
        </w:tc>
        <w:tc>
          <w:tcPr>
            <w:tcW w:w="734" w:type="dxa"/>
            <w:tcBorders>
              <w:top w:val="nil"/>
              <w:left w:val="nil"/>
              <w:bottom w:val="single" w:sz="4" w:space="0" w:color="BFBFBF"/>
              <w:right w:val="single" w:sz="4" w:space="0" w:color="BFBFBF"/>
            </w:tcBorders>
            <w:shd w:val="clear" w:color="auto" w:fill="auto"/>
            <w:noWrap/>
            <w:vAlign w:val="center"/>
          </w:tcPr>
          <w:p w14:paraId="78453F8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459</w:t>
            </w:r>
          </w:p>
        </w:tc>
        <w:tc>
          <w:tcPr>
            <w:tcW w:w="734" w:type="dxa"/>
            <w:tcBorders>
              <w:top w:val="nil"/>
              <w:left w:val="nil"/>
              <w:bottom w:val="single" w:sz="4" w:space="0" w:color="BFBFBF"/>
              <w:right w:val="double" w:sz="6" w:space="0" w:color="auto"/>
            </w:tcBorders>
            <w:shd w:val="clear" w:color="auto" w:fill="auto"/>
            <w:noWrap/>
            <w:vAlign w:val="center"/>
          </w:tcPr>
          <w:p w14:paraId="13A4127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401</w:t>
            </w:r>
          </w:p>
        </w:tc>
      </w:tr>
      <w:tr w:rsidR="00AF0E73" w:rsidRPr="009C7D53" w14:paraId="214D2E37"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4A898C0"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Other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2F8E36D"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BFBFBF"/>
            </w:tcBorders>
            <w:shd w:val="clear" w:color="auto" w:fill="auto"/>
            <w:noWrap/>
            <w:vAlign w:val="center"/>
          </w:tcPr>
          <w:p w14:paraId="0139B91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1E7EA82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auto"/>
            </w:tcBorders>
            <w:shd w:val="clear" w:color="auto" w:fill="auto"/>
            <w:noWrap/>
            <w:vAlign w:val="center"/>
          </w:tcPr>
          <w:p w14:paraId="7C05E99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89%</w:t>
            </w:r>
          </w:p>
        </w:tc>
        <w:tc>
          <w:tcPr>
            <w:tcW w:w="857" w:type="dxa"/>
            <w:tcBorders>
              <w:top w:val="nil"/>
              <w:left w:val="nil"/>
              <w:bottom w:val="single" w:sz="4" w:space="0" w:color="BFBFBF"/>
              <w:right w:val="single" w:sz="4" w:space="0" w:color="BFBFBF"/>
            </w:tcBorders>
            <w:shd w:val="clear" w:color="auto" w:fill="auto"/>
            <w:noWrap/>
            <w:vAlign w:val="center"/>
          </w:tcPr>
          <w:p w14:paraId="09DF09C8"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178</w:t>
            </w:r>
          </w:p>
        </w:tc>
        <w:tc>
          <w:tcPr>
            <w:tcW w:w="734" w:type="dxa"/>
            <w:tcBorders>
              <w:top w:val="nil"/>
              <w:left w:val="nil"/>
              <w:bottom w:val="single" w:sz="4" w:space="0" w:color="BFBFBF"/>
              <w:right w:val="single" w:sz="4" w:space="0" w:color="BFBFBF"/>
            </w:tcBorders>
            <w:shd w:val="clear" w:color="auto" w:fill="auto"/>
            <w:noWrap/>
            <w:vAlign w:val="center"/>
          </w:tcPr>
          <w:p w14:paraId="4C86F74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528</w:t>
            </w:r>
          </w:p>
        </w:tc>
        <w:tc>
          <w:tcPr>
            <w:tcW w:w="734" w:type="dxa"/>
            <w:tcBorders>
              <w:top w:val="nil"/>
              <w:left w:val="nil"/>
              <w:bottom w:val="single" w:sz="4" w:space="0" w:color="BFBFBF"/>
              <w:right w:val="single" w:sz="4" w:space="0" w:color="BFBFBF"/>
            </w:tcBorders>
            <w:shd w:val="clear" w:color="auto" w:fill="auto"/>
            <w:noWrap/>
            <w:vAlign w:val="center"/>
          </w:tcPr>
          <w:p w14:paraId="70C92C6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740</w:t>
            </w:r>
          </w:p>
        </w:tc>
        <w:tc>
          <w:tcPr>
            <w:tcW w:w="857" w:type="dxa"/>
            <w:tcBorders>
              <w:top w:val="nil"/>
              <w:left w:val="nil"/>
              <w:bottom w:val="single" w:sz="4" w:space="0" w:color="BFBFBF"/>
              <w:right w:val="single" w:sz="4" w:space="0" w:color="BFBFBF"/>
            </w:tcBorders>
            <w:shd w:val="clear" w:color="auto" w:fill="auto"/>
            <w:noWrap/>
            <w:vAlign w:val="center"/>
          </w:tcPr>
          <w:p w14:paraId="70B9E59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156</w:t>
            </w:r>
          </w:p>
        </w:tc>
        <w:tc>
          <w:tcPr>
            <w:tcW w:w="734" w:type="dxa"/>
            <w:tcBorders>
              <w:top w:val="nil"/>
              <w:left w:val="nil"/>
              <w:bottom w:val="single" w:sz="4" w:space="0" w:color="BFBFBF"/>
              <w:right w:val="single" w:sz="4" w:space="0" w:color="BFBFBF"/>
            </w:tcBorders>
            <w:shd w:val="clear" w:color="auto" w:fill="auto"/>
            <w:noWrap/>
            <w:vAlign w:val="center"/>
          </w:tcPr>
          <w:p w14:paraId="26AA31F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416</w:t>
            </w:r>
          </w:p>
        </w:tc>
        <w:tc>
          <w:tcPr>
            <w:tcW w:w="734" w:type="dxa"/>
            <w:tcBorders>
              <w:top w:val="nil"/>
              <w:left w:val="nil"/>
              <w:bottom w:val="single" w:sz="4" w:space="0" w:color="BFBFBF"/>
              <w:right w:val="single" w:sz="4" w:space="0" w:color="BFBFBF"/>
            </w:tcBorders>
            <w:shd w:val="clear" w:color="auto" w:fill="auto"/>
            <w:noWrap/>
            <w:vAlign w:val="center"/>
          </w:tcPr>
          <w:p w14:paraId="6A4BB5A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572</w:t>
            </w:r>
          </w:p>
        </w:tc>
        <w:tc>
          <w:tcPr>
            <w:tcW w:w="857" w:type="dxa"/>
            <w:tcBorders>
              <w:top w:val="nil"/>
              <w:left w:val="nil"/>
              <w:bottom w:val="single" w:sz="4" w:space="0" w:color="BFBFBF"/>
              <w:right w:val="single" w:sz="4" w:space="0" w:color="BFBFBF"/>
            </w:tcBorders>
            <w:shd w:val="clear" w:color="auto" w:fill="auto"/>
            <w:noWrap/>
            <w:vAlign w:val="center"/>
          </w:tcPr>
          <w:p w14:paraId="7584E19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133</w:t>
            </w:r>
          </w:p>
        </w:tc>
        <w:tc>
          <w:tcPr>
            <w:tcW w:w="734" w:type="dxa"/>
            <w:tcBorders>
              <w:top w:val="nil"/>
              <w:left w:val="nil"/>
              <w:bottom w:val="single" w:sz="4" w:space="0" w:color="BFBFBF"/>
              <w:right w:val="single" w:sz="4" w:space="0" w:color="BFBFBF"/>
            </w:tcBorders>
            <w:shd w:val="clear" w:color="auto" w:fill="auto"/>
            <w:noWrap/>
            <w:vAlign w:val="center"/>
          </w:tcPr>
          <w:p w14:paraId="05CE7B5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369</w:t>
            </w:r>
          </w:p>
        </w:tc>
        <w:tc>
          <w:tcPr>
            <w:tcW w:w="734" w:type="dxa"/>
            <w:tcBorders>
              <w:top w:val="nil"/>
              <w:left w:val="nil"/>
              <w:bottom w:val="single" w:sz="4" w:space="0" w:color="BFBFBF"/>
              <w:right w:val="single" w:sz="4" w:space="0" w:color="BFBFBF"/>
            </w:tcBorders>
            <w:shd w:val="clear" w:color="auto" w:fill="auto"/>
            <w:noWrap/>
            <w:vAlign w:val="center"/>
          </w:tcPr>
          <w:p w14:paraId="5D5DFE8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502</w:t>
            </w:r>
          </w:p>
        </w:tc>
        <w:tc>
          <w:tcPr>
            <w:tcW w:w="734" w:type="dxa"/>
            <w:tcBorders>
              <w:top w:val="nil"/>
              <w:left w:val="nil"/>
              <w:bottom w:val="single" w:sz="4" w:space="0" w:color="BFBFBF"/>
              <w:right w:val="double" w:sz="6" w:space="0" w:color="auto"/>
            </w:tcBorders>
            <w:shd w:val="clear" w:color="auto" w:fill="auto"/>
            <w:noWrap/>
            <w:vAlign w:val="center"/>
          </w:tcPr>
          <w:p w14:paraId="79FAB05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433</w:t>
            </w:r>
          </w:p>
        </w:tc>
      </w:tr>
      <w:tr w:rsidR="00AF0E73" w:rsidRPr="009C7D53" w14:paraId="7717665B"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28F2B7A4"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Total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27BE93F"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BFBFBF"/>
            </w:tcBorders>
            <w:shd w:val="clear" w:color="auto" w:fill="auto"/>
            <w:noWrap/>
            <w:vAlign w:val="center"/>
          </w:tcPr>
          <w:p w14:paraId="66AFC11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7F9094A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auto"/>
            </w:tcBorders>
            <w:shd w:val="clear" w:color="auto" w:fill="auto"/>
            <w:noWrap/>
            <w:vAlign w:val="center"/>
          </w:tcPr>
          <w:p w14:paraId="68A4E6E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w:t>
            </w:r>
          </w:p>
        </w:tc>
        <w:tc>
          <w:tcPr>
            <w:tcW w:w="857" w:type="dxa"/>
            <w:tcBorders>
              <w:top w:val="nil"/>
              <w:left w:val="nil"/>
              <w:bottom w:val="single" w:sz="4" w:space="0" w:color="BFBFBF"/>
              <w:right w:val="single" w:sz="4" w:space="0" w:color="BFBFBF"/>
            </w:tcBorders>
            <w:shd w:val="clear" w:color="auto" w:fill="auto"/>
            <w:noWrap/>
            <w:vAlign w:val="center"/>
          </w:tcPr>
          <w:p w14:paraId="193BD490"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161</w:t>
            </w:r>
          </w:p>
        </w:tc>
        <w:tc>
          <w:tcPr>
            <w:tcW w:w="734" w:type="dxa"/>
            <w:tcBorders>
              <w:top w:val="nil"/>
              <w:left w:val="nil"/>
              <w:bottom w:val="single" w:sz="4" w:space="0" w:color="BFBFBF"/>
              <w:right w:val="single" w:sz="4" w:space="0" w:color="BFBFBF"/>
            </w:tcBorders>
            <w:shd w:val="clear" w:color="auto" w:fill="auto"/>
            <w:noWrap/>
            <w:vAlign w:val="center"/>
          </w:tcPr>
          <w:p w14:paraId="27565036"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537</w:t>
            </w:r>
          </w:p>
        </w:tc>
        <w:tc>
          <w:tcPr>
            <w:tcW w:w="734" w:type="dxa"/>
            <w:tcBorders>
              <w:top w:val="nil"/>
              <w:left w:val="nil"/>
              <w:bottom w:val="single" w:sz="4" w:space="0" w:color="BFBFBF"/>
              <w:right w:val="single" w:sz="4" w:space="0" w:color="BFBFBF"/>
            </w:tcBorders>
            <w:shd w:val="clear" w:color="auto" w:fill="auto"/>
            <w:noWrap/>
            <w:vAlign w:val="center"/>
          </w:tcPr>
          <w:p w14:paraId="354FEE6D"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730</w:t>
            </w:r>
          </w:p>
        </w:tc>
        <w:tc>
          <w:tcPr>
            <w:tcW w:w="857" w:type="dxa"/>
            <w:tcBorders>
              <w:top w:val="nil"/>
              <w:left w:val="nil"/>
              <w:bottom w:val="single" w:sz="4" w:space="0" w:color="BFBFBF"/>
              <w:right w:val="single" w:sz="4" w:space="0" w:color="BFBFBF"/>
            </w:tcBorders>
            <w:shd w:val="clear" w:color="auto" w:fill="auto"/>
            <w:noWrap/>
            <w:vAlign w:val="center"/>
          </w:tcPr>
          <w:p w14:paraId="567A980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128</w:t>
            </w:r>
          </w:p>
        </w:tc>
        <w:tc>
          <w:tcPr>
            <w:tcW w:w="734" w:type="dxa"/>
            <w:tcBorders>
              <w:top w:val="nil"/>
              <w:left w:val="nil"/>
              <w:bottom w:val="single" w:sz="4" w:space="0" w:color="BFBFBF"/>
              <w:right w:val="single" w:sz="4" w:space="0" w:color="BFBFBF"/>
            </w:tcBorders>
            <w:shd w:val="clear" w:color="auto" w:fill="auto"/>
            <w:noWrap/>
            <w:vAlign w:val="center"/>
          </w:tcPr>
          <w:p w14:paraId="3827028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407</w:t>
            </w:r>
          </w:p>
        </w:tc>
        <w:tc>
          <w:tcPr>
            <w:tcW w:w="734" w:type="dxa"/>
            <w:tcBorders>
              <w:top w:val="nil"/>
              <w:left w:val="nil"/>
              <w:bottom w:val="single" w:sz="4" w:space="0" w:color="BFBFBF"/>
              <w:right w:val="single" w:sz="4" w:space="0" w:color="BFBFBF"/>
            </w:tcBorders>
            <w:shd w:val="clear" w:color="auto" w:fill="auto"/>
            <w:noWrap/>
            <w:vAlign w:val="center"/>
          </w:tcPr>
          <w:p w14:paraId="4B98176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534</w:t>
            </w:r>
          </w:p>
        </w:tc>
        <w:tc>
          <w:tcPr>
            <w:tcW w:w="857" w:type="dxa"/>
            <w:tcBorders>
              <w:top w:val="nil"/>
              <w:left w:val="nil"/>
              <w:bottom w:val="single" w:sz="4" w:space="0" w:color="BFBFBF"/>
              <w:right w:val="single" w:sz="4" w:space="0" w:color="BFBFBF"/>
            </w:tcBorders>
            <w:shd w:val="clear" w:color="auto" w:fill="auto"/>
            <w:noWrap/>
            <w:vAlign w:val="center"/>
          </w:tcPr>
          <w:p w14:paraId="24C5E27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126</w:t>
            </w:r>
          </w:p>
        </w:tc>
        <w:tc>
          <w:tcPr>
            <w:tcW w:w="734" w:type="dxa"/>
            <w:tcBorders>
              <w:top w:val="nil"/>
              <w:left w:val="nil"/>
              <w:bottom w:val="single" w:sz="4" w:space="0" w:color="BFBFBF"/>
              <w:right w:val="single" w:sz="4" w:space="0" w:color="BFBFBF"/>
            </w:tcBorders>
            <w:shd w:val="clear" w:color="auto" w:fill="auto"/>
            <w:noWrap/>
            <w:vAlign w:val="center"/>
          </w:tcPr>
          <w:p w14:paraId="568ED81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354</w:t>
            </w:r>
          </w:p>
        </w:tc>
        <w:tc>
          <w:tcPr>
            <w:tcW w:w="734" w:type="dxa"/>
            <w:tcBorders>
              <w:top w:val="nil"/>
              <w:left w:val="nil"/>
              <w:bottom w:val="single" w:sz="4" w:space="0" w:color="BFBFBF"/>
              <w:right w:val="single" w:sz="4" w:space="0" w:color="BFBFBF"/>
            </w:tcBorders>
            <w:shd w:val="clear" w:color="auto" w:fill="auto"/>
            <w:noWrap/>
            <w:vAlign w:val="center"/>
          </w:tcPr>
          <w:p w14:paraId="4104957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480</w:t>
            </w:r>
          </w:p>
        </w:tc>
        <w:tc>
          <w:tcPr>
            <w:tcW w:w="734" w:type="dxa"/>
            <w:tcBorders>
              <w:top w:val="nil"/>
              <w:left w:val="nil"/>
              <w:bottom w:val="single" w:sz="4" w:space="0" w:color="BFBFBF"/>
              <w:right w:val="double" w:sz="6" w:space="0" w:color="auto"/>
            </w:tcBorders>
            <w:shd w:val="clear" w:color="auto" w:fill="auto"/>
            <w:noWrap/>
            <w:vAlign w:val="center"/>
          </w:tcPr>
          <w:p w14:paraId="67E5D48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415</w:t>
            </w:r>
          </w:p>
        </w:tc>
      </w:tr>
      <w:tr w:rsidR="00AF0E73" w:rsidRPr="009C7D53" w14:paraId="5A741E96" w14:textId="77777777" w:rsidTr="00AF0E73">
        <w:trPr>
          <w:trHeight w:val="225"/>
          <w:jc w:val="center"/>
        </w:trPr>
        <w:tc>
          <w:tcPr>
            <w:tcW w:w="2291" w:type="dxa"/>
            <w:tcBorders>
              <w:top w:val="single" w:sz="4" w:space="0" w:color="BFBFBF"/>
              <w:left w:val="double" w:sz="6" w:space="0" w:color="auto"/>
              <w:bottom w:val="double" w:sz="4" w:space="0" w:color="auto"/>
              <w:right w:val="nil"/>
            </w:tcBorders>
            <w:shd w:val="clear" w:color="auto" w:fill="auto"/>
            <w:noWrap/>
            <w:vAlign w:val="center"/>
          </w:tcPr>
          <w:p w14:paraId="57BEA20D"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Non-Concession HHs</w:t>
            </w:r>
          </w:p>
        </w:tc>
        <w:tc>
          <w:tcPr>
            <w:tcW w:w="734"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475BA34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90%</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219339A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281870C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96%</w:t>
            </w:r>
          </w:p>
        </w:tc>
        <w:tc>
          <w:tcPr>
            <w:tcW w:w="734" w:type="dxa"/>
            <w:tcBorders>
              <w:top w:val="single" w:sz="4" w:space="0" w:color="BFBFBF"/>
              <w:left w:val="nil"/>
              <w:bottom w:val="double" w:sz="4" w:space="0" w:color="auto"/>
              <w:right w:val="single" w:sz="4" w:space="0" w:color="auto"/>
            </w:tcBorders>
            <w:shd w:val="clear" w:color="auto" w:fill="auto"/>
            <w:noWrap/>
            <w:vAlign w:val="center"/>
          </w:tcPr>
          <w:p w14:paraId="4CAA337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95%</w:t>
            </w:r>
          </w:p>
        </w:tc>
        <w:tc>
          <w:tcPr>
            <w:tcW w:w="857" w:type="dxa"/>
            <w:tcBorders>
              <w:top w:val="single" w:sz="4" w:space="0" w:color="BFBFBF"/>
              <w:left w:val="nil"/>
              <w:bottom w:val="double" w:sz="4" w:space="0" w:color="auto"/>
              <w:right w:val="single" w:sz="4" w:space="0" w:color="BFBFBF"/>
            </w:tcBorders>
            <w:shd w:val="clear" w:color="auto" w:fill="auto"/>
            <w:noWrap/>
            <w:vAlign w:val="center"/>
          </w:tcPr>
          <w:p w14:paraId="38863606"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155</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0FD36870"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625</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3C5A4583"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800</w:t>
            </w:r>
          </w:p>
        </w:tc>
        <w:tc>
          <w:tcPr>
            <w:tcW w:w="857" w:type="dxa"/>
            <w:tcBorders>
              <w:top w:val="single" w:sz="4" w:space="0" w:color="BFBFBF"/>
              <w:left w:val="nil"/>
              <w:bottom w:val="double" w:sz="4" w:space="0" w:color="auto"/>
              <w:right w:val="single" w:sz="4" w:space="0" w:color="BFBFBF"/>
            </w:tcBorders>
            <w:shd w:val="clear" w:color="auto" w:fill="auto"/>
            <w:noWrap/>
            <w:vAlign w:val="center"/>
          </w:tcPr>
          <w:p w14:paraId="6E298E9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121</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4B5085E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454</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6B2D042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575</w:t>
            </w:r>
          </w:p>
        </w:tc>
        <w:tc>
          <w:tcPr>
            <w:tcW w:w="857" w:type="dxa"/>
            <w:tcBorders>
              <w:top w:val="single" w:sz="4" w:space="0" w:color="BFBFBF"/>
              <w:left w:val="nil"/>
              <w:bottom w:val="double" w:sz="4" w:space="0" w:color="auto"/>
              <w:right w:val="single" w:sz="4" w:space="0" w:color="BFBFBF"/>
            </w:tcBorders>
            <w:shd w:val="clear" w:color="auto" w:fill="auto"/>
            <w:noWrap/>
            <w:vAlign w:val="center"/>
          </w:tcPr>
          <w:p w14:paraId="3904DF8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149</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0AFF063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424</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749F631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573</w:t>
            </w:r>
          </w:p>
        </w:tc>
        <w:tc>
          <w:tcPr>
            <w:tcW w:w="734" w:type="dxa"/>
            <w:tcBorders>
              <w:top w:val="single" w:sz="4" w:space="0" w:color="BFBFBF"/>
              <w:left w:val="nil"/>
              <w:bottom w:val="double" w:sz="4" w:space="0" w:color="auto"/>
              <w:right w:val="double" w:sz="6" w:space="0" w:color="auto"/>
            </w:tcBorders>
            <w:shd w:val="clear" w:color="auto" w:fill="auto"/>
            <w:noWrap/>
            <w:vAlign w:val="center"/>
          </w:tcPr>
          <w:p w14:paraId="21A88E9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552</w:t>
            </w:r>
          </w:p>
        </w:tc>
      </w:tr>
      <w:tr w:rsidR="00AF0E73" w:rsidRPr="009C7D53" w14:paraId="24AF6C9E" w14:textId="77777777" w:rsidTr="00AF0E73">
        <w:trPr>
          <w:trHeight w:val="225"/>
          <w:jc w:val="center"/>
        </w:trPr>
        <w:tc>
          <w:tcPr>
            <w:tcW w:w="2291" w:type="dxa"/>
            <w:tcBorders>
              <w:top w:val="double" w:sz="4" w:space="0" w:color="auto"/>
            </w:tcBorders>
            <w:shd w:val="clear" w:color="auto" w:fill="auto"/>
            <w:noWrap/>
            <w:vAlign w:val="center"/>
          </w:tcPr>
          <w:p w14:paraId="33C63C81" w14:textId="77777777" w:rsidR="00AF0E73" w:rsidRPr="009C7D53" w:rsidRDefault="00AF0E73" w:rsidP="00086B9C">
            <w:pPr>
              <w:spacing w:before="0" w:after="0"/>
              <w:rPr>
                <w:rFonts w:ascii="Arial" w:hAnsi="Arial" w:cs="Arial"/>
                <w:b/>
                <w:bCs/>
                <w:color w:val="000000"/>
                <w:sz w:val="16"/>
                <w:szCs w:val="16"/>
                <w:lang w:val="en-AU" w:eastAsia="en-AU"/>
              </w:rPr>
            </w:pPr>
          </w:p>
          <w:p w14:paraId="570BFCCD" w14:textId="77777777" w:rsidR="00AF0E73" w:rsidRDefault="00AF0E73" w:rsidP="00086B9C">
            <w:pPr>
              <w:spacing w:before="0" w:after="0"/>
              <w:rPr>
                <w:rFonts w:ascii="Arial" w:hAnsi="Arial" w:cs="Arial"/>
                <w:bCs/>
                <w:color w:val="000000"/>
                <w:sz w:val="16"/>
                <w:szCs w:val="16"/>
                <w:lang w:val="en-AU" w:eastAsia="en-AU"/>
              </w:rPr>
            </w:pPr>
            <w:r w:rsidRPr="009C7D53">
              <w:rPr>
                <w:rFonts w:ascii="Arial" w:hAnsi="Arial" w:cs="Arial"/>
                <w:bCs/>
                <w:color w:val="000000"/>
                <w:sz w:val="16"/>
                <w:szCs w:val="16"/>
                <w:lang w:val="en-AU" w:eastAsia="en-AU"/>
              </w:rPr>
              <w:t>Continued on next page</w:t>
            </w:r>
          </w:p>
          <w:p w14:paraId="01EE1972" w14:textId="77777777" w:rsidR="00F908A7" w:rsidRPr="009C7D53" w:rsidRDefault="00F908A7" w:rsidP="00086B9C">
            <w:pPr>
              <w:spacing w:before="0" w:after="0"/>
              <w:rPr>
                <w:rFonts w:ascii="Arial" w:hAnsi="Arial" w:cs="Arial"/>
                <w:bCs/>
                <w:color w:val="000000"/>
                <w:sz w:val="16"/>
                <w:szCs w:val="16"/>
                <w:lang w:val="en-AU" w:eastAsia="en-AU"/>
              </w:rPr>
            </w:pPr>
          </w:p>
          <w:p w14:paraId="2652DD24" w14:textId="77777777" w:rsidR="00AF0E73" w:rsidRPr="009C7D53" w:rsidRDefault="00AF0E73" w:rsidP="00086B9C">
            <w:pPr>
              <w:spacing w:before="0" w:after="0"/>
              <w:rPr>
                <w:rFonts w:ascii="Arial" w:hAnsi="Arial" w:cs="Arial"/>
                <w:b/>
                <w:bCs/>
                <w:color w:val="000000"/>
                <w:sz w:val="16"/>
                <w:szCs w:val="16"/>
                <w:lang w:val="en-AU" w:eastAsia="en-AU"/>
              </w:rPr>
            </w:pPr>
          </w:p>
        </w:tc>
        <w:tc>
          <w:tcPr>
            <w:tcW w:w="734" w:type="dxa"/>
            <w:tcBorders>
              <w:top w:val="double" w:sz="4" w:space="0" w:color="auto"/>
            </w:tcBorders>
            <w:shd w:val="clear" w:color="auto" w:fill="auto"/>
            <w:noWrap/>
            <w:vAlign w:val="center"/>
          </w:tcPr>
          <w:p w14:paraId="53FA86CB"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4D120CFC"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48890753"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4BEAC495"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08846245"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59BAB83F"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6B3B3827"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59E62641"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6D566FA4"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2805D33A"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857" w:type="dxa"/>
            <w:tcBorders>
              <w:top w:val="double" w:sz="4" w:space="0" w:color="auto"/>
            </w:tcBorders>
            <w:shd w:val="clear" w:color="auto" w:fill="auto"/>
            <w:noWrap/>
            <w:vAlign w:val="center"/>
          </w:tcPr>
          <w:p w14:paraId="02851A3C"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474C322F"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512E0C5E" w14:textId="77777777" w:rsidR="00AF0E73" w:rsidRPr="009C7D53" w:rsidRDefault="00AF0E73" w:rsidP="00086B9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6E9D5414" w14:textId="77777777" w:rsidR="00AF0E73" w:rsidRPr="009C7D53" w:rsidRDefault="00AF0E73" w:rsidP="00086B9C">
            <w:pPr>
              <w:spacing w:before="0" w:after="0"/>
              <w:jc w:val="center"/>
              <w:rPr>
                <w:rFonts w:ascii="Arial" w:hAnsi="Arial" w:cs="Arial"/>
                <w:color w:val="000000"/>
                <w:sz w:val="16"/>
                <w:szCs w:val="16"/>
                <w:lang w:val="en-AU" w:eastAsia="en-AU"/>
              </w:rPr>
            </w:pPr>
          </w:p>
        </w:tc>
      </w:tr>
      <w:tr w:rsidR="00AF0E73" w:rsidRPr="009C7D53" w14:paraId="28C1DD3C" w14:textId="77777777" w:rsidTr="00AF0E73">
        <w:trPr>
          <w:trHeight w:val="225"/>
          <w:jc w:val="center"/>
        </w:trPr>
        <w:tc>
          <w:tcPr>
            <w:tcW w:w="2291" w:type="dxa"/>
            <w:tcBorders>
              <w:left w:val="double" w:sz="6" w:space="0" w:color="auto"/>
              <w:bottom w:val="single" w:sz="4" w:space="0" w:color="BFBFBF"/>
              <w:right w:val="nil"/>
            </w:tcBorders>
            <w:shd w:val="clear" w:color="auto" w:fill="auto"/>
            <w:noWrap/>
            <w:vAlign w:val="center"/>
          </w:tcPr>
          <w:p w14:paraId="78E6ABDB" w14:textId="77777777" w:rsidR="00AF0E73" w:rsidRPr="009C7D53" w:rsidRDefault="00AF0E73" w:rsidP="00086B9C">
            <w:pPr>
              <w:spacing w:before="0" w:after="0"/>
              <w:rPr>
                <w:rFonts w:ascii="Arial" w:hAnsi="Arial" w:cs="Arial"/>
                <w:b/>
                <w:bCs/>
                <w:color w:val="000000"/>
                <w:sz w:val="16"/>
                <w:szCs w:val="16"/>
                <w:lang w:val="en-AU" w:eastAsia="en-AU"/>
              </w:rPr>
            </w:pPr>
          </w:p>
          <w:p w14:paraId="445BF52F" w14:textId="77777777" w:rsidR="00AF0E73" w:rsidRPr="009C7D53" w:rsidRDefault="00AF0E73" w:rsidP="00086B9C">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Household Size -</w:t>
            </w:r>
          </w:p>
        </w:tc>
        <w:tc>
          <w:tcPr>
            <w:tcW w:w="734" w:type="dxa"/>
            <w:tcBorders>
              <w:left w:val="single" w:sz="4" w:space="0" w:color="auto"/>
              <w:bottom w:val="single" w:sz="4" w:space="0" w:color="BFBFBF"/>
              <w:right w:val="single" w:sz="4" w:space="0" w:color="BFBFBF"/>
            </w:tcBorders>
            <w:shd w:val="clear" w:color="auto" w:fill="auto"/>
            <w:noWrap/>
            <w:vAlign w:val="center"/>
          </w:tcPr>
          <w:p w14:paraId="16D9D30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3D81B44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33ED972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auto"/>
            </w:tcBorders>
            <w:shd w:val="clear" w:color="auto" w:fill="auto"/>
            <w:noWrap/>
            <w:vAlign w:val="center"/>
          </w:tcPr>
          <w:p w14:paraId="3CCC961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left w:val="nil"/>
              <w:bottom w:val="single" w:sz="4" w:space="0" w:color="BFBFBF"/>
              <w:right w:val="single" w:sz="4" w:space="0" w:color="BFBFBF"/>
            </w:tcBorders>
            <w:shd w:val="clear" w:color="auto" w:fill="auto"/>
            <w:noWrap/>
            <w:vAlign w:val="center"/>
          </w:tcPr>
          <w:p w14:paraId="0FA627C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744FCA3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340D752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left w:val="nil"/>
              <w:bottom w:val="single" w:sz="4" w:space="0" w:color="BFBFBF"/>
              <w:right w:val="single" w:sz="4" w:space="0" w:color="BFBFBF"/>
            </w:tcBorders>
            <w:shd w:val="clear" w:color="auto" w:fill="auto"/>
            <w:noWrap/>
            <w:vAlign w:val="center"/>
          </w:tcPr>
          <w:p w14:paraId="0355070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6FFC776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437DAA0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left w:val="nil"/>
              <w:bottom w:val="single" w:sz="4" w:space="0" w:color="BFBFBF"/>
              <w:right w:val="single" w:sz="4" w:space="0" w:color="BFBFBF"/>
            </w:tcBorders>
            <w:shd w:val="clear" w:color="auto" w:fill="auto"/>
            <w:noWrap/>
            <w:vAlign w:val="center"/>
          </w:tcPr>
          <w:p w14:paraId="46F07F7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13570FE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0E09438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double" w:sz="6" w:space="0" w:color="auto"/>
            </w:tcBorders>
            <w:shd w:val="clear" w:color="auto" w:fill="auto"/>
            <w:noWrap/>
            <w:vAlign w:val="center"/>
          </w:tcPr>
          <w:p w14:paraId="147006C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AF0E73" w:rsidRPr="009C7D53" w14:paraId="559482A9"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30511CD1"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1 person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2CB457C"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3B356B6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0B673C7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90%</w:t>
            </w:r>
          </w:p>
        </w:tc>
        <w:tc>
          <w:tcPr>
            <w:tcW w:w="734" w:type="dxa"/>
            <w:tcBorders>
              <w:top w:val="nil"/>
              <w:left w:val="nil"/>
              <w:bottom w:val="single" w:sz="4" w:space="0" w:color="BFBFBF"/>
              <w:right w:val="single" w:sz="4" w:space="0" w:color="auto"/>
            </w:tcBorders>
            <w:shd w:val="clear" w:color="auto" w:fill="auto"/>
            <w:noWrap/>
            <w:vAlign w:val="center"/>
          </w:tcPr>
          <w:p w14:paraId="1286A0F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80%</w:t>
            </w:r>
          </w:p>
        </w:tc>
        <w:tc>
          <w:tcPr>
            <w:tcW w:w="857" w:type="dxa"/>
            <w:tcBorders>
              <w:top w:val="nil"/>
              <w:left w:val="nil"/>
              <w:bottom w:val="single" w:sz="4" w:space="0" w:color="BFBFBF"/>
              <w:right w:val="single" w:sz="4" w:space="0" w:color="BFBFBF"/>
            </w:tcBorders>
            <w:shd w:val="clear" w:color="auto" w:fill="auto"/>
            <w:noWrap/>
            <w:vAlign w:val="center"/>
          </w:tcPr>
          <w:p w14:paraId="51D98BAE"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121</w:t>
            </w:r>
          </w:p>
        </w:tc>
        <w:tc>
          <w:tcPr>
            <w:tcW w:w="734" w:type="dxa"/>
            <w:tcBorders>
              <w:top w:val="nil"/>
              <w:left w:val="nil"/>
              <w:bottom w:val="single" w:sz="4" w:space="0" w:color="BFBFBF"/>
              <w:right w:val="single" w:sz="4" w:space="0" w:color="BFBFBF"/>
            </w:tcBorders>
            <w:shd w:val="clear" w:color="auto" w:fill="auto"/>
            <w:noWrap/>
            <w:vAlign w:val="center"/>
          </w:tcPr>
          <w:p w14:paraId="21D0604A"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402</w:t>
            </w:r>
          </w:p>
        </w:tc>
        <w:tc>
          <w:tcPr>
            <w:tcW w:w="734" w:type="dxa"/>
            <w:tcBorders>
              <w:top w:val="nil"/>
              <w:left w:val="nil"/>
              <w:bottom w:val="single" w:sz="4" w:space="0" w:color="BFBFBF"/>
              <w:right w:val="single" w:sz="4" w:space="0" w:color="BFBFBF"/>
            </w:tcBorders>
            <w:shd w:val="clear" w:color="auto" w:fill="auto"/>
            <w:noWrap/>
            <w:vAlign w:val="center"/>
          </w:tcPr>
          <w:p w14:paraId="520AB4B3"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558</w:t>
            </w:r>
          </w:p>
        </w:tc>
        <w:tc>
          <w:tcPr>
            <w:tcW w:w="857" w:type="dxa"/>
            <w:tcBorders>
              <w:top w:val="nil"/>
              <w:left w:val="nil"/>
              <w:bottom w:val="single" w:sz="4" w:space="0" w:color="BFBFBF"/>
              <w:right w:val="single" w:sz="4" w:space="0" w:color="BFBFBF"/>
            </w:tcBorders>
            <w:shd w:val="clear" w:color="auto" w:fill="auto"/>
            <w:noWrap/>
            <w:vAlign w:val="center"/>
          </w:tcPr>
          <w:p w14:paraId="7FC30B3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96</w:t>
            </w:r>
          </w:p>
        </w:tc>
        <w:tc>
          <w:tcPr>
            <w:tcW w:w="734" w:type="dxa"/>
            <w:tcBorders>
              <w:top w:val="nil"/>
              <w:left w:val="nil"/>
              <w:bottom w:val="single" w:sz="4" w:space="0" w:color="BFBFBF"/>
              <w:right w:val="single" w:sz="4" w:space="0" w:color="BFBFBF"/>
            </w:tcBorders>
            <w:shd w:val="clear" w:color="auto" w:fill="auto"/>
            <w:noWrap/>
            <w:vAlign w:val="center"/>
          </w:tcPr>
          <w:p w14:paraId="7893500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296</w:t>
            </w:r>
          </w:p>
        </w:tc>
        <w:tc>
          <w:tcPr>
            <w:tcW w:w="734" w:type="dxa"/>
            <w:tcBorders>
              <w:top w:val="nil"/>
              <w:left w:val="nil"/>
              <w:bottom w:val="single" w:sz="4" w:space="0" w:color="BFBFBF"/>
              <w:right w:val="single" w:sz="4" w:space="0" w:color="BFBFBF"/>
            </w:tcBorders>
            <w:shd w:val="clear" w:color="auto" w:fill="auto"/>
            <w:noWrap/>
            <w:vAlign w:val="center"/>
          </w:tcPr>
          <w:p w14:paraId="4671AB7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392</w:t>
            </w:r>
          </w:p>
        </w:tc>
        <w:tc>
          <w:tcPr>
            <w:tcW w:w="857" w:type="dxa"/>
            <w:tcBorders>
              <w:top w:val="nil"/>
              <w:left w:val="nil"/>
              <w:bottom w:val="single" w:sz="4" w:space="0" w:color="BFBFBF"/>
              <w:right w:val="single" w:sz="4" w:space="0" w:color="BFBFBF"/>
            </w:tcBorders>
            <w:shd w:val="clear" w:color="auto" w:fill="auto"/>
            <w:noWrap/>
            <w:vAlign w:val="center"/>
          </w:tcPr>
          <w:p w14:paraId="11CB60A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105</w:t>
            </w:r>
          </w:p>
        </w:tc>
        <w:tc>
          <w:tcPr>
            <w:tcW w:w="734" w:type="dxa"/>
            <w:tcBorders>
              <w:top w:val="nil"/>
              <w:left w:val="nil"/>
              <w:bottom w:val="single" w:sz="4" w:space="0" w:color="BFBFBF"/>
              <w:right w:val="single" w:sz="4" w:space="0" w:color="BFBFBF"/>
            </w:tcBorders>
            <w:shd w:val="clear" w:color="auto" w:fill="auto"/>
            <w:noWrap/>
            <w:vAlign w:val="center"/>
          </w:tcPr>
          <w:p w14:paraId="4248970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294</w:t>
            </w:r>
          </w:p>
        </w:tc>
        <w:tc>
          <w:tcPr>
            <w:tcW w:w="734" w:type="dxa"/>
            <w:tcBorders>
              <w:top w:val="nil"/>
              <w:left w:val="nil"/>
              <w:bottom w:val="single" w:sz="4" w:space="0" w:color="BFBFBF"/>
              <w:right w:val="single" w:sz="4" w:space="0" w:color="BFBFBF"/>
            </w:tcBorders>
            <w:shd w:val="clear" w:color="auto" w:fill="auto"/>
            <w:noWrap/>
            <w:vAlign w:val="center"/>
          </w:tcPr>
          <w:p w14:paraId="75D6BAA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399</w:t>
            </w:r>
          </w:p>
        </w:tc>
        <w:tc>
          <w:tcPr>
            <w:tcW w:w="734" w:type="dxa"/>
            <w:tcBorders>
              <w:top w:val="nil"/>
              <w:left w:val="nil"/>
              <w:bottom w:val="single" w:sz="4" w:space="0" w:color="BFBFBF"/>
              <w:right w:val="double" w:sz="6" w:space="0" w:color="auto"/>
            </w:tcBorders>
            <w:shd w:val="clear" w:color="auto" w:fill="auto"/>
            <w:noWrap/>
            <w:vAlign w:val="center"/>
          </w:tcPr>
          <w:p w14:paraId="49C2E9E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343</w:t>
            </w:r>
          </w:p>
        </w:tc>
      </w:tr>
      <w:tr w:rsidR="00AF0E73" w:rsidRPr="009C7D53" w14:paraId="7DCA4D1F"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3D656044"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2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52AE67E"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09D96F2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BFBFBF"/>
            </w:tcBorders>
            <w:shd w:val="clear" w:color="auto" w:fill="auto"/>
            <w:noWrap/>
            <w:vAlign w:val="center"/>
          </w:tcPr>
          <w:p w14:paraId="7589FCE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auto"/>
            </w:tcBorders>
            <w:shd w:val="clear" w:color="auto" w:fill="auto"/>
            <w:noWrap/>
            <w:vAlign w:val="center"/>
          </w:tcPr>
          <w:p w14:paraId="49B87D5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857" w:type="dxa"/>
            <w:tcBorders>
              <w:top w:val="nil"/>
              <w:left w:val="nil"/>
              <w:bottom w:val="single" w:sz="4" w:space="0" w:color="BFBFBF"/>
              <w:right w:val="single" w:sz="4" w:space="0" w:color="BFBFBF"/>
            </w:tcBorders>
            <w:shd w:val="clear" w:color="auto" w:fill="auto"/>
            <w:noWrap/>
            <w:vAlign w:val="center"/>
          </w:tcPr>
          <w:p w14:paraId="45AE496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142</w:t>
            </w:r>
          </w:p>
        </w:tc>
        <w:tc>
          <w:tcPr>
            <w:tcW w:w="734" w:type="dxa"/>
            <w:tcBorders>
              <w:top w:val="nil"/>
              <w:left w:val="nil"/>
              <w:bottom w:val="single" w:sz="4" w:space="0" w:color="BFBFBF"/>
              <w:right w:val="single" w:sz="4" w:space="0" w:color="BFBFBF"/>
            </w:tcBorders>
            <w:shd w:val="clear" w:color="auto" w:fill="auto"/>
            <w:noWrap/>
            <w:vAlign w:val="center"/>
          </w:tcPr>
          <w:p w14:paraId="4A42CE7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572</w:t>
            </w:r>
          </w:p>
        </w:tc>
        <w:tc>
          <w:tcPr>
            <w:tcW w:w="734" w:type="dxa"/>
            <w:tcBorders>
              <w:top w:val="nil"/>
              <w:left w:val="nil"/>
              <w:bottom w:val="single" w:sz="4" w:space="0" w:color="BFBFBF"/>
              <w:right w:val="single" w:sz="4" w:space="0" w:color="BFBFBF"/>
            </w:tcBorders>
            <w:shd w:val="clear" w:color="auto" w:fill="auto"/>
            <w:noWrap/>
            <w:vAlign w:val="center"/>
          </w:tcPr>
          <w:p w14:paraId="7FF82B42"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741</w:t>
            </w:r>
          </w:p>
        </w:tc>
        <w:tc>
          <w:tcPr>
            <w:tcW w:w="857" w:type="dxa"/>
            <w:tcBorders>
              <w:top w:val="nil"/>
              <w:left w:val="nil"/>
              <w:bottom w:val="single" w:sz="4" w:space="0" w:color="BFBFBF"/>
              <w:right w:val="single" w:sz="4" w:space="0" w:color="BFBFBF"/>
            </w:tcBorders>
            <w:shd w:val="clear" w:color="auto" w:fill="auto"/>
            <w:noWrap/>
            <w:vAlign w:val="center"/>
          </w:tcPr>
          <w:p w14:paraId="6EA0765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108</w:t>
            </w:r>
          </w:p>
        </w:tc>
        <w:tc>
          <w:tcPr>
            <w:tcW w:w="734" w:type="dxa"/>
            <w:tcBorders>
              <w:top w:val="nil"/>
              <w:left w:val="nil"/>
              <w:bottom w:val="single" w:sz="4" w:space="0" w:color="BFBFBF"/>
              <w:right w:val="single" w:sz="4" w:space="0" w:color="BFBFBF"/>
            </w:tcBorders>
            <w:shd w:val="clear" w:color="auto" w:fill="auto"/>
            <w:noWrap/>
            <w:vAlign w:val="center"/>
          </w:tcPr>
          <w:p w14:paraId="1CE9C38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410</w:t>
            </w:r>
          </w:p>
        </w:tc>
        <w:tc>
          <w:tcPr>
            <w:tcW w:w="734" w:type="dxa"/>
            <w:tcBorders>
              <w:top w:val="nil"/>
              <w:left w:val="nil"/>
              <w:bottom w:val="single" w:sz="4" w:space="0" w:color="BFBFBF"/>
              <w:right w:val="single" w:sz="4" w:space="0" w:color="BFBFBF"/>
            </w:tcBorders>
            <w:shd w:val="clear" w:color="auto" w:fill="auto"/>
            <w:noWrap/>
            <w:vAlign w:val="center"/>
          </w:tcPr>
          <w:p w14:paraId="4EFDC6C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518</w:t>
            </w:r>
          </w:p>
        </w:tc>
        <w:tc>
          <w:tcPr>
            <w:tcW w:w="857" w:type="dxa"/>
            <w:tcBorders>
              <w:top w:val="nil"/>
              <w:left w:val="nil"/>
              <w:bottom w:val="single" w:sz="4" w:space="0" w:color="BFBFBF"/>
              <w:right w:val="single" w:sz="4" w:space="0" w:color="BFBFBF"/>
            </w:tcBorders>
            <w:shd w:val="clear" w:color="auto" w:fill="auto"/>
            <w:noWrap/>
            <w:vAlign w:val="center"/>
          </w:tcPr>
          <w:p w14:paraId="78BF08B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135</w:t>
            </w:r>
          </w:p>
        </w:tc>
        <w:tc>
          <w:tcPr>
            <w:tcW w:w="734" w:type="dxa"/>
            <w:tcBorders>
              <w:top w:val="nil"/>
              <w:left w:val="nil"/>
              <w:bottom w:val="single" w:sz="4" w:space="0" w:color="BFBFBF"/>
              <w:right w:val="single" w:sz="4" w:space="0" w:color="BFBFBF"/>
            </w:tcBorders>
            <w:shd w:val="clear" w:color="auto" w:fill="auto"/>
            <w:noWrap/>
            <w:vAlign w:val="center"/>
          </w:tcPr>
          <w:p w14:paraId="53BD770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370</w:t>
            </w:r>
          </w:p>
        </w:tc>
        <w:tc>
          <w:tcPr>
            <w:tcW w:w="734" w:type="dxa"/>
            <w:tcBorders>
              <w:top w:val="nil"/>
              <w:left w:val="nil"/>
              <w:bottom w:val="single" w:sz="4" w:space="0" w:color="BFBFBF"/>
              <w:right w:val="single" w:sz="4" w:space="0" w:color="BFBFBF"/>
            </w:tcBorders>
            <w:shd w:val="clear" w:color="auto" w:fill="auto"/>
            <w:noWrap/>
            <w:vAlign w:val="center"/>
          </w:tcPr>
          <w:p w14:paraId="268CCDD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505</w:t>
            </w:r>
          </w:p>
        </w:tc>
        <w:tc>
          <w:tcPr>
            <w:tcW w:w="734" w:type="dxa"/>
            <w:tcBorders>
              <w:top w:val="nil"/>
              <w:left w:val="nil"/>
              <w:bottom w:val="single" w:sz="4" w:space="0" w:color="BFBFBF"/>
              <w:right w:val="double" w:sz="6" w:space="0" w:color="auto"/>
            </w:tcBorders>
            <w:shd w:val="clear" w:color="auto" w:fill="auto"/>
            <w:noWrap/>
            <w:vAlign w:val="center"/>
          </w:tcPr>
          <w:p w14:paraId="02C2949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442</w:t>
            </w:r>
          </w:p>
        </w:tc>
      </w:tr>
      <w:tr w:rsidR="00AF0E73" w:rsidRPr="009C7D53" w14:paraId="577DCF13"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4FDA549"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3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1BAB83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1339CF8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BFBFBF"/>
            </w:tcBorders>
            <w:shd w:val="clear" w:color="auto" w:fill="auto"/>
            <w:noWrap/>
            <w:vAlign w:val="center"/>
          </w:tcPr>
          <w:p w14:paraId="2BDB34B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auto"/>
            </w:tcBorders>
            <w:shd w:val="clear" w:color="auto" w:fill="auto"/>
            <w:noWrap/>
            <w:vAlign w:val="center"/>
          </w:tcPr>
          <w:p w14:paraId="13819BE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94%</w:t>
            </w:r>
          </w:p>
        </w:tc>
        <w:tc>
          <w:tcPr>
            <w:tcW w:w="857" w:type="dxa"/>
            <w:tcBorders>
              <w:top w:val="nil"/>
              <w:left w:val="nil"/>
              <w:bottom w:val="single" w:sz="4" w:space="0" w:color="BFBFBF"/>
              <w:right w:val="single" w:sz="4" w:space="0" w:color="BFBFBF"/>
            </w:tcBorders>
            <w:shd w:val="clear" w:color="auto" w:fill="auto"/>
            <w:noWrap/>
            <w:vAlign w:val="center"/>
          </w:tcPr>
          <w:p w14:paraId="6E45F34F"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186</w:t>
            </w:r>
          </w:p>
        </w:tc>
        <w:tc>
          <w:tcPr>
            <w:tcW w:w="734" w:type="dxa"/>
            <w:tcBorders>
              <w:top w:val="nil"/>
              <w:left w:val="nil"/>
              <w:bottom w:val="single" w:sz="4" w:space="0" w:color="BFBFBF"/>
              <w:right w:val="single" w:sz="4" w:space="0" w:color="BFBFBF"/>
            </w:tcBorders>
            <w:shd w:val="clear" w:color="auto" w:fill="auto"/>
            <w:noWrap/>
            <w:vAlign w:val="center"/>
          </w:tcPr>
          <w:p w14:paraId="0C93FF1C"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622</w:t>
            </w:r>
          </w:p>
        </w:tc>
        <w:tc>
          <w:tcPr>
            <w:tcW w:w="734" w:type="dxa"/>
            <w:tcBorders>
              <w:top w:val="nil"/>
              <w:left w:val="nil"/>
              <w:bottom w:val="single" w:sz="4" w:space="0" w:color="BFBFBF"/>
              <w:right w:val="single" w:sz="4" w:space="0" w:color="BFBFBF"/>
            </w:tcBorders>
            <w:shd w:val="clear" w:color="auto" w:fill="auto"/>
            <w:noWrap/>
            <w:vAlign w:val="center"/>
          </w:tcPr>
          <w:p w14:paraId="24AE8DBF"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818</w:t>
            </w:r>
          </w:p>
        </w:tc>
        <w:tc>
          <w:tcPr>
            <w:tcW w:w="857" w:type="dxa"/>
            <w:tcBorders>
              <w:top w:val="nil"/>
              <w:left w:val="nil"/>
              <w:bottom w:val="single" w:sz="4" w:space="0" w:color="BFBFBF"/>
              <w:right w:val="single" w:sz="4" w:space="0" w:color="BFBFBF"/>
            </w:tcBorders>
            <w:shd w:val="clear" w:color="auto" w:fill="auto"/>
            <w:noWrap/>
            <w:vAlign w:val="center"/>
          </w:tcPr>
          <w:p w14:paraId="5780912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142</w:t>
            </w:r>
          </w:p>
        </w:tc>
        <w:tc>
          <w:tcPr>
            <w:tcW w:w="734" w:type="dxa"/>
            <w:tcBorders>
              <w:top w:val="nil"/>
              <w:left w:val="nil"/>
              <w:bottom w:val="single" w:sz="4" w:space="0" w:color="BFBFBF"/>
              <w:right w:val="single" w:sz="4" w:space="0" w:color="BFBFBF"/>
            </w:tcBorders>
            <w:shd w:val="clear" w:color="auto" w:fill="auto"/>
            <w:noWrap/>
            <w:vAlign w:val="center"/>
          </w:tcPr>
          <w:p w14:paraId="7A4E85C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455</w:t>
            </w:r>
          </w:p>
        </w:tc>
        <w:tc>
          <w:tcPr>
            <w:tcW w:w="734" w:type="dxa"/>
            <w:tcBorders>
              <w:top w:val="nil"/>
              <w:left w:val="nil"/>
              <w:bottom w:val="single" w:sz="4" w:space="0" w:color="BFBFBF"/>
              <w:right w:val="single" w:sz="4" w:space="0" w:color="BFBFBF"/>
            </w:tcBorders>
            <w:shd w:val="clear" w:color="auto" w:fill="auto"/>
            <w:noWrap/>
            <w:vAlign w:val="center"/>
          </w:tcPr>
          <w:p w14:paraId="316EE4A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596</w:t>
            </w:r>
          </w:p>
        </w:tc>
        <w:tc>
          <w:tcPr>
            <w:tcW w:w="857" w:type="dxa"/>
            <w:tcBorders>
              <w:top w:val="nil"/>
              <w:left w:val="nil"/>
              <w:bottom w:val="single" w:sz="4" w:space="0" w:color="BFBFBF"/>
              <w:right w:val="single" w:sz="4" w:space="0" w:color="BFBFBF"/>
            </w:tcBorders>
            <w:shd w:val="clear" w:color="auto" w:fill="auto"/>
            <w:noWrap/>
            <w:vAlign w:val="center"/>
          </w:tcPr>
          <w:p w14:paraId="0645DD5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145</w:t>
            </w:r>
          </w:p>
        </w:tc>
        <w:tc>
          <w:tcPr>
            <w:tcW w:w="734" w:type="dxa"/>
            <w:tcBorders>
              <w:top w:val="nil"/>
              <w:left w:val="nil"/>
              <w:bottom w:val="single" w:sz="4" w:space="0" w:color="BFBFBF"/>
              <w:right w:val="single" w:sz="4" w:space="0" w:color="BFBFBF"/>
            </w:tcBorders>
            <w:shd w:val="clear" w:color="auto" w:fill="auto"/>
            <w:noWrap/>
            <w:vAlign w:val="center"/>
          </w:tcPr>
          <w:p w14:paraId="4148245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434</w:t>
            </w:r>
          </w:p>
        </w:tc>
        <w:tc>
          <w:tcPr>
            <w:tcW w:w="734" w:type="dxa"/>
            <w:tcBorders>
              <w:top w:val="nil"/>
              <w:left w:val="nil"/>
              <w:bottom w:val="single" w:sz="4" w:space="0" w:color="BFBFBF"/>
              <w:right w:val="single" w:sz="4" w:space="0" w:color="BFBFBF"/>
            </w:tcBorders>
            <w:shd w:val="clear" w:color="auto" w:fill="auto"/>
            <w:noWrap/>
            <w:vAlign w:val="center"/>
          </w:tcPr>
          <w:p w14:paraId="07A64AF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577</w:t>
            </w:r>
          </w:p>
        </w:tc>
        <w:tc>
          <w:tcPr>
            <w:tcW w:w="734" w:type="dxa"/>
            <w:tcBorders>
              <w:top w:val="nil"/>
              <w:left w:val="nil"/>
              <w:bottom w:val="single" w:sz="4" w:space="0" w:color="BFBFBF"/>
              <w:right w:val="double" w:sz="6" w:space="0" w:color="auto"/>
            </w:tcBorders>
            <w:shd w:val="clear" w:color="auto" w:fill="auto"/>
            <w:noWrap/>
            <w:vAlign w:val="center"/>
          </w:tcPr>
          <w:p w14:paraId="11968BC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534</w:t>
            </w:r>
          </w:p>
        </w:tc>
      </w:tr>
      <w:tr w:rsidR="00AF0E73" w:rsidRPr="009C7D53" w14:paraId="09EA9E9C"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107DEE10"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4 or more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A228D5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2A951EE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35CFEED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98%</w:t>
            </w:r>
          </w:p>
        </w:tc>
        <w:tc>
          <w:tcPr>
            <w:tcW w:w="734" w:type="dxa"/>
            <w:tcBorders>
              <w:top w:val="nil"/>
              <w:left w:val="nil"/>
              <w:bottom w:val="single" w:sz="4" w:space="0" w:color="BFBFBF"/>
              <w:right w:val="single" w:sz="4" w:space="0" w:color="auto"/>
            </w:tcBorders>
            <w:shd w:val="clear" w:color="auto" w:fill="auto"/>
            <w:noWrap/>
            <w:vAlign w:val="center"/>
          </w:tcPr>
          <w:p w14:paraId="0509B2C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96%</w:t>
            </w:r>
          </w:p>
        </w:tc>
        <w:tc>
          <w:tcPr>
            <w:tcW w:w="857" w:type="dxa"/>
            <w:tcBorders>
              <w:top w:val="nil"/>
              <w:left w:val="nil"/>
              <w:bottom w:val="single" w:sz="4" w:space="0" w:color="BFBFBF"/>
              <w:right w:val="single" w:sz="4" w:space="0" w:color="BFBFBF"/>
            </w:tcBorders>
            <w:shd w:val="clear" w:color="auto" w:fill="auto"/>
            <w:noWrap/>
            <w:vAlign w:val="center"/>
          </w:tcPr>
          <w:p w14:paraId="601C308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191</w:t>
            </w:r>
          </w:p>
        </w:tc>
        <w:tc>
          <w:tcPr>
            <w:tcW w:w="734" w:type="dxa"/>
            <w:tcBorders>
              <w:top w:val="nil"/>
              <w:left w:val="nil"/>
              <w:bottom w:val="single" w:sz="4" w:space="0" w:color="BFBFBF"/>
              <w:right w:val="single" w:sz="4" w:space="0" w:color="BFBFBF"/>
            </w:tcBorders>
            <w:shd w:val="clear" w:color="auto" w:fill="auto"/>
            <w:noWrap/>
            <w:vAlign w:val="center"/>
          </w:tcPr>
          <w:p w14:paraId="347E28F2"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742</w:t>
            </w:r>
          </w:p>
        </w:tc>
        <w:tc>
          <w:tcPr>
            <w:tcW w:w="734" w:type="dxa"/>
            <w:tcBorders>
              <w:top w:val="nil"/>
              <w:left w:val="nil"/>
              <w:bottom w:val="single" w:sz="4" w:space="0" w:color="BFBFBF"/>
              <w:right w:val="single" w:sz="4" w:space="0" w:color="BFBFBF"/>
            </w:tcBorders>
            <w:shd w:val="clear" w:color="auto" w:fill="auto"/>
            <w:noWrap/>
            <w:vAlign w:val="center"/>
          </w:tcPr>
          <w:p w14:paraId="66F5A27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955</w:t>
            </w:r>
          </w:p>
        </w:tc>
        <w:tc>
          <w:tcPr>
            <w:tcW w:w="857" w:type="dxa"/>
            <w:tcBorders>
              <w:top w:val="nil"/>
              <w:left w:val="nil"/>
              <w:bottom w:val="single" w:sz="4" w:space="0" w:color="BFBFBF"/>
              <w:right w:val="single" w:sz="4" w:space="0" w:color="BFBFBF"/>
            </w:tcBorders>
            <w:shd w:val="clear" w:color="auto" w:fill="auto"/>
            <w:noWrap/>
            <w:vAlign w:val="center"/>
          </w:tcPr>
          <w:p w14:paraId="7866347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151</w:t>
            </w:r>
          </w:p>
        </w:tc>
        <w:tc>
          <w:tcPr>
            <w:tcW w:w="734" w:type="dxa"/>
            <w:tcBorders>
              <w:top w:val="nil"/>
              <w:left w:val="nil"/>
              <w:bottom w:val="single" w:sz="4" w:space="0" w:color="BFBFBF"/>
              <w:right w:val="single" w:sz="4" w:space="0" w:color="BFBFBF"/>
            </w:tcBorders>
            <w:shd w:val="clear" w:color="auto" w:fill="auto"/>
            <w:noWrap/>
            <w:vAlign w:val="center"/>
          </w:tcPr>
          <w:p w14:paraId="03F7FB3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549</w:t>
            </w:r>
          </w:p>
        </w:tc>
        <w:tc>
          <w:tcPr>
            <w:tcW w:w="734" w:type="dxa"/>
            <w:tcBorders>
              <w:top w:val="nil"/>
              <w:left w:val="nil"/>
              <w:bottom w:val="single" w:sz="4" w:space="0" w:color="BFBFBF"/>
              <w:right w:val="single" w:sz="4" w:space="0" w:color="BFBFBF"/>
            </w:tcBorders>
            <w:shd w:val="clear" w:color="auto" w:fill="auto"/>
            <w:noWrap/>
            <w:vAlign w:val="center"/>
          </w:tcPr>
          <w:p w14:paraId="5B6D778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700</w:t>
            </w:r>
          </w:p>
        </w:tc>
        <w:tc>
          <w:tcPr>
            <w:tcW w:w="857" w:type="dxa"/>
            <w:tcBorders>
              <w:top w:val="nil"/>
              <w:left w:val="nil"/>
              <w:bottom w:val="single" w:sz="4" w:space="0" w:color="BFBFBF"/>
              <w:right w:val="single" w:sz="4" w:space="0" w:color="BFBFBF"/>
            </w:tcBorders>
            <w:shd w:val="clear" w:color="auto" w:fill="auto"/>
            <w:noWrap/>
            <w:vAlign w:val="center"/>
          </w:tcPr>
          <w:p w14:paraId="118F23E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166</w:t>
            </w:r>
          </w:p>
        </w:tc>
        <w:tc>
          <w:tcPr>
            <w:tcW w:w="734" w:type="dxa"/>
            <w:tcBorders>
              <w:top w:val="nil"/>
              <w:left w:val="nil"/>
              <w:bottom w:val="single" w:sz="4" w:space="0" w:color="BFBFBF"/>
              <w:right w:val="single" w:sz="4" w:space="0" w:color="BFBFBF"/>
            </w:tcBorders>
            <w:shd w:val="clear" w:color="auto" w:fill="auto"/>
            <w:noWrap/>
            <w:vAlign w:val="center"/>
          </w:tcPr>
          <w:p w14:paraId="3B610EB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475</w:t>
            </w:r>
          </w:p>
        </w:tc>
        <w:tc>
          <w:tcPr>
            <w:tcW w:w="734" w:type="dxa"/>
            <w:tcBorders>
              <w:top w:val="nil"/>
              <w:left w:val="nil"/>
              <w:bottom w:val="single" w:sz="4" w:space="0" w:color="BFBFBF"/>
              <w:right w:val="single" w:sz="4" w:space="0" w:color="BFBFBF"/>
            </w:tcBorders>
            <w:shd w:val="clear" w:color="auto" w:fill="auto"/>
            <w:noWrap/>
            <w:vAlign w:val="center"/>
          </w:tcPr>
          <w:p w14:paraId="157D5181"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641</w:t>
            </w:r>
          </w:p>
        </w:tc>
        <w:tc>
          <w:tcPr>
            <w:tcW w:w="734" w:type="dxa"/>
            <w:tcBorders>
              <w:top w:val="nil"/>
              <w:left w:val="nil"/>
              <w:bottom w:val="single" w:sz="4" w:space="0" w:color="BFBFBF"/>
              <w:right w:val="double" w:sz="6" w:space="0" w:color="auto"/>
            </w:tcBorders>
            <w:shd w:val="clear" w:color="auto" w:fill="auto"/>
            <w:noWrap/>
            <w:vAlign w:val="center"/>
          </w:tcPr>
          <w:p w14:paraId="03AC73F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615</w:t>
            </w:r>
          </w:p>
        </w:tc>
      </w:tr>
      <w:tr w:rsidR="00AF0E73" w:rsidRPr="009C7D53" w14:paraId="1D9637F7"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08D37727" w14:textId="77777777" w:rsidR="00AF0E73" w:rsidRPr="009C7D53" w:rsidRDefault="00AF0E73" w:rsidP="00086B9C">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Housing Status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38EDAA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A66F71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B21C63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49BEAAF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32B17DEE"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E38CFC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487E799"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2CCCBE6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5B1963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8DC8E2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5047382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74207E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B364406"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0BDC4D8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AF0E73" w:rsidRPr="009C7D53" w14:paraId="4B2AF5AA"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26EDBA00"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Owned/paid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9055F7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2E2C9E1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BFBFBF"/>
            </w:tcBorders>
            <w:shd w:val="clear" w:color="auto" w:fill="auto"/>
            <w:noWrap/>
            <w:vAlign w:val="center"/>
          </w:tcPr>
          <w:p w14:paraId="00BAB3B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auto"/>
            </w:tcBorders>
            <w:shd w:val="clear" w:color="auto" w:fill="auto"/>
            <w:noWrap/>
            <w:vAlign w:val="center"/>
          </w:tcPr>
          <w:p w14:paraId="158D9D5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94%</w:t>
            </w:r>
          </w:p>
        </w:tc>
        <w:tc>
          <w:tcPr>
            <w:tcW w:w="857" w:type="dxa"/>
            <w:tcBorders>
              <w:top w:val="nil"/>
              <w:left w:val="nil"/>
              <w:bottom w:val="single" w:sz="4" w:space="0" w:color="BFBFBF"/>
              <w:right w:val="single" w:sz="4" w:space="0" w:color="BFBFBF"/>
            </w:tcBorders>
            <w:shd w:val="clear" w:color="auto" w:fill="auto"/>
            <w:noWrap/>
            <w:vAlign w:val="center"/>
          </w:tcPr>
          <w:p w14:paraId="74DA0A5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165</w:t>
            </w:r>
          </w:p>
        </w:tc>
        <w:tc>
          <w:tcPr>
            <w:tcW w:w="734" w:type="dxa"/>
            <w:tcBorders>
              <w:top w:val="nil"/>
              <w:left w:val="nil"/>
              <w:bottom w:val="single" w:sz="4" w:space="0" w:color="BFBFBF"/>
              <w:right w:val="single" w:sz="4" w:space="0" w:color="BFBFBF"/>
            </w:tcBorders>
            <w:shd w:val="clear" w:color="auto" w:fill="auto"/>
            <w:noWrap/>
            <w:vAlign w:val="center"/>
          </w:tcPr>
          <w:p w14:paraId="6BCB9AFC"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599</w:t>
            </w:r>
          </w:p>
        </w:tc>
        <w:tc>
          <w:tcPr>
            <w:tcW w:w="734" w:type="dxa"/>
            <w:tcBorders>
              <w:top w:val="nil"/>
              <w:left w:val="nil"/>
              <w:bottom w:val="single" w:sz="4" w:space="0" w:color="BFBFBF"/>
              <w:right w:val="single" w:sz="4" w:space="0" w:color="BFBFBF"/>
            </w:tcBorders>
            <w:shd w:val="clear" w:color="auto" w:fill="auto"/>
            <w:noWrap/>
            <w:vAlign w:val="center"/>
          </w:tcPr>
          <w:p w14:paraId="7D05A30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778</w:t>
            </w:r>
          </w:p>
        </w:tc>
        <w:tc>
          <w:tcPr>
            <w:tcW w:w="857" w:type="dxa"/>
            <w:tcBorders>
              <w:top w:val="nil"/>
              <w:left w:val="nil"/>
              <w:bottom w:val="single" w:sz="4" w:space="0" w:color="BFBFBF"/>
              <w:right w:val="single" w:sz="4" w:space="0" w:color="BFBFBF"/>
            </w:tcBorders>
            <w:shd w:val="clear" w:color="auto" w:fill="auto"/>
            <w:noWrap/>
            <w:vAlign w:val="center"/>
          </w:tcPr>
          <w:p w14:paraId="5C4BB8D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116</w:t>
            </w:r>
          </w:p>
        </w:tc>
        <w:tc>
          <w:tcPr>
            <w:tcW w:w="734" w:type="dxa"/>
            <w:tcBorders>
              <w:top w:val="nil"/>
              <w:left w:val="nil"/>
              <w:bottom w:val="single" w:sz="4" w:space="0" w:color="BFBFBF"/>
              <w:right w:val="single" w:sz="4" w:space="0" w:color="BFBFBF"/>
            </w:tcBorders>
            <w:shd w:val="clear" w:color="auto" w:fill="auto"/>
            <w:noWrap/>
            <w:vAlign w:val="center"/>
          </w:tcPr>
          <w:p w14:paraId="5FFE77E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441</w:t>
            </w:r>
          </w:p>
        </w:tc>
        <w:tc>
          <w:tcPr>
            <w:tcW w:w="734" w:type="dxa"/>
            <w:tcBorders>
              <w:top w:val="nil"/>
              <w:left w:val="nil"/>
              <w:bottom w:val="single" w:sz="4" w:space="0" w:color="BFBFBF"/>
              <w:right w:val="single" w:sz="4" w:space="0" w:color="BFBFBF"/>
            </w:tcBorders>
            <w:shd w:val="clear" w:color="auto" w:fill="auto"/>
            <w:noWrap/>
            <w:vAlign w:val="center"/>
          </w:tcPr>
          <w:p w14:paraId="404ABF6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557</w:t>
            </w:r>
          </w:p>
        </w:tc>
        <w:tc>
          <w:tcPr>
            <w:tcW w:w="857" w:type="dxa"/>
            <w:tcBorders>
              <w:top w:val="nil"/>
              <w:left w:val="nil"/>
              <w:bottom w:val="single" w:sz="4" w:space="0" w:color="BFBFBF"/>
              <w:right w:val="single" w:sz="4" w:space="0" w:color="BFBFBF"/>
            </w:tcBorders>
            <w:shd w:val="clear" w:color="auto" w:fill="auto"/>
            <w:noWrap/>
            <w:vAlign w:val="center"/>
          </w:tcPr>
          <w:p w14:paraId="0E9E584C"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137</w:t>
            </w:r>
          </w:p>
        </w:tc>
        <w:tc>
          <w:tcPr>
            <w:tcW w:w="734" w:type="dxa"/>
            <w:tcBorders>
              <w:top w:val="nil"/>
              <w:left w:val="nil"/>
              <w:bottom w:val="single" w:sz="4" w:space="0" w:color="BFBFBF"/>
              <w:right w:val="single" w:sz="4" w:space="0" w:color="BFBFBF"/>
            </w:tcBorders>
            <w:shd w:val="clear" w:color="auto" w:fill="auto"/>
            <w:noWrap/>
            <w:vAlign w:val="center"/>
          </w:tcPr>
          <w:p w14:paraId="6BAE08B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391</w:t>
            </w:r>
          </w:p>
        </w:tc>
        <w:tc>
          <w:tcPr>
            <w:tcW w:w="734" w:type="dxa"/>
            <w:tcBorders>
              <w:top w:val="nil"/>
              <w:left w:val="nil"/>
              <w:bottom w:val="single" w:sz="4" w:space="0" w:color="BFBFBF"/>
              <w:right w:val="single" w:sz="4" w:space="0" w:color="BFBFBF"/>
            </w:tcBorders>
            <w:shd w:val="clear" w:color="auto" w:fill="auto"/>
            <w:noWrap/>
            <w:vAlign w:val="center"/>
          </w:tcPr>
          <w:p w14:paraId="0E913BA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527</w:t>
            </w:r>
          </w:p>
        </w:tc>
        <w:tc>
          <w:tcPr>
            <w:tcW w:w="734" w:type="dxa"/>
            <w:tcBorders>
              <w:top w:val="nil"/>
              <w:left w:val="nil"/>
              <w:bottom w:val="single" w:sz="4" w:space="0" w:color="BFBFBF"/>
              <w:right w:val="double" w:sz="6" w:space="0" w:color="auto"/>
            </w:tcBorders>
            <w:shd w:val="clear" w:color="auto" w:fill="auto"/>
            <w:noWrap/>
            <w:vAlign w:val="center"/>
          </w:tcPr>
          <w:p w14:paraId="74AA7A8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515</w:t>
            </w:r>
          </w:p>
        </w:tc>
      </w:tr>
      <w:tr w:rsidR="00AF0E73" w:rsidRPr="009C7D53" w14:paraId="1773D5D3"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4A1F612F"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Buying/paying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0E02D87"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233F6BA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53110CA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97%</w:t>
            </w:r>
          </w:p>
        </w:tc>
        <w:tc>
          <w:tcPr>
            <w:tcW w:w="734" w:type="dxa"/>
            <w:tcBorders>
              <w:top w:val="nil"/>
              <w:left w:val="nil"/>
              <w:bottom w:val="single" w:sz="4" w:space="0" w:color="BFBFBF"/>
              <w:right w:val="single" w:sz="4" w:space="0" w:color="auto"/>
            </w:tcBorders>
            <w:shd w:val="clear" w:color="auto" w:fill="auto"/>
            <w:noWrap/>
            <w:vAlign w:val="center"/>
          </w:tcPr>
          <w:p w14:paraId="501F449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97%</w:t>
            </w:r>
          </w:p>
        </w:tc>
        <w:tc>
          <w:tcPr>
            <w:tcW w:w="857" w:type="dxa"/>
            <w:tcBorders>
              <w:top w:val="nil"/>
              <w:left w:val="nil"/>
              <w:bottom w:val="single" w:sz="4" w:space="0" w:color="BFBFBF"/>
              <w:right w:val="single" w:sz="4" w:space="0" w:color="BFBFBF"/>
            </w:tcBorders>
            <w:shd w:val="clear" w:color="auto" w:fill="auto"/>
            <w:noWrap/>
            <w:vAlign w:val="center"/>
          </w:tcPr>
          <w:p w14:paraId="5A978AEE"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151</w:t>
            </w:r>
          </w:p>
        </w:tc>
        <w:tc>
          <w:tcPr>
            <w:tcW w:w="734" w:type="dxa"/>
            <w:tcBorders>
              <w:top w:val="nil"/>
              <w:left w:val="nil"/>
              <w:bottom w:val="single" w:sz="4" w:space="0" w:color="BFBFBF"/>
              <w:right w:val="single" w:sz="4" w:space="0" w:color="BFBFBF"/>
            </w:tcBorders>
            <w:shd w:val="clear" w:color="auto" w:fill="auto"/>
            <w:noWrap/>
            <w:vAlign w:val="center"/>
          </w:tcPr>
          <w:p w14:paraId="02B9B524"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627</w:t>
            </w:r>
          </w:p>
        </w:tc>
        <w:tc>
          <w:tcPr>
            <w:tcW w:w="734" w:type="dxa"/>
            <w:tcBorders>
              <w:top w:val="nil"/>
              <w:left w:val="nil"/>
              <w:bottom w:val="single" w:sz="4" w:space="0" w:color="BFBFBF"/>
              <w:right w:val="single" w:sz="4" w:space="0" w:color="BFBFBF"/>
            </w:tcBorders>
            <w:shd w:val="clear" w:color="auto" w:fill="auto"/>
            <w:noWrap/>
            <w:vAlign w:val="center"/>
          </w:tcPr>
          <w:p w14:paraId="2966D00A"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807</w:t>
            </w:r>
          </w:p>
        </w:tc>
        <w:tc>
          <w:tcPr>
            <w:tcW w:w="857" w:type="dxa"/>
            <w:tcBorders>
              <w:top w:val="nil"/>
              <w:left w:val="nil"/>
              <w:bottom w:val="single" w:sz="4" w:space="0" w:color="BFBFBF"/>
              <w:right w:val="single" w:sz="4" w:space="0" w:color="BFBFBF"/>
            </w:tcBorders>
            <w:shd w:val="clear" w:color="auto" w:fill="auto"/>
            <w:noWrap/>
            <w:vAlign w:val="center"/>
          </w:tcPr>
          <w:p w14:paraId="6847DEA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125</w:t>
            </w:r>
          </w:p>
        </w:tc>
        <w:tc>
          <w:tcPr>
            <w:tcW w:w="734" w:type="dxa"/>
            <w:tcBorders>
              <w:top w:val="nil"/>
              <w:left w:val="nil"/>
              <w:bottom w:val="single" w:sz="4" w:space="0" w:color="BFBFBF"/>
              <w:right w:val="single" w:sz="4" w:space="0" w:color="BFBFBF"/>
            </w:tcBorders>
            <w:shd w:val="clear" w:color="auto" w:fill="auto"/>
            <w:noWrap/>
            <w:vAlign w:val="center"/>
          </w:tcPr>
          <w:p w14:paraId="2836C24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473</w:t>
            </w:r>
          </w:p>
        </w:tc>
        <w:tc>
          <w:tcPr>
            <w:tcW w:w="734" w:type="dxa"/>
            <w:tcBorders>
              <w:top w:val="nil"/>
              <w:left w:val="nil"/>
              <w:bottom w:val="single" w:sz="4" w:space="0" w:color="BFBFBF"/>
              <w:right w:val="single" w:sz="4" w:space="0" w:color="BFBFBF"/>
            </w:tcBorders>
            <w:shd w:val="clear" w:color="auto" w:fill="auto"/>
            <w:noWrap/>
            <w:vAlign w:val="center"/>
          </w:tcPr>
          <w:p w14:paraId="57C719E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597</w:t>
            </w:r>
          </w:p>
        </w:tc>
        <w:tc>
          <w:tcPr>
            <w:tcW w:w="857" w:type="dxa"/>
            <w:tcBorders>
              <w:top w:val="nil"/>
              <w:left w:val="nil"/>
              <w:bottom w:val="single" w:sz="4" w:space="0" w:color="BFBFBF"/>
              <w:right w:val="single" w:sz="4" w:space="0" w:color="BFBFBF"/>
            </w:tcBorders>
            <w:shd w:val="clear" w:color="auto" w:fill="auto"/>
            <w:noWrap/>
            <w:vAlign w:val="center"/>
          </w:tcPr>
          <w:p w14:paraId="0C3A323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156</w:t>
            </w:r>
          </w:p>
        </w:tc>
        <w:tc>
          <w:tcPr>
            <w:tcW w:w="734" w:type="dxa"/>
            <w:tcBorders>
              <w:top w:val="nil"/>
              <w:left w:val="nil"/>
              <w:bottom w:val="single" w:sz="4" w:space="0" w:color="BFBFBF"/>
              <w:right w:val="single" w:sz="4" w:space="0" w:color="BFBFBF"/>
            </w:tcBorders>
            <w:shd w:val="clear" w:color="auto" w:fill="auto"/>
            <w:noWrap/>
            <w:vAlign w:val="center"/>
          </w:tcPr>
          <w:p w14:paraId="2FA4A299"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445</w:t>
            </w:r>
          </w:p>
        </w:tc>
        <w:tc>
          <w:tcPr>
            <w:tcW w:w="734" w:type="dxa"/>
            <w:tcBorders>
              <w:top w:val="nil"/>
              <w:left w:val="nil"/>
              <w:bottom w:val="single" w:sz="4" w:space="0" w:color="BFBFBF"/>
              <w:right w:val="single" w:sz="4" w:space="0" w:color="BFBFBF"/>
            </w:tcBorders>
            <w:shd w:val="clear" w:color="auto" w:fill="auto"/>
            <w:noWrap/>
            <w:vAlign w:val="center"/>
          </w:tcPr>
          <w:p w14:paraId="59FE99C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601</w:t>
            </w:r>
          </w:p>
        </w:tc>
        <w:tc>
          <w:tcPr>
            <w:tcW w:w="734" w:type="dxa"/>
            <w:tcBorders>
              <w:top w:val="nil"/>
              <w:left w:val="nil"/>
              <w:bottom w:val="single" w:sz="4" w:space="0" w:color="BFBFBF"/>
              <w:right w:val="double" w:sz="6" w:space="0" w:color="auto"/>
            </w:tcBorders>
            <w:shd w:val="clear" w:color="auto" w:fill="auto"/>
            <w:noWrap/>
            <w:vAlign w:val="center"/>
          </w:tcPr>
          <w:p w14:paraId="175E4B1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569</w:t>
            </w:r>
          </w:p>
        </w:tc>
      </w:tr>
      <w:tr w:rsidR="00AF0E73" w:rsidRPr="009C7D53" w14:paraId="3F582897"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1DECE07"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Renting – Private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B92BC3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774C0D8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3BAFFC0A"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89%</w:t>
            </w:r>
          </w:p>
        </w:tc>
        <w:tc>
          <w:tcPr>
            <w:tcW w:w="734" w:type="dxa"/>
            <w:tcBorders>
              <w:top w:val="nil"/>
              <w:left w:val="nil"/>
              <w:bottom w:val="single" w:sz="4" w:space="0" w:color="BFBFBF"/>
              <w:right w:val="single" w:sz="4" w:space="0" w:color="auto"/>
            </w:tcBorders>
            <w:shd w:val="clear" w:color="auto" w:fill="auto"/>
            <w:noWrap/>
            <w:vAlign w:val="center"/>
          </w:tcPr>
          <w:p w14:paraId="6964D92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857" w:type="dxa"/>
            <w:tcBorders>
              <w:top w:val="nil"/>
              <w:left w:val="nil"/>
              <w:bottom w:val="single" w:sz="4" w:space="0" w:color="BFBFBF"/>
              <w:right w:val="single" w:sz="4" w:space="0" w:color="BFBFBF"/>
            </w:tcBorders>
            <w:shd w:val="clear" w:color="auto" w:fill="auto"/>
            <w:noWrap/>
            <w:vAlign w:val="center"/>
          </w:tcPr>
          <w:p w14:paraId="5CECB9D6"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146</w:t>
            </w:r>
          </w:p>
        </w:tc>
        <w:tc>
          <w:tcPr>
            <w:tcW w:w="734" w:type="dxa"/>
            <w:tcBorders>
              <w:top w:val="nil"/>
              <w:left w:val="nil"/>
              <w:bottom w:val="single" w:sz="4" w:space="0" w:color="BFBFBF"/>
              <w:right w:val="single" w:sz="4" w:space="0" w:color="BFBFBF"/>
            </w:tcBorders>
            <w:shd w:val="clear" w:color="auto" w:fill="auto"/>
            <w:noWrap/>
            <w:vAlign w:val="center"/>
          </w:tcPr>
          <w:p w14:paraId="00A237D0"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493</w:t>
            </w:r>
          </w:p>
        </w:tc>
        <w:tc>
          <w:tcPr>
            <w:tcW w:w="734" w:type="dxa"/>
            <w:tcBorders>
              <w:top w:val="nil"/>
              <w:left w:val="nil"/>
              <w:bottom w:val="single" w:sz="4" w:space="0" w:color="BFBFBF"/>
              <w:right w:val="single" w:sz="4" w:space="0" w:color="BFBFBF"/>
            </w:tcBorders>
            <w:shd w:val="clear" w:color="auto" w:fill="auto"/>
            <w:noWrap/>
            <w:vAlign w:val="center"/>
          </w:tcPr>
          <w:p w14:paraId="6A43DDB5"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694</w:t>
            </w:r>
          </w:p>
        </w:tc>
        <w:tc>
          <w:tcPr>
            <w:tcW w:w="857" w:type="dxa"/>
            <w:tcBorders>
              <w:top w:val="nil"/>
              <w:left w:val="nil"/>
              <w:bottom w:val="single" w:sz="4" w:space="0" w:color="BFBFBF"/>
              <w:right w:val="single" w:sz="4" w:space="0" w:color="BFBFBF"/>
            </w:tcBorders>
            <w:shd w:val="clear" w:color="auto" w:fill="auto"/>
            <w:noWrap/>
            <w:vAlign w:val="center"/>
          </w:tcPr>
          <w:p w14:paraId="489D5CF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122</w:t>
            </w:r>
          </w:p>
        </w:tc>
        <w:tc>
          <w:tcPr>
            <w:tcW w:w="734" w:type="dxa"/>
            <w:tcBorders>
              <w:top w:val="nil"/>
              <w:left w:val="nil"/>
              <w:bottom w:val="single" w:sz="4" w:space="0" w:color="BFBFBF"/>
              <w:right w:val="single" w:sz="4" w:space="0" w:color="BFBFBF"/>
            </w:tcBorders>
            <w:shd w:val="clear" w:color="auto" w:fill="auto"/>
            <w:noWrap/>
            <w:vAlign w:val="center"/>
          </w:tcPr>
          <w:p w14:paraId="580470D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383</w:t>
            </w:r>
          </w:p>
        </w:tc>
        <w:tc>
          <w:tcPr>
            <w:tcW w:w="734" w:type="dxa"/>
            <w:tcBorders>
              <w:top w:val="nil"/>
              <w:left w:val="nil"/>
              <w:bottom w:val="single" w:sz="4" w:space="0" w:color="BFBFBF"/>
              <w:right w:val="single" w:sz="4" w:space="0" w:color="BFBFBF"/>
            </w:tcBorders>
            <w:shd w:val="clear" w:color="auto" w:fill="auto"/>
            <w:noWrap/>
            <w:vAlign w:val="center"/>
          </w:tcPr>
          <w:p w14:paraId="3D6973F2"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505</w:t>
            </w:r>
          </w:p>
        </w:tc>
        <w:tc>
          <w:tcPr>
            <w:tcW w:w="857" w:type="dxa"/>
            <w:tcBorders>
              <w:top w:val="nil"/>
              <w:left w:val="nil"/>
              <w:bottom w:val="single" w:sz="4" w:space="0" w:color="BFBFBF"/>
              <w:right w:val="single" w:sz="4" w:space="0" w:color="BFBFBF"/>
            </w:tcBorders>
            <w:shd w:val="clear" w:color="auto" w:fill="auto"/>
            <w:noWrap/>
            <w:vAlign w:val="center"/>
          </w:tcPr>
          <w:p w14:paraId="1191D938"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130</w:t>
            </w:r>
          </w:p>
        </w:tc>
        <w:tc>
          <w:tcPr>
            <w:tcW w:w="734" w:type="dxa"/>
            <w:tcBorders>
              <w:top w:val="nil"/>
              <w:left w:val="nil"/>
              <w:bottom w:val="single" w:sz="4" w:space="0" w:color="BFBFBF"/>
              <w:right w:val="single" w:sz="4" w:space="0" w:color="BFBFBF"/>
            </w:tcBorders>
            <w:shd w:val="clear" w:color="auto" w:fill="auto"/>
            <w:noWrap/>
            <w:vAlign w:val="center"/>
          </w:tcPr>
          <w:p w14:paraId="2346E5B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348</w:t>
            </w:r>
          </w:p>
        </w:tc>
        <w:tc>
          <w:tcPr>
            <w:tcW w:w="734" w:type="dxa"/>
            <w:tcBorders>
              <w:top w:val="nil"/>
              <w:left w:val="nil"/>
              <w:bottom w:val="single" w:sz="4" w:space="0" w:color="BFBFBF"/>
              <w:right w:val="single" w:sz="4" w:space="0" w:color="BFBFBF"/>
            </w:tcBorders>
            <w:shd w:val="clear" w:color="auto" w:fill="auto"/>
            <w:noWrap/>
            <w:vAlign w:val="center"/>
          </w:tcPr>
          <w:p w14:paraId="71E6F23E"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477</w:t>
            </w:r>
          </w:p>
        </w:tc>
        <w:tc>
          <w:tcPr>
            <w:tcW w:w="734" w:type="dxa"/>
            <w:tcBorders>
              <w:top w:val="nil"/>
              <w:left w:val="nil"/>
              <w:bottom w:val="single" w:sz="4" w:space="0" w:color="BFBFBF"/>
              <w:right w:val="double" w:sz="6" w:space="0" w:color="auto"/>
            </w:tcBorders>
            <w:shd w:val="clear" w:color="auto" w:fill="auto"/>
            <w:noWrap/>
            <w:vAlign w:val="center"/>
          </w:tcPr>
          <w:p w14:paraId="43E83C2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362</w:t>
            </w:r>
          </w:p>
        </w:tc>
      </w:tr>
      <w:tr w:rsidR="00AF0E73" w:rsidRPr="009C7D53" w14:paraId="68AF6D97" w14:textId="77777777" w:rsidTr="00AF0E73">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3419F7D5" w14:textId="77777777" w:rsidR="00AF0E73" w:rsidRPr="009C7D53" w:rsidRDefault="00AF0E73" w:rsidP="00086B9C">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Renting – Public</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3456B16"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90%</w:t>
            </w:r>
          </w:p>
        </w:tc>
        <w:tc>
          <w:tcPr>
            <w:tcW w:w="734" w:type="dxa"/>
            <w:tcBorders>
              <w:top w:val="nil"/>
              <w:left w:val="nil"/>
              <w:bottom w:val="single" w:sz="4" w:space="0" w:color="BFBFBF"/>
              <w:right w:val="single" w:sz="4" w:space="0" w:color="BFBFBF"/>
            </w:tcBorders>
            <w:shd w:val="clear" w:color="auto" w:fill="auto"/>
            <w:noWrap/>
            <w:vAlign w:val="center"/>
          </w:tcPr>
          <w:p w14:paraId="792A1A7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5F46EBA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auto"/>
            </w:tcBorders>
            <w:shd w:val="clear" w:color="auto" w:fill="auto"/>
            <w:noWrap/>
            <w:vAlign w:val="center"/>
          </w:tcPr>
          <w:p w14:paraId="3ECC2397"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71%</w:t>
            </w:r>
          </w:p>
        </w:tc>
        <w:tc>
          <w:tcPr>
            <w:tcW w:w="857" w:type="dxa"/>
            <w:tcBorders>
              <w:top w:val="nil"/>
              <w:left w:val="nil"/>
              <w:bottom w:val="single" w:sz="4" w:space="0" w:color="BFBFBF"/>
              <w:right w:val="single" w:sz="4" w:space="0" w:color="BFBFBF"/>
            </w:tcBorders>
            <w:shd w:val="clear" w:color="auto" w:fill="auto"/>
            <w:noWrap/>
            <w:vAlign w:val="center"/>
          </w:tcPr>
          <w:p w14:paraId="387E263B"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155</w:t>
            </w:r>
          </w:p>
        </w:tc>
        <w:tc>
          <w:tcPr>
            <w:tcW w:w="734" w:type="dxa"/>
            <w:tcBorders>
              <w:top w:val="nil"/>
              <w:left w:val="nil"/>
              <w:bottom w:val="single" w:sz="4" w:space="0" w:color="BFBFBF"/>
              <w:right w:val="single" w:sz="4" w:space="0" w:color="BFBFBF"/>
            </w:tcBorders>
            <w:shd w:val="clear" w:color="auto" w:fill="auto"/>
            <w:noWrap/>
            <w:vAlign w:val="center"/>
          </w:tcPr>
          <w:p w14:paraId="5A8D7F1F"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454</w:t>
            </w:r>
          </w:p>
        </w:tc>
        <w:tc>
          <w:tcPr>
            <w:tcW w:w="734" w:type="dxa"/>
            <w:tcBorders>
              <w:top w:val="nil"/>
              <w:left w:val="nil"/>
              <w:bottom w:val="single" w:sz="4" w:space="0" w:color="BFBFBF"/>
              <w:right w:val="single" w:sz="4" w:space="0" w:color="BFBFBF"/>
            </w:tcBorders>
            <w:shd w:val="clear" w:color="auto" w:fill="auto"/>
            <w:noWrap/>
            <w:vAlign w:val="center"/>
          </w:tcPr>
          <w:p w14:paraId="0152B25D" w14:textId="77777777" w:rsidR="00AF0E73" w:rsidRPr="009C7D53" w:rsidRDefault="00AF0E73" w:rsidP="00AF0E7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658</w:t>
            </w:r>
          </w:p>
        </w:tc>
        <w:tc>
          <w:tcPr>
            <w:tcW w:w="857" w:type="dxa"/>
            <w:tcBorders>
              <w:top w:val="nil"/>
              <w:left w:val="nil"/>
              <w:bottom w:val="single" w:sz="4" w:space="0" w:color="BFBFBF"/>
              <w:right w:val="single" w:sz="4" w:space="0" w:color="BFBFBF"/>
            </w:tcBorders>
            <w:shd w:val="clear" w:color="auto" w:fill="auto"/>
            <w:noWrap/>
            <w:vAlign w:val="center"/>
          </w:tcPr>
          <w:p w14:paraId="5C91550D"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123</w:t>
            </w:r>
          </w:p>
        </w:tc>
        <w:tc>
          <w:tcPr>
            <w:tcW w:w="734" w:type="dxa"/>
            <w:tcBorders>
              <w:top w:val="nil"/>
              <w:left w:val="nil"/>
              <w:bottom w:val="single" w:sz="4" w:space="0" w:color="BFBFBF"/>
              <w:right w:val="single" w:sz="4" w:space="0" w:color="BFBFBF"/>
            </w:tcBorders>
            <w:shd w:val="clear" w:color="auto" w:fill="auto"/>
            <w:noWrap/>
            <w:vAlign w:val="center"/>
          </w:tcPr>
          <w:p w14:paraId="4E78C790"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340</w:t>
            </w:r>
          </w:p>
        </w:tc>
        <w:tc>
          <w:tcPr>
            <w:tcW w:w="734" w:type="dxa"/>
            <w:tcBorders>
              <w:top w:val="nil"/>
              <w:left w:val="nil"/>
              <w:bottom w:val="single" w:sz="4" w:space="0" w:color="BFBFBF"/>
              <w:right w:val="single" w:sz="4" w:space="0" w:color="BFBFBF"/>
            </w:tcBorders>
            <w:shd w:val="clear" w:color="auto" w:fill="auto"/>
            <w:noWrap/>
            <w:vAlign w:val="center"/>
          </w:tcPr>
          <w:p w14:paraId="0A8CBD93"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471</w:t>
            </w:r>
          </w:p>
        </w:tc>
        <w:tc>
          <w:tcPr>
            <w:tcW w:w="857" w:type="dxa"/>
            <w:tcBorders>
              <w:top w:val="nil"/>
              <w:left w:val="nil"/>
              <w:bottom w:val="single" w:sz="4" w:space="0" w:color="BFBFBF"/>
              <w:right w:val="single" w:sz="4" w:space="0" w:color="BFBFBF"/>
            </w:tcBorders>
            <w:shd w:val="clear" w:color="auto" w:fill="auto"/>
            <w:noWrap/>
            <w:vAlign w:val="center"/>
          </w:tcPr>
          <w:p w14:paraId="54517735"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118</w:t>
            </w:r>
          </w:p>
        </w:tc>
        <w:tc>
          <w:tcPr>
            <w:tcW w:w="734" w:type="dxa"/>
            <w:tcBorders>
              <w:top w:val="nil"/>
              <w:left w:val="nil"/>
              <w:bottom w:val="single" w:sz="4" w:space="0" w:color="BFBFBF"/>
              <w:right w:val="single" w:sz="4" w:space="0" w:color="BFBFBF"/>
            </w:tcBorders>
            <w:shd w:val="clear" w:color="auto" w:fill="auto"/>
            <w:noWrap/>
            <w:vAlign w:val="center"/>
          </w:tcPr>
          <w:p w14:paraId="54571F0B"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308</w:t>
            </w:r>
          </w:p>
        </w:tc>
        <w:tc>
          <w:tcPr>
            <w:tcW w:w="734" w:type="dxa"/>
            <w:tcBorders>
              <w:top w:val="nil"/>
              <w:left w:val="nil"/>
              <w:bottom w:val="single" w:sz="4" w:space="0" w:color="BFBFBF"/>
              <w:right w:val="single" w:sz="4" w:space="0" w:color="BFBFBF"/>
            </w:tcBorders>
            <w:shd w:val="clear" w:color="auto" w:fill="auto"/>
            <w:noWrap/>
            <w:vAlign w:val="center"/>
          </w:tcPr>
          <w:p w14:paraId="2D4ECD54"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424</w:t>
            </w:r>
          </w:p>
        </w:tc>
        <w:tc>
          <w:tcPr>
            <w:tcW w:w="734" w:type="dxa"/>
            <w:tcBorders>
              <w:top w:val="nil"/>
              <w:left w:val="nil"/>
              <w:bottom w:val="single" w:sz="4" w:space="0" w:color="BFBFBF"/>
              <w:right w:val="double" w:sz="6" w:space="0" w:color="auto"/>
            </w:tcBorders>
            <w:shd w:val="clear" w:color="auto" w:fill="auto"/>
            <w:noWrap/>
            <w:vAlign w:val="center"/>
          </w:tcPr>
          <w:p w14:paraId="4327CB4F" w14:textId="77777777" w:rsidR="00AF0E73" w:rsidRPr="009C7D53" w:rsidRDefault="00AF0E73" w:rsidP="00086B9C">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358</w:t>
            </w:r>
          </w:p>
        </w:tc>
      </w:tr>
      <w:tr w:rsidR="00AF0E73" w:rsidRPr="009C7D53" w14:paraId="5C89A0AC" w14:textId="77777777" w:rsidTr="00AF0E73">
        <w:trPr>
          <w:trHeight w:val="240"/>
          <w:jc w:val="center"/>
        </w:trPr>
        <w:tc>
          <w:tcPr>
            <w:tcW w:w="2291" w:type="dxa"/>
            <w:tcBorders>
              <w:top w:val="nil"/>
              <w:left w:val="double" w:sz="6" w:space="0" w:color="auto"/>
              <w:bottom w:val="double" w:sz="6" w:space="0" w:color="auto"/>
              <w:right w:val="nil"/>
            </w:tcBorders>
            <w:shd w:val="clear" w:color="auto" w:fill="auto"/>
            <w:noWrap/>
            <w:vAlign w:val="center"/>
          </w:tcPr>
          <w:p w14:paraId="2D0C162B" w14:textId="77777777" w:rsidR="00AF0E73" w:rsidRPr="009C7D53" w:rsidRDefault="00AF0E73" w:rsidP="00086B9C">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Total Households</w:t>
            </w:r>
          </w:p>
        </w:tc>
        <w:tc>
          <w:tcPr>
            <w:tcW w:w="734" w:type="dxa"/>
            <w:tcBorders>
              <w:top w:val="nil"/>
              <w:left w:val="single" w:sz="4" w:space="0" w:color="auto"/>
              <w:bottom w:val="double" w:sz="6" w:space="0" w:color="auto"/>
              <w:right w:val="single" w:sz="4" w:space="0" w:color="BFBFBF"/>
            </w:tcBorders>
            <w:shd w:val="clear" w:color="auto" w:fill="auto"/>
            <w:noWrap/>
            <w:vAlign w:val="center"/>
          </w:tcPr>
          <w:p w14:paraId="43BB4111" w14:textId="77777777" w:rsidR="00AF0E73" w:rsidRPr="009C7D53" w:rsidRDefault="00AF0E73" w:rsidP="00AF0E7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88%</w:t>
            </w:r>
          </w:p>
        </w:tc>
        <w:tc>
          <w:tcPr>
            <w:tcW w:w="734" w:type="dxa"/>
            <w:tcBorders>
              <w:top w:val="nil"/>
              <w:left w:val="nil"/>
              <w:bottom w:val="double" w:sz="6" w:space="0" w:color="auto"/>
              <w:right w:val="single" w:sz="4" w:space="0" w:color="BFBFBF"/>
            </w:tcBorders>
            <w:shd w:val="clear" w:color="auto" w:fill="auto"/>
            <w:noWrap/>
            <w:vAlign w:val="center"/>
          </w:tcPr>
          <w:p w14:paraId="01BC1407" w14:textId="77777777" w:rsidR="00AF0E73" w:rsidRPr="009C7D53" w:rsidRDefault="00AF0E73"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88%</w:t>
            </w:r>
          </w:p>
        </w:tc>
        <w:tc>
          <w:tcPr>
            <w:tcW w:w="734" w:type="dxa"/>
            <w:tcBorders>
              <w:top w:val="nil"/>
              <w:left w:val="nil"/>
              <w:bottom w:val="double" w:sz="6" w:space="0" w:color="auto"/>
              <w:right w:val="single" w:sz="4" w:space="0" w:color="BFBFBF"/>
            </w:tcBorders>
            <w:shd w:val="clear" w:color="auto" w:fill="auto"/>
            <w:noWrap/>
            <w:vAlign w:val="center"/>
          </w:tcPr>
          <w:p w14:paraId="275904C5" w14:textId="77777777" w:rsidR="00AF0E73" w:rsidRPr="009C7D53" w:rsidRDefault="00AF0E73"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94%</w:t>
            </w:r>
          </w:p>
        </w:tc>
        <w:tc>
          <w:tcPr>
            <w:tcW w:w="734" w:type="dxa"/>
            <w:tcBorders>
              <w:top w:val="nil"/>
              <w:left w:val="nil"/>
              <w:bottom w:val="double" w:sz="6" w:space="0" w:color="auto"/>
              <w:right w:val="single" w:sz="4" w:space="0" w:color="auto"/>
            </w:tcBorders>
            <w:shd w:val="clear" w:color="auto" w:fill="auto"/>
            <w:noWrap/>
            <w:vAlign w:val="center"/>
          </w:tcPr>
          <w:p w14:paraId="1D18C433" w14:textId="77777777" w:rsidR="00AF0E73" w:rsidRPr="009C7D53" w:rsidRDefault="00AF0E73"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91%</w:t>
            </w:r>
          </w:p>
        </w:tc>
        <w:tc>
          <w:tcPr>
            <w:tcW w:w="857" w:type="dxa"/>
            <w:tcBorders>
              <w:top w:val="nil"/>
              <w:left w:val="nil"/>
              <w:bottom w:val="double" w:sz="6" w:space="0" w:color="auto"/>
              <w:right w:val="single" w:sz="4" w:space="0" w:color="BFBFBF"/>
            </w:tcBorders>
            <w:shd w:val="clear" w:color="auto" w:fill="auto"/>
            <w:noWrap/>
            <w:vAlign w:val="center"/>
          </w:tcPr>
          <w:p w14:paraId="5A2B9FB5" w14:textId="77777777" w:rsidR="00AF0E73" w:rsidRPr="009C7D53" w:rsidRDefault="00AF0E73" w:rsidP="00AF0E7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157</w:t>
            </w:r>
          </w:p>
        </w:tc>
        <w:tc>
          <w:tcPr>
            <w:tcW w:w="734" w:type="dxa"/>
            <w:tcBorders>
              <w:top w:val="nil"/>
              <w:left w:val="nil"/>
              <w:bottom w:val="double" w:sz="6" w:space="0" w:color="auto"/>
              <w:right w:val="single" w:sz="4" w:space="0" w:color="BFBFBF"/>
            </w:tcBorders>
            <w:shd w:val="clear" w:color="auto" w:fill="auto"/>
            <w:noWrap/>
            <w:vAlign w:val="center"/>
          </w:tcPr>
          <w:p w14:paraId="569AD205" w14:textId="77777777" w:rsidR="00AF0E73" w:rsidRPr="009C7D53" w:rsidRDefault="00AF0E73" w:rsidP="00AF0E7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586</w:t>
            </w:r>
          </w:p>
        </w:tc>
        <w:tc>
          <w:tcPr>
            <w:tcW w:w="734" w:type="dxa"/>
            <w:tcBorders>
              <w:top w:val="nil"/>
              <w:left w:val="nil"/>
              <w:bottom w:val="double" w:sz="6" w:space="0" w:color="auto"/>
              <w:right w:val="single" w:sz="4" w:space="0" w:color="BFBFBF"/>
            </w:tcBorders>
            <w:shd w:val="clear" w:color="auto" w:fill="auto"/>
            <w:noWrap/>
            <w:vAlign w:val="center"/>
          </w:tcPr>
          <w:p w14:paraId="0C77FFE8" w14:textId="77777777" w:rsidR="00AF0E73" w:rsidRPr="009C7D53" w:rsidRDefault="00AF0E73" w:rsidP="00AF0E7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769</w:t>
            </w:r>
          </w:p>
        </w:tc>
        <w:tc>
          <w:tcPr>
            <w:tcW w:w="857" w:type="dxa"/>
            <w:tcBorders>
              <w:top w:val="nil"/>
              <w:left w:val="nil"/>
              <w:bottom w:val="double" w:sz="6" w:space="0" w:color="auto"/>
              <w:right w:val="single" w:sz="4" w:space="0" w:color="BFBFBF"/>
            </w:tcBorders>
            <w:shd w:val="clear" w:color="auto" w:fill="auto"/>
            <w:noWrap/>
            <w:vAlign w:val="center"/>
          </w:tcPr>
          <w:p w14:paraId="72A124F2" w14:textId="77777777" w:rsidR="00AF0E73" w:rsidRPr="009C7D53" w:rsidRDefault="00AF0E73"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124</w:t>
            </w:r>
          </w:p>
        </w:tc>
        <w:tc>
          <w:tcPr>
            <w:tcW w:w="734" w:type="dxa"/>
            <w:tcBorders>
              <w:top w:val="nil"/>
              <w:left w:val="nil"/>
              <w:bottom w:val="double" w:sz="6" w:space="0" w:color="auto"/>
              <w:right w:val="single" w:sz="4" w:space="0" w:color="BFBFBF"/>
            </w:tcBorders>
            <w:shd w:val="clear" w:color="auto" w:fill="auto"/>
            <w:noWrap/>
            <w:vAlign w:val="center"/>
          </w:tcPr>
          <w:p w14:paraId="2B134490" w14:textId="77777777" w:rsidR="00AF0E73" w:rsidRPr="009C7D53" w:rsidRDefault="00AF0E73"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436</w:t>
            </w:r>
          </w:p>
        </w:tc>
        <w:tc>
          <w:tcPr>
            <w:tcW w:w="734" w:type="dxa"/>
            <w:tcBorders>
              <w:top w:val="nil"/>
              <w:left w:val="nil"/>
              <w:bottom w:val="double" w:sz="6" w:space="0" w:color="auto"/>
              <w:right w:val="single" w:sz="4" w:space="0" w:color="BFBFBF"/>
            </w:tcBorders>
            <w:shd w:val="clear" w:color="auto" w:fill="auto"/>
            <w:noWrap/>
            <w:vAlign w:val="center"/>
          </w:tcPr>
          <w:p w14:paraId="1D3A0A7A" w14:textId="77777777" w:rsidR="00AF0E73" w:rsidRPr="009C7D53" w:rsidRDefault="00AF0E73"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559</w:t>
            </w:r>
          </w:p>
        </w:tc>
        <w:tc>
          <w:tcPr>
            <w:tcW w:w="857" w:type="dxa"/>
            <w:tcBorders>
              <w:top w:val="nil"/>
              <w:left w:val="nil"/>
              <w:bottom w:val="double" w:sz="6" w:space="0" w:color="auto"/>
              <w:right w:val="single" w:sz="4" w:space="0" w:color="BFBFBF"/>
            </w:tcBorders>
            <w:shd w:val="clear" w:color="auto" w:fill="auto"/>
            <w:noWrap/>
            <w:vAlign w:val="center"/>
          </w:tcPr>
          <w:p w14:paraId="56B0ACB5" w14:textId="77777777" w:rsidR="00AF0E73" w:rsidRPr="009C7D53" w:rsidRDefault="00AF0E73"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141</w:t>
            </w:r>
          </w:p>
        </w:tc>
        <w:tc>
          <w:tcPr>
            <w:tcW w:w="734" w:type="dxa"/>
            <w:tcBorders>
              <w:top w:val="nil"/>
              <w:left w:val="nil"/>
              <w:bottom w:val="double" w:sz="6" w:space="0" w:color="auto"/>
              <w:right w:val="single" w:sz="4" w:space="0" w:color="BFBFBF"/>
            </w:tcBorders>
            <w:shd w:val="clear" w:color="auto" w:fill="auto"/>
            <w:noWrap/>
            <w:vAlign w:val="center"/>
          </w:tcPr>
          <w:p w14:paraId="52DE730B" w14:textId="77777777" w:rsidR="00AF0E73" w:rsidRPr="009C7D53" w:rsidRDefault="00AF0E73"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398</w:t>
            </w:r>
          </w:p>
        </w:tc>
        <w:tc>
          <w:tcPr>
            <w:tcW w:w="734" w:type="dxa"/>
            <w:tcBorders>
              <w:top w:val="nil"/>
              <w:left w:val="nil"/>
              <w:bottom w:val="double" w:sz="6" w:space="0" w:color="auto"/>
              <w:right w:val="single" w:sz="4" w:space="0" w:color="BFBFBF"/>
            </w:tcBorders>
            <w:shd w:val="clear" w:color="auto" w:fill="auto"/>
            <w:noWrap/>
            <w:vAlign w:val="center"/>
          </w:tcPr>
          <w:p w14:paraId="3AF05E4A" w14:textId="77777777" w:rsidR="00AF0E73" w:rsidRPr="009C7D53" w:rsidRDefault="00AF0E73"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538</w:t>
            </w:r>
          </w:p>
        </w:tc>
        <w:tc>
          <w:tcPr>
            <w:tcW w:w="734" w:type="dxa"/>
            <w:tcBorders>
              <w:top w:val="nil"/>
              <w:left w:val="nil"/>
              <w:bottom w:val="double" w:sz="6" w:space="0" w:color="auto"/>
              <w:right w:val="double" w:sz="6" w:space="0" w:color="auto"/>
            </w:tcBorders>
            <w:shd w:val="clear" w:color="auto" w:fill="auto"/>
            <w:noWrap/>
            <w:vAlign w:val="center"/>
          </w:tcPr>
          <w:p w14:paraId="325E08F0" w14:textId="77777777" w:rsidR="00AF0E73" w:rsidRPr="009C7D53" w:rsidRDefault="00AF0E73" w:rsidP="00086B9C">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500</w:t>
            </w:r>
          </w:p>
        </w:tc>
      </w:tr>
    </w:tbl>
    <w:p w14:paraId="5B658FE7" w14:textId="77777777" w:rsidR="00086B9C" w:rsidRPr="009C7D53" w:rsidRDefault="00086B9C" w:rsidP="009748AD">
      <w:pPr>
        <w:spacing w:before="120" w:after="0"/>
        <w:ind w:left="720"/>
        <w:jc w:val="both"/>
        <w:rPr>
          <w:sz w:val="20"/>
          <w:lang w:val="en-AU"/>
        </w:rPr>
      </w:pPr>
      <w:r w:rsidRPr="009C7D53">
        <w:rPr>
          <w:sz w:val="20"/>
          <w:lang w:val="en-AU"/>
        </w:rPr>
        <w:t>* Average 2014 monthly winter gas charge applicable (May-November) is $8</w:t>
      </w:r>
      <w:r w:rsidR="009148C2" w:rsidRPr="009C7D53">
        <w:rPr>
          <w:sz w:val="20"/>
          <w:lang w:val="en-AU"/>
        </w:rPr>
        <w:t>4</w:t>
      </w:r>
      <w:r w:rsidRPr="009C7D53">
        <w:rPr>
          <w:sz w:val="20"/>
          <w:lang w:val="en-AU"/>
        </w:rPr>
        <w:t xml:space="preserve"> (2007: $</w:t>
      </w:r>
      <w:r w:rsidR="00B5775E" w:rsidRPr="009C7D53">
        <w:rPr>
          <w:sz w:val="20"/>
          <w:lang w:val="en-AU"/>
        </w:rPr>
        <w:t>62;</w:t>
      </w:r>
      <w:r w:rsidRPr="009C7D53">
        <w:rPr>
          <w:sz w:val="20"/>
          <w:lang w:val="en-AU"/>
        </w:rPr>
        <w:t xml:space="preserve"> 2001: $57).  Average 2007 monthly summer gas charge applicable (December-April) is $3</w:t>
      </w:r>
      <w:r w:rsidR="009148C2" w:rsidRPr="009C7D53">
        <w:rPr>
          <w:sz w:val="20"/>
          <w:lang w:val="en-AU"/>
        </w:rPr>
        <w:t>1</w:t>
      </w:r>
      <w:r w:rsidRPr="009C7D53">
        <w:rPr>
          <w:sz w:val="20"/>
          <w:lang w:val="en-AU"/>
        </w:rPr>
        <w:t xml:space="preserve"> (2007: $25; 2001: $28).</w:t>
      </w:r>
    </w:p>
    <w:p w14:paraId="7864C37C" w14:textId="77777777" w:rsidR="00086B9C" w:rsidRPr="009C7D53" w:rsidRDefault="00086B9C" w:rsidP="009748AD">
      <w:pPr>
        <w:spacing w:before="120" w:after="0"/>
        <w:ind w:left="720"/>
        <w:jc w:val="both"/>
        <w:rPr>
          <w:sz w:val="20"/>
          <w:lang w:val="en-AU"/>
        </w:rPr>
      </w:pPr>
      <w:r w:rsidRPr="009C7D53">
        <w:rPr>
          <w:sz w:val="20"/>
          <w:lang w:val="en-AU"/>
        </w:rPr>
        <w:t>^It is likely that the 2001 and 1996 consumption charges included the supply charge and any other charges.</w:t>
      </w:r>
    </w:p>
    <w:p w14:paraId="4CAC73E4" w14:textId="77777777" w:rsidR="00086B9C" w:rsidRPr="009C7D53" w:rsidRDefault="00086B9C" w:rsidP="00D109F7">
      <w:pPr>
        <w:pStyle w:val="Para"/>
        <w:outlineLvl w:val="0"/>
        <w:rPr>
          <w:b/>
          <w:lang w:val="en-AU"/>
        </w:rPr>
      </w:pPr>
    </w:p>
    <w:p w14:paraId="0EE6D7CF" w14:textId="77777777" w:rsidR="00086B9C" w:rsidRPr="009C7D53" w:rsidRDefault="00086B9C" w:rsidP="00D109F7">
      <w:pPr>
        <w:pStyle w:val="Para"/>
        <w:outlineLvl w:val="0"/>
        <w:rPr>
          <w:b/>
          <w:lang w:val="en-AU"/>
        </w:rPr>
      </w:pPr>
    </w:p>
    <w:p w14:paraId="48F1DBD8" w14:textId="77777777" w:rsidR="00086B9C" w:rsidRPr="009C7D53" w:rsidRDefault="00086B9C" w:rsidP="00D109F7">
      <w:pPr>
        <w:pStyle w:val="Para"/>
        <w:outlineLvl w:val="0"/>
        <w:rPr>
          <w:b/>
          <w:lang w:val="en-AU"/>
        </w:rPr>
      </w:pPr>
    </w:p>
    <w:p w14:paraId="018BB76D" w14:textId="296F649A" w:rsidR="00D109F7" w:rsidRPr="009C7D53" w:rsidRDefault="00086B9C" w:rsidP="00F15A9B">
      <w:pPr>
        <w:pStyle w:val="Para"/>
        <w:jc w:val="center"/>
        <w:outlineLvl w:val="0"/>
        <w:rPr>
          <w:b/>
          <w:u w:val="single"/>
          <w:lang w:val="en-AU"/>
        </w:rPr>
      </w:pPr>
      <w:r w:rsidRPr="009C7D53">
        <w:rPr>
          <w:b/>
          <w:lang w:val="en-AU"/>
        </w:rPr>
        <w:br w:type="page"/>
      </w:r>
      <w:r w:rsidR="00E7535E" w:rsidRPr="009C7D53">
        <w:rPr>
          <w:b/>
          <w:lang w:val="en-AU"/>
        </w:rPr>
        <w:lastRenderedPageBreak/>
        <w:t>Table 4.3.2.</w:t>
      </w:r>
      <w:r w:rsidR="00DF177F">
        <w:rPr>
          <w:b/>
          <w:lang w:val="en-AU"/>
        </w:rPr>
        <w:t>3</w:t>
      </w:r>
      <w:r w:rsidR="00E7535E" w:rsidRPr="009C7D53">
        <w:rPr>
          <w:b/>
          <w:lang w:val="en-AU"/>
        </w:rPr>
        <w:t xml:space="preserve">: </w:t>
      </w:r>
      <w:r w:rsidR="00E7535E" w:rsidRPr="009C7D53">
        <w:rPr>
          <w:b/>
          <w:u w:val="single"/>
          <w:lang w:val="en-AU"/>
        </w:rPr>
        <w:t>Gas Bill Charges – Part 2</w:t>
      </w:r>
    </w:p>
    <w:p w14:paraId="68088EC9" w14:textId="77777777" w:rsidR="00F77388" w:rsidRPr="009C7D53" w:rsidRDefault="00F77388" w:rsidP="00D109F7">
      <w:pPr>
        <w:pStyle w:val="Para"/>
        <w:outlineLvl w:val="0"/>
        <w:rPr>
          <w:b/>
          <w:lang w:val="en-AU"/>
        </w:rPr>
      </w:pPr>
    </w:p>
    <w:tbl>
      <w:tblPr>
        <w:tblW w:w="13114" w:type="dxa"/>
        <w:jc w:val="center"/>
        <w:tblLook w:val="04A0" w:firstRow="1" w:lastRow="0" w:firstColumn="1" w:lastColumn="0" w:noHBand="0" w:noVBand="1"/>
      </w:tblPr>
      <w:tblGrid>
        <w:gridCol w:w="2874"/>
        <w:gridCol w:w="734"/>
        <w:gridCol w:w="734"/>
        <w:gridCol w:w="734"/>
        <w:gridCol w:w="734"/>
        <w:gridCol w:w="734"/>
        <w:gridCol w:w="617"/>
        <w:gridCol w:w="1120"/>
        <w:gridCol w:w="880"/>
        <w:gridCol w:w="1119"/>
        <w:gridCol w:w="721"/>
        <w:gridCol w:w="1064"/>
        <w:gridCol w:w="1049"/>
      </w:tblGrid>
      <w:tr w:rsidR="00F44114" w:rsidRPr="009C7D53" w14:paraId="6FE17D3C" w14:textId="0DB8788D" w:rsidTr="009748AD">
        <w:trPr>
          <w:trHeight w:val="255"/>
          <w:tblHeader/>
          <w:jc w:val="center"/>
        </w:trPr>
        <w:tc>
          <w:tcPr>
            <w:tcW w:w="2874" w:type="dxa"/>
            <w:tcBorders>
              <w:top w:val="double" w:sz="6" w:space="0" w:color="auto"/>
              <w:left w:val="double" w:sz="6" w:space="0" w:color="auto"/>
              <w:bottom w:val="single" w:sz="4" w:space="0" w:color="BFBFBF"/>
              <w:right w:val="nil"/>
            </w:tcBorders>
            <w:shd w:val="clear" w:color="auto" w:fill="auto"/>
            <w:noWrap/>
            <w:vAlign w:val="center"/>
          </w:tcPr>
          <w:p w14:paraId="2B5AAC15"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 </w:t>
            </w:r>
          </w:p>
        </w:tc>
        <w:tc>
          <w:tcPr>
            <w:tcW w:w="2936"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5088789F"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Supply Charge</w:t>
            </w:r>
          </w:p>
        </w:tc>
        <w:tc>
          <w:tcPr>
            <w:tcW w:w="1351" w:type="dxa"/>
            <w:gridSpan w:val="2"/>
            <w:vMerge w:val="restart"/>
            <w:tcBorders>
              <w:top w:val="double" w:sz="6" w:space="0" w:color="auto"/>
              <w:left w:val="nil"/>
              <w:bottom w:val="single" w:sz="4" w:space="0" w:color="BFBFBF"/>
              <w:right w:val="single" w:sz="4" w:space="0" w:color="BFBFBF"/>
            </w:tcBorders>
            <w:shd w:val="clear" w:color="auto" w:fill="auto"/>
            <w:vAlign w:val="bottom"/>
          </w:tcPr>
          <w:p w14:paraId="1E88412F"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Carbon Tax</w:t>
            </w:r>
            <w:r w:rsidRPr="009C7D53">
              <w:rPr>
                <w:rFonts w:ascii="Arial" w:hAnsi="Arial" w:cs="Arial"/>
                <w:b/>
                <w:bCs/>
                <w:color w:val="000000"/>
                <w:sz w:val="16"/>
                <w:szCs w:val="16"/>
                <w:lang w:val="en-AU" w:eastAsia="en-AU"/>
              </w:rPr>
              <w:br/>
              <w:t>2014</w:t>
            </w:r>
          </w:p>
        </w:tc>
        <w:tc>
          <w:tcPr>
            <w:tcW w:w="3840" w:type="dxa"/>
            <w:gridSpan w:val="4"/>
            <w:tcBorders>
              <w:top w:val="double" w:sz="6" w:space="0" w:color="auto"/>
              <w:left w:val="single" w:sz="4" w:space="0" w:color="auto"/>
              <w:bottom w:val="single" w:sz="4" w:space="0" w:color="BFBFBF"/>
              <w:right w:val="double" w:sz="6" w:space="0" w:color="000000"/>
            </w:tcBorders>
            <w:shd w:val="clear" w:color="auto" w:fill="auto"/>
            <w:noWrap/>
            <w:vAlign w:val="center"/>
          </w:tcPr>
          <w:p w14:paraId="6C395E3F"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Other Charges</w:t>
            </w:r>
          </w:p>
        </w:tc>
        <w:tc>
          <w:tcPr>
            <w:tcW w:w="2113" w:type="dxa"/>
            <w:gridSpan w:val="2"/>
            <w:tcBorders>
              <w:top w:val="double" w:sz="6" w:space="0" w:color="auto"/>
              <w:left w:val="single" w:sz="4" w:space="0" w:color="auto"/>
              <w:bottom w:val="single" w:sz="4" w:space="0" w:color="BFBFBF"/>
              <w:right w:val="double" w:sz="6" w:space="0" w:color="000000"/>
            </w:tcBorders>
          </w:tcPr>
          <w:p w14:paraId="78F56F51" w14:textId="1D4DECA4" w:rsidR="00F44114" w:rsidRPr="009C7D53" w:rsidRDefault="00F44114" w:rsidP="00F77388">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Total All Charges</w:t>
            </w:r>
          </w:p>
        </w:tc>
      </w:tr>
      <w:tr w:rsidR="00F44114" w:rsidRPr="009C7D53" w14:paraId="76016409" w14:textId="7ABC7C2B" w:rsidTr="009748AD">
        <w:trPr>
          <w:trHeight w:val="240"/>
          <w:tblHeader/>
          <w:jc w:val="center"/>
        </w:trPr>
        <w:tc>
          <w:tcPr>
            <w:tcW w:w="2874" w:type="dxa"/>
            <w:tcBorders>
              <w:top w:val="nil"/>
              <w:left w:val="double" w:sz="6" w:space="0" w:color="auto"/>
              <w:bottom w:val="single" w:sz="4" w:space="0" w:color="BFBFBF"/>
              <w:right w:val="nil"/>
            </w:tcBorders>
            <w:shd w:val="clear" w:color="auto" w:fill="auto"/>
            <w:noWrap/>
            <w:vAlign w:val="center"/>
          </w:tcPr>
          <w:p w14:paraId="388E6BCC"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 </w:t>
            </w:r>
          </w:p>
        </w:tc>
        <w:tc>
          <w:tcPr>
            <w:tcW w:w="1468" w:type="dxa"/>
            <w:gridSpan w:val="2"/>
            <w:tcBorders>
              <w:top w:val="single" w:sz="4" w:space="0" w:color="BFBFBF"/>
              <w:left w:val="single" w:sz="4" w:space="0" w:color="auto"/>
              <w:bottom w:val="single" w:sz="4" w:space="0" w:color="BFBFBF"/>
              <w:right w:val="single" w:sz="4" w:space="0" w:color="BFBFBF"/>
            </w:tcBorders>
            <w:shd w:val="clear" w:color="auto" w:fill="auto"/>
            <w:noWrap/>
            <w:vAlign w:val="center"/>
          </w:tcPr>
          <w:p w14:paraId="4ACA3478" w14:textId="77777777" w:rsidR="00F44114" w:rsidRPr="009C7D53" w:rsidRDefault="00F44114" w:rsidP="004B202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2014</w:t>
            </w:r>
          </w:p>
        </w:tc>
        <w:tc>
          <w:tcPr>
            <w:tcW w:w="1468" w:type="dxa"/>
            <w:gridSpan w:val="2"/>
            <w:tcBorders>
              <w:top w:val="single" w:sz="4" w:space="0" w:color="BFBFBF"/>
              <w:left w:val="nil"/>
              <w:bottom w:val="single" w:sz="4" w:space="0" w:color="BFBFBF"/>
              <w:right w:val="single" w:sz="4" w:space="0" w:color="000000"/>
            </w:tcBorders>
            <w:shd w:val="clear" w:color="auto" w:fill="auto"/>
            <w:noWrap/>
            <w:vAlign w:val="center"/>
          </w:tcPr>
          <w:p w14:paraId="4A4BC4BF" w14:textId="77777777" w:rsidR="00F44114" w:rsidRPr="009C7D53" w:rsidRDefault="00F44114" w:rsidP="004B202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2007</w:t>
            </w:r>
          </w:p>
        </w:tc>
        <w:tc>
          <w:tcPr>
            <w:tcW w:w="1351" w:type="dxa"/>
            <w:gridSpan w:val="2"/>
            <w:vMerge/>
            <w:tcBorders>
              <w:top w:val="double" w:sz="6" w:space="0" w:color="auto"/>
              <w:left w:val="nil"/>
              <w:bottom w:val="single" w:sz="4" w:space="0" w:color="BFBFBF"/>
              <w:right w:val="single" w:sz="4" w:space="0" w:color="BFBFBF"/>
            </w:tcBorders>
            <w:vAlign w:val="center"/>
          </w:tcPr>
          <w:p w14:paraId="57C7B577" w14:textId="77777777" w:rsidR="00F44114" w:rsidRPr="009C7D53" w:rsidRDefault="00F44114" w:rsidP="00F77388">
            <w:pPr>
              <w:spacing w:before="0" w:after="0"/>
              <w:rPr>
                <w:rFonts w:ascii="Arial" w:hAnsi="Arial" w:cs="Arial"/>
                <w:b/>
                <w:bCs/>
                <w:color w:val="000000"/>
                <w:sz w:val="16"/>
                <w:szCs w:val="16"/>
                <w:lang w:val="en-AU" w:eastAsia="en-AU"/>
              </w:rPr>
            </w:pPr>
          </w:p>
        </w:tc>
        <w:tc>
          <w:tcPr>
            <w:tcW w:w="2000" w:type="dxa"/>
            <w:gridSpan w:val="2"/>
            <w:tcBorders>
              <w:top w:val="single" w:sz="4" w:space="0" w:color="BFBFBF"/>
              <w:left w:val="single" w:sz="4" w:space="0" w:color="auto"/>
              <w:bottom w:val="single" w:sz="4" w:space="0" w:color="BFBFBF"/>
              <w:right w:val="single" w:sz="4" w:space="0" w:color="BFBFBF"/>
            </w:tcBorders>
            <w:shd w:val="clear" w:color="auto" w:fill="auto"/>
            <w:noWrap/>
            <w:vAlign w:val="center"/>
          </w:tcPr>
          <w:p w14:paraId="23898D85" w14:textId="77777777" w:rsidR="00F44114" w:rsidRPr="009C7D53" w:rsidRDefault="00F44114" w:rsidP="004B202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2014</w:t>
            </w:r>
          </w:p>
        </w:tc>
        <w:tc>
          <w:tcPr>
            <w:tcW w:w="1840" w:type="dxa"/>
            <w:gridSpan w:val="2"/>
            <w:tcBorders>
              <w:top w:val="single" w:sz="4" w:space="0" w:color="BFBFBF"/>
              <w:left w:val="nil"/>
              <w:bottom w:val="single" w:sz="4" w:space="0" w:color="BFBFBF"/>
              <w:right w:val="double" w:sz="6" w:space="0" w:color="000000"/>
            </w:tcBorders>
            <w:shd w:val="clear" w:color="auto" w:fill="auto"/>
            <w:noWrap/>
            <w:vAlign w:val="center"/>
          </w:tcPr>
          <w:p w14:paraId="6F06E162" w14:textId="77777777" w:rsidR="00F44114" w:rsidRPr="009C7D53" w:rsidRDefault="00F44114" w:rsidP="004B202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2007</w:t>
            </w:r>
          </w:p>
        </w:tc>
        <w:tc>
          <w:tcPr>
            <w:tcW w:w="1064" w:type="dxa"/>
            <w:tcBorders>
              <w:top w:val="single" w:sz="4" w:space="0" w:color="BFBFBF"/>
              <w:left w:val="nil"/>
              <w:bottom w:val="single" w:sz="4" w:space="0" w:color="A6A6A6" w:themeColor="background1" w:themeShade="A6"/>
              <w:right w:val="single" w:sz="4" w:space="0" w:color="A6A6A6" w:themeColor="background1" w:themeShade="A6"/>
            </w:tcBorders>
          </w:tcPr>
          <w:p w14:paraId="5E2FCB65" w14:textId="517C0BAB" w:rsidR="00F44114" w:rsidRPr="009C7D53" w:rsidRDefault="00F44114" w:rsidP="00F77388">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2014</w:t>
            </w:r>
          </w:p>
        </w:tc>
        <w:tc>
          <w:tcPr>
            <w:tcW w:w="1049" w:type="dxa"/>
            <w:tcBorders>
              <w:top w:val="single" w:sz="4" w:space="0" w:color="BFBFBF"/>
              <w:left w:val="single" w:sz="4" w:space="0" w:color="A6A6A6" w:themeColor="background1" w:themeShade="A6"/>
              <w:bottom w:val="single" w:sz="4" w:space="0" w:color="A6A6A6" w:themeColor="background1" w:themeShade="A6"/>
              <w:right w:val="double" w:sz="6" w:space="0" w:color="000000"/>
            </w:tcBorders>
          </w:tcPr>
          <w:p w14:paraId="2BF486AB" w14:textId="1ED892E3" w:rsidR="00F44114" w:rsidRPr="009C7D53" w:rsidRDefault="00F44114" w:rsidP="00F77388">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2007</w:t>
            </w:r>
          </w:p>
        </w:tc>
      </w:tr>
      <w:tr w:rsidR="00F44114" w:rsidRPr="009C7D53" w14:paraId="15A25FE5" w14:textId="5EDF0A23" w:rsidTr="009748AD">
        <w:trPr>
          <w:trHeight w:val="225"/>
          <w:tblHeader/>
          <w:jc w:val="center"/>
        </w:trPr>
        <w:tc>
          <w:tcPr>
            <w:tcW w:w="2874" w:type="dxa"/>
            <w:tcBorders>
              <w:top w:val="nil"/>
              <w:left w:val="double" w:sz="6" w:space="0" w:color="auto"/>
              <w:bottom w:val="single" w:sz="4" w:space="0" w:color="BFBFBF"/>
              <w:right w:val="nil"/>
            </w:tcBorders>
            <w:shd w:val="clear" w:color="auto" w:fill="auto"/>
            <w:noWrap/>
            <w:vAlign w:val="center"/>
          </w:tcPr>
          <w:p w14:paraId="2E679BCA"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7D06B39"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71AE578D"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4861A100"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auto"/>
            </w:tcBorders>
            <w:shd w:val="clear" w:color="auto" w:fill="auto"/>
            <w:noWrap/>
            <w:vAlign w:val="center"/>
          </w:tcPr>
          <w:p w14:paraId="646A62AD"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60587358"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617" w:type="dxa"/>
            <w:tcBorders>
              <w:top w:val="nil"/>
              <w:left w:val="nil"/>
              <w:bottom w:val="single" w:sz="4" w:space="0" w:color="BFBFBF"/>
              <w:right w:val="nil"/>
            </w:tcBorders>
            <w:shd w:val="clear" w:color="auto" w:fill="auto"/>
            <w:noWrap/>
            <w:vAlign w:val="center"/>
          </w:tcPr>
          <w:p w14:paraId="3C4DD168"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106765D7"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880" w:type="dxa"/>
            <w:tcBorders>
              <w:top w:val="nil"/>
              <w:left w:val="nil"/>
              <w:bottom w:val="single" w:sz="4" w:space="0" w:color="BFBFBF"/>
              <w:right w:val="single" w:sz="4" w:space="0" w:color="BFBFBF"/>
            </w:tcBorders>
            <w:shd w:val="clear" w:color="auto" w:fill="auto"/>
            <w:noWrap/>
            <w:vAlign w:val="center"/>
          </w:tcPr>
          <w:p w14:paraId="69BAA186"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1119" w:type="dxa"/>
            <w:tcBorders>
              <w:top w:val="nil"/>
              <w:left w:val="nil"/>
              <w:bottom w:val="single" w:sz="4" w:space="0" w:color="BFBFBF"/>
              <w:right w:val="single" w:sz="4" w:space="0" w:color="BFBFBF"/>
            </w:tcBorders>
            <w:shd w:val="clear" w:color="auto" w:fill="auto"/>
            <w:noWrap/>
            <w:vAlign w:val="center"/>
          </w:tcPr>
          <w:p w14:paraId="37D38944"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721" w:type="dxa"/>
            <w:tcBorders>
              <w:top w:val="nil"/>
              <w:left w:val="nil"/>
              <w:bottom w:val="single" w:sz="4" w:space="0" w:color="BFBFBF"/>
              <w:right w:val="double" w:sz="6" w:space="0" w:color="auto"/>
            </w:tcBorders>
            <w:shd w:val="clear" w:color="auto" w:fill="auto"/>
            <w:noWrap/>
            <w:vAlign w:val="center"/>
          </w:tcPr>
          <w:p w14:paraId="4945CBA5"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0F315B8" w14:textId="7587DA4A" w:rsidR="00F44114" w:rsidRPr="009C7D53" w:rsidRDefault="00F44114" w:rsidP="00F77388">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tcPr>
          <w:p w14:paraId="2D94CD83" w14:textId="77CE4230" w:rsidR="00F44114" w:rsidRPr="009C7D53" w:rsidRDefault="00F44114" w:rsidP="00F77388">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w:t>
            </w:r>
          </w:p>
        </w:tc>
      </w:tr>
      <w:tr w:rsidR="00F44114" w:rsidRPr="009C7D53" w14:paraId="0298AD31" w14:textId="409CEA8A" w:rsidTr="009748AD">
        <w:trPr>
          <w:trHeight w:val="225"/>
          <w:tblHeader/>
          <w:jc w:val="center"/>
        </w:trPr>
        <w:tc>
          <w:tcPr>
            <w:tcW w:w="2874" w:type="dxa"/>
            <w:tcBorders>
              <w:top w:val="nil"/>
              <w:left w:val="double" w:sz="6" w:space="0" w:color="auto"/>
              <w:bottom w:val="single" w:sz="4" w:space="0" w:color="BFBFBF"/>
              <w:right w:val="nil"/>
            </w:tcBorders>
            <w:shd w:val="clear" w:color="auto" w:fill="auto"/>
            <w:noWrap/>
            <w:vAlign w:val="center"/>
          </w:tcPr>
          <w:p w14:paraId="11459DB3" w14:textId="77777777" w:rsidR="00F44114" w:rsidRPr="009C7D53" w:rsidRDefault="00F44114"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Sub-groups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6BF96C6" w14:textId="77777777" w:rsidR="00F44114" w:rsidRPr="009C7D53" w:rsidRDefault="00F44114"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n=1,535</w:t>
            </w:r>
          </w:p>
        </w:tc>
        <w:tc>
          <w:tcPr>
            <w:tcW w:w="734" w:type="dxa"/>
            <w:tcBorders>
              <w:top w:val="nil"/>
              <w:left w:val="nil"/>
              <w:bottom w:val="single" w:sz="4" w:space="0" w:color="BFBFBF"/>
              <w:right w:val="single" w:sz="4" w:space="0" w:color="BFBFBF"/>
            </w:tcBorders>
            <w:shd w:val="clear" w:color="auto" w:fill="auto"/>
            <w:noWrap/>
            <w:vAlign w:val="center"/>
          </w:tcPr>
          <w:p w14:paraId="6F07ECFD" w14:textId="77777777" w:rsidR="00F44114" w:rsidRPr="009C7D53" w:rsidRDefault="00F44114"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n=1,534</w:t>
            </w:r>
          </w:p>
        </w:tc>
        <w:tc>
          <w:tcPr>
            <w:tcW w:w="734" w:type="dxa"/>
            <w:tcBorders>
              <w:top w:val="nil"/>
              <w:left w:val="nil"/>
              <w:bottom w:val="single" w:sz="4" w:space="0" w:color="BFBFBF"/>
              <w:right w:val="single" w:sz="4" w:space="0" w:color="BFBFBF"/>
            </w:tcBorders>
            <w:shd w:val="clear" w:color="auto" w:fill="auto"/>
            <w:noWrap/>
            <w:vAlign w:val="center"/>
          </w:tcPr>
          <w:p w14:paraId="1E1B958E" w14:textId="77777777" w:rsidR="00F44114" w:rsidRPr="009C7D53" w:rsidRDefault="00F44114"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n=1,735</w:t>
            </w:r>
          </w:p>
        </w:tc>
        <w:tc>
          <w:tcPr>
            <w:tcW w:w="734" w:type="dxa"/>
            <w:tcBorders>
              <w:top w:val="nil"/>
              <w:left w:val="nil"/>
              <w:bottom w:val="single" w:sz="4" w:space="0" w:color="BFBFBF"/>
              <w:right w:val="single" w:sz="4" w:space="0" w:color="auto"/>
            </w:tcBorders>
            <w:shd w:val="clear" w:color="auto" w:fill="auto"/>
            <w:noWrap/>
            <w:vAlign w:val="center"/>
          </w:tcPr>
          <w:p w14:paraId="234534F1" w14:textId="77777777" w:rsidR="00F44114" w:rsidRPr="009C7D53" w:rsidRDefault="00F44114"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n=1,731</w:t>
            </w:r>
          </w:p>
        </w:tc>
        <w:tc>
          <w:tcPr>
            <w:tcW w:w="734" w:type="dxa"/>
            <w:tcBorders>
              <w:top w:val="nil"/>
              <w:left w:val="nil"/>
              <w:bottom w:val="single" w:sz="4" w:space="0" w:color="BFBFBF"/>
              <w:right w:val="single" w:sz="4" w:space="0" w:color="BFBFBF"/>
            </w:tcBorders>
            <w:shd w:val="clear" w:color="auto" w:fill="auto"/>
            <w:noWrap/>
            <w:vAlign w:val="center"/>
          </w:tcPr>
          <w:p w14:paraId="310CB88D" w14:textId="77777777" w:rsidR="00F44114" w:rsidRPr="009C7D53" w:rsidRDefault="00F44114"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n=1,535</w:t>
            </w:r>
          </w:p>
        </w:tc>
        <w:tc>
          <w:tcPr>
            <w:tcW w:w="617" w:type="dxa"/>
            <w:tcBorders>
              <w:top w:val="nil"/>
              <w:left w:val="nil"/>
              <w:bottom w:val="single" w:sz="4" w:space="0" w:color="BFBFBF"/>
              <w:right w:val="nil"/>
            </w:tcBorders>
            <w:shd w:val="clear" w:color="auto" w:fill="auto"/>
            <w:noWrap/>
            <w:vAlign w:val="center"/>
          </w:tcPr>
          <w:p w14:paraId="5010B923" w14:textId="77777777" w:rsidR="00F44114" w:rsidRPr="009C7D53" w:rsidRDefault="00F44114"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n=329</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2C9B4B3C" w14:textId="77777777" w:rsidR="00F44114" w:rsidRPr="009C7D53" w:rsidRDefault="00F44114"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n=1,535</w:t>
            </w:r>
          </w:p>
        </w:tc>
        <w:tc>
          <w:tcPr>
            <w:tcW w:w="880" w:type="dxa"/>
            <w:tcBorders>
              <w:top w:val="nil"/>
              <w:left w:val="nil"/>
              <w:bottom w:val="single" w:sz="4" w:space="0" w:color="BFBFBF"/>
              <w:right w:val="single" w:sz="4" w:space="0" w:color="BFBFBF"/>
            </w:tcBorders>
            <w:shd w:val="clear" w:color="auto" w:fill="auto"/>
            <w:noWrap/>
            <w:vAlign w:val="center"/>
          </w:tcPr>
          <w:p w14:paraId="5CA1F644" w14:textId="77777777" w:rsidR="00F44114" w:rsidRPr="009C7D53" w:rsidRDefault="00F44114"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n=224</w:t>
            </w:r>
          </w:p>
        </w:tc>
        <w:tc>
          <w:tcPr>
            <w:tcW w:w="1119" w:type="dxa"/>
            <w:tcBorders>
              <w:top w:val="nil"/>
              <w:left w:val="nil"/>
              <w:bottom w:val="single" w:sz="4" w:space="0" w:color="BFBFBF"/>
              <w:right w:val="single" w:sz="4" w:space="0" w:color="BFBFBF"/>
            </w:tcBorders>
            <w:shd w:val="clear" w:color="auto" w:fill="auto"/>
            <w:noWrap/>
            <w:vAlign w:val="center"/>
          </w:tcPr>
          <w:p w14:paraId="4C7174C1" w14:textId="77777777" w:rsidR="00F44114" w:rsidRPr="009C7D53" w:rsidRDefault="00F44114"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n=1,735</w:t>
            </w:r>
          </w:p>
        </w:tc>
        <w:tc>
          <w:tcPr>
            <w:tcW w:w="721" w:type="dxa"/>
            <w:tcBorders>
              <w:top w:val="nil"/>
              <w:left w:val="nil"/>
              <w:bottom w:val="single" w:sz="4" w:space="0" w:color="BFBFBF"/>
              <w:right w:val="double" w:sz="6" w:space="0" w:color="auto"/>
            </w:tcBorders>
            <w:shd w:val="clear" w:color="auto" w:fill="auto"/>
            <w:noWrap/>
            <w:vAlign w:val="center"/>
          </w:tcPr>
          <w:p w14:paraId="3798F917" w14:textId="77777777" w:rsidR="00F44114" w:rsidRPr="009C7D53" w:rsidRDefault="00F44114"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n=54</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A0C9ACF" w14:textId="3FBEB322" w:rsidR="00F44114" w:rsidRPr="009C7D53" w:rsidRDefault="00F44114" w:rsidP="00F77388">
            <w:pPr>
              <w:spacing w:before="0" w:after="0"/>
              <w:jc w:val="center"/>
              <w:rPr>
                <w:rFonts w:ascii="Arial" w:hAnsi="Arial" w:cs="Arial"/>
                <w:b/>
                <w:bCs/>
                <w:color w:val="000000"/>
                <w:sz w:val="14"/>
                <w:szCs w:val="14"/>
                <w:lang w:val="en-AU" w:eastAsia="en-AU"/>
              </w:rPr>
            </w:pPr>
            <w:r>
              <w:rPr>
                <w:rFonts w:ascii="Arial" w:hAnsi="Arial" w:cs="Arial"/>
                <w:b/>
                <w:bCs/>
                <w:color w:val="000000"/>
                <w:sz w:val="16"/>
                <w:szCs w:val="16"/>
              </w:rPr>
              <w:t>n=1,535</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EDE82B4" w14:textId="11EAFB71" w:rsidR="00F44114" w:rsidRPr="009C7D53" w:rsidRDefault="00F44114" w:rsidP="00F77388">
            <w:pPr>
              <w:spacing w:before="0" w:after="0"/>
              <w:jc w:val="center"/>
              <w:rPr>
                <w:rFonts w:ascii="Arial" w:hAnsi="Arial" w:cs="Arial"/>
                <w:b/>
                <w:bCs/>
                <w:color w:val="000000"/>
                <w:sz w:val="14"/>
                <w:szCs w:val="14"/>
                <w:lang w:val="en-AU" w:eastAsia="en-AU"/>
              </w:rPr>
            </w:pPr>
            <w:r>
              <w:rPr>
                <w:rFonts w:ascii="Arial" w:hAnsi="Arial" w:cs="Arial"/>
                <w:b/>
                <w:bCs/>
                <w:color w:val="000000"/>
                <w:sz w:val="16"/>
                <w:szCs w:val="16"/>
              </w:rPr>
              <w:t>n=1,735</w:t>
            </w:r>
          </w:p>
        </w:tc>
      </w:tr>
      <w:tr w:rsidR="00F44114" w:rsidRPr="009C7D53" w14:paraId="37B92FB9" w14:textId="194913AD"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3638EF5E" w14:textId="77777777" w:rsidR="00F44114" w:rsidRPr="009C7D53" w:rsidRDefault="00F44114"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Region -</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4143B654" w14:textId="77777777" w:rsidR="00F44114" w:rsidRPr="009C7D53" w:rsidRDefault="00F44114" w:rsidP="00F77388">
            <w:pPr>
              <w:spacing w:before="0" w:after="0"/>
              <w:rPr>
                <w:rFonts w:ascii="Arial" w:hAnsi="Arial" w:cs="Arial"/>
                <w:color w:val="FF0000"/>
                <w:sz w:val="16"/>
                <w:szCs w:val="16"/>
                <w:lang w:val="en-AU" w:eastAsia="en-AU"/>
              </w:rPr>
            </w:pPr>
            <w:r w:rsidRPr="009C7D53">
              <w:rPr>
                <w:rFonts w:ascii="Arial" w:hAnsi="Arial" w:cs="Arial"/>
                <w:color w:val="FF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5DB68271" w14:textId="77777777" w:rsidR="00F44114" w:rsidRPr="009C7D53" w:rsidRDefault="00F44114"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DB6FF4B" w14:textId="77777777" w:rsidR="00F44114" w:rsidRPr="009C7D53" w:rsidRDefault="00F44114"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306CBCB5" w14:textId="77777777" w:rsidR="00F44114" w:rsidRPr="009C7D53" w:rsidRDefault="00F44114"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56904B23" w14:textId="77777777" w:rsidR="00F44114" w:rsidRPr="009C7D53" w:rsidRDefault="00F44114" w:rsidP="00F77388">
            <w:pPr>
              <w:spacing w:before="0" w:after="0"/>
              <w:rPr>
                <w:rFonts w:ascii="Arial" w:hAnsi="Arial" w:cs="Arial"/>
                <w:color w:val="FF0000"/>
                <w:sz w:val="16"/>
                <w:szCs w:val="16"/>
                <w:lang w:val="en-AU" w:eastAsia="en-AU"/>
              </w:rPr>
            </w:pPr>
            <w:r w:rsidRPr="009C7D53">
              <w:rPr>
                <w:rFonts w:ascii="Arial" w:hAnsi="Arial" w:cs="Arial"/>
                <w:color w:val="FF0000"/>
                <w:sz w:val="16"/>
                <w:szCs w:val="16"/>
                <w:lang w:val="en-AU" w:eastAsia="en-AU"/>
              </w:rPr>
              <w:t> </w:t>
            </w:r>
          </w:p>
        </w:tc>
        <w:tc>
          <w:tcPr>
            <w:tcW w:w="617" w:type="dxa"/>
            <w:tcBorders>
              <w:top w:val="nil"/>
              <w:left w:val="nil"/>
              <w:bottom w:val="single" w:sz="4" w:space="0" w:color="BFBFBF"/>
              <w:right w:val="nil"/>
            </w:tcBorders>
            <w:shd w:val="clear" w:color="auto" w:fill="auto"/>
            <w:noWrap/>
            <w:vAlign w:val="bottom"/>
          </w:tcPr>
          <w:p w14:paraId="789F6051" w14:textId="77777777" w:rsidR="00F44114" w:rsidRPr="009C7D53" w:rsidRDefault="00F44114"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120" w:type="dxa"/>
            <w:tcBorders>
              <w:top w:val="nil"/>
              <w:left w:val="single" w:sz="4" w:space="0" w:color="auto"/>
              <w:bottom w:val="single" w:sz="4" w:space="0" w:color="BFBFBF"/>
              <w:right w:val="single" w:sz="4" w:space="0" w:color="BFBFBF"/>
            </w:tcBorders>
            <w:shd w:val="clear" w:color="auto" w:fill="auto"/>
            <w:noWrap/>
            <w:vAlign w:val="bottom"/>
          </w:tcPr>
          <w:p w14:paraId="153F0521" w14:textId="77777777" w:rsidR="00F44114" w:rsidRPr="009C7D53" w:rsidRDefault="00F44114"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80" w:type="dxa"/>
            <w:tcBorders>
              <w:top w:val="nil"/>
              <w:left w:val="nil"/>
              <w:bottom w:val="single" w:sz="4" w:space="0" w:color="BFBFBF"/>
              <w:right w:val="single" w:sz="4" w:space="0" w:color="BFBFBF"/>
            </w:tcBorders>
            <w:shd w:val="clear" w:color="auto" w:fill="auto"/>
            <w:noWrap/>
            <w:vAlign w:val="bottom"/>
          </w:tcPr>
          <w:p w14:paraId="2DB486A6" w14:textId="77777777" w:rsidR="00F44114" w:rsidRPr="009C7D53" w:rsidRDefault="00F44114"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119" w:type="dxa"/>
            <w:tcBorders>
              <w:top w:val="nil"/>
              <w:left w:val="nil"/>
              <w:bottom w:val="single" w:sz="4" w:space="0" w:color="BFBFBF"/>
              <w:right w:val="single" w:sz="4" w:space="0" w:color="BFBFBF"/>
            </w:tcBorders>
            <w:shd w:val="clear" w:color="auto" w:fill="auto"/>
            <w:noWrap/>
            <w:vAlign w:val="center"/>
          </w:tcPr>
          <w:p w14:paraId="019E68F9" w14:textId="77777777" w:rsidR="00F44114" w:rsidRPr="009C7D53" w:rsidRDefault="00F44114"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21" w:type="dxa"/>
            <w:tcBorders>
              <w:top w:val="nil"/>
              <w:left w:val="nil"/>
              <w:bottom w:val="single" w:sz="4" w:space="0" w:color="BFBFBF"/>
              <w:right w:val="double" w:sz="6" w:space="0" w:color="auto"/>
            </w:tcBorders>
            <w:shd w:val="clear" w:color="auto" w:fill="auto"/>
            <w:noWrap/>
            <w:vAlign w:val="center"/>
          </w:tcPr>
          <w:p w14:paraId="352DC3B1" w14:textId="77777777" w:rsidR="00F44114" w:rsidRPr="009C7D53" w:rsidRDefault="00F44114"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FC716D2" w14:textId="2574D33F" w:rsidR="00F44114" w:rsidRPr="009C7D53" w:rsidRDefault="00F44114" w:rsidP="00F77388">
            <w:pPr>
              <w:spacing w:before="0" w:after="0"/>
              <w:rPr>
                <w:rFonts w:ascii="Arial" w:hAnsi="Arial" w:cs="Arial"/>
                <w:color w:val="000000"/>
                <w:sz w:val="16"/>
                <w:szCs w:val="16"/>
                <w:lang w:val="en-AU" w:eastAsia="en-AU"/>
              </w:rPr>
            </w:pP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238496FC" w14:textId="0DD8E12C" w:rsidR="00F44114" w:rsidRPr="009C7D53" w:rsidRDefault="00F44114" w:rsidP="00F77388">
            <w:pPr>
              <w:spacing w:before="0" w:after="0"/>
              <w:rPr>
                <w:rFonts w:ascii="Arial" w:hAnsi="Arial" w:cs="Arial"/>
                <w:color w:val="000000"/>
                <w:sz w:val="16"/>
                <w:szCs w:val="16"/>
                <w:lang w:val="en-AU" w:eastAsia="en-AU"/>
              </w:rPr>
            </w:pPr>
          </w:p>
        </w:tc>
      </w:tr>
      <w:tr w:rsidR="00F44114" w:rsidRPr="009C7D53" w14:paraId="2ECC8210" w14:textId="30A111CC" w:rsidTr="009748AD">
        <w:trPr>
          <w:trHeight w:val="227"/>
          <w:jc w:val="center"/>
        </w:trPr>
        <w:tc>
          <w:tcPr>
            <w:tcW w:w="2874" w:type="dxa"/>
            <w:tcBorders>
              <w:top w:val="nil"/>
              <w:left w:val="double" w:sz="6" w:space="0" w:color="auto"/>
              <w:bottom w:val="single" w:sz="4" w:space="0" w:color="BFBFBF"/>
              <w:right w:val="nil"/>
            </w:tcBorders>
            <w:shd w:val="clear" w:color="auto" w:fill="auto"/>
            <w:noWrap/>
            <w:vAlign w:val="center"/>
          </w:tcPr>
          <w:p w14:paraId="5668AA0E"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850B52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1B42596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215</w:t>
            </w:r>
          </w:p>
        </w:tc>
        <w:tc>
          <w:tcPr>
            <w:tcW w:w="734" w:type="dxa"/>
            <w:tcBorders>
              <w:top w:val="nil"/>
              <w:left w:val="nil"/>
              <w:bottom w:val="single" w:sz="4" w:space="0" w:color="BFBFBF"/>
              <w:right w:val="single" w:sz="4" w:space="0" w:color="BFBFBF"/>
            </w:tcBorders>
            <w:shd w:val="clear" w:color="auto" w:fill="auto"/>
            <w:noWrap/>
            <w:vAlign w:val="center"/>
          </w:tcPr>
          <w:p w14:paraId="5B6BD1A0"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5255DCD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114</w:t>
            </w:r>
          </w:p>
        </w:tc>
        <w:tc>
          <w:tcPr>
            <w:tcW w:w="734" w:type="dxa"/>
            <w:tcBorders>
              <w:top w:val="nil"/>
              <w:left w:val="nil"/>
              <w:bottom w:val="single" w:sz="4" w:space="0" w:color="BFBFBF"/>
              <w:right w:val="single" w:sz="4" w:space="0" w:color="BFBFBF"/>
            </w:tcBorders>
            <w:shd w:val="clear" w:color="auto" w:fill="auto"/>
            <w:noWrap/>
            <w:vAlign w:val="center"/>
          </w:tcPr>
          <w:p w14:paraId="4305E54B"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w:t>
            </w:r>
          </w:p>
        </w:tc>
        <w:tc>
          <w:tcPr>
            <w:tcW w:w="617" w:type="dxa"/>
            <w:tcBorders>
              <w:top w:val="nil"/>
              <w:left w:val="nil"/>
              <w:bottom w:val="single" w:sz="4" w:space="0" w:color="BFBFBF"/>
              <w:right w:val="nil"/>
            </w:tcBorders>
            <w:shd w:val="clear" w:color="auto" w:fill="auto"/>
            <w:noWrap/>
            <w:vAlign w:val="center"/>
          </w:tcPr>
          <w:p w14:paraId="543A492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5B1483D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880" w:type="dxa"/>
            <w:tcBorders>
              <w:top w:val="nil"/>
              <w:left w:val="nil"/>
              <w:bottom w:val="single" w:sz="4" w:space="0" w:color="BFBFBF"/>
              <w:right w:val="single" w:sz="4" w:space="0" w:color="BFBFBF"/>
            </w:tcBorders>
            <w:shd w:val="clear" w:color="auto" w:fill="auto"/>
            <w:noWrap/>
            <w:vAlign w:val="center"/>
          </w:tcPr>
          <w:p w14:paraId="3D132E9E" w14:textId="77777777" w:rsidR="00F44114" w:rsidRPr="009C7D53" w:rsidRDefault="00F44114">
            <w:pPr>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32</w:t>
            </w:r>
          </w:p>
        </w:tc>
        <w:tc>
          <w:tcPr>
            <w:tcW w:w="1119" w:type="dxa"/>
            <w:tcBorders>
              <w:top w:val="nil"/>
              <w:left w:val="nil"/>
              <w:bottom w:val="single" w:sz="4" w:space="0" w:color="BFBFBF"/>
              <w:right w:val="single" w:sz="4" w:space="0" w:color="BFBFBF"/>
            </w:tcBorders>
            <w:shd w:val="clear" w:color="auto" w:fill="auto"/>
            <w:noWrap/>
            <w:vAlign w:val="center"/>
          </w:tcPr>
          <w:p w14:paraId="23F036DF"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w:t>
            </w:r>
          </w:p>
        </w:tc>
        <w:tc>
          <w:tcPr>
            <w:tcW w:w="721" w:type="dxa"/>
            <w:tcBorders>
              <w:top w:val="nil"/>
              <w:left w:val="nil"/>
              <w:bottom w:val="single" w:sz="4" w:space="0" w:color="BFBFBF"/>
              <w:right w:val="double" w:sz="6" w:space="0" w:color="auto"/>
            </w:tcBorders>
            <w:shd w:val="clear" w:color="auto" w:fill="auto"/>
            <w:noWrap/>
            <w:vAlign w:val="center"/>
          </w:tcPr>
          <w:p w14:paraId="5175C9D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681382F" w14:textId="1913D87D"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1,007</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2E348731" w14:textId="68E893A4"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680</w:t>
            </w:r>
          </w:p>
        </w:tc>
      </w:tr>
      <w:tr w:rsidR="00F44114" w:rsidRPr="009C7D53" w14:paraId="6478C2F8" w14:textId="3033329A"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76A6748E"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Country VIC</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AD2562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223F3B9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213</w:t>
            </w:r>
          </w:p>
        </w:tc>
        <w:tc>
          <w:tcPr>
            <w:tcW w:w="734" w:type="dxa"/>
            <w:tcBorders>
              <w:top w:val="nil"/>
              <w:left w:val="nil"/>
              <w:bottom w:val="single" w:sz="4" w:space="0" w:color="BFBFBF"/>
              <w:right w:val="single" w:sz="4" w:space="0" w:color="BFBFBF"/>
            </w:tcBorders>
            <w:shd w:val="clear" w:color="auto" w:fill="auto"/>
            <w:noWrap/>
            <w:vAlign w:val="center"/>
          </w:tcPr>
          <w:p w14:paraId="6EDD85E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auto"/>
            </w:tcBorders>
            <w:shd w:val="clear" w:color="auto" w:fill="auto"/>
            <w:noWrap/>
            <w:vAlign w:val="center"/>
          </w:tcPr>
          <w:p w14:paraId="43664F99"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117</w:t>
            </w:r>
          </w:p>
        </w:tc>
        <w:tc>
          <w:tcPr>
            <w:tcW w:w="734" w:type="dxa"/>
            <w:tcBorders>
              <w:top w:val="nil"/>
              <w:left w:val="nil"/>
              <w:bottom w:val="single" w:sz="4" w:space="0" w:color="BFBFBF"/>
              <w:right w:val="single" w:sz="4" w:space="0" w:color="BFBFBF"/>
            </w:tcBorders>
            <w:shd w:val="clear" w:color="auto" w:fill="auto"/>
            <w:noWrap/>
            <w:vAlign w:val="center"/>
          </w:tcPr>
          <w:p w14:paraId="47087D6B"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25%</w:t>
            </w:r>
          </w:p>
        </w:tc>
        <w:tc>
          <w:tcPr>
            <w:tcW w:w="617" w:type="dxa"/>
            <w:tcBorders>
              <w:top w:val="nil"/>
              <w:left w:val="nil"/>
              <w:bottom w:val="single" w:sz="4" w:space="0" w:color="BFBFBF"/>
              <w:right w:val="nil"/>
            </w:tcBorders>
            <w:shd w:val="clear" w:color="auto" w:fill="auto"/>
            <w:noWrap/>
            <w:vAlign w:val="center"/>
          </w:tcPr>
          <w:p w14:paraId="2BC04DB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25</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0B72F34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w:t>
            </w:r>
          </w:p>
        </w:tc>
        <w:tc>
          <w:tcPr>
            <w:tcW w:w="880" w:type="dxa"/>
            <w:tcBorders>
              <w:top w:val="nil"/>
              <w:left w:val="nil"/>
              <w:bottom w:val="single" w:sz="4" w:space="0" w:color="BFBFBF"/>
              <w:right w:val="single" w:sz="4" w:space="0" w:color="BFBFBF"/>
            </w:tcBorders>
            <w:shd w:val="clear" w:color="auto" w:fill="auto"/>
            <w:noWrap/>
            <w:vAlign w:val="center"/>
          </w:tcPr>
          <w:p w14:paraId="53EC87D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56</w:t>
            </w:r>
          </w:p>
        </w:tc>
        <w:tc>
          <w:tcPr>
            <w:tcW w:w="1119" w:type="dxa"/>
            <w:tcBorders>
              <w:top w:val="nil"/>
              <w:left w:val="nil"/>
              <w:bottom w:val="single" w:sz="4" w:space="0" w:color="BFBFBF"/>
              <w:right w:val="single" w:sz="4" w:space="0" w:color="BFBFBF"/>
            </w:tcBorders>
            <w:shd w:val="clear" w:color="auto" w:fill="auto"/>
            <w:noWrap/>
            <w:vAlign w:val="center"/>
          </w:tcPr>
          <w:p w14:paraId="34235BA1"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w:t>
            </w:r>
          </w:p>
        </w:tc>
        <w:tc>
          <w:tcPr>
            <w:tcW w:w="721" w:type="dxa"/>
            <w:tcBorders>
              <w:top w:val="nil"/>
              <w:left w:val="nil"/>
              <w:bottom w:val="single" w:sz="4" w:space="0" w:color="BFBFBF"/>
              <w:right w:val="double" w:sz="6" w:space="0" w:color="auto"/>
            </w:tcBorders>
            <w:shd w:val="clear" w:color="auto" w:fill="auto"/>
            <w:noWrap/>
            <w:vAlign w:val="center"/>
          </w:tcPr>
          <w:p w14:paraId="4B7F0F3F"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53</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35B9D4D" w14:textId="3D74E474"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938</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37290295" w14:textId="486D02DE"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662</w:t>
            </w:r>
          </w:p>
        </w:tc>
      </w:tr>
      <w:tr w:rsidR="00F44114" w:rsidRPr="009C7D53" w14:paraId="3C6FB66F" w14:textId="3B54D04B"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07DC9131" w14:textId="77777777" w:rsidR="00F44114" w:rsidRPr="009C7D53" w:rsidRDefault="00F44114"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DHHS Area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3BACA43"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FEE2E6E"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F77ED62"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06DA7DA8"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7133A3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nil"/>
            </w:tcBorders>
            <w:shd w:val="clear" w:color="auto" w:fill="auto"/>
            <w:noWrap/>
            <w:vAlign w:val="center"/>
          </w:tcPr>
          <w:p w14:paraId="07AD6C49"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231FDC40"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80" w:type="dxa"/>
            <w:tcBorders>
              <w:top w:val="nil"/>
              <w:left w:val="nil"/>
              <w:bottom w:val="single" w:sz="4" w:space="0" w:color="BFBFBF"/>
              <w:right w:val="single" w:sz="4" w:space="0" w:color="BFBFBF"/>
            </w:tcBorders>
            <w:shd w:val="clear" w:color="auto" w:fill="auto"/>
            <w:noWrap/>
            <w:vAlign w:val="center"/>
          </w:tcPr>
          <w:p w14:paraId="185151C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119" w:type="dxa"/>
            <w:tcBorders>
              <w:top w:val="nil"/>
              <w:left w:val="nil"/>
              <w:bottom w:val="single" w:sz="4" w:space="0" w:color="BFBFBF"/>
              <w:right w:val="single" w:sz="4" w:space="0" w:color="BFBFBF"/>
            </w:tcBorders>
            <w:shd w:val="clear" w:color="auto" w:fill="auto"/>
            <w:noWrap/>
            <w:vAlign w:val="center"/>
          </w:tcPr>
          <w:p w14:paraId="02BB008F"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21" w:type="dxa"/>
            <w:tcBorders>
              <w:top w:val="nil"/>
              <w:left w:val="nil"/>
              <w:bottom w:val="single" w:sz="4" w:space="0" w:color="BFBFBF"/>
              <w:right w:val="double" w:sz="6" w:space="0" w:color="auto"/>
            </w:tcBorders>
            <w:shd w:val="clear" w:color="auto" w:fill="auto"/>
            <w:noWrap/>
            <w:vAlign w:val="center"/>
          </w:tcPr>
          <w:p w14:paraId="5B112971"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6050D9D" w14:textId="77777777" w:rsidR="00F44114" w:rsidRPr="009C7D53" w:rsidRDefault="00F44114" w:rsidP="00F77388">
            <w:pPr>
              <w:spacing w:before="0" w:after="0"/>
              <w:jc w:val="center"/>
              <w:rPr>
                <w:rFonts w:ascii="Arial" w:hAnsi="Arial" w:cs="Arial"/>
                <w:color w:val="000000"/>
                <w:sz w:val="16"/>
                <w:szCs w:val="16"/>
                <w:lang w:val="en-AU" w:eastAsia="en-AU"/>
              </w:rPr>
            </w:pP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tcPr>
          <w:p w14:paraId="3FC78FA2" w14:textId="77777777" w:rsidR="00F44114" w:rsidRPr="009C7D53" w:rsidRDefault="00F44114" w:rsidP="00F77388">
            <w:pPr>
              <w:spacing w:before="0" w:after="0"/>
              <w:jc w:val="center"/>
              <w:rPr>
                <w:rFonts w:ascii="Arial" w:hAnsi="Arial" w:cs="Arial"/>
                <w:color w:val="000000"/>
                <w:sz w:val="16"/>
                <w:szCs w:val="16"/>
                <w:lang w:val="en-AU" w:eastAsia="en-AU"/>
              </w:rPr>
            </w:pPr>
          </w:p>
        </w:tc>
      </w:tr>
      <w:tr w:rsidR="00F44114" w:rsidRPr="009C7D53" w14:paraId="4F0DB005" w14:textId="65DE1124"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24B69DC3"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Hume Moreland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CCF08B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7D8E7499"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204</w:t>
            </w:r>
          </w:p>
        </w:tc>
        <w:tc>
          <w:tcPr>
            <w:tcW w:w="734" w:type="dxa"/>
            <w:tcBorders>
              <w:top w:val="nil"/>
              <w:left w:val="nil"/>
              <w:bottom w:val="single" w:sz="4" w:space="0" w:color="BFBFBF"/>
              <w:right w:val="single" w:sz="4" w:space="0" w:color="BFBFBF"/>
            </w:tcBorders>
            <w:shd w:val="clear" w:color="auto" w:fill="auto"/>
            <w:noWrap/>
            <w:vAlign w:val="center"/>
          </w:tcPr>
          <w:p w14:paraId="5D1C1827"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9D772B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958116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w:t>
            </w:r>
          </w:p>
        </w:tc>
        <w:tc>
          <w:tcPr>
            <w:tcW w:w="617" w:type="dxa"/>
            <w:tcBorders>
              <w:top w:val="nil"/>
              <w:left w:val="nil"/>
              <w:bottom w:val="single" w:sz="4" w:space="0" w:color="BFBFBF"/>
              <w:right w:val="nil"/>
            </w:tcBorders>
            <w:shd w:val="clear" w:color="auto" w:fill="auto"/>
            <w:noWrap/>
            <w:vAlign w:val="center"/>
          </w:tcPr>
          <w:p w14:paraId="42A03DC3"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186E353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c>
          <w:tcPr>
            <w:tcW w:w="880" w:type="dxa"/>
            <w:tcBorders>
              <w:top w:val="nil"/>
              <w:left w:val="nil"/>
              <w:bottom w:val="single" w:sz="4" w:space="0" w:color="BFBFBF"/>
              <w:right w:val="single" w:sz="4" w:space="0" w:color="BFBFBF"/>
            </w:tcBorders>
            <w:shd w:val="clear" w:color="auto" w:fill="auto"/>
            <w:noWrap/>
            <w:vAlign w:val="center"/>
          </w:tcPr>
          <w:p w14:paraId="56FD1F0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31</w:t>
            </w:r>
          </w:p>
        </w:tc>
        <w:tc>
          <w:tcPr>
            <w:tcW w:w="1119" w:type="dxa"/>
            <w:tcBorders>
              <w:top w:val="nil"/>
              <w:left w:val="nil"/>
              <w:bottom w:val="single" w:sz="4" w:space="0" w:color="BFBFBF"/>
              <w:right w:val="single" w:sz="4" w:space="0" w:color="BFBFBF"/>
            </w:tcBorders>
            <w:shd w:val="clear" w:color="auto" w:fill="auto"/>
            <w:noWrap/>
            <w:vAlign w:val="center"/>
          </w:tcPr>
          <w:p w14:paraId="479B4BE5"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2BBB6490"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24CF98C" w14:textId="64740C45"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1,007</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1344835F" w14:textId="1A1C4386"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615CEA36" w14:textId="46709F90"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5B268323"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North Eastern 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F81AEF4"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D21AD4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217</w:t>
            </w:r>
          </w:p>
        </w:tc>
        <w:tc>
          <w:tcPr>
            <w:tcW w:w="734" w:type="dxa"/>
            <w:tcBorders>
              <w:top w:val="nil"/>
              <w:left w:val="nil"/>
              <w:bottom w:val="single" w:sz="4" w:space="0" w:color="BFBFBF"/>
              <w:right w:val="single" w:sz="4" w:space="0" w:color="BFBFBF"/>
            </w:tcBorders>
            <w:shd w:val="clear" w:color="auto" w:fill="auto"/>
            <w:noWrap/>
            <w:vAlign w:val="center"/>
          </w:tcPr>
          <w:p w14:paraId="7001EA6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489D77F"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71CDC9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36%</w:t>
            </w:r>
          </w:p>
        </w:tc>
        <w:tc>
          <w:tcPr>
            <w:tcW w:w="617" w:type="dxa"/>
            <w:tcBorders>
              <w:top w:val="nil"/>
              <w:left w:val="nil"/>
              <w:bottom w:val="single" w:sz="4" w:space="0" w:color="BFBFBF"/>
              <w:right w:val="nil"/>
            </w:tcBorders>
            <w:shd w:val="clear" w:color="auto" w:fill="auto"/>
            <w:noWrap/>
            <w:vAlign w:val="center"/>
          </w:tcPr>
          <w:p w14:paraId="79480C5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5C0F0E6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w:t>
            </w:r>
          </w:p>
        </w:tc>
        <w:tc>
          <w:tcPr>
            <w:tcW w:w="880" w:type="dxa"/>
            <w:tcBorders>
              <w:top w:val="nil"/>
              <w:left w:val="nil"/>
              <w:bottom w:val="single" w:sz="4" w:space="0" w:color="BFBFBF"/>
              <w:right w:val="single" w:sz="4" w:space="0" w:color="BFBFBF"/>
            </w:tcBorders>
            <w:shd w:val="clear" w:color="auto" w:fill="auto"/>
            <w:noWrap/>
            <w:vAlign w:val="center"/>
          </w:tcPr>
          <w:p w14:paraId="48A824F6"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70</w:t>
            </w:r>
          </w:p>
        </w:tc>
        <w:tc>
          <w:tcPr>
            <w:tcW w:w="1119" w:type="dxa"/>
            <w:tcBorders>
              <w:top w:val="nil"/>
              <w:left w:val="nil"/>
              <w:bottom w:val="single" w:sz="4" w:space="0" w:color="BFBFBF"/>
              <w:right w:val="single" w:sz="4" w:space="0" w:color="BFBFBF"/>
            </w:tcBorders>
            <w:shd w:val="clear" w:color="auto" w:fill="auto"/>
            <w:noWrap/>
            <w:vAlign w:val="center"/>
          </w:tcPr>
          <w:p w14:paraId="759EDD4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6A9B42C2"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E579875" w14:textId="53078C4E"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1,040</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69A63F29" w14:textId="2DC079CD"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2EC5EF04" w14:textId="29D1FEA8"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4491FC5F"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Outer </w:t>
            </w:r>
            <w:smartTag w:uri="urn:schemas-microsoft-com:office:smarttags" w:element="place">
              <w:r w:rsidRPr="009C7D53">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F8BB1C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1D304DB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221</w:t>
            </w:r>
          </w:p>
        </w:tc>
        <w:tc>
          <w:tcPr>
            <w:tcW w:w="734" w:type="dxa"/>
            <w:tcBorders>
              <w:top w:val="nil"/>
              <w:left w:val="nil"/>
              <w:bottom w:val="single" w:sz="4" w:space="0" w:color="BFBFBF"/>
              <w:right w:val="single" w:sz="4" w:space="0" w:color="BFBFBF"/>
            </w:tcBorders>
            <w:shd w:val="clear" w:color="auto" w:fill="auto"/>
            <w:noWrap/>
            <w:vAlign w:val="center"/>
          </w:tcPr>
          <w:p w14:paraId="6122AD0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A544122"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D535E30"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26%</w:t>
            </w:r>
          </w:p>
        </w:tc>
        <w:tc>
          <w:tcPr>
            <w:tcW w:w="617" w:type="dxa"/>
            <w:tcBorders>
              <w:top w:val="nil"/>
              <w:left w:val="nil"/>
              <w:bottom w:val="single" w:sz="4" w:space="0" w:color="BFBFBF"/>
              <w:right w:val="nil"/>
            </w:tcBorders>
            <w:shd w:val="clear" w:color="auto" w:fill="auto"/>
            <w:noWrap/>
            <w:vAlign w:val="center"/>
          </w:tcPr>
          <w:p w14:paraId="6251310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30</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5FD3A2D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w:t>
            </w:r>
          </w:p>
        </w:tc>
        <w:tc>
          <w:tcPr>
            <w:tcW w:w="880" w:type="dxa"/>
            <w:tcBorders>
              <w:top w:val="nil"/>
              <w:left w:val="nil"/>
              <w:bottom w:val="single" w:sz="4" w:space="0" w:color="BFBFBF"/>
              <w:right w:val="single" w:sz="4" w:space="0" w:color="BFBFBF"/>
            </w:tcBorders>
            <w:shd w:val="clear" w:color="auto" w:fill="auto"/>
            <w:noWrap/>
            <w:vAlign w:val="center"/>
          </w:tcPr>
          <w:p w14:paraId="551B6AF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75</w:t>
            </w:r>
          </w:p>
        </w:tc>
        <w:tc>
          <w:tcPr>
            <w:tcW w:w="1119" w:type="dxa"/>
            <w:tcBorders>
              <w:top w:val="nil"/>
              <w:left w:val="nil"/>
              <w:bottom w:val="single" w:sz="4" w:space="0" w:color="BFBFBF"/>
              <w:right w:val="single" w:sz="4" w:space="0" w:color="BFBFBF"/>
            </w:tcBorders>
            <w:shd w:val="clear" w:color="auto" w:fill="auto"/>
            <w:noWrap/>
            <w:vAlign w:val="center"/>
          </w:tcPr>
          <w:p w14:paraId="17E2B962"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6FEE948E"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006B89D" w14:textId="639E72FC"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1,083</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7823490C" w14:textId="3AFC1D0A"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547CF80F" w14:textId="7CB63F47"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7A6F47CA"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Inner </w:t>
            </w:r>
            <w:smartTag w:uri="urn:schemas-microsoft-com:office:smarttags" w:element="place">
              <w:r w:rsidRPr="009C7D53">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A21FA56"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248D62B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229</w:t>
            </w:r>
          </w:p>
        </w:tc>
        <w:tc>
          <w:tcPr>
            <w:tcW w:w="734" w:type="dxa"/>
            <w:tcBorders>
              <w:top w:val="nil"/>
              <w:left w:val="nil"/>
              <w:bottom w:val="single" w:sz="4" w:space="0" w:color="BFBFBF"/>
              <w:right w:val="single" w:sz="4" w:space="0" w:color="BFBFBF"/>
            </w:tcBorders>
            <w:shd w:val="clear" w:color="auto" w:fill="auto"/>
            <w:noWrap/>
            <w:vAlign w:val="center"/>
          </w:tcPr>
          <w:p w14:paraId="5F1136DC"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2728617"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E8EF6F8"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w:t>
            </w:r>
          </w:p>
        </w:tc>
        <w:tc>
          <w:tcPr>
            <w:tcW w:w="617" w:type="dxa"/>
            <w:tcBorders>
              <w:top w:val="nil"/>
              <w:left w:val="nil"/>
              <w:bottom w:val="single" w:sz="4" w:space="0" w:color="BFBFBF"/>
              <w:right w:val="nil"/>
            </w:tcBorders>
            <w:shd w:val="clear" w:color="auto" w:fill="auto"/>
            <w:noWrap/>
            <w:vAlign w:val="center"/>
          </w:tcPr>
          <w:p w14:paraId="7DA5876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32</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52481EE8"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880" w:type="dxa"/>
            <w:tcBorders>
              <w:top w:val="nil"/>
              <w:left w:val="nil"/>
              <w:bottom w:val="single" w:sz="4" w:space="0" w:color="BFBFBF"/>
              <w:right w:val="single" w:sz="4" w:space="0" w:color="BFBFBF"/>
            </w:tcBorders>
            <w:shd w:val="clear" w:color="auto" w:fill="auto"/>
            <w:noWrap/>
            <w:vAlign w:val="center"/>
          </w:tcPr>
          <w:p w14:paraId="33D695CE"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w:t>
            </w:r>
          </w:p>
        </w:tc>
        <w:tc>
          <w:tcPr>
            <w:tcW w:w="1119" w:type="dxa"/>
            <w:tcBorders>
              <w:top w:val="nil"/>
              <w:left w:val="nil"/>
              <w:bottom w:val="single" w:sz="4" w:space="0" w:color="BFBFBF"/>
              <w:right w:val="single" w:sz="4" w:space="0" w:color="BFBFBF"/>
            </w:tcBorders>
            <w:shd w:val="clear" w:color="auto" w:fill="auto"/>
            <w:noWrap/>
            <w:vAlign w:val="center"/>
          </w:tcPr>
          <w:p w14:paraId="4A3DCC6A"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3FD7CA69"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E1A79B2" w14:textId="50AE27E7"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1,133</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76A6729D" w14:textId="26B5D8CF"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29A9BBF9" w14:textId="6A87D98F"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59453017"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Southern 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E52B7A0"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65B43B9"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215</w:t>
            </w:r>
          </w:p>
        </w:tc>
        <w:tc>
          <w:tcPr>
            <w:tcW w:w="734" w:type="dxa"/>
            <w:tcBorders>
              <w:top w:val="nil"/>
              <w:left w:val="nil"/>
              <w:bottom w:val="single" w:sz="4" w:space="0" w:color="BFBFBF"/>
              <w:right w:val="single" w:sz="4" w:space="0" w:color="BFBFBF"/>
            </w:tcBorders>
            <w:shd w:val="clear" w:color="auto" w:fill="auto"/>
            <w:noWrap/>
            <w:vAlign w:val="center"/>
          </w:tcPr>
          <w:p w14:paraId="0641FECE"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CD8DC3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684C003"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w:t>
            </w:r>
          </w:p>
        </w:tc>
        <w:tc>
          <w:tcPr>
            <w:tcW w:w="617" w:type="dxa"/>
            <w:tcBorders>
              <w:top w:val="nil"/>
              <w:left w:val="nil"/>
              <w:bottom w:val="single" w:sz="4" w:space="0" w:color="BFBFBF"/>
              <w:right w:val="nil"/>
            </w:tcBorders>
            <w:shd w:val="clear" w:color="auto" w:fill="auto"/>
            <w:noWrap/>
            <w:vAlign w:val="center"/>
          </w:tcPr>
          <w:p w14:paraId="7DC6F5F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54D83FB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w:t>
            </w:r>
          </w:p>
        </w:tc>
        <w:tc>
          <w:tcPr>
            <w:tcW w:w="880" w:type="dxa"/>
            <w:tcBorders>
              <w:top w:val="nil"/>
              <w:left w:val="nil"/>
              <w:bottom w:val="single" w:sz="4" w:space="0" w:color="BFBFBF"/>
              <w:right w:val="single" w:sz="4" w:space="0" w:color="BFBFBF"/>
            </w:tcBorders>
            <w:shd w:val="clear" w:color="auto" w:fill="auto"/>
            <w:noWrap/>
            <w:vAlign w:val="center"/>
          </w:tcPr>
          <w:p w14:paraId="0710D734"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w:t>
            </w:r>
          </w:p>
        </w:tc>
        <w:tc>
          <w:tcPr>
            <w:tcW w:w="1119" w:type="dxa"/>
            <w:tcBorders>
              <w:top w:val="nil"/>
              <w:left w:val="nil"/>
              <w:bottom w:val="single" w:sz="4" w:space="0" w:color="BFBFBF"/>
              <w:right w:val="single" w:sz="4" w:space="0" w:color="BFBFBF"/>
            </w:tcBorders>
            <w:shd w:val="clear" w:color="auto" w:fill="auto"/>
            <w:noWrap/>
            <w:vAlign w:val="center"/>
          </w:tcPr>
          <w:p w14:paraId="2C1C8E3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5E883017"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E1017EB" w14:textId="294B4B5A"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951</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78B22BC5" w14:textId="4896807B"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7AE9AEED" w14:textId="66462930"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6F9CFC39"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Bayside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484FC7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2CD6081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215</w:t>
            </w:r>
          </w:p>
        </w:tc>
        <w:tc>
          <w:tcPr>
            <w:tcW w:w="734" w:type="dxa"/>
            <w:tcBorders>
              <w:top w:val="nil"/>
              <w:left w:val="nil"/>
              <w:bottom w:val="single" w:sz="4" w:space="0" w:color="BFBFBF"/>
              <w:right w:val="single" w:sz="4" w:space="0" w:color="BFBFBF"/>
            </w:tcBorders>
            <w:shd w:val="clear" w:color="auto" w:fill="auto"/>
            <w:noWrap/>
            <w:vAlign w:val="center"/>
          </w:tcPr>
          <w:p w14:paraId="2A024B3B"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50CD23A"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7E9D2F6"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w:t>
            </w:r>
          </w:p>
        </w:tc>
        <w:tc>
          <w:tcPr>
            <w:tcW w:w="617" w:type="dxa"/>
            <w:tcBorders>
              <w:top w:val="nil"/>
              <w:left w:val="nil"/>
              <w:bottom w:val="single" w:sz="4" w:space="0" w:color="BFBFBF"/>
              <w:right w:val="nil"/>
            </w:tcBorders>
            <w:shd w:val="clear" w:color="auto" w:fill="auto"/>
            <w:noWrap/>
            <w:vAlign w:val="center"/>
          </w:tcPr>
          <w:p w14:paraId="704F03A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224CFBA9"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w:t>
            </w:r>
          </w:p>
        </w:tc>
        <w:tc>
          <w:tcPr>
            <w:tcW w:w="880" w:type="dxa"/>
            <w:tcBorders>
              <w:top w:val="nil"/>
              <w:left w:val="nil"/>
              <w:bottom w:val="single" w:sz="4" w:space="0" w:color="BFBFBF"/>
              <w:right w:val="single" w:sz="4" w:space="0" w:color="BFBFBF"/>
            </w:tcBorders>
            <w:shd w:val="clear" w:color="auto" w:fill="auto"/>
            <w:noWrap/>
            <w:vAlign w:val="center"/>
          </w:tcPr>
          <w:p w14:paraId="7E5F46F3"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27</w:t>
            </w:r>
          </w:p>
        </w:tc>
        <w:tc>
          <w:tcPr>
            <w:tcW w:w="1119" w:type="dxa"/>
            <w:tcBorders>
              <w:top w:val="nil"/>
              <w:left w:val="nil"/>
              <w:bottom w:val="single" w:sz="4" w:space="0" w:color="BFBFBF"/>
              <w:right w:val="single" w:sz="4" w:space="0" w:color="BFBFBF"/>
            </w:tcBorders>
            <w:shd w:val="clear" w:color="auto" w:fill="auto"/>
            <w:noWrap/>
            <w:vAlign w:val="center"/>
          </w:tcPr>
          <w:p w14:paraId="2831E03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1C72CB30"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4EA2BB4" w14:textId="50CBBEC8"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948</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2CA703C2" w14:textId="3362DF2A"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16697DBB" w14:textId="1E4803D8"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71E8A6AB"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Western 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54ECF9B"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3B7F2CE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208</w:t>
            </w:r>
          </w:p>
        </w:tc>
        <w:tc>
          <w:tcPr>
            <w:tcW w:w="734" w:type="dxa"/>
            <w:tcBorders>
              <w:top w:val="nil"/>
              <w:left w:val="nil"/>
              <w:bottom w:val="single" w:sz="4" w:space="0" w:color="BFBFBF"/>
              <w:right w:val="single" w:sz="4" w:space="0" w:color="BFBFBF"/>
            </w:tcBorders>
            <w:shd w:val="clear" w:color="auto" w:fill="auto"/>
            <w:noWrap/>
            <w:vAlign w:val="center"/>
          </w:tcPr>
          <w:p w14:paraId="18EB3BBE"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35FB1FB"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93BA85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17%</w:t>
            </w:r>
          </w:p>
        </w:tc>
        <w:tc>
          <w:tcPr>
            <w:tcW w:w="617" w:type="dxa"/>
            <w:tcBorders>
              <w:top w:val="nil"/>
              <w:left w:val="nil"/>
              <w:bottom w:val="single" w:sz="4" w:space="0" w:color="BFBFBF"/>
              <w:right w:val="nil"/>
            </w:tcBorders>
            <w:shd w:val="clear" w:color="auto" w:fill="auto"/>
            <w:noWrap/>
            <w:vAlign w:val="center"/>
          </w:tcPr>
          <w:p w14:paraId="60B73B9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707541E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w:t>
            </w:r>
          </w:p>
        </w:tc>
        <w:tc>
          <w:tcPr>
            <w:tcW w:w="880" w:type="dxa"/>
            <w:tcBorders>
              <w:top w:val="nil"/>
              <w:left w:val="nil"/>
              <w:bottom w:val="single" w:sz="4" w:space="0" w:color="BFBFBF"/>
              <w:right w:val="single" w:sz="4" w:space="0" w:color="BFBFBF"/>
            </w:tcBorders>
            <w:shd w:val="clear" w:color="auto" w:fill="auto"/>
            <w:noWrap/>
            <w:vAlign w:val="center"/>
          </w:tcPr>
          <w:p w14:paraId="5D6F24E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w:t>
            </w:r>
          </w:p>
        </w:tc>
        <w:tc>
          <w:tcPr>
            <w:tcW w:w="1119" w:type="dxa"/>
            <w:tcBorders>
              <w:top w:val="nil"/>
              <w:left w:val="nil"/>
              <w:bottom w:val="single" w:sz="4" w:space="0" w:color="BFBFBF"/>
              <w:right w:val="single" w:sz="4" w:space="0" w:color="BFBFBF"/>
            </w:tcBorders>
            <w:shd w:val="clear" w:color="auto" w:fill="auto"/>
            <w:noWrap/>
            <w:vAlign w:val="center"/>
          </w:tcPr>
          <w:p w14:paraId="0BE7528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445545F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454B4C9" w14:textId="7318264C"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920</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4BC82B31" w14:textId="00821BDD"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4F3C071E" w14:textId="592DD9B4"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68092B79"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Brimbank Melton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2D5B82B"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1C07231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205</w:t>
            </w:r>
          </w:p>
        </w:tc>
        <w:tc>
          <w:tcPr>
            <w:tcW w:w="734" w:type="dxa"/>
            <w:tcBorders>
              <w:top w:val="nil"/>
              <w:left w:val="nil"/>
              <w:bottom w:val="single" w:sz="4" w:space="0" w:color="BFBFBF"/>
              <w:right w:val="single" w:sz="4" w:space="0" w:color="BFBFBF"/>
            </w:tcBorders>
            <w:shd w:val="clear" w:color="auto" w:fill="auto"/>
            <w:noWrap/>
            <w:vAlign w:val="center"/>
          </w:tcPr>
          <w:p w14:paraId="58D9D82F"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8477112"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7C98BE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w:t>
            </w:r>
          </w:p>
        </w:tc>
        <w:tc>
          <w:tcPr>
            <w:tcW w:w="617" w:type="dxa"/>
            <w:tcBorders>
              <w:top w:val="nil"/>
              <w:left w:val="nil"/>
              <w:bottom w:val="single" w:sz="4" w:space="0" w:color="BFBFBF"/>
              <w:right w:val="nil"/>
            </w:tcBorders>
            <w:shd w:val="clear" w:color="auto" w:fill="auto"/>
            <w:noWrap/>
            <w:vAlign w:val="center"/>
          </w:tcPr>
          <w:p w14:paraId="7A088730"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343722B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w:t>
            </w:r>
          </w:p>
        </w:tc>
        <w:tc>
          <w:tcPr>
            <w:tcW w:w="880" w:type="dxa"/>
            <w:tcBorders>
              <w:top w:val="nil"/>
              <w:left w:val="nil"/>
              <w:bottom w:val="single" w:sz="4" w:space="0" w:color="BFBFBF"/>
              <w:right w:val="single" w:sz="4" w:space="0" w:color="BFBFBF"/>
            </w:tcBorders>
            <w:shd w:val="clear" w:color="auto" w:fill="auto"/>
            <w:noWrap/>
            <w:vAlign w:val="center"/>
          </w:tcPr>
          <w:p w14:paraId="423B9E1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w:t>
            </w:r>
          </w:p>
        </w:tc>
        <w:tc>
          <w:tcPr>
            <w:tcW w:w="1119" w:type="dxa"/>
            <w:tcBorders>
              <w:top w:val="nil"/>
              <w:left w:val="nil"/>
              <w:bottom w:val="single" w:sz="4" w:space="0" w:color="BFBFBF"/>
              <w:right w:val="single" w:sz="4" w:space="0" w:color="BFBFBF"/>
            </w:tcBorders>
            <w:shd w:val="clear" w:color="auto" w:fill="auto"/>
            <w:noWrap/>
            <w:vAlign w:val="center"/>
          </w:tcPr>
          <w:p w14:paraId="042BFF58"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26EF8E8A"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8357C1D" w14:textId="443DBA82"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1,015</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4F05C59A" w14:textId="5E72C6F7"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55BC597C" w14:textId="2B7A7E69"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4CE9F293"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Mallee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60BC1B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4C13CB9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279</w:t>
            </w:r>
          </w:p>
        </w:tc>
        <w:tc>
          <w:tcPr>
            <w:tcW w:w="734" w:type="dxa"/>
            <w:tcBorders>
              <w:top w:val="nil"/>
              <w:left w:val="nil"/>
              <w:bottom w:val="single" w:sz="4" w:space="0" w:color="BFBFBF"/>
              <w:right w:val="single" w:sz="4" w:space="0" w:color="BFBFBF"/>
            </w:tcBorders>
            <w:shd w:val="clear" w:color="auto" w:fill="auto"/>
            <w:noWrap/>
            <w:vAlign w:val="center"/>
          </w:tcPr>
          <w:p w14:paraId="2E775E71"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46EDA10"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BB0567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nil"/>
              <w:left w:val="nil"/>
              <w:bottom w:val="single" w:sz="4" w:space="0" w:color="BFBFBF"/>
              <w:right w:val="nil"/>
            </w:tcBorders>
            <w:shd w:val="clear" w:color="auto" w:fill="auto"/>
            <w:noWrap/>
            <w:vAlign w:val="center"/>
          </w:tcPr>
          <w:p w14:paraId="56F17449"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0806EDB0"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880" w:type="dxa"/>
            <w:tcBorders>
              <w:top w:val="nil"/>
              <w:left w:val="nil"/>
              <w:bottom w:val="single" w:sz="4" w:space="0" w:color="BFBFBF"/>
              <w:right w:val="single" w:sz="4" w:space="0" w:color="BFBFBF"/>
            </w:tcBorders>
            <w:shd w:val="clear" w:color="auto" w:fill="auto"/>
            <w:noWrap/>
            <w:vAlign w:val="center"/>
          </w:tcPr>
          <w:p w14:paraId="0CD93243"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1119" w:type="dxa"/>
            <w:tcBorders>
              <w:top w:val="nil"/>
              <w:left w:val="nil"/>
              <w:bottom w:val="single" w:sz="4" w:space="0" w:color="BFBFBF"/>
              <w:right w:val="single" w:sz="4" w:space="0" w:color="BFBFBF"/>
            </w:tcBorders>
            <w:shd w:val="clear" w:color="auto" w:fill="auto"/>
            <w:noWrap/>
            <w:vAlign w:val="center"/>
          </w:tcPr>
          <w:p w14:paraId="0369E619"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10ACF19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510A3D7" w14:textId="7447C888"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816</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15505757" w14:textId="00E506FE"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52AB87D8" w14:textId="46336C3D"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35C1D605"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Loddon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83C4DD6"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6C830AA4"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211</w:t>
            </w:r>
          </w:p>
        </w:tc>
        <w:tc>
          <w:tcPr>
            <w:tcW w:w="734" w:type="dxa"/>
            <w:tcBorders>
              <w:top w:val="nil"/>
              <w:left w:val="nil"/>
              <w:bottom w:val="single" w:sz="4" w:space="0" w:color="BFBFBF"/>
              <w:right w:val="single" w:sz="4" w:space="0" w:color="BFBFBF"/>
            </w:tcBorders>
            <w:shd w:val="clear" w:color="auto" w:fill="auto"/>
            <w:noWrap/>
            <w:vAlign w:val="center"/>
          </w:tcPr>
          <w:p w14:paraId="7A3C381A"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3412777"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594015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31%</w:t>
            </w:r>
          </w:p>
        </w:tc>
        <w:tc>
          <w:tcPr>
            <w:tcW w:w="617" w:type="dxa"/>
            <w:tcBorders>
              <w:top w:val="nil"/>
              <w:left w:val="nil"/>
              <w:bottom w:val="single" w:sz="4" w:space="0" w:color="BFBFBF"/>
              <w:right w:val="nil"/>
            </w:tcBorders>
            <w:shd w:val="clear" w:color="auto" w:fill="auto"/>
            <w:noWrap/>
            <w:vAlign w:val="center"/>
          </w:tcPr>
          <w:p w14:paraId="3A03F28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30</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447BAD96"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w:t>
            </w:r>
          </w:p>
        </w:tc>
        <w:tc>
          <w:tcPr>
            <w:tcW w:w="880" w:type="dxa"/>
            <w:tcBorders>
              <w:top w:val="nil"/>
              <w:left w:val="nil"/>
              <w:bottom w:val="single" w:sz="4" w:space="0" w:color="BFBFBF"/>
              <w:right w:val="single" w:sz="4" w:space="0" w:color="BFBFBF"/>
            </w:tcBorders>
            <w:shd w:val="clear" w:color="auto" w:fill="auto"/>
            <w:noWrap/>
            <w:vAlign w:val="center"/>
          </w:tcPr>
          <w:p w14:paraId="57BF221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w:t>
            </w:r>
          </w:p>
        </w:tc>
        <w:tc>
          <w:tcPr>
            <w:tcW w:w="1119" w:type="dxa"/>
            <w:tcBorders>
              <w:top w:val="nil"/>
              <w:left w:val="nil"/>
              <w:bottom w:val="single" w:sz="4" w:space="0" w:color="BFBFBF"/>
              <w:right w:val="single" w:sz="4" w:space="0" w:color="BFBFBF"/>
            </w:tcBorders>
            <w:shd w:val="clear" w:color="auto" w:fill="auto"/>
            <w:noWrap/>
            <w:vAlign w:val="center"/>
          </w:tcPr>
          <w:p w14:paraId="5A8BBAF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3D8FDA0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DA4F93E" w14:textId="0F28F528"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1,036</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3DCC2C83" w14:textId="4584CA30"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3BF70394" w14:textId="5CD47AF3"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198752BF"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9C7D53">
                  <w:rPr>
                    <w:rFonts w:ascii="Arial" w:hAnsi="Arial" w:cs="Arial"/>
                    <w:color w:val="000000"/>
                    <w:sz w:val="16"/>
                    <w:szCs w:val="16"/>
                    <w:lang w:val="en-AU" w:eastAsia="en-AU"/>
                  </w:rPr>
                  <w:t>Murray</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77E24B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D53EE6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222</w:t>
            </w:r>
          </w:p>
        </w:tc>
        <w:tc>
          <w:tcPr>
            <w:tcW w:w="734" w:type="dxa"/>
            <w:tcBorders>
              <w:top w:val="nil"/>
              <w:left w:val="nil"/>
              <w:bottom w:val="single" w:sz="4" w:space="0" w:color="BFBFBF"/>
              <w:right w:val="single" w:sz="4" w:space="0" w:color="BFBFBF"/>
            </w:tcBorders>
            <w:shd w:val="clear" w:color="auto" w:fill="auto"/>
            <w:noWrap/>
            <w:vAlign w:val="center"/>
          </w:tcPr>
          <w:p w14:paraId="57ECCDF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2A7391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44589C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25%</w:t>
            </w:r>
          </w:p>
        </w:tc>
        <w:tc>
          <w:tcPr>
            <w:tcW w:w="617" w:type="dxa"/>
            <w:tcBorders>
              <w:top w:val="nil"/>
              <w:left w:val="nil"/>
              <w:bottom w:val="single" w:sz="4" w:space="0" w:color="BFBFBF"/>
              <w:right w:val="nil"/>
            </w:tcBorders>
            <w:shd w:val="clear" w:color="auto" w:fill="auto"/>
            <w:noWrap/>
            <w:vAlign w:val="center"/>
          </w:tcPr>
          <w:p w14:paraId="0AC2BAF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6B8C116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w:t>
            </w:r>
          </w:p>
        </w:tc>
        <w:tc>
          <w:tcPr>
            <w:tcW w:w="880" w:type="dxa"/>
            <w:tcBorders>
              <w:top w:val="nil"/>
              <w:left w:val="nil"/>
              <w:bottom w:val="single" w:sz="4" w:space="0" w:color="BFBFBF"/>
              <w:right w:val="single" w:sz="4" w:space="0" w:color="BFBFBF"/>
            </w:tcBorders>
            <w:shd w:val="clear" w:color="auto" w:fill="auto"/>
            <w:noWrap/>
            <w:vAlign w:val="center"/>
          </w:tcPr>
          <w:p w14:paraId="7784EE5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w:t>
            </w:r>
          </w:p>
        </w:tc>
        <w:tc>
          <w:tcPr>
            <w:tcW w:w="1119" w:type="dxa"/>
            <w:tcBorders>
              <w:top w:val="nil"/>
              <w:left w:val="nil"/>
              <w:bottom w:val="single" w:sz="4" w:space="0" w:color="BFBFBF"/>
              <w:right w:val="single" w:sz="4" w:space="0" w:color="BFBFBF"/>
            </w:tcBorders>
            <w:shd w:val="clear" w:color="auto" w:fill="auto"/>
            <w:noWrap/>
            <w:vAlign w:val="center"/>
          </w:tcPr>
          <w:p w14:paraId="41B9647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0050EF3F"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97AA12C" w14:textId="124D6018"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914</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E7DA28E" w14:textId="3D6C253A"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008AD9A8" w14:textId="14D1F91B"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0E510762"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Goulburn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594E87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4CA6B0A3"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215</w:t>
            </w:r>
          </w:p>
        </w:tc>
        <w:tc>
          <w:tcPr>
            <w:tcW w:w="734" w:type="dxa"/>
            <w:tcBorders>
              <w:top w:val="nil"/>
              <w:left w:val="nil"/>
              <w:bottom w:val="single" w:sz="4" w:space="0" w:color="BFBFBF"/>
              <w:right w:val="single" w:sz="4" w:space="0" w:color="BFBFBF"/>
            </w:tcBorders>
            <w:shd w:val="clear" w:color="auto" w:fill="auto"/>
            <w:noWrap/>
            <w:vAlign w:val="center"/>
          </w:tcPr>
          <w:p w14:paraId="31D338C7"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F3602C9"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615A05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w:t>
            </w:r>
          </w:p>
        </w:tc>
        <w:tc>
          <w:tcPr>
            <w:tcW w:w="617" w:type="dxa"/>
            <w:tcBorders>
              <w:top w:val="nil"/>
              <w:left w:val="nil"/>
              <w:bottom w:val="single" w:sz="4" w:space="0" w:color="BFBFBF"/>
              <w:right w:val="nil"/>
            </w:tcBorders>
            <w:shd w:val="clear" w:color="auto" w:fill="auto"/>
            <w:noWrap/>
            <w:vAlign w:val="center"/>
          </w:tcPr>
          <w:p w14:paraId="26B5738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1A1E3C9E"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w:t>
            </w:r>
          </w:p>
        </w:tc>
        <w:tc>
          <w:tcPr>
            <w:tcW w:w="880" w:type="dxa"/>
            <w:tcBorders>
              <w:top w:val="nil"/>
              <w:left w:val="nil"/>
              <w:bottom w:val="single" w:sz="4" w:space="0" w:color="BFBFBF"/>
              <w:right w:val="single" w:sz="4" w:space="0" w:color="BFBFBF"/>
            </w:tcBorders>
            <w:shd w:val="clear" w:color="auto" w:fill="auto"/>
            <w:noWrap/>
            <w:vAlign w:val="center"/>
          </w:tcPr>
          <w:p w14:paraId="150837D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c>
          <w:tcPr>
            <w:tcW w:w="1119" w:type="dxa"/>
            <w:tcBorders>
              <w:top w:val="nil"/>
              <w:left w:val="nil"/>
              <w:bottom w:val="single" w:sz="4" w:space="0" w:color="BFBFBF"/>
              <w:right w:val="single" w:sz="4" w:space="0" w:color="BFBFBF"/>
            </w:tcBorders>
            <w:shd w:val="clear" w:color="auto" w:fill="auto"/>
            <w:noWrap/>
            <w:vAlign w:val="center"/>
          </w:tcPr>
          <w:p w14:paraId="77520C2A"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21A98CCA"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15AF5F5" w14:textId="78DCF7DC"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868</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64E3A47" w14:textId="501DB24D"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41F1557D" w14:textId="121E9BD9"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69CCC551"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Outer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FBA929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63975C56"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225</w:t>
            </w:r>
          </w:p>
        </w:tc>
        <w:tc>
          <w:tcPr>
            <w:tcW w:w="734" w:type="dxa"/>
            <w:tcBorders>
              <w:top w:val="nil"/>
              <w:left w:val="nil"/>
              <w:bottom w:val="single" w:sz="4" w:space="0" w:color="BFBFBF"/>
              <w:right w:val="single" w:sz="4" w:space="0" w:color="BFBFBF"/>
            </w:tcBorders>
            <w:shd w:val="clear" w:color="auto" w:fill="auto"/>
            <w:noWrap/>
            <w:vAlign w:val="center"/>
          </w:tcPr>
          <w:p w14:paraId="40BE3E3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5D6577D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8B2F488"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25%</w:t>
            </w:r>
          </w:p>
        </w:tc>
        <w:tc>
          <w:tcPr>
            <w:tcW w:w="617" w:type="dxa"/>
            <w:tcBorders>
              <w:top w:val="nil"/>
              <w:left w:val="nil"/>
              <w:bottom w:val="single" w:sz="4" w:space="0" w:color="BFBFBF"/>
              <w:right w:val="nil"/>
            </w:tcBorders>
            <w:shd w:val="clear" w:color="auto" w:fill="auto"/>
            <w:noWrap/>
            <w:vAlign w:val="center"/>
          </w:tcPr>
          <w:p w14:paraId="245BCA3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706889E6"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w:t>
            </w:r>
          </w:p>
        </w:tc>
        <w:tc>
          <w:tcPr>
            <w:tcW w:w="880" w:type="dxa"/>
            <w:tcBorders>
              <w:top w:val="nil"/>
              <w:left w:val="nil"/>
              <w:bottom w:val="single" w:sz="4" w:space="0" w:color="BFBFBF"/>
              <w:right w:val="single" w:sz="4" w:space="0" w:color="BFBFBF"/>
            </w:tcBorders>
            <w:shd w:val="clear" w:color="auto" w:fill="auto"/>
            <w:noWrap/>
            <w:vAlign w:val="center"/>
          </w:tcPr>
          <w:p w14:paraId="757F1D0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1119" w:type="dxa"/>
            <w:tcBorders>
              <w:top w:val="nil"/>
              <w:left w:val="nil"/>
              <w:bottom w:val="single" w:sz="4" w:space="0" w:color="BFBFBF"/>
              <w:right w:val="single" w:sz="4" w:space="0" w:color="BFBFBF"/>
            </w:tcBorders>
            <w:shd w:val="clear" w:color="auto" w:fill="auto"/>
            <w:noWrap/>
            <w:vAlign w:val="center"/>
          </w:tcPr>
          <w:p w14:paraId="288AC6DB"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6EFB838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8C5E98F" w14:textId="1E4E05B9"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869</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3B4D9672" w14:textId="323E4434"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67F0DD21" w14:textId="2A915940"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62698409"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Inner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4FB2F2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34BC10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215</w:t>
            </w:r>
          </w:p>
        </w:tc>
        <w:tc>
          <w:tcPr>
            <w:tcW w:w="734" w:type="dxa"/>
            <w:tcBorders>
              <w:top w:val="nil"/>
              <w:left w:val="nil"/>
              <w:bottom w:val="single" w:sz="4" w:space="0" w:color="BFBFBF"/>
              <w:right w:val="single" w:sz="4" w:space="0" w:color="BFBFBF"/>
            </w:tcBorders>
            <w:shd w:val="clear" w:color="auto" w:fill="auto"/>
            <w:noWrap/>
            <w:vAlign w:val="center"/>
          </w:tcPr>
          <w:p w14:paraId="7C383028"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29C64D9"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4D5851E"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27%</w:t>
            </w:r>
          </w:p>
        </w:tc>
        <w:tc>
          <w:tcPr>
            <w:tcW w:w="617" w:type="dxa"/>
            <w:tcBorders>
              <w:top w:val="nil"/>
              <w:left w:val="nil"/>
              <w:bottom w:val="single" w:sz="4" w:space="0" w:color="BFBFBF"/>
              <w:right w:val="nil"/>
            </w:tcBorders>
            <w:shd w:val="clear" w:color="auto" w:fill="auto"/>
            <w:noWrap/>
            <w:vAlign w:val="center"/>
          </w:tcPr>
          <w:p w14:paraId="5E6090C9"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30</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399F5466"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13%</w:t>
            </w:r>
          </w:p>
        </w:tc>
        <w:tc>
          <w:tcPr>
            <w:tcW w:w="880" w:type="dxa"/>
            <w:tcBorders>
              <w:top w:val="nil"/>
              <w:left w:val="nil"/>
              <w:bottom w:val="single" w:sz="4" w:space="0" w:color="BFBFBF"/>
              <w:right w:val="single" w:sz="4" w:space="0" w:color="BFBFBF"/>
            </w:tcBorders>
            <w:shd w:val="clear" w:color="auto" w:fill="auto"/>
            <w:noWrap/>
            <w:vAlign w:val="center"/>
          </w:tcPr>
          <w:p w14:paraId="30759DAE"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108</w:t>
            </w:r>
          </w:p>
        </w:tc>
        <w:tc>
          <w:tcPr>
            <w:tcW w:w="1119" w:type="dxa"/>
            <w:tcBorders>
              <w:top w:val="nil"/>
              <w:left w:val="nil"/>
              <w:bottom w:val="single" w:sz="4" w:space="0" w:color="BFBFBF"/>
              <w:right w:val="single" w:sz="4" w:space="0" w:color="BFBFBF"/>
            </w:tcBorders>
            <w:shd w:val="clear" w:color="auto" w:fill="auto"/>
            <w:noWrap/>
            <w:vAlign w:val="center"/>
          </w:tcPr>
          <w:p w14:paraId="2B2EE0C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4071C720"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08CC15A" w14:textId="19CB48FF"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911</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2519AAD1" w14:textId="26BC2AC4"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3D1F9CA8" w14:textId="64BAE11A"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1E603845"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Western District</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C5B7D84"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0CEB119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188</w:t>
            </w:r>
          </w:p>
        </w:tc>
        <w:tc>
          <w:tcPr>
            <w:tcW w:w="734" w:type="dxa"/>
            <w:tcBorders>
              <w:top w:val="nil"/>
              <w:left w:val="nil"/>
              <w:bottom w:val="single" w:sz="4" w:space="0" w:color="BFBFBF"/>
              <w:right w:val="single" w:sz="4" w:space="0" w:color="BFBFBF"/>
            </w:tcBorders>
            <w:shd w:val="clear" w:color="auto" w:fill="auto"/>
            <w:noWrap/>
            <w:vAlign w:val="center"/>
          </w:tcPr>
          <w:p w14:paraId="310F73C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8DA490E"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9315FC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w:t>
            </w:r>
          </w:p>
        </w:tc>
        <w:tc>
          <w:tcPr>
            <w:tcW w:w="617" w:type="dxa"/>
            <w:tcBorders>
              <w:top w:val="nil"/>
              <w:left w:val="nil"/>
              <w:bottom w:val="single" w:sz="4" w:space="0" w:color="BFBFBF"/>
              <w:right w:val="nil"/>
            </w:tcBorders>
            <w:shd w:val="clear" w:color="auto" w:fill="auto"/>
            <w:noWrap/>
            <w:vAlign w:val="center"/>
          </w:tcPr>
          <w:p w14:paraId="6634FA69"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19777E2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880" w:type="dxa"/>
            <w:tcBorders>
              <w:top w:val="nil"/>
              <w:left w:val="nil"/>
              <w:bottom w:val="single" w:sz="4" w:space="0" w:color="BFBFBF"/>
              <w:right w:val="single" w:sz="4" w:space="0" w:color="BFBFBF"/>
            </w:tcBorders>
            <w:shd w:val="clear" w:color="auto" w:fill="auto"/>
            <w:noWrap/>
            <w:vAlign w:val="center"/>
          </w:tcPr>
          <w:p w14:paraId="182FD9F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152</w:t>
            </w:r>
          </w:p>
        </w:tc>
        <w:tc>
          <w:tcPr>
            <w:tcW w:w="1119" w:type="dxa"/>
            <w:tcBorders>
              <w:top w:val="nil"/>
              <w:left w:val="nil"/>
              <w:bottom w:val="single" w:sz="4" w:space="0" w:color="BFBFBF"/>
              <w:right w:val="single" w:sz="4" w:space="0" w:color="BFBFBF"/>
            </w:tcBorders>
            <w:shd w:val="clear" w:color="auto" w:fill="auto"/>
            <w:noWrap/>
            <w:vAlign w:val="center"/>
          </w:tcPr>
          <w:p w14:paraId="7EC8AD5E"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73AFDF8A"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7068308" w14:textId="1BC169A9"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743</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705A7FBA" w14:textId="65FF44AB"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69F9B9CF" w14:textId="5AE3083E"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00C9A5B0"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Barwon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2E5FD7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C38D43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213</w:t>
            </w:r>
          </w:p>
        </w:tc>
        <w:tc>
          <w:tcPr>
            <w:tcW w:w="734" w:type="dxa"/>
            <w:tcBorders>
              <w:top w:val="nil"/>
              <w:left w:val="nil"/>
              <w:bottom w:val="single" w:sz="4" w:space="0" w:color="BFBFBF"/>
              <w:right w:val="single" w:sz="4" w:space="0" w:color="BFBFBF"/>
            </w:tcBorders>
            <w:shd w:val="clear" w:color="auto" w:fill="auto"/>
            <w:noWrap/>
            <w:vAlign w:val="center"/>
          </w:tcPr>
          <w:p w14:paraId="0B31D9BC"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27ACB08"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BCB9B3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w:t>
            </w:r>
          </w:p>
        </w:tc>
        <w:tc>
          <w:tcPr>
            <w:tcW w:w="617" w:type="dxa"/>
            <w:tcBorders>
              <w:top w:val="nil"/>
              <w:left w:val="nil"/>
              <w:bottom w:val="single" w:sz="4" w:space="0" w:color="BFBFBF"/>
              <w:right w:val="nil"/>
            </w:tcBorders>
            <w:shd w:val="clear" w:color="auto" w:fill="auto"/>
            <w:noWrap/>
            <w:vAlign w:val="center"/>
          </w:tcPr>
          <w:p w14:paraId="1D0D83D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2A887FB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w:t>
            </w:r>
          </w:p>
        </w:tc>
        <w:tc>
          <w:tcPr>
            <w:tcW w:w="880" w:type="dxa"/>
            <w:tcBorders>
              <w:top w:val="nil"/>
              <w:left w:val="nil"/>
              <w:bottom w:val="single" w:sz="4" w:space="0" w:color="BFBFBF"/>
              <w:right w:val="single" w:sz="4" w:space="0" w:color="BFBFBF"/>
            </w:tcBorders>
            <w:shd w:val="clear" w:color="auto" w:fill="auto"/>
            <w:noWrap/>
            <w:vAlign w:val="center"/>
          </w:tcPr>
          <w:p w14:paraId="51976AF0"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w:t>
            </w:r>
          </w:p>
        </w:tc>
        <w:tc>
          <w:tcPr>
            <w:tcW w:w="1119" w:type="dxa"/>
            <w:tcBorders>
              <w:top w:val="nil"/>
              <w:left w:val="nil"/>
              <w:bottom w:val="single" w:sz="4" w:space="0" w:color="BFBFBF"/>
              <w:right w:val="single" w:sz="4" w:space="0" w:color="BFBFBF"/>
            </w:tcBorders>
            <w:shd w:val="clear" w:color="auto" w:fill="auto"/>
            <w:noWrap/>
            <w:vAlign w:val="center"/>
          </w:tcPr>
          <w:p w14:paraId="38EE578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2AA07D75"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3055D66" w14:textId="0CFA50E1"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850</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2C00E29" w14:textId="79FD8BC5"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7B2F25CC" w14:textId="2CEC1A5B"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bottom"/>
          </w:tcPr>
          <w:p w14:paraId="2C5A1EE8"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Central Highlands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860628E"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44B1A4D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215</w:t>
            </w:r>
          </w:p>
        </w:tc>
        <w:tc>
          <w:tcPr>
            <w:tcW w:w="734" w:type="dxa"/>
            <w:tcBorders>
              <w:top w:val="nil"/>
              <w:left w:val="nil"/>
              <w:bottom w:val="single" w:sz="4" w:space="0" w:color="BFBFBF"/>
              <w:right w:val="single" w:sz="4" w:space="0" w:color="BFBFBF"/>
            </w:tcBorders>
            <w:shd w:val="clear" w:color="auto" w:fill="auto"/>
            <w:noWrap/>
            <w:vAlign w:val="center"/>
          </w:tcPr>
          <w:p w14:paraId="6E0EDD32"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B48AD5E"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E2FBFB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w:t>
            </w:r>
          </w:p>
        </w:tc>
        <w:tc>
          <w:tcPr>
            <w:tcW w:w="617" w:type="dxa"/>
            <w:tcBorders>
              <w:top w:val="nil"/>
              <w:left w:val="nil"/>
              <w:bottom w:val="single" w:sz="4" w:space="0" w:color="BFBFBF"/>
              <w:right w:val="nil"/>
            </w:tcBorders>
            <w:shd w:val="clear" w:color="auto" w:fill="auto"/>
            <w:noWrap/>
            <w:vAlign w:val="center"/>
          </w:tcPr>
          <w:p w14:paraId="48D9F39E"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36</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6C63DA13"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w:t>
            </w:r>
          </w:p>
        </w:tc>
        <w:tc>
          <w:tcPr>
            <w:tcW w:w="880" w:type="dxa"/>
            <w:tcBorders>
              <w:top w:val="nil"/>
              <w:left w:val="nil"/>
              <w:bottom w:val="single" w:sz="4" w:space="0" w:color="BFBFBF"/>
              <w:right w:val="single" w:sz="4" w:space="0" w:color="BFBFBF"/>
            </w:tcBorders>
            <w:shd w:val="clear" w:color="auto" w:fill="auto"/>
            <w:noWrap/>
            <w:vAlign w:val="center"/>
          </w:tcPr>
          <w:p w14:paraId="4DB1F766"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46</w:t>
            </w:r>
          </w:p>
        </w:tc>
        <w:tc>
          <w:tcPr>
            <w:tcW w:w="1119" w:type="dxa"/>
            <w:tcBorders>
              <w:top w:val="nil"/>
              <w:left w:val="nil"/>
              <w:bottom w:val="single" w:sz="4" w:space="0" w:color="BFBFBF"/>
              <w:right w:val="single" w:sz="4" w:space="0" w:color="BFBFBF"/>
            </w:tcBorders>
            <w:shd w:val="clear" w:color="auto" w:fill="auto"/>
            <w:noWrap/>
            <w:vAlign w:val="center"/>
          </w:tcPr>
          <w:p w14:paraId="3F6CDE7E"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21" w:type="dxa"/>
            <w:tcBorders>
              <w:top w:val="nil"/>
              <w:left w:val="nil"/>
              <w:bottom w:val="single" w:sz="4" w:space="0" w:color="BFBFBF"/>
              <w:right w:val="double" w:sz="6" w:space="0" w:color="auto"/>
            </w:tcBorders>
            <w:shd w:val="clear" w:color="auto" w:fill="auto"/>
            <w:noWrap/>
            <w:vAlign w:val="center"/>
          </w:tcPr>
          <w:p w14:paraId="4EA06AD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7ABF4E1" w14:textId="3151B089"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1,279</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78BBD844" w14:textId="75A44FF7"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F44114" w:rsidRPr="009C7D53" w14:paraId="72CEF66D" w14:textId="5964A648"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5AC9FAB2" w14:textId="77777777" w:rsidR="00F44114" w:rsidRPr="009C7D53" w:rsidRDefault="00F44114"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Concession Status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1A3549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1F1A543"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E5DC4D8"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1E55739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F3FB7D3"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nil"/>
            </w:tcBorders>
            <w:shd w:val="clear" w:color="auto" w:fill="auto"/>
            <w:noWrap/>
            <w:vAlign w:val="center"/>
          </w:tcPr>
          <w:p w14:paraId="5A7C094B"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637D74C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80" w:type="dxa"/>
            <w:tcBorders>
              <w:top w:val="nil"/>
              <w:left w:val="nil"/>
              <w:bottom w:val="single" w:sz="4" w:space="0" w:color="BFBFBF"/>
              <w:right w:val="single" w:sz="4" w:space="0" w:color="BFBFBF"/>
            </w:tcBorders>
            <w:shd w:val="clear" w:color="auto" w:fill="auto"/>
            <w:noWrap/>
            <w:vAlign w:val="center"/>
          </w:tcPr>
          <w:p w14:paraId="5EF71EF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119" w:type="dxa"/>
            <w:tcBorders>
              <w:top w:val="nil"/>
              <w:left w:val="nil"/>
              <w:bottom w:val="single" w:sz="4" w:space="0" w:color="BFBFBF"/>
              <w:right w:val="single" w:sz="4" w:space="0" w:color="BFBFBF"/>
            </w:tcBorders>
            <w:shd w:val="clear" w:color="auto" w:fill="auto"/>
            <w:noWrap/>
            <w:vAlign w:val="center"/>
          </w:tcPr>
          <w:p w14:paraId="496C9811"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21" w:type="dxa"/>
            <w:tcBorders>
              <w:top w:val="nil"/>
              <w:left w:val="nil"/>
              <w:bottom w:val="single" w:sz="4" w:space="0" w:color="BFBFBF"/>
              <w:right w:val="double" w:sz="6" w:space="0" w:color="auto"/>
            </w:tcBorders>
            <w:shd w:val="clear" w:color="auto" w:fill="auto"/>
            <w:noWrap/>
            <w:vAlign w:val="center"/>
          </w:tcPr>
          <w:p w14:paraId="66129AF1"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2B89123" w14:textId="5442FAD2" w:rsidR="00F44114" w:rsidRPr="009C7D53" w:rsidRDefault="00F44114" w:rsidP="00F77388">
            <w:pPr>
              <w:spacing w:before="0" w:after="0"/>
              <w:jc w:val="center"/>
              <w:rPr>
                <w:rFonts w:ascii="Arial" w:hAnsi="Arial" w:cs="Arial"/>
                <w:color w:val="000000"/>
                <w:sz w:val="16"/>
                <w:szCs w:val="16"/>
                <w:lang w:val="en-AU" w:eastAsia="en-AU"/>
              </w:rPr>
            </w:pP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054C027C" w14:textId="289D4014" w:rsidR="00F44114" w:rsidRPr="009C7D53" w:rsidRDefault="00F44114" w:rsidP="00F77388">
            <w:pPr>
              <w:spacing w:before="0" w:after="0"/>
              <w:jc w:val="center"/>
              <w:rPr>
                <w:rFonts w:ascii="Arial" w:hAnsi="Arial" w:cs="Arial"/>
                <w:color w:val="000000"/>
                <w:sz w:val="16"/>
                <w:szCs w:val="16"/>
                <w:lang w:val="en-AU" w:eastAsia="en-AU"/>
              </w:rPr>
            </w:pPr>
          </w:p>
        </w:tc>
      </w:tr>
      <w:tr w:rsidR="00F44114" w:rsidRPr="009C7D53" w14:paraId="191EAD50" w14:textId="5007F8DB"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08D09C80"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Aged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610995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05D86DD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217</w:t>
            </w:r>
          </w:p>
        </w:tc>
        <w:tc>
          <w:tcPr>
            <w:tcW w:w="734" w:type="dxa"/>
            <w:tcBorders>
              <w:top w:val="nil"/>
              <w:left w:val="nil"/>
              <w:bottom w:val="single" w:sz="4" w:space="0" w:color="BFBFBF"/>
              <w:right w:val="single" w:sz="4" w:space="0" w:color="BFBFBF"/>
            </w:tcBorders>
            <w:shd w:val="clear" w:color="auto" w:fill="auto"/>
            <w:noWrap/>
            <w:vAlign w:val="center"/>
          </w:tcPr>
          <w:p w14:paraId="5AFA778B"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55C8F04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116</w:t>
            </w:r>
          </w:p>
        </w:tc>
        <w:tc>
          <w:tcPr>
            <w:tcW w:w="734" w:type="dxa"/>
            <w:tcBorders>
              <w:top w:val="nil"/>
              <w:left w:val="nil"/>
              <w:bottom w:val="single" w:sz="4" w:space="0" w:color="BFBFBF"/>
              <w:right w:val="single" w:sz="4" w:space="0" w:color="BFBFBF"/>
            </w:tcBorders>
            <w:shd w:val="clear" w:color="auto" w:fill="auto"/>
            <w:noWrap/>
            <w:vAlign w:val="center"/>
          </w:tcPr>
          <w:p w14:paraId="18B7ADE4"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17%</w:t>
            </w:r>
          </w:p>
        </w:tc>
        <w:tc>
          <w:tcPr>
            <w:tcW w:w="617" w:type="dxa"/>
            <w:tcBorders>
              <w:top w:val="nil"/>
              <w:left w:val="nil"/>
              <w:bottom w:val="single" w:sz="4" w:space="0" w:color="BFBFBF"/>
              <w:right w:val="nil"/>
            </w:tcBorders>
            <w:shd w:val="clear" w:color="auto" w:fill="auto"/>
            <w:noWrap/>
            <w:vAlign w:val="center"/>
          </w:tcPr>
          <w:p w14:paraId="5996B73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06001D24"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880" w:type="dxa"/>
            <w:tcBorders>
              <w:top w:val="nil"/>
              <w:left w:val="nil"/>
              <w:bottom w:val="single" w:sz="4" w:space="0" w:color="BFBFBF"/>
              <w:right w:val="single" w:sz="4" w:space="0" w:color="BFBFBF"/>
            </w:tcBorders>
            <w:shd w:val="clear" w:color="auto" w:fill="auto"/>
            <w:noWrap/>
            <w:vAlign w:val="center"/>
          </w:tcPr>
          <w:p w14:paraId="4D6AA53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25</w:t>
            </w:r>
          </w:p>
        </w:tc>
        <w:tc>
          <w:tcPr>
            <w:tcW w:w="1119" w:type="dxa"/>
            <w:tcBorders>
              <w:top w:val="nil"/>
              <w:left w:val="nil"/>
              <w:bottom w:val="single" w:sz="4" w:space="0" w:color="BFBFBF"/>
              <w:right w:val="single" w:sz="4" w:space="0" w:color="BFBFBF"/>
            </w:tcBorders>
            <w:shd w:val="clear" w:color="auto" w:fill="auto"/>
            <w:noWrap/>
            <w:vAlign w:val="center"/>
          </w:tcPr>
          <w:p w14:paraId="0F516FE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721" w:type="dxa"/>
            <w:tcBorders>
              <w:top w:val="nil"/>
              <w:left w:val="nil"/>
              <w:bottom w:val="single" w:sz="4" w:space="0" w:color="BFBFBF"/>
              <w:right w:val="double" w:sz="6" w:space="0" w:color="auto"/>
            </w:tcBorders>
            <w:shd w:val="clear" w:color="auto" w:fill="auto"/>
            <w:noWrap/>
            <w:vAlign w:val="center"/>
          </w:tcPr>
          <w:p w14:paraId="423F8002"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17</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55E28B5" w14:textId="2D7F3D31"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945</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CE2D108" w14:textId="055B4DE8"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616</w:t>
            </w:r>
          </w:p>
        </w:tc>
      </w:tr>
      <w:tr w:rsidR="00F44114" w:rsidRPr="009C7D53" w14:paraId="71CE7D2F" w14:textId="047A1A31"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48EB8EB5"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Other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FCE9BE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043EF6A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215</w:t>
            </w:r>
          </w:p>
        </w:tc>
        <w:tc>
          <w:tcPr>
            <w:tcW w:w="734" w:type="dxa"/>
            <w:tcBorders>
              <w:top w:val="nil"/>
              <w:left w:val="nil"/>
              <w:bottom w:val="single" w:sz="4" w:space="0" w:color="BFBFBF"/>
              <w:right w:val="single" w:sz="4" w:space="0" w:color="BFBFBF"/>
            </w:tcBorders>
            <w:shd w:val="clear" w:color="auto" w:fill="auto"/>
            <w:noWrap/>
            <w:vAlign w:val="center"/>
          </w:tcPr>
          <w:p w14:paraId="7E8A5948"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auto"/>
            </w:tcBorders>
            <w:shd w:val="clear" w:color="auto" w:fill="auto"/>
            <w:noWrap/>
            <w:vAlign w:val="center"/>
          </w:tcPr>
          <w:p w14:paraId="1C902AD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115</w:t>
            </w:r>
          </w:p>
        </w:tc>
        <w:tc>
          <w:tcPr>
            <w:tcW w:w="734" w:type="dxa"/>
            <w:tcBorders>
              <w:top w:val="nil"/>
              <w:left w:val="nil"/>
              <w:bottom w:val="single" w:sz="4" w:space="0" w:color="BFBFBF"/>
              <w:right w:val="single" w:sz="4" w:space="0" w:color="BFBFBF"/>
            </w:tcBorders>
            <w:shd w:val="clear" w:color="auto" w:fill="auto"/>
            <w:noWrap/>
            <w:vAlign w:val="center"/>
          </w:tcPr>
          <w:p w14:paraId="61C7AA4E"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c>
          <w:tcPr>
            <w:tcW w:w="617" w:type="dxa"/>
            <w:tcBorders>
              <w:top w:val="nil"/>
              <w:left w:val="nil"/>
              <w:bottom w:val="single" w:sz="4" w:space="0" w:color="BFBFBF"/>
              <w:right w:val="nil"/>
            </w:tcBorders>
            <w:shd w:val="clear" w:color="auto" w:fill="auto"/>
            <w:noWrap/>
            <w:vAlign w:val="center"/>
          </w:tcPr>
          <w:p w14:paraId="43DD616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1EEDA76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w:t>
            </w:r>
          </w:p>
        </w:tc>
        <w:tc>
          <w:tcPr>
            <w:tcW w:w="880" w:type="dxa"/>
            <w:tcBorders>
              <w:top w:val="nil"/>
              <w:left w:val="nil"/>
              <w:bottom w:val="single" w:sz="4" w:space="0" w:color="BFBFBF"/>
              <w:right w:val="single" w:sz="4" w:space="0" w:color="BFBFBF"/>
            </w:tcBorders>
            <w:shd w:val="clear" w:color="auto" w:fill="auto"/>
            <w:noWrap/>
            <w:vAlign w:val="center"/>
          </w:tcPr>
          <w:p w14:paraId="1E3CA444"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1119" w:type="dxa"/>
            <w:tcBorders>
              <w:top w:val="nil"/>
              <w:left w:val="nil"/>
              <w:bottom w:val="single" w:sz="4" w:space="0" w:color="BFBFBF"/>
              <w:right w:val="single" w:sz="4" w:space="0" w:color="BFBFBF"/>
            </w:tcBorders>
            <w:shd w:val="clear" w:color="auto" w:fill="auto"/>
            <w:noWrap/>
            <w:vAlign w:val="center"/>
          </w:tcPr>
          <w:p w14:paraId="177689D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w:t>
            </w:r>
          </w:p>
        </w:tc>
        <w:tc>
          <w:tcPr>
            <w:tcW w:w="721" w:type="dxa"/>
            <w:tcBorders>
              <w:top w:val="nil"/>
              <w:left w:val="nil"/>
              <w:bottom w:val="single" w:sz="4" w:space="0" w:color="BFBFBF"/>
              <w:right w:val="double" w:sz="6" w:space="0" w:color="auto"/>
            </w:tcBorders>
            <w:shd w:val="clear" w:color="auto" w:fill="auto"/>
            <w:noWrap/>
            <w:vAlign w:val="center"/>
          </w:tcPr>
          <w:p w14:paraId="3993AFD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859C9CF" w14:textId="1AC86D3D"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959</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B4B8E0F" w14:textId="16137A3B"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687</w:t>
            </w:r>
          </w:p>
        </w:tc>
      </w:tr>
      <w:tr w:rsidR="00F44114" w:rsidRPr="009C7D53" w14:paraId="1E1D166F" w14:textId="7C95C17E"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19A5745B"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Total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B6D795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1D4AD83"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216</w:t>
            </w:r>
          </w:p>
        </w:tc>
        <w:tc>
          <w:tcPr>
            <w:tcW w:w="734" w:type="dxa"/>
            <w:tcBorders>
              <w:top w:val="nil"/>
              <w:left w:val="nil"/>
              <w:bottom w:val="single" w:sz="4" w:space="0" w:color="BFBFBF"/>
              <w:right w:val="single" w:sz="4" w:space="0" w:color="BFBFBF"/>
            </w:tcBorders>
            <w:shd w:val="clear" w:color="auto" w:fill="auto"/>
            <w:noWrap/>
            <w:vAlign w:val="center"/>
          </w:tcPr>
          <w:p w14:paraId="47114957"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7D3764C5"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116</w:t>
            </w:r>
          </w:p>
        </w:tc>
        <w:tc>
          <w:tcPr>
            <w:tcW w:w="734" w:type="dxa"/>
            <w:tcBorders>
              <w:top w:val="nil"/>
              <w:left w:val="nil"/>
              <w:bottom w:val="single" w:sz="4" w:space="0" w:color="BFBFBF"/>
              <w:right w:val="single" w:sz="4" w:space="0" w:color="BFBFBF"/>
            </w:tcBorders>
            <w:shd w:val="clear" w:color="auto" w:fill="auto"/>
            <w:noWrap/>
            <w:vAlign w:val="center"/>
          </w:tcPr>
          <w:p w14:paraId="5121D56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c>
          <w:tcPr>
            <w:tcW w:w="617" w:type="dxa"/>
            <w:tcBorders>
              <w:top w:val="nil"/>
              <w:left w:val="nil"/>
              <w:bottom w:val="single" w:sz="4" w:space="0" w:color="BFBFBF"/>
              <w:right w:val="nil"/>
            </w:tcBorders>
            <w:shd w:val="clear" w:color="auto" w:fill="auto"/>
            <w:noWrap/>
            <w:vAlign w:val="center"/>
          </w:tcPr>
          <w:p w14:paraId="1A0573D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5E38DBC3"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w:t>
            </w:r>
          </w:p>
        </w:tc>
        <w:tc>
          <w:tcPr>
            <w:tcW w:w="880" w:type="dxa"/>
            <w:tcBorders>
              <w:top w:val="nil"/>
              <w:left w:val="nil"/>
              <w:bottom w:val="single" w:sz="4" w:space="0" w:color="BFBFBF"/>
              <w:right w:val="single" w:sz="4" w:space="0" w:color="BFBFBF"/>
            </w:tcBorders>
            <w:shd w:val="clear" w:color="auto" w:fill="auto"/>
            <w:noWrap/>
            <w:vAlign w:val="center"/>
          </w:tcPr>
          <w:p w14:paraId="4653A294"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45</w:t>
            </w:r>
          </w:p>
        </w:tc>
        <w:tc>
          <w:tcPr>
            <w:tcW w:w="1119" w:type="dxa"/>
            <w:tcBorders>
              <w:top w:val="nil"/>
              <w:left w:val="nil"/>
              <w:bottom w:val="single" w:sz="4" w:space="0" w:color="BFBFBF"/>
              <w:right w:val="single" w:sz="4" w:space="0" w:color="BFBFBF"/>
            </w:tcBorders>
            <w:shd w:val="clear" w:color="auto" w:fill="auto"/>
            <w:noWrap/>
            <w:vAlign w:val="center"/>
          </w:tcPr>
          <w:p w14:paraId="1190E05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w:t>
            </w:r>
          </w:p>
        </w:tc>
        <w:tc>
          <w:tcPr>
            <w:tcW w:w="721" w:type="dxa"/>
            <w:tcBorders>
              <w:top w:val="nil"/>
              <w:left w:val="nil"/>
              <w:bottom w:val="single" w:sz="4" w:space="0" w:color="BFBFBF"/>
              <w:right w:val="double" w:sz="6" w:space="0" w:color="auto"/>
            </w:tcBorders>
            <w:shd w:val="clear" w:color="auto" w:fill="auto"/>
            <w:noWrap/>
            <w:vAlign w:val="center"/>
          </w:tcPr>
          <w:p w14:paraId="7DFAEB2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94A4458" w14:textId="0444DE56"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952</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182CFC22" w14:textId="611245DC"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650</w:t>
            </w:r>
          </w:p>
        </w:tc>
      </w:tr>
      <w:tr w:rsidR="00F44114" w:rsidRPr="009C7D53" w14:paraId="6370BD46" w14:textId="10D1537C" w:rsidTr="009748AD">
        <w:trPr>
          <w:trHeight w:val="225"/>
          <w:jc w:val="center"/>
        </w:trPr>
        <w:tc>
          <w:tcPr>
            <w:tcW w:w="2874" w:type="dxa"/>
            <w:tcBorders>
              <w:top w:val="single" w:sz="4" w:space="0" w:color="BFBFBF"/>
              <w:left w:val="double" w:sz="6" w:space="0" w:color="auto"/>
              <w:bottom w:val="double" w:sz="4" w:space="0" w:color="auto"/>
              <w:right w:val="nil"/>
            </w:tcBorders>
            <w:shd w:val="clear" w:color="auto" w:fill="auto"/>
            <w:noWrap/>
            <w:vAlign w:val="center"/>
          </w:tcPr>
          <w:p w14:paraId="5CF2682E"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Non-Concession HHs</w:t>
            </w:r>
          </w:p>
        </w:tc>
        <w:tc>
          <w:tcPr>
            <w:tcW w:w="734"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5A938DF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69BA341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214</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276D3DC2"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single" w:sz="4" w:space="0" w:color="BFBFBF"/>
              <w:left w:val="nil"/>
              <w:bottom w:val="double" w:sz="4" w:space="0" w:color="auto"/>
              <w:right w:val="single" w:sz="4" w:space="0" w:color="auto"/>
            </w:tcBorders>
            <w:shd w:val="clear" w:color="auto" w:fill="auto"/>
            <w:noWrap/>
            <w:vAlign w:val="center"/>
          </w:tcPr>
          <w:p w14:paraId="24E7086E"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115</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4E3B2C5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23%</w:t>
            </w:r>
          </w:p>
        </w:tc>
        <w:tc>
          <w:tcPr>
            <w:tcW w:w="617" w:type="dxa"/>
            <w:tcBorders>
              <w:top w:val="single" w:sz="4" w:space="0" w:color="BFBFBF"/>
              <w:left w:val="nil"/>
              <w:bottom w:val="double" w:sz="4" w:space="0" w:color="auto"/>
              <w:right w:val="nil"/>
            </w:tcBorders>
            <w:shd w:val="clear" w:color="auto" w:fill="auto"/>
            <w:noWrap/>
            <w:vAlign w:val="center"/>
          </w:tcPr>
          <w:p w14:paraId="4F20F14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25</w:t>
            </w:r>
          </w:p>
        </w:tc>
        <w:tc>
          <w:tcPr>
            <w:tcW w:w="1120"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3DD50B4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17%</w:t>
            </w:r>
          </w:p>
        </w:tc>
        <w:tc>
          <w:tcPr>
            <w:tcW w:w="880" w:type="dxa"/>
            <w:tcBorders>
              <w:top w:val="single" w:sz="4" w:space="0" w:color="BFBFBF"/>
              <w:left w:val="nil"/>
              <w:bottom w:val="double" w:sz="4" w:space="0" w:color="auto"/>
              <w:right w:val="single" w:sz="4" w:space="0" w:color="BFBFBF"/>
            </w:tcBorders>
            <w:shd w:val="clear" w:color="auto" w:fill="auto"/>
            <w:noWrap/>
            <w:vAlign w:val="center"/>
          </w:tcPr>
          <w:p w14:paraId="311F995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30</w:t>
            </w:r>
          </w:p>
        </w:tc>
        <w:tc>
          <w:tcPr>
            <w:tcW w:w="1119" w:type="dxa"/>
            <w:tcBorders>
              <w:top w:val="single" w:sz="4" w:space="0" w:color="BFBFBF"/>
              <w:left w:val="nil"/>
              <w:bottom w:val="double" w:sz="4" w:space="0" w:color="auto"/>
              <w:right w:val="single" w:sz="4" w:space="0" w:color="BFBFBF"/>
            </w:tcBorders>
            <w:shd w:val="clear" w:color="auto" w:fill="auto"/>
            <w:noWrap/>
            <w:vAlign w:val="center"/>
          </w:tcPr>
          <w:p w14:paraId="244B391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w:t>
            </w:r>
          </w:p>
        </w:tc>
        <w:tc>
          <w:tcPr>
            <w:tcW w:w="721" w:type="dxa"/>
            <w:tcBorders>
              <w:top w:val="single" w:sz="4" w:space="0" w:color="BFBFBF"/>
              <w:left w:val="nil"/>
              <w:bottom w:val="double" w:sz="4" w:space="0" w:color="auto"/>
              <w:right w:val="double" w:sz="6" w:space="0" w:color="auto"/>
            </w:tcBorders>
            <w:shd w:val="clear" w:color="auto" w:fill="auto"/>
            <w:noWrap/>
            <w:vAlign w:val="center"/>
          </w:tcPr>
          <w:p w14:paraId="74D9D29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43</w:t>
            </w:r>
          </w:p>
        </w:tc>
        <w:tc>
          <w:tcPr>
            <w:tcW w:w="1064" w:type="dxa"/>
            <w:tcBorders>
              <w:top w:val="single" w:sz="4" w:space="0" w:color="A6A6A6" w:themeColor="background1" w:themeShade="A6"/>
              <w:left w:val="nil"/>
              <w:bottom w:val="double" w:sz="4" w:space="0" w:color="auto"/>
              <w:right w:val="single" w:sz="4" w:space="0" w:color="A6A6A6" w:themeColor="background1" w:themeShade="A6"/>
            </w:tcBorders>
            <w:vAlign w:val="center"/>
          </w:tcPr>
          <w:p w14:paraId="6B2D0EDF" w14:textId="25EE49AB"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1,025</w:t>
            </w:r>
          </w:p>
        </w:tc>
        <w:tc>
          <w:tcPr>
            <w:tcW w:w="1049" w:type="dxa"/>
            <w:tcBorders>
              <w:top w:val="single" w:sz="4" w:space="0" w:color="A6A6A6" w:themeColor="background1" w:themeShade="A6"/>
              <w:left w:val="single" w:sz="4" w:space="0" w:color="A6A6A6" w:themeColor="background1" w:themeShade="A6"/>
              <w:bottom w:val="double" w:sz="4" w:space="0" w:color="auto"/>
              <w:right w:val="double" w:sz="6" w:space="0" w:color="auto"/>
            </w:tcBorders>
            <w:vAlign w:val="center"/>
          </w:tcPr>
          <w:p w14:paraId="497C7930" w14:textId="76D08800"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690</w:t>
            </w:r>
          </w:p>
        </w:tc>
      </w:tr>
      <w:tr w:rsidR="00F44114" w:rsidRPr="009C7D53" w14:paraId="4D28C200" w14:textId="474208AB" w:rsidTr="009748AD">
        <w:trPr>
          <w:trHeight w:val="225"/>
          <w:jc w:val="center"/>
        </w:trPr>
        <w:tc>
          <w:tcPr>
            <w:tcW w:w="2874" w:type="dxa"/>
            <w:tcBorders>
              <w:top w:val="double" w:sz="4" w:space="0" w:color="auto"/>
            </w:tcBorders>
            <w:shd w:val="clear" w:color="auto" w:fill="auto"/>
            <w:noWrap/>
            <w:vAlign w:val="center"/>
          </w:tcPr>
          <w:p w14:paraId="771A1F23" w14:textId="77777777" w:rsidR="00F44114" w:rsidRDefault="00F44114" w:rsidP="00F77388">
            <w:pPr>
              <w:spacing w:before="0" w:after="0"/>
              <w:rPr>
                <w:rFonts w:ascii="Arial" w:hAnsi="Arial" w:cs="Arial"/>
                <w:bCs/>
                <w:color w:val="000000"/>
                <w:sz w:val="16"/>
                <w:szCs w:val="16"/>
                <w:lang w:val="en-AU" w:eastAsia="en-AU"/>
              </w:rPr>
            </w:pPr>
            <w:r w:rsidRPr="009C7D53">
              <w:rPr>
                <w:rFonts w:ascii="Arial" w:hAnsi="Arial" w:cs="Arial"/>
                <w:bCs/>
                <w:color w:val="000000"/>
                <w:sz w:val="16"/>
                <w:szCs w:val="16"/>
                <w:lang w:val="en-AU" w:eastAsia="en-AU"/>
              </w:rPr>
              <w:t>Continued on next page</w:t>
            </w:r>
          </w:p>
          <w:p w14:paraId="40297375" w14:textId="77777777" w:rsidR="00F44114" w:rsidRPr="009C7D53" w:rsidRDefault="00F44114" w:rsidP="00F77388">
            <w:pPr>
              <w:spacing w:before="0" w:after="0"/>
              <w:rPr>
                <w:rFonts w:ascii="Arial" w:hAnsi="Arial" w:cs="Arial"/>
                <w:bCs/>
                <w:color w:val="000000"/>
                <w:sz w:val="16"/>
                <w:szCs w:val="16"/>
                <w:lang w:val="en-AU" w:eastAsia="en-AU"/>
              </w:rPr>
            </w:pPr>
          </w:p>
        </w:tc>
        <w:tc>
          <w:tcPr>
            <w:tcW w:w="734" w:type="dxa"/>
            <w:tcBorders>
              <w:top w:val="double" w:sz="4" w:space="0" w:color="auto"/>
            </w:tcBorders>
            <w:shd w:val="clear" w:color="auto" w:fill="auto"/>
            <w:noWrap/>
            <w:vAlign w:val="center"/>
          </w:tcPr>
          <w:p w14:paraId="113F1F28" w14:textId="77777777" w:rsidR="00F44114" w:rsidRPr="009C7D53" w:rsidRDefault="00F44114"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D9AF83B" w14:textId="77777777" w:rsidR="00F44114" w:rsidRPr="009C7D53" w:rsidRDefault="00F44114"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7D31B9D5" w14:textId="77777777" w:rsidR="00F44114" w:rsidRPr="009C7D53" w:rsidRDefault="00F44114"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77B32EBD" w14:textId="77777777" w:rsidR="00F44114" w:rsidRPr="009C7D53" w:rsidRDefault="00F44114"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0150D5C" w14:textId="77777777" w:rsidR="00F44114" w:rsidRPr="009C7D53" w:rsidRDefault="00F44114" w:rsidP="00F77388">
            <w:pPr>
              <w:spacing w:before="0" w:after="0"/>
              <w:jc w:val="center"/>
              <w:rPr>
                <w:rFonts w:ascii="Arial" w:hAnsi="Arial" w:cs="Arial"/>
                <w:color w:val="000000"/>
                <w:sz w:val="16"/>
                <w:szCs w:val="16"/>
                <w:lang w:val="en-AU" w:eastAsia="en-AU"/>
              </w:rPr>
            </w:pPr>
          </w:p>
        </w:tc>
        <w:tc>
          <w:tcPr>
            <w:tcW w:w="617" w:type="dxa"/>
            <w:tcBorders>
              <w:top w:val="double" w:sz="4" w:space="0" w:color="auto"/>
            </w:tcBorders>
            <w:shd w:val="clear" w:color="auto" w:fill="auto"/>
            <w:noWrap/>
            <w:vAlign w:val="center"/>
          </w:tcPr>
          <w:p w14:paraId="32AE5046" w14:textId="77777777" w:rsidR="00F44114" w:rsidRPr="009C7D53" w:rsidRDefault="00F44114" w:rsidP="00F77388">
            <w:pPr>
              <w:spacing w:before="0" w:after="0"/>
              <w:jc w:val="center"/>
              <w:rPr>
                <w:rFonts w:ascii="Arial" w:hAnsi="Arial" w:cs="Arial"/>
                <w:color w:val="000000"/>
                <w:sz w:val="16"/>
                <w:szCs w:val="16"/>
                <w:lang w:val="en-AU" w:eastAsia="en-AU"/>
              </w:rPr>
            </w:pPr>
          </w:p>
        </w:tc>
        <w:tc>
          <w:tcPr>
            <w:tcW w:w="1120" w:type="dxa"/>
            <w:tcBorders>
              <w:top w:val="double" w:sz="4" w:space="0" w:color="auto"/>
            </w:tcBorders>
            <w:shd w:val="clear" w:color="auto" w:fill="auto"/>
            <w:noWrap/>
            <w:vAlign w:val="center"/>
          </w:tcPr>
          <w:p w14:paraId="644A5CB4" w14:textId="77777777" w:rsidR="00F44114" w:rsidRPr="009C7D53" w:rsidRDefault="00F44114" w:rsidP="00F77388">
            <w:pPr>
              <w:spacing w:before="0" w:after="0"/>
              <w:jc w:val="center"/>
              <w:rPr>
                <w:rFonts w:ascii="Arial" w:hAnsi="Arial" w:cs="Arial"/>
                <w:color w:val="000000"/>
                <w:sz w:val="16"/>
                <w:szCs w:val="16"/>
                <w:lang w:val="en-AU" w:eastAsia="en-AU"/>
              </w:rPr>
            </w:pPr>
          </w:p>
        </w:tc>
        <w:tc>
          <w:tcPr>
            <w:tcW w:w="880" w:type="dxa"/>
            <w:tcBorders>
              <w:top w:val="double" w:sz="4" w:space="0" w:color="auto"/>
            </w:tcBorders>
            <w:shd w:val="clear" w:color="auto" w:fill="auto"/>
            <w:noWrap/>
            <w:vAlign w:val="center"/>
          </w:tcPr>
          <w:p w14:paraId="13D345FA" w14:textId="77777777" w:rsidR="00F44114" w:rsidRPr="009C7D53" w:rsidRDefault="00F44114" w:rsidP="00F77388">
            <w:pPr>
              <w:spacing w:before="0" w:after="0"/>
              <w:jc w:val="center"/>
              <w:rPr>
                <w:rFonts w:ascii="Arial" w:hAnsi="Arial" w:cs="Arial"/>
                <w:color w:val="000000"/>
                <w:sz w:val="16"/>
                <w:szCs w:val="16"/>
                <w:lang w:val="en-AU" w:eastAsia="en-AU"/>
              </w:rPr>
            </w:pPr>
          </w:p>
        </w:tc>
        <w:tc>
          <w:tcPr>
            <w:tcW w:w="1119" w:type="dxa"/>
            <w:tcBorders>
              <w:top w:val="double" w:sz="4" w:space="0" w:color="auto"/>
            </w:tcBorders>
            <w:shd w:val="clear" w:color="auto" w:fill="auto"/>
            <w:noWrap/>
            <w:vAlign w:val="center"/>
          </w:tcPr>
          <w:p w14:paraId="2B304078" w14:textId="77777777" w:rsidR="00F44114" w:rsidRPr="009C7D53" w:rsidRDefault="00F44114" w:rsidP="00F77388">
            <w:pPr>
              <w:spacing w:before="0" w:after="0"/>
              <w:jc w:val="center"/>
              <w:rPr>
                <w:rFonts w:ascii="Arial" w:hAnsi="Arial" w:cs="Arial"/>
                <w:color w:val="000000"/>
                <w:sz w:val="16"/>
                <w:szCs w:val="16"/>
                <w:lang w:val="en-AU" w:eastAsia="en-AU"/>
              </w:rPr>
            </w:pPr>
          </w:p>
        </w:tc>
        <w:tc>
          <w:tcPr>
            <w:tcW w:w="721" w:type="dxa"/>
            <w:tcBorders>
              <w:top w:val="double" w:sz="4" w:space="0" w:color="auto"/>
            </w:tcBorders>
            <w:shd w:val="clear" w:color="auto" w:fill="auto"/>
            <w:noWrap/>
            <w:vAlign w:val="center"/>
          </w:tcPr>
          <w:p w14:paraId="7525FB5B" w14:textId="77777777" w:rsidR="00F44114" w:rsidRPr="009C7D53" w:rsidRDefault="00F44114" w:rsidP="00F77388">
            <w:pPr>
              <w:spacing w:before="0" w:after="0"/>
              <w:jc w:val="center"/>
              <w:rPr>
                <w:rFonts w:ascii="Arial" w:hAnsi="Arial" w:cs="Arial"/>
                <w:color w:val="000000"/>
                <w:sz w:val="16"/>
                <w:szCs w:val="16"/>
                <w:lang w:val="en-AU" w:eastAsia="en-AU"/>
              </w:rPr>
            </w:pPr>
          </w:p>
        </w:tc>
        <w:tc>
          <w:tcPr>
            <w:tcW w:w="1064" w:type="dxa"/>
            <w:tcBorders>
              <w:top w:val="double" w:sz="4" w:space="0" w:color="auto"/>
            </w:tcBorders>
            <w:vAlign w:val="center"/>
          </w:tcPr>
          <w:p w14:paraId="375F5133" w14:textId="6B5BF8CD" w:rsidR="00F44114" w:rsidRPr="009C7D53" w:rsidRDefault="00F44114" w:rsidP="00F77388">
            <w:pPr>
              <w:spacing w:before="0" w:after="0"/>
              <w:jc w:val="center"/>
              <w:rPr>
                <w:rFonts w:ascii="Arial" w:hAnsi="Arial" w:cs="Arial"/>
                <w:color w:val="000000"/>
                <w:sz w:val="16"/>
                <w:szCs w:val="16"/>
                <w:lang w:val="en-AU" w:eastAsia="en-AU"/>
              </w:rPr>
            </w:pPr>
          </w:p>
        </w:tc>
        <w:tc>
          <w:tcPr>
            <w:tcW w:w="1049" w:type="dxa"/>
            <w:tcBorders>
              <w:top w:val="double" w:sz="4" w:space="0" w:color="auto"/>
            </w:tcBorders>
            <w:vAlign w:val="center"/>
          </w:tcPr>
          <w:p w14:paraId="4B5366FB" w14:textId="4264CE34" w:rsidR="00F44114" w:rsidRPr="009C7D53" w:rsidRDefault="00F44114" w:rsidP="00F77388">
            <w:pPr>
              <w:spacing w:before="0" w:after="0"/>
              <w:jc w:val="center"/>
              <w:rPr>
                <w:rFonts w:ascii="Arial" w:hAnsi="Arial" w:cs="Arial"/>
                <w:color w:val="000000"/>
                <w:sz w:val="16"/>
                <w:szCs w:val="16"/>
                <w:lang w:val="en-AU" w:eastAsia="en-AU"/>
              </w:rPr>
            </w:pPr>
          </w:p>
        </w:tc>
      </w:tr>
      <w:tr w:rsidR="00F44114" w:rsidRPr="009C7D53" w14:paraId="4D65B023" w14:textId="59A2835F" w:rsidTr="009748AD">
        <w:trPr>
          <w:trHeight w:val="225"/>
          <w:jc w:val="center"/>
        </w:trPr>
        <w:tc>
          <w:tcPr>
            <w:tcW w:w="2874" w:type="dxa"/>
            <w:tcBorders>
              <w:left w:val="double" w:sz="6" w:space="0" w:color="auto"/>
              <w:bottom w:val="single" w:sz="4" w:space="0" w:color="BFBFBF"/>
              <w:right w:val="nil"/>
            </w:tcBorders>
            <w:shd w:val="clear" w:color="auto" w:fill="auto"/>
            <w:noWrap/>
            <w:vAlign w:val="center"/>
          </w:tcPr>
          <w:p w14:paraId="2FA7623A" w14:textId="77777777" w:rsidR="00F44114" w:rsidRPr="009C7D53" w:rsidRDefault="00F44114" w:rsidP="00F77388">
            <w:pPr>
              <w:spacing w:before="0" w:after="0"/>
              <w:rPr>
                <w:rFonts w:ascii="Arial" w:hAnsi="Arial" w:cs="Arial"/>
                <w:b/>
                <w:bCs/>
                <w:color w:val="000000"/>
                <w:sz w:val="16"/>
                <w:szCs w:val="16"/>
                <w:lang w:val="en-AU" w:eastAsia="en-AU"/>
              </w:rPr>
            </w:pPr>
          </w:p>
          <w:p w14:paraId="437017F2" w14:textId="77777777" w:rsidR="00F44114" w:rsidRPr="009C7D53" w:rsidRDefault="00F44114"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Household Size -</w:t>
            </w:r>
          </w:p>
        </w:tc>
        <w:tc>
          <w:tcPr>
            <w:tcW w:w="734" w:type="dxa"/>
            <w:tcBorders>
              <w:left w:val="single" w:sz="4" w:space="0" w:color="auto"/>
              <w:bottom w:val="single" w:sz="4" w:space="0" w:color="BFBFBF"/>
              <w:right w:val="single" w:sz="4" w:space="0" w:color="BFBFBF"/>
            </w:tcBorders>
            <w:shd w:val="clear" w:color="auto" w:fill="auto"/>
            <w:noWrap/>
            <w:vAlign w:val="center"/>
          </w:tcPr>
          <w:p w14:paraId="3E5386B1"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2562FDBC"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61ACC912"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auto"/>
            </w:tcBorders>
            <w:shd w:val="clear" w:color="auto" w:fill="auto"/>
            <w:noWrap/>
            <w:vAlign w:val="center"/>
          </w:tcPr>
          <w:p w14:paraId="3CAAA51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798C05E5"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left w:val="nil"/>
              <w:bottom w:val="single" w:sz="4" w:space="0" w:color="BFBFBF"/>
              <w:right w:val="nil"/>
            </w:tcBorders>
            <w:shd w:val="clear" w:color="auto" w:fill="auto"/>
            <w:noWrap/>
            <w:vAlign w:val="center"/>
          </w:tcPr>
          <w:p w14:paraId="0BCB1848"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120" w:type="dxa"/>
            <w:tcBorders>
              <w:left w:val="single" w:sz="4" w:space="0" w:color="auto"/>
              <w:bottom w:val="single" w:sz="4" w:space="0" w:color="BFBFBF"/>
              <w:right w:val="single" w:sz="4" w:space="0" w:color="BFBFBF"/>
            </w:tcBorders>
            <w:shd w:val="clear" w:color="auto" w:fill="auto"/>
            <w:noWrap/>
            <w:vAlign w:val="center"/>
          </w:tcPr>
          <w:p w14:paraId="096F3FD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80" w:type="dxa"/>
            <w:tcBorders>
              <w:left w:val="nil"/>
              <w:bottom w:val="single" w:sz="4" w:space="0" w:color="BFBFBF"/>
              <w:right w:val="single" w:sz="4" w:space="0" w:color="BFBFBF"/>
            </w:tcBorders>
            <w:shd w:val="clear" w:color="auto" w:fill="auto"/>
            <w:noWrap/>
            <w:vAlign w:val="center"/>
          </w:tcPr>
          <w:p w14:paraId="0BF047F0"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119" w:type="dxa"/>
            <w:tcBorders>
              <w:left w:val="nil"/>
              <w:bottom w:val="single" w:sz="4" w:space="0" w:color="BFBFBF"/>
              <w:right w:val="single" w:sz="4" w:space="0" w:color="BFBFBF"/>
            </w:tcBorders>
            <w:shd w:val="clear" w:color="auto" w:fill="auto"/>
            <w:noWrap/>
            <w:vAlign w:val="center"/>
          </w:tcPr>
          <w:p w14:paraId="1C04843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21" w:type="dxa"/>
            <w:tcBorders>
              <w:left w:val="nil"/>
              <w:bottom w:val="single" w:sz="4" w:space="0" w:color="BFBFBF"/>
              <w:right w:val="double" w:sz="6" w:space="0" w:color="auto"/>
            </w:tcBorders>
            <w:shd w:val="clear" w:color="auto" w:fill="auto"/>
            <w:noWrap/>
            <w:vAlign w:val="center"/>
          </w:tcPr>
          <w:p w14:paraId="7450735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064" w:type="dxa"/>
            <w:tcBorders>
              <w:left w:val="nil"/>
              <w:bottom w:val="single" w:sz="4" w:space="0" w:color="A6A6A6" w:themeColor="background1" w:themeShade="A6"/>
              <w:right w:val="single" w:sz="4" w:space="0" w:color="A6A6A6" w:themeColor="background1" w:themeShade="A6"/>
            </w:tcBorders>
            <w:vAlign w:val="center"/>
          </w:tcPr>
          <w:p w14:paraId="40CDCA63" w14:textId="13E7B92D" w:rsidR="00F44114" w:rsidRPr="009C7D53" w:rsidRDefault="00F44114" w:rsidP="00F77388">
            <w:pPr>
              <w:spacing w:before="0" w:after="0"/>
              <w:jc w:val="center"/>
              <w:rPr>
                <w:rFonts w:ascii="Arial" w:hAnsi="Arial" w:cs="Arial"/>
                <w:color w:val="000000"/>
                <w:sz w:val="16"/>
                <w:szCs w:val="16"/>
                <w:lang w:val="en-AU" w:eastAsia="en-AU"/>
              </w:rPr>
            </w:pPr>
          </w:p>
        </w:tc>
        <w:tc>
          <w:tcPr>
            <w:tcW w:w="1049" w:type="dxa"/>
            <w:tcBorders>
              <w:left w:val="single" w:sz="4" w:space="0" w:color="A6A6A6" w:themeColor="background1" w:themeShade="A6"/>
              <w:bottom w:val="single" w:sz="4" w:space="0" w:color="A6A6A6" w:themeColor="background1" w:themeShade="A6"/>
              <w:right w:val="double" w:sz="6" w:space="0" w:color="auto"/>
            </w:tcBorders>
            <w:vAlign w:val="center"/>
          </w:tcPr>
          <w:p w14:paraId="4A96CBB2" w14:textId="515A6529" w:rsidR="00F44114" w:rsidRPr="009C7D53" w:rsidRDefault="00F44114" w:rsidP="00F77388">
            <w:pPr>
              <w:spacing w:before="0" w:after="0"/>
              <w:jc w:val="center"/>
              <w:rPr>
                <w:rFonts w:ascii="Arial" w:hAnsi="Arial" w:cs="Arial"/>
                <w:color w:val="000000"/>
                <w:sz w:val="16"/>
                <w:szCs w:val="16"/>
                <w:lang w:val="en-AU" w:eastAsia="en-AU"/>
              </w:rPr>
            </w:pPr>
          </w:p>
        </w:tc>
      </w:tr>
      <w:tr w:rsidR="00F44114" w:rsidRPr="009C7D53" w14:paraId="52C60826" w14:textId="161152FE"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51231F55"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1 person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B75D9F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0336D92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216</w:t>
            </w:r>
          </w:p>
        </w:tc>
        <w:tc>
          <w:tcPr>
            <w:tcW w:w="734" w:type="dxa"/>
            <w:tcBorders>
              <w:top w:val="nil"/>
              <w:left w:val="nil"/>
              <w:bottom w:val="single" w:sz="4" w:space="0" w:color="BFBFBF"/>
              <w:right w:val="single" w:sz="4" w:space="0" w:color="BFBFBF"/>
            </w:tcBorders>
            <w:shd w:val="clear" w:color="auto" w:fill="auto"/>
            <w:noWrap/>
            <w:vAlign w:val="center"/>
          </w:tcPr>
          <w:p w14:paraId="6A34940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98%</w:t>
            </w:r>
          </w:p>
        </w:tc>
        <w:tc>
          <w:tcPr>
            <w:tcW w:w="734" w:type="dxa"/>
            <w:tcBorders>
              <w:top w:val="nil"/>
              <w:left w:val="nil"/>
              <w:bottom w:val="single" w:sz="4" w:space="0" w:color="BFBFBF"/>
              <w:right w:val="single" w:sz="4" w:space="0" w:color="auto"/>
            </w:tcBorders>
            <w:shd w:val="clear" w:color="auto" w:fill="auto"/>
            <w:noWrap/>
            <w:vAlign w:val="center"/>
          </w:tcPr>
          <w:p w14:paraId="7E1F2CC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116</w:t>
            </w:r>
          </w:p>
        </w:tc>
        <w:tc>
          <w:tcPr>
            <w:tcW w:w="734" w:type="dxa"/>
            <w:tcBorders>
              <w:top w:val="nil"/>
              <w:left w:val="nil"/>
              <w:bottom w:val="single" w:sz="4" w:space="0" w:color="BFBFBF"/>
              <w:right w:val="single" w:sz="4" w:space="0" w:color="BFBFBF"/>
            </w:tcBorders>
            <w:shd w:val="clear" w:color="auto" w:fill="auto"/>
            <w:noWrap/>
            <w:vAlign w:val="center"/>
          </w:tcPr>
          <w:p w14:paraId="0D06B308"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w:t>
            </w:r>
          </w:p>
        </w:tc>
        <w:tc>
          <w:tcPr>
            <w:tcW w:w="617" w:type="dxa"/>
            <w:tcBorders>
              <w:top w:val="nil"/>
              <w:left w:val="nil"/>
              <w:bottom w:val="single" w:sz="4" w:space="0" w:color="BFBFBF"/>
              <w:right w:val="nil"/>
            </w:tcBorders>
            <w:shd w:val="clear" w:color="auto" w:fill="auto"/>
            <w:noWrap/>
            <w:vAlign w:val="center"/>
          </w:tcPr>
          <w:p w14:paraId="550EE570"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3784E7F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880" w:type="dxa"/>
            <w:tcBorders>
              <w:top w:val="nil"/>
              <w:left w:val="nil"/>
              <w:bottom w:val="single" w:sz="4" w:space="0" w:color="BFBFBF"/>
              <w:right w:val="single" w:sz="4" w:space="0" w:color="BFBFBF"/>
            </w:tcBorders>
            <w:shd w:val="clear" w:color="auto" w:fill="auto"/>
            <w:noWrap/>
            <w:vAlign w:val="center"/>
          </w:tcPr>
          <w:p w14:paraId="00C4706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30</w:t>
            </w:r>
          </w:p>
        </w:tc>
        <w:tc>
          <w:tcPr>
            <w:tcW w:w="1119" w:type="dxa"/>
            <w:tcBorders>
              <w:top w:val="nil"/>
              <w:left w:val="nil"/>
              <w:bottom w:val="single" w:sz="4" w:space="0" w:color="BFBFBF"/>
              <w:right w:val="single" w:sz="4" w:space="0" w:color="BFBFBF"/>
            </w:tcBorders>
            <w:shd w:val="clear" w:color="auto" w:fill="auto"/>
            <w:noWrap/>
            <w:vAlign w:val="center"/>
          </w:tcPr>
          <w:p w14:paraId="0B19390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w:t>
            </w:r>
          </w:p>
        </w:tc>
        <w:tc>
          <w:tcPr>
            <w:tcW w:w="721" w:type="dxa"/>
            <w:tcBorders>
              <w:top w:val="nil"/>
              <w:left w:val="nil"/>
              <w:bottom w:val="single" w:sz="4" w:space="0" w:color="BFBFBF"/>
              <w:right w:val="double" w:sz="6" w:space="0" w:color="auto"/>
            </w:tcBorders>
            <w:shd w:val="clear" w:color="auto" w:fill="auto"/>
            <w:noWrap/>
            <w:vAlign w:val="center"/>
          </w:tcPr>
          <w:p w14:paraId="61AD5C97"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92</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3351CAE" w14:textId="06767246"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782</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31A9A042" w14:textId="090A8A93"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509</w:t>
            </w:r>
          </w:p>
        </w:tc>
      </w:tr>
      <w:tr w:rsidR="00F44114" w:rsidRPr="009C7D53" w14:paraId="7ED4C244" w14:textId="5375D07A"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1233828F"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2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D2458E0"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6727AA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215</w:t>
            </w:r>
          </w:p>
        </w:tc>
        <w:tc>
          <w:tcPr>
            <w:tcW w:w="734" w:type="dxa"/>
            <w:tcBorders>
              <w:top w:val="nil"/>
              <w:left w:val="nil"/>
              <w:bottom w:val="single" w:sz="4" w:space="0" w:color="BFBFBF"/>
              <w:right w:val="single" w:sz="4" w:space="0" w:color="BFBFBF"/>
            </w:tcBorders>
            <w:shd w:val="clear" w:color="auto" w:fill="auto"/>
            <w:noWrap/>
            <w:vAlign w:val="center"/>
          </w:tcPr>
          <w:p w14:paraId="00D8BE2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160485D6"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114</w:t>
            </w:r>
          </w:p>
        </w:tc>
        <w:tc>
          <w:tcPr>
            <w:tcW w:w="734" w:type="dxa"/>
            <w:tcBorders>
              <w:top w:val="nil"/>
              <w:left w:val="nil"/>
              <w:bottom w:val="single" w:sz="4" w:space="0" w:color="BFBFBF"/>
              <w:right w:val="single" w:sz="4" w:space="0" w:color="BFBFBF"/>
            </w:tcBorders>
            <w:shd w:val="clear" w:color="auto" w:fill="auto"/>
            <w:noWrap/>
            <w:vAlign w:val="center"/>
          </w:tcPr>
          <w:p w14:paraId="468F3324"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c>
          <w:tcPr>
            <w:tcW w:w="617" w:type="dxa"/>
            <w:tcBorders>
              <w:top w:val="nil"/>
              <w:left w:val="nil"/>
              <w:bottom w:val="single" w:sz="4" w:space="0" w:color="BFBFBF"/>
              <w:right w:val="nil"/>
            </w:tcBorders>
            <w:shd w:val="clear" w:color="auto" w:fill="auto"/>
            <w:noWrap/>
            <w:vAlign w:val="center"/>
          </w:tcPr>
          <w:p w14:paraId="7EA9CD98"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53413CC0"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880" w:type="dxa"/>
            <w:tcBorders>
              <w:top w:val="nil"/>
              <w:left w:val="nil"/>
              <w:bottom w:val="single" w:sz="4" w:space="0" w:color="BFBFBF"/>
              <w:right w:val="single" w:sz="4" w:space="0" w:color="BFBFBF"/>
            </w:tcBorders>
            <w:shd w:val="clear" w:color="auto" w:fill="auto"/>
            <w:noWrap/>
            <w:vAlign w:val="center"/>
          </w:tcPr>
          <w:p w14:paraId="08C46766"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45</w:t>
            </w:r>
          </w:p>
        </w:tc>
        <w:tc>
          <w:tcPr>
            <w:tcW w:w="1119" w:type="dxa"/>
            <w:tcBorders>
              <w:top w:val="nil"/>
              <w:left w:val="nil"/>
              <w:bottom w:val="single" w:sz="4" w:space="0" w:color="BFBFBF"/>
              <w:right w:val="single" w:sz="4" w:space="0" w:color="BFBFBF"/>
            </w:tcBorders>
            <w:shd w:val="clear" w:color="auto" w:fill="auto"/>
            <w:noWrap/>
            <w:vAlign w:val="center"/>
          </w:tcPr>
          <w:p w14:paraId="71BF58C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w:t>
            </w:r>
          </w:p>
        </w:tc>
        <w:tc>
          <w:tcPr>
            <w:tcW w:w="721" w:type="dxa"/>
            <w:tcBorders>
              <w:top w:val="nil"/>
              <w:left w:val="nil"/>
              <w:bottom w:val="single" w:sz="4" w:space="0" w:color="BFBFBF"/>
              <w:right w:val="double" w:sz="6" w:space="0" w:color="auto"/>
            </w:tcBorders>
            <w:shd w:val="clear" w:color="auto" w:fill="auto"/>
            <w:noWrap/>
            <w:vAlign w:val="center"/>
          </w:tcPr>
          <w:p w14:paraId="54BD578E"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74B03C1" w14:textId="7472E425"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967</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69CBC39E" w14:textId="76A748DD"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632</w:t>
            </w:r>
          </w:p>
        </w:tc>
      </w:tr>
      <w:tr w:rsidR="00F44114" w:rsidRPr="009C7D53" w14:paraId="768CDD81" w14:textId="491C626F"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432DA92F"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3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9C03AE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6EA1818B"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212</w:t>
            </w:r>
          </w:p>
        </w:tc>
        <w:tc>
          <w:tcPr>
            <w:tcW w:w="734" w:type="dxa"/>
            <w:tcBorders>
              <w:top w:val="nil"/>
              <w:left w:val="nil"/>
              <w:bottom w:val="single" w:sz="4" w:space="0" w:color="BFBFBF"/>
              <w:right w:val="single" w:sz="4" w:space="0" w:color="BFBFBF"/>
            </w:tcBorders>
            <w:shd w:val="clear" w:color="auto" w:fill="auto"/>
            <w:noWrap/>
            <w:vAlign w:val="center"/>
          </w:tcPr>
          <w:p w14:paraId="44F39D78"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50ECD4B1"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114</w:t>
            </w:r>
          </w:p>
        </w:tc>
        <w:tc>
          <w:tcPr>
            <w:tcW w:w="734" w:type="dxa"/>
            <w:tcBorders>
              <w:top w:val="nil"/>
              <w:left w:val="nil"/>
              <w:bottom w:val="single" w:sz="4" w:space="0" w:color="BFBFBF"/>
              <w:right w:val="single" w:sz="4" w:space="0" w:color="BFBFBF"/>
            </w:tcBorders>
            <w:shd w:val="clear" w:color="auto" w:fill="auto"/>
            <w:noWrap/>
            <w:vAlign w:val="center"/>
          </w:tcPr>
          <w:p w14:paraId="28A86AC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w:t>
            </w:r>
          </w:p>
        </w:tc>
        <w:tc>
          <w:tcPr>
            <w:tcW w:w="617" w:type="dxa"/>
            <w:tcBorders>
              <w:top w:val="nil"/>
              <w:left w:val="nil"/>
              <w:bottom w:val="single" w:sz="4" w:space="0" w:color="BFBFBF"/>
              <w:right w:val="nil"/>
            </w:tcBorders>
            <w:shd w:val="clear" w:color="auto" w:fill="auto"/>
            <w:noWrap/>
            <w:vAlign w:val="center"/>
          </w:tcPr>
          <w:p w14:paraId="60165F3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55509168"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w:t>
            </w:r>
          </w:p>
        </w:tc>
        <w:tc>
          <w:tcPr>
            <w:tcW w:w="880" w:type="dxa"/>
            <w:tcBorders>
              <w:top w:val="nil"/>
              <w:left w:val="nil"/>
              <w:bottom w:val="single" w:sz="4" w:space="0" w:color="BFBFBF"/>
              <w:right w:val="single" w:sz="4" w:space="0" w:color="BFBFBF"/>
            </w:tcBorders>
            <w:shd w:val="clear" w:color="auto" w:fill="auto"/>
            <w:noWrap/>
            <w:vAlign w:val="center"/>
          </w:tcPr>
          <w:p w14:paraId="0EE7325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42</w:t>
            </w:r>
          </w:p>
        </w:tc>
        <w:tc>
          <w:tcPr>
            <w:tcW w:w="1119" w:type="dxa"/>
            <w:tcBorders>
              <w:top w:val="nil"/>
              <w:left w:val="nil"/>
              <w:bottom w:val="single" w:sz="4" w:space="0" w:color="BFBFBF"/>
              <w:right w:val="single" w:sz="4" w:space="0" w:color="BFBFBF"/>
            </w:tcBorders>
            <w:shd w:val="clear" w:color="auto" w:fill="auto"/>
            <w:noWrap/>
            <w:vAlign w:val="center"/>
          </w:tcPr>
          <w:p w14:paraId="56836BEE"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w:t>
            </w:r>
          </w:p>
        </w:tc>
        <w:tc>
          <w:tcPr>
            <w:tcW w:w="721" w:type="dxa"/>
            <w:tcBorders>
              <w:top w:val="nil"/>
              <w:left w:val="nil"/>
              <w:bottom w:val="single" w:sz="4" w:space="0" w:color="BFBFBF"/>
              <w:right w:val="double" w:sz="6" w:space="0" w:color="auto"/>
            </w:tcBorders>
            <w:shd w:val="clear" w:color="auto" w:fill="auto"/>
            <w:noWrap/>
            <w:vAlign w:val="center"/>
          </w:tcPr>
          <w:p w14:paraId="0AD05D02"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9139C22" w14:textId="418CED0D"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1,040</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60F91497" w14:textId="325B979C"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711</w:t>
            </w:r>
          </w:p>
        </w:tc>
      </w:tr>
      <w:tr w:rsidR="00F44114" w:rsidRPr="009C7D53" w14:paraId="5E649FB7" w14:textId="4E97BDA5"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151A9E85"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4 or more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9400326"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67C5906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216</w:t>
            </w:r>
          </w:p>
        </w:tc>
        <w:tc>
          <w:tcPr>
            <w:tcW w:w="734" w:type="dxa"/>
            <w:tcBorders>
              <w:top w:val="nil"/>
              <w:left w:val="nil"/>
              <w:bottom w:val="single" w:sz="4" w:space="0" w:color="BFBFBF"/>
              <w:right w:val="single" w:sz="4" w:space="0" w:color="BFBFBF"/>
            </w:tcBorders>
            <w:shd w:val="clear" w:color="auto" w:fill="auto"/>
            <w:noWrap/>
            <w:vAlign w:val="center"/>
          </w:tcPr>
          <w:p w14:paraId="2142E50B"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1E598DFF"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115</w:t>
            </w:r>
          </w:p>
        </w:tc>
        <w:tc>
          <w:tcPr>
            <w:tcW w:w="734" w:type="dxa"/>
            <w:tcBorders>
              <w:top w:val="nil"/>
              <w:left w:val="nil"/>
              <w:bottom w:val="single" w:sz="4" w:space="0" w:color="BFBFBF"/>
              <w:right w:val="single" w:sz="4" w:space="0" w:color="BFBFBF"/>
            </w:tcBorders>
            <w:shd w:val="clear" w:color="auto" w:fill="auto"/>
            <w:noWrap/>
            <w:vAlign w:val="center"/>
          </w:tcPr>
          <w:p w14:paraId="6CA92F8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w:t>
            </w:r>
          </w:p>
        </w:tc>
        <w:tc>
          <w:tcPr>
            <w:tcW w:w="617" w:type="dxa"/>
            <w:tcBorders>
              <w:top w:val="nil"/>
              <w:left w:val="nil"/>
              <w:bottom w:val="single" w:sz="4" w:space="0" w:color="BFBFBF"/>
              <w:right w:val="nil"/>
            </w:tcBorders>
            <w:shd w:val="clear" w:color="auto" w:fill="auto"/>
            <w:noWrap/>
            <w:vAlign w:val="center"/>
          </w:tcPr>
          <w:p w14:paraId="31920BB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33</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4AD9317E"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880" w:type="dxa"/>
            <w:tcBorders>
              <w:top w:val="nil"/>
              <w:left w:val="nil"/>
              <w:bottom w:val="single" w:sz="4" w:space="0" w:color="BFBFBF"/>
              <w:right w:val="single" w:sz="4" w:space="0" w:color="BFBFBF"/>
            </w:tcBorders>
            <w:shd w:val="clear" w:color="auto" w:fill="auto"/>
            <w:noWrap/>
            <w:vAlign w:val="center"/>
          </w:tcPr>
          <w:p w14:paraId="094C94D4"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27</w:t>
            </w:r>
          </w:p>
        </w:tc>
        <w:tc>
          <w:tcPr>
            <w:tcW w:w="1119" w:type="dxa"/>
            <w:tcBorders>
              <w:top w:val="nil"/>
              <w:left w:val="nil"/>
              <w:bottom w:val="single" w:sz="4" w:space="0" w:color="BFBFBF"/>
              <w:right w:val="single" w:sz="4" w:space="0" w:color="BFBFBF"/>
            </w:tcBorders>
            <w:shd w:val="clear" w:color="auto" w:fill="auto"/>
            <w:noWrap/>
            <w:vAlign w:val="center"/>
          </w:tcPr>
          <w:p w14:paraId="59F64BA0"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w:t>
            </w:r>
          </w:p>
        </w:tc>
        <w:tc>
          <w:tcPr>
            <w:tcW w:w="721" w:type="dxa"/>
            <w:tcBorders>
              <w:top w:val="nil"/>
              <w:left w:val="nil"/>
              <w:bottom w:val="single" w:sz="4" w:space="0" w:color="BFBFBF"/>
              <w:right w:val="double" w:sz="6" w:space="0" w:color="auto"/>
            </w:tcBorders>
            <w:shd w:val="clear" w:color="auto" w:fill="auto"/>
            <w:noWrap/>
            <w:vAlign w:val="center"/>
          </w:tcPr>
          <w:p w14:paraId="58C02552"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33</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ADCBB09" w14:textId="566EF3F2"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1,173</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2E534626" w14:textId="2827C153"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817</w:t>
            </w:r>
          </w:p>
        </w:tc>
      </w:tr>
      <w:tr w:rsidR="00F44114" w:rsidRPr="009C7D53" w14:paraId="4E363634" w14:textId="4BB6E629"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55502305" w14:textId="77777777" w:rsidR="00F44114" w:rsidRPr="009C7D53" w:rsidRDefault="00F44114"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Housing Status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E5C5419"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71348C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9DAEFBF"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5F2C7835"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80C72F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nil"/>
            </w:tcBorders>
            <w:shd w:val="clear" w:color="auto" w:fill="auto"/>
            <w:noWrap/>
            <w:vAlign w:val="center"/>
          </w:tcPr>
          <w:p w14:paraId="20A3C5F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45EEC38A"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880" w:type="dxa"/>
            <w:tcBorders>
              <w:top w:val="nil"/>
              <w:left w:val="nil"/>
              <w:bottom w:val="single" w:sz="4" w:space="0" w:color="BFBFBF"/>
              <w:right w:val="single" w:sz="4" w:space="0" w:color="BFBFBF"/>
            </w:tcBorders>
            <w:shd w:val="clear" w:color="auto" w:fill="auto"/>
            <w:noWrap/>
            <w:vAlign w:val="center"/>
          </w:tcPr>
          <w:p w14:paraId="73D0560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119" w:type="dxa"/>
            <w:tcBorders>
              <w:top w:val="nil"/>
              <w:left w:val="nil"/>
              <w:bottom w:val="single" w:sz="4" w:space="0" w:color="BFBFBF"/>
              <w:right w:val="single" w:sz="4" w:space="0" w:color="BFBFBF"/>
            </w:tcBorders>
            <w:shd w:val="clear" w:color="auto" w:fill="auto"/>
            <w:noWrap/>
            <w:vAlign w:val="center"/>
          </w:tcPr>
          <w:p w14:paraId="1A823785"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21" w:type="dxa"/>
            <w:tcBorders>
              <w:top w:val="nil"/>
              <w:left w:val="nil"/>
              <w:bottom w:val="single" w:sz="4" w:space="0" w:color="BFBFBF"/>
              <w:right w:val="double" w:sz="6" w:space="0" w:color="auto"/>
            </w:tcBorders>
            <w:shd w:val="clear" w:color="auto" w:fill="auto"/>
            <w:noWrap/>
            <w:vAlign w:val="center"/>
          </w:tcPr>
          <w:p w14:paraId="1098BA78"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3001AAC" w14:textId="33B0076C" w:rsidR="00F44114" w:rsidRPr="009C7D53" w:rsidRDefault="00F44114" w:rsidP="00F77388">
            <w:pPr>
              <w:spacing w:before="0" w:after="0"/>
              <w:jc w:val="center"/>
              <w:rPr>
                <w:rFonts w:ascii="Arial" w:hAnsi="Arial" w:cs="Arial"/>
                <w:color w:val="000000"/>
                <w:sz w:val="16"/>
                <w:szCs w:val="16"/>
                <w:lang w:val="en-AU" w:eastAsia="en-AU"/>
              </w:rPr>
            </w:pP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42A8A23D" w14:textId="03199101" w:rsidR="00F44114" w:rsidRPr="009C7D53" w:rsidRDefault="00F44114" w:rsidP="00F77388">
            <w:pPr>
              <w:spacing w:before="0" w:after="0"/>
              <w:jc w:val="center"/>
              <w:rPr>
                <w:rFonts w:ascii="Arial" w:hAnsi="Arial" w:cs="Arial"/>
                <w:color w:val="000000"/>
                <w:sz w:val="16"/>
                <w:szCs w:val="16"/>
                <w:lang w:val="en-AU" w:eastAsia="en-AU"/>
              </w:rPr>
            </w:pPr>
          </w:p>
        </w:tc>
      </w:tr>
      <w:tr w:rsidR="00F44114" w:rsidRPr="009C7D53" w14:paraId="2295385A" w14:textId="5A64D4DA"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10CA53F7"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Owned/paid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D03F3D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BAF238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216</w:t>
            </w:r>
          </w:p>
        </w:tc>
        <w:tc>
          <w:tcPr>
            <w:tcW w:w="734" w:type="dxa"/>
            <w:tcBorders>
              <w:top w:val="nil"/>
              <w:left w:val="nil"/>
              <w:bottom w:val="single" w:sz="4" w:space="0" w:color="BFBFBF"/>
              <w:right w:val="single" w:sz="4" w:space="0" w:color="BFBFBF"/>
            </w:tcBorders>
            <w:shd w:val="clear" w:color="auto" w:fill="auto"/>
            <w:noWrap/>
            <w:vAlign w:val="center"/>
          </w:tcPr>
          <w:p w14:paraId="68F3AFE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67AF853C"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115</w:t>
            </w:r>
          </w:p>
        </w:tc>
        <w:tc>
          <w:tcPr>
            <w:tcW w:w="734" w:type="dxa"/>
            <w:tcBorders>
              <w:top w:val="nil"/>
              <w:left w:val="nil"/>
              <w:bottom w:val="single" w:sz="4" w:space="0" w:color="BFBFBF"/>
              <w:right w:val="single" w:sz="4" w:space="0" w:color="BFBFBF"/>
            </w:tcBorders>
            <w:shd w:val="clear" w:color="auto" w:fill="auto"/>
            <w:noWrap/>
            <w:vAlign w:val="center"/>
          </w:tcPr>
          <w:p w14:paraId="53972C9B"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w:t>
            </w:r>
          </w:p>
        </w:tc>
        <w:tc>
          <w:tcPr>
            <w:tcW w:w="617" w:type="dxa"/>
            <w:tcBorders>
              <w:top w:val="nil"/>
              <w:left w:val="nil"/>
              <w:bottom w:val="single" w:sz="4" w:space="0" w:color="BFBFBF"/>
              <w:right w:val="nil"/>
            </w:tcBorders>
            <w:shd w:val="clear" w:color="auto" w:fill="auto"/>
            <w:noWrap/>
            <w:vAlign w:val="center"/>
          </w:tcPr>
          <w:p w14:paraId="69972008"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23</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65B4B80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17%</w:t>
            </w:r>
          </w:p>
        </w:tc>
        <w:tc>
          <w:tcPr>
            <w:tcW w:w="880" w:type="dxa"/>
            <w:tcBorders>
              <w:top w:val="nil"/>
              <w:left w:val="nil"/>
              <w:bottom w:val="single" w:sz="4" w:space="0" w:color="BFBFBF"/>
              <w:right w:val="single" w:sz="4" w:space="0" w:color="BFBFBF"/>
            </w:tcBorders>
            <w:shd w:val="clear" w:color="auto" w:fill="auto"/>
            <w:noWrap/>
            <w:vAlign w:val="center"/>
          </w:tcPr>
          <w:p w14:paraId="6105F98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33</w:t>
            </w:r>
          </w:p>
        </w:tc>
        <w:tc>
          <w:tcPr>
            <w:tcW w:w="1119" w:type="dxa"/>
            <w:tcBorders>
              <w:top w:val="nil"/>
              <w:left w:val="nil"/>
              <w:bottom w:val="single" w:sz="4" w:space="0" w:color="BFBFBF"/>
              <w:right w:val="single" w:sz="4" w:space="0" w:color="BFBFBF"/>
            </w:tcBorders>
            <w:shd w:val="clear" w:color="auto" w:fill="auto"/>
            <w:noWrap/>
            <w:vAlign w:val="center"/>
          </w:tcPr>
          <w:p w14:paraId="3D42A754"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721" w:type="dxa"/>
            <w:tcBorders>
              <w:top w:val="nil"/>
              <w:left w:val="nil"/>
              <w:bottom w:val="single" w:sz="4" w:space="0" w:color="BFBFBF"/>
              <w:right w:val="double" w:sz="6" w:space="0" w:color="auto"/>
            </w:tcBorders>
            <w:shd w:val="clear" w:color="auto" w:fill="auto"/>
            <w:noWrap/>
            <w:vAlign w:val="center"/>
          </w:tcPr>
          <w:p w14:paraId="411A21F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43124FB" w14:textId="79917E27"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1,003</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69468F1A" w14:textId="5C7DFDEF"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672</w:t>
            </w:r>
          </w:p>
        </w:tc>
      </w:tr>
      <w:tr w:rsidR="00F44114" w:rsidRPr="009C7D53" w14:paraId="5E3C7470" w14:textId="52ECC577"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519F9CB3"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Buying/paying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34B6E38"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2FD04977"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214</w:t>
            </w:r>
          </w:p>
        </w:tc>
        <w:tc>
          <w:tcPr>
            <w:tcW w:w="734" w:type="dxa"/>
            <w:tcBorders>
              <w:top w:val="nil"/>
              <w:left w:val="nil"/>
              <w:bottom w:val="single" w:sz="4" w:space="0" w:color="BFBFBF"/>
              <w:right w:val="single" w:sz="4" w:space="0" w:color="BFBFBF"/>
            </w:tcBorders>
            <w:shd w:val="clear" w:color="auto" w:fill="auto"/>
            <w:noWrap/>
            <w:vAlign w:val="center"/>
          </w:tcPr>
          <w:p w14:paraId="649F1C17"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47059198"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114</w:t>
            </w:r>
          </w:p>
        </w:tc>
        <w:tc>
          <w:tcPr>
            <w:tcW w:w="734" w:type="dxa"/>
            <w:tcBorders>
              <w:top w:val="nil"/>
              <w:left w:val="nil"/>
              <w:bottom w:val="single" w:sz="4" w:space="0" w:color="BFBFBF"/>
              <w:right w:val="single" w:sz="4" w:space="0" w:color="BFBFBF"/>
            </w:tcBorders>
            <w:shd w:val="clear" w:color="auto" w:fill="auto"/>
            <w:noWrap/>
            <w:vAlign w:val="center"/>
          </w:tcPr>
          <w:p w14:paraId="3BAF5BFF"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c>
          <w:tcPr>
            <w:tcW w:w="617" w:type="dxa"/>
            <w:tcBorders>
              <w:top w:val="nil"/>
              <w:left w:val="nil"/>
              <w:bottom w:val="single" w:sz="4" w:space="0" w:color="BFBFBF"/>
              <w:right w:val="nil"/>
            </w:tcBorders>
            <w:shd w:val="clear" w:color="auto" w:fill="auto"/>
            <w:noWrap/>
            <w:vAlign w:val="center"/>
          </w:tcPr>
          <w:p w14:paraId="51690F1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4673D950"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880" w:type="dxa"/>
            <w:tcBorders>
              <w:top w:val="nil"/>
              <w:left w:val="nil"/>
              <w:bottom w:val="single" w:sz="4" w:space="0" w:color="BFBFBF"/>
              <w:right w:val="single" w:sz="4" w:space="0" w:color="BFBFBF"/>
            </w:tcBorders>
            <w:shd w:val="clear" w:color="auto" w:fill="auto"/>
            <w:noWrap/>
            <w:vAlign w:val="center"/>
          </w:tcPr>
          <w:p w14:paraId="6564BF9B"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33</w:t>
            </w:r>
          </w:p>
        </w:tc>
        <w:tc>
          <w:tcPr>
            <w:tcW w:w="1119" w:type="dxa"/>
            <w:tcBorders>
              <w:top w:val="nil"/>
              <w:left w:val="nil"/>
              <w:bottom w:val="single" w:sz="4" w:space="0" w:color="BFBFBF"/>
              <w:right w:val="single" w:sz="4" w:space="0" w:color="BFBFBF"/>
            </w:tcBorders>
            <w:shd w:val="clear" w:color="auto" w:fill="auto"/>
            <w:noWrap/>
            <w:vAlign w:val="center"/>
          </w:tcPr>
          <w:p w14:paraId="65178C9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w:t>
            </w:r>
          </w:p>
        </w:tc>
        <w:tc>
          <w:tcPr>
            <w:tcW w:w="721" w:type="dxa"/>
            <w:tcBorders>
              <w:top w:val="nil"/>
              <w:left w:val="nil"/>
              <w:bottom w:val="single" w:sz="4" w:space="0" w:color="BFBFBF"/>
              <w:right w:val="double" w:sz="6" w:space="0" w:color="auto"/>
            </w:tcBorders>
            <w:shd w:val="clear" w:color="auto" w:fill="auto"/>
            <w:noWrap/>
            <w:vAlign w:val="center"/>
          </w:tcPr>
          <w:p w14:paraId="5378D97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0B04D80" w14:textId="5DA185F1"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1,031</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60604B15" w14:textId="1BB067D4"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712</w:t>
            </w:r>
          </w:p>
        </w:tc>
      </w:tr>
      <w:tr w:rsidR="00F44114" w:rsidRPr="009C7D53" w14:paraId="6229E4B3" w14:textId="692D5133"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504BD955"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Renting – Private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8DD7A4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3A7EA6D"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215</w:t>
            </w:r>
          </w:p>
        </w:tc>
        <w:tc>
          <w:tcPr>
            <w:tcW w:w="734" w:type="dxa"/>
            <w:tcBorders>
              <w:top w:val="nil"/>
              <w:left w:val="nil"/>
              <w:bottom w:val="single" w:sz="4" w:space="0" w:color="BFBFBF"/>
              <w:right w:val="single" w:sz="4" w:space="0" w:color="BFBFBF"/>
            </w:tcBorders>
            <w:shd w:val="clear" w:color="auto" w:fill="auto"/>
            <w:noWrap/>
            <w:vAlign w:val="center"/>
          </w:tcPr>
          <w:p w14:paraId="4BD93721"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6724DD87"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114</w:t>
            </w:r>
          </w:p>
        </w:tc>
        <w:tc>
          <w:tcPr>
            <w:tcW w:w="734" w:type="dxa"/>
            <w:tcBorders>
              <w:top w:val="nil"/>
              <w:left w:val="nil"/>
              <w:bottom w:val="single" w:sz="4" w:space="0" w:color="BFBFBF"/>
              <w:right w:val="single" w:sz="4" w:space="0" w:color="BFBFBF"/>
            </w:tcBorders>
            <w:shd w:val="clear" w:color="auto" w:fill="auto"/>
            <w:noWrap/>
            <w:vAlign w:val="center"/>
          </w:tcPr>
          <w:p w14:paraId="0C537D81"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c>
          <w:tcPr>
            <w:tcW w:w="617" w:type="dxa"/>
            <w:tcBorders>
              <w:top w:val="nil"/>
              <w:left w:val="nil"/>
              <w:bottom w:val="single" w:sz="4" w:space="0" w:color="BFBFBF"/>
              <w:right w:val="nil"/>
            </w:tcBorders>
            <w:shd w:val="clear" w:color="auto" w:fill="auto"/>
            <w:noWrap/>
            <w:vAlign w:val="center"/>
          </w:tcPr>
          <w:p w14:paraId="7A028232"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4D49AB2E"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w:t>
            </w:r>
          </w:p>
        </w:tc>
        <w:tc>
          <w:tcPr>
            <w:tcW w:w="880" w:type="dxa"/>
            <w:tcBorders>
              <w:top w:val="nil"/>
              <w:left w:val="nil"/>
              <w:bottom w:val="single" w:sz="4" w:space="0" w:color="BFBFBF"/>
              <w:right w:val="single" w:sz="4" w:space="0" w:color="BFBFBF"/>
            </w:tcBorders>
            <w:shd w:val="clear" w:color="auto" w:fill="auto"/>
            <w:noWrap/>
            <w:vAlign w:val="center"/>
          </w:tcPr>
          <w:p w14:paraId="1E38D6A9"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30</w:t>
            </w:r>
          </w:p>
        </w:tc>
        <w:tc>
          <w:tcPr>
            <w:tcW w:w="1119" w:type="dxa"/>
            <w:tcBorders>
              <w:top w:val="nil"/>
              <w:left w:val="nil"/>
              <w:bottom w:val="single" w:sz="4" w:space="0" w:color="BFBFBF"/>
              <w:right w:val="single" w:sz="4" w:space="0" w:color="BFBFBF"/>
            </w:tcBorders>
            <w:shd w:val="clear" w:color="auto" w:fill="auto"/>
            <w:noWrap/>
            <w:vAlign w:val="center"/>
          </w:tcPr>
          <w:p w14:paraId="058FC7CC"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w:t>
            </w:r>
          </w:p>
        </w:tc>
        <w:tc>
          <w:tcPr>
            <w:tcW w:w="721" w:type="dxa"/>
            <w:tcBorders>
              <w:top w:val="nil"/>
              <w:left w:val="nil"/>
              <w:bottom w:val="single" w:sz="4" w:space="0" w:color="BFBFBF"/>
              <w:right w:val="double" w:sz="6" w:space="0" w:color="auto"/>
            </w:tcBorders>
            <w:shd w:val="clear" w:color="auto" w:fill="auto"/>
            <w:noWrap/>
            <w:vAlign w:val="center"/>
          </w:tcPr>
          <w:p w14:paraId="77F08BA3"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56</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CF8BADD" w14:textId="598BEA62"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905</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0A90F2F0" w14:textId="67AB9E8C"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623</w:t>
            </w:r>
          </w:p>
        </w:tc>
      </w:tr>
      <w:tr w:rsidR="00F44114" w:rsidRPr="009C7D53" w14:paraId="679F14A8" w14:textId="75C499C1" w:rsidTr="009748AD">
        <w:trPr>
          <w:trHeight w:val="225"/>
          <w:jc w:val="center"/>
        </w:trPr>
        <w:tc>
          <w:tcPr>
            <w:tcW w:w="2874" w:type="dxa"/>
            <w:tcBorders>
              <w:top w:val="nil"/>
              <w:left w:val="double" w:sz="6" w:space="0" w:color="auto"/>
              <w:bottom w:val="single" w:sz="4" w:space="0" w:color="BFBFBF"/>
              <w:right w:val="nil"/>
            </w:tcBorders>
            <w:shd w:val="clear" w:color="auto" w:fill="auto"/>
            <w:noWrap/>
            <w:vAlign w:val="center"/>
          </w:tcPr>
          <w:p w14:paraId="7C3783DC" w14:textId="77777777" w:rsidR="00F44114" w:rsidRPr="009C7D53" w:rsidRDefault="00F44114"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Renting – Public</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8CA912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0E2F2CF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213</w:t>
            </w:r>
          </w:p>
        </w:tc>
        <w:tc>
          <w:tcPr>
            <w:tcW w:w="734" w:type="dxa"/>
            <w:tcBorders>
              <w:top w:val="nil"/>
              <w:left w:val="nil"/>
              <w:bottom w:val="single" w:sz="4" w:space="0" w:color="BFBFBF"/>
              <w:right w:val="single" w:sz="4" w:space="0" w:color="BFBFBF"/>
            </w:tcBorders>
            <w:shd w:val="clear" w:color="auto" w:fill="auto"/>
            <w:noWrap/>
            <w:vAlign w:val="center"/>
          </w:tcPr>
          <w:p w14:paraId="42DC77DD"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1EEF305B"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116</w:t>
            </w:r>
          </w:p>
        </w:tc>
        <w:tc>
          <w:tcPr>
            <w:tcW w:w="734" w:type="dxa"/>
            <w:tcBorders>
              <w:top w:val="nil"/>
              <w:left w:val="nil"/>
              <w:bottom w:val="single" w:sz="4" w:space="0" w:color="BFBFBF"/>
              <w:right w:val="single" w:sz="4" w:space="0" w:color="BFBFBF"/>
            </w:tcBorders>
            <w:shd w:val="clear" w:color="auto" w:fill="auto"/>
            <w:noWrap/>
            <w:vAlign w:val="center"/>
          </w:tcPr>
          <w:p w14:paraId="591EC915"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w:t>
            </w:r>
          </w:p>
        </w:tc>
        <w:tc>
          <w:tcPr>
            <w:tcW w:w="617" w:type="dxa"/>
            <w:tcBorders>
              <w:top w:val="nil"/>
              <w:left w:val="nil"/>
              <w:bottom w:val="single" w:sz="4" w:space="0" w:color="BFBFBF"/>
              <w:right w:val="nil"/>
            </w:tcBorders>
            <w:shd w:val="clear" w:color="auto" w:fill="auto"/>
            <w:noWrap/>
            <w:vAlign w:val="center"/>
          </w:tcPr>
          <w:p w14:paraId="0D15030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w:t>
            </w:r>
          </w:p>
        </w:tc>
        <w:tc>
          <w:tcPr>
            <w:tcW w:w="1120" w:type="dxa"/>
            <w:tcBorders>
              <w:top w:val="nil"/>
              <w:left w:val="single" w:sz="4" w:space="0" w:color="auto"/>
              <w:bottom w:val="single" w:sz="4" w:space="0" w:color="BFBFBF"/>
              <w:right w:val="single" w:sz="4" w:space="0" w:color="BFBFBF"/>
            </w:tcBorders>
            <w:shd w:val="clear" w:color="auto" w:fill="auto"/>
            <w:noWrap/>
            <w:vAlign w:val="center"/>
          </w:tcPr>
          <w:p w14:paraId="7A22A3B8"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w:t>
            </w:r>
          </w:p>
        </w:tc>
        <w:tc>
          <w:tcPr>
            <w:tcW w:w="880" w:type="dxa"/>
            <w:tcBorders>
              <w:top w:val="nil"/>
              <w:left w:val="nil"/>
              <w:bottom w:val="single" w:sz="4" w:space="0" w:color="BFBFBF"/>
              <w:right w:val="single" w:sz="4" w:space="0" w:color="BFBFBF"/>
            </w:tcBorders>
            <w:shd w:val="clear" w:color="auto" w:fill="auto"/>
            <w:noWrap/>
            <w:vAlign w:val="center"/>
          </w:tcPr>
          <w:p w14:paraId="1DEFCB2C" w14:textId="77777777" w:rsidR="00F44114" w:rsidRPr="009C7D53" w:rsidRDefault="00F44114" w:rsidP="009148C2">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236</w:t>
            </w:r>
          </w:p>
        </w:tc>
        <w:tc>
          <w:tcPr>
            <w:tcW w:w="1119" w:type="dxa"/>
            <w:tcBorders>
              <w:top w:val="nil"/>
              <w:left w:val="nil"/>
              <w:bottom w:val="single" w:sz="4" w:space="0" w:color="BFBFBF"/>
              <w:right w:val="single" w:sz="4" w:space="0" w:color="BFBFBF"/>
            </w:tcBorders>
            <w:shd w:val="clear" w:color="auto" w:fill="auto"/>
            <w:noWrap/>
            <w:vAlign w:val="center"/>
          </w:tcPr>
          <w:p w14:paraId="13521E3F"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721" w:type="dxa"/>
            <w:tcBorders>
              <w:top w:val="nil"/>
              <w:left w:val="nil"/>
              <w:bottom w:val="single" w:sz="4" w:space="0" w:color="BFBFBF"/>
              <w:right w:val="double" w:sz="6" w:space="0" w:color="auto"/>
            </w:tcBorders>
            <w:shd w:val="clear" w:color="auto" w:fill="auto"/>
            <w:noWrap/>
            <w:vAlign w:val="center"/>
          </w:tcPr>
          <w:p w14:paraId="505F0065" w14:textId="77777777" w:rsidR="00F44114" w:rsidRPr="009C7D53" w:rsidRDefault="00F44114"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32</w:t>
            </w:r>
          </w:p>
        </w:tc>
        <w:tc>
          <w:tcPr>
            <w:tcW w:w="10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4F9F63F" w14:textId="3DEE3EBF"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883</w:t>
            </w:r>
          </w:p>
        </w:tc>
        <w:tc>
          <w:tcPr>
            <w:tcW w:w="104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124B86A3" w14:textId="77E9EFB6" w:rsidR="00F44114" w:rsidRPr="009C7D53" w:rsidRDefault="00F44114" w:rsidP="00F77388">
            <w:pPr>
              <w:spacing w:before="0" w:after="0"/>
              <w:jc w:val="center"/>
              <w:rPr>
                <w:rFonts w:ascii="Arial" w:hAnsi="Arial" w:cs="Arial"/>
                <w:color w:val="000000"/>
                <w:sz w:val="16"/>
                <w:szCs w:val="16"/>
                <w:lang w:val="en-AU" w:eastAsia="en-AU"/>
              </w:rPr>
            </w:pPr>
            <w:r>
              <w:rPr>
                <w:rFonts w:ascii="Arial" w:hAnsi="Arial" w:cs="Arial"/>
                <w:color w:val="000000"/>
                <w:sz w:val="16"/>
                <w:szCs w:val="16"/>
              </w:rPr>
              <w:t>587</w:t>
            </w:r>
          </w:p>
        </w:tc>
      </w:tr>
      <w:tr w:rsidR="00F44114" w:rsidRPr="009C7D53" w14:paraId="35054C51" w14:textId="7678E910" w:rsidTr="009748AD">
        <w:trPr>
          <w:trHeight w:val="240"/>
          <w:jc w:val="center"/>
        </w:trPr>
        <w:tc>
          <w:tcPr>
            <w:tcW w:w="2874" w:type="dxa"/>
            <w:tcBorders>
              <w:top w:val="nil"/>
              <w:left w:val="double" w:sz="6" w:space="0" w:color="auto"/>
              <w:bottom w:val="double" w:sz="6" w:space="0" w:color="auto"/>
              <w:right w:val="nil"/>
            </w:tcBorders>
            <w:shd w:val="clear" w:color="auto" w:fill="auto"/>
            <w:noWrap/>
            <w:vAlign w:val="center"/>
          </w:tcPr>
          <w:p w14:paraId="5CE8556F" w14:textId="77777777" w:rsidR="00F44114" w:rsidRPr="009C7D53" w:rsidRDefault="00F44114"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Total Households</w:t>
            </w:r>
          </w:p>
        </w:tc>
        <w:tc>
          <w:tcPr>
            <w:tcW w:w="734" w:type="dxa"/>
            <w:tcBorders>
              <w:top w:val="nil"/>
              <w:left w:val="single" w:sz="4" w:space="0" w:color="auto"/>
              <w:bottom w:val="double" w:sz="6" w:space="0" w:color="auto"/>
              <w:right w:val="single" w:sz="4" w:space="0" w:color="BFBFBF"/>
            </w:tcBorders>
            <w:shd w:val="clear" w:color="auto" w:fill="auto"/>
            <w:noWrap/>
            <w:vAlign w:val="center"/>
          </w:tcPr>
          <w:p w14:paraId="58226C73" w14:textId="77777777" w:rsidR="00F44114" w:rsidRPr="009C7D53" w:rsidRDefault="00F44114" w:rsidP="009148C2">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100%</w:t>
            </w:r>
          </w:p>
        </w:tc>
        <w:tc>
          <w:tcPr>
            <w:tcW w:w="734" w:type="dxa"/>
            <w:tcBorders>
              <w:top w:val="nil"/>
              <w:left w:val="nil"/>
              <w:bottom w:val="double" w:sz="6" w:space="0" w:color="auto"/>
              <w:right w:val="single" w:sz="4" w:space="0" w:color="BFBFBF"/>
            </w:tcBorders>
            <w:shd w:val="clear" w:color="auto" w:fill="auto"/>
            <w:noWrap/>
            <w:vAlign w:val="center"/>
          </w:tcPr>
          <w:p w14:paraId="3BA74B8C" w14:textId="77777777" w:rsidR="00F44114" w:rsidRPr="009C7D53" w:rsidRDefault="00F44114" w:rsidP="009148C2">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215</w:t>
            </w:r>
          </w:p>
        </w:tc>
        <w:tc>
          <w:tcPr>
            <w:tcW w:w="734" w:type="dxa"/>
            <w:tcBorders>
              <w:top w:val="nil"/>
              <w:left w:val="nil"/>
              <w:bottom w:val="double" w:sz="6" w:space="0" w:color="auto"/>
              <w:right w:val="single" w:sz="4" w:space="0" w:color="BFBFBF"/>
            </w:tcBorders>
            <w:shd w:val="clear" w:color="auto" w:fill="auto"/>
            <w:noWrap/>
            <w:vAlign w:val="center"/>
          </w:tcPr>
          <w:p w14:paraId="1C0A168C"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100%</w:t>
            </w:r>
          </w:p>
        </w:tc>
        <w:tc>
          <w:tcPr>
            <w:tcW w:w="734" w:type="dxa"/>
            <w:tcBorders>
              <w:top w:val="nil"/>
              <w:left w:val="nil"/>
              <w:bottom w:val="double" w:sz="6" w:space="0" w:color="auto"/>
              <w:right w:val="single" w:sz="4" w:space="0" w:color="auto"/>
            </w:tcBorders>
            <w:shd w:val="clear" w:color="auto" w:fill="auto"/>
            <w:noWrap/>
            <w:vAlign w:val="center"/>
          </w:tcPr>
          <w:p w14:paraId="4A0FC6C9"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115</w:t>
            </w:r>
          </w:p>
        </w:tc>
        <w:tc>
          <w:tcPr>
            <w:tcW w:w="734" w:type="dxa"/>
            <w:tcBorders>
              <w:top w:val="nil"/>
              <w:left w:val="nil"/>
              <w:bottom w:val="double" w:sz="6" w:space="0" w:color="auto"/>
              <w:right w:val="single" w:sz="4" w:space="0" w:color="BFBFBF"/>
            </w:tcBorders>
            <w:shd w:val="clear" w:color="auto" w:fill="auto"/>
            <w:noWrap/>
            <w:vAlign w:val="center"/>
          </w:tcPr>
          <w:p w14:paraId="5A49E343" w14:textId="77777777" w:rsidR="00F44114" w:rsidRPr="009C7D53" w:rsidRDefault="00F44114" w:rsidP="009148C2">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20%</w:t>
            </w:r>
          </w:p>
        </w:tc>
        <w:tc>
          <w:tcPr>
            <w:tcW w:w="617" w:type="dxa"/>
            <w:tcBorders>
              <w:top w:val="nil"/>
              <w:left w:val="nil"/>
              <w:bottom w:val="double" w:sz="6" w:space="0" w:color="auto"/>
              <w:right w:val="nil"/>
            </w:tcBorders>
            <w:shd w:val="clear" w:color="auto" w:fill="auto"/>
            <w:noWrap/>
            <w:vAlign w:val="center"/>
          </w:tcPr>
          <w:p w14:paraId="5FA05DCD" w14:textId="77777777" w:rsidR="00F44114" w:rsidRPr="009C7D53" w:rsidRDefault="00F44114" w:rsidP="009148C2">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23</w:t>
            </w:r>
          </w:p>
        </w:tc>
        <w:tc>
          <w:tcPr>
            <w:tcW w:w="1120" w:type="dxa"/>
            <w:tcBorders>
              <w:top w:val="nil"/>
              <w:left w:val="single" w:sz="4" w:space="0" w:color="auto"/>
              <w:bottom w:val="double" w:sz="6" w:space="0" w:color="auto"/>
              <w:right w:val="single" w:sz="4" w:space="0" w:color="BFBFBF"/>
            </w:tcBorders>
            <w:shd w:val="clear" w:color="auto" w:fill="auto"/>
            <w:noWrap/>
            <w:vAlign w:val="center"/>
          </w:tcPr>
          <w:p w14:paraId="263B60DC" w14:textId="77777777" w:rsidR="00F44114" w:rsidRPr="009C7D53" w:rsidRDefault="00F44114" w:rsidP="009148C2">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16%</w:t>
            </w:r>
          </w:p>
        </w:tc>
        <w:tc>
          <w:tcPr>
            <w:tcW w:w="880" w:type="dxa"/>
            <w:tcBorders>
              <w:top w:val="nil"/>
              <w:left w:val="nil"/>
              <w:bottom w:val="double" w:sz="6" w:space="0" w:color="auto"/>
              <w:right w:val="single" w:sz="4" w:space="0" w:color="BFBFBF"/>
            </w:tcBorders>
            <w:shd w:val="clear" w:color="auto" w:fill="auto"/>
            <w:noWrap/>
            <w:vAlign w:val="center"/>
          </w:tcPr>
          <w:p w14:paraId="4EFF942A" w14:textId="77777777" w:rsidR="00F44114" w:rsidRPr="009C7D53" w:rsidRDefault="00F44114" w:rsidP="009148C2">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36</w:t>
            </w:r>
          </w:p>
        </w:tc>
        <w:tc>
          <w:tcPr>
            <w:tcW w:w="1119" w:type="dxa"/>
            <w:tcBorders>
              <w:top w:val="nil"/>
              <w:left w:val="nil"/>
              <w:bottom w:val="double" w:sz="6" w:space="0" w:color="auto"/>
              <w:right w:val="single" w:sz="4" w:space="0" w:color="BFBFBF"/>
            </w:tcBorders>
            <w:shd w:val="clear" w:color="auto" w:fill="auto"/>
            <w:noWrap/>
            <w:vAlign w:val="center"/>
          </w:tcPr>
          <w:p w14:paraId="3DE3EA99"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3%</w:t>
            </w:r>
          </w:p>
        </w:tc>
        <w:tc>
          <w:tcPr>
            <w:tcW w:w="721" w:type="dxa"/>
            <w:tcBorders>
              <w:top w:val="nil"/>
              <w:left w:val="nil"/>
              <w:bottom w:val="double" w:sz="6" w:space="0" w:color="auto"/>
              <w:right w:val="double" w:sz="6" w:space="0" w:color="auto"/>
            </w:tcBorders>
            <w:shd w:val="clear" w:color="auto" w:fill="auto"/>
            <w:noWrap/>
            <w:vAlign w:val="center"/>
          </w:tcPr>
          <w:p w14:paraId="6BABB32A" w14:textId="77777777" w:rsidR="00F44114" w:rsidRPr="009C7D53" w:rsidRDefault="00F44114"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35</w:t>
            </w:r>
          </w:p>
        </w:tc>
        <w:tc>
          <w:tcPr>
            <w:tcW w:w="1064" w:type="dxa"/>
            <w:tcBorders>
              <w:top w:val="single" w:sz="4" w:space="0" w:color="A6A6A6" w:themeColor="background1" w:themeShade="A6"/>
              <w:left w:val="nil"/>
              <w:bottom w:val="double" w:sz="6" w:space="0" w:color="auto"/>
              <w:right w:val="single" w:sz="4" w:space="0" w:color="A6A6A6" w:themeColor="background1" w:themeShade="A6"/>
            </w:tcBorders>
            <w:vAlign w:val="center"/>
          </w:tcPr>
          <w:p w14:paraId="4B0FDC6B" w14:textId="2152241F" w:rsidR="00F44114" w:rsidRPr="009C7D53" w:rsidRDefault="00F44114" w:rsidP="00F77388">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993</w:t>
            </w:r>
          </w:p>
        </w:tc>
        <w:tc>
          <w:tcPr>
            <w:tcW w:w="1049" w:type="dxa"/>
            <w:tcBorders>
              <w:top w:val="single" w:sz="4" w:space="0" w:color="A6A6A6" w:themeColor="background1" w:themeShade="A6"/>
              <w:left w:val="single" w:sz="4" w:space="0" w:color="A6A6A6" w:themeColor="background1" w:themeShade="A6"/>
              <w:bottom w:val="double" w:sz="6" w:space="0" w:color="auto"/>
              <w:right w:val="double" w:sz="6" w:space="0" w:color="auto"/>
            </w:tcBorders>
            <w:vAlign w:val="center"/>
          </w:tcPr>
          <w:p w14:paraId="17920074" w14:textId="3286478F" w:rsidR="00F44114" w:rsidRPr="009C7D53" w:rsidRDefault="00F44114" w:rsidP="00F77388">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675</w:t>
            </w:r>
          </w:p>
        </w:tc>
      </w:tr>
    </w:tbl>
    <w:p w14:paraId="274D9538" w14:textId="31732F34" w:rsidR="00D109F7" w:rsidRPr="009C7D53" w:rsidRDefault="00086B9C" w:rsidP="00F15A9B">
      <w:pPr>
        <w:pStyle w:val="Para"/>
        <w:spacing w:after="120"/>
        <w:jc w:val="center"/>
        <w:outlineLvl w:val="0"/>
        <w:rPr>
          <w:b/>
          <w:u w:val="single"/>
          <w:lang w:val="en-AU"/>
        </w:rPr>
      </w:pPr>
      <w:r w:rsidRPr="009C7D53">
        <w:rPr>
          <w:b/>
          <w:lang w:val="en-AU"/>
        </w:rPr>
        <w:br w:type="page"/>
      </w:r>
      <w:r w:rsidR="00D109F7" w:rsidRPr="009C7D53">
        <w:rPr>
          <w:b/>
          <w:lang w:val="en-AU"/>
        </w:rPr>
        <w:lastRenderedPageBreak/>
        <w:t>Table 4.3.2.</w:t>
      </w:r>
      <w:r w:rsidR="00DF177F">
        <w:rPr>
          <w:b/>
          <w:lang w:val="en-AU"/>
        </w:rPr>
        <w:t>4</w:t>
      </w:r>
      <w:r w:rsidR="00D109F7" w:rsidRPr="009C7D53">
        <w:rPr>
          <w:b/>
          <w:lang w:val="en-AU"/>
        </w:rPr>
        <w:t xml:space="preserve">: </w:t>
      </w:r>
      <w:r w:rsidR="00D109F7" w:rsidRPr="009C7D53">
        <w:rPr>
          <w:b/>
          <w:u w:val="single"/>
          <w:lang w:val="en-AU"/>
        </w:rPr>
        <w:t xml:space="preserve">Gas Bill </w:t>
      </w:r>
      <w:r w:rsidR="00BB77E4" w:rsidRPr="009C7D53">
        <w:rPr>
          <w:b/>
          <w:u w:val="single"/>
          <w:lang w:val="en-AU"/>
        </w:rPr>
        <w:t xml:space="preserve">Concessions, </w:t>
      </w:r>
      <w:r w:rsidR="00D109F7" w:rsidRPr="009C7D53">
        <w:rPr>
          <w:b/>
          <w:u w:val="single"/>
          <w:lang w:val="en-AU"/>
        </w:rPr>
        <w:t>Discounts and Total Bill Amounts</w:t>
      </w:r>
      <w:r w:rsidR="00FE6AFA" w:rsidRPr="009C7D53">
        <w:rPr>
          <w:b/>
          <w:u w:val="single"/>
          <w:lang w:val="en-AU"/>
        </w:rPr>
        <w:t xml:space="preserve"> – Part 1</w:t>
      </w:r>
    </w:p>
    <w:tbl>
      <w:tblPr>
        <w:tblW w:w="12422" w:type="dxa"/>
        <w:jc w:val="center"/>
        <w:tblLook w:val="04A0" w:firstRow="1" w:lastRow="0" w:firstColumn="1" w:lastColumn="0" w:noHBand="0" w:noVBand="1"/>
      </w:tblPr>
      <w:tblGrid>
        <w:gridCol w:w="2815"/>
        <w:gridCol w:w="734"/>
        <w:gridCol w:w="734"/>
        <w:gridCol w:w="734"/>
        <w:gridCol w:w="734"/>
        <w:gridCol w:w="734"/>
        <w:gridCol w:w="617"/>
        <w:gridCol w:w="734"/>
        <w:gridCol w:w="572"/>
        <w:gridCol w:w="617"/>
        <w:gridCol w:w="617"/>
        <w:gridCol w:w="734"/>
        <w:gridCol w:w="617"/>
        <w:gridCol w:w="734"/>
        <w:gridCol w:w="734"/>
      </w:tblGrid>
      <w:tr w:rsidR="00F77388" w:rsidRPr="009C7D53" w14:paraId="68E1B78B" w14:textId="77777777" w:rsidTr="00F15A9B">
        <w:trPr>
          <w:trHeight w:val="480"/>
          <w:tblHeader/>
          <w:jc w:val="center"/>
        </w:trPr>
        <w:tc>
          <w:tcPr>
            <w:tcW w:w="2815" w:type="dxa"/>
            <w:tcBorders>
              <w:top w:val="double" w:sz="6" w:space="0" w:color="auto"/>
              <w:left w:val="double" w:sz="6" w:space="0" w:color="auto"/>
              <w:bottom w:val="single" w:sz="4" w:space="0" w:color="BFBFBF"/>
              <w:right w:val="nil"/>
            </w:tcBorders>
            <w:shd w:val="clear" w:color="auto" w:fill="auto"/>
            <w:noWrap/>
            <w:vAlign w:val="center"/>
          </w:tcPr>
          <w:p w14:paraId="66625E5B"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2936" w:type="dxa"/>
            <w:gridSpan w:val="4"/>
            <w:vMerge w:val="restart"/>
            <w:tcBorders>
              <w:top w:val="double" w:sz="6" w:space="0" w:color="auto"/>
              <w:left w:val="single" w:sz="4" w:space="0" w:color="auto"/>
              <w:bottom w:val="single" w:sz="4" w:space="0" w:color="BFBFBF"/>
              <w:right w:val="single" w:sz="2" w:space="0" w:color="auto"/>
            </w:tcBorders>
            <w:shd w:val="clear" w:color="auto" w:fill="auto"/>
            <w:vAlign w:val="center"/>
          </w:tcPr>
          <w:p w14:paraId="66CAC12B"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 Receiving DHHS Concession</w:t>
            </w:r>
          </w:p>
        </w:tc>
        <w:tc>
          <w:tcPr>
            <w:tcW w:w="2657" w:type="dxa"/>
            <w:gridSpan w:val="4"/>
            <w:tcBorders>
              <w:top w:val="double" w:sz="6" w:space="0" w:color="auto"/>
              <w:left w:val="single" w:sz="2" w:space="0" w:color="auto"/>
              <w:bottom w:val="single" w:sz="4" w:space="0" w:color="BFBFBF"/>
              <w:right w:val="nil"/>
            </w:tcBorders>
            <w:shd w:val="clear" w:color="auto" w:fill="auto"/>
            <w:vAlign w:val="bottom"/>
          </w:tcPr>
          <w:p w14:paraId="0B616EFB"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DHHS Concession Breakdown 2014</w:t>
            </w:r>
          </w:p>
        </w:tc>
        <w:tc>
          <w:tcPr>
            <w:tcW w:w="2585" w:type="dxa"/>
            <w:gridSpan w:val="4"/>
            <w:vMerge w:val="restart"/>
            <w:tcBorders>
              <w:top w:val="double" w:sz="6" w:space="0" w:color="auto"/>
              <w:left w:val="single" w:sz="4" w:space="0" w:color="auto"/>
              <w:bottom w:val="single" w:sz="4" w:space="0" w:color="BFBFBF"/>
              <w:right w:val="single" w:sz="4" w:space="0" w:color="000000"/>
            </w:tcBorders>
            <w:shd w:val="clear" w:color="auto" w:fill="auto"/>
            <w:noWrap/>
            <w:vAlign w:val="center"/>
          </w:tcPr>
          <w:p w14:paraId="33EB5D4A"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DHHS Concession ($)</w:t>
            </w:r>
          </w:p>
        </w:tc>
        <w:tc>
          <w:tcPr>
            <w:tcW w:w="1429" w:type="dxa"/>
            <w:gridSpan w:val="2"/>
            <w:vMerge w:val="restart"/>
            <w:tcBorders>
              <w:top w:val="double" w:sz="6" w:space="0" w:color="auto"/>
              <w:left w:val="nil"/>
              <w:bottom w:val="single" w:sz="4" w:space="0" w:color="BFBFBF"/>
              <w:right w:val="double" w:sz="6" w:space="0" w:color="000000"/>
            </w:tcBorders>
            <w:shd w:val="clear" w:color="auto" w:fill="auto"/>
            <w:vAlign w:val="bottom"/>
          </w:tcPr>
          <w:p w14:paraId="6766AC02"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Carbon Tax Rebate 2014</w:t>
            </w:r>
          </w:p>
        </w:tc>
      </w:tr>
      <w:tr w:rsidR="00F77388" w:rsidRPr="009C7D53" w14:paraId="4983CD24" w14:textId="77777777" w:rsidTr="00F15A9B">
        <w:trPr>
          <w:trHeight w:val="225"/>
          <w:tblHeader/>
          <w:jc w:val="center"/>
        </w:trPr>
        <w:tc>
          <w:tcPr>
            <w:tcW w:w="2815" w:type="dxa"/>
            <w:tcBorders>
              <w:top w:val="single" w:sz="4" w:space="0" w:color="BFBFBF"/>
              <w:left w:val="double" w:sz="6" w:space="0" w:color="auto"/>
              <w:bottom w:val="single" w:sz="4" w:space="0" w:color="BFBFBF"/>
              <w:right w:val="single" w:sz="2" w:space="0" w:color="auto"/>
            </w:tcBorders>
            <w:shd w:val="clear" w:color="auto" w:fill="auto"/>
            <w:noWrap/>
            <w:vAlign w:val="center"/>
          </w:tcPr>
          <w:p w14:paraId="364B4223"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2936" w:type="dxa"/>
            <w:gridSpan w:val="4"/>
            <w:vMerge/>
            <w:tcBorders>
              <w:top w:val="single" w:sz="4" w:space="0" w:color="BFBFBF"/>
              <w:left w:val="single" w:sz="2" w:space="0" w:color="auto"/>
              <w:bottom w:val="single" w:sz="4" w:space="0" w:color="BFBFBF"/>
              <w:right w:val="single" w:sz="2" w:space="0" w:color="auto"/>
            </w:tcBorders>
            <w:vAlign w:val="center"/>
          </w:tcPr>
          <w:p w14:paraId="00350F1D" w14:textId="77777777" w:rsidR="00F77388" w:rsidRPr="009C7D53" w:rsidRDefault="00F77388" w:rsidP="00F77388">
            <w:pPr>
              <w:spacing w:before="0" w:after="0"/>
              <w:rPr>
                <w:rFonts w:ascii="Arial" w:hAnsi="Arial" w:cs="Arial"/>
                <w:b/>
                <w:bCs/>
                <w:color w:val="000000"/>
                <w:sz w:val="16"/>
                <w:szCs w:val="16"/>
                <w:lang w:val="en-AU" w:eastAsia="en-AU"/>
              </w:rPr>
            </w:pPr>
          </w:p>
        </w:tc>
        <w:tc>
          <w:tcPr>
            <w:tcW w:w="1351" w:type="dxa"/>
            <w:gridSpan w:val="2"/>
            <w:tcBorders>
              <w:top w:val="single" w:sz="4" w:space="0" w:color="BFBFBF"/>
              <w:left w:val="single" w:sz="2" w:space="0" w:color="auto"/>
              <w:bottom w:val="single" w:sz="4" w:space="0" w:color="BFBFBF"/>
              <w:right w:val="single" w:sz="4" w:space="0" w:color="BFBFBF"/>
            </w:tcBorders>
            <w:shd w:val="clear" w:color="auto" w:fill="auto"/>
            <w:vAlign w:val="bottom"/>
          </w:tcPr>
          <w:p w14:paraId="0E916936"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 xml:space="preserve">Winter Gas Concession </w:t>
            </w:r>
          </w:p>
        </w:tc>
        <w:tc>
          <w:tcPr>
            <w:tcW w:w="1306" w:type="dxa"/>
            <w:gridSpan w:val="2"/>
            <w:tcBorders>
              <w:top w:val="single" w:sz="4" w:space="0" w:color="BFBFBF"/>
              <w:left w:val="nil"/>
              <w:bottom w:val="single" w:sz="4" w:space="0" w:color="BFBFBF"/>
              <w:right w:val="single" w:sz="4" w:space="0" w:color="BFBFBF"/>
            </w:tcBorders>
            <w:shd w:val="clear" w:color="auto" w:fill="auto"/>
            <w:vAlign w:val="bottom"/>
          </w:tcPr>
          <w:p w14:paraId="7B7DED65"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Excess Gas Concession</w:t>
            </w:r>
          </w:p>
        </w:tc>
        <w:tc>
          <w:tcPr>
            <w:tcW w:w="2585" w:type="dxa"/>
            <w:gridSpan w:val="4"/>
            <w:vMerge/>
            <w:tcBorders>
              <w:top w:val="double" w:sz="6" w:space="0" w:color="auto"/>
              <w:left w:val="single" w:sz="4" w:space="0" w:color="auto"/>
              <w:bottom w:val="single" w:sz="4" w:space="0" w:color="BFBFBF"/>
              <w:right w:val="single" w:sz="4" w:space="0" w:color="000000"/>
            </w:tcBorders>
            <w:vAlign w:val="center"/>
          </w:tcPr>
          <w:p w14:paraId="29092D6A" w14:textId="77777777" w:rsidR="00F77388" w:rsidRPr="009C7D53" w:rsidRDefault="00F77388" w:rsidP="00F77388">
            <w:pPr>
              <w:spacing w:before="0" w:after="0"/>
              <w:rPr>
                <w:rFonts w:ascii="Arial" w:hAnsi="Arial" w:cs="Arial"/>
                <w:b/>
                <w:bCs/>
                <w:color w:val="000000"/>
                <w:sz w:val="16"/>
                <w:szCs w:val="16"/>
                <w:lang w:val="en-AU" w:eastAsia="en-AU"/>
              </w:rPr>
            </w:pPr>
          </w:p>
        </w:tc>
        <w:tc>
          <w:tcPr>
            <w:tcW w:w="1429" w:type="dxa"/>
            <w:gridSpan w:val="2"/>
            <w:vMerge/>
            <w:tcBorders>
              <w:top w:val="double" w:sz="6" w:space="0" w:color="auto"/>
              <w:left w:val="nil"/>
              <w:bottom w:val="single" w:sz="4" w:space="0" w:color="BFBFBF"/>
              <w:right w:val="double" w:sz="6" w:space="0" w:color="000000"/>
            </w:tcBorders>
            <w:vAlign w:val="center"/>
          </w:tcPr>
          <w:p w14:paraId="602012F3" w14:textId="77777777" w:rsidR="00F77388" w:rsidRPr="009C7D53" w:rsidRDefault="00F77388" w:rsidP="00F77388">
            <w:pPr>
              <w:spacing w:before="0" w:after="0"/>
              <w:rPr>
                <w:rFonts w:ascii="Arial" w:hAnsi="Arial" w:cs="Arial"/>
                <w:b/>
                <w:bCs/>
                <w:color w:val="000000"/>
                <w:sz w:val="16"/>
                <w:szCs w:val="16"/>
                <w:lang w:val="en-AU" w:eastAsia="en-AU"/>
              </w:rPr>
            </w:pPr>
          </w:p>
        </w:tc>
      </w:tr>
      <w:tr w:rsidR="00F77388" w:rsidRPr="009C7D53" w14:paraId="6D01D99D" w14:textId="77777777" w:rsidTr="00F15A9B">
        <w:trPr>
          <w:trHeight w:val="225"/>
          <w:tblHeader/>
          <w:jc w:val="center"/>
        </w:trPr>
        <w:tc>
          <w:tcPr>
            <w:tcW w:w="2815" w:type="dxa"/>
            <w:tcBorders>
              <w:top w:val="nil"/>
              <w:left w:val="double" w:sz="6" w:space="0" w:color="auto"/>
              <w:bottom w:val="single" w:sz="4" w:space="0" w:color="BFBFBF"/>
              <w:right w:val="nil"/>
            </w:tcBorders>
            <w:shd w:val="clear" w:color="auto" w:fill="auto"/>
            <w:noWrap/>
            <w:vAlign w:val="center"/>
          </w:tcPr>
          <w:p w14:paraId="6061C840"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24C27DA"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2014</w:t>
            </w:r>
          </w:p>
        </w:tc>
        <w:tc>
          <w:tcPr>
            <w:tcW w:w="734" w:type="dxa"/>
            <w:tcBorders>
              <w:top w:val="nil"/>
              <w:left w:val="nil"/>
              <w:bottom w:val="single" w:sz="4" w:space="0" w:color="BFBFBF"/>
              <w:right w:val="single" w:sz="4" w:space="0" w:color="BFBFBF"/>
            </w:tcBorders>
            <w:shd w:val="clear" w:color="auto" w:fill="auto"/>
            <w:noWrap/>
            <w:vAlign w:val="center"/>
          </w:tcPr>
          <w:p w14:paraId="5EA19F8C"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2007</w:t>
            </w:r>
          </w:p>
        </w:tc>
        <w:tc>
          <w:tcPr>
            <w:tcW w:w="734" w:type="dxa"/>
            <w:tcBorders>
              <w:top w:val="nil"/>
              <w:left w:val="nil"/>
              <w:bottom w:val="single" w:sz="4" w:space="0" w:color="BFBFBF"/>
              <w:right w:val="single" w:sz="4" w:space="0" w:color="BFBFBF"/>
            </w:tcBorders>
            <w:shd w:val="clear" w:color="auto" w:fill="auto"/>
            <w:noWrap/>
            <w:vAlign w:val="center"/>
          </w:tcPr>
          <w:p w14:paraId="7972B764"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2001</w:t>
            </w:r>
          </w:p>
        </w:tc>
        <w:tc>
          <w:tcPr>
            <w:tcW w:w="734" w:type="dxa"/>
            <w:tcBorders>
              <w:top w:val="nil"/>
              <w:left w:val="nil"/>
              <w:bottom w:val="single" w:sz="4" w:space="0" w:color="BFBFBF"/>
              <w:right w:val="single" w:sz="4" w:space="0" w:color="auto"/>
            </w:tcBorders>
            <w:shd w:val="clear" w:color="auto" w:fill="auto"/>
            <w:noWrap/>
            <w:vAlign w:val="center"/>
          </w:tcPr>
          <w:p w14:paraId="40F268FF"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1996</w:t>
            </w:r>
          </w:p>
        </w:tc>
        <w:tc>
          <w:tcPr>
            <w:tcW w:w="734" w:type="dxa"/>
            <w:tcBorders>
              <w:top w:val="nil"/>
              <w:left w:val="nil"/>
              <w:bottom w:val="single" w:sz="4" w:space="0" w:color="BFBFBF"/>
              <w:right w:val="single" w:sz="4" w:space="0" w:color="BFBFBF"/>
            </w:tcBorders>
            <w:shd w:val="clear" w:color="auto" w:fill="auto"/>
            <w:noWrap/>
            <w:vAlign w:val="center"/>
          </w:tcPr>
          <w:p w14:paraId="2EB2C73E"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617" w:type="dxa"/>
            <w:tcBorders>
              <w:top w:val="nil"/>
              <w:left w:val="nil"/>
              <w:bottom w:val="single" w:sz="4" w:space="0" w:color="BFBFBF"/>
              <w:right w:val="single" w:sz="4" w:space="0" w:color="BFBFBF"/>
            </w:tcBorders>
            <w:shd w:val="clear" w:color="auto" w:fill="auto"/>
            <w:noWrap/>
            <w:vAlign w:val="center"/>
          </w:tcPr>
          <w:p w14:paraId="1B926FBD"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5BD573CF"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26C8B759"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7D2EA16D"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2014</w:t>
            </w:r>
          </w:p>
        </w:tc>
        <w:tc>
          <w:tcPr>
            <w:tcW w:w="617" w:type="dxa"/>
            <w:tcBorders>
              <w:top w:val="nil"/>
              <w:left w:val="nil"/>
              <w:bottom w:val="single" w:sz="4" w:space="0" w:color="BFBFBF"/>
              <w:right w:val="single" w:sz="4" w:space="0" w:color="BFBFBF"/>
            </w:tcBorders>
            <w:shd w:val="clear" w:color="auto" w:fill="auto"/>
            <w:noWrap/>
            <w:vAlign w:val="center"/>
          </w:tcPr>
          <w:p w14:paraId="00F3D979"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2007</w:t>
            </w:r>
          </w:p>
        </w:tc>
        <w:tc>
          <w:tcPr>
            <w:tcW w:w="734" w:type="dxa"/>
            <w:tcBorders>
              <w:top w:val="nil"/>
              <w:left w:val="nil"/>
              <w:bottom w:val="single" w:sz="4" w:space="0" w:color="BFBFBF"/>
              <w:right w:val="single" w:sz="4" w:space="0" w:color="BFBFBF"/>
            </w:tcBorders>
            <w:shd w:val="clear" w:color="auto" w:fill="auto"/>
            <w:noWrap/>
            <w:vAlign w:val="center"/>
          </w:tcPr>
          <w:p w14:paraId="25EAA8A3"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2001</w:t>
            </w:r>
          </w:p>
        </w:tc>
        <w:tc>
          <w:tcPr>
            <w:tcW w:w="617" w:type="dxa"/>
            <w:tcBorders>
              <w:top w:val="nil"/>
              <w:left w:val="nil"/>
              <w:bottom w:val="single" w:sz="4" w:space="0" w:color="BFBFBF"/>
              <w:right w:val="single" w:sz="4" w:space="0" w:color="auto"/>
            </w:tcBorders>
            <w:shd w:val="clear" w:color="auto" w:fill="auto"/>
            <w:noWrap/>
            <w:vAlign w:val="center"/>
          </w:tcPr>
          <w:p w14:paraId="3654391A"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1996</w:t>
            </w:r>
          </w:p>
        </w:tc>
        <w:tc>
          <w:tcPr>
            <w:tcW w:w="734" w:type="dxa"/>
            <w:tcBorders>
              <w:top w:val="nil"/>
              <w:left w:val="nil"/>
              <w:bottom w:val="single" w:sz="4" w:space="0" w:color="BFBFBF"/>
              <w:right w:val="single" w:sz="4" w:space="0" w:color="BFBFBF"/>
            </w:tcBorders>
            <w:shd w:val="clear" w:color="auto" w:fill="auto"/>
            <w:noWrap/>
            <w:vAlign w:val="center"/>
          </w:tcPr>
          <w:p w14:paraId="581F6F27"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695" w:type="dxa"/>
            <w:tcBorders>
              <w:top w:val="nil"/>
              <w:left w:val="nil"/>
              <w:bottom w:val="single" w:sz="4" w:space="0" w:color="BFBFBF"/>
              <w:right w:val="double" w:sz="6" w:space="0" w:color="auto"/>
            </w:tcBorders>
            <w:shd w:val="clear" w:color="auto" w:fill="auto"/>
            <w:noWrap/>
            <w:vAlign w:val="center"/>
          </w:tcPr>
          <w:p w14:paraId="48F7FF16"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r>
      <w:tr w:rsidR="00F77388" w:rsidRPr="009C7D53" w14:paraId="4D266307" w14:textId="77777777" w:rsidTr="00F15A9B">
        <w:trPr>
          <w:trHeight w:val="225"/>
          <w:tblHeader/>
          <w:jc w:val="center"/>
        </w:trPr>
        <w:tc>
          <w:tcPr>
            <w:tcW w:w="2815" w:type="dxa"/>
            <w:tcBorders>
              <w:top w:val="nil"/>
              <w:left w:val="double" w:sz="6" w:space="0" w:color="auto"/>
              <w:bottom w:val="single" w:sz="4" w:space="0" w:color="BFBFBF"/>
              <w:right w:val="nil"/>
            </w:tcBorders>
            <w:shd w:val="clear" w:color="auto" w:fill="auto"/>
            <w:noWrap/>
            <w:vAlign w:val="center"/>
          </w:tcPr>
          <w:p w14:paraId="7B064814" w14:textId="77777777" w:rsidR="00F77388" w:rsidRPr="009C7D53" w:rsidRDefault="00F77388"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Sub-groups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B0824C5" w14:textId="77777777" w:rsidR="00F77388" w:rsidRPr="009C7D53" w:rsidRDefault="00F77388"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n=1,5</w:t>
            </w:r>
            <w:r w:rsidR="009148C2" w:rsidRPr="009C7D53">
              <w:rPr>
                <w:rFonts w:ascii="Arial" w:hAnsi="Arial" w:cs="Arial"/>
                <w:b/>
                <w:bCs/>
                <w:color w:val="000000"/>
                <w:sz w:val="14"/>
                <w:szCs w:val="14"/>
                <w:lang w:val="en-AU" w:eastAsia="en-AU"/>
              </w:rPr>
              <w:t>35</w:t>
            </w:r>
          </w:p>
        </w:tc>
        <w:tc>
          <w:tcPr>
            <w:tcW w:w="734" w:type="dxa"/>
            <w:tcBorders>
              <w:top w:val="nil"/>
              <w:left w:val="nil"/>
              <w:bottom w:val="single" w:sz="4" w:space="0" w:color="BFBFBF"/>
              <w:right w:val="single" w:sz="4" w:space="0" w:color="BFBFBF"/>
            </w:tcBorders>
            <w:shd w:val="clear" w:color="auto" w:fill="auto"/>
            <w:noWrap/>
            <w:vAlign w:val="center"/>
          </w:tcPr>
          <w:p w14:paraId="42777CFF"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n=1,735</w:t>
            </w:r>
          </w:p>
        </w:tc>
        <w:tc>
          <w:tcPr>
            <w:tcW w:w="734" w:type="dxa"/>
            <w:tcBorders>
              <w:top w:val="nil"/>
              <w:left w:val="nil"/>
              <w:bottom w:val="single" w:sz="4" w:space="0" w:color="BFBFBF"/>
              <w:right w:val="single" w:sz="4" w:space="0" w:color="BFBFBF"/>
            </w:tcBorders>
            <w:shd w:val="clear" w:color="auto" w:fill="auto"/>
            <w:noWrap/>
            <w:vAlign w:val="center"/>
          </w:tcPr>
          <w:p w14:paraId="7D031DE5"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n=1,854</w:t>
            </w:r>
          </w:p>
        </w:tc>
        <w:tc>
          <w:tcPr>
            <w:tcW w:w="734" w:type="dxa"/>
            <w:tcBorders>
              <w:top w:val="nil"/>
              <w:left w:val="nil"/>
              <w:bottom w:val="single" w:sz="4" w:space="0" w:color="BFBFBF"/>
              <w:right w:val="single" w:sz="4" w:space="0" w:color="auto"/>
            </w:tcBorders>
            <w:shd w:val="clear" w:color="auto" w:fill="auto"/>
            <w:noWrap/>
            <w:vAlign w:val="center"/>
          </w:tcPr>
          <w:p w14:paraId="7B9EE388"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n=1,811</w:t>
            </w:r>
          </w:p>
        </w:tc>
        <w:tc>
          <w:tcPr>
            <w:tcW w:w="734" w:type="dxa"/>
            <w:tcBorders>
              <w:top w:val="nil"/>
              <w:left w:val="nil"/>
              <w:bottom w:val="single" w:sz="4" w:space="0" w:color="BFBFBF"/>
              <w:right w:val="single" w:sz="4" w:space="0" w:color="BFBFBF"/>
            </w:tcBorders>
            <w:shd w:val="clear" w:color="auto" w:fill="auto"/>
            <w:noWrap/>
            <w:vAlign w:val="center"/>
          </w:tcPr>
          <w:p w14:paraId="198BD6AA" w14:textId="77777777" w:rsidR="00F77388" w:rsidRPr="009C7D53" w:rsidRDefault="00F77388"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n=1,5</w:t>
            </w:r>
            <w:r w:rsidR="009148C2" w:rsidRPr="009C7D53">
              <w:rPr>
                <w:rFonts w:ascii="Arial" w:hAnsi="Arial" w:cs="Arial"/>
                <w:b/>
                <w:bCs/>
                <w:color w:val="000000"/>
                <w:sz w:val="14"/>
                <w:szCs w:val="14"/>
                <w:lang w:val="en-AU" w:eastAsia="en-AU"/>
              </w:rPr>
              <w:t>35</w:t>
            </w:r>
          </w:p>
        </w:tc>
        <w:tc>
          <w:tcPr>
            <w:tcW w:w="617" w:type="dxa"/>
            <w:tcBorders>
              <w:top w:val="nil"/>
              <w:left w:val="nil"/>
              <w:bottom w:val="single" w:sz="4" w:space="0" w:color="BFBFBF"/>
              <w:right w:val="single" w:sz="4" w:space="0" w:color="BFBFBF"/>
            </w:tcBorders>
            <w:shd w:val="clear" w:color="auto" w:fill="auto"/>
            <w:noWrap/>
            <w:vAlign w:val="center"/>
          </w:tcPr>
          <w:p w14:paraId="24B6EDC8" w14:textId="77777777" w:rsidR="00F77388" w:rsidRPr="009C7D53" w:rsidRDefault="00F77388"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n=78</w:t>
            </w:r>
            <w:r w:rsidR="009148C2" w:rsidRPr="009C7D53">
              <w:rPr>
                <w:rFonts w:ascii="Arial" w:hAnsi="Arial" w:cs="Arial"/>
                <w:b/>
                <w:bCs/>
                <w:color w:val="000000"/>
                <w:sz w:val="14"/>
                <w:szCs w:val="14"/>
                <w:lang w:val="en-AU" w:eastAsia="en-AU"/>
              </w:rPr>
              <w:t>9</w:t>
            </w:r>
          </w:p>
        </w:tc>
        <w:tc>
          <w:tcPr>
            <w:tcW w:w="734" w:type="dxa"/>
            <w:tcBorders>
              <w:top w:val="nil"/>
              <w:left w:val="nil"/>
              <w:bottom w:val="single" w:sz="4" w:space="0" w:color="BFBFBF"/>
              <w:right w:val="single" w:sz="4" w:space="0" w:color="BFBFBF"/>
            </w:tcBorders>
            <w:shd w:val="clear" w:color="auto" w:fill="auto"/>
            <w:noWrap/>
            <w:vAlign w:val="center"/>
          </w:tcPr>
          <w:p w14:paraId="18CCEA13" w14:textId="77777777" w:rsidR="00F77388" w:rsidRPr="009C7D53" w:rsidRDefault="00F77388"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n=1,5</w:t>
            </w:r>
            <w:r w:rsidR="009148C2" w:rsidRPr="009C7D53">
              <w:rPr>
                <w:rFonts w:ascii="Arial" w:hAnsi="Arial" w:cs="Arial"/>
                <w:b/>
                <w:bCs/>
                <w:color w:val="000000"/>
                <w:sz w:val="14"/>
                <w:szCs w:val="14"/>
                <w:lang w:val="en-AU" w:eastAsia="en-AU"/>
              </w:rPr>
              <w:t>35</w:t>
            </w:r>
          </w:p>
        </w:tc>
        <w:tc>
          <w:tcPr>
            <w:tcW w:w="572" w:type="dxa"/>
            <w:tcBorders>
              <w:top w:val="nil"/>
              <w:left w:val="nil"/>
              <w:bottom w:val="single" w:sz="4" w:space="0" w:color="BFBFBF"/>
              <w:right w:val="nil"/>
            </w:tcBorders>
            <w:shd w:val="clear" w:color="auto" w:fill="auto"/>
            <w:noWrap/>
            <w:vAlign w:val="center"/>
          </w:tcPr>
          <w:p w14:paraId="083C9B45" w14:textId="77777777" w:rsidR="00F77388" w:rsidRPr="009C7D53" w:rsidRDefault="00F77388"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w:t>
            </w:r>
            <w:r w:rsidR="009148C2" w:rsidRPr="009C7D53">
              <w:rPr>
                <w:rFonts w:ascii="Arial" w:hAnsi="Arial" w:cs="Arial"/>
                <w:b/>
                <w:bCs/>
                <w:color w:val="000000"/>
                <w:sz w:val="14"/>
                <w:szCs w:val="14"/>
                <w:lang w:val="en-AU" w:eastAsia="en-AU"/>
              </w:rPr>
              <w:t>1</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181D5AAB" w14:textId="77777777" w:rsidR="00F77388" w:rsidRPr="009C7D53" w:rsidRDefault="00F77388"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n=78</w:t>
            </w:r>
            <w:r w:rsidR="009148C2" w:rsidRPr="009C7D53">
              <w:rPr>
                <w:rFonts w:ascii="Arial" w:hAnsi="Arial" w:cs="Arial"/>
                <w:b/>
                <w:bCs/>
                <w:color w:val="000000"/>
                <w:sz w:val="14"/>
                <w:szCs w:val="14"/>
                <w:lang w:val="en-AU" w:eastAsia="en-AU"/>
              </w:rPr>
              <w:t>9</w:t>
            </w:r>
          </w:p>
        </w:tc>
        <w:tc>
          <w:tcPr>
            <w:tcW w:w="617" w:type="dxa"/>
            <w:tcBorders>
              <w:top w:val="nil"/>
              <w:left w:val="nil"/>
              <w:bottom w:val="single" w:sz="4" w:space="0" w:color="BFBFBF"/>
              <w:right w:val="single" w:sz="4" w:space="0" w:color="BFBFBF"/>
            </w:tcBorders>
            <w:shd w:val="clear" w:color="auto" w:fill="auto"/>
            <w:noWrap/>
            <w:vAlign w:val="center"/>
          </w:tcPr>
          <w:p w14:paraId="392C193B"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n=560</w:t>
            </w:r>
          </w:p>
        </w:tc>
        <w:tc>
          <w:tcPr>
            <w:tcW w:w="734" w:type="dxa"/>
            <w:tcBorders>
              <w:top w:val="nil"/>
              <w:left w:val="nil"/>
              <w:bottom w:val="single" w:sz="4" w:space="0" w:color="BFBFBF"/>
              <w:right w:val="single" w:sz="4" w:space="0" w:color="BFBFBF"/>
            </w:tcBorders>
            <w:shd w:val="clear" w:color="auto" w:fill="auto"/>
            <w:noWrap/>
            <w:vAlign w:val="center"/>
          </w:tcPr>
          <w:p w14:paraId="6BD0AE5E"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n=1,087</w:t>
            </w:r>
          </w:p>
        </w:tc>
        <w:tc>
          <w:tcPr>
            <w:tcW w:w="617" w:type="dxa"/>
            <w:tcBorders>
              <w:top w:val="nil"/>
              <w:left w:val="nil"/>
              <w:bottom w:val="single" w:sz="4" w:space="0" w:color="BFBFBF"/>
              <w:right w:val="single" w:sz="4" w:space="0" w:color="auto"/>
            </w:tcBorders>
            <w:shd w:val="clear" w:color="auto" w:fill="auto"/>
            <w:noWrap/>
            <w:vAlign w:val="center"/>
          </w:tcPr>
          <w:p w14:paraId="3FBE465B"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n=722</w:t>
            </w:r>
          </w:p>
        </w:tc>
        <w:tc>
          <w:tcPr>
            <w:tcW w:w="734" w:type="dxa"/>
            <w:tcBorders>
              <w:top w:val="nil"/>
              <w:left w:val="nil"/>
              <w:bottom w:val="single" w:sz="4" w:space="0" w:color="BFBFBF"/>
              <w:right w:val="single" w:sz="4" w:space="0" w:color="BFBFBF"/>
            </w:tcBorders>
            <w:shd w:val="clear" w:color="auto" w:fill="auto"/>
            <w:noWrap/>
            <w:vAlign w:val="center"/>
          </w:tcPr>
          <w:p w14:paraId="019DF4CB" w14:textId="77777777" w:rsidR="00F77388" w:rsidRPr="009C7D53" w:rsidRDefault="00F77388"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n=1,5</w:t>
            </w:r>
            <w:r w:rsidR="009148C2" w:rsidRPr="009C7D53">
              <w:rPr>
                <w:rFonts w:ascii="Arial" w:hAnsi="Arial" w:cs="Arial"/>
                <w:b/>
                <w:bCs/>
                <w:color w:val="000000"/>
                <w:sz w:val="14"/>
                <w:szCs w:val="14"/>
                <w:lang w:val="en-AU" w:eastAsia="en-AU"/>
              </w:rPr>
              <w:t>35</w:t>
            </w:r>
          </w:p>
        </w:tc>
        <w:tc>
          <w:tcPr>
            <w:tcW w:w="695" w:type="dxa"/>
            <w:tcBorders>
              <w:top w:val="nil"/>
              <w:left w:val="nil"/>
              <w:bottom w:val="single" w:sz="4" w:space="0" w:color="BFBFBF"/>
              <w:right w:val="double" w:sz="6" w:space="0" w:color="auto"/>
            </w:tcBorders>
            <w:shd w:val="clear" w:color="auto" w:fill="auto"/>
            <w:noWrap/>
            <w:vAlign w:val="center"/>
          </w:tcPr>
          <w:p w14:paraId="23C4BA28" w14:textId="688D01D2" w:rsidR="00F77388" w:rsidRPr="009C7D53" w:rsidRDefault="00F77388" w:rsidP="009148C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w:t>
            </w:r>
            <w:r w:rsidR="00D92C64">
              <w:rPr>
                <w:rFonts w:ascii="Arial" w:hAnsi="Arial" w:cs="Arial"/>
                <w:b/>
                <w:bCs/>
                <w:color w:val="000000"/>
                <w:sz w:val="14"/>
                <w:szCs w:val="14"/>
                <w:lang w:val="en-AU" w:eastAsia="en-AU"/>
              </w:rPr>
              <w:t>,</w:t>
            </w:r>
            <w:r w:rsidRPr="009C7D53">
              <w:rPr>
                <w:rFonts w:ascii="Arial" w:hAnsi="Arial" w:cs="Arial"/>
                <w:b/>
                <w:bCs/>
                <w:color w:val="000000"/>
                <w:sz w:val="14"/>
                <w:szCs w:val="14"/>
                <w:lang w:val="en-AU" w:eastAsia="en-AU"/>
              </w:rPr>
              <w:t>1</w:t>
            </w:r>
            <w:r w:rsidR="009148C2" w:rsidRPr="009C7D53">
              <w:rPr>
                <w:rFonts w:ascii="Arial" w:hAnsi="Arial" w:cs="Arial"/>
                <w:b/>
                <w:bCs/>
                <w:color w:val="000000"/>
                <w:sz w:val="14"/>
                <w:szCs w:val="14"/>
                <w:lang w:val="en-AU" w:eastAsia="en-AU"/>
              </w:rPr>
              <w:t>41</w:t>
            </w:r>
          </w:p>
        </w:tc>
      </w:tr>
      <w:tr w:rsidR="00F77388" w:rsidRPr="009C7D53" w14:paraId="3150BD26"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54B1E85C" w14:textId="77777777" w:rsidR="00F77388" w:rsidRPr="009C7D53" w:rsidRDefault="00F77388"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Region -</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482BE74A" w14:textId="77777777" w:rsidR="00F77388" w:rsidRPr="009C7D53" w:rsidRDefault="00F77388" w:rsidP="00F77388">
            <w:pPr>
              <w:spacing w:before="0" w:after="0"/>
              <w:rPr>
                <w:rFonts w:ascii="Arial" w:hAnsi="Arial" w:cs="Arial"/>
                <w:color w:val="FF0000"/>
                <w:sz w:val="16"/>
                <w:szCs w:val="16"/>
                <w:lang w:val="en-AU" w:eastAsia="en-AU"/>
              </w:rPr>
            </w:pPr>
            <w:r w:rsidRPr="009C7D53">
              <w:rPr>
                <w:rFonts w:ascii="Arial" w:hAnsi="Arial" w:cs="Arial"/>
                <w:color w:val="FF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754E1DD"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E69CF46"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6C419129"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2A6ABEEB" w14:textId="77777777" w:rsidR="00F77388" w:rsidRPr="009C7D53" w:rsidRDefault="00F77388" w:rsidP="00F77388">
            <w:pPr>
              <w:spacing w:before="0" w:after="0"/>
              <w:rPr>
                <w:rFonts w:ascii="Arial" w:hAnsi="Arial" w:cs="Arial"/>
                <w:color w:val="FF0000"/>
                <w:sz w:val="16"/>
                <w:szCs w:val="16"/>
                <w:lang w:val="en-AU" w:eastAsia="en-AU"/>
              </w:rPr>
            </w:pPr>
            <w:r w:rsidRPr="009C7D53">
              <w:rPr>
                <w:rFonts w:ascii="Arial" w:hAnsi="Arial" w:cs="Arial"/>
                <w:color w:val="FF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bottom"/>
          </w:tcPr>
          <w:p w14:paraId="5C2AFBEF"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780FF35C" w14:textId="77777777" w:rsidR="00F77388" w:rsidRPr="009C7D53" w:rsidRDefault="00F77388" w:rsidP="00F77388">
            <w:pPr>
              <w:spacing w:before="0" w:after="0"/>
              <w:rPr>
                <w:rFonts w:ascii="Arial" w:hAnsi="Arial" w:cs="Arial"/>
                <w:color w:val="FF0000"/>
                <w:sz w:val="16"/>
                <w:szCs w:val="16"/>
                <w:lang w:val="en-AU" w:eastAsia="en-AU"/>
              </w:rPr>
            </w:pPr>
            <w:r w:rsidRPr="009C7D53">
              <w:rPr>
                <w:rFonts w:ascii="Arial" w:hAnsi="Arial" w:cs="Arial"/>
                <w:color w:val="FF0000"/>
                <w:sz w:val="16"/>
                <w:szCs w:val="16"/>
                <w:lang w:val="en-AU" w:eastAsia="en-AU"/>
              </w:rPr>
              <w:t> </w:t>
            </w:r>
          </w:p>
        </w:tc>
        <w:tc>
          <w:tcPr>
            <w:tcW w:w="572" w:type="dxa"/>
            <w:tcBorders>
              <w:top w:val="nil"/>
              <w:left w:val="nil"/>
              <w:bottom w:val="single" w:sz="4" w:space="0" w:color="BFBFBF"/>
              <w:right w:val="nil"/>
            </w:tcBorders>
            <w:shd w:val="clear" w:color="auto" w:fill="auto"/>
            <w:noWrap/>
            <w:vAlign w:val="bottom"/>
          </w:tcPr>
          <w:p w14:paraId="16F81413"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single" w:sz="4" w:space="0" w:color="auto"/>
              <w:bottom w:val="single" w:sz="4" w:space="0" w:color="BFBFBF"/>
              <w:right w:val="single" w:sz="4" w:space="0" w:color="BFBFBF"/>
            </w:tcBorders>
            <w:shd w:val="clear" w:color="auto" w:fill="auto"/>
            <w:noWrap/>
            <w:vAlign w:val="bottom"/>
          </w:tcPr>
          <w:p w14:paraId="4626D5EC"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center"/>
          </w:tcPr>
          <w:p w14:paraId="5AE9A157"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FDF61F1"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47BD4480"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42F9B632" w14:textId="77777777" w:rsidR="00F77388" w:rsidRPr="009C7D53" w:rsidRDefault="00F77388" w:rsidP="00F77388">
            <w:pPr>
              <w:spacing w:before="0" w:after="0"/>
              <w:rPr>
                <w:rFonts w:ascii="Arial" w:hAnsi="Arial" w:cs="Arial"/>
                <w:color w:val="FF0000"/>
                <w:sz w:val="16"/>
                <w:szCs w:val="16"/>
                <w:lang w:val="en-AU" w:eastAsia="en-AU"/>
              </w:rPr>
            </w:pPr>
            <w:r w:rsidRPr="009C7D53">
              <w:rPr>
                <w:rFonts w:ascii="Arial" w:hAnsi="Arial" w:cs="Arial"/>
                <w:color w:val="FF0000"/>
                <w:sz w:val="16"/>
                <w:szCs w:val="16"/>
                <w:lang w:val="en-AU" w:eastAsia="en-AU"/>
              </w:rPr>
              <w:t> </w:t>
            </w:r>
          </w:p>
        </w:tc>
        <w:tc>
          <w:tcPr>
            <w:tcW w:w="695" w:type="dxa"/>
            <w:tcBorders>
              <w:top w:val="nil"/>
              <w:left w:val="nil"/>
              <w:bottom w:val="single" w:sz="4" w:space="0" w:color="BFBFBF"/>
              <w:right w:val="double" w:sz="6" w:space="0" w:color="auto"/>
            </w:tcBorders>
            <w:shd w:val="clear" w:color="auto" w:fill="auto"/>
            <w:noWrap/>
            <w:vAlign w:val="bottom"/>
          </w:tcPr>
          <w:p w14:paraId="00CF71E3"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F80AC3" w:rsidRPr="009C7D53" w14:paraId="74242595"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017530AE"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9C7D53">
                  <w:rPr>
                    <w:rFonts w:ascii="Arial" w:hAnsi="Arial" w:cs="Arial"/>
                    <w:color w:val="000000"/>
                    <w:sz w:val="16"/>
                    <w:szCs w:val="16"/>
                    <w:lang w:val="en-AU" w:eastAsia="en-AU"/>
                  </w:rPr>
                  <w:t>Melbourne</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7D921F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41%</w:t>
            </w:r>
          </w:p>
        </w:tc>
        <w:tc>
          <w:tcPr>
            <w:tcW w:w="734" w:type="dxa"/>
            <w:tcBorders>
              <w:top w:val="nil"/>
              <w:left w:val="nil"/>
              <w:bottom w:val="single" w:sz="4" w:space="0" w:color="BFBFBF"/>
              <w:right w:val="single" w:sz="4" w:space="0" w:color="BFBFBF"/>
            </w:tcBorders>
            <w:shd w:val="clear" w:color="auto" w:fill="auto"/>
            <w:noWrap/>
            <w:vAlign w:val="center"/>
          </w:tcPr>
          <w:p w14:paraId="2FF9035F"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30%</w:t>
            </w:r>
          </w:p>
        </w:tc>
        <w:tc>
          <w:tcPr>
            <w:tcW w:w="734" w:type="dxa"/>
            <w:tcBorders>
              <w:top w:val="nil"/>
              <w:left w:val="nil"/>
              <w:bottom w:val="single" w:sz="4" w:space="0" w:color="BFBFBF"/>
              <w:right w:val="single" w:sz="4" w:space="0" w:color="BFBFBF"/>
            </w:tcBorders>
            <w:shd w:val="clear" w:color="auto" w:fill="auto"/>
            <w:noWrap/>
            <w:vAlign w:val="center"/>
          </w:tcPr>
          <w:p w14:paraId="7F0319C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53%</w:t>
            </w:r>
          </w:p>
        </w:tc>
        <w:tc>
          <w:tcPr>
            <w:tcW w:w="734" w:type="dxa"/>
            <w:tcBorders>
              <w:top w:val="nil"/>
              <w:left w:val="nil"/>
              <w:bottom w:val="single" w:sz="4" w:space="0" w:color="BFBFBF"/>
              <w:right w:val="single" w:sz="4" w:space="0" w:color="auto"/>
            </w:tcBorders>
            <w:shd w:val="clear" w:color="auto" w:fill="auto"/>
            <w:noWrap/>
            <w:vAlign w:val="center"/>
          </w:tcPr>
          <w:p w14:paraId="3501691F"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35%</w:t>
            </w:r>
          </w:p>
        </w:tc>
        <w:tc>
          <w:tcPr>
            <w:tcW w:w="734" w:type="dxa"/>
            <w:tcBorders>
              <w:top w:val="nil"/>
              <w:left w:val="nil"/>
              <w:bottom w:val="single" w:sz="4" w:space="0" w:color="BFBFBF"/>
              <w:right w:val="single" w:sz="4" w:space="0" w:color="BFBFBF"/>
            </w:tcBorders>
            <w:shd w:val="clear" w:color="auto" w:fill="auto"/>
            <w:noWrap/>
            <w:vAlign w:val="center"/>
          </w:tcPr>
          <w:p w14:paraId="122AA52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41%</w:t>
            </w:r>
          </w:p>
        </w:tc>
        <w:tc>
          <w:tcPr>
            <w:tcW w:w="617" w:type="dxa"/>
            <w:tcBorders>
              <w:top w:val="nil"/>
              <w:left w:val="nil"/>
              <w:bottom w:val="single" w:sz="4" w:space="0" w:color="BFBFBF"/>
              <w:right w:val="single" w:sz="4" w:space="0" w:color="BFBFBF"/>
            </w:tcBorders>
            <w:shd w:val="clear" w:color="auto" w:fill="auto"/>
            <w:noWrap/>
            <w:vAlign w:val="center"/>
          </w:tcPr>
          <w:p w14:paraId="090E894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BFBFBF"/>
            </w:tcBorders>
            <w:shd w:val="clear" w:color="auto" w:fill="auto"/>
            <w:noWrap/>
            <w:vAlign w:val="center"/>
          </w:tcPr>
          <w:p w14:paraId="0DB661C3"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72" w:type="dxa"/>
            <w:tcBorders>
              <w:top w:val="nil"/>
              <w:left w:val="nil"/>
              <w:bottom w:val="single" w:sz="4" w:space="0" w:color="BFBFBF"/>
              <w:right w:val="nil"/>
            </w:tcBorders>
            <w:shd w:val="clear" w:color="auto" w:fill="auto"/>
            <w:noWrap/>
            <w:vAlign w:val="center"/>
          </w:tcPr>
          <w:p w14:paraId="28D122F3"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32</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7A36851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617" w:type="dxa"/>
            <w:tcBorders>
              <w:top w:val="nil"/>
              <w:left w:val="nil"/>
              <w:bottom w:val="single" w:sz="4" w:space="0" w:color="BFBFBF"/>
              <w:right w:val="single" w:sz="4" w:space="0" w:color="BFBFBF"/>
            </w:tcBorders>
            <w:shd w:val="clear" w:color="auto" w:fill="auto"/>
            <w:noWrap/>
            <w:vAlign w:val="center"/>
          </w:tcPr>
          <w:p w14:paraId="189CA1C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BFBFBF"/>
            </w:tcBorders>
            <w:shd w:val="clear" w:color="auto" w:fill="auto"/>
            <w:noWrap/>
            <w:vAlign w:val="center"/>
          </w:tcPr>
          <w:p w14:paraId="4BF6B0F2"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73</w:t>
            </w:r>
          </w:p>
        </w:tc>
        <w:tc>
          <w:tcPr>
            <w:tcW w:w="617" w:type="dxa"/>
            <w:tcBorders>
              <w:top w:val="nil"/>
              <w:left w:val="nil"/>
              <w:bottom w:val="single" w:sz="4" w:space="0" w:color="BFBFBF"/>
              <w:right w:val="single" w:sz="4" w:space="0" w:color="auto"/>
            </w:tcBorders>
            <w:shd w:val="clear" w:color="auto" w:fill="auto"/>
            <w:noWrap/>
            <w:vAlign w:val="center"/>
          </w:tcPr>
          <w:p w14:paraId="51EF1E7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5D7079F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695" w:type="dxa"/>
            <w:tcBorders>
              <w:top w:val="nil"/>
              <w:left w:val="nil"/>
              <w:bottom w:val="single" w:sz="4" w:space="0" w:color="BFBFBF"/>
              <w:right w:val="double" w:sz="6" w:space="0" w:color="auto"/>
            </w:tcBorders>
            <w:shd w:val="clear" w:color="auto" w:fill="auto"/>
            <w:noWrap/>
            <w:vAlign w:val="center"/>
          </w:tcPr>
          <w:p w14:paraId="3F03140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r>
      <w:tr w:rsidR="00F80AC3" w:rsidRPr="009C7D53" w14:paraId="799CDBFD"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29C2CB8D"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Country VIC</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107B4F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46%</w:t>
            </w:r>
          </w:p>
        </w:tc>
        <w:tc>
          <w:tcPr>
            <w:tcW w:w="734" w:type="dxa"/>
            <w:tcBorders>
              <w:top w:val="nil"/>
              <w:left w:val="nil"/>
              <w:bottom w:val="single" w:sz="4" w:space="0" w:color="BFBFBF"/>
              <w:right w:val="single" w:sz="4" w:space="0" w:color="BFBFBF"/>
            </w:tcBorders>
            <w:shd w:val="clear" w:color="auto" w:fill="auto"/>
            <w:noWrap/>
            <w:vAlign w:val="center"/>
          </w:tcPr>
          <w:p w14:paraId="0FB6524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c>
          <w:tcPr>
            <w:tcW w:w="734" w:type="dxa"/>
            <w:tcBorders>
              <w:top w:val="nil"/>
              <w:left w:val="nil"/>
              <w:bottom w:val="single" w:sz="4" w:space="0" w:color="BFBFBF"/>
              <w:right w:val="single" w:sz="4" w:space="0" w:color="BFBFBF"/>
            </w:tcBorders>
            <w:shd w:val="clear" w:color="auto" w:fill="auto"/>
            <w:noWrap/>
            <w:vAlign w:val="center"/>
          </w:tcPr>
          <w:p w14:paraId="607F52DF"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56%</w:t>
            </w:r>
          </w:p>
        </w:tc>
        <w:tc>
          <w:tcPr>
            <w:tcW w:w="734" w:type="dxa"/>
            <w:tcBorders>
              <w:top w:val="nil"/>
              <w:left w:val="nil"/>
              <w:bottom w:val="single" w:sz="4" w:space="0" w:color="BFBFBF"/>
              <w:right w:val="single" w:sz="4" w:space="0" w:color="auto"/>
            </w:tcBorders>
            <w:shd w:val="clear" w:color="auto" w:fill="auto"/>
            <w:noWrap/>
            <w:vAlign w:val="center"/>
          </w:tcPr>
          <w:p w14:paraId="0F9B102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w:t>
            </w:r>
          </w:p>
        </w:tc>
        <w:tc>
          <w:tcPr>
            <w:tcW w:w="734" w:type="dxa"/>
            <w:tcBorders>
              <w:top w:val="nil"/>
              <w:left w:val="nil"/>
              <w:bottom w:val="single" w:sz="4" w:space="0" w:color="BFBFBF"/>
              <w:right w:val="single" w:sz="4" w:space="0" w:color="BFBFBF"/>
            </w:tcBorders>
            <w:shd w:val="clear" w:color="auto" w:fill="auto"/>
            <w:noWrap/>
            <w:vAlign w:val="center"/>
          </w:tcPr>
          <w:p w14:paraId="4AC670A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46%</w:t>
            </w:r>
          </w:p>
        </w:tc>
        <w:tc>
          <w:tcPr>
            <w:tcW w:w="617" w:type="dxa"/>
            <w:tcBorders>
              <w:top w:val="nil"/>
              <w:left w:val="nil"/>
              <w:bottom w:val="single" w:sz="4" w:space="0" w:color="BFBFBF"/>
              <w:right w:val="single" w:sz="4" w:space="0" w:color="BFBFBF"/>
            </w:tcBorders>
            <w:shd w:val="clear" w:color="auto" w:fill="auto"/>
            <w:noWrap/>
            <w:vAlign w:val="center"/>
          </w:tcPr>
          <w:p w14:paraId="39DD302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80</w:t>
            </w:r>
          </w:p>
        </w:tc>
        <w:tc>
          <w:tcPr>
            <w:tcW w:w="734" w:type="dxa"/>
            <w:tcBorders>
              <w:top w:val="nil"/>
              <w:left w:val="nil"/>
              <w:bottom w:val="single" w:sz="4" w:space="0" w:color="BFBFBF"/>
              <w:right w:val="single" w:sz="4" w:space="0" w:color="BFBFBF"/>
            </w:tcBorders>
            <w:shd w:val="clear" w:color="auto" w:fill="auto"/>
            <w:noWrap/>
            <w:vAlign w:val="center"/>
          </w:tcPr>
          <w:p w14:paraId="758E294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72" w:type="dxa"/>
            <w:tcBorders>
              <w:top w:val="nil"/>
              <w:left w:val="nil"/>
              <w:bottom w:val="single" w:sz="4" w:space="0" w:color="BFBFBF"/>
              <w:right w:val="nil"/>
            </w:tcBorders>
            <w:shd w:val="clear" w:color="auto" w:fill="auto"/>
            <w:noWrap/>
            <w:vAlign w:val="center"/>
          </w:tcPr>
          <w:p w14:paraId="69D371F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6FC73E3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80</w:t>
            </w:r>
          </w:p>
        </w:tc>
        <w:tc>
          <w:tcPr>
            <w:tcW w:w="617" w:type="dxa"/>
            <w:tcBorders>
              <w:top w:val="nil"/>
              <w:left w:val="nil"/>
              <w:bottom w:val="single" w:sz="4" w:space="0" w:color="BFBFBF"/>
              <w:right w:val="single" w:sz="4" w:space="0" w:color="BFBFBF"/>
            </w:tcBorders>
            <w:shd w:val="clear" w:color="auto" w:fill="auto"/>
            <w:noWrap/>
            <w:vAlign w:val="center"/>
          </w:tcPr>
          <w:p w14:paraId="49AB5E2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4E48272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67</w:t>
            </w:r>
          </w:p>
        </w:tc>
        <w:tc>
          <w:tcPr>
            <w:tcW w:w="617" w:type="dxa"/>
            <w:tcBorders>
              <w:top w:val="nil"/>
              <w:left w:val="nil"/>
              <w:bottom w:val="single" w:sz="4" w:space="0" w:color="BFBFBF"/>
              <w:right w:val="single" w:sz="4" w:space="0" w:color="auto"/>
            </w:tcBorders>
            <w:shd w:val="clear" w:color="auto" w:fill="auto"/>
            <w:noWrap/>
            <w:vAlign w:val="center"/>
          </w:tcPr>
          <w:p w14:paraId="41120DD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78</w:t>
            </w:r>
          </w:p>
        </w:tc>
        <w:tc>
          <w:tcPr>
            <w:tcW w:w="734" w:type="dxa"/>
            <w:tcBorders>
              <w:top w:val="nil"/>
              <w:left w:val="nil"/>
              <w:bottom w:val="single" w:sz="4" w:space="0" w:color="BFBFBF"/>
              <w:right w:val="single" w:sz="4" w:space="0" w:color="BFBFBF"/>
            </w:tcBorders>
            <w:shd w:val="clear" w:color="auto" w:fill="auto"/>
            <w:noWrap/>
            <w:vAlign w:val="center"/>
          </w:tcPr>
          <w:p w14:paraId="6CA96CF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695" w:type="dxa"/>
            <w:tcBorders>
              <w:top w:val="nil"/>
              <w:left w:val="nil"/>
              <w:bottom w:val="single" w:sz="4" w:space="0" w:color="BFBFBF"/>
              <w:right w:val="double" w:sz="6" w:space="0" w:color="auto"/>
            </w:tcBorders>
            <w:shd w:val="clear" w:color="auto" w:fill="auto"/>
            <w:noWrap/>
            <w:vAlign w:val="center"/>
          </w:tcPr>
          <w:p w14:paraId="3AC6D9C3"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w:t>
            </w:r>
          </w:p>
        </w:tc>
      </w:tr>
      <w:tr w:rsidR="00F80AC3" w:rsidRPr="009C7D53" w14:paraId="046F993C"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11B06410" w14:textId="77777777" w:rsidR="00F80AC3" w:rsidRPr="009C7D53" w:rsidRDefault="00F80AC3"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DHHS Area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6FB63B3"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52C921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9EE0BF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3C4E141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A659EE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center"/>
          </w:tcPr>
          <w:p w14:paraId="478D067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83EC0B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72" w:type="dxa"/>
            <w:tcBorders>
              <w:top w:val="nil"/>
              <w:left w:val="nil"/>
              <w:bottom w:val="single" w:sz="4" w:space="0" w:color="BFBFBF"/>
              <w:right w:val="nil"/>
            </w:tcBorders>
            <w:shd w:val="clear" w:color="auto" w:fill="auto"/>
            <w:noWrap/>
            <w:vAlign w:val="center"/>
          </w:tcPr>
          <w:p w14:paraId="6A73845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6CA809D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center"/>
          </w:tcPr>
          <w:p w14:paraId="058E64F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2C3DB8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6ECA942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CA3680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95" w:type="dxa"/>
            <w:tcBorders>
              <w:top w:val="nil"/>
              <w:left w:val="nil"/>
              <w:bottom w:val="single" w:sz="4" w:space="0" w:color="BFBFBF"/>
              <w:right w:val="double" w:sz="6" w:space="0" w:color="auto"/>
            </w:tcBorders>
            <w:shd w:val="clear" w:color="auto" w:fill="auto"/>
            <w:noWrap/>
            <w:vAlign w:val="center"/>
          </w:tcPr>
          <w:p w14:paraId="53DA9AC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F80AC3" w:rsidRPr="009C7D53" w14:paraId="020E88FE"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48565256"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Hume Moreland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2A1884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53%</w:t>
            </w:r>
          </w:p>
        </w:tc>
        <w:tc>
          <w:tcPr>
            <w:tcW w:w="734" w:type="dxa"/>
            <w:tcBorders>
              <w:top w:val="nil"/>
              <w:left w:val="nil"/>
              <w:bottom w:val="single" w:sz="4" w:space="0" w:color="BFBFBF"/>
              <w:right w:val="single" w:sz="4" w:space="0" w:color="BFBFBF"/>
            </w:tcBorders>
            <w:shd w:val="clear" w:color="auto" w:fill="auto"/>
            <w:noWrap/>
            <w:vAlign w:val="center"/>
          </w:tcPr>
          <w:p w14:paraId="79F6003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D73BB9C"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BF14A5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2BD5FB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53%</w:t>
            </w:r>
          </w:p>
        </w:tc>
        <w:tc>
          <w:tcPr>
            <w:tcW w:w="617" w:type="dxa"/>
            <w:tcBorders>
              <w:top w:val="nil"/>
              <w:left w:val="nil"/>
              <w:bottom w:val="single" w:sz="4" w:space="0" w:color="BFBFBF"/>
              <w:right w:val="single" w:sz="4" w:space="0" w:color="BFBFBF"/>
            </w:tcBorders>
            <w:shd w:val="clear" w:color="auto" w:fill="auto"/>
            <w:noWrap/>
            <w:vAlign w:val="center"/>
          </w:tcPr>
          <w:p w14:paraId="760CE7B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89</w:t>
            </w:r>
          </w:p>
        </w:tc>
        <w:tc>
          <w:tcPr>
            <w:tcW w:w="734" w:type="dxa"/>
            <w:tcBorders>
              <w:top w:val="nil"/>
              <w:left w:val="nil"/>
              <w:bottom w:val="single" w:sz="4" w:space="0" w:color="BFBFBF"/>
              <w:right w:val="single" w:sz="4" w:space="0" w:color="BFBFBF"/>
            </w:tcBorders>
            <w:shd w:val="clear" w:color="auto" w:fill="auto"/>
            <w:noWrap/>
            <w:vAlign w:val="center"/>
          </w:tcPr>
          <w:p w14:paraId="682205D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572" w:type="dxa"/>
            <w:tcBorders>
              <w:top w:val="nil"/>
              <w:left w:val="nil"/>
              <w:bottom w:val="single" w:sz="4" w:space="0" w:color="BFBFBF"/>
              <w:right w:val="nil"/>
            </w:tcBorders>
            <w:shd w:val="clear" w:color="auto" w:fill="auto"/>
            <w:noWrap/>
            <w:vAlign w:val="center"/>
          </w:tcPr>
          <w:p w14:paraId="7C47B38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59</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65BFC78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617" w:type="dxa"/>
            <w:tcBorders>
              <w:top w:val="nil"/>
              <w:left w:val="nil"/>
              <w:bottom w:val="single" w:sz="4" w:space="0" w:color="BFBFBF"/>
              <w:right w:val="single" w:sz="4" w:space="0" w:color="BFBFBF"/>
            </w:tcBorders>
            <w:shd w:val="clear" w:color="auto" w:fill="auto"/>
            <w:noWrap/>
            <w:vAlign w:val="center"/>
          </w:tcPr>
          <w:p w14:paraId="0956F6A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840AE9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1475EB5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AD202F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695" w:type="dxa"/>
            <w:tcBorders>
              <w:top w:val="nil"/>
              <w:left w:val="nil"/>
              <w:bottom w:val="single" w:sz="4" w:space="0" w:color="BFBFBF"/>
              <w:right w:val="double" w:sz="6" w:space="0" w:color="auto"/>
            </w:tcBorders>
            <w:shd w:val="clear" w:color="auto" w:fill="auto"/>
            <w:noWrap/>
            <w:vAlign w:val="center"/>
          </w:tcPr>
          <w:p w14:paraId="35C92EA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r>
      <w:tr w:rsidR="00F80AC3" w:rsidRPr="009C7D53" w14:paraId="0D4719F7"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02AA3C16"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North Eastern 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7CFDA3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41%</w:t>
            </w:r>
          </w:p>
        </w:tc>
        <w:tc>
          <w:tcPr>
            <w:tcW w:w="734" w:type="dxa"/>
            <w:tcBorders>
              <w:top w:val="nil"/>
              <w:left w:val="nil"/>
              <w:bottom w:val="single" w:sz="4" w:space="0" w:color="BFBFBF"/>
              <w:right w:val="single" w:sz="4" w:space="0" w:color="BFBFBF"/>
            </w:tcBorders>
            <w:shd w:val="clear" w:color="auto" w:fill="auto"/>
            <w:noWrap/>
            <w:vAlign w:val="center"/>
          </w:tcPr>
          <w:p w14:paraId="5BF3E9C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75CACD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95FB8B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83EA4B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41%</w:t>
            </w:r>
          </w:p>
        </w:tc>
        <w:tc>
          <w:tcPr>
            <w:tcW w:w="617" w:type="dxa"/>
            <w:tcBorders>
              <w:top w:val="nil"/>
              <w:left w:val="nil"/>
              <w:bottom w:val="single" w:sz="4" w:space="0" w:color="BFBFBF"/>
              <w:right w:val="single" w:sz="4" w:space="0" w:color="BFBFBF"/>
            </w:tcBorders>
            <w:shd w:val="clear" w:color="auto" w:fill="auto"/>
            <w:noWrap/>
            <w:vAlign w:val="center"/>
          </w:tcPr>
          <w:p w14:paraId="4642D98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96</w:t>
            </w:r>
          </w:p>
        </w:tc>
        <w:tc>
          <w:tcPr>
            <w:tcW w:w="734" w:type="dxa"/>
            <w:tcBorders>
              <w:top w:val="nil"/>
              <w:left w:val="nil"/>
              <w:bottom w:val="single" w:sz="4" w:space="0" w:color="BFBFBF"/>
              <w:right w:val="single" w:sz="4" w:space="0" w:color="BFBFBF"/>
            </w:tcBorders>
            <w:shd w:val="clear" w:color="auto" w:fill="auto"/>
            <w:noWrap/>
            <w:vAlign w:val="center"/>
          </w:tcPr>
          <w:p w14:paraId="0D9FD4F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72" w:type="dxa"/>
            <w:tcBorders>
              <w:top w:val="nil"/>
              <w:left w:val="nil"/>
              <w:bottom w:val="single" w:sz="4" w:space="0" w:color="BFBFBF"/>
              <w:right w:val="nil"/>
            </w:tcBorders>
            <w:shd w:val="clear" w:color="auto" w:fill="auto"/>
            <w:noWrap/>
            <w:vAlign w:val="center"/>
          </w:tcPr>
          <w:p w14:paraId="47BA58D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52EFA1D3"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98</w:t>
            </w:r>
          </w:p>
        </w:tc>
        <w:tc>
          <w:tcPr>
            <w:tcW w:w="617" w:type="dxa"/>
            <w:tcBorders>
              <w:top w:val="nil"/>
              <w:left w:val="nil"/>
              <w:bottom w:val="single" w:sz="4" w:space="0" w:color="BFBFBF"/>
              <w:right w:val="single" w:sz="4" w:space="0" w:color="BFBFBF"/>
            </w:tcBorders>
            <w:shd w:val="clear" w:color="auto" w:fill="auto"/>
            <w:noWrap/>
            <w:vAlign w:val="center"/>
          </w:tcPr>
          <w:p w14:paraId="4E1FF47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AF17642"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5C52885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545143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70%</w:t>
            </w:r>
          </w:p>
        </w:tc>
        <w:tc>
          <w:tcPr>
            <w:tcW w:w="695" w:type="dxa"/>
            <w:tcBorders>
              <w:top w:val="nil"/>
              <w:left w:val="nil"/>
              <w:bottom w:val="single" w:sz="4" w:space="0" w:color="BFBFBF"/>
              <w:right w:val="double" w:sz="6" w:space="0" w:color="auto"/>
            </w:tcBorders>
            <w:shd w:val="clear" w:color="auto" w:fill="auto"/>
            <w:noWrap/>
            <w:vAlign w:val="center"/>
          </w:tcPr>
          <w:p w14:paraId="2625A56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r>
      <w:tr w:rsidR="00F80AC3" w:rsidRPr="009C7D53" w14:paraId="1C772FDF"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7BBBDF62"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Outer </w:t>
            </w:r>
            <w:smartTag w:uri="urn:schemas-microsoft-com:office:smarttags" w:element="place">
              <w:r w:rsidRPr="009C7D53">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175BDD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w:t>
            </w:r>
          </w:p>
        </w:tc>
        <w:tc>
          <w:tcPr>
            <w:tcW w:w="734" w:type="dxa"/>
            <w:tcBorders>
              <w:top w:val="nil"/>
              <w:left w:val="nil"/>
              <w:bottom w:val="single" w:sz="4" w:space="0" w:color="BFBFBF"/>
              <w:right w:val="single" w:sz="4" w:space="0" w:color="BFBFBF"/>
            </w:tcBorders>
            <w:shd w:val="clear" w:color="auto" w:fill="auto"/>
            <w:noWrap/>
            <w:vAlign w:val="center"/>
          </w:tcPr>
          <w:p w14:paraId="4CFFE7A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066945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A566B1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056E06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w:t>
            </w:r>
          </w:p>
        </w:tc>
        <w:tc>
          <w:tcPr>
            <w:tcW w:w="617" w:type="dxa"/>
            <w:tcBorders>
              <w:top w:val="nil"/>
              <w:left w:val="nil"/>
              <w:bottom w:val="single" w:sz="4" w:space="0" w:color="BFBFBF"/>
              <w:right w:val="single" w:sz="4" w:space="0" w:color="BFBFBF"/>
            </w:tcBorders>
            <w:shd w:val="clear" w:color="auto" w:fill="auto"/>
            <w:noWrap/>
            <w:vAlign w:val="center"/>
          </w:tcPr>
          <w:p w14:paraId="4FEC2FE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97</w:t>
            </w:r>
          </w:p>
        </w:tc>
        <w:tc>
          <w:tcPr>
            <w:tcW w:w="734" w:type="dxa"/>
            <w:tcBorders>
              <w:top w:val="nil"/>
              <w:left w:val="nil"/>
              <w:bottom w:val="single" w:sz="4" w:space="0" w:color="BFBFBF"/>
              <w:right w:val="single" w:sz="4" w:space="0" w:color="BFBFBF"/>
            </w:tcBorders>
            <w:shd w:val="clear" w:color="auto" w:fill="auto"/>
            <w:noWrap/>
            <w:vAlign w:val="center"/>
          </w:tcPr>
          <w:p w14:paraId="32F6924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3855793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42181643"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97</w:t>
            </w:r>
          </w:p>
        </w:tc>
        <w:tc>
          <w:tcPr>
            <w:tcW w:w="617" w:type="dxa"/>
            <w:tcBorders>
              <w:top w:val="nil"/>
              <w:left w:val="nil"/>
              <w:bottom w:val="single" w:sz="4" w:space="0" w:color="BFBFBF"/>
              <w:right w:val="single" w:sz="4" w:space="0" w:color="BFBFBF"/>
            </w:tcBorders>
            <w:shd w:val="clear" w:color="auto" w:fill="auto"/>
            <w:noWrap/>
            <w:vAlign w:val="center"/>
          </w:tcPr>
          <w:p w14:paraId="311AD5A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D83C5F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734F053F"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98944C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w:t>
            </w:r>
          </w:p>
        </w:tc>
        <w:tc>
          <w:tcPr>
            <w:tcW w:w="695" w:type="dxa"/>
            <w:tcBorders>
              <w:top w:val="nil"/>
              <w:left w:val="nil"/>
              <w:bottom w:val="single" w:sz="4" w:space="0" w:color="BFBFBF"/>
              <w:right w:val="double" w:sz="6" w:space="0" w:color="auto"/>
            </w:tcBorders>
            <w:shd w:val="clear" w:color="auto" w:fill="auto"/>
            <w:noWrap/>
            <w:vAlign w:val="center"/>
          </w:tcPr>
          <w:p w14:paraId="6220B97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r>
      <w:tr w:rsidR="00F80AC3" w:rsidRPr="009C7D53" w14:paraId="7C4148BB"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23742F3E"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Inner </w:t>
            </w:r>
            <w:smartTag w:uri="urn:schemas-microsoft-com:office:smarttags" w:element="place">
              <w:r w:rsidRPr="009C7D53">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B451DF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w:t>
            </w:r>
          </w:p>
        </w:tc>
        <w:tc>
          <w:tcPr>
            <w:tcW w:w="734" w:type="dxa"/>
            <w:tcBorders>
              <w:top w:val="nil"/>
              <w:left w:val="nil"/>
              <w:bottom w:val="single" w:sz="4" w:space="0" w:color="BFBFBF"/>
              <w:right w:val="single" w:sz="4" w:space="0" w:color="BFBFBF"/>
            </w:tcBorders>
            <w:shd w:val="clear" w:color="auto" w:fill="auto"/>
            <w:noWrap/>
            <w:vAlign w:val="center"/>
          </w:tcPr>
          <w:p w14:paraId="659B484C"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13174F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160C3AE"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83FBA8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w:t>
            </w:r>
          </w:p>
        </w:tc>
        <w:tc>
          <w:tcPr>
            <w:tcW w:w="617" w:type="dxa"/>
            <w:tcBorders>
              <w:top w:val="nil"/>
              <w:left w:val="nil"/>
              <w:bottom w:val="single" w:sz="4" w:space="0" w:color="BFBFBF"/>
              <w:right w:val="single" w:sz="4" w:space="0" w:color="BFBFBF"/>
            </w:tcBorders>
            <w:shd w:val="clear" w:color="auto" w:fill="auto"/>
            <w:noWrap/>
            <w:vAlign w:val="center"/>
          </w:tcPr>
          <w:p w14:paraId="6FE3E8D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BFBFBF"/>
            </w:tcBorders>
            <w:shd w:val="clear" w:color="auto" w:fill="auto"/>
            <w:noWrap/>
            <w:vAlign w:val="center"/>
          </w:tcPr>
          <w:p w14:paraId="15678BF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572" w:type="dxa"/>
            <w:tcBorders>
              <w:top w:val="nil"/>
              <w:left w:val="nil"/>
              <w:bottom w:val="single" w:sz="4" w:space="0" w:color="BFBFBF"/>
              <w:right w:val="nil"/>
            </w:tcBorders>
            <w:shd w:val="clear" w:color="auto" w:fill="auto"/>
            <w:noWrap/>
            <w:vAlign w:val="center"/>
          </w:tcPr>
          <w:p w14:paraId="40716E4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17</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5A9F803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93</w:t>
            </w:r>
          </w:p>
        </w:tc>
        <w:tc>
          <w:tcPr>
            <w:tcW w:w="617" w:type="dxa"/>
            <w:tcBorders>
              <w:top w:val="nil"/>
              <w:left w:val="nil"/>
              <w:bottom w:val="single" w:sz="4" w:space="0" w:color="BFBFBF"/>
              <w:right w:val="single" w:sz="4" w:space="0" w:color="BFBFBF"/>
            </w:tcBorders>
            <w:shd w:val="clear" w:color="auto" w:fill="auto"/>
            <w:noWrap/>
            <w:vAlign w:val="center"/>
          </w:tcPr>
          <w:p w14:paraId="3405A3B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7660A4E"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00A62AF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1CB8E1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73%</w:t>
            </w:r>
          </w:p>
        </w:tc>
        <w:tc>
          <w:tcPr>
            <w:tcW w:w="695" w:type="dxa"/>
            <w:tcBorders>
              <w:top w:val="nil"/>
              <w:left w:val="nil"/>
              <w:bottom w:val="single" w:sz="4" w:space="0" w:color="BFBFBF"/>
              <w:right w:val="double" w:sz="6" w:space="0" w:color="auto"/>
            </w:tcBorders>
            <w:shd w:val="clear" w:color="auto" w:fill="auto"/>
            <w:noWrap/>
            <w:vAlign w:val="center"/>
          </w:tcPr>
          <w:p w14:paraId="7916D6F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29</w:t>
            </w:r>
          </w:p>
        </w:tc>
      </w:tr>
      <w:tr w:rsidR="00F80AC3" w:rsidRPr="009C7D53" w14:paraId="7C7002D4"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6F9029CA"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smartTag w:uri="urn:schemas-microsoft-com:office:smarttags" w:element="place">
              <w:r w:rsidRPr="009C7D53">
                <w:rPr>
                  <w:rFonts w:ascii="Arial" w:hAnsi="Arial" w:cs="Arial"/>
                  <w:color w:val="000000"/>
                  <w:sz w:val="16"/>
                  <w:szCs w:val="16"/>
                  <w:lang w:val="en-AU" w:eastAsia="en-AU"/>
                </w:rPr>
                <w:t>Southern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8A00DF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48%</w:t>
            </w:r>
          </w:p>
        </w:tc>
        <w:tc>
          <w:tcPr>
            <w:tcW w:w="734" w:type="dxa"/>
            <w:tcBorders>
              <w:top w:val="nil"/>
              <w:left w:val="nil"/>
              <w:bottom w:val="single" w:sz="4" w:space="0" w:color="BFBFBF"/>
              <w:right w:val="single" w:sz="4" w:space="0" w:color="BFBFBF"/>
            </w:tcBorders>
            <w:shd w:val="clear" w:color="auto" w:fill="auto"/>
            <w:noWrap/>
            <w:vAlign w:val="center"/>
          </w:tcPr>
          <w:p w14:paraId="7F447FA3"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1E1984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69BFCF7"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9445E6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48%</w:t>
            </w:r>
          </w:p>
        </w:tc>
        <w:tc>
          <w:tcPr>
            <w:tcW w:w="617" w:type="dxa"/>
            <w:tcBorders>
              <w:top w:val="nil"/>
              <w:left w:val="nil"/>
              <w:bottom w:val="single" w:sz="4" w:space="0" w:color="BFBFBF"/>
              <w:right w:val="single" w:sz="4" w:space="0" w:color="BFBFBF"/>
            </w:tcBorders>
            <w:shd w:val="clear" w:color="auto" w:fill="auto"/>
            <w:noWrap/>
            <w:vAlign w:val="center"/>
          </w:tcPr>
          <w:p w14:paraId="7EE6A1F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70E1111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0559A9C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5BD1F11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617" w:type="dxa"/>
            <w:tcBorders>
              <w:top w:val="nil"/>
              <w:left w:val="nil"/>
              <w:bottom w:val="single" w:sz="4" w:space="0" w:color="BFBFBF"/>
              <w:right w:val="single" w:sz="4" w:space="0" w:color="BFBFBF"/>
            </w:tcBorders>
            <w:shd w:val="clear" w:color="auto" w:fill="auto"/>
            <w:noWrap/>
            <w:vAlign w:val="center"/>
          </w:tcPr>
          <w:p w14:paraId="201B882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B4316DC"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37D0D5D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1A8130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695" w:type="dxa"/>
            <w:tcBorders>
              <w:top w:val="nil"/>
              <w:left w:val="nil"/>
              <w:bottom w:val="single" w:sz="4" w:space="0" w:color="BFBFBF"/>
              <w:right w:val="double" w:sz="6" w:space="0" w:color="auto"/>
            </w:tcBorders>
            <w:shd w:val="clear" w:color="auto" w:fill="auto"/>
            <w:noWrap/>
            <w:vAlign w:val="center"/>
          </w:tcPr>
          <w:p w14:paraId="07EF252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r>
      <w:tr w:rsidR="00F80AC3" w:rsidRPr="009C7D53" w14:paraId="02ECBC54"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702986C8"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Bayside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424ABF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w:t>
            </w:r>
          </w:p>
        </w:tc>
        <w:tc>
          <w:tcPr>
            <w:tcW w:w="734" w:type="dxa"/>
            <w:tcBorders>
              <w:top w:val="nil"/>
              <w:left w:val="nil"/>
              <w:bottom w:val="single" w:sz="4" w:space="0" w:color="BFBFBF"/>
              <w:right w:val="single" w:sz="4" w:space="0" w:color="BFBFBF"/>
            </w:tcBorders>
            <w:shd w:val="clear" w:color="auto" w:fill="auto"/>
            <w:noWrap/>
            <w:vAlign w:val="center"/>
          </w:tcPr>
          <w:p w14:paraId="0DE58EE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AA6FC0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320159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0E8919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w:t>
            </w:r>
          </w:p>
        </w:tc>
        <w:tc>
          <w:tcPr>
            <w:tcW w:w="617" w:type="dxa"/>
            <w:tcBorders>
              <w:top w:val="nil"/>
              <w:left w:val="nil"/>
              <w:bottom w:val="single" w:sz="4" w:space="0" w:color="BFBFBF"/>
              <w:right w:val="single" w:sz="4" w:space="0" w:color="BFBFBF"/>
            </w:tcBorders>
            <w:shd w:val="clear" w:color="auto" w:fill="auto"/>
            <w:noWrap/>
            <w:vAlign w:val="center"/>
          </w:tcPr>
          <w:p w14:paraId="25269BA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734" w:type="dxa"/>
            <w:tcBorders>
              <w:top w:val="nil"/>
              <w:left w:val="nil"/>
              <w:bottom w:val="single" w:sz="4" w:space="0" w:color="BFBFBF"/>
              <w:right w:val="single" w:sz="4" w:space="0" w:color="BFBFBF"/>
            </w:tcBorders>
            <w:shd w:val="clear" w:color="auto" w:fill="auto"/>
            <w:noWrap/>
            <w:vAlign w:val="center"/>
          </w:tcPr>
          <w:p w14:paraId="552F613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15B1504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26</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4E6075D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617" w:type="dxa"/>
            <w:tcBorders>
              <w:top w:val="nil"/>
              <w:left w:val="nil"/>
              <w:bottom w:val="single" w:sz="4" w:space="0" w:color="BFBFBF"/>
              <w:right w:val="single" w:sz="4" w:space="0" w:color="BFBFBF"/>
            </w:tcBorders>
            <w:shd w:val="clear" w:color="auto" w:fill="auto"/>
            <w:noWrap/>
            <w:vAlign w:val="center"/>
          </w:tcPr>
          <w:p w14:paraId="6595F46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4CED75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4E27BAA2"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52FC22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74%</w:t>
            </w:r>
          </w:p>
        </w:tc>
        <w:tc>
          <w:tcPr>
            <w:tcW w:w="695" w:type="dxa"/>
            <w:tcBorders>
              <w:top w:val="nil"/>
              <w:left w:val="nil"/>
              <w:bottom w:val="single" w:sz="4" w:space="0" w:color="BFBFBF"/>
              <w:right w:val="double" w:sz="6" w:space="0" w:color="auto"/>
            </w:tcBorders>
            <w:shd w:val="clear" w:color="auto" w:fill="auto"/>
            <w:noWrap/>
            <w:vAlign w:val="center"/>
          </w:tcPr>
          <w:p w14:paraId="7437275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r>
      <w:tr w:rsidR="00F80AC3" w:rsidRPr="009C7D53" w14:paraId="19059A3A"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4F018AE7"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smartTag w:uri="urn:schemas-microsoft-com:office:smarttags" w:element="place">
              <w:r w:rsidRPr="009C7D53">
                <w:rPr>
                  <w:rFonts w:ascii="Arial" w:hAnsi="Arial" w:cs="Arial"/>
                  <w:color w:val="000000"/>
                  <w:sz w:val="16"/>
                  <w:szCs w:val="16"/>
                  <w:lang w:val="en-AU" w:eastAsia="en-AU"/>
                </w:rPr>
                <w:t>Western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93A961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29%</w:t>
            </w:r>
          </w:p>
        </w:tc>
        <w:tc>
          <w:tcPr>
            <w:tcW w:w="734" w:type="dxa"/>
            <w:tcBorders>
              <w:top w:val="nil"/>
              <w:left w:val="nil"/>
              <w:bottom w:val="single" w:sz="4" w:space="0" w:color="BFBFBF"/>
              <w:right w:val="single" w:sz="4" w:space="0" w:color="BFBFBF"/>
            </w:tcBorders>
            <w:shd w:val="clear" w:color="auto" w:fill="auto"/>
            <w:noWrap/>
            <w:vAlign w:val="center"/>
          </w:tcPr>
          <w:p w14:paraId="279CB67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211B3D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C2D6EE3"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603D94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29%</w:t>
            </w:r>
          </w:p>
        </w:tc>
        <w:tc>
          <w:tcPr>
            <w:tcW w:w="617" w:type="dxa"/>
            <w:tcBorders>
              <w:top w:val="nil"/>
              <w:left w:val="nil"/>
              <w:bottom w:val="single" w:sz="4" w:space="0" w:color="BFBFBF"/>
              <w:right w:val="single" w:sz="4" w:space="0" w:color="BFBFBF"/>
            </w:tcBorders>
            <w:shd w:val="clear" w:color="auto" w:fill="auto"/>
            <w:noWrap/>
            <w:vAlign w:val="center"/>
          </w:tcPr>
          <w:p w14:paraId="4CB23D7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77</w:t>
            </w:r>
          </w:p>
        </w:tc>
        <w:tc>
          <w:tcPr>
            <w:tcW w:w="734" w:type="dxa"/>
            <w:tcBorders>
              <w:top w:val="nil"/>
              <w:left w:val="nil"/>
              <w:bottom w:val="single" w:sz="4" w:space="0" w:color="BFBFBF"/>
              <w:right w:val="single" w:sz="4" w:space="0" w:color="BFBFBF"/>
            </w:tcBorders>
            <w:shd w:val="clear" w:color="auto" w:fill="auto"/>
            <w:noWrap/>
            <w:vAlign w:val="center"/>
          </w:tcPr>
          <w:p w14:paraId="6CED20E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72" w:type="dxa"/>
            <w:tcBorders>
              <w:top w:val="nil"/>
              <w:left w:val="nil"/>
              <w:bottom w:val="single" w:sz="4" w:space="0" w:color="BFBFBF"/>
              <w:right w:val="nil"/>
            </w:tcBorders>
            <w:shd w:val="clear" w:color="auto" w:fill="auto"/>
            <w:noWrap/>
            <w:vAlign w:val="center"/>
          </w:tcPr>
          <w:p w14:paraId="6013FE8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7A178AE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77</w:t>
            </w:r>
          </w:p>
        </w:tc>
        <w:tc>
          <w:tcPr>
            <w:tcW w:w="617" w:type="dxa"/>
            <w:tcBorders>
              <w:top w:val="nil"/>
              <w:left w:val="nil"/>
              <w:bottom w:val="single" w:sz="4" w:space="0" w:color="BFBFBF"/>
              <w:right w:val="single" w:sz="4" w:space="0" w:color="BFBFBF"/>
            </w:tcBorders>
            <w:shd w:val="clear" w:color="auto" w:fill="auto"/>
            <w:noWrap/>
            <w:vAlign w:val="center"/>
          </w:tcPr>
          <w:p w14:paraId="7437C8C7"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B1E81FE"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7C6D9EF3"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477BA8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69%</w:t>
            </w:r>
          </w:p>
        </w:tc>
        <w:tc>
          <w:tcPr>
            <w:tcW w:w="695" w:type="dxa"/>
            <w:tcBorders>
              <w:top w:val="nil"/>
              <w:left w:val="nil"/>
              <w:bottom w:val="single" w:sz="4" w:space="0" w:color="BFBFBF"/>
              <w:right w:val="double" w:sz="6" w:space="0" w:color="auto"/>
            </w:tcBorders>
            <w:shd w:val="clear" w:color="auto" w:fill="auto"/>
            <w:noWrap/>
            <w:vAlign w:val="center"/>
          </w:tcPr>
          <w:p w14:paraId="503B966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r>
      <w:tr w:rsidR="00F80AC3" w:rsidRPr="009C7D53" w14:paraId="41C9BB1B"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06FA6E61"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Brimbank Melton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069216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45%</w:t>
            </w:r>
          </w:p>
        </w:tc>
        <w:tc>
          <w:tcPr>
            <w:tcW w:w="734" w:type="dxa"/>
            <w:tcBorders>
              <w:top w:val="nil"/>
              <w:left w:val="nil"/>
              <w:bottom w:val="single" w:sz="4" w:space="0" w:color="BFBFBF"/>
              <w:right w:val="single" w:sz="4" w:space="0" w:color="BFBFBF"/>
            </w:tcBorders>
            <w:shd w:val="clear" w:color="auto" w:fill="auto"/>
            <w:noWrap/>
            <w:vAlign w:val="center"/>
          </w:tcPr>
          <w:p w14:paraId="6C33660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ADDECD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ED2D27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8E1C09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45%</w:t>
            </w:r>
          </w:p>
        </w:tc>
        <w:tc>
          <w:tcPr>
            <w:tcW w:w="617" w:type="dxa"/>
            <w:tcBorders>
              <w:top w:val="nil"/>
              <w:left w:val="nil"/>
              <w:bottom w:val="single" w:sz="4" w:space="0" w:color="BFBFBF"/>
              <w:right w:val="single" w:sz="4" w:space="0" w:color="BFBFBF"/>
            </w:tcBorders>
            <w:shd w:val="clear" w:color="auto" w:fill="auto"/>
            <w:noWrap/>
            <w:vAlign w:val="center"/>
          </w:tcPr>
          <w:p w14:paraId="07A6C0F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2345A8A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4264289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1775465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95</w:t>
            </w:r>
          </w:p>
        </w:tc>
        <w:tc>
          <w:tcPr>
            <w:tcW w:w="617" w:type="dxa"/>
            <w:tcBorders>
              <w:top w:val="nil"/>
              <w:left w:val="nil"/>
              <w:bottom w:val="single" w:sz="4" w:space="0" w:color="BFBFBF"/>
              <w:right w:val="single" w:sz="4" w:space="0" w:color="BFBFBF"/>
            </w:tcBorders>
            <w:shd w:val="clear" w:color="auto" w:fill="auto"/>
            <w:noWrap/>
            <w:vAlign w:val="center"/>
          </w:tcPr>
          <w:p w14:paraId="0917BD77"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ECC338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2AE0BB53"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A7F228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62%</w:t>
            </w:r>
          </w:p>
        </w:tc>
        <w:tc>
          <w:tcPr>
            <w:tcW w:w="695" w:type="dxa"/>
            <w:tcBorders>
              <w:top w:val="nil"/>
              <w:left w:val="nil"/>
              <w:bottom w:val="single" w:sz="4" w:space="0" w:color="BFBFBF"/>
              <w:right w:val="double" w:sz="6" w:space="0" w:color="auto"/>
            </w:tcBorders>
            <w:shd w:val="clear" w:color="auto" w:fill="auto"/>
            <w:noWrap/>
            <w:vAlign w:val="center"/>
          </w:tcPr>
          <w:p w14:paraId="4A5BE0B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w:t>
            </w:r>
          </w:p>
        </w:tc>
      </w:tr>
      <w:tr w:rsidR="00F80AC3" w:rsidRPr="009C7D53" w14:paraId="7225630E"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731BCBBA"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Mallee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C63A55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33%</w:t>
            </w:r>
          </w:p>
        </w:tc>
        <w:tc>
          <w:tcPr>
            <w:tcW w:w="734" w:type="dxa"/>
            <w:tcBorders>
              <w:top w:val="nil"/>
              <w:left w:val="nil"/>
              <w:bottom w:val="single" w:sz="4" w:space="0" w:color="BFBFBF"/>
              <w:right w:val="single" w:sz="4" w:space="0" w:color="BFBFBF"/>
            </w:tcBorders>
            <w:shd w:val="clear" w:color="auto" w:fill="auto"/>
            <w:noWrap/>
            <w:vAlign w:val="center"/>
          </w:tcPr>
          <w:p w14:paraId="65CBD84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835AA9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DDE013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8E0F10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33%</w:t>
            </w:r>
          </w:p>
        </w:tc>
        <w:tc>
          <w:tcPr>
            <w:tcW w:w="617" w:type="dxa"/>
            <w:tcBorders>
              <w:top w:val="nil"/>
              <w:left w:val="nil"/>
              <w:bottom w:val="single" w:sz="4" w:space="0" w:color="BFBFBF"/>
              <w:right w:val="single" w:sz="4" w:space="0" w:color="BFBFBF"/>
            </w:tcBorders>
            <w:shd w:val="clear" w:color="auto" w:fill="auto"/>
            <w:noWrap/>
            <w:vAlign w:val="center"/>
          </w:tcPr>
          <w:p w14:paraId="188B3173"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w:t>
            </w:r>
          </w:p>
        </w:tc>
        <w:tc>
          <w:tcPr>
            <w:tcW w:w="734" w:type="dxa"/>
            <w:tcBorders>
              <w:top w:val="nil"/>
              <w:left w:val="nil"/>
              <w:bottom w:val="single" w:sz="4" w:space="0" w:color="BFBFBF"/>
              <w:right w:val="single" w:sz="4" w:space="0" w:color="BFBFBF"/>
            </w:tcBorders>
            <w:shd w:val="clear" w:color="auto" w:fill="auto"/>
            <w:noWrap/>
            <w:vAlign w:val="center"/>
          </w:tcPr>
          <w:p w14:paraId="2EF4BA1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7D937F0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1E7D5A1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w:t>
            </w:r>
          </w:p>
        </w:tc>
        <w:tc>
          <w:tcPr>
            <w:tcW w:w="617" w:type="dxa"/>
            <w:tcBorders>
              <w:top w:val="nil"/>
              <w:left w:val="nil"/>
              <w:bottom w:val="single" w:sz="4" w:space="0" w:color="BFBFBF"/>
              <w:right w:val="single" w:sz="4" w:space="0" w:color="BFBFBF"/>
            </w:tcBorders>
            <w:shd w:val="clear" w:color="auto" w:fill="auto"/>
            <w:noWrap/>
            <w:vAlign w:val="center"/>
          </w:tcPr>
          <w:p w14:paraId="49F59AF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E47C11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51C664E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319763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97%</w:t>
            </w:r>
          </w:p>
        </w:tc>
        <w:tc>
          <w:tcPr>
            <w:tcW w:w="695" w:type="dxa"/>
            <w:tcBorders>
              <w:top w:val="nil"/>
              <w:left w:val="nil"/>
              <w:bottom w:val="single" w:sz="4" w:space="0" w:color="BFBFBF"/>
              <w:right w:val="double" w:sz="6" w:space="0" w:color="auto"/>
            </w:tcBorders>
            <w:shd w:val="clear" w:color="auto" w:fill="auto"/>
            <w:noWrap/>
            <w:vAlign w:val="center"/>
          </w:tcPr>
          <w:p w14:paraId="42D7F6D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r>
      <w:tr w:rsidR="00F80AC3" w:rsidRPr="009C7D53" w14:paraId="7025B954"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1F55FED5"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Loddon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11DF6D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w:t>
            </w:r>
          </w:p>
        </w:tc>
        <w:tc>
          <w:tcPr>
            <w:tcW w:w="734" w:type="dxa"/>
            <w:tcBorders>
              <w:top w:val="nil"/>
              <w:left w:val="nil"/>
              <w:bottom w:val="single" w:sz="4" w:space="0" w:color="BFBFBF"/>
              <w:right w:val="single" w:sz="4" w:space="0" w:color="BFBFBF"/>
            </w:tcBorders>
            <w:shd w:val="clear" w:color="auto" w:fill="auto"/>
            <w:noWrap/>
            <w:vAlign w:val="center"/>
          </w:tcPr>
          <w:p w14:paraId="3593583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0AB319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299FC8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87A2B0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w:t>
            </w:r>
          </w:p>
        </w:tc>
        <w:tc>
          <w:tcPr>
            <w:tcW w:w="617" w:type="dxa"/>
            <w:tcBorders>
              <w:top w:val="nil"/>
              <w:left w:val="nil"/>
              <w:bottom w:val="single" w:sz="4" w:space="0" w:color="BFBFBF"/>
              <w:right w:val="single" w:sz="4" w:space="0" w:color="BFBFBF"/>
            </w:tcBorders>
            <w:shd w:val="clear" w:color="auto" w:fill="auto"/>
            <w:noWrap/>
            <w:vAlign w:val="center"/>
          </w:tcPr>
          <w:p w14:paraId="21D2616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BFBFBF"/>
            </w:tcBorders>
            <w:shd w:val="clear" w:color="auto" w:fill="auto"/>
            <w:noWrap/>
            <w:vAlign w:val="center"/>
          </w:tcPr>
          <w:p w14:paraId="1EEE5693"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572" w:type="dxa"/>
            <w:tcBorders>
              <w:top w:val="nil"/>
              <w:left w:val="nil"/>
              <w:bottom w:val="single" w:sz="4" w:space="0" w:color="BFBFBF"/>
              <w:right w:val="nil"/>
            </w:tcBorders>
            <w:shd w:val="clear" w:color="auto" w:fill="auto"/>
            <w:noWrap/>
            <w:vAlign w:val="center"/>
          </w:tcPr>
          <w:p w14:paraId="387C0FC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48</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0A7739D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95</w:t>
            </w:r>
          </w:p>
        </w:tc>
        <w:tc>
          <w:tcPr>
            <w:tcW w:w="617" w:type="dxa"/>
            <w:tcBorders>
              <w:top w:val="nil"/>
              <w:left w:val="nil"/>
              <w:bottom w:val="single" w:sz="4" w:space="0" w:color="BFBFBF"/>
              <w:right w:val="single" w:sz="4" w:space="0" w:color="BFBFBF"/>
            </w:tcBorders>
            <w:shd w:val="clear" w:color="auto" w:fill="auto"/>
            <w:noWrap/>
            <w:vAlign w:val="center"/>
          </w:tcPr>
          <w:p w14:paraId="1AF2A51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9B3BE0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2F8E744E"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71092A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71%</w:t>
            </w:r>
          </w:p>
        </w:tc>
        <w:tc>
          <w:tcPr>
            <w:tcW w:w="695" w:type="dxa"/>
            <w:tcBorders>
              <w:top w:val="nil"/>
              <w:left w:val="nil"/>
              <w:bottom w:val="single" w:sz="4" w:space="0" w:color="BFBFBF"/>
              <w:right w:val="double" w:sz="6" w:space="0" w:color="auto"/>
            </w:tcBorders>
            <w:shd w:val="clear" w:color="auto" w:fill="auto"/>
            <w:noWrap/>
            <w:vAlign w:val="center"/>
          </w:tcPr>
          <w:p w14:paraId="21D7D57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30</w:t>
            </w:r>
          </w:p>
        </w:tc>
      </w:tr>
      <w:tr w:rsidR="00F80AC3" w:rsidRPr="009C7D53" w14:paraId="05B57C79"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7243D010"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9C7D53">
                  <w:rPr>
                    <w:rFonts w:ascii="Arial" w:hAnsi="Arial" w:cs="Arial"/>
                    <w:color w:val="000000"/>
                    <w:sz w:val="16"/>
                    <w:szCs w:val="16"/>
                    <w:lang w:val="en-AU" w:eastAsia="en-AU"/>
                  </w:rPr>
                  <w:t>Murray</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E91DC1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43%</w:t>
            </w:r>
          </w:p>
        </w:tc>
        <w:tc>
          <w:tcPr>
            <w:tcW w:w="734" w:type="dxa"/>
            <w:tcBorders>
              <w:top w:val="nil"/>
              <w:left w:val="nil"/>
              <w:bottom w:val="single" w:sz="4" w:space="0" w:color="BFBFBF"/>
              <w:right w:val="single" w:sz="4" w:space="0" w:color="BFBFBF"/>
            </w:tcBorders>
            <w:shd w:val="clear" w:color="auto" w:fill="auto"/>
            <w:noWrap/>
            <w:vAlign w:val="center"/>
          </w:tcPr>
          <w:p w14:paraId="2CB535F3"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EE36BB7"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5A82D6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FE2FE7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43%</w:t>
            </w:r>
          </w:p>
        </w:tc>
        <w:tc>
          <w:tcPr>
            <w:tcW w:w="617" w:type="dxa"/>
            <w:tcBorders>
              <w:top w:val="nil"/>
              <w:left w:val="nil"/>
              <w:bottom w:val="single" w:sz="4" w:space="0" w:color="BFBFBF"/>
              <w:right w:val="single" w:sz="4" w:space="0" w:color="BFBFBF"/>
            </w:tcBorders>
            <w:shd w:val="clear" w:color="auto" w:fill="auto"/>
            <w:noWrap/>
            <w:vAlign w:val="center"/>
          </w:tcPr>
          <w:p w14:paraId="124A107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3E65DC1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64B9A07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404EF3D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85</w:t>
            </w:r>
          </w:p>
        </w:tc>
        <w:tc>
          <w:tcPr>
            <w:tcW w:w="617" w:type="dxa"/>
            <w:tcBorders>
              <w:top w:val="nil"/>
              <w:left w:val="nil"/>
              <w:bottom w:val="single" w:sz="4" w:space="0" w:color="BFBFBF"/>
              <w:right w:val="single" w:sz="4" w:space="0" w:color="BFBFBF"/>
            </w:tcBorders>
            <w:shd w:val="clear" w:color="auto" w:fill="auto"/>
            <w:noWrap/>
            <w:vAlign w:val="center"/>
          </w:tcPr>
          <w:p w14:paraId="2FEC5DF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9DC7ED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3AFA5F2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221810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75%</w:t>
            </w:r>
          </w:p>
        </w:tc>
        <w:tc>
          <w:tcPr>
            <w:tcW w:w="695" w:type="dxa"/>
            <w:tcBorders>
              <w:top w:val="nil"/>
              <w:left w:val="nil"/>
              <w:bottom w:val="single" w:sz="4" w:space="0" w:color="BFBFBF"/>
              <w:right w:val="double" w:sz="6" w:space="0" w:color="auto"/>
            </w:tcBorders>
            <w:shd w:val="clear" w:color="auto" w:fill="auto"/>
            <w:noWrap/>
            <w:vAlign w:val="center"/>
          </w:tcPr>
          <w:p w14:paraId="4A60FC2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w:t>
            </w:r>
          </w:p>
        </w:tc>
      </w:tr>
      <w:tr w:rsidR="00F80AC3" w:rsidRPr="009C7D53" w14:paraId="5FBC8EBD"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1E74D273"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Goulburn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2BA4AD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49%</w:t>
            </w:r>
          </w:p>
        </w:tc>
        <w:tc>
          <w:tcPr>
            <w:tcW w:w="734" w:type="dxa"/>
            <w:tcBorders>
              <w:top w:val="nil"/>
              <w:left w:val="nil"/>
              <w:bottom w:val="single" w:sz="4" w:space="0" w:color="BFBFBF"/>
              <w:right w:val="single" w:sz="4" w:space="0" w:color="BFBFBF"/>
            </w:tcBorders>
            <w:shd w:val="clear" w:color="auto" w:fill="auto"/>
            <w:noWrap/>
            <w:vAlign w:val="center"/>
          </w:tcPr>
          <w:p w14:paraId="3FD6C5E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D72B23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42BD88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11E5FC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49%</w:t>
            </w:r>
          </w:p>
        </w:tc>
        <w:tc>
          <w:tcPr>
            <w:tcW w:w="617" w:type="dxa"/>
            <w:tcBorders>
              <w:top w:val="nil"/>
              <w:left w:val="nil"/>
              <w:bottom w:val="single" w:sz="4" w:space="0" w:color="BFBFBF"/>
              <w:right w:val="single" w:sz="4" w:space="0" w:color="BFBFBF"/>
            </w:tcBorders>
            <w:shd w:val="clear" w:color="auto" w:fill="auto"/>
            <w:noWrap/>
            <w:vAlign w:val="center"/>
          </w:tcPr>
          <w:p w14:paraId="454D19A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58</w:t>
            </w:r>
          </w:p>
        </w:tc>
        <w:tc>
          <w:tcPr>
            <w:tcW w:w="734" w:type="dxa"/>
            <w:tcBorders>
              <w:top w:val="nil"/>
              <w:left w:val="nil"/>
              <w:bottom w:val="single" w:sz="4" w:space="0" w:color="BFBFBF"/>
              <w:right w:val="single" w:sz="4" w:space="0" w:color="BFBFBF"/>
            </w:tcBorders>
            <w:shd w:val="clear" w:color="auto" w:fill="auto"/>
            <w:noWrap/>
            <w:vAlign w:val="center"/>
          </w:tcPr>
          <w:p w14:paraId="39DD022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6EA7F1F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3BF9CD1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58</w:t>
            </w:r>
          </w:p>
        </w:tc>
        <w:tc>
          <w:tcPr>
            <w:tcW w:w="617" w:type="dxa"/>
            <w:tcBorders>
              <w:top w:val="nil"/>
              <w:left w:val="nil"/>
              <w:bottom w:val="single" w:sz="4" w:space="0" w:color="BFBFBF"/>
              <w:right w:val="single" w:sz="4" w:space="0" w:color="BFBFBF"/>
            </w:tcBorders>
            <w:shd w:val="clear" w:color="auto" w:fill="auto"/>
            <w:noWrap/>
            <w:vAlign w:val="center"/>
          </w:tcPr>
          <w:p w14:paraId="793D04A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4E76D3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2D55402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A89FC7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64%</w:t>
            </w:r>
          </w:p>
        </w:tc>
        <w:tc>
          <w:tcPr>
            <w:tcW w:w="695" w:type="dxa"/>
            <w:tcBorders>
              <w:top w:val="nil"/>
              <w:left w:val="nil"/>
              <w:bottom w:val="single" w:sz="4" w:space="0" w:color="BFBFBF"/>
              <w:right w:val="double" w:sz="6" w:space="0" w:color="auto"/>
            </w:tcBorders>
            <w:shd w:val="clear" w:color="auto" w:fill="auto"/>
            <w:noWrap/>
            <w:vAlign w:val="center"/>
          </w:tcPr>
          <w:p w14:paraId="5AA75033"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w:t>
            </w:r>
          </w:p>
        </w:tc>
      </w:tr>
      <w:tr w:rsidR="00F80AC3" w:rsidRPr="009C7D53" w14:paraId="28189B65"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5FBCDD2C"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Outer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B7DCC2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w:t>
            </w:r>
          </w:p>
        </w:tc>
        <w:tc>
          <w:tcPr>
            <w:tcW w:w="734" w:type="dxa"/>
            <w:tcBorders>
              <w:top w:val="nil"/>
              <w:left w:val="nil"/>
              <w:bottom w:val="single" w:sz="4" w:space="0" w:color="BFBFBF"/>
              <w:right w:val="single" w:sz="4" w:space="0" w:color="BFBFBF"/>
            </w:tcBorders>
            <w:shd w:val="clear" w:color="auto" w:fill="auto"/>
            <w:noWrap/>
            <w:vAlign w:val="center"/>
          </w:tcPr>
          <w:p w14:paraId="540D0473"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270905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35EF86F"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D6D7A1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w:t>
            </w:r>
          </w:p>
        </w:tc>
        <w:tc>
          <w:tcPr>
            <w:tcW w:w="617" w:type="dxa"/>
            <w:tcBorders>
              <w:top w:val="nil"/>
              <w:left w:val="nil"/>
              <w:bottom w:val="single" w:sz="4" w:space="0" w:color="BFBFBF"/>
              <w:right w:val="single" w:sz="4" w:space="0" w:color="BFBFBF"/>
            </w:tcBorders>
            <w:shd w:val="clear" w:color="auto" w:fill="auto"/>
            <w:noWrap/>
            <w:vAlign w:val="center"/>
          </w:tcPr>
          <w:p w14:paraId="1BF18DF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w:t>
            </w:r>
          </w:p>
        </w:tc>
        <w:tc>
          <w:tcPr>
            <w:tcW w:w="734" w:type="dxa"/>
            <w:tcBorders>
              <w:top w:val="nil"/>
              <w:left w:val="nil"/>
              <w:bottom w:val="single" w:sz="4" w:space="0" w:color="BFBFBF"/>
              <w:right w:val="single" w:sz="4" w:space="0" w:color="BFBFBF"/>
            </w:tcBorders>
            <w:shd w:val="clear" w:color="auto" w:fill="auto"/>
            <w:noWrap/>
            <w:vAlign w:val="center"/>
          </w:tcPr>
          <w:p w14:paraId="1CDEF20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2FF8A99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718F3A5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w:t>
            </w:r>
          </w:p>
        </w:tc>
        <w:tc>
          <w:tcPr>
            <w:tcW w:w="617" w:type="dxa"/>
            <w:tcBorders>
              <w:top w:val="nil"/>
              <w:left w:val="nil"/>
              <w:bottom w:val="single" w:sz="4" w:space="0" w:color="BFBFBF"/>
              <w:right w:val="single" w:sz="4" w:space="0" w:color="BFBFBF"/>
            </w:tcBorders>
            <w:shd w:val="clear" w:color="auto" w:fill="auto"/>
            <w:noWrap/>
            <w:vAlign w:val="center"/>
          </w:tcPr>
          <w:p w14:paraId="1EBEA4D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2C7195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7B23BF6C"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573818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77%</w:t>
            </w:r>
          </w:p>
        </w:tc>
        <w:tc>
          <w:tcPr>
            <w:tcW w:w="695" w:type="dxa"/>
            <w:tcBorders>
              <w:top w:val="nil"/>
              <w:left w:val="nil"/>
              <w:bottom w:val="single" w:sz="4" w:space="0" w:color="BFBFBF"/>
              <w:right w:val="double" w:sz="6" w:space="0" w:color="auto"/>
            </w:tcBorders>
            <w:shd w:val="clear" w:color="auto" w:fill="auto"/>
            <w:noWrap/>
            <w:vAlign w:val="center"/>
          </w:tcPr>
          <w:p w14:paraId="5B3C01A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w:t>
            </w:r>
          </w:p>
        </w:tc>
      </w:tr>
      <w:tr w:rsidR="00F80AC3" w:rsidRPr="009C7D53" w14:paraId="31EAB2E6"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530E33DA"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Inner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2E81AF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w:t>
            </w:r>
          </w:p>
        </w:tc>
        <w:tc>
          <w:tcPr>
            <w:tcW w:w="734" w:type="dxa"/>
            <w:tcBorders>
              <w:top w:val="nil"/>
              <w:left w:val="nil"/>
              <w:bottom w:val="single" w:sz="4" w:space="0" w:color="BFBFBF"/>
              <w:right w:val="single" w:sz="4" w:space="0" w:color="BFBFBF"/>
            </w:tcBorders>
            <w:shd w:val="clear" w:color="auto" w:fill="auto"/>
            <w:noWrap/>
            <w:vAlign w:val="center"/>
          </w:tcPr>
          <w:p w14:paraId="7D5E8D3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F5BF52F"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5D9D82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1452B7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w:t>
            </w:r>
          </w:p>
        </w:tc>
        <w:tc>
          <w:tcPr>
            <w:tcW w:w="617" w:type="dxa"/>
            <w:tcBorders>
              <w:top w:val="nil"/>
              <w:left w:val="nil"/>
              <w:bottom w:val="single" w:sz="4" w:space="0" w:color="BFBFBF"/>
              <w:right w:val="single" w:sz="4" w:space="0" w:color="BFBFBF"/>
            </w:tcBorders>
            <w:shd w:val="clear" w:color="auto" w:fill="auto"/>
            <w:noWrap/>
            <w:vAlign w:val="center"/>
          </w:tcPr>
          <w:p w14:paraId="15A1B7D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60</w:t>
            </w:r>
          </w:p>
        </w:tc>
        <w:tc>
          <w:tcPr>
            <w:tcW w:w="734" w:type="dxa"/>
            <w:tcBorders>
              <w:top w:val="nil"/>
              <w:left w:val="nil"/>
              <w:bottom w:val="single" w:sz="4" w:space="0" w:color="BFBFBF"/>
              <w:right w:val="single" w:sz="4" w:space="0" w:color="BFBFBF"/>
            </w:tcBorders>
            <w:shd w:val="clear" w:color="auto" w:fill="auto"/>
            <w:noWrap/>
            <w:vAlign w:val="center"/>
          </w:tcPr>
          <w:p w14:paraId="7817A39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w:t>
            </w:r>
          </w:p>
        </w:tc>
        <w:tc>
          <w:tcPr>
            <w:tcW w:w="572" w:type="dxa"/>
            <w:tcBorders>
              <w:top w:val="nil"/>
              <w:left w:val="nil"/>
              <w:bottom w:val="single" w:sz="4" w:space="0" w:color="BFBFBF"/>
              <w:right w:val="nil"/>
            </w:tcBorders>
            <w:shd w:val="clear" w:color="auto" w:fill="auto"/>
            <w:noWrap/>
            <w:vAlign w:val="center"/>
          </w:tcPr>
          <w:p w14:paraId="3DEC30A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2912305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60</w:t>
            </w:r>
          </w:p>
        </w:tc>
        <w:tc>
          <w:tcPr>
            <w:tcW w:w="617" w:type="dxa"/>
            <w:tcBorders>
              <w:top w:val="nil"/>
              <w:left w:val="nil"/>
              <w:bottom w:val="single" w:sz="4" w:space="0" w:color="BFBFBF"/>
              <w:right w:val="single" w:sz="4" w:space="0" w:color="BFBFBF"/>
            </w:tcBorders>
            <w:shd w:val="clear" w:color="auto" w:fill="auto"/>
            <w:noWrap/>
            <w:vAlign w:val="center"/>
          </w:tcPr>
          <w:p w14:paraId="39D50E4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D91E57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211C724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B59C1A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w:t>
            </w:r>
          </w:p>
        </w:tc>
        <w:tc>
          <w:tcPr>
            <w:tcW w:w="695" w:type="dxa"/>
            <w:tcBorders>
              <w:top w:val="nil"/>
              <w:left w:val="nil"/>
              <w:bottom w:val="single" w:sz="4" w:space="0" w:color="BFBFBF"/>
              <w:right w:val="double" w:sz="6" w:space="0" w:color="auto"/>
            </w:tcBorders>
            <w:shd w:val="clear" w:color="auto" w:fill="auto"/>
            <w:noWrap/>
            <w:vAlign w:val="center"/>
          </w:tcPr>
          <w:p w14:paraId="1D67CB3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r>
      <w:tr w:rsidR="00F80AC3" w:rsidRPr="009C7D53" w14:paraId="54BA69BD"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13DDFFD1"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Western District</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6ABBBB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46%</w:t>
            </w:r>
          </w:p>
        </w:tc>
        <w:tc>
          <w:tcPr>
            <w:tcW w:w="734" w:type="dxa"/>
            <w:tcBorders>
              <w:top w:val="nil"/>
              <w:left w:val="nil"/>
              <w:bottom w:val="single" w:sz="4" w:space="0" w:color="BFBFBF"/>
              <w:right w:val="single" w:sz="4" w:space="0" w:color="BFBFBF"/>
            </w:tcBorders>
            <w:shd w:val="clear" w:color="auto" w:fill="auto"/>
            <w:noWrap/>
            <w:vAlign w:val="center"/>
          </w:tcPr>
          <w:p w14:paraId="454DE7B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8BF888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6E5D1E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9B348F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46%</w:t>
            </w:r>
          </w:p>
        </w:tc>
        <w:tc>
          <w:tcPr>
            <w:tcW w:w="617" w:type="dxa"/>
            <w:tcBorders>
              <w:top w:val="nil"/>
              <w:left w:val="nil"/>
              <w:bottom w:val="single" w:sz="4" w:space="0" w:color="BFBFBF"/>
              <w:right w:val="single" w:sz="4" w:space="0" w:color="BFBFBF"/>
            </w:tcBorders>
            <w:shd w:val="clear" w:color="auto" w:fill="auto"/>
            <w:noWrap/>
            <w:vAlign w:val="center"/>
          </w:tcPr>
          <w:p w14:paraId="6E03EE3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52</w:t>
            </w:r>
          </w:p>
        </w:tc>
        <w:tc>
          <w:tcPr>
            <w:tcW w:w="734" w:type="dxa"/>
            <w:tcBorders>
              <w:top w:val="nil"/>
              <w:left w:val="nil"/>
              <w:bottom w:val="single" w:sz="4" w:space="0" w:color="BFBFBF"/>
              <w:right w:val="single" w:sz="4" w:space="0" w:color="BFBFBF"/>
            </w:tcBorders>
            <w:shd w:val="clear" w:color="auto" w:fill="auto"/>
            <w:noWrap/>
            <w:vAlign w:val="center"/>
          </w:tcPr>
          <w:p w14:paraId="27D6D22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77490D1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48880CE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52</w:t>
            </w:r>
          </w:p>
        </w:tc>
        <w:tc>
          <w:tcPr>
            <w:tcW w:w="617" w:type="dxa"/>
            <w:tcBorders>
              <w:top w:val="nil"/>
              <w:left w:val="nil"/>
              <w:bottom w:val="single" w:sz="4" w:space="0" w:color="BFBFBF"/>
              <w:right w:val="single" w:sz="4" w:space="0" w:color="BFBFBF"/>
            </w:tcBorders>
            <w:shd w:val="clear" w:color="auto" w:fill="auto"/>
            <w:noWrap/>
            <w:vAlign w:val="center"/>
          </w:tcPr>
          <w:p w14:paraId="266433A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D1EE59C"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555B7E3E"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206F20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89%</w:t>
            </w:r>
          </w:p>
        </w:tc>
        <w:tc>
          <w:tcPr>
            <w:tcW w:w="695" w:type="dxa"/>
            <w:tcBorders>
              <w:top w:val="nil"/>
              <w:left w:val="nil"/>
              <w:bottom w:val="single" w:sz="4" w:space="0" w:color="BFBFBF"/>
              <w:right w:val="double" w:sz="6" w:space="0" w:color="auto"/>
            </w:tcBorders>
            <w:shd w:val="clear" w:color="auto" w:fill="auto"/>
            <w:noWrap/>
            <w:vAlign w:val="center"/>
          </w:tcPr>
          <w:p w14:paraId="4F7EF64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r>
      <w:tr w:rsidR="00F80AC3" w:rsidRPr="009C7D53" w14:paraId="594261F6"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0E776C1A"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Barwon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67ADF4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w:t>
            </w:r>
          </w:p>
        </w:tc>
        <w:tc>
          <w:tcPr>
            <w:tcW w:w="734" w:type="dxa"/>
            <w:tcBorders>
              <w:top w:val="nil"/>
              <w:left w:val="nil"/>
              <w:bottom w:val="single" w:sz="4" w:space="0" w:color="BFBFBF"/>
              <w:right w:val="single" w:sz="4" w:space="0" w:color="BFBFBF"/>
            </w:tcBorders>
            <w:shd w:val="clear" w:color="auto" w:fill="auto"/>
            <w:noWrap/>
            <w:vAlign w:val="center"/>
          </w:tcPr>
          <w:p w14:paraId="02D3E19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5810B1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2930032"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C7B474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w:t>
            </w:r>
          </w:p>
        </w:tc>
        <w:tc>
          <w:tcPr>
            <w:tcW w:w="617" w:type="dxa"/>
            <w:tcBorders>
              <w:top w:val="nil"/>
              <w:left w:val="nil"/>
              <w:bottom w:val="single" w:sz="4" w:space="0" w:color="BFBFBF"/>
              <w:right w:val="single" w:sz="4" w:space="0" w:color="BFBFBF"/>
            </w:tcBorders>
            <w:shd w:val="clear" w:color="auto" w:fill="auto"/>
            <w:noWrap/>
            <w:vAlign w:val="center"/>
          </w:tcPr>
          <w:p w14:paraId="106AECE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710E250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72" w:type="dxa"/>
            <w:tcBorders>
              <w:top w:val="nil"/>
              <w:left w:val="nil"/>
              <w:bottom w:val="single" w:sz="4" w:space="0" w:color="BFBFBF"/>
              <w:right w:val="nil"/>
            </w:tcBorders>
            <w:shd w:val="clear" w:color="auto" w:fill="auto"/>
            <w:noWrap/>
            <w:vAlign w:val="center"/>
          </w:tcPr>
          <w:p w14:paraId="46AFDE6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63F3F34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85</w:t>
            </w:r>
          </w:p>
        </w:tc>
        <w:tc>
          <w:tcPr>
            <w:tcW w:w="617" w:type="dxa"/>
            <w:tcBorders>
              <w:top w:val="nil"/>
              <w:left w:val="nil"/>
              <w:bottom w:val="single" w:sz="4" w:space="0" w:color="BFBFBF"/>
              <w:right w:val="single" w:sz="4" w:space="0" w:color="BFBFBF"/>
            </w:tcBorders>
            <w:shd w:val="clear" w:color="auto" w:fill="auto"/>
            <w:noWrap/>
            <w:vAlign w:val="center"/>
          </w:tcPr>
          <w:p w14:paraId="20C9C1A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71777C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5A5B62D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EEB9FA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66%</w:t>
            </w:r>
          </w:p>
        </w:tc>
        <w:tc>
          <w:tcPr>
            <w:tcW w:w="695" w:type="dxa"/>
            <w:tcBorders>
              <w:top w:val="nil"/>
              <w:left w:val="nil"/>
              <w:bottom w:val="single" w:sz="4" w:space="0" w:color="BFBFBF"/>
              <w:right w:val="double" w:sz="6" w:space="0" w:color="auto"/>
            </w:tcBorders>
            <w:shd w:val="clear" w:color="auto" w:fill="auto"/>
            <w:noWrap/>
            <w:vAlign w:val="center"/>
          </w:tcPr>
          <w:p w14:paraId="3058C9C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r>
      <w:tr w:rsidR="00F80AC3" w:rsidRPr="009C7D53" w14:paraId="30BB0691"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bottom"/>
          </w:tcPr>
          <w:p w14:paraId="62B505D0"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Central Highlands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5ACE88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55%</w:t>
            </w:r>
          </w:p>
        </w:tc>
        <w:tc>
          <w:tcPr>
            <w:tcW w:w="734" w:type="dxa"/>
            <w:tcBorders>
              <w:top w:val="nil"/>
              <w:left w:val="nil"/>
              <w:bottom w:val="single" w:sz="4" w:space="0" w:color="BFBFBF"/>
              <w:right w:val="single" w:sz="4" w:space="0" w:color="BFBFBF"/>
            </w:tcBorders>
            <w:shd w:val="clear" w:color="auto" w:fill="auto"/>
            <w:noWrap/>
            <w:vAlign w:val="center"/>
          </w:tcPr>
          <w:p w14:paraId="65619FC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D3C084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316B4AF"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91E613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55%</w:t>
            </w:r>
          </w:p>
        </w:tc>
        <w:tc>
          <w:tcPr>
            <w:tcW w:w="617" w:type="dxa"/>
            <w:tcBorders>
              <w:top w:val="nil"/>
              <w:left w:val="nil"/>
              <w:bottom w:val="single" w:sz="4" w:space="0" w:color="BFBFBF"/>
              <w:right w:val="single" w:sz="4" w:space="0" w:color="BFBFBF"/>
            </w:tcBorders>
            <w:shd w:val="clear" w:color="auto" w:fill="auto"/>
            <w:noWrap/>
            <w:vAlign w:val="center"/>
          </w:tcPr>
          <w:p w14:paraId="6D85157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118</w:t>
            </w:r>
          </w:p>
        </w:tc>
        <w:tc>
          <w:tcPr>
            <w:tcW w:w="734" w:type="dxa"/>
            <w:tcBorders>
              <w:top w:val="nil"/>
              <w:left w:val="nil"/>
              <w:bottom w:val="single" w:sz="4" w:space="0" w:color="BFBFBF"/>
              <w:right w:val="single" w:sz="4" w:space="0" w:color="BFBFBF"/>
            </w:tcBorders>
            <w:shd w:val="clear" w:color="auto" w:fill="auto"/>
            <w:noWrap/>
            <w:vAlign w:val="center"/>
          </w:tcPr>
          <w:p w14:paraId="2595217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72" w:type="dxa"/>
            <w:tcBorders>
              <w:top w:val="nil"/>
              <w:left w:val="nil"/>
              <w:bottom w:val="single" w:sz="4" w:space="0" w:color="BFBFBF"/>
              <w:right w:val="nil"/>
            </w:tcBorders>
            <w:shd w:val="clear" w:color="auto" w:fill="auto"/>
            <w:noWrap/>
            <w:vAlign w:val="center"/>
          </w:tcPr>
          <w:p w14:paraId="6531A4B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38</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3C894CE3"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118</w:t>
            </w:r>
          </w:p>
        </w:tc>
        <w:tc>
          <w:tcPr>
            <w:tcW w:w="617" w:type="dxa"/>
            <w:tcBorders>
              <w:top w:val="nil"/>
              <w:left w:val="nil"/>
              <w:bottom w:val="single" w:sz="4" w:space="0" w:color="BFBFBF"/>
              <w:right w:val="single" w:sz="4" w:space="0" w:color="BFBFBF"/>
            </w:tcBorders>
            <w:shd w:val="clear" w:color="auto" w:fill="auto"/>
            <w:noWrap/>
            <w:vAlign w:val="center"/>
          </w:tcPr>
          <w:p w14:paraId="7A5767B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632F41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6BCA956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5D19C9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695" w:type="dxa"/>
            <w:tcBorders>
              <w:top w:val="nil"/>
              <w:left w:val="nil"/>
              <w:bottom w:val="single" w:sz="4" w:space="0" w:color="BFBFBF"/>
              <w:right w:val="double" w:sz="6" w:space="0" w:color="auto"/>
            </w:tcBorders>
            <w:shd w:val="clear" w:color="auto" w:fill="auto"/>
            <w:noWrap/>
            <w:vAlign w:val="center"/>
          </w:tcPr>
          <w:p w14:paraId="6570BAC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32</w:t>
            </w:r>
          </w:p>
        </w:tc>
      </w:tr>
      <w:tr w:rsidR="00F80AC3" w:rsidRPr="009C7D53" w14:paraId="425C7335"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11F7B614" w14:textId="77777777" w:rsidR="00F80AC3" w:rsidRPr="009C7D53" w:rsidRDefault="00F80AC3"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Concession Status -</w:t>
            </w:r>
          </w:p>
        </w:tc>
        <w:tc>
          <w:tcPr>
            <w:tcW w:w="734" w:type="dxa"/>
            <w:tcBorders>
              <w:top w:val="single" w:sz="4" w:space="0" w:color="BFBFBF"/>
              <w:left w:val="single" w:sz="4" w:space="0" w:color="auto"/>
              <w:bottom w:val="single" w:sz="4" w:space="0" w:color="BFBFBF"/>
              <w:right w:val="single" w:sz="4" w:space="0" w:color="BFBFBF"/>
            </w:tcBorders>
            <w:shd w:val="clear" w:color="auto" w:fill="auto"/>
            <w:noWrap/>
            <w:vAlign w:val="center"/>
          </w:tcPr>
          <w:p w14:paraId="6710E91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ECB10A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F4B268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2111913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single" w:sz="4" w:space="0" w:color="BFBFBF"/>
              <w:left w:val="nil"/>
              <w:bottom w:val="single" w:sz="4" w:space="0" w:color="BFBFBF"/>
              <w:right w:val="single" w:sz="4" w:space="0" w:color="BFBFBF"/>
            </w:tcBorders>
            <w:shd w:val="clear" w:color="auto" w:fill="auto"/>
            <w:noWrap/>
            <w:vAlign w:val="center"/>
          </w:tcPr>
          <w:p w14:paraId="39FC96B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single" w:sz="4" w:space="0" w:color="BFBFBF"/>
              <w:left w:val="nil"/>
              <w:bottom w:val="single" w:sz="4" w:space="0" w:color="BFBFBF"/>
              <w:right w:val="single" w:sz="4" w:space="0" w:color="BFBFBF"/>
            </w:tcBorders>
            <w:shd w:val="clear" w:color="auto" w:fill="auto"/>
            <w:noWrap/>
            <w:vAlign w:val="center"/>
          </w:tcPr>
          <w:p w14:paraId="2A2FAD7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single" w:sz="4" w:space="0" w:color="BFBFBF"/>
              <w:left w:val="nil"/>
              <w:bottom w:val="single" w:sz="4" w:space="0" w:color="BFBFBF"/>
              <w:right w:val="single" w:sz="4" w:space="0" w:color="BFBFBF"/>
            </w:tcBorders>
            <w:shd w:val="clear" w:color="auto" w:fill="auto"/>
            <w:noWrap/>
            <w:vAlign w:val="center"/>
          </w:tcPr>
          <w:p w14:paraId="021FBD0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72" w:type="dxa"/>
            <w:tcBorders>
              <w:top w:val="single" w:sz="4" w:space="0" w:color="BFBFBF"/>
              <w:left w:val="nil"/>
              <w:bottom w:val="single" w:sz="4" w:space="0" w:color="BFBFBF"/>
              <w:right w:val="nil"/>
            </w:tcBorders>
            <w:shd w:val="clear" w:color="auto" w:fill="auto"/>
            <w:noWrap/>
            <w:vAlign w:val="center"/>
          </w:tcPr>
          <w:p w14:paraId="16A2770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single" w:sz="4" w:space="0" w:color="BFBFBF"/>
              <w:left w:val="single" w:sz="4" w:space="0" w:color="auto"/>
              <w:bottom w:val="single" w:sz="4" w:space="0" w:color="BFBFBF"/>
              <w:right w:val="single" w:sz="4" w:space="0" w:color="BFBFBF"/>
            </w:tcBorders>
            <w:shd w:val="clear" w:color="auto" w:fill="auto"/>
            <w:noWrap/>
            <w:vAlign w:val="center"/>
          </w:tcPr>
          <w:p w14:paraId="71BC183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center"/>
          </w:tcPr>
          <w:p w14:paraId="57F9BEF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31FBA3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1337711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single" w:sz="4" w:space="0" w:color="BFBFBF"/>
              <w:left w:val="nil"/>
              <w:bottom w:val="single" w:sz="4" w:space="0" w:color="BFBFBF"/>
              <w:right w:val="single" w:sz="4" w:space="0" w:color="BFBFBF"/>
            </w:tcBorders>
            <w:shd w:val="clear" w:color="auto" w:fill="auto"/>
            <w:noWrap/>
            <w:vAlign w:val="center"/>
          </w:tcPr>
          <w:p w14:paraId="50FAB0D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95" w:type="dxa"/>
            <w:tcBorders>
              <w:top w:val="single" w:sz="4" w:space="0" w:color="BFBFBF"/>
              <w:left w:val="nil"/>
              <w:bottom w:val="single" w:sz="4" w:space="0" w:color="BFBFBF"/>
              <w:right w:val="double" w:sz="6" w:space="0" w:color="auto"/>
            </w:tcBorders>
            <w:shd w:val="clear" w:color="auto" w:fill="auto"/>
            <w:noWrap/>
            <w:vAlign w:val="center"/>
          </w:tcPr>
          <w:p w14:paraId="3C5FCD8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F80AC3" w:rsidRPr="009C7D53" w14:paraId="6CB56383"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6FBC96D0"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Aged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0F28C3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63FB08E7"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w:t>
            </w:r>
          </w:p>
        </w:tc>
        <w:tc>
          <w:tcPr>
            <w:tcW w:w="734" w:type="dxa"/>
            <w:tcBorders>
              <w:top w:val="nil"/>
              <w:left w:val="nil"/>
              <w:bottom w:val="single" w:sz="4" w:space="0" w:color="BFBFBF"/>
              <w:right w:val="single" w:sz="4" w:space="0" w:color="BFBFBF"/>
            </w:tcBorders>
            <w:shd w:val="clear" w:color="auto" w:fill="auto"/>
            <w:noWrap/>
            <w:vAlign w:val="center"/>
          </w:tcPr>
          <w:p w14:paraId="309172B7"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auto"/>
            </w:tcBorders>
            <w:shd w:val="clear" w:color="auto" w:fill="auto"/>
            <w:noWrap/>
            <w:vAlign w:val="center"/>
          </w:tcPr>
          <w:p w14:paraId="56EAA66E"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63%</w:t>
            </w:r>
          </w:p>
        </w:tc>
        <w:tc>
          <w:tcPr>
            <w:tcW w:w="734" w:type="dxa"/>
            <w:tcBorders>
              <w:top w:val="nil"/>
              <w:left w:val="nil"/>
              <w:bottom w:val="single" w:sz="4" w:space="0" w:color="BFBFBF"/>
              <w:right w:val="single" w:sz="4" w:space="0" w:color="BFBFBF"/>
            </w:tcBorders>
            <w:shd w:val="clear" w:color="auto" w:fill="auto"/>
            <w:noWrap/>
            <w:vAlign w:val="center"/>
          </w:tcPr>
          <w:p w14:paraId="02FF9C8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617" w:type="dxa"/>
            <w:tcBorders>
              <w:top w:val="nil"/>
              <w:left w:val="nil"/>
              <w:bottom w:val="single" w:sz="4" w:space="0" w:color="BFBFBF"/>
              <w:right w:val="single" w:sz="4" w:space="0" w:color="BFBFBF"/>
            </w:tcBorders>
            <w:shd w:val="clear" w:color="auto" w:fill="auto"/>
            <w:noWrap/>
            <w:vAlign w:val="center"/>
          </w:tcPr>
          <w:p w14:paraId="2324EDB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5ABF627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572" w:type="dxa"/>
            <w:tcBorders>
              <w:top w:val="nil"/>
              <w:left w:val="nil"/>
              <w:bottom w:val="single" w:sz="4" w:space="0" w:color="BFBFBF"/>
              <w:right w:val="nil"/>
            </w:tcBorders>
            <w:shd w:val="clear" w:color="auto" w:fill="auto"/>
            <w:noWrap/>
            <w:vAlign w:val="center"/>
          </w:tcPr>
          <w:p w14:paraId="7B3049E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0691619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617" w:type="dxa"/>
            <w:tcBorders>
              <w:top w:val="nil"/>
              <w:left w:val="nil"/>
              <w:bottom w:val="single" w:sz="4" w:space="0" w:color="BFBFBF"/>
              <w:right w:val="single" w:sz="4" w:space="0" w:color="BFBFBF"/>
            </w:tcBorders>
            <w:shd w:val="clear" w:color="auto" w:fill="auto"/>
            <w:noWrap/>
            <w:vAlign w:val="center"/>
          </w:tcPr>
          <w:p w14:paraId="1258C86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BFBFBF"/>
            </w:tcBorders>
            <w:shd w:val="clear" w:color="auto" w:fill="auto"/>
            <w:noWrap/>
            <w:vAlign w:val="center"/>
          </w:tcPr>
          <w:p w14:paraId="730BD66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63</w:t>
            </w:r>
          </w:p>
        </w:tc>
        <w:tc>
          <w:tcPr>
            <w:tcW w:w="617" w:type="dxa"/>
            <w:tcBorders>
              <w:top w:val="nil"/>
              <w:left w:val="nil"/>
              <w:bottom w:val="single" w:sz="4" w:space="0" w:color="BFBFBF"/>
              <w:right w:val="single" w:sz="4" w:space="0" w:color="auto"/>
            </w:tcBorders>
            <w:shd w:val="clear" w:color="auto" w:fill="auto"/>
            <w:noWrap/>
            <w:vAlign w:val="center"/>
          </w:tcPr>
          <w:p w14:paraId="282D0AD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64</w:t>
            </w:r>
          </w:p>
        </w:tc>
        <w:tc>
          <w:tcPr>
            <w:tcW w:w="734" w:type="dxa"/>
            <w:tcBorders>
              <w:top w:val="nil"/>
              <w:left w:val="nil"/>
              <w:bottom w:val="single" w:sz="4" w:space="0" w:color="BFBFBF"/>
              <w:right w:val="single" w:sz="4" w:space="0" w:color="BFBFBF"/>
            </w:tcBorders>
            <w:shd w:val="clear" w:color="auto" w:fill="auto"/>
            <w:noWrap/>
            <w:vAlign w:val="center"/>
          </w:tcPr>
          <w:p w14:paraId="63063A8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76%</w:t>
            </w:r>
          </w:p>
        </w:tc>
        <w:tc>
          <w:tcPr>
            <w:tcW w:w="695" w:type="dxa"/>
            <w:tcBorders>
              <w:top w:val="nil"/>
              <w:left w:val="nil"/>
              <w:bottom w:val="single" w:sz="4" w:space="0" w:color="BFBFBF"/>
              <w:right w:val="double" w:sz="6" w:space="0" w:color="auto"/>
            </w:tcBorders>
            <w:shd w:val="clear" w:color="auto" w:fill="auto"/>
            <w:noWrap/>
            <w:vAlign w:val="center"/>
          </w:tcPr>
          <w:p w14:paraId="00FFB45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w:t>
            </w:r>
          </w:p>
        </w:tc>
      </w:tr>
      <w:tr w:rsidR="00F80AC3" w:rsidRPr="009C7D53" w14:paraId="3B61FDF0"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05B77B80"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Other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B09938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696D541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w:t>
            </w:r>
          </w:p>
        </w:tc>
        <w:tc>
          <w:tcPr>
            <w:tcW w:w="734" w:type="dxa"/>
            <w:tcBorders>
              <w:top w:val="nil"/>
              <w:left w:val="nil"/>
              <w:bottom w:val="single" w:sz="4" w:space="0" w:color="BFBFBF"/>
              <w:right w:val="single" w:sz="4" w:space="0" w:color="BFBFBF"/>
            </w:tcBorders>
            <w:shd w:val="clear" w:color="auto" w:fill="auto"/>
            <w:noWrap/>
            <w:vAlign w:val="center"/>
          </w:tcPr>
          <w:p w14:paraId="22400373"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auto"/>
            </w:tcBorders>
            <w:shd w:val="clear" w:color="auto" w:fill="auto"/>
            <w:noWrap/>
            <w:vAlign w:val="center"/>
          </w:tcPr>
          <w:p w14:paraId="0CD1076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58%</w:t>
            </w:r>
          </w:p>
        </w:tc>
        <w:tc>
          <w:tcPr>
            <w:tcW w:w="734" w:type="dxa"/>
            <w:tcBorders>
              <w:top w:val="nil"/>
              <w:left w:val="nil"/>
              <w:bottom w:val="single" w:sz="4" w:space="0" w:color="BFBFBF"/>
              <w:right w:val="single" w:sz="4" w:space="0" w:color="BFBFBF"/>
            </w:tcBorders>
            <w:shd w:val="clear" w:color="auto" w:fill="auto"/>
            <w:noWrap/>
            <w:vAlign w:val="center"/>
          </w:tcPr>
          <w:p w14:paraId="4A14DB5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85%</w:t>
            </w:r>
          </w:p>
        </w:tc>
        <w:tc>
          <w:tcPr>
            <w:tcW w:w="617" w:type="dxa"/>
            <w:tcBorders>
              <w:top w:val="nil"/>
              <w:left w:val="nil"/>
              <w:bottom w:val="single" w:sz="4" w:space="0" w:color="BFBFBF"/>
              <w:right w:val="single" w:sz="4" w:space="0" w:color="BFBFBF"/>
            </w:tcBorders>
            <w:shd w:val="clear" w:color="auto" w:fill="auto"/>
            <w:noWrap/>
            <w:vAlign w:val="center"/>
          </w:tcPr>
          <w:p w14:paraId="1D2FA74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4830D5E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572" w:type="dxa"/>
            <w:tcBorders>
              <w:top w:val="nil"/>
              <w:left w:val="nil"/>
              <w:bottom w:val="single" w:sz="4" w:space="0" w:color="BFBFBF"/>
              <w:right w:val="nil"/>
            </w:tcBorders>
            <w:shd w:val="clear" w:color="auto" w:fill="auto"/>
            <w:noWrap/>
            <w:vAlign w:val="center"/>
          </w:tcPr>
          <w:p w14:paraId="148B2F4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17</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3AA266C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617" w:type="dxa"/>
            <w:tcBorders>
              <w:top w:val="nil"/>
              <w:left w:val="nil"/>
              <w:bottom w:val="single" w:sz="4" w:space="0" w:color="BFBFBF"/>
              <w:right w:val="single" w:sz="4" w:space="0" w:color="BFBFBF"/>
            </w:tcBorders>
            <w:shd w:val="clear" w:color="auto" w:fill="auto"/>
            <w:noWrap/>
            <w:vAlign w:val="center"/>
          </w:tcPr>
          <w:p w14:paraId="034DB6E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576EE19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68</w:t>
            </w:r>
          </w:p>
        </w:tc>
        <w:tc>
          <w:tcPr>
            <w:tcW w:w="617" w:type="dxa"/>
            <w:tcBorders>
              <w:top w:val="nil"/>
              <w:left w:val="nil"/>
              <w:bottom w:val="single" w:sz="4" w:space="0" w:color="BFBFBF"/>
              <w:right w:val="single" w:sz="4" w:space="0" w:color="auto"/>
            </w:tcBorders>
            <w:shd w:val="clear" w:color="auto" w:fill="auto"/>
            <w:noWrap/>
            <w:vAlign w:val="center"/>
          </w:tcPr>
          <w:p w14:paraId="53D1024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76</w:t>
            </w:r>
          </w:p>
        </w:tc>
        <w:tc>
          <w:tcPr>
            <w:tcW w:w="734" w:type="dxa"/>
            <w:tcBorders>
              <w:top w:val="nil"/>
              <w:left w:val="nil"/>
              <w:bottom w:val="single" w:sz="4" w:space="0" w:color="BFBFBF"/>
              <w:right w:val="single" w:sz="4" w:space="0" w:color="BFBFBF"/>
            </w:tcBorders>
            <w:shd w:val="clear" w:color="auto" w:fill="auto"/>
            <w:noWrap/>
            <w:vAlign w:val="center"/>
          </w:tcPr>
          <w:p w14:paraId="14510C8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695" w:type="dxa"/>
            <w:tcBorders>
              <w:top w:val="nil"/>
              <w:left w:val="nil"/>
              <w:bottom w:val="single" w:sz="4" w:space="0" w:color="BFBFBF"/>
              <w:right w:val="double" w:sz="6" w:space="0" w:color="auto"/>
            </w:tcBorders>
            <w:shd w:val="clear" w:color="auto" w:fill="auto"/>
            <w:noWrap/>
            <w:vAlign w:val="center"/>
          </w:tcPr>
          <w:p w14:paraId="045B3DE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17</w:t>
            </w:r>
          </w:p>
        </w:tc>
      </w:tr>
      <w:tr w:rsidR="00F80AC3" w:rsidRPr="009C7D53" w14:paraId="206880C4" w14:textId="77777777" w:rsidTr="00845569">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3957BD2D"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Total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6012AC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BFBFBF"/>
            </w:tcBorders>
            <w:shd w:val="clear" w:color="auto" w:fill="auto"/>
            <w:noWrap/>
            <w:vAlign w:val="center"/>
          </w:tcPr>
          <w:p w14:paraId="25D326C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58%</w:t>
            </w:r>
          </w:p>
        </w:tc>
        <w:tc>
          <w:tcPr>
            <w:tcW w:w="734" w:type="dxa"/>
            <w:tcBorders>
              <w:top w:val="nil"/>
              <w:left w:val="nil"/>
              <w:bottom w:val="single" w:sz="4" w:space="0" w:color="BFBFBF"/>
              <w:right w:val="single" w:sz="4" w:space="0" w:color="BFBFBF"/>
            </w:tcBorders>
            <w:shd w:val="clear" w:color="auto" w:fill="auto"/>
            <w:noWrap/>
            <w:vAlign w:val="center"/>
          </w:tcPr>
          <w:p w14:paraId="30837E5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auto"/>
            </w:tcBorders>
            <w:shd w:val="clear" w:color="auto" w:fill="auto"/>
            <w:noWrap/>
            <w:vAlign w:val="center"/>
          </w:tcPr>
          <w:p w14:paraId="3F9234C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61%</w:t>
            </w:r>
          </w:p>
        </w:tc>
        <w:tc>
          <w:tcPr>
            <w:tcW w:w="734" w:type="dxa"/>
            <w:tcBorders>
              <w:top w:val="nil"/>
              <w:left w:val="nil"/>
              <w:bottom w:val="single" w:sz="4" w:space="0" w:color="BFBFBF"/>
              <w:right w:val="single" w:sz="4" w:space="0" w:color="BFBFBF"/>
            </w:tcBorders>
            <w:shd w:val="clear" w:color="auto" w:fill="auto"/>
            <w:noWrap/>
            <w:vAlign w:val="center"/>
          </w:tcPr>
          <w:p w14:paraId="66FFB57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w:t>
            </w:r>
          </w:p>
        </w:tc>
        <w:tc>
          <w:tcPr>
            <w:tcW w:w="617" w:type="dxa"/>
            <w:tcBorders>
              <w:top w:val="nil"/>
              <w:left w:val="nil"/>
              <w:bottom w:val="single" w:sz="4" w:space="0" w:color="BFBFBF"/>
              <w:right w:val="single" w:sz="4" w:space="0" w:color="BFBFBF"/>
            </w:tcBorders>
            <w:shd w:val="clear" w:color="auto" w:fill="auto"/>
            <w:noWrap/>
            <w:vAlign w:val="center"/>
          </w:tcPr>
          <w:p w14:paraId="7AE0B99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1A3DCF1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572" w:type="dxa"/>
            <w:tcBorders>
              <w:top w:val="nil"/>
              <w:left w:val="nil"/>
              <w:bottom w:val="single" w:sz="4" w:space="0" w:color="BFBFBF"/>
              <w:right w:val="nil"/>
            </w:tcBorders>
            <w:shd w:val="clear" w:color="auto" w:fill="auto"/>
            <w:noWrap/>
            <w:vAlign w:val="center"/>
          </w:tcPr>
          <w:p w14:paraId="503FA15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28</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341C7E1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617" w:type="dxa"/>
            <w:tcBorders>
              <w:top w:val="nil"/>
              <w:left w:val="nil"/>
              <w:bottom w:val="single" w:sz="4" w:space="0" w:color="BFBFBF"/>
              <w:right w:val="single" w:sz="4" w:space="0" w:color="BFBFBF"/>
            </w:tcBorders>
            <w:shd w:val="clear" w:color="auto" w:fill="auto"/>
            <w:noWrap/>
            <w:vAlign w:val="center"/>
          </w:tcPr>
          <w:p w14:paraId="441DEDC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4B37D8B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w:t>
            </w:r>
          </w:p>
        </w:tc>
        <w:tc>
          <w:tcPr>
            <w:tcW w:w="617" w:type="dxa"/>
            <w:tcBorders>
              <w:top w:val="nil"/>
              <w:left w:val="nil"/>
              <w:bottom w:val="single" w:sz="4" w:space="0" w:color="BFBFBF"/>
              <w:right w:val="single" w:sz="4" w:space="0" w:color="auto"/>
            </w:tcBorders>
            <w:shd w:val="clear" w:color="auto" w:fill="auto"/>
            <w:noWrap/>
            <w:vAlign w:val="center"/>
          </w:tcPr>
          <w:p w14:paraId="3880B94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69</w:t>
            </w:r>
          </w:p>
        </w:tc>
        <w:tc>
          <w:tcPr>
            <w:tcW w:w="734" w:type="dxa"/>
            <w:tcBorders>
              <w:top w:val="nil"/>
              <w:left w:val="nil"/>
              <w:bottom w:val="single" w:sz="4" w:space="0" w:color="BFBFBF"/>
              <w:right w:val="single" w:sz="4" w:space="0" w:color="BFBFBF"/>
            </w:tcBorders>
            <w:shd w:val="clear" w:color="auto" w:fill="auto"/>
            <w:noWrap/>
            <w:vAlign w:val="center"/>
          </w:tcPr>
          <w:p w14:paraId="3D50640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74%</w:t>
            </w:r>
          </w:p>
        </w:tc>
        <w:tc>
          <w:tcPr>
            <w:tcW w:w="695" w:type="dxa"/>
            <w:tcBorders>
              <w:top w:val="nil"/>
              <w:left w:val="nil"/>
              <w:bottom w:val="single" w:sz="4" w:space="0" w:color="BFBFBF"/>
              <w:right w:val="double" w:sz="6" w:space="0" w:color="auto"/>
            </w:tcBorders>
            <w:shd w:val="clear" w:color="auto" w:fill="auto"/>
            <w:noWrap/>
            <w:vAlign w:val="center"/>
          </w:tcPr>
          <w:p w14:paraId="501A6A3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r>
      <w:tr w:rsidR="00F80AC3" w:rsidRPr="009C7D53" w14:paraId="7F5659F0" w14:textId="77777777" w:rsidTr="00845569">
        <w:trPr>
          <w:trHeight w:val="225"/>
          <w:jc w:val="center"/>
        </w:trPr>
        <w:tc>
          <w:tcPr>
            <w:tcW w:w="2815" w:type="dxa"/>
            <w:tcBorders>
              <w:top w:val="single" w:sz="4" w:space="0" w:color="BFBFBF"/>
              <w:left w:val="double" w:sz="6" w:space="0" w:color="auto"/>
              <w:bottom w:val="double" w:sz="4" w:space="0" w:color="auto"/>
              <w:right w:val="nil"/>
            </w:tcBorders>
            <w:shd w:val="clear" w:color="auto" w:fill="auto"/>
            <w:noWrap/>
            <w:vAlign w:val="center"/>
          </w:tcPr>
          <w:p w14:paraId="6420A40F"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Non-Concession HHs </w:t>
            </w:r>
            <w:r w:rsidRPr="009C7D53">
              <w:rPr>
                <w:rFonts w:ascii="Arial" w:hAnsi="Arial" w:cs="Arial"/>
                <w:color w:val="000000"/>
                <w:sz w:val="16"/>
                <w:szCs w:val="16"/>
                <w:vertAlign w:val="superscript"/>
                <w:lang w:val="en-AU" w:eastAsia="en-AU"/>
              </w:rPr>
              <w:t>1</w:t>
            </w:r>
          </w:p>
        </w:tc>
        <w:tc>
          <w:tcPr>
            <w:tcW w:w="734"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5342D0E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4554242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47FAB80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34%</w:t>
            </w:r>
          </w:p>
        </w:tc>
        <w:tc>
          <w:tcPr>
            <w:tcW w:w="734" w:type="dxa"/>
            <w:tcBorders>
              <w:top w:val="single" w:sz="4" w:space="0" w:color="BFBFBF"/>
              <w:left w:val="nil"/>
              <w:bottom w:val="double" w:sz="4" w:space="0" w:color="auto"/>
              <w:right w:val="single" w:sz="4" w:space="0" w:color="auto"/>
            </w:tcBorders>
            <w:shd w:val="clear" w:color="auto" w:fill="auto"/>
            <w:noWrap/>
            <w:vAlign w:val="center"/>
          </w:tcPr>
          <w:p w14:paraId="78733E5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782C2A6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w:t>
            </w:r>
          </w:p>
        </w:tc>
        <w:tc>
          <w:tcPr>
            <w:tcW w:w="617" w:type="dxa"/>
            <w:tcBorders>
              <w:top w:val="single" w:sz="4" w:space="0" w:color="BFBFBF"/>
              <w:left w:val="nil"/>
              <w:bottom w:val="double" w:sz="4" w:space="0" w:color="auto"/>
              <w:right w:val="single" w:sz="4" w:space="0" w:color="BFBFBF"/>
            </w:tcBorders>
            <w:shd w:val="clear" w:color="auto" w:fill="auto"/>
            <w:noWrap/>
            <w:vAlign w:val="center"/>
          </w:tcPr>
          <w:p w14:paraId="5162DF3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68</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591A5DA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single" w:sz="4" w:space="0" w:color="BFBFBF"/>
              <w:left w:val="nil"/>
              <w:bottom w:val="double" w:sz="4" w:space="0" w:color="auto"/>
              <w:right w:val="nil"/>
            </w:tcBorders>
            <w:shd w:val="clear" w:color="auto" w:fill="auto"/>
            <w:noWrap/>
            <w:vAlign w:val="center"/>
          </w:tcPr>
          <w:p w14:paraId="6387C89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6B279C3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68</w:t>
            </w:r>
          </w:p>
        </w:tc>
        <w:tc>
          <w:tcPr>
            <w:tcW w:w="617" w:type="dxa"/>
            <w:tcBorders>
              <w:top w:val="single" w:sz="4" w:space="0" w:color="BFBFBF"/>
              <w:left w:val="nil"/>
              <w:bottom w:val="double" w:sz="4" w:space="0" w:color="auto"/>
              <w:right w:val="single" w:sz="4" w:space="0" w:color="BFBFBF"/>
            </w:tcBorders>
            <w:shd w:val="clear" w:color="auto" w:fill="auto"/>
            <w:noWrap/>
            <w:vAlign w:val="center"/>
          </w:tcPr>
          <w:p w14:paraId="69A1469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96</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6B1D1F4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w:t>
            </w:r>
          </w:p>
        </w:tc>
        <w:tc>
          <w:tcPr>
            <w:tcW w:w="617" w:type="dxa"/>
            <w:tcBorders>
              <w:top w:val="single" w:sz="4" w:space="0" w:color="BFBFBF"/>
              <w:left w:val="nil"/>
              <w:bottom w:val="double" w:sz="4" w:space="0" w:color="auto"/>
              <w:right w:val="single" w:sz="4" w:space="0" w:color="auto"/>
            </w:tcBorders>
            <w:shd w:val="clear" w:color="auto" w:fill="auto"/>
            <w:noWrap/>
            <w:vAlign w:val="center"/>
          </w:tcPr>
          <w:p w14:paraId="574621F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109</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3891D0A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70%</w:t>
            </w:r>
          </w:p>
        </w:tc>
        <w:tc>
          <w:tcPr>
            <w:tcW w:w="695" w:type="dxa"/>
            <w:tcBorders>
              <w:top w:val="single" w:sz="4" w:space="0" w:color="BFBFBF"/>
              <w:left w:val="nil"/>
              <w:bottom w:val="double" w:sz="4" w:space="0" w:color="auto"/>
              <w:right w:val="double" w:sz="6" w:space="0" w:color="auto"/>
            </w:tcBorders>
            <w:shd w:val="clear" w:color="auto" w:fill="auto"/>
            <w:noWrap/>
            <w:vAlign w:val="center"/>
          </w:tcPr>
          <w:p w14:paraId="4CFF75C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23</w:t>
            </w:r>
          </w:p>
        </w:tc>
      </w:tr>
      <w:tr w:rsidR="00F80AC3" w:rsidRPr="009C7D53" w14:paraId="5380F792" w14:textId="77777777" w:rsidTr="00845569">
        <w:trPr>
          <w:trHeight w:val="225"/>
          <w:jc w:val="center"/>
        </w:trPr>
        <w:tc>
          <w:tcPr>
            <w:tcW w:w="2815" w:type="dxa"/>
            <w:tcBorders>
              <w:top w:val="double" w:sz="4" w:space="0" w:color="auto"/>
            </w:tcBorders>
            <w:shd w:val="clear" w:color="auto" w:fill="auto"/>
            <w:noWrap/>
            <w:vAlign w:val="center"/>
          </w:tcPr>
          <w:p w14:paraId="2EC535B0" w14:textId="77777777" w:rsidR="00F80AC3" w:rsidRDefault="00F80AC3" w:rsidP="00F77388">
            <w:pPr>
              <w:spacing w:before="0" w:after="0"/>
              <w:rPr>
                <w:rFonts w:ascii="Arial" w:hAnsi="Arial" w:cs="Arial"/>
                <w:bCs/>
                <w:color w:val="000000"/>
                <w:sz w:val="16"/>
                <w:szCs w:val="16"/>
                <w:lang w:val="en-AU" w:eastAsia="en-AU"/>
              </w:rPr>
            </w:pPr>
            <w:r w:rsidRPr="009C7D53">
              <w:rPr>
                <w:rFonts w:ascii="Arial" w:hAnsi="Arial" w:cs="Arial"/>
                <w:bCs/>
                <w:color w:val="000000"/>
                <w:sz w:val="16"/>
                <w:szCs w:val="16"/>
                <w:lang w:val="en-AU" w:eastAsia="en-AU"/>
              </w:rPr>
              <w:t>Continued on next page</w:t>
            </w:r>
          </w:p>
          <w:p w14:paraId="5EA9712F" w14:textId="77777777" w:rsidR="00F908A7" w:rsidRPr="009C7D53" w:rsidRDefault="00F908A7" w:rsidP="00F77388">
            <w:pPr>
              <w:spacing w:before="0" w:after="0"/>
              <w:rPr>
                <w:rFonts w:ascii="Arial" w:hAnsi="Arial" w:cs="Arial"/>
                <w:bCs/>
                <w:color w:val="000000"/>
                <w:sz w:val="16"/>
                <w:szCs w:val="16"/>
                <w:lang w:val="en-AU" w:eastAsia="en-AU"/>
              </w:rPr>
            </w:pPr>
          </w:p>
        </w:tc>
        <w:tc>
          <w:tcPr>
            <w:tcW w:w="734" w:type="dxa"/>
            <w:tcBorders>
              <w:top w:val="double" w:sz="4" w:space="0" w:color="auto"/>
            </w:tcBorders>
            <w:shd w:val="clear" w:color="auto" w:fill="auto"/>
            <w:noWrap/>
            <w:vAlign w:val="center"/>
          </w:tcPr>
          <w:p w14:paraId="25680685"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22CEEC1E"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7744FF88"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2D0BECEF"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D8D4F49"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617" w:type="dxa"/>
            <w:tcBorders>
              <w:top w:val="double" w:sz="4" w:space="0" w:color="auto"/>
            </w:tcBorders>
            <w:shd w:val="clear" w:color="auto" w:fill="auto"/>
            <w:noWrap/>
            <w:vAlign w:val="center"/>
          </w:tcPr>
          <w:p w14:paraId="712781C7"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13AA9C77"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572" w:type="dxa"/>
            <w:tcBorders>
              <w:top w:val="double" w:sz="4" w:space="0" w:color="auto"/>
            </w:tcBorders>
            <w:shd w:val="clear" w:color="auto" w:fill="auto"/>
            <w:noWrap/>
            <w:vAlign w:val="center"/>
          </w:tcPr>
          <w:p w14:paraId="13414DBC"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617" w:type="dxa"/>
            <w:tcBorders>
              <w:top w:val="double" w:sz="4" w:space="0" w:color="auto"/>
            </w:tcBorders>
            <w:shd w:val="clear" w:color="auto" w:fill="auto"/>
            <w:noWrap/>
            <w:vAlign w:val="center"/>
          </w:tcPr>
          <w:p w14:paraId="4B4FEA3B"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617" w:type="dxa"/>
            <w:tcBorders>
              <w:top w:val="double" w:sz="4" w:space="0" w:color="auto"/>
            </w:tcBorders>
            <w:shd w:val="clear" w:color="auto" w:fill="auto"/>
            <w:noWrap/>
            <w:vAlign w:val="center"/>
          </w:tcPr>
          <w:p w14:paraId="53D9B778"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62604EDC"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617" w:type="dxa"/>
            <w:tcBorders>
              <w:top w:val="double" w:sz="4" w:space="0" w:color="auto"/>
            </w:tcBorders>
            <w:shd w:val="clear" w:color="auto" w:fill="auto"/>
            <w:noWrap/>
            <w:vAlign w:val="center"/>
          </w:tcPr>
          <w:p w14:paraId="23BE26B7"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50DFF752" w14:textId="77777777" w:rsidR="00F80AC3" w:rsidRPr="009C7D53" w:rsidRDefault="00F80AC3" w:rsidP="00F77388">
            <w:pPr>
              <w:spacing w:before="0" w:after="0"/>
              <w:jc w:val="center"/>
              <w:rPr>
                <w:rFonts w:ascii="Arial" w:hAnsi="Arial" w:cs="Arial"/>
                <w:color w:val="000000"/>
                <w:sz w:val="16"/>
                <w:szCs w:val="16"/>
                <w:lang w:val="en-AU" w:eastAsia="en-AU"/>
              </w:rPr>
            </w:pPr>
          </w:p>
        </w:tc>
        <w:tc>
          <w:tcPr>
            <w:tcW w:w="695" w:type="dxa"/>
            <w:tcBorders>
              <w:top w:val="double" w:sz="4" w:space="0" w:color="auto"/>
            </w:tcBorders>
            <w:shd w:val="clear" w:color="auto" w:fill="auto"/>
            <w:noWrap/>
            <w:vAlign w:val="center"/>
          </w:tcPr>
          <w:p w14:paraId="3B1FF183" w14:textId="77777777" w:rsidR="00F80AC3" w:rsidRPr="009C7D53" w:rsidRDefault="00F80AC3" w:rsidP="00F77388">
            <w:pPr>
              <w:spacing w:before="0" w:after="0"/>
              <w:jc w:val="center"/>
              <w:rPr>
                <w:rFonts w:ascii="Arial" w:hAnsi="Arial" w:cs="Arial"/>
                <w:color w:val="000000"/>
                <w:sz w:val="16"/>
                <w:szCs w:val="16"/>
                <w:lang w:val="en-AU" w:eastAsia="en-AU"/>
              </w:rPr>
            </w:pPr>
          </w:p>
        </w:tc>
      </w:tr>
      <w:tr w:rsidR="00F80AC3" w:rsidRPr="009C7D53" w14:paraId="74CAB81D" w14:textId="77777777" w:rsidTr="00845569">
        <w:trPr>
          <w:trHeight w:val="225"/>
          <w:jc w:val="center"/>
        </w:trPr>
        <w:tc>
          <w:tcPr>
            <w:tcW w:w="2815" w:type="dxa"/>
            <w:tcBorders>
              <w:left w:val="double" w:sz="6" w:space="0" w:color="auto"/>
              <w:bottom w:val="single" w:sz="4" w:space="0" w:color="BFBFBF"/>
              <w:right w:val="nil"/>
            </w:tcBorders>
            <w:shd w:val="clear" w:color="auto" w:fill="auto"/>
            <w:noWrap/>
            <w:vAlign w:val="center"/>
          </w:tcPr>
          <w:p w14:paraId="15A672BC" w14:textId="77777777" w:rsidR="00F80AC3" w:rsidRPr="009C7D53" w:rsidRDefault="00F80AC3"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lastRenderedPageBreak/>
              <w:t>By Household Size -</w:t>
            </w:r>
          </w:p>
        </w:tc>
        <w:tc>
          <w:tcPr>
            <w:tcW w:w="734" w:type="dxa"/>
            <w:tcBorders>
              <w:left w:val="single" w:sz="4" w:space="0" w:color="auto"/>
              <w:bottom w:val="single" w:sz="4" w:space="0" w:color="BFBFBF"/>
              <w:right w:val="single" w:sz="4" w:space="0" w:color="BFBFBF"/>
            </w:tcBorders>
            <w:shd w:val="clear" w:color="auto" w:fill="auto"/>
            <w:noWrap/>
            <w:vAlign w:val="center"/>
          </w:tcPr>
          <w:p w14:paraId="2D8C4FD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7ADFD81F"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7873287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auto"/>
            </w:tcBorders>
            <w:shd w:val="clear" w:color="auto" w:fill="auto"/>
            <w:noWrap/>
            <w:vAlign w:val="center"/>
          </w:tcPr>
          <w:p w14:paraId="74E4BD0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0635180E"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left w:val="nil"/>
              <w:bottom w:val="single" w:sz="4" w:space="0" w:color="BFBFBF"/>
              <w:right w:val="single" w:sz="4" w:space="0" w:color="BFBFBF"/>
            </w:tcBorders>
            <w:shd w:val="clear" w:color="auto" w:fill="auto"/>
            <w:noWrap/>
            <w:vAlign w:val="center"/>
          </w:tcPr>
          <w:p w14:paraId="3DE8887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1CC7D343"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72" w:type="dxa"/>
            <w:tcBorders>
              <w:left w:val="nil"/>
              <w:bottom w:val="single" w:sz="4" w:space="0" w:color="BFBFBF"/>
              <w:right w:val="nil"/>
            </w:tcBorders>
            <w:shd w:val="clear" w:color="auto" w:fill="auto"/>
            <w:noWrap/>
            <w:vAlign w:val="center"/>
          </w:tcPr>
          <w:p w14:paraId="3900744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left w:val="single" w:sz="4" w:space="0" w:color="auto"/>
              <w:bottom w:val="single" w:sz="4" w:space="0" w:color="BFBFBF"/>
              <w:right w:val="single" w:sz="4" w:space="0" w:color="BFBFBF"/>
            </w:tcBorders>
            <w:shd w:val="clear" w:color="auto" w:fill="auto"/>
            <w:noWrap/>
            <w:vAlign w:val="center"/>
          </w:tcPr>
          <w:p w14:paraId="61789CF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left w:val="nil"/>
              <w:bottom w:val="single" w:sz="4" w:space="0" w:color="BFBFBF"/>
              <w:right w:val="single" w:sz="4" w:space="0" w:color="BFBFBF"/>
            </w:tcBorders>
            <w:shd w:val="clear" w:color="auto" w:fill="auto"/>
            <w:noWrap/>
            <w:vAlign w:val="center"/>
          </w:tcPr>
          <w:p w14:paraId="6B2A3772"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4D9E057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left w:val="nil"/>
              <w:bottom w:val="single" w:sz="4" w:space="0" w:color="BFBFBF"/>
              <w:right w:val="single" w:sz="4" w:space="0" w:color="auto"/>
            </w:tcBorders>
            <w:shd w:val="clear" w:color="auto" w:fill="auto"/>
            <w:noWrap/>
            <w:vAlign w:val="center"/>
          </w:tcPr>
          <w:p w14:paraId="4244027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46205CF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95" w:type="dxa"/>
            <w:tcBorders>
              <w:left w:val="nil"/>
              <w:bottom w:val="single" w:sz="4" w:space="0" w:color="BFBFBF"/>
              <w:right w:val="double" w:sz="6" w:space="0" w:color="auto"/>
            </w:tcBorders>
            <w:shd w:val="clear" w:color="auto" w:fill="auto"/>
            <w:noWrap/>
            <w:vAlign w:val="center"/>
          </w:tcPr>
          <w:p w14:paraId="629B244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F80AC3" w:rsidRPr="009C7D53" w14:paraId="68C06426"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20061CF5"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1 person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591B68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58%</w:t>
            </w:r>
          </w:p>
        </w:tc>
        <w:tc>
          <w:tcPr>
            <w:tcW w:w="734" w:type="dxa"/>
            <w:tcBorders>
              <w:top w:val="nil"/>
              <w:left w:val="nil"/>
              <w:bottom w:val="single" w:sz="4" w:space="0" w:color="BFBFBF"/>
              <w:right w:val="single" w:sz="4" w:space="0" w:color="BFBFBF"/>
            </w:tcBorders>
            <w:shd w:val="clear" w:color="auto" w:fill="auto"/>
            <w:noWrap/>
            <w:vAlign w:val="center"/>
          </w:tcPr>
          <w:p w14:paraId="6215070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35%</w:t>
            </w:r>
          </w:p>
        </w:tc>
        <w:tc>
          <w:tcPr>
            <w:tcW w:w="734" w:type="dxa"/>
            <w:tcBorders>
              <w:top w:val="nil"/>
              <w:left w:val="nil"/>
              <w:bottom w:val="single" w:sz="4" w:space="0" w:color="BFBFBF"/>
              <w:right w:val="single" w:sz="4" w:space="0" w:color="BFBFBF"/>
            </w:tcBorders>
            <w:shd w:val="clear" w:color="auto" w:fill="auto"/>
            <w:noWrap/>
            <w:vAlign w:val="center"/>
          </w:tcPr>
          <w:p w14:paraId="5BBA8BA7"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66%</w:t>
            </w:r>
          </w:p>
        </w:tc>
        <w:tc>
          <w:tcPr>
            <w:tcW w:w="734" w:type="dxa"/>
            <w:tcBorders>
              <w:top w:val="nil"/>
              <w:left w:val="nil"/>
              <w:bottom w:val="single" w:sz="4" w:space="0" w:color="BFBFBF"/>
              <w:right w:val="single" w:sz="4" w:space="0" w:color="auto"/>
            </w:tcBorders>
            <w:shd w:val="clear" w:color="auto" w:fill="auto"/>
            <w:noWrap/>
            <w:vAlign w:val="center"/>
          </w:tcPr>
          <w:p w14:paraId="1E8C5AC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w:t>
            </w:r>
          </w:p>
        </w:tc>
        <w:tc>
          <w:tcPr>
            <w:tcW w:w="734" w:type="dxa"/>
            <w:tcBorders>
              <w:top w:val="nil"/>
              <w:left w:val="nil"/>
              <w:bottom w:val="single" w:sz="4" w:space="0" w:color="BFBFBF"/>
              <w:right w:val="single" w:sz="4" w:space="0" w:color="BFBFBF"/>
            </w:tcBorders>
            <w:shd w:val="clear" w:color="auto" w:fill="auto"/>
            <w:noWrap/>
            <w:vAlign w:val="center"/>
          </w:tcPr>
          <w:p w14:paraId="0983B80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58%</w:t>
            </w:r>
          </w:p>
        </w:tc>
        <w:tc>
          <w:tcPr>
            <w:tcW w:w="617" w:type="dxa"/>
            <w:tcBorders>
              <w:top w:val="nil"/>
              <w:left w:val="nil"/>
              <w:bottom w:val="single" w:sz="4" w:space="0" w:color="BFBFBF"/>
              <w:right w:val="single" w:sz="4" w:space="0" w:color="BFBFBF"/>
            </w:tcBorders>
            <w:shd w:val="clear" w:color="auto" w:fill="auto"/>
            <w:noWrap/>
            <w:vAlign w:val="center"/>
          </w:tcPr>
          <w:p w14:paraId="1D3874D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66</w:t>
            </w:r>
          </w:p>
        </w:tc>
        <w:tc>
          <w:tcPr>
            <w:tcW w:w="734" w:type="dxa"/>
            <w:tcBorders>
              <w:top w:val="nil"/>
              <w:left w:val="nil"/>
              <w:bottom w:val="single" w:sz="4" w:space="0" w:color="BFBFBF"/>
              <w:right w:val="single" w:sz="4" w:space="0" w:color="BFBFBF"/>
            </w:tcBorders>
            <w:shd w:val="clear" w:color="auto" w:fill="auto"/>
            <w:noWrap/>
            <w:vAlign w:val="center"/>
          </w:tcPr>
          <w:p w14:paraId="19E6EC5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72" w:type="dxa"/>
            <w:tcBorders>
              <w:top w:val="nil"/>
              <w:left w:val="nil"/>
              <w:bottom w:val="single" w:sz="4" w:space="0" w:color="BFBFBF"/>
              <w:right w:val="nil"/>
            </w:tcBorders>
            <w:shd w:val="clear" w:color="auto" w:fill="auto"/>
            <w:noWrap/>
            <w:vAlign w:val="center"/>
          </w:tcPr>
          <w:p w14:paraId="4B06959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56A5614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66</w:t>
            </w:r>
          </w:p>
        </w:tc>
        <w:tc>
          <w:tcPr>
            <w:tcW w:w="617" w:type="dxa"/>
            <w:tcBorders>
              <w:top w:val="nil"/>
              <w:left w:val="nil"/>
              <w:bottom w:val="single" w:sz="4" w:space="0" w:color="BFBFBF"/>
              <w:right w:val="single" w:sz="4" w:space="0" w:color="BFBFBF"/>
            </w:tcBorders>
            <w:shd w:val="clear" w:color="auto" w:fill="auto"/>
            <w:noWrap/>
            <w:vAlign w:val="center"/>
          </w:tcPr>
          <w:p w14:paraId="2190B23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w:t>
            </w:r>
          </w:p>
        </w:tc>
        <w:tc>
          <w:tcPr>
            <w:tcW w:w="734" w:type="dxa"/>
            <w:tcBorders>
              <w:top w:val="nil"/>
              <w:left w:val="nil"/>
              <w:bottom w:val="single" w:sz="4" w:space="0" w:color="BFBFBF"/>
              <w:right w:val="single" w:sz="4" w:space="0" w:color="BFBFBF"/>
            </w:tcBorders>
            <w:shd w:val="clear" w:color="auto" w:fill="auto"/>
            <w:noWrap/>
            <w:vAlign w:val="center"/>
          </w:tcPr>
          <w:p w14:paraId="471192E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54</w:t>
            </w:r>
          </w:p>
        </w:tc>
        <w:tc>
          <w:tcPr>
            <w:tcW w:w="617" w:type="dxa"/>
            <w:tcBorders>
              <w:top w:val="nil"/>
              <w:left w:val="nil"/>
              <w:bottom w:val="single" w:sz="4" w:space="0" w:color="BFBFBF"/>
              <w:right w:val="single" w:sz="4" w:space="0" w:color="auto"/>
            </w:tcBorders>
            <w:shd w:val="clear" w:color="auto" w:fill="auto"/>
            <w:noWrap/>
            <w:vAlign w:val="center"/>
          </w:tcPr>
          <w:p w14:paraId="083DF7EC"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53</w:t>
            </w:r>
          </w:p>
        </w:tc>
        <w:tc>
          <w:tcPr>
            <w:tcW w:w="734" w:type="dxa"/>
            <w:tcBorders>
              <w:top w:val="nil"/>
              <w:left w:val="nil"/>
              <w:bottom w:val="single" w:sz="4" w:space="0" w:color="BFBFBF"/>
              <w:right w:val="single" w:sz="4" w:space="0" w:color="BFBFBF"/>
            </w:tcBorders>
            <w:shd w:val="clear" w:color="auto" w:fill="auto"/>
            <w:noWrap/>
            <w:vAlign w:val="center"/>
          </w:tcPr>
          <w:p w14:paraId="4C5CD533"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77%</w:t>
            </w:r>
          </w:p>
        </w:tc>
        <w:tc>
          <w:tcPr>
            <w:tcW w:w="695" w:type="dxa"/>
            <w:tcBorders>
              <w:top w:val="nil"/>
              <w:left w:val="nil"/>
              <w:bottom w:val="single" w:sz="4" w:space="0" w:color="BFBFBF"/>
              <w:right w:val="double" w:sz="6" w:space="0" w:color="auto"/>
            </w:tcBorders>
            <w:shd w:val="clear" w:color="auto" w:fill="auto"/>
            <w:noWrap/>
            <w:vAlign w:val="center"/>
          </w:tcPr>
          <w:p w14:paraId="206BF5C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w:t>
            </w:r>
          </w:p>
        </w:tc>
      </w:tr>
      <w:tr w:rsidR="00F80AC3" w:rsidRPr="009C7D53" w14:paraId="5EC6FC45"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37CF00FD"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2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B65B51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49%</w:t>
            </w:r>
          </w:p>
        </w:tc>
        <w:tc>
          <w:tcPr>
            <w:tcW w:w="734" w:type="dxa"/>
            <w:tcBorders>
              <w:top w:val="nil"/>
              <w:left w:val="nil"/>
              <w:bottom w:val="single" w:sz="4" w:space="0" w:color="BFBFBF"/>
              <w:right w:val="single" w:sz="4" w:space="0" w:color="BFBFBF"/>
            </w:tcBorders>
            <w:shd w:val="clear" w:color="auto" w:fill="auto"/>
            <w:noWrap/>
            <w:vAlign w:val="center"/>
          </w:tcPr>
          <w:p w14:paraId="27E007C6"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33%</w:t>
            </w:r>
          </w:p>
        </w:tc>
        <w:tc>
          <w:tcPr>
            <w:tcW w:w="734" w:type="dxa"/>
            <w:tcBorders>
              <w:top w:val="nil"/>
              <w:left w:val="nil"/>
              <w:bottom w:val="single" w:sz="4" w:space="0" w:color="BFBFBF"/>
              <w:right w:val="single" w:sz="4" w:space="0" w:color="BFBFBF"/>
            </w:tcBorders>
            <w:shd w:val="clear" w:color="auto" w:fill="auto"/>
            <w:noWrap/>
            <w:vAlign w:val="center"/>
          </w:tcPr>
          <w:p w14:paraId="5896EC0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61%</w:t>
            </w:r>
          </w:p>
        </w:tc>
        <w:tc>
          <w:tcPr>
            <w:tcW w:w="734" w:type="dxa"/>
            <w:tcBorders>
              <w:top w:val="nil"/>
              <w:left w:val="nil"/>
              <w:bottom w:val="single" w:sz="4" w:space="0" w:color="BFBFBF"/>
              <w:right w:val="single" w:sz="4" w:space="0" w:color="auto"/>
            </w:tcBorders>
            <w:shd w:val="clear" w:color="auto" w:fill="auto"/>
            <w:noWrap/>
            <w:vAlign w:val="center"/>
          </w:tcPr>
          <w:p w14:paraId="30EAA69C"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36%</w:t>
            </w:r>
          </w:p>
        </w:tc>
        <w:tc>
          <w:tcPr>
            <w:tcW w:w="734" w:type="dxa"/>
            <w:tcBorders>
              <w:top w:val="nil"/>
              <w:left w:val="nil"/>
              <w:bottom w:val="single" w:sz="4" w:space="0" w:color="BFBFBF"/>
              <w:right w:val="single" w:sz="4" w:space="0" w:color="BFBFBF"/>
            </w:tcBorders>
            <w:shd w:val="clear" w:color="auto" w:fill="auto"/>
            <w:noWrap/>
            <w:vAlign w:val="center"/>
          </w:tcPr>
          <w:p w14:paraId="35067A2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49%</w:t>
            </w:r>
          </w:p>
        </w:tc>
        <w:tc>
          <w:tcPr>
            <w:tcW w:w="617" w:type="dxa"/>
            <w:tcBorders>
              <w:top w:val="nil"/>
              <w:left w:val="nil"/>
              <w:bottom w:val="single" w:sz="4" w:space="0" w:color="BFBFBF"/>
              <w:right w:val="single" w:sz="4" w:space="0" w:color="BFBFBF"/>
            </w:tcBorders>
            <w:shd w:val="clear" w:color="auto" w:fill="auto"/>
            <w:noWrap/>
            <w:vAlign w:val="center"/>
          </w:tcPr>
          <w:p w14:paraId="5487F41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7EAC07B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28B1173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15</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2CD4EFC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92</w:t>
            </w:r>
          </w:p>
        </w:tc>
        <w:tc>
          <w:tcPr>
            <w:tcW w:w="617" w:type="dxa"/>
            <w:tcBorders>
              <w:top w:val="nil"/>
              <w:left w:val="nil"/>
              <w:bottom w:val="single" w:sz="4" w:space="0" w:color="BFBFBF"/>
              <w:right w:val="single" w:sz="4" w:space="0" w:color="BFBFBF"/>
            </w:tcBorders>
            <w:shd w:val="clear" w:color="auto" w:fill="auto"/>
            <w:noWrap/>
            <w:vAlign w:val="center"/>
          </w:tcPr>
          <w:p w14:paraId="00005C4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28DFAF62"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70</w:t>
            </w:r>
          </w:p>
        </w:tc>
        <w:tc>
          <w:tcPr>
            <w:tcW w:w="617" w:type="dxa"/>
            <w:tcBorders>
              <w:top w:val="nil"/>
              <w:left w:val="nil"/>
              <w:bottom w:val="single" w:sz="4" w:space="0" w:color="BFBFBF"/>
              <w:right w:val="single" w:sz="4" w:space="0" w:color="auto"/>
            </w:tcBorders>
            <w:shd w:val="clear" w:color="auto" w:fill="auto"/>
            <w:noWrap/>
            <w:vAlign w:val="center"/>
          </w:tcPr>
          <w:p w14:paraId="28581BE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5733DB6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74%</w:t>
            </w:r>
          </w:p>
        </w:tc>
        <w:tc>
          <w:tcPr>
            <w:tcW w:w="695" w:type="dxa"/>
            <w:tcBorders>
              <w:top w:val="nil"/>
              <w:left w:val="nil"/>
              <w:bottom w:val="single" w:sz="4" w:space="0" w:color="BFBFBF"/>
              <w:right w:val="double" w:sz="6" w:space="0" w:color="auto"/>
            </w:tcBorders>
            <w:shd w:val="clear" w:color="auto" w:fill="auto"/>
            <w:noWrap/>
            <w:vAlign w:val="center"/>
          </w:tcPr>
          <w:p w14:paraId="7B75519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20</w:t>
            </w:r>
          </w:p>
        </w:tc>
      </w:tr>
      <w:tr w:rsidR="00F80AC3" w:rsidRPr="009C7D53" w14:paraId="6E442A9D"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12C8BFC1"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3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A711D0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36%</w:t>
            </w:r>
          </w:p>
        </w:tc>
        <w:tc>
          <w:tcPr>
            <w:tcW w:w="734" w:type="dxa"/>
            <w:tcBorders>
              <w:top w:val="nil"/>
              <w:left w:val="nil"/>
              <w:bottom w:val="single" w:sz="4" w:space="0" w:color="BFBFBF"/>
              <w:right w:val="single" w:sz="4" w:space="0" w:color="BFBFBF"/>
            </w:tcBorders>
            <w:shd w:val="clear" w:color="auto" w:fill="auto"/>
            <w:noWrap/>
            <w:vAlign w:val="center"/>
          </w:tcPr>
          <w:p w14:paraId="2073DEE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c>
          <w:tcPr>
            <w:tcW w:w="734" w:type="dxa"/>
            <w:tcBorders>
              <w:top w:val="nil"/>
              <w:left w:val="nil"/>
              <w:bottom w:val="single" w:sz="4" w:space="0" w:color="BFBFBF"/>
              <w:right w:val="single" w:sz="4" w:space="0" w:color="BFBFBF"/>
            </w:tcBorders>
            <w:shd w:val="clear" w:color="auto" w:fill="auto"/>
            <w:noWrap/>
            <w:vAlign w:val="center"/>
          </w:tcPr>
          <w:p w14:paraId="183A13D7"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49%</w:t>
            </w:r>
          </w:p>
        </w:tc>
        <w:tc>
          <w:tcPr>
            <w:tcW w:w="734" w:type="dxa"/>
            <w:tcBorders>
              <w:top w:val="nil"/>
              <w:left w:val="nil"/>
              <w:bottom w:val="single" w:sz="4" w:space="0" w:color="BFBFBF"/>
              <w:right w:val="single" w:sz="4" w:space="0" w:color="auto"/>
            </w:tcBorders>
            <w:shd w:val="clear" w:color="auto" w:fill="auto"/>
            <w:noWrap/>
            <w:vAlign w:val="center"/>
          </w:tcPr>
          <w:p w14:paraId="0717D82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33%</w:t>
            </w:r>
          </w:p>
        </w:tc>
        <w:tc>
          <w:tcPr>
            <w:tcW w:w="734" w:type="dxa"/>
            <w:tcBorders>
              <w:top w:val="nil"/>
              <w:left w:val="nil"/>
              <w:bottom w:val="single" w:sz="4" w:space="0" w:color="BFBFBF"/>
              <w:right w:val="single" w:sz="4" w:space="0" w:color="BFBFBF"/>
            </w:tcBorders>
            <w:shd w:val="clear" w:color="auto" w:fill="auto"/>
            <w:noWrap/>
            <w:vAlign w:val="center"/>
          </w:tcPr>
          <w:p w14:paraId="38CB263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36%</w:t>
            </w:r>
          </w:p>
        </w:tc>
        <w:tc>
          <w:tcPr>
            <w:tcW w:w="617" w:type="dxa"/>
            <w:tcBorders>
              <w:top w:val="nil"/>
              <w:left w:val="nil"/>
              <w:bottom w:val="single" w:sz="4" w:space="0" w:color="BFBFBF"/>
              <w:right w:val="single" w:sz="4" w:space="0" w:color="BFBFBF"/>
            </w:tcBorders>
            <w:shd w:val="clear" w:color="auto" w:fill="auto"/>
            <w:noWrap/>
            <w:vAlign w:val="center"/>
          </w:tcPr>
          <w:p w14:paraId="648680C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1706EF8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572" w:type="dxa"/>
            <w:tcBorders>
              <w:top w:val="nil"/>
              <w:left w:val="nil"/>
              <w:bottom w:val="single" w:sz="4" w:space="0" w:color="BFBFBF"/>
              <w:right w:val="nil"/>
            </w:tcBorders>
            <w:shd w:val="clear" w:color="auto" w:fill="auto"/>
            <w:noWrap/>
            <w:vAlign w:val="center"/>
          </w:tcPr>
          <w:p w14:paraId="001F6EA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50E4AC0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617" w:type="dxa"/>
            <w:tcBorders>
              <w:top w:val="nil"/>
              <w:left w:val="nil"/>
              <w:bottom w:val="single" w:sz="4" w:space="0" w:color="BFBFBF"/>
              <w:right w:val="single" w:sz="4" w:space="0" w:color="BFBFBF"/>
            </w:tcBorders>
            <w:shd w:val="clear" w:color="auto" w:fill="auto"/>
            <w:noWrap/>
            <w:vAlign w:val="center"/>
          </w:tcPr>
          <w:p w14:paraId="6FA8343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90</w:t>
            </w:r>
          </w:p>
        </w:tc>
        <w:tc>
          <w:tcPr>
            <w:tcW w:w="734" w:type="dxa"/>
            <w:tcBorders>
              <w:top w:val="nil"/>
              <w:left w:val="nil"/>
              <w:bottom w:val="single" w:sz="4" w:space="0" w:color="BFBFBF"/>
              <w:right w:val="single" w:sz="4" w:space="0" w:color="BFBFBF"/>
            </w:tcBorders>
            <w:shd w:val="clear" w:color="auto" w:fill="auto"/>
            <w:noWrap/>
            <w:vAlign w:val="center"/>
          </w:tcPr>
          <w:p w14:paraId="22E8795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w:t>
            </w:r>
          </w:p>
        </w:tc>
        <w:tc>
          <w:tcPr>
            <w:tcW w:w="617" w:type="dxa"/>
            <w:tcBorders>
              <w:top w:val="nil"/>
              <w:left w:val="nil"/>
              <w:bottom w:val="single" w:sz="4" w:space="0" w:color="BFBFBF"/>
              <w:right w:val="single" w:sz="4" w:space="0" w:color="auto"/>
            </w:tcBorders>
            <w:shd w:val="clear" w:color="auto" w:fill="auto"/>
            <w:noWrap/>
            <w:vAlign w:val="center"/>
          </w:tcPr>
          <w:p w14:paraId="4B83407D"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BFBFBF"/>
            </w:tcBorders>
            <w:shd w:val="clear" w:color="auto" w:fill="auto"/>
            <w:noWrap/>
            <w:vAlign w:val="center"/>
          </w:tcPr>
          <w:p w14:paraId="054DE55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w:t>
            </w:r>
          </w:p>
        </w:tc>
        <w:tc>
          <w:tcPr>
            <w:tcW w:w="695" w:type="dxa"/>
            <w:tcBorders>
              <w:top w:val="nil"/>
              <w:left w:val="nil"/>
              <w:bottom w:val="single" w:sz="4" w:space="0" w:color="BFBFBF"/>
              <w:right w:val="double" w:sz="6" w:space="0" w:color="auto"/>
            </w:tcBorders>
            <w:shd w:val="clear" w:color="auto" w:fill="auto"/>
            <w:noWrap/>
            <w:vAlign w:val="center"/>
          </w:tcPr>
          <w:p w14:paraId="1864CE1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r>
      <w:tr w:rsidR="00F80AC3" w:rsidRPr="009C7D53" w14:paraId="237D2E9D"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4823C172"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4 or more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EC1085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c>
          <w:tcPr>
            <w:tcW w:w="734" w:type="dxa"/>
            <w:tcBorders>
              <w:top w:val="nil"/>
              <w:left w:val="nil"/>
              <w:bottom w:val="single" w:sz="4" w:space="0" w:color="BFBFBF"/>
              <w:right w:val="single" w:sz="4" w:space="0" w:color="BFBFBF"/>
            </w:tcBorders>
            <w:shd w:val="clear" w:color="auto" w:fill="auto"/>
            <w:noWrap/>
            <w:vAlign w:val="center"/>
          </w:tcPr>
          <w:p w14:paraId="6E6A7202"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19%</w:t>
            </w:r>
          </w:p>
        </w:tc>
        <w:tc>
          <w:tcPr>
            <w:tcW w:w="734" w:type="dxa"/>
            <w:tcBorders>
              <w:top w:val="nil"/>
              <w:left w:val="nil"/>
              <w:bottom w:val="single" w:sz="4" w:space="0" w:color="BFBFBF"/>
              <w:right w:val="single" w:sz="4" w:space="0" w:color="BFBFBF"/>
            </w:tcBorders>
            <w:shd w:val="clear" w:color="auto" w:fill="auto"/>
            <w:noWrap/>
            <w:vAlign w:val="center"/>
          </w:tcPr>
          <w:p w14:paraId="04A4A69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42%</w:t>
            </w:r>
          </w:p>
        </w:tc>
        <w:tc>
          <w:tcPr>
            <w:tcW w:w="734" w:type="dxa"/>
            <w:tcBorders>
              <w:top w:val="nil"/>
              <w:left w:val="nil"/>
              <w:bottom w:val="single" w:sz="4" w:space="0" w:color="BFBFBF"/>
              <w:right w:val="single" w:sz="4" w:space="0" w:color="auto"/>
            </w:tcBorders>
            <w:shd w:val="clear" w:color="auto" w:fill="auto"/>
            <w:noWrap/>
            <w:vAlign w:val="center"/>
          </w:tcPr>
          <w:p w14:paraId="3B97F667"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32%</w:t>
            </w:r>
          </w:p>
        </w:tc>
        <w:tc>
          <w:tcPr>
            <w:tcW w:w="734" w:type="dxa"/>
            <w:tcBorders>
              <w:top w:val="nil"/>
              <w:left w:val="nil"/>
              <w:bottom w:val="single" w:sz="4" w:space="0" w:color="BFBFBF"/>
              <w:right w:val="single" w:sz="4" w:space="0" w:color="BFBFBF"/>
            </w:tcBorders>
            <w:shd w:val="clear" w:color="auto" w:fill="auto"/>
            <w:noWrap/>
            <w:vAlign w:val="center"/>
          </w:tcPr>
          <w:p w14:paraId="4FD4977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c>
          <w:tcPr>
            <w:tcW w:w="617" w:type="dxa"/>
            <w:tcBorders>
              <w:top w:val="nil"/>
              <w:left w:val="nil"/>
              <w:bottom w:val="single" w:sz="4" w:space="0" w:color="BFBFBF"/>
              <w:right w:val="single" w:sz="4" w:space="0" w:color="BFBFBF"/>
            </w:tcBorders>
            <w:shd w:val="clear" w:color="auto" w:fill="auto"/>
            <w:noWrap/>
            <w:vAlign w:val="center"/>
          </w:tcPr>
          <w:p w14:paraId="29C2DBF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110</w:t>
            </w:r>
          </w:p>
        </w:tc>
        <w:tc>
          <w:tcPr>
            <w:tcW w:w="734" w:type="dxa"/>
            <w:tcBorders>
              <w:top w:val="nil"/>
              <w:left w:val="nil"/>
              <w:bottom w:val="single" w:sz="4" w:space="0" w:color="BFBFBF"/>
              <w:right w:val="single" w:sz="4" w:space="0" w:color="BFBFBF"/>
            </w:tcBorders>
            <w:shd w:val="clear" w:color="auto" w:fill="auto"/>
            <w:noWrap/>
            <w:vAlign w:val="center"/>
          </w:tcPr>
          <w:p w14:paraId="337C52C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437FF51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1EEAE6B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110</w:t>
            </w:r>
          </w:p>
        </w:tc>
        <w:tc>
          <w:tcPr>
            <w:tcW w:w="617" w:type="dxa"/>
            <w:tcBorders>
              <w:top w:val="nil"/>
              <w:left w:val="nil"/>
              <w:bottom w:val="single" w:sz="4" w:space="0" w:color="BFBFBF"/>
              <w:right w:val="single" w:sz="4" w:space="0" w:color="BFBFBF"/>
            </w:tcBorders>
            <w:shd w:val="clear" w:color="auto" w:fill="auto"/>
            <w:noWrap/>
            <w:vAlign w:val="center"/>
          </w:tcPr>
          <w:p w14:paraId="34A21FD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112</w:t>
            </w:r>
          </w:p>
        </w:tc>
        <w:tc>
          <w:tcPr>
            <w:tcW w:w="734" w:type="dxa"/>
            <w:tcBorders>
              <w:top w:val="nil"/>
              <w:left w:val="nil"/>
              <w:bottom w:val="single" w:sz="4" w:space="0" w:color="BFBFBF"/>
              <w:right w:val="single" w:sz="4" w:space="0" w:color="BFBFBF"/>
            </w:tcBorders>
            <w:shd w:val="clear" w:color="auto" w:fill="auto"/>
            <w:noWrap/>
            <w:vAlign w:val="center"/>
          </w:tcPr>
          <w:p w14:paraId="4AAC9D1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w:t>
            </w:r>
          </w:p>
        </w:tc>
        <w:tc>
          <w:tcPr>
            <w:tcW w:w="617" w:type="dxa"/>
            <w:tcBorders>
              <w:top w:val="nil"/>
              <w:left w:val="nil"/>
              <w:bottom w:val="single" w:sz="4" w:space="0" w:color="BFBFBF"/>
              <w:right w:val="single" w:sz="4" w:space="0" w:color="auto"/>
            </w:tcBorders>
            <w:shd w:val="clear" w:color="auto" w:fill="auto"/>
            <w:noWrap/>
            <w:vAlign w:val="center"/>
          </w:tcPr>
          <w:p w14:paraId="5B13BD0B"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102</w:t>
            </w:r>
          </w:p>
        </w:tc>
        <w:tc>
          <w:tcPr>
            <w:tcW w:w="734" w:type="dxa"/>
            <w:tcBorders>
              <w:top w:val="nil"/>
              <w:left w:val="nil"/>
              <w:bottom w:val="single" w:sz="4" w:space="0" w:color="BFBFBF"/>
              <w:right w:val="single" w:sz="4" w:space="0" w:color="BFBFBF"/>
            </w:tcBorders>
            <w:shd w:val="clear" w:color="auto" w:fill="auto"/>
            <w:noWrap/>
            <w:vAlign w:val="center"/>
          </w:tcPr>
          <w:p w14:paraId="1F483D9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70%</w:t>
            </w:r>
          </w:p>
        </w:tc>
        <w:tc>
          <w:tcPr>
            <w:tcW w:w="695" w:type="dxa"/>
            <w:tcBorders>
              <w:top w:val="nil"/>
              <w:left w:val="nil"/>
              <w:bottom w:val="single" w:sz="4" w:space="0" w:color="BFBFBF"/>
              <w:right w:val="double" w:sz="6" w:space="0" w:color="auto"/>
            </w:tcBorders>
            <w:shd w:val="clear" w:color="auto" w:fill="auto"/>
            <w:noWrap/>
            <w:vAlign w:val="center"/>
          </w:tcPr>
          <w:p w14:paraId="316FA79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29</w:t>
            </w:r>
          </w:p>
        </w:tc>
      </w:tr>
      <w:tr w:rsidR="00F80AC3" w:rsidRPr="009C7D53" w14:paraId="08E57653"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1471FFF3" w14:textId="77777777" w:rsidR="00F80AC3" w:rsidRPr="009C7D53" w:rsidRDefault="00F80AC3"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Housing Status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474C89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F41503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7AED00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186E8C8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41212E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center"/>
          </w:tcPr>
          <w:p w14:paraId="246BE51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A3F52A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72" w:type="dxa"/>
            <w:tcBorders>
              <w:top w:val="nil"/>
              <w:left w:val="nil"/>
              <w:bottom w:val="single" w:sz="4" w:space="0" w:color="BFBFBF"/>
              <w:right w:val="nil"/>
            </w:tcBorders>
            <w:shd w:val="clear" w:color="auto" w:fill="auto"/>
            <w:noWrap/>
            <w:vAlign w:val="center"/>
          </w:tcPr>
          <w:p w14:paraId="4A53BC1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0962D6B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center"/>
          </w:tcPr>
          <w:p w14:paraId="2FD495C2"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981F47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598B590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1E37AC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95" w:type="dxa"/>
            <w:tcBorders>
              <w:top w:val="nil"/>
              <w:left w:val="nil"/>
              <w:bottom w:val="single" w:sz="4" w:space="0" w:color="BFBFBF"/>
              <w:right w:val="double" w:sz="6" w:space="0" w:color="auto"/>
            </w:tcBorders>
            <w:shd w:val="clear" w:color="auto" w:fill="auto"/>
            <w:noWrap/>
            <w:vAlign w:val="center"/>
          </w:tcPr>
          <w:p w14:paraId="1EE9C2D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F80AC3" w:rsidRPr="009C7D53" w14:paraId="44475327"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65F9000D"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Owned/paid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C83F1E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49%</w:t>
            </w:r>
          </w:p>
        </w:tc>
        <w:tc>
          <w:tcPr>
            <w:tcW w:w="734" w:type="dxa"/>
            <w:tcBorders>
              <w:top w:val="nil"/>
              <w:left w:val="nil"/>
              <w:bottom w:val="single" w:sz="4" w:space="0" w:color="BFBFBF"/>
              <w:right w:val="single" w:sz="4" w:space="0" w:color="BFBFBF"/>
            </w:tcBorders>
            <w:shd w:val="clear" w:color="auto" w:fill="auto"/>
            <w:noWrap/>
            <w:vAlign w:val="center"/>
          </w:tcPr>
          <w:p w14:paraId="0CE3019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34%</w:t>
            </w:r>
          </w:p>
        </w:tc>
        <w:tc>
          <w:tcPr>
            <w:tcW w:w="734" w:type="dxa"/>
            <w:tcBorders>
              <w:top w:val="nil"/>
              <w:left w:val="nil"/>
              <w:bottom w:val="single" w:sz="4" w:space="0" w:color="BFBFBF"/>
              <w:right w:val="single" w:sz="4" w:space="0" w:color="BFBFBF"/>
            </w:tcBorders>
            <w:shd w:val="clear" w:color="auto" w:fill="auto"/>
            <w:noWrap/>
            <w:vAlign w:val="center"/>
          </w:tcPr>
          <w:p w14:paraId="7BC0777C"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60%</w:t>
            </w:r>
          </w:p>
        </w:tc>
        <w:tc>
          <w:tcPr>
            <w:tcW w:w="734" w:type="dxa"/>
            <w:tcBorders>
              <w:top w:val="nil"/>
              <w:left w:val="nil"/>
              <w:bottom w:val="single" w:sz="4" w:space="0" w:color="BFBFBF"/>
              <w:right w:val="single" w:sz="4" w:space="0" w:color="auto"/>
            </w:tcBorders>
            <w:shd w:val="clear" w:color="auto" w:fill="auto"/>
            <w:noWrap/>
            <w:vAlign w:val="center"/>
          </w:tcPr>
          <w:p w14:paraId="21B4BF64"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42%</w:t>
            </w:r>
          </w:p>
        </w:tc>
        <w:tc>
          <w:tcPr>
            <w:tcW w:w="734" w:type="dxa"/>
            <w:tcBorders>
              <w:top w:val="nil"/>
              <w:left w:val="nil"/>
              <w:bottom w:val="single" w:sz="4" w:space="0" w:color="BFBFBF"/>
              <w:right w:val="single" w:sz="4" w:space="0" w:color="BFBFBF"/>
            </w:tcBorders>
            <w:shd w:val="clear" w:color="auto" w:fill="auto"/>
            <w:noWrap/>
            <w:vAlign w:val="center"/>
          </w:tcPr>
          <w:p w14:paraId="2E1F362C"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49%</w:t>
            </w:r>
          </w:p>
        </w:tc>
        <w:tc>
          <w:tcPr>
            <w:tcW w:w="617" w:type="dxa"/>
            <w:tcBorders>
              <w:top w:val="nil"/>
              <w:left w:val="nil"/>
              <w:bottom w:val="single" w:sz="4" w:space="0" w:color="BFBFBF"/>
              <w:right w:val="single" w:sz="4" w:space="0" w:color="BFBFBF"/>
            </w:tcBorders>
            <w:shd w:val="clear" w:color="auto" w:fill="auto"/>
            <w:noWrap/>
            <w:vAlign w:val="center"/>
          </w:tcPr>
          <w:p w14:paraId="7E6DFD7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5CA1A30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72" w:type="dxa"/>
            <w:tcBorders>
              <w:top w:val="nil"/>
              <w:left w:val="nil"/>
              <w:bottom w:val="single" w:sz="4" w:space="0" w:color="BFBFBF"/>
              <w:right w:val="nil"/>
            </w:tcBorders>
            <w:shd w:val="clear" w:color="auto" w:fill="auto"/>
            <w:noWrap/>
            <w:vAlign w:val="center"/>
          </w:tcPr>
          <w:p w14:paraId="3FF7696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27</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119380EB"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617" w:type="dxa"/>
            <w:tcBorders>
              <w:top w:val="nil"/>
              <w:left w:val="nil"/>
              <w:bottom w:val="single" w:sz="4" w:space="0" w:color="BFBFBF"/>
              <w:right w:val="single" w:sz="4" w:space="0" w:color="BFBFBF"/>
            </w:tcBorders>
            <w:shd w:val="clear" w:color="auto" w:fill="auto"/>
            <w:noWrap/>
            <w:vAlign w:val="center"/>
          </w:tcPr>
          <w:p w14:paraId="62C56B72"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4AB7D778"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69</w:t>
            </w:r>
          </w:p>
        </w:tc>
        <w:tc>
          <w:tcPr>
            <w:tcW w:w="617" w:type="dxa"/>
            <w:tcBorders>
              <w:top w:val="nil"/>
              <w:left w:val="nil"/>
              <w:bottom w:val="single" w:sz="4" w:space="0" w:color="BFBFBF"/>
              <w:right w:val="single" w:sz="4" w:space="0" w:color="auto"/>
            </w:tcBorders>
            <w:shd w:val="clear" w:color="auto" w:fill="auto"/>
            <w:noWrap/>
            <w:vAlign w:val="center"/>
          </w:tcPr>
          <w:p w14:paraId="09D1F562"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56BF5B7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77%</w:t>
            </w:r>
          </w:p>
        </w:tc>
        <w:tc>
          <w:tcPr>
            <w:tcW w:w="695" w:type="dxa"/>
            <w:tcBorders>
              <w:top w:val="nil"/>
              <w:left w:val="nil"/>
              <w:bottom w:val="single" w:sz="4" w:space="0" w:color="BFBFBF"/>
              <w:right w:val="double" w:sz="6" w:space="0" w:color="auto"/>
            </w:tcBorders>
            <w:shd w:val="clear" w:color="auto" w:fill="auto"/>
            <w:noWrap/>
            <w:vAlign w:val="center"/>
          </w:tcPr>
          <w:p w14:paraId="062493D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r>
      <w:tr w:rsidR="00F80AC3" w:rsidRPr="009C7D53" w14:paraId="01639233"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7F4DC8AB"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Buying/paying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6184F9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c>
          <w:tcPr>
            <w:tcW w:w="734" w:type="dxa"/>
            <w:tcBorders>
              <w:top w:val="nil"/>
              <w:left w:val="nil"/>
              <w:bottom w:val="single" w:sz="4" w:space="0" w:color="BFBFBF"/>
              <w:right w:val="single" w:sz="4" w:space="0" w:color="BFBFBF"/>
            </w:tcBorders>
            <w:shd w:val="clear" w:color="auto" w:fill="auto"/>
            <w:noWrap/>
            <w:vAlign w:val="center"/>
          </w:tcPr>
          <w:p w14:paraId="4DB23D47"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16%</w:t>
            </w:r>
          </w:p>
        </w:tc>
        <w:tc>
          <w:tcPr>
            <w:tcW w:w="734" w:type="dxa"/>
            <w:tcBorders>
              <w:top w:val="nil"/>
              <w:left w:val="nil"/>
              <w:bottom w:val="single" w:sz="4" w:space="0" w:color="BFBFBF"/>
              <w:right w:val="single" w:sz="4" w:space="0" w:color="BFBFBF"/>
            </w:tcBorders>
            <w:shd w:val="clear" w:color="auto" w:fill="auto"/>
            <w:noWrap/>
            <w:vAlign w:val="center"/>
          </w:tcPr>
          <w:p w14:paraId="49E5BC7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w:t>
            </w:r>
          </w:p>
        </w:tc>
        <w:tc>
          <w:tcPr>
            <w:tcW w:w="734" w:type="dxa"/>
            <w:tcBorders>
              <w:top w:val="nil"/>
              <w:left w:val="nil"/>
              <w:bottom w:val="single" w:sz="4" w:space="0" w:color="BFBFBF"/>
              <w:right w:val="single" w:sz="4" w:space="0" w:color="auto"/>
            </w:tcBorders>
            <w:shd w:val="clear" w:color="auto" w:fill="auto"/>
            <w:noWrap/>
            <w:vAlign w:val="center"/>
          </w:tcPr>
          <w:p w14:paraId="0D7AE0E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23%</w:t>
            </w:r>
          </w:p>
        </w:tc>
        <w:tc>
          <w:tcPr>
            <w:tcW w:w="734" w:type="dxa"/>
            <w:tcBorders>
              <w:top w:val="nil"/>
              <w:left w:val="nil"/>
              <w:bottom w:val="single" w:sz="4" w:space="0" w:color="BFBFBF"/>
              <w:right w:val="single" w:sz="4" w:space="0" w:color="BFBFBF"/>
            </w:tcBorders>
            <w:shd w:val="clear" w:color="auto" w:fill="auto"/>
            <w:noWrap/>
            <w:vAlign w:val="center"/>
          </w:tcPr>
          <w:p w14:paraId="3E125A4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c>
          <w:tcPr>
            <w:tcW w:w="617" w:type="dxa"/>
            <w:tcBorders>
              <w:top w:val="nil"/>
              <w:left w:val="nil"/>
              <w:bottom w:val="single" w:sz="4" w:space="0" w:color="BFBFBF"/>
              <w:right w:val="single" w:sz="4" w:space="0" w:color="BFBFBF"/>
            </w:tcBorders>
            <w:shd w:val="clear" w:color="auto" w:fill="auto"/>
            <w:noWrap/>
            <w:vAlign w:val="center"/>
          </w:tcPr>
          <w:p w14:paraId="611D37C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38F15756"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1DB03EC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59</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0D645B04"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w:t>
            </w:r>
          </w:p>
        </w:tc>
        <w:tc>
          <w:tcPr>
            <w:tcW w:w="617" w:type="dxa"/>
            <w:tcBorders>
              <w:top w:val="nil"/>
              <w:left w:val="nil"/>
              <w:bottom w:val="single" w:sz="4" w:space="0" w:color="BFBFBF"/>
              <w:right w:val="single" w:sz="4" w:space="0" w:color="BFBFBF"/>
            </w:tcBorders>
            <w:shd w:val="clear" w:color="auto" w:fill="auto"/>
            <w:noWrap/>
            <w:vAlign w:val="center"/>
          </w:tcPr>
          <w:p w14:paraId="5E046751"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69FC777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617" w:type="dxa"/>
            <w:tcBorders>
              <w:top w:val="nil"/>
              <w:left w:val="nil"/>
              <w:bottom w:val="single" w:sz="4" w:space="0" w:color="BFBFBF"/>
              <w:right w:val="single" w:sz="4" w:space="0" w:color="auto"/>
            </w:tcBorders>
            <w:shd w:val="clear" w:color="auto" w:fill="auto"/>
            <w:noWrap/>
            <w:vAlign w:val="center"/>
          </w:tcPr>
          <w:p w14:paraId="1580502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768E961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68%</w:t>
            </w:r>
          </w:p>
        </w:tc>
        <w:tc>
          <w:tcPr>
            <w:tcW w:w="695" w:type="dxa"/>
            <w:tcBorders>
              <w:top w:val="nil"/>
              <w:left w:val="nil"/>
              <w:bottom w:val="single" w:sz="4" w:space="0" w:color="BFBFBF"/>
              <w:right w:val="double" w:sz="6" w:space="0" w:color="auto"/>
            </w:tcBorders>
            <w:shd w:val="clear" w:color="auto" w:fill="auto"/>
            <w:noWrap/>
            <w:vAlign w:val="center"/>
          </w:tcPr>
          <w:p w14:paraId="571FFE1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r>
      <w:tr w:rsidR="00F80AC3" w:rsidRPr="009C7D53" w14:paraId="72EBE6DC"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63EC59D6"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Renting – Private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D3F4021"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w:t>
            </w:r>
          </w:p>
        </w:tc>
        <w:tc>
          <w:tcPr>
            <w:tcW w:w="734" w:type="dxa"/>
            <w:tcBorders>
              <w:top w:val="nil"/>
              <w:left w:val="nil"/>
              <w:bottom w:val="single" w:sz="4" w:space="0" w:color="BFBFBF"/>
              <w:right w:val="single" w:sz="4" w:space="0" w:color="BFBFBF"/>
            </w:tcBorders>
            <w:shd w:val="clear" w:color="auto" w:fill="auto"/>
            <w:noWrap/>
            <w:vAlign w:val="center"/>
          </w:tcPr>
          <w:p w14:paraId="7E8C320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26%</w:t>
            </w:r>
          </w:p>
        </w:tc>
        <w:tc>
          <w:tcPr>
            <w:tcW w:w="734" w:type="dxa"/>
            <w:tcBorders>
              <w:top w:val="nil"/>
              <w:left w:val="nil"/>
              <w:bottom w:val="single" w:sz="4" w:space="0" w:color="BFBFBF"/>
              <w:right w:val="single" w:sz="4" w:space="0" w:color="BFBFBF"/>
            </w:tcBorders>
            <w:shd w:val="clear" w:color="auto" w:fill="auto"/>
            <w:noWrap/>
            <w:vAlign w:val="center"/>
          </w:tcPr>
          <w:p w14:paraId="636893CE"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57%</w:t>
            </w:r>
          </w:p>
        </w:tc>
        <w:tc>
          <w:tcPr>
            <w:tcW w:w="734" w:type="dxa"/>
            <w:tcBorders>
              <w:top w:val="nil"/>
              <w:left w:val="nil"/>
              <w:bottom w:val="single" w:sz="4" w:space="0" w:color="BFBFBF"/>
              <w:right w:val="single" w:sz="4" w:space="0" w:color="auto"/>
            </w:tcBorders>
            <w:shd w:val="clear" w:color="auto" w:fill="auto"/>
            <w:noWrap/>
            <w:vAlign w:val="center"/>
          </w:tcPr>
          <w:p w14:paraId="3DFB2E83"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w:t>
            </w:r>
          </w:p>
        </w:tc>
        <w:tc>
          <w:tcPr>
            <w:tcW w:w="734" w:type="dxa"/>
            <w:tcBorders>
              <w:top w:val="nil"/>
              <w:left w:val="nil"/>
              <w:bottom w:val="single" w:sz="4" w:space="0" w:color="BFBFBF"/>
              <w:right w:val="single" w:sz="4" w:space="0" w:color="BFBFBF"/>
            </w:tcBorders>
            <w:shd w:val="clear" w:color="auto" w:fill="auto"/>
            <w:noWrap/>
            <w:vAlign w:val="center"/>
          </w:tcPr>
          <w:p w14:paraId="683427E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w:t>
            </w:r>
          </w:p>
        </w:tc>
        <w:tc>
          <w:tcPr>
            <w:tcW w:w="617" w:type="dxa"/>
            <w:tcBorders>
              <w:top w:val="nil"/>
              <w:left w:val="nil"/>
              <w:bottom w:val="single" w:sz="4" w:space="0" w:color="BFBFBF"/>
              <w:right w:val="single" w:sz="4" w:space="0" w:color="BFBFBF"/>
            </w:tcBorders>
            <w:shd w:val="clear" w:color="auto" w:fill="auto"/>
            <w:noWrap/>
            <w:vAlign w:val="center"/>
          </w:tcPr>
          <w:p w14:paraId="33EC0B0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74</w:t>
            </w:r>
          </w:p>
        </w:tc>
        <w:tc>
          <w:tcPr>
            <w:tcW w:w="734" w:type="dxa"/>
            <w:tcBorders>
              <w:top w:val="nil"/>
              <w:left w:val="nil"/>
              <w:bottom w:val="single" w:sz="4" w:space="0" w:color="BFBFBF"/>
              <w:right w:val="single" w:sz="4" w:space="0" w:color="BFBFBF"/>
            </w:tcBorders>
            <w:shd w:val="clear" w:color="auto" w:fill="auto"/>
            <w:noWrap/>
            <w:vAlign w:val="center"/>
          </w:tcPr>
          <w:p w14:paraId="01710A22"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572" w:type="dxa"/>
            <w:tcBorders>
              <w:top w:val="nil"/>
              <w:left w:val="nil"/>
              <w:bottom w:val="single" w:sz="4" w:space="0" w:color="BFBFBF"/>
              <w:right w:val="nil"/>
            </w:tcBorders>
            <w:shd w:val="clear" w:color="auto" w:fill="auto"/>
            <w:noWrap/>
            <w:vAlign w:val="center"/>
          </w:tcPr>
          <w:p w14:paraId="689E58FF"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14</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1DC913A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74</w:t>
            </w:r>
          </w:p>
        </w:tc>
        <w:tc>
          <w:tcPr>
            <w:tcW w:w="617" w:type="dxa"/>
            <w:tcBorders>
              <w:top w:val="nil"/>
              <w:left w:val="nil"/>
              <w:bottom w:val="single" w:sz="4" w:space="0" w:color="BFBFBF"/>
              <w:right w:val="single" w:sz="4" w:space="0" w:color="BFBFBF"/>
            </w:tcBorders>
            <w:shd w:val="clear" w:color="auto" w:fill="auto"/>
            <w:noWrap/>
            <w:vAlign w:val="center"/>
          </w:tcPr>
          <w:p w14:paraId="46035A30"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BFBFBF"/>
            </w:tcBorders>
            <w:shd w:val="clear" w:color="auto" w:fill="auto"/>
            <w:noWrap/>
            <w:vAlign w:val="center"/>
          </w:tcPr>
          <w:p w14:paraId="09A7B497"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66</w:t>
            </w:r>
          </w:p>
        </w:tc>
        <w:tc>
          <w:tcPr>
            <w:tcW w:w="617" w:type="dxa"/>
            <w:tcBorders>
              <w:top w:val="nil"/>
              <w:left w:val="nil"/>
              <w:bottom w:val="single" w:sz="4" w:space="0" w:color="BFBFBF"/>
              <w:right w:val="single" w:sz="4" w:space="0" w:color="auto"/>
            </w:tcBorders>
            <w:shd w:val="clear" w:color="auto" w:fill="auto"/>
            <w:noWrap/>
            <w:vAlign w:val="center"/>
          </w:tcPr>
          <w:p w14:paraId="01C7AD7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67</w:t>
            </w:r>
          </w:p>
        </w:tc>
        <w:tc>
          <w:tcPr>
            <w:tcW w:w="734" w:type="dxa"/>
            <w:tcBorders>
              <w:top w:val="nil"/>
              <w:left w:val="nil"/>
              <w:bottom w:val="single" w:sz="4" w:space="0" w:color="BFBFBF"/>
              <w:right w:val="single" w:sz="4" w:space="0" w:color="BFBFBF"/>
            </w:tcBorders>
            <w:shd w:val="clear" w:color="auto" w:fill="auto"/>
            <w:noWrap/>
            <w:vAlign w:val="center"/>
          </w:tcPr>
          <w:p w14:paraId="6456994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67%</w:t>
            </w:r>
          </w:p>
        </w:tc>
        <w:tc>
          <w:tcPr>
            <w:tcW w:w="695" w:type="dxa"/>
            <w:tcBorders>
              <w:top w:val="nil"/>
              <w:left w:val="nil"/>
              <w:bottom w:val="single" w:sz="4" w:space="0" w:color="BFBFBF"/>
              <w:right w:val="double" w:sz="6" w:space="0" w:color="auto"/>
            </w:tcBorders>
            <w:shd w:val="clear" w:color="auto" w:fill="auto"/>
            <w:noWrap/>
            <w:vAlign w:val="center"/>
          </w:tcPr>
          <w:p w14:paraId="69440E7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18</w:t>
            </w:r>
          </w:p>
        </w:tc>
      </w:tr>
      <w:tr w:rsidR="00F80AC3" w:rsidRPr="009C7D53" w14:paraId="7AE4F6AB" w14:textId="77777777" w:rsidTr="00F15A9B">
        <w:trPr>
          <w:trHeight w:val="225"/>
          <w:jc w:val="center"/>
        </w:trPr>
        <w:tc>
          <w:tcPr>
            <w:tcW w:w="2815" w:type="dxa"/>
            <w:tcBorders>
              <w:top w:val="nil"/>
              <w:left w:val="double" w:sz="6" w:space="0" w:color="auto"/>
              <w:bottom w:val="single" w:sz="4" w:space="0" w:color="BFBFBF"/>
              <w:right w:val="nil"/>
            </w:tcBorders>
            <w:shd w:val="clear" w:color="auto" w:fill="auto"/>
            <w:noWrap/>
            <w:vAlign w:val="center"/>
          </w:tcPr>
          <w:p w14:paraId="5F047AE2" w14:textId="77777777" w:rsidR="00F80AC3" w:rsidRPr="009C7D53" w:rsidRDefault="00F80AC3"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Renting – Public</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9EB1EC5"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5C085045"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w:t>
            </w:r>
          </w:p>
        </w:tc>
        <w:tc>
          <w:tcPr>
            <w:tcW w:w="734" w:type="dxa"/>
            <w:tcBorders>
              <w:top w:val="nil"/>
              <w:left w:val="nil"/>
              <w:bottom w:val="single" w:sz="4" w:space="0" w:color="BFBFBF"/>
              <w:right w:val="single" w:sz="4" w:space="0" w:color="BFBFBF"/>
            </w:tcBorders>
            <w:shd w:val="clear" w:color="auto" w:fill="auto"/>
            <w:noWrap/>
            <w:vAlign w:val="center"/>
          </w:tcPr>
          <w:p w14:paraId="45FC45B3"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78%</w:t>
            </w:r>
          </w:p>
        </w:tc>
        <w:tc>
          <w:tcPr>
            <w:tcW w:w="734" w:type="dxa"/>
            <w:tcBorders>
              <w:top w:val="nil"/>
              <w:left w:val="nil"/>
              <w:bottom w:val="single" w:sz="4" w:space="0" w:color="BFBFBF"/>
              <w:right w:val="single" w:sz="4" w:space="0" w:color="auto"/>
            </w:tcBorders>
            <w:shd w:val="clear" w:color="auto" w:fill="auto"/>
            <w:noWrap/>
            <w:vAlign w:val="center"/>
          </w:tcPr>
          <w:p w14:paraId="7A0ACDAC"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w:t>
            </w:r>
          </w:p>
        </w:tc>
        <w:tc>
          <w:tcPr>
            <w:tcW w:w="734" w:type="dxa"/>
            <w:tcBorders>
              <w:top w:val="nil"/>
              <w:left w:val="nil"/>
              <w:bottom w:val="single" w:sz="4" w:space="0" w:color="BFBFBF"/>
              <w:right w:val="single" w:sz="4" w:space="0" w:color="BFBFBF"/>
            </w:tcBorders>
            <w:shd w:val="clear" w:color="auto" w:fill="auto"/>
            <w:noWrap/>
            <w:vAlign w:val="center"/>
          </w:tcPr>
          <w:p w14:paraId="0B814409"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617" w:type="dxa"/>
            <w:tcBorders>
              <w:top w:val="nil"/>
              <w:left w:val="nil"/>
              <w:bottom w:val="single" w:sz="4" w:space="0" w:color="BFBFBF"/>
              <w:right w:val="single" w:sz="4" w:space="0" w:color="BFBFBF"/>
            </w:tcBorders>
            <w:shd w:val="clear" w:color="auto" w:fill="auto"/>
            <w:noWrap/>
            <w:vAlign w:val="center"/>
          </w:tcPr>
          <w:p w14:paraId="791BCD2E"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734" w:type="dxa"/>
            <w:tcBorders>
              <w:top w:val="nil"/>
              <w:left w:val="nil"/>
              <w:bottom w:val="single" w:sz="4" w:space="0" w:color="BFBFBF"/>
              <w:right w:val="single" w:sz="4" w:space="0" w:color="BFBFBF"/>
            </w:tcBorders>
            <w:shd w:val="clear" w:color="auto" w:fill="auto"/>
            <w:noWrap/>
            <w:vAlign w:val="center"/>
          </w:tcPr>
          <w:p w14:paraId="3A9B5B97"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nil"/>
            </w:tcBorders>
            <w:shd w:val="clear" w:color="auto" w:fill="auto"/>
            <w:noWrap/>
            <w:vAlign w:val="center"/>
          </w:tcPr>
          <w:p w14:paraId="75158FB0"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617" w:type="dxa"/>
            <w:tcBorders>
              <w:top w:val="nil"/>
              <w:left w:val="single" w:sz="4" w:space="0" w:color="auto"/>
              <w:bottom w:val="single" w:sz="4" w:space="0" w:color="BFBFBF"/>
              <w:right w:val="single" w:sz="4" w:space="0" w:color="BFBFBF"/>
            </w:tcBorders>
            <w:shd w:val="clear" w:color="auto" w:fill="auto"/>
            <w:noWrap/>
            <w:vAlign w:val="center"/>
          </w:tcPr>
          <w:p w14:paraId="573638FD"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617" w:type="dxa"/>
            <w:tcBorders>
              <w:top w:val="nil"/>
              <w:left w:val="nil"/>
              <w:bottom w:val="single" w:sz="4" w:space="0" w:color="BFBFBF"/>
              <w:right w:val="single" w:sz="4" w:space="0" w:color="BFBFBF"/>
            </w:tcBorders>
            <w:shd w:val="clear" w:color="auto" w:fill="auto"/>
            <w:noWrap/>
            <w:vAlign w:val="center"/>
          </w:tcPr>
          <w:p w14:paraId="56352B09"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78</w:t>
            </w:r>
          </w:p>
        </w:tc>
        <w:tc>
          <w:tcPr>
            <w:tcW w:w="734" w:type="dxa"/>
            <w:tcBorders>
              <w:top w:val="nil"/>
              <w:left w:val="nil"/>
              <w:bottom w:val="single" w:sz="4" w:space="0" w:color="BFBFBF"/>
              <w:right w:val="single" w:sz="4" w:space="0" w:color="BFBFBF"/>
            </w:tcBorders>
            <w:shd w:val="clear" w:color="auto" w:fill="auto"/>
            <w:noWrap/>
            <w:vAlign w:val="center"/>
          </w:tcPr>
          <w:p w14:paraId="50C0CC0A"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59</w:t>
            </w:r>
          </w:p>
        </w:tc>
        <w:tc>
          <w:tcPr>
            <w:tcW w:w="617" w:type="dxa"/>
            <w:tcBorders>
              <w:top w:val="nil"/>
              <w:left w:val="nil"/>
              <w:bottom w:val="single" w:sz="4" w:space="0" w:color="BFBFBF"/>
              <w:right w:val="single" w:sz="4" w:space="0" w:color="auto"/>
            </w:tcBorders>
            <w:shd w:val="clear" w:color="auto" w:fill="auto"/>
            <w:noWrap/>
            <w:vAlign w:val="center"/>
          </w:tcPr>
          <w:p w14:paraId="0F607853" w14:textId="77777777" w:rsidR="00F80AC3" w:rsidRPr="009C7D53" w:rsidRDefault="00F80AC3"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34</w:t>
            </w:r>
          </w:p>
        </w:tc>
        <w:tc>
          <w:tcPr>
            <w:tcW w:w="734" w:type="dxa"/>
            <w:tcBorders>
              <w:top w:val="nil"/>
              <w:left w:val="nil"/>
              <w:bottom w:val="single" w:sz="4" w:space="0" w:color="BFBFBF"/>
              <w:right w:val="single" w:sz="4" w:space="0" w:color="BFBFBF"/>
            </w:tcBorders>
            <w:shd w:val="clear" w:color="auto" w:fill="auto"/>
            <w:noWrap/>
            <w:vAlign w:val="center"/>
          </w:tcPr>
          <w:p w14:paraId="02F4AFB8"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68%</w:t>
            </w:r>
          </w:p>
        </w:tc>
        <w:tc>
          <w:tcPr>
            <w:tcW w:w="695" w:type="dxa"/>
            <w:tcBorders>
              <w:top w:val="nil"/>
              <w:left w:val="nil"/>
              <w:bottom w:val="single" w:sz="4" w:space="0" w:color="BFBFBF"/>
              <w:right w:val="double" w:sz="6" w:space="0" w:color="auto"/>
            </w:tcBorders>
            <w:shd w:val="clear" w:color="auto" w:fill="auto"/>
            <w:noWrap/>
            <w:vAlign w:val="center"/>
          </w:tcPr>
          <w:p w14:paraId="0005D5BA" w14:textId="77777777" w:rsidR="00F80AC3" w:rsidRPr="009C7D53" w:rsidRDefault="00F80AC3" w:rsidP="00F80AC3">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13</w:t>
            </w:r>
          </w:p>
        </w:tc>
      </w:tr>
      <w:tr w:rsidR="00F80AC3" w:rsidRPr="009C7D53" w14:paraId="55302134" w14:textId="77777777" w:rsidTr="00F15A9B">
        <w:trPr>
          <w:trHeight w:val="240"/>
          <w:jc w:val="center"/>
        </w:trPr>
        <w:tc>
          <w:tcPr>
            <w:tcW w:w="2815" w:type="dxa"/>
            <w:tcBorders>
              <w:top w:val="nil"/>
              <w:left w:val="double" w:sz="6" w:space="0" w:color="auto"/>
              <w:bottom w:val="double" w:sz="6" w:space="0" w:color="auto"/>
              <w:right w:val="nil"/>
            </w:tcBorders>
            <w:shd w:val="clear" w:color="auto" w:fill="auto"/>
            <w:noWrap/>
            <w:vAlign w:val="center"/>
          </w:tcPr>
          <w:p w14:paraId="3CD7F481" w14:textId="77777777" w:rsidR="00F80AC3" w:rsidRPr="009C7D53" w:rsidRDefault="00F80AC3"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Total Households</w:t>
            </w:r>
          </w:p>
        </w:tc>
        <w:tc>
          <w:tcPr>
            <w:tcW w:w="734" w:type="dxa"/>
            <w:tcBorders>
              <w:top w:val="nil"/>
              <w:left w:val="single" w:sz="4" w:space="0" w:color="auto"/>
              <w:bottom w:val="double" w:sz="6" w:space="0" w:color="auto"/>
              <w:right w:val="single" w:sz="4" w:space="0" w:color="BFBFBF"/>
            </w:tcBorders>
            <w:shd w:val="clear" w:color="auto" w:fill="auto"/>
            <w:noWrap/>
            <w:vAlign w:val="center"/>
          </w:tcPr>
          <w:p w14:paraId="43CBC19E" w14:textId="77777777" w:rsidR="00F80AC3" w:rsidRPr="009C7D53" w:rsidRDefault="00F80AC3" w:rsidP="00F80AC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42%</w:t>
            </w:r>
          </w:p>
        </w:tc>
        <w:tc>
          <w:tcPr>
            <w:tcW w:w="734" w:type="dxa"/>
            <w:tcBorders>
              <w:top w:val="nil"/>
              <w:left w:val="nil"/>
              <w:bottom w:val="double" w:sz="6" w:space="0" w:color="auto"/>
              <w:right w:val="single" w:sz="4" w:space="0" w:color="BFBFBF"/>
            </w:tcBorders>
            <w:shd w:val="clear" w:color="auto" w:fill="auto"/>
            <w:noWrap/>
            <w:vAlign w:val="center"/>
          </w:tcPr>
          <w:p w14:paraId="7ACFB28C" w14:textId="77777777" w:rsidR="00F80AC3" w:rsidRPr="009C7D53" w:rsidRDefault="00F80AC3"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27%</w:t>
            </w:r>
          </w:p>
        </w:tc>
        <w:tc>
          <w:tcPr>
            <w:tcW w:w="734" w:type="dxa"/>
            <w:tcBorders>
              <w:top w:val="nil"/>
              <w:left w:val="nil"/>
              <w:bottom w:val="double" w:sz="6" w:space="0" w:color="auto"/>
              <w:right w:val="single" w:sz="4" w:space="0" w:color="BFBFBF"/>
            </w:tcBorders>
            <w:shd w:val="clear" w:color="auto" w:fill="auto"/>
            <w:noWrap/>
            <w:vAlign w:val="center"/>
          </w:tcPr>
          <w:p w14:paraId="0D019122" w14:textId="77777777" w:rsidR="00F80AC3" w:rsidRPr="009C7D53" w:rsidRDefault="00F80AC3"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54%</w:t>
            </w:r>
          </w:p>
        </w:tc>
        <w:tc>
          <w:tcPr>
            <w:tcW w:w="734" w:type="dxa"/>
            <w:tcBorders>
              <w:top w:val="nil"/>
              <w:left w:val="nil"/>
              <w:bottom w:val="double" w:sz="6" w:space="0" w:color="auto"/>
              <w:right w:val="single" w:sz="4" w:space="0" w:color="auto"/>
            </w:tcBorders>
            <w:shd w:val="clear" w:color="auto" w:fill="auto"/>
            <w:noWrap/>
            <w:vAlign w:val="center"/>
          </w:tcPr>
          <w:p w14:paraId="10298AF7" w14:textId="77777777" w:rsidR="00F80AC3" w:rsidRPr="009C7D53" w:rsidRDefault="00F80AC3"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36%</w:t>
            </w:r>
          </w:p>
        </w:tc>
        <w:tc>
          <w:tcPr>
            <w:tcW w:w="734" w:type="dxa"/>
            <w:tcBorders>
              <w:top w:val="nil"/>
              <w:left w:val="nil"/>
              <w:bottom w:val="double" w:sz="6" w:space="0" w:color="auto"/>
              <w:right w:val="single" w:sz="4" w:space="0" w:color="BFBFBF"/>
            </w:tcBorders>
            <w:shd w:val="clear" w:color="auto" w:fill="auto"/>
            <w:noWrap/>
            <w:vAlign w:val="center"/>
          </w:tcPr>
          <w:p w14:paraId="24C4CF65" w14:textId="77777777" w:rsidR="00F80AC3" w:rsidRPr="009C7D53" w:rsidRDefault="00F80AC3" w:rsidP="00F80AC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42%</w:t>
            </w:r>
          </w:p>
        </w:tc>
        <w:tc>
          <w:tcPr>
            <w:tcW w:w="617" w:type="dxa"/>
            <w:tcBorders>
              <w:top w:val="nil"/>
              <w:left w:val="nil"/>
              <w:bottom w:val="double" w:sz="6" w:space="0" w:color="auto"/>
              <w:right w:val="single" w:sz="4" w:space="0" w:color="BFBFBF"/>
            </w:tcBorders>
            <w:shd w:val="clear" w:color="auto" w:fill="auto"/>
            <w:noWrap/>
            <w:vAlign w:val="center"/>
          </w:tcPr>
          <w:p w14:paraId="2D5508DE" w14:textId="77777777" w:rsidR="00F80AC3" w:rsidRPr="009C7D53" w:rsidRDefault="00F80AC3" w:rsidP="00F80AC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85</w:t>
            </w:r>
          </w:p>
        </w:tc>
        <w:tc>
          <w:tcPr>
            <w:tcW w:w="734" w:type="dxa"/>
            <w:tcBorders>
              <w:top w:val="nil"/>
              <w:left w:val="nil"/>
              <w:bottom w:val="double" w:sz="6" w:space="0" w:color="auto"/>
              <w:right w:val="single" w:sz="4" w:space="0" w:color="BFBFBF"/>
            </w:tcBorders>
            <w:shd w:val="clear" w:color="auto" w:fill="auto"/>
            <w:noWrap/>
            <w:vAlign w:val="center"/>
          </w:tcPr>
          <w:p w14:paraId="324208D0" w14:textId="77777777" w:rsidR="00F80AC3" w:rsidRPr="009C7D53" w:rsidRDefault="00F80AC3" w:rsidP="00F80AC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1%</w:t>
            </w:r>
          </w:p>
        </w:tc>
        <w:tc>
          <w:tcPr>
            <w:tcW w:w="572" w:type="dxa"/>
            <w:tcBorders>
              <w:top w:val="nil"/>
              <w:left w:val="nil"/>
              <w:bottom w:val="double" w:sz="6" w:space="0" w:color="auto"/>
              <w:right w:val="nil"/>
            </w:tcBorders>
            <w:shd w:val="clear" w:color="auto" w:fill="auto"/>
            <w:noWrap/>
            <w:vAlign w:val="center"/>
          </w:tcPr>
          <w:p w14:paraId="2A58D713" w14:textId="77777777" w:rsidR="00F80AC3" w:rsidRPr="009C7D53" w:rsidRDefault="00F80AC3" w:rsidP="00F80AC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28</w:t>
            </w:r>
          </w:p>
        </w:tc>
        <w:tc>
          <w:tcPr>
            <w:tcW w:w="617" w:type="dxa"/>
            <w:tcBorders>
              <w:top w:val="nil"/>
              <w:left w:val="single" w:sz="4" w:space="0" w:color="auto"/>
              <w:bottom w:val="double" w:sz="6" w:space="0" w:color="auto"/>
              <w:right w:val="single" w:sz="4" w:space="0" w:color="BFBFBF"/>
            </w:tcBorders>
            <w:shd w:val="clear" w:color="auto" w:fill="auto"/>
            <w:noWrap/>
            <w:vAlign w:val="center"/>
          </w:tcPr>
          <w:p w14:paraId="2D3FC0A1" w14:textId="77777777" w:rsidR="00F80AC3" w:rsidRPr="009C7D53" w:rsidRDefault="00F80AC3" w:rsidP="00F80AC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85</w:t>
            </w:r>
          </w:p>
        </w:tc>
        <w:tc>
          <w:tcPr>
            <w:tcW w:w="617" w:type="dxa"/>
            <w:tcBorders>
              <w:top w:val="nil"/>
              <w:left w:val="nil"/>
              <w:bottom w:val="double" w:sz="6" w:space="0" w:color="auto"/>
              <w:right w:val="single" w:sz="4" w:space="0" w:color="BFBFBF"/>
            </w:tcBorders>
            <w:shd w:val="clear" w:color="auto" w:fill="auto"/>
            <w:noWrap/>
            <w:vAlign w:val="center"/>
          </w:tcPr>
          <w:p w14:paraId="01CDBA55" w14:textId="77777777" w:rsidR="00F80AC3" w:rsidRPr="009C7D53" w:rsidRDefault="00F80AC3"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86</w:t>
            </w:r>
          </w:p>
        </w:tc>
        <w:tc>
          <w:tcPr>
            <w:tcW w:w="734" w:type="dxa"/>
            <w:tcBorders>
              <w:top w:val="nil"/>
              <w:left w:val="nil"/>
              <w:bottom w:val="double" w:sz="6" w:space="0" w:color="auto"/>
              <w:right w:val="single" w:sz="4" w:space="0" w:color="BFBFBF"/>
            </w:tcBorders>
            <w:shd w:val="clear" w:color="auto" w:fill="auto"/>
            <w:noWrap/>
            <w:vAlign w:val="center"/>
          </w:tcPr>
          <w:p w14:paraId="4C71FA30" w14:textId="77777777" w:rsidR="00F80AC3" w:rsidRPr="009C7D53" w:rsidRDefault="00F80AC3"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71</w:t>
            </w:r>
          </w:p>
        </w:tc>
        <w:tc>
          <w:tcPr>
            <w:tcW w:w="617" w:type="dxa"/>
            <w:tcBorders>
              <w:top w:val="nil"/>
              <w:left w:val="nil"/>
              <w:bottom w:val="double" w:sz="6" w:space="0" w:color="auto"/>
              <w:right w:val="single" w:sz="4" w:space="0" w:color="auto"/>
            </w:tcBorders>
            <w:shd w:val="clear" w:color="auto" w:fill="auto"/>
            <w:noWrap/>
            <w:vAlign w:val="center"/>
          </w:tcPr>
          <w:p w14:paraId="4B97DCD4" w14:textId="77777777" w:rsidR="00F80AC3" w:rsidRPr="009C7D53" w:rsidRDefault="00F80AC3"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83</w:t>
            </w:r>
          </w:p>
        </w:tc>
        <w:tc>
          <w:tcPr>
            <w:tcW w:w="734" w:type="dxa"/>
            <w:tcBorders>
              <w:top w:val="nil"/>
              <w:left w:val="nil"/>
              <w:bottom w:val="double" w:sz="6" w:space="0" w:color="auto"/>
              <w:right w:val="single" w:sz="4" w:space="0" w:color="BFBFBF"/>
            </w:tcBorders>
            <w:shd w:val="clear" w:color="auto" w:fill="auto"/>
            <w:noWrap/>
            <w:vAlign w:val="center"/>
          </w:tcPr>
          <w:p w14:paraId="1BFF963F" w14:textId="77777777" w:rsidR="00F80AC3" w:rsidRPr="009C7D53" w:rsidRDefault="00F80AC3" w:rsidP="00F80AC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72%</w:t>
            </w:r>
          </w:p>
        </w:tc>
        <w:tc>
          <w:tcPr>
            <w:tcW w:w="695" w:type="dxa"/>
            <w:tcBorders>
              <w:top w:val="nil"/>
              <w:left w:val="nil"/>
              <w:bottom w:val="double" w:sz="6" w:space="0" w:color="auto"/>
              <w:right w:val="double" w:sz="6" w:space="0" w:color="auto"/>
            </w:tcBorders>
            <w:shd w:val="clear" w:color="auto" w:fill="auto"/>
            <w:noWrap/>
            <w:vAlign w:val="center"/>
          </w:tcPr>
          <w:p w14:paraId="3733B193" w14:textId="77777777" w:rsidR="00F80AC3" w:rsidRPr="009C7D53" w:rsidRDefault="00F80AC3" w:rsidP="00F80AC3">
            <w:pPr>
              <w:spacing w:before="0" w:after="0"/>
              <w:jc w:val="center"/>
              <w:rPr>
                <w:rFonts w:ascii="Arial" w:hAnsi="Arial" w:cs="Arial"/>
                <w:b/>
                <w:color w:val="000000"/>
                <w:sz w:val="16"/>
                <w:szCs w:val="16"/>
                <w:lang w:val="en-AU" w:eastAsia="en-AU"/>
              </w:rPr>
            </w:pPr>
            <w:r w:rsidRPr="009C7D53">
              <w:rPr>
                <w:rFonts w:ascii="Arial" w:hAnsi="Arial" w:cs="Arial"/>
                <w:b/>
                <w:color w:val="000000"/>
                <w:sz w:val="16"/>
                <w:szCs w:val="16"/>
                <w:lang w:val="en-AU" w:eastAsia="en-AU"/>
              </w:rPr>
              <w:t>21</w:t>
            </w:r>
          </w:p>
        </w:tc>
      </w:tr>
    </w:tbl>
    <w:p w14:paraId="3276A8B3" w14:textId="77777777" w:rsidR="00F77388" w:rsidRPr="009C7D53" w:rsidRDefault="00F77388" w:rsidP="00F77388">
      <w:pPr>
        <w:spacing w:after="0"/>
        <w:ind w:left="357"/>
        <w:jc w:val="both"/>
        <w:rPr>
          <w:sz w:val="20"/>
          <w:lang w:val="en-AU"/>
        </w:rPr>
      </w:pPr>
    </w:p>
    <w:p w14:paraId="0D32A895" w14:textId="77777777" w:rsidR="0067791B" w:rsidRPr="009C7D53" w:rsidRDefault="0067791B" w:rsidP="0067791B">
      <w:pPr>
        <w:spacing w:after="0"/>
        <w:ind w:left="1440"/>
        <w:rPr>
          <w:sz w:val="18"/>
          <w:szCs w:val="18"/>
          <w:lang w:val="en-AU"/>
        </w:rPr>
      </w:pPr>
      <w:r w:rsidRPr="009C7D53">
        <w:rPr>
          <w:sz w:val="18"/>
          <w:szCs w:val="18"/>
          <w:lang w:val="en-AU"/>
        </w:rPr>
        <w:t>1.  Whilst the person who pays the bills for the household may not hold a concession card, another person in the household may do so.</w:t>
      </w:r>
    </w:p>
    <w:p w14:paraId="6B7A0F87" w14:textId="2AE6ADC4" w:rsidR="00E02C75" w:rsidRPr="009C7D53" w:rsidRDefault="00F77388" w:rsidP="00845569">
      <w:pPr>
        <w:spacing w:after="0"/>
        <w:jc w:val="center"/>
        <w:rPr>
          <w:sz w:val="16"/>
          <w:lang w:val="en-AU"/>
        </w:rPr>
      </w:pPr>
      <w:r w:rsidRPr="009C7D53">
        <w:rPr>
          <w:b/>
          <w:lang w:val="en-AU"/>
        </w:rPr>
        <w:br w:type="page"/>
      </w:r>
      <w:r w:rsidR="00160961" w:rsidRPr="009C7D53">
        <w:rPr>
          <w:b/>
          <w:lang w:val="en-AU"/>
        </w:rPr>
        <w:lastRenderedPageBreak/>
        <w:t>Table 4.3.2.</w:t>
      </w:r>
      <w:r w:rsidR="00DF177F">
        <w:rPr>
          <w:b/>
          <w:lang w:val="en-AU"/>
        </w:rPr>
        <w:t>5</w:t>
      </w:r>
      <w:r w:rsidR="00160961" w:rsidRPr="009C7D53">
        <w:rPr>
          <w:b/>
          <w:lang w:val="en-AU"/>
        </w:rPr>
        <w:t xml:space="preserve">: </w:t>
      </w:r>
      <w:r w:rsidR="00160961" w:rsidRPr="009C7D53">
        <w:rPr>
          <w:b/>
          <w:u w:val="single"/>
          <w:lang w:val="en-AU"/>
        </w:rPr>
        <w:t>Gas Bill Concessions, Discounts and Total Bill Amounts – Part 2</w:t>
      </w:r>
    </w:p>
    <w:p w14:paraId="44B29F1C" w14:textId="77777777" w:rsidR="00160961" w:rsidRPr="009C7D53" w:rsidRDefault="00160961" w:rsidP="00845569">
      <w:pPr>
        <w:pStyle w:val="tbl"/>
        <w:spacing w:line="120" w:lineRule="exact"/>
      </w:pPr>
    </w:p>
    <w:tbl>
      <w:tblPr>
        <w:tblW w:w="10654" w:type="dxa"/>
        <w:jc w:val="center"/>
        <w:tblLook w:val="04A0" w:firstRow="1" w:lastRow="0" w:firstColumn="1" w:lastColumn="0" w:noHBand="0" w:noVBand="1"/>
      </w:tblPr>
      <w:tblGrid>
        <w:gridCol w:w="2320"/>
        <w:gridCol w:w="734"/>
        <w:gridCol w:w="572"/>
        <w:gridCol w:w="734"/>
        <w:gridCol w:w="539"/>
        <w:gridCol w:w="734"/>
        <w:gridCol w:w="734"/>
        <w:gridCol w:w="734"/>
        <w:gridCol w:w="617"/>
        <w:gridCol w:w="734"/>
        <w:gridCol w:w="734"/>
        <w:gridCol w:w="734"/>
        <w:gridCol w:w="734"/>
      </w:tblGrid>
      <w:tr w:rsidR="00F77388" w:rsidRPr="009C7D53" w14:paraId="027F959A" w14:textId="77777777" w:rsidTr="001B4678">
        <w:trPr>
          <w:trHeight w:val="480"/>
          <w:tblHeader/>
          <w:jc w:val="center"/>
        </w:trPr>
        <w:tc>
          <w:tcPr>
            <w:tcW w:w="2320" w:type="dxa"/>
            <w:tcBorders>
              <w:top w:val="double" w:sz="6" w:space="0" w:color="auto"/>
              <w:left w:val="double" w:sz="6" w:space="0" w:color="auto"/>
              <w:bottom w:val="single" w:sz="4" w:space="0" w:color="BFBFBF"/>
              <w:right w:val="nil"/>
            </w:tcBorders>
            <w:shd w:val="clear" w:color="auto" w:fill="auto"/>
            <w:noWrap/>
            <w:vAlign w:val="center"/>
          </w:tcPr>
          <w:p w14:paraId="138ED2C3"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2579"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6938314B"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URGS</w:t>
            </w:r>
          </w:p>
        </w:tc>
        <w:tc>
          <w:tcPr>
            <w:tcW w:w="2819" w:type="dxa"/>
            <w:gridSpan w:val="4"/>
            <w:tcBorders>
              <w:top w:val="double" w:sz="6" w:space="0" w:color="auto"/>
              <w:left w:val="nil"/>
              <w:bottom w:val="single" w:sz="4" w:space="0" w:color="BFBFBF"/>
              <w:right w:val="single" w:sz="4" w:space="0" w:color="000000"/>
            </w:tcBorders>
            <w:shd w:val="clear" w:color="auto" w:fill="auto"/>
            <w:noWrap/>
            <w:vAlign w:val="center"/>
          </w:tcPr>
          <w:p w14:paraId="2BC7FBC4"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Other Discounts</w:t>
            </w:r>
          </w:p>
        </w:tc>
        <w:tc>
          <w:tcPr>
            <w:tcW w:w="2936" w:type="dxa"/>
            <w:gridSpan w:val="4"/>
            <w:vMerge w:val="restart"/>
            <w:tcBorders>
              <w:top w:val="double" w:sz="6" w:space="0" w:color="auto"/>
              <w:left w:val="nil"/>
              <w:bottom w:val="single" w:sz="4" w:space="0" w:color="BFBFBF"/>
              <w:right w:val="double" w:sz="6" w:space="0" w:color="000000"/>
            </w:tcBorders>
            <w:shd w:val="clear" w:color="auto" w:fill="auto"/>
            <w:vAlign w:val="center"/>
          </w:tcPr>
          <w:p w14:paraId="321248CC"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Total Gas Bill Amount (incl. GST) ($)</w:t>
            </w:r>
          </w:p>
        </w:tc>
      </w:tr>
      <w:tr w:rsidR="00F77388" w:rsidRPr="009C7D53" w14:paraId="37CA6FEE" w14:textId="77777777" w:rsidTr="001B4678">
        <w:trPr>
          <w:trHeight w:val="225"/>
          <w:tblHeader/>
          <w:jc w:val="center"/>
        </w:trPr>
        <w:tc>
          <w:tcPr>
            <w:tcW w:w="2320" w:type="dxa"/>
            <w:tcBorders>
              <w:top w:val="nil"/>
              <w:left w:val="double" w:sz="6" w:space="0" w:color="auto"/>
              <w:bottom w:val="single" w:sz="4" w:space="0" w:color="BFBFBF"/>
              <w:right w:val="nil"/>
            </w:tcBorders>
            <w:shd w:val="clear" w:color="auto" w:fill="auto"/>
            <w:noWrap/>
            <w:vAlign w:val="center"/>
          </w:tcPr>
          <w:p w14:paraId="739AE01A"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1306" w:type="dxa"/>
            <w:gridSpan w:val="2"/>
            <w:tcBorders>
              <w:top w:val="single" w:sz="4" w:space="0" w:color="BFBFBF"/>
              <w:left w:val="single" w:sz="4" w:space="0" w:color="auto"/>
              <w:bottom w:val="single" w:sz="4" w:space="0" w:color="BFBFBF"/>
              <w:right w:val="single" w:sz="4" w:space="0" w:color="BFBFBF"/>
            </w:tcBorders>
            <w:shd w:val="clear" w:color="auto" w:fill="auto"/>
            <w:noWrap/>
            <w:vAlign w:val="bottom"/>
          </w:tcPr>
          <w:p w14:paraId="17943744"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2014</w:t>
            </w:r>
          </w:p>
        </w:tc>
        <w:tc>
          <w:tcPr>
            <w:tcW w:w="1273" w:type="dxa"/>
            <w:gridSpan w:val="2"/>
            <w:tcBorders>
              <w:top w:val="single" w:sz="4" w:space="0" w:color="BFBFBF"/>
              <w:left w:val="nil"/>
              <w:bottom w:val="single" w:sz="4" w:space="0" w:color="BFBFBF"/>
              <w:right w:val="single" w:sz="4" w:space="0" w:color="000000"/>
            </w:tcBorders>
            <w:shd w:val="clear" w:color="auto" w:fill="auto"/>
            <w:noWrap/>
            <w:vAlign w:val="center"/>
          </w:tcPr>
          <w:p w14:paraId="2C18F2D0"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2007</w:t>
            </w:r>
          </w:p>
        </w:tc>
        <w:tc>
          <w:tcPr>
            <w:tcW w:w="1468" w:type="dxa"/>
            <w:gridSpan w:val="2"/>
            <w:tcBorders>
              <w:top w:val="single" w:sz="4" w:space="0" w:color="BFBFBF"/>
              <w:left w:val="nil"/>
              <w:bottom w:val="single" w:sz="4" w:space="0" w:color="BFBFBF"/>
              <w:right w:val="single" w:sz="4" w:space="0" w:color="BFBFBF"/>
            </w:tcBorders>
            <w:shd w:val="clear" w:color="auto" w:fill="auto"/>
            <w:noWrap/>
            <w:vAlign w:val="bottom"/>
          </w:tcPr>
          <w:p w14:paraId="5427D780"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2014</w:t>
            </w:r>
          </w:p>
        </w:tc>
        <w:tc>
          <w:tcPr>
            <w:tcW w:w="1351" w:type="dxa"/>
            <w:gridSpan w:val="2"/>
            <w:tcBorders>
              <w:top w:val="single" w:sz="4" w:space="0" w:color="BFBFBF"/>
              <w:left w:val="nil"/>
              <w:bottom w:val="single" w:sz="4" w:space="0" w:color="BFBFBF"/>
              <w:right w:val="single" w:sz="4" w:space="0" w:color="000000"/>
            </w:tcBorders>
            <w:shd w:val="clear" w:color="auto" w:fill="auto"/>
            <w:noWrap/>
            <w:vAlign w:val="center"/>
          </w:tcPr>
          <w:p w14:paraId="17831D59"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2007</w:t>
            </w:r>
          </w:p>
        </w:tc>
        <w:tc>
          <w:tcPr>
            <w:tcW w:w="2936" w:type="dxa"/>
            <w:gridSpan w:val="4"/>
            <w:vMerge/>
            <w:tcBorders>
              <w:top w:val="double" w:sz="6" w:space="0" w:color="auto"/>
              <w:left w:val="nil"/>
              <w:bottom w:val="single" w:sz="4" w:space="0" w:color="BFBFBF"/>
              <w:right w:val="double" w:sz="6" w:space="0" w:color="000000"/>
            </w:tcBorders>
            <w:vAlign w:val="center"/>
          </w:tcPr>
          <w:p w14:paraId="1C099CA0" w14:textId="77777777" w:rsidR="00F77388" w:rsidRPr="009C7D53" w:rsidRDefault="00F77388" w:rsidP="00F77388">
            <w:pPr>
              <w:spacing w:before="0" w:after="0"/>
              <w:rPr>
                <w:rFonts w:ascii="Arial" w:hAnsi="Arial" w:cs="Arial"/>
                <w:b/>
                <w:bCs/>
                <w:color w:val="000000"/>
                <w:sz w:val="16"/>
                <w:szCs w:val="16"/>
                <w:lang w:val="en-AU" w:eastAsia="en-AU"/>
              </w:rPr>
            </w:pPr>
          </w:p>
        </w:tc>
      </w:tr>
      <w:tr w:rsidR="00F77388" w:rsidRPr="009C7D53" w14:paraId="5EFCA351" w14:textId="77777777" w:rsidTr="001B4678">
        <w:trPr>
          <w:trHeight w:val="225"/>
          <w:tblHeader/>
          <w:jc w:val="center"/>
        </w:trPr>
        <w:tc>
          <w:tcPr>
            <w:tcW w:w="2320" w:type="dxa"/>
            <w:tcBorders>
              <w:top w:val="nil"/>
              <w:left w:val="double" w:sz="6" w:space="0" w:color="auto"/>
              <w:bottom w:val="single" w:sz="4" w:space="0" w:color="BFBFBF"/>
              <w:right w:val="nil"/>
            </w:tcBorders>
            <w:shd w:val="clear" w:color="auto" w:fill="auto"/>
            <w:noWrap/>
            <w:vAlign w:val="center"/>
          </w:tcPr>
          <w:p w14:paraId="6C34D413"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1B8DC35"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6BE4A81B"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E11FF42"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539" w:type="dxa"/>
            <w:tcBorders>
              <w:top w:val="nil"/>
              <w:left w:val="nil"/>
              <w:bottom w:val="single" w:sz="4" w:space="0" w:color="BFBFBF"/>
              <w:right w:val="single" w:sz="4" w:space="0" w:color="auto"/>
            </w:tcBorders>
            <w:shd w:val="clear" w:color="auto" w:fill="auto"/>
            <w:noWrap/>
            <w:vAlign w:val="center"/>
          </w:tcPr>
          <w:p w14:paraId="537A4CBC"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15DEA643"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199D0347"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7937157"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617" w:type="dxa"/>
            <w:tcBorders>
              <w:top w:val="nil"/>
              <w:left w:val="nil"/>
              <w:bottom w:val="single" w:sz="4" w:space="0" w:color="BFBFBF"/>
              <w:right w:val="single" w:sz="4" w:space="0" w:color="auto"/>
            </w:tcBorders>
            <w:shd w:val="clear" w:color="auto" w:fill="auto"/>
            <w:noWrap/>
            <w:vAlign w:val="center"/>
          </w:tcPr>
          <w:p w14:paraId="2E6FF970"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18C10792"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2014</w:t>
            </w:r>
          </w:p>
        </w:tc>
        <w:tc>
          <w:tcPr>
            <w:tcW w:w="734" w:type="dxa"/>
            <w:tcBorders>
              <w:top w:val="nil"/>
              <w:left w:val="nil"/>
              <w:bottom w:val="single" w:sz="4" w:space="0" w:color="BFBFBF"/>
              <w:right w:val="single" w:sz="4" w:space="0" w:color="BFBFBF"/>
            </w:tcBorders>
            <w:shd w:val="clear" w:color="auto" w:fill="auto"/>
            <w:noWrap/>
            <w:vAlign w:val="center"/>
          </w:tcPr>
          <w:p w14:paraId="404C2343"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2007</w:t>
            </w:r>
          </w:p>
        </w:tc>
        <w:tc>
          <w:tcPr>
            <w:tcW w:w="734" w:type="dxa"/>
            <w:tcBorders>
              <w:top w:val="nil"/>
              <w:left w:val="nil"/>
              <w:bottom w:val="single" w:sz="4" w:space="0" w:color="BFBFBF"/>
              <w:right w:val="single" w:sz="4" w:space="0" w:color="BFBFBF"/>
            </w:tcBorders>
            <w:shd w:val="clear" w:color="auto" w:fill="auto"/>
            <w:noWrap/>
            <w:vAlign w:val="center"/>
          </w:tcPr>
          <w:p w14:paraId="43F19629"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2001</w:t>
            </w:r>
          </w:p>
        </w:tc>
        <w:tc>
          <w:tcPr>
            <w:tcW w:w="734" w:type="dxa"/>
            <w:tcBorders>
              <w:top w:val="nil"/>
              <w:left w:val="nil"/>
              <w:bottom w:val="single" w:sz="4" w:space="0" w:color="BFBFBF"/>
              <w:right w:val="double" w:sz="6" w:space="0" w:color="auto"/>
            </w:tcBorders>
            <w:shd w:val="clear" w:color="auto" w:fill="auto"/>
            <w:noWrap/>
            <w:vAlign w:val="center"/>
          </w:tcPr>
          <w:p w14:paraId="261A6E0D" w14:textId="77777777" w:rsidR="00F77388" w:rsidRPr="009C7D53" w:rsidRDefault="00F77388" w:rsidP="00F77388">
            <w:pPr>
              <w:spacing w:before="0" w:after="0"/>
              <w:jc w:val="center"/>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1996</w:t>
            </w:r>
          </w:p>
        </w:tc>
      </w:tr>
      <w:tr w:rsidR="00F77388" w:rsidRPr="009C7D53" w14:paraId="304B968B" w14:textId="77777777" w:rsidTr="001B4678">
        <w:trPr>
          <w:trHeight w:val="225"/>
          <w:tblHeader/>
          <w:jc w:val="center"/>
        </w:trPr>
        <w:tc>
          <w:tcPr>
            <w:tcW w:w="2320" w:type="dxa"/>
            <w:tcBorders>
              <w:top w:val="nil"/>
              <w:left w:val="double" w:sz="6" w:space="0" w:color="auto"/>
              <w:bottom w:val="single" w:sz="4" w:space="0" w:color="BFBFBF"/>
              <w:right w:val="nil"/>
            </w:tcBorders>
            <w:shd w:val="clear" w:color="auto" w:fill="auto"/>
            <w:noWrap/>
            <w:vAlign w:val="center"/>
          </w:tcPr>
          <w:p w14:paraId="1D1235EA" w14:textId="77777777" w:rsidR="00F77388" w:rsidRPr="009C7D53" w:rsidRDefault="00F77388"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Sub-groups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EAB2387" w14:textId="77777777" w:rsidR="00F77388" w:rsidRPr="009C7D53" w:rsidRDefault="00F77388" w:rsidP="0079644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n=1,5</w:t>
            </w:r>
            <w:r w:rsidR="00796442" w:rsidRPr="009C7D53">
              <w:rPr>
                <w:rFonts w:ascii="Arial" w:hAnsi="Arial" w:cs="Arial"/>
                <w:b/>
                <w:bCs/>
                <w:color w:val="000000"/>
                <w:sz w:val="14"/>
                <w:szCs w:val="14"/>
                <w:lang w:val="en-AU" w:eastAsia="en-AU"/>
              </w:rPr>
              <w:t>35</w:t>
            </w:r>
          </w:p>
        </w:tc>
        <w:tc>
          <w:tcPr>
            <w:tcW w:w="572" w:type="dxa"/>
            <w:tcBorders>
              <w:top w:val="nil"/>
              <w:left w:val="nil"/>
              <w:bottom w:val="single" w:sz="4" w:space="0" w:color="BFBFBF"/>
              <w:right w:val="single" w:sz="4" w:space="0" w:color="BFBFBF"/>
            </w:tcBorders>
            <w:shd w:val="clear" w:color="auto" w:fill="auto"/>
            <w:noWrap/>
            <w:vAlign w:val="center"/>
          </w:tcPr>
          <w:p w14:paraId="667EE3DB" w14:textId="77777777" w:rsidR="00F77388" w:rsidRPr="009C7D53" w:rsidRDefault="00F77388" w:rsidP="001B467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w:t>
            </w:r>
            <w:r w:rsidR="001B4678" w:rsidRPr="009C7D53">
              <w:rPr>
                <w:rFonts w:ascii="Arial" w:hAnsi="Arial" w:cs="Arial"/>
                <w:b/>
                <w:bCs/>
                <w:color w:val="000000"/>
                <w:sz w:val="14"/>
                <w:szCs w:val="14"/>
                <w:lang w:val="en-AU" w:eastAsia="en-AU"/>
              </w:rPr>
              <w:t>1</w:t>
            </w:r>
          </w:p>
        </w:tc>
        <w:tc>
          <w:tcPr>
            <w:tcW w:w="734" w:type="dxa"/>
            <w:tcBorders>
              <w:top w:val="nil"/>
              <w:left w:val="nil"/>
              <w:bottom w:val="single" w:sz="4" w:space="0" w:color="BFBFBF"/>
              <w:right w:val="single" w:sz="4" w:space="0" w:color="BFBFBF"/>
            </w:tcBorders>
            <w:shd w:val="clear" w:color="auto" w:fill="auto"/>
            <w:noWrap/>
            <w:vAlign w:val="center"/>
          </w:tcPr>
          <w:p w14:paraId="2CF84564"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n=1,735</w:t>
            </w:r>
          </w:p>
        </w:tc>
        <w:tc>
          <w:tcPr>
            <w:tcW w:w="539" w:type="dxa"/>
            <w:tcBorders>
              <w:top w:val="nil"/>
              <w:left w:val="nil"/>
              <w:bottom w:val="single" w:sz="4" w:space="0" w:color="BFBFBF"/>
              <w:right w:val="single" w:sz="4" w:space="0" w:color="auto"/>
            </w:tcBorders>
            <w:shd w:val="clear" w:color="auto" w:fill="auto"/>
            <w:noWrap/>
            <w:vAlign w:val="center"/>
          </w:tcPr>
          <w:p w14:paraId="4B8AD855"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n=16</w:t>
            </w:r>
          </w:p>
        </w:tc>
        <w:tc>
          <w:tcPr>
            <w:tcW w:w="734" w:type="dxa"/>
            <w:tcBorders>
              <w:top w:val="nil"/>
              <w:left w:val="nil"/>
              <w:bottom w:val="single" w:sz="4" w:space="0" w:color="BFBFBF"/>
              <w:right w:val="single" w:sz="4" w:space="0" w:color="BFBFBF"/>
            </w:tcBorders>
            <w:shd w:val="clear" w:color="auto" w:fill="auto"/>
            <w:noWrap/>
            <w:vAlign w:val="center"/>
          </w:tcPr>
          <w:p w14:paraId="289A07E7" w14:textId="77777777" w:rsidR="00F77388" w:rsidRPr="009C7D53" w:rsidRDefault="00F77388" w:rsidP="0079644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n=1,5</w:t>
            </w:r>
            <w:r w:rsidR="00796442" w:rsidRPr="009C7D53">
              <w:rPr>
                <w:rFonts w:ascii="Arial" w:hAnsi="Arial" w:cs="Arial"/>
                <w:b/>
                <w:bCs/>
                <w:color w:val="000000"/>
                <w:sz w:val="14"/>
                <w:szCs w:val="14"/>
                <w:lang w:val="en-AU" w:eastAsia="en-AU"/>
              </w:rPr>
              <w:t>35</w:t>
            </w:r>
          </w:p>
        </w:tc>
        <w:tc>
          <w:tcPr>
            <w:tcW w:w="734" w:type="dxa"/>
            <w:tcBorders>
              <w:top w:val="nil"/>
              <w:left w:val="nil"/>
              <w:bottom w:val="single" w:sz="4" w:space="0" w:color="BFBFBF"/>
              <w:right w:val="single" w:sz="4" w:space="0" w:color="BFBFBF"/>
            </w:tcBorders>
            <w:shd w:val="clear" w:color="auto" w:fill="auto"/>
            <w:noWrap/>
            <w:vAlign w:val="center"/>
          </w:tcPr>
          <w:p w14:paraId="382DE649" w14:textId="77777777" w:rsidR="00F77388" w:rsidRPr="009C7D53" w:rsidRDefault="00F77388" w:rsidP="00796442">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w:t>
            </w:r>
            <w:r w:rsidR="00796442" w:rsidRPr="009C7D53">
              <w:rPr>
                <w:rFonts w:ascii="Arial" w:hAnsi="Arial" w:cs="Arial"/>
                <w:b/>
                <w:bCs/>
                <w:color w:val="000000"/>
                <w:sz w:val="14"/>
                <w:szCs w:val="14"/>
                <w:lang w:val="en-AU" w:eastAsia="en-AU"/>
              </w:rPr>
              <w:t>,</w:t>
            </w:r>
            <w:r w:rsidRPr="009C7D53">
              <w:rPr>
                <w:rFonts w:ascii="Arial" w:hAnsi="Arial" w:cs="Arial"/>
                <w:b/>
                <w:bCs/>
                <w:color w:val="000000"/>
                <w:sz w:val="14"/>
                <w:szCs w:val="14"/>
                <w:lang w:val="en-AU" w:eastAsia="en-AU"/>
              </w:rPr>
              <w:t>26</w:t>
            </w:r>
            <w:r w:rsidR="00796442" w:rsidRPr="009C7D53">
              <w:rPr>
                <w:rFonts w:ascii="Arial" w:hAnsi="Arial" w:cs="Arial"/>
                <w:b/>
                <w:bCs/>
                <w:color w:val="000000"/>
                <w:sz w:val="14"/>
                <w:szCs w:val="14"/>
                <w:lang w:val="en-AU" w:eastAsia="en-AU"/>
              </w:rPr>
              <w:t>1</w:t>
            </w:r>
          </w:p>
        </w:tc>
        <w:tc>
          <w:tcPr>
            <w:tcW w:w="734" w:type="dxa"/>
            <w:tcBorders>
              <w:top w:val="nil"/>
              <w:left w:val="nil"/>
              <w:bottom w:val="single" w:sz="4" w:space="0" w:color="BFBFBF"/>
              <w:right w:val="single" w:sz="4" w:space="0" w:color="BFBFBF"/>
            </w:tcBorders>
            <w:shd w:val="clear" w:color="auto" w:fill="auto"/>
            <w:noWrap/>
            <w:vAlign w:val="center"/>
          </w:tcPr>
          <w:p w14:paraId="53E84F4B"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n=1,735</w:t>
            </w:r>
          </w:p>
        </w:tc>
        <w:tc>
          <w:tcPr>
            <w:tcW w:w="617" w:type="dxa"/>
            <w:tcBorders>
              <w:top w:val="nil"/>
              <w:left w:val="nil"/>
              <w:bottom w:val="single" w:sz="4" w:space="0" w:color="BFBFBF"/>
              <w:right w:val="single" w:sz="4" w:space="0" w:color="auto"/>
            </w:tcBorders>
            <w:shd w:val="clear" w:color="auto" w:fill="auto"/>
            <w:noWrap/>
            <w:vAlign w:val="center"/>
          </w:tcPr>
          <w:p w14:paraId="1236C2BF"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n=422</w:t>
            </w:r>
          </w:p>
        </w:tc>
        <w:tc>
          <w:tcPr>
            <w:tcW w:w="734" w:type="dxa"/>
            <w:tcBorders>
              <w:top w:val="nil"/>
              <w:left w:val="nil"/>
              <w:bottom w:val="single" w:sz="4" w:space="0" w:color="BFBFBF"/>
              <w:right w:val="single" w:sz="4" w:space="0" w:color="BFBFBF"/>
            </w:tcBorders>
            <w:shd w:val="clear" w:color="auto" w:fill="auto"/>
            <w:noWrap/>
            <w:vAlign w:val="center"/>
          </w:tcPr>
          <w:p w14:paraId="59D9CC56" w14:textId="77777777" w:rsidR="00F77388" w:rsidRPr="009C7D53" w:rsidRDefault="00F77388" w:rsidP="00531239">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n=1,5</w:t>
            </w:r>
            <w:r w:rsidR="00531239" w:rsidRPr="009C7D53">
              <w:rPr>
                <w:rFonts w:ascii="Arial" w:hAnsi="Arial" w:cs="Arial"/>
                <w:b/>
                <w:bCs/>
                <w:color w:val="000000"/>
                <w:sz w:val="14"/>
                <w:szCs w:val="14"/>
                <w:lang w:val="en-AU" w:eastAsia="en-AU"/>
              </w:rPr>
              <w:t>35</w:t>
            </w:r>
          </w:p>
        </w:tc>
        <w:tc>
          <w:tcPr>
            <w:tcW w:w="734" w:type="dxa"/>
            <w:tcBorders>
              <w:top w:val="nil"/>
              <w:left w:val="nil"/>
              <w:bottom w:val="single" w:sz="4" w:space="0" w:color="BFBFBF"/>
              <w:right w:val="single" w:sz="4" w:space="0" w:color="BFBFBF"/>
            </w:tcBorders>
            <w:shd w:val="clear" w:color="auto" w:fill="auto"/>
            <w:noWrap/>
            <w:vAlign w:val="center"/>
          </w:tcPr>
          <w:p w14:paraId="1380ECDE"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n=1,735</w:t>
            </w:r>
          </w:p>
        </w:tc>
        <w:tc>
          <w:tcPr>
            <w:tcW w:w="734" w:type="dxa"/>
            <w:tcBorders>
              <w:top w:val="nil"/>
              <w:left w:val="nil"/>
              <w:bottom w:val="single" w:sz="4" w:space="0" w:color="BFBFBF"/>
              <w:right w:val="single" w:sz="4" w:space="0" w:color="BFBFBF"/>
            </w:tcBorders>
            <w:shd w:val="clear" w:color="auto" w:fill="auto"/>
            <w:noWrap/>
            <w:vAlign w:val="center"/>
          </w:tcPr>
          <w:p w14:paraId="540BAA28"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n=1,854</w:t>
            </w:r>
          </w:p>
        </w:tc>
        <w:tc>
          <w:tcPr>
            <w:tcW w:w="734" w:type="dxa"/>
            <w:tcBorders>
              <w:top w:val="nil"/>
              <w:left w:val="nil"/>
              <w:bottom w:val="single" w:sz="4" w:space="0" w:color="BFBFBF"/>
              <w:right w:val="double" w:sz="6" w:space="0" w:color="auto"/>
            </w:tcBorders>
            <w:shd w:val="clear" w:color="auto" w:fill="auto"/>
            <w:noWrap/>
            <w:vAlign w:val="center"/>
          </w:tcPr>
          <w:p w14:paraId="5E8BB27F" w14:textId="77777777" w:rsidR="00F77388" w:rsidRPr="009C7D53" w:rsidRDefault="00F77388" w:rsidP="00F77388">
            <w:pPr>
              <w:spacing w:before="0" w:after="0"/>
              <w:jc w:val="center"/>
              <w:rPr>
                <w:rFonts w:ascii="Arial" w:hAnsi="Arial" w:cs="Arial"/>
                <w:b/>
                <w:bCs/>
                <w:color w:val="000000"/>
                <w:sz w:val="14"/>
                <w:szCs w:val="14"/>
                <w:lang w:val="en-AU" w:eastAsia="en-AU"/>
              </w:rPr>
            </w:pPr>
            <w:r w:rsidRPr="009C7D53">
              <w:rPr>
                <w:rFonts w:ascii="Arial" w:hAnsi="Arial" w:cs="Arial"/>
                <w:b/>
                <w:bCs/>
                <w:color w:val="000000"/>
                <w:sz w:val="14"/>
                <w:szCs w:val="14"/>
                <w:lang w:val="en-AU" w:eastAsia="en-AU"/>
              </w:rPr>
              <w:t>n=1,770</w:t>
            </w:r>
          </w:p>
        </w:tc>
      </w:tr>
      <w:tr w:rsidR="00F77388" w:rsidRPr="009C7D53" w14:paraId="61409ED3"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5EDB1541" w14:textId="77777777" w:rsidR="00F77388" w:rsidRPr="009C7D53" w:rsidRDefault="00F77388"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Region -</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15CB58C0" w14:textId="77777777" w:rsidR="00F77388" w:rsidRPr="009C7D53" w:rsidRDefault="00F77388" w:rsidP="00F77388">
            <w:pPr>
              <w:spacing w:before="0" w:after="0"/>
              <w:rPr>
                <w:rFonts w:ascii="Arial" w:hAnsi="Arial" w:cs="Arial"/>
                <w:color w:val="FF0000"/>
                <w:sz w:val="16"/>
                <w:szCs w:val="16"/>
                <w:lang w:val="en-AU" w:eastAsia="en-AU"/>
              </w:rPr>
            </w:pPr>
            <w:r w:rsidRPr="009C7D53">
              <w:rPr>
                <w:rFonts w:ascii="Arial" w:hAnsi="Arial" w:cs="Arial"/>
                <w:color w:val="FF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bottom"/>
          </w:tcPr>
          <w:p w14:paraId="35187413"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629CAD5"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39" w:type="dxa"/>
            <w:tcBorders>
              <w:top w:val="nil"/>
              <w:left w:val="nil"/>
              <w:bottom w:val="single" w:sz="4" w:space="0" w:color="BFBFBF"/>
              <w:right w:val="single" w:sz="4" w:space="0" w:color="auto"/>
            </w:tcBorders>
            <w:shd w:val="clear" w:color="auto" w:fill="auto"/>
            <w:noWrap/>
            <w:vAlign w:val="center"/>
          </w:tcPr>
          <w:p w14:paraId="0C56FD43"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003EA971" w14:textId="77777777" w:rsidR="00F77388" w:rsidRPr="009C7D53" w:rsidRDefault="00F77388" w:rsidP="00F77388">
            <w:pPr>
              <w:spacing w:before="0" w:after="0"/>
              <w:rPr>
                <w:rFonts w:ascii="Arial" w:hAnsi="Arial" w:cs="Arial"/>
                <w:color w:val="FF0000"/>
                <w:sz w:val="16"/>
                <w:szCs w:val="16"/>
                <w:lang w:val="en-AU" w:eastAsia="en-AU"/>
              </w:rPr>
            </w:pPr>
            <w:r w:rsidRPr="009C7D53">
              <w:rPr>
                <w:rFonts w:ascii="Arial" w:hAnsi="Arial" w:cs="Arial"/>
                <w:color w:val="FF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7EF70D11"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6BD4E25"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076BCB2B"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4D5DEF69"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7B6713A"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D228EFF"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51D486B5" w14:textId="77777777" w:rsidR="00F77388" w:rsidRPr="009C7D53" w:rsidRDefault="00F77388" w:rsidP="00F77388">
            <w:pPr>
              <w:spacing w:before="0" w:after="0"/>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1B4678" w:rsidRPr="009C7D53" w14:paraId="2FD51A95"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0719F307"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9C7D53">
                  <w:rPr>
                    <w:rFonts w:ascii="Arial" w:hAnsi="Arial" w:cs="Arial"/>
                    <w:color w:val="000000"/>
                    <w:sz w:val="16"/>
                    <w:szCs w:val="16"/>
                    <w:lang w:val="en-AU" w:eastAsia="en-AU"/>
                  </w:rPr>
                  <w:t>Melbourne</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98CF603"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7FC699D7"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0108DBA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39" w:type="dxa"/>
            <w:tcBorders>
              <w:top w:val="nil"/>
              <w:left w:val="nil"/>
              <w:bottom w:val="single" w:sz="4" w:space="0" w:color="BFBFBF"/>
              <w:right w:val="single" w:sz="4" w:space="0" w:color="auto"/>
            </w:tcBorders>
            <w:shd w:val="clear" w:color="auto" w:fill="auto"/>
            <w:noWrap/>
            <w:vAlign w:val="center"/>
          </w:tcPr>
          <w:p w14:paraId="4BDE28D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80</w:t>
            </w:r>
          </w:p>
        </w:tc>
        <w:tc>
          <w:tcPr>
            <w:tcW w:w="734" w:type="dxa"/>
            <w:tcBorders>
              <w:top w:val="nil"/>
              <w:left w:val="nil"/>
              <w:bottom w:val="single" w:sz="4" w:space="0" w:color="BFBFBF"/>
              <w:right w:val="single" w:sz="4" w:space="0" w:color="BFBFBF"/>
            </w:tcBorders>
            <w:shd w:val="clear" w:color="auto" w:fill="auto"/>
            <w:noWrap/>
            <w:vAlign w:val="center"/>
          </w:tcPr>
          <w:p w14:paraId="24D0D3C3"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7A58AC1D"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62</w:t>
            </w:r>
          </w:p>
        </w:tc>
        <w:tc>
          <w:tcPr>
            <w:tcW w:w="734" w:type="dxa"/>
            <w:tcBorders>
              <w:top w:val="nil"/>
              <w:left w:val="nil"/>
              <w:bottom w:val="single" w:sz="4" w:space="0" w:color="BFBFBF"/>
              <w:right w:val="single" w:sz="4" w:space="0" w:color="BFBFBF"/>
            </w:tcBorders>
            <w:shd w:val="clear" w:color="auto" w:fill="auto"/>
            <w:noWrap/>
            <w:vAlign w:val="center"/>
          </w:tcPr>
          <w:p w14:paraId="36CFD14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25%</w:t>
            </w:r>
          </w:p>
        </w:tc>
        <w:tc>
          <w:tcPr>
            <w:tcW w:w="617" w:type="dxa"/>
            <w:tcBorders>
              <w:top w:val="nil"/>
              <w:left w:val="nil"/>
              <w:bottom w:val="single" w:sz="4" w:space="0" w:color="BFBFBF"/>
              <w:right w:val="single" w:sz="4" w:space="0" w:color="auto"/>
            </w:tcBorders>
            <w:shd w:val="clear" w:color="auto" w:fill="auto"/>
            <w:noWrap/>
            <w:vAlign w:val="center"/>
          </w:tcPr>
          <w:p w14:paraId="5D9CEE5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61</w:t>
            </w:r>
          </w:p>
        </w:tc>
        <w:tc>
          <w:tcPr>
            <w:tcW w:w="734" w:type="dxa"/>
            <w:tcBorders>
              <w:top w:val="nil"/>
              <w:left w:val="nil"/>
              <w:bottom w:val="single" w:sz="4" w:space="0" w:color="BFBFBF"/>
              <w:right w:val="single" w:sz="4" w:space="0" w:color="BFBFBF"/>
            </w:tcBorders>
            <w:shd w:val="clear" w:color="auto" w:fill="auto"/>
            <w:noWrap/>
            <w:vAlign w:val="center"/>
          </w:tcPr>
          <w:p w14:paraId="6870F72B"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994</w:t>
            </w:r>
          </w:p>
        </w:tc>
        <w:tc>
          <w:tcPr>
            <w:tcW w:w="734" w:type="dxa"/>
            <w:tcBorders>
              <w:top w:val="nil"/>
              <w:left w:val="nil"/>
              <w:bottom w:val="single" w:sz="4" w:space="0" w:color="BFBFBF"/>
              <w:right w:val="single" w:sz="4" w:space="0" w:color="BFBFBF"/>
            </w:tcBorders>
            <w:shd w:val="clear" w:color="auto" w:fill="auto"/>
            <w:noWrap/>
            <w:vAlign w:val="center"/>
          </w:tcPr>
          <w:p w14:paraId="50C70BD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702</w:t>
            </w:r>
          </w:p>
        </w:tc>
        <w:tc>
          <w:tcPr>
            <w:tcW w:w="734" w:type="dxa"/>
            <w:tcBorders>
              <w:top w:val="nil"/>
              <w:left w:val="nil"/>
              <w:bottom w:val="single" w:sz="4" w:space="0" w:color="BFBFBF"/>
              <w:right w:val="single" w:sz="4" w:space="0" w:color="BFBFBF"/>
            </w:tcBorders>
            <w:shd w:val="clear" w:color="auto" w:fill="auto"/>
            <w:noWrap/>
            <w:vAlign w:val="center"/>
          </w:tcPr>
          <w:p w14:paraId="7F1EA539"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510</w:t>
            </w:r>
          </w:p>
        </w:tc>
        <w:tc>
          <w:tcPr>
            <w:tcW w:w="734" w:type="dxa"/>
            <w:tcBorders>
              <w:top w:val="nil"/>
              <w:left w:val="nil"/>
              <w:bottom w:val="single" w:sz="4" w:space="0" w:color="BFBFBF"/>
              <w:right w:val="double" w:sz="6" w:space="0" w:color="auto"/>
            </w:tcBorders>
            <w:shd w:val="clear" w:color="auto" w:fill="auto"/>
            <w:noWrap/>
            <w:vAlign w:val="center"/>
          </w:tcPr>
          <w:p w14:paraId="55B585A6"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425</w:t>
            </w:r>
          </w:p>
        </w:tc>
      </w:tr>
      <w:tr w:rsidR="001B4678" w:rsidRPr="009C7D53" w14:paraId="4723B389"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1D698179"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Country VIC</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398D366"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72" w:type="dxa"/>
            <w:tcBorders>
              <w:top w:val="nil"/>
              <w:left w:val="nil"/>
              <w:bottom w:val="single" w:sz="4" w:space="0" w:color="BFBFBF"/>
              <w:right w:val="single" w:sz="4" w:space="0" w:color="BFBFBF"/>
            </w:tcBorders>
            <w:shd w:val="clear" w:color="auto" w:fill="auto"/>
            <w:noWrap/>
            <w:vAlign w:val="center"/>
          </w:tcPr>
          <w:p w14:paraId="48F2E518"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500</w:t>
            </w:r>
          </w:p>
        </w:tc>
        <w:tc>
          <w:tcPr>
            <w:tcW w:w="734" w:type="dxa"/>
            <w:tcBorders>
              <w:top w:val="nil"/>
              <w:left w:val="nil"/>
              <w:bottom w:val="single" w:sz="4" w:space="0" w:color="BFBFBF"/>
              <w:right w:val="single" w:sz="4" w:space="0" w:color="BFBFBF"/>
            </w:tcBorders>
            <w:shd w:val="clear" w:color="auto" w:fill="auto"/>
            <w:noWrap/>
            <w:vAlign w:val="center"/>
          </w:tcPr>
          <w:p w14:paraId="294B991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39" w:type="dxa"/>
            <w:tcBorders>
              <w:top w:val="nil"/>
              <w:left w:val="nil"/>
              <w:bottom w:val="single" w:sz="4" w:space="0" w:color="BFBFBF"/>
              <w:right w:val="single" w:sz="4" w:space="0" w:color="auto"/>
            </w:tcBorders>
            <w:shd w:val="clear" w:color="auto" w:fill="auto"/>
            <w:noWrap/>
            <w:vAlign w:val="center"/>
          </w:tcPr>
          <w:p w14:paraId="543C08BA"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BFBFBF"/>
            </w:tcBorders>
            <w:shd w:val="clear" w:color="auto" w:fill="auto"/>
            <w:noWrap/>
            <w:vAlign w:val="center"/>
          </w:tcPr>
          <w:p w14:paraId="1E27A276"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BFBFBF"/>
            </w:tcBorders>
            <w:shd w:val="clear" w:color="auto" w:fill="auto"/>
            <w:noWrap/>
            <w:vAlign w:val="center"/>
          </w:tcPr>
          <w:p w14:paraId="71904901"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48</w:t>
            </w:r>
          </w:p>
        </w:tc>
        <w:tc>
          <w:tcPr>
            <w:tcW w:w="734" w:type="dxa"/>
            <w:tcBorders>
              <w:top w:val="nil"/>
              <w:left w:val="nil"/>
              <w:bottom w:val="single" w:sz="4" w:space="0" w:color="BFBFBF"/>
              <w:right w:val="single" w:sz="4" w:space="0" w:color="BFBFBF"/>
            </w:tcBorders>
            <w:shd w:val="clear" w:color="auto" w:fill="auto"/>
            <w:noWrap/>
            <w:vAlign w:val="center"/>
          </w:tcPr>
          <w:p w14:paraId="474D97C9"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28%</w:t>
            </w:r>
          </w:p>
        </w:tc>
        <w:tc>
          <w:tcPr>
            <w:tcW w:w="617" w:type="dxa"/>
            <w:tcBorders>
              <w:top w:val="nil"/>
              <w:left w:val="nil"/>
              <w:bottom w:val="single" w:sz="4" w:space="0" w:color="BFBFBF"/>
              <w:right w:val="single" w:sz="4" w:space="0" w:color="auto"/>
            </w:tcBorders>
            <w:shd w:val="clear" w:color="auto" w:fill="auto"/>
            <w:noWrap/>
            <w:vAlign w:val="center"/>
          </w:tcPr>
          <w:p w14:paraId="06C4CD9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w:t>
            </w:r>
          </w:p>
        </w:tc>
        <w:tc>
          <w:tcPr>
            <w:tcW w:w="734" w:type="dxa"/>
            <w:tcBorders>
              <w:top w:val="nil"/>
              <w:left w:val="nil"/>
              <w:bottom w:val="single" w:sz="4" w:space="0" w:color="BFBFBF"/>
              <w:right w:val="single" w:sz="4" w:space="0" w:color="BFBFBF"/>
            </w:tcBorders>
            <w:shd w:val="clear" w:color="auto" w:fill="auto"/>
            <w:noWrap/>
            <w:vAlign w:val="center"/>
          </w:tcPr>
          <w:p w14:paraId="470EFB75"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926</w:t>
            </w:r>
          </w:p>
        </w:tc>
        <w:tc>
          <w:tcPr>
            <w:tcW w:w="734" w:type="dxa"/>
            <w:tcBorders>
              <w:top w:val="nil"/>
              <w:left w:val="nil"/>
              <w:bottom w:val="single" w:sz="4" w:space="0" w:color="BFBFBF"/>
              <w:right w:val="single" w:sz="4" w:space="0" w:color="BFBFBF"/>
            </w:tcBorders>
            <w:shd w:val="clear" w:color="auto" w:fill="auto"/>
            <w:noWrap/>
            <w:vAlign w:val="center"/>
          </w:tcPr>
          <w:p w14:paraId="24D191C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695</w:t>
            </w:r>
          </w:p>
        </w:tc>
        <w:tc>
          <w:tcPr>
            <w:tcW w:w="734" w:type="dxa"/>
            <w:tcBorders>
              <w:top w:val="nil"/>
              <w:left w:val="nil"/>
              <w:bottom w:val="single" w:sz="4" w:space="0" w:color="BFBFBF"/>
              <w:right w:val="single" w:sz="4" w:space="0" w:color="BFBFBF"/>
            </w:tcBorders>
            <w:shd w:val="clear" w:color="auto" w:fill="auto"/>
            <w:noWrap/>
            <w:vAlign w:val="center"/>
          </w:tcPr>
          <w:p w14:paraId="16D2EDDE"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473</w:t>
            </w:r>
          </w:p>
        </w:tc>
        <w:tc>
          <w:tcPr>
            <w:tcW w:w="734" w:type="dxa"/>
            <w:tcBorders>
              <w:top w:val="nil"/>
              <w:left w:val="nil"/>
              <w:bottom w:val="single" w:sz="4" w:space="0" w:color="BFBFBF"/>
              <w:right w:val="double" w:sz="6" w:space="0" w:color="auto"/>
            </w:tcBorders>
            <w:shd w:val="clear" w:color="auto" w:fill="auto"/>
            <w:noWrap/>
            <w:vAlign w:val="center"/>
          </w:tcPr>
          <w:p w14:paraId="34FC1E5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390</w:t>
            </w:r>
          </w:p>
        </w:tc>
      </w:tr>
      <w:tr w:rsidR="001B4678" w:rsidRPr="009C7D53" w14:paraId="06F0E8F9"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3FAB6BC2" w14:textId="77777777" w:rsidR="001B4678" w:rsidRPr="009C7D53" w:rsidRDefault="001B4678"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DHHS Area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E51B4EA"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0F963AC5"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1594F2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39" w:type="dxa"/>
            <w:tcBorders>
              <w:top w:val="nil"/>
              <w:left w:val="nil"/>
              <w:bottom w:val="single" w:sz="4" w:space="0" w:color="BFBFBF"/>
              <w:right w:val="single" w:sz="4" w:space="0" w:color="auto"/>
            </w:tcBorders>
            <w:shd w:val="clear" w:color="auto" w:fill="auto"/>
            <w:noWrap/>
            <w:vAlign w:val="center"/>
          </w:tcPr>
          <w:p w14:paraId="2A3ECF8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6AD577F"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30285F9"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2DA44FA"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5A94E20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CB0ABD2"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0BC596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4BD99A9"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48BC9D7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1B4678" w:rsidRPr="009C7D53" w14:paraId="15E31E42"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632641AA"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Hume Moreland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DB21337"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4397F381"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765837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4C72344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44BF715"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0152CD6E"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76</w:t>
            </w:r>
          </w:p>
        </w:tc>
        <w:tc>
          <w:tcPr>
            <w:tcW w:w="734" w:type="dxa"/>
            <w:tcBorders>
              <w:top w:val="nil"/>
              <w:left w:val="nil"/>
              <w:bottom w:val="single" w:sz="4" w:space="0" w:color="BFBFBF"/>
              <w:right w:val="single" w:sz="4" w:space="0" w:color="BFBFBF"/>
            </w:tcBorders>
            <w:shd w:val="clear" w:color="auto" w:fill="auto"/>
            <w:noWrap/>
            <w:vAlign w:val="center"/>
          </w:tcPr>
          <w:p w14:paraId="609F9E8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6692336E"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1CBEEB6"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973</w:t>
            </w:r>
          </w:p>
        </w:tc>
        <w:tc>
          <w:tcPr>
            <w:tcW w:w="734" w:type="dxa"/>
            <w:tcBorders>
              <w:top w:val="nil"/>
              <w:left w:val="nil"/>
              <w:bottom w:val="single" w:sz="4" w:space="0" w:color="BFBFBF"/>
              <w:right w:val="single" w:sz="4" w:space="0" w:color="BFBFBF"/>
            </w:tcBorders>
            <w:shd w:val="clear" w:color="auto" w:fill="auto"/>
            <w:noWrap/>
            <w:vAlign w:val="center"/>
          </w:tcPr>
          <w:p w14:paraId="5791773C"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2981EB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20DE9411"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7253A352"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450C786F"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North Eastern 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A75057B"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465FFA47"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6B11514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126808AE"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C21C6AA"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76CF3E39"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54</w:t>
            </w:r>
          </w:p>
        </w:tc>
        <w:tc>
          <w:tcPr>
            <w:tcW w:w="734" w:type="dxa"/>
            <w:tcBorders>
              <w:top w:val="nil"/>
              <w:left w:val="nil"/>
              <w:bottom w:val="single" w:sz="4" w:space="0" w:color="BFBFBF"/>
              <w:right w:val="single" w:sz="4" w:space="0" w:color="BFBFBF"/>
            </w:tcBorders>
            <w:shd w:val="clear" w:color="auto" w:fill="auto"/>
            <w:noWrap/>
            <w:vAlign w:val="center"/>
          </w:tcPr>
          <w:p w14:paraId="0793021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2DC3660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C2CD256"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1,030</w:t>
            </w:r>
          </w:p>
        </w:tc>
        <w:tc>
          <w:tcPr>
            <w:tcW w:w="734" w:type="dxa"/>
            <w:tcBorders>
              <w:top w:val="nil"/>
              <w:left w:val="nil"/>
              <w:bottom w:val="single" w:sz="4" w:space="0" w:color="BFBFBF"/>
              <w:right w:val="single" w:sz="4" w:space="0" w:color="BFBFBF"/>
            </w:tcBorders>
            <w:shd w:val="clear" w:color="auto" w:fill="auto"/>
            <w:noWrap/>
            <w:vAlign w:val="center"/>
          </w:tcPr>
          <w:p w14:paraId="1E8DF9E5"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7B8991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0FD4D09C"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4A99D9E9"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0DAD78E7"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Outer </w:t>
            </w:r>
            <w:smartTag w:uri="urn:schemas-microsoft-com:office:smarttags" w:element="place">
              <w:r w:rsidRPr="009C7D53">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303EFFD"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591A8DFB"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6AC5C48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4012446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7D785A1"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422E3347"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61</w:t>
            </w:r>
          </w:p>
        </w:tc>
        <w:tc>
          <w:tcPr>
            <w:tcW w:w="734" w:type="dxa"/>
            <w:tcBorders>
              <w:top w:val="nil"/>
              <w:left w:val="nil"/>
              <w:bottom w:val="single" w:sz="4" w:space="0" w:color="BFBFBF"/>
              <w:right w:val="single" w:sz="4" w:space="0" w:color="BFBFBF"/>
            </w:tcBorders>
            <w:shd w:val="clear" w:color="auto" w:fill="auto"/>
            <w:noWrap/>
            <w:vAlign w:val="center"/>
          </w:tcPr>
          <w:p w14:paraId="0171F0B5"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0B2BEEE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F79C328"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1,065</w:t>
            </w:r>
          </w:p>
        </w:tc>
        <w:tc>
          <w:tcPr>
            <w:tcW w:w="734" w:type="dxa"/>
            <w:tcBorders>
              <w:top w:val="nil"/>
              <w:left w:val="nil"/>
              <w:bottom w:val="single" w:sz="4" w:space="0" w:color="BFBFBF"/>
              <w:right w:val="single" w:sz="4" w:space="0" w:color="BFBFBF"/>
            </w:tcBorders>
            <w:shd w:val="clear" w:color="auto" w:fill="auto"/>
            <w:noWrap/>
            <w:vAlign w:val="center"/>
          </w:tcPr>
          <w:p w14:paraId="6D40985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220B8F3"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1C643033"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0E16B877"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0B49A121"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Inner </w:t>
            </w:r>
            <w:smartTag w:uri="urn:schemas-microsoft-com:office:smarttags" w:element="place">
              <w:r w:rsidRPr="009C7D53">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2B72E88"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6880CC14"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0220FB5"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25C1509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43CC543"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2A68551C"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w:t>
            </w:r>
          </w:p>
        </w:tc>
        <w:tc>
          <w:tcPr>
            <w:tcW w:w="734" w:type="dxa"/>
            <w:tcBorders>
              <w:top w:val="nil"/>
              <w:left w:val="nil"/>
              <w:bottom w:val="single" w:sz="4" w:space="0" w:color="BFBFBF"/>
              <w:right w:val="single" w:sz="4" w:space="0" w:color="BFBFBF"/>
            </w:tcBorders>
            <w:shd w:val="clear" w:color="auto" w:fill="auto"/>
            <w:noWrap/>
            <w:vAlign w:val="center"/>
          </w:tcPr>
          <w:p w14:paraId="7F95EEB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35F47ACA"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F175EC9"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1,125</w:t>
            </w:r>
          </w:p>
        </w:tc>
        <w:tc>
          <w:tcPr>
            <w:tcW w:w="734" w:type="dxa"/>
            <w:tcBorders>
              <w:top w:val="nil"/>
              <w:left w:val="nil"/>
              <w:bottom w:val="single" w:sz="4" w:space="0" w:color="BFBFBF"/>
              <w:right w:val="single" w:sz="4" w:space="0" w:color="BFBFBF"/>
            </w:tcBorders>
            <w:shd w:val="clear" w:color="auto" w:fill="auto"/>
            <w:noWrap/>
            <w:vAlign w:val="center"/>
          </w:tcPr>
          <w:p w14:paraId="3E9C493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CB0C68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74BCE7D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4E7ACF0E"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18AF57DE"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smartTag w:uri="urn:schemas-microsoft-com:office:smarttags" w:element="place">
              <w:r w:rsidRPr="009C7D53">
                <w:rPr>
                  <w:rFonts w:ascii="Arial" w:hAnsi="Arial" w:cs="Arial"/>
                  <w:color w:val="000000"/>
                  <w:sz w:val="16"/>
                  <w:szCs w:val="16"/>
                  <w:lang w:val="en-AU" w:eastAsia="en-AU"/>
                </w:rPr>
                <w:t>Southern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9CAA0B0"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0D834CE4"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01298F3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3267CFE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3A0919D"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51FF0332"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61</w:t>
            </w:r>
          </w:p>
        </w:tc>
        <w:tc>
          <w:tcPr>
            <w:tcW w:w="734" w:type="dxa"/>
            <w:tcBorders>
              <w:top w:val="nil"/>
              <w:left w:val="nil"/>
              <w:bottom w:val="single" w:sz="4" w:space="0" w:color="BFBFBF"/>
              <w:right w:val="single" w:sz="4" w:space="0" w:color="BFBFBF"/>
            </w:tcBorders>
            <w:shd w:val="clear" w:color="auto" w:fill="auto"/>
            <w:noWrap/>
            <w:vAlign w:val="center"/>
          </w:tcPr>
          <w:p w14:paraId="3F2A7E83"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5C445043"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3C81107"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933</w:t>
            </w:r>
          </w:p>
        </w:tc>
        <w:tc>
          <w:tcPr>
            <w:tcW w:w="734" w:type="dxa"/>
            <w:tcBorders>
              <w:top w:val="nil"/>
              <w:left w:val="nil"/>
              <w:bottom w:val="single" w:sz="4" w:space="0" w:color="BFBFBF"/>
              <w:right w:val="single" w:sz="4" w:space="0" w:color="BFBFBF"/>
            </w:tcBorders>
            <w:shd w:val="clear" w:color="auto" w:fill="auto"/>
            <w:noWrap/>
            <w:vAlign w:val="center"/>
          </w:tcPr>
          <w:p w14:paraId="6D42089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9507AE6"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3F878EB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2E833FED"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58663E5A"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Bayside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572DC9B"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02862551"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6F52435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41EDE27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E1667EA"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BFBFBF"/>
            </w:tcBorders>
            <w:shd w:val="clear" w:color="auto" w:fill="auto"/>
            <w:noWrap/>
            <w:vAlign w:val="center"/>
          </w:tcPr>
          <w:p w14:paraId="1C9D770B"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63</w:t>
            </w:r>
          </w:p>
        </w:tc>
        <w:tc>
          <w:tcPr>
            <w:tcW w:w="734" w:type="dxa"/>
            <w:tcBorders>
              <w:top w:val="nil"/>
              <w:left w:val="nil"/>
              <w:bottom w:val="single" w:sz="4" w:space="0" w:color="BFBFBF"/>
              <w:right w:val="single" w:sz="4" w:space="0" w:color="BFBFBF"/>
            </w:tcBorders>
            <w:shd w:val="clear" w:color="auto" w:fill="auto"/>
            <w:noWrap/>
            <w:vAlign w:val="center"/>
          </w:tcPr>
          <w:p w14:paraId="5FEC9E36"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137E66D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33B3AA9"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936</w:t>
            </w:r>
          </w:p>
        </w:tc>
        <w:tc>
          <w:tcPr>
            <w:tcW w:w="734" w:type="dxa"/>
            <w:tcBorders>
              <w:top w:val="nil"/>
              <w:left w:val="nil"/>
              <w:bottom w:val="single" w:sz="4" w:space="0" w:color="BFBFBF"/>
              <w:right w:val="single" w:sz="4" w:space="0" w:color="BFBFBF"/>
            </w:tcBorders>
            <w:shd w:val="clear" w:color="auto" w:fill="auto"/>
            <w:noWrap/>
            <w:vAlign w:val="center"/>
          </w:tcPr>
          <w:p w14:paraId="42466453"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183929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4F9BFE9A"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3BB480C9"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7C3822BD"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smartTag w:uri="urn:schemas-microsoft-com:office:smarttags" w:element="place">
              <w:r w:rsidRPr="009C7D53">
                <w:rPr>
                  <w:rFonts w:ascii="Arial" w:hAnsi="Arial" w:cs="Arial"/>
                  <w:color w:val="000000"/>
                  <w:sz w:val="16"/>
                  <w:szCs w:val="16"/>
                  <w:lang w:val="en-AU" w:eastAsia="en-AU"/>
                </w:rPr>
                <w:t>Western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0999CFB"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70280772"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4AB29E71"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417542F9"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A970FD7"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20478C97"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58</w:t>
            </w:r>
          </w:p>
        </w:tc>
        <w:tc>
          <w:tcPr>
            <w:tcW w:w="734" w:type="dxa"/>
            <w:tcBorders>
              <w:top w:val="nil"/>
              <w:left w:val="nil"/>
              <w:bottom w:val="single" w:sz="4" w:space="0" w:color="BFBFBF"/>
              <w:right w:val="single" w:sz="4" w:space="0" w:color="BFBFBF"/>
            </w:tcBorders>
            <w:shd w:val="clear" w:color="auto" w:fill="auto"/>
            <w:noWrap/>
            <w:vAlign w:val="center"/>
          </w:tcPr>
          <w:p w14:paraId="73E93C6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55BEC9BA"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34DD916"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919</w:t>
            </w:r>
          </w:p>
        </w:tc>
        <w:tc>
          <w:tcPr>
            <w:tcW w:w="734" w:type="dxa"/>
            <w:tcBorders>
              <w:top w:val="nil"/>
              <w:left w:val="nil"/>
              <w:bottom w:val="single" w:sz="4" w:space="0" w:color="BFBFBF"/>
              <w:right w:val="single" w:sz="4" w:space="0" w:color="BFBFBF"/>
            </w:tcBorders>
            <w:shd w:val="clear" w:color="auto" w:fill="auto"/>
            <w:noWrap/>
            <w:vAlign w:val="center"/>
          </w:tcPr>
          <w:p w14:paraId="2C8DE5C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AB4D36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661E83D5"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6C89AA0E"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16BD62E8"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Brimbank Melton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A88277C"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545FABA5"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7548AC7C"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000DFF3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403D53E"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77%</w:t>
            </w:r>
          </w:p>
        </w:tc>
        <w:tc>
          <w:tcPr>
            <w:tcW w:w="734" w:type="dxa"/>
            <w:tcBorders>
              <w:top w:val="nil"/>
              <w:left w:val="nil"/>
              <w:bottom w:val="single" w:sz="4" w:space="0" w:color="BFBFBF"/>
              <w:right w:val="single" w:sz="4" w:space="0" w:color="BFBFBF"/>
            </w:tcBorders>
            <w:shd w:val="clear" w:color="auto" w:fill="auto"/>
            <w:noWrap/>
            <w:vAlign w:val="center"/>
          </w:tcPr>
          <w:p w14:paraId="12186838"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71</w:t>
            </w:r>
          </w:p>
        </w:tc>
        <w:tc>
          <w:tcPr>
            <w:tcW w:w="734" w:type="dxa"/>
            <w:tcBorders>
              <w:top w:val="nil"/>
              <w:left w:val="nil"/>
              <w:bottom w:val="single" w:sz="4" w:space="0" w:color="BFBFBF"/>
              <w:right w:val="single" w:sz="4" w:space="0" w:color="BFBFBF"/>
            </w:tcBorders>
            <w:shd w:val="clear" w:color="auto" w:fill="auto"/>
            <w:noWrap/>
            <w:vAlign w:val="center"/>
          </w:tcPr>
          <w:p w14:paraId="4D62F26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67FA2CE3"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398E7A5"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996</w:t>
            </w:r>
          </w:p>
        </w:tc>
        <w:tc>
          <w:tcPr>
            <w:tcW w:w="734" w:type="dxa"/>
            <w:tcBorders>
              <w:top w:val="nil"/>
              <w:left w:val="nil"/>
              <w:bottom w:val="single" w:sz="4" w:space="0" w:color="BFBFBF"/>
              <w:right w:val="single" w:sz="4" w:space="0" w:color="BFBFBF"/>
            </w:tcBorders>
            <w:shd w:val="clear" w:color="auto" w:fill="auto"/>
            <w:noWrap/>
            <w:vAlign w:val="center"/>
          </w:tcPr>
          <w:p w14:paraId="1BFB5CFE"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52B2AA8"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34103338"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60565AC7"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784DDC8F"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Mallee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E13555B"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26BE6432"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7116875C"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0853D34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2DD1234"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54%</w:t>
            </w:r>
          </w:p>
        </w:tc>
        <w:tc>
          <w:tcPr>
            <w:tcW w:w="734" w:type="dxa"/>
            <w:tcBorders>
              <w:top w:val="nil"/>
              <w:left w:val="nil"/>
              <w:bottom w:val="single" w:sz="4" w:space="0" w:color="BFBFBF"/>
              <w:right w:val="single" w:sz="4" w:space="0" w:color="BFBFBF"/>
            </w:tcBorders>
            <w:shd w:val="clear" w:color="auto" w:fill="auto"/>
            <w:noWrap/>
            <w:vAlign w:val="center"/>
          </w:tcPr>
          <w:p w14:paraId="46100C56"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c>
          <w:tcPr>
            <w:tcW w:w="734" w:type="dxa"/>
            <w:tcBorders>
              <w:top w:val="nil"/>
              <w:left w:val="nil"/>
              <w:bottom w:val="single" w:sz="4" w:space="0" w:color="BFBFBF"/>
              <w:right w:val="single" w:sz="4" w:space="0" w:color="BFBFBF"/>
            </w:tcBorders>
            <w:shd w:val="clear" w:color="auto" w:fill="auto"/>
            <w:noWrap/>
            <w:vAlign w:val="center"/>
          </w:tcPr>
          <w:p w14:paraId="70B628F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174E70E3"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74D7055"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849</w:t>
            </w:r>
          </w:p>
        </w:tc>
        <w:tc>
          <w:tcPr>
            <w:tcW w:w="734" w:type="dxa"/>
            <w:tcBorders>
              <w:top w:val="nil"/>
              <w:left w:val="nil"/>
              <w:bottom w:val="single" w:sz="4" w:space="0" w:color="BFBFBF"/>
              <w:right w:val="single" w:sz="4" w:space="0" w:color="BFBFBF"/>
            </w:tcBorders>
            <w:shd w:val="clear" w:color="auto" w:fill="auto"/>
            <w:noWrap/>
            <w:vAlign w:val="center"/>
          </w:tcPr>
          <w:p w14:paraId="30DB4BB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7F569D9"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4CEAA20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3BD04F4B"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6BE570A3"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Loddon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C1F1014"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2EB8BAA4"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7FDCE43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582C0C7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CE7F0A7"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5907F6F5"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46</w:t>
            </w:r>
          </w:p>
        </w:tc>
        <w:tc>
          <w:tcPr>
            <w:tcW w:w="734" w:type="dxa"/>
            <w:tcBorders>
              <w:top w:val="nil"/>
              <w:left w:val="nil"/>
              <w:bottom w:val="single" w:sz="4" w:space="0" w:color="BFBFBF"/>
              <w:right w:val="single" w:sz="4" w:space="0" w:color="BFBFBF"/>
            </w:tcBorders>
            <w:shd w:val="clear" w:color="auto" w:fill="auto"/>
            <w:noWrap/>
            <w:vAlign w:val="center"/>
          </w:tcPr>
          <w:p w14:paraId="2199E90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288C703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EBA48FF"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1,028</w:t>
            </w:r>
          </w:p>
        </w:tc>
        <w:tc>
          <w:tcPr>
            <w:tcW w:w="734" w:type="dxa"/>
            <w:tcBorders>
              <w:top w:val="nil"/>
              <w:left w:val="nil"/>
              <w:bottom w:val="single" w:sz="4" w:space="0" w:color="BFBFBF"/>
              <w:right w:val="single" w:sz="4" w:space="0" w:color="BFBFBF"/>
            </w:tcBorders>
            <w:shd w:val="clear" w:color="auto" w:fill="auto"/>
            <w:noWrap/>
            <w:vAlign w:val="center"/>
          </w:tcPr>
          <w:p w14:paraId="3B8F3601"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017964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23EC5046"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741E95E3"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417ECAC2"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9C7D53">
                  <w:rPr>
                    <w:rFonts w:ascii="Arial" w:hAnsi="Arial" w:cs="Arial"/>
                    <w:color w:val="000000"/>
                    <w:sz w:val="16"/>
                    <w:szCs w:val="16"/>
                    <w:lang w:val="en-AU" w:eastAsia="en-AU"/>
                  </w:rPr>
                  <w:t>Murray</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8355E80"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w:t>
            </w:r>
          </w:p>
        </w:tc>
        <w:tc>
          <w:tcPr>
            <w:tcW w:w="572" w:type="dxa"/>
            <w:tcBorders>
              <w:top w:val="nil"/>
              <w:left w:val="nil"/>
              <w:bottom w:val="single" w:sz="4" w:space="0" w:color="BFBFBF"/>
              <w:right w:val="single" w:sz="4" w:space="0" w:color="BFBFBF"/>
            </w:tcBorders>
            <w:shd w:val="clear" w:color="auto" w:fill="auto"/>
            <w:noWrap/>
            <w:vAlign w:val="center"/>
          </w:tcPr>
          <w:p w14:paraId="72772F29"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500</w:t>
            </w:r>
          </w:p>
        </w:tc>
        <w:tc>
          <w:tcPr>
            <w:tcW w:w="734" w:type="dxa"/>
            <w:tcBorders>
              <w:top w:val="nil"/>
              <w:left w:val="nil"/>
              <w:bottom w:val="single" w:sz="4" w:space="0" w:color="BFBFBF"/>
              <w:right w:val="single" w:sz="4" w:space="0" w:color="BFBFBF"/>
            </w:tcBorders>
            <w:shd w:val="clear" w:color="auto" w:fill="auto"/>
            <w:noWrap/>
            <w:vAlign w:val="center"/>
          </w:tcPr>
          <w:p w14:paraId="61592FDA"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358DB70E"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8B46D67"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96%</w:t>
            </w:r>
          </w:p>
        </w:tc>
        <w:tc>
          <w:tcPr>
            <w:tcW w:w="734" w:type="dxa"/>
            <w:tcBorders>
              <w:top w:val="nil"/>
              <w:left w:val="nil"/>
              <w:bottom w:val="single" w:sz="4" w:space="0" w:color="BFBFBF"/>
              <w:right w:val="single" w:sz="4" w:space="0" w:color="BFBFBF"/>
            </w:tcBorders>
            <w:shd w:val="clear" w:color="auto" w:fill="auto"/>
            <w:noWrap/>
            <w:vAlign w:val="center"/>
          </w:tcPr>
          <w:p w14:paraId="5CD5CFAC"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37</w:t>
            </w:r>
          </w:p>
        </w:tc>
        <w:tc>
          <w:tcPr>
            <w:tcW w:w="734" w:type="dxa"/>
            <w:tcBorders>
              <w:top w:val="nil"/>
              <w:left w:val="nil"/>
              <w:bottom w:val="single" w:sz="4" w:space="0" w:color="BFBFBF"/>
              <w:right w:val="single" w:sz="4" w:space="0" w:color="BFBFBF"/>
            </w:tcBorders>
            <w:shd w:val="clear" w:color="auto" w:fill="auto"/>
            <w:noWrap/>
            <w:vAlign w:val="center"/>
          </w:tcPr>
          <w:p w14:paraId="118CEFB9"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66D557C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196849B"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842</w:t>
            </w:r>
          </w:p>
        </w:tc>
        <w:tc>
          <w:tcPr>
            <w:tcW w:w="734" w:type="dxa"/>
            <w:tcBorders>
              <w:top w:val="nil"/>
              <w:left w:val="nil"/>
              <w:bottom w:val="single" w:sz="4" w:space="0" w:color="BFBFBF"/>
              <w:right w:val="single" w:sz="4" w:space="0" w:color="BFBFBF"/>
            </w:tcBorders>
            <w:shd w:val="clear" w:color="auto" w:fill="auto"/>
            <w:noWrap/>
            <w:vAlign w:val="center"/>
          </w:tcPr>
          <w:p w14:paraId="2669F11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952134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6CBB9A6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3B99B0CA"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54692212"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Goulburn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04CE913"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01966442"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0190F01A"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3057CACC"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30BBFAC"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70%</w:t>
            </w:r>
          </w:p>
        </w:tc>
        <w:tc>
          <w:tcPr>
            <w:tcW w:w="734" w:type="dxa"/>
            <w:tcBorders>
              <w:top w:val="nil"/>
              <w:left w:val="nil"/>
              <w:bottom w:val="single" w:sz="4" w:space="0" w:color="BFBFBF"/>
              <w:right w:val="single" w:sz="4" w:space="0" w:color="BFBFBF"/>
            </w:tcBorders>
            <w:shd w:val="clear" w:color="auto" w:fill="auto"/>
            <w:noWrap/>
            <w:vAlign w:val="center"/>
          </w:tcPr>
          <w:p w14:paraId="64C50695"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58</w:t>
            </w:r>
          </w:p>
        </w:tc>
        <w:tc>
          <w:tcPr>
            <w:tcW w:w="734" w:type="dxa"/>
            <w:tcBorders>
              <w:top w:val="nil"/>
              <w:left w:val="nil"/>
              <w:bottom w:val="single" w:sz="4" w:space="0" w:color="BFBFBF"/>
              <w:right w:val="single" w:sz="4" w:space="0" w:color="BFBFBF"/>
            </w:tcBorders>
            <w:shd w:val="clear" w:color="auto" w:fill="auto"/>
            <w:noWrap/>
            <w:vAlign w:val="center"/>
          </w:tcPr>
          <w:p w14:paraId="759A633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3EDC6E4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97E551C"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863</w:t>
            </w:r>
          </w:p>
        </w:tc>
        <w:tc>
          <w:tcPr>
            <w:tcW w:w="734" w:type="dxa"/>
            <w:tcBorders>
              <w:top w:val="nil"/>
              <w:left w:val="nil"/>
              <w:bottom w:val="single" w:sz="4" w:space="0" w:color="BFBFBF"/>
              <w:right w:val="single" w:sz="4" w:space="0" w:color="BFBFBF"/>
            </w:tcBorders>
            <w:shd w:val="clear" w:color="auto" w:fill="auto"/>
            <w:noWrap/>
            <w:vAlign w:val="center"/>
          </w:tcPr>
          <w:p w14:paraId="6E93CE1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755332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5A990676"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40D8A696"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121FF9A5"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Outer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FB8F49F"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258D751E"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ED2D56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395140D5"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D310D9B"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5DE3F888"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52</w:t>
            </w:r>
          </w:p>
        </w:tc>
        <w:tc>
          <w:tcPr>
            <w:tcW w:w="734" w:type="dxa"/>
            <w:tcBorders>
              <w:top w:val="nil"/>
              <w:left w:val="nil"/>
              <w:bottom w:val="single" w:sz="4" w:space="0" w:color="BFBFBF"/>
              <w:right w:val="single" w:sz="4" w:space="0" w:color="BFBFBF"/>
            </w:tcBorders>
            <w:shd w:val="clear" w:color="auto" w:fill="auto"/>
            <w:noWrap/>
            <w:vAlign w:val="center"/>
          </w:tcPr>
          <w:p w14:paraId="0DC251C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72C6EC2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45E2686"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863</w:t>
            </w:r>
          </w:p>
        </w:tc>
        <w:tc>
          <w:tcPr>
            <w:tcW w:w="734" w:type="dxa"/>
            <w:tcBorders>
              <w:top w:val="nil"/>
              <w:left w:val="nil"/>
              <w:bottom w:val="single" w:sz="4" w:space="0" w:color="BFBFBF"/>
              <w:right w:val="single" w:sz="4" w:space="0" w:color="BFBFBF"/>
            </w:tcBorders>
            <w:shd w:val="clear" w:color="auto" w:fill="auto"/>
            <w:noWrap/>
            <w:vAlign w:val="center"/>
          </w:tcPr>
          <w:p w14:paraId="3AF8CFDA"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64AAA9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29807A18"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237EA1CB"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527BA75A"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Inner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CCFFFE2"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0298794A"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2E71CCD9"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5ECC66D1"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291436E"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79D4B530"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43</w:t>
            </w:r>
          </w:p>
        </w:tc>
        <w:tc>
          <w:tcPr>
            <w:tcW w:w="734" w:type="dxa"/>
            <w:tcBorders>
              <w:top w:val="nil"/>
              <w:left w:val="nil"/>
              <w:bottom w:val="single" w:sz="4" w:space="0" w:color="BFBFBF"/>
              <w:right w:val="single" w:sz="4" w:space="0" w:color="BFBFBF"/>
            </w:tcBorders>
            <w:shd w:val="clear" w:color="auto" w:fill="auto"/>
            <w:noWrap/>
            <w:vAlign w:val="center"/>
          </w:tcPr>
          <w:p w14:paraId="7037F7A8"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2E24E6B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8B49A21"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916</w:t>
            </w:r>
          </w:p>
        </w:tc>
        <w:tc>
          <w:tcPr>
            <w:tcW w:w="734" w:type="dxa"/>
            <w:tcBorders>
              <w:top w:val="nil"/>
              <w:left w:val="nil"/>
              <w:bottom w:val="single" w:sz="4" w:space="0" w:color="BFBFBF"/>
              <w:right w:val="single" w:sz="4" w:space="0" w:color="BFBFBF"/>
            </w:tcBorders>
            <w:shd w:val="clear" w:color="auto" w:fill="auto"/>
            <w:noWrap/>
            <w:vAlign w:val="center"/>
          </w:tcPr>
          <w:p w14:paraId="2389CA0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818CA9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6A218881"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54195F11"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4C11B5EC"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Western District</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E7CFC05"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7BDD2B1F"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6ECC4643"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2DB057E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127F6A1"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71%</w:t>
            </w:r>
          </w:p>
        </w:tc>
        <w:tc>
          <w:tcPr>
            <w:tcW w:w="734" w:type="dxa"/>
            <w:tcBorders>
              <w:top w:val="nil"/>
              <w:left w:val="nil"/>
              <w:bottom w:val="single" w:sz="4" w:space="0" w:color="BFBFBF"/>
              <w:right w:val="single" w:sz="4" w:space="0" w:color="BFBFBF"/>
            </w:tcBorders>
            <w:shd w:val="clear" w:color="auto" w:fill="auto"/>
            <w:noWrap/>
            <w:vAlign w:val="center"/>
          </w:tcPr>
          <w:p w14:paraId="552D588D"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26</w:t>
            </w:r>
          </w:p>
        </w:tc>
        <w:tc>
          <w:tcPr>
            <w:tcW w:w="734" w:type="dxa"/>
            <w:tcBorders>
              <w:top w:val="nil"/>
              <w:left w:val="nil"/>
              <w:bottom w:val="single" w:sz="4" w:space="0" w:color="BFBFBF"/>
              <w:right w:val="single" w:sz="4" w:space="0" w:color="BFBFBF"/>
            </w:tcBorders>
            <w:shd w:val="clear" w:color="auto" w:fill="auto"/>
            <w:noWrap/>
            <w:vAlign w:val="center"/>
          </w:tcPr>
          <w:p w14:paraId="47AAFFC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06242881"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43285DA"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753</w:t>
            </w:r>
          </w:p>
        </w:tc>
        <w:tc>
          <w:tcPr>
            <w:tcW w:w="734" w:type="dxa"/>
            <w:tcBorders>
              <w:top w:val="nil"/>
              <w:left w:val="nil"/>
              <w:bottom w:val="single" w:sz="4" w:space="0" w:color="BFBFBF"/>
              <w:right w:val="single" w:sz="4" w:space="0" w:color="BFBFBF"/>
            </w:tcBorders>
            <w:shd w:val="clear" w:color="auto" w:fill="auto"/>
            <w:noWrap/>
            <w:vAlign w:val="center"/>
          </w:tcPr>
          <w:p w14:paraId="1145BD63"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B7F337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19E728EA"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1DF59A57"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6C60E2A5"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Barwon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BE3BB1E"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4A8E4C62"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5015275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56920E7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C42B6DD"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666E13E0"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w:t>
            </w:r>
          </w:p>
        </w:tc>
        <w:tc>
          <w:tcPr>
            <w:tcW w:w="734" w:type="dxa"/>
            <w:tcBorders>
              <w:top w:val="nil"/>
              <w:left w:val="nil"/>
              <w:bottom w:val="single" w:sz="4" w:space="0" w:color="BFBFBF"/>
              <w:right w:val="single" w:sz="4" w:space="0" w:color="BFBFBF"/>
            </w:tcBorders>
            <w:shd w:val="clear" w:color="auto" w:fill="auto"/>
            <w:noWrap/>
            <w:vAlign w:val="center"/>
          </w:tcPr>
          <w:p w14:paraId="27FD5F2E"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3E392348"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10B4425"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842</w:t>
            </w:r>
          </w:p>
        </w:tc>
        <w:tc>
          <w:tcPr>
            <w:tcW w:w="734" w:type="dxa"/>
            <w:tcBorders>
              <w:top w:val="nil"/>
              <w:left w:val="nil"/>
              <w:bottom w:val="single" w:sz="4" w:space="0" w:color="BFBFBF"/>
              <w:right w:val="single" w:sz="4" w:space="0" w:color="BFBFBF"/>
            </w:tcBorders>
            <w:shd w:val="clear" w:color="auto" w:fill="auto"/>
            <w:noWrap/>
            <w:vAlign w:val="center"/>
          </w:tcPr>
          <w:p w14:paraId="184201C1"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74A197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30BEACB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0D93646F"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bottom"/>
          </w:tcPr>
          <w:p w14:paraId="722EC09D"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Central Highlands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6A02C0B"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49C64FC7"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57EF5E75"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539" w:type="dxa"/>
            <w:tcBorders>
              <w:top w:val="nil"/>
              <w:left w:val="nil"/>
              <w:bottom w:val="single" w:sz="4" w:space="0" w:color="BFBFBF"/>
              <w:right w:val="single" w:sz="4" w:space="0" w:color="auto"/>
            </w:tcBorders>
            <w:shd w:val="clear" w:color="auto" w:fill="auto"/>
            <w:noWrap/>
            <w:vAlign w:val="center"/>
          </w:tcPr>
          <w:p w14:paraId="15078E31"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DE69F8D"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78%</w:t>
            </w:r>
          </w:p>
        </w:tc>
        <w:tc>
          <w:tcPr>
            <w:tcW w:w="734" w:type="dxa"/>
            <w:tcBorders>
              <w:top w:val="nil"/>
              <w:left w:val="nil"/>
              <w:bottom w:val="single" w:sz="4" w:space="0" w:color="BFBFBF"/>
              <w:right w:val="single" w:sz="4" w:space="0" w:color="BFBFBF"/>
            </w:tcBorders>
            <w:shd w:val="clear" w:color="auto" w:fill="auto"/>
            <w:noWrap/>
            <w:vAlign w:val="center"/>
          </w:tcPr>
          <w:p w14:paraId="7383D570"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74</w:t>
            </w:r>
          </w:p>
        </w:tc>
        <w:tc>
          <w:tcPr>
            <w:tcW w:w="734" w:type="dxa"/>
            <w:tcBorders>
              <w:top w:val="nil"/>
              <w:left w:val="nil"/>
              <w:bottom w:val="single" w:sz="4" w:space="0" w:color="BFBFBF"/>
              <w:right w:val="single" w:sz="4" w:space="0" w:color="BFBFBF"/>
            </w:tcBorders>
            <w:shd w:val="clear" w:color="auto" w:fill="auto"/>
            <w:noWrap/>
            <w:vAlign w:val="center"/>
          </w:tcPr>
          <w:p w14:paraId="23A01523"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auto"/>
            </w:tcBorders>
            <w:shd w:val="clear" w:color="auto" w:fill="auto"/>
            <w:noWrap/>
            <w:vAlign w:val="center"/>
          </w:tcPr>
          <w:p w14:paraId="4F57A579"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073F0EA"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1,247</w:t>
            </w:r>
          </w:p>
        </w:tc>
        <w:tc>
          <w:tcPr>
            <w:tcW w:w="734" w:type="dxa"/>
            <w:tcBorders>
              <w:top w:val="nil"/>
              <w:left w:val="nil"/>
              <w:bottom w:val="single" w:sz="4" w:space="0" w:color="BFBFBF"/>
              <w:right w:val="single" w:sz="4" w:space="0" w:color="BFBFBF"/>
            </w:tcBorders>
            <w:shd w:val="clear" w:color="auto" w:fill="auto"/>
            <w:noWrap/>
            <w:vAlign w:val="center"/>
          </w:tcPr>
          <w:p w14:paraId="2AEE38A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000D51C"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0AFC569C"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n/a</w:t>
            </w:r>
          </w:p>
        </w:tc>
      </w:tr>
      <w:tr w:rsidR="001B4678" w:rsidRPr="009C7D53" w14:paraId="325695D6"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6A80ADEB" w14:textId="77777777" w:rsidR="001B4678" w:rsidRPr="009C7D53" w:rsidRDefault="001B4678"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Concession Status -</w:t>
            </w:r>
          </w:p>
        </w:tc>
        <w:tc>
          <w:tcPr>
            <w:tcW w:w="734" w:type="dxa"/>
            <w:tcBorders>
              <w:top w:val="single" w:sz="4" w:space="0" w:color="BFBFBF"/>
              <w:left w:val="single" w:sz="4" w:space="0" w:color="auto"/>
              <w:bottom w:val="single" w:sz="4" w:space="0" w:color="BFBFBF"/>
              <w:right w:val="single" w:sz="4" w:space="0" w:color="BFBFBF"/>
            </w:tcBorders>
            <w:shd w:val="clear" w:color="auto" w:fill="auto"/>
            <w:noWrap/>
            <w:vAlign w:val="center"/>
          </w:tcPr>
          <w:p w14:paraId="659D0808"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72" w:type="dxa"/>
            <w:tcBorders>
              <w:top w:val="single" w:sz="4" w:space="0" w:color="BFBFBF"/>
              <w:left w:val="nil"/>
              <w:bottom w:val="single" w:sz="4" w:space="0" w:color="BFBFBF"/>
              <w:right w:val="single" w:sz="4" w:space="0" w:color="BFBFBF"/>
            </w:tcBorders>
            <w:shd w:val="clear" w:color="auto" w:fill="auto"/>
            <w:noWrap/>
            <w:vAlign w:val="center"/>
          </w:tcPr>
          <w:p w14:paraId="5449F7D1"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4B4EFC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39" w:type="dxa"/>
            <w:tcBorders>
              <w:top w:val="nil"/>
              <w:left w:val="nil"/>
              <w:bottom w:val="single" w:sz="4" w:space="0" w:color="BFBFBF"/>
              <w:right w:val="single" w:sz="4" w:space="0" w:color="auto"/>
            </w:tcBorders>
            <w:shd w:val="clear" w:color="auto" w:fill="auto"/>
            <w:noWrap/>
            <w:vAlign w:val="center"/>
          </w:tcPr>
          <w:p w14:paraId="1C5EAF5C"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single" w:sz="4" w:space="0" w:color="BFBFBF"/>
              <w:left w:val="nil"/>
              <w:bottom w:val="single" w:sz="4" w:space="0" w:color="BFBFBF"/>
              <w:right w:val="single" w:sz="4" w:space="0" w:color="BFBFBF"/>
            </w:tcBorders>
            <w:shd w:val="clear" w:color="auto" w:fill="auto"/>
            <w:noWrap/>
            <w:vAlign w:val="center"/>
          </w:tcPr>
          <w:p w14:paraId="777A13A4"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single" w:sz="4" w:space="0" w:color="BFBFBF"/>
              <w:left w:val="nil"/>
              <w:bottom w:val="single" w:sz="4" w:space="0" w:color="BFBFBF"/>
              <w:right w:val="single" w:sz="4" w:space="0" w:color="BFBFBF"/>
            </w:tcBorders>
            <w:shd w:val="clear" w:color="auto" w:fill="auto"/>
            <w:noWrap/>
            <w:vAlign w:val="center"/>
          </w:tcPr>
          <w:p w14:paraId="215075C3"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6C284F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0F74E53C"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single" w:sz="4" w:space="0" w:color="BFBFBF"/>
              <w:left w:val="nil"/>
              <w:bottom w:val="single" w:sz="4" w:space="0" w:color="BFBFBF"/>
              <w:right w:val="single" w:sz="4" w:space="0" w:color="BFBFBF"/>
            </w:tcBorders>
            <w:shd w:val="clear" w:color="auto" w:fill="auto"/>
            <w:noWrap/>
            <w:vAlign w:val="center"/>
          </w:tcPr>
          <w:p w14:paraId="128AE3ED"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556A641"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834FD6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43EB3B81"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1B4678" w:rsidRPr="009C7D53" w14:paraId="71418068"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3EBF01A4"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Aged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0AED4AF"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0E220AD4"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4B0624E8"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539" w:type="dxa"/>
            <w:tcBorders>
              <w:top w:val="nil"/>
              <w:left w:val="nil"/>
              <w:bottom w:val="single" w:sz="4" w:space="0" w:color="BFBFBF"/>
              <w:right w:val="single" w:sz="4" w:space="0" w:color="auto"/>
            </w:tcBorders>
            <w:shd w:val="clear" w:color="auto" w:fill="auto"/>
            <w:noWrap/>
            <w:vAlign w:val="center"/>
          </w:tcPr>
          <w:p w14:paraId="45C2B378"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596BDE9B"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1A47BC40"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60</w:t>
            </w:r>
          </w:p>
        </w:tc>
        <w:tc>
          <w:tcPr>
            <w:tcW w:w="734" w:type="dxa"/>
            <w:tcBorders>
              <w:top w:val="nil"/>
              <w:left w:val="nil"/>
              <w:bottom w:val="single" w:sz="4" w:space="0" w:color="BFBFBF"/>
              <w:right w:val="single" w:sz="4" w:space="0" w:color="BFBFBF"/>
            </w:tcBorders>
            <w:shd w:val="clear" w:color="auto" w:fill="auto"/>
            <w:noWrap/>
            <w:vAlign w:val="center"/>
          </w:tcPr>
          <w:p w14:paraId="4D0D91D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c>
          <w:tcPr>
            <w:tcW w:w="617" w:type="dxa"/>
            <w:tcBorders>
              <w:top w:val="nil"/>
              <w:left w:val="nil"/>
              <w:bottom w:val="single" w:sz="4" w:space="0" w:color="BFBFBF"/>
              <w:right w:val="single" w:sz="4" w:space="0" w:color="auto"/>
            </w:tcBorders>
            <w:shd w:val="clear" w:color="auto" w:fill="auto"/>
            <w:noWrap/>
            <w:vAlign w:val="center"/>
          </w:tcPr>
          <w:p w14:paraId="1CA157A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74AC5404"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885</w:t>
            </w:r>
          </w:p>
        </w:tc>
        <w:tc>
          <w:tcPr>
            <w:tcW w:w="734" w:type="dxa"/>
            <w:tcBorders>
              <w:top w:val="nil"/>
              <w:left w:val="nil"/>
              <w:bottom w:val="single" w:sz="4" w:space="0" w:color="BFBFBF"/>
              <w:right w:val="single" w:sz="4" w:space="0" w:color="BFBFBF"/>
            </w:tcBorders>
            <w:shd w:val="clear" w:color="auto" w:fill="auto"/>
            <w:noWrap/>
            <w:vAlign w:val="center"/>
          </w:tcPr>
          <w:p w14:paraId="1220200E"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596</w:t>
            </w:r>
          </w:p>
        </w:tc>
        <w:tc>
          <w:tcPr>
            <w:tcW w:w="734" w:type="dxa"/>
            <w:tcBorders>
              <w:top w:val="nil"/>
              <w:left w:val="nil"/>
              <w:bottom w:val="single" w:sz="4" w:space="0" w:color="BFBFBF"/>
              <w:right w:val="single" w:sz="4" w:space="0" w:color="BFBFBF"/>
            </w:tcBorders>
            <w:shd w:val="clear" w:color="auto" w:fill="auto"/>
            <w:noWrap/>
            <w:vAlign w:val="center"/>
          </w:tcPr>
          <w:p w14:paraId="757A83A3"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402</w:t>
            </w:r>
          </w:p>
        </w:tc>
        <w:tc>
          <w:tcPr>
            <w:tcW w:w="734" w:type="dxa"/>
            <w:tcBorders>
              <w:top w:val="nil"/>
              <w:left w:val="nil"/>
              <w:bottom w:val="single" w:sz="4" w:space="0" w:color="BFBFBF"/>
              <w:right w:val="double" w:sz="6" w:space="0" w:color="auto"/>
            </w:tcBorders>
            <w:shd w:val="clear" w:color="auto" w:fill="auto"/>
            <w:noWrap/>
            <w:vAlign w:val="center"/>
          </w:tcPr>
          <w:p w14:paraId="7818FA26"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338</w:t>
            </w:r>
          </w:p>
        </w:tc>
      </w:tr>
      <w:tr w:rsidR="001B4678" w:rsidRPr="009C7D53" w14:paraId="7E097031"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78E818AE"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Other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B07B1A2"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72" w:type="dxa"/>
            <w:tcBorders>
              <w:top w:val="nil"/>
              <w:left w:val="nil"/>
              <w:bottom w:val="single" w:sz="4" w:space="0" w:color="BFBFBF"/>
              <w:right w:val="single" w:sz="4" w:space="0" w:color="BFBFBF"/>
            </w:tcBorders>
            <w:shd w:val="clear" w:color="auto" w:fill="auto"/>
            <w:noWrap/>
            <w:vAlign w:val="center"/>
          </w:tcPr>
          <w:p w14:paraId="71369FBD"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500</w:t>
            </w:r>
          </w:p>
        </w:tc>
        <w:tc>
          <w:tcPr>
            <w:tcW w:w="734" w:type="dxa"/>
            <w:tcBorders>
              <w:top w:val="nil"/>
              <w:left w:val="nil"/>
              <w:bottom w:val="single" w:sz="4" w:space="0" w:color="BFBFBF"/>
              <w:right w:val="single" w:sz="4" w:space="0" w:color="BFBFBF"/>
            </w:tcBorders>
            <w:shd w:val="clear" w:color="auto" w:fill="auto"/>
            <w:noWrap/>
            <w:vAlign w:val="center"/>
          </w:tcPr>
          <w:p w14:paraId="579B1AA8"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39" w:type="dxa"/>
            <w:tcBorders>
              <w:top w:val="nil"/>
              <w:left w:val="nil"/>
              <w:bottom w:val="single" w:sz="4" w:space="0" w:color="BFBFBF"/>
              <w:right w:val="single" w:sz="4" w:space="0" w:color="auto"/>
            </w:tcBorders>
            <w:shd w:val="clear" w:color="auto" w:fill="auto"/>
            <w:noWrap/>
            <w:vAlign w:val="center"/>
          </w:tcPr>
          <w:p w14:paraId="745A88C1"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503D3944"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57CAC7EF"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61</w:t>
            </w:r>
          </w:p>
        </w:tc>
        <w:tc>
          <w:tcPr>
            <w:tcW w:w="734" w:type="dxa"/>
            <w:tcBorders>
              <w:top w:val="nil"/>
              <w:left w:val="nil"/>
              <w:bottom w:val="single" w:sz="4" w:space="0" w:color="BFBFBF"/>
              <w:right w:val="single" w:sz="4" w:space="0" w:color="BFBFBF"/>
            </w:tcBorders>
            <w:shd w:val="clear" w:color="auto" w:fill="auto"/>
            <w:noWrap/>
            <w:vAlign w:val="center"/>
          </w:tcPr>
          <w:p w14:paraId="1964FAB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28%</w:t>
            </w:r>
          </w:p>
        </w:tc>
        <w:tc>
          <w:tcPr>
            <w:tcW w:w="617" w:type="dxa"/>
            <w:tcBorders>
              <w:top w:val="nil"/>
              <w:left w:val="nil"/>
              <w:bottom w:val="single" w:sz="4" w:space="0" w:color="BFBFBF"/>
              <w:right w:val="single" w:sz="4" w:space="0" w:color="auto"/>
            </w:tcBorders>
            <w:shd w:val="clear" w:color="auto" w:fill="auto"/>
            <w:noWrap/>
            <w:vAlign w:val="center"/>
          </w:tcPr>
          <w:p w14:paraId="51F1E3C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49</w:t>
            </w:r>
          </w:p>
        </w:tc>
        <w:tc>
          <w:tcPr>
            <w:tcW w:w="734" w:type="dxa"/>
            <w:tcBorders>
              <w:top w:val="nil"/>
              <w:left w:val="nil"/>
              <w:bottom w:val="single" w:sz="4" w:space="0" w:color="BFBFBF"/>
              <w:right w:val="single" w:sz="4" w:space="0" w:color="BFBFBF"/>
            </w:tcBorders>
            <w:shd w:val="clear" w:color="auto" w:fill="auto"/>
            <w:noWrap/>
            <w:vAlign w:val="center"/>
          </w:tcPr>
          <w:p w14:paraId="47BBA806"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899</w:t>
            </w:r>
          </w:p>
        </w:tc>
        <w:tc>
          <w:tcPr>
            <w:tcW w:w="734" w:type="dxa"/>
            <w:tcBorders>
              <w:top w:val="nil"/>
              <w:left w:val="nil"/>
              <w:bottom w:val="single" w:sz="4" w:space="0" w:color="BFBFBF"/>
              <w:right w:val="single" w:sz="4" w:space="0" w:color="BFBFBF"/>
            </w:tcBorders>
            <w:shd w:val="clear" w:color="auto" w:fill="auto"/>
            <w:noWrap/>
            <w:vAlign w:val="center"/>
          </w:tcPr>
          <w:p w14:paraId="0529D58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688</w:t>
            </w:r>
          </w:p>
        </w:tc>
        <w:tc>
          <w:tcPr>
            <w:tcW w:w="734" w:type="dxa"/>
            <w:tcBorders>
              <w:top w:val="nil"/>
              <w:left w:val="nil"/>
              <w:bottom w:val="single" w:sz="4" w:space="0" w:color="BFBFBF"/>
              <w:right w:val="single" w:sz="4" w:space="0" w:color="BFBFBF"/>
            </w:tcBorders>
            <w:shd w:val="clear" w:color="auto" w:fill="auto"/>
            <w:noWrap/>
            <w:vAlign w:val="center"/>
          </w:tcPr>
          <w:p w14:paraId="30F0A236"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444</w:t>
            </w:r>
          </w:p>
        </w:tc>
        <w:tc>
          <w:tcPr>
            <w:tcW w:w="734" w:type="dxa"/>
            <w:tcBorders>
              <w:top w:val="nil"/>
              <w:left w:val="nil"/>
              <w:bottom w:val="single" w:sz="4" w:space="0" w:color="BFBFBF"/>
              <w:right w:val="double" w:sz="6" w:space="0" w:color="auto"/>
            </w:tcBorders>
            <w:shd w:val="clear" w:color="auto" w:fill="auto"/>
            <w:noWrap/>
            <w:vAlign w:val="center"/>
          </w:tcPr>
          <w:p w14:paraId="1A8BBE1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357</w:t>
            </w:r>
          </w:p>
        </w:tc>
      </w:tr>
      <w:tr w:rsidR="001B4678" w:rsidRPr="009C7D53" w14:paraId="2D26E4B3"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4B220C33"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Total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43AD8DD"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72" w:type="dxa"/>
            <w:tcBorders>
              <w:top w:val="nil"/>
              <w:left w:val="nil"/>
              <w:bottom w:val="single" w:sz="4" w:space="0" w:color="BFBFBF"/>
              <w:right w:val="single" w:sz="4" w:space="0" w:color="BFBFBF"/>
            </w:tcBorders>
            <w:shd w:val="clear" w:color="auto" w:fill="auto"/>
            <w:noWrap/>
            <w:vAlign w:val="center"/>
          </w:tcPr>
          <w:p w14:paraId="109E9C69"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500</w:t>
            </w:r>
          </w:p>
        </w:tc>
        <w:tc>
          <w:tcPr>
            <w:tcW w:w="734" w:type="dxa"/>
            <w:tcBorders>
              <w:top w:val="nil"/>
              <w:left w:val="nil"/>
              <w:bottom w:val="single" w:sz="4" w:space="0" w:color="BFBFBF"/>
              <w:right w:val="single" w:sz="4" w:space="0" w:color="BFBFBF"/>
            </w:tcBorders>
            <w:shd w:val="clear" w:color="auto" w:fill="auto"/>
            <w:noWrap/>
            <w:vAlign w:val="center"/>
          </w:tcPr>
          <w:p w14:paraId="2FE3210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w:t>
            </w:r>
          </w:p>
        </w:tc>
        <w:tc>
          <w:tcPr>
            <w:tcW w:w="539" w:type="dxa"/>
            <w:tcBorders>
              <w:top w:val="nil"/>
              <w:left w:val="nil"/>
              <w:bottom w:val="single" w:sz="4" w:space="0" w:color="BFBFBF"/>
              <w:right w:val="single" w:sz="4" w:space="0" w:color="auto"/>
            </w:tcBorders>
            <w:shd w:val="clear" w:color="auto" w:fill="auto"/>
            <w:noWrap/>
            <w:vAlign w:val="center"/>
          </w:tcPr>
          <w:p w14:paraId="37766B1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54F867D7"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58B48C4E"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61</w:t>
            </w:r>
          </w:p>
        </w:tc>
        <w:tc>
          <w:tcPr>
            <w:tcW w:w="734" w:type="dxa"/>
            <w:tcBorders>
              <w:top w:val="nil"/>
              <w:left w:val="nil"/>
              <w:bottom w:val="single" w:sz="4" w:space="0" w:color="BFBFBF"/>
              <w:right w:val="single" w:sz="4" w:space="0" w:color="BFBFBF"/>
            </w:tcBorders>
            <w:shd w:val="clear" w:color="auto" w:fill="auto"/>
            <w:noWrap/>
            <w:vAlign w:val="center"/>
          </w:tcPr>
          <w:p w14:paraId="2177671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26%</w:t>
            </w:r>
          </w:p>
        </w:tc>
        <w:tc>
          <w:tcPr>
            <w:tcW w:w="617" w:type="dxa"/>
            <w:tcBorders>
              <w:top w:val="nil"/>
              <w:left w:val="nil"/>
              <w:bottom w:val="single" w:sz="4" w:space="0" w:color="BFBFBF"/>
              <w:right w:val="single" w:sz="4" w:space="0" w:color="auto"/>
            </w:tcBorders>
            <w:shd w:val="clear" w:color="auto" w:fill="auto"/>
            <w:noWrap/>
            <w:vAlign w:val="center"/>
          </w:tcPr>
          <w:p w14:paraId="7CBA1C7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66</w:t>
            </w:r>
          </w:p>
        </w:tc>
        <w:tc>
          <w:tcPr>
            <w:tcW w:w="734" w:type="dxa"/>
            <w:tcBorders>
              <w:top w:val="nil"/>
              <w:left w:val="nil"/>
              <w:bottom w:val="single" w:sz="4" w:space="0" w:color="BFBFBF"/>
              <w:right w:val="single" w:sz="4" w:space="0" w:color="BFBFBF"/>
            </w:tcBorders>
            <w:shd w:val="clear" w:color="auto" w:fill="auto"/>
            <w:noWrap/>
            <w:vAlign w:val="center"/>
          </w:tcPr>
          <w:p w14:paraId="0AE2F5E6"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892</w:t>
            </w:r>
          </w:p>
        </w:tc>
        <w:tc>
          <w:tcPr>
            <w:tcW w:w="734" w:type="dxa"/>
            <w:tcBorders>
              <w:top w:val="nil"/>
              <w:left w:val="nil"/>
              <w:bottom w:val="single" w:sz="4" w:space="0" w:color="BFBFBF"/>
              <w:right w:val="single" w:sz="4" w:space="0" w:color="BFBFBF"/>
            </w:tcBorders>
            <w:shd w:val="clear" w:color="auto" w:fill="auto"/>
            <w:noWrap/>
            <w:vAlign w:val="center"/>
          </w:tcPr>
          <w:p w14:paraId="400024FD"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640</w:t>
            </w:r>
          </w:p>
        </w:tc>
        <w:tc>
          <w:tcPr>
            <w:tcW w:w="734" w:type="dxa"/>
            <w:tcBorders>
              <w:top w:val="nil"/>
              <w:left w:val="nil"/>
              <w:bottom w:val="single" w:sz="4" w:space="0" w:color="BFBFBF"/>
              <w:right w:val="single" w:sz="4" w:space="0" w:color="BFBFBF"/>
            </w:tcBorders>
            <w:shd w:val="clear" w:color="auto" w:fill="auto"/>
            <w:noWrap/>
            <w:vAlign w:val="center"/>
          </w:tcPr>
          <w:p w14:paraId="6097CCBC"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423</w:t>
            </w:r>
          </w:p>
        </w:tc>
        <w:tc>
          <w:tcPr>
            <w:tcW w:w="734" w:type="dxa"/>
            <w:tcBorders>
              <w:top w:val="nil"/>
              <w:left w:val="nil"/>
              <w:bottom w:val="single" w:sz="4" w:space="0" w:color="BFBFBF"/>
              <w:right w:val="double" w:sz="6" w:space="0" w:color="auto"/>
            </w:tcBorders>
            <w:shd w:val="clear" w:color="auto" w:fill="auto"/>
            <w:noWrap/>
            <w:vAlign w:val="center"/>
          </w:tcPr>
          <w:p w14:paraId="3A96256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347</w:t>
            </w:r>
          </w:p>
        </w:tc>
      </w:tr>
      <w:tr w:rsidR="001B4678" w:rsidRPr="009C7D53" w14:paraId="53C3A266" w14:textId="77777777" w:rsidTr="001B4678">
        <w:trPr>
          <w:trHeight w:val="225"/>
          <w:jc w:val="center"/>
        </w:trPr>
        <w:tc>
          <w:tcPr>
            <w:tcW w:w="2320" w:type="dxa"/>
            <w:tcBorders>
              <w:top w:val="single" w:sz="4" w:space="0" w:color="BFBFBF"/>
              <w:left w:val="double" w:sz="6" w:space="0" w:color="auto"/>
              <w:bottom w:val="double" w:sz="4" w:space="0" w:color="auto"/>
              <w:right w:val="nil"/>
            </w:tcBorders>
            <w:shd w:val="clear" w:color="auto" w:fill="auto"/>
            <w:noWrap/>
            <w:vAlign w:val="center"/>
          </w:tcPr>
          <w:p w14:paraId="4820648B" w14:textId="77777777" w:rsidR="001B4678" w:rsidRPr="009C7D53" w:rsidRDefault="001B4678" w:rsidP="0067791B">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 xml:space="preserve">Non-Concession HHs </w:t>
            </w:r>
            <w:r w:rsidRPr="009C7D53">
              <w:rPr>
                <w:rFonts w:ascii="Arial" w:hAnsi="Arial" w:cs="Arial"/>
                <w:color w:val="000000"/>
                <w:sz w:val="16"/>
                <w:szCs w:val="16"/>
                <w:vertAlign w:val="superscript"/>
                <w:lang w:val="en-AU" w:eastAsia="en-AU"/>
              </w:rPr>
              <w:t>1</w:t>
            </w:r>
          </w:p>
        </w:tc>
        <w:tc>
          <w:tcPr>
            <w:tcW w:w="734"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1DBE0735"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72" w:type="dxa"/>
            <w:tcBorders>
              <w:top w:val="single" w:sz="4" w:space="0" w:color="BFBFBF"/>
              <w:left w:val="nil"/>
              <w:bottom w:val="double" w:sz="4" w:space="0" w:color="auto"/>
              <w:right w:val="single" w:sz="4" w:space="0" w:color="BFBFBF"/>
            </w:tcBorders>
            <w:shd w:val="clear" w:color="auto" w:fill="auto"/>
            <w:noWrap/>
            <w:vAlign w:val="center"/>
          </w:tcPr>
          <w:p w14:paraId="1E274683"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63C8C34A"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39" w:type="dxa"/>
            <w:tcBorders>
              <w:top w:val="single" w:sz="4" w:space="0" w:color="BFBFBF"/>
              <w:left w:val="nil"/>
              <w:bottom w:val="double" w:sz="4" w:space="0" w:color="auto"/>
              <w:right w:val="single" w:sz="4" w:space="0" w:color="auto"/>
            </w:tcBorders>
            <w:shd w:val="clear" w:color="auto" w:fill="auto"/>
            <w:noWrap/>
            <w:vAlign w:val="center"/>
          </w:tcPr>
          <w:p w14:paraId="27F8D476"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0FFB7FE6"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3E66438A"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59</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7439ECAE"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26%</w:t>
            </w:r>
          </w:p>
        </w:tc>
        <w:tc>
          <w:tcPr>
            <w:tcW w:w="617" w:type="dxa"/>
            <w:tcBorders>
              <w:top w:val="single" w:sz="4" w:space="0" w:color="BFBFBF"/>
              <w:left w:val="nil"/>
              <w:bottom w:val="double" w:sz="4" w:space="0" w:color="auto"/>
              <w:right w:val="single" w:sz="4" w:space="0" w:color="auto"/>
            </w:tcBorders>
            <w:shd w:val="clear" w:color="auto" w:fill="auto"/>
            <w:noWrap/>
            <w:vAlign w:val="center"/>
          </w:tcPr>
          <w:p w14:paraId="6D39D076"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5DFF2571" w14:textId="77777777" w:rsidR="001B4678" w:rsidRPr="009C7D53" w:rsidRDefault="001B4678" w:rsidP="001B467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1,050</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204C5384"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737</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2B2CC546"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545</w:t>
            </w:r>
          </w:p>
        </w:tc>
        <w:tc>
          <w:tcPr>
            <w:tcW w:w="734" w:type="dxa"/>
            <w:tcBorders>
              <w:top w:val="single" w:sz="4" w:space="0" w:color="BFBFBF"/>
              <w:left w:val="nil"/>
              <w:bottom w:val="double" w:sz="4" w:space="0" w:color="auto"/>
              <w:right w:val="double" w:sz="6" w:space="0" w:color="auto"/>
            </w:tcBorders>
            <w:shd w:val="clear" w:color="auto" w:fill="auto"/>
            <w:noWrap/>
            <w:vAlign w:val="center"/>
          </w:tcPr>
          <w:p w14:paraId="6F98CB7E"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458</w:t>
            </w:r>
          </w:p>
        </w:tc>
      </w:tr>
      <w:tr w:rsidR="001B4678" w:rsidRPr="009C7D53" w14:paraId="6DA5004F" w14:textId="77777777" w:rsidTr="001B4678">
        <w:trPr>
          <w:trHeight w:val="225"/>
          <w:jc w:val="center"/>
        </w:trPr>
        <w:tc>
          <w:tcPr>
            <w:tcW w:w="2320" w:type="dxa"/>
            <w:tcBorders>
              <w:top w:val="double" w:sz="4" w:space="0" w:color="auto"/>
            </w:tcBorders>
            <w:shd w:val="clear" w:color="auto" w:fill="auto"/>
            <w:noWrap/>
            <w:vAlign w:val="center"/>
          </w:tcPr>
          <w:p w14:paraId="133A0630" w14:textId="77777777" w:rsidR="001B4678" w:rsidRDefault="001B4678" w:rsidP="00F77388">
            <w:pPr>
              <w:spacing w:before="0" w:after="0"/>
              <w:rPr>
                <w:rFonts w:ascii="Arial" w:hAnsi="Arial" w:cs="Arial"/>
                <w:bCs/>
                <w:color w:val="000000"/>
                <w:sz w:val="16"/>
                <w:szCs w:val="16"/>
                <w:lang w:val="en-AU" w:eastAsia="en-AU"/>
              </w:rPr>
            </w:pPr>
            <w:r w:rsidRPr="009C7D53">
              <w:rPr>
                <w:rFonts w:ascii="Arial" w:hAnsi="Arial" w:cs="Arial"/>
                <w:bCs/>
                <w:color w:val="000000"/>
                <w:sz w:val="16"/>
                <w:szCs w:val="16"/>
                <w:lang w:val="en-AU" w:eastAsia="en-AU"/>
              </w:rPr>
              <w:t>Continued on next page</w:t>
            </w:r>
          </w:p>
          <w:p w14:paraId="340C1ED4" w14:textId="77777777" w:rsidR="00F908A7" w:rsidRDefault="00F908A7" w:rsidP="00F77388">
            <w:pPr>
              <w:spacing w:before="0" w:after="0"/>
              <w:rPr>
                <w:rFonts w:ascii="Arial" w:hAnsi="Arial" w:cs="Arial"/>
                <w:bCs/>
                <w:color w:val="000000"/>
                <w:sz w:val="16"/>
                <w:szCs w:val="16"/>
                <w:lang w:val="en-AU" w:eastAsia="en-AU"/>
              </w:rPr>
            </w:pPr>
          </w:p>
          <w:p w14:paraId="5007781E" w14:textId="77777777" w:rsidR="00F908A7" w:rsidRPr="009C7D53" w:rsidRDefault="00F908A7" w:rsidP="00F77388">
            <w:pPr>
              <w:spacing w:before="0" w:after="0"/>
              <w:rPr>
                <w:rFonts w:ascii="Arial" w:hAnsi="Arial" w:cs="Arial"/>
                <w:bCs/>
                <w:color w:val="000000"/>
                <w:sz w:val="16"/>
                <w:szCs w:val="16"/>
                <w:lang w:val="en-AU" w:eastAsia="en-AU"/>
              </w:rPr>
            </w:pPr>
          </w:p>
        </w:tc>
        <w:tc>
          <w:tcPr>
            <w:tcW w:w="734" w:type="dxa"/>
            <w:tcBorders>
              <w:top w:val="double" w:sz="4" w:space="0" w:color="auto"/>
            </w:tcBorders>
            <w:shd w:val="clear" w:color="auto" w:fill="auto"/>
            <w:noWrap/>
            <w:vAlign w:val="center"/>
          </w:tcPr>
          <w:p w14:paraId="4997ED37" w14:textId="77777777" w:rsidR="001B4678" w:rsidRPr="009C7D53" w:rsidRDefault="001B4678" w:rsidP="00F77388">
            <w:pPr>
              <w:spacing w:before="0" w:after="0"/>
              <w:jc w:val="center"/>
              <w:rPr>
                <w:rFonts w:ascii="Arial" w:hAnsi="Arial" w:cs="Arial"/>
                <w:color w:val="000000"/>
                <w:sz w:val="16"/>
                <w:szCs w:val="16"/>
                <w:lang w:val="en-AU" w:eastAsia="en-AU"/>
              </w:rPr>
            </w:pPr>
          </w:p>
        </w:tc>
        <w:tc>
          <w:tcPr>
            <w:tcW w:w="572" w:type="dxa"/>
            <w:tcBorders>
              <w:top w:val="double" w:sz="4" w:space="0" w:color="auto"/>
            </w:tcBorders>
            <w:shd w:val="clear" w:color="auto" w:fill="auto"/>
            <w:noWrap/>
            <w:vAlign w:val="center"/>
          </w:tcPr>
          <w:p w14:paraId="64743A69" w14:textId="77777777" w:rsidR="001B4678" w:rsidRPr="009C7D53" w:rsidRDefault="001B4678"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59F1A968" w14:textId="77777777" w:rsidR="001B4678" w:rsidRPr="009C7D53" w:rsidRDefault="001B4678" w:rsidP="00F77388">
            <w:pPr>
              <w:spacing w:before="0" w:after="0"/>
              <w:jc w:val="center"/>
              <w:rPr>
                <w:rFonts w:ascii="Arial" w:hAnsi="Arial" w:cs="Arial"/>
                <w:color w:val="000000"/>
                <w:sz w:val="16"/>
                <w:szCs w:val="16"/>
                <w:lang w:val="en-AU" w:eastAsia="en-AU"/>
              </w:rPr>
            </w:pPr>
          </w:p>
        </w:tc>
        <w:tc>
          <w:tcPr>
            <w:tcW w:w="539" w:type="dxa"/>
            <w:tcBorders>
              <w:top w:val="double" w:sz="4" w:space="0" w:color="auto"/>
            </w:tcBorders>
            <w:shd w:val="clear" w:color="auto" w:fill="auto"/>
            <w:noWrap/>
            <w:vAlign w:val="center"/>
          </w:tcPr>
          <w:p w14:paraId="26FCDDC3" w14:textId="77777777" w:rsidR="001B4678" w:rsidRPr="009C7D53" w:rsidRDefault="001B4678"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4DD459A8" w14:textId="77777777" w:rsidR="001B4678" w:rsidRPr="009C7D53" w:rsidRDefault="001B4678"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6680575F" w14:textId="77777777" w:rsidR="001B4678" w:rsidRPr="009C7D53" w:rsidRDefault="001B4678"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64A4D371" w14:textId="77777777" w:rsidR="001B4678" w:rsidRPr="009C7D53" w:rsidRDefault="001B4678" w:rsidP="00F77388">
            <w:pPr>
              <w:spacing w:before="0" w:after="0"/>
              <w:jc w:val="center"/>
              <w:rPr>
                <w:rFonts w:ascii="Arial" w:hAnsi="Arial" w:cs="Arial"/>
                <w:color w:val="000000"/>
                <w:sz w:val="16"/>
                <w:szCs w:val="16"/>
                <w:lang w:val="en-AU" w:eastAsia="en-AU"/>
              </w:rPr>
            </w:pPr>
          </w:p>
        </w:tc>
        <w:tc>
          <w:tcPr>
            <w:tcW w:w="617" w:type="dxa"/>
            <w:tcBorders>
              <w:top w:val="double" w:sz="4" w:space="0" w:color="auto"/>
            </w:tcBorders>
            <w:shd w:val="clear" w:color="auto" w:fill="auto"/>
            <w:noWrap/>
            <w:vAlign w:val="center"/>
          </w:tcPr>
          <w:p w14:paraId="22508087" w14:textId="77777777" w:rsidR="001B4678" w:rsidRPr="009C7D53" w:rsidRDefault="001B4678"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055F72CB" w14:textId="77777777" w:rsidR="001B4678" w:rsidRPr="009C7D53" w:rsidRDefault="001B4678"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9C38E9E" w14:textId="77777777" w:rsidR="001B4678" w:rsidRPr="009C7D53" w:rsidRDefault="001B4678"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1E431812" w14:textId="77777777" w:rsidR="001B4678" w:rsidRPr="009C7D53" w:rsidRDefault="001B4678" w:rsidP="00F77388">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0EFF27C2" w14:textId="77777777" w:rsidR="001B4678" w:rsidRPr="009C7D53" w:rsidRDefault="001B4678" w:rsidP="00F77388">
            <w:pPr>
              <w:spacing w:before="0" w:after="0"/>
              <w:jc w:val="center"/>
              <w:rPr>
                <w:rFonts w:ascii="Arial" w:hAnsi="Arial" w:cs="Arial"/>
                <w:color w:val="000000"/>
                <w:sz w:val="16"/>
                <w:szCs w:val="16"/>
                <w:lang w:val="en-AU" w:eastAsia="en-AU"/>
              </w:rPr>
            </w:pPr>
          </w:p>
        </w:tc>
      </w:tr>
      <w:tr w:rsidR="001B4678" w:rsidRPr="009C7D53" w14:paraId="68AC1830" w14:textId="77777777" w:rsidTr="001B4678">
        <w:trPr>
          <w:trHeight w:val="225"/>
          <w:jc w:val="center"/>
        </w:trPr>
        <w:tc>
          <w:tcPr>
            <w:tcW w:w="2320" w:type="dxa"/>
            <w:tcBorders>
              <w:left w:val="double" w:sz="6" w:space="0" w:color="auto"/>
              <w:bottom w:val="single" w:sz="4" w:space="0" w:color="BFBFBF"/>
              <w:right w:val="nil"/>
            </w:tcBorders>
            <w:shd w:val="clear" w:color="auto" w:fill="auto"/>
            <w:noWrap/>
            <w:vAlign w:val="center"/>
          </w:tcPr>
          <w:p w14:paraId="6E09D7CC" w14:textId="77777777" w:rsidR="001B4678" w:rsidRPr="009C7D53" w:rsidRDefault="001B4678"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lastRenderedPageBreak/>
              <w:t>By Household Size -</w:t>
            </w:r>
          </w:p>
        </w:tc>
        <w:tc>
          <w:tcPr>
            <w:tcW w:w="734" w:type="dxa"/>
            <w:tcBorders>
              <w:left w:val="single" w:sz="4" w:space="0" w:color="auto"/>
              <w:bottom w:val="single" w:sz="4" w:space="0" w:color="BFBFBF"/>
              <w:right w:val="single" w:sz="4" w:space="0" w:color="BFBFBF"/>
            </w:tcBorders>
            <w:shd w:val="clear" w:color="auto" w:fill="auto"/>
            <w:noWrap/>
            <w:vAlign w:val="center"/>
          </w:tcPr>
          <w:p w14:paraId="0AA8AC1E"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72" w:type="dxa"/>
            <w:tcBorders>
              <w:left w:val="nil"/>
              <w:bottom w:val="single" w:sz="4" w:space="0" w:color="BFBFBF"/>
              <w:right w:val="single" w:sz="4" w:space="0" w:color="BFBFBF"/>
            </w:tcBorders>
            <w:shd w:val="clear" w:color="auto" w:fill="auto"/>
            <w:noWrap/>
            <w:vAlign w:val="center"/>
          </w:tcPr>
          <w:p w14:paraId="03DFA9E2"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3684F24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39" w:type="dxa"/>
            <w:tcBorders>
              <w:left w:val="nil"/>
              <w:bottom w:val="single" w:sz="4" w:space="0" w:color="BFBFBF"/>
              <w:right w:val="single" w:sz="4" w:space="0" w:color="auto"/>
            </w:tcBorders>
            <w:shd w:val="clear" w:color="auto" w:fill="auto"/>
            <w:noWrap/>
            <w:vAlign w:val="center"/>
          </w:tcPr>
          <w:p w14:paraId="255084D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1D03D750"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3767D0E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24C7357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left w:val="nil"/>
              <w:bottom w:val="single" w:sz="4" w:space="0" w:color="BFBFBF"/>
              <w:right w:val="single" w:sz="4" w:space="0" w:color="auto"/>
            </w:tcBorders>
            <w:shd w:val="clear" w:color="auto" w:fill="auto"/>
            <w:noWrap/>
            <w:vAlign w:val="center"/>
          </w:tcPr>
          <w:p w14:paraId="095C065B"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2A6C93E5"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227292EF"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207B8D07"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left w:val="nil"/>
              <w:bottom w:val="single" w:sz="4" w:space="0" w:color="BFBFBF"/>
              <w:right w:val="double" w:sz="6" w:space="0" w:color="auto"/>
            </w:tcBorders>
            <w:shd w:val="clear" w:color="auto" w:fill="auto"/>
            <w:noWrap/>
            <w:vAlign w:val="center"/>
          </w:tcPr>
          <w:p w14:paraId="3EDE13D8" w14:textId="77777777" w:rsidR="001B4678" w:rsidRPr="009C7D53" w:rsidRDefault="001B4678" w:rsidP="00F77388">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1B4678" w:rsidRPr="009C7D53" w14:paraId="5FF17DFA"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2D28D7A9"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1 person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2E6294B"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22CACCE2"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5922BB23"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39" w:type="dxa"/>
            <w:tcBorders>
              <w:top w:val="nil"/>
              <w:left w:val="nil"/>
              <w:bottom w:val="single" w:sz="4" w:space="0" w:color="BFBFBF"/>
              <w:right w:val="single" w:sz="4" w:space="0" w:color="auto"/>
            </w:tcBorders>
            <w:shd w:val="clear" w:color="auto" w:fill="auto"/>
            <w:noWrap/>
            <w:vAlign w:val="center"/>
          </w:tcPr>
          <w:p w14:paraId="24722108"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4969F849"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0166F432"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48</w:t>
            </w:r>
          </w:p>
        </w:tc>
        <w:tc>
          <w:tcPr>
            <w:tcW w:w="734" w:type="dxa"/>
            <w:tcBorders>
              <w:top w:val="nil"/>
              <w:left w:val="nil"/>
              <w:bottom w:val="single" w:sz="4" w:space="0" w:color="BFBFBF"/>
              <w:right w:val="single" w:sz="4" w:space="0" w:color="BFBFBF"/>
            </w:tcBorders>
            <w:shd w:val="clear" w:color="auto" w:fill="auto"/>
            <w:noWrap/>
            <w:vAlign w:val="center"/>
          </w:tcPr>
          <w:p w14:paraId="65B2D650"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21%</w:t>
            </w:r>
          </w:p>
        </w:tc>
        <w:tc>
          <w:tcPr>
            <w:tcW w:w="617" w:type="dxa"/>
            <w:tcBorders>
              <w:top w:val="nil"/>
              <w:left w:val="nil"/>
              <w:bottom w:val="single" w:sz="4" w:space="0" w:color="BFBFBF"/>
              <w:right w:val="single" w:sz="4" w:space="0" w:color="auto"/>
            </w:tcBorders>
            <w:shd w:val="clear" w:color="auto" w:fill="auto"/>
            <w:noWrap/>
            <w:vAlign w:val="center"/>
          </w:tcPr>
          <w:p w14:paraId="18D4A517"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w:t>
            </w:r>
          </w:p>
        </w:tc>
        <w:tc>
          <w:tcPr>
            <w:tcW w:w="734" w:type="dxa"/>
            <w:tcBorders>
              <w:top w:val="nil"/>
              <w:left w:val="nil"/>
              <w:bottom w:val="single" w:sz="4" w:space="0" w:color="BFBFBF"/>
              <w:right w:val="single" w:sz="4" w:space="0" w:color="BFBFBF"/>
            </w:tcBorders>
            <w:shd w:val="clear" w:color="auto" w:fill="auto"/>
            <w:noWrap/>
            <w:vAlign w:val="center"/>
          </w:tcPr>
          <w:p w14:paraId="30CE231F"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761</w:t>
            </w:r>
          </w:p>
        </w:tc>
        <w:tc>
          <w:tcPr>
            <w:tcW w:w="734" w:type="dxa"/>
            <w:tcBorders>
              <w:top w:val="nil"/>
              <w:left w:val="nil"/>
              <w:bottom w:val="single" w:sz="4" w:space="0" w:color="BFBFBF"/>
              <w:right w:val="single" w:sz="4" w:space="0" w:color="BFBFBF"/>
            </w:tcBorders>
            <w:shd w:val="clear" w:color="auto" w:fill="auto"/>
            <w:noWrap/>
            <w:vAlign w:val="center"/>
          </w:tcPr>
          <w:p w14:paraId="6F2625D7"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523</w:t>
            </w:r>
          </w:p>
        </w:tc>
        <w:tc>
          <w:tcPr>
            <w:tcW w:w="734" w:type="dxa"/>
            <w:tcBorders>
              <w:top w:val="nil"/>
              <w:left w:val="nil"/>
              <w:bottom w:val="single" w:sz="4" w:space="0" w:color="BFBFBF"/>
              <w:right w:val="single" w:sz="4" w:space="0" w:color="BFBFBF"/>
            </w:tcBorders>
            <w:shd w:val="clear" w:color="auto" w:fill="auto"/>
            <w:noWrap/>
            <w:vAlign w:val="center"/>
          </w:tcPr>
          <w:p w14:paraId="2586912F"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363</w:t>
            </w:r>
          </w:p>
        </w:tc>
        <w:tc>
          <w:tcPr>
            <w:tcW w:w="734" w:type="dxa"/>
            <w:tcBorders>
              <w:top w:val="nil"/>
              <w:left w:val="nil"/>
              <w:bottom w:val="single" w:sz="4" w:space="0" w:color="BFBFBF"/>
              <w:right w:val="double" w:sz="6" w:space="0" w:color="auto"/>
            </w:tcBorders>
            <w:shd w:val="clear" w:color="auto" w:fill="auto"/>
            <w:noWrap/>
            <w:vAlign w:val="center"/>
          </w:tcPr>
          <w:p w14:paraId="367C7717"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292</w:t>
            </w:r>
          </w:p>
        </w:tc>
      </w:tr>
      <w:tr w:rsidR="001B4678" w:rsidRPr="009C7D53" w14:paraId="2F48F6BA"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4E7ACABE"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2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7C0BC94"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180F66A4"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21E15222"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39" w:type="dxa"/>
            <w:tcBorders>
              <w:top w:val="nil"/>
              <w:left w:val="nil"/>
              <w:bottom w:val="single" w:sz="4" w:space="0" w:color="BFBFBF"/>
              <w:right w:val="single" w:sz="4" w:space="0" w:color="auto"/>
            </w:tcBorders>
            <w:shd w:val="clear" w:color="auto" w:fill="auto"/>
            <w:noWrap/>
            <w:vAlign w:val="center"/>
          </w:tcPr>
          <w:p w14:paraId="5C18B0CD"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89</w:t>
            </w:r>
          </w:p>
        </w:tc>
        <w:tc>
          <w:tcPr>
            <w:tcW w:w="734" w:type="dxa"/>
            <w:tcBorders>
              <w:top w:val="nil"/>
              <w:left w:val="nil"/>
              <w:bottom w:val="single" w:sz="4" w:space="0" w:color="BFBFBF"/>
              <w:right w:val="single" w:sz="4" w:space="0" w:color="BFBFBF"/>
            </w:tcBorders>
            <w:shd w:val="clear" w:color="auto" w:fill="auto"/>
            <w:noWrap/>
            <w:vAlign w:val="center"/>
          </w:tcPr>
          <w:p w14:paraId="3A438921"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4BF09CF7"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56</w:t>
            </w:r>
          </w:p>
        </w:tc>
        <w:tc>
          <w:tcPr>
            <w:tcW w:w="734" w:type="dxa"/>
            <w:tcBorders>
              <w:top w:val="nil"/>
              <w:left w:val="nil"/>
              <w:bottom w:val="single" w:sz="4" w:space="0" w:color="BFBFBF"/>
              <w:right w:val="single" w:sz="4" w:space="0" w:color="BFBFBF"/>
            </w:tcBorders>
            <w:shd w:val="clear" w:color="auto" w:fill="auto"/>
            <w:noWrap/>
            <w:vAlign w:val="center"/>
          </w:tcPr>
          <w:p w14:paraId="68C291BC"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22%</w:t>
            </w:r>
          </w:p>
        </w:tc>
        <w:tc>
          <w:tcPr>
            <w:tcW w:w="617" w:type="dxa"/>
            <w:tcBorders>
              <w:top w:val="nil"/>
              <w:left w:val="nil"/>
              <w:bottom w:val="single" w:sz="4" w:space="0" w:color="BFBFBF"/>
              <w:right w:val="single" w:sz="4" w:space="0" w:color="auto"/>
            </w:tcBorders>
            <w:shd w:val="clear" w:color="auto" w:fill="auto"/>
            <w:noWrap/>
            <w:vAlign w:val="center"/>
          </w:tcPr>
          <w:p w14:paraId="0B5DC99E"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w:t>
            </w:r>
          </w:p>
        </w:tc>
        <w:tc>
          <w:tcPr>
            <w:tcW w:w="734" w:type="dxa"/>
            <w:tcBorders>
              <w:top w:val="nil"/>
              <w:left w:val="nil"/>
              <w:bottom w:val="single" w:sz="4" w:space="0" w:color="BFBFBF"/>
              <w:right w:val="single" w:sz="4" w:space="0" w:color="BFBFBF"/>
            </w:tcBorders>
            <w:shd w:val="clear" w:color="auto" w:fill="auto"/>
            <w:noWrap/>
            <w:vAlign w:val="center"/>
          </w:tcPr>
          <w:p w14:paraId="280C7097"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948</w:t>
            </w:r>
          </w:p>
        </w:tc>
        <w:tc>
          <w:tcPr>
            <w:tcW w:w="734" w:type="dxa"/>
            <w:tcBorders>
              <w:top w:val="nil"/>
              <w:left w:val="nil"/>
              <w:bottom w:val="single" w:sz="4" w:space="0" w:color="BFBFBF"/>
              <w:right w:val="single" w:sz="4" w:space="0" w:color="BFBFBF"/>
            </w:tcBorders>
            <w:shd w:val="clear" w:color="auto" w:fill="auto"/>
            <w:noWrap/>
            <w:vAlign w:val="center"/>
          </w:tcPr>
          <w:p w14:paraId="0048218F"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652</w:t>
            </w:r>
          </w:p>
        </w:tc>
        <w:tc>
          <w:tcPr>
            <w:tcW w:w="734" w:type="dxa"/>
            <w:tcBorders>
              <w:top w:val="nil"/>
              <w:left w:val="nil"/>
              <w:bottom w:val="single" w:sz="4" w:space="0" w:color="BFBFBF"/>
              <w:right w:val="single" w:sz="4" w:space="0" w:color="BFBFBF"/>
            </w:tcBorders>
            <w:shd w:val="clear" w:color="auto" w:fill="auto"/>
            <w:noWrap/>
            <w:vAlign w:val="center"/>
          </w:tcPr>
          <w:p w14:paraId="6A3C101D"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463</w:t>
            </w:r>
          </w:p>
        </w:tc>
        <w:tc>
          <w:tcPr>
            <w:tcW w:w="734" w:type="dxa"/>
            <w:tcBorders>
              <w:top w:val="nil"/>
              <w:left w:val="nil"/>
              <w:bottom w:val="single" w:sz="4" w:space="0" w:color="BFBFBF"/>
              <w:right w:val="double" w:sz="6" w:space="0" w:color="auto"/>
            </w:tcBorders>
            <w:shd w:val="clear" w:color="auto" w:fill="auto"/>
            <w:noWrap/>
            <w:vAlign w:val="center"/>
          </w:tcPr>
          <w:p w14:paraId="1D4305FA"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365</w:t>
            </w:r>
          </w:p>
        </w:tc>
      </w:tr>
      <w:tr w:rsidR="001B4678" w:rsidRPr="009C7D53" w14:paraId="1B686974"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1D2E0C2C"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3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A95BC38"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2D6267B8"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331BA3D"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39" w:type="dxa"/>
            <w:tcBorders>
              <w:top w:val="nil"/>
              <w:left w:val="nil"/>
              <w:bottom w:val="single" w:sz="4" w:space="0" w:color="BFBFBF"/>
              <w:right w:val="single" w:sz="4" w:space="0" w:color="auto"/>
            </w:tcBorders>
            <w:shd w:val="clear" w:color="auto" w:fill="auto"/>
            <w:noWrap/>
            <w:vAlign w:val="center"/>
          </w:tcPr>
          <w:p w14:paraId="15C27913"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71</w:t>
            </w:r>
          </w:p>
        </w:tc>
        <w:tc>
          <w:tcPr>
            <w:tcW w:w="734" w:type="dxa"/>
            <w:tcBorders>
              <w:top w:val="nil"/>
              <w:left w:val="nil"/>
              <w:bottom w:val="single" w:sz="4" w:space="0" w:color="BFBFBF"/>
              <w:right w:val="single" w:sz="4" w:space="0" w:color="BFBFBF"/>
            </w:tcBorders>
            <w:shd w:val="clear" w:color="auto" w:fill="auto"/>
            <w:noWrap/>
            <w:vAlign w:val="center"/>
          </w:tcPr>
          <w:p w14:paraId="60AB893E"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2FBD0A55"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64</w:t>
            </w:r>
          </w:p>
        </w:tc>
        <w:tc>
          <w:tcPr>
            <w:tcW w:w="734" w:type="dxa"/>
            <w:tcBorders>
              <w:top w:val="nil"/>
              <w:left w:val="nil"/>
              <w:bottom w:val="single" w:sz="4" w:space="0" w:color="BFBFBF"/>
              <w:right w:val="single" w:sz="4" w:space="0" w:color="BFBFBF"/>
            </w:tcBorders>
            <w:shd w:val="clear" w:color="auto" w:fill="auto"/>
            <w:noWrap/>
            <w:vAlign w:val="center"/>
          </w:tcPr>
          <w:p w14:paraId="02422D8F"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29%</w:t>
            </w:r>
          </w:p>
        </w:tc>
        <w:tc>
          <w:tcPr>
            <w:tcW w:w="617" w:type="dxa"/>
            <w:tcBorders>
              <w:top w:val="nil"/>
              <w:left w:val="nil"/>
              <w:bottom w:val="single" w:sz="4" w:space="0" w:color="BFBFBF"/>
              <w:right w:val="single" w:sz="4" w:space="0" w:color="auto"/>
            </w:tcBorders>
            <w:shd w:val="clear" w:color="auto" w:fill="auto"/>
            <w:noWrap/>
            <w:vAlign w:val="center"/>
          </w:tcPr>
          <w:p w14:paraId="3FDA6FC9"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39</w:t>
            </w:r>
          </w:p>
        </w:tc>
        <w:tc>
          <w:tcPr>
            <w:tcW w:w="734" w:type="dxa"/>
            <w:tcBorders>
              <w:top w:val="nil"/>
              <w:left w:val="nil"/>
              <w:bottom w:val="single" w:sz="4" w:space="0" w:color="BFBFBF"/>
              <w:right w:val="single" w:sz="4" w:space="0" w:color="BFBFBF"/>
            </w:tcBorders>
            <w:shd w:val="clear" w:color="auto" w:fill="auto"/>
            <w:noWrap/>
            <w:vAlign w:val="center"/>
          </w:tcPr>
          <w:p w14:paraId="39FF4BA3"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1,037</w:t>
            </w:r>
          </w:p>
        </w:tc>
        <w:tc>
          <w:tcPr>
            <w:tcW w:w="734" w:type="dxa"/>
            <w:tcBorders>
              <w:top w:val="nil"/>
              <w:left w:val="nil"/>
              <w:bottom w:val="single" w:sz="4" w:space="0" w:color="BFBFBF"/>
              <w:right w:val="single" w:sz="4" w:space="0" w:color="BFBFBF"/>
            </w:tcBorders>
            <w:shd w:val="clear" w:color="auto" w:fill="auto"/>
            <w:noWrap/>
            <w:vAlign w:val="center"/>
          </w:tcPr>
          <w:p w14:paraId="12057FFD"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749</w:t>
            </w:r>
          </w:p>
        </w:tc>
        <w:tc>
          <w:tcPr>
            <w:tcW w:w="734" w:type="dxa"/>
            <w:tcBorders>
              <w:top w:val="nil"/>
              <w:left w:val="nil"/>
              <w:bottom w:val="single" w:sz="4" w:space="0" w:color="BFBFBF"/>
              <w:right w:val="single" w:sz="4" w:space="0" w:color="BFBFBF"/>
            </w:tcBorders>
            <w:shd w:val="clear" w:color="auto" w:fill="auto"/>
            <w:noWrap/>
            <w:vAlign w:val="center"/>
          </w:tcPr>
          <w:p w14:paraId="780BC33B"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538</w:t>
            </w:r>
          </w:p>
        </w:tc>
        <w:tc>
          <w:tcPr>
            <w:tcW w:w="734" w:type="dxa"/>
            <w:tcBorders>
              <w:top w:val="nil"/>
              <w:left w:val="nil"/>
              <w:bottom w:val="single" w:sz="4" w:space="0" w:color="BFBFBF"/>
              <w:right w:val="double" w:sz="6" w:space="0" w:color="auto"/>
            </w:tcBorders>
            <w:shd w:val="clear" w:color="auto" w:fill="auto"/>
            <w:noWrap/>
            <w:vAlign w:val="center"/>
          </w:tcPr>
          <w:p w14:paraId="764DA2B8"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441</w:t>
            </w:r>
          </w:p>
        </w:tc>
      </w:tr>
      <w:tr w:rsidR="001B4678" w:rsidRPr="009C7D53" w14:paraId="602694F5"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0FA23D51"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4 or more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E170C6A"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1%</w:t>
            </w:r>
          </w:p>
        </w:tc>
        <w:tc>
          <w:tcPr>
            <w:tcW w:w="572" w:type="dxa"/>
            <w:tcBorders>
              <w:top w:val="nil"/>
              <w:left w:val="nil"/>
              <w:bottom w:val="single" w:sz="4" w:space="0" w:color="BFBFBF"/>
              <w:right w:val="single" w:sz="4" w:space="0" w:color="BFBFBF"/>
            </w:tcBorders>
            <w:shd w:val="clear" w:color="auto" w:fill="auto"/>
            <w:noWrap/>
            <w:vAlign w:val="center"/>
          </w:tcPr>
          <w:p w14:paraId="35441CFE"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500</w:t>
            </w:r>
          </w:p>
        </w:tc>
        <w:tc>
          <w:tcPr>
            <w:tcW w:w="734" w:type="dxa"/>
            <w:tcBorders>
              <w:top w:val="nil"/>
              <w:left w:val="nil"/>
              <w:bottom w:val="single" w:sz="4" w:space="0" w:color="BFBFBF"/>
              <w:right w:val="single" w:sz="4" w:space="0" w:color="BFBFBF"/>
            </w:tcBorders>
            <w:shd w:val="clear" w:color="auto" w:fill="auto"/>
            <w:noWrap/>
            <w:vAlign w:val="center"/>
          </w:tcPr>
          <w:p w14:paraId="111917FD"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39" w:type="dxa"/>
            <w:tcBorders>
              <w:top w:val="nil"/>
              <w:left w:val="nil"/>
              <w:bottom w:val="single" w:sz="4" w:space="0" w:color="BFBFBF"/>
              <w:right w:val="single" w:sz="4" w:space="0" w:color="auto"/>
            </w:tcBorders>
            <w:shd w:val="clear" w:color="auto" w:fill="auto"/>
            <w:noWrap/>
            <w:vAlign w:val="center"/>
          </w:tcPr>
          <w:p w14:paraId="0ABA04FA"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75</w:t>
            </w:r>
          </w:p>
        </w:tc>
        <w:tc>
          <w:tcPr>
            <w:tcW w:w="734" w:type="dxa"/>
            <w:tcBorders>
              <w:top w:val="nil"/>
              <w:left w:val="nil"/>
              <w:bottom w:val="single" w:sz="4" w:space="0" w:color="BFBFBF"/>
              <w:right w:val="single" w:sz="4" w:space="0" w:color="BFBFBF"/>
            </w:tcBorders>
            <w:shd w:val="clear" w:color="auto" w:fill="auto"/>
            <w:noWrap/>
            <w:vAlign w:val="center"/>
          </w:tcPr>
          <w:p w14:paraId="1D5DA9EA"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2D4C273D"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70</w:t>
            </w:r>
          </w:p>
        </w:tc>
        <w:tc>
          <w:tcPr>
            <w:tcW w:w="734" w:type="dxa"/>
            <w:tcBorders>
              <w:top w:val="nil"/>
              <w:left w:val="nil"/>
              <w:bottom w:val="single" w:sz="4" w:space="0" w:color="BFBFBF"/>
              <w:right w:val="single" w:sz="4" w:space="0" w:color="BFBFBF"/>
            </w:tcBorders>
            <w:shd w:val="clear" w:color="auto" w:fill="auto"/>
            <w:noWrap/>
            <w:vAlign w:val="center"/>
          </w:tcPr>
          <w:p w14:paraId="5D8A0F99"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32%</w:t>
            </w:r>
          </w:p>
        </w:tc>
        <w:tc>
          <w:tcPr>
            <w:tcW w:w="617" w:type="dxa"/>
            <w:tcBorders>
              <w:top w:val="nil"/>
              <w:left w:val="nil"/>
              <w:bottom w:val="single" w:sz="4" w:space="0" w:color="BFBFBF"/>
              <w:right w:val="single" w:sz="4" w:space="0" w:color="auto"/>
            </w:tcBorders>
            <w:shd w:val="clear" w:color="auto" w:fill="auto"/>
            <w:noWrap/>
            <w:vAlign w:val="center"/>
          </w:tcPr>
          <w:p w14:paraId="14854284"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72</w:t>
            </w:r>
          </w:p>
        </w:tc>
        <w:tc>
          <w:tcPr>
            <w:tcW w:w="734" w:type="dxa"/>
            <w:tcBorders>
              <w:top w:val="nil"/>
              <w:left w:val="nil"/>
              <w:bottom w:val="single" w:sz="4" w:space="0" w:color="BFBFBF"/>
              <w:right w:val="single" w:sz="4" w:space="0" w:color="BFBFBF"/>
            </w:tcBorders>
            <w:shd w:val="clear" w:color="auto" w:fill="auto"/>
            <w:noWrap/>
            <w:vAlign w:val="center"/>
          </w:tcPr>
          <w:p w14:paraId="575584F0"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1,169</w:t>
            </w:r>
          </w:p>
        </w:tc>
        <w:tc>
          <w:tcPr>
            <w:tcW w:w="734" w:type="dxa"/>
            <w:tcBorders>
              <w:top w:val="nil"/>
              <w:left w:val="nil"/>
              <w:bottom w:val="single" w:sz="4" w:space="0" w:color="BFBFBF"/>
              <w:right w:val="single" w:sz="4" w:space="0" w:color="BFBFBF"/>
            </w:tcBorders>
            <w:shd w:val="clear" w:color="auto" w:fill="auto"/>
            <w:noWrap/>
            <w:vAlign w:val="center"/>
          </w:tcPr>
          <w:p w14:paraId="06D9D3DE"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848</w:t>
            </w:r>
          </w:p>
        </w:tc>
        <w:tc>
          <w:tcPr>
            <w:tcW w:w="734" w:type="dxa"/>
            <w:tcBorders>
              <w:top w:val="nil"/>
              <w:left w:val="nil"/>
              <w:bottom w:val="single" w:sz="4" w:space="0" w:color="BFBFBF"/>
              <w:right w:val="single" w:sz="4" w:space="0" w:color="BFBFBF"/>
            </w:tcBorders>
            <w:shd w:val="clear" w:color="auto" w:fill="auto"/>
            <w:noWrap/>
            <w:vAlign w:val="center"/>
          </w:tcPr>
          <w:p w14:paraId="6DA1959B"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606</w:t>
            </w:r>
          </w:p>
        </w:tc>
        <w:tc>
          <w:tcPr>
            <w:tcW w:w="734" w:type="dxa"/>
            <w:tcBorders>
              <w:top w:val="nil"/>
              <w:left w:val="nil"/>
              <w:bottom w:val="single" w:sz="4" w:space="0" w:color="BFBFBF"/>
              <w:right w:val="double" w:sz="6" w:space="0" w:color="auto"/>
            </w:tcBorders>
            <w:shd w:val="clear" w:color="auto" w:fill="auto"/>
            <w:noWrap/>
            <w:vAlign w:val="center"/>
          </w:tcPr>
          <w:p w14:paraId="6AF550B8"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510</w:t>
            </w:r>
          </w:p>
        </w:tc>
      </w:tr>
      <w:tr w:rsidR="001B4678" w:rsidRPr="009C7D53" w14:paraId="76D10AC4"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432D6D6B" w14:textId="77777777" w:rsidR="001B4678" w:rsidRPr="009C7D53" w:rsidRDefault="001B4678"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By Housing Status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0CB89B9"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 </w:t>
            </w:r>
          </w:p>
        </w:tc>
        <w:tc>
          <w:tcPr>
            <w:tcW w:w="572" w:type="dxa"/>
            <w:tcBorders>
              <w:top w:val="nil"/>
              <w:left w:val="nil"/>
              <w:bottom w:val="single" w:sz="4" w:space="0" w:color="BFBFBF"/>
              <w:right w:val="single" w:sz="4" w:space="0" w:color="BFBFBF"/>
            </w:tcBorders>
            <w:shd w:val="clear" w:color="auto" w:fill="auto"/>
            <w:noWrap/>
            <w:vAlign w:val="center"/>
          </w:tcPr>
          <w:p w14:paraId="5B6F4E9B"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8276653"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539" w:type="dxa"/>
            <w:tcBorders>
              <w:top w:val="nil"/>
              <w:left w:val="nil"/>
              <w:bottom w:val="single" w:sz="4" w:space="0" w:color="BFBFBF"/>
              <w:right w:val="single" w:sz="4" w:space="0" w:color="auto"/>
            </w:tcBorders>
            <w:shd w:val="clear" w:color="auto" w:fill="auto"/>
            <w:noWrap/>
            <w:vAlign w:val="center"/>
          </w:tcPr>
          <w:p w14:paraId="7A8D6C12"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E77DA4A"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6FE0426"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9F219A6"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auto"/>
            </w:tcBorders>
            <w:shd w:val="clear" w:color="auto" w:fill="auto"/>
            <w:noWrap/>
            <w:vAlign w:val="center"/>
          </w:tcPr>
          <w:p w14:paraId="27CEA1E4"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D255E3A"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D9CABF6"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E7DF4DA"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21272C09"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 </w:t>
            </w:r>
          </w:p>
        </w:tc>
      </w:tr>
      <w:tr w:rsidR="001B4678" w:rsidRPr="009C7D53" w14:paraId="73AD9B91"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4C96F591"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Owned/paid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65798F6"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7993F4AC"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C1E6C7C"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w:t>
            </w:r>
          </w:p>
        </w:tc>
        <w:tc>
          <w:tcPr>
            <w:tcW w:w="539" w:type="dxa"/>
            <w:tcBorders>
              <w:top w:val="nil"/>
              <w:left w:val="nil"/>
              <w:bottom w:val="single" w:sz="4" w:space="0" w:color="BFBFBF"/>
              <w:right w:val="single" w:sz="4" w:space="0" w:color="auto"/>
            </w:tcBorders>
            <w:shd w:val="clear" w:color="auto" w:fill="auto"/>
            <w:noWrap/>
            <w:vAlign w:val="center"/>
          </w:tcPr>
          <w:p w14:paraId="7634B094"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BFBFBF"/>
            </w:tcBorders>
            <w:shd w:val="clear" w:color="auto" w:fill="auto"/>
            <w:noWrap/>
            <w:vAlign w:val="center"/>
          </w:tcPr>
          <w:p w14:paraId="5E670E4E"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329CBFF2"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63</w:t>
            </w:r>
          </w:p>
        </w:tc>
        <w:tc>
          <w:tcPr>
            <w:tcW w:w="734" w:type="dxa"/>
            <w:tcBorders>
              <w:top w:val="nil"/>
              <w:left w:val="nil"/>
              <w:bottom w:val="single" w:sz="4" w:space="0" w:color="BFBFBF"/>
              <w:right w:val="single" w:sz="4" w:space="0" w:color="BFBFBF"/>
            </w:tcBorders>
            <w:shd w:val="clear" w:color="auto" w:fill="auto"/>
            <w:noWrap/>
            <w:vAlign w:val="center"/>
          </w:tcPr>
          <w:p w14:paraId="427C792F"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c>
          <w:tcPr>
            <w:tcW w:w="617" w:type="dxa"/>
            <w:tcBorders>
              <w:top w:val="nil"/>
              <w:left w:val="nil"/>
              <w:bottom w:val="single" w:sz="4" w:space="0" w:color="BFBFBF"/>
              <w:right w:val="single" w:sz="4" w:space="0" w:color="auto"/>
            </w:tcBorders>
            <w:shd w:val="clear" w:color="auto" w:fill="auto"/>
            <w:noWrap/>
            <w:vAlign w:val="center"/>
          </w:tcPr>
          <w:p w14:paraId="3C41EAD9"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59</w:t>
            </w:r>
          </w:p>
        </w:tc>
        <w:tc>
          <w:tcPr>
            <w:tcW w:w="734" w:type="dxa"/>
            <w:tcBorders>
              <w:top w:val="nil"/>
              <w:left w:val="nil"/>
              <w:bottom w:val="single" w:sz="4" w:space="0" w:color="BFBFBF"/>
              <w:right w:val="single" w:sz="4" w:space="0" w:color="BFBFBF"/>
            </w:tcBorders>
            <w:shd w:val="clear" w:color="auto" w:fill="auto"/>
            <w:noWrap/>
            <w:vAlign w:val="center"/>
          </w:tcPr>
          <w:p w14:paraId="47DB5A74"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979</w:t>
            </w:r>
          </w:p>
        </w:tc>
        <w:tc>
          <w:tcPr>
            <w:tcW w:w="734" w:type="dxa"/>
            <w:tcBorders>
              <w:top w:val="nil"/>
              <w:left w:val="nil"/>
              <w:bottom w:val="single" w:sz="4" w:space="0" w:color="BFBFBF"/>
              <w:right w:val="single" w:sz="4" w:space="0" w:color="BFBFBF"/>
            </w:tcBorders>
            <w:shd w:val="clear" w:color="auto" w:fill="auto"/>
            <w:noWrap/>
            <w:vAlign w:val="center"/>
          </w:tcPr>
          <w:p w14:paraId="4529E2E4"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690</w:t>
            </w:r>
          </w:p>
        </w:tc>
        <w:tc>
          <w:tcPr>
            <w:tcW w:w="734" w:type="dxa"/>
            <w:tcBorders>
              <w:top w:val="nil"/>
              <w:left w:val="nil"/>
              <w:bottom w:val="single" w:sz="4" w:space="0" w:color="BFBFBF"/>
              <w:right w:val="single" w:sz="4" w:space="0" w:color="BFBFBF"/>
            </w:tcBorders>
            <w:shd w:val="clear" w:color="auto" w:fill="auto"/>
            <w:noWrap/>
            <w:vAlign w:val="center"/>
          </w:tcPr>
          <w:p w14:paraId="72F21AFE"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485</w:t>
            </w:r>
          </w:p>
        </w:tc>
        <w:tc>
          <w:tcPr>
            <w:tcW w:w="734" w:type="dxa"/>
            <w:tcBorders>
              <w:top w:val="nil"/>
              <w:left w:val="nil"/>
              <w:bottom w:val="single" w:sz="4" w:space="0" w:color="BFBFBF"/>
              <w:right w:val="double" w:sz="6" w:space="0" w:color="auto"/>
            </w:tcBorders>
            <w:shd w:val="clear" w:color="auto" w:fill="auto"/>
            <w:noWrap/>
            <w:vAlign w:val="center"/>
          </w:tcPr>
          <w:p w14:paraId="4D027E21"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426</w:t>
            </w:r>
          </w:p>
        </w:tc>
      </w:tr>
      <w:tr w:rsidR="001B4678" w:rsidRPr="009C7D53" w14:paraId="5DB1E1E6"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6635F2E0"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Buying/paying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EB3561D"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00FB6F1B"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48E206BF"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39" w:type="dxa"/>
            <w:tcBorders>
              <w:top w:val="nil"/>
              <w:left w:val="nil"/>
              <w:bottom w:val="single" w:sz="4" w:space="0" w:color="BFBFBF"/>
              <w:right w:val="single" w:sz="4" w:space="0" w:color="auto"/>
            </w:tcBorders>
            <w:shd w:val="clear" w:color="auto" w:fill="auto"/>
            <w:noWrap/>
            <w:vAlign w:val="center"/>
          </w:tcPr>
          <w:p w14:paraId="2229A01C"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41</w:t>
            </w:r>
          </w:p>
        </w:tc>
        <w:tc>
          <w:tcPr>
            <w:tcW w:w="734" w:type="dxa"/>
            <w:tcBorders>
              <w:top w:val="nil"/>
              <w:left w:val="nil"/>
              <w:bottom w:val="single" w:sz="4" w:space="0" w:color="BFBFBF"/>
              <w:right w:val="single" w:sz="4" w:space="0" w:color="BFBFBF"/>
            </w:tcBorders>
            <w:shd w:val="clear" w:color="auto" w:fill="auto"/>
            <w:noWrap/>
            <w:vAlign w:val="center"/>
          </w:tcPr>
          <w:p w14:paraId="31F0257E"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64DB2C03"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60</w:t>
            </w:r>
          </w:p>
        </w:tc>
        <w:tc>
          <w:tcPr>
            <w:tcW w:w="734" w:type="dxa"/>
            <w:tcBorders>
              <w:top w:val="nil"/>
              <w:left w:val="nil"/>
              <w:bottom w:val="single" w:sz="4" w:space="0" w:color="BFBFBF"/>
              <w:right w:val="single" w:sz="4" w:space="0" w:color="BFBFBF"/>
            </w:tcBorders>
            <w:shd w:val="clear" w:color="auto" w:fill="auto"/>
            <w:noWrap/>
            <w:vAlign w:val="center"/>
          </w:tcPr>
          <w:p w14:paraId="473455BE"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29%</w:t>
            </w:r>
          </w:p>
        </w:tc>
        <w:tc>
          <w:tcPr>
            <w:tcW w:w="617" w:type="dxa"/>
            <w:tcBorders>
              <w:top w:val="nil"/>
              <w:left w:val="nil"/>
              <w:bottom w:val="single" w:sz="4" w:space="0" w:color="BFBFBF"/>
              <w:right w:val="single" w:sz="4" w:space="0" w:color="auto"/>
            </w:tcBorders>
            <w:shd w:val="clear" w:color="auto" w:fill="auto"/>
            <w:noWrap/>
            <w:vAlign w:val="center"/>
          </w:tcPr>
          <w:p w14:paraId="3DCA2E05"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w:t>
            </w:r>
          </w:p>
        </w:tc>
        <w:tc>
          <w:tcPr>
            <w:tcW w:w="734" w:type="dxa"/>
            <w:tcBorders>
              <w:top w:val="nil"/>
              <w:left w:val="nil"/>
              <w:bottom w:val="single" w:sz="4" w:space="0" w:color="BFBFBF"/>
              <w:right w:val="single" w:sz="4" w:space="0" w:color="BFBFBF"/>
            </w:tcBorders>
            <w:shd w:val="clear" w:color="auto" w:fill="auto"/>
            <w:noWrap/>
            <w:vAlign w:val="center"/>
          </w:tcPr>
          <w:p w14:paraId="1054410C"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1,044</w:t>
            </w:r>
          </w:p>
        </w:tc>
        <w:tc>
          <w:tcPr>
            <w:tcW w:w="734" w:type="dxa"/>
            <w:tcBorders>
              <w:top w:val="nil"/>
              <w:left w:val="nil"/>
              <w:bottom w:val="single" w:sz="4" w:space="0" w:color="BFBFBF"/>
              <w:right w:val="single" w:sz="4" w:space="0" w:color="BFBFBF"/>
            </w:tcBorders>
            <w:shd w:val="clear" w:color="auto" w:fill="auto"/>
            <w:noWrap/>
            <w:vAlign w:val="center"/>
          </w:tcPr>
          <w:p w14:paraId="0B502AED"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753</w:t>
            </w:r>
          </w:p>
        </w:tc>
        <w:tc>
          <w:tcPr>
            <w:tcW w:w="734" w:type="dxa"/>
            <w:tcBorders>
              <w:top w:val="nil"/>
              <w:left w:val="nil"/>
              <w:bottom w:val="single" w:sz="4" w:space="0" w:color="BFBFBF"/>
              <w:right w:val="single" w:sz="4" w:space="0" w:color="BFBFBF"/>
            </w:tcBorders>
            <w:shd w:val="clear" w:color="auto" w:fill="auto"/>
            <w:noWrap/>
            <w:vAlign w:val="center"/>
          </w:tcPr>
          <w:p w14:paraId="1D8B771A"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568</w:t>
            </w:r>
          </w:p>
        </w:tc>
        <w:tc>
          <w:tcPr>
            <w:tcW w:w="734" w:type="dxa"/>
            <w:tcBorders>
              <w:top w:val="nil"/>
              <w:left w:val="nil"/>
              <w:bottom w:val="single" w:sz="4" w:space="0" w:color="BFBFBF"/>
              <w:right w:val="double" w:sz="6" w:space="0" w:color="auto"/>
            </w:tcBorders>
            <w:shd w:val="clear" w:color="auto" w:fill="auto"/>
            <w:noWrap/>
            <w:vAlign w:val="center"/>
          </w:tcPr>
          <w:p w14:paraId="0A64F258"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473</w:t>
            </w:r>
          </w:p>
        </w:tc>
      </w:tr>
      <w:tr w:rsidR="001B4678" w:rsidRPr="009C7D53" w14:paraId="57DBF620"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0C341CC9"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Renting – Private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640F188"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572" w:type="dxa"/>
            <w:tcBorders>
              <w:top w:val="nil"/>
              <w:left w:val="nil"/>
              <w:bottom w:val="single" w:sz="4" w:space="0" w:color="BFBFBF"/>
              <w:right w:val="single" w:sz="4" w:space="0" w:color="BFBFBF"/>
            </w:tcBorders>
            <w:shd w:val="clear" w:color="auto" w:fill="auto"/>
            <w:noWrap/>
            <w:vAlign w:val="center"/>
          </w:tcPr>
          <w:p w14:paraId="447ED62F"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50EB9281"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539" w:type="dxa"/>
            <w:tcBorders>
              <w:top w:val="nil"/>
              <w:left w:val="nil"/>
              <w:bottom w:val="single" w:sz="4" w:space="0" w:color="BFBFBF"/>
              <w:right w:val="single" w:sz="4" w:space="0" w:color="auto"/>
            </w:tcBorders>
            <w:shd w:val="clear" w:color="auto" w:fill="auto"/>
            <w:noWrap/>
            <w:vAlign w:val="center"/>
          </w:tcPr>
          <w:p w14:paraId="78603900"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1E77A28C"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6EA39DE9"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49</w:t>
            </w:r>
          </w:p>
        </w:tc>
        <w:tc>
          <w:tcPr>
            <w:tcW w:w="734" w:type="dxa"/>
            <w:tcBorders>
              <w:top w:val="nil"/>
              <w:left w:val="nil"/>
              <w:bottom w:val="single" w:sz="4" w:space="0" w:color="BFBFBF"/>
              <w:right w:val="single" w:sz="4" w:space="0" w:color="BFBFBF"/>
            </w:tcBorders>
            <w:shd w:val="clear" w:color="auto" w:fill="auto"/>
            <w:noWrap/>
            <w:vAlign w:val="center"/>
          </w:tcPr>
          <w:p w14:paraId="15EDF7AC"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26%</w:t>
            </w:r>
          </w:p>
        </w:tc>
        <w:tc>
          <w:tcPr>
            <w:tcW w:w="617" w:type="dxa"/>
            <w:tcBorders>
              <w:top w:val="nil"/>
              <w:left w:val="nil"/>
              <w:bottom w:val="single" w:sz="4" w:space="0" w:color="BFBFBF"/>
              <w:right w:val="single" w:sz="4" w:space="0" w:color="auto"/>
            </w:tcBorders>
            <w:shd w:val="clear" w:color="auto" w:fill="auto"/>
            <w:noWrap/>
            <w:vAlign w:val="center"/>
          </w:tcPr>
          <w:p w14:paraId="6543370E"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51</w:t>
            </w:r>
          </w:p>
        </w:tc>
        <w:tc>
          <w:tcPr>
            <w:tcW w:w="734" w:type="dxa"/>
            <w:tcBorders>
              <w:top w:val="nil"/>
              <w:left w:val="nil"/>
              <w:bottom w:val="single" w:sz="4" w:space="0" w:color="BFBFBF"/>
              <w:right w:val="single" w:sz="4" w:space="0" w:color="BFBFBF"/>
            </w:tcBorders>
            <w:shd w:val="clear" w:color="auto" w:fill="auto"/>
            <w:noWrap/>
            <w:vAlign w:val="center"/>
          </w:tcPr>
          <w:p w14:paraId="5EA40F6B"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899</w:t>
            </w:r>
          </w:p>
        </w:tc>
        <w:tc>
          <w:tcPr>
            <w:tcW w:w="734" w:type="dxa"/>
            <w:tcBorders>
              <w:top w:val="nil"/>
              <w:left w:val="nil"/>
              <w:bottom w:val="single" w:sz="4" w:space="0" w:color="BFBFBF"/>
              <w:right w:val="single" w:sz="4" w:space="0" w:color="BFBFBF"/>
            </w:tcBorders>
            <w:shd w:val="clear" w:color="auto" w:fill="auto"/>
            <w:noWrap/>
            <w:vAlign w:val="center"/>
          </w:tcPr>
          <w:p w14:paraId="56F054F6"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645</w:t>
            </w:r>
          </w:p>
        </w:tc>
        <w:tc>
          <w:tcPr>
            <w:tcW w:w="734" w:type="dxa"/>
            <w:tcBorders>
              <w:top w:val="nil"/>
              <w:left w:val="nil"/>
              <w:bottom w:val="single" w:sz="4" w:space="0" w:color="BFBFBF"/>
              <w:right w:val="single" w:sz="4" w:space="0" w:color="BFBFBF"/>
            </w:tcBorders>
            <w:shd w:val="clear" w:color="auto" w:fill="auto"/>
            <w:noWrap/>
            <w:vAlign w:val="center"/>
          </w:tcPr>
          <w:p w14:paraId="5CF83A15"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439</w:t>
            </w:r>
          </w:p>
        </w:tc>
        <w:tc>
          <w:tcPr>
            <w:tcW w:w="734" w:type="dxa"/>
            <w:tcBorders>
              <w:top w:val="nil"/>
              <w:left w:val="nil"/>
              <w:bottom w:val="single" w:sz="4" w:space="0" w:color="BFBFBF"/>
              <w:right w:val="double" w:sz="6" w:space="0" w:color="auto"/>
            </w:tcBorders>
            <w:shd w:val="clear" w:color="auto" w:fill="auto"/>
            <w:noWrap/>
            <w:vAlign w:val="center"/>
          </w:tcPr>
          <w:p w14:paraId="39D913DE"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299</w:t>
            </w:r>
          </w:p>
        </w:tc>
      </w:tr>
      <w:tr w:rsidR="001B4678" w:rsidRPr="009C7D53" w14:paraId="1A031208" w14:textId="77777777" w:rsidTr="001B4678">
        <w:trPr>
          <w:trHeight w:val="225"/>
          <w:jc w:val="center"/>
        </w:trPr>
        <w:tc>
          <w:tcPr>
            <w:tcW w:w="2320" w:type="dxa"/>
            <w:tcBorders>
              <w:top w:val="nil"/>
              <w:left w:val="double" w:sz="6" w:space="0" w:color="auto"/>
              <w:bottom w:val="single" w:sz="4" w:space="0" w:color="BFBFBF"/>
              <w:right w:val="nil"/>
            </w:tcBorders>
            <w:shd w:val="clear" w:color="auto" w:fill="auto"/>
            <w:noWrap/>
            <w:vAlign w:val="center"/>
          </w:tcPr>
          <w:p w14:paraId="2C7E1898" w14:textId="77777777" w:rsidR="001B4678" w:rsidRPr="009C7D53" w:rsidRDefault="001B4678" w:rsidP="00F77388">
            <w:pPr>
              <w:spacing w:before="0" w:after="0"/>
              <w:ind w:firstLineChars="100" w:firstLine="160"/>
              <w:rPr>
                <w:rFonts w:ascii="Arial" w:hAnsi="Arial" w:cs="Arial"/>
                <w:color w:val="000000"/>
                <w:sz w:val="16"/>
                <w:szCs w:val="16"/>
                <w:lang w:val="en-AU" w:eastAsia="en-AU"/>
              </w:rPr>
            </w:pPr>
            <w:r w:rsidRPr="009C7D53">
              <w:rPr>
                <w:rFonts w:ascii="Arial" w:hAnsi="Arial" w:cs="Arial"/>
                <w:color w:val="000000"/>
                <w:sz w:val="16"/>
                <w:szCs w:val="16"/>
                <w:lang w:val="en-AU" w:eastAsia="en-AU"/>
              </w:rPr>
              <w:t>Renting – Public</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C82596E"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1%</w:t>
            </w:r>
          </w:p>
        </w:tc>
        <w:tc>
          <w:tcPr>
            <w:tcW w:w="572" w:type="dxa"/>
            <w:tcBorders>
              <w:top w:val="nil"/>
              <w:left w:val="nil"/>
              <w:bottom w:val="single" w:sz="4" w:space="0" w:color="BFBFBF"/>
              <w:right w:val="single" w:sz="4" w:space="0" w:color="BFBFBF"/>
            </w:tcBorders>
            <w:shd w:val="clear" w:color="auto" w:fill="auto"/>
            <w:noWrap/>
            <w:vAlign w:val="center"/>
          </w:tcPr>
          <w:p w14:paraId="2FADC57A" w14:textId="77777777" w:rsidR="001B4678" w:rsidRPr="00F908A7" w:rsidRDefault="001B4678" w:rsidP="00F908A7">
            <w:pPr>
              <w:spacing w:before="0" w:after="0"/>
              <w:jc w:val="center"/>
              <w:rPr>
                <w:rFonts w:ascii="Arial" w:hAnsi="Arial" w:cs="Arial"/>
                <w:color w:val="000000"/>
                <w:sz w:val="16"/>
                <w:szCs w:val="16"/>
                <w:lang w:val="en-AU" w:eastAsia="en-AU"/>
              </w:rPr>
            </w:pPr>
            <w:r w:rsidRPr="00F908A7">
              <w:rPr>
                <w:rFonts w:ascii="Arial" w:hAnsi="Arial" w:cs="Arial"/>
                <w:color w:val="000000"/>
                <w:sz w:val="16"/>
                <w:szCs w:val="16"/>
                <w:lang w:val="en-AU" w:eastAsia="en-AU"/>
              </w:rPr>
              <w:t>500</w:t>
            </w:r>
          </w:p>
        </w:tc>
        <w:tc>
          <w:tcPr>
            <w:tcW w:w="734" w:type="dxa"/>
            <w:tcBorders>
              <w:top w:val="nil"/>
              <w:left w:val="nil"/>
              <w:bottom w:val="single" w:sz="4" w:space="0" w:color="BFBFBF"/>
              <w:right w:val="single" w:sz="4" w:space="0" w:color="BFBFBF"/>
            </w:tcBorders>
            <w:shd w:val="clear" w:color="auto" w:fill="auto"/>
            <w:noWrap/>
            <w:vAlign w:val="center"/>
          </w:tcPr>
          <w:p w14:paraId="387D9E2E"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w:t>
            </w:r>
          </w:p>
        </w:tc>
        <w:tc>
          <w:tcPr>
            <w:tcW w:w="539" w:type="dxa"/>
            <w:tcBorders>
              <w:top w:val="nil"/>
              <w:left w:val="nil"/>
              <w:bottom w:val="single" w:sz="4" w:space="0" w:color="BFBFBF"/>
              <w:right w:val="single" w:sz="4" w:space="0" w:color="auto"/>
            </w:tcBorders>
            <w:shd w:val="clear" w:color="auto" w:fill="auto"/>
            <w:noWrap/>
            <w:vAlign w:val="center"/>
          </w:tcPr>
          <w:p w14:paraId="462A21C7"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89</w:t>
            </w:r>
          </w:p>
        </w:tc>
        <w:tc>
          <w:tcPr>
            <w:tcW w:w="734" w:type="dxa"/>
            <w:tcBorders>
              <w:top w:val="nil"/>
              <w:left w:val="nil"/>
              <w:bottom w:val="single" w:sz="4" w:space="0" w:color="BFBFBF"/>
              <w:right w:val="single" w:sz="4" w:space="0" w:color="BFBFBF"/>
            </w:tcBorders>
            <w:shd w:val="clear" w:color="auto" w:fill="auto"/>
            <w:noWrap/>
            <w:vAlign w:val="center"/>
          </w:tcPr>
          <w:p w14:paraId="595EABAE"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BFBFBF"/>
            </w:tcBorders>
            <w:shd w:val="clear" w:color="auto" w:fill="auto"/>
            <w:noWrap/>
            <w:vAlign w:val="center"/>
          </w:tcPr>
          <w:p w14:paraId="1FED0AA1"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44</w:t>
            </w:r>
          </w:p>
        </w:tc>
        <w:tc>
          <w:tcPr>
            <w:tcW w:w="734" w:type="dxa"/>
            <w:tcBorders>
              <w:top w:val="nil"/>
              <w:left w:val="nil"/>
              <w:bottom w:val="single" w:sz="4" w:space="0" w:color="BFBFBF"/>
              <w:right w:val="single" w:sz="4" w:space="0" w:color="BFBFBF"/>
            </w:tcBorders>
            <w:shd w:val="clear" w:color="auto" w:fill="auto"/>
            <w:noWrap/>
            <w:vAlign w:val="center"/>
          </w:tcPr>
          <w:p w14:paraId="63BD82DA"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24%</w:t>
            </w:r>
          </w:p>
        </w:tc>
        <w:tc>
          <w:tcPr>
            <w:tcW w:w="617" w:type="dxa"/>
            <w:tcBorders>
              <w:top w:val="nil"/>
              <w:left w:val="nil"/>
              <w:bottom w:val="single" w:sz="4" w:space="0" w:color="BFBFBF"/>
              <w:right w:val="single" w:sz="4" w:space="0" w:color="auto"/>
            </w:tcBorders>
            <w:shd w:val="clear" w:color="auto" w:fill="auto"/>
            <w:noWrap/>
            <w:vAlign w:val="center"/>
          </w:tcPr>
          <w:p w14:paraId="7851C028"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7345AC00"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832</w:t>
            </w:r>
          </w:p>
        </w:tc>
        <w:tc>
          <w:tcPr>
            <w:tcW w:w="734" w:type="dxa"/>
            <w:tcBorders>
              <w:top w:val="nil"/>
              <w:left w:val="nil"/>
              <w:bottom w:val="single" w:sz="4" w:space="0" w:color="BFBFBF"/>
              <w:right w:val="single" w:sz="4" w:space="0" w:color="BFBFBF"/>
            </w:tcBorders>
            <w:shd w:val="clear" w:color="auto" w:fill="auto"/>
            <w:noWrap/>
            <w:vAlign w:val="center"/>
          </w:tcPr>
          <w:p w14:paraId="52E46460"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580</w:t>
            </w:r>
          </w:p>
        </w:tc>
        <w:tc>
          <w:tcPr>
            <w:tcW w:w="734" w:type="dxa"/>
            <w:tcBorders>
              <w:top w:val="nil"/>
              <w:left w:val="nil"/>
              <w:bottom w:val="single" w:sz="4" w:space="0" w:color="BFBFBF"/>
              <w:right w:val="single" w:sz="4" w:space="0" w:color="BFBFBF"/>
            </w:tcBorders>
            <w:shd w:val="clear" w:color="auto" w:fill="auto"/>
            <w:noWrap/>
            <w:vAlign w:val="center"/>
          </w:tcPr>
          <w:p w14:paraId="1EEB91C4"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378</w:t>
            </w:r>
          </w:p>
        </w:tc>
        <w:tc>
          <w:tcPr>
            <w:tcW w:w="734" w:type="dxa"/>
            <w:tcBorders>
              <w:top w:val="nil"/>
              <w:left w:val="nil"/>
              <w:bottom w:val="single" w:sz="4" w:space="0" w:color="BFBFBF"/>
              <w:right w:val="double" w:sz="6" w:space="0" w:color="auto"/>
            </w:tcBorders>
            <w:shd w:val="clear" w:color="auto" w:fill="auto"/>
            <w:noWrap/>
            <w:vAlign w:val="center"/>
          </w:tcPr>
          <w:p w14:paraId="4E43CC57" w14:textId="77777777" w:rsidR="001B4678" w:rsidRPr="009C7D53" w:rsidRDefault="001B4678" w:rsidP="00F908A7">
            <w:pPr>
              <w:spacing w:before="0" w:after="0"/>
              <w:jc w:val="center"/>
              <w:rPr>
                <w:rFonts w:ascii="Arial" w:hAnsi="Arial" w:cs="Arial"/>
                <w:color w:val="000000"/>
                <w:sz w:val="16"/>
                <w:szCs w:val="16"/>
                <w:lang w:val="en-AU" w:eastAsia="en-AU"/>
              </w:rPr>
            </w:pPr>
            <w:r w:rsidRPr="009C7D53">
              <w:rPr>
                <w:rFonts w:ascii="Arial" w:hAnsi="Arial" w:cs="Arial"/>
                <w:color w:val="000000"/>
                <w:sz w:val="16"/>
                <w:szCs w:val="16"/>
                <w:lang w:val="en-AU" w:eastAsia="en-AU"/>
              </w:rPr>
              <w:t>308</w:t>
            </w:r>
          </w:p>
        </w:tc>
      </w:tr>
      <w:tr w:rsidR="001B4678" w:rsidRPr="009C7D53" w14:paraId="78984B32" w14:textId="77777777" w:rsidTr="001B4678">
        <w:trPr>
          <w:trHeight w:val="240"/>
          <w:jc w:val="center"/>
        </w:trPr>
        <w:tc>
          <w:tcPr>
            <w:tcW w:w="2320" w:type="dxa"/>
            <w:tcBorders>
              <w:top w:val="nil"/>
              <w:left w:val="double" w:sz="6" w:space="0" w:color="auto"/>
              <w:bottom w:val="double" w:sz="6" w:space="0" w:color="auto"/>
              <w:right w:val="nil"/>
            </w:tcBorders>
            <w:shd w:val="clear" w:color="auto" w:fill="auto"/>
            <w:noWrap/>
            <w:vAlign w:val="center"/>
          </w:tcPr>
          <w:p w14:paraId="02D76A04" w14:textId="77777777" w:rsidR="001B4678" w:rsidRPr="009C7D53" w:rsidRDefault="001B4678" w:rsidP="00F77388">
            <w:pPr>
              <w:spacing w:before="0" w:after="0"/>
              <w:rPr>
                <w:rFonts w:ascii="Arial" w:hAnsi="Arial" w:cs="Arial"/>
                <w:b/>
                <w:bCs/>
                <w:color w:val="000000"/>
                <w:sz w:val="16"/>
                <w:szCs w:val="16"/>
                <w:lang w:val="en-AU" w:eastAsia="en-AU"/>
              </w:rPr>
            </w:pPr>
            <w:r w:rsidRPr="009C7D53">
              <w:rPr>
                <w:rFonts w:ascii="Arial" w:hAnsi="Arial" w:cs="Arial"/>
                <w:b/>
                <w:bCs/>
                <w:color w:val="000000"/>
                <w:sz w:val="16"/>
                <w:szCs w:val="16"/>
                <w:lang w:val="en-AU" w:eastAsia="en-AU"/>
              </w:rPr>
              <w:t>Total Households</w:t>
            </w:r>
          </w:p>
        </w:tc>
        <w:tc>
          <w:tcPr>
            <w:tcW w:w="734" w:type="dxa"/>
            <w:tcBorders>
              <w:top w:val="nil"/>
              <w:left w:val="single" w:sz="4" w:space="0" w:color="auto"/>
              <w:bottom w:val="double" w:sz="6" w:space="0" w:color="auto"/>
              <w:right w:val="single" w:sz="4" w:space="0" w:color="BFBFBF"/>
            </w:tcBorders>
            <w:shd w:val="clear" w:color="auto" w:fill="auto"/>
            <w:noWrap/>
            <w:vAlign w:val="center"/>
          </w:tcPr>
          <w:p w14:paraId="1D0ADC45"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w:t>
            </w:r>
          </w:p>
        </w:tc>
        <w:tc>
          <w:tcPr>
            <w:tcW w:w="572" w:type="dxa"/>
            <w:tcBorders>
              <w:top w:val="nil"/>
              <w:left w:val="nil"/>
              <w:bottom w:val="double" w:sz="6" w:space="0" w:color="auto"/>
              <w:right w:val="single" w:sz="4" w:space="0" w:color="BFBFBF"/>
            </w:tcBorders>
            <w:shd w:val="clear" w:color="auto" w:fill="auto"/>
            <w:noWrap/>
            <w:vAlign w:val="center"/>
          </w:tcPr>
          <w:p w14:paraId="44B0FB1D"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500</w:t>
            </w:r>
          </w:p>
        </w:tc>
        <w:tc>
          <w:tcPr>
            <w:tcW w:w="734" w:type="dxa"/>
            <w:tcBorders>
              <w:top w:val="nil"/>
              <w:left w:val="nil"/>
              <w:bottom w:val="double" w:sz="6" w:space="0" w:color="auto"/>
              <w:right w:val="single" w:sz="4" w:space="0" w:color="BFBFBF"/>
            </w:tcBorders>
            <w:shd w:val="clear" w:color="auto" w:fill="auto"/>
            <w:noWrap/>
            <w:vAlign w:val="center"/>
          </w:tcPr>
          <w:p w14:paraId="549E7348"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1%</w:t>
            </w:r>
          </w:p>
        </w:tc>
        <w:tc>
          <w:tcPr>
            <w:tcW w:w="539" w:type="dxa"/>
            <w:tcBorders>
              <w:top w:val="nil"/>
              <w:left w:val="nil"/>
              <w:bottom w:val="double" w:sz="6" w:space="0" w:color="auto"/>
              <w:right w:val="single" w:sz="4" w:space="0" w:color="auto"/>
            </w:tcBorders>
            <w:shd w:val="clear" w:color="auto" w:fill="auto"/>
            <w:noWrap/>
            <w:vAlign w:val="center"/>
          </w:tcPr>
          <w:p w14:paraId="5DB972A3"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84</w:t>
            </w:r>
          </w:p>
        </w:tc>
        <w:tc>
          <w:tcPr>
            <w:tcW w:w="734" w:type="dxa"/>
            <w:tcBorders>
              <w:top w:val="nil"/>
              <w:left w:val="nil"/>
              <w:bottom w:val="double" w:sz="6" w:space="0" w:color="auto"/>
              <w:right w:val="single" w:sz="4" w:space="0" w:color="BFBFBF"/>
            </w:tcBorders>
            <w:shd w:val="clear" w:color="auto" w:fill="auto"/>
            <w:noWrap/>
            <w:vAlign w:val="center"/>
          </w:tcPr>
          <w:p w14:paraId="2E6FBD1E"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83%</w:t>
            </w:r>
          </w:p>
        </w:tc>
        <w:tc>
          <w:tcPr>
            <w:tcW w:w="734" w:type="dxa"/>
            <w:tcBorders>
              <w:top w:val="nil"/>
              <w:left w:val="nil"/>
              <w:bottom w:val="double" w:sz="6" w:space="0" w:color="auto"/>
              <w:right w:val="single" w:sz="4" w:space="0" w:color="BFBFBF"/>
            </w:tcBorders>
            <w:shd w:val="clear" w:color="auto" w:fill="auto"/>
            <w:noWrap/>
            <w:vAlign w:val="center"/>
          </w:tcPr>
          <w:p w14:paraId="0FB702F1"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59</w:t>
            </w:r>
          </w:p>
        </w:tc>
        <w:tc>
          <w:tcPr>
            <w:tcW w:w="734" w:type="dxa"/>
            <w:tcBorders>
              <w:top w:val="nil"/>
              <w:left w:val="nil"/>
              <w:bottom w:val="double" w:sz="6" w:space="0" w:color="auto"/>
              <w:right w:val="single" w:sz="4" w:space="0" w:color="BFBFBF"/>
            </w:tcBorders>
            <w:shd w:val="clear" w:color="auto" w:fill="auto"/>
            <w:noWrap/>
            <w:vAlign w:val="center"/>
          </w:tcPr>
          <w:p w14:paraId="7AF87F42"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26%</w:t>
            </w:r>
          </w:p>
        </w:tc>
        <w:tc>
          <w:tcPr>
            <w:tcW w:w="617" w:type="dxa"/>
            <w:tcBorders>
              <w:top w:val="nil"/>
              <w:left w:val="nil"/>
              <w:bottom w:val="double" w:sz="6" w:space="0" w:color="auto"/>
              <w:right w:val="single" w:sz="4" w:space="0" w:color="auto"/>
            </w:tcBorders>
            <w:shd w:val="clear" w:color="auto" w:fill="auto"/>
            <w:noWrap/>
            <w:vAlign w:val="center"/>
          </w:tcPr>
          <w:p w14:paraId="2A371185"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54</w:t>
            </w:r>
          </w:p>
        </w:tc>
        <w:tc>
          <w:tcPr>
            <w:tcW w:w="734" w:type="dxa"/>
            <w:tcBorders>
              <w:top w:val="nil"/>
              <w:left w:val="nil"/>
              <w:bottom w:val="double" w:sz="6" w:space="0" w:color="auto"/>
              <w:right w:val="single" w:sz="4" w:space="0" w:color="BFBFBF"/>
            </w:tcBorders>
            <w:shd w:val="clear" w:color="auto" w:fill="auto"/>
            <w:noWrap/>
            <w:vAlign w:val="center"/>
          </w:tcPr>
          <w:p w14:paraId="1DA7EF9D"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980</w:t>
            </w:r>
          </w:p>
        </w:tc>
        <w:tc>
          <w:tcPr>
            <w:tcW w:w="734" w:type="dxa"/>
            <w:tcBorders>
              <w:top w:val="nil"/>
              <w:left w:val="nil"/>
              <w:bottom w:val="double" w:sz="6" w:space="0" w:color="auto"/>
              <w:right w:val="single" w:sz="4" w:space="0" w:color="BFBFBF"/>
            </w:tcBorders>
            <w:shd w:val="clear" w:color="auto" w:fill="auto"/>
            <w:noWrap/>
            <w:vAlign w:val="center"/>
          </w:tcPr>
          <w:p w14:paraId="4EA01AC6"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700</w:t>
            </w:r>
          </w:p>
        </w:tc>
        <w:tc>
          <w:tcPr>
            <w:tcW w:w="734" w:type="dxa"/>
            <w:tcBorders>
              <w:top w:val="nil"/>
              <w:left w:val="nil"/>
              <w:bottom w:val="double" w:sz="6" w:space="0" w:color="auto"/>
              <w:right w:val="single" w:sz="4" w:space="0" w:color="BFBFBF"/>
            </w:tcBorders>
            <w:shd w:val="clear" w:color="auto" w:fill="auto"/>
            <w:noWrap/>
            <w:vAlign w:val="center"/>
          </w:tcPr>
          <w:p w14:paraId="6F2FF55E"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500</w:t>
            </w:r>
          </w:p>
        </w:tc>
        <w:tc>
          <w:tcPr>
            <w:tcW w:w="734" w:type="dxa"/>
            <w:tcBorders>
              <w:top w:val="nil"/>
              <w:left w:val="nil"/>
              <w:bottom w:val="double" w:sz="6" w:space="0" w:color="auto"/>
              <w:right w:val="double" w:sz="6" w:space="0" w:color="auto"/>
            </w:tcBorders>
            <w:shd w:val="clear" w:color="auto" w:fill="auto"/>
            <w:noWrap/>
            <w:vAlign w:val="center"/>
          </w:tcPr>
          <w:p w14:paraId="1DE51661" w14:textId="77777777" w:rsidR="001B4678" w:rsidRPr="00F908A7" w:rsidRDefault="001B4678" w:rsidP="00F908A7">
            <w:pPr>
              <w:spacing w:before="0" w:after="0"/>
              <w:jc w:val="center"/>
              <w:rPr>
                <w:rFonts w:ascii="Arial" w:hAnsi="Arial" w:cs="Arial"/>
                <w:b/>
                <w:color w:val="000000"/>
                <w:sz w:val="16"/>
                <w:szCs w:val="16"/>
                <w:lang w:val="en-AU" w:eastAsia="en-AU"/>
              </w:rPr>
            </w:pPr>
            <w:r w:rsidRPr="00F908A7">
              <w:rPr>
                <w:rFonts w:ascii="Arial" w:hAnsi="Arial" w:cs="Arial"/>
                <w:b/>
                <w:color w:val="000000"/>
                <w:sz w:val="16"/>
                <w:szCs w:val="16"/>
                <w:lang w:val="en-AU" w:eastAsia="en-AU"/>
              </w:rPr>
              <w:t>415</w:t>
            </w:r>
          </w:p>
        </w:tc>
      </w:tr>
    </w:tbl>
    <w:p w14:paraId="0589B3B4" w14:textId="77777777" w:rsidR="00160961" w:rsidRPr="009C7D53" w:rsidRDefault="00160961" w:rsidP="00160961">
      <w:pPr>
        <w:pStyle w:val="tbl"/>
      </w:pPr>
    </w:p>
    <w:p w14:paraId="0EBFC1A8" w14:textId="77777777" w:rsidR="00F77388" w:rsidRPr="009C7D53" w:rsidRDefault="0067791B" w:rsidP="00F908A7">
      <w:pPr>
        <w:spacing w:before="0" w:after="0"/>
        <w:jc w:val="center"/>
        <w:rPr>
          <w:sz w:val="18"/>
          <w:szCs w:val="18"/>
          <w:lang w:val="en-AU"/>
        </w:rPr>
      </w:pPr>
      <w:r w:rsidRPr="009C7D53">
        <w:rPr>
          <w:sz w:val="18"/>
          <w:szCs w:val="18"/>
          <w:lang w:val="en-AU"/>
        </w:rPr>
        <w:t xml:space="preserve">1. </w:t>
      </w:r>
      <w:r w:rsidR="00845569" w:rsidRPr="009C7D53">
        <w:rPr>
          <w:sz w:val="18"/>
          <w:szCs w:val="18"/>
          <w:lang w:val="en-AU"/>
        </w:rPr>
        <w:t xml:space="preserve"> </w:t>
      </w:r>
      <w:r w:rsidR="00F77388" w:rsidRPr="009C7D53">
        <w:rPr>
          <w:sz w:val="18"/>
          <w:szCs w:val="18"/>
          <w:lang w:val="en-AU"/>
        </w:rPr>
        <w:t>Whilst the person who pays the bills for the household may not hold a concession card, another person in the household may do so.</w:t>
      </w:r>
    </w:p>
    <w:p w14:paraId="6D750586" w14:textId="77777777" w:rsidR="00E02C75" w:rsidRPr="006F724A" w:rsidRDefault="00F77388" w:rsidP="00E02C75">
      <w:pPr>
        <w:pStyle w:val="Heading1"/>
        <w:rPr>
          <w:lang w:val="en-AU"/>
        </w:rPr>
      </w:pPr>
      <w:r w:rsidRPr="009C7D53">
        <w:rPr>
          <w:lang w:val="en-AU"/>
        </w:rPr>
        <w:br w:type="page"/>
      </w:r>
      <w:bookmarkStart w:id="183" w:name="_Toc439198319"/>
      <w:bookmarkStart w:id="184" w:name="_Toc445571697"/>
      <w:r w:rsidR="00E02C75" w:rsidRPr="006F724A">
        <w:rPr>
          <w:lang w:val="en-AU"/>
        </w:rPr>
        <w:lastRenderedPageBreak/>
        <w:t>WATER CONSUMPTION AND EXPENDITURE</w:t>
      </w:r>
      <w:bookmarkEnd w:id="183"/>
      <w:bookmarkEnd w:id="184"/>
    </w:p>
    <w:p w14:paraId="3D61C810" w14:textId="77777777" w:rsidR="00E02C75" w:rsidRPr="006F724A" w:rsidRDefault="00E02C75" w:rsidP="009748AD">
      <w:pPr>
        <w:pStyle w:val="Heading2"/>
        <w:spacing w:before="360"/>
        <w:ind w:left="578" w:hanging="578"/>
        <w:rPr>
          <w:lang w:val="en-AU"/>
        </w:rPr>
      </w:pPr>
      <w:bookmarkStart w:id="185" w:name="_Toc439173175"/>
      <w:bookmarkStart w:id="186" w:name="_Toc439198320"/>
      <w:bookmarkStart w:id="187" w:name="_Toc439198321"/>
      <w:bookmarkStart w:id="188" w:name="_Toc445571698"/>
      <w:bookmarkEnd w:id="185"/>
      <w:bookmarkEnd w:id="186"/>
      <w:r w:rsidRPr="006F724A">
        <w:rPr>
          <w:lang w:val="en-AU"/>
        </w:rPr>
        <w:t>INCIDENCE OF BILLING FOR WATER CONSUMPTION</w:t>
      </w:r>
      <w:bookmarkEnd w:id="187"/>
      <w:bookmarkEnd w:id="188"/>
    </w:p>
    <w:p w14:paraId="6B44D451" w14:textId="77777777" w:rsidR="00786A47" w:rsidRPr="006F724A" w:rsidRDefault="00786A47" w:rsidP="009748AD">
      <w:pPr>
        <w:pStyle w:val="Para"/>
        <w:spacing w:before="240"/>
        <w:rPr>
          <w:lang w:val="en-AU"/>
        </w:rPr>
      </w:pPr>
      <w:r w:rsidRPr="006F724A">
        <w:rPr>
          <w:lang w:val="en-AU"/>
        </w:rPr>
        <w:t>NB. This section is based on respondent survey data.</w:t>
      </w:r>
    </w:p>
    <w:p w14:paraId="4A9224B5" w14:textId="77777777" w:rsidR="003920D8" w:rsidRPr="006A62C9" w:rsidRDefault="00E02C75" w:rsidP="009748AD">
      <w:pPr>
        <w:pStyle w:val="Heading3"/>
        <w:tabs>
          <w:tab w:val="clear" w:pos="8517"/>
          <w:tab w:val="num" w:pos="851"/>
        </w:tabs>
        <w:spacing w:before="360"/>
        <w:ind w:left="8516" w:hanging="8516"/>
        <w:rPr>
          <w:lang w:val="en-AU"/>
        </w:rPr>
      </w:pPr>
      <w:bookmarkStart w:id="189" w:name="_Toc439198322"/>
      <w:bookmarkStart w:id="190" w:name="_Toc445571699"/>
      <w:r w:rsidRPr="006A62C9">
        <w:rPr>
          <w:lang w:val="en-AU"/>
        </w:rPr>
        <w:t xml:space="preserve">Incidence of </w:t>
      </w:r>
      <w:r w:rsidR="004B703E" w:rsidRPr="006A62C9">
        <w:rPr>
          <w:lang w:val="en-AU"/>
        </w:rPr>
        <w:t>Claiming to Receive</w:t>
      </w:r>
      <w:r w:rsidRPr="006A62C9">
        <w:rPr>
          <w:lang w:val="en-AU"/>
        </w:rPr>
        <w:t xml:space="preserve"> a Water Bill</w:t>
      </w:r>
      <w:bookmarkEnd w:id="189"/>
      <w:bookmarkEnd w:id="190"/>
    </w:p>
    <w:p w14:paraId="63970234" w14:textId="77777777" w:rsidR="00E02C75" w:rsidRPr="006A62C9" w:rsidRDefault="00E02C75" w:rsidP="00E02C75">
      <w:pPr>
        <w:pStyle w:val="Para"/>
        <w:rPr>
          <w:lang w:val="en-AU"/>
        </w:rPr>
      </w:pPr>
      <w:r w:rsidRPr="006A62C9">
        <w:rPr>
          <w:lang w:val="en-AU"/>
        </w:rPr>
        <w:t>Overall, 9</w:t>
      </w:r>
      <w:r w:rsidR="00B940CD" w:rsidRPr="006A62C9">
        <w:rPr>
          <w:lang w:val="en-AU"/>
        </w:rPr>
        <w:t>2</w:t>
      </w:r>
      <w:r w:rsidRPr="006A62C9">
        <w:rPr>
          <w:lang w:val="en-AU"/>
        </w:rPr>
        <w:t xml:space="preserve">% of households </w:t>
      </w:r>
      <w:r w:rsidR="004B703E" w:rsidRPr="006A62C9">
        <w:rPr>
          <w:lang w:val="en-AU"/>
        </w:rPr>
        <w:t xml:space="preserve">claimed to have </w:t>
      </w:r>
      <w:r w:rsidRPr="006A62C9">
        <w:rPr>
          <w:lang w:val="en-AU"/>
        </w:rPr>
        <w:t>received a water bill in 20</w:t>
      </w:r>
      <w:r w:rsidR="00B940CD" w:rsidRPr="006A62C9">
        <w:rPr>
          <w:lang w:val="en-AU"/>
        </w:rPr>
        <w:t xml:space="preserve">14, which was </w:t>
      </w:r>
      <w:r w:rsidR="00273A9D" w:rsidRPr="006A62C9">
        <w:rPr>
          <w:lang w:val="en-AU"/>
        </w:rPr>
        <w:t>almost</w:t>
      </w:r>
      <w:r w:rsidR="00B940CD" w:rsidRPr="006A62C9">
        <w:rPr>
          <w:lang w:val="en-AU"/>
        </w:rPr>
        <w:t xml:space="preserve"> identical to the proportions in 2007 and 2001 (both 93%)</w:t>
      </w:r>
      <w:r w:rsidR="005E6B81" w:rsidRPr="006A62C9">
        <w:rPr>
          <w:lang w:val="en-AU"/>
        </w:rPr>
        <w:t xml:space="preserve"> – see Table 5.1.1</w:t>
      </w:r>
      <w:r w:rsidR="00B940CD" w:rsidRPr="006A62C9">
        <w:rPr>
          <w:lang w:val="en-AU"/>
        </w:rPr>
        <w:t>.  Non-concession households were more likely to receive a water bill (95%) than concession households (90%).</w:t>
      </w:r>
      <w:r w:rsidRPr="006A62C9">
        <w:rPr>
          <w:lang w:val="en-AU"/>
        </w:rPr>
        <w:t xml:space="preserve">  </w:t>
      </w:r>
      <w:r w:rsidR="00622A61" w:rsidRPr="006A62C9">
        <w:rPr>
          <w:lang w:val="en-AU"/>
        </w:rPr>
        <w:t>Respondents living in separate houses (95%) were more likely to receive a water bill than those in semi-detached houses (8</w:t>
      </w:r>
      <w:r w:rsidR="006A62C9" w:rsidRPr="006A62C9">
        <w:rPr>
          <w:lang w:val="en-AU"/>
        </w:rPr>
        <w:t>9</w:t>
      </w:r>
      <w:r w:rsidR="00622A61" w:rsidRPr="006A62C9">
        <w:rPr>
          <w:lang w:val="en-AU"/>
        </w:rPr>
        <w:t xml:space="preserve">%) or low rise flats (74%), though this disparity was </w:t>
      </w:r>
      <w:r w:rsidR="00F9759F" w:rsidRPr="006A62C9">
        <w:rPr>
          <w:lang w:val="en-AU"/>
        </w:rPr>
        <w:t xml:space="preserve">probably </w:t>
      </w:r>
      <w:r w:rsidR="00622A61" w:rsidRPr="006A62C9">
        <w:rPr>
          <w:lang w:val="en-AU"/>
        </w:rPr>
        <w:t xml:space="preserve">driven by the likelihood of being a renter (i.e. less likely to receive a water bill) than dwelling type </w:t>
      </w:r>
      <w:r w:rsidR="00622A61" w:rsidRPr="006A62C9">
        <w:rPr>
          <w:i/>
          <w:lang w:val="en-AU"/>
        </w:rPr>
        <w:t>per se</w:t>
      </w:r>
      <w:r w:rsidR="00622A61" w:rsidRPr="006A62C9">
        <w:rPr>
          <w:lang w:val="en-AU"/>
        </w:rPr>
        <w:t xml:space="preserve">. </w:t>
      </w:r>
    </w:p>
    <w:p w14:paraId="333C658D" w14:textId="77777777" w:rsidR="00E02C75" w:rsidRPr="003835AE" w:rsidRDefault="00E02C75" w:rsidP="00E02C75">
      <w:pPr>
        <w:pStyle w:val="Para"/>
        <w:rPr>
          <w:highlight w:val="yellow"/>
          <w:lang w:val="en-AU"/>
        </w:rPr>
      </w:pPr>
    </w:p>
    <w:p w14:paraId="2F1091D7" w14:textId="77777777" w:rsidR="00E02C75" w:rsidRPr="006A62C9" w:rsidRDefault="00E02C75" w:rsidP="00000B4D">
      <w:pPr>
        <w:pStyle w:val="Para"/>
        <w:jc w:val="center"/>
        <w:outlineLvl w:val="0"/>
        <w:rPr>
          <w:b/>
          <w:lang w:val="en-AU"/>
        </w:rPr>
      </w:pPr>
      <w:r w:rsidRPr="006A62C9">
        <w:rPr>
          <w:b/>
          <w:lang w:val="en-AU"/>
        </w:rPr>
        <w:t xml:space="preserve">Table </w:t>
      </w:r>
      <w:r w:rsidR="00B940CD" w:rsidRPr="006A62C9">
        <w:rPr>
          <w:b/>
          <w:lang w:val="en-AU"/>
        </w:rPr>
        <w:t>5</w:t>
      </w:r>
      <w:r w:rsidRPr="006A62C9">
        <w:rPr>
          <w:b/>
          <w:lang w:val="en-AU"/>
        </w:rPr>
        <w:t xml:space="preserve">.1.1: </w:t>
      </w:r>
      <w:r w:rsidRPr="006A62C9">
        <w:rPr>
          <w:b/>
          <w:u w:val="single"/>
          <w:lang w:val="en-AU"/>
        </w:rPr>
        <w:t>Incidence of Receiving a Water Bill by Sample Type and Housing Type</w:t>
      </w:r>
    </w:p>
    <w:p w14:paraId="29B7A0C0" w14:textId="77777777" w:rsidR="00E02C75" w:rsidRPr="006A62C9" w:rsidRDefault="00E02C75" w:rsidP="00E02C75">
      <w:pPr>
        <w:pStyle w:val="Para"/>
        <w:spacing w:line="240" w:lineRule="auto"/>
        <w:rPr>
          <w:sz w:val="20"/>
          <w:lang w:val="en-AU"/>
        </w:rPr>
      </w:pPr>
    </w:p>
    <w:tbl>
      <w:tblPr>
        <w:tblW w:w="12839" w:type="dxa"/>
        <w:jc w:val="center"/>
        <w:tblLook w:val="04A0" w:firstRow="1" w:lastRow="0" w:firstColumn="1" w:lastColumn="0" w:noHBand="0" w:noVBand="1"/>
      </w:tblPr>
      <w:tblGrid>
        <w:gridCol w:w="2291"/>
        <w:gridCol w:w="1180"/>
        <w:gridCol w:w="1180"/>
        <w:gridCol w:w="1180"/>
        <w:gridCol w:w="1180"/>
        <w:gridCol w:w="960"/>
        <w:gridCol w:w="1028"/>
        <w:gridCol w:w="960"/>
        <w:gridCol w:w="960"/>
        <w:gridCol w:w="960"/>
        <w:gridCol w:w="960"/>
      </w:tblGrid>
      <w:tr w:rsidR="00C76532" w:rsidRPr="006A62C9" w14:paraId="0032B1A9" w14:textId="77777777" w:rsidTr="00DB3EA3">
        <w:trPr>
          <w:trHeight w:val="930"/>
          <w:jc w:val="center"/>
        </w:trPr>
        <w:tc>
          <w:tcPr>
            <w:tcW w:w="2291" w:type="dxa"/>
            <w:tcBorders>
              <w:top w:val="double" w:sz="6" w:space="0" w:color="auto"/>
              <w:left w:val="double" w:sz="6" w:space="0" w:color="auto"/>
              <w:bottom w:val="single" w:sz="4" w:space="0" w:color="BFBFBF"/>
              <w:right w:val="single" w:sz="4" w:space="0" w:color="BFBFBF"/>
            </w:tcBorders>
            <w:shd w:val="clear" w:color="auto" w:fill="auto"/>
            <w:vAlign w:val="center"/>
          </w:tcPr>
          <w:p w14:paraId="049EAFB5" w14:textId="77777777" w:rsidR="00C76532" w:rsidRPr="006A62C9" w:rsidRDefault="00C76532">
            <w:pPr>
              <w:rPr>
                <w:rFonts w:ascii="Arial" w:hAnsi="Arial" w:cs="Arial"/>
                <w:b/>
                <w:bCs/>
                <w:color w:val="000000"/>
                <w:sz w:val="16"/>
                <w:szCs w:val="16"/>
              </w:rPr>
            </w:pPr>
            <w:r w:rsidRPr="006A62C9">
              <w:rPr>
                <w:rFonts w:ascii="Arial" w:hAnsi="Arial" w:cs="Arial"/>
                <w:b/>
                <w:bCs/>
                <w:color w:val="000000"/>
                <w:sz w:val="16"/>
                <w:szCs w:val="16"/>
              </w:rPr>
              <w:t xml:space="preserve">Claimed </w:t>
            </w:r>
            <w:r w:rsidR="00F60D38" w:rsidRPr="006A62C9">
              <w:rPr>
                <w:rFonts w:ascii="Arial" w:hAnsi="Arial" w:cs="Arial"/>
                <w:b/>
                <w:bCs/>
                <w:color w:val="000000"/>
                <w:sz w:val="16"/>
                <w:szCs w:val="16"/>
              </w:rPr>
              <w:t>i</w:t>
            </w:r>
            <w:r w:rsidRPr="006A62C9">
              <w:rPr>
                <w:rFonts w:ascii="Arial" w:hAnsi="Arial" w:cs="Arial"/>
                <w:b/>
                <w:bCs/>
                <w:color w:val="000000"/>
                <w:sz w:val="16"/>
                <w:szCs w:val="16"/>
              </w:rPr>
              <w:t>ncidence of receiving water bills</w:t>
            </w:r>
          </w:p>
        </w:tc>
        <w:tc>
          <w:tcPr>
            <w:tcW w:w="1180" w:type="dxa"/>
            <w:tcBorders>
              <w:top w:val="double" w:sz="6" w:space="0" w:color="auto"/>
              <w:left w:val="nil"/>
              <w:bottom w:val="single" w:sz="4" w:space="0" w:color="BFBFBF"/>
              <w:right w:val="single" w:sz="4" w:space="0" w:color="BFBFBF"/>
            </w:tcBorders>
            <w:shd w:val="clear" w:color="auto" w:fill="auto"/>
          </w:tcPr>
          <w:p w14:paraId="56C770F1"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Aged Concession HHs</w:t>
            </w:r>
          </w:p>
        </w:tc>
        <w:tc>
          <w:tcPr>
            <w:tcW w:w="1180" w:type="dxa"/>
            <w:tcBorders>
              <w:top w:val="double" w:sz="6" w:space="0" w:color="auto"/>
              <w:left w:val="nil"/>
              <w:bottom w:val="single" w:sz="4" w:space="0" w:color="BFBFBF"/>
              <w:right w:val="single" w:sz="4" w:space="0" w:color="BFBFBF"/>
            </w:tcBorders>
            <w:shd w:val="clear" w:color="auto" w:fill="auto"/>
          </w:tcPr>
          <w:p w14:paraId="3C44C49D"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Non-Aged Concession HHs</w:t>
            </w:r>
          </w:p>
        </w:tc>
        <w:tc>
          <w:tcPr>
            <w:tcW w:w="1180" w:type="dxa"/>
            <w:tcBorders>
              <w:top w:val="double" w:sz="6" w:space="0" w:color="auto"/>
              <w:left w:val="nil"/>
              <w:bottom w:val="single" w:sz="4" w:space="0" w:color="BFBFBF"/>
              <w:right w:val="single" w:sz="4" w:space="0" w:color="BFBFBF"/>
            </w:tcBorders>
            <w:shd w:val="clear" w:color="auto" w:fill="auto"/>
          </w:tcPr>
          <w:p w14:paraId="35378690"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Total Concession HHs</w:t>
            </w:r>
          </w:p>
        </w:tc>
        <w:tc>
          <w:tcPr>
            <w:tcW w:w="1180" w:type="dxa"/>
            <w:tcBorders>
              <w:top w:val="double" w:sz="6" w:space="0" w:color="auto"/>
              <w:left w:val="nil"/>
              <w:bottom w:val="single" w:sz="4" w:space="0" w:color="BFBFBF"/>
              <w:right w:val="single" w:sz="4" w:space="0" w:color="BFBFBF"/>
            </w:tcBorders>
            <w:shd w:val="clear" w:color="auto" w:fill="auto"/>
          </w:tcPr>
          <w:p w14:paraId="2E321FC0"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Non-Concession HHs</w:t>
            </w:r>
          </w:p>
        </w:tc>
        <w:tc>
          <w:tcPr>
            <w:tcW w:w="960" w:type="dxa"/>
            <w:tcBorders>
              <w:top w:val="double" w:sz="6" w:space="0" w:color="auto"/>
              <w:left w:val="nil"/>
              <w:bottom w:val="single" w:sz="4" w:space="0" w:color="BFBFBF"/>
              <w:right w:val="single" w:sz="4" w:space="0" w:color="BFBFBF"/>
            </w:tcBorders>
            <w:shd w:val="clear" w:color="auto" w:fill="auto"/>
          </w:tcPr>
          <w:p w14:paraId="53F8CFA2"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Separate House</w:t>
            </w:r>
          </w:p>
        </w:tc>
        <w:tc>
          <w:tcPr>
            <w:tcW w:w="1028" w:type="dxa"/>
            <w:tcBorders>
              <w:top w:val="double" w:sz="6" w:space="0" w:color="auto"/>
              <w:left w:val="nil"/>
              <w:bottom w:val="single" w:sz="4" w:space="0" w:color="BFBFBF"/>
              <w:right w:val="single" w:sz="4" w:space="0" w:color="BFBFBF"/>
            </w:tcBorders>
            <w:shd w:val="clear" w:color="auto" w:fill="auto"/>
          </w:tcPr>
          <w:p w14:paraId="0B424D40"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Dwelling/ Non-dwelling combined</w:t>
            </w:r>
            <w:r w:rsidRPr="006A62C9">
              <w:rPr>
                <w:rFonts w:ascii="Arial" w:hAnsi="Arial" w:cs="Arial"/>
                <w:b/>
                <w:bCs/>
                <w:color w:val="000000"/>
                <w:sz w:val="16"/>
                <w:szCs w:val="16"/>
                <w:vertAlign w:val="superscript"/>
              </w:rPr>
              <w:t>1</w:t>
            </w:r>
          </w:p>
        </w:tc>
        <w:tc>
          <w:tcPr>
            <w:tcW w:w="960" w:type="dxa"/>
            <w:tcBorders>
              <w:top w:val="double" w:sz="6" w:space="0" w:color="auto"/>
              <w:left w:val="nil"/>
              <w:bottom w:val="single" w:sz="4" w:space="0" w:color="BFBFBF"/>
              <w:right w:val="single" w:sz="4" w:space="0" w:color="BFBFBF"/>
            </w:tcBorders>
            <w:shd w:val="clear" w:color="auto" w:fill="auto"/>
          </w:tcPr>
          <w:p w14:paraId="099A4A19"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Semi Detached</w:t>
            </w:r>
          </w:p>
        </w:tc>
        <w:tc>
          <w:tcPr>
            <w:tcW w:w="960" w:type="dxa"/>
            <w:tcBorders>
              <w:top w:val="double" w:sz="6" w:space="0" w:color="auto"/>
              <w:left w:val="nil"/>
              <w:bottom w:val="single" w:sz="4" w:space="0" w:color="BFBFBF"/>
              <w:right w:val="single" w:sz="4" w:space="0" w:color="BFBFBF"/>
            </w:tcBorders>
            <w:shd w:val="clear" w:color="auto" w:fill="auto"/>
          </w:tcPr>
          <w:p w14:paraId="7F195D3F"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Low Rise Flats</w:t>
            </w:r>
          </w:p>
        </w:tc>
        <w:tc>
          <w:tcPr>
            <w:tcW w:w="960" w:type="dxa"/>
            <w:tcBorders>
              <w:top w:val="double" w:sz="6" w:space="0" w:color="auto"/>
              <w:left w:val="nil"/>
              <w:bottom w:val="single" w:sz="4" w:space="0" w:color="BFBFBF"/>
              <w:right w:val="single" w:sz="4" w:space="0" w:color="BFBFBF"/>
            </w:tcBorders>
            <w:shd w:val="clear" w:color="auto" w:fill="auto"/>
          </w:tcPr>
          <w:p w14:paraId="0B1B349F"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High Rise Flats</w:t>
            </w:r>
            <w:r w:rsidRPr="006A62C9">
              <w:rPr>
                <w:rFonts w:ascii="Arial" w:hAnsi="Arial" w:cs="Arial"/>
                <w:b/>
                <w:bCs/>
                <w:color w:val="000000"/>
                <w:sz w:val="16"/>
                <w:szCs w:val="16"/>
                <w:vertAlign w:val="superscript"/>
              </w:rPr>
              <w:t>1</w:t>
            </w:r>
          </w:p>
        </w:tc>
        <w:tc>
          <w:tcPr>
            <w:tcW w:w="960" w:type="dxa"/>
            <w:tcBorders>
              <w:top w:val="double" w:sz="6" w:space="0" w:color="auto"/>
              <w:left w:val="nil"/>
              <w:bottom w:val="single" w:sz="4" w:space="0" w:color="BFBFBF"/>
              <w:right w:val="double" w:sz="6" w:space="0" w:color="auto"/>
            </w:tcBorders>
            <w:shd w:val="clear" w:color="auto" w:fill="auto"/>
            <w:noWrap/>
          </w:tcPr>
          <w:p w14:paraId="2DBE7F9F"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Total</w:t>
            </w:r>
          </w:p>
        </w:tc>
      </w:tr>
      <w:tr w:rsidR="00C76532" w:rsidRPr="006A62C9" w14:paraId="48D7C6CB" w14:textId="77777777" w:rsidTr="00DB3EA3">
        <w:trPr>
          <w:trHeight w:val="225"/>
          <w:jc w:val="center"/>
        </w:trPr>
        <w:tc>
          <w:tcPr>
            <w:tcW w:w="2291" w:type="dxa"/>
            <w:tcBorders>
              <w:top w:val="nil"/>
              <w:left w:val="double" w:sz="6" w:space="0" w:color="auto"/>
              <w:bottom w:val="single" w:sz="4" w:space="0" w:color="BFBFBF"/>
              <w:right w:val="single" w:sz="4" w:space="0" w:color="BFBFBF"/>
            </w:tcBorders>
            <w:shd w:val="clear" w:color="auto" w:fill="auto"/>
            <w:vAlign w:val="center"/>
          </w:tcPr>
          <w:p w14:paraId="33D64B08" w14:textId="77777777" w:rsidR="00C76532" w:rsidRPr="006A62C9" w:rsidRDefault="00C76532" w:rsidP="00786A47">
            <w:pPr>
              <w:jc w:val="center"/>
              <w:rPr>
                <w:rFonts w:ascii="Arial" w:hAnsi="Arial" w:cs="Arial"/>
                <w:b/>
                <w:color w:val="000000"/>
                <w:sz w:val="16"/>
                <w:szCs w:val="16"/>
              </w:rPr>
            </w:pPr>
            <w:r w:rsidRPr="006A62C9">
              <w:rPr>
                <w:rFonts w:ascii="Arial" w:hAnsi="Arial" w:cs="Arial"/>
                <w:b/>
                <w:color w:val="000000"/>
                <w:sz w:val="16"/>
                <w:szCs w:val="16"/>
              </w:rPr>
              <w:t>2014</w:t>
            </w:r>
            <w:r w:rsidR="00F60D38" w:rsidRPr="006A62C9">
              <w:rPr>
                <w:rFonts w:ascii="Arial" w:hAnsi="Arial" w:cs="Arial"/>
                <w:b/>
                <w:color w:val="000000"/>
                <w:sz w:val="16"/>
                <w:szCs w:val="16"/>
              </w:rPr>
              <w:t xml:space="preserve"> survey</w:t>
            </w:r>
          </w:p>
        </w:tc>
        <w:tc>
          <w:tcPr>
            <w:tcW w:w="1180" w:type="dxa"/>
            <w:tcBorders>
              <w:top w:val="nil"/>
              <w:left w:val="nil"/>
              <w:bottom w:val="single" w:sz="4" w:space="0" w:color="BFBFBF"/>
              <w:right w:val="single" w:sz="4" w:space="0" w:color="BFBFBF"/>
            </w:tcBorders>
            <w:shd w:val="clear" w:color="auto" w:fill="auto"/>
          </w:tcPr>
          <w:p w14:paraId="3F0932F2"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91%</w:t>
            </w:r>
          </w:p>
        </w:tc>
        <w:tc>
          <w:tcPr>
            <w:tcW w:w="1180" w:type="dxa"/>
            <w:tcBorders>
              <w:top w:val="nil"/>
              <w:left w:val="nil"/>
              <w:bottom w:val="single" w:sz="4" w:space="0" w:color="BFBFBF"/>
              <w:right w:val="single" w:sz="4" w:space="0" w:color="BFBFBF"/>
            </w:tcBorders>
            <w:shd w:val="clear" w:color="auto" w:fill="auto"/>
          </w:tcPr>
          <w:p w14:paraId="5EF44940"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88%</w:t>
            </w:r>
          </w:p>
        </w:tc>
        <w:tc>
          <w:tcPr>
            <w:tcW w:w="1180" w:type="dxa"/>
            <w:tcBorders>
              <w:top w:val="nil"/>
              <w:left w:val="nil"/>
              <w:bottom w:val="single" w:sz="4" w:space="0" w:color="BFBFBF"/>
              <w:right w:val="single" w:sz="4" w:space="0" w:color="BFBFBF"/>
            </w:tcBorders>
            <w:shd w:val="clear" w:color="auto" w:fill="auto"/>
          </w:tcPr>
          <w:p w14:paraId="5CAB0632"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90%</w:t>
            </w:r>
          </w:p>
        </w:tc>
        <w:tc>
          <w:tcPr>
            <w:tcW w:w="1180" w:type="dxa"/>
            <w:tcBorders>
              <w:top w:val="nil"/>
              <w:left w:val="nil"/>
              <w:bottom w:val="single" w:sz="4" w:space="0" w:color="BFBFBF"/>
              <w:right w:val="single" w:sz="4" w:space="0" w:color="BFBFBF"/>
            </w:tcBorders>
            <w:shd w:val="clear" w:color="auto" w:fill="auto"/>
          </w:tcPr>
          <w:p w14:paraId="2819A639"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95%</w:t>
            </w:r>
          </w:p>
        </w:tc>
        <w:tc>
          <w:tcPr>
            <w:tcW w:w="960" w:type="dxa"/>
            <w:tcBorders>
              <w:top w:val="nil"/>
              <w:left w:val="nil"/>
              <w:bottom w:val="single" w:sz="4" w:space="0" w:color="BFBFBF"/>
              <w:right w:val="single" w:sz="4" w:space="0" w:color="BFBFBF"/>
            </w:tcBorders>
            <w:shd w:val="clear" w:color="auto" w:fill="auto"/>
          </w:tcPr>
          <w:p w14:paraId="7B0AAE6C"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95%</w:t>
            </w:r>
          </w:p>
        </w:tc>
        <w:tc>
          <w:tcPr>
            <w:tcW w:w="1028" w:type="dxa"/>
            <w:tcBorders>
              <w:top w:val="nil"/>
              <w:left w:val="nil"/>
              <w:bottom w:val="single" w:sz="4" w:space="0" w:color="BFBFBF"/>
              <w:right w:val="single" w:sz="4" w:space="0" w:color="BFBFBF"/>
            </w:tcBorders>
            <w:shd w:val="clear" w:color="auto" w:fill="auto"/>
          </w:tcPr>
          <w:p w14:paraId="63D25DA4"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100%</w:t>
            </w:r>
          </w:p>
        </w:tc>
        <w:tc>
          <w:tcPr>
            <w:tcW w:w="960" w:type="dxa"/>
            <w:tcBorders>
              <w:top w:val="nil"/>
              <w:left w:val="nil"/>
              <w:bottom w:val="single" w:sz="4" w:space="0" w:color="BFBFBF"/>
              <w:right w:val="single" w:sz="4" w:space="0" w:color="BFBFBF"/>
            </w:tcBorders>
            <w:shd w:val="clear" w:color="auto" w:fill="auto"/>
          </w:tcPr>
          <w:p w14:paraId="185F58E3" w14:textId="77777777" w:rsidR="00C76532" w:rsidRPr="006A62C9" w:rsidRDefault="00C76532" w:rsidP="006A62C9">
            <w:pPr>
              <w:jc w:val="center"/>
              <w:rPr>
                <w:rFonts w:ascii="Arial" w:hAnsi="Arial" w:cs="Arial"/>
                <w:color w:val="000000"/>
                <w:sz w:val="16"/>
                <w:szCs w:val="16"/>
              </w:rPr>
            </w:pPr>
            <w:r w:rsidRPr="006A62C9">
              <w:rPr>
                <w:rFonts w:ascii="Arial" w:hAnsi="Arial" w:cs="Arial"/>
                <w:color w:val="000000"/>
                <w:sz w:val="16"/>
                <w:szCs w:val="16"/>
              </w:rPr>
              <w:t>8</w:t>
            </w:r>
            <w:r w:rsidR="006A62C9" w:rsidRPr="006A62C9">
              <w:rPr>
                <w:rFonts w:ascii="Arial" w:hAnsi="Arial" w:cs="Arial"/>
                <w:color w:val="000000"/>
                <w:sz w:val="16"/>
                <w:szCs w:val="16"/>
              </w:rPr>
              <w:t>9</w:t>
            </w:r>
            <w:r w:rsidRPr="006A62C9">
              <w:rPr>
                <w:rFonts w:ascii="Arial" w:hAnsi="Arial" w:cs="Arial"/>
                <w:color w:val="000000"/>
                <w:sz w:val="16"/>
                <w:szCs w:val="16"/>
              </w:rPr>
              <w:t>%</w:t>
            </w:r>
          </w:p>
        </w:tc>
        <w:tc>
          <w:tcPr>
            <w:tcW w:w="960" w:type="dxa"/>
            <w:tcBorders>
              <w:top w:val="nil"/>
              <w:left w:val="nil"/>
              <w:bottom w:val="single" w:sz="4" w:space="0" w:color="BFBFBF"/>
              <w:right w:val="single" w:sz="4" w:space="0" w:color="BFBFBF"/>
            </w:tcBorders>
            <w:shd w:val="clear" w:color="auto" w:fill="auto"/>
          </w:tcPr>
          <w:p w14:paraId="1CE1BD0E"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74%</w:t>
            </w:r>
          </w:p>
        </w:tc>
        <w:tc>
          <w:tcPr>
            <w:tcW w:w="960" w:type="dxa"/>
            <w:tcBorders>
              <w:top w:val="nil"/>
              <w:left w:val="nil"/>
              <w:bottom w:val="single" w:sz="4" w:space="0" w:color="BFBFBF"/>
              <w:right w:val="single" w:sz="4" w:space="0" w:color="BFBFBF"/>
            </w:tcBorders>
            <w:shd w:val="clear" w:color="auto" w:fill="auto"/>
          </w:tcPr>
          <w:p w14:paraId="1B1E8B98"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80%</w:t>
            </w:r>
          </w:p>
        </w:tc>
        <w:tc>
          <w:tcPr>
            <w:tcW w:w="960" w:type="dxa"/>
            <w:tcBorders>
              <w:top w:val="nil"/>
              <w:left w:val="nil"/>
              <w:bottom w:val="single" w:sz="4" w:space="0" w:color="BFBFBF"/>
              <w:right w:val="double" w:sz="6" w:space="0" w:color="auto"/>
            </w:tcBorders>
            <w:shd w:val="clear" w:color="auto" w:fill="auto"/>
            <w:noWrap/>
          </w:tcPr>
          <w:p w14:paraId="7DDE00F6"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92%</w:t>
            </w:r>
          </w:p>
        </w:tc>
      </w:tr>
      <w:tr w:rsidR="00C76532" w:rsidRPr="006A62C9" w14:paraId="33409220" w14:textId="77777777" w:rsidTr="00DB3EA3">
        <w:trPr>
          <w:trHeight w:val="225"/>
          <w:jc w:val="center"/>
        </w:trPr>
        <w:tc>
          <w:tcPr>
            <w:tcW w:w="2291" w:type="dxa"/>
            <w:tcBorders>
              <w:top w:val="nil"/>
              <w:left w:val="double" w:sz="6" w:space="0" w:color="auto"/>
              <w:bottom w:val="single" w:sz="4" w:space="0" w:color="BFBFBF"/>
              <w:right w:val="single" w:sz="4" w:space="0" w:color="BFBFBF"/>
            </w:tcBorders>
            <w:shd w:val="clear" w:color="auto" w:fill="auto"/>
            <w:noWrap/>
            <w:vAlign w:val="center"/>
          </w:tcPr>
          <w:p w14:paraId="18F2231B" w14:textId="77777777" w:rsidR="00C76532" w:rsidRPr="006A62C9" w:rsidRDefault="00C76532" w:rsidP="00786A47">
            <w:pPr>
              <w:jc w:val="center"/>
              <w:rPr>
                <w:rFonts w:ascii="Arial" w:hAnsi="Arial" w:cs="Arial"/>
                <w:b/>
                <w:color w:val="000000"/>
                <w:sz w:val="16"/>
                <w:szCs w:val="16"/>
              </w:rPr>
            </w:pPr>
            <w:r w:rsidRPr="006A62C9">
              <w:rPr>
                <w:rFonts w:ascii="Arial" w:hAnsi="Arial" w:cs="Arial"/>
                <w:b/>
                <w:color w:val="000000"/>
                <w:sz w:val="16"/>
                <w:szCs w:val="16"/>
              </w:rPr>
              <w:t>2007</w:t>
            </w:r>
            <w:r w:rsidR="00F60D38" w:rsidRPr="006A62C9">
              <w:rPr>
                <w:rFonts w:ascii="Arial" w:hAnsi="Arial" w:cs="Arial"/>
                <w:b/>
                <w:color w:val="000000"/>
                <w:sz w:val="16"/>
                <w:szCs w:val="16"/>
              </w:rPr>
              <w:t xml:space="preserve"> survey</w:t>
            </w:r>
          </w:p>
        </w:tc>
        <w:tc>
          <w:tcPr>
            <w:tcW w:w="1180" w:type="dxa"/>
            <w:tcBorders>
              <w:top w:val="nil"/>
              <w:left w:val="nil"/>
              <w:bottom w:val="single" w:sz="4" w:space="0" w:color="BFBFBF"/>
              <w:right w:val="single" w:sz="4" w:space="0" w:color="BFBFBF"/>
            </w:tcBorders>
            <w:shd w:val="clear" w:color="auto" w:fill="auto"/>
            <w:noWrap/>
            <w:vAlign w:val="center"/>
          </w:tcPr>
          <w:p w14:paraId="1C396F9E"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93%</w:t>
            </w:r>
          </w:p>
        </w:tc>
        <w:tc>
          <w:tcPr>
            <w:tcW w:w="1180" w:type="dxa"/>
            <w:tcBorders>
              <w:top w:val="nil"/>
              <w:left w:val="nil"/>
              <w:bottom w:val="single" w:sz="4" w:space="0" w:color="BFBFBF"/>
              <w:right w:val="single" w:sz="4" w:space="0" w:color="BFBFBF"/>
            </w:tcBorders>
            <w:shd w:val="clear" w:color="auto" w:fill="auto"/>
            <w:noWrap/>
            <w:vAlign w:val="center"/>
          </w:tcPr>
          <w:p w14:paraId="627BCBB3"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87%</w:t>
            </w:r>
          </w:p>
        </w:tc>
        <w:tc>
          <w:tcPr>
            <w:tcW w:w="1180" w:type="dxa"/>
            <w:tcBorders>
              <w:top w:val="nil"/>
              <w:left w:val="nil"/>
              <w:bottom w:val="single" w:sz="4" w:space="0" w:color="BFBFBF"/>
              <w:right w:val="single" w:sz="4" w:space="0" w:color="BFBFBF"/>
            </w:tcBorders>
            <w:shd w:val="clear" w:color="auto" w:fill="auto"/>
            <w:noWrap/>
            <w:vAlign w:val="center"/>
          </w:tcPr>
          <w:p w14:paraId="424280EC"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90%</w:t>
            </w:r>
          </w:p>
        </w:tc>
        <w:tc>
          <w:tcPr>
            <w:tcW w:w="1180" w:type="dxa"/>
            <w:tcBorders>
              <w:top w:val="nil"/>
              <w:left w:val="nil"/>
              <w:bottom w:val="single" w:sz="4" w:space="0" w:color="BFBFBF"/>
              <w:right w:val="single" w:sz="4" w:space="0" w:color="BFBFBF"/>
            </w:tcBorders>
            <w:shd w:val="clear" w:color="auto" w:fill="auto"/>
            <w:noWrap/>
            <w:vAlign w:val="center"/>
          </w:tcPr>
          <w:p w14:paraId="0C58B0FC"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94%</w:t>
            </w:r>
          </w:p>
        </w:tc>
        <w:tc>
          <w:tcPr>
            <w:tcW w:w="960" w:type="dxa"/>
            <w:tcBorders>
              <w:top w:val="nil"/>
              <w:left w:val="nil"/>
              <w:bottom w:val="single" w:sz="4" w:space="0" w:color="BFBFBF"/>
              <w:right w:val="single" w:sz="4" w:space="0" w:color="BFBFBF"/>
            </w:tcBorders>
            <w:shd w:val="clear" w:color="auto" w:fill="auto"/>
            <w:noWrap/>
            <w:vAlign w:val="center"/>
          </w:tcPr>
          <w:p w14:paraId="418A5F75"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97%</w:t>
            </w:r>
          </w:p>
        </w:tc>
        <w:tc>
          <w:tcPr>
            <w:tcW w:w="1028" w:type="dxa"/>
            <w:tcBorders>
              <w:top w:val="nil"/>
              <w:left w:val="nil"/>
              <w:bottom w:val="single" w:sz="4" w:space="0" w:color="BFBFBF"/>
              <w:right w:val="single" w:sz="4" w:space="0" w:color="BFBFBF"/>
            </w:tcBorders>
            <w:shd w:val="clear" w:color="auto" w:fill="auto"/>
            <w:noWrap/>
            <w:vAlign w:val="center"/>
          </w:tcPr>
          <w:p w14:paraId="747CCFE9"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54%</w:t>
            </w:r>
          </w:p>
        </w:tc>
        <w:tc>
          <w:tcPr>
            <w:tcW w:w="960" w:type="dxa"/>
            <w:tcBorders>
              <w:top w:val="nil"/>
              <w:left w:val="nil"/>
              <w:bottom w:val="single" w:sz="4" w:space="0" w:color="BFBFBF"/>
              <w:right w:val="single" w:sz="4" w:space="0" w:color="BFBFBF"/>
            </w:tcBorders>
            <w:shd w:val="clear" w:color="auto" w:fill="auto"/>
            <w:noWrap/>
            <w:vAlign w:val="center"/>
          </w:tcPr>
          <w:p w14:paraId="734117A0"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75%</w:t>
            </w:r>
          </w:p>
        </w:tc>
        <w:tc>
          <w:tcPr>
            <w:tcW w:w="960" w:type="dxa"/>
            <w:tcBorders>
              <w:top w:val="nil"/>
              <w:left w:val="nil"/>
              <w:bottom w:val="single" w:sz="4" w:space="0" w:color="BFBFBF"/>
              <w:right w:val="single" w:sz="4" w:space="0" w:color="BFBFBF"/>
            </w:tcBorders>
            <w:shd w:val="clear" w:color="auto" w:fill="auto"/>
            <w:noWrap/>
            <w:vAlign w:val="center"/>
          </w:tcPr>
          <w:p w14:paraId="23344A3D"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60%</w:t>
            </w:r>
          </w:p>
        </w:tc>
        <w:tc>
          <w:tcPr>
            <w:tcW w:w="960" w:type="dxa"/>
            <w:tcBorders>
              <w:top w:val="nil"/>
              <w:left w:val="nil"/>
              <w:bottom w:val="single" w:sz="4" w:space="0" w:color="BFBFBF"/>
              <w:right w:val="single" w:sz="4" w:space="0" w:color="BFBFBF"/>
            </w:tcBorders>
            <w:shd w:val="clear" w:color="auto" w:fill="auto"/>
            <w:noWrap/>
            <w:vAlign w:val="center"/>
          </w:tcPr>
          <w:p w14:paraId="2810DC68"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12%</w:t>
            </w:r>
          </w:p>
        </w:tc>
        <w:tc>
          <w:tcPr>
            <w:tcW w:w="960" w:type="dxa"/>
            <w:tcBorders>
              <w:top w:val="nil"/>
              <w:left w:val="nil"/>
              <w:bottom w:val="single" w:sz="4" w:space="0" w:color="BFBFBF"/>
              <w:right w:val="double" w:sz="6" w:space="0" w:color="auto"/>
            </w:tcBorders>
            <w:shd w:val="clear" w:color="auto" w:fill="auto"/>
            <w:noWrap/>
            <w:vAlign w:val="center"/>
          </w:tcPr>
          <w:p w14:paraId="29E437E2"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93%</w:t>
            </w:r>
          </w:p>
        </w:tc>
      </w:tr>
      <w:tr w:rsidR="00C76532" w:rsidRPr="006A62C9" w14:paraId="2ABB5C3B" w14:textId="77777777" w:rsidTr="00DB3EA3">
        <w:trPr>
          <w:trHeight w:val="225"/>
          <w:jc w:val="center"/>
        </w:trPr>
        <w:tc>
          <w:tcPr>
            <w:tcW w:w="2291" w:type="dxa"/>
            <w:tcBorders>
              <w:top w:val="nil"/>
              <w:left w:val="double" w:sz="6" w:space="0" w:color="auto"/>
              <w:bottom w:val="single" w:sz="4" w:space="0" w:color="BFBFBF"/>
              <w:right w:val="single" w:sz="4" w:space="0" w:color="BFBFBF"/>
            </w:tcBorders>
            <w:shd w:val="clear" w:color="auto" w:fill="auto"/>
            <w:noWrap/>
            <w:vAlign w:val="center"/>
          </w:tcPr>
          <w:p w14:paraId="4F3291DE" w14:textId="77777777" w:rsidR="00C76532" w:rsidRPr="006A62C9" w:rsidRDefault="00C76532" w:rsidP="00786A47">
            <w:pPr>
              <w:jc w:val="center"/>
              <w:rPr>
                <w:rFonts w:ascii="Arial" w:hAnsi="Arial" w:cs="Arial"/>
                <w:b/>
                <w:color w:val="000000"/>
                <w:sz w:val="16"/>
                <w:szCs w:val="16"/>
              </w:rPr>
            </w:pPr>
            <w:r w:rsidRPr="006A62C9">
              <w:rPr>
                <w:rFonts w:ascii="Arial" w:hAnsi="Arial" w:cs="Arial"/>
                <w:b/>
                <w:color w:val="000000"/>
                <w:sz w:val="16"/>
                <w:szCs w:val="16"/>
              </w:rPr>
              <w:t>2001</w:t>
            </w:r>
            <w:r w:rsidR="00F60D38" w:rsidRPr="006A62C9">
              <w:rPr>
                <w:rFonts w:ascii="Arial" w:hAnsi="Arial" w:cs="Arial"/>
                <w:b/>
                <w:color w:val="000000"/>
                <w:sz w:val="16"/>
                <w:szCs w:val="16"/>
              </w:rPr>
              <w:t xml:space="preserve"> survey</w:t>
            </w:r>
          </w:p>
        </w:tc>
        <w:tc>
          <w:tcPr>
            <w:tcW w:w="1180" w:type="dxa"/>
            <w:tcBorders>
              <w:top w:val="nil"/>
              <w:left w:val="nil"/>
              <w:bottom w:val="single" w:sz="4" w:space="0" w:color="BFBFBF"/>
              <w:right w:val="single" w:sz="4" w:space="0" w:color="BFBFBF"/>
            </w:tcBorders>
            <w:shd w:val="clear" w:color="auto" w:fill="auto"/>
            <w:noWrap/>
            <w:vAlign w:val="center"/>
          </w:tcPr>
          <w:p w14:paraId="6212CCFC"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93%</w:t>
            </w:r>
          </w:p>
        </w:tc>
        <w:tc>
          <w:tcPr>
            <w:tcW w:w="1180" w:type="dxa"/>
            <w:tcBorders>
              <w:top w:val="nil"/>
              <w:left w:val="nil"/>
              <w:bottom w:val="single" w:sz="4" w:space="0" w:color="BFBFBF"/>
              <w:right w:val="single" w:sz="4" w:space="0" w:color="BFBFBF"/>
            </w:tcBorders>
            <w:shd w:val="clear" w:color="auto" w:fill="auto"/>
            <w:noWrap/>
            <w:vAlign w:val="center"/>
          </w:tcPr>
          <w:p w14:paraId="064EC980"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85%</w:t>
            </w:r>
          </w:p>
        </w:tc>
        <w:tc>
          <w:tcPr>
            <w:tcW w:w="1180" w:type="dxa"/>
            <w:tcBorders>
              <w:top w:val="nil"/>
              <w:left w:val="nil"/>
              <w:bottom w:val="single" w:sz="4" w:space="0" w:color="BFBFBF"/>
              <w:right w:val="single" w:sz="4" w:space="0" w:color="BFBFBF"/>
            </w:tcBorders>
            <w:shd w:val="clear" w:color="auto" w:fill="auto"/>
            <w:noWrap/>
            <w:vAlign w:val="center"/>
          </w:tcPr>
          <w:p w14:paraId="1794E0D6"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90%</w:t>
            </w:r>
          </w:p>
        </w:tc>
        <w:tc>
          <w:tcPr>
            <w:tcW w:w="1180" w:type="dxa"/>
            <w:tcBorders>
              <w:top w:val="nil"/>
              <w:left w:val="nil"/>
              <w:bottom w:val="single" w:sz="4" w:space="0" w:color="BFBFBF"/>
              <w:right w:val="single" w:sz="4" w:space="0" w:color="BFBFBF"/>
            </w:tcBorders>
            <w:shd w:val="clear" w:color="auto" w:fill="auto"/>
            <w:noWrap/>
            <w:vAlign w:val="center"/>
          </w:tcPr>
          <w:p w14:paraId="45822119"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94%</w:t>
            </w:r>
          </w:p>
        </w:tc>
        <w:tc>
          <w:tcPr>
            <w:tcW w:w="960" w:type="dxa"/>
            <w:tcBorders>
              <w:top w:val="nil"/>
              <w:left w:val="nil"/>
              <w:bottom w:val="single" w:sz="4" w:space="0" w:color="BFBFBF"/>
              <w:right w:val="single" w:sz="4" w:space="0" w:color="BFBFBF"/>
            </w:tcBorders>
            <w:shd w:val="clear" w:color="auto" w:fill="auto"/>
            <w:noWrap/>
            <w:vAlign w:val="center"/>
          </w:tcPr>
          <w:p w14:paraId="2C3C8E21"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98%</w:t>
            </w:r>
          </w:p>
        </w:tc>
        <w:tc>
          <w:tcPr>
            <w:tcW w:w="1028" w:type="dxa"/>
            <w:tcBorders>
              <w:top w:val="nil"/>
              <w:left w:val="nil"/>
              <w:bottom w:val="single" w:sz="4" w:space="0" w:color="BFBFBF"/>
              <w:right w:val="single" w:sz="4" w:space="0" w:color="BFBFBF"/>
            </w:tcBorders>
            <w:shd w:val="clear" w:color="auto" w:fill="auto"/>
            <w:noWrap/>
            <w:vAlign w:val="center"/>
          </w:tcPr>
          <w:p w14:paraId="2A255DDC"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83%</w:t>
            </w:r>
          </w:p>
        </w:tc>
        <w:tc>
          <w:tcPr>
            <w:tcW w:w="960" w:type="dxa"/>
            <w:tcBorders>
              <w:top w:val="nil"/>
              <w:left w:val="nil"/>
              <w:bottom w:val="single" w:sz="4" w:space="0" w:color="BFBFBF"/>
              <w:right w:val="single" w:sz="4" w:space="0" w:color="BFBFBF"/>
            </w:tcBorders>
            <w:shd w:val="clear" w:color="auto" w:fill="auto"/>
            <w:noWrap/>
            <w:vAlign w:val="center"/>
          </w:tcPr>
          <w:p w14:paraId="768E7A8A"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80%</w:t>
            </w:r>
          </w:p>
        </w:tc>
        <w:tc>
          <w:tcPr>
            <w:tcW w:w="960" w:type="dxa"/>
            <w:tcBorders>
              <w:top w:val="nil"/>
              <w:left w:val="nil"/>
              <w:bottom w:val="single" w:sz="4" w:space="0" w:color="BFBFBF"/>
              <w:right w:val="single" w:sz="4" w:space="0" w:color="BFBFBF"/>
            </w:tcBorders>
            <w:shd w:val="clear" w:color="auto" w:fill="auto"/>
            <w:noWrap/>
            <w:vAlign w:val="center"/>
          </w:tcPr>
          <w:p w14:paraId="52FFF41F"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39%</w:t>
            </w:r>
          </w:p>
        </w:tc>
        <w:tc>
          <w:tcPr>
            <w:tcW w:w="960" w:type="dxa"/>
            <w:tcBorders>
              <w:top w:val="nil"/>
              <w:left w:val="nil"/>
              <w:bottom w:val="single" w:sz="4" w:space="0" w:color="BFBFBF"/>
              <w:right w:val="single" w:sz="4" w:space="0" w:color="BFBFBF"/>
            </w:tcBorders>
            <w:shd w:val="clear" w:color="auto" w:fill="auto"/>
            <w:noWrap/>
            <w:vAlign w:val="center"/>
          </w:tcPr>
          <w:p w14:paraId="404529FF"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34%</w:t>
            </w:r>
          </w:p>
        </w:tc>
        <w:tc>
          <w:tcPr>
            <w:tcW w:w="960" w:type="dxa"/>
            <w:tcBorders>
              <w:top w:val="nil"/>
              <w:left w:val="nil"/>
              <w:bottom w:val="single" w:sz="4" w:space="0" w:color="BFBFBF"/>
              <w:right w:val="double" w:sz="6" w:space="0" w:color="auto"/>
            </w:tcBorders>
            <w:shd w:val="clear" w:color="auto" w:fill="auto"/>
            <w:noWrap/>
            <w:vAlign w:val="center"/>
          </w:tcPr>
          <w:p w14:paraId="3868E238"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93%</w:t>
            </w:r>
          </w:p>
        </w:tc>
      </w:tr>
      <w:tr w:rsidR="00C76532" w:rsidRPr="006A62C9" w14:paraId="02FC2C46" w14:textId="77777777" w:rsidTr="00DB3EA3">
        <w:trPr>
          <w:trHeight w:val="240"/>
          <w:jc w:val="center"/>
        </w:trPr>
        <w:tc>
          <w:tcPr>
            <w:tcW w:w="2291" w:type="dxa"/>
            <w:tcBorders>
              <w:top w:val="nil"/>
              <w:left w:val="double" w:sz="6" w:space="0" w:color="auto"/>
              <w:bottom w:val="double" w:sz="6" w:space="0" w:color="auto"/>
              <w:right w:val="single" w:sz="4" w:space="0" w:color="BFBFBF"/>
            </w:tcBorders>
            <w:shd w:val="clear" w:color="auto" w:fill="auto"/>
            <w:noWrap/>
            <w:vAlign w:val="center"/>
          </w:tcPr>
          <w:p w14:paraId="70CE0DC3" w14:textId="77777777" w:rsidR="00C76532" w:rsidRPr="006A62C9" w:rsidRDefault="00C76532" w:rsidP="00786A47">
            <w:pPr>
              <w:jc w:val="center"/>
              <w:rPr>
                <w:rFonts w:ascii="Arial" w:hAnsi="Arial" w:cs="Arial"/>
                <w:b/>
                <w:color w:val="000000"/>
                <w:sz w:val="16"/>
                <w:szCs w:val="16"/>
              </w:rPr>
            </w:pPr>
            <w:r w:rsidRPr="006A62C9">
              <w:rPr>
                <w:rFonts w:ascii="Arial" w:hAnsi="Arial" w:cs="Arial"/>
                <w:b/>
                <w:color w:val="000000"/>
                <w:sz w:val="16"/>
                <w:szCs w:val="16"/>
              </w:rPr>
              <w:t>1996</w:t>
            </w:r>
            <w:r w:rsidR="00F60D38" w:rsidRPr="006A62C9">
              <w:rPr>
                <w:rFonts w:ascii="Arial" w:hAnsi="Arial" w:cs="Arial"/>
                <w:b/>
                <w:color w:val="000000"/>
                <w:sz w:val="16"/>
                <w:szCs w:val="16"/>
              </w:rPr>
              <w:t xml:space="preserve"> survey</w:t>
            </w:r>
          </w:p>
        </w:tc>
        <w:tc>
          <w:tcPr>
            <w:tcW w:w="1180" w:type="dxa"/>
            <w:tcBorders>
              <w:top w:val="nil"/>
              <w:left w:val="nil"/>
              <w:bottom w:val="double" w:sz="6" w:space="0" w:color="auto"/>
              <w:right w:val="single" w:sz="4" w:space="0" w:color="BFBFBF"/>
            </w:tcBorders>
            <w:shd w:val="clear" w:color="auto" w:fill="auto"/>
            <w:noWrap/>
            <w:vAlign w:val="center"/>
          </w:tcPr>
          <w:p w14:paraId="2BF2D2E0"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84%</w:t>
            </w:r>
          </w:p>
        </w:tc>
        <w:tc>
          <w:tcPr>
            <w:tcW w:w="1180" w:type="dxa"/>
            <w:tcBorders>
              <w:top w:val="nil"/>
              <w:left w:val="nil"/>
              <w:bottom w:val="double" w:sz="6" w:space="0" w:color="auto"/>
              <w:right w:val="single" w:sz="4" w:space="0" w:color="BFBFBF"/>
            </w:tcBorders>
            <w:shd w:val="clear" w:color="auto" w:fill="auto"/>
            <w:noWrap/>
            <w:vAlign w:val="center"/>
          </w:tcPr>
          <w:p w14:paraId="1D90978B"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74%</w:t>
            </w:r>
          </w:p>
        </w:tc>
        <w:tc>
          <w:tcPr>
            <w:tcW w:w="1180" w:type="dxa"/>
            <w:tcBorders>
              <w:top w:val="nil"/>
              <w:left w:val="nil"/>
              <w:bottom w:val="double" w:sz="6" w:space="0" w:color="auto"/>
              <w:right w:val="single" w:sz="4" w:space="0" w:color="BFBFBF"/>
            </w:tcBorders>
            <w:shd w:val="clear" w:color="auto" w:fill="auto"/>
            <w:noWrap/>
            <w:vAlign w:val="center"/>
          </w:tcPr>
          <w:p w14:paraId="4F1283DD"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80%</w:t>
            </w:r>
          </w:p>
        </w:tc>
        <w:tc>
          <w:tcPr>
            <w:tcW w:w="1180" w:type="dxa"/>
            <w:tcBorders>
              <w:top w:val="nil"/>
              <w:left w:val="nil"/>
              <w:bottom w:val="double" w:sz="6" w:space="0" w:color="auto"/>
              <w:right w:val="single" w:sz="4" w:space="0" w:color="BFBFBF"/>
            </w:tcBorders>
            <w:shd w:val="clear" w:color="auto" w:fill="auto"/>
            <w:noWrap/>
            <w:vAlign w:val="center"/>
          </w:tcPr>
          <w:p w14:paraId="1459A35C"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92%</w:t>
            </w:r>
          </w:p>
        </w:tc>
        <w:tc>
          <w:tcPr>
            <w:tcW w:w="960" w:type="dxa"/>
            <w:tcBorders>
              <w:top w:val="nil"/>
              <w:left w:val="nil"/>
              <w:bottom w:val="double" w:sz="6" w:space="0" w:color="auto"/>
              <w:right w:val="single" w:sz="4" w:space="0" w:color="BFBFBF"/>
            </w:tcBorders>
            <w:shd w:val="clear" w:color="auto" w:fill="auto"/>
            <w:noWrap/>
            <w:vAlign w:val="center"/>
          </w:tcPr>
          <w:p w14:paraId="4DDCAD61"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96%</w:t>
            </w:r>
          </w:p>
        </w:tc>
        <w:tc>
          <w:tcPr>
            <w:tcW w:w="1028" w:type="dxa"/>
            <w:tcBorders>
              <w:top w:val="nil"/>
              <w:left w:val="nil"/>
              <w:bottom w:val="double" w:sz="6" w:space="0" w:color="auto"/>
              <w:right w:val="single" w:sz="4" w:space="0" w:color="BFBFBF"/>
            </w:tcBorders>
            <w:shd w:val="clear" w:color="auto" w:fill="auto"/>
            <w:noWrap/>
            <w:vAlign w:val="center"/>
          </w:tcPr>
          <w:p w14:paraId="25F43B7B"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91%</w:t>
            </w:r>
          </w:p>
        </w:tc>
        <w:tc>
          <w:tcPr>
            <w:tcW w:w="960" w:type="dxa"/>
            <w:tcBorders>
              <w:top w:val="nil"/>
              <w:left w:val="nil"/>
              <w:bottom w:val="double" w:sz="6" w:space="0" w:color="auto"/>
              <w:right w:val="single" w:sz="4" w:space="0" w:color="BFBFBF"/>
            </w:tcBorders>
            <w:shd w:val="clear" w:color="auto" w:fill="auto"/>
            <w:noWrap/>
            <w:vAlign w:val="center"/>
          </w:tcPr>
          <w:p w14:paraId="259A9DF9"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66%</w:t>
            </w:r>
          </w:p>
        </w:tc>
        <w:tc>
          <w:tcPr>
            <w:tcW w:w="960" w:type="dxa"/>
            <w:tcBorders>
              <w:top w:val="nil"/>
              <w:left w:val="nil"/>
              <w:bottom w:val="double" w:sz="6" w:space="0" w:color="auto"/>
              <w:right w:val="single" w:sz="4" w:space="0" w:color="BFBFBF"/>
            </w:tcBorders>
            <w:shd w:val="clear" w:color="auto" w:fill="auto"/>
            <w:noWrap/>
            <w:vAlign w:val="center"/>
          </w:tcPr>
          <w:p w14:paraId="37AB2D74"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34%</w:t>
            </w:r>
          </w:p>
        </w:tc>
        <w:tc>
          <w:tcPr>
            <w:tcW w:w="960" w:type="dxa"/>
            <w:tcBorders>
              <w:top w:val="nil"/>
              <w:left w:val="nil"/>
              <w:bottom w:val="double" w:sz="6" w:space="0" w:color="auto"/>
              <w:right w:val="single" w:sz="4" w:space="0" w:color="BFBFBF"/>
            </w:tcBorders>
            <w:shd w:val="clear" w:color="auto" w:fill="auto"/>
            <w:noWrap/>
            <w:vAlign w:val="center"/>
          </w:tcPr>
          <w:p w14:paraId="3CFB865F" w14:textId="77777777" w:rsidR="00C76532" w:rsidRPr="006A62C9" w:rsidRDefault="00C76532">
            <w:pPr>
              <w:jc w:val="center"/>
              <w:rPr>
                <w:rFonts w:ascii="Arial" w:hAnsi="Arial" w:cs="Arial"/>
                <w:color w:val="000000"/>
                <w:sz w:val="16"/>
                <w:szCs w:val="16"/>
              </w:rPr>
            </w:pPr>
            <w:r w:rsidRPr="006A62C9">
              <w:rPr>
                <w:rFonts w:ascii="Arial" w:hAnsi="Arial" w:cs="Arial"/>
                <w:color w:val="000000"/>
                <w:sz w:val="16"/>
                <w:szCs w:val="16"/>
              </w:rPr>
              <w:t>1%</w:t>
            </w:r>
          </w:p>
        </w:tc>
        <w:tc>
          <w:tcPr>
            <w:tcW w:w="960" w:type="dxa"/>
            <w:tcBorders>
              <w:top w:val="nil"/>
              <w:left w:val="nil"/>
              <w:bottom w:val="double" w:sz="6" w:space="0" w:color="auto"/>
              <w:right w:val="double" w:sz="6" w:space="0" w:color="auto"/>
            </w:tcBorders>
            <w:shd w:val="clear" w:color="auto" w:fill="auto"/>
            <w:noWrap/>
            <w:vAlign w:val="center"/>
          </w:tcPr>
          <w:p w14:paraId="185EAC14" w14:textId="77777777" w:rsidR="00C76532" w:rsidRPr="006A62C9" w:rsidRDefault="00C76532">
            <w:pPr>
              <w:jc w:val="center"/>
              <w:rPr>
                <w:rFonts w:ascii="Arial" w:hAnsi="Arial" w:cs="Arial"/>
                <w:b/>
                <w:bCs/>
                <w:color w:val="000000"/>
                <w:sz w:val="16"/>
                <w:szCs w:val="16"/>
              </w:rPr>
            </w:pPr>
            <w:r w:rsidRPr="006A62C9">
              <w:rPr>
                <w:rFonts w:ascii="Arial" w:hAnsi="Arial" w:cs="Arial"/>
                <w:b/>
                <w:bCs/>
                <w:color w:val="000000"/>
                <w:sz w:val="16"/>
                <w:szCs w:val="16"/>
              </w:rPr>
              <w:t>87%</w:t>
            </w:r>
          </w:p>
        </w:tc>
      </w:tr>
    </w:tbl>
    <w:p w14:paraId="1F3B24F7" w14:textId="77777777" w:rsidR="00E02C75" w:rsidRPr="006A62C9" w:rsidRDefault="00E02C75" w:rsidP="00DB3EA3">
      <w:pPr>
        <w:pStyle w:val="Para"/>
        <w:ind w:left="824"/>
        <w:rPr>
          <w:sz w:val="20"/>
          <w:lang w:val="en-AU"/>
        </w:rPr>
      </w:pPr>
      <w:r w:rsidRPr="006A62C9">
        <w:rPr>
          <w:sz w:val="20"/>
          <w:lang w:val="en-AU"/>
        </w:rPr>
        <w:t xml:space="preserve">Base: Total respondents, </w:t>
      </w:r>
      <w:r w:rsidR="00B940CD" w:rsidRPr="006A62C9">
        <w:rPr>
          <w:sz w:val="20"/>
          <w:lang w:val="en-AU"/>
        </w:rPr>
        <w:t xml:space="preserve">2014 (n=1,861); </w:t>
      </w:r>
      <w:r w:rsidRPr="006A62C9">
        <w:rPr>
          <w:sz w:val="20"/>
          <w:lang w:val="en-AU"/>
        </w:rPr>
        <w:t>2007 (n=2,061); 2001 (n=2,006); 1996 (n=2,000)</w:t>
      </w:r>
    </w:p>
    <w:p w14:paraId="3B05DFAA" w14:textId="77777777" w:rsidR="00F56ABA" w:rsidRPr="006A62C9" w:rsidRDefault="00C76532" w:rsidP="00AF3ACB">
      <w:pPr>
        <w:pStyle w:val="Para"/>
        <w:spacing w:beforeLines="40" w:before="96" w:line="200" w:lineRule="exact"/>
        <w:ind w:left="876"/>
        <w:rPr>
          <w:sz w:val="20"/>
          <w:lang w:val="en-AU"/>
        </w:rPr>
      </w:pPr>
      <w:r w:rsidRPr="006A62C9">
        <w:rPr>
          <w:sz w:val="20"/>
          <w:lang w:val="en-AU"/>
        </w:rPr>
        <w:t>1.</w:t>
      </w:r>
      <w:r w:rsidR="00F56ABA" w:rsidRPr="006A62C9">
        <w:rPr>
          <w:sz w:val="20"/>
          <w:lang w:val="en-AU"/>
        </w:rPr>
        <w:t xml:space="preserve">  CAUTION: Small sample sizes.</w:t>
      </w:r>
    </w:p>
    <w:p w14:paraId="6B62559F" w14:textId="77777777" w:rsidR="00E02C75" w:rsidRPr="003835AE" w:rsidRDefault="00E02C75" w:rsidP="00E02C75">
      <w:pPr>
        <w:pStyle w:val="Para"/>
        <w:rPr>
          <w:highlight w:val="yellow"/>
          <w:lang w:val="en-AU"/>
        </w:rPr>
      </w:pPr>
    </w:p>
    <w:p w14:paraId="367B9EF0" w14:textId="77777777" w:rsidR="003920D8" w:rsidRPr="006A62C9" w:rsidRDefault="00474260">
      <w:pPr>
        <w:pStyle w:val="Heading3"/>
        <w:tabs>
          <w:tab w:val="clear" w:pos="8517"/>
          <w:tab w:val="num" w:pos="851"/>
        </w:tabs>
        <w:ind w:hanging="8517"/>
        <w:rPr>
          <w:lang w:val="en-AU"/>
        </w:rPr>
      </w:pPr>
      <w:r w:rsidRPr="006A62C9">
        <w:rPr>
          <w:lang w:val="en-AU"/>
        </w:rPr>
        <w:br w:type="page"/>
      </w:r>
      <w:bookmarkStart w:id="191" w:name="_Toc439198323"/>
      <w:bookmarkStart w:id="192" w:name="_Toc445571700"/>
      <w:r w:rsidR="00E02C75" w:rsidRPr="006A62C9">
        <w:rPr>
          <w:lang w:val="en-AU"/>
        </w:rPr>
        <w:lastRenderedPageBreak/>
        <w:t xml:space="preserve">Type of Water Bill </w:t>
      </w:r>
      <w:r w:rsidR="004B703E" w:rsidRPr="006A62C9">
        <w:rPr>
          <w:lang w:val="en-AU"/>
        </w:rPr>
        <w:t xml:space="preserve">Claimed to </w:t>
      </w:r>
      <w:r w:rsidR="00E02C75" w:rsidRPr="006A62C9">
        <w:rPr>
          <w:lang w:val="en-AU"/>
        </w:rPr>
        <w:t>Receive</w:t>
      </w:r>
      <w:bookmarkEnd w:id="191"/>
      <w:bookmarkEnd w:id="192"/>
    </w:p>
    <w:p w14:paraId="3F8D1F80" w14:textId="77777777" w:rsidR="00E02C75" w:rsidRPr="00E15E11" w:rsidRDefault="00E02C75" w:rsidP="00E02C75">
      <w:pPr>
        <w:pStyle w:val="Para"/>
        <w:rPr>
          <w:lang w:val="en-AU"/>
        </w:rPr>
      </w:pPr>
      <w:r w:rsidRPr="006A62C9">
        <w:rPr>
          <w:lang w:val="en-AU"/>
        </w:rPr>
        <w:t xml:space="preserve">A higher proportion of concession than non-concession households </w:t>
      </w:r>
      <w:r w:rsidR="00D77F68" w:rsidRPr="006A62C9">
        <w:rPr>
          <w:lang w:val="en-AU"/>
        </w:rPr>
        <w:t xml:space="preserve">claimed to </w:t>
      </w:r>
      <w:r w:rsidRPr="006A62C9">
        <w:rPr>
          <w:lang w:val="en-AU"/>
        </w:rPr>
        <w:t xml:space="preserve">receive </w:t>
      </w:r>
      <w:r w:rsidRPr="006A62C9">
        <w:rPr>
          <w:i/>
          <w:lang w:val="en-AU"/>
        </w:rPr>
        <w:t>water consumption only</w:t>
      </w:r>
      <w:r w:rsidRPr="006A62C9">
        <w:rPr>
          <w:lang w:val="en-AU"/>
        </w:rPr>
        <w:t xml:space="preserve"> bills (2</w:t>
      </w:r>
      <w:r w:rsidR="006A62C9" w:rsidRPr="006A62C9">
        <w:rPr>
          <w:lang w:val="en-AU"/>
        </w:rPr>
        <w:t>2</w:t>
      </w:r>
      <w:r w:rsidRPr="006A62C9">
        <w:rPr>
          <w:lang w:val="en-AU"/>
        </w:rPr>
        <w:t>% and 1</w:t>
      </w:r>
      <w:r w:rsidR="00EE592B" w:rsidRPr="006A62C9">
        <w:rPr>
          <w:lang w:val="en-AU"/>
        </w:rPr>
        <w:t>4</w:t>
      </w:r>
      <w:r w:rsidRPr="006A62C9">
        <w:rPr>
          <w:lang w:val="en-AU"/>
        </w:rPr>
        <w:t xml:space="preserve">% respectively), while the reverse </w:t>
      </w:r>
      <w:r w:rsidR="00EE592B" w:rsidRPr="006A62C9">
        <w:rPr>
          <w:lang w:val="en-AU"/>
        </w:rPr>
        <w:t>wa</w:t>
      </w:r>
      <w:r w:rsidRPr="006A62C9">
        <w:rPr>
          <w:lang w:val="en-AU"/>
        </w:rPr>
        <w:t xml:space="preserve">s true for </w:t>
      </w:r>
      <w:r w:rsidRPr="006A62C9">
        <w:rPr>
          <w:i/>
          <w:lang w:val="en-AU"/>
        </w:rPr>
        <w:t xml:space="preserve">combination </w:t>
      </w:r>
      <w:r w:rsidRPr="006A62C9">
        <w:rPr>
          <w:lang w:val="en-AU"/>
        </w:rPr>
        <w:t>bills (</w:t>
      </w:r>
      <w:r w:rsidR="00EE592B" w:rsidRPr="006A62C9">
        <w:rPr>
          <w:lang w:val="en-AU"/>
        </w:rPr>
        <w:t>82</w:t>
      </w:r>
      <w:r w:rsidRPr="006A62C9">
        <w:rPr>
          <w:lang w:val="en-AU"/>
        </w:rPr>
        <w:t>% of non-concession and 6</w:t>
      </w:r>
      <w:r w:rsidR="006A62C9" w:rsidRPr="006A62C9">
        <w:rPr>
          <w:lang w:val="en-AU"/>
        </w:rPr>
        <w:t>8</w:t>
      </w:r>
      <w:r w:rsidRPr="006A62C9">
        <w:rPr>
          <w:lang w:val="en-AU"/>
        </w:rPr>
        <w:t>% of concession households)</w:t>
      </w:r>
      <w:r w:rsidR="005E6B81" w:rsidRPr="006A62C9">
        <w:rPr>
          <w:lang w:val="en-AU"/>
        </w:rPr>
        <w:t xml:space="preserve"> – see Table 5.1.2.1</w:t>
      </w:r>
      <w:r w:rsidRPr="006A62C9">
        <w:rPr>
          <w:lang w:val="en-AU"/>
        </w:rPr>
        <w:t xml:space="preserve">.  As in </w:t>
      </w:r>
      <w:r w:rsidR="00EE592B" w:rsidRPr="006A62C9">
        <w:rPr>
          <w:lang w:val="en-AU"/>
        </w:rPr>
        <w:t>previous surveys</w:t>
      </w:r>
      <w:r w:rsidRPr="006A62C9">
        <w:rPr>
          <w:lang w:val="en-AU"/>
        </w:rPr>
        <w:t xml:space="preserve">, </w:t>
      </w:r>
      <w:r w:rsidR="0055008C" w:rsidRPr="006A62C9">
        <w:rPr>
          <w:lang w:val="en-AU"/>
        </w:rPr>
        <w:t>other concession</w:t>
      </w:r>
      <w:r w:rsidRPr="006A62C9">
        <w:rPr>
          <w:lang w:val="en-AU"/>
        </w:rPr>
        <w:t xml:space="preserve"> households </w:t>
      </w:r>
      <w:r w:rsidR="00EE592B" w:rsidRPr="006A62C9">
        <w:rPr>
          <w:lang w:val="en-AU"/>
        </w:rPr>
        <w:t>(2</w:t>
      </w:r>
      <w:r w:rsidR="006A62C9" w:rsidRPr="006A62C9">
        <w:rPr>
          <w:lang w:val="en-AU"/>
        </w:rPr>
        <w:t>6</w:t>
      </w:r>
      <w:r w:rsidR="00EE592B" w:rsidRPr="006A62C9">
        <w:rPr>
          <w:lang w:val="en-AU"/>
        </w:rPr>
        <w:t xml:space="preserve">%) </w:t>
      </w:r>
      <w:r w:rsidRPr="006A62C9">
        <w:rPr>
          <w:lang w:val="en-AU"/>
        </w:rPr>
        <w:t xml:space="preserve">were more likely than </w:t>
      </w:r>
      <w:r w:rsidR="00CC47B2" w:rsidRPr="006A62C9">
        <w:rPr>
          <w:lang w:val="en-AU"/>
        </w:rPr>
        <w:t>aged concession</w:t>
      </w:r>
      <w:r w:rsidRPr="006A62C9">
        <w:rPr>
          <w:lang w:val="en-AU"/>
        </w:rPr>
        <w:t xml:space="preserve"> households </w:t>
      </w:r>
      <w:r w:rsidR="00EE592B" w:rsidRPr="006A62C9">
        <w:rPr>
          <w:lang w:val="en-AU"/>
        </w:rPr>
        <w:t xml:space="preserve">(19%) </w:t>
      </w:r>
      <w:r w:rsidRPr="006A62C9">
        <w:rPr>
          <w:lang w:val="en-AU"/>
        </w:rPr>
        <w:t xml:space="preserve">to </w:t>
      </w:r>
      <w:r w:rsidR="00D77F68" w:rsidRPr="006A62C9">
        <w:rPr>
          <w:lang w:val="en-AU"/>
        </w:rPr>
        <w:t xml:space="preserve">claim to </w:t>
      </w:r>
      <w:r w:rsidRPr="006A62C9">
        <w:rPr>
          <w:lang w:val="en-AU"/>
        </w:rPr>
        <w:t xml:space="preserve">receive bills for </w:t>
      </w:r>
      <w:r w:rsidRPr="006A62C9">
        <w:rPr>
          <w:i/>
          <w:lang w:val="en-AU"/>
        </w:rPr>
        <w:t>water consumption only</w:t>
      </w:r>
      <w:r w:rsidR="00D77F68" w:rsidRPr="006A62C9">
        <w:rPr>
          <w:lang w:val="en-AU"/>
        </w:rPr>
        <w:t>,</w:t>
      </w:r>
      <w:r w:rsidRPr="006A62C9">
        <w:rPr>
          <w:lang w:val="en-AU"/>
        </w:rPr>
        <w:t xml:space="preserve"> and less likely to </w:t>
      </w:r>
      <w:r w:rsidR="00D77F68" w:rsidRPr="006A62C9">
        <w:rPr>
          <w:lang w:val="en-AU"/>
        </w:rPr>
        <w:t xml:space="preserve">claim to </w:t>
      </w:r>
      <w:r w:rsidRPr="006A62C9">
        <w:rPr>
          <w:lang w:val="en-AU"/>
        </w:rPr>
        <w:t xml:space="preserve">receive </w:t>
      </w:r>
      <w:r w:rsidRPr="006A62C9">
        <w:rPr>
          <w:i/>
          <w:lang w:val="en-AU"/>
        </w:rPr>
        <w:t>combination</w:t>
      </w:r>
      <w:r w:rsidRPr="006A62C9">
        <w:rPr>
          <w:lang w:val="en-AU"/>
        </w:rPr>
        <w:t xml:space="preserve"> bills</w:t>
      </w:r>
      <w:r w:rsidR="00EE592B" w:rsidRPr="006A62C9">
        <w:rPr>
          <w:lang w:val="en-AU"/>
        </w:rPr>
        <w:t xml:space="preserve"> (6</w:t>
      </w:r>
      <w:r w:rsidR="006A62C9" w:rsidRPr="006A62C9">
        <w:rPr>
          <w:lang w:val="en-AU"/>
        </w:rPr>
        <w:t>2</w:t>
      </w:r>
      <w:r w:rsidR="00EE592B" w:rsidRPr="006A62C9">
        <w:rPr>
          <w:lang w:val="en-AU"/>
        </w:rPr>
        <w:t>% and 73% respectively)</w:t>
      </w:r>
      <w:r w:rsidR="00474260" w:rsidRPr="006A62C9">
        <w:rPr>
          <w:lang w:val="en-AU"/>
        </w:rPr>
        <w:t>, as other concession households tend to have higher proportions of renting households, that do not have to pay fixed service charges</w:t>
      </w:r>
      <w:r w:rsidRPr="00E15E11">
        <w:rPr>
          <w:lang w:val="en-AU"/>
        </w:rPr>
        <w:t>.</w:t>
      </w:r>
      <w:r w:rsidR="003E583F" w:rsidRPr="00E15E11">
        <w:rPr>
          <w:lang w:val="en-AU"/>
        </w:rPr>
        <w:t xml:space="preserve">  Respondents who owned or were paying off their home were far less likely than those who were renting to </w:t>
      </w:r>
      <w:r w:rsidR="00F60D38" w:rsidRPr="00E15E11">
        <w:rPr>
          <w:lang w:val="en-AU"/>
        </w:rPr>
        <w:t xml:space="preserve">report that they </w:t>
      </w:r>
      <w:r w:rsidR="003E583F" w:rsidRPr="00E15E11">
        <w:rPr>
          <w:lang w:val="en-AU"/>
        </w:rPr>
        <w:t>receive</w:t>
      </w:r>
      <w:r w:rsidR="00F60D38" w:rsidRPr="00E15E11">
        <w:rPr>
          <w:lang w:val="en-AU"/>
        </w:rPr>
        <w:t>d</w:t>
      </w:r>
      <w:r w:rsidR="003E583F" w:rsidRPr="00E15E11">
        <w:rPr>
          <w:lang w:val="en-AU"/>
        </w:rPr>
        <w:t xml:space="preserve"> a bill for wate</w:t>
      </w:r>
      <w:r w:rsidR="00CA417A" w:rsidRPr="00E15E11">
        <w:rPr>
          <w:lang w:val="en-AU"/>
        </w:rPr>
        <w:t>r</w:t>
      </w:r>
      <w:r w:rsidR="003E583F" w:rsidRPr="00E15E11">
        <w:rPr>
          <w:lang w:val="en-AU"/>
        </w:rPr>
        <w:t xml:space="preserve"> use only (11% and 53% respectively</w:t>
      </w:r>
      <w:r w:rsidR="00F60D38" w:rsidRPr="00E15E11">
        <w:rPr>
          <w:lang w:val="en-AU"/>
        </w:rPr>
        <w:t>)</w:t>
      </w:r>
      <w:r w:rsidR="003E583F" w:rsidRPr="00E15E11">
        <w:rPr>
          <w:lang w:val="en-AU"/>
        </w:rPr>
        <w:t>.</w:t>
      </w:r>
    </w:p>
    <w:p w14:paraId="23FE41D3" w14:textId="77777777" w:rsidR="00E02C75" w:rsidRPr="003835AE" w:rsidRDefault="00E02C75" w:rsidP="00E02C75">
      <w:pPr>
        <w:pStyle w:val="Para"/>
        <w:rPr>
          <w:highlight w:val="yellow"/>
          <w:lang w:val="en-AU"/>
        </w:rPr>
      </w:pPr>
    </w:p>
    <w:p w14:paraId="6C300AB3" w14:textId="77777777" w:rsidR="00DB3EA3" w:rsidRPr="003835AE" w:rsidRDefault="00DB3EA3" w:rsidP="00E02C75">
      <w:pPr>
        <w:pStyle w:val="Para"/>
        <w:rPr>
          <w:highlight w:val="yellow"/>
          <w:lang w:val="en-AU"/>
        </w:rPr>
      </w:pPr>
    </w:p>
    <w:p w14:paraId="0A176712" w14:textId="77777777" w:rsidR="00E02C75" w:rsidRPr="006A62C9" w:rsidRDefault="00E02C75" w:rsidP="00DB3EA3">
      <w:pPr>
        <w:pStyle w:val="Para"/>
        <w:spacing w:after="120" w:line="240" w:lineRule="auto"/>
        <w:jc w:val="center"/>
        <w:outlineLvl w:val="0"/>
        <w:rPr>
          <w:b/>
          <w:u w:val="single"/>
          <w:lang w:val="en-AU"/>
        </w:rPr>
      </w:pPr>
      <w:r w:rsidRPr="006A62C9">
        <w:rPr>
          <w:b/>
          <w:lang w:val="en-AU"/>
        </w:rPr>
        <w:t xml:space="preserve">Table </w:t>
      </w:r>
      <w:r w:rsidR="00CA417A" w:rsidRPr="006A62C9">
        <w:rPr>
          <w:b/>
          <w:lang w:val="en-AU"/>
        </w:rPr>
        <w:t>5.1.2.1:</w:t>
      </w:r>
      <w:r w:rsidRPr="006A62C9">
        <w:rPr>
          <w:b/>
          <w:lang w:val="en-AU"/>
        </w:rPr>
        <w:t xml:space="preserve"> </w:t>
      </w:r>
      <w:r w:rsidRPr="006A62C9">
        <w:rPr>
          <w:b/>
          <w:u w:val="single"/>
          <w:lang w:val="en-AU"/>
        </w:rPr>
        <w:t xml:space="preserve">Type of Water Bill </w:t>
      </w:r>
      <w:r w:rsidR="00D77F68" w:rsidRPr="006A62C9">
        <w:rPr>
          <w:b/>
          <w:u w:val="single"/>
          <w:lang w:val="en-AU"/>
        </w:rPr>
        <w:t xml:space="preserve">Claimed </w:t>
      </w:r>
      <w:r w:rsidRPr="006A62C9">
        <w:rPr>
          <w:b/>
          <w:u w:val="single"/>
          <w:lang w:val="en-AU"/>
        </w:rPr>
        <w:t>Received by Sample Type</w:t>
      </w:r>
    </w:p>
    <w:p w14:paraId="3ED9E2B3" w14:textId="77777777" w:rsidR="00C76F63" w:rsidRPr="006A62C9" w:rsidRDefault="00C76F63" w:rsidP="00474260">
      <w:pPr>
        <w:pStyle w:val="Para"/>
        <w:spacing w:after="120" w:line="240" w:lineRule="auto"/>
        <w:outlineLvl w:val="0"/>
        <w:rPr>
          <w:lang w:val="en-AU"/>
        </w:rPr>
      </w:pPr>
    </w:p>
    <w:tbl>
      <w:tblPr>
        <w:tblW w:w="14200" w:type="dxa"/>
        <w:jc w:val="center"/>
        <w:tblLook w:val="04A0" w:firstRow="1" w:lastRow="0" w:firstColumn="1" w:lastColumn="0" w:noHBand="0" w:noVBand="1"/>
      </w:tblPr>
      <w:tblGrid>
        <w:gridCol w:w="2599"/>
        <w:gridCol w:w="726"/>
        <w:gridCol w:w="727"/>
        <w:gridCol w:w="727"/>
        <w:gridCol w:w="800"/>
        <w:gridCol w:w="800"/>
        <w:gridCol w:w="800"/>
        <w:gridCol w:w="800"/>
        <w:gridCol w:w="800"/>
        <w:gridCol w:w="800"/>
        <w:gridCol w:w="767"/>
        <w:gridCol w:w="767"/>
        <w:gridCol w:w="767"/>
        <w:gridCol w:w="774"/>
        <w:gridCol w:w="773"/>
        <w:gridCol w:w="773"/>
      </w:tblGrid>
      <w:tr w:rsidR="00663AD2" w:rsidRPr="006A62C9" w14:paraId="11C1F897" w14:textId="77777777" w:rsidTr="00D92C64">
        <w:trPr>
          <w:trHeight w:val="300"/>
          <w:jc w:val="center"/>
        </w:trPr>
        <w:tc>
          <w:tcPr>
            <w:tcW w:w="2599" w:type="dxa"/>
            <w:vMerge w:val="restart"/>
            <w:tcBorders>
              <w:top w:val="double" w:sz="4" w:space="0" w:color="000000" w:themeColor="text1"/>
              <w:left w:val="double" w:sz="4" w:space="0" w:color="000000" w:themeColor="text1"/>
              <w:bottom w:val="single" w:sz="4" w:space="0" w:color="BFBFBF"/>
              <w:right w:val="single" w:sz="4" w:space="0" w:color="auto"/>
            </w:tcBorders>
            <w:shd w:val="clear" w:color="auto" w:fill="auto"/>
            <w:vAlign w:val="center"/>
          </w:tcPr>
          <w:p w14:paraId="47DAB99B" w14:textId="77777777" w:rsidR="00663AD2" w:rsidRPr="006A62C9" w:rsidRDefault="00663AD2" w:rsidP="00663AD2">
            <w:pPr>
              <w:spacing w:before="0" w:after="0"/>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Claimed Type of Water Bill Received</w:t>
            </w:r>
          </w:p>
        </w:tc>
        <w:tc>
          <w:tcPr>
            <w:tcW w:w="2180" w:type="dxa"/>
            <w:gridSpan w:val="3"/>
            <w:tcBorders>
              <w:top w:val="double" w:sz="4" w:space="0" w:color="000000" w:themeColor="text1"/>
              <w:left w:val="single" w:sz="4" w:space="0" w:color="auto"/>
              <w:right w:val="single" w:sz="4" w:space="0" w:color="auto"/>
            </w:tcBorders>
            <w:shd w:val="clear" w:color="auto" w:fill="auto"/>
            <w:vAlign w:val="center"/>
          </w:tcPr>
          <w:p w14:paraId="2D0F3B36" w14:textId="77777777" w:rsidR="00663AD2" w:rsidRPr="006A62C9" w:rsidRDefault="00663AD2" w:rsidP="00663AD2">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Aged Concession HHs</w:t>
            </w:r>
          </w:p>
        </w:tc>
        <w:tc>
          <w:tcPr>
            <w:tcW w:w="2400" w:type="dxa"/>
            <w:gridSpan w:val="3"/>
            <w:tcBorders>
              <w:top w:val="double" w:sz="4" w:space="0" w:color="000000" w:themeColor="text1"/>
              <w:left w:val="single" w:sz="4" w:space="0" w:color="auto"/>
              <w:bottom w:val="single" w:sz="4" w:space="0" w:color="BFBFBF"/>
              <w:right w:val="single" w:sz="4" w:space="0" w:color="auto"/>
            </w:tcBorders>
            <w:shd w:val="clear" w:color="auto" w:fill="auto"/>
            <w:vAlign w:val="center"/>
          </w:tcPr>
          <w:p w14:paraId="3C5F6088" w14:textId="77777777" w:rsidR="00663AD2" w:rsidRPr="006A62C9" w:rsidRDefault="00663AD2" w:rsidP="00663AD2">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Other Concession HHs</w:t>
            </w:r>
            <w:r w:rsidRPr="006A62C9">
              <w:rPr>
                <w:rFonts w:ascii="Arial" w:hAnsi="Arial" w:cs="Arial"/>
                <w:b/>
                <w:bCs/>
                <w:color w:val="000000"/>
                <w:sz w:val="16"/>
                <w:szCs w:val="16"/>
                <w:vertAlign w:val="superscript"/>
                <w:lang w:val="en-AU" w:eastAsia="en-AU"/>
              </w:rPr>
              <w:t>1</w:t>
            </w:r>
          </w:p>
        </w:tc>
        <w:tc>
          <w:tcPr>
            <w:tcW w:w="2400" w:type="dxa"/>
            <w:gridSpan w:val="3"/>
            <w:tcBorders>
              <w:top w:val="double" w:sz="4" w:space="0" w:color="000000" w:themeColor="text1"/>
              <w:left w:val="single" w:sz="4" w:space="0" w:color="auto"/>
              <w:bottom w:val="single" w:sz="4" w:space="0" w:color="BFBFBF"/>
              <w:right w:val="single" w:sz="4" w:space="0" w:color="auto"/>
            </w:tcBorders>
            <w:shd w:val="clear" w:color="auto" w:fill="auto"/>
            <w:noWrap/>
            <w:vAlign w:val="center"/>
          </w:tcPr>
          <w:p w14:paraId="32071A0C" w14:textId="77777777" w:rsidR="00663AD2" w:rsidRPr="006A62C9" w:rsidRDefault="00663AD2" w:rsidP="00663AD2">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Total Concession HHs</w:t>
            </w:r>
          </w:p>
        </w:tc>
        <w:tc>
          <w:tcPr>
            <w:tcW w:w="2301" w:type="dxa"/>
            <w:gridSpan w:val="3"/>
            <w:tcBorders>
              <w:top w:val="double" w:sz="4" w:space="0" w:color="000000" w:themeColor="text1"/>
              <w:left w:val="single" w:sz="4" w:space="0" w:color="auto"/>
              <w:bottom w:val="single" w:sz="4" w:space="0" w:color="BFBFBF"/>
              <w:right w:val="single" w:sz="4" w:space="0" w:color="auto"/>
            </w:tcBorders>
            <w:shd w:val="clear" w:color="auto" w:fill="auto"/>
            <w:noWrap/>
            <w:vAlign w:val="center"/>
          </w:tcPr>
          <w:p w14:paraId="557F13A0" w14:textId="77777777" w:rsidR="00663AD2" w:rsidRPr="006A62C9" w:rsidRDefault="00663AD2" w:rsidP="00663AD2">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Non-Concession HHs</w:t>
            </w:r>
          </w:p>
        </w:tc>
        <w:tc>
          <w:tcPr>
            <w:tcW w:w="2320" w:type="dxa"/>
            <w:gridSpan w:val="3"/>
            <w:tcBorders>
              <w:top w:val="double" w:sz="4" w:space="0" w:color="000000" w:themeColor="text1"/>
              <w:left w:val="single" w:sz="4" w:space="0" w:color="auto"/>
              <w:bottom w:val="single" w:sz="4" w:space="0" w:color="BFBFBF"/>
              <w:right w:val="double" w:sz="4" w:space="0" w:color="000000" w:themeColor="text1"/>
            </w:tcBorders>
            <w:shd w:val="clear" w:color="auto" w:fill="auto"/>
            <w:noWrap/>
            <w:vAlign w:val="center"/>
          </w:tcPr>
          <w:p w14:paraId="0720D618" w14:textId="77777777" w:rsidR="00663AD2" w:rsidRPr="006A62C9" w:rsidRDefault="00663AD2" w:rsidP="00663AD2">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Total HHs</w:t>
            </w:r>
          </w:p>
        </w:tc>
      </w:tr>
      <w:tr w:rsidR="00663AD2" w:rsidRPr="006A62C9" w14:paraId="229E13D1" w14:textId="77777777" w:rsidTr="00D92C64">
        <w:trPr>
          <w:trHeight w:val="225"/>
          <w:jc w:val="center"/>
        </w:trPr>
        <w:tc>
          <w:tcPr>
            <w:tcW w:w="2599" w:type="dxa"/>
            <w:vMerge/>
            <w:tcBorders>
              <w:top w:val="single" w:sz="4" w:space="0" w:color="auto"/>
              <w:left w:val="double" w:sz="4" w:space="0" w:color="000000" w:themeColor="text1"/>
              <w:bottom w:val="single" w:sz="4" w:space="0" w:color="BFBFBF"/>
              <w:right w:val="single" w:sz="4" w:space="0" w:color="auto"/>
            </w:tcBorders>
            <w:vAlign w:val="center"/>
          </w:tcPr>
          <w:p w14:paraId="596A703A" w14:textId="77777777" w:rsidR="00663AD2" w:rsidRPr="006A62C9" w:rsidRDefault="00663AD2" w:rsidP="00663AD2">
            <w:pPr>
              <w:spacing w:before="0" w:after="0"/>
              <w:rPr>
                <w:rFonts w:ascii="Arial" w:hAnsi="Arial" w:cs="Arial"/>
                <w:b/>
                <w:bCs/>
                <w:color w:val="000000"/>
                <w:sz w:val="16"/>
                <w:szCs w:val="16"/>
                <w:lang w:val="en-AU" w:eastAsia="en-AU"/>
              </w:rPr>
            </w:pPr>
          </w:p>
        </w:tc>
        <w:tc>
          <w:tcPr>
            <w:tcW w:w="726" w:type="dxa"/>
            <w:tcBorders>
              <w:top w:val="nil"/>
              <w:left w:val="single" w:sz="4" w:space="0" w:color="auto"/>
              <w:bottom w:val="single" w:sz="4" w:space="0" w:color="BFBFBF"/>
              <w:right w:val="single" w:sz="4" w:space="0" w:color="BFBFBF"/>
            </w:tcBorders>
            <w:shd w:val="clear" w:color="auto" w:fill="auto"/>
            <w:noWrap/>
            <w:vAlign w:val="center"/>
          </w:tcPr>
          <w:p w14:paraId="636043D3"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2014</w:t>
            </w:r>
          </w:p>
        </w:tc>
        <w:tc>
          <w:tcPr>
            <w:tcW w:w="727" w:type="dxa"/>
            <w:tcBorders>
              <w:top w:val="nil"/>
              <w:left w:val="nil"/>
              <w:bottom w:val="single" w:sz="4" w:space="0" w:color="BFBFBF"/>
              <w:right w:val="single" w:sz="4" w:space="0" w:color="BFBFBF"/>
            </w:tcBorders>
            <w:shd w:val="clear" w:color="auto" w:fill="auto"/>
            <w:noWrap/>
            <w:vAlign w:val="center"/>
          </w:tcPr>
          <w:p w14:paraId="7F16DEEC"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2007</w:t>
            </w:r>
          </w:p>
        </w:tc>
        <w:tc>
          <w:tcPr>
            <w:tcW w:w="727" w:type="dxa"/>
            <w:tcBorders>
              <w:top w:val="nil"/>
              <w:left w:val="nil"/>
              <w:bottom w:val="single" w:sz="4" w:space="0" w:color="BFBFBF"/>
              <w:right w:val="single" w:sz="4" w:space="0" w:color="auto"/>
            </w:tcBorders>
            <w:shd w:val="clear" w:color="auto" w:fill="auto"/>
            <w:noWrap/>
            <w:vAlign w:val="center"/>
          </w:tcPr>
          <w:p w14:paraId="2B730BCE"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2001</w:t>
            </w:r>
          </w:p>
        </w:tc>
        <w:tc>
          <w:tcPr>
            <w:tcW w:w="800" w:type="dxa"/>
            <w:tcBorders>
              <w:top w:val="nil"/>
              <w:left w:val="single" w:sz="4" w:space="0" w:color="auto"/>
              <w:bottom w:val="single" w:sz="4" w:space="0" w:color="BFBFBF"/>
              <w:right w:val="single" w:sz="4" w:space="0" w:color="BFBFBF"/>
            </w:tcBorders>
            <w:shd w:val="clear" w:color="auto" w:fill="auto"/>
            <w:noWrap/>
            <w:vAlign w:val="center"/>
          </w:tcPr>
          <w:p w14:paraId="7798B247"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2014</w:t>
            </w:r>
          </w:p>
        </w:tc>
        <w:tc>
          <w:tcPr>
            <w:tcW w:w="800" w:type="dxa"/>
            <w:tcBorders>
              <w:top w:val="nil"/>
              <w:left w:val="nil"/>
              <w:bottom w:val="single" w:sz="4" w:space="0" w:color="BFBFBF"/>
              <w:right w:val="single" w:sz="4" w:space="0" w:color="BFBFBF"/>
            </w:tcBorders>
            <w:shd w:val="clear" w:color="auto" w:fill="auto"/>
            <w:noWrap/>
            <w:vAlign w:val="center"/>
          </w:tcPr>
          <w:p w14:paraId="37FC42D5"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2007</w:t>
            </w:r>
          </w:p>
        </w:tc>
        <w:tc>
          <w:tcPr>
            <w:tcW w:w="800" w:type="dxa"/>
            <w:tcBorders>
              <w:top w:val="nil"/>
              <w:left w:val="nil"/>
              <w:bottom w:val="single" w:sz="4" w:space="0" w:color="BFBFBF"/>
              <w:right w:val="single" w:sz="4" w:space="0" w:color="auto"/>
            </w:tcBorders>
            <w:shd w:val="clear" w:color="auto" w:fill="auto"/>
            <w:noWrap/>
            <w:vAlign w:val="center"/>
          </w:tcPr>
          <w:p w14:paraId="639CB4BA"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2001</w:t>
            </w:r>
          </w:p>
        </w:tc>
        <w:tc>
          <w:tcPr>
            <w:tcW w:w="800" w:type="dxa"/>
            <w:tcBorders>
              <w:top w:val="nil"/>
              <w:left w:val="single" w:sz="4" w:space="0" w:color="auto"/>
              <w:bottom w:val="single" w:sz="4" w:space="0" w:color="BFBFBF"/>
              <w:right w:val="single" w:sz="4" w:space="0" w:color="BFBFBF"/>
            </w:tcBorders>
            <w:shd w:val="clear" w:color="auto" w:fill="auto"/>
            <w:noWrap/>
            <w:vAlign w:val="center"/>
          </w:tcPr>
          <w:p w14:paraId="0DCE2B20"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2014</w:t>
            </w:r>
          </w:p>
        </w:tc>
        <w:tc>
          <w:tcPr>
            <w:tcW w:w="800" w:type="dxa"/>
            <w:tcBorders>
              <w:top w:val="nil"/>
              <w:left w:val="nil"/>
              <w:bottom w:val="single" w:sz="4" w:space="0" w:color="BFBFBF"/>
              <w:right w:val="single" w:sz="4" w:space="0" w:color="BFBFBF"/>
            </w:tcBorders>
            <w:shd w:val="clear" w:color="auto" w:fill="auto"/>
            <w:noWrap/>
            <w:vAlign w:val="center"/>
          </w:tcPr>
          <w:p w14:paraId="39591F27"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2007</w:t>
            </w:r>
          </w:p>
        </w:tc>
        <w:tc>
          <w:tcPr>
            <w:tcW w:w="800" w:type="dxa"/>
            <w:tcBorders>
              <w:top w:val="nil"/>
              <w:left w:val="nil"/>
              <w:bottom w:val="single" w:sz="4" w:space="0" w:color="BFBFBF"/>
              <w:right w:val="single" w:sz="4" w:space="0" w:color="auto"/>
            </w:tcBorders>
            <w:shd w:val="clear" w:color="auto" w:fill="auto"/>
            <w:noWrap/>
            <w:vAlign w:val="center"/>
          </w:tcPr>
          <w:p w14:paraId="2B0CDB4F"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2001</w:t>
            </w:r>
          </w:p>
        </w:tc>
        <w:tc>
          <w:tcPr>
            <w:tcW w:w="767" w:type="dxa"/>
            <w:tcBorders>
              <w:top w:val="nil"/>
              <w:left w:val="single" w:sz="4" w:space="0" w:color="auto"/>
              <w:bottom w:val="single" w:sz="4" w:space="0" w:color="BFBFBF"/>
              <w:right w:val="single" w:sz="4" w:space="0" w:color="BFBFBF"/>
            </w:tcBorders>
            <w:shd w:val="clear" w:color="auto" w:fill="auto"/>
            <w:noWrap/>
            <w:vAlign w:val="center"/>
          </w:tcPr>
          <w:p w14:paraId="27462BC2"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2014</w:t>
            </w:r>
          </w:p>
        </w:tc>
        <w:tc>
          <w:tcPr>
            <w:tcW w:w="767" w:type="dxa"/>
            <w:tcBorders>
              <w:top w:val="nil"/>
              <w:left w:val="nil"/>
              <w:bottom w:val="single" w:sz="4" w:space="0" w:color="BFBFBF"/>
              <w:right w:val="single" w:sz="4" w:space="0" w:color="BFBFBF"/>
            </w:tcBorders>
            <w:shd w:val="clear" w:color="auto" w:fill="auto"/>
            <w:noWrap/>
            <w:vAlign w:val="center"/>
          </w:tcPr>
          <w:p w14:paraId="4A0984F2"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2007</w:t>
            </w:r>
          </w:p>
        </w:tc>
        <w:tc>
          <w:tcPr>
            <w:tcW w:w="767" w:type="dxa"/>
            <w:tcBorders>
              <w:top w:val="nil"/>
              <w:left w:val="nil"/>
              <w:bottom w:val="single" w:sz="4" w:space="0" w:color="BFBFBF"/>
              <w:right w:val="single" w:sz="4" w:space="0" w:color="auto"/>
            </w:tcBorders>
            <w:shd w:val="clear" w:color="auto" w:fill="auto"/>
            <w:noWrap/>
            <w:vAlign w:val="center"/>
          </w:tcPr>
          <w:p w14:paraId="6A3E1F17"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2001</w:t>
            </w:r>
          </w:p>
        </w:tc>
        <w:tc>
          <w:tcPr>
            <w:tcW w:w="774" w:type="dxa"/>
            <w:tcBorders>
              <w:top w:val="nil"/>
              <w:left w:val="single" w:sz="4" w:space="0" w:color="auto"/>
              <w:bottom w:val="single" w:sz="4" w:space="0" w:color="BFBFBF"/>
              <w:right w:val="single" w:sz="4" w:space="0" w:color="BFBFBF"/>
            </w:tcBorders>
            <w:shd w:val="clear" w:color="auto" w:fill="auto"/>
            <w:noWrap/>
            <w:vAlign w:val="center"/>
          </w:tcPr>
          <w:p w14:paraId="6C3B93C3"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2014</w:t>
            </w:r>
          </w:p>
        </w:tc>
        <w:tc>
          <w:tcPr>
            <w:tcW w:w="773" w:type="dxa"/>
            <w:tcBorders>
              <w:top w:val="nil"/>
              <w:left w:val="nil"/>
              <w:bottom w:val="single" w:sz="4" w:space="0" w:color="BFBFBF"/>
              <w:right w:val="single" w:sz="4" w:space="0" w:color="BFBFBF"/>
            </w:tcBorders>
            <w:shd w:val="clear" w:color="auto" w:fill="auto"/>
            <w:noWrap/>
            <w:vAlign w:val="center"/>
          </w:tcPr>
          <w:p w14:paraId="44A09AF2"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2007</w:t>
            </w:r>
          </w:p>
        </w:tc>
        <w:tc>
          <w:tcPr>
            <w:tcW w:w="773" w:type="dxa"/>
            <w:tcBorders>
              <w:top w:val="nil"/>
              <w:left w:val="nil"/>
              <w:bottom w:val="single" w:sz="4" w:space="0" w:color="BFBFBF"/>
              <w:right w:val="double" w:sz="4" w:space="0" w:color="000000" w:themeColor="text1"/>
            </w:tcBorders>
            <w:shd w:val="clear" w:color="auto" w:fill="auto"/>
            <w:noWrap/>
            <w:vAlign w:val="center"/>
          </w:tcPr>
          <w:p w14:paraId="60652089" w14:textId="77777777" w:rsidR="00663AD2" w:rsidRPr="006A62C9" w:rsidRDefault="00663AD2" w:rsidP="0067791B">
            <w:pPr>
              <w:spacing w:before="0" w:after="0"/>
              <w:jc w:val="center"/>
              <w:rPr>
                <w:rFonts w:ascii="Arial" w:hAnsi="Arial" w:cs="Arial"/>
                <w:b/>
                <w:bCs/>
                <w:color w:val="000000"/>
                <w:sz w:val="16"/>
                <w:szCs w:val="16"/>
                <w:lang w:val="en-AU" w:eastAsia="en-AU"/>
              </w:rPr>
            </w:pPr>
            <w:r w:rsidRPr="006A62C9">
              <w:rPr>
                <w:rFonts w:ascii="Arial" w:hAnsi="Arial" w:cs="Arial"/>
                <w:b/>
                <w:bCs/>
                <w:color w:val="000000"/>
                <w:sz w:val="16"/>
                <w:szCs w:val="16"/>
                <w:lang w:val="en-AU" w:eastAsia="en-AU"/>
              </w:rPr>
              <w:t>2001</w:t>
            </w:r>
          </w:p>
        </w:tc>
      </w:tr>
      <w:tr w:rsidR="00663AD2" w:rsidRPr="006A62C9" w14:paraId="3457E564" w14:textId="77777777" w:rsidTr="00D92C64">
        <w:trPr>
          <w:trHeight w:val="283"/>
          <w:jc w:val="center"/>
        </w:trPr>
        <w:tc>
          <w:tcPr>
            <w:tcW w:w="2599" w:type="dxa"/>
            <w:tcBorders>
              <w:top w:val="nil"/>
              <w:left w:val="double" w:sz="4" w:space="0" w:color="000000" w:themeColor="text1"/>
              <w:bottom w:val="single" w:sz="4" w:space="0" w:color="BFBFBF"/>
              <w:right w:val="single" w:sz="4" w:space="0" w:color="auto"/>
            </w:tcBorders>
            <w:shd w:val="clear" w:color="auto" w:fill="auto"/>
            <w:noWrap/>
            <w:vAlign w:val="center"/>
          </w:tcPr>
          <w:p w14:paraId="256B0FEB" w14:textId="77777777" w:rsidR="00663AD2" w:rsidRPr="006A62C9" w:rsidRDefault="00663AD2" w:rsidP="00663AD2">
            <w:pPr>
              <w:spacing w:before="0" w:after="0"/>
              <w:rPr>
                <w:rFonts w:ascii="Arial" w:hAnsi="Arial" w:cs="Arial"/>
                <w:color w:val="000000"/>
                <w:sz w:val="16"/>
                <w:szCs w:val="16"/>
                <w:lang w:val="en-AU" w:eastAsia="en-AU"/>
              </w:rPr>
            </w:pPr>
            <w:r w:rsidRPr="006A62C9">
              <w:rPr>
                <w:rFonts w:ascii="Arial" w:hAnsi="Arial" w:cs="Arial"/>
                <w:color w:val="000000"/>
                <w:sz w:val="16"/>
                <w:szCs w:val="16"/>
                <w:lang w:val="en-AU" w:eastAsia="en-AU"/>
              </w:rPr>
              <w:t>Actual amount of water used only</w:t>
            </w:r>
          </w:p>
        </w:tc>
        <w:tc>
          <w:tcPr>
            <w:tcW w:w="726" w:type="dxa"/>
            <w:tcBorders>
              <w:top w:val="single" w:sz="4" w:space="0" w:color="BFBFBF"/>
              <w:left w:val="single" w:sz="4" w:space="0" w:color="auto"/>
              <w:bottom w:val="single" w:sz="4" w:space="0" w:color="BFBFBF"/>
              <w:right w:val="single" w:sz="4" w:space="0" w:color="BFBFBF"/>
            </w:tcBorders>
            <w:shd w:val="clear" w:color="auto" w:fill="auto"/>
            <w:noWrap/>
            <w:vAlign w:val="center"/>
          </w:tcPr>
          <w:p w14:paraId="174E7FCB"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19%</w:t>
            </w:r>
          </w:p>
        </w:tc>
        <w:tc>
          <w:tcPr>
            <w:tcW w:w="727" w:type="dxa"/>
            <w:tcBorders>
              <w:top w:val="single" w:sz="4" w:space="0" w:color="BFBFBF"/>
              <w:left w:val="nil"/>
              <w:bottom w:val="single" w:sz="4" w:space="0" w:color="BFBFBF"/>
              <w:right w:val="single" w:sz="4" w:space="0" w:color="BFBFBF"/>
            </w:tcBorders>
            <w:shd w:val="clear" w:color="auto" w:fill="auto"/>
            <w:noWrap/>
            <w:vAlign w:val="center"/>
          </w:tcPr>
          <w:p w14:paraId="398944EC"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15%</w:t>
            </w:r>
          </w:p>
        </w:tc>
        <w:tc>
          <w:tcPr>
            <w:tcW w:w="727" w:type="dxa"/>
            <w:tcBorders>
              <w:top w:val="single" w:sz="4" w:space="0" w:color="BFBFBF"/>
              <w:left w:val="nil"/>
              <w:bottom w:val="single" w:sz="4" w:space="0" w:color="BFBFBF"/>
              <w:right w:val="single" w:sz="4" w:space="0" w:color="auto"/>
            </w:tcBorders>
            <w:shd w:val="clear" w:color="auto" w:fill="auto"/>
            <w:noWrap/>
            <w:vAlign w:val="center"/>
          </w:tcPr>
          <w:p w14:paraId="6225D1B9"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5%</w:t>
            </w:r>
          </w:p>
        </w:tc>
        <w:tc>
          <w:tcPr>
            <w:tcW w:w="800" w:type="dxa"/>
            <w:tcBorders>
              <w:top w:val="nil"/>
              <w:left w:val="single" w:sz="4" w:space="0" w:color="auto"/>
              <w:bottom w:val="single" w:sz="4" w:space="0" w:color="BFBFBF"/>
              <w:right w:val="single" w:sz="4" w:space="0" w:color="BFBFBF"/>
            </w:tcBorders>
            <w:shd w:val="clear" w:color="auto" w:fill="auto"/>
            <w:noWrap/>
            <w:vAlign w:val="center"/>
          </w:tcPr>
          <w:p w14:paraId="5FEB84B1" w14:textId="77777777" w:rsidR="00663AD2" w:rsidRPr="006A62C9" w:rsidRDefault="00663AD2" w:rsidP="006A62C9">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r w:rsidR="006A62C9" w:rsidRPr="006A62C9">
              <w:rPr>
                <w:rFonts w:ascii="Arial" w:hAnsi="Arial" w:cs="Arial"/>
                <w:color w:val="000000"/>
                <w:sz w:val="16"/>
                <w:szCs w:val="16"/>
                <w:lang w:val="en-AU" w:eastAsia="en-AU"/>
              </w:rPr>
              <w:t>6</w:t>
            </w:r>
            <w:r w:rsidRPr="006A62C9">
              <w:rPr>
                <w:rFonts w:ascii="Arial" w:hAnsi="Arial" w:cs="Arial"/>
                <w:color w:val="000000"/>
                <w:sz w:val="16"/>
                <w:szCs w:val="16"/>
                <w:lang w:val="en-AU" w:eastAsia="en-AU"/>
              </w:rPr>
              <w:t>%</w:t>
            </w:r>
          </w:p>
        </w:tc>
        <w:tc>
          <w:tcPr>
            <w:tcW w:w="800" w:type="dxa"/>
            <w:tcBorders>
              <w:top w:val="nil"/>
              <w:left w:val="nil"/>
              <w:bottom w:val="single" w:sz="4" w:space="0" w:color="BFBFBF"/>
              <w:right w:val="single" w:sz="4" w:space="0" w:color="BFBFBF"/>
            </w:tcBorders>
            <w:shd w:val="clear" w:color="auto" w:fill="auto"/>
            <w:noWrap/>
            <w:vAlign w:val="center"/>
          </w:tcPr>
          <w:p w14:paraId="694E5603"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29%</w:t>
            </w:r>
          </w:p>
        </w:tc>
        <w:tc>
          <w:tcPr>
            <w:tcW w:w="800" w:type="dxa"/>
            <w:tcBorders>
              <w:top w:val="nil"/>
              <w:left w:val="nil"/>
              <w:bottom w:val="single" w:sz="4" w:space="0" w:color="BFBFBF"/>
              <w:right w:val="single" w:sz="4" w:space="0" w:color="auto"/>
            </w:tcBorders>
            <w:shd w:val="clear" w:color="auto" w:fill="auto"/>
            <w:noWrap/>
            <w:vAlign w:val="center"/>
          </w:tcPr>
          <w:p w14:paraId="7D469783"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16%</w:t>
            </w:r>
          </w:p>
        </w:tc>
        <w:tc>
          <w:tcPr>
            <w:tcW w:w="800" w:type="dxa"/>
            <w:tcBorders>
              <w:top w:val="nil"/>
              <w:left w:val="single" w:sz="4" w:space="0" w:color="auto"/>
              <w:bottom w:val="single" w:sz="4" w:space="0" w:color="BFBFBF"/>
              <w:right w:val="single" w:sz="4" w:space="0" w:color="BFBFBF"/>
            </w:tcBorders>
            <w:shd w:val="clear" w:color="auto" w:fill="auto"/>
            <w:noWrap/>
            <w:vAlign w:val="center"/>
          </w:tcPr>
          <w:p w14:paraId="182F8869" w14:textId="77777777" w:rsidR="00663AD2" w:rsidRPr="006A62C9" w:rsidRDefault="00663AD2" w:rsidP="006A62C9">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r w:rsidR="006A62C9" w:rsidRPr="006A62C9">
              <w:rPr>
                <w:rFonts w:ascii="Arial" w:hAnsi="Arial" w:cs="Arial"/>
                <w:color w:val="000000"/>
                <w:sz w:val="16"/>
                <w:szCs w:val="16"/>
                <w:lang w:val="en-AU" w:eastAsia="en-AU"/>
              </w:rPr>
              <w:t>2</w:t>
            </w:r>
            <w:r w:rsidRPr="006A62C9">
              <w:rPr>
                <w:rFonts w:ascii="Arial" w:hAnsi="Arial" w:cs="Arial"/>
                <w:color w:val="000000"/>
                <w:sz w:val="16"/>
                <w:szCs w:val="16"/>
                <w:lang w:val="en-AU" w:eastAsia="en-AU"/>
              </w:rPr>
              <w:t>%</w:t>
            </w:r>
          </w:p>
        </w:tc>
        <w:tc>
          <w:tcPr>
            <w:tcW w:w="800" w:type="dxa"/>
            <w:tcBorders>
              <w:top w:val="nil"/>
              <w:left w:val="nil"/>
              <w:bottom w:val="single" w:sz="4" w:space="0" w:color="BFBFBF"/>
              <w:right w:val="single" w:sz="4" w:space="0" w:color="BFBFBF"/>
            </w:tcBorders>
            <w:shd w:val="clear" w:color="auto" w:fill="auto"/>
            <w:noWrap/>
            <w:vAlign w:val="center"/>
          </w:tcPr>
          <w:p w14:paraId="7290D585"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21%</w:t>
            </w:r>
          </w:p>
        </w:tc>
        <w:tc>
          <w:tcPr>
            <w:tcW w:w="800" w:type="dxa"/>
            <w:tcBorders>
              <w:top w:val="nil"/>
              <w:left w:val="nil"/>
              <w:bottom w:val="single" w:sz="4" w:space="0" w:color="BFBFBF"/>
              <w:right w:val="single" w:sz="4" w:space="0" w:color="auto"/>
            </w:tcBorders>
            <w:shd w:val="clear" w:color="auto" w:fill="auto"/>
            <w:noWrap/>
            <w:vAlign w:val="center"/>
          </w:tcPr>
          <w:p w14:paraId="395C440E"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10%</w:t>
            </w:r>
          </w:p>
        </w:tc>
        <w:tc>
          <w:tcPr>
            <w:tcW w:w="767" w:type="dxa"/>
            <w:tcBorders>
              <w:top w:val="nil"/>
              <w:left w:val="single" w:sz="4" w:space="0" w:color="auto"/>
              <w:bottom w:val="single" w:sz="4" w:space="0" w:color="BFBFBF"/>
              <w:right w:val="single" w:sz="4" w:space="0" w:color="BFBFBF"/>
            </w:tcBorders>
            <w:shd w:val="clear" w:color="auto" w:fill="auto"/>
            <w:noWrap/>
            <w:vAlign w:val="center"/>
          </w:tcPr>
          <w:p w14:paraId="23ABA6ED"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14%</w:t>
            </w:r>
          </w:p>
        </w:tc>
        <w:tc>
          <w:tcPr>
            <w:tcW w:w="767" w:type="dxa"/>
            <w:tcBorders>
              <w:top w:val="nil"/>
              <w:left w:val="nil"/>
              <w:bottom w:val="single" w:sz="4" w:space="0" w:color="BFBFBF"/>
              <w:right w:val="single" w:sz="4" w:space="0" w:color="BFBFBF"/>
            </w:tcBorders>
            <w:shd w:val="clear" w:color="auto" w:fill="auto"/>
            <w:noWrap/>
            <w:vAlign w:val="center"/>
          </w:tcPr>
          <w:p w14:paraId="0B2FA3C6"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12%</w:t>
            </w:r>
          </w:p>
        </w:tc>
        <w:tc>
          <w:tcPr>
            <w:tcW w:w="767" w:type="dxa"/>
            <w:tcBorders>
              <w:top w:val="nil"/>
              <w:left w:val="nil"/>
              <w:bottom w:val="single" w:sz="4" w:space="0" w:color="BFBFBF"/>
              <w:right w:val="single" w:sz="4" w:space="0" w:color="auto"/>
            </w:tcBorders>
            <w:shd w:val="clear" w:color="auto" w:fill="auto"/>
            <w:noWrap/>
            <w:vAlign w:val="center"/>
          </w:tcPr>
          <w:p w14:paraId="3DAA95F5"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5%</w:t>
            </w:r>
          </w:p>
        </w:tc>
        <w:tc>
          <w:tcPr>
            <w:tcW w:w="774" w:type="dxa"/>
            <w:tcBorders>
              <w:top w:val="nil"/>
              <w:left w:val="single" w:sz="4" w:space="0" w:color="auto"/>
              <w:bottom w:val="single" w:sz="4" w:space="0" w:color="BFBFBF"/>
              <w:right w:val="single" w:sz="4" w:space="0" w:color="BFBFBF"/>
            </w:tcBorders>
            <w:shd w:val="clear" w:color="auto" w:fill="auto"/>
            <w:noWrap/>
            <w:vAlign w:val="center"/>
          </w:tcPr>
          <w:p w14:paraId="5447A63A"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18%</w:t>
            </w:r>
          </w:p>
        </w:tc>
        <w:tc>
          <w:tcPr>
            <w:tcW w:w="773" w:type="dxa"/>
            <w:tcBorders>
              <w:top w:val="nil"/>
              <w:left w:val="nil"/>
              <w:bottom w:val="single" w:sz="4" w:space="0" w:color="BFBFBF"/>
              <w:right w:val="single" w:sz="4" w:space="0" w:color="BFBFBF"/>
            </w:tcBorders>
            <w:shd w:val="clear" w:color="auto" w:fill="auto"/>
            <w:noWrap/>
            <w:vAlign w:val="center"/>
          </w:tcPr>
          <w:p w14:paraId="5BC0F12F"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16%</w:t>
            </w:r>
          </w:p>
        </w:tc>
        <w:tc>
          <w:tcPr>
            <w:tcW w:w="773" w:type="dxa"/>
            <w:tcBorders>
              <w:top w:val="nil"/>
              <w:left w:val="nil"/>
              <w:bottom w:val="single" w:sz="4" w:space="0" w:color="BFBFBF"/>
              <w:right w:val="double" w:sz="4" w:space="0" w:color="000000" w:themeColor="text1"/>
            </w:tcBorders>
            <w:shd w:val="clear" w:color="auto" w:fill="auto"/>
            <w:noWrap/>
            <w:vAlign w:val="center"/>
          </w:tcPr>
          <w:p w14:paraId="13F18A6B"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7%</w:t>
            </w:r>
          </w:p>
        </w:tc>
      </w:tr>
      <w:tr w:rsidR="00663AD2" w:rsidRPr="006A62C9" w14:paraId="7A2500A4" w14:textId="77777777" w:rsidTr="00D92C64">
        <w:trPr>
          <w:trHeight w:val="283"/>
          <w:jc w:val="center"/>
        </w:trPr>
        <w:tc>
          <w:tcPr>
            <w:tcW w:w="2599" w:type="dxa"/>
            <w:tcBorders>
              <w:top w:val="nil"/>
              <w:left w:val="double" w:sz="4" w:space="0" w:color="000000" w:themeColor="text1"/>
              <w:bottom w:val="single" w:sz="4" w:space="0" w:color="BFBFBF"/>
              <w:right w:val="single" w:sz="4" w:space="0" w:color="auto"/>
            </w:tcBorders>
            <w:shd w:val="clear" w:color="auto" w:fill="auto"/>
            <w:noWrap/>
            <w:vAlign w:val="center"/>
          </w:tcPr>
          <w:p w14:paraId="2B0801D9" w14:textId="77777777" w:rsidR="00663AD2" w:rsidRPr="006A62C9" w:rsidRDefault="00663AD2" w:rsidP="00663AD2">
            <w:pPr>
              <w:spacing w:before="0" w:after="0"/>
              <w:rPr>
                <w:rFonts w:ascii="Arial" w:hAnsi="Arial" w:cs="Arial"/>
                <w:color w:val="000000"/>
                <w:sz w:val="16"/>
                <w:szCs w:val="16"/>
                <w:lang w:val="en-AU" w:eastAsia="en-AU"/>
              </w:rPr>
            </w:pPr>
            <w:r w:rsidRPr="006A62C9">
              <w:rPr>
                <w:rFonts w:ascii="Arial" w:hAnsi="Arial" w:cs="Arial"/>
                <w:color w:val="000000"/>
                <w:sz w:val="16"/>
                <w:szCs w:val="16"/>
                <w:lang w:val="en-AU" w:eastAsia="en-AU"/>
              </w:rPr>
              <w:t>Fixed service charge only</w:t>
            </w:r>
          </w:p>
        </w:tc>
        <w:tc>
          <w:tcPr>
            <w:tcW w:w="726" w:type="dxa"/>
            <w:tcBorders>
              <w:top w:val="single" w:sz="4" w:space="0" w:color="BFBFBF"/>
              <w:left w:val="single" w:sz="4" w:space="0" w:color="auto"/>
              <w:bottom w:val="single" w:sz="4" w:space="0" w:color="BFBFBF"/>
              <w:right w:val="single" w:sz="4" w:space="0" w:color="BFBFBF"/>
            </w:tcBorders>
            <w:shd w:val="clear" w:color="auto" w:fill="auto"/>
            <w:noWrap/>
            <w:vAlign w:val="center"/>
          </w:tcPr>
          <w:p w14:paraId="6D3BB779"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w:t>
            </w:r>
          </w:p>
        </w:tc>
        <w:tc>
          <w:tcPr>
            <w:tcW w:w="727" w:type="dxa"/>
            <w:tcBorders>
              <w:top w:val="single" w:sz="4" w:space="0" w:color="BFBFBF"/>
              <w:left w:val="nil"/>
              <w:bottom w:val="single" w:sz="4" w:space="0" w:color="BFBFBF"/>
              <w:right w:val="single" w:sz="4" w:space="0" w:color="BFBFBF"/>
            </w:tcBorders>
            <w:shd w:val="clear" w:color="auto" w:fill="auto"/>
            <w:noWrap/>
            <w:vAlign w:val="center"/>
          </w:tcPr>
          <w:p w14:paraId="26FA8E66"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8%</w:t>
            </w:r>
          </w:p>
        </w:tc>
        <w:tc>
          <w:tcPr>
            <w:tcW w:w="727" w:type="dxa"/>
            <w:tcBorders>
              <w:top w:val="single" w:sz="4" w:space="0" w:color="BFBFBF"/>
              <w:left w:val="nil"/>
              <w:bottom w:val="single" w:sz="4" w:space="0" w:color="BFBFBF"/>
              <w:right w:val="single" w:sz="4" w:space="0" w:color="auto"/>
            </w:tcBorders>
            <w:shd w:val="clear" w:color="auto" w:fill="auto"/>
            <w:noWrap/>
            <w:vAlign w:val="center"/>
          </w:tcPr>
          <w:p w14:paraId="7535B931"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4%</w:t>
            </w:r>
          </w:p>
        </w:tc>
        <w:tc>
          <w:tcPr>
            <w:tcW w:w="800" w:type="dxa"/>
            <w:tcBorders>
              <w:top w:val="nil"/>
              <w:left w:val="single" w:sz="4" w:space="0" w:color="auto"/>
              <w:bottom w:val="single" w:sz="4" w:space="0" w:color="BFBFBF"/>
              <w:right w:val="single" w:sz="4" w:space="0" w:color="BFBFBF"/>
            </w:tcBorders>
            <w:shd w:val="clear" w:color="auto" w:fill="auto"/>
            <w:noWrap/>
            <w:vAlign w:val="center"/>
          </w:tcPr>
          <w:p w14:paraId="290E7A59"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p>
        </w:tc>
        <w:tc>
          <w:tcPr>
            <w:tcW w:w="800" w:type="dxa"/>
            <w:tcBorders>
              <w:top w:val="nil"/>
              <w:left w:val="nil"/>
              <w:bottom w:val="single" w:sz="4" w:space="0" w:color="BFBFBF"/>
              <w:right w:val="single" w:sz="4" w:space="0" w:color="BFBFBF"/>
            </w:tcBorders>
            <w:shd w:val="clear" w:color="auto" w:fill="auto"/>
            <w:noWrap/>
            <w:vAlign w:val="center"/>
          </w:tcPr>
          <w:p w14:paraId="2B787164"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6%</w:t>
            </w:r>
          </w:p>
        </w:tc>
        <w:tc>
          <w:tcPr>
            <w:tcW w:w="800" w:type="dxa"/>
            <w:tcBorders>
              <w:top w:val="nil"/>
              <w:left w:val="nil"/>
              <w:bottom w:val="single" w:sz="4" w:space="0" w:color="BFBFBF"/>
              <w:right w:val="single" w:sz="4" w:space="0" w:color="auto"/>
            </w:tcBorders>
            <w:shd w:val="clear" w:color="auto" w:fill="auto"/>
            <w:noWrap/>
            <w:vAlign w:val="center"/>
          </w:tcPr>
          <w:p w14:paraId="46A2C0A0"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3%</w:t>
            </w:r>
          </w:p>
        </w:tc>
        <w:tc>
          <w:tcPr>
            <w:tcW w:w="800" w:type="dxa"/>
            <w:tcBorders>
              <w:top w:val="nil"/>
              <w:left w:val="single" w:sz="4" w:space="0" w:color="auto"/>
              <w:bottom w:val="single" w:sz="4" w:space="0" w:color="BFBFBF"/>
              <w:right w:val="single" w:sz="4" w:space="0" w:color="BFBFBF"/>
            </w:tcBorders>
            <w:shd w:val="clear" w:color="auto" w:fill="auto"/>
            <w:noWrap/>
            <w:vAlign w:val="center"/>
          </w:tcPr>
          <w:p w14:paraId="6CC495E9"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p>
        </w:tc>
        <w:tc>
          <w:tcPr>
            <w:tcW w:w="800" w:type="dxa"/>
            <w:tcBorders>
              <w:top w:val="nil"/>
              <w:left w:val="nil"/>
              <w:bottom w:val="single" w:sz="4" w:space="0" w:color="BFBFBF"/>
              <w:right w:val="single" w:sz="4" w:space="0" w:color="BFBFBF"/>
            </w:tcBorders>
            <w:shd w:val="clear" w:color="auto" w:fill="auto"/>
            <w:noWrap/>
            <w:vAlign w:val="center"/>
          </w:tcPr>
          <w:p w14:paraId="4CB7F90A"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7%</w:t>
            </w:r>
          </w:p>
        </w:tc>
        <w:tc>
          <w:tcPr>
            <w:tcW w:w="800" w:type="dxa"/>
            <w:tcBorders>
              <w:top w:val="nil"/>
              <w:left w:val="nil"/>
              <w:bottom w:val="single" w:sz="4" w:space="0" w:color="BFBFBF"/>
              <w:right w:val="single" w:sz="4" w:space="0" w:color="auto"/>
            </w:tcBorders>
            <w:shd w:val="clear" w:color="auto" w:fill="auto"/>
            <w:noWrap/>
            <w:vAlign w:val="center"/>
          </w:tcPr>
          <w:p w14:paraId="48D9D5F7"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4%</w:t>
            </w:r>
          </w:p>
        </w:tc>
        <w:tc>
          <w:tcPr>
            <w:tcW w:w="767" w:type="dxa"/>
            <w:tcBorders>
              <w:top w:val="nil"/>
              <w:left w:val="single" w:sz="4" w:space="0" w:color="auto"/>
              <w:bottom w:val="single" w:sz="4" w:space="0" w:color="BFBFBF"/>
              <w:right w:val="single" w:sz="4" w:space="0" w:color="BFBFBF"/>
            </w:tcBorders>
            <w:shd w:val="clear" w:color="auto" w:fill="auto"/>
            <w:noWrap/>
            <w:vAlign w:val="center"/>
          </w:tcPr>
          <w:p w14:paraId="67F23CB2"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w:t>
            </w:r>
          </w:p>
        </w:tc>
        <w:tc>
          <w:tcPr>
            <w:tcW w:w="767" w:type="dxa"/>
            <w:tcBorders>
              <w:top w:val="nil"/>
              <w:left w:val="nil"/>
              <w:bottom w:val="single" w:sz="4" w:space="0" w:color="BFBFBF"/>
              <w:right w:val="single" w:sz="4" w:space="0" w:color="BFBFBF"/>
            </w:tcBorders>
            <w:shd w:val="clear" w:color="auto" w:fill="auto"/>
            <w:noWrap/>
            <w:vAlign w:val="center"/>
          </w:tcPr>
          <w:p w14:paraId="530F5BF1"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8%</w:t>
            </w:r>
          </w:p>
        </w:tc>
        <w:tc>
          <w:tcPr>
            <w:tcW w:w="767" w:type="dxa"/>
            <w:tcBorders>
              <w:top w:val="nil"/>
              <w:left w:val="nil"/>
              <w:bottom w:val="single" w:sz="4" w:space="0" w:color="BFBFBF"/>
              <w:right w:val="single" w:sz="4" w:space="0" w:color="auto"/>
            </w:tcBorders>
            <w:shd w:val="clear" w:color="auto" w:fill="auto"/>
            <w:noWrap/>
            <w:vAlign w:val="center"/>
          </w:tcPr>
          <w:p w14:paraId="0F47203E"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4%</w:t>
            </w:r>
          </w:p>
        </w:tc>
        <w:tc>
          <w:tcPr>
            <w:tcW w:w="774" w:type="dxa"/>
            <w:tcBorders>
              <w:top w:val="nil"/>
              <w:left w:val="single" w:sz="4" w:space="0" w:color="auto"/>
              <w:bottom w:val="single" w:sz="4" w:space="0" w:color="BFBFBF"/>
              <w:right w:val="single" w:sz="4" w:space="0" w:color="BFBFBF"/>
            </w:tcBorders>
            <w:shd w:val="clear" w:color="auto" w:fill="auto"/>
            <w:noWrap/>
            <w:vAlign w:val="center"/>
          </w:tcPr>
          <w:p w14:paraId="36ACAF62"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w:t>
            </w:r>
          </w:p>
        </w:tc>
        <w:tc>
          <w:tcPr>
            <w:tcW w:w="773" w:type="dxa"/>
            <w:tcBorders>
              <w:top w:val="nil"/>
              <w:left w:val="nil"/>
              <w:bottom w:val="single" w:sz="4" w:space="0" w:color="BFBFBF"/>
              <w:right w:val="single" w:sz="4" w:space="0" w:color="BFBFBF"/>
            </w:tcBorders>
            <w:shd w:val="clear" w:color="auto" w:fill="auto"/>
            <w:noWrap/>
            <w:vAlign w:val="center"/>
          </w:tcPr>
          <w:p w14:paraId="19D119AC"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7%</w:t>
            </w:r>
          </w:p>
        </w:tc>
        <w:tc>
          <w:tcPr>
            <w:tcW w:w="773" w:type="dxa"/>
            <w:tcBorders>
              <w:top w:val="nil"/>
              <w:left w:val="nil"/>
              <w:bottom w:val="single" w:sz="4" w:space="0" w:color="BFBFBF"/>
              <w:right w:val="double" w:sz="4" w:space="0" w:color="000000" w:themeColor="text1"/>
            </w:tcBorders>
            <w:shd w:val="clear" w:color="auto" w:fill="auto"/>
            <w:noWrap/>
            <w:vAlign w:val="center"/>
          </w:tcPr>
          <w:p w14:paraId="05D29183"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4%</w:t>
            </w:r>
          </w:p>
        </w:tc>
      </w:tr>
      <w:tr w:rsidR="00663AD2" w:rsidRPr="006A62C9" w14:paraId="11D108DF" w14:textId="77777777" w:rsidTr="00D92C64">
        <w:trPr>
          <w:trHeight w:val="283"/>
          <w:jc w:val="center"/>
        </w:trPr>
        <w:tc>
          <w:tcPr>
            <w:tcW w:w="2599" w:type="dxa"/>
            <w:tcBorders>
              <w:top w:val="nil"/>
              <w:left w:val="double" w:sz="4" w:space="0" w:color="000000" w:themeColor="text1"/>
              <w:bottom w:val="single" w:sz="4" w:space="0" w:color="BFBFBF"/>
              <w:right w:val="single" w:sz="4" w:space="0" w:color="auto"/>
            </w:tcBorders>
            <w:shd w:val="clear" w:color="auto" w:fill="auto"/>
            <w:noWrap/>
            <w:vAlign w:val="center"/>
          </w:tcPr>
          <w:p w14:paraId="78967A4D" w14:textId="77777777" w:rsidR="00663AD2" w:rsidRPr="006A62C9" w:rsidRDefault="00663AD2" w:rsidP="00663AD2">
            <w:pPr>
              <w:spacing w:before="0" w:after="0"/>
              <w:rPr>
                <w:rFonts w:ascii="Arial" w:hAnsi="Arial" w:cs="Arial"/>
                <w:color w:val="000000"/>
                <w:sz w:val="16"/>
                <w:szCs w:val="16"/>
                <w:lang w:val="en-AU" w:eastAsia="en-AU"/>
              </w:rPr>
            </w:pPr>
            <w:r w:rsidRPr="006A62C9">
              <w:rPr>
                <w:rFonts w:ascii="Arial" w:hAnsi="Arial" w:cs="Arial"/>
                <w:color w:val="000000"/>
                <w:sz w:val="16"/>
                <w:szCs w:val="16"/>
                <w:lang w:val="en-AU" w:eastAsia="en-AU"/>
              </w:rPr>
              <w:t>Combination of both</w:t>
            </w:r>
          </w:p>
        </w:tc>
        <w:tc>
          <w:tcPr>
            <w:tcW w:w="726" w:type="dxa"/>
            <w:tcBorders>
              <w:top w:val="single" w:sz="4" w:space="0" w:color="BFBFBF"/>
              <w:left w:val="single" w:sz="4" w:space="0" w:color="auto"/>
              <w:bottom w:val="single" w:sz="4" w:space="0" w:color="BFBFBF"/>
              <w:right w:val="single" w:sz="4" w:space="0" w:color="BFBFBF"/>
            </w:tcBorders>
            <w:shd w:val="clear" w:color="auto" w:fill="auto"/>
            <w:noWrap/>
            <w:vAlign w:val="center"/>
          </w:tcPr>
          <w:p w14:paraId="3FDEDD60" w14:textId="77777777" w:rsidR="00663AD2" w:rsidRPr="006A62C9" w:rsidRDefault="00663AD2" w:rsidP="006A62C9">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7</w:t>
            </w:r>
            <w:r w:rsidR="006A62C9" w:rsidRPr="006A62C9">
              <w:rPr>
                <w:rFonts w:ascii="Arial" w:hAnsi="Arial" w:cs="Arial"/>
                <w:color w:val="000000"/>
                <w:sz w:val="16"/>
                <w:szCs w:val="16"/>
                <w:lang w:val="en-AU" w:eastAsia="en-AU"/>
              </w:rPr>
              <w:t>3</w:t>
            </w:r>
            <w:r w:rsidRPr="006A62C9">
              <w:rPr>
                <w:rFonts w:ascii="Arial" w:hAnsi="Arial" w:cs="Arial"/>
                <w:color w:val="000000"/>
                <w:sz w:val="16"/>
                <w:szCs w:val="16"/>
                <w:lang w:val="en-AU" w:eastAsia="en-AU"/>
              </w:rPr>
              <w:t>%</w:t>
            </w:r>
          </w:p>
        </w:tc>
        <w:tc>
          <w:tcPr>
            <w:tcW w:w="727" w:type="dxa"/>
            <w:tcBorders>
              <w:top w:val="single" w:sz="4" w:space="0" w:color="BFBFBF"/>
              <w:left w:val="nil"/>
              <w:bottom w:val="single" w:sz="4" w:space="0" w:color="BFBFBF"/>
              <w:right w:val="single" w:sz="4" w:space="0" w:color="BFBFBF"/>
            </w:tcBorders>
            <w:shd w:val="clear" w:color="auto" w:fill="auto"/>
            <w:noWrap/>
            <w:vAlign w:val="center"/>
          </w:tcPr>
          <w:p w14:paraId="63DF7A06"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76%</w:t>
            </w:r>
          </w:p>
        </w:tc>
        <w:tc>
          <w:tcPr>
            <w:tcW w:w="727" w:type="dxa"/>
            <w:tcBorders>
              <w:top w:val="single" w:sz="4" w:space="0" w:color="BFBFBF"/>
              <w:left w:val="nil"/>
              <w:bottom w:val="single" w:sz="4" w:space="0" w:color="BFBFBF"/>
              <w:right w:val="single" w:sz="4" w:space="0" w:color="auto"/>
            </w:tcBorders>
            <w:shd w:val="clear" w:color="auto" w:fill="auto"/>
            <w:noWrap/>
            <w:vAlign w:val="center"/>
          </w:tcPr>
          <w:p w14:paraId="0F592355"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88%</w:t>
            </w:r>
          </w:p>
        </w:tc>
        <w:tc>
          <w:tcPr>
            <w:tcW w:w="800" w:type="dxa"/>
            <w:tcBorders>
              <w:top w:val="nil"/>
              <w:left w:val="single" w:sz="4" w:space="0" w:color="auto"/>
              <w:bottom w:val="single" w:sz="4" w:space="0" w:color="BFBFBF"/>
              <w:right w:val="single" w:sz="4" w:space="0" w:color="BFBFBF"/>
            </w:tcBorders>
            <w:shd w:val="clear" w:color="auto" w:fill="auto"/>
            <w:noWrap/>
            <w:vAlign w:val="center"/>
          </w:tcPr>
          <w:p w14:paraId="69AD1D9D" w14:textId="77777777" w:rsidR="00663AD2" w:rsidRPr="006A62C9" w:rsidRDefault="00663AD2" w:rsidP="006A62C9">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6</w:t>
            </w:r>
            <w:r w:rsidR="006A62C9" w:rsidRPr="006A62C9">
              <w:rPr>
                <w:rFonts w:ascii="Arial" w:hAnsi="Arial" w:cs="Arial"/>
                <w:color w:val="000000"/>
                <w:sz w:val="16"/>
                <w:szCs w:val="16"/>
                <w:lang w:val="en-AU" w:eastAsia="en-AU"/>
              </w:rPr>
              <w:t>2</w:t>
            </w:r>
            <w:r w:rsidRPr="006A62C9">
              <w:rPr>
                <w:rFonts w:ascii="Arial" w:hAnsi="Arial" w:cs="Arial"/>
                <w:color w:val="000000"/>
                <w:sz w:val="16"/>
                <w:szCs w:val="16"/>
                <w:lang w:val="en-AU" w:eastAsia="en-AU"/>
              </w:rPr>
              <w:t>%</w:t>
            </w:r>
          </w:p>
        </w:tc>
        <w:tc>
          <w:tcPr>
            <w:tcW w:w="800" w:type="dxa"/>
            <w:tcBorders>
              <w:top w:val="nil"/>
              <w:left w:val="nil"/>
              <w:bottom w:val="single" w:sz="4" w:space="0" w:color="BFBFBF"/>
              <w:right w:val="single" w:sz="4" w:space="0" w:color="BFBFBF"/>
            </w:tcBorders>
            <w:shd w:val="clear" w:color="auto" w:fill="auto"/>
            <w:noWrap/>
            <w:vAlign w:val="center"/>
          </w:tcPr>
          <w:p w14:paraId="3155F08B"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61%</w:t>
            </w:r>
          </w:p>
        </w:tc>
        <w:tc>
          <w:tcPr>
            <w:tcW w:w="800" w:type="dxa"/>
            <w:tcBorders>
              <w:top w:val="nil"/>
              <w:left w:val="nil"/>
              <w:bottom w:val="single" w:sz="4" w:space="0" w:color="BFBFBF"/>
              <w:right w:val="single" w:sz="4" w:space="0" w:color="auto"/>
            </w:tcBorders>
            <w:shd w:val="clear" w:color="auto" w:fill="auto"/>
            <w:noWrap/>
            <w:vAlign w:val="center"/>
          </w:tcPr>
          <w:p w14:paraId="48F9DC89"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79%</w:t>
            </w:r>
          </w:p>
        </w:tc>
        <w:tc>
          <w:tcPr>
            <w:tcW w:w="800" w:type="dxa"/>
            <w:tcBorders>
              <w:top w:val="nil"/>
              <w:left w:val="single" w:sz="4" w:space="0" w:color="auto"/>
              <w:bottom w:val="single" w:sz="4" w:space="0" w:color="BFBFBF"/>
              <w:right w:val="single" w:sz="4" w:space="0" w:color="BFBFBF"/>
            </w:tcBorders>
            <w:shd w:val="clear" w:color="auto" w:fill="auto"/>
            <w:noWrap/>
            <w:vAlign w:val="center"/>
          </w:tcPr>
          <w:p w14:paraId="348E5E05" w14:textId="77777777" w:rsidR="00663AD2" w:rsidRPr="006A62C9" w:rsidRDefault="006A62C9"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68</w:t>
            </w:r>
            <w:r w:rsidR="00663AD2" w:rsidRPr="006A62C9">
              <w:rPr>
                <w:rFonts w:ascii="Arial" w:hAnsi="Arial" w:cs="Arial"/>
                <w:color w:val="000000"/>
                <w:sz w:val="16"/>
                <w:szCs w:val="16"/>
                <w:lang w:val="en-AU" w:eastAsia="en-AU"/>
              </w:rPr>
              <w:t>%</w:t>
            </w:r>
          </w:p>
        </w:tc>
        <w:tc>
          <w:tcPr>
            <w:tcW w:w="800" w:type="dxa"/>
            <w:tcBorders>
              <w:top w:val="nil"/>
              <w:left w:val="nil"/>
              <w:bottom w:val="single" w:sz="4" w:space="0" w:color="BFBFBF"/>
              <w:right w:val="single" w:sz="4" w:space="0" w:color="BFBFBF"/>
            </w:tcBorders>
            <w:shd w:val="clear" w:color="auto" w:fill="auto"/>
            <w:noWrap/>
            <w:vAlign w:val="center"/>
          </w:tcPr>
          <w:p w14:paraId="54B9AF05"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69%</w:t>
            </w:r>
          </w:p>
        </w:tc>
        <w:tc>
          <w:tcPr>
            <w:tcW w:w="800" w:type="dxa"/>
            <w:tcBorders>
              <w:top w:val="nil"/>
              <w:left w:val="nil"/>
              <w:bottom w:val="single" w:sz="4" w:space="0" w:color="BFBFBF"/>
              <w:right w:val="single" w:sz="4" w:space="0" w:color="auto"/>
            </w:tcBorders>
            <w:shd w:val="clear" w:color="auto" w:fill="auto"/>
            <w:noWrap/>
            <w:vAlign w:val="center"/>
          </w:tcPr>
          <w:p w14:paraId="727C3E69"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84%</w:t>
            </w:r>
          </w:p>
        </w:tc>
        <w:tc>
          <w:tcPr>
            <w:tcW w:w="767" w:type="dxa"/>
            <w:tcBorders>
              <w:top w:val="nil"/>
              <w:left w:val="single" w:sz="4" w:space="0" w:color="auto"/>
              <w:bottom w:val="single" w:sz="4" w:space="0" w:color="BFBFBF"/>
              <w:right w:val="single" w:sz="4" w:space="0" w:color="BFBFBF"/>
            </w:tcBorders>
            <w:shd w:val="clear" w:color="auto" w:fill="auto"/>
            <w:noWrap/>
            <w:vAlign w:val="center"/>
          </w:tcPr>
          <w:p w14:paraId="23733C0E"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82%</w:t>
            </w:r>
          </w:p>
        </w:tc>
        <w:tc>
          <w:tcPr>
            <w:tcW w:w="767" w:type="dxa"/>
            <w:tcBorders>
              <w:top w:val="nil"/>
              <w:left w:val="nil"/>
              <w:bottom w:val="single" w:sz="4" w:space="0" w:color="BFBFBF"/>
              <w:right w:val="single" w:sz="4" w:space="0" w:color="BFBFBF"/>
            </w:tcBorders>
            <w:shd w:val="clear" w:color="auto" w:fill="auto"/>
            <w:noWrap/>
            <w:vAlign w:val="center"/>
          </w:tcPr>
          <w:p w14:paraId="16D3ACF2"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76%</w:t>
            </w:r>
          </w:p>
        </w:tc>
        <w:tc>
          <w:tcPr>
            <w:tcW w:w="767" w:type="dxa"/>
            <w:tcBorders>
              <w:top w:val="nil"/>
              <w:left w:val="nil"/>
              <w:bottom w:val="single" w:sz="4" w:space="0" w:color="BFBFBF"/>
              <w:right w:val="single" w:sz="4" w:space="0" w:color="auto"/>
            </w:tcBorders>
            <w:shd w:val="clear" w:color="auto" w:fill="auto"/>
            <w:noWrap/>
            <w:vAlign w:val="center"/>
          </w:tcPr>
          <w:p w14:paraId="519E7ACF"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89%</w:t>
            </w:r>
          </w:p>
        </w:tc>
        <w:tc>
          <w:tcPr>
            <w:tcW w:w="774" w:type="dxa"/>
            <w:tcBorders>
              <w:top w:val="nil"/>
              <w:left w:val="single" w:sz="4" w:space="0" w:color="auto"/>
              <w:bottom w:val="single" w:sz="4" w:space="0" w:color="BFBFBF"/>
              <w:right w:val="single" w:sz="4" w:space="0" w:color="BFBFBF"/>
            </w:tcBorders>
            <w:shd w:val="clear" w:color="auto" w:fill="auto"/>
            <w:noWrap/>
            <w:vAlign w:val="center"/>
          </w:tcPr>
          <w:p w14:paraId="47DA2832" w14:textId="77777777" w:rsidR="00663AD2" w:rsidRPr="006A62C9" w:rsidRDefault="00663AD2" w:rsidP="006A62C9">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7</w:t>
            </w:r>
            <w:r w:rsidR="006A62C9" w:rsidRPr="006A62C9">
              <w:rPr>
                <w:rFonts w:ascii="Arial" w:hAnsi="Arial" w:cs="Arial"/>
                <w:color w:val="000000"/>
                <w:sz w:val="16"/>
                <w:szCs w:val="16"/>
                <w:lang w:val="en-AU" w:eastAsia="en-AU"/>
              </w:rPr>
              <w:t>5</w:t>
            </w:r>
            <w:r w:rsidRPr="006A62C9">
              <w:rPr>
                <w:rFonts w:ascii="Arial" w:hAnsi="Arial" w:cs="Arial"/>
                <w:color w:val="000000"/>
                <w:sz w:val="16"/>
                <w:szCs w:val="16"/>
                <w:lang w:val="en-AU" w:eastAsia="en-AU"/>
              </w:rPr>
              <w:t>%</w:t>
            </w:r>
          </w:p>
        </w:tc>
        <w:tc>
          <w:tcPr>
            <w:tcW w:w="773" w:type="dxa"/>
            <w:tcBorders>
              <w:top w:val="nil"/>
              <w:left w:val="nil"/>
              <w:bottom w:val="single" w:sz="4" w:space="0" w:color="BFBFBF"/>
              <w:right w:val="single" w:sz="4" w:space="0" w:color="BFBFBF"/>
            </w:tcBorders>
            <w:shd w:val="clear" w:color="auto" w:fill="auto"/>
            <w:noWrap/>
            <w:vAlign w:val="center"/>
          </w:tcPr>
          <w:p w14:paraId="1744ED91"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73%</w:t>
            </w:r>
          </w:p>
        </w:tc>
        <w:tc>
          <w:tcPr>
            <w:tcW w:w="773" w:type="dxa"/>
            <w:tcBorders>
              <w:top w:val="nil"/>
              <w:left w:val="nil"/>
              <w:bottom w:val="single" w:sz="4" w:space="0" w:color="BFBFBF"/>
              <w:right w:val="double" w:sz="4" w:space="0" w:color="000000" w:themeColor="text1"/>
            </w:tcBorders>
            <w:shd w:val="clear" w:color="auto" w:fill="auto"/>
            <w:noWrap/>
            <w:vAlign w:val="center"/>
          </w:tcPr>
          <w:p w14:paraId="4A5AA0A0"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87%</w:t>
            </w:r>
          </w:p>
        </w:tc>
      </w:tr>
      <w:tr w:rsidR="00663AD2" w:rsidRPr="006A62C9" w14:paraId="791BF1E4" w14:textId="77777777" w:rsidTr="00D92C64">
        <w:trPr>
          <w:trHeight w:val="283"/>
          <w:jc w:val="center"/>
        </w:trPr>
        <w:tc>
          <w:tcPr>
            <w:tcW w:w="2599" w:type="dxa"/>
            <w:tcBorders>
              <w:top w:val="nil"/>
              <w:left w:val="double" w:sz="4" w:space="0" w:color="000000" w:themeColor="text1"/>
              <w:bottom w:val="single" w:sz="4" w:space="0" w:color="BFBFBF"/>
              <w:right w:val="single" w:sz="4" w:space="0" w:color="auto"/>
            </w:tcBorders>
            <w:shd w:val="clear" w:color="auto" w:fill="auto"/>
            <w:noWrap/>
            <w:vAlign w:val="center"/>
          </w:tcPr>
          <w:p w14:paraId="1B4E1853" w14:textId="77777777" w:rsidR="00663AD2" w:rsidRPr="006A62C9" w:rsidRDefault="00663AD2" w:rsidP="00663AD2">
            <w:pPr>
              <w:spacing w:before="0" w:after="0"/>
              <w:rPr>
                <w:rFonts w:ascii="Arial" w:hAnsi="Arial" w:cs="Arial"/>
                <w:color w:val="000000"/>
                <w:sz w:val="16"/>
                <w:szCs w:val="16"/>
                <w:lang w:val="en-AU" w:eastAsia="en-AU"/>
              </w:rPr>
            </w:pPr>
            <w:r w:rsidRPr="006A62C9">
              <w:rPr>
                <w:rFonts w:ascii="Arial" w:hAnsi="Arial" w:cs="Arial"/>
                <w:color w:val="000000"/>
                <w:sz w:val="16"/>
                <w:szCs w:val="16"/>
                <w:lang w:val="en-AU" w:eastAsia="en-AU"/>
              </w:rPr>
              <w:t>Other</w:t>
            </w:r>
          </w:p>
        </w:tc>
        <w:tc>
          <w:tcPr>
            <w:tcW w:w="726" w:type="dxa"/>
            <w:tcBorders>
              <w:top w:val="single" w:sz="4" w:space="0" w:color="BFBFBF"/>
              <w:left w:val="single" w:sz="4" w:space="0" w:color="auto"/>
              <w:bottom w:val="single" w:sz="4" w:space="0" w:color="BFBFBF"/>
              <w:right w:val="single" w:sz="4" w:space="0" w:color="BFBFBF"/>
            </w:tcBorders>
            <w:shd w:val="clear" w:color="auto" w:fill="auto"/>
            <w:noWrap/>
            <w:vAlign w:val="center"/>
          </w:tcPr>
          <w:p w14:paraId="1E07DC4E"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w:t>
            </w:r>
          </w:p>
        </w:tc>
        <w:tc>
          <w:tcPr>
            <w:tcW w:w="727" w:type="dxa"/>
            <w:tcBorders>
              <w:top w:val="single" w:sz="4" w:space="0" w:color="BFBFBF"/>
              <w:left w:val="nil"/>
              <w:bottom w:val="single" w:sz="4" w:space="0" w:color="BFBFBF"/>
              <w:right w:val="single" w:sz="4" w:space="0" w:color="BFBFBF"/>
            </w:tcBorders>
            <w:shd w:val="clear" w:color="auto" w:fill="auto"/>
            <w:noWrap/>
            <w:vAlign w:val="center"/>
          </w:tcPr>
          <w:p w14:paraId="2E9B5FFF"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w:t>
            </w:r>
          </w:p>
        </w:tc>
        <w:tc>
          <w:tcPr>
            <w:tcW w:w="727" w:type="dxa"/>
            <w:tcBorders>
              <w:top w:val="single" w:sz="4" w:space="0" w:color="BFBFBF"/>
              <w:left w:val="nil"/>
              <w:bottom w:val="single" w:sz="4" w:space="0" w:color="BFBFBF"/>
              <w:right w:val="single" w:sz="4" w:space="0" w:color="auto"/>
            </w:tcBorders>
            <w:shd w:val="clear" w:color="auto" w:fill="auto"/>
            <w:noWrap/>
            <w:vAlign w:val="center"/>
          </w:tcPr>
          <w:p w14:paraId="19BE944D"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w:t>
            </w:r>
          </w:p>
        </w:tc>
        <w:tc>
          <w:tcPr>
            <w:tcW w:w="800" w:type="dxa"/>
            <w:tcBorders>
              <w:top w:val="nil"/>
              <w:left w:val="single" w:sz="4" w:space="0" w:color="auto"/>
              <w:bottom w:val="single" w:sz="4" w:space="0" w:color="BFBFBF"/>
              <w:right w:val="single" w:sz="4" w:space="0" w:color="BFBFBF"/>
            </w:tcBorders>
            <w:shd w:val="clear" w:color="auto" w:fill="auto"/>
            <w:noWrap/>
            <w:vAlign w:val="center"/>
          </w:tcPr>
          <w:p w14:paraId="3F4C1F92"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p>
        </w:tc>
        <w:tc>
          <w:tcPr>
            <w:tcW w:w="800" w:type="dxa"/>
            <w:tcBorders>
              <w:top w:val="nil"/>
              <w:left w:val="nil"/>
              <w:bottom w:val="single" w:sz="4" w:space="0" w:color="BFBFBF"/>
              <w:right w:val="single" w:sz="4" w:space="0" w:color="BFBFBF"/>
            </w:tcBorders>
            <w:shd w:val="clear" w:color="auto" w:fill="auto"/>
            <w:noWrap/>
            <w:vAlign w:val="center"/>
          </w:tcPr>
          <w:p w14:paraId="6663F675"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w:t>
            </w:r>
          </w:p>
        </w:tc>
        <w:tc>
          <w:tcPr>
            <w:tcW w:w="800" w:type="dxa"/>
            <w:tcBorders>
              <w:top w:val="nil"/>
              <w:left w:val="nil"/>
              <w:bottom w:val="single" w:sz="4" w:space="0" w:color="BFBFBF"/>
              <w:right w:val="single" w:sz="4" w:space="0" w:color="auto"/>
            </w:tcBorders>
            <w:shd w:val="clear" w:color="auto" w:fill="auto"/>
            <w:noWrap/>
            <w:vAlign w:val="center"/>
          </w:tcPr>
          <w:p w14:paraId="23F2DF37"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w:t>
            </w:r>
          </w:p>
        </w:tc>
        <w:tc>
          <w:tcPr>
            <w:tcW w:w="800" w:type="dxa"/>
            <w:tcBorders>
              <w:top w:val="nil"/>
              <w:left w:val="single" w:sz="4" w:space="0" w:color="auto"/>
              <w:bottom w:val="single" w:sz="4" w:space="0" w:color="BFBFBF"/>
              <w:right w:val="single" w:sz="4" w:space="0" w:color="BFBFBF"/>
            </w:tcBorders>
            <w:shd w:val="clear" w:color="auto" w:fill="auto"/>
            <w:noWrap/>
            <w:vAlign w:val="center"/>
          </w:tcPr>
          <w:p w14:paraId="376A0C5C"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p>
        </w:tc>
        <w:tc>
          <w:tcPr>
            <w:tcW w:w="800" w:type="dxa"/>
            <w:tcBorders>
              <w:top w:val="nil"/>
              <w:left w:val="nil"/>
              <w:bottom w:val="single" w:sz="4" w:space="0" w:color="BFBFBF"/>
              <w:right w:val="single" w:sz="4" w:space="0" w:color="BFBFBF"/>
            </w:tcBorders>
            <w:shd w:val="clear" w:color="auto" w:fill="auto"/>
            <w:noWrap/>
            <w:vAlign w:val="center"/>
          </w:tcPr>
          <w:p w14:paraId="7A68F4EB"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w:t>
            </w:r>
          </w:p>
        </w:tc>
        <w:tc>
          <w:tcPr>
            <w:tcW w:w="800" w:type="dxa"/>
            <w:tcBorders>
              <w:top w:val="nil"/>
              <w:left w:val="nil"/>
              <w:bottom w:val="single" w:sz="4" w:space="0" w:color="BFBFBF"/>
              <w:right w:val="single" w:sz="4" w:space="0" w:color="auto"/>
            </w:tcBorders>
            <w:shd w:val="clear" w:color="auto" w:fill="auto"/>
            <w:noWrap/>
            <w:vAlign w:val="center"/>
          </w:tcPr>
          <w:p w14:paraId="2788D0DC"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w:t>
            </w:r>
          </w:p>
        </w:tc>
        <w:tc>
          <w:tcPr>
            <w:tcW w:w="767" w:type="dxa"/>
            <w:tcBorders>
              <w:top w:val="nil"/>
              <w:left w:val="single" w:sz="4" w:space="0" w:color="auto"/>
              <w:bottom w:val="single" w:sz="4" w:space="0" w:color="BFBFBF"/>
              <w:right w:val="single" w:sz="4" w:space="0" w:color="BFBFBF"/>
            </w:tcBorders>
            <w:shd w:val="clear" w:color="auto" w:fill="auto"/>
            <w:noWrap/>
            <w:vAlign w:val="center"/>
          </w:tcPr>
          <w:p w14:paraId="46C15A91"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w:t>
            </w:r>
          </w:p>
        </w:tc>
        <w:tc>
          <w:tcPr>
            <w:tcW w:w="767" w:type="dxa"/>
            <w:tcBorders>
              <w:top w:val="nil"/>
              <w:left w:val="nil"/>
              <w:bottom w:val="single" w:sz="4" w:space="0" w:color="BFBFBF"/>
              <w:right w:val="single" w:sz="4" w:space="0" w:color="BFBFBF"/>
            </w:tcBorders>
            <w:shd w:val="clear" w:color="auto" w:fill="auto"/>
            <w:noWrap/>
            <w:vAlign w:val="center"/>
          </w:tcPr>
          <w:p w14:paraId="02BC53EE"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p>
        </w:tc>
        <w:tc>
          <w:tcPr>
            <w:tcW w:w="767" w:type="dxa"/>
            <w:tcBorders>
              <w:top w:val="nil"/>
              <w:left w:val="nil"/>
              <w:bottom w:val="single" w:sz="4" w:space="0" w:color="BFBFBF"/>
              <w:right w:val="single" w:sz="4" w:space="0" w:color="auto"/>
            </w:tcBorders>
            <w:shd w:val="clear" w:color="auto" w:fill="auto"/>
            <w:noWrap/>
            <w:vAlign w:val="center"/>
          </w:tcPr>
          <w:p w14:paraId="0DEC907B"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w:t>
            </w:r>
          </w:p>
        </w:tc>
        <w:tc>
          <w:tcPr>
            <w:tcW w:w="774" w:type="dxa"/>
            <w:tcBorders>
              <w:top w:val="nil"/>
              <w:left w:val="single" w:sz="4" w:space="0" w:color="auto"/>
              <w:bottom w:val="single" w:sz="4" w:space="0" w:color="BFBFBF"/>
              <w:right w:val="single" w:sz="4" w:space="0" w:color="BFBFBF"/>
            </w:tcBorders>
            <w:shd w:val="clear" w:color="auto" w:fill="auto"/>
            <w:noWrap/>
            <w:vAlign w:val="center"/>
          </w:tcPr>
          <w:p w14:paraId="476F68F2"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w:t>
            </w:r>
          </w:p>
        </w:tc>
        <w:tc>
          <w:tcPr>
            <w:tcW w:w="773" w:type="dxa"/>
            <w:tcBorders>
              <w:top w:val="nil"/>
              <w:left w:val="nil"/>
              <w:bottom w:val="single" w:sz="4" w:space="0" w:color="BFBFBF"/>
              <w:right w:val="single" w:sz="4" w:space="0" w:color="BFBFBF"/>
            </w:tcBorders>
            <w:shd w:val="clear" w:color="auto" w:fill="auto"/>
            <w:noWrap/>
            <w:vAlign w:val="center"/>
          </w:tcPr>
          <w:p w14:paraId="1819E77B"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w:t>
            </w:r>
          </w:p>
        </w:tc>
        <w:tc>
          <w:tcPr>
            <w:tcW w:w="773" w:type="dxa"/>
            <w:tcBorders>
              <w:top w:val="nil"/>
              <w:left w:val="nil"/>
              <w:bottom w:val="single" w:sz="4" w:space="0" w:color="BFBFBF"/>
              <w:right w:val="double" w:sz="4" w:space="0" w:color="000000" w:themeColor="text1"/>
            </w:tcBorders>
            <w:shd w:val="clear" w:color="auto" w:fill="auto"/>
            <w:noWrap/>
            <w:vAlign w:val="center"/>
          </w:tcPr>
          <w:p w14:paraId="34D20BD0"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w:t>
            </w:r>
          </w:p>
        </w:tc>
      </w:tr>
      <w:tr w:rsidR="00663AD2" w:rsidRPr="006A62C9" w14:paraId="2CAEF875" w14:textId="77777777" w:rsidTr="00D92C64">
        <w:trPr>
          <w:trHeight w:val="283"/>
          <w:jc w:val="center"/>
        </w:trPr>
        <w:tc>
          <w:tcPr>
            <w:tcW w:w="2599" w:type="dxa"/>
            <w:tcBorders>
              <w:top w:val="nil"/>
              <w:left w:val="double" w:sz="4" w:space="0" w:color="000000" w:themeColor="text1"/>
              <w:bottom w:val="double" w:sz="4" w:space="0" w:color="000000" w:themeColor="text1"/>
              <w:right w:val="single" w:sz="4" w:space="0" w:color="auto"/>
            </w:tcBorders>
            <w:shd w:val="clear" w:color="auto" w:fill="auto"/>
            <w:noWrap/>
            <w:vAlign w:val="center"/>
          </w:tcPr>
          <w:p w14:paraId="401BB509" w14:textId="77777777" w:rsidR="00663AD2" w:rsidRPr="006A62C9" w:rsidRDefault="00663AD2" w:rsidP="00663AD2">
            <w:pPr>
              <w:spacing w:before="0" w:after="0"/>
              <w:rPr>
                <w:rFonts w:ascii="Arial" w:hAnsi="Arial" w:cs="Arial"/>
                <w:color w:val="000000"/>
                <w:sz w:val="16"/>
                <w:szCs w:val="16"/>
                <w:lang w:val="en-AU" w:eastAsia="en-AU"/>
              </w:rPr>
            </w:pPr>
            <w:r w:rsidRPr="006A62C9">
              <w:rPr>
                <w:rFonts w:ascii="Arial" w:hAnsi="Arial" w:cs="Arial"/>
                <w:color w:val="000000"/>
                <w:sz w:val="16"/>
                <w:szCs w:val="16"/>
                <w:lang w:val="en-AU" w:eastAsia="en-AU"/>
              </w:rPr>
              <w:t>Can't say</w:t>
            </w:r>
          </w:p>
        </w:tc>
        <w:tc>
          <w:tcPr>
            <w:tcW w:w="726" w:type="dxa"/>
            <w:tcBorders>
              <w:top w:val="single" w:sz="4" w:space="0" w:color="BFBFBF"/>
              <w:left w:val="single" w:sz="4" w:space="0" w:color="auto"/>
              <w:bottom w:val="double" w:sz="4" w:space="0" w:color="000000" w:themeColor="text1"/>
              <w:right w:val="single" w:sz="4" w:space="0" w:color="BFBFBF"/>
            </w:tcBorders>
            <w:shd w:val="clear" w:color="auto" w:fill="auto"/>
            <w:noWrap/>
            <w:vAlign w:val="center"/>
          </w:tcPr>
          <w:p w14:paraId="01FCE1D5"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5%</w:t>
            </w:r>
          </w:p>
        </w:tc>
        <w:tc>
          <w:tcPr>
            <w:tcW w:w="727" w:type="dxa"/>
            <w:tcBorders>
              <w:top w:val="single" w:sz="4" w:space="0" w:color="BFBFBF"/>
              <w:left w:val="nil"/>
              <w:bottom w:val="double" w:sz="4" w:space="0" w:color="000000" w:themeColor="text1"/>
              <w:right w:val="single" w:sz="4" w:space="0" w:color="BFBFBF"/>
            </w:tcBorders>
            <w:shd w:val="clear" w:color="auto" w:fill="auto"/>
            <w:noWrap/>
            <w:vAlign w:val="center"/>
          </w:tcPr>
          <w:p w14:paraId="5D704766"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1%</w:t>
            </w:r>
          </w:p>
        </w:tc>
        <w:tc>
          <w:tcPr>
            <w:tcW w:w="727" w:type="dxa"/>
            <w:tcBorders>
              <w:top w:val="single" w:sz="4" w:space="0" w:color="BFBFBF"/>
              <w:left w:val="nil"/>
              <w:bottom w:val="double" w:sz="4" w:space="0" w:color="000000" w:themeColor="text1"/>
              <w:right w:val="single" w:sz="4" w:space="0" w:color="auto"/>
            </w:tcBorders>
            <w:shd w:val="clear" w:color="auto" w:fill="auto"/>
            <w:noWrap/>
            <w:vAlign w:val="center"/>
          </w:tcPr>
          <w:p w14:paraId="376FF58A"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3%</w:t>
            </w:r>
          </w:p>
        </w:tc>
        <w:tc>
          <w:tcPr>
            <w:tcW w:w="800" w:type="dxa"/>
            <w:tcBorders>
              <w:top w:val="nil"/>
              <w:left w:val="single" w:sz="4" w:space="0" w:color="auto"/>
              <w:bottom w:val="double" w:sz="4" w:space="0" w:color="000000" w:themeColor="text1"/>
              <w:right w:val="single" w:sz="4" w:space="0" w:color="BFBFBF"/>
            </w:tcBorders>
            <w:shd w:val="clear" w:color="auto" w:fill="auto"/>
            <w:noWrap/>
            <w:vAlign w:val="center"/>
          </w:tcPr>
          <w:p w14:paraId="5D2B85AC"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8%</w:t>
            </w:r>
          </w:p>
        </w:tc>
        <w:tc>
          <w:tcPr>
            <w:tcW w:w="800" w:type="dxa"/>
            <w:tcBorders>
              <w:top w:val="nil"/>
              <w:left w:val="nil"/>
              <w:bottom w:val="double" w:sz="4" w:space="0" w:color="000000" w:themeColor="text1"/>
              <w:right w:val="single" w:sz="4" w:space="0" w:color="BFBFBF"/>
            </w:tcBorders>
            <w:shd w:val="clear" w:color="auto" w:fill="auto"/>
            <w:noWrap/>
            <w:vAlign w:val="center"/>
          </w:tcPr>
          <w:p w14:paraId="69B40FD1"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4%</w:t>
            </w:r>
          </w:p>
        </w:tc>
        <w:tc>
          <w:tcPr>
            <w:tcW w:w="800" w:type="dxa"/>
            <w:tcBorders>
              <w:top w:val="nil"/>
              <w:left w:val="nil"/>
              <w:bottom w:val="double" w:sz="4" w:space="0" w:color="000000" w:themeColor="text1"/>
              <w:right w:val="single" w:sz="4" w:space="0" w:color="auto"/>
            </w:tcBorders>
            <w:shd w:val="clear" w:color="auto" w:fill="auto"/>
            <w:noWrap/>
            <w:vAlign w:val="center"/>
          </w:tcPr>
          <w:p w14:paraId="3BCFBA30"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p>
        </w:tc>
        <w:tc>
          <w:tcPr>
            <w:tcW w:w="800" w:type="dxa"/>
            <w:tcBorders>
              <w:top w:val="nil"/>
              <w:left w:val="single" w:sz="4" w:space="0" w:color="auto"/>
              <w:bottom w:val="double" w:sz="4" w:space="0" w:color="000000" w:themeColor="text1"/>
              <w:right w:val="single" w:sz="4" w:space="0" w:color="BFBFBF"/>
            </w:tcBorders>
            <w:shd w:val="clear" w:color="auto" w:fill="auto"/>
            <w:noWrap/>
            <w:vAlign w:val="center"/>
          </w:tcPr>
          <w:p w14:paraId="2B26A78B"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7%</w:t>
            </w:r>
          </w:p>
        </w:tc>
        <w:tc>
          <w:tcPr>
            <w:tcW w:w="800" w:type="dxa"/>
            <w:tcBorders>
              <w:top w:val="nil"/>
              <w:left w:val="nil"/>
              <w:bottom w:val="double" w:sz="4" w:space="0" w:color="000000" w:themeColor="text1"/>
              <w:right w:val="single" w:sz="4" w:space="0" w:color="BFBFBF"/>
            </w:tcBorders>
            <w:shd w:val="clear" w:color="auto" w:fill="auto"/>
            <w:noWrap/>
            <w:vAlign w:val="center"/>
          </w:tcPr>
          <w:p w14:paraId="04F64CC0"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3%</w:t>
            </w:r>
          </w:p>
        </w:tc>
        <w:tc>
          <w:tcPr>
            <w:tcW w:w="800" w:type="dxa"/>
            <w:tcBorders>
              <w:top w:val="nil"/>
              <w:left w:val="nil"/>
              <w:bottom w:val="double" w:sz="4" w:space="0" w:color="000000" w:themeColor="text1"/>
              <w:right w:val="single" w:sz="4" w:space="0" w:color="auto"/>
            </w:tcBorders>
            <w:shd w:val="clear" w:color="auto" w:fill="auto"/>
            <w:noWrap/>
            <w:vAlign w:val="center"/>
          </w:tcPr>
          <w:p w14:paraId="77EB1FA3"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p>
        </w:tc>
        <w:tc>
          <w:tcPr>
            <w:tcW w:w="767" w:type="dxa"/>
            <w:tcBorders>
              <w:top w:val="nil"/>
              <w:left w:val="single" w:sz="4" w:space="0" w:color="auto"/>
              <w:bottom w:val="double" w:sz="4" w:space="0" w:color="000000" w:themeColor="text1"/>
              <w:right w:val="single" w:sz="4" w:space="0" w:color="BFBFBF"/>
            </w:tcBorders>
            <w:shd w:val="clear" w:color="auto" w:fill="auto"/>
            <w:noWrap/>
            <w:vAlign w:val="center"/>
          </w:tcPr>
          <w:p w14:paraId="1229B1C5"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3%</w:t>
            </w:r>
          </w:p>
        </w:tc>
        <w:tc>
          <w:tcPr>
            <w:tcW w:w="767" w:type="dxa"/>
            <w:tcBorders>
              <w:top w:val="nil"/>
              <w:left w:val="nil"/>
              <w:bottom w:val="double" w:sz="4" w:space="0" w:color="000000" w:themeColor="text1"/>
              <w:right w:val="single" w:sz="4" w:space="0" w:color="BFBFBF"/>
            </w:tcBorders>
            <w:shd w:val="clear" w:color="auto" w:fill="auto"/>
            <w:noWrap/>
            <w:vAlign w:val="center"/>
          </w:tcPr>
          <w:p w14:paraId="6495884A"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p>
        </w:tc>
        <w:tc>
          <w:tcPr>
            <w:tcW w:w="767" w:type="dxa"/>
            <w:tcBorders>
              <w:top w:val="nil"/>
              <w:left w:val="nil"/>
              <w:bottom w:val="double" w:sz="4" w:space="0" w:color="000000" w:themeColor="text1"/>
              <w:right w:val="single" w:sz="4" w:space="0" w:color="auto"/>
            </w:tcBorders>
            <w:shd w:val="clear" w:color="auto" w:fill="auto"/>
            <w:noWrap/>
            <w:vAlign w:val="center"/>
          </w:tcPr>
          <w:p w14:paraId="579A61C9"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p>
        </w:tc>
        <w:tc>
          <w:tcPr>
            <w:tcW w:w="774" w:type="dxa"/>
            <w:tcBorders>
              <w:top w:val="nil"/>
              <w:left w:val="single" w:sz="4" w:space="0" w:color="auto"/>
              <w:bottom w:val="double" w:sz="4" w:space="0" w:color="000000" w:themeColor="text1"/>
              <w:right w:val="single" w:sz="4" w:space="0" w:color="BFBFBF"/>
            </w:tcBorders>
            <w:shd w:val="clear" w:color="auto" w:fill="auto"/>
            <w:noWrap/>
            <w:vAlign w:val="center"/>
          </w:tcPr>
          <w:p w14:paraId="58A6533B" w14:textId="77777777" w:rsidR="00663AD2" w:rsidRPr="006A62C9" w:rsidRDefault="006A62C9"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4</w:t>
            </w:r>
            <w:r w:rsidR="00663AD2" w:rsidRPr="006A62C9">
              <w:rPr>
                <w:rFonts w:ascii="Arial" w:hAnsi="Arial" w:cs="Arial"/>
                <w:color w:val="000000"/>
                <w:sz w:val="16"/>
                <w:szCs w:val="16"/>
                <w:lang w:val="en-AU" w:eastAsia="en-AU"/>
              </w:rPr>
              <w:t>%</w:t>
            </w:r>
          </w:p>
        </w:tc>
        <w:tc>
          <w:tcPr>
            <w:tcW w:w="773" w:type="dxa"/>
            <w:tcBorders>
              <w:top w:val="nil"/>
              <w:left w:val="nil"/>
              <w:bottom w:val="double" w:sz="4" w:space="0" w:color="000000" w:themeColor="text1"/>
              <w:right w:val="single" w:sz="4" w:space="0" w:color="BFBFBF"/>
            </w:tcBorders>
            <w:shd w:val="clear" w:color="auto" w:fill="auto"/>
            <w:noWrap/>
            <w:vAlign w:val="center"/>
          </w:tcPr>
          <w:p w14:paraId="7FD3D7E5"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p>
        </w:tc>
        <w:tc>
          <w:tcPr>
            <w:tcW w:w="773" w:type="dxa"/>
            <w:tcBorders>
              <w:top w:val="nil"/>
              <w:left w:val="nil"/>
              <w:bottom w:val="double" w:sz="4" w:space="0" w:color="000000" w:themeColor="text1"/>
              <w:right w:val="double" w:sz="4" w:space="0" w:color="000000" w:themeColor="text1"/>
            </w:tcBorders>
            <w:shd w:val="clear" w:color="auto" w:fill="auto"/>
            <w:noWrap/>
            <w:vAlign w:val="center"/>
          </w:tcPr>
          <w:p w14:paraId="7D0E67BF" w14:textId="77777777" w:rsidR="00663AD2" w:rsidRPr="006A62C9" w:rsidRDefault="00663AD2" w:rsidP="0067791B">
            <w:pPr>
              <w:spacing w:before="0" w:after="0"/>
              <w:jc w:val="center"/>
              <w:rPr>
                <w:rFonts w:ascii="Arial" w:hAnsi="Arial" w:cs="Arial"/>
                <w:color w:val="000000"/>
                <w:sz w:val="16"/>
                <w:szCs w:val="16"/>
                <w:lang w:val="en-AU" w:eastAsia="en-AU"/>
              </w:rPr>
            </w:pPr>
            <w:r w:rsidRPr="006A62C9">
              <w:rPr>
                <w:rFonts w:ascii="Arial" w:hAnsi="Arial" w:cs="Arial"/>
                <w:color w:val="000000"/>
                <w:sz w:val="16"/>
                <w:szCs w:val="16"/>
                <w:lang w:val="en-AU" w:eastAsia="en-AU"/>
              </w:rPr>
              <w:t>2%</w:t>
            </w:r>
          </w:p>
        </w:tc>
      </w:tr>
    </w:tbl>
    <w:p w14:paraId="4F7E73E6" w14:textId="77777777" w:rsidR="00CA417A" w:rsidRPr="006A62C9" w:rsidRDefault="00CA417A" w:rsidP="00474260">
      <w:pPr>
        <w:pStyle w:val="Para"/>
        <w:spacing w:line="200" w:lineRule="exact"/>
        <w:ind w:left="-425"/>
        <w:rPr>
          <w:sz w:val="20"/>
          <w:lang w:val="en-AU"/>
        </w:rPr>
      </w:pPr>
    </w:p>
    <w:p w14:paraId="41311EC3" w14:textId="77777777" w:rsidR="00CA417A" w:rsidRPr="006A62C9" w:rsidRDefault="00CA417A" w:rsidP="00DB3EA3">
      <w:pPr>
        <w:pStyle w:val="Para"/>
        <w:spacing w:line="200" w:lineRule="exact"/>
        <w:ind w:left="720"/>
        <w:rPr>
          <w:sz w:val="20"/>
          <w:lang w:val="en-AU"/>
        </w:rPr>
      </w:pPr>
      <w:r w:rsidRPr="006A62C9">
        <w:rPr>
          <w:sz w:val="20"/>
          <w:lang w:val="en-AU"/>
        </w:rPr>
        <w:t>Base: Total respondents who received a water bill, 2014 (n=1,683); 2007 (n=1,897); 2001 (n=1,817)</w:t>
      </w:r>
    </w:p>
    <w:p w14:paraId="14760160" w14:textId="77777777" w:rsidR="00C76F63" w:rsidRPr="006A62C9" w:rsidRDefault="00C76F63" w:rsidP="00DB3EA3">
      <w:pPr>
        <w:pStyle w:val="Para"/>
        <w:spacing w:line="200" w:lineRule="exact"/>
        <w:ind w:left="720"/>
        <w:rPr>
          <w:sz w:val="20"/>
          <w:lang w:val="en-AU"/>
        </w:rPr>
      </w:pPr>
    </w:p>
    <w:p w14:paraId="0E1F6DE2" w14:textId="77777777" w:rsidR="00474260" w:rsidRPr="006A62C9" w:rsidRDefault="00474260" w:rsidP="00DB3EA3">
      <w:pPr>
        <w:pStyle w:val="Para"/>
        <w:spacing w:line="200" w:lineRule="exact"/>
        <w:ind w:left="720"/>
        <w:rPr>
          <w:sz w:val="20"/>
          <w:lang w:val="en-AU"/>
        </w:rPr>
      </w:pPr>
      <w:r w:rsidRPr="006A62C9">
        <w:rPr>
          <w:sz w:val="20"/>
          <w:lang w:val="en-AU"/>
        </w:rPr>
        <w:t>1. Other concession households tend to have high proportions of renting households (4</w:t>
      </w:r>
      <w:r w:rsidR="006A62C9">
        <w:rPr>
          <w:sz w:val="20"/>
          <w:lang w:val="en-AU"/>
        </w:rPr>
        <w:t>3</w:t>
      </w:r>
      <w:r w:rsidRPr="006A62C9">
        <w:rPr>
          <w:sz w:val="20"/>
          <w:lang w:val="en-AU"/>
        </w:rPr>
        <w:t>% in 20</w:t>
      </w:r>
      <w:r w:rsidR="003E583F" w:rsidRPr="006A62C9">
        <w:rPr>
          <w:sz w:val="20"/>
          <w:lang w:val="en-AU"/>
        </w:rPr>
        <w:t>14</w:t>
      </w:r>
      <w:r w:rsidRPr="006A62C9">
        <w:rPr>
          <w:sz w:val="20"/>
          <w:lang w:val="en-AU"/>
        </w:rPr>
        <w:t xml:space="preserve">), </w:t>
      </w:r>
      <w:r w:rsidR="00501B41" w:rsidRPr="006A62C9">
        <w:rPr>
          <w:sz w:val="20"/>
          <w:lang w:val="en-AU"/>
        </w:rPr>
        <w:t>which should not receive water bills with fixed service charges included.  Therefore,</w:t>
      </w:r>
      <w:r w:rsidR="00CA417A" w:rsidRPr="006A62C9">
        <w:rPr>
          <w:sz w:val="20"/>
          <w:lang w:val="en-AU"/>
        </w:rPr>
        <w:t xml:space="preserve"> it </w:t>
      </w:r>
      <w:r w:rsidR="00501B41" w:rsidRPr="006A62C9">
        <w:rPr>
          <w:sz w:val="20"/>
          <w:lang w:val="en-AU"/>
        </w:rPr>
        <w:t>should be noted that some mis-reporting by respondents may be occurring in relation to this question.</w:t>
      </w:r>
    </w:p>
    <w:p w14:paraId="66C73ECE" w14:textId="77777777" w:rsidR="00E02C75" w:rsidRPr="00E15E11" w:rsidRDefault="00F60232" w:rsidP="00DB3EA3">
      <w:pPr>
        <w:pStyle w:val="Para"/>
        <w:spacing w:line="240" w:lineRule="auto"/>
        <w:jc w:val="center"/>
        <w:outlineLvl w:val="0"/>
        <w:rPr>
          <w:b/>
          <w:u w:val="single"/>
          <w:lang w:val="en-AU"/>
        </w:rPr>
      </w:pPr>
      <w:r w:rsidRPr="003835AE">
        <w:rPr>
          <w:b/>
          <w:highlight w:val="yellow"/>
          <w:lang w:val="en-AU"/>
        </w:rPr>
        <w:br w:type="page"/>
      </w:r>
      <w:r w:rsidR="00E02C75" w:rsidRPr="00E15E11">
        <w:rPr>
          <w:b/>
          <w:lang w:val="en-AU"/>
        </w:rPr>
        <w:lastRenderedPageBreak/>
        <w:t xml:space="preserve">Table </w:t>
      </w:r>
      <w:r w:rsidR="00CA417A" w:rsidRPr="00E15E11">
        <w:rPr>
          <w:b/>
          <w:lang w:val="en-AU"/>
        </w:rPr>
        <w:t>5.1.2</w:t>
      </w:r>
      <w:r w:rsidR="00E02C75" w:rsidRPr="00E15E11">
        <w:rPr>
          <w:b/>
          <w:lang w:val="en-AU"/>
        </w:rPr>
        <w:t xml:space="preserve">.2: </w:t>
      </w:r>
      <w:r w:rsidR="00E02C75" w:rsidRPr="00E15E11">
        <w:rPr>
          <w:b/>
          <w:u w:val="single"/>
          <w:lang w:val="en-AU"/>
        </w:rPr>
        <w:t>Type of Water Bill</w:t>
      </w:r>
      <w:r w:rsidR="00D77F68" w:rsidRPr="00E15E11">
        <w:rPr>
          <w:b/>
          <w:u w:val="single"/>
          <w:lang w:val="en-AU"/>
        </w:rPr>
        <w:t xml:space="preserve"> Claimed </w:t>
      </w:r>
      <w:r w:rsidR="00E02C75" w:rsidRPr="00E15E11">
        <w:rPr>
          <w:b/>
          <w:u w:val="single"/>
          <w:lang w:val="en-AU"/>
        </w:rPr>
        <w:t>Received by Housing Type</w:t>
      </w:r>
    </w:p>
    <w:p w14:paraId="04C15E86" w14:textId="77777777" w:rsidR="00E02C75" w:rsidRPr="00E15E11" w:rsidRDefault="00E02C75" w:rsidP="00E02C75">
      <w:pPr>
        <w:pStyle w:val="Para"/>
        <w:spacing w:line="240" w:lineRule="auto"/>
        <w:rPr>
          <w:sz w:val="16"/>
          <w:lang w:val="en-AU"/>
        </w:rPr>
      </w:pPr>
    </w:p>
    <w:tbl>
      <w:tblPr>
        <w:tblW w:w="12720" w:type="dxa"/>
        <w:jc w:val="center"/>
        <w:tblLook w:val="04A0" w:firstRow="1" w:lastRow="0" w:firstColumn="1" w:lastColumn="0" w:noHBand="0" w:noVBand="1"/>
      </w:tblPr>
      <w:tblGrid>
        <w:gridCol w:w="2600"/>
        <w:gridCol w:w="594"/>
        <w:gridCol w:w="593"/>
        <w:gridCol w:w="593"/>
        <w:gridCol w:w="626"/>
        <w:gridCol w:w="626"/>
        <w:gridCol w:w="626"/>
        <w:gridCol w:w="594"/>
        <w:gridCol w:w="593"/>
        <w:gridCol w:w="593"/>
        <w:gridCol w:w="572"/>
        <w:gridCol w:w="572"/>
        <w:gridCol w:w="572"/>
        <w:gridCol w:w="572"/>
        <w:gridCol w:w="626"/>
        <w:gridCol w:w="572"/>
        <w:gridCol w:w="572"/>
        <w:gridCol w:w="572"/>
        <w:gridCol w:w="572"/>
      </w:tblGrid>
      <w:tr w:rsidR="00CA417A" w:rsidRPr="00E15E11" w14:paraId="2E747EAC" w14:textId="77777777" w:rsidTr="00DB3EA3">
        <w:trPr>
          <w:trHeight w:val="540"/>
          <w:jc w:val="center"/>
        </w:trPr>
        <w:tc>
          <w:tcPr>
            <w:tcW w:w="2600" w:type="dxa"/>
            <w:vMerge w:val="restart"/>
            <w:tcBorders>
              <w:top w:val="double" w:sz="6" w:space="0" w:color="auto"/>
              <w:left w:val="double" w:sz="6" w:space="0" w:color="auto"/>
              <w:bottom w:val="single" w:sz="4" w:space="0" w:color="BFBFBF"/>
              <w:right w:val="single" w:sz="4" w:space="0" w:color="BFBFBF"/>
            </w:tcBorders>
            <w:shd w:val="clear" w:color="auto" w:fill="auto"/>
            <w:noWrap/>
            <w:vAlign w:val="center"/>
          </w:tcPr>
          <w:p w14:paraId="0953ED8F" w14:textId="77777777" w:rsidR="00CA417A" w:rsidRPr="00E15E11" w:rsidRDefault="00CA417A" w:rsidP="00CA417A">
            <w:pPr>
              <w:spacing w:before="0" w:after="0"/>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Claimed Type of Water Bill</w:t>
            </w:r>
          </w:p>
        </w:tc>
        <w:tc>
          <w:tcPr>
            <w:tcW w:w="1780" w:type="dxa"/>
            <w:gridSpan w:val="3"/>
            <w:tcBorders>
              <w:top w:val="double" w:sz="6" w:space="0" w:color="auto"/>
              <w:left w:val="nil"/>
              <w:bottom w:val="single" w:sz="4" w:space="0" w:color="BFBFBF"/>
              <w:right w:val="single" w:sz="4" w:space="0" w:color="BFBFBF"/>
            </w:tcBorders>
            <w:shd w:val="clear" w:color="auto" w:fill="auto"/>
            <w:noWrap/>
            <w:vAlign w:val="center"/>
          </w:tcPr>
          <w:p w14:paraId="73CD473C" w14:textId="77777777" w:rsidR="00CA417A" w:rsidRPr="00E15E11" w:rsidRDefault="00CA417A" w:rsidP="00CA417A">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Separate House</w:t>
            </w:r>
          </w:p>
        </w:tc>
        <w:tc>
          <w:tcPr>
            <w:tcW w:w="1760" w:type="dxa"/>
            <w:gridSpan w:val="3"/>
            <w:tcBorders>
              <w:top w:val="double" w:sz="6" w:space="0" w:color="auto"/>
              <w:left w:val="nil"/>
              <w:bottom w:val="single" w:sz="4" w:space="0" w:color="BFBFBF"/>
              <w:right w:val="single" w:sz="4" w:space="0" w:color="BFBFBF"/>
            </w:tcBorders>
            <w:shd w:val="clear" w:color="auto" w:fill="auto"/>
            <w:vAlign w:val="center"/>
          </w:tcPr>
          <w:p w14:paraId="2532C328" w14:textId="77777777" w:rsidR="00CA417A" w:rsidRPr="00E15E11" w:rsidRDefault="00CA417A" w:rsidP="00CA417A">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Dwelling / Non- dwelling combined</w:t>
            </w:r>
            <w:r w:rsidRPr="00E15E11">
              <w:rPr>
                <w:rFonts w:ascii="Arial" w:hAnsi="Arial" w:cs="Arial"/>
                <w:b/>
                <w:bCs/>
                <w:color w:val="000000"/>
                <w:sz w:val="16"/>
                <w:szCs w:val="16"/>
                <w:vertAlign w:val="superscript"/>
                <w:lang w:val="en-AU" w:eastAsia="en-AU"/>
              </w:rPr>
              <w:t>1</w:t>
            </w:r>
          </w:p>
        </w:tc>
        <w:tc>
          <w:tcPr>
            <w:tcW w:w="1780" w:type="dxa"/>
            <w:gridSpan w:val="3"/>
            <w:tcBorders>
              <w:top w:val="double" w:sz="6" w:space="0" w:color="auto"/>
              <w:left w:val="nil"/>
              <w:bottom w:val="single" w:sz="4" w:space="0" w:color="BFBFBF"/>
              <w:right w:val="single" w:sz="4" w:space="0" w:color="BFBFBF"/>
            </w:tcBorders>
            <w:shd w:val="clear" w:color="auto" w:fill="auto"/>
            <w:noWrap/>
            <w:vAlign w:val="center"/>
          </w:tcPr>
          <w:p w14:paraId="2775A0D6" w14:textId="77777777" w:rsidR="00CA417A" w:rsidRPr="00E15E11" w:rsidRDefault="00CA417A" w:rsidP="00CA417A">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Semi Detached</w:t>
            </w:r>
          </w:p>
        </w:tc>
        <w:tc>
          <w:tcPr>
            <w:tcW w:w="1620" w:type="dxa"/>
            <w:gridSpan w:val="3"/>
            <w:tcBorders>
              <w:top w:val="double" w:sz="6" w:space="0" w:color="auto"/>
              <w:left w:val="nil"/>
              <w:bottom w:val="single" w:sz="4" w:space="0" w:color="BFBFBF"/>
              <w:right w:val="single" w:sz="4" w:space="0" w:color="BFBFBF"/>
            </w:tcBorders>
            <w:shd w:val="clear" w:color="auto" w:fill="auto"/>
            <w:noWrap/>
            <w:vAlign w:val="center"/>
          </w:tcPr>
          <w:p w14:paraId="66A7FA45" w14:textId="77777777" w:rsidR="00CA417A" w:rsidRPr="00E15E11" w:rsidRDefault="00CA417A" w:rsidP="00CA417A">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Low Rise Flats</w:t>
            </w:r>
          </w:p>
        </w:tc>
        <w:tc>
          <w:tcPr>
            <w:tcW w:w="1520" w:type="dxa"/>
            <w:gridSpan w:val="3"/>
            <w:tcBorders>
              <w:top w:val="double" w:sz="6" w:space="0" w:color="auto"/>
              <w:left w:val="nil"/>
              <w:bottom w:val="single" w:sz="4" w:space="0" w:color="BFBFBF"/>
              <w:right w:val="single" w:sz="4" w:space="0" w:color="BFBFBF"/>
            </w:tcBorders>
            <w:shd w:val="clear" w:color="auto" w:fill="auto"/>
            <w:noWrap/>
            <w:vAlign w:val="center"/>
          </w:tcPr>
          <w:p w14:paraId="553922AD" w14:textId="77777777" w:rsidR="00CA417A" w:rsidRPr="00E15E11" w:rsidRDefault="00CA417A" w:rsidP="00CA417A">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High Rise Flats</w:t>
            </w:r>
            <w:r w:rsidRPr="00E15E11">
              <w:rPr>
                <w:rFonts w:ascii="Arial" w:hAnsi="Arial" w:cs="Arial"/>
                <w:b/>
                <w:bCs/>
                <w:color w:val="000000"/>
                <w:sz w:val="16"/>
                <w:szCs w:val="16"/>
                <w:vertAlign w:val="superscript"/>
                <w:lang w:val="en-AU" w:eastAsia="en-AU"/>
              </w:rPr>
              <w:t>1</w:t>
            </w:r>
          </w:p>
        </w:tc>
        <w:tc>
          <w:tcPr>
            <w:tcW w:w="1660" w:type="dxa"/>
            <w:gridSpan w:val="3"/>
            <w:tcBorders>
              <w:top w:val="double" w:sz="6" w:space="0" w:color="auto"/>
              <w:left w:val="nil"/>
              <w:bottom w:val="single" w:sz="4" w:space="0" w:color="BFBFBF"/>
              <w:right w:val="double" w:sz="6" w:space="0" w:color="000000"/>
            </w:tcBorders>
            <w:shd w:val="clear" w:color="auto" w:fill="auto"/>
            <w:noWrap/>
            <w:vAlign w:val="center"/>
          </w:tcPr>
          <w:p w14:paraId="0BF4191F" w14:textId="77777777" w:rsidR="00CA417A" w:rsidRPr="00E15E11" w:rsidRDefault="00CA417A" w:rsidP="00CA417A">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Total HHs</w:t>
            </w:r>
          </w:p>
        </w:tc>
      </w:tr>
      <w:tr w:rsidR="00CA417A" w:rsidRPr="00E15E11" w14:paraId="16314F90" w14:textId="77777777" w:rsidTr="0067791B">
        <w:trPr>
          <w:trHeight w:val="225"/>
          <w:jc w:val="center"/>
        </w:trPr>
        <w:tc>
          <w:tcPr>
            <w:tcW w:w="2600" w:type="dxa"/>
            <w:vMerge/>
            <w:tcBorders>
              <w:top w:val="double" w:sz="6" w:space="0" w:color="auto"/>
              <w:left w:val="double" w:sz="6" w:space="0" w:color="auto"/>
              <w:bottom w:val="single" w:sz="4" w:space="0" w:color="BFBFBF"/>
              <w:right w:val="single" w:sz="4" w:space="0" w:color="BFBFBF"/>
            </w:tcBorders>
            <w:vAlign w:val="center"/>
          </w:tcPr>
          <w:p w14:paraId="462C601B" w14:textId="77777777" w:rsidR="00CA417A" w:rsidRPr="00E15E11" w:rsidRDefault="00CA417A" w:rsidP="00CA417A">
            <w:pPr>
              <w:spacing w:before="0" w:after="0"/>
              <w:rPr>
                <w:rFonts w:ascii="Arial" w:hAnsi="Arial" w:cs="Arial"/>
                <w:b/>
                <w:bCs/>
                <w:color w:val="000000"/>
                <w:sz w:val="16"/>
                <w:szCs w:val="16"/>
                <w:lang w:val="en-AU" w:eastAsia="en-AU"/>
              </w:rPr>
            </w:pPr>
          </w:p>
        </w:tc>
        <w:tc>
          <w:tcPr>
            <w:tcW w:w="594" w:type="dxa"/>
            <w:tcBorders>
              <w:top w:val="nil"/>
              <w:left w:val="nil"/>
              <w:bottom w:val="single" w:sz="4" w:space="0" w:color="BFBFBF"/>
              <w:right w:val="single" w:sz="4" w:space="0" w:color="BFBFBF"/>
            </w:tcBorders>
            <w:shd w:val="clear" w:color="auto" w:fill="auto"/>
            <w:noWrap/>
            <w:vAlign w:val="center"/>
          </w:tcPr>
          <w:p w14:paraId="2F6FBA8F"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2014</w:t>
            </w:r>
          </w:p>
        </w:tc>
        <w:tc>
          <w:tcPr>
            <w:tcW w:w="593" w:type="dxa"/>
            <w:tcBorders>
              <w:top w:val="nil"/>
              <w:left w:val="nil"/>
              <w:bottom w:val="single" w:sz="4" w:space="0" w:color="BFBFBF"/>
              <w:right w:val="single" w:sz="4" w:space="0" w:color="BFBFBF"/>
            </w:tcBorders>
            <w:shd w:val="clear" w:color="auto" w:fill="auto"/>
            <w:noWrap/>
            <w:vAlign w:val="center"/>
          </w:tcPr>
          <w:p w14:paraId="6C54D61D"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2007</w:t>
            </w:r>
          </w:p>
        </w:tc>
        <w:tc>
          <w:tcPr>
            <w:tcW w:w="593" w:type="dxa"/>
            <w:tcBorders>
              <w:top w:val="nil"/>
              <w:left w:val="nil"/>
              <w:bottom w:val="single" w:sz="4" w:space="0" w:color="BFBFBF"/>
              <w:right w:val="single" w:sz="4" w:space="0" w:color="BFBFBF"/>
            </w:tcBorders>
            <w:shd w:val="clear" w:color="auto" w:fill="auto"/>
            <w:noWrap/>
            <w:vAlign w:val="center"/>
          </w:tcPr>
          <w:p w14:paraId="0DA71265"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2001</w:t>
            </w:r>
          </w:p>
        </w:tc>
        <w:tc>
          <w:tcPr>
            <w:tcW w:w="586" w:type="dxa"/>
            <w:tcBorders>
              <w:top w:val="nil"/>
              <w:left w:val="nil"/>
              <w:bottom w:val="single" w:sz="4" w:space="0" w:color="BFBFBF"/>
              <w:right w:val="single" w:sz="4" w:space="0" w:color="BFBFBF"/>
            </w:tcBorders>
            <w:shd w:val="clear" w:color="auto" w:fill="auto"/>
            <w:noWrap/>
            <w:vAlign w:val="center"/>
          </w:tcPr>
          <w:p w14:paraId="5D7969E8"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2014</w:t>
            </w:r>
          </w:p>
        </w:tc>
        <w:tc>
          <w:tcPr>
            <w:tcW w:w="587" w:type="dxa"/>
            <w:tcBorders>
              <w:top w:val="nil"/>
              <w:left w:val="nil"/>
              <w:bottom w:val="single" w:sz="4" w:space="0" w:color="BFBFBF"/>
              <w:right w:val="single" w:sz="4" w:space="0" w:color="BFBFBF"/>
            </w:tcBorders>
            <w:shd w:val="clear" w:color="auto" w:fill="auto"/>
            <w:noWrap/>
            <w:vAlign w:val="center"/>
          </w:tcPr>
          <w:p w14:paraId="15E0D27C"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2007</w:t>
            </w:r>
          </w:p>
        </w:tc>
        <w:tc>
          <w:tcPr>
            <w:tcW w:w="587" w:type="dxa"/>
            <w:tcBorders>
              <w:top w:val="nil"/>
              <w:left w:val="nil"/>
              <w:bottom w:val="single" w:sz="4" w:space="0" w:color="BFBFBF"/>
              <w:right w:val="single" w:sz="4" w:space="0" w:color="BFBFBF"/>
            </w:tcBorders>
            <w:shd w:val="clear" w:color="auto" w:fill="auto"/>
            <w:noWrap/>
            <w:vAlign w:val="center"/>
          </w:tcPr>
          <w:p w14:paraId="6CF7936B"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2001</w:t>
            </w:r>
          </w:p>
        </w:tc>
        <w:tc>
          <w:tcPr>
            <w:tcW w:w="594" w:type="dxa"/>
            <w:tcBorders>
              <w:top w:val="nil"/>
              <w:left w:val="nil"/>
              <w:bottom w:val="single" w:sz="4" w:space="0" w:color="BFBFBF"/>
              <w:right w:val="single" w:sz="4" w:space="0" w:color="BFBFBF"/>
            </w:tcBorders>
            <w:shd w:val="clear" w:color="auto" w:fill="auto"/>
            <w:noWrap/>
            <w:vAlign w:val="center"/>
          </w:tcPr>
          <w:p w14:paraId="70DF6ECC"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2014</w:t>
            </w:r>
          </w:p>
        </w:tc>
        <w:tc>
          <w:tcPr>
            <w:tcW w:w="593" w:type="dxa"/>
            <w:tcBorders>
              <w:top w:val="nil"/>
              <w:left w:val="nil"/>
              <w:bottom w:val="single" w:sz="4" w:space="0" w:color="BFBFBF"/>
              <w:right w:val="single" w:sz="4" w:space="0" w:color="BFBFBF"/>
            </w:tcBorders>
            <w:shd w:val="clear" w:color="auto" w:fill="auto"/>
            <w:noWrap/>
            <w:vAlign w:val="center"/>
          </w:tcPr>
          <w:p w14:paraId="46AA7CEC"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2007</w:t>
            </w:r>
          </w:p>
        </w:tc>
        <w:tc>
          <w:tcPr>
            <w:tcW w:w="593" w:type="dxa"/>
            <w:tcBorders>
              <w:top w:val="nil"/>
              <w:left w:val="nil"/>
              <w:bottom w:val="single" w:sz="4" w:space="0" w:color="BFBFBF"/>
              <w:right w:val="single" w:sz="4" w:space="0" w:color="BFBFBF"/>
            </w:tcBorders>
            <w:shd w:val="clear" w:color="auto" w:fill="auto"/>
            <w:noWrap/>
            <w:vAlign w:val="center"/>
          </w:tcPr>
          <w:p w14:paraId="15874A78"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2001</w:t>
            </w:r>
          </w:p>
        </w:tc>
        <w:tc>
          <w:tcPr>
            <w:tcW w:w="540" w:type="dxa"/>
            <w:tcBorders>
              <w:top w:val="nil"/>
              <w:left w:val="nil"/>
              <w:bottom w:val="single" w:sz="4" w:space="0" w:color="BFBFBF"/>
              <w:right w:val="single" w:sz="4" w:space="0" w:color="BFBFBF"/>
            </w:tcBorders>
            <w:shd w:val="clear" w:color="auto" w:fill="auto"/>
            <w:noWrap/>
            <w:vAlign w:val="center"/>
          </w:tcPr>
          <w:p w14:paraId="0240A42E"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2014</w:t>
            </w:r>
          </w:p>
        </w:tc>
        <w:tc>
          <w:tcPr>
            <w:tcW w:w="540" w:type="dxa"/>
            <w:tcBorders>
              <w:top w:val="nil"/>
              <w:left w:val="nil"/>
              <w:bottom w:val="single" w:sz="4" w:space="0" w:color="BFBFBF"/>
              <w:right w:val="single" w:sz="4" w:space="0" w:color="BFBFBF"/>
            </w:tcBorders>
            <w:shd w:val="clear" w:color="auto" w:fill="auto"/>
            <w:noWrap/>
            <w:vAlign w:val="center"/>
          </w:tcPr>
          <w:p w14:paraId="04E7303D"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2007</w:t>
            </w:r>
          </w:p>
        </w:tc>
        <w:tc>
          <w:tcPr>
            <w:tcW w:w="540" w:type="dxa"/>
            <w:tcBorders>
              <w:top w:val="nil"/>
              <w:left w:val="nil"/>
              <w:bottom w:val="single" w:sz="4" w:space="0" w:color="BFBFBF"/>
              <w:right w:val="single" w:sz="4" w:space="0" w:color="BFBFBF"/>
            </w:tcBorders>
            <w:shd w:val="clear" w:color="auto" w:fill="auto"/>
            <w:noWrap/>
            <w:vAlign w:val="center"/>
          </w:tcPr>
          <w:p w14:paraId="34323821"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2001</w:t>
            </w:r>
          </w:p>
        </w:tc>
        <w:tc>
          <w:tcPr>
            <w:tcW w:w="484" w:type="dxa"/>
            <w:tcBorders>
              <w:top w:val="nil"/>
              <w:left w:val="nil"/>
              <w:bottom w:val="single" w:sz="4" w:space="0" w:color="BFBFBF"/>
              <w:right w:val="single" w:sz="4" w:space="0" w:color="BFBFBF"/>
            </w:tcBorders>
            <w:shd w:val="clear" w:color="auto" w:fill="auto"/>
            <w:noWrap/>
            <w:vAlign w:val="center"/>
          </w:tcPr>
          <w:p w14:paraId="05A01BA8"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2014</w:t>
            </w:r>
          </w:p>
        </w:tc>
        <w:tc>
          <w:tcPr>
            <w:tcW w:w="552" w:type="dxa"/>
            <w:tcBorders>
              <w:top w:val="nil"/>
              <w:left w:val="nil"/>
              <w:bottom w:val="single" w:sz="4" w:space="0" w:color="BFBFBF"/>
              <w:right w:val="single" w:sz="4" w:space="0" w:color="BFBFBF"/>
            </w:tcBorders>
            <w:shd w:val="clear" w:color="auto" w:fill="auto"/>
            <w:noWrap/>
            <w:vAlign w:val="center"/>
          </w:tcPr>
          <w:p w14:paraId="6A519FCF"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2007</w:t>
            </w:r>
          </w:p>
        </w:tc>
        <w:tc>
          <w:tcPr>
            <w:tcW w:w="484" w:type="dxa"/>
            <w:tcBorders>
              <w:top w:val="nil"/>
              <w:left w:val="nil"/>
              <w:bottom w:val="single" w:sz="4" w:space="0" w:color="BFBFBF"/>
              <w:right w:val="single" w:sz="4" w:space="0" w:color="BFBFBF"/>
            </w:tcBorders>
            <w:shd w:val="clear" w:color="auto" w:fill="auto"/>
            <w:noWrap/>
            <w:vAlign w:val="center"/>
          </w:tcPr>
          <w:p w14:paraId="586CAAFE"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2001</w:t>
            </w:r>
          </w:p>
        </w:tc>
        <w:tc>
          <w:tcPr>
            <w:tcW w:w="554" w:type="dxa"/>
            <w:tcBorders>
              <w:top w:val="nil"/>
              <w:left w:val="nil"/>
              <w:bottom w:val="single" w:sz="4" w:space="0" w:color="BFBFBF"/>
              <w:right w:val="single" w:sz="4" w:space="0" w:color="BFBFBF"/>
            </w:tcBorders>
            <w:shd w:val="clear" w:color="auto" w:fill="auto"/>
            <w:noWrap/>
            <w:vAlign w:val="center"/>
          </w:tcPr>
          <w:p w14:paraId="5BE8ABE3"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2014</w:t>
            </w:r>
          </w:p>
        </w:tc>
        <w:tc>
          <w:tcPr>
            <w:tcW w:w="553" w:type="dxa"/>
            <w:tcBorders>
              <w:top w:val="nil"/>
              <w:left w:val="nil"/>
              <w:bottom w:val="single" w:sz="4" w:space="0" w:color="BFBFBF"/>
              <w:right w:val="single" w:sz="4" w:space="0" w:color="BFBFBF"/>
            </w:tcBorders>
            <w:shd w:val="clear" w:color="auto" w:fill="auto"/>
            <w:noWrap/>
            <w:vAlign w:val="center"/>
          </w:tcPr>
          <w:p w14:paraId="08170699"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2007</w:t>
            </w:r>
          </w:p>
        </w:tc>
        <w:tc>
          <w:tcPr>
            <w:tcW w:w="553" w:type="dxa"/>
            <w:tcBorders>
              <w:top w:val="nil"/>
              <w:left w:val="nil"/>
              <w:bottom w:val="single" w:sz="4" w:space="0" w:color="BFBFBF"/>
              <w:right w:val="double" w:sz="6" w:space="0" w:color="auto"/>
            </w:tcBorders>
            <w:shd w:val="clear" w:color="auto" w:fill="auto"/>
            <w:noWrap/>
            <w:vAlign w:val="center"/>
          </w:tcPr>
          <w:p w14:paraId="7664DAF8" w14:textId="77777777" w:rsidR="00CA417A" w:rsidRPr="00E15E11" w:rsidRDefault="00CA417A"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2001</w:t>
            </w:r>
          </w:p>
        </w:tc>
      </w:tr>
      <w:tr w:rsidR="00CA417A" w:rsidRPr="00E15E11" w14:paraId="7ABAB7E4" w14:textId="77777777" w:rsidTr="00D92C64">
        <w:trPr>
          <w:trHeight w:val="283"/>
          <w:jc w:val="center"/>
        </w:trPr>
        <w:tc>
          <w:tcPr>
            <w:tcW w:w="2600" w:type="dxa"/>
            <w:tcBorders>
              <w:top w:val="nil"/>
              <w:left w:val="double" w:sz="6" w:space="0" w:color="auto"/>
              <w:bottom w:val="single" w:sz="4" w:space="0" w:color="BFBFBF"/>
              <w:right w:val="single" w:sz="4" w:space="0" w:color="BFBFBF"/>
            </w:tcBorders>
            <w:shd w:val="clear" w:color="auto" w:fill="auto"/>
            <w:noWrap/>
            <w:vAlign w:val="center"/>
          </w:tcPr>
          <w:p w14:paraId="7CC5F757" w14:textId="77777777" w:rsidR="00CA417A" w:rsidRPr="00E15E11" w:rsidRDefault="00CA417A" w:rsidP="00CA417A">
            <w:pPr>
              <w:spacing w:before="0" w:after="0"/>
              <w:rPr>
                <w:rFonts w:ascii="Arial" w:hAnsi="Arial" w:cs="Arial"/>
                <w:color w:val="000000"/>
                <w:sz w:val="16"/>
                <w:szCs w:val="16"/>
                <w:lang w:val="en-AU" w:eastAsia="en-AU"/>
              </w:rPr>
            </w:pPr>
            <w:r w:rsidRPr="00E15E11">
              <w:rPr>
                <w:rFonts w:ascii="Arial" w:hAnsi="Arial" w:cs="Arial"/>
                <w:color w:val="000000"/>
                <w:sz w:val="16"/>
                <w:szCs w:val="16"/>
                <w:lang w:val="en-AU" w:eastAsia="en-AU"/>
              </w:rPr>
              <w:t>Actual amount of water used only</w:t>
            </w:r>
          </w:p>
        </w:tc>
        <w:tc>
          <w:tcPr>
            <w:tcW w:w="594" w:type="dxa"/>
            <w:tcBorders>
              <w:top w:val="nil"/>
              <w:left w:val="nil"/>
              <w:bottom w:val="single" w:sz="4" w:space="0" w:color="BFBFBF"/>
              <w:right w:val="single" w:sz="4" w:space="0" w:color="BFBFBF"/>
            </w:tcBorders>
            <w:shd w:val="clear" w:color="auto" w:fill="auto"/>
            <w:noWrap/>
            <w:vAlign w:val="center"/>
          </w:tcPr>
          <w:p w14:paraId="51AEAF01"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18%</w:t>
            </w:r>
          </w:p>
        </w:tc>
        <w:tc>
          <w:tcPr>
            <w:tcW w:w="593" w:type="dxa"/>
            <w:tcBorders>
              <w:top w:val="nil"/>
              <w:left w:val="nil"/>
              <w:bottom w:val="single" w:sz="4" w:space="0" w:color="BFBFBF"/>
              <w:right w:val="single" w:sz="4" w:space="0" w:color="BFBFBF"/>
            </w:tcBorders>
            <w:shd w:val="clear" w:color="auto" w:fill="auto"/>
            <w:noWrap/>
            <w:vAlign w:val="center"/>
          </w:tcPr>
          <w:p w14:paraId="357C9081"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14%</w:t>
            </w:r>
          </w:p>
        </w:tc>
        <w:tc>
          <w:tcPr>
            <w:tcW w:w="593" w:type="dxa"/>
            <w:tcBorders>
              <w:top w:val="nil"/>
              <w:left w:val="nil"/>
              <w:bottom w:val="single" w:sz="4" w:space="0" w:color="BFBFBF"/>
              <w:right w:val="single" w:sz="4" w:space="0" w:color="BFBFBF"/>
            </w:tcBorders>
            <w:shd w:val="clear" w:color="auto" w:fill="auto"/>
            <w:noWrap/>
            <w:vAlign w:val="center"/>
          </w:tcPr>
          <w:p w14:paraId="06C08839"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6%</w:t>
            </w:r>
          </w:p>
        </w:tc>
        <w:tc>
          <w:tcPr>
            <w:tcW w:w="586" w:type="dxa"/>
            <w:tcBorders>
              <w:top w:val="nil"/>
              <w:left w:val="nil"/>
              <w:bottom w:val="single" w:sz="4" w:space="0" w:color="BFBFBF"/>
              <w:right w:val="single" w:sz="4" w:space="0" w:color="BFBFBF"/>
            </w:tcBorders>
            <w:shd w:val="clear" w:color="auto" w:fill="auto"/>
            <w:noWrap/>
            <w:vAlign w:val="center"/>
          </w:tcPr>
          <w:p w14:paraId="2336A0A4"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87" w:type="dxa"/>
            <w:tcBorders>
              <w:top w:val="nil"/>
              <w:left w:val="nil"/>
              <w:bottom w:val="single" w:sz="4" w:space="0" w:color="BFBFBF"/>
              <w:right w:val="single" w:sz="4" w:space="0" w:color="BFBFBF"/>
            </w:tcBorders>
            <w:shd w:val="clear" w:color="auto" w:fill="auto"/>
            <w:noWrap/>
            <w:vAlign w:val="center"/>
          </w:tcPr>
          <w:p w14:paraId="01BD7452"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87" w:type="dxa"/>
            <w:tcBorders>
              <w:top w:val="nil"/>
              <w:left w:val="nil"/>
              <w:bottom w:val="single" w:sz="4" w:space="0" w:color="BFBFBF"/>
              <w:right w:val="single" w:sz="4" w:space="0" w:color="BFBFBF"/>
            </w:tcBorders>
            <w:shd w:val="clear" w:color="auto" w:fill="auto"/>
            <w:noWrap/>
            <w:vAlign w:val="center"/>
          </w:tcPr>
          <w:p w14:paraId="5C241EDE"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94" w:type="dxa"/>
            <w:tcBorders>
              <w:top w:val="nil"/>
              <w:left w:val="nil"/>
              <w:bottom w:val="single" w:sz="4" w:space="0" w:color="BFBFBF"/>
              <w:right w:val="single" w:sz="4" w:space="0" w:color="BFBFBF"/>
            </w:tcBorders>
            <w:shd w:val="clear" w:color="auto" w:fill="auto"/>
            <w:noWrap/>
            <w:vAlign w:val="center"/>
          </w:tcPr>
          <w:p w14:paraId="70C10383" w14:textId="77777777" w:rsidR="00CA417A" w:rsidRPr="00E15E11" w:rsidRDefault="00CA417A" w:rsidP="006A62C9">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r w:rsidR="006A62C9" w:rsidRPr="00E15E11">
              <w:rPr>
                <w:rFonts w:ascii="Arial" w:hAnsi="Arial" w:cs="Arial"/>
                <w:color w:val="000000"/>
                <w:sz w:val="16"/>
                <w:szCs w:val="16"/>
                <w:lang w:val="en-AU" w:eastAsia="en-AU"/>
              </w:rPr>
              <w:t>7</w:t>
            </w:r>
            <w:r w:rsidRPr="00E15E11">
              <w:rPr>
                <w:rFonts w:ascii="Arial" w:hAnsi="Arial" w:cs="Arial"/>
                <w:color w:val="000000"/>
                <w:sz w:val="16"/>
                <w:szCs w:val="16"/>
                <w:lang w:val="en-AU" w:eastAsia="en-AU"/>
              </w:rPr>
              <w:t>%</w:t>
            </w:r>
          </w:p>
        </w:tc>
        <w:tc>
          <w:tcPr>
            <w:tcW w:w="593" w:type="dxa"/>
            <w:tcBorders>
              <w:top w:val="nil"/>
              <w:left w:val="nil"/>
              <w:bottom w:val="single" w:sz="4" w:space="0" w:color="BFBFBF"/>
              <w:right w:val="single" w:sz="4" w:space="0" w:color="BFBFBF"/>
            </w:tcBorders>
            <w:shd w:val="clear" w:color="auto" w:fill="auto"/>
            <w:noWrap/>
            <w:vAlign w:val="center"/>
          </w:tcPr>
          <w:p w14:paraId="37B0B9C4"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27%</w:t>
            </w:r>
          </w:p>
        </w:tc>
        <w:tc>
          <w:tcPr>
            <w:tcW w:w="593" w:type="dxa"/>
            <w:tcBorders>
              <w:top w:val="nil"/>
              <w:left w:val="nil"/>
              <w:bottom w:val="single" w:sz="4" w:space="0" w:color="BFBFBF"/>
              <w:right w:val="single" w:sz="4" w:space="0" w:color="BFBFBF"/>
            </w:tcBorders>
            <w:shd w:val="clear" w:color="auto" w:fill="auto"/>
            <w:noWrap/>
            <w:vAlign w:val="center"/>
          </w:tcPr>
          <w:p w14:paraId="11D373BD"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14%</w:t>
            </w:r>
          </w:p>
        </w:tc>
        <w:tc>
          <w:tcPr>
            <w:tcW w:w="540" w:type="dxa"/>
            <w:tcBorders>
              <w:top w:val="nil"/>
              <w:left w:val="nil"/>
              <w:bottom w:val="single" w:sz="4" w:space="0" w:color="BFBFBF"/>
              <w:right w:val="single" w:sz="4" w:space="0" w:color="BFBFBF"/>
            </w:tcBorders>
            <w:shd w:val="clear" w:color="auto" w:fill="auto"/>
            <w:noWrap/>
            <w:vAlign w:val="center"/>
          </w:tcPr>
          <w:p w14:paraId="780BE3D6"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23%</w:t>
            </w:r>
          </w:p>
        </w:tc>
        <w:tc>
          <w:tcPr>
            <w:tcW w:w="540" w:type="dxa"/>
            <w:tcBorders>
              <w:top w:val="nil"/>
              <w:left w:val="nil"/>
              <w:bottom w:val="single" w:sz="4" w:space="0" w:color="BFBFBF"/>
              <w:right w:val="single" w:sz="4" w:space="0" w:color="BFBFBF"/>
            </w:tcBorders>
            <w:shd w:val="clear" w:color="auto" w:fill="auto"/>
            <w:noWrap/>
            <w:vAlign w:val="center"/>
          </w:tcPr>
          <w:p w14:paraId="7B308233"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40%</w:t>
            </w:r>
          </w:p>
        </w:tc>
        <w:tc>
          <w:tcPr>
            <w:tcW w:w="540" w:type="dxa"/>
            <w:tcBorders>
              <w:top w:val="nil"/>
              <w:left w:val="nil"/>
              <w:bottom w:val="single" w:sz="4" w:space="0" w:color="BFBFBF"/>
              <w:right w:val="single" w:sz="4" w:space="0" w:color="BFBFBF"/>
            </w:tcBorders>
            <w:shd w:val="clear" w:color="auto" w:fill="auto"/>
            <w:noWrap/>
            <w:vAlign w:val="center"/>
          </w:tcPr>
          <w:p w14:paraId="0EFFC94E"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13%</w:t>
            </w:r>
          </w:p>
        </w:tc>
        <w:tc>
          <w:tcPr>
            <w:tcW w:w="484" w:type="dxa"/>
            <w:tcBorders>
              <w:top w:val="nil"/>
              <w:left w:val="nil"/>
              <w:bottom w:val="single" w:sz="4" w:space="0" w:color="BFBFBF"/>
              <w:right w:val="single" w:sz="4" w:space="0" w:color="BFBFBF"/>
            </w:tcBorders>
            <w:shd w:val="clear" w:color="auto" w:fill="auto"/>
            <w:noWrap/>
            <w:vAlign w:val="center"/>
          </w:tcPr>
          <w:p w14:paraId="05DA62AC"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40%</w:t>
            </w:r>
          </w:p>
        </w:tc>
        <w:tc>
          <w:tcPr>
            <w:tcW w:w="552" w:type="dxa"/>
            <w:tcBorders>
              <w:top w:val="nil"/>
              <w:left w:val="nil"/>
              <w:bottom w:val="single" w:sz="4" w:space="0" w:color="BFBFBF"/>
              <w:right w:val="single" w:sz="4" w:space="0" w:color="BFBFBF"/>
            </w:tcBorders>
            <w:shd w:val="clear" w:color="auto" w:fill="auto"/>
            <w:noWrap/>
            <w:vAlign w:val="center"/>
          </w:tcPr>
          <w:p w14:paraId="26080FD7"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484" w:type="dxa"/>
            <w:tcBorders>
              <w:top w:val="nil"/>
              <w:left w:val="nil"/>
              <w:bottom w:val="single" w:sz="4" w:space="0" w:color="BFBFBF"/>
              <w:right w:val="single" w:sz="4" w:space="0" w:color="BFBFBF"/>
            </w:tcBorders>
            <w:shd w:val="clear" w:color="auto" w:fill="auto"/>
            <w:noWrap/>
            <w:vAlign w:val="center"/>
          </w:tcPr>
          <w:p w14:paraId="1E547D28"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9%</w:t>
            </w:r>
          </w:p>
        </w:tc>
        <w:tc>
          <w:tcPr>
            <w:tcW w:w="554" w:type="dxa"/>
            <w:tcBorders>
              <w:top w:val="nil"/>
              <w:left w:val="nil"/>
              <w:bottom w:val="single" w:sz="4" w:space="0" w:color="BFBFBF"/>
              <w:right w:val="single" w:sz="4" w:space="0" w:color="BFBFBF"/>
            </w:tcBorders>
            <w:shd w:val="clear" w:color="auto" w:fill="auto"/>
            <w:noWrap/>
            <w:vAlign w:val="center"/>
          </w:tcPr>
          <w:p w14:paraId="2A52170A"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18%</w:t>
            </w:r>
          </w:p>
        </w:tc>
        <w:tc>
          <w:tcPr>
            <w:tcW w:w="553" w:type="dxa"/>
            <w:tcBorders>
              <w:top w:val="nil"/>
              <w:left w:val="nil"/>
              <w:bottom w:val="single" w:sz="4" w:space="0" w:color="BFBFBF"/>
              <w:right w:val="single" w:sz="4" w:space="0" w:color="BFBFBF"/>
            </w:tcBorders>
            <w:shd w:val="clear" w:color="auto" w:fill="auto"/>
            <w:noWrap/>
            <w:vAlign w:val="center"/>
          </w:tcPr>
          <w:p w14:paraId="2A4A9441"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16%</w:t>
            </w:r>
          </w:p>
        </w:tc>
        <w:tc>
          <w:tcPr>
            <w:tcW w:w="553" w:type="dxa"/>
            <w:tcBorders>
              <w:top w:val="nil"/>
              <w:left w:val="nil"/>
              <w:bottom w:val="single" w:sz="4" w:space="0" w:color="BFBFBF"/>
              <w:right w:val="double" w:sz="6" w:space="0" w:color="auto"/>
            </w:tcBorders>
            <w:shd w:val="clear" w:color="auto" w:fill="auto"/>
            <w:noWrap/>
            <w:vAlign w:val="center"/>
          </w:tcPr>
          <w:p w14:paraId="0A264F3E"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w:t>
            </w:r>
          </w:p>
        </w:tc>
      </w:tr>
      <w:tr w:rsidR="00CA417A" w:rsidRPr="00E15E11" w14:paraId="482B141D" w14:textId="77777777" w:rsidTr="00D92C64">
        <w:trPr>
          <w:trHeight w:val="283"/>
          <w:jc w:val="center"/>
        </w:trPr>
        <w:tc>
          <w:tcPr>
            <w:tcW w:w="2600" w:type="dxa"/>
            <w:tcBorders>
              <w:top w:val="nil"/>
              <w:left w:val="double" w:sz="6" w:space="0" w:color="auto"/>
              <w:bottom w:val="single" w:sz="4" w:space="0" w:color="BFBFBF"/>
              <w:right w:val="single" w:sz="4" w:space="0" w:color="BFBFBF"/>
            </w:tcBorders>
            <w:shd w:val="clear" w:color="auto" w:fill="auto"/>
            <w:noWrap/>
            <w:vAlign w:val="center"/>
          </w:tcPr>
          <w:p w14:paraId="682D92C6" w14:textId="77777777" w:rsidR="00CA417A" w:rsidRPr="00E15E11" w:rsidRDefault="00CA417A" w:rsidP="00CA417A">
            <w:pPr>
              <w:spacing w:before="0" w:after="0"/>
              <w:rPr>
                <w:rFonts w:ascii="Arial" w:hAnsi="Arial" w:cs="Arial"/>
                <w:color w:val="000000"/>
                <w:sz w:val="16"/>
                <w:szCs w:val="16"/>
                <w:lang w:val="en-AU" w:eastAsia="en-AU"/>
              </w:rPr>
            </w:pPr>
            <w:r w:rsidRPr="00E15E11">
              <w:rPr>
                <w:rFonts w:ascii="Arial" w:hAnsi="Arial" w:cs="Arial"/>
                <w:color w:val="000000"/>
                <w:sz w:val="16"/>
                <w:szCs w:val="16"/>
                <w:lang w:val="en-AU" w:eastAsia="en-AU"/>
              </w:rPr>
              <w:t>Fixed service charge only</w:t>
            </w:r>
          </w:p>
        </w:tc>
        <w:tc>
          <w:tcPr>
            <w:tcW w:w="594" w:type="dxa"/>
            <w:tcBorders>
              <w:top w:val="nil"/>
              <w:left w:val="nil"/>
              <w:bottom w:val="single" w:sz="4" w:space="0" w:color="BFBFBF"/>
              <w:right w:val="single" w:sz="4" w:space="0" w:color="BFBFBF"/>
            </w:tcBorders>
            <w:shd w:val="clear" w:color="auto" w:fill="auto"/>
            <w:noWrap/>
            <w:vAlign w:val="center"/>
          </w:tcPr>
          <w:p w14:paraId="376493F7"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93" w:type="dxa"/>
            <w:tcBorders>
              <w:top w:val="nil"/>
              <w:left w:val="nil"/>
              <w:bottom w:val="single" w:sz="4" w:space="0" w:color="BFBFBF"/>
              <w:right w:val="single" w:sz="4" w:space="0" w:color="BFBFBF"/>
            </w:tcBorders>
            <w:shd w:val="clear" w:color="auto" w:fill="auto"/>
            <w:noWrap/>
            <w:vAlign w:val="center"/>
          </w:tcPr>
          <w:p w14:paraId="288D42FF"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w:t>
            </w:r>
          </w:p>
        </w:tc>
        <w:tc>
          <w:tcPr>
            <w:tcW w:w="593" w:type="dxa"/>
            <w:tcBorders>
              <w:top w:val="nil"/>
              <w:left w:val="nil"/>
              <w:bottom w:val="single" w:sz="4" w:space="0" w:color="BFBFBF"/>
              <w:right w:val="single" w:sz="4" w:space="0" w:color="BFBFBF"/>
            </w:tcBorders>
            <w:shd w:val="clear" w:color="auto" w:fill="auto"/>
            <w:noWrap/>
            <w:vAlign w:val="center"/>
          </w:tcPr>
          <w:p w14:paraId="4E50096D"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w:t>
            </w:r>
          </w:p>
        </w:tc>
        <w:tc>
          <w:tcPr>
            <w:tcW w:w="586" w:type="dxa"/>
            <w:tcBorders>
              <w:top w:val="nil"/>
              <w:left w:val="nil"/>
              <w:bottom w:val="single" w:sz="4" w:space="0" w:color="BFBFBF"/>
              <w:right w:val="single" w:sz="4" w:space="0" w:color="BFBFBF"/>
            </w:tcBorders>
            <w:shd w:val="clear" w:color="auto" w:fill="auto"/>
            <w:noWrap/>
            <w:vAlign w:val="center"/>
          </w:tcPr>
          <w:p w14:paraId="6F867DCD"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87" w:type="dxa"/>
            <w:tcBorders>
              <w:top w:val="nil"/>
              <w:left w:val="nil"/>
              <w:bottom w:val="single" w:sz="4" w:space="0" w:color="BFBFBF"/>
              <w:right w:val="single" w:sz="4" w:space="0" w:color="BFBFBF"/>
            </w:tcBorders>
            <w:shd w:val="clear" w:color="auto" w:fill="auto"/>
            <w:noWrap/>
            <w:vAlign w:val="center"/>
          </w:tcPr>
          <w:p w14:paraId="15950E32"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87" w:type="dxa"/>
            <w:tcBorders>
              <w:top w:val="nil"/>
              <w:left w:val="nil"/>
              <w:bottom w:val="single" w:sz="4" w:space="0" w:color="BFBFBF"/>
              <w:right w:val="single" w:sz="4" w:space="0" w:color="BFBFBF"/>
            </w:tcBorders>
            <w:shd w:val="clear" w:color="auto" w:fill="auto"/>
            <w:noWrap/>
            <w:vAlign w:val="center"/>
          </w:tcPr>
          <w:p w14:paraId="124E5D39"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94" w:type="dxa"/>
            <w:tcBorders>
              <w:top w:val="nil"/>
              <w:left w:val="nil"/>
              <w:bottom w:val="single" w:sz="4" w:space="0" w:color="BFBFBF"/>
              <w:right w:val="single" w:sz="4" w:space="0" w:color="BFBFBF"/>
            </w:tcBorders>
            <w:shd w:val="clear" w:color="auto" w:fill="auto"/>
            <w:noWrap/>
            <w:vAlign w:val="center"/>
          </w:tcPr>
          <w:p w14:paraId="635B0B01"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93" w:type="dxa"/>
            <w:tcBorders>
              <w:top w:val="nil"/>
              <w:left w:val="nil"/>
              <w:bottom w:val="single" w:sz="4" w:space="0" w:color="BFBFBF"/>
              <w:right w:val="single" w:sz="4" w:space="0" w:color="BFBFBF"/>
            </w:tcBorders>
            <w:shd w:val="clear" w:color="auto" w:fill="auto"/>
            <w:noWrap/>
            <w:vAlign w:val="center"/>
          </w:tcPr>
          <w:p w14:paraId="36C20127"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12%</w:t>
            </w:r>
          </w:p>
        </w:tc>
        <w:tc>
          <w:tcPr>
            <w:tcW w:w="593" w:type="dxa"/>
            <w:tcBorders>
              <w:top w:val="nil"/>
              <w:left w:val="nil"/>
              <w:bottom w:val="single" w:sz="4" w:space="0" w:color="BFBFBF"/>
              <w:right w:val="single" w:sz="4" w:space="0" w:color="BFBFBF"/>
            </w:tcBorders>
            <w:shd w:val="clear" w:color="auto" w:fill="auto"/>
            <w:noWrap/>
            <w:vAlign w:val="center"/>
          </w:tcPr>
          <w:p w14:paraId="4BB2FC33"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5%</w:t>
            </w:r>
          </w:p>
        </w:tc>
        <w:tc>
          <w:tcPr>
            <w:tcW w:w="540" w:type="dxa"/>
            <w:tcBorders>
              <w:top w:val="nil"/>
              <w:left w:val="nil"/>
              <w:bottom w:val="single" w:sz="4" w:space="0" w:color="BFBFBF"/>
              <w:right w:val="single" w:sz="4" w:space="0" w:color="BFBFBF"/>
            </w:tcBorders>
            <w:shd w:val="clear" w:color="auto" w:fill="auto"/>
            <w:noWrap/>
            <w:vAlign w:val="center"/>
          </w:tcPr>
          <w:p w14:paraId="2C8211DC"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3%</w:t>
            </w:r>
          </w:p>
        </w:tc>
        <w:tc>
          <w:tcPr>
            <w:tcW w:w="540" w:type="dxa"/>
            <w:tcBorders>
              <w:top w:val="nil"/>
              <w:left w:val="nil"/>
              <w:bottom w:val="single" w:sz="4" w:space="0" w:color="BFBFBF"/>
              <w:right w:val="single" w:sz="4" w:space="0" w:color="BFBFBF"/>
            </w:tcBorders>
            <w:shd w:val="clear" w:color="auto" w:fill="auto"/>
            <w:noWrap/>
            <w:vAlign w:val="center"/>
          </w:tcPr>
          <w:p w14:paraId="14F3FCE4"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w:t>
            </w:r>
          </w:p>
        </w:tc>
        <w:tc>
          <w:tcPr>
            <w:tcW w:w="540" w:type="dxa"/>
            <w:tcBorders>
              <w:top w:val="nil"/>
              <w:left w:val="nil"/>
              <w:bottom w:val="single" w:sz="4" w:space="0" w:color="BFBFBF"/>
              <w:right w:val="single" w:sz="4" w:space="0" w:color="BFBFBF"/>
            </w:tcBorders>
            <w:shd w:val="clear" w:color="auto" w:fill="auto"/>
            <w:noWrap/>
            <w:vAlign w:val="center"/>
          </w:tcPr>
          <w:p w14:paraId="6F3973BE"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484" w:type="dxa"/>
            <w:tcBorders>
              <w:top w:val="nil"/>
              <w:left w:val="nil"/>
              <w:bottom w:val="single" w:sz="4" w:space="0" w:color="BFBFBF"/>
              <w:right w:val="single" w:sz="4" w:space="0" w:color="BFBFBF"/>
            </w:tcBorders>
            <w:shd w:val="clear" w:color="auto" w:fill="auto"/>
            <w:noWrap/>
            <w:vAlign w:val="center"/>
          </w:tcPr>
          <w:p w14:paraId="0A1A33B7"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52" w:type="dxa"/>
            <w:tcBorders>
              <w:top w:val="nil"/>
              <w:left w:val="nil"/>
              <w:bottom w:val="single" w:sz="4" w:space="0" w:color="BFBFBF"/>
              <w:right w:val="single" w:sz="4" w:space="0" w:color="BFBFBF"/>
            </w:tcBorders>
            <w:shd w:val="clear" w:color="auto" w:fill="auto"/>
            <w:noWrap/>
            <w:vAlign w:val="center"/>
          </w:tcPr>
          <w:p w14:paraId="2A3EB857"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100%</w:t>
            </w:r>
          </w:p>
        </w:tc>
        <w:tc>
          <w:tcPr>
            <w:tcW w:w="484" w:type="dxa"/>
            <w:tcBorders>
              <w:top w:val="nil"/>
              <w:left w:val="nil"/>
              <w:bottom w:val="single" w:sz="4" w:space="0" w:color="BFBFBF"/>
              <w:right w:val="single" w:sz="4" w:space="0" w:color="BFBFBF"/>
            </w:tcBorders>
            <w:shd w:val="clear" w:color="auto" w:fill="auto"/>
            <w:noWrap/>
            <w:vAlign w:val="center"/>
          </w:tcPr>
          <w:p w14:paraId="4332B8AC"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11%</w:t>
            </w:r>
          </w:p>
        </w:tc>
        <w:tc>
          <w:tcPr>
            <w:tcW w:w="554" w:type="dxa"/>
            <w:tcBorders>
              <w:top w:val="nil"/>
              <w:left w:val="nil"/>
              <w:bottom w:val="single" w:sz="4" w:space="0" w:color="BFBFBF"/>
              <w:right w:val="single" w:sz="4" w:space="0" w:color="BFBFBF"/>
            </w:tcBorders>
            <w:shd w:val="clear" w:color="auto" w:fill="auto"/>
            <w:noWrap/>
            <w:vAlign w:val="center"/>
          </w:tcPr>
          <w:p w14:paraId="0BE37AE0"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53" w:type="dxa"/>
            <w:tcBorders>
              <w:top w:val="nil"/>
              <w:left w:val="nil"/>
              <w:bottom w:val="single" w:sz="4" w:space="0" w:color="BFBFBF"/>
              <w:right w:val="single" w:sz="4" w:space="0" w:color="BFBFBF"/>
            </w:tcBorders>
            <w:shd w:val="clear" w:color="auto" w:fill="auto"/>
            <w:noWrap/>
            <w:vAlign w:val="center"/>
          </w:tcPr>
          <w:p w14:paraId="30ED956E"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w:t>
            </w:r>
          </w:p>
        </w:tc>
        <w:tc>
          <w:tcPr>
            <w:tcW w:w="553" w:type="dxa"/>
            <w:tcBorders>
              <w:top w:val="nil"/>
              <w:left w:val="nil"/>
              <w:bottom w:val="single" w:sz="4" w:space="0" w:color="BFBFBF"/>
              <w:right w:val="double" w:sz="6" w:space="0" w:color="auto"/>
            </w:tcBorders>
            <w:shd w:val="clear" w:color="auto" w:fill="auto"/>
            <w:noWrap/>
            <w:vAlign w:val="center"/>
          </w:tcPr>
          <w:p w14:paraId="258A5D54"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w:t>
            </w:r>
          </w:p>
        </w:tc>
      </w:tr>
      <w:tr w:rsidR="00CA417A" w:rsidRPr="00E15E11" w14:paraId="6AB6E53D" w14:textId="77777777" w:rsidTr="00D92C64">
        <w:trPr>
          <w:trHeight w:val="283"/>
          <w:jc w:val="center"/>
        </w:trPr>
        <w:tc>
          <w:tcPr>
            <w:tcW w:w="2600" w:type="dxa"/>
            <w:tcBorders>
              <w:top w:val="nil"/>
              <w:left w:val="double" w:sz="6" w:space="0" w:color="auto"/>
              <w:bottom w:val="single" w:sz="4" w:space="0" w:color="BFBFBF"/>
              <w:right w:val="single" w:sz="4" w:space="0" w:color="BFBFBF"/>
            </w:tcBorders>
            <w:shd w:val="clear" w:color="auto" w:fill="auto"/>
            <w:noWrap/>
            <w:vAlign w:val="center"/>
          </w:tcPr>
          <w:p w14:paraId="37AF8A02" w14:textId="77777777" w:rsidR="00CA417A" w:rsidRPr="00E15E11" w:rsidRDefault="00CA417A" w:rsidP="00CA417A">
            <w:pPr>
              <w:spacing w:before="0" w:after="0"/>
              <w:rPr>
                <w:rFonts w:ascii="Arial" w:hAnsi="Arial" w:cs="Arial"/>
                <w:color w:val="000000"/>
                <w:sz w:val="16"/>
                <w:szCs w:val="16"/>
                <w:lang w:val="en-AU" w:eastAsia="en-AU"/>
              </w:rPr>
            </w:pPr>
            <w:r w:rsidRPr="00E15E11">
              <w:rPr>
                <w:rFonts w:ascii="Arial" w:hAnsi="Arial" w:cs="Arial"/>
                <w:color w:val="000000"/>
                <w:sz w:val="16"/>
                <w:szCs w:val="16"/>
                <w:lang w:val="en-AU" w:eastAsia="en-AU"/>
              </w:rPr>
              <w:t>Combination of both</w:t>
            </w:r>
          </w:p>
        </w:tc>
        <w:tc>
          <w:tcPr>
            <w:tcW w:w="594" w:type="dxa"/>
            <w:tcBorders>
              <w:top w:val="nil"/>
              <w:left w:val="nil"/>
              <w:bottom w:val="single" w:sz="4" w:space="0" w:color="BFBFBF"/>
              <w:right w:val="single" w:sz="4" w:space="0" w:color="BFBFBF"/>
            </w:tcBorders>
            <w:shd w:val="clear" w:color="auto" w:fill="auto"/>
            <w:noWrap/>
            <w:vAlign w:val="center"/>
          </w:tcPr>
          <w:p w14:paraId="644E30A9"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76%</w:t>
            </w:r>
          </w:p>
        </w:tc>
        <w:tc>
          <w:tcPr>
            <w:tcW w:w="593" w:type="dxa"/>
            <w:tcBorders>
              <w:top w:val="nil"/>
              <w:left w:val="nil"/>
              <w:bottom w:val="single" w:sz="4" w:space="0" w:color="BFBFBF"/>
              <w:right w:val="single" w:sz="4" w:space="0" w:color="BFBFBF"/>
            </w:tcBorders>
            <w:shd w:val="clear" w:color="auto" w:fill="auto"/>
            <w:noWrap/>
            <w:vAlign w:val="center"/>
          </w:tcPr>
          <w:p w14:paraId="26ADBD9B"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76%</w:t>
            </w:r>
          </w:p>
        </w:tc>
        <w:tc>
          <w:tcPr>
            <w:tcW w:w="593" w:type="dxa"/>
            <w:tcBorders>
              <w:top w:val="nil"/>
              <w:left w:val="nil"/>
              <w:bottom w:val="single" w:sz="4" w:space="0" w:color="BFBFBF"/>
              <w:right w:val="single" w:sz="4" w:space="0" w:color="BFBFBF"/>
            </w:tcBorders>
            <w:shd w:val="clear" w:color="auto" w:fill="auto"/>
            <w:noWrap/>
            <w:vAlign w:val="center"/>
          </w:tcPr>
          <w:p w14:paraId="724FA099"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88%</w:t>
            </w:r>
          </w:p>
        </w:tc>
        <w:tc>
          <w:tcPr>
            <w:tcW w:w="586" w:type="dxa"/>
            <w:tcBorders>
              <w:top w:val="nil"/>
              <w:left w:val="nil"/>
              <w:bottom w:val="single" w:sz="4" w:space="0" w:color="BFBFBF"/>
              <w:right w:val="single" w:sz="4" w:space="0" w:color="BFBFBF"/>
            </w:tcBorders>
            <w:shd w:val="clear" w:color="auto" w:fill="auto"/>
            <w:noWrap/>
            <w:vAlign w:val="center"/>
          </w:tcPr>
          <w:p w14:paraId="73D0FDBF"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100%</w:t>
            </w:r>
          </w:p>
        </w:tc>
        <w:tc>
          <w:tcPr>
            <w:tcW w:w="587" w:type="dxa"/>
            <w:tcBorders>
              <w:top w:val="nil"/>
              <w:left w:val="nil"/>
              <w:bottom w:val="single" w:sz="4" w:space="0" w:color="BFBFBF"/>
              <w:right w:val="single" w:sz="4" w:space="0" w:color="BFBFBF"/>
            </w:tcBorders>
            <w:shd w:val="clear" w:color="auto" w:fill="auto"/>
            <w:noWrap/>
            <w:vAlign w:val="center"/>
          </w:tcPr>
          <w:p w14:paraId="33A38571"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100%</w:t>
            </w:r>
          </w:p>
        </w:tc>
        <w:tc>
          <w:tcPr>
            <w:tcW w:w="587" w:type="dxa"/>
            <w:tcBorders>
              <w:top w:val="nil"/>
              <w:left w:val="nil"/>
              <w:bottom w:val="single" w:sz="4" w:space="0" w:color="BFBFBF"/>
              <w:right w:val="single" w:sz="4" w:space="0" w:color="BFBFBF"/>
            </w:tcBorders>
            <w:shd w:val="clear" w:color="auto" w:fill="auto"/>
            <w:noWrap/>
            <w:vAlign w:val="center"/>
          </w:tcPr>
          <w:p w14:paraId="23432009"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100%</w:t>
            </w:r>
          </w:p>
        </w:tc>
        <w:tc>
          <w:tcPr>
            <w:tcW w:w="594" w:type="dxa"/>
            <w:tcBorders>
              <w:top w:val="nil"/>
              <w:left w:val="nil"/>
              <w:bottom w:val="single" w:sz="4" w:space="0" w:color="BFBFBF"/>
              <w:right w:val="single" w:sz="4" w:space="0" w:color="BFBFBF"/>
            </w:tcBorders>
            <w:shd w:val="clear" w:color="auto" w:fill="auto"/>
            <w:noWrap/>
            <w:vAlign w:val="center"/>
          </w:tcPr>
          <w:p w14:paraId="6130C6E5"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73%</w:t>
            </w:r>
          </w:p>
        </w:tc>
        <w:tc>
          <w:tcPr>
            <w:tcW w:w="593" w:type="dxa"/>
            <w:tcBorders>
              <w:top w:val="nil"/>
              <w:left w:val="nil"/>
              <w:bottom w:val="single" w:sz="4" w:space="0" w:color="BFBFBF"/>
              <w:right w:val="single" w:sz="4" w:space="0" w:color="BFBFBF"/>
            </w:tcBorders>
            <w:shd w:val="clear" w:color="auto" w:fill="auto"/>
            <w:noWrap/>
            <w:vAlign w:val="center"/>
          </w:tcPr>
          <w:p w14:paraId="274B1FED"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56%</w:t>
            </w:r>
          </w:p>
        </w:tc>
        <w:tc>
          <w:tcPr>
            <w:tcW w:w="593" w:type="dxa"/>
            <w:tcBorders>
              <w:top w:val="nil"/>
              <w:left w:val="nil"/>
              <w:bottom w:val="single" w:sz="4" w:space="0" w:color="BFBFBF"/>
              <w:right w:val="single" w:sz="4" w:space="0" w:color="BFBFBF"/>
            </w:tcBorders>
            <w:shd w:val="clear" w:color="auto" w:fill="auto"/>
            <w:noWrap/>
            <w:vAlign w:val="center"/>
          </w:tcPr>
          <w:p w14:paraId="08148DAF"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78%</w:t>
            </w:r>
          </w:p>
        </w:tc>
        <w:tc>
          <w:tcPr>
            <w:tcW w:w="540" w:type="dxa"/>
            <w:tcBorders>
              <w:top w:val="nil"/>
              <w:left w:val="nil"/>
              <w:bottom w:val="single" w:sz="4" w:space="0" w:color="BFBFBF"/>
              <w:right w:val="single" w:sz="4" w:space="0" w:color="BFBFBF"/>
            </w:tcBorders>
            <w:shd w:val="clear" w:color="auto" w:fill="auto"/>
            <w:noWrap/>
            <w:vAlign w:val="center"/>
          </w:tcPr>
          <w:p w14:paraId="178C2A19" w14:textId="77777777" w:rsidR="00CA417A" w:rsidRPr="00E15E11" w:rsidRDefault="00CA417A" w:rsidP="006A62C9">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6</w:t>
            </w:r>
            <w:r w:rsidR="006A62C9" w:rsidRPr="00E15E11">
              <w:rPr>
                <w:rFonts w:ascii="Arial" w:hAnsi="Arial" w:cs="Arial"/>
                <w:color w:val="000000"/>
                <w:sz w:val="16"/>
                <w:szCs w:val="16"/>
                <w:lang w:val="en-AU" w:eastAsia="en-AU"/>
              </w:rPr>
              <w:t>4</w:t>
            </w:r>
            <w:r w:rsidRPr="00E15E11">
              <w:rPr>
                <w:rFonts w:ascii="Arial" w:hAnsi="Arial" w:cs="Arial"/>
                <w:color w:val="000000"/>
                <w:sz w:val="16"/>
                <w:szCs w:val="16"/>
                <w:lang w:val="en-AU" w:eastAsia="en-AU"/>
              </w:rPr>
              <w:t>%</w:t>
            </w:r>
          </w:p>
        </w:tc>
        <w:tc>
          <w:tcPr>
            <w:tcW w:w="540" w:type="dxa"/>
            <w:tcBorders>
              <w:top w:val="nil"/>
              <w:left w:val="nil"/>
              <w:bottom w:val="single" w:sz="4" w:space="0" w:color="BFBFBF"/>
              <w:right w:val="single" w:sz="4" w:space="0" w:color="BFBFBF"/>
            </w:tcBorders>
            <w:shd w:val="clear" w:color="auto" w:fill="auto"/>
            <w:noWrap/>
            <w:vAlign w:val="center"/>
          </w:tcPr>
          <w:p w14:paraId="7737CB68"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49%</w:t>
            </w:r>
          </w:p>
        </w:tc>
        <w:tc>
          <w:tcPr>
            <w:tcW w:w="540" w:type="dxa"/>
            <w:tcBorders>
              <w:top w:val="nil"/>
              <w:left w:val="nil"/>
              <w:bottom w:val="single" w:sz="4" w:space="0" w:color="BFBFBF"/>
              <w:right w:val="single" w:sz="4" w:space="0" w:color="BFBFBF"/>
            </w:tcBorders>
            <w:shd w:val="clear" w:color="auto" w:fill="auto"/>
            <w:noWrap/>
            <w:vAlign w:val="center"/>
          </w:tcPr>
          <w:p w14:paraId="32835C2E"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76%</w:t>
            </w:r>
          </w:p>
        </w:tc>
        <w:tc>
          <w:tcPr>
            <w:tcW w:w="484" w:type="dxa"/>
            <w:tcBorders>
              <w:top w:val="nil"/>
              <w:left w:val="nil"/>
              <w:bottom w:val="single" w:sz="4" w:space="0" w:color="BFBFBF"/>
              <w:right w:val="single" w:sz="4" w:space="0" w:color="BFBFBF"/>
            </w:tcBorders>
            <w:shd w:val="clear" w:color="auto" w:fill="auto"/>
            <w:noWrap/>
            <w:vAlign w:val="center"/>
          </w:tcPr>
          <w:p w14:paraId="74740CE0"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60%</w:t>
            </w:r>
          </w:p>
        </w:tc>
        <w:tc>
          <w:tcPr>
            <w:tcW w:w="552" w:type="dxa"/>
            <w:tcBorders>
              <w:top w:val="nil"/>
              <w:left w:val="nil"/>
              <w:bottom w:val="single" w:sz="4" w:space="0" w:color="BFBFBF"/>
              <w:right w:val="single" w:sz="4" w:space="0" w:color="BFBFBF"/>
            </w:tcBorders>
            <w:shd w:val="clear" w:color="auto" w:fill="auto"/>
            <w:noWrap/>
            <w:vAlign w:val="center"/>
          </w:tcPr>
          <w:p w14:paraId="231EE81C"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484" w:type="dxa"/>
            <w:tcBorders>
              <w:top w:val="nil"/>
              <w:left w:val="nil"/>
              <w:bottom w:val="single" w:sz="4" w:space="0" w:color="BFBFBF"/>
              <w:right w:val="single" w:sz="4" w:space="0" w:color="BFBFBF"/>
            </w:tcBorders>
            <w:shd w:val="clear" w:color="auto" w:fill="auto"/>
            <w:noWrap/>
            <w:vAlign w:val="center"/>
          </w:tcPr>
          <w:p w14:paraId="73BB4206"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80%</w:t>
            </w:r>
          </w:p>
        </w:tc>
        <w:tc>
          <w:tcPr>
            <w:tcW w:w="554" w:type="dxa"/>
            <w:tcBorders>
              <w:top w:val="nil"/>
              <w:left w:val="nil"/>
              <w:bottom w:val="single" w:sz="4" w:space="0" w:color="BFBFBF"/>
              <w:right w:val="single" w:sz="4" w:space="0" w:color="BFBFBF"/>
            </w:tcBorders>
            <w:shd w:val="clear" w:color="auto" w:fill="auto"/>
            <w:noWrap/>
            <w:vAlign w:val="center"/>
          </w:tcPr>
          <w:p w14:paraId="71E0E7CC" w14:textId="77777777" w:rsidR="00CA417A" w:rsidRPr="00E15E11" w:rsidRDefault="00CA417A" w:rsidP="006A62C9">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w:t>
            </w:r>
            <w:r w:rsidR="006A62C9" w:rsidRPr="00E15E11">
              <w:rPr>
                <w:rFonts w:ascii="Arial" w:hAnsi="Arial" w:cs="Arial"/>
                <w:color w:val="000000"/>
                <w:sz w:val="16"/>
                <w:szCs w:val="16"/>
                <w:lang w:val="en-AU" w:eastAsia="en-AU"/>
              </w:rPr>
              <w:t>6</w:t>
            </w:r>
            <w:r w:rsidRPr="00E15E11">
              <w:rPr>
                <w:rFonts w:ascii="Arial" w:hAnsi="Arial" w:cs="Arial"/>
                <w:color w:val="000000"/>
                <w:sz w:val="16"/>
                <w:szCs w:val="16"/>
                <w:lang w:val="en-AU" w:eastAsia="en-AU"/>
              </w:rPr>
              <w:t>%</w:t>
            </w:r>
          </w:p>
        </w:tc>
        <w:tc>
          <w:tcPr>
            <w:tcW w:w="553" w:type="dxa"/>
            <w:tcBorders>
              <w:top w:val="nil"/>
              <w:left w:val="nil"/>
              <w:bottom w:val="single" w:sz="4" w:space="0" w:color="BFBFBF"/>
              <w:right w:val="single" w:sz="4" w:space="0" w:color="BFBFBF"/>
            </w:tcBorders>
            <w:shd w:val="clear" w:color="auto" w:fill="auto"/>
            <w:noWrap/>
            <w:vAlign w:val="center"/>
          </w:tcPr>
          <w:p w14:paraId="5C29749E"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73%</w:t>
            </w:r>
          </w:p>
        </w:tc>
        <w:tc>
          <w:tcPr>
            <w:tcW w:w="553" w:type="dxa"/>
            <w:tcBorders>
              <w:top w:val="nil"/>
              <w:left w:val="nil"/>
              <w:bottom w:val="single" w:sz="4" w:space="0" w:color="BFBFBF"/>
              <w:right w:val="double" w:sz="6" w:space="0" w:color="auto"/>
            </w:tcBorders>
            <w:shd w:val="clear" w:color="auto" w:fill="auto"/>
            <w:noWrap/>
            <w:vAlign w:val="center"/>
          </w:tcPr>
          <w:p w14:paraId="3D6BC6D0"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87%</w:t>
            </w:r>
          </w:p>
        </w:tc>
      </w:tr>
      <w:tr w:rsidR="00CA417A" w:rsidRPr="00E15E11" w14:paraId="4E5CD1A8" w14:textId="77777777" w:rsidTr="00D92C64">
        <w:trPr>
          <w:trHeight w:val="283"/>
          <w:jc w:val="center"/>
        </w:trPr>
        <w:tc>
          <w:tcPr>
            <w:tcW w:w="2600" w:type="dxa"/>
            <w:tcBorders>
              <w:top w:val="nil"/>
              <w:left w:val="double" w:sz="6" w:space="0" w:color="auto"/>
              <w:bottom w:val="single" w:sz="4" w:space="0" w:color="BFBFBF"/>
              <w:right w:val="single" w:sz="4" w:space="0" w:color="BFBFBF"/>
            </w:tcBorders>
            <w:shd w:val="clear" w:color="auto" w:fill="auto"/>
            <w:noWrap/>
            <w:vAlign w:val="center"/>
          </w:tcPr>
          <w:p w14:paraId="05854089" w14:textId="77777777" w:rsidR="00CA417A" w:rsidRPr="00E15E11" w:rsidRDefault="00CA417A" w:rsidP="00CA417A">
            <w:pPr>
              <w:spacing w:before="0" w:after="0"/>
              <w:rPr>
                <w:rFonts w:ascii="Arial" w:hAnsi="Arial" w:cs="Arial"/>
                <w:color w:val="000000"/>
                <w:sz w:val="16"/>
                <w:szCs w:val="16"/>
                <w:lang w:val="en-AU" w:eastAsia="en-AU"/>
              </w:rPr>
            </w:pPr>
            <w:r w:rsidRPr="00E15E11">
              <w:rPr>
                <w:rFonts w:ascii="Arial" w:hAnsi="Arial" w:cs="Arial"/>
                <w:color w:val="000000"/>
                <w:sz w:val="16"/>
                <w:szCs w:val="16"/>
                <w:lang w:val="en-AU" w:eastAsia="en-AU"/>
              </w:rPr>
              <w:t>Other</w:t>
            </w:r>
          </w:p>
        </w:tc>
        <w:tc>
          <w:tcPr>
            <w:tcW w:w="594" w:type="dxa"/>
            <w:tcBorders>
              <w:top w:val="nil"/>
              <w:left w:val="nil"/>
              <w:bottom w:val="single" w:sz="4" w:space="0" w:color="BFBFBF"/>
              <w:right w:val="single" w:sz="4" w:space="0" w:color="BFBFBF"/>
            </w:tcBorders>
            <w:shd w:val="clear" w:color="auto" w:fill="auto"/>
            <w:noWrap/>
            <w:vAlign w:val="center"/>
          </w:tcPr>
          <w:p w14:paraId="64098668"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93" w:type="dxa"/>
            <w:tcBorders>
              <w:top w:val="nil"/>
              <w:left w:val="nil"/>
              <w:bottom w:val="single" w:sz="4" w:space="0" w:color="BFBFBF"/>
              <w:right w:val="single" w:sz="4" w:space="0" w:color="BFBFBF"/>
            </w:tcBorders>
            <w:shd w:val="clear" w:color="auto" w:fill="auto"/>
            <w:noWrap/>
            <w:vAlign w:val="center"/>
          </w:tcPr>
          <w:p w14:paraId="5C763E4A"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93" w:type="dxa"/>
            <w:tcBorders>
              <w:top w:val="nil"/>
              <w:left w:val="nil"/>
              <w:bottom w:val="single" w:sz="4" w:space="0" w:color="BFBFBF"/>
              <w:right w:val="single" w:sz="4" w:space="0" w:color="BFBFBF"/>
            </w:tcBorders>
            <w:shd w:val="clear" w:color="auto" w:fill="auto"/>
            <w:noWrap/>
            <w:vAlign w:val="center"/>
          </w:tcPr>
          <w:p w14:paraId="3F40760C"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26FD8A0B"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87" w:type="dxa"/>
            <w:tcBorders>
              <w:top w:val="nil"/>
              <w:left w:val="nil"/>
              <w:bottom w:val="single" w:sz="4" w:space="0" w:color="BFBFBF"/>
              <w:right w:val="single" w:sz="4" w:space="0" w:color="BFBFBF"/>
            </w:tcBorders>
            <w:shd w:val="clear" w:color="auto" w:fill="auto"/>
            <w:noWrap/>
            <w:vAlign w:val="center"/>
          </w:tcPr>
          <w:p w14:paraId="67A5A01C"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87" w:type="dxa"/>
            <w:tcBorders>
              <w:top w:val="nil"/>
              <w:left w:val="nil"/>
              <w:bottom w:val="single" w:sz="4" w:space="0" w:color="BFBFBF"/>
              <w:right w:val="single" w:sz="4" w:space="0" w:color="BFBFBF"/>
            </w:tcBorders>
            <w:shd w:val="clear" w:color="auto" w:fill="auto"/>
            <w:noWrap/>
            <w:vAlign w:val="center"/>
          </w:tcPr>
          <w:p w14:paraId="57FC4363"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94" w:type="dxa"/>
            <w:tcBorders>
              <w:top w:val="nil"/>
              <w:left w:val="nil"/>
              <w:bottom w:val="single" w:sz="4" w:space="0" w:color="BFBFBF"/>
              <w:right w:val="single" w:sz="4" w:space="0" w:color="BFBFBF"/>
            </w:tcBorders>
            <w:shd w:val="clear" w:color="auto" w:fill="auto"/>
            <w:noWrap/>
            <w:vAlign w:val="center"/>
          </w:tcPr>
          <w:p w14:paraId="03B2186B"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3%</w:t>
            </w:r>
          </w:p>
        </w:tc>
        <w:tc>
          <w:tcPr>
            <w:tcW w:w="593" w:type="dxa"/>
            <w:tcBorders>
              <w:top w:val="nil"/>
              <w:left w:val="nil"/>
              <w:bottom w:val="single" w:sz="4" w:space="0" w:color="BFBFBF"/>
              <w:right w:val="single" w:sz="4" w:space="0" w:color="BFBFBF"/>
            </w:tcBorders>
            <w:shd w:val="clear" w:color="auto" w:fill="auto"/>
            <w:noWrap/>
            <w:vAlign w:val="center"/>
          </w:tcPr>
          <w:p w14:paraId="625F601D"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w:t>
            </w:r>
          </w:p>
        </w:tc>
        <w:tc>
          <w:tcPr>
            <w:tcW w:w="593" w:type="dxa"/>
            <w:tcBorders>
              <w:top w:val="nil"/>
              <w:left w:val="nil"/>
              <w:bottom w:val="single" w:sz="4" w:space="0" w:color="BFBFBF"/>
              <w:right w:val="single" w:sz="4" w:space="0" w:color="BFBFBF"/>
            </w:tcBorders>
            <w:shd w:val="clear" w:color="auto" w:fill="auto"/>
            <w:noWrap/>
            <w:vAlign w:val="center"/>
          </w:tcPr>
          <w:p w14:paraId="7FF72EEB"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40" w:type="dxa"/>
            <w:tcBorders>
              <w:top w:val="nil"/>
              <w:left w:val="nil"/>
              <w:bottom w:val="single" w:sz="4" w:space="0" w:color="BFBFBF"/>
              <w:right w:val="single" w:sz="4" w:space="0" w:color="BFBFBF"/>
            </w:tcBorders>
            <w:shd w:val="clear" w:color="auto" w:fill="auto"/>
            <w:noWrap/>
            <w:vAlign w:val="center"/>
          </w:tcPr>
          <w:p w14:paraId="48CFED46"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40" w:type="dxa"/>
            <w:tcBorders>
              <w:top w:val="nil"/>
              <w:left w:val="nil"/>
              <w:bottom w:val="single" w:sz="4" w:space="0" w:color="BFBFBF"/>
              <w:right w:val="single" w:sz="4" w:space="0" w:color="BFBFBF"/>
            </w:tcBorders>
            <w:shd w:val="clear" w:color="auto" w:fill="auto"/>
            <w:noWrap/>
            <w:vAlign w:val="center"/>
          </w:tcPr>
          <w:p w14:paraId="6BCE72AA"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5%</w:t>
            </w:r>
          </w:p>
        </w:tc>
        <w:tc>
          <w:tcPr>
            <w:tcW w:w="540" w:type="dxa"/>
            <w:tcBorders>
              <w:top w:val="nil"/>
              <w:left w:val="nil"/>
              <w:bottom w:val="single" w:sz="4" w:space="0" w:color="BFBFBF"/>
              <w:right w:val="single" w:sz="4" w:space="0" w:color="BFBFBF"/>
            </w:tcBorders>
            <w:shd w:val="clear" w:color="auto" w:fill="auto"/>
            <w:noWrap/>
            <w:vAlign w:val="center"/>
          </w:tcPr>
          <w:p w14:paraId="6A11D499"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484" w:type="dxa"/>
            <w:tcBorders>
              <w:top w:val="nil"/>
              <w:left w:val="nil"/>
              <w:bottom w:val="single" w:sz="4" w:space="0" w:color="BFBFBF"/>
              <w:right w:val="single" w:sz="4" w:space="0" w:color="BFBFBF"/>
            </w:tcBorders>
            <w:shd w:val="clear" w:color="auto" w:fill="auto"/>
            <w:noWrap/>
            <w:vAlign w:val="center"/>
          </w:tcPr>
          <w:p w14:paraId="4915E0B3"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52" w:type="dxa"/>
            <w:tcBorders>
              <w:top w:val="nil"/>
              <w:left w:val="nil"/>
              <w:bottom w:val="single" w:sz="4" w:space="0" w:color="BFBFBF"/>
              <w:right w:val="single" w:sz="4" w:space="0" w:color="BFBFBF"/>
            </w:tcBorders>
            <w:shd w:val="clear" w:color="auto" w:fill="auto"/>
            <w:noWrap/>
            <w:vAlign w:val="center"/>
          </w:tcPr>
          <w:p w14:paraId="675A1B2D"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484" w:type="dxa"/>
            <w:tcBorders>
              <w:top w:val="nil"/>
              <w:left w:val="nil"/>
              <w:bottom w:val="single" w:sz="4" w:space="0" w:color="BFBFBF"/>
              <w:right w:val="single" w:sz="4" w:space="0" w:color="BFBFBF"/>
            </w:tcBorders>
            <w:shd w:val="clear" w:color="auto" w:fill="auto"/>
            <w:noWrap/>
            <w:vAlign w:val="center"/>
          </w:tcPr>
          <w:p w14:paraId="06D1799F"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54" w:type="dxa"/>
            <w:tcBorders>
              <w:top w:val="nil"/>
              <w:left w:val="nil"/>
              <w:bottom w:val="single" w:sz="4" w:space="0" w:color="BFBFBF"/>
              <w:right w:val="single" w:sz="4" w:space="0" w:color="BFBFBF"/>
            </w:tcBorders>
            <w:shd w:val="clear" w:color="auto" w:fill="auto"/>
            <w:noWrap/>
            <w:vAlign w:val="center"/>
          </w:tcPr>
          <w:p w14:paraId="2D338E4C"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53" w:type="dxa"/>
            <w:tcBorders>
              <w:top w:val="nil"/>
              <w:left w:val="nil"/>
              <w:bottom w:val="single" w:sz="4" w:space="0" w:color="BFBFBF"/>
              <w:right w:val="single" w:sz="4" w:space="0" w:color="BFBFBF"/>
            </w:tcBorders>
            <w:shd w:val="clear" w:color="auto" w:fill="auto"/>
            <w:noWrap/>
            <w:vAlign w:val="center"/>
          </w:tcPr>
          <w:p w14:paraId="2DE6C2AA"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53" w:type="dxa"/>
            <w:tcBorders>
              <w:top w:val="nil"/>
              <w:left w:val="nil"/>
              <w:bottom w:val="single" w:sz="4" w:space="0" w:color="BFBFBF"/>
              <w:right w:val="double" w:sz="6" w:space="0" w:color="auto"/>
            </w:tcBorders>
            <w:shd w:val="clear" w:color="auto" w:fill="auto"/>
            <w:noWrap/>
            <w:vAlign w:val="center"/>
          </w:tcPr>
          <w:p w14:paraId="08C6D16C"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r>
      <w:tr w:rsidR="00CA417A" w:rsidRPr="00E15E11" w14:paraId="25AA2BBD" w14:textId="77777777" w:rsidTr="00D92C64">
        <w:trPr>
          <w:trHeight w:val="283"/>
          <w:jc w:val="center"/>
        </w:trPr>
        <w:tc>
          <w:tcPr>
            <w:tcW w:w="2600" w:type="dxa"/>
            <w:tcBorders>
              <w:top w:val="nil"/>
              <w:left w:val="double" w:sz="6" w:space="0" w:color="auto"/>
              <w:bottom w:val="double" w:sz="6" w:space="0" w:color="auto"/>
              <w:right w:val="single" w:sz="4" w:space="0" w:color="BFBFBF"/>
            </w:tcBorders>
            <w:shd w:val="clear" w:color="auto" w:fill="auto"/>
            <w:noWrap/>
            <w:vAlign w:val="center"/>
          </w:tcPr>
          <w:p w14:paraId="59E4076D" w14:textId="77777777" w:rsidR="00CA417A" w:rsidRPr="00E15E11" w:rsidRDefault="00CA417A" w:rsidP="00CA417A">
            <w:pPr>
              <w:spacing w:before="0" w:after="0"/>
              <w:rPr>
                <w:rFonts w:ascii="Arial" w:hAnsi="Arial" w:cs="Arial"/>
                <w:color w:val="000000"/>
                <w:sz w:val="16"/>
                <w:szCs w:val="16"/>
                <w:lang w:val="en-AU" w:eastAsia="en-AU"/>
              </w:rPr>
            </w:pPr>
            <w:r w:rsidRPr="00E15E11">
              <w:rPr>
                <w:rFonts w:ascii="Arial" w:hAnsi="Arial" w:cs="Arial"/>
                <w:color w:val="000000"/>
                <w:sz w:val="16"/>
                <w:szCs w:val="16"/>
                <w:lang w:val="en-AU" w:eastAsia="en-AU"/>
              </w:rPr>
              <w:t>Can't say</w:t>
            </w:r>
          </w:p>
        </w:tc>
        <w:tc>
          <w:tcPr>
            <w:tcW w:w="594" w:type="dxa"/>
            <w:tcBorders>
              <w:top w:val="nil"/>
              <w:left w:val="nil"/>
              <w:bottom w:val="double" w:sz="6" w:space="0" w:color="auto"/>
              <w:right w:val="single" w:sz="4" w:space="0" w:color="BFBFBF"/>
            </w:tcBorders>
            <w:shd w:val="clear" w:color="auto" w:fill="auto"/>
            <w:noWrap/>
            <w:vAlign w:val="center"/>
          </w:tcPr>
          <w:p w14:paraId="1BFDC1EF"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w:t>
            </w:r>
          </w:p>
        </w:tc>
        <w:tc>
          <w:tcPr>
            <w:tcW w:w="593" w:type="dxa"/>
            <w:tcBorders>
              <w:top w:val="nil"/>
              <w:left w:val="nil"/>
              <w:bottom w:val="double" w:sz="6" w:space="0" w:color="auto"/>
              <w:right w:val="single" w:sz="4" w:space="0" w:color="BFBFBF"/>
            </w:tcBorders>
            <w:shd w:val="clear" w:color="auto" w:fill="auto"/>
            <w:noWrap/>
            <w:vAlign w:val="center"/>
          </w:tcPr>
          <w:p w14:paraId="71059F6D"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93" w:type="dxa"/>
            <w:tcBorders>
              <w:top w:val="nil"/>
              <w:left w:val="nil"/>
              <w:bottom w:val="double" w:sz="6" w:space="0" w:color="auto"/>
              <w:right w:val="single" w:sz="4" w:space="0" w:color="BFBFBF"/>
            </w:tcBorders>
            <w:shd w:val="clear" w:color="auto" w:fill="auto"/>
            <w:noWrap/>
            <w:vAlign w:val="center"/>
          </w:tcPr>
          <w:p w14:paraId="7FC1FBE0"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86" w:type="dxa"/>
            <w:tcBorders>
              <w:top w:val="nil"/>
              <w:left w:val="nil"/>
              <w:bottom w:val="double" w:sz="6" w:space="0" w:color="auto"/>
              <w:right w:val="single" w:sz="4" w:space="0" w:color="BFBFBF"/>
            </w:tcBorders>
            <w:shd w:val="clear" w:color="auto" w:fill="auto"/>
            <w:noWrap/>
            <w:vAlign w:val="center"/>
          </w:tcPr>
          <w:p w14:paraId="4FE8B423"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87" w:type="dxa"/>
            <w:tcBorders>
              <w:top w:val="nil"/>
              <w:left w:val="nil"/>
              <w:bottom w:val="double" w:sz="6" w:space="0" w:color="auto"/>
              <w:right w:val="single" w:sz="4" w:space="0" w:color="BFBFBF"/>
            </w:tcBorders>
            <w:shd w:val="clear" w:color="auto" w:fill="auto"/>
            <w:noWrap/>
            <w:vAlign w:val="center"/>
          </w:tcPr>
          <w:p w14:paraId="2D5394FB"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87" w:type="dxa"/>
            <w:tcBorders>
              <w:top w:val="nil"/>
              <w:left w:val="nil"/>
              <w:bottom w:val="double" w:sz="6" w:space="0" w:color="auto"/>
              <w:right w:val="single" w:sz="4" w:space="0" w:color="BFBFBF"/>
            </w:tcBorders>
            <w:shd w:val="clear" w:color="auto" w:fill="auto"/>
            <w:noWrap/>
            <w:vAlign w:val="center"/>
          </w:tcPr>
          <w:p w14:paraId="7A873B18"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94" w:type="dxa"/>
            <w:tcBorders>
              <w:top w:val="nil"/>
              <w:left w:val="nil"/>
              <w:bottom w:val="double" w:sz="6" w:space="0" w:color="auto"/>
              <w:right w:val="single" w:sz="4" w:space="0" w:color="BFBFBF"/>
            </w:tcBorders>
            <w:shd w:val="clear" w:color="auto" w:fill="auto"/>
            <w:noWrap/>
            <w:vAlign w:val="center"/>
          </w:tcPr>
          <w:p w14:paraId="30F306B9"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6%</w:t>
            </w:r>
          </w:p>
        </w:tc>
        <w:tc>
          <w:tcPr>
            <w:tcW w:w="593" w:type="dxa"/>
            <w:tcBorders>
              <w:top w:val="nil"/>
              <w:left w:val="nil"/>
              <w:bottom w:val="double" w:sz="6" w:space="0" w:color="auto"/>
              <w:right w:val="single" w:sz="4" w:space="0" w:color="BFBFBF"/>
            </w:tcBorders>
            <w:shd w:val="clear" w:color="auto" w:fill="auto"/>
            <w:noWrap/>
            <w:vAlign w:val="center"/>
          </w:tcPr>
          <w:p w14:paraId="7655BC8C"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93" w:type="dxa"/>
            <w:tcBorders>
              <w:top w:val="nil"/>
              <w:left w:val="nil"/>
              <w:bottom w:val="double" w:sz="6" w:space="0" w:color="auto"/>
              <w:right w:val="single" w:sz="4" w:space="0" w:color="BFBFBF"/>
            </w:tcBorders>
            <w:shd w:val="clear" w:color="auto" w:fill="auto"/>
            <w:noWrap/>
            <w:vAlign w:val="center"/>
          </w:tcPr>
          <w:p w14:paraId="522F42CA"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3%</w:t>
            </w:r>
          </w:p>
        </w:tc>
        <w:tc>
          <w:tcPr>
            <w:tcW w:w="540" w:type="dxa"/>
            <w:tcBorders>
              <w:top w:val="nil"/>
              <w:left w:val="nil"/>
              <w:bottom w:val="double" w:sz="6" w:space="0" w:color="auto"/>
              <w:right w:val="single" w:sz="4" w:space="0" w:color="BFBFBF"/>
            </w:tcBorders>
            <w:shd w:val="clear" w:color="auto" w:fill="auto"/>
            <w:noWrap/>
            <w:vAlign w:val="center"/>
          </w:tcPr>
          <w:p w14:paraId="7A222A01"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w:t>
            </w:r>
          </w:p>
        </w:tc>
        <w:tc>
          <w:tcPr>
            <w:tcW w:w="540" w:type="dxa"/>
            <w:tcBorders>
              <w:top w:val="nil"/>
              <w:left w:val="nil"/>
              <w:bottom w:val="double" w:sz="6" w:space="0" w:color="auto"/>
              <w:right w:val="single" w:sz="4" w:space="0" w:color="BFBFBF"/>
            </w:tcBorders>
            <w:shd w:val="clear" w:color="auto" w:fill="auto"/>
            <w:noWrap/>
            <w:vAlign w:val="center"/>
          </w:tcPr>
          <w:p w14:paraId="0BB2546A"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40" w:type="dxa"/>
            <w:tcBorders>
              <w:top w:val="nil"/>
              <w:left w:val="nil"/>
              <w:bottom w:val="double" w:sz="6" w:space="0" w:color="auto"/>
              <w:right w:val="single" w:sz="4" w:space="0" w:color="BFBFBF"/>
            </w:tcBorders>
            <w:shd w:val="clear" w:color="auto" w:fill="auto"/>
            <w:noWrap/>
            <w:vAlign w:val="center"/>
          </w:tcPr>
          <w:p w14:paraId="535D1749"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10%</w:t>
            </w:r>
          </w:p>
        </w:tc>
        <w:tc>
          <w:tcPr>
            <w:tcW w:w="484" w:type="dxa"/>
            <w:tcBorders>
              <w:top w:val="nil"/>
              <w:left w:val="nil"/>
              <w:bottom w:val="double" w:sz="6" w:space="0" w:color="auto"/>
              <w:right w:val="single" w:sz="4" w:space="0" w:color="BFBFBF"/>
            </w:tcBorders>
            <w:shd w:val="clear" w:color="auto" w:fill="auto"/>
            <w:noWrap/>
            <w:vAlign w:val="center"/>
          </w:tcPr>
          <w:p w14:paraId="35532EE0"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52" w:type="dxa"/>
            <w:tcBorders>
              <w:top w:val="nil"/>
              <w:left w:val="nil"/>
              <w:bottom w:val="double" w:sz="6" w:space="0" w:color="auto"/>
              <w:right w:val="single" w:sz="4" w:space="0" w:color="BFBFBF"/>
            </w:tcBorders>
            <w:shd w:val="clear" w:color="auto" w:fill="auto"/>
            <w:noWrap/>
            <w:vAlign w:val="center"/>
          </w:tcPr>
          <w:p w14:paraId="533A1BAB"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484" w:type="dxa"/>
            <w:tcBorders>
              <w:top w:val="nil"/>
              <w:left w:val="nil"/>
              <w:bottom w:val="double" w:sz="6" w:space="0" w:color="auto"/>
              <w:right w:val="single" w:sz="4" w:space="0" w:color="BFBFBF"/>
            </w:tcBorders>
            <w:shd w:val="clear" w:color="auto" w:fill="auto"/>
            <w:noWrap/>
            <w:vAlign w:val="center"/>
          </w:tcPr>
          <w:p w14:paraId="77445638"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54" w:type="dxa"/>
            <w:tcBorders>
              <w:top w:val="nil"/>
              <w:left w:val="nil"/>
              <w:bottom w:val="double" w:sz="6" w:space="0" w:color="auto"/>
              <w:right w:val="single" w:sz="4" w:space="0" w:color="BFBFBF"/>
            </w:tcBorders>
            <w:shd w:val="clear" w:color="auto" w:fill="auto"/>
            <w:noWrap/>
            <w:vAlign w:val="center"/>
          </w:tcPr>
          <w:p w14:paraId="13ACA027" w14:textId="77777777" w:rsidR="00CA417A" w:rsidRPr="00E15E11" w:rsidRDefault="006A62C9" w:rsidP="006A62C9">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w:t>
            </w:r>
            <w:r w:rsidR="00CA417A" w:rsidRPr="00E15E11">
              <w:rPr>
                <w:rFonts w:ascii="Arial" w:hAnsi="Arial" w:cs="Arial"/>
                <w:color w:val="000000"/>
                <w:sz w:val="16"/>
                <w:szCs w:val="16"/>
                <w:lang w:val="en-AU" w:eastAsia="en-AU"/>
              </w:rPr>
              <w:t>%</w:t>
            </w:r>
          </w:p>
        </w:tc>
        <w:tc>
          <w:tcPr>
            <w:tcW w:w="553" w:type="dxa"/>
            <w:tcBorders>
              <w:top w:val="nil"/>
              <w:left w:val="nil"/>
              <w:bottom w:val="double" w:sz="6" w:space="0" w:color="auto"/>
              <w:right w:val="single" w:sz="4" w:space="0" w:color="BFBFBF"/>
            </w:tcBorders>
            <w:shd w:val="clear" w:color="auto" w:fill="auto"/>
            <w:noWrap/>
            <w:vAlign w:val="center"/>
          </w:tcPr>
          <w:p w14:paraId="6088AABE"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53" w:type="dxa"/>
            <w:tcBorders>
              <w:top w:val="nil"/>
              <w:left w:val="nil"/>
              <w:bottom w:val="double" w:sz="6" w:space="0" w:color="auto"/>
              <w:right w:val="double" w:sz="6" w:space="0" w:color="auto"/>
            </w:tcBorders>
            <w:shd w:val="clear" w:color="auto" w:fill="auto"/>
            <w:noWrap/>
            <w:vAlign w:val="center"/>
          </w:tcPr>
          <w:p w14:paraId="760B2C2A" w14:textId="77777777" w:rsidR="00CA417A" w:rsidRPr="00E15E11" w:rsidRDefault="00CA417A"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r>
    </w:tbl>
    <w:p w14:paraId="0C5CBB78" w14:textId="77777777" w:rsidR="00E02C75" w:rsidRPr="00E15E11" w:rsidRDefault="00E02C75" w:rsidP="00D92C64">
      <w:pPr>
        <w:pStyle w:val="Para"/>
        <w:spacing w:before="60" w:line="200" w:lineRule="exact"/>
        <w:ind w:left="720"/>
        <w:rPr>
          <w:sz w:val="20"/>
          <w:lang w:val="en-AU"/>
        </w:rPr>
      </w:pPr>
      <w:r w:rsidRPr="00E15E11">
        <w:rPr>
          <w:sz w:val="20"/>
          <w:lang w:val="en-AU"/>
        </w:rPr>
        <w:t xml:space="preserve">Base: Total respondents who received a water bill, </w:t>
      </w:r>
      <w:r w:rsidR="00CA417A" w:rsidRPr="00E15E11">
        <w:rPr>
          <w:sz w:val="20"/>
          <w:lang w:val="en-AU"/>
        </w:rPr>
        <w:t xml:space="preserve">2014 (n=1,683); </w:t>
      </w:r>
      <w:r w:rsidRPr="00E15E11">
        <w:rPr>
          <w:sz w:val="20"/>
          <w:lang w:val="en-AU"/>
        </w:rPr>
        <w:t>2007 (n=1,897); 2001 (n=1,817)</w:t>
      </w:r>
    </w:p>
    <w:p w14:paraId="5C909AD9" w14:textId="77777777" w:rsidR="00474260" w:rsidRPr="00E15E11" w:rsidRDefault="00474260" w:rsidP="00AF3ACB">
      <w:pPr>
        <w:pStyle w:val="Para"/>
        <w:spacing w:beforeLines="40" w:before="96" w:line="200" w:lineRule="exact"/>
        <w:ind w:left="720"/>
        <w:rPr>
          <w:sz w:val="20"/>
          <w:lang w:val="en-AU"/>
        </w:rPr>
      </w:pPr>
      <w:r w:rsidRPr="00E15E11">
        <w:rPr>
          <w:sz w:val="20"/>
          <w:lang w:val="en-AU"/>
        </w:rPr>
        <w:t>1.  CAUTION: Small sample sizes.</w:t>
      </w:r>
    </w:p>
    <w:p w14:paraId="32914FC6" w14:textId="77777777" w:rsidR="00E02C75" w:rsidRPr="00E15E11" w:rsidRDefault="00E02C75" w:rsidP="00E02C75">
      <w:pPr>
        <w:pStyle w:val="Para"/>
        <w:rPr>
          <w:lang w:val="en-AU"/>
        </w:rPr>
      </w:pPr>
    </w:p>
    <w:p w14:paraId="0BAE29B6" w14:textId="77777777" w:rsidR="00E02C75" w:rsidRPr="00E15E11" w:rsidRDefault="00E02C75" w:rsidP="00E02C75">
      <w:pPr>
        <w:pStyle w:val="Para"/>
        <w:rPr>
          <w:lang w:val="en-AU"/>
        </w:rPr>
      </w:pPr>
    </w:p>
    <w:p w14:paraId="3382E93C" w14:textId="77777777" w:rsidR="00E02C75" w:rsidRPr="00E15E11" w:rsidRDefault="00E02C75" w:rsidP="00DB3EA3">
      <w:pPr>
        <w:pStyle w:val="Para"/>
        <w:spacing w:line="240" w:lineRule="auto"/>
        <w:jc w:val="center"/>
        <w:outlineLvl w:val="0"/>
        <w:rPr>
          <w:lang w:val="en-AU"/>
        </w:rPr>
      </w:pPr>
      <w:r w:rsidRPr="00E15E11">
        <w:rPr>
          <w:b/>
          <w:lang w:val="en-AU"/>
        </w:rPr>
        <w:t xml:space="preserve">Table </w:t>
      </w:r>
      <w:r w:rsidR="00CA417A" w:rsidRPr="00E15E11">
        <w:rPr>
          <w:b/>
          <w:lang w:val="en-AU"/>
        </w:rPr>
        <w:t>5</w:t>
      </w:r>
      <w:r w:rsidRPr="00E15E11">
        <w:rPr>
          <w:b/>
          <w:lang w:val="en-AU"/>
        </w:rPr>
        <w:t>.1.</w:t>
      </w:r>
      <w:r w:rsidR="00CA417A" w:rsidRPr="00E15E11">
        <w:rPr>
          <w:b/>
          <w:lang w:val="en-AU"/>
        </w:rPr>
        <w:t>2</w:t>
      </w:r>
      <w:r w:rsidRPr="00E15E11">
        <w:rPr>
          <w:b/>
          <w:lang w:val="en-AU"/>
        </w:rPr>
        <w:t xml:space="preserve">.3: </w:t>
      </w:r>
      <w:r w:rsidRPr="00E15E11">
        <w:rPr>
          <w:b/>
          <w:u w:val="single"/>
          <w:lang w:val="en-AU"/>
        </w:rPr>
        <w:t xml:space="preserve">Type of Water Bill </w:t>
      </w:r>
      <w:r w:rsidR="00D77F68" w:rsidRPr="00E15E11">
        <w:rPr>
          <w:b/>
          <w:u w:val="single"/>
          <w:lang w:val="en-AU"/>
        </w:rPr>
        <w:t xml:space="preserve">Claimed </w:t>
      </w:r>
      <w:r w:rsidRPr="00E15E11">
        <w:rPr>
          <w:b/>
          <w:u w:val="single"/>
          <w:lang w:val="en-AU"/>
        </w:rPr>
        <w:t>Received by Housing Status</w:t>
      </w:r>
    </w:p>
    <w:p w14:paraId="403A6C87" w14:textId="77777777" w:rsidR="00E02C75" w:rsidRPr="00E15E11" w:rsidRDefault="00E02C75" w:rsidP="00E02C75">
      <w:pPr>
        <w:pStyle w:val="Para"/>
        <w:spacing w:line="240" w:lineRule="auto"/>
        <w:rPr>
          <w:sz w:val="16"/>
          <w:lang w:val="en-AU"/>
        </w:rPr>
      </w:pPr>
    </w:p>
    <w:tbl>
      <w:tblPr>
        <w:tblW w:w="11062" w:type="dxa"/>
        <w:jc w:val="center"/>
        <w:tblLook w:val="04A0" w:firstRow="1" w:lastRow="0" w:firstColumn="1" w:lastColumn="0" w:noHBand="0" w:noVBand="1"/>
      </w:tblPr>
      <w:tblGrid>
        <w:gridCol w:w="2600"/>
        <w:gridCol w:w="594"/>
        <w:gridCol w:w="593"/>
        <w:gridCol w:w="593"/>
        <w:gridCol w:w="587"/>
        <w:gridCol w:w="587"/>
        <w:gridCol w:w="587"/>
        <w:gridCol w:w="594"/>
        <w:gridCol w:w="593"/>
        <w:gridCol w:w="593"/>
        <w:gridCol w:w="572"/>
        <w:gridCol w:w="572"/>
        <w:gridCol w:w="572"/>
        <w:gridCol w:w="572"/>
        <w:gridCol w:w="572"/>
        <w:gridCol w:w="572"/>
      </w:tblGrid>
      <w:tr w:rsidR="0035571C" w:rsidRPr="00E15E11" w14:paraId="759DC294" w14:textId="77777777" w:rsidTr="00DB3EA3">
        <w:trPr>
          <w:trHeight w:val="450"/>
          <w:jc w:val="center"/>
        </w:trPr>
        <w:tc>
          <w:tcPr>
            <w:tcW w:w="2600" w:type="dxa"/>
            <w:vMerge w:val="restart"/>
            <w:tcBorders>
              <w:top w:val="double" w:sz="6" w:space="0" w:color="auto"/>
              <w:left w:val="double" w:sz="6" w:space="0" w:color="auto"/>
              <w:bottom w:val="single" w:sz="4" w:space="0" w:color="BFBFBF"/>
              <w:right w:val="single" w:sz="4" w:space="0" w:color="BFBFBF"/>
            </w:tcBorders>
            <w:shd w:val="clear" w:color="auto" w:fill="auto"/>
            <w:noWrap/>
            <w:vAlign w:val="center"/>
          </w:tcPr>
          <w:p w14:paraId="1C6246B2" w14:textId="77777777" w:rsidR="0035571C" w:rsidRPr="00E15E11" w:rsidRDefault="0035571C" w:rsidP="0035571C">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Claimed Type of Water Bill</w:t>
            </w:r>
          </w:p>
        </w:tc>
        <w:tc>
          <w:tcPr>
            <w:tcW w:w="1780" w:type="dxa"/>
            <w:gridSpan w:val="3"/>
            <w:tcBorders>
              <w:top w:val="double" w:sz="6" w:space="0" w:color="auto"/>
              <w:left w:val="nil"/>
              <w:bottom w:val="single" w:sz="4" w:space="0" w:color="BFBFBF"/>
              <w:right w:val="single" w:sz="4" w:space="0" w:color="BFBFBF"/>
            </w:tcBorders>
            <w:shd w:val="clear" w:color="auto" w:fill="auto"/>
            <w:noWrap/>
            <w:vAlign w:val="center"/>
          </w:tcPr>
          <w:p w14:paraId="013ED15E" w14:textId="77777777" w:rsidR="0035571C" w:rsidRPr="00E15E11" w:rsidRDefault="0035571C" w:rsidP="0035571C">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Owned/fully paid off</w:t>
            </w:r>
          </w:p>
        </w:tc>
        <w:tc>
          <w:tcPr>
            <w:tcW w:w="1761" w:type="dxa"/>
            <w:gridSpan w:val="3"/>
            <w:tcBorders>
              <w:top w:val="double" w:sz="6" w:space="0" w:color="auto"/>
              <w:left w:val="nil"/>
              <w:bottom w:val="single" w:sz="4" w:space="0" w:color="BFBFBF"/>
              <w:right w:val="single" w:sz="4" w:space="0" w:color="BFBFBF"/>
            </w:tcBorders>
            <w:shd w:val="clear" w:color="auto" w:fill="auto"/>
            <w:noWrap/>
            <w:vAlign w:val="center"/>
          </w:tcPr>
          <w:p w14:paraId="61F2A730" w14:textId="77777777" w:rsidR="0035571C" w:rsidRPr="00E15E11" w:rsidRDefault="0035571C" w:rsidP="0035571C">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Buying/paying off</w:t>
            </w:r>
          </w:p>
        </w:tc>
        <w:tc>
          <w:tcPr>
            <w:tcW w:w="1780" w:type="dxa"/>
            <w:gridSpan w:val="3"/>
            <w:tcBorders>
              <w:top w:val="double" w:sz="6" w:space="0" w:color="auto"/>
              <w:left w:val="nil"/>
              <w:bottom w:val="single" w:sz="4" w:space="0" w:color="BFBFBF"/>
              <w:right w:val="single" w:sz="4" w:space="0" w:color="BFBFBF"/>
            </w:tcBorders>
            <w:shd w:val="clear" w:color="auto" w:fill="auto"/>
            <w:noWrap/>
            <w:vAlign w:val="center"/>
          </w:tcPr>
          <w:p w14:paraId="3504C471" w14:textId="77777777" w:rsidR="0035571C" w:rsidRPr="00E15E11" w:rsidRDefault="0035571C" w:rsidP="0035571C">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Rent - Private</w:t>
            </w:r>
            <w:r w:rsidRPr="00E15E11">
              <w:rPr>
                <w:rFonts w:ascii="Arial" w:hAnsi="Arial" w:cs="Arial"/>
                <w:b/>
                <w:bCs/>
                <w:color w:val="000000"/>
                <w:sz w:val="16"/>
                <w:szCs w:val="16"/>
                <w:vertAlign w:val="superscript"/>
                <w:lang w:val="en-AU" w:eastAsia="en-AU"/>
              </w:rPr>
              <w:t>1</w:t>
            </w:r>
          </w:p>
        </w:tc>
        <w:tc>
          <w:tcPr>
            <w:tcW w:w="1620" w:type="dxa"/>
            <w:gridSpan w:val="3"/>
            <w:tcBorders>
              <w:top w:val="double" w:sz="6" w:space="0" w:color="auto"/>
              <w:left w:val="nil"/>
              <w:bottom w:val="single" w:sz="4" w:space="0" w:color="BFBFBF"/>
              <w:right w:val="single" w:sz="4" w:space="0" w:color="BFBFBF"/>
            </w:tcBorders>
            <w:shd w:val="clear" w:color="auto" w:fill="auto"/>
            <w:noWrap/>
            <w:vAlign w:val="center"/>
          </w:tcPr>
          <w:p w14:paraId="12F0E67D" w14:textId="77777777" w:rsidR="0035571C" w:rsidRPr="00E15E11" w:rsidRDefault="0035571C" w:rsidP="0035571C">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Rent - Public</w:t>
            </w:r>
            <w:r w:rsidRPr="00E15E11">
              <w:rPr>
                <w:rFonts w:ascii="Arial" w:hAnsi="Arial" w:cs="Arial"/>
                <w:b/>
                <w:bCs/>
                <w:color w:val="000000"/>
                <w:sz w:val="16"/>
                <w:szCs w:val="16"/>
                <w:vertAlign w:val="superscript"/>
                <w:lang w:val="en-AU" w:eastAsia="en-AU"/>
              </w:rPr>
              <w:t>1</w:t>
            </w:r>
          </w:p>
        </w:tc>
        <w:tc>
          <w:tcPr>
            <w:tcW w:w="1521" w:type="dxa"/>
            <w:gridSpan w:val="3"/>
            <w:tcBorders>
              <w:top w:val="double" w:sz="6" w:space="0" w:color="auto"/>
              <w:left w:val="nil"/>
              <w:bottom w:val="single" w:sz="4" w:space="0" w:color="BFBFBF"/>
              <w:right w:val="double" w:sz="6" w:space="0" w:color="000000"/>
            </w:tcBorders>
            <w:shd w:val="clear" w:color="auto" w:fill="auto"/>
            <w:noWrap/>
            <w:vAlign w:val="center"/>
          </w:tcPr>
          <w:p w14:paraId="3EC70F2B" w14:textId="77777777" w:rsidR="0035571C" w:rsidRPr="00E15E11" w:rsidRDefault="0035571C" w:rsidP="0035571C">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Total HHs</w:t>
            </w:r>
          </w:p>
        </w:tc>
      </w:tr>
      <w:tr w:rsidR="0035571C" w:rsidRPr="00E15E11" w14:paraId="345FDD18" w14:textId="77777777" w:rsidTr="0067791B">
        <w:trPr>
          <w:trHeight w:val="225"/>
          <w:jc w:val="center"/>
        </w:trPr>
        <w:tc>
          <w:tcPr>
            <w:tcW w:w="2600" w:type="dxa"/>
            <w:vMerge/>
            <w:tcBorders>
              <w:top w:val="double" w:sz="6" w:space="0" w:color="auto"/>
              <w:left w:val="double" w:sz="6" w:space="0" w:color="auto"/>
              <w:bottom w:val="single" w:sz="4" w:space="0" w:color="BFBFBF"/>
              <w:right w:val="single" w:sz="4" w:space="0" w:color="BFBFBF"/>
            </w:tcBorders>
            <w:vAlign w:val="center"/>
          </w:tcPr>
          <w:p w14:paraId="403E9F6D" w14:textId="77777777" w:rsidR="0035571C" w:rsidRPr="00E15E11" w:rsidRDefault="0035571C" w:rsidP="0035571C">
            <w:pPr>
              <w:spacing w:before="0" w:after="0"/>
              <w:rPr>
                <w:rFonts w:ascii="Arial" w:hAnsi="Arial" w:cs="Arial"/>
                <w:b/>
                <w:bCs/>
                <w:color w:val="000000"/>
                <w:sz w:val="16"/>
                <w:szCs w:val="16"/>
                <w:lang w:val="en-AU" w:eastAsia="en-AU"/>
              </w:rPr>
            </w:pPr>
          </w:p>
        </w:tc>
        <w:tc>
          <w:tcPr>
            <w:tcW w:w="594" w:type="dxa"/>
            <w:tcBorders>
              <w:top w:val="nil"/>
              <w:left w:val="nil"/>
              <w:bottom w:val="single" w:sz="4" w:space="0" w:color="BFBFBF"/>
              <w:right w:val="single" w:sz="4" w:space="0" w:color="BFBFBF"/>
            </w:tcBorders>
            <w:shd w:val="clear" w:color="auto" w:fill="auto"/>
            <w:noWrap/>
            <w:vAlign w:val="center"/>
          </w:tcPr>
          <w:p w14:paraId="3D76F596"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2014</w:t>
            </w:r>
          </w:p>
        </w:tc>
        <w:tc>
          <w:tcPr>
            <w:tcW w:w="593" w:type="dxa"/>
            <w:tcBorders>
              <w:top w:val="nil"/>
              <w:left w:val="nil"/>
              <w:bottom w:val="single" w:sz="4" w:space="0" w:color="BFBFBF"/>
              <w:right w:val="single" w:sz="4" w:space="0" w:color="BFBFBF"/>
            </w:tcBorders>
            <w:shd w:val="clear" w:color="auto" w:fill="auto"/>
            <w:noWrap/>
            <w:vAlign w:val="center"/>
          </w:tcPr>
          <w:p w14:paraId="17B83EEE"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2007</w:t>
            </w:r>
          </w:p>
        </w:tc>
        <w:tc>
          <w:tcPr>
            <w:tcW w:w="593" w:type="dxa"/>
            <w:tcBorders>
              <w:top w:val="nil"/>
              <w:left w:val="nil"/>
              <w:bottom w:val="single" w:sz="4" w:space="0" w:color="BFBFBF"/>
              <w:right w:val="single" w:sz="4" w:space="0" w:color="BFBFBF"/>
            </w:tcBorders>
            <w:shd w:val="clear" w:color="auto" w:fill="auto"/>
            <w:noWrap/>
            <w:vAlign w:val="center"/>
          </w:tcPr>
          <w:p w14:paraId="1252F639"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2001</w:t>
            </w:r>
          </w:p>
        </w:tc>
        <w:tc>
          <w:tcPr>
            <w:tcW w:w="587" w:type="dxa"/>
            <w:tcBorders>
              <w:top w:val="nil"/>
              <w:left w:val="nil"/>
              <w:bottom w:val="single" w:sz="4" w:space="0" w:color="BFBFBF"/>
              <w:right w:val="single" w:sz="4" w:space="0" w:color="BFBFBF"/>
            </w:tcBorders>
            <w:shd w:val="clear" w:color="auto" w:fill="auto"/>
            <w:noWrap/>
            <w:vAlign w:val="center"/>
          </w:tcPr>
          <w:p w14:paraId="13BCA04F"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2014</w:t>
            </w:r>
          </w:p>
        </w:tc>
        <w:tc>
          <w:tcPr>
            <w:tcW w:w="587" w:type="dxa"/>
            <w:tcBorders>
              <w:top w:val="nil"/>
              <w:left w:val="nil"/>
              <w:bottom w:val="single" w:sz="4" w:space="0" w:color="BFBFBF"/>
              <w:right w:val="single" w:sz="4" w:space="0" w:color="BFBFBF"/>
            </w:tcBorders>
            <w:shd w:val="clear" w:color="auto" w:fill="auto"/>
            <w:noWrap/>
            <w:vAlign w:val="center"/>
          </w:tcPr>
          <w:p w14:paraId="465EA1A2"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2007</w:t>
            </w:r>
          </w:p>
        </w:tc>
        <w:tc>
          <w:tcPr>
            <w:tcW w:w="587" w:type="dxa"/>
            <w:tcBorders>
              <w:top w:val="nil"/>
              <w:left w:val="nil"/>
              <w:bottom w:val="single" w:sz="4" w:space="0" w:color="BFBFBF"/>
              <w:right w:val="single" w:sz="4" w:space="0" w:color="BFBFBF"/>
            </w:tcBorders>
            <w:shd w:val="clear" w:color="auto" w:fill="auto"/>
            <w:noWrap/>
            <w:vAlign w:val="center"/>
          </w:tcPr>
          <w:p w14:paraId="376BA0C3"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2001</w:t>
            </w:r>
          </w:p>
        </w:tc>
        <w:tc>
          <w:tcPr>
            <w:tcW w:w="594" w:type="dxa"/>
            <w:tcBorders>
              <w:top w:val="nil"/>
              <w:left w:val="nil"/>
              <w:bottom w:val="single" w:sz="4" w:space="0" w:color="BFBFBF"/>
              <w:right w:val="single" w:sz="4" w:space="0" w:color="BFBFBF"/>
            </w:tcBorders>
            <w:shd w:val="clear" w:color="auto" w:fill="auto"/>
            <w:noWrap/>
            <w:vAlign w:val="center"/>
          </w:tcPr>
          <w:p w14:paraId="37033BAC"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2014</w:t>
            </w:r>
          </w:p>
        </w:tc>
        <w:tc>
          <w:tcPr>
            <w:tcW w:w="593" w:type="dxa"/>
            <w:tcBorders>
              <w:top w:val="nil"/>
              <w:left w:val="nil"/>
              <w:bottom w:val="single" w:sz="4" w:space="0" w:color="BFBFBF"/>
              <w:right w:val="single" w:sz="4" w:space="0" w:color="BFBFBF"/>
            </w:tcBorders>
            <w:shd w:val="clear" w:color="auto" w:fill="auto"/>
            <w:noWrap/>
            <w:vAlign w:val="center"/>
          </w:tcPr>
          <w:p w14:paraId="1214FF5E"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2007</w:t>
            </w:r>
          </w:p>
        </w:tc>
        <w:tc>
          <w:tcPr>
            <w:tcW w:w="593" w:type="dxa"/>
            <w:tcBorders>
              <w:top w:val="nil"/>
              <w:left w:val="nil"/>
              <w:bottom w:val="single" w:sz="4" w:space="0" w:color="BFBFBF"/>
              <w:right w:val="single" w:sz="4" w:space="0" w:color="BFBFBF"/>
            </w:tcBorders>
            <w:shd w:val="clear" w:color="auto" w:fill="auto"/>
            <w:noWrap/>
            <w:vAlign w:val="center"/>
          </w:tcPr>
          <w:p w14:paraId="4A95705F"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2001</w:t>
            </w:r>
          </w:p>
        </w:tc>
        <w:tc>
          <w:tcPr>
            <w:tcW w:w="540" w:type="dxa"/>
            <w:tcBorders>
              <w:top w:val="nil"/>
              <w:left w:val="nil"/>
              <w:bottom w:val="single" w:sz="4" w:space="0" w:color="BFBFBF"/>
              <w:right w:val="single" w:sz="4" w:space="0" w:color="BFBFBF"/>
            </w:tcBorders>
            <w:shd w:val="clear" w:color="auto" w:fill="auto"/>
            <w:noWrap/>
            <w:vAlign w:val="center"/>
          </w:tcPr>
          <w:p w14:paraId="6204C154"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2014</w:t>
            </w:r>
          </w:p>
        </w:tc>
        <w:tc>
          <w:tcPr>
            <w:tcW w:w="540" w:type="dxa"/>
            <w:tcBorders>
              <w:top w:val="nil"/>
              <w:left w:val="nil"/>
              <w:bottom w:val="single" w:sz="4" w:space="0" w:color="BFBFBF"/>
              <w:right w:val="single" w:sz="4" w:space="0" w:color="BFBFBF"/>
            </w:tcBorders>
            <w:shd w:val="clear" w:color="auto" w:fill="auto"/>
            <w:noWrap/>
            <w:vAlign w:val="center"/>
          </w:tcPr>
          <w:p w14:paraId="6B79A508"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2007</w:t>
            </w:r>
          </w:p>
        </w:tc>
        <w:tc>
          <w:tcPr>
            <w:tcW w:w="540" w:type="dxa"/>
            <w:tcBorders>
              <w:top w:val="nil"/>
              <w:left w:val="nil"/>
              <w:bottom w:val="single" w:sz="4" w:space="0" w:color="BFBFBF"/>
              <w:right w:val="single" w:sz="4" w:space="0" w:color="BFBFBF"/>
            </w:tcBorders>
            <w:shd w:val="clear" w:color="auto" w:fill="auto"/>
            <w:noWrap/>
            <w:vAlign w:val="center"/>
          </w:tcPr>
          <w:p w14:paraId="34BD04DD"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2001</w:t>
            </w:r>
          </w:p>
        </w:tc>
        <w:tc>
          <w:tcPr>
            <w:tcW w:w="507" w:type="dxa"/>
            <w:tcBorders>
              <w:top w:val="nil"/>
              <w:left w:val="nil"/>
              <w:bottom w:val="single" w:sz="4" w:space="0" w:color="BFBFBF"/>
              <w:right w:val="single" w:sz="4" w:space="0" w:color="BFBFBF"/>
            </w:tcBorders>
            <w:shd w:val="clear" w:color="auto" w:fill="auto"/>
            <w:noWrap/>
            <w:vAlign w:val="center"/>
          </w:tcPr>
          <w:p w14:paraId="52706DEC"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2014</w:t>
            </w:r>
          </w:p>
        </w:tc>
        <w:tc>
          <w:tcPr>
            <w:tcW w:w="507" w:type="dxa"/>
            <w:tcBorders>
              <w:top w:val="nil"/>
              <w:left w:val="nil"/>
              <w:bottom w:val="single" w:sz="4" w:space="0" w:color="BFBFBF"/>
              <w:right w:val="single" w:sz="4" w:space="0" w:color="BFBFBF"/>
            </w:tcBorders>
            <w:shd w:val="clear" w:color="auto" w:fill="auto"/>
            <w:noWrap/>
            <w:vAlign w:val="center"/>
          </w:tcPr>
          <w:p w14:paraId="3E35D632"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2007</w:t>
            </w:r>
          </w:p>
        </w:tc>
        <w:tc>
          <w:tcPr>
            <w:tcW w:w="507" w:type="dxa"/>
            <w:tcBorders>
              <w:top w:val="nil"/>
              <w:left w:val="nil"/>
              <w:bottom w:val="single" w:sz="4" w:space="0" w:color="BFBFBF"/>
              <w:right w:val="double" w:sz="6" w:space="0" w:color="auto"/>
            </w:tcBorders>
            <w:shd w:val="clear" w:color="auto" w:fill="auto"/>
            <w:noWrap/>
            <w:vAlign w:val="center"/>
          </w:tcPr>
          <w:p w14:paraId="3266FF60" w14:textId="77777777" w:rsidR="0035571C" w:rsidRPr="00E15E11" w:rsidRDefault="0035571C" w:rsidP="0067791B">
            <w:pPr>
              <w:spacing w:before="0" w:after="0"/>
              <w:jc w:val="center"/>
              <w:rPr>
                <w:rFonts w:ascii="Arial" w:hAnsi="Arial" w:cs="Arial"/>
                <w:b/>
                <w:bCs/>
                <w:color w:val="000000"/>
                <w:sz w:val="16"/>
                <w:szCs w:val="16"/>
                <w:lang w:val="en-AU" w:eastAsia="en-AU"/>
              </w:rPr>
            </w:pPr>
            <w:r w:rsidRPr="00E15E11">
              <w:rPr>
                <w:rFonts w:ascii="Arial" w:hAnsi="Arial" w:cs="Arial"/>
                <w:b/>
                <w:bCs/>
                <w:color w:val="000000"/>
                <w:sz w:val="16"/>
                <w:szCs w:val="16"/>
                <w:lang w:val="en-AU" w:eastAsia="en-AU"/>
              </w:rPr>
              <w:t>2001</w:t>
            </w:r>
          </w:p>
        </w:tc>
      </w:tr>
      <w:tr w:rsidR="0035571C" w:rsidRPr="00E15E11" w14:paraId="55FF1557" w14:textId="77777777" w:rsidTr="00D92C64">
        <w:trPr>
          <w:trHeight w:val="283"/>
          <w:jc w:val="center"/>
        </w:trPr>
        <w:tc>
          <w:tcPr>
            <w:tcW w:w="2600" w:type="dxa"/>
            <w:tcBorders>
              <w:top w:val="nil"/>
              <w:left w:val="double" w:sz="6" w:space="0" w:color="auto"/>
              <w:bottom w:val="single" w:sz="4" w:space="0" w:color="BFBFBF"/>
              <w:right w:val="single" w:sz="4" w:space="0" w:color="BFBFBF"/>
            </w:tcBorders>
            <w:shd w:val="clear" w:color="auto" w:fill="auto"/>
            <w:noWrap/>
            <w:vAlign w:val="center"/>
          </w:tcPr>
          <w:p w14:paraId="5CB1A5AD" w14:textId="77777777" w:rsidR="0035571C" w:rsidRPr="00E15E11" w:rsidRDefault="0035571C" w:rsidP="0035571C">
            <w:pPr>
              <w:spacing w:before="0" w:after="0"/>
              <w:rPr>
                <w:rFonts w:ascii="Arial" w:hAnsi="Arial" w:cs="Arial"/>
                <w:color w:val="000000"/>
                <w:sz w:val="16"/>
                <w:szCs w:val="16"/>
                <w:lang w:val="en-AU" w:eastAsia="en-AU"/>
              </w:rPr>
            </w:pPr>
            <w:r w:rsidRPr="00E15E11">
              <w:rPr>
                <w:rFonts w:ascii="Arial" w:hAnsi="Arial" w:cs="Arial"/>
                <w:color w:val="000000"/>
                <w:sz w:val="16"/>
                <w:szCs w:val="16"/>
                <w:lang w:val="en-AU" w:eastAsia="en-AU"/>
              </w:rPr>
              <w:t>Actual amount of water used only</w:t>
            </w:r>
          </w:p>
        </w:tc>
        <w:tc>
          <w:tcPr>
            <w:tcW w:w="594" w:type="dxa"/>
            <w:tcBorders>
              <w:top w:val="nil"/>
              <w:left w:val="nil"/>
              <w:bottom w:val="single" w:sz="4" w:space="0" w:color="BFBFBF"/>
              <w:right w:val="single" w:sz="4" w:space="0" w:color="BFBFBF"/>
            </w:tcBorders>
            <w:shd w:val="clear" w:color="auto" w:fill="auto"/>
            <w:noWrap/>
            <w:vAlign w:val="center"/>
          </w:tcPr>
          <w:p w14:paraId="262DD463"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12%</w:t>
            </w:r>
          </w:p>
        </w:tc>
        <w:tc>
          <w:tcPr>
            <w:tcW w:w="593" w:type="dxa"/>
            <w:tcBorders>
              <w:top w:val="nil"/>
              <w:left w:val="nil"/>
              <w:bottom w:val="single" w:sz="4" w:space="0" w:color="BFBFBF"/>
              <w:right w:val="single" w:sz="4" w:space="0" w:color="BFBFBF"/>
            </w:tcBorders>
            <w:shd w:val="clear" w:color="auto" w:fill="auto"/>
            <w:noWrap/>
            <w:vAlign w:val="center"/>
          </w:tcPr>
          <w:p w14:paraId="47399B14"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9%</w:t>
            </w:r>
          </w:p>
        </w:tc>
        <w:tc>
          <w:tcPr>
            <w:tcW w:w="593" w:type="dxa"/>
            <w:tcBorders>
              <w:top w:val="nil"/>
              <w:left w:val="nil"/>
              <w:bottom w:val="single" w:sz="4" w:space="0" w:color="BFBFBF"/>
              <w:right w:val="single" w:sz="4" w:space="0" w:color="BFBFBF"/>
            </w:tcBorders>
            <w:shd w:val="clear" w:color="auto" w:fill="auto"/>
            <w:noWrap/>
            <w:vAlign w:val="center"/>
          </w:tcPr>
          <w:p w14:paraId="07FF2230"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3%</w:t>
            </w:r>
          </w:p>
        </w:tc>
        <w:tc>
          <w:tcPr>
            <w:tcW w:w="587" w:type="dxa"/>
            <w:tcBorders>
              <w:top w:val="nil"/>
              <w:left w:val="nil"/>
              <w:bottom w:val="single" w:sz="4" w:space="0" w:color="BFBFBF"/>
              <w:right w:val="single" w:sz="4" w:space="0" w:color="BFBFBF"/>
            </w:tcBorders>
            <w:shd w:val="clear" w:color="auto" w:fill="auto"/>
            <w:noWrap/>
            <w:vAlign w:val="center"/>
          </w:tcPr>
          <w:p w14:paraId="61CF4FB2"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9%</w:t>
            </w:r>
          </w:p>
        </w:tc>
        <w:tc>
          <w:tcPr>
            <w:tcW w:w="587" w:type="dxa"/>
            <w:tcBorders>
              <w:top w:val="nil"/>
              <w:left w:val="nil"/>
              <w:bottom w:val="single" w:sz="4" w:space="0" w:color="BFBFBF"/>
              <w:right w:val="single" w:sz="4" w:space="0" w:color="BFBFBF"/>
            </w:tcBorders>
            <w:shd w:val="clear" w:color="auto" w:fill="auto"/>
            <w:noWrap/>
            <w:vAlign w:val="center"/>
          </w:tcPr>
          <w:p w14:paraId="69314BB5"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w:t>
            </w:r>
          </w:p>
        </w:tc>
        <w:tc>
          <w:tcPr>
            <w:tcW w:w="587" w:type="dxa"/>
            <w:tcBorders>
              <w:top w:val="nil"/>
              <w:left w:val="nil"/>
              <w:bottom w:val="single" w:sz="4" w:space="0" w:color="BFBFBF"/>
              <w:right w:val="single" w:sz="4" w:space="0" w:color="BFBFBF"/>
            </w:tcBorders>
            <w:shd w:val="clear" w:color="auto" w:fill="auto"/>
            <w:noWrap/>
            <w:vAlign w:val="center"/>
          </w:tcPr>
          <w:p w14:paraId="23325C1C"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94" w:type="dxa"/>
            <w:tcBorders>
              <w:top w:val="nil"/>
              <w:left w:val="nil"/>
              <w:bottom w:val="single" w:sz="4" w:space="0" w:color="BFBFBF"/>
              <w:right w:val="single" w:sz="4" w:space="0" w:color="BFBFBF"/>
            </w:tcBorders>
            <w:shd w:val="clear" w:color="auto" w:fill="auto"/>
            <w:noWrap/>
            <w:vAlign w:val="center"/>
          </w:tcPr>
          <w:p w14:paraId="5E047397" w14:textId="77777777" w:rsidR="0035571C" w:rsidRPr="00E15E11" w:rsidRDefault="0035571C" w:rsidP="006A62C9">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5</w:t>
            </w:r>
            <w:r w:rsidR="006A62C9" w:rsidRPr="00E15E11">
              <w:rPr>
                <w:rFonts w:ascii="Arial" w:hAnsi="Arial" w:cs="Arial"/>
                <w:color w:val="000000"/>
                <w:sz w:val="16"/>
                <w:szCs w:val="16"/>
                <w:lang w:val="en-AU" w:eastAsia="en-AU"/>
              </w:rPr>
              <w:t>1</w:t>
            </w:r>
            <w:r w:rsidRPr="00E15E11">
              <w:rPr>
                <w:rFonts w:ascii="Arial" w:hAnsi="Arial" w:cs="Arial"/>
                <w:color w:val="000000"/>
                <w:sz w:val="16"/>
                <w:szCs w:val="16"/>
                <w:lang w:val="en-AU" w:eastAsia="en-AU"/>
              </w:rPr>
              <w:t>%</w:t>
            </w:r>
          </w:p>
        </w:tc>
        <w:tc>
          <w:tcPr>
            <w:tcW w:w="593" w:type="dxa"/>
            <w:tcBorders>
              <w:top w:val="nil"/>
              <w:left w:val="nil"/>
              <w:bottom w:val="single" w:sz="4" w:space="0" w:color="BFBFBF"/>
              <w:right w:val="single" w:sz="4" w:space="0" w:color="BFBFBF"/>
            </w:tcBorders>
            <w:shd w:val="clear" w:color="auto" w:fill="auto"/>
            <w:noWrap/>
            <w:vAlign w:val="center"/>
          </w:tcPr>
          <w:p w14:paraId="6BD34464"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51%</w:t>
            </w:r>
          </w:p>
        </w:tc>
        <w:tc>
          <w:tcPr>
            <w:tcW w:w="593" w:type="dxa"/>
            <w:tcBorders>
              <w:top w:val="nil"/>
              <w:left w:val="nil"/>
              <w:bottom w:val="single" w:sz="4" w:space="0" w:color="BFBFBF"/>
              <w:right w:val="single" w:sz="4" w:space="0" w:color="BFBFBF"/>
            </w:tcBorders>
            <w:shd w:val="clear" w:color="auto" w:fill="auto"/>
            <w:noWrap/>
            <w:vAlign w:val="center"/>
          </w:tcPr>
          <w:p w14:paraId="22F396AF"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35%</w:t>
            </w:r>
          </w:p>
        </w:tc>
        <w:tc>
          <w:tcPr>
            <w:tcW w:w="540" w:type="dxa"/>
            <w:tcBorders>
              <w:top w:val="nil"/>
              <w:left w:val="nil"/>
              <w:bottom w:val="single" w:sz="4" w:space="0" w:color="BFBFBF"/>
              <w:right w:val="single" w:sz="4" w:space="0" w:color="BFBFBF"/>
            </w:tcBorders>
            <w:shd w:val="clear" w:color="auto" w:fill="auto"/>
            <w:noWrap/>
            <w:vAlign w:val="center"/>
          </w:tcPr>
          <w:p w14:paraId="75E86FD8"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57%</w:t>
            </w:r>
          </w:p>
        </w:tc>
        <w:tc>
          <w:tcPr>
            <w:tcW w:w="540" w:type="dxa"/>
            <w:tcBorders>
              <w:top w:val="nil"/>
              <w:left w:val="nil"/>
              <w:bottom w:val="single" w:sz="4" w:space="0" w:color="BFBFBF"/>
              <w:right w:val="single" w:sz="4" w:space="0" w:color="BFBFBF"/>
            </w:tcBorders>
            <w:shd w:val="clear" w:color="auto" w:fill="auto"/>
            <w:noWrap/>
            <w:vAlign w:val="center"/>
          </w:tcPr>
          <w:p w14:paraId="71179B1D"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54%</w:t>
            </w:r>
          </w:p>
        </w:tc>
        <w:tc>
          <w:tcPr>
            <w:tcW w:w="540" w:type="dxa"/>
            <w:tcBorders>
              <w:top w:val="nil"/>
              <w:left w:val="nil"/>
              <w:bottom w:val="single" w:sz="4" w:space="0" w:color="BFBFBF"/>
              <w:right w:val="single" w:sz="4" w:space="0" w:color="BFBFBF"/>
            </w:tcBorders>
            <w:shd w:val="clear" w:color="auto" w:fill="auto"/>
            <w:noWrap/>
            <w:vAlign w:val="center"/>
          </w:tcPr>
          <w:p w14:paraId="31A6AC3C"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49%</w:t>
            </w:r>
          </w:p>
        </w:tc>
        <w:tc>
          <w:tcPr>
            <w:tcW w:w="507" w:type="dxa"/>
            <w:tcBorders>
              <w:top w:val="nil"/>
              <w:left w:val="nil"/>
              <w:bottom w:val="single" w:sz="4" w:space="0" w:color="BFBFBF"/>
              <w:right w:val="single" w:sz="4" w:space="0" w:color="BFBFBF"/>
            </w:tcBorders>
            <w:shd w:val="clear" w:color="auto" w:fill="auto"/>
            <w:noWrap/>
            <w:vAlign w:val="center"/>
          </w:tcPr>
          <w:p w14:paraId="622A47A5"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18%</w:t>
            </w:r>
          </w:p>
        </w:tc>
        <w:tc>
          <w:tcPr>
            <w:tcW w:w="507" w:type="dxa"/>
            <w:tcBorders>
              <w:top w:val="nil"/>
              <w:left w:val="nil"/>
              <w:bottom w:val="single" w:sz="4" w:space="0" w:color="BFBFBF"/>
              <w:right w:val="single" w:sz="4" w:space="0" w:color="BFBFBF"/>
            </w:tcBorders>
            <w:shd w:val="clear" w:color="auto" w:fill="auto"/>
            <w:noWrap/>
            <w:vAlign w:val="center"/>
          </w:tcPr>
          <w:p w14:paraId="0B0B7A95"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16%</w:t>
            </w:r>
          </w:p>
        </w:tc>
        <w:tc>
          <w:tcPr>
            <w:tcW w:w="507" w:type="dxa"/>
            <w:tcBorders>
              <w:top w:val="nil"/>
              <w:left w:val="nil"/>
              <w:bottom w:val="single" w:sz="4" w:space="0" w:color="BFBFBF"/>
              <w:right w:val="double" w:sz="6" w:space="0" w:color="auto"/>
            </w:tcBorders>
            <w:shd w:val="clear" w:color="auto" w:fill="auto"/>
            <w:noWrap/>
            <w:vAlign w:val="center"/>
          </w:tcPr>
          <w:p w14:paraId="526A6059"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w:t>
            </w:r>
          </w:p>
        </w:tc>
      </w:tr>
      <w:tr w:rsidR="0035571C" w:rsidRPr="00E15E11" w14:paraId="0539AB98" w14:textId="77777777" w:rsidTr="00D92C64">
        <w:trPr>
          <w:trHeight w:val="283"/>
          <w:jc w:val="center"/>
        </w:trPr>
        <w:tc>
          <w:tcPr>
            <w:tcW w:w="2600" w:type="dxa"/>
            <w:tcBorders>
              <w:top w:val="nil"/>
              <w:left w:val="double" w:sz="6" w:space="0" w:color="auto"/>
              <w:bottom w:val="single" w:sz="4" w:space="0" w:color="BFBFBF"/>
              <w:right w:val="single" w:sz="4" w:space="0" w:color="BFBFBF"/>
            </w:tcBorders>
            <w:shd w:val="clear" w:color="auto" w:fill="auto"/>
            <w:noWrap/>
            <w:vAlign w:val="center"/>
          </w:tcPr>
          <w:p w14:paraId="35E290BC" w14:textId="77777777" w:rsidR="0035571C" w:rsidRPr="00E15E11" w:rsidRDefault="0035571C" w:rsidP="0035571C">
            <w:pPr>
              <w:spacing w:before="0" w:after="0"/>
              <w:rPr>
                <w:rFonts w:ascii="Arial" w:hAnsi="Arial" w:cs="Arial"/>
                <w:color w:val="000000"/>
                <w:sz w:val="16"/>
                <w:szCs w:val="16"/>
                <w:lang w:val="en-AU" w:eastAsia="en-AU"/>
              </w:rPr>
            </w:pPr>
            <w:r w:rsidRPr="00E15E11">
              <w:rPr>
                <w:rFonts w:ascii="Arial" w:hAnsi="Arial" w:cs="Arial"/>
                <w:color w:val="000000"/>
                <w:sz w:val="16"/>
                <w:szCs w:val="16"/>
                <w:lang w:val="en-AU" w:eastAsia="en-AU"/>
              </w:rPr>
              <w:t>Fixed service charge only</w:t>
            </w:r>
          </w:p>
        </w:tc>
        <w:tc>
          <w:tcPr>
            <w:tcW w:w="594" w:type="dxa"/>
            <w:tcBorders>
              <w:top w:val="nil"/>
              <w:left w:val="nil"/>
              <w:bottom w:val="single" w:sz="4" w:space="0" w:color="BFBFBF"/>
              <w:right w:val="single" w:sz="4" w:space="0" w:color="BFBFBF"/>
            </w:tcBorders>
            <w:shd w:val="clear" w:color="auto" w:fill="auto"/>
            <w:noWrap/>
            <w:vAlign w:val="center"/>
          </w:tcPr>
          <w:p w14:paraId="4FD745E0"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93" w:type="dxa"/>
            <w:tcBorders>
              <w:top w:val="nil"/>
              <w:left w:val="nil"/>
              <w:bottom w:val="single" w:sz="4" w:space="0" w:color="BFBFBF"/>
              <w:right w:val="single" w:sz="4" w:space="0" w:color="BFBFBF"/>
            </w:tcBorders>
            <w:shd w:val="clear" w:color="auto" w:fill="auto"/>
            <w:noWrap/>
            <w:vAlign w:val="center"/>
          </w:tcPr>
          <w:p w14:paraId="10A08A74"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w:t>
            </w:r>
          </w:p>
        </w:tc>
        <w:tc>
          <w:tcPr>
            <w:tcW w:w="593" w:type="dxa"/>
            <w:tcBorders>
              <w:top w:val="nil"/>
              <w:left w:val="nil"/>
              <w:bottom w:val="single" w:sz="4" w:space="0" w:color="BFBFBF"/>
              <w:right w:val="single" w:sz="4" w:space="0" w:color="BFBFBF"/>
            </w:tcBorders>
            <w:shd w:val="clear" w:color="auto" w:fill="auto"/>
            <w:noWrap/>
            <w:vAlign w:val="center"/>
          </w:tcPr>
          <w:p w14:paraId="79EC4314"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3%</w:t>
            </w:r>
          </w:p>
        </w:tc>
        <w:tc>
          <w:tcPr>
            <w:tcW w:w="587" w:type="dxa"/>
            <w:tcBorders>
              <w:top w:val="nil"/>
              <w:left w:val="nil"/>
              <w:bottom w:val="single" w:sz="4" w:space="0" w:color="BFBFBF"/>
              <w:right w:val="single" w:sz="4" w:space="0" w:color="BFBFBF"/>
            </w:tcBorders>
            <w:shd w:val="clear" w:color="auto" w:fill="auto"/>
            <w:noWrap/>
            <w:vAlign w:val="center"/>
          </w:tcPr>
          <w:p w14:paraId="77D64648"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87" w:type="dxa"/>
            <w:tcBorders>
              <w:top w:val="nil"/>
              <w:left w:val="nil"/>
              <w:bottom w:val="single" w:sz="4" w:space="0" w:color="BFBFBF"/>
              <w:right w:val="single" w:sz="4" w:space="0" w:color="BFBFBF"/>
            </w:tcBorders>
            <w:shd w:val="clear" w:color="auto" w:fill="auto"/>
            <w:noWrap/>
            <w:vAlign w:val="center"/>
          </w:tcPr>
          <w:p w14:paraId="72532746"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w:t>
            </w:r>
          </w:p>
        </w:tc>
        <w:tc>
          <w:tcPr>
            <w:tcW w:w="587" w:type="dxa"/>
            <w:tcBorders>
              <w:top w:val="nil"/>
              <w:left w:val="nil"/>
              <w:bottom w:val="single" w:sz="4" w:space="0" w:color="BFBFBF"/>
              <w:right w:val="single" w:sz="4" w:space="0" w:color="BFBFBF"/>
            </w:tcBorders>
            <w:shd w:val="clear" w:color="auto" w:fill="auto"/>
            <w:noWrap/>
            <w:vAlign w:val="center"/>
          </w:tcPr>
          <w:p w14:paraId="7B1690A7"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w:t>
            </w:r>
          </w:p>
        </w:tc>
        <w:tc>
          <w:tcPr>
            <w:tcW w:w="594" w:type="dxa"/>
            <w:tcBorders>
              <w:top w:val="nil"/>
              <w:left w:val="nil"/>
              <w:bottom w:val="single" w:sz="4" w:space="0" w:color="BFBFBF"/>
              <w:right w:val="single" w:sz="4" w:space="0" w:color="BFBFBF"/>
            </w:tcBorders>
            <w:shd w:val="clear" w:color="auto" w:fill="auto"/>
            <w:noWrap/>
            <w:vAlign w:val="center"/>
          </w:tcPr>
          <w:p w14:paraId="2BB849FC"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93" w:type="dxa"/>
            <w:tcBorders>
              <w:top w:val="nil"/>
              <w:left w:val="nil"/>
              <w:bottom w:val="single" w:sz="4" w:space="0" w:color="BFBFBF"/>
              <w:right w:val="single" w:sz="4" w:space="0" w:color="BFBFBF"/>
            </w:tcBorders>
            <w:shd w:val="clear" w:color="auto" w:fill="auto"/>
            <w:noWrap/>
            <w:vAlign w:val="center"/>
          </w:tcPr>
          <w:p w14:paraId="57FB1100"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w:t>
            </w:r>
          </w:p>
        </w:tc>
        <w:tc>
          <w:tcPr>
            <w:tcW w:w="593" w:type="dxa"/>
            <w:tcBorders>
              <w:top w:val="nil"/>
              <w:left w:val="nil"/>
              <w:bottom w:val="single" w:sz="4" w:space="0" w:color="BFBFBF"/>
              <w:right w:val="single" w:sz="4" w:space="0" w:color="BFBFBF"/>
            </w:tcBorders>
            <w:shd w:val="clear" w:color="auto" w:fill="auto"/>
            <w:noWrap/>
            <w:vAlign w:val="center"/>
          </w:tcPr>
          <w:p w14:paraId="55C81FA4"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w:t>
            </w:r>
          </w:p>
        </w:tc>
        <w:tc>
          <w:tcPr>
            <w:tcW w:w="540" w:type="dxa"/>
            <w:tcBorders>
              <w:top w:val="nil"/>
              <w:left w:val="nil"/>
              <w:bottom w:val="single" w:sz="4" w:space="0" w:color="BFBFBF"/>
              <w:right w:val="single" w:sz="4" w:space="0" w:color="BFBFBF"/>
            </w:tcBorders>
            <w:shd w:val="clear" w:color="auto" w:fill="auto"/>
            <w:noWrap/>
            <w:vAlign w:val="center"/>
          </w:tcPr>
          <w:p w14:paraId="7972ACF8"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40" w:type="dxa"/>
            <w:tcBorders>
              <w:top w:val="nil"/>
              <w:left w:val="nil"/>
              <w:bottom w:val="single" w:sz="4" w:space="0" w:color="BFBFBF"/>
              <w:right w:val="single" w:sz="4" w:space="0" w:color="BFBFBF"/>
            </w:tcBorders>
            <w:shd w:val="clear" w:color="auto" w:fill="auto"/>
            <w:noWrap/>
            <w:vAlign w:val="center"/>
          </w:tcPr>
          <w:p w14:paraId="3F62907E"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10%</w:t>
            </w:r>
          </w:p>
        </w:tc>
        <w:tc>
          <w:tcPr>
            <w:tcW w:w="540" w:type="dxa"/>
            <w:tcBorders>
              <w:top w:val="nil"/>
              <w:left w:val="nil"/>
              <w:bottom w:val="single" w:sz="4" w:space="0" w:color="BFBFBF"/>
              <w:right w:val="single" w:sz="4" w:space="0" w:color="BFBFBF"/>
            </w:tcBorders>
            <w:shd w:val="clear" w:color="auto" w:fill="auto"/>
            <w:noWrap/>
            <w:vAlign w:val="center"/>
          </w:tcPr>
          <w:p w14:paraId="434E08EA"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w:t>
            </w:r>
          </w:p>
        </w:tc>
        <w:tc>
          <w:tcPr>
            <w:tcW w:w="507" w:type="dxa"/>
            <w:tcBorders>
              <w:top w:val="nil"/>
              <w:left w:val="nil"/>
              <w:bottom w:val="single" w:sz="4" w:space="0" w:color="BFBFBF"/>
              <w:right w:val="single" w:sz="4" w:space="0" w:color="BFBFBF"/>
            </w:tcBorders>
            <w:shd w:val="clear" w:color="auto" w:fill="auto"/>
            <w:noWrap/>
            <w:vAlign w:val="center"/>
          </w:tcPr>
          <w:p w14:paraId="23B8DC5D"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07" w:type="dxa"/>
            <w:tcBorders>
              <w:top w:val="nil"/>
              <w:left w:val="nil"/>
              <w:bottom w:val="single" w:sz="4" w:space="0" w:color="BFBFBF"/>
              <w:right w:val="single" w:sz="4" w:space="0" w:color="BFBFBF"/>
            </w:tcBorders>
            <w:shd w:val="clear" w:color="auto" w:fill="auto"/>
            <w:noWrap/>
            <w:vAlign w:val="center"/>
          </w:tcPr>
          <w:p w14:paraId="05EAB015"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w:t>
            </w:r>
          </w:p>
        </w:tc>
        <w:tc>
          <w:tcPr>
            <w:tcW w:w="507" w:type="dxa"/>
            <w:tcBorders>
              <w:top w:val="nil"/>
              <w:left w:val="nil"/>
              <w:bottom w:val="single" w:sz="4" w:space="0" w:color="BFBFBF"/>
              <w:right w:val="double" w:sz="6" w:space="0" w:color="auto"/>
            </w:tcBorders>
            <w:shd w:val="clear" w:color="auto" w:fill="auto"/>
            <w:noWrap/>
            <w:vAlign w:val="center"/>
          </w:tcPr>
          <w:p w14:paraId="1771D65F"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w:t>
            </w:r>
          </w:p>
        </w:tc>
      </w:tr>
      <w:tr w:rsidR="0035571C" w:rsidRPr="00E15E11" w14:paraId="2B3D49E9" w14:textId="77777777" w:rsidTr="00D92C64">
        <w:trPr>
          <w:trHeight w:val="283"/>
          <w:jc w:val="center"/>
        </w:trPr>
        <w:tc>
          <w:tcPr>
            <w:tcW w:w="2600" w:type="dxa"/>
            <w:tcBorders>
              <w:top w:val="nil"/>
              <w:left w:val="double" w:sz="6" w:space="0" w:color="auto"/>
              <w:bottom w:val="single" w:sz="4" w:space="0" w:color="BFBFBF"/>
              <w:right w:val="single" w:sz="4" w:space="0" w:color="BFBFBF"/>
            </w:tcBorders>
            <w:shd w:val="clear" w:color="auto" w:fill="auto"/>
            <w:noWrap/>
            <w:vAlign w:val="center"/>
          </w:tcPr>
          <w:p w14:paraId="107898B9" w14:textId="77777777" w:rsidR="0035571C" w:rsidRPr="00E15E11" w:rsidRDefault="0035571C" w:rsidP="0035571C">
            <w:pPr>
              <w:spacing w:before="0" w:after="0"/>
              <w:rPr>
                <w:rFonts w:ascii="Arial" w:hAnsi="Arial" w:cs="Arial"/>
                <w:color w:val="000000"/>
                <w:sz w:val="16"/>
                <w:szCs w:val="16"/>
                <w:lang w:val="en-AU" w:eastAsia="en-AU"/>
              </w:rPr>
            </w:pPr>
            <w:r w:rsidRPr="00E15E11">
              <w:rPr>
                <w:rFonts w:ascii="Arial" w:hAnsi="Arial" w:cs="Arial"/>
                <w:color w:val="000000"/>
                <w:sz w:val="16"/>
                <w:szCs w:val="16"/>
                <w:lang w:val="en-AU" w:eastAsia="en-AU"/>
              </w:rPr>
              <w:t>Combination of both</w:t>
            </w:r>
          </w:p>
        </w:tc>
        <w:tc>
          <w:tcPr>
            <w:tcW w:w="594" w:type="dxa"/>
            <w:tcBorders>
              <w:top w:val="nil"/>
              <w:left w:val="nil"/>
              <w:bottom w:val="single" w:sz="4" w:space="0" w:color="BFBFBF"/>
              <w:right w:val="single" w:sz="4" w:space="0" w:color="BFBFBF"/>
            </w:tcBorders>
            <w:shd w:val="clear" w:color="auto" w:fill="auto"/>
            <w:noWrap/>
            <w:vAlign w:val="center"/>
          </w:tcPr>
          <w:p w14:paraId="7D87B504" w14:textId="77777777" w:rsidR="0035571C" w:rsidRPr="00E15E11" w:rsidRDefault="006A62C9"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83</w:t>
            </w:r>
            <w:r w:rsidR="0035571C" w:rsidRPr="00E15E11">
              <w:rPr>
                <w:rFonts w:ascii="Arial" w:hAnsi="Arial" w:cs="Arial"/>
                <w:color w:val="000000"/>
                <w:sz w:val="16"/>
                <w:szCs w:val="16"/>
                <w:lang w:val="en-AU" w:eastAsia="en-AU"/>
              </w:rPr>
              <w:t>%</w:t>
            </w:r>
          </w:p>
        </w:tc>
        <w:tc>
          <w:tcPr>
            <w:tcW w:w="593" w:type="dxa"/>
            <w:tcBorders>
              <w:top w:val="nil"/>
              <w:left w:val="nil"/>
              <w:bottom w:val="single" w:sz="4" w:space="0" w:color="BFBFBF"/>
              <w:right w:val="single" w:sz="4" w:space="0" w:color="BFBFBF"/>
            </w:tcBorders>
            <w:shd w:val="clear" w:color="auto" w:fill="auto"/>
            <w:noWrap/>
            <w:vAlign w:val="center"/>
          </w:tcPr>
          <w:p w14:paraId="5A38430D"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81%</w:t>
            </w:r>
          </w:p>
        </w:tc>
        <w:tc>
          <w:tcPr>
            <w:tcW w:w="593" w:type="dxa"/>
            <w:tcBorders>
              <w:top w:val="nil"/>
              <w:left w:val="nil"/>
              <w:bottom w:val="single" w:sz="4" w:space="0" w:color="BFBFBF"/>
              <w:right w:val="single" w:sz="4" w:space="0" w:color="BFBFBF"/>
            </w:tcBorders>
            <w:shd w:val="clear" w:color="auto" w:fill="auto"/>
            <w:noWrap/>
            <w:vAlign w:val="center"/>
          </w:tcPr>
          <w:p w14:paraId="3B713971"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92%</w:t>
            </w:r>
          </w:p>
        </w:tc>
        <w:tc>
          <w:tcPr>
            <w:tcW w:w="587" w:type="dxa"/>
            <w:tcBorders>
              <w:top w:val="nil"/>
              <w:left w:val="nil"/>
              <w:bottom w:val="single" w:sz="4" w:space="0" w:color="BFBFBF"/>
              <w:right w:val="single" w:sz="4" w:space="0" w:color="BFBFBF"/>
            </w:tcBorders>
            <w:shd w:val="clear" w:color="auto" w:fill="auto"/>
            <w:noWrap/>
            <w:vAlign w:val="center"/>
          </w:tcPr>
          <w:p w14:paraId="01B5773A"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86%</w:t>
            </w:r>
          </w:p>
        </w:tc>
        <w:tc>
          <w:tcPr>
            <w:tcW w:w="587" w:type="dxa"/>
            <w:tcBorders>
              <w:top w:val="nil"/>
              <w:left w:val="nil"/>
              <w:bottom w:val="single" w:sz="4" w:space="0" w:color="BFBFBF"/>
              <w:right w:val="single" w:sz="4" w:space="0" w:color="BFBFBF"/>
            </w:tcBorders>
            <w:shd w:val="clear" w:color="auto" w:fill="auto"/>
            <w:noWrap/>
            <w:vAlign w:val="center"/>
          </w:tcPr>
          <w:p w14:paraId="29AB9103"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81%</w:t>
            </w:r>
          </w:p>
        </w:tc>
        <w:tc>
          <w:tcPr>
            <w:tcW w:w="587" w:type="dxa"/>
            <w:tcBorders>
              <w:top w:val="nil"/>
              <w:left w:val="nil"/>
              <w:bottom w:val="single" w:sz="4" w:space="0" w:color="BFBFBF"/>
              <w:right w:val="single" w:sz="4" w:space="0" w:color="BFBFBF"/>
            </w:tcBorders>
            <w:shd w:val="clear" w:color="auto" w:fill="auto"/>
            <w:noWrap/>
            <w:vAlign w:val="center"/>
          </w:tcPr>
          <w:p w14:paraId="35E6E8A0"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94%</w:t>
            </w:r>
          </w:p>
        </w:tc>
        <w:tc>
          <w:tcPr>
            <w:tcW w:w="594" w:type="dxa"/>
            <w:tcBorders>
              <w:top w:val="nil"/>
              <w:left w:val="nil"/>
              <w:bottom w:val="single" w:sz="4" w:space="0" w:color="BFBFBF"/>
              <w:right w:val="single" w:sz="4" w:space="0" w:color="BFBFBF"/>
            </w:tcBorders>
            <w:shd w:val="clear" w:color="auto" w:fill="auto"/>
            <w:noWrap/>
            <w:vAlign w:val="center"/>
          </w:tcPr>
          <w:p w14:paraId="76770602"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37%</w:t>
            </w:r>
          </w:p>
        </w:tc>
        <w:tc>
          <w:tcPr>
            <w:tcW w:w="593" w:type="dxa"/>
            <w:tcBorders>
              <w:top w:val="nil"/>
              <w:left w:val="nil"/>
              <w:bottom w:val="single" w:sz="4" w:space="0" w:color="BFBFBF"/>
              <w:right w:val="single" w:sz="4" w:space="0" w:color="BFBFBF"/>
            </w:tcBorders>
            <w:shd w:val="clear" w:color="auto" w:fill="auto"/>
            <w:noWrap/>
            <w:vAlign w:val="center"/>
          </w:tcPr>
          <w:p w14:paraId="4F2E6A4B"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37%</w:t>
            </w:r>
          </w:p>
        </w:tc>
        <w:tc>
          <w:tcPr>
            <w:tcW w:w="593" w:type="dxa"/>
            <w:tcBorders>
              <w:top w:val="nil"/>
              <w:left w:val="nil"/>
              <w:bottom w:val="single" w:sz="4" w:space="0" w:color="BFBFBF"/>
              <w:right w:val="single" w:sz="4" w:space="0" w:color="BFBFBF"/>
            </w:tcBorders>
            <w:shd w:val="clear" w:color="auto" w:fill="auto"/>
            <w:noWrap/>
            <w:vAlign w:val="center"/>
          </w:tcPr>
          <w:p w14:paraId="42B0AAEB"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52%</w:t>
            </w:r>
          </w:p>
        </w:tc>
        <w:tc>
          <w:tcPr>
            <w:tcW w:w="540" w:type="dxa"/>
            <w:tcBorders>
              <w:top w:val="nil"/>
              <w:left w:val="nil"/>
              <w:bottom w:val="single" w:sz="4" w:space="0" w:color="BFBFBF"/>
              <w:right w:val="single" w:sz="4" w:space="0" w:color="BFBFBF"/>
            </w:tcBorders>
            <w:shd w:val="clear" w:color="auto" w:fill="auto"/>
            <w:noWrap/>
            <w:vAlign w:val="center"/>
          </w:tcPr>
          <w:p w14:paraId="0E99D3E3"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31%</w:t>
            </w:r>
          </w:p>
        </w:tc>
        <w:tc>
          <w:tcPr>
            <w:tcW w:w="540" w:type="dxa"/>
            <w:tcBorders>
              <w:top w:val="nil"/>
              <w:left w:val="nil"/>
              <w:bottom w:val="single" w:sz="4" w:space="0" w:color="BFBFBF"/>
              <w:right w:val="single" w:sz="4" w:space="0" w:color="BFBFBF"/>
            </w:tcBorders>
            <w:shd w:val="clear" w:color="auto" w:fill="auto"/>
            <w:noWrap/>
            <w:vAlign w:val="center"/>
          </w:tcPr>
          <w:p w14:paraId="3E626F20"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27%</w:t>
            </w:r>
          </w:p>
        </w:tc>
        <w:tc>
          <w:tcPr>
            <w:tcW w:w="540" w:type="dxa"/>
            <w:tcBorders>
              <w:top w:val="nil"/>
              <w:left w:val="nil"/>
              <w:bottom w:val="single" w:sz="4" w:space="0" w:color="BFBFBF"/>
              <w:right w:val="single" w:sz="4" w:space="0" w:color="BFBFBF"/>
            </w:tcBorders>
            <w:shd w:val="clear" w:color="auto" w:fill="auto"/>
            <w:noWrap/>
            <w:vAlign w:val="center"/>
          </w:tcPr>
          <w:p w14:paraId="614DF949"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38%</w:t>
            </w:r>
          </w:p>
        </w:tc>
        <w:tc>
          <w:tcPr>
            <w:tcW w:w="507" w:type="dxa"/>
            <w:tcBorders>
              <w:top w:val="nil"/>
              <w:left w:val="nil"/>
              <w:bottom w:val="single" w:sz="4" w:space="0" w:color="BFBFBF"/>
              <w:right w:val="single" w:sz="4" w:space="0" w:color="BFBFBF"/>
            </w:tcBorders>
            <w:shd w:val="clear" w:color="auto" w:fill="auto"/>
            <w:noWrap/>
            <w:vAlign w:val="center"/>
          </w:tcPr>
          <w:p w14:paraId="07615D7C" w14:textId="77777777" w:rsidR="0035571C" w:rsidRPr="00E15E11" w:rsidRDefault="0035571C" w:rsidP="006A62C9">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w:t>
            </w:r>
            <w:r w:rsidR="006A62C9" w:rsidRPr="00E15E11">
              <w:rPr>
                <w:rFonts w:ascii="Arial" w:hAnsi="Arial" w:cs="Arial"/>
                <w:color w:val="000000"/>
                <w:sz w:val="16"/>
                <w:szCs w:val="16"/>
                <w:lang w:val="en-AU" w:eastAsia="en-AU"/>
              </w:rPr>
              <w:t>6</w:t>
            </w:r>
            <w:r w:rsidRPr="00E15E11">
              <w:rPr>
                <w:rFonts w:ascii="Arial" w:hAnsi="Arial" w:cs="Arial"/>
                <w:color w:val="000000"/>
                <w:sz w:val="16"/>
                <w:szCs w:val="16"/>
                <w:lang w:val="en-AU" w:eastAsia="en-AU"/>
              </w:rPr>
              <w:t>%</w:t>
            </w:r>
          </w:p>
        </w:tc>
        <w:tc>
          <w:tcPr>
            <w:tcW w:w="507" w:type="dxa"/>
            <w:tcBorders>
              <w:top w:val="nil"/>
              <w:left w:val="nil"/>
              <w:bottom w:val="single" w:sz="4" w:space="0" w:color="BFBFBF"/>
              <w:right w:val="single" w:sz="4" w:space="0" w:color="BFBFBF"/>
            </w:tcBorders>
            <w:shd w:val="clear" w:color="auto" w:fill="auto"/>
            <w:noWrap/>
            <w:vAlign w:val="center"/>
          </w:tcPr>
          <w:p w14:paraId="3D4C0A1B"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73%</w:t>
            </w:r>
          </w:p>
        </w:tc>
        <w:tc>
          <w:tcPr>
            <w:tcW w:w="507" w:type="dxa"/>
            <w:tcBorders>
              <w:top w:val="nil"/>
              <w:left w:val="nil"/>
              <w:bottom w:val="single" w:sz="4" w:space="0" w:color="BFBFBF"/>
              <w:right w:val="double" w:sz="6" w:space="0" w:color="auto"/>
            </w:tcBorders>
            <w:shd w:val="clear" w:color="auto" w:fill="auto"/>
            <w:noWrap/>
            <w:vAlign w:val="center"/>
          </w:tcPr>
          <w:p w14:paraId="292C8028"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87%</w:t>
            </w:r>
          </w:p>
        </w:tc>
      </w:tr>
      <w:tr w:rsidR="0035571C" w:rsidRPr="00E15E11" w14:paraId="55B581B9" w14:textId="77777777" w:rsidTr="00D92C64">
        <w:trPr>
          <w:trHeight w:val="283"/>
          <w:jc w:val="center"/>
        </w:trPr>
        <w:tc>
          <w:tcPr>
            <w:tcW w:w="2600" w:type="dxa"/>
            <w:tcBorders>
              <w:top w:val="nil"/>
              <w:left w:val="double" w:sz="6" w:space="0" w:color="auto"/>
              <w:bottom w:val="single" w:sz="4" w:space="0" w:color="BFBFBF"/>
              <w:right w:val="single" w:sz="4" w:space="0" w:color="BFBFBF"/>
            </w:tcBorders>
            <w:shd w:val="clear" w:color="auto" w:fill="auto"/>
            <w:noWrap/>
            <w:vAlign w:val="center"/>
          </w:tcPr>
          <w:p w14:paraId="69493F24" w14:textId="77777777" w:rsidR="0035571C" w:rsidRPr="00E15E11" w:rsidRDefault="0035571C" w:rsidP="0035571C">
            <w:pPr>
              <w:spacing w:before="0" w:after="0"/>
              <w:rPr>
                <w:rFonts w:ascii="Arial" w:hAnsi="Arial" w:cs="Arial"/>
                <w:color w:val="000000"/>
                <w:sz w:val="16"/>
                <w:szCs w:val="16"/>
                <w:lang w:val="en-AU" w:eastAsia="en-AU"/>
              </w:rPr>
            </w:pPr>
            <w:r w:rsidRPr="00E15E11">
              <w:rPr>
                <w:rFonts w:ascii="Arial" w:hAnsi="Arial" w:cs="Arial"/>
                <w:color w:val="000000"/>
                <w:sz w:val="16"/>
                <w:szCs w:val="16"/>
                <w:lang w:val="en-AU" w:eastAsia="en-AU"/>
              </w:rPr>
              <w:t>Other</w:t>
            </w:r>
          </w:p>
        </w:tc>
        <w:tc>
          <w:tcPr>
            <w:tcW w:w="594" w:type="dxa"/>
            <w:tcBorders>
              <w:top w:val="nil"/>
              <w:left w:val="nil"/>
              <w:bottom w:val="single" w:sz="4" w:space="0" w:color="BFBFBF"/>
              <w:right w:val="single" w:sz="4" w:space="0" w:color="BFBFBF"/>
            </w:tcBorders>
            <w:shd w:val="clear" w:color="auto" w:fill="auto"/>
            <w:noWrap/>
            <w:vAlign w:val="center"/>
          </w:tcPr>
          <w:p w14:paraId="3A083D91"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93" w:type="dxa"/>
            <w:tcBorders>
              <w:top w:val="nil"/>
              <w:left w:val="nil"/>
              <w:bottom w:val="single" w:sz="4" w:space="0" w:color="BFBFBF"/>
              <w:right w:val="single" w:sz="4" w:space="0" w:color="BFBFBF"/>
            </w:tcBorders>
            <w:shd w:val="clear" w:color="auto" w:fill="auto"/>
            <w:noWrap/>
            <w:vAlign w:val="center"/>
          </w:tcPr>
          <w:p w14:paraId="692EB652"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93" w:type="dxa"/>
            <w:tcBorders>
              <w:top w:val="nil"/>
              <w:left w:val="nil"/>
              <w:bottom w:val="single" w:sz="4" w:space="0" w:color="BFBFBF"/>
              <w:right w:val="single" w:sz="4" w:space="0" w:color="BFBFBF"/>
            </w:tcBorders>
            <w:shd w:val="clear" w:color="auto" w:fill="auto"/>
            <w:noWrap/>
            <w:vAlign w:val="center"/>
          </w:tcPr>
          <w:p w14:paraId="40154F0A"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87" w:type="dxa"/>
            <w:tcBorders>
              <w:top w:val="nil"/>
              <w:left w:val="nil"/>
              <w:bottom w:val="single" w:sz="4" w:space="0" w:color="BFBFBF"/>
              <w:right w:val="single" w:sz="4" w:space="0" w:color="BFBFBF"/>
            </w:tcBorders>
            <w:shd w:val="clear" w:color="auto" w:fill="auto"/>
            <w:noWrap/>
            <w:vAlign w:val="center"/>
          </w:tcPr>
          <w:p w14:paraId="0C861804"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87" w:type="dxa"/>
            <w:tcBorders>
              <w:top w:val="nil"/>
              <w:left w:val="nil"/>
              <w:bottom w:val="single" w:sz="4" w:space="0" w:color="BFBFBF"/>
              <w:right w:val="single" w:sz="4" w:space="0" w:color="BFBFBF"/>
            </w:tcBorders>
            <w:shd w:val="clear" w:color="auto" w:fill="auto"/>
            <w:noWrap/>
            <w:vAlign w:val="center"/>
          </w:tcPr>
          <w:p w14:paraId="0F53FBB7"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87" w:type="dxa"/>
            <w:tcBorders>
              <w:top w:val="nil"/>
              <w:left w:val="nil"/>
              <w:bottom w:val="single" w:sz="4" w:space="0" w:color="BFBFBF"/>
              <w:right w:val="single" w:sz="4" w:space="0" w:color="BFBFBF"/>
            </w:tcBorders>
            <w:shd w:val="clear" w:color="auto" w:fill="auto"/>
            <w:noWrap/>
            <w:vAlign w:val="center"/>
          </w:tcPr>
          <w:p w14:paraId="23EC600B"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94" w:type="dxa"/>
            <w:tcBorders>
              <w:top w:val="nil"/>
              <w:left w:val="nil"/>
              <w:bottom w:val="single" w:sz="4" w:space="0" w:color="BFBFBF"/>
              <w:right w:val="single" w:sz="4" w:space="0" w:color="BFBFBF"/>
            </w:tcBorders>
            <w:shd w:val="clear" w:color="auto" w:fill="auto"/>
            <w:noWrap/>
            <w:vAlign w:val="center"/>
          </w:tcPr>
          <w:p w14:paraId="3E2D4131"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93" w:type="dxa"/>
            <w:tcBorders>
              <w:top w:val="nil"/>
              <w:left w:val="nil"/>
              <w:bottom w:val="single" w:sz="4" w:space="0" w:color="BFBFBF"/>
              <w:right w:val="single" w:sz="4" w:space="0" w:color="BFBFBF"/>
            </w:tcBorders>
            <w:shd w:val="clear" w:color="auto" w:fill="auto"/>
            <w:noWrap/>
            <w:vAlign w:val="center"/>
          </w:tcPr>
          <w:p w14:paraId="692ABB4E"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93" w:type="dxa"/>
            <w:tcBorders>
              <w:top w:val="nil"/>
              <w:left w:val="nil"/>
              <w:bottom w:val="single" w:sz="4" w:space="0" w:color="BFBFBF"/>
              <w:right w:val="single" w:sz="4" w:space="0" w:color="BFBFBF"/>
            </w:tcBorders>
            <w:shd w:val="clear" w:color="auto" w:fill="auto"/>
            <w:noWrap/>
            <w:vAlign w:val="center"/>
          </w:tcPr>
          <w:p w14:paraId="27609C9E"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40" w:type="dxa"/>
            <w:tcBorders>
              <w:top w:val="nil"/>
              <w:left w:val="nil"/>
              <w:bottom w:val="single" w:sz="4" w:space="0" w:color="BFBFBF"/>
              <w:right w:val="single" w:sz="4" w:space="0" w:color="BFBFBF"/>
            </w:tcBorders>
            <w:shd w:val="clear" w:color="auto" w:fill="auto"/>
            <w:noWrap/>
            <w:vAlign w:val="center"/>
          </w:tcPr>
          <w:p w14:paraId="406527D9"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40" w:type="dxa"/>
            <w:tcBorders>
              <w:top w:val="nil"/>
              <w:left w:val="nil"/>
              <w:bottom w:val="single" w:sz="4" w:space="0" w:color="BFBFBF"/>
              <w:right w:val="single" w:sz="4" w:space="0" w:color="BFBFBF"/>
            </w:tcBorders>
            <w:shd w:val="clear" w:color="auto" w:fill="auto"/>
            <w:noWrap/>
            <w:vAlign w:val="center"/>
          </w:tcPr>
          <w:p w14:paraId="03B6907E"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40" w:type="dxa"/>
            <w:tcBorders>
              <w:top w:val="nil"/>
              <w:left w:val="nil"/>
              <w:bottom w:val="single" w:sz="4" w:space="0" w:color="BFBFBF"/>
              <w:right w:val="single" w:sz="4" w:space="0" w:color="BFBFBF"/>
            </w:tcBorders>
            <w:shd w:val="clear" w:color="auto" w:fill="auto"/>
            <w:noWrap/>
            <w:vAlign w:val="center"/>
          </w:tcPr>
          <w:p w14:paraId="0DD1F164"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c>
          <w:tcPr>
            <w:tcW w:w="507" w:type="dxa"/>
            <w:tcBorders>
              <w:top w:val="nil"/>
              <w:left w:val="nil"/>
              <w:bottom w:val="single" w:sz="4" w:space="0" w:color="BFBFBF"/>
              <w:right w:val="single" w:sz="4" w:space="0" w:color="BFBFBF"/>
            </w:tcBorders>
            <w:shd w:val="clear" w:color="auto" w:fill="auto"/>
            <w:noWrap/>
            <w:vAlign w:val="center"/>
          </w:tcPr>
          <w:p w14:paraId="4A2644F9"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07" w:type="dxa"/>
            <w:tcBorders>
              <w:top w:val="nil"/>
              <w:left w:val="nil"/>
              <w:bottom w:val="single" w:sz="4" w:space="0" w:color="BFBFBF"/>
              <w:right w:val="single" w:sz="4" w:space="0" w:color="BFBFBF"/>
            </w:tcBorders>
            <w:shd w:val="clear" w:color="auto" w:fill="auto"/>
            <w:noWrap/>
            <w:vAlign w:val="center"/>
          </w:tcPr>
          <w:p w14:paraId="3930CE69"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07" w:type="dxa"/>
            <w:tcBorders>
              <w:top w:val="nil"/>
              <w:left w:val="nil"/>
              <w:bottom w:val="single" w:sz="4" w:space="0" w:color="BFBFBF"/>
              <w:right w:val="double" w:sz="6" w:space="0" w:color="auto"/>
            </w:tcBorders>
            <w:shd w:val="clear" w:color="auto" w:fill="auto"/>
            <w:noWrap/>
            <w:vAlign w:val="center"/>
          </w:tcPr>
          <w:p w14:paraId="206B76B3"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w:t>
            </w:r>
          </w:p>
        </w:tc>
      </w:tr>
      <w:tr w:rsidR="0035571C" w:rsidRPr="00E15E11" w14:paraId="2B2D3573" w14:textId="77777777" w:rsidTr="00D92C64">
        <w:trPr>
          <w:trHeight w:val="283"/>
          <w:jc w:val="center"/>
        </w:trPr>
        <w:tc>
          <w:tcPr>
            <w:tcW w:w="2600" w:type="dxa"/>
            <w:tcBorders>
              <w:top w:val="nil"/>
              <w:left w:val="double" w:sz="6" w:space="0" w:color="auto"/>
              <w:bottom w:val="double" w:sz="6" w:space="0" w:color="auto"/>
              <w:right w:val="single" w:sz="4" w:space="0" w:color="BFBFBF"/>
            </w:tcBorders>
            <w:shd w:val="clear" w:color="auto" w:fill="auto"/>
            <w:noWrap/>
            <w:vAlign w:val="center"/>
          </w:tcPr>
          <w:p w14:paraId="2F3E8819" w14:textId="77777777" w:rsidR="0035571C" w:rsidRPr="00E15E11" w:rsidRDefault="0035571C" w:rsidP="0035571C">
            <w:pPr>
              <w:spacing w:before="0" w:after="0"/>
              <w:rPr>
                <w:rFonts w:ascii="Arial" w:hAnsi="Arial" w:cs="Arial"/>
                <w:color w:val="000000"/>
                <w:sz w:val="16"/>
                <w:szCs w:val="16"/>
                <w:lang w:val="en-AU" w:eastAsia="en-AU"/>
              </w:rPr>
            </w:pPr>
            <w:r w:rsidRPr="00E15E11">
              <w:rPr>
                <w:rFonts w:ascii="Arial" w:hAnsi="Arial" w:cs="Arial"/>
                <w:color w:val="000000"/>
                <w:sz w:val="16"/>
                <w:szCs w:val="16"/>
                <w:lang w:val="en-AU" w:eastAsia="en-AU"/>
              </w:rPr>
              <w:t>Can't say</w:t>
            </w:r>
          </w:p>
        </w:tc>
        <w:tc>
          <w:tcPr>
            <w:tcW w:w="594" w:type="dxa"/>
            <w:tcBorders>
              <w:top w:val="nil"/>
              <w:left w:val="nil"/>
              <w:bottom w:val="double" w:sz="6" w:space="0" w:color="auto"/>
              <w:right w:val="single" w:sz="4" w:space="0" w:color="BFBFBF"/>
            </w:tcBorders>
            <w:shd w:val="clear" w:color="auto" w:fill="auto"/>
            <w:noWrap/>
            <w:vAlign w:val="center"/>
          </w:tcPr>
          <w:p w14:paraId="0CF80485"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w:t>
            </w:r>
          </w:p>
        </w:tc>
        <w:tc>
          <w:tcPr>
            <w:tcW w:w="593" w:type="dxa"/>
            <w:tcBorders>
              <w:top w:val="nil"/>
              <w:left w:val="nil"/>
              <w:bottom w:val="double" w:sz="6" w:space="0" w:color="auto"/>
              <w:right w:val="single" w:sz="4" w:space="0" w:color="BFBFBF"/>
            </w:tcBorders>
            <w:shd w:val="clear" w:color="auto" w:fill="auto"/>
            <w:noWrap/>
            <w:vAlign w:val="center"/>
          </w:tcPr>
          <w:p w14:paraId="21D22933"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93" w:type="dxa"/>
            <w:tcBorders>
              <w:top w:val="nil"/>
              <w:left w:val="nil"/>
              <w:bottom w:val="double" w:sz="6" w:space="0" w:color="auto"/>
              <w:right w:val="single" w:sz="4" w:space="0" w:color="BFBFBF"/>
            </w:tcBorders>
            <w:shd w:val="clear" w:color="auto" w:fill="auto"/>
            <w:noWrap/>
            <w:vAlign w:val="center"/>
          </w:tcPr>
          <w:p w14:paraId="16835CED"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87" w:type="dxa"/>
            <w:tcBorders>
              <w:top w:val="nil"/>
              <w:left w:val="nil"/>
              <w:bottom w:val="double" w:sz="6" w:space="0" w:color="auto"/>
              <w:right w:val="single" w:sz="4" w:space="0" w:color="BFBFBF"/>
            </w:tcBorders>
            <w:shd w:val="clear" w:color="auto" w:fill="auto"/>
            <w:noWrap/>
            <w:vAlign w:val="center"/>
          </w:tcPr>
          <w:p w14:paraId="4890A9F1"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w:t>
            </w:r>
          </w:p>
        </w:tc>
        <w:tc>
          <w:tcPr>
            <w:tcW w:w="587" w:type="dxa"/>
            <w:tcBorders>
              <w:top w:val="nil"/>
              <w:left w:val="nil"/>
              <w:bottom w:val="double" w:sz="6" w:space="0" w:color="auto"/>
              <w:right w:val="single" w:sz="4" w:space="0" w:color="BFBFBF"/>
            </w:tcBorders>
            <w:shd w:val="clear" w:color="auto" w:fill="auto"/>
            <w:noWrap/>
            <w:vAlign w:val="center"/>
          </w:tcPr>
          <w:p w14:paraId="70D46514"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87" w:type="dxa"/>
            <w:tcBorders>
              <w:top w:val="nil"/>
              <w:left w:val="nil"/>
              <w:bottom w:val="double" w:sz="6" w:space="0" w:color="auto"/>
              <w:right w:val="single" w:sz="4" w:space="0" w:color="BFBFBF"/>
            </w:tcBorders>
            <w:shd w:val="clear" w:color="auto" w:fill="auto"/>
            <w:noWrap/>
            <w:vAlign w:val="center"/>
          </w:tcPr>
          <w:p w14:paraId="1F36AB00"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1%</w:t>
            </w:r>
          </w:p>
        </w:tc>
        <w:tc>
          <w:tcPr>
            <w:tcW w:w="594" w:type="dxa"/>
            <w:tcBorders>
              <w:top w:val="nil"/>
              <w:left w:val="nil"/>
              <w:bottom w:val="double" w:sz="6" w:space="0" w:color="auto"/>
              <w:right w:val="single" w:sz="4" w:space="0" w:color="BFBFBF"/>
            </w:tcBorders>
            <w:shd w:val="clear" w:color="auto" w:fill="auto"/>
            <w:noWrap/>
            <w:vAlign w:val="center"/>
          </w:tcPr>
          <w:p w14:paraId="0F4AE6DC"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w:t>
            </w:r>
          </w:p>
        </w:tc>
        <w:tc>
          <w:tcPr>
            <w:tcW w:w="593" w:type="dxa"/>
            <w:tcBorders>
              <w:top w:val="nil"/>
              <w:left w:val="nil"/>
              <w:bottom w:val="double" w:sz="6" w:space="0" w:color="auto"/>
              <w:right w:val="single" w:sz="4" w:space="0" w:color="BFBFBF"/>
            </w:tcBorders>
            <w:shd w:val="clear" w:color="auto" w:fill="auto"/>
            <w:noWrap/>
            <w:vAlign w:val="center"/>
          </w:tcPr>
          <w:p w14:paraId="478740D1"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3%</w:t>
            </w:r>
          </w:p>
        </w:tc>
        <w:tc>
          <w:tcPr>
            <w:tcW w:w="593" w:type="dxa"/>
            <w:tcBorders>
              <w:top w:val="nil"/>
              <w:left w:val="nil"/>
              <w:bottom w:val="double" w:sz="6" w:space="0" w:color="auto"/>
              <w:right w:val="single" w:sz="4" w:space="0" w:color="BFBFBF"/>
            </w:tcBorders>
            <w:shd w:val="clear" w:color="auto" w:fill="auto"/>
            <w:noWrap/>
            <w:vAlign w:val="center"/>
          </w:tcPr>
          <w:p w14:paraId="2ACE62ED"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6%</w:t>
            </w:r>
          </w:p>
        </w:tc>
        <w:tc>
          <w:tcPr>
            <w:tcW w:w="540" w:type="dxa"/>
            <w:tcBorders>
              <w:top w:val="nil"/>
              <w:left w:val="nil"/>
              <w:bottom w:val="double" w:sz="6" w:space="0" w:color="auto"/>
              <w:right w:val="single" w:sz="4" w:space="0" w:color="BFBFBF"/>
            </w:tcBorders>
            <w:shd w:val="clear" w:color="auto" w:fill="auto"/>
            <w:noWrap/>
            <w:vAlign w:val="center"/>
          </w:tcPr>
          <w:p w14:paraId="4AB5DF23"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9%</w:t>
            </w:r>
          </w:p>
        </w:tc>
        <w:tc>
          <w:tcPr>
            <w:tcW w:w="540" w:type="dxa"/>
            <w:tcBorders>
              <w:top w:val="nil"/>
              <w:left w:val="nil"/>
              <w:bottom w:val="double" w:sz="6" w:space="0" w:color="auto"/>
              <w:right w:val="single" w:sz="4" w:space="0" w:color="BFBFBF"/>
            </w:tcBorders>
            <w:shd w:val="clear" w:color="auto" w:fill="auto"/>
            <w:noWrap/>
            <w:vAlign w:val="center"/>
          </w:tcPr>
          <w:p w14:paraId="3E3E0EAB"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8%</w:t>
            </w:r>
          </w:p>
        </w:tc>
        <w:tc>
          <w:tcPr>
            <w:tcW w:w="540" w:type="dxa"/>
            <w:tcBorders>
              <w:top w:val="nil"/>
              <w:left w:val="nil"/>
              <w:bottom w:val="double" w:sz="6" w:space="0" w:color="auto"/>
              <w:right w:val="single" w:sz="4" w:space="0" w:color="BFBFBF"/>
            </w:tcBorders>
            <w:shd w:val="clear" w:color="auto" w:fill="auto"/>
            <w:noWrap/>
            <w:vAlign w:val="center"/>
          </w:tcPr>
          <w:p w14:paraId="6DC57E80"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9%</w:t>
            </w:r>
          </w:p>
        </w:tc>
        <w:tc>
          <w:tcPr>
            <w:tcW w:w="507" w:type="dxa"/>
            <w:tcBorders>
              <w:top w:val="nil"/>
              <w:left w:val="nil"/>
              <w:bottom w:val="double" w:sz="6" w:space="0" w:color="auto"/>
              <w:right w:val="single" w:sz="4" w:space="0" w:color="BFBFBF"/>
            </w:tcBorders>
            <w:shd w:val="clear" w:color="auto" w:fill="auto"/>
            <w:noWrap/>
            <w:vAlign w:val="center"/>
          </w:tcPr>
          <w:p w14:paraId="4C92E02C" w14:textId="77777777" w:rsidR="0035571C" w:rsidRPr="00E15E11" w:rsidRDefault="006A62C9"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4</w:t>
            </w:r>
            <w:r w:rsidR="0035571C" w:rsidRPr="00E15E11">
              <w:rPr>
                <w:rFonts w:ascii="Arial" w:hAnsi="Arial" w:cs="Arial"/>
                <w:color w:val="000000"/>
                <w:sz w:val="16"/>
                <w:szCs w:val="16"/>
                <w:lang w:val="en-AU" w:eastAsia="en-AU"/>
              </w:rPr>
              <w:t>%</w:t>
            </w:r>
          </w:p>
        </w:tc>
        <w:tc>
          <w:tcPr>
            <w:tcW w:w="507" w:type="dxa"/>
            <w:tcBorders>
              <w:top w:val="nil"/>
              <w:left w:val="nil"/>
              <w:bottom w:val="double" w:sz="6" w:space="0" w:color="auto"/>
              <w:right w:val="single" w:sz="4" w:space="0" w:color="BFBFBF"/>
            </w:tcBorders>
            <w:shd w:val="clear" w:color="auto" w:fill="auto"/>
            <w:noWrap/>
            <w:vAlign w:val="center"/>
          </w:tcPr>
          <w:p w14:paraId="39AED293"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c>
          <w:tcPr>
            <w:tcW w:w="507" w:type="dxa"/>
            <w:tcBorders>
              <w:top w:val="nil"/>
              <w:left w:val="nil"/>
              <w:bottom w:val="double" w:sz="6" w:space="0" w:color="auto"/>
              <w:right w:val="double" w:sz="6" w:space="0" w:color="auto"/>
            </w:tcBorders>
            <w:shd w:val="clear" w:color="auto" w:fill="auto"/>
            <w:noWrap/>
            <w:vAlign w:val="center"/>
          </w:tcPr>
          <w:p w14:paraId="02D11C09" w14:textId="77777777" w:rsidR="0035571C" w:rsidRPr="00E15E11" w:rsidRDefault="0035571C" w:rsidP="0067791B">
            <w:pPr>
              <w:spacing w:before="0" w:after="0"/>
              <w:jc w:val="center"/>
              <w:rPr>
                <w:rFonts w:ascii="Arial" w:hAnsi="Arial" w:cs="Arial"/>
                <w:color w:val="000000"/>
                <w:sz w:val="16"/>
                <w:szCs w:val="16"/>
                <w:lang w:val="en-AU" w:eastAsia="en-AU"/>
              </w:rPr>
            </w:pPr>
            <w:r w:rsidRPr="00E15E11">
              <w:rPr>
                <w:rFonts w:ascii="Arial" w:hAnsi="Arial" w:cs="Arial"/>
                <w:color w:val="000000"/>
                <w:sz w:val="16"/>
                <w:szCs w:val="16"/>
                <w:lang w:val="en-AU" w:eastAsia="en-AU"/>
              </w:rPr>
              <w:t>2%</w:t>
            </w:r>
          </w:p>
        </w:tc>
      </w:tr>
    </w:tbl>
    <w:p w14:paraId="00684EC1" w14:textId="77777777" w:rsidR="00E02C75" w:rsidRPr="00E15E11" w:rsidRDefault="00E02C75" w:rsidP="00D92C64">
      <w:pPr>
        <w:pStyle w:val="Para"/>
        <w:spacing w:before="60" w:line="200" w:lineRule="exact"/>
        <w:ind w:left="1440"/>
        <w:rPr>
          <w:sz w:val="20"/>
          <w:lang w:val="en-AU"/>
        </w:rPr>
      </w:pPr>
      <w:r w:rsidRPr="00E15E11">
        <w:rPr>
          <w:sz w:val="20"/>
          <w:lang w:val="en-AU"/>
        </w:rPr>
        <w:t xml:space="preserve">Base: Total respondents who received a water bill, </w:t>
      </w:r>
      <w:r w:rsidR="00CA417A" w:rsidRPr="00E15E11">
        <w:rPr>
          <w:sz w:val="20"/>
          <w:lang w:val="en-AU"/>
        </w:rPr>
        <w:t xml:space="preserve">2014 (n=1,683); </w:t>
      </w:r>
      <w:r w:rsidRPr="00E15E11">
        <w:rPr>
          <w:sz w:val="20"/>
          <w:lang w:val="en-AU"/>
        </w:rPr>
        <w:t>2007 (n=1,897); 2001 (n=1,817)</w:t>
      </w:r>
    </w:p>
    <w:p w14:paraId="3CA201A7" w14:textId="77777777" w:rsidR="00C76F63" w:rsidRPr="00E15E11" w:rsidRDefault="00C76F63" w:rsidP="00DB3EA3">
      <w:pPr>
        <w:pStyle w:val="Para"/>
        <w:spacing w:line="200" w:lineRule="exact"/>
        <w:ind w:left="1440"/>
        <w:rPr>
          <w:sz w:val="20"/>
          <w:lang w:val="en-AU"/>
        </w:rPr>
      </w:pPr>
    </w:p>
    <w:p w14:paraId="2E263EB5" w14:textId="77777777" w:rsidR="00501B41" w:rsidRPr="00E15E11" w:rsidRDefault="00501B41" w:rsidP="00DB3EA3">
      <w:pPr>
        <w:pStyle w:val="Para"/>
        <w:spacing w:line="200" w:lineRule="exact"/>
        <w:ind w:left="1440"/>
        <w:jc w:val="left"/>
        <w:rPr>
          <w:sz w:val="20"/>
          <w:lang w:val="en-AU"/>
        </w:rPr>
      </w:pPr>
      <w:r w:rsidRPr="00E15E11">
        <w:rPr>
          <w:sz w:val="20"/>
          <w:lang w:val="en-AU"/>
        </w:rPr>
        <w:t>1. Renting households should not receive water bills with fixed service charges included.  Therefore, it should be noted that some mis-reporting</w:t>
      </w:r>
      <w:r w:rsidR="00DB3EA3" w:rsidRPr="00E15E11">
        <w:rPr>
          <w:sz w:val="20"/>
          <w:lang w:val="en-AU"/>
        </w:rPr>
        <w:br/>
        <w:t xml:space="preserve">   </w:t>
      </w:r>
      <w:r w:rsidRPr="00E15E11">
        <w:rPr>
          <w:sz w:val="20"/>
          <w:lang w:val="en-AU"/>
        </w:rPr>
        <w:t xml:space="preserve"> by respondents may</w:t>
      </w:r>
      <w:r w:rsidR="00DB3EA3" w:rsidRPr="00E15E11">
        <w:rPr>
          <w:sz w:val="20"/>
          <w:lang w:val="en-AU"/>
        </w:rPr>
        <w:t xml:space="preserve"> </w:t>
      </w:r>
      <w:r w:rsidRPr="00E15E11">
        <w:rPr>
          <w:sz w:val="20"/>
          <w:lang w:val="en-AU"/>
        </w:rPr>
        <w:t>be</w:t>
      </w:r>
      <w:r w:rsidR="00DB3EA3" w:rsidRPr="00E15E11">
        <w:rPr>
          <w:sz w:val="20"/>
          <w:lang w:val="en-AU"/>
        </w:rPr>
        <w:t xml:space="preserve"> </w:t>
      </w:r>
      <w:r w:rsidRPr="00E15E11">
        <w:rPr>
          <w:sz w:val="20"/>
          <w:lang w:val="en-AU"/>
        </w:rPr>
        <w:t>occurring in relation to this question.</w:t>
      </w:r>
    </w:p>
    <w:p w14:paraId="0C408238" w14:textId="77777777" w:rsidR="00E02C75" w:rsidRPr="00E15E11" w:rsidRDefault="00E02C75" w:rsidP="00E02C75">
      <w:pPr>
        <w:pStyle w:val="Para"/>
        <w:rPr>
          <w:lang w:val="en-AU"/>
        </w:rPr>
      </w:pPr>
    </w:p>
    <w:p w14:paraId="21D0575E" w14:textId="77777777" w:rsidR="00D109F7" w:rsidRPr="00EC58CC" w:rsidRDefault="00E02C75" w:rsidP="00D109F7">
      <w:pPr>
        <w:pStyle w:val="Heading2"/>
        <w:spacing w:before="0"/>
        <w:ind w:left="578" w:hanging="578"/>
        <w:rPr>
          <w:lang w:val="en-AU"/>
        </w:rPr>
      </w:pPr>
      <w:r w:rsidRPr="00EC58CC">
        <w:rPr>
          <w:lang w:val="en-AU"/>
        </w:rPr>
        <w:br w:type="page"/>
      </w:r>
      <w:bookmarkStart w:id="193" w:name="_Toc439198324"/>
      <w:bookmarkStart w:id="194" w:name="_Toc445571701"/>
      <w:r w:rsidR="00D109F7" w:rsidRPr="00EC58CC">
        <w:rPr>
          <w:lang w:val="en-AU"/>
        </w:rPr>
        <w:lastRenderedPageBreak/>
        <w:t>WATER COSTS AND CONSUMPTION</w:t>
      </w:r>
      <w:bookmarkEnd w:id="193"/>
      <w:bookmarkEnd w:id="194"/>
    </w:p>
    <w:p w14:paraId="50B46D64" w14:textId="77777777" w:rsidR="00FF699C" w:rsidRPr="00EC58CC" w:rsidRDefault="00FF699C" w:rsidP="009748AD">
      <w:pPr>
        <w:pStyle w:val="Para"/>
        <w:spacing w:before="360"/>
        <w:rPr>
          <w:lang w:val="en-AU"/>
        </w:rPr>
      </w:pPr>
      <w:r w:rsidRPr="00EC58CC">
        <w:rPr>
          <w:lang w:val="en-AU"/>
        </w:rPr>
        <w:t xml:space="preserve">NB. This section is based on billing data supplied by </w:t>
      </w:r>
      <w:r w:rsidR="00743264" w:rsidRPr="00EC58CC">
        <w:rPr>
          <w:lang w:val="en-AU"/>
        </w:rPr>
        <w:t>water corporations</w:t>
      </w:r>
      <w:r w:rsidRPr="00EC58CC">
        <w:rPr>
          <w:lang w:val="en-AU"/>
        </w:rPr>
        <w:t xml:space="preserve"> and linked to respondent survey data.</w:t>
      </w:r>
    </w:p>
    <w:p w14:paraId="34D570AB" w14:textId="77777777" w:rsidR="00C76F63" w:rsidRPr="00EC58CC" w:rsidRDefault="00C76F63" w:rsidP="00FF699C">
      <w:pPr>
        <w:pStyle w:val="Para"/>
        <w:rPr>
          <w:lang w:val="en-AU"/>
        </w:rPr>
      </w:pPr>
    </w:p>
    <w:p w14:paraId="7B5013B4" w14:textId="77777777" w:rsidR="003920D8" w:rsidRPr="00EC58CC" w:rsidRDefault="00D109F7">
      <w:pPr>
        <w:pStyle w:val="Heading3"/>
        <w:tabs>
          <w:tab w:val="clear" w:pos="8517"/>
          <w:tab w:val="num" w:pos="851"/>
        </w:tabs>
        <w:spacing w:before="120"/>
        <w:ind w:hanging="8517"/>
        <w:rPr>
          <w:lang w:val="en-AU"/>
        </w:rPr>
      </w:pPr>
      <w:bookmarkStart w:id="195" w:name="_Toc439198325"/>
      <w:bookmarkStart w:id="196" w:name="_Toc445571702"/>
      <w:r w:rsidRPr="00EC58CC">
        <w:rPr>
          <w:lang w:val="en-AU"/>
        </w:rPr>
        <w:t>Water Consumption</w:t>
      </w:r>
      <w:bookmarkEnd w:id="195"/>
      <w:bookmarkEnd w:id="196"/>
    </w:p>
    <w:p w14:paraId="4A10DA73" w14:textId="77777777" w:rsidR="00F9759F" w:rsidRPr="00EC58CC" w:rsidRDefault="00F60D38" w:rsidP="00D109F7">
      <w:pPr>
        <w:spacing w:before="0" w:after="0" w:line="340" w:lineRule="exact"/>
        <w:jc w:val="both"/>
        <w:rPr>
          <w:lang w:val="en-AU"/>
        </w:rPr>
      </w:pPr>
      <w:r w:rsidRPr="00EC58CC">
        <w:rPr>
          <w:lang w:val="en-AU"/>
        </w:rPr>
        <w:t>Ninety two per cent of</w:t>
      </w:r>
      <w:r w:rsidR="00D109F7" w:rsidRPr="00EC58CC">
        <w:rPr>
          <w:lang w:val="en-AU"/>
        </w:rPr>
        <w:t xml:space="preserve"> Victorian households received water bills in </w:t>
      </w:r>
      <w:r w:rsidR="00691EAE" w:rsidRPr="00EC58CC">
        <w:rPr>
          <w:lang w:val="en-AU"/>
        </w:rPr>
        <w:t>20</w:t>
      </w:r>
      <w:r w:rsidR="00F9759F" w:rsidRPr="00EC58CC">
        <w:rPr>
          <w:lang w:val="en-AU"/>
        </w:rPr>
        <w:t>14, compared with 93% in both 2007 and 2001 and 87% in 1996</w:t>
      </w:r>
      <w:r w:rsidR="00FD7B86" w:rsidRPr="00EC58CC">
        <w:rPr>
          <w:lang w:val="en-AU"/>
        </w:rPr>
        <w:t>.  When examined by concession status, the lowest incidence rate was among other concession households (88%) and the highest among non-concession households (9</w:t>
      </w:r>
      <w:r w:rsidR="00EC58CC" w:rsidRPr="00EC58CC">
        <w:rPr>
          <w:lang w:val="en-AU"/>
        </w:rPr>
        <w:t>4</w:t>
      </w:r>
      <w:r w:rsidR="00FD7B86" w:rsidRPr="00AF7420">
        <w:rPr>
          <w:lang w:val="en-AU"/>
        </w:rPr>
        <w:t>%).  Renters (7</w:t>
      </w:r>
      <w:r w:rsidR="00AF7420" w:rsidRPr="00AF7420">
        <w:rPr>
          <w:lang w:val="en-AU"/>
        </w:rPr>
        <w:t>7</w:t>
      </w:r>
      <w:r w:rsidR="00FD7B86" w:rsidRPr="00AF7420">
        <w:rPr>
          <w:lang w:val="en-AU"/>
        </w:rPr>
        <w:t>%) were less likely than home owners/buyers (96%) to receive a water bill, but there</w:t>
      </w:r>
      <w:r w:rsidR="00FD7B86" w:rsidRPr="00EC58CC">
        <w:rPr>
          <w:lang w:val="en-AU"/>
        </w:rPr>
        <w:t xml:space="preserve"> was little difference in incidence between private sector (7</w:t>
      </w:r>
      <w:r w:rsidR="00EC58CC" w:rsidRPr="00EC58CC">
        <w:rPr>
          <w:lang w:val="en-AU"/>
        </w:rPr>
        <w:t>6</w:t>
      </w:r>
      <w:r w:rsidR="00FD7B86" w:rsidRPr="00EC58CC">
        <w:rPr>
          <w:lang w:val="en-AU"/>
        </w:rPr>
        <w:t>%) and public sector (7</w:t>
      </w:r>
      <w:r w:rsidR="00EC58CC" w:rsidRPr="00EC58CC">
        <w:rPr>
          <w:lang w:val="en-AU"/>
        </w:rPr>
        <w:t>7</w:t>
      </w:r>
      <w:r w:rsidR="00FD7B86" w:rsidRPr="00EC58CC">
        <w:rPr>
          <w:lang w:val="en-AU"/>
        </w:rPr>
        <w:t xml:space="preserve">%) renters.  </w:t>
      </w:r>
    </w:p>
    <w:p w14:paraId="03994393" w14:textId="77777777" w:rsidR="00FD7B86" w:rsidRPr="003835AE" w:rsidRDefault="00FD7B86" w:rsidP="00D109F7">
      <w:pPr>
        <w:spacing w:before="0" w:after="0" w:line="340" w:lineRule="exact"/>
        <w:jc w:val="both"/>
        <w:rPr>
          <w:highlight w:val="yellow"/>
          <w:lang w:val="en-AU"/>
        </w:rPr>
      </w:pPr>
    </w:p>
    <w:p w14:paraId="29C2110E" w14:textId="77777777" w:rsidR="00D109F7" w:rsidRPr="00EC58CC" w:rsidRDefault="00D109F7" w:rsidP="00D109F7">
      <w:pPr>
        <w:spacing w:before="0" w:after="0" w:line="340" w:lineRule="exact"/>
        <w:jc w:val="both"/>
        <w:rPr>
          <w:lang w:val="en-AU"/>
        </w:rPr>
      </w:pPr>
      <w:r w:rsidRPr="00EC58CC">
        <w:rPr>
          <w:lang w:val="en-AU"/>
        </w:rPr>
        <w:t>On average, households received four water bills per year (3.</w:t>
      </w:r>
      <w:r w:rsidR="00D242F5" w:rsidRPr="00EC58CC">
        <w:rPr>
          <w:lang w:val="en-AU"/>
        </w:rPr>
        <w:t>8).</w:t>
      </w:r>
      <w:r w:rsidRPr="00EC58CC">
        <w:rPr>
          <w:lang w:val="en-AU"/>
        </w:rPr>
        <w:t xml:space="preserve">  </w:t>
      </w:r>
      <w:r w:rsidR="00D242F5" w:rsidRPr="00EC58CC">
        <w:rPr>
          <w:lang w:val="en-AU"/>
        </w:rPr>
        <w:t xml:space="preserve"> </w:t>
      </w:r>
    </w:p>
    <w:p w14:paraId="151517D6" w14:textId="77777777" w:rsidR="00D109F7" w:rsidRPr="003835AE" w:rsidRDefault="00D109F7" w:rsidP="00D109F7">
      <w:pPr>
        <w:spacing w:before="0" w:after="0" w:line="240" w:lineRule="exact"/>
        <w:jc w:val="both"/>
        <w:rPr>
          <w:highlight w:val="yellow"/>
          <w:lang w:val="en-AU"/>
        </w:rPr>
      </w:pPr>
    </w:p>
    <w:p w14:paraId="2E56B438" w14:textId="4B8FDA3D" w:rsidR="007D2696" w:rsidRPr="007D2696" w:rsidRDefault="006878A3" w:rsidP="00D109F7">
      <w:pPr>
        <w:spacing w:before="0" w:after="0" w:line="340" w:lineRule="exact"/>
        <w:jc w:val="both"/>
        <w:rPr>
          <w:lang w:val="en-AU"/>
        </w:rPr>
      </w:pPr>
      <w:r w:rsidRPr="007D2696">
        <w:rPr>
          <w:lang w:val="en-AU"/>
        </w:rPr>
        <w:t xml:space="preserve">In 2014, </w:t>
      </w:r>
      <w:r w:rsidR="007D2696" w:rsidRPr="007D2696">
        <w:rPr>
          <w:lang w:val="en-AU"/>
        </w:rPr>
        <w:t>98</w:t>
      </w:r>
      <w:r w:rsidRPr="007D2696">
        <w:rPr>
          <w:lang w:val="en-AU"/>
        </w:rPr>
        <w:t xml:space="preserve">% of households paid their </w:t>
      </w:r>
      <w:r w:rsidR="001F3E33" w:rsidRPr="007D2696">
        <w:rPr>
          <w:lang w:val="en-AU"/>
        </w:rPr>
        <w:t xml:space="preserve">total 2014 amount owing for </w:t>
      </w:r>
      <w:r w:rsidRPr="007D2696">
        <w:rPr>
          <w:lang w:val="en-AU"/>
        </w:rPr>
        <w:t>water in full</w:t>
      </w:r>
      <w:r w:rsidR="007D2696" w:rsidRPr="007D2696">
        <w:rPr>
          <w:lang w:val="en-AU"/>
        </w:rPr>
        <w:t>, with very little difference in incidence across the various sample groups.</w:t>
      </w:r>
    </w:p>
    <w:p w14:paraId="691AEAC3" w14:textId="77777777" w:rsidR="006878A3" w:rsidRPr="00164551" w:rsidRDefault="006878A3" w:rsidP="00D109F7">
      <w:pPr>
        <w:spacing w:before="0" w:after="0" w:line="340" w:lineRule="exact"/>
        <w:jc w:val="both"/>
        <w:rPr>
          <w:lang w:val="en-AU"/>
        </w:rPr>
      </w:pPr>
    </w:p>
    <w:p w14:paraId="48AD2D54" w14:textId="140E0363" w:rsidR="006878A3" w:rsidRPr="00164551" w:rsidRDefault="006878A3" w:rsidP="00D109F7">
      <w:pPr>
        <w:spacing w:before="0" w:after="0" w:line="340" w:lineRule="exact"/>
        <w:jc w:val="both"/>
        <w:rPr>
          <w:lang w:val="en-AU"/>
        </w:rPr>
      </w:pPr>
      <w:r w:rsidRPr="00164551">
        <w:rPr>
          <w:lang w:val="en-AU"/>
        </w:rPr>
        <w:t xml:space="preserve">In 2014, </w:t>
      </w:r>
      <w:r w:rsidR="007D2696" w:rsidRPr="00164551">
        <w:rPr>
          <w:lang w:val="en-AU"/>
        </w:rPr>
        <w:t>7</w:t>
      </w:r>
      <w:r w:rsidRPr="00164551">
        <w:rPr>
          <w:lang w:val="en-AU"/>
        </w:rPr>
        <w:t>% of households made payments by compulsory instalment</w:t>
      </w:r>
      <w:r w:rsidR="00A26249" w:rsidRPr="00164551">
        <w:rPr>
          <w:lang w:val="en-AU"/>
        </w:rPr>
        <w:t>, with little difference in incidence between households in Melbourne (</w:t>
      </w:r>
      <w:r w:rsidR="007D2696" w:rsidRPr="00164551">
        <w:rPr>
          <w:lang w:val="en-AU"/>
        </w:rPr>
        <w:t>7</w:t>
      </w:r>
      <w:r w:rsidR="00A26249" w:rsidRPr="00164551">
        <w:rPr>
          <w:lang w:val="en-AU"/>
        </w:rPr>
        <w:t>%) and country Victoria (6%)</w:t>
      </w:r>
      <w:r w:rsidR="00CC4909" w:rsidRPr="00164551">
        <w:rPr>
          <w:lang w:val="en-AU"/>
        </w:rPr>
        <w:t xml:space="preserve"> – see Table 5.2.1.1 overleaf</w:t>
      </w:r>
      <w:r w:rsidR="00A26249" w:rsidRPr="00164551">
        <w:rPr>
          <w:lang w:val="en-AU"/>
        </w:rPr>
        <w:t>.   Public renters (1</w:t>
      </w:r>
      <w:r w:rsidR="007D2696" w:rsidRPr="00164551">
        <w:rPr>
          <w:lang w:val="en-AU"/>
        </w:rPr>
        <w:t>9</w:t>
      </w:r>
      <w:r w:rsidR="00A26249" w:rsidRPr="00164551">
        <w:rPr>
          <w:lang w:val="en-AU"/>
        </w:rPr>
        <w:t xml:space="preserve">%) were more likely than private renters </w:t>
      </w:r>
      <w:r w:rsidR="00164551" w:rsidRPr="00164551">
        <w:rPr>
          <w:lang w:val="en-AU"/>
        </w:rPr>
        <w:t xml:space="preserve">(11%), </w:t>
      </w:r>
      <w:r w:rsidR="00A26249" w:rsidRPr="00164551">
        <w:rPr>
          <w:lang w:val="en-AU"/>
        </w:rPr>
        <w:t>home buyers (</w:t>
      </w:r>
      <w:r w:rsidR="00164551" w:rsidRPr="00164551">
        <w:rPr>
          <w:lang w:val="en-AU"/>
        </w:rPr>
        <w:t>10%</w:t>
      </w:r>
      <w:r w:rsidR="00A26249" w:rsidRPr="00164551">
        <w:rPr>
          <w:lang w:val="en-AU"/>
        </w:rPr>
        <w:t>) or home owners (</w:t>
      </w:r>
      <w:r w:rsidR="00164551" w:rsidRPr="00164551">
        <w:rPr>
          <w:lang w:val="en-AU"/>
        </w:rPr>
        <w:t>3</w:t>
      </w:r>
      <w:r w:rsidR="00A26249" w:rsidRPr="00164551">
        <w:rPr>
          <w:lang w:val="en-AU"/>
        </w:rPr>
        <w:t>%) to have paid by compulsory instalment.  Other concession households (</w:t>
      </w:r>
      <w:r w:rsidR="00164551" w:rsidRPr="00164551">
        <w:rPr>
          <w:lang w:val="en-AU"/>
        </w:rPr>
        <w:t>13</w:t>
      </w:r>
      <w:r w:rsidR="00A26249" w:rsidRPr="00164551">
        <w:rPr>
          <w:lang w:val="en-AU"/>
        </w:rPr>
        <w:t>%) were more likely to have paid by compulsory instalment than aged concession (</w:t>
      </w:r>
      <w:r w:rsidR="00164551" w:rsidRPr="00164551">
        <w:rPr>
          <w:lang w:val="en-AU"/>
        </w:rPr>
        <w:t>6</w:t>
      </w:r>
      <w:r w:rsidR="00A26249" w:rsidRPr="00164551">
        <w:rPr>
          <w:lang w:val="en-AU"/>
        </w:rPr>
        <w:t>%) or non-concession (</w:t>
      </w:r>
      <w:r w:rsidR="00164551" w:rsidRPr="00164551">
        <w:rPr>
          <w:lang w:val="en-AU"/>
        </w:rPr>
        <w:t>5</w:t>
      </w:r>
      <w:r w:rsidR="00A26249" w:rsidRPr="00164551">
        <w:rPr>
          <w:lang w:val="en-AU"/>
        </w:rPr>
        <w:t>%) households.</w:t>
      </w:r>
    </w:p>
    <w:p w14:paraId="36B0DE56" w14:textId="77777777" w:rsidR="00A26249" w:rsidRPr="00164551" w:rsidRDefault="00A26249" w:rsidP="00D109F7">
      <w:pPr>
        <w:spacing w:before="0" w:after="0" w:line="340" w:lineRule="exact"/>
        <w:jc w:val="both"/>
        <w:rPr>
          <w:lang w:val="en-AU"/>
        </w:rPr>
      </w:pPr>
    </w:p>
    <w:p w14:paraId="3A4E5585" w14:textId="77777777" w:rsidR="00A26249" w:rsidRPr="00164551" w:rsidRDefault="00A26249" w:rsidP="00D109F7">
      <w:pPr>
        <w:spacing w:before="0" w:after="0" w:line="340" w:lineRule="exact"/>
        <w:jc w:val="both"/>
        <w:rPr>
          <w:lang w:val="en-AU"/>
        </w:rPr>
      </w:pPr>
    </w:p>
    <w:p w14:paraId="6A33A5B5" w14:textId="77777777" w:rsidR="00A26249" w:rsidRPr="00164551" w:rsidRDefault="00A26249" w:rsidP="00D109F7">
      <w:pPr>
        <w:spacing w:before="0" w:after="0" w:line="340" w:lineRule="exact"/>
        <w:jc w:val="both"/>
        <w:rPr>
          <w:lang w:val="en-AU"/>
        </w:rPr>
      </w:pPr>
    </w:p>
    <w:p w14:paraId="5A68FB27" w14:textId="77777777" w:rsidR="00A26249" w:rsidRPr="00164551" w:rsidRDefault="00A26249" w:rsidP="00D109F7">
      <w:pPr>
        <w:spacing w:before="0" w:after="0" w:line="340" w:lineRule="exact"/>
        <w:jc w:val="both"/>
        <w:rPr>
          <w:lang w:val="en-AU"/>
        </w:rPr>
      </w:pPr>
    </w:p>
    <w:p w14:paraId="0877DE50" w14:textId="77777777" w:rsidR="00D109F7" w:rsidRPr="00164551" w:rsidRDefault="00F77388" w:rsidP="00DB3EA3">
      <w:pPr>
        <w:pStyle w:val="Para"/>
        <w:tabs>
          <w:tab w:val="left" w:pos="7655"/>
        </w:tabs>
        <w:spacing w:before="120" w:after="120" w:line="240" w:lineRule="auto"/>
        <w:jc w:val="center"/>
        <w:outlineLvl w:val="0"/>
        <w:rPr>
          <w:szCs w:val="24"/>
          <w:lang w:val="en-AU"/>
        </w:rPr>
      </w:pPr>
      <w:r w:rsidRPr="00164551">
        <w:rPr>
          <w:b/>
          <w:sz w:val="20"/>
          <w:lang w:val="en-AU"/>
        </w:rPr>
        <w:br w:type="page"/>
      </w:r>
      <w:r w:rsidR="00D109F7" w:rsidRPr="00164551">
        <w:rPr>
          <w:b/>
          <w:szCs w:val="24"/>
          <w:lang w:val="en-AU"/>
        </w:rPr>
        <w:lastRenderedPageBreak/>
        <w:t xml:space="preserve">Table </w:t>
      </w:r>
      <w:r w:rsidR="001A2002" w:rsidRPr="00164551">
        <w:rPr>
          <w:b/>
          <w:szCs w:val="24"/>
          <w:lang w:val="en-AU"/>
        </w:rPr>
        <w:t>5</w:t>
      </w:r>
      <w:r w:rsidR="00D109F7" w:rsidRPr="00164551">
        <w:rPr>
          <w:b/>
          <w:szCs w:val="24"/>
          <w:lang w:val="en-AU"/>
        </w:rPr>
        <w:t xml:space="preserve">.2.1.1: </w:t>
      </w:r>
      <w:r w:rsidR="00D109F7" w:rsidRPr="00164551">
        <w:rPr>
          <w:b/>
          <w:szCs w:val="24"/>
          <w:u w:val="single"/>
          <w:lang w:val="en-AU"/>
        </w:rPr>
        <w:t>Water Bill</w:t>
      </w:r>
      <w:r w:rsidR="00F4068B" w:rsidRPr="00164551">
        <w:rPr>
          <w:b/>
          <w:szCs w:val="24"/>
          <w:u w:val="single"/>
          <w:lang w:val="en-AU"/>
        </w:rPr>
        <w:t>s</w:t>
      </w:r>
      <w:r w:rsidR="00D109F7" w:rsidRPr="00164551">
        <w:rPr>
          <w:b/>
          <w:szCs w:val="24"/>
          <w:u w:val="single"/>
          <w:lang w:val="en-AU"/>
        </w:rPr>
        <w:t xml:space="preserve"> Paid in Full</w:t>
      </w:r>
      <w:r w:rsidR="00F4068B" w:rsidRPr="00164551">
        <w:rPr>
          <w:b/>
          <w:szCs w:val="24"/>
          <w:u w:val="single"/>
          <w:lang w:val="en-AU"/>
        </w:rPr>
        <w:t xml:space="preserve"> or By Compulsory Instalment</w:t>
      </w:r>
    </w:p>
    <w:tbl>
      <w:tblPr>
        <w:tblW w:w="8080" w:type="dxa"/>
        <w:jc w:val="center"/>
        <w:tblLook w:val="04A0" w:firstRow="1" w:lastRow="0" w:firstColumn="1" w:lastColumn="0" w:noHBand="0" w:noVBand="1"/>
      </w:tblPr>
      <w:tblGrid>
        <w:gridCol w:w="3360"/>
        <w:gridCol w:w="1257"/>
        <w:gridCol w:w="1103"/>
        <w:gridCol w:w="1180"/>
        <w:gridCol w:w="1180"/>
      </w:tblGrid>
      <w:tr w:rsidR="00F4068B" w:rsidRPr="00164551" w14:paraId="285F65EB" w14:textId="77777777" w:rsidTr="00DB3EA3">
        <w:trPr>
          <w:trHeight w:val="240"/>
          <w:tblHeader/>
          <w:jc w:val="center"/>
        </w:trPr>
        <w:tc>
          <w:tcPr>
            <w:tcW w:w="3360" w:type="dxa"/>
            <w:vMerge w:val="restart"/>
            <w:tcBorders>
              <w:top w:val="double" w:sz="6" w:space="0" w:color="auto"/>
              <w:left w:val="double" w:sz="6" w:space="0" w:color="auto"/>
              <w:bottom w:val="single" w:sz="4" w:space="0" w:color="BFBFBF"/>
              <w:right w:val="nil"/>
            </w:tcBorders>
            <w:shd w:val="clear" w:color="auto" w:fill="auto"/>
            <w:vAlign w:val="center"/>
          </w:tcPr>
          <w:p w14:paraId="7998600D" w14:textId="77777777" w:rsidR="00F4068B" w:rsidRPr="00164551" w:rsidRDefault="00F4068B" w:rsidP="00F4068B">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 xml:space="preserve">How Water Bill Paid </w:t>
            </w:r>
            <w:r w:rsidRPr="00164551">
              <w:rPr>
                <w:rFonts w:ascii="Arial" w:hAnsi="Arial" w:cs="Arial"/>
                <w:b/>
                <w:bCs/>
                <w:color w:val="000000"/>
                <w:sz w:val="16"/>
                <w:szCs w:val="16"/>
                <w:lang w:val="en-AU" w:eastAsia="en-AU"/>
              </w:rPr>
              <w:br/>
              <w:t>(of those paying water bills)</w:t>
            </w:r>
          </w:p>
        </w:tc>
        <w:tc>
          <w:tcPr>
            <w:tcW w:w="2360" w:type="dxa"/>
            <w:gridSpan w:val="2"/>
            <w:tcBorders>
              <w:top w:val="double" w:sz="6" w:space="0" w:color="auto"/>
              <w:left w:val="single" w:sz="4" w:space="0" w:color="auto"/>
              <w:bottom w:val="single" w:sz="4" w:space="0" w:color="BFBFBF"/>
              <w:right w:val="single" w:sz="4" w:space="0" w:color="000000"/>
            </w:tcBorders>
            <w:shd w:val="clear" w:color="auto" w:fill="auto"/>
            <w:noWrap/>
            <w:vAlign w:val="center"/>
          </w:tcPr>
          <w:p w14:paraId="65A9CD61" w14:textId="77777777" w:rsidR="00F4068B" w:rsidRPr="00164551" w:rsidRDefault="00F4068B" w:rsidP="00F4068B">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In Full</w:t>
            </w:r>
          </w:p>
        </w:tc>
        <w:tc>
          <w:tcPr>
            <w:tcW w:w="2360" w:type="dxa"/>
            <w:gridSpan w:val="2"/>
            <w:tcBorders>
              <w:top w:val="double" w:sz="6" w:space="0" w:color="auto"/>
              <w:left w:val="nil"/>
              <w:bottom w:val="single" w:sz="4" w:space="0" w:color="BFBFBF"/>
              <w:right w:val="double" w:sz="6" w:space="0" w:color="000000"/>
            </w:tcBorders>
            <w:shd w:val="clear" w:color="auto" w:fill="auto"/>
            <w:vAlign w:val="center"/>
          </w:tcPr>
          <w:p w14:paraId="3E38E96A" w14:textId="77777777" w:rsidR="00F4068B" w:rsidRPr="00164551" w:rsidRDefault="00F4068B" w:rsidP="00F4068B">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Compulsory Instalment</w:t>
            </w:r>
          </w:p>
        </w:tc>
      </w:tr>
      <w:tr w:rsidR="00F4068B" w:rsidRPr="00164551" w14:paraId="760343C3" w14:textId="77777777" w:rsidTr="00D10D53">
        <w:trPr>
          <w:trHeight w:val="225"/>
          <w:tblHeader/>
          <w:jc w:val="center"/>
        </w:trPr>
        <w:tc>
          <w:tcPr>
            <w:tcW w:w="3360" w:type="dxa"/>
            <w:vMerge/>
            <w:tcBorders>
              <w:top w:val="double" w:sz="6" w:space="0" w:color="auto"/>
              <w:left w:val="double" w:sz="6" w:space="0" w:color="auto"/>
              <w:bottom w:val="single" w:sz="4" w:space="0" w:color="BFBFBF"/>
              <w:right w:val="nil"/>
            </w:tcBorders>
            <w:vAlign w:val="center"/>
          </w:tcPr>
          <w:p w14:paraId="6ED5BD1D" w14:textId="77777777" w:rsidR="00F4068B" w:rsidRPr="00164551" w:rsidRDefault="00F4068B" w:rsidP="00F4068B">
            <w:pPr>
              <w:spacing w:before="0" w:after="0"/>
              <w:rPr>
                <w:rFonts w:ascii="Arial" w:hAnsi="Arial" w:cs="Arial"/>
                <w:b/>
                <w:bCs/>
                <w:color w:val="000000"/>
                <w:sz w:val="16"/>
                <w:szCs w:val="16"/>
                <w:lang w:val="en-AU" w:eastAsia="en-AU"/>
              </w:rPr>
            </w:pPr>
          </w:p>
        </w:tc>
        <w:tc>
          <w:tcPr>
            <w:tcW w:w="1257" w:type="dxa"/>
            <w:tcBorders>
              <w:top w:val="nil"/>
              <w:left w:val="single" w:sz="4" w:space="0" w:color="auto"/>
              <w:bottom w:val="nil"/>
              <w:right w:val="single" w:sz="4" w:space="0" w:color="BFBFBF"/>
            </w:tcBorders>
            <w:shd w:val="clear" w:color="auto" w:fill="auto"/>
            <w:noWrap/>
            <w:vAlign w:val="center"/>
          </w:tcPr>
          <w:p w14:paraId="18C4EC16" w14:textId="77777777" w:rsidR="00F4068B" w:rsidRPr="00164551" w:rsidRDefault="00F4068B" w:rsidP="00D10D53">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2014</w:t>
            </w:r>
          </w:p>
        </w:tc>
        <w:tc>
          <w:tcPr>
            <w:tcW w:w="1103" w:type="dxa"/>
            <w:tcBorders>
              <w:top w:val="nil"/>
              <w:left w:val="nil"/>
              <w:bottom w:val="nil"/>
              <w:right w:val="single" w:sz="4" w:space="0" w:color="auto"/>
            </w:tcBorders>
            <w:shd w:val="clear" w:color="auto" w:fill="auto"/>
            <w:noWrap/>
            <w:vAlign w:val="center"/>
          </w:tcPr>
          <w:p w14:paraId="55A1C6DB" w14:textId="77777777" w:rsidR="00F4068B" w:rsidRPr="00164551" w:rsidRDefault="00F4068B" w:rsidP="00D10D53">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2007</w:t>
            </w:r>
          </w:p>
        </w:tc>
        <w:tc>
          <w:tcPr>
            <w:tcW w:w="1180" w:type="dxa"/>
            <w:tcBorders>
              <w:top w:val="nil"/>
              <w:left w:val="nil"/>
              <w:bottom w:val="nil"/>
              <w:right w:val="single" w:sz="4" w:space="0" w:color="BFBFBF"/>
            </w:tcBorders>
            <w:shd w:val="clear" w:color="auto" w:fill="auto"/>
            <w:noWrap/>
            <w:vAlign w:val="center"/>
          </w:tcPr>
          <w:p w14:paraId="3A56A89C" w14:textId="77777777" w:rsidR="00F4068B" w:rsidRPr="00164551" w:rsidRDefault="00F4068B" w:rsidP="00D10D53">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2014</w:t>
            </w:r>
          </w:p>
        </w:tc>
        <w:tc>
          <w:tcPr>
            <w:tcW w:w="1180" w:type="dxa"/>
            <w:tcBorders>
              <w:top w:val="nil"/>
              <w:left w:val="nil"/>
              <w:bottom w:val="nil"/>
              <w:right w:val="double" w:sz="6" w:space="0" w:color="auto"/>
            </w:tcBorders>
            <w:shd w:val="clear" w:color="auto" w:fill="auto"/>
            <w:noWrap/>
            <w:vAlign w:val="center"/>
          </w:tcPr>
          <w:p w14:paraId="298F357A" w14:textId="77777777" w:rsidR="00F4068B" w:rsidRPr="00164551" w:rsidRDefault="00F4068B" w:rsidP="00D10D53">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2007</w:t>
            </w:r>
          </w:p>
        </w:tc>
      </w:tr>
      <w:tr w:rsidR="00F4068B" w:rsidRPr="00164551" w14:paraId="39FCAE1B" w14:textId="77777777" w:rsidTr="00D10D53">
        <w:trPr>
          <w:trHeight w:val="225"/>
          <w:jc w:val="center"/>
        </w:trPr>
        <w:tc>
          <w:tcPr>
            <w:tcW w:w="3360" w:type="dxa"/>
            <w:tcBorders>
              <w:top w:val="single" w:sz="4" w:space="0" w:color="auto"/>
              <w:left w:val="double" w:sz="6" w:space="0" w:color="auto"/>
              <w:bottom w:val="single" w:sz="4" w:space="0" w:color="BFBFBF"/>
              <w:right w:val="nil"/>
            </w:tcBorders>
            <w:shd w:val="clear" w:color="auto" w:fill="auto"/>
            <w:noWrap/>
            <w:vAlign w:val="center"/>
          </w:tcPr>
          <w:p w14:paraId="764B83C0" w14:textId="77777777" w:rsidR="00F4068B" w:rsidRPr="00164551" w:rsidRDefault="00F4068B" w:rsidP="00F4068B">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Region -</w:t>
            </w:r>
          </w:p>
        </w:tc>
        <w:tc>
          <w:tcPr>
            <w:tcW w:w="1257" w:type="dxa"/>
            <w:tcBorders>
              <w:top w:val="single" w:sz="4" w:space="0" w:color="auto"/>
              <w:left w:val="single" w:sz="4" w:space="0" w:color="auto"/>
              <w:bottom w:val="single" w:sz="4" w:space="0" w:color="BFBFBF"/>
              <w:right w:val="single" w:sz="4" w:space="0" w:color="BFBFBF"/>
            </w:tcBorders>
            <w:shd w:val="clear" w:color="auto" w:fill="auto"/>
            <w:noWrap/>
            <w:vAlign w:val="center"/>
          </w:tcPr>
          <w:p w14:paraId="4A0A5CF4" w14:textId="77777777" w:rsidR="00F4068B" w:rsidRPr="00164551" w:rsidRDefault="00F4068B" w:rsidP="00D10D53">
            <w:pPr>
              <w:spacing w:before="0" w:after="0"/>
              <w:jc w:val="center"/>
              <w:rPr>
                <w:rFonts w:ascii="Arial" w:hAnsi="Arial" w:cs="Arial"/>
                <w:color w:val="000000"/>
                <w:sz w:val="16"/>
                <w:szCs w:val="16"/>
                <w:lang w:val="en-AU" w:eastAsia="en-AU"/>
              </w:rPr>
            </w:pPr>
          </w:p>
        </w:tc>
        <w:tc>
          <w:tcPr>
            <w:tcW w:w="1103" w:type="dxa"/>
            <w:tcBorders>
              <w:top w:val="single" w:sz="4" w:space="0" w:color="auto"/>
              <w:left w:val="nil"/>
              <w:bottom w:val="single" w:sz="4" w:space="0" w:color="BFBFBF"/>
              <w:right w:val="single" w:sz="4" w:space="0" w:color="auto"/>
            </w:tcBorders>
            <w:shd w:val="clear" w:color="auto" w:fill="auto"/>
            <w:noWrap/>
            <w:vAlign w:val="center"/>
          </w:tcPr>
          <w:p w14:paraId="0A9CCE64" w14:textId="77777777" w:rsidR="00F4068B" w:rsidRPr="00164551" w:rsidRDefault="00F4068B" w:rsidP="00D10D53">
            <w:pPr>
              <w:spacing w:before="0" w:after="0"/>
              <w:jc w:val="center"/>
              <w:rPr>
                <w:rFonts w:ascii="Arial" w:hAnsi="Arial" w:cs="Arial"/>
                <w:color w:val="000000"/>
                <w:sz w:val="16"/>
                <w:szCs w:val="16"/>
                <w:lang w:val="en-AU" w:eastAsia="en-AU"/>
              </w:rPr>
            </w:pPr>
          </w:p>
        </w:tc>
        <w:tc>
          <w:tcPr>
            <w:tcW w:w="1180" w:type="dxa"/>
            <w:tcBorders>
              <w:top w:val="single" w:sz="4" w:space="0" w:color="auto"/>
              <w:left w:val="nil"/>
              <w:bottom w:val="single" w:sz="4" w:space="0" w:color="BFBFBF"/>
              <w:right w:val="single" w:sz="4" w:space="0" w:color="BFBFBF"/>
            </w:tcBorders>
            <w:shd w:val="clear" w:color="auto" w:fill="auto"/>
            <w:noWrap/>
            <w:vAlign w:val="center"/>
          </w:tcPr>
          <w:p w14:paraId="3CA68C53" w14:textId="77777777" w:rsidR="00F4068B" w:rsidRPr="00164551" w:rsidRDefault="00F4068B" w:rsidP="00D10D53">
            <w:pPr>
              <w:spacing w:before="0" w:after="0"/>
              <w:jc w:val="center"/>
              <w:rPr>
                <w:rFonts w:ascii="Arial" w:hAnsi="Arial" w:cs="Arial"/>
                <w:color w:val="000000"/>
                <w:sz w:val="16"/>
                <w:szCs w:val="16"/>
                <w:lang w:val="en-AU" w:eastAsia="en-AU"/>
              </w:rPr>
            </w:pPr>
          </w:p>
        </w:tc>
        <w:tc>
          <w:tcPr>
            <w:tcW w:w="1180" w:type="dxa"/>
            <w:tcBorders>
              <w:top w:val="single" w:sz="4" w:space="0" w:color="auto"/>
              <w:left w:val="nil"/>
              <w:bottom w:val="single" w:sz="4" w:space="0" w:color="BFBFBF"/>
              <w:right w:val="double" w:sz="6" w:space="0" w:color="auto"/>
            </w:tcBorders>
            <w:shd w:val="clear" w:color="auto" w:fill="auto"/>
            <w:noWrap/>
            <w:vAlign w:val="center"/>
          </w:tcPr>
          <w:p w14:paraId="5C621641" w14:textId="77777777" w:rsidR="00F4068B" w:rsidRPr="00164551" w:rsidRDefault="00F4068B" w:rsidP="00D10D53">
            <w:pPr>
              <w:spacing w:before="0" w:after="0"/>
              <w:jc w:val="center"/>
              <w:rPr>
                <w:rFonts w:ascii="Arial" w:hAnsi="Arial" w:cs="Arial"/>
                <w:color w:val="000000"/>
                <w:sz w:val="16"/>
                <w:szCs w:val="16"/>
                <w:lang w:val="en-AU" w:eastAsia="en-AU"/>
              </w:rPr>
            </w:pPr>
          </w:p>
        </w:tc>
      </w:tr>
      <w:tr w:rsidR="007D2696" w:rsidRPr="00164551" w14:paraId="51DAD364"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2DB00A44"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164551">
                  <w:rPr>
                    <w:rFonts w:ascii="Arial" w:hAnsi="Arial" w:cs="Arial"/>
                    <w:color w:val="000000"/>
                    <w:sz w:val="16"/>
                    <w:szCs w:val="16"/>
                    <w:lang w:val="en-AU" w:eastAsia="en-AU"/>
                  </w:rPr>
                  <w:t>Melbourne</w:t>
                </w:r>
              </w:smartTag>
            </w:smartTag>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55869EFB" w14:textId="60A8E35B"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99%</w:t>
            </w:r>
          </w:p>
        </w:tc>
        <w:tc>
          <w:tcPr>
            <w:tcW w:w="1103" w:type="dxa"/>
            <w:tcBorders>
              <w:top w:val="nil"/>
              <w:left w:val="nil"/>
              <w:bottom w:val="single" w:sz="4" w:space="0" w:color="BFBFBF"/>
              <w:right w:val="single" w:sz="4" w:space="0" w:color="auto"/>
            </w:tcBorders>
            <w:shd w:val="clear" w:color="auto" w:fill="auto"/>
            <w:noWrap/>
            <w:vAlign w:val="center"/>
          </w:tcPr>
          <w:p w14:paraId="288DD994"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93%</w:t>
            </w:r>
          </w:p>
        </w:tc>
        <w:tc>
          <w:tcPr>
            <w:tcW w:w="1180" w:type="dxa"/>
            <w:tcBorders>
              <w:top w:val="nil"/>
              <w:left w:val="nil"/>
              <w:bottom w:val="single" w:sz="4" w:space="0" w:color="BFBFBF"/>
              <w:right w:val="single" w:sz="4" w:space="0" w:color="BFBFBF"/>
            </w:tcBorders>
            <w:shd w:val="clear" w:color="auto" w:fill="auto"/>
            <w:noWrap/>
            <w:vAlign w:val="center"/>
          </w:tcPr>
          <w:p w14:paraId="64E0C6CC" w14:textId="45108612"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7%</w:t>
            </w:r>
          </w:p>
        </w:tc>
        <w:tc>
          <w:tcPr>
            <w:tcW w:w="1180" w:type="dxa"/>
            <w:tcBorders>
              <w:top w:val="nil"/>
              <w:left w:val="nil"/>
              <w:bottom w:val="single" w:sz="4" w:space="0" w:color="BFBFBF"/>
              <w:right w:val="double" w:sz="6" w:space="0" w:color="auto"/>
            </w:tcBorders>
            <w:shd w:val="clear" w:color="auto" w:fill="auto"/>
            <w:noWrap/>
            <w:vAlign w:val="center"/>
          </w:tcPr>
          <w:p w14:paraId="1E377D9E"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21%</w:t>
            </w:r>
          </w:p>
        </w:tc>
      </w:tr>
      <w:tr w:rsidR="007D2696" w:rsidRPr="00164551" w14:paraId="5EE212CF"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52EC779F"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Country VIC</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54B5F5DD" w14:textId="53D4CB50"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97%</w:t>
            </w:r>
          </w:p>
        </w:tc>
        <w:tc>
          <w:tcPr>
            <w:tcW w:w="1103" w:type="dxa"/>
            <w:tcBorders>
              <w:top w:val="nil"/>
              <w:left w:val="nil"/>
              <w:bottom w:val="single" w:sz="4" w:space="0" w:color="BFBFBF"/>
              <w:right w:val="single" w:sz="4" w:space="0" w:color="auto"/>
            </w:tcBorders>
            <w:shd w:val="clear" w:color="auto" w:fill="auto"/>
            <w:noWrap/>
            <w:vAlign w:val="center"/>
          </w:tcPr>
          <w:p w14:paraId="63A5F6BA"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88%</w:t>
            </w:r>
          </w:p>
        </w:tc>
        <w:tc>
          <w:tcPr>
            <w:tcW w:w="1180" w:type="dxa"/>
            <w:tcBorders>
              <w:top w:val="nil"/>
              <w:left w:val="nil"/>
              <w:bottom w:val="single" w:sz="4" w:space="0" w:color="BFBFBF"/>
              <w:right w:val="single" w:sz="4" w:space="0" w:color="BFBFBF"/>
            </w:tcBorders>
            <w:shd w:val="clear" w:color="auto" w:fill="auto"/>
            <w:noWrap/>
            <w:vAlign w:val="center"/>
          </w:tcPr>
          <w:p w14:paraId="70F7166F" w14:textId="261CE52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6%</w:t>
            </w:r>
          </w:p>
        </w:tc>
        <w:tc>
          <w:tcPr>
            <w:tcW w:w="1180" w:type="dxa"/>
            <w:tcBorders>
              <w:top w:val="nil"/>
              <w:left w:val="nil"/>
              <w:bottom w:val="single" w:sz="4" w:space="0" w:color="BFBFBF"/>
              <w:right w:val="double" w:sz="6" w:space="0" w:color="auto"/>
            </w:tcBorders>
            <w:shd w:val="clear" w:color="auto" w:fill="auto"/>
            <w:noWrap/>
            <w:vAlign w:val="center"/>
          </w:tcPr>
          <w:p w14:paraId="52248A7F"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w:t>
            </w:r>
          </w:p>
        </w:tc>
      </w:tr>
      <w:tr w:rsidR="007D2696" w:rsidRPr="00164551" w14:paraId="0E0F2A3F"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21F885E3" w14:textId="4C636255" w:rsidR="007D2696" w:rsidRPr="00164551" w:rsidRDefault="00BC6314" w:rsidP="00F4068B">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7D2696" w:rsidRPr="00164551">
              <w:rPr>
                <w:rFonts w:ascii="Arial" w:hAnsi="Arial" w:cs="Arial"/>
                <w:color w:val="000000"/>
                <w:sz w:val="16"/>
                <w:szCs w:val="16"/>
                <w:lang w:val="en-AU" w:eastAsia="en-AU"/>
              </w:rPr>
              <w:t>s</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56352483" w14:textId="036196CD"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4FC6A7A1"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94%</w:t>
            </w:r>
          </w:p>
        </w:tc>
        <w:tc>
          <w:tcPr>
            <w:tcW w:w="1180" w:type="dxa"/>
            <w:tcBorders>
              <w:top w:val="nil"/>
              <w:left w:val="nil"/>
              <w:bottom w:val="single" w:sz="4" w:space="0" w:color="BFBFBF"/>
              <w:right w:val="single" w:sz="4" w:space="0" w:color="BFBFBF"/>
            </w:tcBorders>
            <w:shd w:val="clear" w:color="auto" w:fill="auto"/>
            <w:noWrap/>
            <w:vAlign w:val="center"/>
          </w:tcPr>
          <w:p w14:paraId="1319B6DD" w14:textId="5163F3A9"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2%</w:t>
            </w:r>
          </w:p>
        </w:tc>
        <w:tc>
          <w:tcPr>
            <w:tcW w:w="1180" w:type="dxa"/>
            <w:tcBorders>
              <w:top w:val="nil"/>
              <w:left w:val="nil"/>
              <w:bottom w:val="single" w:sz="4" w:space="0" w:color="BFBFBF"/>
              <w:right w:val="double" w:sz="6" w:space="0" w:color="auto"/>
            </w:tcBorders>
            <w:shd w:val="clear" w:color="auto" w:fill="auto"/>
            <w:noWrap/>
            <w:vAlign w:val="center"/>
          </w:tcPr>
          <w:p w14:paraId="5C88FAEC"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23%</w:t>
            </w:r>
          </w:p>
        </w:tc>
      </w:tr>
      <w:tr w:rsidR="007D2696" w:rsidRPr="00164551" w14:paraId="56F3AD75"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76D465AF" w14:textId="77777777" w:rsidR="007D2696" w:rsidRPr="00164551" w:rsidRDefault="007D2696" w:rsidP="00F4068B">
            <w:pPr>
              <w:spacing w:before="0" w:after="0"/>
              <w:rPr>
                <w:rFonts w:ascii="Arial" w:hAnsi="Arial" w:cs="Arial"/>
                <w:b/>
                <w:bCs/>
                <w:color w:val="000000"/>
                <w:sz w:val="16"/>
                <w:szCs w:val="16"/>
                <w:lang w:val="en-AU" w:eastAsia="en-AU"/>
              </w:rPr>
            </w:pPr>
          </w:p>
          <w:p w14:paraId="4D4DF09F" w14:textId="77777777" w:rsidR="007D2696" w:rsidRPr="00164551" w:rsidRDefault="007D2696" w:rsidP="00F4068B">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DHHS Area -</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4214DBF4" w14:textId="5A7B555C" w:rsidR="007D2696" w:rsidRPr="00164551" w:rsidRDefault="007D2696">
            <w:pPr>
              <w:spacing w:before="0" w:after="0"/>
              <w:jc w:val="center"/>
              <w:rPr>
                <w:rFonts w:ascii="Arial" w:hAnsi="Arial" w:cs="Arial"/>
                <w:color w:val="000000"/>
                <w:sz w:val="16"/>
                <w:szCs w:val="16"/>
                <w:lang w:val="en-AU" w:eastAsia="en-AU"/>
              </w:rPr>
            </w:pPr>
          </w:p>
        </w:tc>
        <w:tc>
          <w:tcPr>
            <w:tcW w:w="1103" w:type="dxa"/>
            <w:tcBorders>
              <w:top w:val="nil"/>
              <w:left w:val="nil"/>
              <w:bottom w:val="single" w:sz="4" w:space="0" w:color="BFBFBF"/>
              <w:right w:val="single" w:sz="4" w:space="0" w:color="auto"/>
            </w:tcBorders>
            <w:shd w:val="clear" w:color="auto" w:fill="auto"/>
            <w:noWrap/>
            <w:vAlign w:val="center"/>
          </w:tcPr>
          <w:p w14:paraId="3546F177" w14:textId="77777777" w:rsidR="007D2696" w:rsidRPr="00164551" w:rsidRDefault="007D2696">
            <w:pPr>
              <w:spacing w:before="0" w:after="0"/>
              <w:jc w:val="center"/>
              <w:rPr>
                <w:rFonts w:ascii="Arial" w:hAnsi="Arial" w:cs="Arial"/>
                <w:color w:val="000000"/>
                <w:sz w:val="16"/>
                <w:szCs w:val="16"/>
                <w:lang w:val="en-AU" w:eastAsia="en-AU"/>
              </w:rPr>
            </w:pPr>
          </w:p>
        </w:tc>
        <w:tc>
          <w:tcPr>
            <w:tcW w:w="1180" w:type="dxa"/>
            <w:tcBorders>
              <w:top w:val="nil"/>
              <w:left w:val="nil"/>
              <w:bottom w:val="single" w:sz="4" w:space="0" w:color="BFBFBF"/>
              <w:right w:val="single" w:sz="4" w:space="0" w:color="BFBFBF"/>
            </w:tcBorders>
            <w:shd w:val="clear" w:color="auto" w:fill="auto"/>
            <w:noWrap/>
            <w:vAlign w:val="center"/>
          </w:tcPr>
          <w:p w14:paraId="7DAA2331" w14:textId="48869784" w:rsidR="007D2696" w:rsidRPr="00164551" w:rsidRDefault="007D2696">
            <w:pPr>
              <w:spacing w:before="0" w:after="0"/>
              <w:jc w:val="center"/>
              <w:rPr>
                <w:rFonts w:ascii="Arial" w:hAnsi="Arial" w:cs="Arial"/>
                <w:color w:val="000000"/>
                <w:sz w:val="16"/>
                <w:szCs w:val="16"/>
                <w:lang w:val="en-AU" w:eastAsia="en-AU"/>
              </w:rPr>
            </w:pPr>
          </w:p>
        </w:tc>
        <w:tc>
          <w:tcPr>
            <w:tcW w:w="1180" w:type="dxa"/>
            <w:tcBorders>
              <w:top w:val="nil"/>
              <w:left w:val="nil"/>
              <w:bottom w:val="single" w:sz="4" w:space="0" w:color="BFBFBF"/>
              <w:right w:val="double" w:sz="6" w:space="0" w:color="auto"/>
            </w:tcBorders>
            <w:shd w:val="clear" w:color="auto" w:fill="auto"/>
            <w:noWrap/>
            <w:vAlign w:val="center"/>
          </w:tcPr>
          <w:p w14:paraId="0314FB27" w14:textId="77777777" w:rsidR="007D2696" w:rsidRPr="00164551" w:rsidRDefault="007D2696">
            <w:pPr>
              <w:spacing w:before="0" w:after="0"/>
              <w:jc w:val="center"/>
              <w:rPr>
                <w:rFonts w:ascii="Arial" w:hAnsi="Arial" w:cs="Arial"/>
                <w:color w:val="000000"/>
                <w:sz w:val="16"/>
                <w:szCs w:val="16"/>
                <w:lang w:val="en-AU" w:eastAsia="en-AU"/>
              </w:rPr>
            </w:pPr>
          </w:p>
        </w:tc>
      </w:tr>
      <w:tr w:rsidR="007D2696" w:rsidRPr="00164551" w14:paraId="799D7D87"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5D523460"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Hume Moreland</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35B033AC" w14:textId="535E3F93"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43BB1D6F"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7C64FDE4" w14:textId="495D94FD"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3%</w:t>
            </w:r>
          </w:p>
        </w:tc>
        <w:tc>
          <w:tcPr>
            <w:tcW w:w="1180" w:type="dxa"/>
            <w:tcBorders>
              <w:top w:val="nil"/>
              <w:left w:val="nil"/>
              <w:bottom w:val="single" w:sz="4" w:space="0" w:color="BFBFBF"/>
              <w:right w:val="double" w:sz="6" w:space="0" w:color="auto"/>
            </w:tcBorders>
            <w:shd w:val="clear" w:color="auto" w:fill="auto"/>
            <w:noWrap/>
            <w:vAlign w:val="center"/>
          </w:tcPr>
          <w:p w14:paraId="496D1A79"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076D018E"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29E5A1A0"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North Eastern Melbourne</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69763B15" w14:textId="31145464"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77C58B2A"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7078B1BB" w14:textId="21D6A799"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w:t>
            </w:r>
          </w:p>
        </w:tc>
        <w:tc>
          <w:tcPr>
            <w:tcW w:w="1180" w:type="dxa"/>
            <w:tcBorders>
              <w:top w:val="nil"/>
              <w:left w:val="nil"/>
              <w:bottom w:val="single" w:sz="4" w:space="0" w:color="BFBFBF"/>
              <w:right w:val="double" w:sz="6" w:space="0" w:color="auto"/>
            </w:tcBorders>
            <w:shd w:val="clear" w:color="auto" w:fill="auto"/>
            <w:noWrap/>
            <w:vAlign w:val="center"/>
          </w:tcPr>
          <w:p w14:paraId="61474D4A"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2391EC60"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7BE146C0"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 xml:space="preserve">Outer </w:t>
            </w:r>
            <w:smartTag w:uri="urn:schemas-microsoft-com:office:smarttags" w:element="place">
              <w:r w:rsidRPr="00164551">
                <w:rPr>
                  <w:rFonts w:ascii="Arial" w:hAnsi="Arial" w:cs="Arial"/>
                  <w:color w:val="000000"/>
                  <w:sz w:val="16"/>
                  <w:szCs w:val="16"/>
                  <w:lang w:val="en-AU" w:eastAsia="en-AU"/>
                </w:rPr>
                <w:t>Eastern Melbourne</w:t>
              </w:r>
            </w:smartTag>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0C642D5D" w14:textId="4C4FDC68"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7A2CF4C4"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29B6F4F2" w14:textId="665E5A3D"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4%</w:t>
            </w:r>
          </w:p>
        </w:tc>
        <w:tc>
          <w:tcPr>
            <w:tcW w:w="1180" w:type="dxa"/>
            <w:tcBorders>
              <w:top w:val="nil"/>
              <w:left w:val="nil"/>
              <w:bottom w:val="single" w:sz="4" w:space="0" w:color="BFBFBF"/>
              <w:right w:val="double" w:sz="6" w:space="0" w:color="auto"/>
            </w:tcBorders>
            <w:shd w:val="clear" w:color="auto" w:fill="auto"/>
            <w:noWrap/>
            <w:vAlign w:val="center"/>
          </w:tcPr>
          <w:p w14:paraId="6ADFB790"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250E4983"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3025E96E"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 xml:space="preserve">Inner </w:t>
            </w:r>
            <w:smartTag w:uri="urn:schemas-microsoft-com:office:smarttags" w:element="place">
              <w:r w:rsidRPr="00164551">
                <w:rPr>
                  <w:rFonts w:ascii="Arial" w:hAnsi="Arial" w:cs="Arial"/>
                  <w:color w:val="000000"/>
                  <w:sz w:val="16"/>
                  <w:szCs w:val="16"/>
                  <w:lang w:val="en-AU" w:eastAsia="en-AU"/>
                </w:rPr>
                <w:t>Eastern Melbourne</w:t>
              </w:r>
            </w:smartTag>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3978F089" w14:textId="307D3B29"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6FB08DDC"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633F25CF" w14:textId="66052D7F"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1180" w:type="dxa"/>
            <w:tcBorders>
              <w:top w:val="nil"/>
              <w:left w:val="nil"/>
              <w:bottom w:val="single" w:sz="4" w:space="0" w:color="BFBFBF"/>
              <w:right w:val="double" w:sz="6" w:space="0" w:color="auto"/>
            </w:tcBorders>
            <w:shd w:val="clear" w:color="auto" w:fill="auto"/>
            <w:noWrap/>
            <w:vAlign w:val="center"/>
          </w:tcPr>
          <w:p w14:paraId="089A5DD4"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3F95DDD2"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3026E29C"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smartTag w:uri="urn:schemas-microsoft-com:office:smarttags" w:element="place">
              <w:r w:rsidRPr="00164551">
                <w:rPr>
                  <w:rFonts w:ascii="Arial" w:hAnsi="Arial" w:cs="Arial"/>
                  <w:color w:val="000000"/>
                  <w:sz w:val="16"/>
                  <w:szCs w:val="16"/>
                  <w:lang w:val="en-AU" w:eastAsia="en-AU"/>
                </w:rPr>
                <w:t>Southern Melbourne</w:t>
              </w:r>
            </w:smartTag>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5ED0411A" w14:textId="4C32F329"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765E78C1"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214B7D0D" w14:textId="31C98B3C"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w:t>
            </w:r>
          </w:p>
        </w:tc>
        <w:tc>
          <w:tcPr>
            <w:tcW w:w="1180" w:type="dxa"/>
            <w:tcBorders>
              <w:top w:val="nil"/>
              <w:left w:val="nil"/>
              <w:bottom w:val="single" w:sz="4" w:space="0" w:color="BFBFBF"/>
              <w:right w:val="double" w:sz="6" w:space="0" w:color="auto"/>
            </w:tcBorders>
            <w:shd w:val="clear" w:color="auto" w:fill="auto"/>
            <w:noWrap/>
            <w:vAlign w:val="center"/>
          </w:tcPr>
          <w:p w14:paraId="680915CA"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2E8904DD"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736B894B"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Bayside</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7F7EF170" w14:textId="0380F413"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440144CE"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7FB97B0F" w14:textId="43E7AA69"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w:t>
            </w:r>
          </w:p>
        </w:tc>
        <w:tc>
          <w:tcPr>
            <w:tcW w:w="1180" w:type="dxa"/>
            <w:tcBorders>
              <w:top w:val="nil"/>
              <w:left w:val="nil"/>
              <w:bottom w:val="single" w:sz="4" w:space="0" w:color="BFBFBF"/>
              <w:right w:val="double" w:sz="6" w:space="0" w:color="auto"/>
            </w:tcBorders>
            <w:shd w:val="clear" w:color="auto" w:fill="auto"/>
            <w:noWrap/>
            <w:vAlign w:val="center"/>
          </w:tcPr>
          <w:p w14:paraId="09B2E1B1"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2C54EEDE"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598C69A6"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smartTag w:uri="urn:schemas-microsoft-com:office:smarttags" w:element="place">
              <w:r w:rsidRPr="00164551">
                <w:rPr>
                  <w:rFonts w:ascii="Arial" w:hAnsi="Arial" w:cs="Arial"/>
                  <w:color w:val="000000"/>
                  <w:sz w:val="16"/>
                  <w:szCs w:val="16"/>
                  <w:lang w:val="en-AU" w:eastAsia="en-AU"/>
                </w:rPr>
                <w:t>Western Melbourne</w:t>
              </w:r>
            </w:smartTag>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7ABDFD90" w14:textId="3CE1A273"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65B56B9B"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7BEE0188" w14:textId="60F3FD69"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5%</w:t>
            </w:r>
          </w:p>
        </w:tc>
        <w:tc>
          <w:tcPr>
            <w:tcW w:w="1180" w:type="dxa"/>
            <w:tcBorders>
              <w:top w:val="nil"/>
              <w:left w:val="nil"/>
              <w:bottom w:val="single" w:sz="4" w:space="0" w:color="BFBFBF"/>
              <w:right w:val="double" w:sz="6" w:space="0" w:color="auto"/>
            </w:tcBorders>
            <w:shd w:val="clear" w:color="auto" w:fill="auto"/>
            <w:noWrap/>
            <w:vAlign w:val="center"/>
          </w:tcPr>
          <w:p w14:paraId="74BDB1A5"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4A4AF2B9"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515C9217"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Brimbank Melton</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675D5538" w14:textId="294BF098"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92%</w:t>
            </w:r>
          </w:p>
        </w:tc>
        <w:tc>
          <w:tcPr>
            <w:tcW w:w="1103" w:type="dxa"/>
            <w:tcBorders>
              <w:top w:val="nil"/>
              <w:left w:val="nil"/>
              <w:bottom w:val="single" w:sz="4" w:space="0" w:color="BFBFBF"/>
              <w:right w:val="single" w:sz="4" w:space="0" w:color="auto"/>
            </w:tcBorders>
            <w:shd w:val="clear" w:color="auto" w:fill="auto"/>
            <w:noWrap/>
            <w:vAlign w:val="center"/>
          </w:tcPr>
          <w:p w14:paraId="029B2F85"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167AC38E" w14:textId="36BCDED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7%</w:t>
            </w:r>
          </w:p>
        </w:tc>
        <w:tc>
          <w:tcPr>
            <w:tcW w:w="1180" w:type="dxa"/>
            <w:tcBorders>
              <w:top w:val="nil"/>
              <w:left w:val="nil"/>
              <w:bottom w:val="single" w:sz="4" w:space="0" w:color="BFBFBF"/>
              <w:right w:val="double" w:sz="6" w:space="0" w:color="auto"/>
            </w:tcBorders>
            <w:shd w:val="clear" w:color="auto" w:fill="auto"/>
            <w:noWrap/>
            <w:vAlign w:val="center"/>
          </w:tcPr>
          <w:p w14:paraId="7EACE7F1"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2B1A48AA"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384E8BE2"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Mallee</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38592D6D" w14:textId="49EA69D5"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50307DA5"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6F5114FB" w14:textId="3740D0D8"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w:t>
            </w:r>
          </w:p>
        </w:tc>
        <w:tc>
          <w:tcPr>
            <w:tcW w:w="1180" w:type="dxa"/>
            <w:tcBorders>
              <w:top w:val="nil"/>
              <w:left w:val="nil"/>
              <w:bottom w:val="single" w:sz="4" w:space="0" w:color="BFBFBF"/>
              <w:right w:val="double" w:sz="6" w:space="0" w:color="auto"/>
            </w:tcBorders>
            <w:shd w:val="clear" w:color="auto" w:fill="auto"/>
            <w:noWrap/>
            <w:vAlign w:val="center"/>
          </w:tcPr>
          <w:p w14:paraId="149ECC8F"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17152F10"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2A627CDF"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Loddon</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1F5D4C0F" w14:textId="10DD245C"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95%</w:t>
            </w:r>
          </w:p>
        </w:tc>
        <w:tc>
          <w:tcPr>
            <w:tcW w:w="1103" w:type="dxa"/>
            <w:tcBorders>
              <w:top w:val="nil"/>
              <w:left w:val="nil"/>
              <w:bottom w:val="single" w:sz="4" w:space="0" w:color="BFBFBF"/>
              <w:right w:val="single" w:sz="4" w:space="0" w:color="auto"/>
            </w:tcBorders>
            <w:shd w:val="clear" w:color="auto" w:fill="auto"/>
            <w:noWrap/>
            <w:vAlign w:val="center"/>
          </w:tcPr>
          <w:p w14:paraId="593B9525"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5DD58109" w14:textId="1D7442EC"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21%</w:t>
            </w:r>
          </w:p>
        </w:tc>
        <w:tc>
          <w:tcPr>
            <w:tcW w:w="1180" w:type="dxa"/>
            <w:tcBorders>
              <w:top w:val="nil"/>
              <w:left w:val="nil"/>
              <w:bottom w:val="single" w:sz="4" w:space="0" w:color="BFBFBF"/>
              <w:right w:val="double" w:sz="6" w:space="0" w:color="auto"/>
            </w:tcBorders>
            <w:shd w:val="clear" w:color="auto" w:fill="auto"/>
            <w:noWrap/>
            <w:vAlign w:val="center"/>
          </w:tcPr>
          <w:p w14:paraId="62C412E1"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5BB49A27"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22BB2CD1"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164551">
                  <w:rPr>
                    <w:rFonts w:ascii="Arial" w:hAnsi="Arial" w:cs="Arial"/>
                    <w:color w:val="000000"/>
                    <w:sz w:val="16"/>
                    <w:szCs w:val="16"/>
                    <w:lang w:val="en-AU" w:eastAsia="en-AU"/>
                  </w:rPr>
                  <w:t>Murray</w:t>
                </w:r>
              </w:smartTag>
            </w:smartTag>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01B303A7" w14:textId="43372D84"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4B9FDA36"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4E831A77" w14:textId="55C4723B"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16%</w:t>
            </w:r>
          </w:p>
        </w:tc>
        <w:tc>
          <w:tcPr>
            <w:tcW w:w="1180" w:type="dxa"/>
            <w:tcBorders>
              <w:top w:val="nil"/>
              <w:left w:val="nil"/>
              <w:bottom w:val="single" w:sz="4" w:space="0" w:color="BFBFBF"/>
              <w:right w:val="double" w:sz="6" w:space="0" w:color="auto"/>
            </w:tcBorders>
            <w:shd w:val="clear" w:color="auto" w:fill="auto"/>
            <w:noWrap/>
            <w:vAlign w:val="center"/>
          </w:tcPr>
          <w:p w14:paraId="169B37B3"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79A2DA8C"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3A8AB8FD"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Goulburn</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76E78E2F" w14:textId="619FA4A0"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2C469DD5"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2C21B87E" w14:textId="1824986A"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1180" w:type="dxa"/>
            <w:tcBorders>
              <w:top w:val="nil"/>
              <w:left w:val="nil"/>
              <w:bottom w:val="single" w:sz="4" w:space="0" w:color="BFBFBF"/>
              <w:right w:val="double" w:sz="6" w:space="0" w:color="auto"/>
            </w:tcBorders>
            <w:shd w:val="clear" w:color="auto" w:fill="auto"/>
            <w:noWrap/>
            <w:vAlign w:val="center"/>
          </w:tcPr>
          <w:p w14:paraId="24AF7186"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26166337"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77A727E3"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Outer Gippsland</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62B2398E" w14:textId="50CB5850"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83%</w:t>
            </w:r>
          </w:p>
        </w:tc>
        <w:tc>
          <w:tcPr>
            <w:tcW w:w="1103" w:type="dxa"/>
            <w:tcBorders>
              <w:top w:val="nil"/>
              <w:left w:val="nil"/>
              <w:bottom w:val="single" w:sz="4" w:space="0" w:color="BFBFBF"/>
              <w:right w:val="single" w:sz="4" w:space="0" w:color="auto"/>
            </w:tcBorders>
            <w:shd w:val="clear" w:color="auto" w:fill="auto"/>
            <w:noWrap/>
            <w:vAlign w:val="center"/>
          </w:tcPr>
          <w:p w14:paraId="6A56F3CB"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24D3B293" w14:textId="152CFCA2"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1180" w:type="dxa"/>
            <w:tcBorders>
              <w:top w:val="nil"/>
              <w:left w:val="nil"/>
              <w:bottom w:val="single" w:sz="4" w:space="0" w:color="BFBFBF"/>
              <w:right w:val="double" w:sz="6" w:space="0" w:color="auto"/>
            </w:tcBorders>
            <w:shd w:val="clear" w:color="auto" w:fill="auto"/>
            <w:noWrap/>
            <w:vAlign w:val="center"/>
          </w:tcPr>
          <w:p w14:paraId="68768698"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5FD5DA55"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43E90155"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Inner Gippsland</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5CE4F73D" w14:textId="58CD5A48"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84%</w:t>
            </w:r>
          </w:p>
        </w:tc>
        <w:tc>
          <w:tcPr>
            <w:tcW w:w="1103" w:type="dxa"/>
            <w:tcBorders>
              <w:top w:val="nil"/>
              <w:left w:val="nil"/>
              <w:bottom w:val="single" w:sz="4" w:space="0" w:color="BFBFBF"/>
              <w:right w:val="single" w:sz="4" w:space="0" w:color="auto"/>
            </w:tcBorders>
            <w:shd w:val="clear" w:color="auto" w:fill="auto"/>
            <w:noWrap/>
            <w:vAlign w:val="center"/>
          </w:tcPr>
          <w:p w14:paraId="56EDC570"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7ABC3133" w14:textId="512FBD19"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1180" w:type="dxa"/>
            <w:tcBorders>
              <w:top w:val="nil"/>
              <w:left w:val="nil"/>
              <w:bottom w:val="single" w:sz="4" w:space="0" w:color="BFBFBF"/>
              <w:right w:val="double" w:sz="6" w:space="0" w:color="auto"/>
            </w:tcBorders>
            <w:shd w:val="clear" w:color="auto" w:fill="auto"/>
            <w:noWrap/>
            <w:vAlign w:val="center"/>
          </w:tcPr>
          <w:p w14:paraId="20B877BA"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34A500C0"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2A25DED3"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Western District</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09E2065E" w14:textId="70AB9DAB"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3F1B0317"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0A525303" w14:textId="67A64293"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3%</w:t>
            </w:r>
          </w:p>
        </w:tc>
        <w:tc>
          <w:tcPr>
            <w:tcW w:w="1180" w:type="dxa"/>
            <w:tcBorders>
              <w:top w:val="nil"/>
              <w:left w:val="nil"/>
              <w:bottom w:val="single" w:sz="4" w:space="0" w:color="BFBFBF"/>
              <w:right w:val="double" w:sz="6" w:space="0" w:color="auto"/>
            </w:tcBorders>
            <w:shd w:val="clear" w:color="auto" w:fill="auto"/>
            <w:noWrap/>
            <w:vAlign w:val="center"/>
          </w:tcPr>
          <w:p w14:paraId="134762C6"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6B905268"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391A8FC8"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Barwon</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4B0AB0D1" w14:textId="7CA053E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1103" w:type="dxa"/>
            <w:tcBorders>
              <w:top w:val="nil"/>
              <w:left w:val="nil"/>
              <w:bottom w:val="single" w:sz="4" w:space="0" w:color="BFBFBF"/>
              <w:right w:val="single" w:sz="4" w:space="0" w:color="auto"/>
            </w:tcBorders>
            <w:shd w:val="clear" w:color="auto" w:fill="auto"/>
            <w:noWrap/>
            <w:vAlign w:val="center"/>
          </w:tcPr>
          <w:p w14:paraId="742E0E80"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25EF36C4" w14:textId="0728B4A0"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2%</w:t>
            </w:r>
          </w:p>
        </w:tc>
        <w:tc>
          <w:tcPr>
            <w:tcW w:w="1180" w:type="dxa"/>
            <w:tcBorders>
              <w:top w:val="nil"/>
              <w:left w:val="nil"/>
              <w:bottom w:val="single" w:sz="4" w:space="0" w:color="BFBFBF"/>
              <w:right w:val="double" w:sz="6" w:space="0" w:color="auto"/>
            </w:tcBorders>
            <w:shd w:val="clear" w:color="auto" w:fill="auto"/>
            <w:noWrap/>
            <w:vAlign w:val="center"/>
          </w:tcPr>
          <w:p w14:paraId="6514D731"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78426785"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bottom"/>
          </w:tcPr>
          <w:p w14:paraId="1AB6574B"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Central Highlands</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603FA74B" w14:textId="2E67DCA1"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98%</w:t>
            </w:r>
          </w:p>
        </w:tc>
        <w:tc>
          <w:tcPr>
            <w:tcW w:w="1103" w:type="dxa"/>
            <w:tcBorders>
              <w:top w:val="nil"/>
              <w:left w:val="nil"/>
              <w:bottom w:val="single" w:sz="4" w:space="0" w:color="BFBFBF"/>
              <w:right w:val="single" w:sz="4" w:space="0" w:color="auto"/>
            </w:tcBorders>
            <w:shd w:val="clear" w:color="auto" w:fill="auto"/>
            <w:noWrap/>
            <w:vAlign w:val="center"/>
          </w:tcPr>
          <w:p w14:paraId="0501DA4A"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1180" w:type="dxa"/>
            <w:tcBorders>
              <w:top w:val="nil"/>
              <w:left w:val="nil"/>
              <w:bottom w:val="single" w:sz="4" w:space="0" w:color="BFBFBF"/>
              <w:right w:val="single" w:sz="4" w:space="0" w:color="BFBFBF"/>
            </w:tcBorders>
            <w:shd w:val="clear" w:color="auto" w:fill="auto"/>
            <w:noWrap/>
            <w:vAlign w:val="center"/>
          </w:tcPr>
          <w:p w14:paraId="33200DE5" w14:textId="5F042960"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4%</w:t>
            </w:r>
          </w:p>
        </w:tc>
        <w:tc>
          <w:tcPr>
            <w:tcW w:w="1180" w:type="dxa"/>
            <w:tcBorders>
              <w:top w:val="nil"/>
              <w:left w:val="nil"/>
              <w:bottom w:val="single" w:sz="4" w:space="0" w:color="BFBFBF"/>
              <w:right w:val="double" w:sz="6" w:space="0" w:color="auto"/>
            </w:tcBorders>
            <w:shd w:val="clear" w:color="auto" w:fill="auto"/>
            <w:noWrap/>
            <w:vAlign w:val="center"/>
          </w:tcPr>
          <w:p w14:paraId="6FC1C8D4"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7D2696" w:rsidRPr="00164551" w14:paraId="45EB17FB"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268A58EC" w14:textId="77777777" w:rsidR="007D2696" w:rsidRPr="00164551" w:rsidRDefault="007D2696" w:rsidP="00F4068B">
            <w:pPr>
              <w:spacing w:before="0" w:after="0"/>
              <w:rPr>
                <w:rFonts w:ascii="Arial" w:hAnsi="Arial" w:cs="Arial"/>
                <w:b/>
                <w:bCs/>
                <w:color w:val="000000"/>
                <w:sz w:val="16"/>
                <w:szCs w:val="16"/>
                <w:lang w:val="en-AU" w:eastAsia="en-AU"/>
              </w:rPr>
            </w:pPr>
          </w:p>
          <w:p w14:paraId="2482161A" w14:textId="77777777" w:rsidR="007D2696" w:rsidRPr="00164551" w:rsidRDefault="007D2696" w:rsidP="00F4068B">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Concession Status -</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2D96980C" w14:textId="6E6F8EC6" w:rsidR="007D2696" w:rsidRPr="00164551" w:rsidRDefault="007D2696">
            <w:pPr>
              <w:spacing w:before="0" w:after="0"/>
              <w:jc w:val="center"/>
              <w:rPr>
                <w:rFonts w:ascii="Arial" w:hAnsi="Arial" w:cs="Arial"/>
                <w:color w:val="000000"/>
                <w:sz w:val="16"/>
                <w:szCs w:val="16"/>
                <w:lang w:val="en-AU" w:eastAsia="en-AU"/>
              </w:rPr>
            </w:pPr>
          </w:p>
        </w:tc>
        <w:tc>
          <w:tcPr>
            <w:tcW w:w="1103" w:type="dxa"/>
            <w:tcBorders>
              <w:top w:val="nil"/>
              <w:left w:val="nil"/>
              <w:bottom w:val="single" w:sz="4" w:space="0" w:color="BFBFBF"/>
              <w:right w:val="single" w:sz="4" w:space="0" w:color="auto"/>
            </w:tcBorders>
            <w:shd w:val="clear" w:color="auto" w:fill="auto"/>
            <w:noWrap/>
            <w:vAlign w:val="center"/>
          </w:tcPr>
          <w:p w14:paraId="0553CB78" w14:textId="77777777" w:rsidR="007D2696" w:rsidRPr="00164551" w:rsidRDefault="007D2696">
            <w:pPr>
              <w:spacing w:before="0" w:after="0"/>
              <w:jc w:val="center"/>
              <w:rPr>
                <w:rFonts w:ascii="Arial" w:hAnsi="Arial" w:cs="Arial"/>
                <w:color w:val="000000"/>
                <w:sz w:val="16"/>
                <w:szCs w:val="16"/>
                <w:lang w:val="en-AU" w:eastAsia="en-AU"/>
              </w:rPr>
            </w:pPr>
          </w:p>
        </w:tc>
        <w:tc>
          <w:tcPr>
            <w:tcW w:w="1180" w:type="dxa"/>
            <w:tcBorders>
              <w:top w:val="nil"/>
              <w:left w:val="nil"/>
              <w:bottom w:val="single" w:sz="4" w:space="0" w:color="BFBFBF"/>
              <w:right w:val="single" w:sz="4" w:space="0" w:color="BFBFBF"/>
            </w:tcBorders>
            <w:shd w:val="clear" w:color="auto" w:fill="auto"/>
            <w:noWrap/>
            <w:vAlign w:val="center"/>
          </w:tcPr>
          <w:p w14:paraId="7AB17C87" w14:textId="48C52A61" w:rsidR="007D2696" w:rsidRPr="00164551" w:rsidRDefault="007D2696">
            <w:pPr>
              <w:spacing w:before="0" w:after="0"/>
              <w:jc w:val="center"/>
              <w:rPr>
                <w:rFonts w:ascii="Arial" w:hAnsi="Arial" w:cs="Arial"/>
                <w:color w:val="000000"/>
                <w:sz w:val="16"/>
                <w:szCs w:val="16"/>
                <w:lang w:val="en-AU" w:eastAsia="en-AU"/>
              </w:rPr>
            </w:pPr>
          </w:p>
        </w:tc>
        <w:tc>
          <w:tcPr>
            <w:tcW w:w="1180" w:type="dxa"/>
            <w:tcBorders>
              <w:top w:val="nil"/>
              <w:left w:val="nil"/>
              <w:bottom w:val="single" w:sz="4" w:space="0" w:color="BFBFBF"/>
              <w:right w:val="double" w:sz="6" w:space="0" w:color="auto"/>
            </w:tcBorders>
            <w:shd w:val="clear" w:color="auto" w:fill="auto"/>
            <w:noWrap/>
            <w:vAlign w:val="center"/>
          </w:tcPr>
          <w:p w14:paraId="06034141" w14:textId="77777777" w:rsidR="007D2696" w:rsidRPr="00164551" w:rsidRDefault="007D2696">
            <w:pPr>
              <w:spacing w:before="0" w:after="0"/>
              <w:jc w:val="center"/>
              <w:rPr>
                <w:rFonts w:ascii="Arial" w:hAnsi="Arial" w:cs="Arial"/>
                <w:color w:val="000000"/>
                <w:sz w:val="16"/>
                <w:szCs w:val="16"/>
                <w:lang w:val="en-AU" w:eastAsia="en-AU"/>
              </w:rPr>
            </w:pPr>
          </w:p>
        </w:tc>
      </w:tr>
      <w:tr w:rsidR="007D2696" w:rsidRPr="00164551" w14:paraId="17E02CE2"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6703C8F4"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Aged Concession HHs</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17413181" w14:textId="47838CF5"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98%</w:t>
            </w:r>
          </w:p>
        </w:tc>
        <w:tc>
          <w:tcPr>
            <w:tcW w:w="1103" w:type="dxa"/>
            <w:tcBorders>
              <w:top w:val="nil"/>
              <w:left w:val="nil"/>
              <w:bottom w:val="single" w:sz="4" w:space="0" w:color="BFBFBF"/>
              <w:right w:val="single" w:sz="4" w:space="0" w:color="auto"/>
            </w:tcBorders>
            <w:shd w:val="clear" w:color="auto" w:fill="auto"/>
            <w:noWrap/>
            <w:vAlign w:val="center"/>
          </w:tcPr>
          <w:p w14:paraId="3B14D4D1"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94%</w:t>
            </w:r>
          </w:p>
        </w:tc>
        <w:tc>
          <w:tcPr>
            <w:tcW w:w="1180" w:type="dxa"/>
            <w:tcBorders>
              <w:top w:val="nil"/>
              <w:left w:val="nil"/>
              <w:bottom w:val="single" w:sz="4" w:space="0" w:color="BFBFBF"/>
              <w:right w:val="single" w:sz="4" w:space="0" w:color="BFBFBF"/>
            </w:tcBorders>
            <w:shd w:val="clear" w:color="auto" w:fill="auto"/>
            <w:noWrap/>
            <w:vAlign w:val="center"/>
          </w:tcPr>
          <w:p w14:paraId="29351D2F" w14:textId="49A9927B"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6%</w:t>
            </w:r>
          </w:p>
        </w:tc>
        <w:tc>
          <w:tcPr>
            <w:tcW w:w="1180" w:type="dxa"/>
            <w:tcBorders>
              <w:top w:val="nil"/>
              <w:left w:val="nil"/>
              <w:bottom w:val="single" w:sz="4" w:space="0" w:color="BFBFBF"/>
              <w:right w:val="double" w:sz="6" w:space="0" w:color="auto"/>
            </w:tcBorders>
            <w:shd w:val="clear" w:color="auto" w:fill="auto"/>
            <w:noWrap/>
            <w:vAlign w:val="center"/>
          </w:tcPr>
          <w:p w14:paraId="75AD63F2"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16%</w:t>
            </w:r>
          </w:p>
        </w:tc>
      </w:tr>
      <w:tr w:rsidR="007D2696" w:rsidRPr="00164551" w14:paraId="2C9D3DA1"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0E269838"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Other Concession HHs</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79AA6612" w14:textId="124A141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97%</w:t>
            </w:r>
          </w:p>
        </w:tc>
        <w:tc>
          <w:tcPr>
            <w:tcW w:w="1103" w:type="dxa"/>
            <w:tcBorders>
              <w:top w:val="nil"/>
              <w:left w:val="nil"/>
              <w:bottom w:val="single" w:sz="4" w:space="0" w:color="BFBFBF"/>
              <w:right w:val="single" w:sz="4" w:space="0" w:color="auto"/>
            </w:tcBorders>
            <w:shd w:val="clear" w:color="auto" w:fill="auto"/>
            <w:noWrap/>
            <w:vAlign w:val="center"/>
          </w:tcPr>
          <w:p w14:paraId="191AB68E"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82%</w:t>
            </w:r>
          </w:p>
        </w:tc>
        <w:tc>
          <w:tcPr>
            <w:tcW w:w="1180" w:type="dxa"/>
            <w:tcBorders>
              <w:top w:val="nil"/>
              <w:left w:val="nil"/>
              <w:bottom w:val="single" w:sz="4" w:space="0" w:color="BFBFBF"/>
              <w:right w:val="single" w:sz="4" w:space="0" w:color="BFBFBF"/>
            </w:tcBorders>
            <w:shd w:val="clear" w:color="auto" w:fill="auto"/>
            <w:noWrap/>
            <w:vAlign w:val="center"/>
          </w:tcPr>
          <w:p w14:paraId="30DA1C5C" w14:textId="1015C51A"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13%</w:t>
            </w:r>
          </w:p>
        </w:tc>
        <w:tc>
          <w:tcPr>
            <w:tcW w:w="1180" w:type="dxa"/>
            <w:tcBorders>
              <w:top w:val="nil"/>
              <w:left w:val="nil"/>
              <w:bottom w:val="single" w:sz="4" w:space="0" w:color="BFBFBF"/>
              <w:right w:val="double" w:sz="6" w:space="0" w:color="auto"/>
            </w:tcBorders>
            <w:shd w:val="clear" w:color="auto" w:fill="auto"/>
            <w:noWrap/>
            <w:vAlign w:val="center"/>
          </w:tcPr>
          <w:p w14:paraId="3A7EC6CB"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21%</w:t>
            </w:r>
          </w:p>
        </w:tc>
      </w:tr>
      <w:tr w:rsidR="007D2696" w:rsidRPr="00164551" w14:paraId="02E18698" w14:textId="77777777" w:rsidTr="009748AD">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275201D6"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Total Concession HHs</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101D3900" w14:textId="4E816188"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98%</w:t>
            </w:r>
          </w:p>
        </w:tc>
        <w:tc>
          <w:tcPr>
            <w:tcW w:w="1103" w:type="dxa"/>
            <w:tcBorders>
              <w:top w:val="nil"/>
              <w:left w:val="nil"/>
              <w:bottom w:val="single" w:sz="4" w:space="0" w:color="BFBFBF"/>
              <w:right w:val="single" w:sz="4" w:space="0" w:color="auto"/>
            </w:tcBorders>
            <w:shd w:val="clear" w:color="auto" w:fill="auto"/>
            <w:noWrap/>
            <w:vAlign w:val="center"/>
          </w:tcPr>
          <w:p w14:paraId="4C2068B3"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89%</w:t>
            </w:r>
          </w:p>
        </w:tc>
        <w:tc>
          <w:tcPr>
            <w:tcW w:w="1180" w:type="dxa"/>
            <w:tcBorders>
              <w:top w:val="nil"/>
              <w:left w:val="nil"/>
              <w:bottom w:val="single" w:sz="4" w:space="0" w:color="BFBFBF"/>
              <w:right w:val="single" w:sz="4" w:space="0" w:color="BFBFBF"/>
            </w:tcBorders>
            <w:shd w:val="clear" w:color="auto" w:fill="auto"/>
            <w:noWrap/>
            <w:vAlign w:val="center"/>
          </w:tcPr>
          <w:p w14:paraId="125D819B" w14:textId="1901C9DC"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w:t>
            </w:r>
          </w:p>
        </w:tc>
        <w:tc>
          <w:tcPr>
            <w:tcW w:w="1180" w:type="dxa"/>
            <w:tcBorders>
              <w:top w:val="nil"/>
              <w:left w:val="nil"/>
              <w:bottom w:val="single" w:sz="4" w:space="0" w:color="BFBFBF"/>
              <w:right w:val="double" w:sz="6" w:space="0" w:color="auto"/>
            </w:tcBorders>
            <w:shd w:val="clear" w:color="auto" w:fill="auto"/>
            <w:noWrap/>
            <w:vAlign w:val="center"/>
          </w:tcPr>
          <w:p w14:paraId="2841E456"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18%</w:t>
            </w:r>
          </w:p>
        </w:tc>
      </w:tr>
      <w:tr w:rsidR="007D2696" w:rsidRPr="00164551" w14:paraId="6915C5CF" w14:textId="77777777" w:rsidTr="009748AD">
        <w:trPr>
          <w:trHeight w:val="225"/>
          <w:jc w:val="center"/>
        </w:trPr>
        <w:tc>
          <w:tcPr>
            <w:tcW w:w="3360" w:type="dxa"/>
            <w:tcBorders>
              <w:top w:val="single" w:sz="4" w:space="0" w:color="BFBFBF"/>
              <w:left w:val="double" w:sz="6" w:space="0" w:color="auto"/>
              <w:bottom w:val="double" w:sz="4" w:space="0" w:color="auto"/>
              <w:right w:val="nil"/>
            </w:tcBorders>
            <w:shd w:val="clear" w:color="auto" w:fill="auto"/>
            <w:noWrap/>
            <w:vAlign w:val="center"/>
          </w:tcPr>
          <w:p w14:paraId="20F53669"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Non-Concession HHs</w:t>
            </w:r>
          </w:p>
        </w:tc>
        <w:tc>
          <w:tcPr>
            <w:tcW w:w="1257"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7A350EAB" w14:textId="6F52F592"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99%</w:t>
            </w:r>
          </w:p>
        </w:tc>
        <w:tc>
          <w:tcPr>
            <w:tcW w:w="1103" w:type="dxa"/>
            <w:tcBorders>
              <w:top w:val="single" w:sz="4" w:space="0" w:color="BFBFBF"/>
              <w:left w:val="nil"/>
              <w:bottom w:val="double" w:sz="4" w:space="0" w:color="auto"/>
              <w:right w:val="single" w:sz="4" w:space="0" w:color="auto"/>
            </w:tcBorders>
            <w:shd w:val="clear" w:color="auto" w:fill="auto"/>
            <w:noWrap/>
            <w:vAlign w:val="center"/>
          </w:tcPr>
          <w:p w14:paraId="6080B3A0"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93%</w:t>
            </w:r>
          </w:p>
        </w:tc>
        <w:tc>
          <w:tcPr>
            <w:tcW w:w="1180" w:type="dxa"/>
            <w:tcBorders>
              <w:top w:val="single" w:sz="4" w:space="0" w:color="BFBFBF"/>
              <w:left w:val="nil"/>
              <w:bottom w:val="double" w:sz="4" w:space="0" w:color="auto"/>
              <w:right w:val="single" w:sz="4" w:space="0" w:color="BFBFBF"/>
            </w:tcBorders>
            <w:shd w:val="clear" w:color="auto" w:fill="auto"/>
            <w:noWrap/>
            <w:vAlign w:val="center"/>
          </w:tcPr>
          <w:p w14:paraId="4477E48E" w14:textId="30987FEC"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5%</w:t>
            </w:r>
          </w:p>
        </w:tc>
        <w:tc>
          <w:tcPr>
            <w:tcW w:w="1180" w:type="dxa"/>
            <w:tcBorders>
              <w:top w:val="single" w:sz="4" w:space="0" w:color="BFBFBF"/>
              <w:left w:val="nil"/>
              <w:bottom w:val="double" w:sz="4" w:space="0" w:color="auto"/>
              <w:right w:val="double" w:sz="6" w:space="0" w:color="auto"/>
            </w:tcBorders>
            <w:shd w:val="clear" w:color="auto" w:fill="auto"/>
            <w:noWrap/>
            <w:vAlign w:val="center"/>
          </w:tcPr>
          <w:p w14:paraId="4687F6D9" w14:textId="77777777" w:rsidR="007D2696" w:rsidRPr="00164551" w:rsidRDefault="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15%</w:t>
            </w:r>
          </w:p>
        </w:tc>
      </w:tr>
      <w:tr w:rsidR="007D2696" w:rsidRPr="003835AE" w14:paraId="154C52A6" w14:textId="77777777" w:rsidTr="00D10D53">
        <w:trPr>
          <w:trHeight w:val="225"/>
          <w:jc w:val="center"/>
        </w:trPr>
        <w:tc>
          <w:tcPr>
            <w:tcW w:w="3360" w:type="dxa"/>
            <w:tcBorders>
              <w:top w:val="double" w:sz="4" w:space="0" w:color="auto"/>
            </w:tcBorders>
            <w:shd w:val="clear" w:color="auto" w:fill="auto"/>
            <w:noWrap/>
            <w:vAlign w:val="center"/>
          </w:tcPr>
          <w:p w14:paraId="03529462" w14:textId="77777777" w:rsidR="007D2696" w:rsidRPr="00164551" w:rsidRDefault="007D2696" w:rsidP="00F4068B">
            <w:pPr>
              <w:spacing w:before="0" w:after="0"/>
              <w:rPr>
                <w:rFonts w:ascii="Arial" w:hAnsi="Arial" w:cs="Arial"/>
                <w:b/>
                <w:bCs/>
                <w:color w:val="000000"/>
                <w:sz w:val="16"/>
                <w:szCs w:val="16"/>
                <w:lang w:val="en-AU" w:eastAsia="en-AU"/>
              </w:rPr>
            </w:pPr>
          </w:p>
          <w:p w14:paraId="12132296" w14:textId="77777777" w:rsidR="007D2696" w:rsidRPr="00164551" w:rsidRDefault="007D2696" w:rsidP="00F4068B">
            <w:pPr>
              <w:spacing w:before="0" w:after="0"/>
              <w:rPr>
                <w:rFonts w:ascii="Arial" w:hAnsi="Arial" w:cs="Arial"/>
                <w:bCs/>
                <w:color w:val="000000"/>
                <w:sz w:val="16"/>
                <w:szCs w:val="16"/>
                <w:lang w:val="en-AU" w:eastAsia="en-AU"/>
              </w:rPr>
            </w:pPr>
            <w:r w:rsidRPr="00164551">
              <w:rPr>
                <w:rFonts w:ascii="Arial" w:hAnsi="Arial" w:cs="Arial"/>
                <w:bCs/>
                <w:color w:val="000000"/>
                <w:sz w:val="16"/>
                <w:szCs w:val="16"/>
                <w:lang w:val="en-AU" w:eastAsia="en-AU"/>
              </w:rPr>
              <w:t>Continued on next page</w:t>
            </w:r>
          </w:p>
          <w:p w14:paraId="032283B4" w14:textId="77777777" w:rsidR="007D2696" w:rsidRPr="00164551" w:rsidRDefault="007D2696" w:rsidP="00F4068B">
            <w:pPr>
              <w:spacing w:before="0" w:after="0"/>
              <w:rPr>
                <w:rFonts w:ascii="Arial" w:hAnsi="Arial" w:cs="Arial"/>
                <w:bCs/>
                <w:color w:val="000000"/>
                <w:sz w:val="16"/>
                <w:szCs w:val="16"/>
                <w:lang w:val="en-AU" w:eastAsia="en-AU"/>
              </w:rPr>
            </w:pPr>
          </w:p>
        </w:tc>
        <w:tc>
          <w:tcPr>
            <w:tcW w:w="1257" w:type="dxa"/>
            <w:tcBorders>
              <w:top w:val="double" w:sz="4" w:space="0" w:color="auto"/>
            </w:tcBorders>
            <w:shd w:val="clear" w:color="auto" w:fill="auto"/>
            <w:noWrap/>
            <w:vAlign w:val="center"/>
          </w:tcPr>
          <w:p w14:paraId="5E234523" w14:textId="77777777" w:rsidR="007D2696" w:rsidRPr="00164551" w:rsidRDefault="007D2696" w:rsidP="00D10D53">
            <w:pPr>
              <w:spacing w:before="0" w:after="0"/>
              <w:jc w:val="center"/>
              <w:rPr>
                <w:rFonts w:ascii="Arial" w:hAnsi="Arial" w:cs="Arial"/>
                <w:b/>
                <w:bCs/>
                <w:color w:val="000000"/>
                <w:sz w:val="16"/>
                <w:szCs w:val="16"/>
                <w:lang w:val="en-AU" w:eastAsia="en-AU"/>
              </w:rPr>
            </w:pPr>
          </w:p>
        </w:tc>
        <w:tc>
          <w:tcPr>
            <w:tcW w:w="1103" w:type="dxa"/>
            <w:tcBorders>
              <w:top w:val="double" w:sz="4" w:space="0" w:color="auto"/>
            </w:tcBorders>
            <w:shd w:val="clear" w:color="auto" w:fill="auto"/>
            <w:noWrap/>
            <w:vAlign w:val="center"/>
          </w:tcPr>
          <w:p w14:paraId="0A204B21" w14:textId="77777777" w:rsidR="007D2696" w:rsidRPr="00164551" w:rsidRDefault="007D2696" w:rsidP="00D10D53">
            <w:pPr>
              <w:spacing w:before="0" w:after="0"/>
              <w:jc w:val="center"/>
              <w:rPr>
                <w:rFonts w:ascii="Arial" w:hAnsi="Arial" w:cs="Arial"/>
                <w:color w:val="000000"/>
                <w:sz w:val="16"/>
                <w:szCs w:val="16"/>
                <w:lang w:val="en-AU" w:eastAsia="en-AU"/>
              </w:rPr>
            </w:pPr>
          </w:p>
        </w:tc>
        <w:tc>
          <w:tcPr>
            <w:tcW w:w="1180" w:type="dxa"/>
            <w:tcBorders>
              <w:top w:val="double" w:sz="4" w:space="0" w:color="auto"/>
            </w:tcBorders>
            <w:shd w:val="clear" w:color="auto" w:fill="auto"/>
            <w:noWrap/>
            <w:vAlign w:val="center"/>
          </w:tcPr>
          <w:p w14:paraId="13EEDB53" w14:textId="77777777" w:rsidR="007D2696" w:rsidRPr="00164551" w:rsidRDefault="007D2696" w:rsidP="00D10D53">
            <w:pPr>
              <w:spacing w:before="0" w:after="0"/>
              <w:jc w:val="center"/>
              <w:rPr>
                <w:rFonts w:ascii="Arial" w:hAnsi="Arial" w:cs="Arial"/>
                <w:color w:val="000000"/>
                <w:sz w:val="16"/>
                <w:szCs w:val="16"/>
                <w:lang w:val="en-AU" w:eastAsia="en-AU"/>
              </w:rPr>
            </w:pPr>
          </w:p>
        </w:tc>
        <w:tc>
          <w:tcPr>
            <w:tcW w:w="1180" w:type="dxa"/>
            <w:tcBorders>
              <w:top w:val="double" w:sz="4" w:space="0" w:color="auto"/>
            </w:tcBorders>
            <w:shd w:val="clear" w:color="auto" w:fill="auto"/>
            <w:noWrap/>
            <w:vAlign w:val="center"/>
          </w:tcPr>
          <w:p w14:paraId="4D60CAAE" w14:textId="77777777" w:rsidR="007D2696" w:rsidRPr="00164551" w:rsidRDefault="007D2696" w:rsidP="00D10D53">
            <w:pPr>
              <w:spacing w:before="0" w:after="0"/>
              <w:jc w:val="center"/>
              <w:rPr>
                <w:rFonts w:ascii="Arial" w:hAnsi="Arial" w:cs="Arial"/>
                <w:color w:val="000000"/>
                <w:sz w:val="16"/>
                <w:szCs w:val="16"/>
                <w:lang w:val="en-AU" w:eastAsia="en-AU"/>
              </w:rPr>
            </w:pPr>
          </w:p>
        </w:tc>
      </w:tr>
      <w:tr w:rsidR="007D2696" w:rsidRPr="003835AE" w14:paraId="540818C8" w14:textId="77777777" w:rsidTr="00D10D53">
        <w:trPr>
          <w:trHeight w:val="225"/>
          <w:jc w:val="center"/>
        </w:trPr>
        <w:tc>
          <w:tcPr>
            <w:tcW w:w="3360" w:type="dxa"/>
            <w:tcBorders>
              <w:left w:val="double" w:sz="6" w:space="0" w:color="auto"/>
              <w:bottom w:val="single" w:sz="4" w:space="0" w:color="BFBFBF"/>
              <w:right w:val="nil"/>
            </w:tcBorders>
            <w:shd w:val="clear" w:color="auto" w:fill="auto"/>
            <w:noWrap/>
            <w:vAlign w:val="center"/>
          </w:tcPr>
          <w:p w14:paraId="2C0B7130" w14:textId="77777777" w:rsidR="007D2696" w:rsidRPr="00164551" w:rsidRDefault="007D2696" w:rsidP="00F4068B">
            <w:pPr>
              <w:spacing w:before="0" w:after="0"/>
              <w:rPr>
                <w:rFonts w:ascii="Arial" w:hAnsi="Arial" w:cs="Arial"/>
                <w:b/>
                <w:bCs/>
                <w:color w:val="000000"/>
                <w:sz w:val="16"/>
                <w:szCs w:val="16"/>
                <w:lang w:val="en-AU" w:eastAsia="en-AU"/>
              </w:rPr>
            </w:pPr>
          </w:p>
          <w:p w14:paraId="4E0211D5" w14:textId="77777777" w:rsidR="007D2696" w:rsidRPr="00164551" w:rsidRDefault="007D2696" w:rsidP="00F4068B">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Household Size -</w:t>
            </w:r>
          </w:p>
        </w:tc>
        <w:tc>
          <w:tcPr>
            <w:tcW w:w="1257" w:type="dxa"/>
            <w:tcBorders>
              <w:left w:val="single" w:sz="4" w:space="0" w:color="auto"/>
              <w:bottom w:val="single" w:sz="4" w:space="0" w:color="BFBFBF"/>
              <w:right w:val="single" w:sz="4" w:space="0" w:color="BFBFBF"/>
            </w:tcBorders>
            <w:shd w:val="clear" w:color="auto" w:fill="auto"/>
            <w:noWrap/>
            <w:vAlign w:val="center"/>
          </w:tcPr>
          <w:p w14:paraId="4072F896" w14:textId="77777777" w:rsidR="007D2696" w:rsidRPr="00164551" w:rsidRDefault="007D2696" w:rsidP="00D10D53">
            <w:pPr>
              <w:spacing w:before="0" w:after="0"/>
              <w:jc w:val="center"/>
              <w:rPr>
                <w:rFonts w:ascii="Arial" w:hAnsi="Arial" w:cs="Arial"/>
                <w:b/>
                <w:bCs/>
                <w:color w:val="000000"/>
                <w:sz w:val="16"/>
                <w:szCs w:val="16"/>
                <w:lang w:val="en-AU" w:eastAsia="en-AU"/>
              </w:rPr>
            </w:pPr>
          </w:p>
        </w:tc>
        <w:tc>
          <w:tcPr>
            <w:tcW w:w="1103" w:type="dxa"/>
            <w:tcBorders>
              <w:left w:val="nil"/>
              <w:bottom w:val="single" w:sz="4" w:space="0" w:color="BFBFBF"/>
              <w:right w:val="single" w:sz="4" w:space="0" w:color="auto"/>
            </w:tcBorders>
            <w:shd w:val="clear" w:color="auto" w:fill="auto"/>
            <w:noWrap/>
            <w:vAlign w:val="center"/>
          </w:tcPr>
          <w:p w14:paraId="15B77507" w14:textId="77777777" w:rsidR="007D2696" w:rsidRPr="00164551" w:rsidRDefault="007D2696" w:rsidP="00D10D53">
            <w:pPr>
              <w:spacing w:before="0" w:after="0"/>
              <w:jc w:val="center"/>
              <w:rPr>
                <w:rFonts w:ascii="Arial" w:hAnsi="Arial" w:cs="Arial"/>
                <w:color w:val="000000"/>
                <w:sz w:val="16"/>
                <w:szCs w:val="16"/>
                <w:lang w:val="en-AU" w:eastAsia="en-AU"/>
              </w:rPr>
            </w:pPr>
          </w:p>
        </w:tc>
        <w:tc>
          <w:tcPr>
            <w:tcW w:w="1180" w:type="dxa"/>
            <w:tcBorders>
              <w:left w:val="nil"/>
              <w:bottom w:val="single" w:sz="4" w:space="0" w:color="BFBFBF"/>
              <w:right w:val="single" w:sz="4" w:space="0" w:color="BFBFBF"/>
            </w:tcBorders>
            <w:shd w:val="clear" w:color="auto" w:fill="auto"/>
            <w:noWrap/>
            <w:vAlign w:val="center"/>
          </w:tcPr>
          <w:p w14:paraId="3A113B8D" w14:textId="77777777" w:rsidR="007D2696" w:rsidRPr="00164551" w:rsidRDefault="007D2696" w:rsidP="00D10D53">
            <w:pPr>
              <w:spacing w:before="0" w:after="0"/>
              <w:jc w:val="center"/>
              <w:rPr>
                <w:rFonts w:ascii="Arial" w:hAnsi="Arial" w:cs="Arial"/>
                <w:color w:val="000000"/>
                <w:sz w:val="16"/>
                <w:szCs w:val="16"/>
                <w:lang w:val="en-AU" w:eastAsia="en-AU"/>
              </w:rPr>
            </w:pPr>
          </w:p>
        </w:tc>
        <w:tc>
          <w:tcPr>
            <w:tcW w:w="1180" w:type="dxa"/>
            <w:tcBorders>
              <w:left w:val="nil"/>
              <w:bottom w:val="single" w:sz="4" w:space="0" w:color="BFBFBF"/>
              <w:right w:val="double" w:sz="6" w:space="0" w:color="auto"/>
            </w:tcBorders>
            <w:shd w:val="clear" w:color="auto" w:fill="auto"/>
            <w:noWrap/>
            <w:vAlign w:val="center"/>
          </w:tcPr>
          <w:p w14:paraId="422657EE" w14:textId="77777777" w:rsidR="007D2696" w:rsidRPr="00164551" w:rsidRDefault="007D2696" w:rsidP="00D10D53">
            <w:pPr>
              <w:spacing w:before="0" w:after="0"/>
              <w:jc w:val="center"/>
              <w:rPr>
                <w:rFonts w:ascii="Arial" w:hAnsi="Arial" w:cs="Arial"/>
                <w:color w:val="000000"/>
                <w:sz w:val="16"/>
                <w:szCs w:val="16"/>
                <w:lang w:val="en-AU" w:eastAsia="en-AU"/>
              </w:rPr>
            </w:pPr>
          </w:p>
        </w:tc>
      </w:tr>
      <w:tr w:rsidR="007D2696" w:rsidRPr="003835AE" w14:paraId="45005954" w14:textId="77777777" w:rsidTr="00D10D53">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55AB89E5"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1 person</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30D5FCD8" w14:textId="55E6C528"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98%</w:t>
            </w:r>
          </w:p>
        </w:tc>
        <w:tc>
          <w:tcPr>
            <w:tcW w:w="1103" w:type="dxa"/>
            <w:tcBorders>
              <w:top w:val="nil"/>
              <w:left w:val="nil"/>
              <w:bottom w:val="single" w:sz="4" w:space="0" w:color="BFBFBF"/>
              <w:right w:val="single" w:sz="4" w:space="0" w:color="auto"/>
            </w:tcBorders>
            <w:shd w:val="clear" w:color="auto" w:fill="auto"/>
            <w:noWrap/>
            <w:vAlign w:val="center"/>
          </w:tcPr>
          <w:p w14:paraId="1C51BE77"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90%</w:t>
            </w:r>
          </w:p>
        </w:tc>
        <w:tc>
          <w:tcPr>
            <w:tcW w:w="1180" w:type="dxa"/>
            <w:tcBorders>
              <w:top w:val="nil"/>
              <w:left w:val="nil"/>
              <w:bottom w:val="single" w:sz="4" w:space="0" w:color="BFBFBF"/>
              <w:right w:val="single" w:sz="4" w:space="0" w:color="BFBFBF"/>
            </w:tcBorders>
            <w:shd w:val="clear" w:color="auto" w:fill="auto"/>
            <w:noWrap/>
            <w:vAlign w:val="center"/>
          </w:tcPr>
          <w:p w14:paraId="0704A676" w14:textId="2A0387AE" w:rsidR="007D2696" w:rsidRPr="00164551" w:rsidRDefault="007D2696" w:rsidP="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7%</w:t>
            </w:r>
          </w:p>
        </w:tc>
        <w:tc>
          <w:tcPr>
            <w:tcW w:w="1180" w:type="dxa"/>
            <w:tcBorders>
              <w:top w:val="nil"/>
              <w:left w:val="nil"/>
              <w:bottom w:val="single" w:sz="4" w:space="0" w:color="BFBFBF"/>
              <w:right w:val="double" w:sz="6" w:space="0" w:color="auto"/>
            </w:tcBorders>
            <w:shd w:val="clear" w:color="auto" w:fill="auto"/>
            <w:noWrap/>
            <w:vAlign w:val="center"/>
          </w:tcPr>
          <w:p w14:paraId="5872BE6E"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17%</w:t>
            </w:r>
          </w:p>
        </w:tc>
      </w:tr>
      <w:tr w:rsidR="007D2696" w:rsidRPr="003835AE" w14:paraId="6346CA2B" w14:textId="77777777" w:rsidTr="00D10D53">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396FBD6A"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2 persons</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0EC25371" w14:textId="0B01038A"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98%</w:t>
            </w:r>
          </w:p>
        </w:tc>
        <w:tc>
          <w:tcPr>
            <w:tcW w:w="1103" w:type="dxa"/>
            <w:tcBorders>
              <w:top w:val="nil"/>
              <w:left w:val="nil"/>
              <w:bottom w:val="single" w:sz="4" w:space="0" w:color="BFBFBF"/>
              <w:right w:val="single" w:sz="4" w:space="0" w:color="auto"/>
            </w:tcBorders>
            <w:shd w:val="clear" w:color="auto" w:fill="auto"/>
            <w:noWrap/>
            <w:vAlign w:val="center"/>
          </w:tcPr>
          <w:p w14:paraId="5007D7E9"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93%</w:t>
            </w:r>
          </w:p>
        </w:tc>
        <w:tc>
          <w:tcPr>
            <w:tcW w:w="1180" w:type="dxa"/>
            <w:tcBorders>
              <w:top w:val="nil"/>
              <w:left w:val="nil"/>
              <w:bottom w:val="single" w:sz="4" w:space="0" w:color="BFBFBF"/>
              <w:right w:val="single" w:sz="4" w:space="0" w:color="BFBFBF"/>
            </w:tcBorders>
            <w:shd w:val="clear" w:color="auto" w:fill="auto"/>
            <w:noWrap/>
            <w:vAlign w:val="center"/>
          </w:tcPr>
          <w:p w14:paraId="57F2F8E2" w14:textId="0E750C0C" w:rsidR="007D2696" w:rsidRPr="00164551" w:rsidRDefault="007D2696" w:rsidP="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w:t>
            </w:r>
          </w:p>
        </w:tc>
        <w:tc>
          <w:tcPr>
            <w:tcW w:w="1180" w:type="dxa"/>
            <w:tcBorders>
              <w:top w:val="nil"/>
              <w:left w:val="nil"/>
              <w:bottom w:val="single" w:sz="4" w:space="0" w:color="BFBFBF"/>
              <w:right w:val="double" w:sz="6" w:space="0" w:color="auto"/>
            </w:tcBorders>
            <w:shd w:val="clear" w:color="auto" w:fill="auto"/>
            <w:noWrap/>
            <w:vAlign w:val="center"/>
          </w:tcPr>
          <w:p w14:paraId="1F42DDE1"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17%</w:t>
            </w:r>
          </w:p>
        </w:tc>
      </w:tr>
      <w:tr w:rsidR="007D2696" w:rsidRPr="003835AE" w14:paraId="237A3EE0" w14:textId="77777777" w:rsidTr="00D10D53">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2DC6ADC3"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3 persons</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3A04D906" w14:textId="0A9E6AFE"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99%</w:t>
            </w:r>
          </w:p>
        </w:tc>
        <w:tc>
          <w:tcPr>
            <w:tcW w:w="1103" w:type="dxa"/>
            <w:tcBorders>
              <w:top w:val="nil"/>
              <w:left w:val="nil"/>
              <w:bottom w:val="single" w:sz="4" w:space="0" w:color="BFBFBF"/>
              <w:right w:val="single" w:sz="4" w:space="0" w:color="auto"/>
            </w:tcBorders>
            <w:shd w:val="clear" w:color="auto" w:fill="auto"/>
            <w:noWrap/>
            <w:vAlign w:val="center"/>
          </w:tcPr>
          <w:p w14:paraId="67068415"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91%</w:t>
            </w:r>
          </w:p>
        </w:tc>
        <w:tc>
          <w:tcPr>
            <w:tcW w:w="1180" w:type="dxa"/>
            <w:tcBorders>
              <w:top w:val="nil"/>
              <w:left w:val="nil"/>
              <w:bottom w:val="single" w:sz="4" w:space="0" w:color="BFBFBF"/>
              <w:right w:val="single" w:sz="4" w:space="0" w:color="BFBFBF"/>
            </w:tcBorders>
            <w:shd w:val="clear" w:color="auto" w:fill="auto"/>
            <w:noWrap/>
            <w:vAlign w:val="center"/>
          </w:tcPr>
          <w:p w14:paraId="00060FB8" w14:textId="4DF95352" w:rsidR="007D2696" w:rsidRPr="00164551" w:rsidRDefault="007D2696" w:rsidP="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11%</w:t>
            </w:r>
          </w:p>
        </w:tc>
        <w:tc>
          <w:tcPr>
            <w:tcW w:w="1180" w:type="dxa"/>
            <w:tcBorders>
              <w:top w:val="nil"/>
              <w:left w:val="nil"/>
              <w:bottom w:val="single" w:sz="4" w:space="0" w:color="BFBFBF"/>
              <w:right w:val="double" w:sz="6" w:space="0" w:color="auto"/>
            </w:tcBorders>
            <w:shd w:val="clear" w:color="auto" w:fill="auto"/>
            <w:noWrap/>
            <w:vAlign w:val="center"/>
          </w:tcPr>
          <w:p w14:paraId="0395C384"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15%</w:t>
            </w:r>
          </w:p>
        </w:tc>
      </w:tr>
      <w:tr w:rsidR="007D2696" w:rsidRPr="003835AE" w14:paraId="0DE17889" w14:textId="77777777" w:rsidTr="00D10D53">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23CAE70B"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4 or more persons</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3A0E6631" w14:textId="6934E5A2"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99%</w:t>
            </w:r>
          </w:p>
        </w:tc>
        <w:tc>
          <w:tcPr>
            <w:tcW w:w="1103" w:type="dxa"/>
            <w:tcBorders>
              <w:top w:val="nil"/>
              <w:left w:val="nil"/>
              <w:bottom w:val="single" w:sz="4" w:space="0" w:color="BFBFBF"/>
              <w:right w:val="single" w:sz="4" w:space="0" w:color="auto"/>
            </w:tcBorders>
            <w:shd w:val="clear" w:color="auto" w:fill="auto"/>
            <w:noWrap/>
            <w:vAlign w:val="center"/>
          </w:tcPr>
          <w:p w14:paraId="55732D6E"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89%</w:t>
            </w:r>
          </w:p>
        </w:tc>
        <w:tc>
          <w:tcPr>
            <w:tcW w:w="1180" w:type="dxa"/>
            <w:tcBorders>
              <w:top w:val="nil"/>
              <w:left w:val="nil"/>
              <w:bottom w:val="single" w:sz="4" w:space="0" w:color="BFBFBF"/>
              <w:right w:val="single" w:sz="4" w:space="0" w:color="BFBFBF"/>
            </w:tcBorders>
            <w:shd w:val="clear" w:color="auto" w:fill="auto"/>
            <w:noWrap/>
            <w:vAlign w:val="center"/>
          </w:tcPr>
          <w:p w14:paraId="3EA2C7AD" w14:textId="6503855C" w:rsidR="007D2696" w:rsidRPr="00164551" w:rsidRDefault="007D2696" w:rsidP="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w:t>
            </w:r>
          </w:p>
        </w:tc>
        <w:tc>
          <w:tcPr>
            <w:tcW w:w="1180" w:type="dxa"/>
            <w:tcBorders>
              <w:top w:val="nil"/>
              <w:left w:val="nil"/>
              <w:bottom w:val="single" w:sz="4" w:space="0" w:color="BFBFBF"/>
              <w:right w:val="double" w:sz="6" w:space="0" w:color="auto"/>
            </w:tcBorders>
            <w:shd w:val="clear" w:color="auto" w:fill="auto"/>
            <w:noWrap/>
            <w:vAlign w:val="center"/>
          </w:tcPr>
          <w:p w14:paraId="05D31536"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17%</w:t>
            </w:r>
          </w:p>
        </w:tc>
      </w:tr>
      <w:tr w:rsidR="007D2696" w:rsidRPr="003835AE" w14:paraId="1DF3949D" w14:textId="77777777" w:rsidTr="00D10D53">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1DD9D0ED" w14:textId="77777777" w:rsidR="007D2696" w:rsidRPr="00164551" w:rsidRDefault="007D2696" w:rsidP="00F4068B">
            <w:pPr>
              <w:spacing w:before="0" w:after="0"/>
              <w:rPr>
                <w:rFonts w:ascii="Arial" w:hAnsi="Arial" w:cs="Arial"/>
                <w:b/>
                <w:bCs/>
                <w:color w:val="000000"/>
                <w:sz w:val="16"/>
                <w:szCs w:val="16"/>
                <w:lang w:val="en-AU" w:eastAsia="en-AU"/>
              </w:rPr>
            </w:pPr>
          </w:p>
          <w:p w14:paraId="4830CD91" w14:textId="77777777" w:rsidR="007D2696" w:rsidRPr="00164551" w:rsidRDefault="007D2696" w:rsidP="00F4068B">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Housing Status -</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134B19BB" w14:textId="2D5A554A" w:rsidR="007D2696" w:rsidRPr="00164551" w:rsidRDefault="007D2696" w:rsidP="00D10D53">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rPr>
              <w:t> </w:t>
            </w:r>
          </w:p>
        </w:tc>
        <w:tc>
          <w:tcPr>
            <w:tcW w:w="1103" w:type="dxa"/>
            <w:tcBorders>
              <w:top w:val="nil"/>
              <w:left w:val="nil"/>
              <w:bottom w:val="single" w:sz="4" w:space="0" w:color="BFBFBF"/>
              <w:right w:val="single" w:sz="4" w:space="0" w:color="auto"/>
            </w:tcBorders>
            <w:shd w:val="clear" w:color="auto" w:fill="auto"/>
            <w:noWrap/>
            <w:vAlign w:val="center"/>
          </w:tcPr>
          <w:p w14:paraId="4326DD8C" w14:textId="77777777" w:rsidR="007D2696" w:rsidRPr="00164551" w:rsidRDefault="007D2696" w:rsidP="00D10D53">
            <w:pPr>
              <w:spacing w:before="0" w:after="0"/>
              <w:jc w:val="center"/>
              <w:rPr>
                <w:rFonts w:ascii="Arial" w:hAnsi="Arial" w:cs="Arial"/>
                <w:color w:val="000000"/>
                <w:sz w:val="16"/>
                <w:szCs w:val="16"/>
                <w:lang w:val="en-AU" w:eastAsia="en-AU"/>
              </w:rPr>
            </w:pPr>
          </w:p>
        </w:tc>
        <w:tc>
          <w:tcPr>
            <w:tcW w:w="1180" w:type="dxa"/>
            <w:tcBorders>
              <w:top w:val="nil"/>
              <w:left w:val="nil"/>
              <w:bottom w:val="single" w:sz="4" w:space="0" w:color="BFBFBF"/>
              <w:right w:val="single" w:sz="4" w:space="0" w:color="BFBFBF"/>
            </w:tcBorders>
            <w:shd w:val="clear" w:color="auto" w:fill="auto"/>
            <w:noWrap/>
            <w:vAlign w:val="center"/>
          </w:tcPr>
          <w:p w14:paraId="450E09B1" w14:textId="77777777" w:rsidR="007D2696" w:rsidRPr="00164551" w:rsidRDefault="007D2696" w:rsidP="00D10D53">
            <w:pPr>
              <w:spacing w:before="0" w:after="0"/>
              <w:jc w:val="center"/>
              <w:rPr>
                <w:rFonts w:ascii="Arial" w:hAnsi="Arial" w:cs="Arial"/>
                <w:color w:val="000000"/>
                <w:sz w:val="16"/>
                <w:szCs w:val="16"/>
                <w:lang w:val="en-AU" w:eastAsia="en-AU"/>
              </w:rPr>
            </w:pPr>
          </w:p>
        </w:tc>
        <w:tc>
          <w:tcPr>
            <w:tcW w:w="1180" w:type="dxa"/>
            <w:tcBorders>
              <w:top w:val="nil"/>
              <w:left w:val="nil"/>
              <w:bottom w:val="single" w:sz="4" w:space="0" w:color="BFBFBF"/>
              <w:right w:val="double" w:sz="6" w:space="0" w:color="auto"/>
            </w:tcBorders>
            <w:shd w:val="clear" w:color="auto" w:fill="auto"/>
            <w:noWrap/>
            <w:vAlign w:val="center"/>
          </w:tcPr>
          <w:p w14:paraId="4696B03B" w14:textId="77777777" w:rsidR="007D2696" w:rsidRPr="00164551" w:rsidRDefault="007D2696" w:rsidP="00D10D53">
            <w:pPr>
              <w:spacing w:before="0" w:after="0"/>
              <w:jc w:val="center"/>
              <w:rPr>
                <w:rFonts w:ascii="Arial" w:hAnsi="Arial" w:cs="Arial"/>
                <w:color w:val="000000"/>
                <w:sz w:val="16"/>
                <w:szCs w:val="16"/>
                <w:lang w:val="en-AU" w:eastAsia="en-AU"/>
              </w:rPr>
            </w:pPr>
          </w:p>
        </w:tc>
      </w:tr>
      <w:tr w:rsidR="007D2696" w:rsidRPr="003835AE" w14:paraId="5C51CDFA" w14:textId="77777777" w:rsidTr="00D10D53">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249901F6"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Owned/paid off</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1CECF351" w14:textId="35513899"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99%</w:t>
            </w:r>
          </w:p>
        </w:tc>
        <w:tc>
          <w:tcPr>
            <w:tcW w:w="1103" w:type="dxa"/>
            <w:tcBorders>
              <w:top w:val="nil"/>
              <w:left w:val="nil"/>
              <w:bottom w:val="single" w:sz="4" w:space="0" w:color="BFBFBF"/>
              <w:right w:val="single" w:sz="4" w:space="0" w:color="auto"/>
            </w:tcBorders>
            <w:shd w:val="clear" w:color="auto" w:fill="auto"/>
            <w:noWrap/>
            <w:vAlign w:val="center"/>
          </w:tcPr>
          <w:p w14:paraId="493F1FB3"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95%</w:t>
            </w:r>
          </w:p>
        </w:tc>
        <w:tc>
          <w:tcPr>
            <w:tcW w:w="1180" w:type="dxa"/>
            <w:tcBorders>
              <w:top w:val="nil"/>
              <w:left w:val="nil"/>
              <w:bottom w:val="single" w:sz="4" w:space="0" w:color="BFBFBF"/>
              <w:right w:val="single" w:sz="4" w:space="0" w:color="BFBFBF"/>
            </w:tcBorders>
            <w:shd w:val="clear" w:color="auto" w:fill="auto"/>
            <w:noWrap/>
            <w:vAlign w:val="center"/>
          </w:tcPr>
          <w:p w14:paraId="15AFF57D" w14:textId="0D82ADA7" w:rsidR="007D2696" w:rsidRPr="00164551" w:rsidRDefault="007D2696" w:rsidP="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3%</w:t>
            </w:r>
          </w:p>
        </w:tc>
        <w:tc>
          <w:tcPr>
            <w:tcW w:w="1180" w:type="dxa"/>
            <w:tcBorders>
              <w:top w:val="nil"/>
              <w:left w:val="nil"/>
              <w:bottom w:val="single" w:sz="4" w:space="0" w:color="BFBFBF"/>
              <w:right w:val="double" w:sz="6" w:space="0" w:color="auto"/>
            </w:tcBorders>
            <w:shd w:val="clear" w:color="auto" w:fill="auto"/>
            <w:noWrap/>
            <w:vAlign w:val="center"/>
          </w:tcPr>
          <w:p w14:paraId="1A697FA0"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16%</w:t>
            </w:r>
          </w:p>
        </w:tc>
      </w:tr>
      <w:tr w:rsidR="007D2696" w:rsidRPr="003835AE" w14:paraId="6D7941E0" w14:textId="77777777" w:rsidTr="00D10D53">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4957DA25"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Buying/paying off</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4A588D9D" w14:textId="62BA78C8"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98%</w:t>
            </w:r>
          </w:p>
        </w:tc>
        <w:tc>
          <w:tcPr>
            <w:tcW w:w="1103" w:type="dxa"/>
            <w:tcBorders>
              <w:top w:val="nil"/>
              <w:left w:val="nil"/>
              <w:bottom w:val="single" w:sz="4" w:space="0" w:color="BFBFBF"/>
              <w:right w:val="single" w:sz="4" w:space="0" w:color="auto"/>
            </w:tcBorders>
            <w:shd w:val="clear" w:color="auto" w:fill="auto"/>
            <w:noWrap/>
            <w:vAlign w:val="center"/>
          </w:tcPr>
          <w:p w14:paraId="423DA783"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94%</w:t>
            </w:r>
          </w:p>
        </w:tc>
        <w:tc>
          <w:tcPr>
            <w:tcW w:w="1180" w:type="dxa"/>
            <w:tcBorders>
              <w:top w:val="nil"/>
              <w:left w:val="nil"/>
              <w:bottom w:val="single" w:sz="4" w:space="0" w:color="BFBFBF"/>
              <w:right w:val="single" w:sz="4" w:space="0" w:color="BFBFBF"/>
            </w:tcBorders>
            <w:shd w:val="clear" w:color="auto" w:fill="auto"/>
            <w:noWrap/>
            <w:vAlign w:val="center"/>
          </w:tcPr>
          <w:p w14:paraId="52502082" w14:textId="382ED5B4" w:rsidR="007D2696" w:rsidRPr="00164551" w:rsidRDefault="007D2696" w:rsidP="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10%</w:t>
            </w:r>
          </w:p>
        </w:tc>
        <w:tc>
          <w:tcPr>
            <w:tcW w:w="1180" w:type="dxa"/>
            <w:tcBorders>
              <w:top w:val="nil"/>
              <w:left w:val="nil"/>
              <w:bottom w:val="single" w:sz="4" w:space="0" w:color="BFBFBF"/>
              <w:right w:val="double" w:sz="6" w:space="0" w:color="auto"/>
            </w:tcBorders>
            <w:shd w:val="clear" w:color="auto" w:fill="auto"/>
            <w:noWrap/>
            <w:vAlign w:val="center"/>
          </w:tcPr>
          <w:p w14:paraId="66FC05D9"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16%</w:t>
            </w:r>
          </w:p>
        </w:tc>
      </w:tr>
      <w:tr w:rsidR="007D2696" w:rsidRPr="003835AE" w14:paraId="0313ACF3" w14:textId="77777777" w:rsidTr="00D10D53">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5FE12BBA"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Renting – Private</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5C577A6D" w14:textId="102A2A2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96%</w:t>
            </w:r>
          </w:p>
        </w:tc>
        <w:tc>
          <w:tcPr>
            <w:tcW w:w="1103" w:type="dxa"/>
            <w:tcBorders>
              <w:top w:val="nil"/>
              <w:left w:val="nil"/>
              <w:bottom w:val="single" w:sz="4" w:space="0" w:color="BFBFBF"/>
              <w:right w:val="single" w:sz="4" w:space="0" w:color="auto"/>
            </w:tcBorders>
            <w:shd w:val="clear" w:color="auto" w:fill="auto"/>
            <w:noWrap/>
            <w:vAlign w:val="center"/>
          </w:tcPr>
          <w:p w14:paraId="23008B1B"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79%</w:t>
            </w:r>
          </w:p>
        </w:tc>
        <w:tc>
          <w:tcPr>
            <w:tcW w:w="1180" w:type="dxa"/>
            <w:tcBorders>
              <w:top w:val="nil"/>
              <w:left w:val="nil"/>
              <w:bottom w:val="single" w:sz="4" w:space="0" w:color="BFBFBF"/>
              <w:right w:val="single" w:sz="4" w:space="0" w:color="BFBFBF"/>
            </w:tcBorders>
            <w:shd w:val="clear" w:color="auto" w:fill="auto"/>
            <w:noWrap/>
            <w:vAlign w:val="center"/>
          </w:tcPr>
          <w:p w14:paraId="66E546AD" w14:textId="7A9567BE" w:rsidR="007D2696" w:rsidRPr="00164551" w:rsidRDefault="007D2696" w:rsidP="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11%</w:t>
            </w:r>
          </w:p>
        </w:tc>
        <w:tc>
          <w:tcPr>
            <w:tcW w:w="1180" w:type="dxa"/>
            <w:tcBorders>
              <w:top w:val="nil"/>
              <w:left w:val="nil"/>
              <w:bottom w:val="single" w:sz="4" w:space="0" w:color="BFBFBF"/>
              <w:right w:val="double" w:sz="6" w:space="0" w:color="auto"/>
            </w:tcBorders>
            <w:shd w:val="clear" w:color="auto" w:fill="auto"/>
            <w:noWrap/>
            <w:vAlign w:val="center"/>
          </w:tcPr>
          <w:p w14:paraId="04D539B6"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19%</w:t>
            </w:r>
          </w:p>
        </w:tc>
      </w:tr>
      <w:tr w:rsidR="007D2696" w:rsidRPr="003835AE" w14:paraId="2C4E3FF1" w14:textId="77777777" w:rsidTr="00D10D53">
        <w:trPr>
          <w:trHeight w:val="225"/>
          <w:jc w:val="center"/>
        </w:trPr>
        <w:tc>
          <w:tcPr>
            <w:tcW w:w="3360" w:type="dxa"/>
            <w:tcBorders>
              <w:top w:val="nil"/>
              <w:left w:val="double" w:sz="6" w:space="0" w:color="auto"/>
              <w:bottom w:val="single" w:sz="4" w:space="0" w:color="BFBFBF"/>
              <w:right w:val="nil"/>
            </w:tcBorders>
            <w:shd w:val="clear" w:color="auto" w:fill="auto"/>
            <w:noWrap/>
            <w:vAlign w:val="center"/>
          </w:tcPr>
          <w:p w14:paraId="24DE91BD" w14:textId="77777777" w:rsidR="007D2696" w:rsidRPr="00164551" w:rsidRDefault="007D2696" w:rsidP="00F4068B">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Renting – Public</w:t>
            </w:r>
          </w:p>
        </w:tc>
        <w:tc>
          <w:tcPr>
            <w:tcW w:w="1257" w:type="dxa"/>
            <w:tcBorders>
              <w:top w:val="nil"/>
              <w:left w:val="single" w:sz="4" w:space="0" w:color="auto"/>
              <w:bottom w:val="single" w:sz="4" w:space="0" w:color="BFBFBF"/>
              <w:right w:val="single" w:sz="4" w:space="0" w:color="BFBFBF"/>
            </w:tcBorders>
            <w:shd w:val="clear" w:color="auto" w:fill="auto"/>
            <w:noWrap/>
            <w:vAlign w:val="center"/>
          </w:tcPr>
          <w:p w14:paraId="0989C0A1" w14:textId="581FD5F1"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97%</w:t>
            </w:r>
          </w:p>
        </w:tc>
        <w:tc>
          <w:tcPr>
            <w:tcW w:w="1103" w:type="dxa"/>
            <w:tcBorders>
              <w:top w:val="nil"/>
              <w:left w:val="nil"/>
              <w:bottom w:val="single" w:sz="4" w:space="0" w:color="BFBFBF"/>
              <w:right w:val="single" w:sz="4" w:space="0" w:color="auto"/>
            </w:tcBorders>
            <w:shd w:val="clear" w:color="auto" w:fill="auto"/>
            <w:noWrap/>
            <w:vAlign w:val="center"/>
          </w:tcPr>
          <w:p w14:paraId="04AF971D"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53%</w:t>
            </w:r>
          </w:p>
        </w:tc>
        <w:tc>
          <w:tcPr>
            <w:tcW w:w="1180" w:type="dxa"/>
            <w:tcBorders>
              <w:top w:val="nil"/>
              <w:left w:val="nil"/>
              <w:bottom w:val="single" w:sz="4" w:space="0" w:color="BFBFBF"/>
              <w:right w:val="single" w:sz="4" w:space="0" w:color="BFBFBF"/>
            </w:tcBorders>
            <w:shd w:val="clear" w:color="auto" w:fill="auto"/>
            <w:noWrap/>
            <w:vAlign w:val="center"/>
          </w:tcPr>
          <w:p w14:paraId="5F44F6F8" w14:textId="0721CF10" w:rsidR="007D2696" w:rsidRPr="00164551" w:rsidRDefault="007D2696" w:rsidP="007D2696">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19%</w:t>
            </w:r>
          </w:p>
        </w:tc>
        <w:tc>
          <w:tcPr>
            <w:tcW w:w="1180" w:type="dxa"/>
            <w:tcBorders>
              <w:top w:val="nil"/>
              <w:left w:val="nil"/>
              <w:bottom w:val="single" w:sz="4" w:space="0" w:color="BFBFBF"/>
              <w:right w:val="double" w:sz="6" w:space="0" w:color="auto"/>
            </w:tcBorders>
            <w:shd w:val="clear" w:color="auto" w:fill="auto"/>
            <w:noWrap/>
            <w:vAlign w:val="center"/>
          </w:tcPr>
          <w:p w14:paraId="73C37436" w14:textId="77777777" w:rsidR="007D2696" w:rsidRPr="00164551" w:rsidRDefault="007D2696" w:rsidP="00D10D53">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22%</w:t>
            </w:r>
          </w:p>
        </w:tc>
      </w:tr>
      <w:tr w:rsidR="007D2696" w:rsidRPr="003835AE" w14:paraId="7E6D4E0F" w14:textId="77777777" w:rsidTr="00D10D53">
        <w:trPr>
          <w:trHeight w:val="240"/>
          <w:jc w:val="center"/>
        </w:trPr>
        <w:tc>
          <w:tcPr>
            <w:tcW w:w="3360" w:type="dxa"/>
            <w:tcBorders>
              <w:top w:val="nil"/>
              <w:left w:val="double" w:sz="6" w:space="0" w:color="auto"/>
              <w:bottom w:val="double" w:sz="6" w:space="0" w:color="auto"/>
              <w:right w:val="nil"/>
            </w:tcBorders>
            <w:shd w:val="clear" w:color="auto" w:fill="auto"/>
            <w:noWrap/>
            <w:vAlign w:val="center"/>
          </w:tcPr>
          <w:p w14:paraId="50F7D1FF" w14:textId="77777777" w:rsidR="007D2696" w:rsidRPr="00164551" w:rsidRDefault="007D2696" w:rsidP="00F4068B">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br/>
              <w:t>Total Households</w:t>
            </w:r>
          </w:p>
        </w:tc>
        <w:tc>
          <w:tcPr>
            <w:tcW w:w="1257" w:type="dxa"/>
            <w:tcBorders>
              <w:top w:val="nil"/>
              <w:left w:val="single" w:sz="4" w:space="0" w:color="auto"/>
              <w:bottom w:val="double" w:sz="6" w:space="0" w:color="auto"/>
              <w:right w:val="single" w:sz="4" w:space="0" w:color="BFBFBF"/>
            </w:tcBorders>
            <w:shd w:val="clear" w:color="auto" w:fill="auto"/>
            <w:noWrap/>
            <w:vAlign w:val="center"/>
          </w:tcPr>
          <w:p w14:paraId="4E400E7C" w14:textId="5F022CA7" w:rsidR="007D2696" w:rsidRPr="00164551" w:rsidRDefault="007D2696" w:rsidP="00D10D53">
            <w:pPr>
              <w:spacing w:before="0" w:after="0"/>
              <w:jc w:val="center"/>
              <w:rPr>
                <w:rFonts w:ascii="Arial" w:hAnsi="Arial" w:cs="Arial"/>
                <w:b/>
                <w:color w:val="000000"/>
                <w:sz w:val="16"/>
                <w:szCs w:val="16"/>
                <w:lang w:val="en-AU" w:eastAsia="en-AU"/>
              </w:rPr>
            </w:pPr>
            <w:r w:rsidRPr="00164551">
              <w:rPr>
                <w:rFonts w:ascii="Arial" w:hAnsi="Arial" w:cs="Arial"/>
                <w:b/>
                <w:color w:val="000000"/>
                <w:sz w:val="16"/>
                <w:szCs w:val="16"/>
              </w:rPr>
              <w:t>98%</w:t>
            </w:r>
          </w:p>
        </w:tc>
        <w:tc>
          <w:tcPr>
            <w:tcW w:w="1103" w:type="dxa"/>
            <w:tcBorders>
              <w:top w:val="nil"/>
              <w:left w:val="nil"/>
              <w:bottom w:val="double" w:sz="6" w:space="0" w:color="auto"/>
              <w:right w:val="single" w:sz="4" w:space="0" w:color="auto"/>
            </w:tcBorders>
            <w:shd w:val="clear" w:color="auto" w:fill="auto"/>
            <w:noWrap/>
            <w:vAlign w:val="center"/>
          </w:tcPr>
          <w:p w14:paraId="0A7885A4" w14:textId="77777777" w:rsidR="007D2696" w:rsidRPr="00164551" w:rsidRDefault="007D2696" w:rsidP="00D10D53">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91%</w:t>
            </w:r>
          </w:p>
        </w:tc>
        <w:tc>
          <w:tcPr>
            <w:tcW w:w="1180" w:type="dxa"/>
            <w:tcBorders>
              <w:top w:val="nil"/>
              <w:left w:val="nil"/>
              <w:bottom w:val="double" w:sz="6" w:space="0" w:color="auto"/>
              <w:right w:val="single" w:sz="4" w:space="0" w:color="BFBFBF"/>
            </w:tcBorders>
            <w:shd w:val="clear" w:color="auto" w:fill="auto"/>
            <w:noWrap/>
            <w:vAlign w:val="center"/>
          </w:tcPr>
          <w:p w14:paraId="4CAB88D8" w14:textId="2C1336CB" w:rsidR="007D2696" w:rsidRPr="00164551" w:rsidRDefault="007D2696" w:rsidP="00D10D53">
            <w:pPr>
              <w:spacing w:before="0" w:after="0"/>
              <w:jc w:val="center"/>
              <w:rPr>
                <w:rFonts w:ascii="Arial" w:hAnsi="Arial" w:cs="Arial"/>
                <w:b/>
                <w:color w:val="000000"/>
                <w:sz w:val="16"/>
                <w:szCs w:val="16"/>
                <w:lang w:val="en-AU" w:eastAsia="en-AU"/>
              </w:rPr>
            </w:pPr>
            <w:r w:rsidRPr="00164551">
              <w:rPr>
                <w:rFonts w:ascii="Arial" w:hAnsi="Arial" w:cs="Arial"/>
                <w:b/>
                <w:color w:val="000000"/>
                <w:sz w:val="16"/>
                <w:szCs w:val="16"/>
                <w:lang w:val="en-AU" w:eastAsia="en-AU"/>
              </w:rPr>
              <w:t>7%</w:t>
            </w:r>
          </w:p>
        </w:tc>
        <w:tc>
          <w:tcPr>
            <w:tcW w:w="1180" w:type="dxa"/>
            <w:tcBorders>
              <w:top w:val="nil"/>
              <w:left w:val="nil"/>
              <w:bottom w:val="double" w:sz="6" w:space="0" w:color="auto"/>
              <w:right w:val="double" w:sz="6" w:space="0" w:color="auto"/>
            </w:tcBorders>
            <w:shd w:val="clear" w:color="auto" w:fill="auto"/>
            <w:noWrap/>
            <w:vAlign w:val="center"/>
          </w:tcPr>
          <w:p w14:paraId="6BAD9D02" w14:textId="77777777" w:rsidR="007D2696" w:rsidRPr="00164551" w:rsidRDefault="007D2696" w:rsidP="00D10D53">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16%</w:t>
            </w:r>
          </w:p>
        </w:tc>
      </w:tr>
    </w:tbl>
    <w:p w14:paraId="6D89A08F" w14:textId="7D6DB00D" w:rsidR="002A4B33" w:rsidRPr="0015381B" w:rsidRDefault="002A4B33" w:rsidP="002A4B33">
      <w:pPr>
        <w:ind w:left="2160"/>
        <w:rPr>
          <w:sz w:val="20"/>
        </w:rPr>
      </w:pPr>
      <w:r w:rsidRPr="0015381B">
        <w:rPr>
          <w:sz w:val="20"/>
        </w:rPr>
        <w:t xml:space="preserve">Notes: </w:t>
      </w:r>
    </w:p>
    <w:p w14:paraId="53E17354" w14:textId="23D9D124" w:rsidR="002A4B33" w:rsidRPr="0015381B" w:rsidRDefault="002A4B33" w:rsidP="002A4B33">
      <w:pPr>
        <w:ind w:left="2160"/>
        <w:rPr>
          <w:sz w:val="20"/>
        </w:rPr>
      </w:pPr>
      <w:r w:rsidRPr="0015381B">
        <w:rPr>
          <w:sz w:val="20"/>
        </w:rPr>
        <w:t>The percentages for “Paid in Full”</w:t>
      </w:r>
      <w:r>
        <w:rPr>
          <w:sz w:val="20"/>
        </w:rPr>
        <w:t xml:space="preserve"> and</w:t>
      </w:r>
      <w:r w:rsidRPr="0015381B">
        <w:rPr>
          <w:sz w:val="20"/>
        </w:rPr>
        <w:t xml:space="preserve"> for “By Compulsory Instalment” in the table above </w:t>
      </w:r>
      <w:r>
        <w:rPr>
          <w:sz w:val="20"/>
        </w:rPr>
        <w:t xml:space="preserve">for 2014 </w:t>
      </w:r>
      <w:r w:rsidRPr="0015381B">
        <w:rPr>
          <w:sz w:val="20"/>
        </w:rPr>
        <w:t xml:space="preserve">are based to </w:t>
      </w:r>
      <w:r>
        <w:rPr>
          <w:sz w:val="20"/>
        </w:rPr>
        <w:t>households paying water bills</w:t>
      </w:r>
      <w:r w:rsidRPr="0015381B">
        <w:rPr>
          <w:sz w:val="20"/>
        </w:rPr>
        <w:t xml:space="preserve"> where suppliers provided this information (n=1,</w:t>
      </w:r>
      <w:r>
        <w:rPr>
          <w:sz w:val="20"/>
        </w:rPr>
        <w:t>228 and n=1,231 respectively)</w:t>
      </w:r>
      <w:r w:rsidRPr="0015381B">
        <w:rPr>
          <w:sz w:val="20"/>
        </w:rPr>
        <w:t xml:space="preserve">. </w:t>
      </w:r>
    </w:p>
    <w:p w14:paraId="0B122E38" w14:textId="77777777" w:rsidR="002A4B33" w:rsidRDefault="002A4B33" w:rsidP="002A4B33">
      <w:pPr>
        <w:ind w:left="2160"/>
        <w:rPr>
          <w:sz w:val="20"/>
        </w:rPr>
      </w:pPr>
      <w:r w:rsidRPr="0015381B">
        <w:rPr>
          <w:sz w:val="20"/>
        </w:rPr>
        <w:t>Please note, there is no expectation that the two items in the table should add to 100%</w:t>
      </w:r>
      <w:r>
        <w:rPr>
          <w:sz w:val="20"/>
        </w:rPr>
        <w:t xml:space="preserve"> as</w:t>
      </w:r>
      <w:r w:rsidRPr="0015381B">
        <w:rPr>
          <w:sz w:val="20"/>
        </w:rPr>
        <w:t xml:space="preserve"> household</w:t>
      </w:r>
      <w:r>
        <w:rPr>
          <w:sz w:val="20"/>
        </w:rPr>
        <w:t>s</w:t>
      </w:r>
      <w:r w:rsidRPr="0015381B">
        <w:rPr>
          <w:sz w:val="20"/>
        </w:rPr>
        <w:t xml:space="preserve"> can appear in both columns. </w:t>
      </w:r>
    </w:p>
    <w:p w14:paraId="5383BF82" w14:textId="77777777" w:rsidR="002A4B33" w:rsidRPr="0015381B" w:rsidRDefault="002A4B33" w:rsidP="002A4B33">
      <w:pPr>
        <w:ind w:left="2160"/>
        <w:rPr>
          <w:sz w:val="20"/>
        </w:rPr>
      </w:pPr>
      <w:r>
        <w:rPr>
          <w:sz w:val="20"/>
        </w:rPr>
        <w:t>Please also note that the “Instalment” data provided by suppliers in 2007 was in response to a slightly different data request. The 2007 “Instalment” data is therefore not directly comparable with 2014.</w:t>
      </w:r>
    </w:p>
    <w:p w14:paraId="18C58B9C" w14:textId="77777777" w:rsidR="002A4B33" w:rsidRPr="007D2696" w:rsidRDefault="002A4B33" w:rsidP="009748AD">
      <w:pPr>
        <w:spacing w:before="120" w:after="0" w:line="220" w:lineRule="exact"/>
        <w:ind w:left="3261"/>
        <w:jc w:val="both"/>
        <w:rPr>
          <w:lang w:val="en-AU"/>
        </w:rPr>
      </w:pPr>
    </w:p>
    <w:p w14:paraId="36DEA79C" w14:textId="77777777" w:rsidR="00A26249" w:rsidRPr="003835AE" w:rsidRDefault="00A26249" w:rsidP="00D109F7">
      <w:pPr>
        <w:spacing w:before="0" w:after="0" w:line="340" w:lineRule="exact"/>
        <w:jc w:val="both"/>
        <w:rPr>
          <w:highlight w:val="yellow"/>
          <w:lang w:val="en-AU"/>
        </w:rPr>
      </w:pPr>
    </w:p>
    <w:p w14:paraId="16D0EC8F" w14:textId="77777777" w:rsidR="00D109F7" w:rsidRPr="006E36B5" w:rsidRDefault="00D242F5" w:rsidP="00D109F7">
      <w:pPr>
        <w:spacing w:before="0" w:after="0" w:line="340" w:lineRule="exact"/>
        <w:jc w:val="both"/>
        <w:rPr>
          <w:lang w:val="en-AU"/>
        </w:rPr>
      </w:pPr>
      <w:r w:rsidRPr="006E36B5">
        <w:rPr>
          <w:lang w:val="en-AU"/>
        </w:rPr>
        <w:t xml:space="preserve">Three </w:t>
      </w:r>
      <w:r w:rsidR="00D109F7" w:rsidRPr="006E36B5">
        <w:rPr>
          <w:lang w:val="en-AU"/>
        </w:rPr>
        <w:t xml:space="preserve">respondents were recorded as being on </w:t>
      </w:r>
      <w:r w:rsidR="00410A79" w:rsidRPr="006E36B5">
        <w:rPr>
          <w:lang w:val="en-AU"/>
        </w:rPr>
        <w:t>a</w:t>
      </w:r>
      <w:r w:rsidR="00D109F7" w:rsidRPr="006E36B5">
        <w:rPr>
          <w:lang w:val="en-AU"/>
        </w:rPr>
        <w:t xml:space="preserve"> </w:t>
      </w:r>
      <w:r w:rsidR="00410A79" w:rsidRPr="006E36B5">
        <w:rPr>
          <w:lang w:val="en-AU"/>
        </w:rPr>
        <w:t>h</w:t>
      </w:r>
      <w:r w:rsidR="00D109F7" w:rsidRPr="006E36B5">
        <w:rPr>
          <w:lang w:val="en-AU"/>
        </w:rPr>
        <w:t xml:space="preserve">ardship </w:t>
      </w:r>
      <w:r w:rsidR="00410A79" w:rsidRPr="006E36B5">
        <w:rPr>
          <w:lang w:val="en-AU"/>
        </w:rPr>
        <w:t>p</w:t>
      </w:r>
      <w:r w:rsidR="00D109F7" w:rsidRPr="006E36B5">
        <w:rPr>
          <w:lang w:val="en-AU"/>
        </w:rPr>
        <w:t>rogramme for water bill payment (representing</w:t>
      </w:r>
      <w:r w:rsidR="00AB2672" w:rsidRPr="006E36B5">
        <w:rPr>
          <w:lang w:val="en-AU"/>
        </w:rPr>
        <w:t xml:space="preserve"> approximately 0.15% of </w:t>
      </w:r>
      <w:r w:rsidR="00D109F7" w:rsidRPr="006E36B5">
        <w:rPr>
          <w:lang w:val="en-AU"/>
        </w:rPr>
        <w:t xml:space="preserve">Victorian households), of which </w:t>
      </w:r>
      <w:r w:rsidRPr="006E36B5">
        <w:rPr>
          <w:lang w:val="en-AU"/>
        </w:rPr>
        <w:t xml:space="preserve">two </w:t>
      </w:r>
      <w:r w:rsidR="00D109F7" w:rsidRPr="006E36B5">
        <w:rPr>
          <w:lang w:val="en-AU"/>
        </w:rPr>
        <w:t xml:space="preserve">were from </w:t>
      </w:r>
      <w:r w:rsidR="0055008C" w:rsidRPr="006E36B5">
        <w:rPr>
          <w:lang w:val="en-AU"/>
        </w:rPr>
        <w:t>other concession</w:t>
      </w:r>
      <w:r w:rsidR="00D109F7" w:rsidRPr="006E36B5">
        <w:rPr>
          <w:lang w:val="en-AU"/>
        </w:rPr>
        <w:t xml:space="preserve"> households</w:t>
      </w:r>
      <w:r w:rsidR="00EE4C05" w:rsidRPr="006E36B5">
        <w:rPr>
          <w:lang w:val="en-AU"/>
        </w:rPr>
        <w:t>, and the third had fully paid off their home</w:t>
      </w:r>
      <w:r w:rsidR="00D109F7" w:rsidRPr="006E36B5">
        <w:rPr>
          <w:lang w:val="en-AU"/>
        </w:rPr>
        <w:t>.</w:t>
      </w:r>
    </w:p>
    <w:p w14:paraId="680FD81A" w14:textId="77777777" w:rsidR="00D109F7" w:rsidRPr="003835AE" w:rsidRDefault="00D109F7" w:rsidP="00F60232">
      <w:pPr>
        <w:spacing w:before="0" w:after="0" w:line="280" w:lineRule="exact"/>
        <w:jc w:val="both"/>
        <w:rPr>
          <w:highlight w:val="yellow"/>
          <w:lang w:val="en-AU"/>
        </w:rPr>
      </w:pPr>
    </w:p>
    <w:p w14:paraId="42E25974" w14:textId="6B604973" w:rsidR="0010041A" w:rsidRPr="002611D4" w:rsidRDefault="00D109F7" w:rsidP="00D109F7">
      <w:pPr>
        <w:spacing w:before="0" w:after="0" w:line="340" w:lineRule="exact"/>
        <w:jc w:val="both"/>
        <w:rPr>
          <w:lang w:val="en-AU"/>
        </w:rPr>
      </w:pPr>
      <w:r w:rsidRPr="002611D4">
        <w:rPr>
          <w:lang w:val="en-AU"/>
        </w:rPr>
        <w:t xml:space="preserve">Table </w:t>
      </w:r>
      <w:r w:rsidR="001A2002" w:rsidRPr="002611D4">
        <w:rPr>
          <w:lang w:val="en-AU"/>
        </w:rPr>
        <w:t>5</w:t>
      </w:r>
      <w:r w:rsidRPr="002611D4">
        <w:rPr>
          <w:lang w:val="en-AU"/>
        </w:rPr>
        <w:t>.2.1.</w:t>
      </w:r>
      <w:r w:rsidR="00865284">
        <w:rPr>
          <w:lang w:val="en-AU"/>
        </w:rPr>
        <w:t>3</w:t>
      </w:r>
      <w:r w:rsidR="00865284" w:rsidRPr="002611D4">
        <w:rPr>
          <w:lang w:val="en-AU"/>
        </w:rPr>
        <w:t xml:space="preserve"> </w:t>
      </w:r>
      <w:r w:rsidR="00CC4909" w:rsidRPr="002611D4">
        <w:rPr>
          <w:lang w:val="en-AU"/>
        </w:rPr>
        <w:t>overleaf</w:t>
      </w:r>
      <w:r w:rsidRPr="002611D4">
        <w:rPr>
          <w:lang w:val="en-AU"/>
        </w:rPr>
        <w:t xml:space="preserve"> provides details of average water consumption amongst households over the past </w:t>
      </w:r>
      <w:r w:rsidR="003152E2" w:rsidRPr="002611D4">
        <w:rPr>
          <w:lang w:val="en-AU"/>
        </w:rPr>
        <w:t>four</w:t>
      </w:r>
      <w:r w:rsidRPr="002611D4">
        <w:rPr>
          <w:lang w:val="en-AU"/>
        </w:rPr>
        <w:t xml:space="preserve"> surveys. </w:t>
      </w:r>
      <w:r w:rsidRPr="002611D4">
        <w:rPr>
          <w:b/>
          <w:lang w:val="en-AU"/>
        </w:rPr>
        <w:t xml:space="preserve"> </w:t>
      </w:r>
      <w:r w:rsidRPr="002611D4">
        <w:rPr>
          <w:lang w:val="en-AU"/>
        </w:rPr>
        <w:t>Average annual water consumption has fallen by 2</w:t>
      </w:r>
      <w:r w:rsidR="00E21B8B" w:rsidRPr="002611D4">
        <w:rPr>
          <w:lang w:val="en-AU"/>
        </w:rPr>
        <w:t>5</w:t>
      </w:r>
      <w:r w:rsidRPr="002611D4">
        <w:rPr>
          <w:lang w:val="en-AU"/>
        </w:rPr>
        <w:t>% since 200</w:t>
      </w:r>
      <w:r w:rsidR="00E21B8B" w:rsidRPr="002611D4">
        <w:rPr>
          <w:lang w:val="en-AU"/>
        </w:rPr>
        <w:t>7</w:t>
      </w:r>
      <w:r w:rsidRPr="002611D4">
        <w:rPr>
          <w:lang w:val="en-AU"/>
        </w:rPr>
        <w:t>, from 2</w:t>
      </w:r>
      <w:r w:rsidR="00E21B8B" w:rsidRPr="002611D4">
        <w:rPr>
          <w:lang w:val="en-AU"/>
        </w:rPr>
        <w:t>16</w:t>
      </w:r>
      <w:r w:rsidRPr="002611D4">
        <w:rPr>
          <w:lang w:val="en-AU"/>
        </w:rPr>
        <w:t xml:space="preserve"> </w:t>
      </w:r>
      <w:r w:rsidR="00AC56B5">
        <w:rPr>
          <w:lang w:val="en-AU"/>
        </w:rPr>
        <w:t>kilolitre</w:t>
      </w:r>
      <w:r w:rsidRPr="002611D4">
        <w:rPr>
          <w:lang w:val="en-AU"/>
        </w:rPr>
        <w:t xml:space="preserve">s to </w:t>
      </w:r>
      <w:r w:rsidR="00E21B8B" w:rsidRPr="002611D4">
        <w:rPr>
          <w:lang w:val="en-AU"/>
        </w:rPr>
        <w:t>162</w:t>
      </w:r>
      <w:r w:rsidRPr="002611D4">
        <w:rPr>
          <w:lang w:val="en-AU"/>
        </w:rPr>
        <w:t xml:space="preserve"> </w:t>
      </w:r>
      <w:r w:rsidR="00AC56B5">
        <w:rPr>
          <w:lang w:val="en-AU"/>
        </w:rPr>
        <w:t>kilolitre</w:t>
      </w:r>
      <w:r w:rsidRPr="002611D4">
        <w:rPr>
          <w:lang w:val="en-AU"/>
        </w:rPr>
        <w:t>s in 20</w:t>
      </w:r>
      <w:r w:rsidR="00E21B8B" w:rsidRPr="002611D4">
        <w:rPr>
          <w:lang w:val="en-AU"/>
        </w:rPr>
        <w:t>14</w:t>
      </w:r>
      <w:r w:rsidRPr="002611D4">
        <w:rPr>
          <w:lang w:val="en-AU"/>
        </w:rPr>
        <w:t>.</w:t>
      </w:r>
      <w:r w:rsidR="00E21B8B" w:rsidRPr="002611D4">
        <w:rPr>
          <w:lang w:val="en-AU"/>
        </w:rPr>
        <w:t xml:space="preserve"> This follows the 22% reduction between the 2007 and 2001 surveys. </w:t>
      </w:r>
      <w:r w:rsidRPr="002611D4">
        <w:rPr>
          <w:lang w:val="en-AU"/>
        </w:rPr>
        <w:t xml:space="preserve">  </w:t>
      </w:r>
    </w:p>
    <w:p w14:paraId="5B9A092F" w14:textId="77777777" w:rsidR="00A32FA3" w:rsidRDefault="00A32FA3">
      <w:pPr>
        <w:spacing w:before="0" w:after="0"/>
        <w:rPr>
          <w:lang w:val="en-AU"/>
        </w:rPr>
      </w:pPr>
      <w:r>
        <w:rPr>
          <w:lang w:val="en-AU"/>
        </w:rPr>
        <w:br w:type="page"/>
      </w:r>
    </w:p>
    <w:p w14:paraId="76267854" w14:textId="4A3813EB" w:rsidR="00311E59" w:rsidRDefault="00D109F7" w:rsidP="00311E59">
      <w:pPr>
        <w:pStyle w:val="Para"/>
        <w:rPr>
          <w:lang w:val="en-AU"/>
        </w:rPr>
      </w:pPr>
      <w:r w:rsidRPr="002611D4">
        <w:rPr>
          <w:lang w:val="en-AU"/>
        </w:rPr>
        <w:lastRenderedPageBreak/>
        <w:t>A</w:t>
      </w:r>
      <w:r w:rsidR="00CC47B2" w:rsidRPr="002611D4">
        <w:rPr>
          <w:lang w:val="en-AU"/>
        </w:rPr>
        <w:t>ged concession</w:t>
      </w:r>
      <w:r w:rsidRPr="002611D4">
        <w:rPr>
          <w:lang w:val="en-AU"/>
        </w:rPr>
        <w:t xml:space="preserve"> households had the lowest average water consumption rates of all </w:t>
      </w:r>
      <w:r w:rsidR="00E21B8B" w:rsidRPr="002611D4">
        <w:rPr>
          <w:lang w:val="en-AU"/>
        </w:rPr>
        <w:t xml:space="preserve">sample </w:t>
      </w:r>
      <w:r w:rsidRPr="002611D4">
        <w:rPr>
          <w:lang w:val="en-AU"/>
        </w:rPr>
        <w:t>types (1</w:t>
      </w:r>
      <w:r w:rsidR="00E21B8B" w:rsidRPr="002611D4">
        <w:rPr>
          <w:lang w:val="en-AU"/>
        </w:rPr>
        <w:t>3</w:t>
      </w:r>
      <w:r w:rsidR="002611D4" w:rsidRPr="002611D4">
        <w:rPr>
          <w:lang w:val="en-AU"/>
        </w:rPr>
        <w:t>8</w:t>
      </w:r>
      <w:r w:rsidRPr="002611D4">
        <w:rPr>
          <w:lang w:val="en-AU"/>
        </w:rPr>
        <w:t xml:space="preserve"> </w:t>
      </w:r>
      <w:r w:rsidR="00DD19AA">
        <w:rPr>
          <w:lang w:val="en-AU"/>
        </w:rPr>
        <w:t>kL</w:t>
      </w:r>
      <w:r w:rsidRPr="002611D4">
        <w:rPr>
          <w:lang w:val="en-AU"/>
        </w:rPr>
        <w:t xml:space="preserve">), but the percentage fall in consumption </w:t>
      </w:r>
      <w:r w:rsidR="00E21B8B" w:rsidRPr="002611D4">
        <w:rPr>
          <w:lang w:val="en-AU"/>
        </w:rPr>
        <w:t>between 2007 and 2014</w:t>
      </w:r>
      <w:r w:rsidRPr="002611D4">
        <w:rPr>
          <w:lang w:val="en-AU"/>
        </w:rPr>
        <w:t xml:space="preserve"> (-2</w:t>
      </w:r>
      <w:r w:rsidR="00E21B8B" w:rsidRPr="002611D4">
        <w:rPr>
          <w:lang w:val="en-AU"/>
        </w:rPr>
        <w:t>4</w:t>
      </w:r>
      <w:r w:rsidRPr="002611D4">
        <w:rPr>
          <w:lang w:val="en-AU"/>
        </w:rPr>
        <w:t xml:space="preserve">%) is similar to both </w:t>
      </w:r>
      <w:r w:rsidR="0055008C" w:rsidRPr="002611D4">
        <w:rPr>
          <w:lang w:val="en-AU"/>
        </w:rPr>
        <w:t>other concession</w:t>
      </w:r>
      <w:r w:rsidRPr="002611D4">
        <w:rPr>
          <w:lang w:val="en-AU"/>
        </w:rPr>
        <w:t xml:space="preserve"> households (-2</w:t>
      </w:r>
      <w:r w:rsidR="00E21B8B" w:rsidRPr="002611D4">
        <w:rPr>
          <w:lang w:val="en-AU"/>
        </w:rPr>
        <w:t>8%</w:t>
      </w:r>
      <w:r w:rsidRPr="002611D4">
        <w:rPr>
          <w:lang w:val="en-AU"/>
        </w:rPr>
        <w:t>) and non-concession households (-2</w:t>
      </w:r>
      <w:r w:rsidR="00E21B8B" w:rsidRPr="002611D4">
        <w:rPr>
          <w:lang w:val="en-AU"/>
        </w:rPr>
        <w:t>3</w:t>
      </w:r>
      <w:r w:rsidRPr="002611D4">
        <w:rPr>
          <w:lang w:val="en-AU"/>
        </w:rPr>
        <w:t>%) over th</w:t>
      </w:r>
      <w:r w:rsidR="00E21B8B" w:rsidRPr="002611D4">
        <w:rPr>
          <w:lang w:val="en-AU"/>
        </w:rPr>
        <w:t>e same period</w:t>
      </w:r>
      <w:r w:rsidRPr="002611D4">
        <w:rPr>
          <w:lang w:val="en-AU"/>
        </w:rPr>
        <w:t>.</w:t>
      </w:r>
      <w:r w:rsidR="00A3398A" w:rsidRPr="002611D4">
        <w:rPr>
          <w:lang w:val="en-AU"/>
        </w:rPr>
        <w:t xml:space="preserve">    </w:t>
      </w:r>
      <w:r w:rsidR="00311E59">
        <w:rPr>
          <w:lang w:val="en-AU"/>
        </w:rPr>
        <w:t>Table 5.2.1.2 below shows average annual water consumption (</w:t>
      </w:r>
      <w:r w:rsidR="00DD19AA">
        <w:rPr>
          <w:lang w:val="en-AU"/>
        </w:rPr>
        <w:t>kL</w:t>
      </w:r>
      <w:r w:rsidR="00311E59">
        <w:rPr>
          <w:lang w:val="en-AU"/>
        </w:rPr>
        <w:t>) by concession status and household size, and indicates that average water usage increased with household size, regardless of concession status.  The difference in water consumption, on average, between single person households and households with four or more persons was however greater among non-concession households (172%) than among aged concession households (110%) or other concession households (102%).</w:t>
      </w:r>
    </w:p>
    <w:p w14:paraId="3CE3347D" w14:textId="77777777" w:rsidR="00311E59" w:rsidRDefault="00311E59" w:rsidP="00311E59">
      <w:pPr>
        <w:pStyle w:val="Para"/>
        <w:rPr>
          <w:lang w:val="en-AU"/>
        </w:rPr>
      </w:pPr>
    </w:p>
    <w:p w14:paraId="73617C18" w14:textId="4A608D49" w:rsidR="00311E59" w:rsidRDefault="00311E59" w:rsidP="00162EF6">
      <w:pPr>
        <w:pStyle w:val="Para"/>
        <w:jc w:val="center"/>
        <w:rPr>
          <w:b/>
          <w:szCs w:val="24"/>
          <w:lang w:val="en-AU"/>
        </w:rPr>
      </w:pPr>
      <w:r w:rsidRPr="00DA7FBB">
        <w:rPr>
          <w:b/>
          <w:szCs w:val="24"/>
          <w:lang w:val="en-AU"/>
        </w:rPr>
        <w:t xml:space="preserve">Table </w:t>
      </w:r>
      <w:r>
        <w:rPr>
          <w:b/>
          <w:szCs w:val="24"/>
          <w:lang w:val="en-AU"/>
        </w:rPr>
        <w:t>5.2.1.2</w:t>
      </w:r>
      <w:r w:rsidRPr="00DA7FBB">
        <w:rPr>
          <w:b/>
          <w:szCs w:val="24"/>
          <w:lang w:val="en-AU"/>
        </w:rPr>
        <w:t xml:space="preserve">: Average annual </w:t>
      </w:r>
      <w:r w:rsidR="00DD19AA">
        <w:rPr>
          <w:b/>
          <w:szCs w:val="24"/>
          <w:lang w:val="en-AU"/>
        </w:rPr>
        <w:t>water</w:t>
      </w:r>
      <w:r w:rsidR="00DD19AA" w:rsidRPr="00DA7FBB">
        <w:rPr>
          <w:b/>
          <w:szCs w:val="24"/>
          <w:lang w:val="en-AU"/>
        </w:rPr>
        <w:t xml:space="preserve"> </w:t>
      </w:r>
      <w:r w:rsidRPr="00DA7FBB">
        <w:rPr>
          <w:b/>
          <w:szCs w:val="24"/>
          <w:lang w:val="en-AU"/>
        </w:rPr>
        <w:t>consumption (</w:t>
      </w:r>
      <w:r w:rsidR="00DD19AA">
        <w:rPr>
          <w:b/>
          <w:szCs w:val="24"/>
          <w:lang w:val="en-AU"/>
        </w:rPr>
        <w:t>kL</w:t>
      </w:r>
      <w:r w:rsidRPr="00DA7FBB">
        <w:rPr>
          <w:b/>
          <w:szCs w:val="24"/>
          <w:lang w:val="en-AU"/>
        </w:rPr>
        <w:t>) by concession status and household size</w:t>
      </w:r>
    </w:p>
    <w:p w14:paraId="7DE29901" w14:textId="77777777" w:rsidR="00311E59" w:rsidRDefault="00311E59" w:rsidP="00311E59">
      <w:pPr>
        <w:pStyle w:val="Para"/>
        <w:rPr>
          <w:lang w:val="en-AU"/>
        </w:rPr>
      </w:pPr>
    </w:p>
    <w:tbl>
      <w:tblPr>
        <w:tblW w:w="9400" w:type="dxa"/>
        <w:jc w:val="center"/>
        <w:tblLook w:val="04A0" w:firstRow="1" w:lastRow="0" w:firstColumn="1" w:lastColumn="0" w:noHBand="0" w:noVBand="1"/>
      </w:tblPr>
      <w:tblGrid>
        <w:gridCol w:w="2340"/>
        <w:gridCol w:w="1300"/>
        <w:gridCol w:w="1440"/>
        <w:gridCol w:w="1500"/>
        <w:gridCol w:w="1500"/>
        <w:gridCol w:w="1320"/>
      </w:tblGrid>
      <w:tr w:rsidR="00311E59" w:rsidRPr="00B16FCD" w14:paraId="4E93E3EA" w14:textId="77777777" w:rsidTr="00162EF6">
        <w:trPr>
          <w:trHeight w:val="315"/>
          <w:jc w:val="center"/>
        </w:trPr>
        <w:tc>
          <w:tcPr>
            <w:tcW w:w="2340" w:type="dxa"/>
            <w:tcBorders>
              <w:top w:val="double" w:sz="4" w:space="0" w:color="auto"/>
              <w:left w:val="double" w:sz="4" w:space="0" w:color="auto"/>
              <w:bottom w:val="single" w:sz="8" w:space="0" w:color="auto"/>
              <w:right w:val="single" w:sz="8" w:space="0" w:color="auto"/>
            </w:tcBorders>
            <w:shd w:val="clear" w:color="auto" w:fill="auto"/>
            <w:noWrap/>
            <w:vAlign w:val="center"/>
            <w:hideMark/>
          </w:tcPr>
          <w:p w14:paraId="7914B7F7" w14:textId="77777777" w:rsidR="00311E59" w:rsidRPr="00162EF6" w:rsidRDefault="00311E59" w:rsidP="00311E59">
            <w:pPr>
              <w:rPr>
                <w:rFonts w:ascii="Arial" w:hAnsi="Arial" w:cs="Arial"/>
                <w:color w:val="000000"/>
                <w:sz w:val="16"/>
                <w:szCs w:val="16"/>
              </w:rPr>
            </w:pPr>
            <w:r w:rsidRPr="00162EF6">
              <w:rPr>
                <w:rFonts w:ascii="Arial" w:hAnsi="Arial" w:cs="Arial"/>
                <w:color w:val="000000"/>
                <w:sz w:val="16"/>
                <w:szCs w:val="16"/>
              </w:rPr>
              <w:t> </w:t>
            </w:r>
          </w:p>
        </w:tc>
        <w:tc>
          <w:tcPr>
            <w:tcW w:w="7060" w:type="dxa"/>
            <w:gridSpan w:val="5"/>
            <w:tcBorders>
              <w:top w:val="double" w:sz="4" w:space="0" w:color="auto"/>
              <w:left w:val="nil"/>
              <w:bottom w:val="single" w:sz="8" w:space="0" w:color="auto"/>
              <w:right w:val="double" w:sz="4" w:space="0" w:color="auto"/>
            </w:tcBorders>
            <w:shd w:val="clear" w:color="auto" w:fill="auto"/>
            <w:noWrap/>
            <w:vAlign w:val="center"/>
            <w:hideMark/>
          </w:tcPr>
          <w:p w14:paraId="2AE281A2" w14:textId="77777777" w:rsidR="00311E59" w:rsidRPr="00162EF6" w:rsidRDefault="00311E59" w:rsidP="00311E59">
            <w:pPr>
              <w:jc w:val="center"/>
              <w:rPr>
                <w:rFonts w:ascii="Arial" w:hAnsi="Arial" w:cs="Arial"/>
                <w:b/>
                <w:bCs/>
                <w:color w:val="000000"/>
                <w:sz w:val="16"/>
                <w:szCs w:val="16"/>
              </w:rPr>
            </w:pPr>
            <w:r w:rsidRPr="00162EF6">
              <w:rPr>
                <w:rFonts w:ascii="Arial" w:hAnsi="Arial" w:cs="Arial"/>
                <w:b/>
                <w:bCs/>
                <w:color w:val="000000"/>
                <w:sz w:val="16"/>
                <w:szCs w:val="16"/>
              </w:rPr>
              <w:t>Household size</w:t>
            </w:r>
          </w:p>
        </w:tc>
      </w:tr>
      <w:tr w:rsidR="00311E59" w:rsidRPr="00B16FCD" w14:paraId="3A13A845" w14:textId="77777777" w:rsidTr="00162EF6">
        <w:trPr>
          <w:trHeight w:val="315"/>
          <w:jc w:val="center"/>
        </w:trPr>
        <w:tc>
          <w:tcPr>
            <w:tcW w:w="2340" w:type="dxa"/>
            <w:tcBorders>
              <w:top w:val="nil"/>
              <w:left w:val="double" w:sz="4" w:space="0" w:color="auto"/>
              <w:bottom w:val="single" w:sz="8" w:space="0" w:color="auto"/>
              <w:right w:val="single" w:sz="8" w:space="0" w:color="auto"/>
            </w:tcBorders>
            <w:shd w:val="clear" w:color="auto" w:fill="auto"/>
            <w:noWrap/>
            <w:vAlign w:val="center"/>
            <w:hideMark/>
          </w:tcPr>
          <w:p w14:paraId="1A9B6D77" w14:textId="77777777" w:rsidR="00311E59" w:rsidRPr="00162EF6" w:rsidRDefault="00311E59" w:rsidP="00311E59">
            <w:pPr>
              <w:rPr>
                <w:rFonts w:ascii="Arial" w:hAnsi="Arial" w:cs="Arial"/>
                <w:b/>
                <w:bCs/>
                <w:color w:val="000000"/>
                <w:sz w:val="16"/>
                <w:szCs w:val="16"/>
              </w:rPr>
            </w:pPr>
            <w:r w:rsidRPr="00162EF6">
              <w:rPr>
                <w:rFonts w:ascii="Arial" w:hAnsi="Arial" w:cs="Arial"/>
                <w:b/>
                <w:bCs/>
                <w:color w:val="000000"/>
                <w:sz w:val="16"/>
                <w:szCs w:val="16"/>
              </w:rPr>
              <w:t>Concession Status</w:t>
            </w:r>
          </w:p>
        </w:tc>
        <w:tc>
          <w:tcPr>
            <w:tcW w:w="1300" w:type="dxa"/>
            <w:tcBorders>
              <w:top w:val="nil"/>
              <w:left w:val="nil"/>
              <w:bottom w:val="single" w:sz="8" w:space="0" w:color="auto"/>
              <w:right w:val="single" w:sz="8" w:space="0" w:color="auto"/>
            </w:tcBorders>
            <w:shd w:val="clear" w:color="auto" w:fill="auto"/>
            <w:vAlign w:val="center"/>
            <w:hideMark/>
          </w:tcPr>
          <w:p w14:paraId="57C31F75" w14:textId="77777777" w:rsidR="00311E59" w:rsidRPr="00162EF6" w:rsidRDefault="00311E59" w:rsidP="00311E59">
            <w:pPr>
              <w:jc w:val="center"/>
              <w:rPr>
                <w:rFonts w:ascii="Arial" w:hAnsi="Arial" w:cs="Arial"/>
                <w:color w:val="000000"/>
                <w:sz w:val="16"/>
                <w:szCs w:val="16"/>
              </w:rPr>
            </w:pPr>
            <w:r w:rsidRPr="00162EF6">
              <w:rPr>
                <w:rFonts w:ascii="Arial" w:hAnsi="Arial" w:cs="Arial"/>
                <w:color w:val="000000"/>
                <w:sz w:val="16"/>
                <w:szCs w:val="16"/>
              </w:rPr>
              <w:t>1 person HH</w:t>
            </w:r>
          </w:p>
        </w:tc>
        <w:tc>
          <w:tcPr>
            <w:tcW w:w="1440" w:type="dxa"/>
            <w:tcBorders>
              <w:top w:val="nil"/>
              <w:left w:val="nil"/>
              <w:bottom w:val="single" w:sz="8" w:space="0" w:color="auto"/>
              <w:right w:val="single" w:sz="8" w:space="0" w:color="auto"/>
            </w:tcBorders>
            <w:shd w:val="clear" w:color="auto" w:fill="auto"/>
            <w:vAlign w:val="center"/>
            <w:hideMark/>
          </w:tcPr>
          <w:p w14:paraId="739AB24D" w14:textId="77777777" w:rsidR="00311E59" w:rsidRPr="00162EF6" w:rsidRDefault="00311E59" w:rsidP="00311E59">
            <w:pPr>
              <w:jc w:val="center"/>
              <w:rPr>
                <w:rFonts w:ascii="Arial" w:hAnsi="Arial" w:cs="Arial"/>
                <w:color w:val="000000"/>
                <w:sz w:val="16"/>
                <w:szCs w:val="16"/>
              </w:rPr>
            </w:pPr>
            <w:r w:rsidRPr="00162EF6">
              <w:rPr>
                <w:rFonts w:ascii="Arial" w:hAnsi="Arial" w:cs="Arial"/>
                <w:color w:val="000000"/>
                <w:sz w:val="16"/>
                <w:szCs w:val="16"/>
              </w:rPr>
              <w:t>2 person HH</w:t>
            </w:r>
          </w:p>
        </w:tc>
        <w:tc>
          <w:tcPr>
            <w:tcW w:w="1500" w:type="dxa"/>
            <w:tcBorders>
              <w:top w:val="nil"/>
              <w:left w:val="nil"/>
              <w:bottom w:val="single" w:sz="8" w:space="0" w:color="auto"/>
              <w:right w:val="single" w:sz="8" w:space="0" w:color="auto"/>
            </w:tcBorders>
            <w:shd w:val="clear" w:color="auto" w:fill="auto"/>
            <w:vAlign w:val="center"/>
            <w:hideMark/>
          </w:tcPr>
          <w:p w14:paraId="10B73C45" w14:textId="77777777" w:rsidR="00311E59" w:rsidRPr="00162EF6" w:rsidRDefault="00311E59" w:rsidP="00311E59">
            <w:pPr>
              <w:jc w:val="center"/>
              <w:rPr>
                <w:rFonts w:ascii="Arial" w:hAnsi="Arial" w:cs="Arial"/>
                <w:color w:val="000000"/>
                <w:sz w:val="16"/>
                <w:szCs w:val="16"/>
              </w:rPr>
            </w:pPr>
            <w:r w:rsidRPr="00162EF6">
              <w:rPr>
                <w:rFonts w:ascii="Arial" w:hAnsi="Arial" w:cs="Arial"/>
                <w:color w:val="000000"/>
                <w:sz w:val="16"/>
                <w:szCs w:val="16"/>
              </w:rPr>
              <w:t>3 person HH</w:t>
            </w:r>
          </w:p>
        </w:tc>
        <w:tc>
          <w:tcPr>
            <w:tcW w:w="1500" w:type="dxa"/>
            <w:tcBorders>
              <w:top w:val="nil"/>
              <w:left w:val="nil"/>
              <w:bottom w:val="single" w:sz="8" w:space="0" w:color="auto"/>
              <w:right w:val="single" w:sz="8" w:space="0" w:color="auto"/>
            </w:tcBorders>
            <w:shd w:val="clear" w:color="auto" w:fill="auto"/>
            <w:vAlign w:val="center"/>
            <w:hideMark/>
          </w:tcPr>
          <w:p w14:paraId="608FE620" w14:textId="77777777" w:rsidR="00311E59" w:rsidRPr="00162EF6" w:rsidRDefault="00311E59" w:rsidP="00311E59">
            <w:pPr>
              <w:jc w:val="center"/>
              <w:rPr>
                <w:rFonts w:ascii="Arial" w:hAnsi="Arial" w:cs="Arial"/>
                <w:color w:val="000000"/>
                <w:sz w:val="16"/>
                <w:szCs w:val="16"/>
              </w:rPr>
            </w:pPr>
            <w:r w:rsidRPr="00162EF6">
              <w:rPr>
                <w:rFonts w:ascii="Arial" w:hAnsi="Arial" w:cs="Arial"/>
                <w:color w:val="000000"/>
                <w:sz w:val="16"/>
                <w:szCs w:val="16"/>
              </w:rPr>
              <w:t>4+ person HH</w:t>
            </w:r>
          </w:p>
        </w:tc>
        <w:tc>
          <w:tcPr>
            <w:tcW w:w="1320" w:type="dxa"/>
            <w:tcBorders>
              <w:top w:val="nil"/>
              <w:left w:val="nil"/>
              <w:bottom w:val="single" w:sz="8" w:space="0" w:color="auto"/>
              <w:right w:val="double" w:sz="4" w:space="0" w:color="auto"/>
            </w:tcBorders>
            <w:shd w:val="clear" w:color="auto" w:fill="auto"/>
            <w:vAlign w:val="center"/>
            <w:hideMark/>
          </w:tcPr>
          <w:p w14:paraId="0B7C4946" w14:textId="77777777" w:rsidR="00311E59" w:rsidRPr="00162EF6" w:rsidRDefault="00311E59" w:rsidP="00311E59">
            <w:pPr>
              <w:jc w:val="center"/>
              <w:rPr>
                <w:rFonts w:ascii="Arial" w:hAnsi="Arial" w:cs="Arial"/>
                <w:color w:val="000000"/>
                <w:sz w:val="16"/>
                <w:szCs w:val="16"/>
              </w:rPr>
            </w:pPr>
            <w:r w:rsidRPr="00162EF6">
              <w:rPr>
                <w:rFonts w:ascii="Arial" w:hAnsi="Arial" w:cs="Arial"/>
                <w:color w:val="000000"/>
                <w:sz w:val="16"/>
                <w:szCs w:val="16"/>
              </w:rPr>
              <w:t>Total HHs</w:t>
            </w:r>
          </w:p>
        </w:tc>
      </w:tr>
      <w:tr w:rsidR="00A63CB6" w:rsidRPr="00B16FCD" w14:paraId="718BC16E" w14:textId="77777777" w:rsidTr="00162EF6">
        <w:trPr>
          <w:trHeight w:val="315"/>
          <w:jc w:val="center"/>
        </w:trPr>
        <w:tc>
          <w:tcPr>
            <w:tcW w:w="2340" w:type="dxa"/>
            <w:tcBorders>
              <w:top w:val="nil"/>
              <w:left w:val="double" w:sz="4" w:space="0" w:color="auto"/>
              <w:bottom w:val="single" w:sz="8" w:space="0" w:color="auto"/>
              <w:right w:val="single" w:sz="8" w:space="0" w:color="auto"/>
            </w:tcBorders>
            <w:shd w:val="clear" w:color="auto" w:fill="auto"/>
            <w:noWrap/>
            <w:vAlign w:val="center"/>
            <w:hideMark/>
          </w:tcPr>
          <w:p w14:paraId="1F2B2E7E" w14:textId="77777777" w:rsidR="00A63CB6" w:rsidRPr="00162EF6" w:rsidRDefault="00A63CB6" w:rsidP="00311E59">
            <w:pPr>
              <w:rPr>
                <w:rFonts w:ascii="Arial" w:hAnsi="Arial" w:cs="Arial"/>
                <w:color w:val="000000"/>
                <w:sz w:val="16"/>
                <w:szCs w:val="16"/>
              </w:rPr>
            </w:pPr>
            <w:r w:rsidRPr="00162EF6">
              <w:rPr>
                <w:rFonts w:ascii="Arial" w:hAnsi="Arial" w:cs="Arial"/>
                <w:color w:val="000000"/>
                <w:sz w:val="16"/>
                <w:szCs w:val="16"/>
              </w:rPr>
              <w:t>Aged Concession HH</w:t>
            </w:r>
          </w:p>
        </w:tc>
        <w:tc>
          <w:tcPr>
            <w:tcW w:w="1300" w:type="dxa"/>
            <w:tcBorders>
              <w:top w:val="nil"/>
              <w:left w:val="nil"/>
              <w:bottom w:val="single" w:sz="8" w:space="0" w:color="auto"/>
              <w:right w:val="single" w:sz="8" w:space="0" w:color="auto"/>
            </w:tcBorders>
            <w:shd w:val="clear" w:color="auto" w:fill="auto"/>
            <w:noWrap/>
            <w:vAlign w:val="center"/>
            <w:hideMark/>
          </w:tcPr>
          <w:p w14:paraId="56A35FEE"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89</w:t>
            </w:r>
          </w:p>
        </w:tc>
        <w:tc>
          <w:tcPr>
            <w:tcW w:w="1440" w:type="dxa"/>
            <w:tcBorders>
              <w:top w:val="nil"/>
              <w:left w:val="nil"/>
              <w:bottom w:val="single" w:sz="8" w:space="0" w:color="auto"/>
              <w:right w:val="single" w:sz="8" w:space="0" w:color="auto"/>
            </w:tcBorders>
            <w:shd w:val="clear" w:color="auto" w:fill="auto"/>
            <w:noWrap/>
            <w:vAlign w:val="center"/>
            <w:hideMark/>
          </w:tcPr>
          <w:p w14:paraId="54A4043A"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161</w:t>
            </w:r>
          </w:p>
        </w:tc>
        <w:tc>
          <w:tcPr>
            <w:tcW w:w="1500" w:type="dxa"/>
            <w:tcBorders>
              <w:top w:val="nil"/>
              <w:left w:val="nil"/>
              <w:bottom w:val="single" w:sz="8" w:space="0" w:color="auto"/>
              <w:right w:val="single" w:sz="8" w:space="0" w:color="auto"/>
            </w:tcBorders>
            <w:shd w:val="clear" w:color="auto" w:fill="auto"/>
            <w:noWrap/>
            <w:vAlign w:val="center"/>
            <w:hideMark/>
          </w:tcPr>
          <w:p w14:paraId="33430BF3"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191</w:t>
            </w:r>
          </w:p>
        </w:tc>
        <w:tc>
          <w:tcPr>
            <w:tcW w:w="1500" w:type="dxa"/>
            <w:tcBorders>
              <w:top w:val="nil"/>
              <w:left w:val="nil"/>
              <w:bottom w:val="single" w:sz="8" w:space="0" w:color="auto"/>
              <w:right w:val="single" w:sz="8" w:space="0" w:color="auto"/>
            </w:tcBorders>
            <w:shd w:val="clear" w:color="auto" w:fill="auto"/>
            <w:noWrap/>
            <w:vAlign w:val="center"/>
            <w:hideMark/>
          </w:tcPr>
          <w:p w14:paraId="2E2E2BD1"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186</w:t>
            </w:r>
          </w:p>
        </w:tc>
        <w:tc>
          <w:tcPr>
            <w:tcW w:w="1320" w:type="dxa"/>
            <w:tcBorders>
              <w:top w:val="nil"/>
              <w:left w:val="nil"/>
              <w:bottom w:val="single" w:sz="8" w:space="0" w:color="auto"/>
              <w:right w:val="double" w:sz="4" w:space="0" w:color="auto"/>
            </w:tcBorders>
            <w:shd w:val="clear" w:color="auto" w:fill="auto"/>
            <w:noWrap/>
            <w:vAlign w:val="center"/>
            <w:hideMark/>
          </w:tcPr>
          <w:p w14:paraId="3C53AFCB"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138</w:t>
            </w:r>
          </w:p>
        </w:tc>
      </w:tr>
      <w:tr w:rsidR="00A63CB6" w:rsidRPr="00B16FCD" w14:paraId="51BF851E" w14:textId="77777777" w:rsidTr="00162EF6">
        <w:trPr>
          <w:trHeight w:val="315"/>
          <w:jc w:val="center"/>
        </w:trPr>
        <w:tc>
          <w:tcPr>
            <w:tcW w:w="2340" w:type="dxa"/>
            <w:tcBorders>
              <w:top w:val="nil"/>
              <w:left w:val="double" w:sz="4" w:space="0" w:color="auto"/>
              <w:bottom w:val="single" w:sz="8" w:space="0" w:color="auto"/>
              <w:right w:val="single" w:sz="8" w:space="0" w:color="auto"/>
            </w:tcBorders>
            <w:shd w:val="clear" w:color="auto" w:fill="auto"/>
            <w:noWrap/>
            <w:vAlign w:val="center"/>
            <w:hideMark/>
          </w:tcPr>
          <w:p w14:paraId="19888C21" w14:textId="77777777" w:rsidR="00A63CB6" w:rsidRPr="00162EF6" w:rsidRDefault="00A63CB6" w:rsidP="00311E59">
            <w:pPr>
              <w:rPr>
                <w:rFonts w:ascii="Arial" w:hAnsi="Arial" w:cs="Arial"/>
                <w:color w:val="000000"/>
                <w:sz w:val="16"/>
                <w:szCs w:val="16"/>
              </w:rPr>
            </w:pPr>
            <w:r w:rsidRPr="00162EF6">
              <w:rPr>
                <w:rFonts w:ascii="Arial" w:hAnsi="Arial" w:cs="Arial"/>
                <w:color w:val="000000"/>
                <w:sz w:val="16"/>
                <w:szCs w:val="16"/>
              </w:rPr>
              <w:t>Other Concession HH</w:t>
            </w:r>
          </w:p>
        </w:tc>
        <w:tc>
          <w:tcPr>
            <w:tcW w:w="1300" w:type="dxa"/>
            <w:tcBorders>
              <w:top w:val="nil"/>
              <w:left w:val="nil"/>
              <w:bottom w:val="single" w:sz="8" w:space="0" w:color="auto"/>
              <w:right w:val="single" w:sz="8" w:space="0" w:color="auto"/>
            </w:tcBorders>
            <w:shd w:val="clear" w:color="auto" w:fill="auto"/>
            <w:noWrap/>
            <w:vAlign w:val="center"/>
            <w:hideMark/>
          </w:tcPr>
          <w:p w14:paraId="26748882"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102</w:t>
            </w:r>
          </w:p>
        </w:tc>
        <w:tc>
          <w:tcPr>
            <w:tcW w:w="1440" w:type="dxa"/>
            <w:tcBorders>
              <w:top w:val="nil"/>
              <w:left w:val="nil"/>
              <w:bottom w:val="single" w:sz="8" w:space="0" w:color="auto"/>
              <w:right w:val="single" w:sz="8" w:space="0" w:color="auto"/>
            </w:tcBorders>
            <w:shd w:val="clear" w:color="auto" w:fill="auto"/>
            <w:noWrap/>
            <w:vAlign w:val="center"/>
            <w:hideMark/>
          </w:tcPr>
          <w:p w14:paraId="5FA5B7BE"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149</w:t>
            </w:r>
          </w:p>
        </w:tc>
        <w:tc>
          <w:tcPr>
            <w:tcW w:w="1500" w:type="dxa"/>
            <w:tcBorders>
              <w:top w:val="nil"/>
              <w:left w:val="nil"/>
              <w:bottom w:val="single" w:sz="8" w:space="0" w:color="auto"/>
              <w:right w:val="single" w:sz="8" w:space="0" w:color="auto"/>
            </w:tcBorders>
            <w:shd w:val="clear" w:color="auto" w:fill="auto"/>
            <w:noWrap/>
            <w:vAlign w:val="center"/>
            <w:hideMark/>
          </w:tcPr>
          <w:p w14:paraId="7386F007"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178</w:t>
            </w:r>
          </w:p>
        </w:tc>
        <w:tc>
          <w:tcPr>
            <w:tcW w:w="1500" w:type="dxa"/>
            <w:tcBorders>
              <w:top w:val="nil"/>
              <w:left w:val="nil"/>
              <w:bottom w:val="single" w:sz="8" w:space="0" w:color="auto"/>
              <w:right w:val="single" w:sz="8" w:space="0" w:color="auto"/>
            </w:tcBorders>
            <w:shd w:val="clear" w:color="auto" w:fill="auto"/>
            <w:noWrap/>
            <w:vAlign w:val="center"/>
            <w:hideMark/>
          </w:tcPr>
          <w:p w14:paraId="1AB32DFD"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206</w:t>
            </w:r>
          </w:p>
        </w:tc>
        <w:tc>
          <w:tcPr>
            <w:tcW w:w="1320" w:type="dxa"/>
            <w:tcBorders>
              <w:top w:val="nil"/>
              <w:left w:val="nil"/>
              <w:bottom w:val="single" w:sz="8" w:space="0" w:color="auto"/>
              <w:right w:val="double" w:sz="4" w:space="0" w:color="auto"/>
            </w:tcBorders>
            <w:shd w:val="clear" w:color="auto" w:fill="auto"/>
            <w:noWrap/>
            <w:vAlign w:val="center"/>
            <w:hideMark/>
          </w:tcPr>
          <w:p w14:paraId="66F7F6AF"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158</w:t>
            </w:r>
          </w:p>
        </w:tc>
      </w:tr>
      <w:tr w:rsidR="00A63CB6" w:rsidRPr="00B16FCD" w14:paraId="6EBED7E0" w14:textId="77777777" w:rsidTr="00162EF6">
        <w:trPr>
          <w:trHeight w:val="315"/>
          <w:jc w:val="center"/>
        </w:trPr>
        <w:tc>
          <w:tcPr>
            <w:tcW w:w="2340" w:type="dxa"/>
            <w:tcBorders>
              <w:top w:val="nil"/>
              <w:left w:val="double" w:sz="4" w:space="0" w:color="auto"/>
              <w:bottom w:val="double" w:sz="4" w:space="0" w:color="auto"/>
              <w:right w:val="single" w:sz="8" w:space="0" w:color="auto"/>
            </w:tcBorders>
            <w:shd w:val="clear" w:color="auto" w:fill="auto"/>
            <w:noWrap/>
            <w:vAlign w:val="center"/>
            <w:hideMark/>
          </w:tcPr>
          <w:p w14:paraId="3B62BF2B" w14:textId="77777777" w:rsidR="00A63CB6" w:rsidRPr="00162EF6" w:rsidRDefault="00A63CB6" w:rsidP="00311E59">
            <w:pPr>
              <w:rPr>
                <w:rFonts w:ascii="Arial" w:hAnsi="Arial" w:cs="Arial"/>
                <w:color w:val="000000"/>
                <w:sz w:val="16"/>
                <w:szCs w:val="16"/>
              </w:rPr>
            </w:pPr>
            <w:r w:rsidRPr="00162EF6">
              <w:rPr>
                <w:rFonts w:ascii="Arial" w:hAnsi="Arial" w:cs="Arial"/>
                <w:color w:val="000000"/>
                <w:sz w:val="16"/>
                <w:szCs w:val="16"/>
              </w:rPr>
              <w:t>Non-concession HH</w:t>
            </w:r>
          </w:p>
        </w:tc>
        <w:tc>
          <w:tcPr>
            <w:tcW w:w="1300" w:type="dxa"/>
            <w:tcBorders>
              <w:top w:val="nil"/>
              <w:left w:val="nil"/>
              <w:bottom w:val="double" w:sz="4" w:space="0" w:color="auto"/>
              <w:right w:val="single" w:sz="8" w:space="0" w:color="auto"/>
            </w:tcBorders>
            <w:shd w:val="clear" w:color="auto" w:fill="auto"/>
            <w:noWrap/>
            <w:vAlign w:val="center"/>
            <w:hideMark/>
          </w:tcPr>
          <w:p w14:paraId="564CA458"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86</w:t>
            </w:r>
          </w:p>
        </w:tc>
        <w:tc>
          <w:tcPr>
            <w:tcW w:w="1440" w:type="dxa"/>
            <w:tcBorders>
              <w:top w:val="nil"/>
              <w:left w:val="nil"/>
              <w:bottom w:val="double" w:sz="4" w:space="0" w:color="auto"/>
              <w:right w:val="single" w:sz="8" w:space="0" w:color="auto"/>
            </w:tcBorders>
            <w:shd w:val="clear" w:color="auto" w:fill="auto"/>
            <w:noWrap/>
            <w:vAlign w:val="center"/>
            <w:hideMark/>
          </w:tcPr>
          <w:p w14:paraId="5549A7FF"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146</w:t>
            </w:r>
          </w:p>
        </w:tc>
        <w:tc>
          <w:tcPr>
            <w:tcW w:w="1500" w:type="dxa"/>
            <w:tcBorders>
              <w:top w:val="nil"/>
              <w:left w:val="nil"/>
              <w:bottom w:val="double" w:sz="4" w:space="0" w:color="auto"/>
              <w:right w:val="single" w:sz="8" w:space="0" w:color="auto"/>
            </w:tcBorders>
            <w:shd w:val="clear" w:color="auto" w:fill="auto"/>
            <w:noWrap/>
            <w:vAlign w:val="center"/>
            <w:hideMark/>
          </w:tcPr>
          <w:p w14:paraId="05BECE49"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177</w:t>
            </w:r>
          </w:p>
        </w:tc>
        <w:tc>
          <w:tcPr>
            <w:tcW w:w="1500" w:type="dxa"/>
            <w:tcBorders>
              <w:top w:val="nil"/>
              <w:left w:val="nil"/>
              <w:bottom w:val="double" w:sz="4" w:space="0" w:color="auto"/>
              <w:right w:val="single" w:sz="8" w:space="0" w:color="auto"/>
            </w:tcBorders>
            <w:shd w:val="clear" w:color="auto" w:fill="auto"/>
            <w:noWrap/>
            <w:vAlign w:val="center"/>
            <w:hideMark/>
          </w:tcPr>
          <w:p w14:paraId="03FC8889"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234</w:t>
            </w:r>
          </w:p>
        </w:tc>
        <w:tc>
          <w:tcPr>
            <w:tcW w:w="1320" w:type="dxa"/>
            <w:tcBorders>
              <w:top w:val="nil"/>
              <w:left w:val="nil"/>
              <w:bottom w:val="double" w:sz="4" w:space="0" w:color="auto"/>
              <w:right w:val="double" w:sz="4" w:space="0" w:color="auto"/>
            </w:tcBorders>
            <w:shd w:val="clear" w:color="auto" w:fill="auto"/>
            <w:noWrap/>
            <w:vAlign w:val="center"/>
            <w:hideMark/>
          </w:tcPr>
          <w:p w14:paraId="0A0EA439" w14:textId="77777777" w:rsidR="00A63CB6" w:rsidRPr="00162EF6" w:rsidRDefault="00A63CB6" w:rsidP="00311E59">
            <w:pPr>
              <w:jc w:val="center"/>
              <w:rPr>
                <w:rFonts w:ascii="Arial" w:hAnsi="Arial" w:cs="Arial"/>
                <w:color w:val="000000"/>
                <w:sz w:val="16"/>
                <w:szCs w:val="16"/>
              </w:rPr>
            </w:pPr>
            <w:r w:rsidRPr="00162EF6">
              <w:rPr>
                <w:rFonts w:ascii="Arial" w:hAnsi="Arial" w:cs="Arial"/>
                <w:color w:val="000000"/>
                <w:sz w:val="16"/>
                <w:szCs w:val="16"/>
              </w:rPr>
              <w:t>174</w:t>
            </w:r>
          </w:p>
        </w:tc>
      </w:tr>
    </w:tbl>
    <w:p w14:paraId="2A6C9CEB" w14:textId="77777777" w:rsidR="00D109F7" w:rsidRPr="002611D4" w:rsidRDefault="00D109F7" w:rsidP="00D109F7">
      <w:pPr>
        <w:spacing w:before="0" w:after="0" w:line="340" w:lineRule="exact"/>
        <w:jc w:val="both"/>
        <w:rPr>
          <w:lang w:val="en-AU"/>
        </w:rPr>
      </w:pPr>
    </w:p>
    <w:p w14:paraId="23CCB69E" w14:textId="77777777" w:rsidR="00D109F7" w:rsidRPr="003835AE" w:rsidRDefault="00D109F7" w:rsidP="00F60232">
      <w:pPr>
        <w:spacing w:before="0" w:after="0" w:line="280" w:lineRule="exact"/>
        <w:jc w:val="both"/>
        <w:rPr>
          <w:szCs w:val="24"/>
          <w:highlight w:val="yellow"/>
          <w:lang w:val="en-AU"/>
        </w:rPr>
      </w:pPr>
    </w:p>
    <w:p w14:paraId="7F869DAB" w14:textId="5C94273B" w:rsidR="00D109F7" w:rsidRPr="002611D4" w:rsidRDefault="00D109F7" w:rsidP="00D109F7">
      <w:pPr>
        <w:tabs>
          <w:tab w:val="left" w:leader="underscore" w:pos="2835"/>
        </w:tabs>
        <w:spacing w:before="0" w:after="0" w:line="340" w:lineRule="exact"/>
        <w:jc w:val="both"/>
        <w:rPr>
          <w:szCs w:val="24"/>
          <w:lang w:val="en-AU"/>
        </w:rPr>
      </w:pPr>
      <w:r w:rsidRPr="002611D4">
        <w:rPr>
          <w:szCs w:val="24"/>
          <w:lang w:val="en-AU"/>
        </w:rPr>
        <w:t>Not surprisingly, water consumption increases with household size</w:t>
      </w:r>
      <w:r w:rsidR="00E21B8B" w:rsidRPr="002611D4">
        <w:rPr>
          <w:szCs w:val="24"/>
          <w:lang w:val="en-AU"/>
        </w:rPr>
        <w:t>, ranging from an average of 9</w:t>
      </w:r>
      <w:r w:rsidR="002611D4" w:rsidRPr="002611D4">
        <w:rPr>
          <w:szCs w:val="24"/>
          <w:lang w:val="en-AU"/>
        </w:rPr>
        <w:t>1</w:t>
      </w:r>
      <w:r w:rsidR="00E21B8B" w:rsidRPr="002611D4">
        <w:rPr>
          <w:szCs w:val="24"/>
          <w:lang w:val="en-AU"/>
        </w:rPr>
        <w:t xml:space="preserve"> </w:t>
      </w:r>
      <w:r w:rsidR="00AC56B5">
        <w:rPr>
          <w:szCs w:val="24"/>
          <w:lang w:val="en-AU"/>
        </w:rPr>
        <w:t>kilolitre</w:t>
      </w:r>
      <w:r w:rsidR="00E21B8B" w:rsidRPr="002611D4">
        <w:rPr>
          <w:szCs w:val="24"/>
          <w:lang w:val="en-AU"/>
        </w:rPr>
        <w:t xml:space="preserve">s per annum for single person households up to 227 </w:t>
      </w:r>
      <w:r w:rsidR="00AC56B5">
        <w:rPr>
          <w:szCs w:val="24"/>
          <w:lang w:val="en-AU"/>
        </w:rPr>
        <w:t>kilolitre</w:t>
      </w:r>
      <w:r w:rsidR="00E21B8B" w:rsidRPr="002611D4">
        <w:rPr>
          <w:szCs w:val="24"/>
          <w:lang w:val="en-AU"/>
        </w:rPr>
        <w:t xml:space="preserve">s per annum for households of four or more persons.  On average, single person households reduced their annual consumption by </w:t>
      </w:r>
      <w:r w:rsidR="009441A5" w:rsidRPr="002611D4">
        <w:rPr>
          <w:szCs w:val="24"/>
          <w:lang w:val="en-AU"/>
        </w:rPr>
        <w:t xml:space="preserve">29% since the 2007 survey, which was </w:t>
      </w:r>
      <w:r w:rsidR="00AB2672" w:rsidRPr="002611D4">
        <w:rPr>
          <w:szCs w:val="24"/>
          <w:lang w:val="en-AU"/>
        </w:rPr>
        <w:t>a proportionally</w:t>
      </w:r>
      <w:r w:rsidR="009441A5" w:rsidRPr="002611D4">
        <w:rPr>
          <w:szCs w:val="24"/>
          <w:lang w:val="en-AU"/>
        </w:rPr>
        <w:t xml:space="preserve"> greater </w:t>
      </w:r>
      <w:r w:rsidR="00AB2672" w:rsidRPr="002611D4">
        <w:rPr>
          <w:szCs w:val="24"/>
          <w:lang w:val="en-AU"/>
        </w:rPr>
        <w:t xml:space="preserve">reduction </w:t>
      </w:r>
      <w:r w:rsidR="009441A5" w:rsidRPr="002611D4">
        <w:rPr>
          <w:szCs w:val="24"/>
          <w:lang w:val="en-AU"/>
        </w:rPr>
        <w:t>than that observed for the other household sizes (2 persons: 2</w:t>
      </w:r>
      <w:r w:rsidR="009722EB">
        <w:rPr>
          <w:szCs w:val="24"/>
          <w:lang w:val="en-AU"/>
        </w:rPr>
        <w:t>3</w:t>
      </w:r>
      <w:r w:rsidR="009441A5" w:rsidRPr="002611D4">
        <w:rPr>
          <w:szCs w:val="24"/>
          <w:lang w:val="en-AU"/>
        </w:rPr>
        <w:t>%; 3 persons: 23%; 4 or more persons: 2</w:t>
      </w:r>
      <w:r w:rsidR="009722EB">
        <w:rPr>
          <w:szCs w:val="24"/>
          <w:lang w:val="en-AU"/>
        </w:rPr>
        <w:t>1</w:t>
      </w:r>
      <w:r w:rsidR="009441A5" w:rsidRPr="002611D4">
        <w:rPr>
          <w:szCs w:val="24"/>
          <w:lang w:val="en-AU"/>
        </w:rPr>
        <w:t>%</w:t>
      </w:r>
      <w:r w:rsidRPr="002611D4">
        <w:rPr>
          <w:szCs w:val="24"/>
          <w:lang w:val="en-AU"/>
        </w:rPr>
        <w:t>.</w:t>
      </w:r>
      <w:r w:rsidR="009441A5" w:rsidRPr="002611D4">
        <w:rPr>
          <w:szCs w:val="24"/>
          <w:lang w:val="en-AU"/>
        </w:rPr>
        <w:t>)</w:t>
      </w:r>
      <w:r w:rsidRPr="002611D4">
        <w:rPr>
          <w:szCs w:val="24"/>
          <w:lang w:val="en-AU"/>
        </w:rPr>
        <w:t xml:space="preserve">  </w:t>
      </w:r>
    </w:p>
    <w:p w14:paraId="6A5B93E4" w14:textId="77777777" w:rsidR="00D109F7" w:rsidRPr="003835AE" w:rsidRDefault="00D109F7" w:rsidP="00F60232">
      <w:pPr>
        <w:tabs>
          <w:tab w:val="left" w:leader="underscore" w:pos="2835"/>
        </w:tabs>
        <w:spacing w:before="0" w:after="0" w:line="280" w:lineRule="exact"/>
        <w:jc w:val="both"/>
        <w:rPr>
          <w:szCs w:val="24"/>
          <w:highlight w:val="yellow"/>
          <w:lang w:val="en-AU"/>
        </w:rPr>
      </w:pPr>
    </w:p>
    <w:p w14:paraId="56458BE3" w14:textId="77777777" w:rsidR="00410A79" w:rsidRPr="002611D4" w:rsidRDefault="00D109F7" w:rsidP="00D109F7">
      <w:pPr>
        <w:tabs>
          <w:tab w:val="left" w:leader="underscore" w:pos="2835"/>
        </w:tabs>
        <w:spacing w:before="0" w:after="0" w:line="340" w:lineRule="exact"/>
        <w:jc w:val="both"/>
        <w:rPr>
          <w:szCs w:val="24"/>
          <w:lang w:val="en-AU"/>
        </w:rPr>
      </w:pPr>
      <w:r w:rsidRPr="002611D4">
        <w:rPr>
          <w:szCs w:val="24"/>
          <w:lang w:val="en-AU"/>
        </w:rPr>
        <w:t xml:space="preserve">Average monthly water consumption in summer months has fallen </w:t>
      </w:r>
      <w:r w:rsidR="009441A5" w:rsidRPr="002611D4">
        <w:rPr>
          <w:szCs w:val="24"/>
          <w:lang w:val="en-AU"/>
        </w:rPr>
        <w:t xml:space="preserve">marginally less than </w:t>
      </w:r>
      <w:r w:rsidRPr="002611D4">
        <w:rPr>
          <w:szCs w:val="24"/>
          <w:lang w:val="en-AU"/>
        </w:rPr>
        <w:t>in winter months (-</w:t>
      </w:r>
      <w:r w:rsidR="009441A5" w:rsidRPr="002611D4">
        <w:rPr>
          <w:szCs w:val="24"/>
          <w:lang w:val="en-AU"/>
        </w:rPr>
        <w:t>2</w:t>
      </w:r>
      <w:r w:rsidR="009722EB">
        <w:rPr>
          <w:szCs w:val="24"/>
          <w:lang w:val="en-AU"/>
        </w:rPr>
        <w:t>4</w:t>
      </w:r>
      <w:r w:rsidRPr="002611D4">
        <w:rPr>
          <w:szCs w:val="24"/>
          <w:lang w:val="en-AU"/>
        </w:rPr>
        <w:t>% compared with -</w:t>
      </w:r>
      <w:r w:rsidR="002611D4" w:rsidRPr="002611D4">
        <w:rPr>
          <w:szCs w:val="24"/>
          <w:lang w:val="en-AU"/>
        </w:rPr>
        <w:t>2</w:t>
      </w:r>
      <w:r w:rsidR="009722EB">
        <w:rPr>
          <w:szCs w:val="24"/>
          <w:lang w:val="en-AU"/>
        </w:rPr>
        <w:t>6</w:t>
      </w:r>
      <w:r w:rsidRPr="002611D4">
        <w:rPr>
          <w:szCs w:val="24"/>
          <w:lang w:val="en-AU"/>
        </w:rPr>
        <w:t>%)</w:t>
      </w:r>
      <w:r w:rsidR="009441A5" w:rsidRPr="002611D4">
        <w:rPr>
          <w:szCs w:val="24"/>
          <w:lang w:val="en-AU"/>
        </w:rPr>
        <w:t xml:space="preserve">. </w:t>
      </w:r>
    </w:p>
    <w:p w14:paraId="4514592F" w14:textId="77777777" w:rsidR="00F77388" w:rsidRPr="003835AE" w:rsidRDefault="00F77388" w:rsidP="00D109F7">
      <w:pPr>
        <w:pStyle w:val="Para"/>
        <w:spacing w:after="120" w:line="240" w:lineRule="auto"/>
        <w:outlineLvl w:val="0"/>
        <w:rPr>
          <w:b/>
          <w:highlight w:val="yellow"/>
          <w:lang w:val="en-AU"/>
        </w:rPr>
      </w:pPr>
    </w:p>
    <w:p w14:paraId="41B23DDA" w14:textId="77777777" w:rsidR="00A32FA3" w:rsidRDefault="00A32FA3">
      <w:pPr>
        <w:spacing w:before="0" w:after="0"/>
        <w:rPr>
          <w:b/>
          <w:lang w:val="en-AU"/>
        </w:rPr>
      </w:pPr>
      <w:r>
        <w:rPr>
          <w:b/>
          <w:lang w:val="en-AU"/>
        </w:rPr>
        <w:br w:type="page"/>
      </w:r>
    </w:p>
    <w:p w14:paraId="38AE321F" w14:textId="3F5F2F9C" w:rsidR="00D109F7" w:rsidRPr="00521DA8" w:rsidRDefault="00F77388" w:rsidP="00D94827">
      <w:pPr>
        <w:pStyle w:val="Para"/>
        <w:spacing w:after="120" w:line="240" w:lineRule="auto"/>
        <w:jc w:val="center"/>
        <w:outlineLvl w:val="0"/>
        <w:rPr>
          <w:b/>
          <w:u w:val="single"/>
          <w:lang w:val="en-AU"/>
        </w:rPr>
      </w:pPr>
      <w:r w:rsidRPr="00521DA8">
        <w:rPr>
          <w:b/>
          <w:lang w:val="en-AU"/>
        </w:rPr>
        <w:lastRenderedPageBreak/>
        <w:t>T</w:t>
      </w:r>
      <w:r w:rsidR="00D109F7" w:rsidRPr="00521DA8">
        <w:rPr>
          <w:b/>
          <w:lang w:val="en-AU"/>
        </w:rPr>
        <w:t xml:space="preserve">able </w:t>
      </w:r>
      <w:r w:rsidR="001A2002" w:rsidRPr="00521DA8">
        <w:rPr>
          <w:b/>
          <w:lang w:val="en-AU"/>
        </w:rPr>
        <w:t>5</w:t>
      </w:r>
      <w:r w:rsidR="00D109F7" w:rsidRPr="00521DA8">
        <w:rPr>
          <w:b/>
          <w:lang w:val="en-AU"/>
        </w:rPr>
        <w:t>.2.1.</w:t>
      </w:r>
      <w:r w:rsidR="00A63CB6">
        <w:rPr>
          <w:b/>
          <w:lang w:val="en-AU"/>
        </w:rPr>
        <w:t>3</w:t>
      </w:r>
      <w:r w:rsidR="00D109F7" w:rsidRPr="00521DA8">
        <w:rPr>
          <w:b/>
          <w:lang w:val="en-AU"/>
        </w:rPr>
        <w:t xml:space="preserve">: </w:t>
      </w:r>
      <w:r w:rsidR="00D94827" w:rsidRPr="00521DA8">
        <w:rPr>
          <w:b/>
          <w:u w:val="single"/>
          <w:lang w:val="en-AU"/>
        </w:rPr>
        <w:t>Average Annual Water</w:t>
      </w:r>
      <w:r w:rsidR="00C94613" w:rsidRPr="00521DA8">
        <w:rPr>
          <w:b/>
          <w:u w:val="single"/>
          <w:lang w:val="en-AU"/>
        </w:rPr>
        <w:t xml:space="preserve"> </w:t>
      </w:r>
      <w:r w:rsidR="00D109F7" w:rsidRPr="00521DA8">
        <w:rPr>
          <w:b/>
          <w:u w:val="single"/>
          <w:lang w:val="en-AU"/>
        </w:rPr>
        <w:t>Consumption (Kilolitres)</w:t>
      </w:r>
    </w:p>
    <w:tbl>
      <w:tblPr>
        <w:tblW w:w="14610" w:type="dxa"/>
        <w:jc w:val="center"/>
        <w:tblLook w:val="04A0" w:firstRow="1" w:lastRow="0" w:firstColumn="1" w:lastColumn="0" w:noHBand="0" w:noVBand="1"/>
      </w:tblPr>
      <w:tblGrid>
        <w:gridCol w:w="2283"/>
        <w:gridCol w:w="857"/>
        <w:gridCol w:w="938"/>
        <w:gridCol w:w="938"/>
        <w:gridCol w:w="1012"/>
        <w:gridCol w:w="938"/>
        <w:gridCol w:w="938"/>
        <w:gridCol w:w="1012"/>
        <w:gridCol w:w="938"/>
        <w:gridCol w:w="938"/>
        <w:gridCol w:w="938"/>
        <w:gridCol w:w="960"/>
        <w:gridCol w:w="960"/>
        <w:gridCol w:w="960"/>
      </w:tblGrid>
      <w:tr w:rsidR="003152E2" w:rsidRPr="00521DA8" w14:paraId="70C73E5C" w14:textId="77777777" w:rsidTr="00D94827">
        <w:trPr>
          <w:trHeight w:val="225"/>
          <w:tblHeader/>
          <w:jc w:val="center"/>
        </w:trPr>
        <w:tc>
          <w:tcPr>
            <w:tcW w:w="2283" w:type="dxa"/>
            <w:tcBorders>
              <w:top w:val="double" w:sz="4" w:space="0" w:color="auto"/>
              <w:left w:val="double" w:sz="4" w:space="0" w:color="auto"/>
              <w:bottom w:val="single" w:sz="4" w:space="0" w:color="BFBFBF"/>
              <w:right w:val="single" w:sz="4" w:space="0" w:color="BFBFBF"/>
            </w:tcBorders>
            <w:shd w:val="clear" w:color="auto" w:fill="auto"/>
            <w:noWrap/>
            <w:vAlign w:val="center"/>
          </w:tcPr>
          <w:p w14:paraId="0DC5A522"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447" w:type="dxa"/>
            <w:gridSpan w:val="10"/>
            <w:tcBorders>
              <w:top w:val="double" w:sz="4" w:space="0" w:color="auto"/>
              <w:left w:val="nil"/>
              <w:bottom w:val="single" w:sz="4" w:space="0" w:color="BFBFBF"/>
              <w:right w:val="single" w:sz="4" w:space="0" w:color="BFBFBF"/>
            </w:tcBorders>
            <w:shd w:val="clear" w:color="auto" w:fill="auto"/>
            <w:noWrap/>
            <w:vAlign w:val="center"/>
          </w:tcPr>
          <w:p w14:paraId="725CC2F8"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Average Annual Water Consumption (Kilolitres)</w:t>
            </w:r>
          </w:p>
        </w:tc>
        <w:tc>
          <w:tcPr>
            <w:tcW w:w="2880" w:type="dxa"/>
            <w:gridSpan w:val="3"/>
            <w:tcBorders>
              <w:top w:val="double" w:sz="4" w:space="0" w:color="auto"/>
              <w:left w:val="nil"/>
              <w:bottom w:val="single" w:sz="4" w:space="0" w:color="BFBFBF"/>
              <w:right w:val="double" w:sz="4" w:space="0" w:color="auto"/>
            </w:tcBorders>
            <w:shd w:val="clear" w:color="auto" w:fill="auto"/>
            <w:noWrap/>
            <w:vAlign w:val="bottom"/>
          </w:tcPr>
          <w:p w14:paraId="6BB09815"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 Growth</w:t>
            </w:r>
            <w:r w:rsidR="00617793" w:rsidRPr="00521DA8">
              <w:rPr>
                <w:rFonts w:ascii="Arial" w:hAnsi="Arial" w:cs="Arial"/>
                <w:b/>
                <w:bCs/>
                <w:color w:val="000000"/>
                <w:sz w:val="16"/>
                <w:szCs w:val="16"/>
                <w:lang w:val="en-AU" w:eastAsia="en-AU"/>
              </w:rPr>
              <w:t>/Decline</w:t>
            </w:r>
          </w:p>
        </w:tc>
      </w:tr>
      <w:tr w:rsidR="00617793" w:rsidRPr="00521DA8" w14:paraId="02E5B8BB" w14:textId="77777777" w:rsidTr="00D94827">
        <w:trPr>
          <w:trHeight w:val="225"/>
          <w:tblHeader/>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26B03C72" w14:textId="77777777" w:rsidR="00617793" w:rsidRPr="00521DA8" w:rsidRDefault="00617793"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2733" w:type="dxa"/>
            <w:gridSpan w:val="3"/>
            <w:tcBorders>
              <w:top w:val="single" w:sz="4" w:space="0" w:color="BFBFBF"/>
              <w:left w:val="nil"/>
              <w:bottom w:val="single" w:sz="4" w:space="0" w:color="BFBFBF"/>
              <w:right w:val="single" w:sz="4" w:space="0" w:color="BFBFBF"/>
            </w:tcBorders>
            <w:shd w:val="clear" w:color="auto" w:fill="auto"/>
            <w:noWrap/>
            <w:vAlign w:val="bottom"/>
          </w:tcPr>
          <w:p w14:paraId="520B9FFA" w14:textId="77777777" w:rsidR="00617793" w:rsidRPr="00D92C64" w:rsidRDefault="00617793" w:rsidP="003152E2">
            <w:pPr>
              <w:spacing w:before="0" w:after="0"/>
              <w:jc w:val="center"/>
              <w:rPr>
                <w:rFonts w:ascii="Arial" w:hAnsi="Arial" w:cs="Arial"/>
                <w:b/>
                <w:color w:val="000000"/>
                <w:sz w:val="16"/>
                <w:szCs w:val="16"/>
                <w:lang w:val="en-AU" w:eastAsia="en-AU"/>
              </w:rPr>
            </w:pPr>
            <w:r w:rsidRPr="00D92C64">
              <w:rPr>
                <w:rFonts w:ascii="Arial" w:hAnsi="Arial" w:cs="Arial"/>
                <w:b/>
                <w:color w:val="000000"/>
                <w:sz w:val="16"/>
                <w:szCs w:val="16"/>
                <w:lang w:val="en-AU" w:eastAsia="en-AU"/>
              </w:rPr>
              <w:t>2014</w:t>
            </w:r>
          </w:p>
        </w:tc>
        <w:tc>
          <w:tcPr>
            <w:tcW w:w="2888" w:type="dxa"/>
            <w:gridSpan w:val="3"/>
            <w:tcBorders>
              <w:top w:val="single" w:sz="4" w:space="0" w:color="BFBFBF"/>
              <w:left w:val="nil"/>
              <w:bottom w:val="single" w:sz="4" w:space="0" w:color="BFBFBF"/>
              <w:right w:val="single" w:sz="4" w:space="0" w:color="BFBFBF"/>
            </w:tcBorders>
            <w:shd w:val="clear" w:color="auto" w:fill="auto"/>
            <w:noWrap/>
            <w:vAlign w:val="center"/>
          </w:tcPr>
          <w:p w14:paraId="23052D5D" w14:textId="77777777" w:rsidR="00617793" w:rsidRPr="00521DA8" w:rsidRDefault="00617793"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2007</w:t>
            </w:r>
          </w:p>
        </w:tc>
        <w:tc>
          <w:tcPr>
            <w:tcW w:w="2888" w:type="dxa"/>
            <w:gridSpan w:val="3"/>
            <w:tcBorders>
              <w:top w:val="single" w:sz="4" w:space="0" w:color="BFBFBF"/>
              <w:left w:val="nil"/>
              <w:bottom w:val="single" w:sz="4" w:space="0" w:color="BFBFBF"/>
              <w:right w:val="single" w:sz="4" w:space="0" w:color="BFBFBF"/>
            </w:tcBorders>
            <w:shd w:val="clear" w:color="auto" w:fill="auto"/>
            <w:noWrap/>
            <w:vAlign w:val="center"/>
          </w:tcPr>
          <w:p w14:paraId="18A9FFB6" w14:textId="77777777" w:rsidR="00617793" w:rsidRPr="00521DA8" w:rsidRDefault="00617793"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2001</w:t>
            </w:r>
          </w:p>
        </w:tc>
        <w:tc>
          <w:tcPr>
            <w:tcW w:w="938" w:type="dxa"/>
            <w:vMerge w:val="restart"/>
            <w:tcBorders>
              <w:top w:val="nil"/>
              <w:left w:val="single" w:sz="4" w:space="0" w:color="BFBFBF"/>
              <w:bottom w:val="single" w:sz="4" w:space="0" w:color="BFBFBF"/>
              <w:right w:val="single" w:sz="4" w:space="0" w:color="BFBFBF"/>
            </w:tcBorders>
            <w:shd w:val="clear" w:color="auto" w:fill="auto"/>
            <w:noWrap/>
            <w:vAlign w:val="center"/>
          </w:tcPr>
          <w:p w14:paraId="4CC3A210" w14:textId="77777777" w:rsidR="00617793" w:rsidRPr="00521DA8" w:rsidRDefault="00617793"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1996</w:t>
            </w:r>
          </w:p>
        </w:tc>
        <w:tc>
          <w:tcPr>
            <w:tcW w:w="960" w:type="dxa"/>
            <w:vMerge w:val="restart"/>
            <w:tcBorders>
              <w:top w:val="nil"/>
              <w:left w:val="single" w:sz="4" w:space="0" w:color="BFBFBF"/>
              <w:bottom w:val="single" w:sz="4" w:space="0" w:color="BFBFBF"/>
              <w:right w:val="single" w:sz="4" w:space="0" w:color="BFBFBF"/>
            </w:tcBorders>
            <w:shd w:val="clear" w:color="auto" w:fill="auto"/>
            <w:noWrap/>
            <w:vAlign w:val="center"/>
          </w:tcPr>
          <w:p w14:paraId="082D1B74" w14:textId="77777777" w:rsidR="00617793" w:rsidRPr="00521DA8" w:rsidRDefault="00617793"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From 2007 to 2014</w:t>
            </w:r>
          </w:p>
        </w:tc>
        <w:tc>
          <w:tcPr>
            <w:tcW w:w="960" w:type="dxa"/>
            <w:vMerge w:val="restart"/>
            <w:tcBorders>
              <w:top w:val="nil"/>
              <w:left w:val="single" w:sz="4" w:space="0" w:color="BFBFBF"/>
              <w:bottom w:val="single" w:sz="4" w:space="0" w:color="BFBFBF"/>
              <w:right w:val="single" w:sz="4" w:space="0" w:color="BFBFBF"/>
            </w:tcBorders>
            <w:shd w:val="clear" w:color="auto" w:fill="auto"/>
            <w:noWrap/>
            <w:vAlign w:val="center"/>
          </w:tcPr>
          <w:p w14:paraId="4582EA3C" w14:textId="77777777" w:rsidR="00617793" w:rsidRPr="00521DA8" w:rsidRDefault="00617793"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From 2001 to 2007</w:t>
            </w:r>
          </w:p>
        </w:tc>
        <w:tc>
          <w:tcPr>
            <w:tcW w:w="960" w:type="dxa"/>
            <w:vMerge w:val="restart"/>
            <w:tcBorders>
              <w:top w:val="nil"/>
              <w:left w:val="single" w:sz="4" w:space="0" w:color="BFBFBF"/>
              <w:bottom w:val="single" w:sz="4" w:space="0" w:color="BFBFBF"/>
              <w:right w:val="double" w:sz="4" w:space="0" w:color="auto"/>
            </w:tcBorders>
            <w:shd w:val="clear" w:color="auto" w:fill="auto"/>
            <w:noWrap/>
            <w:vAlign w:val="center"/>
          </w:tcPr>
          <w:p w14:paraId="4A60E95F" w14:textId="77777777" w:rsidR="00617793" w:rsidRPr="00521DA8" w:rsidRDefault="00617793"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From 1996 to 2001</w:t>
            </w:r>
          </w:p>
        </w:tc>
      </w:tr>
      <w:tr w:rsidR="003152E2" w:rsidRPr="00521DA8" w14:paraId="299F86FD" w14:textId="77777777" w:rsidTr="00D94827">
        <w:trPr>
          <w:trHeight w:val="225"/>
          <w:tblHeader/>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41ECA1E5"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857" w:type="dxa"/>
            <w:tcBorders>
              <w:top w:val="nil"/>
              <w:left w:val="nil"/>
              <w:bottom w:val="single" w:sz="4" w:space="0" w:color="BFBFBF"/>
              <w:right w:val="single" w:sz="4" w:space="0" w:color="BFBFBF"/>
            </w:tcBorders>
            <w:shd w:val="clear" w:color="auto" w:fill="auto"/>
            <w:noWrap/>
            <w:vAlign w:val="center"/>
          </w:tcPr>
          <w:p w14:paraId="2E0B9E5E"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Summer</w:t>
            </w:r>
          </w:p>
        </w:tc>
        <w:tc>
          <w:tcPr>
            <w:tcW w:w="938" w:type="dxa"/>
            <w:tcBorders>
              <w:top w:val="nil"/>
              <w:left w:val="nil"/>
              <w:bottom w:val="single" w:sz="4" w:space="0" w:color="BFBFBF"/>
              <w:right w:val="single" w:sz="4" w:space="0" w:color="BFBFBF"/>
            </w:tcBorders>
            <w:shd w:val="clear" w:color="auto" w:fill="auto"/>
            <w:noWrap/>
            <w:vAlign w:val="center"/>
          </w:tcPr>
          <w:p w14:paraId="0EC75444"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Winter</w:t>
            </w:r>
          </w:p>
        </w:tc>
        <w:tc>
          <w:tcPr>
            <w:tcW w:w="938" w:type="dxa"/>
            <w:tcBorders>
              <w:top w:val="nil"/>
              <w:left w:val="nil"/>
              <w:bottom w:val="single" w:sz="4" w:space="0" w:color="BFBFBF"/>
              <w:right w:val="single" w:sz="4" w:space="0" w:color="BFBFBF"/>
            </w:tcBorders>
            <w:shd w:val="clear" w:color="auto" w:fill="auto"/>
            <w:noWrap/>
            <w:vAlign w:val="center"/>
          </w:tcPr>
          <w:p w14:paraId="0FF87F8F"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Total</w:t>
            </w:r>
          </w:p>
        </w:tc>
        <w:tc>
          <w:tcPr>
            <w:tcW w:w="1012" w:type="dxa"/>
            <w:tcBorders>
              <w:top w:val="nil"/>
              <w:left w:val="nil"/>
              <w:bottom w:val="single" w:sz="4" w:space="0" w:color="BFBFBF"/>
              <w:right w:val="single" w:sz="4" w:space="0" w:color="BFBFBF"/>
            </w:tcBorders>
            <w:shd w:val="clear" w:color="auto" w:fill="auto"/>
            <w:noWrap/>
            <w:vAlign w:val="center"/>
          </w:tcPr>
          <w:p w14:paraId="4B425608"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Summer</w:t>
            </w:r>
          </w:p>
        </w:tc>
        <w:tc>
          <w:tcPr>
            <w:tcW w:w="938" w:type="dxa"/>
            <w:tcBorders>
              <w:top w:val="nil"/>
              <w:left w:val="nil"/>
              <w:bottom w:val="single" w:sz="4" w:space="0" w:color="BFBFBF"/>
              <w:right w:val="single" w:sz="4" w:space="0" w:color="BFBFBF"/>
            </w:tcBorders>
            <w:shd w:val="clear" w:color="auto" w:fill="auto"/>
            <w:noWrap/>
            <w:vAlign w:val="center"/>
          </w:tcPr>
          <w:p w14:paraId="4AEB5CE1"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Winter</w:t>
            </w:r>
          </w:p>
        </w:tc>
        <w:tc>
          <w:tcPr>
            <w:tcW w:w="938" w:type="dxa"/>
            <w:tcBorders>
              <w:top w:val="nil"/>
              <w:left w:val="nil"/>
              <w:bottom w:val="single" w:sz="4" w:space="0" w:color="BFBFBF"/>
              <w:right w:val="single" w:sz="4" w:space="0" w:color="BFBFBF"/>
            </w:tcBorders>
            <w:shd w:val="clear" w:color="auto" w:fill="auto"/>
            <w:noWrap/>
            <w:vAlign w:val="center"/>
          </w:tcPr>
          <w:p w14:paraId="4256F3C3"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Total</w:t>
            </w:r>
          </w:p>
        </w:tc>
        <w:tc>
          <w:tcPr>
            <w:tcW w:w="1012" w:type="dxa"/>
            <w:tcBorders>
              <w:top w:val="nil"/>
              <w:left w:val="nil"/>
              <w:bottom w:val="single" w:sz="4" w:space="0" w:color="BFBFBF"/>
              <w:right w:val="single" w:sz="4" w:space="0" w:color="BFBFBF"/>
            </w:tcBorders>
            <w:shd w:val="clear" w:color="auto" w:fill="auto"/>
            <w:noWrap/>
            <w:vAlign w:val="center"/>
          </w:tcPr>
          <w:p w14:paraId="1CD25962"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Summer</w:t>
            </w:r>
          </w:p>
        </w:tc>
        <w:tc>
          <w:tcPr>
            <w:tcW w:w="938" w:type="dxa"/>
            <w:tcBorders>
              <w:top w:val="nil"/>
              <w:left w:val="nil"/>
              <w:bottom w:val="single" w:sz="4" w:space="0" w:color="BFBFBF"/>
              <w:right w:val="single" w:sz="4" w:space="0" w:color="BFBFBF"/>
            </w:tcBorders>
            <w:shd w:val="clear" w:color="auto" w:fill="auto"/>
            <w:noWrap/>
            <w:vAlign w:val="center"/>
          </w:tcPr>
          <w:p w14:paraId="4CBBBA66"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Winter</w:t>
            </w:r>
          </w:p>
        </w:tc>
        <w:tc>
          <w:tcPr>
            <w:tcW w:w="938" w:type="dxa"/>
            <w:tcBorders>
              <w:top w:val="nil"/>
              <w:left w:val="nil"/>
              <w:bottom w:val="single" w:sz="4" w:space="0" w:color="BFBFBF"/>
              <w:right w:val="single" w:sz="4" w:space="0" w:color="BFBFBF"/>
            </w:tcBorders>
            <w:shd w:val="clear" w:color="auto" w:fill="auto"/>
            <w:noWrap/>
            <w:vAlign w:val="center"/>
          </w:tcPr>
          <w:p w14:paraId="58EAC4ED"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Total</w:t>
            </w:r>
          </w:p>
        </w:tc>
        <w:tc>
          <w:tcPr>
            <w:tcW w:w="938" w:type="dxa"/>
            <w:vMerge/>
            <w:tcBorders>
              <w:top w:val="nil"/>
              <w:left w:val="single" w:sz="4" w:space="0" w:color="BFBFBF"/>
              <w:bottom w:val="single" w:sz="4" w:space="0" w:color="BFBFBF"/>
              <w:right w:val="single" w:sz="4" w:space="0" w:color="BFBFBF"/>
            </w:tcBorders>
            <w:vAlign w:val="center"/>
          </w:tcPr>
          <w:p w14:paraId="4191AB30" w14:textId="77777777" w:rsidR="003152E2" w:rsidRPr="00521DA8" w:rsidRDefault="003152E2" w:rsidP="003152E2">
            <w:pPr>
              <w:spacing w:before="0" w:after="0"/>
              <w:rPr>
                <w:rFonts w:ascii="Arial" w:hAnsi="Arial" w:cs="Arial"/>
                <w:b/>
                <w:bCs/>
                <w:color w:val="000000"/>
                <w:sz w:val="16"/>
                <w:szCs w:val="16"/>
                <w:lang w:val="en-AU" w:eastAsia="en-AU"/>
              </w:rPr>
            </w:pPr>
          </w:p>
        </w:tc>
        <w:tc>
          <w:tcPr>
            <w:tcW w:w="960" w:type="dxa"/>
            <w:vMerge/>
            <w:tcBorders>
              <w:top w:val="nil"/>
              <w:left w:val="single" w:sz="4" w:space="0" w:color="BFBFBF"/>
              <w:bottom w:val="single" w:sz="4" w:space="0" w:color="BFBFBF"/>
              <w:right w:val="single" w:sz="4" w:space="0" w:color="BFBFBF"/>
            </w:tcBorders>
            <w:vAlign w:val="center"/>
          </w:tcPr>
          <w:p w14:paraId="0C612A48" w14:textId="77777777" w:rsidR="003152E2" w:rsidRPr="00521DA8" w:rsidRDefault="003152E2" w:rsidP="003152E2">
            <w:pPr>
              <w:spacing w:before="0" w:after="0"/>
              <w:rPr>
                <w:rFonts w:ascii="Arial" w:hAnsi="Arial" w:cs="Arial"/>
                <w:b/>
                <w:bCs/>
                <w:color w:val="000000"/>
                <w:sz w:val="16"/>
                <w:szCs w:val="16"/>
                <w:lang w:val="en-AU" w:eastAsia="en-AU"/>
              </w:rPr>
            </w:pPr>
          </w:p>
        </w:tc>
        <w:tc>
          <w:tcPr>
            <w:tcW w:w="960" w:type="dxa"/>
            <w:vMerge/>
            <w:tcBorders>
              <w:top w:val="nil"/>
              <w:left w:val="single" w:sz="4" w:space="0" w:color="BFBFBF"/>
              <w:bottom w:val="single" w:sz="4" w:space="0" w:color="BFBFBF"/>
              <w:right w:val="single" w:sz="4" w:space="0" w:color="BFBFBF"/>
            </w:tcBorders>
            <w:vAlign w:val="center"/>
          </w:tcPr>
          <w:p w14:paraId="069FB778" w14:textId="77777777" w:rsidR="003152E2" w:rsidRPr="00521DA8" w:rsidRDefault="003152E2" w:rsidP="003152E2">
            <w:pPr>
              <w:spacing w:before="0" w:after="0"/>
              <w:rPr>
                <w:rFonts w:ascii="Arial" w:hAnsi="Arial" w:cs="Arial"/>
                <w:b/>
                <w:bCs/>
                <w:color w:val="000000"/>
                <w:sz w:val="16"/>
                <w:szCs w:val="16"/>
                <w:lang w:val="en-AU" w:eastAsia="en-AU"/>
              </w:rPr>
            </w:pPr>
          </w:p>
        </w:tc>
        <w:tc>
          <w:tcPr>
            <w:tcW w:w="960" w:type="dxa"/>
            <w:vMerge/>
            <w:tcBorders>
              <w:top w:val="nil"/>
              <w:left w:val="single" w:sz="4" w:space="0" w:color="BFBFBF"/>
              <w:bottom w:val="single" w:sz="4" w:space="0" w:color="BFBFBF"/>
              <w:right w:val="double" w:sz="4" w:space="0" w:color="auto"/>
            </w:tcBorders>
            <w:vAlign w:val="center"/>
          </w:tcPr>
          <w:p w14:paraId="384E299F" w14:textId="77777777" w:rsidR="003152E2" w:rsidRPr="00521DA8" w:rsidRDefault="003152E2" w:rsidP="003152E2">
            <w:pPr>
              <w:spacing w:before="0" w:after="0"/>
              <w:rPr>
                <w:rFonts w:ascii="Arial" w:hAnsi="Arial" w:cs="Arial"/>
                <w:b/>
                <w:bCs/>
                <w:color w:val="000000"/>
                <w:sz w:val="16"/>
                <w:szCs w:val="16"/>
                <w:lang w:val="en-AU" w:eastAsia="en-AU"/>
              </w:rPr>
            </w:pPr>
          </w:p>
        </w:tc>
      </w:tr>
      <w:tr w:rsidR="003152E2" w:rsidRPr="00521DA8" w14:paraId="33E2D731" w14:textId="77777777" w:rsidTr="00D94827">
        <w:trPr>
          <w:trHeight w:val="225"/>
          <w:tblHeader/>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680A63A9" w14:textId="77777777" w:rsidR="003152E2" w:rsidRPr="00521DA8" w:rsidRDefault="003152E2" w:rsidP="003152E2">
            <w:pPr>
              <w:spacing w:before="0" w:after="0"/>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Sub-groups</w:t>
            </w:r>
          </w:p>
        </w:tc>
        <w:tc>
          <w:tcPr>
            <w:tcW w:w="857" w:type="dxa"/>
            <w:tcBorders>
              <w:top w:val="nil"/>
              <w:left w:val="nil"/>
              <w:bottom w:val="single" w:sz="4" w:space="0" w:color="BFBFBF"/>
              <w:right w:val="single" w:sz="4" w:space="0" w:color="BFBFBF"/>
            </w:tcBorders>
            <w:shd w:val="clear" w:color="auto" w:fill="auto"/>
            <w:noWrap/>
            <w:vAlign w:val="center"/>
          </w:tcPr>
          <w:p w14:paraId="719E3CBB"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n=1,606</w:t>
            </w:r>
          </w:p>
        </w:tc>
        <w:tc>
          <w:tcPr>
            <w:tcW w:w="938" w:type="dxa"/>
            <w:tcBorders>
              <w:top w:val="nil"/>
              <w:left w:val="nil"/>
              <w:bottom w:val="single" w:sz="4" w:space="0" w:color="BFBFBF"/>
              <w:right w:val="single" w:sz="4" w:space="0" w:color="BFBFBF"/>
            </w:tcBorders>
            <w:shd w:val="clear" w:color="auto" w:fill="auto"/>
            <w:noWrap/>
            <w:vAlign w:val="center"/>
          </w:tcPr>
          <w:p w14:paraId="5E8CD92D"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n=1,599</w:t>
            </w:r>
          </w:p>
        </w:tc>
        <w:tc>
          <w:tcPr>
            <w:tcW w:w="938" w:type="dxa"/>
            <w:tcBorders>
              <w:top w:val="nil"/>
              <w:left w:val="nil"/>
              <w:bottom w:val="single" w:sz="4" w:space="0" w:color="BFBFBF"/>
              <w:right w:val="single" w:sz="4" w:space="0" w:color="BFBFBF"/>
            </w:tcBorders>
            <w:shd w:val="clear" w:color="auto" w:fill="auto"/>
            <w:noWrap/>
            <w:vAlign w:val="center"/>
          </w:tcPr>
          <w:p w14:paraId="5C748E4E"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n=1,671</w:t>
            </w:r>
          </w:p>
        </w:tc>
        <w:tc>
          <w:tcPr>
            <w:tcW w:w="1012" w:type="dxa"/>
            <w:tcBorders>
              <w:top w:val="nil"/>
              <w:left w:val="nil"/>
              <w:bottom w:val="single" w:sz="4" w:space="0" w:color="BFBFBF"/>
              <w:right w:val="single" w:sz="4" w:space="0" w:color="BFBFBF"/>
            </w:tcBorders>
            <w:shd w:val="clear" w:color="auto" w:fill="auto"/>
            <w:noWrap/>
            <w:vAlign w:val="center"/>
          </w:tcPr>
          <w:p w14:paraId="7E8422F2"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n=1,890</w:t>
            </w:r>
          </w:p>
        </w:tc>
        <w:tc>
          <w:tcPr>
            <w:tcW w:w="938" w:type="dxa"/>
            <w:tcBorders>
              <w:top w:val="nil"/>
              <w:left w:val="nil"/>
              <w:bottom w:val="single" w:sz="4" w:space="0" w:color="BFBFBF"/>
              <w:right w:val="single" w:sz="4" w:space="0" w:color="BFBFBF"/>
            </w:tcBorders>
            <w:shd w:val="clear" w:color="auto" w:fill="auto"/>
            <w:noWrap/>
            <w:vAlign w:val="center"/>
          </w:tcPr>
          <w:p w14:paraId="2E3D8B3C"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n=1,883</w:t>
            </w:r>
          </w:p>
        </w:tc>
        <w:tc>
          <w:tcPr>
            <w:tcW w:w="938" w:type="dxa"/>
            <w:tcBorders>
              <w:top w:val="nil"/>
              <w:left w:val="nil"/>
              <w:bottom w:val="single" w:sz="4" w:space="0" w:color="BFBFBF"/>
              <w:right w:val="single" w:sz="4" w:space="0" w:color="BFBFBF"/>
            </w:tcBorders>
            <w:shd w:val="clear" w:color="auto" w:fill="auto"/>
            <w:noWrap/>
            <w:vAlign w:val="center"/>
          </w:tcPr>
          <w:p w14:paraId="0A13573D"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n=1,895</w:t>
            </w:r>
          </w:p>
        </w:tc>
        <w:tc>
          <w:tcPr>
            <w:tcW w:w="1012" w:type="dxa"/>
            <w:tcBorders>
              <w:top w:val="nil"/>
              <w:left w:val="nil"/>
              <w:bottom w:val="single" w:sz="4" w:space="0" w:color="BFBFBF"/>
              <w:right w:val="single" w:sz="4" w:space="0" w:color="BFBFBF"/>
            </w:tcBorders>
            <w:shd w:val="clear" w:color="auto" w:fill="auto"/>
            <w:noWrap/>
            <w:vAlign w:val="center"/>
          </w:tcPr>
          <w:p w14:paraId="23067BDB" w14:textId="77777777" w:rsidR="003152E2" w:rsidRPr="00521DA8" w:rsidRDefault="003152E2" w:rsidP="003152E2">
            <w:pPr>
              <w:spacing w:before="0" w:after="0"/>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n=1,790</w:t>
            </w:r>
          </w:p>
        </w:tc>
        <w:tc>
          <w:tcPr>
            <w:tcW w:w="938" w:type="dxa"/>
            <w:tcBorders>
              <w:top w:val="nil"/>
              <w:left w:val="nil"/>
              <w:bottom w:val="single" w:sz="4" w:space="0" w:color="BFBFBF"/>
              <w:right w:val="single" w:sz="4" w:space="0" w:color="BFBFBF"/>
            </w:tcBorders>
            <w:shd w:val="clear" w:color="auto" w:fill="auto"/>
            <w:noWrap/>
            <w:vAlign w:val="center"/>
          </w:tcPr>
          <w:p w14:paraId="4ACA38FB" w14:textId="77777777" w:rsidR="003152E2" w:rsidRPr="00521DA8" w:rsidRDefault="003152E2" w:rsidP="003152E2">
            <w:pPr>
              <w:spacing w:before="0" w:after="0"/>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n=1,701</w:t>
            </w:r>
          </w:p>
        </w:tc>
        <w:tc>
          <w:tcPr>
            <w:tcW w:w="938" w:type="dxa"/>
            <w:tcBorders>
              <w:top w:val="nil"/>
              <w:left w:val="nil"/>
              <w:bottom w:val="single" w:sz="4" w:space="0" w:color="BFBFBF"/>
              <w:right w:val="single" w:sz="4" w:space="0" w:color="BFBFBF"/>
            </w:tcBorders>
            <w:shd w:val="clear" w:color="auto" w:fill="auto"/>
            <w:noWrap/>
            <w:vAlign w:val="center"/>
          </w:tcPr>
          <w:p w14:paraId="4AF8C668" w14:textId="77777777" w:rsidR="003152E2" w:rsidRPr="00521DA8" w:rsidRDefault="003152E2" w:rsidP="003152E2">
            <w:pPr>
              <w:spacing w:before="0" w:after="0"/>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n=1,803</w:t>
            </w:r>
          </w:p>
        </w:tc>
        <w:tc>
          <w:tcPr>
            <w:tcW w:w="938" w:type="dxa"/>
            <w:tcBorders>
              <w:top w:val="nil"/>
              <w:left w:val="nil"/>
              <w:bottom w:val="single" w:sz="4" w:space="0" w:color="BFBFBF"/>
              <w:right w:val="single" w:sz="4" w:space="0" w:color="BFBFBF"/>
            </w:tcBorders>
            <w:shd w:val="clear" w:color="auto" w:fill="auto"/>
            <w:noWrap/>
            <w:vAlign w:val="center"/>
          </w:tcPr>
          <w:p w14:paraId="44E059B9" w14:textId="77777777" w:rsidR="003152E2" w:rsidRPr="00521DA8" w:rsidRDefault="003152E2"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n=1,680</w:t>
            </w:r>
          </w:p>
        </w:tc>
        <w:tc>
          <w:tcPr>
            <w:tcW w:w="960" w:type="dxa"/>
            <w:vMerge/>
            <w:tcBorders>
              <w:top w:val="nil"/>
              <w:left w:val="single" w:sz="4" w:space="0" w:color="BFBFBF"/>
              <w:bottom w:val="single" w:sz="4" w:space="0" w:color="BFBFBF"/>
              <w:right w:val="single" w:sz="4" w:space="0" w:color="BFBFBF"/>
            </w:tcBorders>
            <w:vAlign w:val="center"/>
          </w:tcPr>
          <w:p w14:paraId="6DDEF528" w14:textId="77777777" w:rsidR="003152E2" w:rsidRPr="00521DA8" w:rsidRDefault="003152E2" w:rsidP="003152E2">
            <w:pPr>
              <w:spacing w:before="0" w:after="0"/>
              <w:rPr>
                <w:rFonts w:ascii="Arial" w:hAnsi="Arial" w:cs="Arial"/>
                <w:b/>
                <w:bCs/>
                <w:color w:val="000000"/>
                <w:sz w:val="16"/>
                <w:szCs w:val="16"/>
                <w:lang w:val="en-AU" w:eastAsia="en-AU"/>
              </w:rPr>
            </w:pPr>
          </w:p>
        </w:tc>
        <w:tc>
          <w:tcPr>
            <w:tcW w:w="960" w:type="dxa"/>
            <w:vMerge/>
            <w:tcBorders>
              <w:top w:val="nil"/>
              <w:left w:val="single" w:sz="4" w:space="0" w:color="BFBFBF"/>
              <w:bottom w:val="single" w:sz="4" w:space="0" w:color="BFBFBF"/>
              <w:right w:val="single" w:sz="4" w:space="0" w:color="BFBFBF"/>
            </w:tcBorders>
            <w:vAlign w:val="center"/>
          </w:tcPr>
          <w:p w14:paraId="1D6FEF67" w14:textId="77777777" w:rsidR="003152E2" w:rsidRPr="00521DA8" w:rsidRDefault="003152E2" w:rsidP="003152E2">
            <w:pPr>
              <w:spacing w:before="0" w:after="0"/>
              <w:rPr>
                <w:rFonts w:ascii="Arial" w:hAnsi="Arial" w:cs="Arial"/>
                <w:b/>
                <w:bCs/>
                <w:color w:val="000000"/>
                <w:sz w:val="16"/>
                <w:szCs w:val="16"/>
                <w:lang w:val="en-AU" w:eastAsia="en-AU"/>
              </w:rPr>
            </w:pPr>
          </w:p>
        </w:tc>
        <w:tc>
          <w:tcPr>
            <w:tcW w:w="960" w:type="dxa"/>
            <w:vMerge/>
            <w:tcBorders>
              <w:top w:val="nil"/>
              <w:left w:val="single" w:sz="4" w:space="0" w:color="BFBFBF"/>
              <w:bottom w:val="single" w:sz="4" w:space="0" w:color="BFBFBF"/>
              <w:right w:val="double" w:sz="4" w:space="0" w:color="auto"/>
            </w:tcBorders>
            <w:vAlign w:val="center"/>
          </w:tcPr>
          <w:p w14:paraId="6A3FFD3C" w14:textId="77777777" w:rsidR="003152E2" w:rsidRPr="00521DA8" w:rsidRDefault="003152E2" w:rsidP="003152E2">
            <w:pPr>
              <w:spacing w:before="0" w:after="0"/>
              <w:rPr>
                <w:rFonts w:ascii="Arial" w:hAnsi="Arial" w:cs="Arial"/>
                <w:b/>
                <w:bCs/>
                <w:color w:val="000000"/>
                <w:sz w:val="16"/>
                <w:szCs w:val="16"/>
                <w:lang w:val="en-AU" w:eastAsia="en-AU"/>
              </w:rPr>
            </w:pPr>
          </w:p>
        </w:tc>
      </w:tr>
      <w:tr w:rsidR="003152E2" w:rsidRPr="00521DA8" w14:paraId="0AD0F700" w14:textId="77777777" w:rsidTr="00D94827">
        <w:trPr>
          <w:trHeight w:val="225"/>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206637F6" w14:textId="77777777" w:rsidR="003152E2" w:rsidRPr="00521DA8" w:rsidRDefault="003152E2" w:rsidP="003152E2">
            <w:pPr>
              <w:spacing w:before="0" w:after="0"/>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By Region -</w:t>
            </w:r>
          </w:p>
        </w:tc>
        <w:tc>
          <w:tcPr>
            <w:tcW w:w="857" w:type="dxa"/>
            <w:tcBorders>
              <w:top w:val="nil"/>
              <w:left w:val="nil"/>
              <w:bottom w:val="single" w:sz="4" w:space="0" w:color="BFBFBF"/>
              <w:right w:val="single" w:sz="4" w:space="0" w:color="BFBFBF"/>
            </w:tcBorders>
            <w:shd w:val="clear" w:color="auto" w:fill="auto"/>
            <w:noWrap/>
            <w:vAlign w:val="bottom"/>
          </w:tcPr>
          <w:p w14:paraId="0C7DA4F3"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bottom"/>
          </w:tcPr>
          <w:p w14:paraId="4B2DA3D1"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bottom"/>
          </w:tcPr>
          <w:p w14:paraId="30F262D7"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1012" w:type="dxa"/>
            <w:tcBorders>
              <w:top w:val="nil"/>
              <w:left w:val="nil"/>
              <w:bottom w:val="single" w:sz="4" w:space="0" w:color="BFBFBF"/>
              <w:right w:val="single" w:sz="4" w:space="0" w:color="BFBFBF"/>
            </w:tcBorders>
            <w:shd w:val="clear" w:color="auto" w:fill="auto"/>
            <w:noWrap/>
            <w:vAlign w:val="center"/>
          </w:tcPr>
          <w:p w14:paraId="5DC6AABF"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299136A8"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42EA99A2"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1012" w:type="dxa"/>
            <w:tcBorders>
              <w:top w:val="nil"/>
              <w:left w:val="nil"/>
              <w:bottom w:val="single" w:sz="4" w:space="0" w:color="BFBFBF"/>
              <w:right w:val="single" w:sz="4" w:space="0" w:color="BFBFBF"/>
            </w:tcBorders>
            <w:shd w:val="clear" w:color="auto" w:fill="auto"/>
            <w:noWrap/>
            <w:vAlign w:val="center"/>
          </w:tcPr>
          <w:p w14:paraId="3D14A415"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5BE7975D"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5EA6AD8A"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3B5C7068"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bottom"/>
          </w:tcPr>
          <w:p w14:paraId="6451277C"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center"/>
          </w:tcPr>
          <w:p w14:paraId="1864BADB"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double" w:sz="4" w:space="0" w:color="auto"/>
            </w:tcBorders>
            <w:shd w:val="clear" w:color="auto" w:fill="auto"/>
            <w:noWrap/>
            <w:vAlign w:val="center"/>
          </w:tcPr>
          <w:p w14:paraId="6B61323B" w14:textId="77777777" w:rsidR="003152E2" w:rsidRPr="00521DA8" w:rsidRDefault="003152E2" w:rsidP="003152E2">
            <w:pPr>
              <w:spacing w:before="0" w:after="0"/>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r>
      <w:tr w:rsidR="00521DA8" w:rsidRPr="00521DA8" w14:paraId="706D4CD8"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0DA06E54"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521DA8">
                  <w:rPr>
                    <w:rFonts w:ascii="Arial" w:hAnsi="Arial" w:cs="Arial"/>
                    <w:color w:val="000000"/>
                    <w:sz w:val="16"/>
                    <w:szCs w:val="16"/>
                    <w:lang w:val="en-AU" w:eastAsia="en-AU"/>
                  </w:rPr>
                  <w:t>Melbourne</w:t>
                </w:r>
              </w:smartTag>
            </w:smartTag>
          </w:p>
        </w:tc>
        <w:tc>
          <w:tcPr>
            <w:tcW w:w="857" w:type="dxa"/>
            <w:tcBorders>
              <w:top w:val="nil"/>
              <w:left w:val="nil"/>
              <w:bottom w:val="single" w:sz="4" w:space="0" w:color="BFBFBF"/>
              <w:right w:val="single" w:sz="4" w:space="0" w:color="BFBFBF"/>
            </w:tcBorders>
            <w:shd w:val="clear" w:color="auto" w:fill="auto"/>
            <w:noWrap/>
            <w:vAlign w:val="center"/>
          </w:tcPr>
          <w:p w14:paraId="5EB5504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69</w:t>
            </w:r>
          </w:p>
        </w:tc>
        <w:tc>
          <w:tcPr>
            <w:tcW w:w="938" w:type="dxa"/>
            <w:tcBorders>
              <w:top w:val="nil"/>
              <w:left w:val="nil"/>
              <w:bottom w:val="single" w:sz="4" w:space="0" w:color="BFBFBF"/>
              <w:right w:val="single" w:sz="4" w:space="0" w:color="BFBFBF"/>
            </w:tcBorders>
            <w:shd w:val="clear" w:color="auto" w:fill="auto"/>
            <w:noWrap/>
            <w:vAlign w:val="center"/>
          </w:tcPr>
          <w:p w14:paraId="6CD488E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77</w:t>
            </w:r>
          </w:p>
        </w:tc>
        <w:tc>
          <w:tcPr>
            <w:tcW w:w="938" w:type="dxa"/>
            <w:tcBorders>
              <w:top w:val="nil"/>
              <w:left w:val="nil"/>
              <w:bottom w:val="single" w:sz="4" w:space="0" w:color="BFBFBF"/>
              <w:right w:val="single" w:sz="4" w:space="0" w:color="BFBFBF"/>
            </w:tcBorders>
            <w:shd w:val="clear" w:color="auto" w:fill="auto"/>
            <w:noWrap/>
            <w:vAlign w:val="center"/>
          </w:tcPr>
          <w:p w14:paraId="3094139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145</w:t>
            </w:r>
          </w:p>
        </w:tc>
        <w:tc>
          <w:tcPr>
            <w:tcW w:w="1012" w:type="dxa"/>
            <w:tcBorders>
              <w:top w:val="nil"/>
              <w:left w:val="nil"/>
              <w:bottom w:val="single" w:sz="4" w:space="0" w:color="BFBFBF"/>
              <w:right w:val="single" w:sz="4" w:space="0" w:color="BFBFBF"/>
            </w:tcBorders>
            <w:shd w:val="clear" w:color="auto" w:fill="auto"/>
            <w:noWrap/>
            <w:vAlign w:val="center"/>
          </w:tcPr>
          <w:p w14:paraId="3BBFE7B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92</w:t>
            </w:r>
          </w:p>
        </w:tc>
        <w:tc>
          <w:tcPr>
            <w:tcW w:w="938" w:type="dxa"/>
            <w:tcBorders>
              <w:top w:val="nil"/>
              <w:left w:val="nil"/>
              <w:bottom w:val="single" w:sz="4" w:space="0" w:color="BFBFBF"/>
              <w:right w:val="single" w:sz="4" w:space="0" w:color="BFBFBF"/>
            </w:tcBorders>
            <w:shd w:val="clear" w:color="auto" w:fill="auto"/>
            <w:noWrap/>
            <w:vAlign w:val="center"/>
          </w:tcPr>
          <w:p w14:paraId="4C290DE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111</w:t>
            </w:r>
          </w:p>
        </w:tc>
        <w:tc>
          <w:tcPr>
            <w:tcW w:w="938" w:type="dxa"/>
            <w:tcBorders>
              <w:top w:val="nil"/>
              <w:left w:val="nil"/>
              <w:bottom w:val="single" w:sz="4" w:space="0" w:color="BFBFBF"/>
              <w:right w:val="single" w:sz="4" w:space="0" w:color="BFBFBF"/>
            </w:tcBorders>
            <w:shd w:val="clear" w:color="auto" w:fill="auto"/>
            <w:noWrap/>
            <w:vAlign w:val="center"/>
          </w:tcPr>
          <w:p w14:paraId="5E0645A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203</w:t>
            </w:r>
          </w:p>
        </w:tc>
        <w:tc>
          <w:tcPr>
            <w:tcW w:w="1012" w:type="dxa"/>
            <w:tcBorders>
              <w:top w:val="nil"/>
              <w:left w:val="nil"/>
              <w:bottom w:val="single" w:sz="4" w:space="0" w:color="BFBFBF"/>
              <w:right w:val="single" w:sz="4" w:space="0" w:color="BFBFBF"/>
            </w:tcBorders>
            <w:shd w:val="clear" w:color="auto" w:fill="auto"/>
            <w:noWrap/>
            <w:vAlign w:val="center"/>
          </w:tcPr>
          <w:p w14:paraId="31AA29F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147</w:t>
            </w:r>
          </w:p>
        </w:tc>
        <w:tc>
          <w:tcPr>
            <w:tcW w:w="938" w:type="dxa"/>
            <w:tcBorders>
              <w:top w:val="nil"/>
              <w:left w:val="nil"/>
              <w:bottom w:val="single" w:sz="4" w:space="0" w:color="BFBFBF"/>
              <w:right w:val="single" w:sz="4" w:space="0" w:color="BFBFBF"/>
            </w:tcBorders>
            <w:shd w:val="clear" w:color="auto" w:fill="auto"/>
            <w:noWrap/>
            <w:vAlign w:val="center"/>
          </w:tcPr>
          <w:p w14:paraId="6819124B"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108</w:t>
            </w:r>
          </w:p>
        </w:tc>
        <w:tc>
          <w:tcPr>
            <w:tcW w:w="938" w:type="dxa"/>
            <w:tcBorders>
              <w:top w:val="nil"/>
              <w:left w:val="nil"/>
              <w:bottom w:val="single" w:sz="4" w:space="0" w:color="BFBFBF"/>
              <w:right w:val="single" w:sz="4" w:space="0" w:color="BFBFBF"/>
            </w:tcBorders>
            <w:shd w:val="clear" w:color="auto" w:fill="auto"/>
            <w:noWrap/>
            <w:vAlign w:val="center"/>
          </w:tcPr>
          <w:p w14:paraId="24DFA31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254</w:t>
            </w:r>
          </w:p>
        </w:tc>
        <w:tc>
          <w:tcPr>
            <w:tcW w:w="938" w:type="dxa"/>
            <w:tcBorders>
              <w:top w:val="nil"/>
              <w:left w:val="nil"/>
              <w:bottom w:val="single" w:sz="4" w:space="0" w:color="BFBFBF"/>
              <w:right w:val="single" w:sz="4" w:space="0" w:color="BFBFBF"/>
            </w:tcBorders>
            <w:shd w:val="clear" w:color="auto" w:fill="auto"/>
            <w:noWrap/>
            <w:vAlign w:val="center"/>
          </w:tcPr>
          <w:p w14:paraId="3281372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220</w:t>
            </w:r>
          </w:p>
        </w:tc>
        <w:tc>
          <w:tcPr>
            <w:tcW w:w="960" w:type="dxa"/>
            <w:tcBorders>
              <w:top w:val="nil"/>
              <w:left w:val="nil"/>
              <w:bottom w:val="single" w:sz="4" w:space="0" w:color="BFBFBF"/>
              <w:right w:val="single" w:sz="4" w:space="0" w:color="BFBFBF"/>
            </w:tcBorders>
            <w:shd w:val="clear" w:color="auto" w:fill="auto"/>
            <w:noWrap/>
            <w:vAlign w:val="bottom"/>
          </w:tcPr>
          <w:p w14:paraId="222E7033"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-28.5%</w:t>
            </w:r>
          </w:p>
        </w:tc>
        <w:tc>
          <w:tcPr>
            <w:tcW w:w="960" w:type="dxa"/>
            <w:tcBorders>
              <w:top w:val="nil"/>
              <w:left w:val="nil"/>
              <w:bottom w:val="single" w:sz="4" w:space="0" w:color="BFBFBF"/>
              <w:right w:val="single" w:sz="4" w:space="0" w:color="BFBFBF"/>
            </w:tcBorders>
            <w:shd w:val="clear" w:color="auto" w:fill="auto"/>
            <w:noWrap/>
            <w:vAlign w:val="center"/>
          </w:tcPr>
          <w:p w14:paraId="6A93068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-20.1%</w:t>
            </w:r>
          </w:p>
        </w:tc>
        <w:tc>
          <w:tcPr>
            <w:tcW w:w="960" w:type="dxa"/>
            <w:tcBorders>
              <w:top w:val="nil"/>
              <w:left w:val="nil"/>
              <w:bottom w:val="single" w:sz="4" w:space="0" w:color="BFBFBF"/>
              <w:right w:val="double" w:sz="4" w:space="0" w:color="auto"/>
            </w:tcBorders>
            <w:shd w:val="clear" w:color="auto" w:fill="auto"/>
            <w:noWrap/>
            <w:vAlign w:val="center"/>
          </w:tcPr>
          <w:p w14:paraId="256D62A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15.5%</w:t>
            </w:r>
          </w:p>
        </w:tc>
      </w:tr>
      <w:tr w:rsidR="00521DA8" w:rsidRPr="00521DA8" w14:paraId="0037838C"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2C29E791"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Country VIC</w:t>
            </w:r>
          </w:p>
        </w:tc>
        <w:tc>
          <w:tcPr>
            <w:tcW w:w="857" w:type="dxa"/>
            <w:tcBorders>
              <w:top w:val="nil"/>
              <w:left w:val="nil"/>
              <w:bottom w:val="single" w:sz="4" w:space="0" w:color="BFBFBF"/>
              <w:right w:val="single" w:sz="4" w:space="0" w:color="BFBFBF"/>
            </w:tcBorders>
            <w:shd w:val="clear" w:color="auto" w:fill="auto"/>
            <w:noWrap/>
            <w:vAlign w:val="center"/>
          </w:tcPr>
          <w:p w14:paraId="5EA56B2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114</w:t>
            </w:r>
          </w:p>
        </w:tc>
        <w:tc>
          <w:tcPr>
            <w:tcW w:w="938" w:type="dxa"/>
            <w:tcBorders>
              <w:top w:val="nil"/>
              <w:left w:val="nil"/>
              <w:bottom w:val="single" w:sz="4" w:space="0" w:color="BFBFBF"/>
              <w:right w:val="single" w:sz="4" w:space="0" w:color="BFBFBF"/>
            </w:tcBorders>
            <w:shd w:val="clear" w:color="auto" w:fill="auto"/>
            <w:noWrap/>
            <w:vAlign w:val="center"/>
          </w:tcPr>
          <w:p w14:paraId="0B0BDFC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104</w:t>
            </w:r>
          </w:p>
        </w:tc>
        <w:tc>
          <w:tcPr>
            <w:tcW w:w="938" w:type="dxa"/>
            <w:tcBorders>
              <w:top w:val="nil"/>
              <w:left w:val="nil"/>
              <w:bottom w:val="single" w:sz="4" w:space="0" w:color="BFBFBF"/>
              <w:right w:val="single" w:sz="4" w:space="0" w:color="BFBFBF"/>
            </w:tcBorders>
            <w:shd w:val="clear" w:color="auto" w:fill="auto"/>
            <w:noWrap/>
            <w:vAlign w:val="center"/>
          </w:tcPr>
          <w:p w14:paraId="61959D4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217</w:t>
            </w:r>
          </w:p>
        </w:tc>
        <w:tc>
          <w:tcPr>
            <w:tcW w:w="1012" w:type="dxa"/>
            <w:tcBorders>
              <w:top w:val="nil"/>
              <w:left w:val="nil"/>
              <w:bottom w:val="single" w:sz="4" w:space="0" w:color="BFBFBF"/>
              <w:right w:val="single" w:sz="4" w:space="0" w:color="BFBFBF"/>
            </w:tcBorders>
            <w:shd w:val="clear" w:color="auto" w:fill="auto"/>
            <w:noWrap/>
            <w:vAlign w:val="center"/>
          </w:tcPr>
          <w:p w14:paraId="43BEA20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129</w:t>
            </w:r>
          </w:p>
        </w:tc>
        <w:tc>
          <w:tcPr>
            <w:tcW w:w="938" w:type="dxa"/>
            <w:tcBorders>
              <w:top w:val="nil"/>
              <w:left w:val="nil"/>
              <w:bottom w:val="single" w:sz="4" w:space="0" w:color="BFBFBF"/>
              <w:right w:val="single" w:sz="4" w:space="0" w:color="BFBFBF"/>
            </w:tcBorders>
            <w:shd w:val="clear" w:color="auto" w:fill="auto"/>
            <w:noWrap/>
            <w:vAlign w:val="center"/>
          </w:tcPr>
          <w:p w14:paraId="035AB11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115</w:t>
            </w:r>
          </w:p>
        </w:tc>
        <w:tc>
          <w:tcPr>
            <w:tcW w:w="938" w:type="dxa"/>
            <w:tcBorders>
              <w:top w:val="nil"/>
              <w:left w:val="nil"/>
              <w:bottom w:val="single" w:sz="4" w:space="0" w:color="BFBFBF"/>
              <w:right w:val="single" w:sz="4" w:space="0" w:color="BFBFBF"/>
            </w:tcBorders>
            <w:shd w:val="clear" w:color="auto" w:fill="auto"/>
            <w:noWrap/>
            <w:vAlign w:val="center"/>
          </w:tcPr>
          <w:p w14:paraId="4948DBA8"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244</w:t>
            </w:r>
          </w:p>
        </w:tc>
        <w:tc>
          <w:tcPr>
            <w:tcW w:w="1012" w:type="dxa"/>
            <w:tcBorders>
              <w:top w:val="nil"/>
              <w:left w:val="nil"/>
              <w:bottom w:val="single" w:sz="4" w:space="0" w:color="BFBFBF"/>
              <w:right w:val="single" w:sz="4" w:space="0" w:color="BFBFBF"/>
            </w:tcBorders>
            <w:shd w:val="clear" w:color="auto" w:fill="auto"/>
            <w:noWrap/>
            <w:vAlign w:val="center"/>
          </w:tcPr>
          <w:p w14:paraId="0B1F922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200</w:t>
            </w:r>
          </w:p>
        </w:tc>
        <w:tc>
          <w:tcPr>
            <w:tcW w:w="938" w:type="dxa"/>
            <w:tcBorders>
              <w:top w:val="nil"/>
              <w:left w:val="nil"/>
              <w:bottom w:val="single" w:sz="4" w:space="0" w:color="BFBFBF"/>
              <w:right w:val="single" w:sz="4" w:space="0" w:color="BFBFBF"/>
            </w:tcBorders>
            <w:shd w:val="clear" w:color="auto" w:fill="auto"/>
            <w:noWrap/>
            <w:vAlign w:val="center"/>
          </w:tcPr>
          <w:p w14:paraId="5535A42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165</w:t>
            </w:r>
          </w:p>
        </w:tc>
        <w:tc>
          <w:tcPr>
            <w:tcW w:w="938" w:type="dxa"/>
            <w:tcBorders>
              <w:top w:val="nil"/>
              <w:left w:val="nil"/>
              <w:bottom w:val="single" w:sz="4" w:space="0" w:color="BFBFBF"/>
              <w:right w:val="single" w:sz="4" w:space="0" w:color="BFBFBF"/>
            </w:tcBorders>
            <w:shd w:val="clear" w:color="auto" w:fill="auto"/>
            <w:noWrap/>
            <w:vAlign w:val="center"/>
          </w:tcPr>
          <w:p w14:paraId="05E72D6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333</w:t>
            </w:r>
          </w:p>
        </w:tc>
        <w:tc>
          <w:tcPr>
            <w:tcW w:w="938" w:type="dxa"/>
            <w:tcBorders>
              <w:top w:val="nil"/>
              <w:left w:val="nil"/>
              <w:bottom w:val="single" w:sz="4" w:space="0" w:color="BFBFBF"/>
              <w:right w:val="single" w:sz="4" w:space="0" w:color="BFBFBF"/>
            </w:tcBorders>
            <w:shd w:val="clear" w:color="auto" w:fill="auto"/>
            <w:noWrap/>
            <w:vAlign w:val="center"/>
          </w:tcPr>
          <w:p w14:paraId="10C6B6D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281</w:t>
            </w:r>
          </w:p>
        </w:tc>
        <w:tc>
          <w:tcPr>
            <w:tcW w:w="960" w:type="dxa"/>
            <w:tcBorders>
              <w:top w:val="nil"/>
              <w:left w:val="nil"/>
              <w:bottom w:val="single" w:sz="4" w:space="0" w:color="BFBFBF"/>
              <w:right w:val="single" w:sz="4" w:space="0" w:color="BFBFBF"/>
            </w:tcBorders>
            <w:shd w:val="clear" w:color="auto" w:fill="auto"/>
            <w:noWrap/>
            <w:vAlign w:val="bottom"/>
          </w:tcPr>
          <w:p w14:paraId="3260524F"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-11.0%</w:t>
            </w:r>
          </w:p>
        </w:tc>
        <w:tc>
          <w:tcPr>
            <w:tcW w:w="960" w:type="dxa"/>
            <w:tcBorders>
              <w:top w:val="nil"/>
              <w:left w:val="nil"/>
              <w:bottom w:val="single" w:sz="4" w:space="0" w:color="BFBFBF"/>
              <w:right w:val="single" w:sz="4" w:space="0" w:color="BFBFBF"/>
            </w:tcBorders>
            <w:shd w:val="clear" w:color="auto" w:fill="auto"/>
            <w:noWrap/>
            <w:vAlign w:val="center"/>
          </w:tcPr>
          <w:p w14:paraId="3442672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-26.7%</w:t>
            </w:r>
          </w:p>
        </w:tc>
        <w:tc>
          <w:tcPr>
            <w:tcW w:w="960" w:type="dxa"/>
            <w:tcBorders>
              <w:top w:val="nil"/>
              <w:left w:val="nil"/>
              <w:bottom w:val="single" w:sz="4" w:space="0" w:color="BFBFBF"/>
              <w:right w:val="double" w:sz="4" w:space="0" w:color="auto"/>
            </w:tcBorders>
            <w:shd w:val="clear" w:color="auto" w:fill="auto"/>
            <w:noWrap/>
            <w:vAlign w:val="center"/>
          </w:tcPr>
          <w:p w14:paraId="727B534C"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18.5%</w:t>
            </w:r>
          </w:p>
        </w:tc>
      </w:tr>
      <w:tr w:rsidR="00521DA8" w:rsidRPr="00521DA8" w14:paraId="03EB7198"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6CBE4BED" w14:textId="39EE33ED" w:rsidR="00521DA8" w:rsidRPr="00521DA8" w:rsidRDefault="00BC6314" w:rsidP="003152E2">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521DA8" w:rsidRPr="00521DA8">
              <w:rPr>
                <w:rFonts w:ascii="Arial" w:hAnsi="Arial" w:cs="Arial"/>
                <w:color w:val="000000"/>
                <w:sz w:val="16"/>
                <w:szCs w:val="16"/>
                <w:lang w:val="en-AU" w:eastAsia="en-AU"/>
              </w:rPr>
              <w:t>s</w:t>
            </w:r>
          </w:p>
        </w:tc>
        <w:tc>
          <w:tcPr>
            <w:tcW w:w="857" w:type="dxa"/>
            <w:tcBorders>
              <w:top w:val="nil"/>
              <w:left w:val="nil"/>
              <w:bottom w:val="single" w:sz="4" w:space="0" w:color="BFBFBF"/>
              <w:right w:val="single" w:sz="4" w:space="0" w:color="BFBFBF"/>
            </w:tcBorders>
            <w:shd w:val="clear" w:color="auto" w:fill="auto"/>
            <w:noWrap/>
            <w:vAlign w:val="center"/>
          </w:tcPr>
          <w:p w14:paraId="5B73BA8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158</w:t>
            </w:r>
          </w:p>
        </w:tc>
        <w:tc>
          <w:tcPr>
            <w:tcW w:w="938" w:type="dxa"/>
            <w:tcBorders>
              <w:top w:val="nil"/>
              <w:left w:val="nil"/>
              <w:bottom w:val="single" w:sz="4" w:space="0" w:color="BFBFBF"/>
              <w:right w:val="single" w:sz="4" w:space="0" w:color="BFBFBF"/>
            </w:tcBorders>
            <w:shd w:val="clear" w:color="auto" w:fill="auto"/>
            <w:noWrap/>
            <w:vAlign w:val="center"/>
          </w:tcPr>
          <w:p w14:paraId="01C7F02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113</w:t>
            </w:r>
          </w:p>
        </w:tc>
        <w:tc>
          <w:tcPr>
            <w:tcW w:w="938" w:type="dxa"/>
            <w:tcBorders>
              <w:top w:val="nil"/>
              <w:left w:val="nil"/>
              <w:bottom w:val="single" w:sz="4" w:space="0" w:color="BFBFBF"/>
              <w:right w:val="single" w:sz="4" w:space="0" w:color="BFBFBF"/>
            </w:tcBorders>
            <w:shd w:val="clear" w:color="auto" w:fill="auto"/>
            <w:noWrap/>
            <w:vAlign w:val="center"/>
          </w:tcPr>
          <w:p w14:paraId="6E553F4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267</w:t>
            </w:r>
          </w:p>
        </w:tc>
        <w:tc>
          <w:tcPr>
            <w:tcW w:w="1012" w:type="dxa"/>
            <w:tcBorders>
              <w:top w:val="nil"/>
              <w:left w:val="nil"/>
              <w:bottom w:val="single" w:sz="4" w:space="0" w:color="BFBFBF"/>
              <w:right w:val="single" w:sz="4" w:space="0" w:color="BFBFBF"/>
            </w:tcBorders>
            <w:shd w:val="clear" w:color="auto" w:fill="auto"/>
            <w:noWrap/>
            <w:vAlign w:val="center"/>
          </w:tcPr>
          <w:p w14:paraId="5769F76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163</w:t>
            </w:r>
          </w:p>
        </w:tc>
        <w:tc>
          <w:tcPr>
            <w:tcW w:w="938" w:type="dxa"/>
            <w:tcBorders>
              <w:top w:val="nil"/>
              <w:left w:val="nil"/>
              <w:bottom w:val="single" w:sz="4" w:space="0" w:color="BFBFBF"/>
              <w:right w:val="single" w:sz="4" w:space="0" w:color="BFBFBF"/>
            </w:tcBorders>
            <w:shd w:val="clear" w:color="auto" w:fill="auto"/>
            <w:noWrap/>
            <w:vAlign w:val="center"/>
          </w:tcPr>
          <w:p w14:paraId="17448B5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132</w:t>
            </w:r>
          </w:p>
        </w:tc>
        <w:tc>
          <w:tcPr>
            <w:tcW w:w="938" w:type="dxa"/>
            <w:tcBorders>
              <w:top w:val="nil"/>
              <w:left w:val="nil"/>
              <w:bottom w:val="single" w:sz="4" w:space="0" w:color="BFBFBF"/>
              <w:right w:val="single" w:sz="4" w:space="0" w:color="BFBFBF"/>
            </w:tcBorders>
            <w:shd w:val="clear" w:color="auto" w:fill="auto"/>
            <w:noWrap/>
            <w:vAlign w:val="center"/>
          </w:tcPr>
          <w:p w14:paraId="3BA1BA6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297</w:t>
            </w:r>
          </w:p>
        </w:tc>
        <w:tc>
          <w:tcPr>
            <w:tcW w:w="1012" w:type="dxa"/>
            <w:tcBorders>
              <w:top w:val="nil"/>
              <w:left w:val="nil"/>
              <w:bottom w:val="single" w:sz="4" w:space="0" w:color="BFBFBF"/>
              <w:right w:val="single" w:sz="4" w:space="0" w:color="BFBFBF"/>
            </w:tcBorders>
            <w:shd w:val="clear" w:color="auto" w:fill="auto"/>
            <w:noWrap/>
            <w:vAlign w:val="center"/>
          </w:tcPr>
          <w:p w14:paraId="4678032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051E39A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7395810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49838B1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bottom"/>
          </w:tcPr>
          <w:p w14:paraId="567C9965"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-10.2%</w:t>
            </w:r>
          </w:p>
        </w:tc>
        <w:tc>
          <w:tcPr>
            <w:tcW w:w="960" w:type="dxa"/>
            <w:tcBorders>
              <w:top w:val="nil"/>
              <w:left w:val="nil"/>
              <w:bottom w:val="single" w:sz="4" w:space="0" w:color="BFBFBF"/>
              <w:right w:val="single" w:sz="4" w:space="0" w:color="BFBFBF"/>
            </w:tcBorders>
            <w:shd w:val="clear" w:color="auto" w:fill="auto"/>
            <w:noWrap/>
            <w:vAlign w:val="center"/>
          </w:tcPr>
          <w:p w14:paraId="0515AAE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2B4B543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5A7D48C4"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7A7187FE" w14:textId="77777777" w:rsidR="00521DA8" w:rsidRPr="00521DA8" w:rsidRDefault="00521DA8" w:rsidP="003152E2">
            <w:pPr>
              <w:spacing w:before="0" w:after="0"/>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By DHHS Area -</w:t>
            </w:r>
          </w:p>
        </w:tc>
        <w:tc>
          <w:tcPr>
            <w:tcW w:w="857" w:type="dxa"/>
            <w:tcBorders>
              <w:top w:val="nil"/>
              <w:left w:val="nil"/>
              <w:bottom w:val="single" w:sz="4" w:space="0" w:color="BFBFBF"/>
              <w:right w:val="single" w:sz="4" w:space="0" w:color="BFBFBF"/>
            </w:tcBorders>
            <w:shd w:val="clear" w:color="auto" w:fill="auto"/>
            <w:noWrap/>
            <w:vAlign w:val="center"/>
          </w:tcPr>
          <w:p w14:paraId="707B08D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3B0E295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2954F2B5"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1012" w:type="dxa"/>
            <w:tcBorders>
              <w:top w:val="nil"/>
              <w:left w:val="nil"/>
              <w:bottom w:val="single" w:sz="4" w:space="0" w:color="BFBFBF"/>
              <w:right w:val="single" w:sz="4" w:space="0" w:color="BFBFBF"/>
            </w:tcBorders>
            <w:shd w:val="clear" w:color="auto" w:fill="auto"/>
            <w:noWrap/>
            <w:vAlign w:val="center"/>
          </w:tcPr>
          <w:p w14:paraId="3AEFC62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1B9162B8"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3384E83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1012" w:type="dxa"/>
            <w:tcBorders>
              <w:top w:val="nil"/>
              <w:left w:val="nil"/>
              <w:bottom w:val="single" w:sz="4" w:space="0" w:color="BFBFBF"/>
              <w:right w:val="single" w:sz="4" w:space="0" w:color="BFBFBF"/>
            </w:tcBorders>
            <w:shd w:val="clear" w:color="auto" w:fill="auto"/>
            <w:noWrap/>
            <w:vAlign w:val="center"/>
          </w:tcPr>
          <w:p w14:paraId="0CCC4DE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14D4A5C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3CE8927E"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4148C56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bottom"/>
          </w:tcPr>
          <w:p w14:paraId="1FC94A1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center"/>
          </w:tcPr>
          <w:p w14:paraId="082C607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double" w:sz="4" w:space="0" w:color="auto"/>
            </w:tcBorders>
            <w:shd w:val="clear" w:color="auto" w:fill="auto"/>
            <w:noWrap/>
            <w:vAlign w:val="center"/>
          </w:tcPr>
          <w:p w14:paraId="297DCF0F"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r>
      <w:tr w:rsidR="00521DA8" w:rsidRPr="00521DA8" w14:paraId="3E1EB83F"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135D6AA3"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Hume Moreland</w:t>
            </w:r>
          </w:p>
        </w:tc>
        <w:tc>
          <w:tcPr>
            <w:tcW w:w="857" w:type="dxa"/>
            <w:tcBorders>
              <w:top w:val="nil"/>
              <w:left w:val="nil"/>
              <w:bottom w:val="single" w:sz="4" w:space="0" w:color="BFBFBF"/>
              <w:right w:val="single" w:sz="4" w:space="0" w:color="BFBFBF"/>
            </w:tcBorders>
            <w:shd w:val="clear" w:color="auto" w:fill="auto"/>
            <w:noWrap/>
            <w:vAlign w:val="center"/>
          </w:tcPr>
          <w:p w14:paraId="01D0A41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72</w:t>
            </w:r>
          </w:p>
        </w:tc>
        <w:tc>
          <w:tcPr>
            <w:tcW w:w="938" w:type="dxa"/>
            <w:tcBorders>
              <w:top w:val="nil"/>
              <w:left w:val="nil"/>
              <w:bottom w:val="single" w:sz="4" w:space="0" w:color="BFBFBF"/>
              <w:right w:val="single" w:sz="4" w:space="0" w:color="BFBFBF"/>
            </w:tcBorders>
            <w:shd w:val="clear" w:color="auto" w:fill="auto"/>
            <w:noWrap/>
            <w:vAlign w:val="center"/>
          </w:tcPr>
          <w:p w14:paraId="3C34CF8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72</w:t>
            </w:r>
          </w:p>
        </w:tc>
        <w:tc>
          <w:tcPr>
            <w:tcW w:w="938" w:type="dxa"/>
            <w:tcBorders>
              <w:top w:val="nil"/>
              <w:left w:val="nil"/>
              <w:bottom w:val="single" w:sz="4" w:space="0" w:color="BFBFBF"/>
              <w:right w:val="single" w:sz="4" w:space="0" w:color="BFBFBF"/>
            </w:tcBorders>
            <w:shd w:val="clear" w:color="auto" w:fill="auto"/>
            <w:noWrap/>
            <w:vAlign w:val="center"/>
          </w:tcPr>
          <w:p w14:paraId="5109D2C5"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144</w:t>
            </w:r>
          </w:p>
        </w:tc>
        <w:tc>
          <w:tcPr>
            <w:tcW w:w="1012" w:type="dxa"/>
            <w:tcBorders>
              <w:top w:val="nil"/>
              <w:left w:val="nil"/>
              <w:bottom w:val="single" w:sz="4" w:space="0" w:color="BFBFBF"/>
              <w:right w:val="single" w:sz="4" w:space="0" w:color="BFBFBF"/>
            </w:tcBorders>
            <w:shd w:val="clear" w:color="auto" w:fill="auto"/>
            <w:noWrap/>
            <w:vAlign w:val="center"/>
          </w:tcPr>
          <w:p w14:paraId="00E7BBEB"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5520CC8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6652828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0666382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1A860CF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23AC017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18C0689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2878BA67"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3A93C39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51C2ED8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0AC84702"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3B8F13D1"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North Eastern Melbourne</w:t>
            </w:r>
          </w:p>
        </w:tc>
        <w:tc>
          <w:tcPr>
            <w:tcW w:w="857" w:type="dxa"/>
            <w:tcBorders>
              <w:top w:val="nil"/>
              <w:left w:val="nil"/>
              <w:bottom w:val="single" w:sz="4" w:space="0" w:color="BFBFBF"/>
              <w:right w:val="single" w:sz="4" w:space="0" w:color="BFBFBF"/>
            </w:tcBorders>
            <w:shd w:val="clear" w:color="auto" w:fill="auto"/>
            <w:noWrap/>
            <w:vAlign w:val="center"/>
          </w:tcPr>
          <w:p w14:paraId="7AF804F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74</w:t>
            </w:r>
          </w:p>
        </w:tc>
        <w:tc>
          <w:tcPr>
            <w:tcW w:w="938" w:type="dxa"/>
            <w:tcBorders>
              <w:top w:val="nil"/>
              <w:left w:val="nil"/>
              <w:bottom w:val="single" w:sz="4" w:space="0" w:color="BFBFBF"/>
              <w:right w:val="single" w:sz="4" w:space="0" w:color="BFBFBF"/>
            </w:tcBorders>
            <w:shd w:val="clear" w:color="auto" w:fill="auto"/>
            <w:noWrap/>
            <w:vAlign w:val="center"/>
          </w:tcPr>
          <w:p w14:paraId="17E3D2AC"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80</w:t>
            </w:r>
          </w:p>
        </w:tc>
        <w:tc>
          <w:tcPr>
            <w:tcW w:w="938" w:type="dxa"/>
            <w:tcBorders>
              <w:top w:val="nil"/>
              <w:left w:val="nil"/>
              <w:bottom w:val="single" w:sz="4" w:space="0" w:color="BFBFBF"/>
              <w:right w:val="single" w:sz="4" w:space="0" w:color="BFBFBF"/>
            </w:tcBorders>
            <w:shd w:val="clear" w:color="auto" w:fill="auto"/>
            <w:noWrap/>
            <w:vAlign w:val="center"/>
          </w:tcPr>
          <w:p w14:paraId="1A15E10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153</w:t>
            </w:r>
          </w:p>
        </w:tc>
        <w:tc>
          <w:tcPr>
            <w:tcW w:w="1012" w:type="dxa"/>
            <w:tcBorders>
              <w:top w:val="nil"/>
              <w:left w:val="nil"/>
              <w:bottom w:val="single" w:sz="4" w:space="0" w:color="BFBFBF"/>
              <w:right w:val="single" w:sz="4" w:space="0" w:color="BFBFBF"/>
            </w:tcBorders>
            <w:shd w:val="clear" w:color="auto" w:fill="auto"/>
            <w:noWrap/>
            <w:vAlign w:val="center"/>
          </w:tcPr>
          <w:p w14:paraId="5466D3D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07DA849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651DCE1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4377AFB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619C6F7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496C473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59F440C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0A64DBB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5A4CFC4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5676131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2709FDD2"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4058DACA"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 xml:space="preserve">Outer </w:t>
            </w:r>
            <w:smartTag w:uri="urn:schemas-microsoft-com:office:smarttags" w:element="place">
              <w:r w:rsidRPr="00521DA8">
                <w:rPr>
                  <w:rFonts w:ascii="Arial" w:hAnsi="Arial" w:cs="Arial"/>
                  <w:color w:val="000000"/>
                  <w:sz w:val="16"/>
                  <w:szCs w:val="16"/>
                  <w:lang w:val="en-AU" w:eastAsia="en-AU"/>
                </w:rPr>
                <w:t>Eastern Melbourne</w:t>
              </w:r>
            </w:smartTag>
          </w:p>
        </w:tc>
        <w:tc>
          <w:tcPr>
            <w:tcW w:w="857" w:type="dxa"/>
            <w:tcBorders>
              <w:top w:val="nil"/>
              <w:left w:val="nil"/>
              <w:bottom w:val="single" w:sz="4" w:space="0" w:color="BFBFBF"/>
              <w:right w:val="single" w:sz="4" w:space="0" w:color="BFBFBF"/>
            </w:tcBorders>
            <w:shd w:val="clear" w:color="auto" w:fill="auto"/>
            <w:noWrap/>
            <w:vAlign w:val="center"/>
          </w:tcPr>
          <w:p w14:paraId="2BCE40A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51</w:t>
            </w:r>
          </w:p>
        </w:tc>
        <w:tc>
          <w:tcPr>
            <w:tcW w:w="938" w:type="dxa"/>
            <w:tcBorders>
              <w:top w:val="nil"/>
              <w:left w:val="nil"/>
              <w:bottom w:val="single" w:sz="4" w:space="0" w:color="BFBFBF"/>
              <w:right w:val="single" w:sz="4" w:space="0" w:color="BFBFBF"/>
            </w:tcBorders>
            <w:shd w:val="clear" w:color="auto" w:fill="auto"/>
            <w:noWrap/>
            <w:vAlign w:val="center"/>
          </w:tcPr>
          <w:p w14:paraId="229385F6"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75</w:t>
            </w:r>
          </w:p>
        </w:tc>
        <w:tc>
          <w:tcPr>
            <w:tcW w:w="938" w:type="dxa"/>
            <w:tcBorders>
              <w:top w:val="nil"/>
              <w:left w:val="nil"/>
              <w:bottom w:val="single" w:sz="4" w:space="0" w:color="BFBFBF"/>
              <w:right w:val="single" w:sz="4" w:space="0" w:color="BFBFBF"/>
            </w:tcBorders>
            <w:shd w:val="clear" w:color="auto" w:fill="auto"/>
            <w:noWrap/>
            <w:vAlign w:val="center"/>
          </w:tcPr>
          <w:p w14:paraId="1086FDCB"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127</w:t>
            </w:r>
          </w:p>
        </w:tc>
        <w:tc>
          <w:tcPr>
            <w:tcW w:w="1012" w:type="dxa"/>
            <w:tcBorders>
              <w:top w:val="nil"/>
              <w:left w:val="nil"/>
              <w:bottom w:val="single" w:sz="4" w:space="0" w:color="BFBFBF"/>
              <w:right w:val="single" w:sz="4" w:space="0" w:color="BFBFBF"/>
            </w:tcBorders>
            <w:shd w:val="clear" w:color="auto" w:fill="auto"/>
            <w:noWrap/>
            <w:vAlign w:val="center"/>
          </w:tcPr>
          <w:p w14:paraId="25C31CE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4938A0A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1C79407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72AA64A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0DE5261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2AF2900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368C305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3B2649C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46E818A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51077B17"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0CF64004"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455B1A4F"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 xml:space="preserve">Inner </w:t>
            </w:r>
            <w:smartTag w:uri="urn:schemas-microsoft-com:office:smarttags" w:element="place">
              <w:r w:rsidRPr="00521DA8">
                <w:rPr>
                  <w:rFonts w:ascii="Arial" w:hAnsi="Arial" w:cs="Arial"/>
                  <w:color w:val="000000"/>
                  <w:sz w:val="16"/>
                  <w:szCs w:val="16"/>
                  <w:lang w:val="en-AU" w:eastAsia="en-AU"/>
                </w:rPr>
                <w:t>Eastern Melbourne</w:t>
              </w:r>
            </w:smartTag>
          </w:p>
        </w:tc>
        <w:tc>
          <w:tcPr>
            <w:tcW w:w="857" w:type="dxa"/>
            <w:tcBorders>
              <w:top w:val="nil"/>
              <w:left w:val="nil"/>
              <w:bottom w:val="single" w:sz="4" w:space="0" w:color="BFBFBF"/>
              <w:right w:val="single" w:sz="4" w:space="0" w:color="BFBFBF"/>
            </w:tcBorders>
            <w:shd w:val="clear" w:color="auto" w:fill="auto"/>
            <w:noWrap/>
            <w:vAlign w:val="center"/>
          </w:tcPr>
          <w:p w14:paraId="530D2B4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65</w:t>
            </w:r>
          </w:p>
        </w:tc>
        <w:tc>
          <w:tcPr>
            <w:tcW w:w="938" w:type="dxa"/>
            <w:tcBorders>
              <w:top w:val="nil"/>
              <w:left w:val="nil"/>
              <w:bottom w:val="single" w:sz="4" w:space="0" w:color="BFBFBF"/>
              <w:right w:val="single" w:sz="4" w:space="0" w:color="BFBFBF"/>
            </w:tcBorders>
            <w:shd w:val="clear" w:color="auto" w:fill="auto"/>
            <w:noWrap/>
            <w:vAlign w:val="center"/>
          </w:tcPr>
          <w:p w14:paraId="3B432AA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81</w:t>
            </w:r>
          </w:p>
        </w:tc>
        <w:tc>
          <w:tcPr>
            <w:tcW w:w="938" w:type="dxa"/>
            <w:tcBorders>
              <w:top w:val="nil"/>
              <w:left w:val="nil"/>
              <w:bottom w:val="single" w:sz="4" w:space="0" w:color="BFBFBF"/>
              <w:right w:val="single" w:sz="4" w:space="0" w:color="BFBFBF"/>
            </w:tcBorders>
            <w:shd w:val="clear" w:color="auto" w:fill="auto"/>
            <w:noWrap/>
            <w:vAlign w:val="center"/>
          </w:tcPr>
          <w:p w14:paraId="1AC8F27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145</w:t>
            </w:r>
          </w:p>
        </w:tc>
        <w:tc>
          <w:tcPr>
            <w:tcW w:w="1012" w:type="dxa"/>
            <w:tcBorders>
              <w:top w:val="nil"/>
              <w:left w:val="nil"/>
              <w:bottom w:val="single" w:sz="4" w:space="0" w:color="BFBFBF"/>
              <w:right w:val="single" w:sz="4" w:space="0" w:color="BFBFBF"/>
            </w:tcBorders>
            <w:shd w:val="clear" w:color="auto" w:fill="auto"/>
            <w:noWrap/>
            <w:vAlign w:val="center"/>
          </w:tcPr>
          <w:p w14:paraId="2A09600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44B5758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006ADAD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1E5959C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64D6A0B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18E0FF1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0AA5D1C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166E2F7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1C1EBB9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620FA33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0DEED22B"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5E029FA9"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smartTag w:uri="urn:schemas-microsoft-com:office:smarttags" w:element="place">
              <w:r w:rsidRPr="00521DA8">
                <w:rPr>
                  <w:rFonts w:ascii="Arial" w:hAnsi="Arial" w:cs="Arial"/>
                  <w:color w:val="000000"/>
                  <w:sz w:val="16"/>
                  <w:szCs w:val="16"/>
                  <w:lang w:val="en-AU" w:eastAsia="en-AU"/>
                </w:rPr>
                <w:t>Southern Melbourne</w:t>
              </w:r>
            </w:smartTag>
          </w:p>
        </w:tc>
        <w:tc>
          <w:tcPr>
            <w:tcW w:w="857" w:type="dxa"/>
            <w:tcBorders>
              <w:top w:val="nil"/>
              <w:left w:val="nil"/>
              <w:bottom w:val="single" w:sz="4" w:space="0" w:color="BFBFBF"/>
              <w:right w:val="single" w:sz="4" w:space="0" w:color="BFBFBF"/>
            </w:tcBorders>
            <w:shd w:val="clear" w:color="auto" w:fill="auto"/>
            <w:noWrap/>
            <w:vAlign w:val="center"/>
          </w:tcPr>
          <w:p w14:paraId="25B3F7C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75</w:t>
            </w:r>
          </w:p>
        </w:tc>
        <w:tc>
          <w:tcPr>
            <w:tcW w:w="938" w:type="dxa"/>
            <w:tcBorders>
              <w:top w:val="nil"/>
              <w:left w:val="nil"/>
              <w:bottom w:val="single" w:sz="4" w:space="0" w:color="BFBFBF"/>
              <w:right w:val="single" w:sz="4" w:space="0" w:color="BFBFBF"/>
            </w:tcBorders>
            <w:shd w:val="clear" w:color="auto" w:fill="auto"/>
            <w:noWrap/>
            <w:vAlign w:val="center"/>
          </w:tcPr>
          <w:p w14:paraId="0436526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66</w:t>
            </w:r>
          </w:p>
        </w:tc>
        <w:tc>
          <w:tcPr>
            <w:tcW w:w="938" w:type="dxa"/>
            <w:tcBorders>
              <w:top w:val="nil"/>
              <w:left w:val="nil"/>
              <w:bottom w:val="single" w:sz="4" w:space="0" w:color="BFBFBF"/>
              <w:right w:val="single" w:sz="4" w:space="0" w:color="BFBFBF"/>
            </w:tcBorders>
            <w:shd w:val="clear" w:color="auto" w:fill="auto"/>
            <w:noWrap/>
            <w:vAlign w:val="center"/>
          </w:tcPr>
          <w:p w14:paraId="33043EF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140</w:t>
            </w:r>
          </w:p>
        </w:tc>
        <w:tc>
          <w:tcPr>
            <w:tcW w:w="1012" w:type="dxa"/>
            <w:tcBorders>
              <w:top w:val="nil"/>
              <w:left w:val="nil"/>
              <w:bottom w:val="single" w:sz="4" w:space="0" w:color="BFBFBF"/>
              <w:right w:val="single" w:sz="4" w:space="0" w:color="BFBFBF"/>
            </w:tcBorders>
            <w:shd w:val="clear" w:color="auto" w:fill="auto"/>
            <w:noWrap/>
            <w:vAlign w:val="center"/>
          </w:tcPr>
          <w:p w14:paraId="44EF714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30D88BF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7E7DD21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3BF20DB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50049FB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5C6FE37B"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4B76C1C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25F4857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30B143CE"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1B830F4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7A235DFC"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1E018341"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Bayside</w:t>
            </w:r>
          </w:p>
        </w:tc>
        <w:tc>
          <w:tcPr>
            <w:tcW w:w="857" w:type="dxa"/>
            <w:tcBorders>
              <w:top w:val="nil"/>
              <w:left w:val="nil"/>
              <w:bottom w:val="single" w:sz="4" w:space="0" w:color="BFBFBF"/>
              <w:right w:val="single" w:sz="4" w:space="0" w:color="BFBFBF"/>
            </w:tcBorders>
            <w:shd w:val="clear" w:color="auto" w:fill="auto"/>
            <w:noWrap/>
            <w:vAlign w:val="center"/>
          </w:tcPr>
          <w:p w14:paraId="3B1520F7"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75</w:t>
            </w:r>
          </w:p>
        </w:tc>
        <w:tc>
          <w:tcPr>
            <w:tcW w:w="938" w:type="dxa"/>
            <w:tcBorders>
              <w:top w:val="nil"/>
              <w:left w:val="nil"/>
              <w:bottom w:val="single" w:sz="4" w:space="0" w:color="BFBFBF"/>
              <w:right w:val="single" w:sz="4" w:space="0" w:color="BFBFBF"/>
            </w:tcBorders>
            <w:shd w:val="clear" w:color="auto" w:fill="auto"/>
            <w:noWrap/>
            <w:vAlign w:val="center"/>
          </w:tcPr>
          <w:p w14:paraId="349E811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72</w:t>
            </w:r>
          </w:p>
        </w:tc>
        <w:tc>
          <w:tcPr>
            <w:tcW w:w="938" w:type="dxa"/>
            <w:tcBorders>
              <w:top w:val="nil"/>
              <w:left w:val="nil"/>
              <w:bottom w:val="single" w:sz="4" w:space="0" w:color="BFBFBF"/>
              <w:right w:val="single" w:sz="4" w:space="0" w:color="BFBFBF"/>
            </w:tcBorders>
            <w:shd w:val="clear" w:color="auto" w:fill="auto"/>
            <w:noWrap/>
            <w:vAlign w:val="center"/>
          </w:tcPr>
          <w:p w14:paraId="3FCB35A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146</w:t>
            </w:r>
          </w:p>
        </w:tc>
        <w:tc>
          <w:tcPr>
            <w:tcW w:w="1012" w:type="dxa"/>
            <w:tcBorders>
              <w:top w:val="nil"/>
              <w:left w:val="nil"/>
              <w:bottom w:val="single" w:sz="4" w:space="0" w:color="BFBFBF"/>
              <w:right w:val="single" w:sz="4" w:space="0" w:color="BFBFBF"/>
            </w:tcBorders>
            <w:shd w:val="clear" w:color="auto" w:fill="auto"/>
            <w:noWrap/>
            <w:vAlign w:val="center"/>
          </w:tcPr>
          <w:p w14:paraId="71D55F5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21B878F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3D061B5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2E5295A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31439CA8"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09DD97F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151BF51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6C972237"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7D08792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491D0A5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0031CABC"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39D98256"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smartTag w:uri="urn:schemas-microsoft-com:office:smarttags" w:element="place">
              <w:r w:rsidRPr="00521DA8">
                <w:rPr>
                  <w:rFonts w:ascii="Arial" w:hAnsi="Arial" w:cs="Arial"/>
                  <w:color w:val="000000"/>
                  <w:sz w:val="16"/>
                  <w:szCs w:val="16"/>
                  <w:lang w:val="en-AU" w:eastAsia="en-AU"/>
                </w:rPr>
                <w:t>Western Melbourne</w:t>
              </w:r>
            </w:smartTag>
          </w:p>
        </w:tc>
        <w:tc>
          <w:tcPr>
            <w:tcW w:w="857" w:type="dxa"/>
            <w:tcBorders>
              <w:top w:val="nil"/>
              <w:left w:val="nil"/>
              <w:bottom w:val="single" w:sz="4" w:space="0" w:color="BFBFBF"/>
              <w:right w:val="single" w:sz="4" w:space="0" w:color="BFBFBF"/>
            </w:tcBorders>
            <w:shd w:val="clear" w:color="auto" w:fill="auto"/>
            <w:noWrap/>
            <w:vAlign w:val="center"/>
          </w:tcPr>
          <w:p w14:paraId="6869E565"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60</w:t>
            </w:r>
          </w:p>
        </w:tc>
        <w:tc>
          <w:tcPr>
            <w:tcW w:w="938" w:type="dxa"/>
            <w:tcBorders>
              <w:top w:val="nil"/>
              <w:left w:val="nil"/>
              <w:bottom w:val="single" w:sz="4" w:space="0" w:color="BFBFBF"/>
              <w:right w:val="single" w:sz="4" w:space="0" w:color="BFBFBF"/>
            </w:tcBorders>
            <w:shd w:val="clear" w:color="auto" w:fill="auto"/>
            <w:noWrap/>
            <w:vAlign w:val="center"/>
          </w:tcPr>
          <w:p w14:paraId="419250D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80</w:t>
            </w:r>
          </w:p>
        </w:tc>
        <w:tc>
          <w:tcPr>
            <w:tcW w:w="938" w:type="dxa"/>
            <w:tcBorders>
              <w:top w:val="nil"/>
              <w:left w:val="nil"/>
              <w:bottom w:val="single" w:sz="4" w:space="0" w:color="BFBFBF"/>
              <w:right w:val="single" w:sz="4" w:space="0" w:color="BFBFBF"/>
            </w:tcBorders>
            <w:shd w:val="clear" w:color="auto" w:fill="auto"/>
            <w:noWrap/>
            <w:vAlign w:val="center"/>
          </w:tcPr>
          <w:p w14:paraId="25336F2B"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140</w:t>
            </w:r>
          </w:p>
        </w:tc>
        <w:tc>
          <w:tcPr>
            <w:tcW w:w="1012" w:type="dxa"/>
            <w:tcBorders>
              <w:top w:val="nil"/>
              <w:left w:val="nil"/>
              <w:bottom w:val="single" w:sz="4" w:space="0" w:color="BFBFBF"/>
              <w:right w:val="single" w:sz="4" w:space="0" w:color="BFBFBF"/>
            </w:tcBorders>
            <w:shd w:val="clear" w:color="auto" w:fill="auto"/>
            <w:noWrap/>
            <w:vAlign w:val="center"/>
          </w:tcPr>
          <w:p w14:paraId="413C8728"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4A19EEC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5FE9718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19B514D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52ED834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7CD2085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2096F1B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59C48426"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630E914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40E7303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5A6CA235"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113B417A"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Brimbank Melton</w:t>
            </w:r>
          </w:p>
        </w:tc>
        <w:tc>
          <w:tcPr>
            <w:tcW w:w="857" w:type="dxa"/>
            <w:tcBorders>
              <w:top w:val="nil"/>
              <w:left w:val="nil"/>
              <w:bottom w:val="single" w:sz="4" w:space="0" w:color="BFBFBF"/>
              <w:right w:val="single" w:sz="4" w:space="0" w:color="BFBFBF"/>
            </w:tcBorders>
            <w:shd w:val="clear" w:color="auto" w:fill="auto"/>
            <w:noWrap/>
            <w:vAlign w:val="center"/>
          </w:tcPr>
          <w:p w14:paraId="294B9B1F"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80</w:t>
            </w:r>
          </w:p>
        </w:tc>
        <w:tc>
          <w:tcPr>
            <w:tcW w:w="938" w:type="dxa"/>
            <w:tcBorders>
              <w:top w:val="nil"/>
              <w:left w:val="nil"/>
              <w:bottom w:val="single" w:sz="4" w:space="0" w:color="BFBFBF"/>
              <w:right w:val="single" w:sz="4" w:space="0" w:color="BFBFBF"/>
            </w:tcBorders>
            <w:shd w:val="clear" w:color="auto" w:fill="auto"/>
            <w:noWrap/>
            <w:vAlign w:val="center"/>
          </w:tcPr>
          <w:p w14:paraId="548AC62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93</w:t>
            </w:r>
          </w:p>
        </w:tc>
        <w:tc>
          <w:tcPr>
            <w:tcW w:w="938" w:type="dxa"/>
            <w:tcBorders>
              <w:top w:val="nil"/>
              <w:left w:val="nil"/>
              <w:bottom w:val="single" w:sz="4" w:space="0" w:color="BFBFBF"/>
              <w:right w:val="single" w:sz="4" w:space="0" w:color="BFBFBF"/>
            </w:tcBorders>
            <w:shd w:val="clear" w:color="auto" w:fill="auto"/>
            <w:noWrap/>
            <w:vAlign w:val="center"/>
          </w:tcPr>
          <w:p w14:paraId="6AE022E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170</w:t>
            </w:r>
          </w:p>
        </w:tc>
        <w:tc>
          <w:tcPr>
            <w:tcW w:w="1012" w:type="dxa"/>
            <w:tcBorders>
              <w:top w:val="nil"/>
              <w:left w:val="nil"/>
              <w:bottom w:val="single" w:sz="4" w:space="0" w:color="BFBFBF"/>
              <w:right w:val="single" w:sz="4" w:space="0" w:color="BFBFBF"/>
            </w:tcBorders>
            <w:shd w:val="clear" w:color="auto" w:fill="auto"/>
            <w:noWrap/>
            <w:vAlign w:val="center"/>
          </w:tcPr>
          <w:p w14:paraId="33A6D66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227AE30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5F64B90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361ACC1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3D15191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6D70C67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1A7BDDF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1D000376"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2491837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7D6D052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5209B337"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1497A5B2"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Mallee</w:t>
            </w:r>
          </w:p>
        </w:tc>
        <w:tc>
          <w:tcPr>
            <w:tcW w:w="857" w:type="dxa"/>
            <w:tcBorders>
              <w:top w:val="nil"/>
              <w:left w:val="nil"/>
              <w:bottom w:val="single" w:sz="4" w:space="0" w:color="BFBFBF"/>
              <w:right w:val="single" w:sz="4" w:space="0" w:color="BFBFBF"/>
            </w:tcBorders>
            <w:shd w:val="clear" w:color="auto" w:fill="auto"/>
            <w:noWrap/>
            <w:vAlign w:val="center"/>
          </w:tcPr>
          <w:p w14:paraId="18BC5A5C"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294</w:t>
            </w:r>
          </w:p>
        </w:tc>
        <w:tc>
          <w:tcPr>
            <w:tcW w:w="938" w:type="dxa"/>
            <w:tcBorders>
              <w:top w:val="nil"/>
              <w:left w:val="nil"/>
              <w:bottom w:val="single" w:sz="4" w:space="0" w:color="BFBFBF"/>
              <w:right w:val="single" w:sz="4" w:space="0" w:color="BFBFBF"/>
            </w:tcBorders>
            <w:shd w:val="clear" w:color="auto" w:fill="auto"/>
            <w:noWrap/>
            <w:vAlign w:val="center"/>
          </w:tcPr>
          <w:p w14:paraId="0CE333D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272</w:t>
            </w:r>
          </w:p>
        </w:tc>
        <w:tc>
          <w:tcPr>
            <w:tcW w:w="938" w:type="dxa"/>
            <w:tcBorders>
              <w:top w:val="nil"/>
              <w:left w:val="nil"/>
              <w:bottom w:val="single" w:sz="4" w:space="0" w:color="BFBFBF"/>
              <w:right w:val="single" w:sz="4" w:space="0" w:color="BFBFBF"/>
            </w:tcBorders>
            <w:shd w:val="clear" w:color="auto" w:fill="auto"/>
            <w:noWrap/>
            <w:vAlign w:val="center"/>
          </w:tcPr>
          <w:p w14:paraId="0348B6B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559</w:t>
            </w:r>
          </w:p>
        </w:tc>
        <w:tc>
          <w:tcPr>
            <w:tcW w:w="1012" w:type="dxa"/>
            <w:tcBorders>
              <w:top w:val="nil"/>
              <w:left w:val="nil"/>
              <w:bottom w:val="single" w:sz="4" w:space="0" w:color="BFBFBF"/>
              <w:right w:val="single" w:sz="4" w:space="0" w:color="BFBFBF"/>
            </w:tcBorders>
            <w:shd w:val="clear" w:color="auto" w:fill="auto"/>
            <w:noWrap/>
            <w:vAlign w:val="center"/>
          </w:tcPr>
          <w:p w14:paraId="17957A3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5C7F837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22E3BFD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1643000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2366035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1B9AC37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1B48D80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5493BEA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43053AF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3AB522E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4FEDC191"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592D2C01"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Loddon</w:t>
            </w:r>
          </w:p>
        </w:tc>
        <w:tc>
          <w:tcPr>
            <w:tcW w:w="857" w:type="dxa"/>
            <w:tcBorders>
              <w:top w:val="nil"/>
              <w:left w:val="nil"/>
              <w:bottom w:val="single" w:sz="4" w:space="0" w:color="BFBFBF"/>
              <w:right w:val="single" w:sz="4" w:space="0" w:color="BFBFBF"/>
            </w:tcBorders>
            <w:shd w:val="clear" w:color="auto" w:fill="auto"/>
            <w:noWrap/>
            <w:vAlign w:val="center"/>
          </w:tcPr>
          <w:p w14:paraId="34FE1933"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125</w:t>
            </w:r>
          </w:p>
        </w:tc>
        <w:tc>
          <w:tcPr>
            <w:tcW w:w="938" w:type="dxa"/>
            <w:tcBorders>
              <w:top w:val="nil"/>
              <w:left w:val="nil"/>
              <w:bottom w:val="single" w:sz="4" w:space="0" w:color="BFBFBF"/>
              <w:right w:val="single" w:sz="4" w:space="0" w:color="BFBFBF"/>
            </w:tcBorders>
            <w:shd w:val="clear" w:color="auto" w:fill="auto"/>
            <w:noWrap/>
            <w:vAlign w:val="center"/>
          </w:tcPr>
          <w:p w14:paraId="1319968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106</w:t>
            </w:r>
          </w:p>
        </w:tc>
        <w:tc>
          <w:tcPr>
            <w:tcW w:w="938" w:type="dxa"/>
            <w:tcBorders>
              <w:top w:val="nil"/>
              <w:left w:val="nil"/>
              <w:bottom w:val="single" w:sz="4" w:space="0" w:color="BFBFBF"/>
              <w:right w:val="single" w:sz="4" w:space="0" w:color="BFBFBF"/>
            </w:tcBorders>
            <w:shd w:val="clear" w:color="auto" w:fill="auto"/>
            <w:noWrap/>
            <w:vAlign w:val="center"/>
          </w:tcPr>
          <w:p w14:paraId="57B00963"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229</w:t>
            </w:r>
          </w:p>
        </w:tc>
        <w:tc>
          <w:tcPr>
            <w:tcW w:w="1012" w:type="dxa"/>
            <w:tcBorders>
              <w:top w:val="nil"/>
              <w:left w:val="nil"/>
              <w:bottom w:val="single" w:sz="4" w:space="0" w:color="BFBFBF"/>
              <w:right w:val="single" w:sz="4" w:space="0" w:color="BFBFBF"/>
            </w:tcBorders>
            <w:shd w:val="clear" w:color="auto" w:fill="auto"/>
            <w:noWrap/>
            <w:vAlign w:val="center"/>
          </w:tcPr>
          <w:p w14:paraId="1765071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19CDB4F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03A3C5F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3CED651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7A4C52E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5D15A4E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2263763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5CBA654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75CC646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3D35B1AB"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3C21C383" w14:textId="77777777" w:rsidTr="008C257B">
        <w:trPr>
          <w:trHeight w:val="340"/>
          <w:jc w:val="center"/>
        </w:trPr>
        <w:tc>
          <w:tcPr>
            <w:tcW w:w="2283" w:type="dxa"/>
            <w:tcBorders>
              <w:top w:val="single" w:sz="4" w:space="0" w:color="BFBFBF"/>
              <w:left w:val="double" w:sz="4" w:space="0" w:color="auto"/>
              <w:bottom w:val="single" w:sz="4" w:space="0" w:color="BFBFBF"/>
              <w:right w:val="single" w:sz="4" w:space="0" w:color="BFBFBF"/>
            </w:tcBorders>
            <w:shd w:val="clear" w:color="auto" w:fill="auto"/>
            <w:noWrap/>
            <w:vAlign w:val="bottom"/>
          </w:tcPr>
          <w:p w14:paraId="6F27A659"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521DA8">
                  <w:rPr>
                    <w:rFonts w:ascii="Arial" w:hAnsi="Arial" w:cs="Arial"/>
                    <w:color w:val="000000"/>
                    <w:sz w:val="16"/>
                    <w:szCs w:val="16"/>
                    <w:lang w:val="en-AU" w:eastAsia="en-AU"/>
                  </w:rPr>
                  <w:t>Murray</w:t>
                </w:r>
              </w:smartTag>
            </w:smartTag>
          </w:p>
        </w:tc>
        <w:tc>
          <w:tcPr>
            <w:tcW w:w="857" w:type="dxa"/>
            <w:tcBorders>
              <w:top w:val="single" w:sz="4" w:space="0" w:color="BFBFBF"/>
              <w:left w:val="nil"/>
              <w:bottom w:val="single" w:sz="4" w:space="0" w:color="BFBFBF"/>
              <w:right w:val="single" w:sz="4" w:space="0" w:color="BFBFBF"/>
            </w:tcBorders>
            <w:shd w:val="clear" w:color="auto" w:fill="auto"/>
            <w:noWrap/>
            <w:vAlign w:val="center"/>
          </w:tcPr>
          <w:p w14:paraId="5F2599E5"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133</w:t>
            </w:r>
          </w:p>
        </w:tc>
        <w:tc>
          <w:tcPr>
            <w:tcW w:w="938" w:type="dxa"/>
            <w:tcBorders>
              <w:top w:val="single" w:sz="4" w:space="0" w:color="BFBFBF"/>
              <w:left w:val="nil"/>
              <w:bottom w:val="single" w:sz="4" w:space="0" w:color="BFBFBF"/>
              <w:right w:val="single" w:sz="4" w:space="0" w:color="BFBFBF"/>
            </w:tcBorders>
            <w:shd w:val="clear" w:color="auto" w:fill="auto"/>
            <w:noWrap/>
            <w:vAlign w:val="center"/>
          </w:tcPr>
          <w:p w14:paraId="408DBFE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87</w:t>
            </w:r>
          </w:p>
        </w:tc>
        <w:tc>
          <w:tcPr>
            <w:tcW w:w="938" w:type="dxa"/>
            <w:tcBorders>
              <w:top w:val="single" w:sz="4" w:space="0" w:color="BFBFBF"/>
              <w:left w:val="nil"/>
              <w:bottom w:val="single" w:sz="4" w:space="0" w:color="BFBFBF"/>
              <w:right w:val="single" w:sz="4" w:space="0" w:color="BFBFBF"/>
            </w:tcBorders>
            <w:shd w:val="clear" w:color="auto" w:fill="auto"/>
            <w:noWrap/>
            <w:vAlign w:val="center"/>
          </w:tcPr>
          <w:p w14:paraId="190704D7"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222</w:t>
            </w:r>
          </w:p>
        </w:tc>
        <w:tc>
          <w:tcPr>
            <w:tcW w:w="1012" w:type="dxa"/>
            <w:tcBorders>
              <w:top w:val="single" w:sz="4" w:space="0" w:color="BFBFBF"/>
              <w:left w:val="nil"/>
              <w:bottom w:val="single" w:sz="4" w:space="0" w:color="BFBFBF"/>
              <w:right w:val="single" w:sz="4" w:space="0" w:color="BFBFBF"/>
            </w:tcBorders>
            <w:shd w:val="clear" w:color="auto" w:fill="auto"/>
            <w:noWrap/>
            <w:vAlign w:val="center"/>
          </w:tcPr>
          <w:p w14:paraId="3D516760" w14:textId="77777777" w:rsidR="00521DA8" w:rsidRPr="00521DA8" w:rsidRDefault="00521DA8" w:rsidP="00C94613">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single" w:sz="4" w:space="0" w:color="BFBFBF"/>
              <w:left w:val="nil"/>
              <w:bottom w:val="single" w:sz="4" w:space="0" w:color="BFBFBF"/>
              <w:right w:val="single" w:sz="4" w:space="0" w:color="BFBFBF"/>
            </w:tcBorders>
            <w:shd w:val="clear" w:color="auto" w:fill="auto"/>
            <w:noWrap/>
            <w:vAlign w:val="center"/>
          </w:tcPr>
          <w:p w14:paraId="76F79B59" w14:textId="77777777" w:rsidR="00521DA8" w:rsidRPr="00521DA8" w:rsidRDefault="00521DA8" w:rsidP="00C94613">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single" w:sz="4" w:space="0" w:color="BFBFBF"/>
              <w:left w:val="nil"/>
              <w:bottom w:val="single" w:sz="4" w:space="0" w:color="BFBFBF"/>
              <w:right w:val="single" w:sz="4" w:space="0" w:color="BFBFBF"/>
            </w:tcBorders>
            <w:shd w:val="clear" w:color="auto" w:fill="auto"/>
            <w:noWrap/>
            <w:vAlign w:val="center"/>
          </w:tcPr>
          <w:p w14:paraId="140F9E7E" w14:textId="77777777" w:rsidR="00521DA8" w:rsidRPr="00521DA8" w:rsidRDefault="00521DA8" w:rsidP="00C94613">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single" w:sz="4" w:space="0" w:color="BFBFBF"/>
              <w:left w:val="nil"/>
              <w:bottom w:val="single" w:sz="4" w:space="0" w:color="BFBFBF"/>
              <w:right w:val="single" w:sz="4" w:space="0" w:color="BFBFBF"/>
            </w:tcBorders>
            <w:shd w:val="clear" w:color="auto" w:fill="auto"/>
            <w:noWrap/>
            <w:vAlign w:val="center"/>
          </w:tcPr>
          <w:p w14:paraId="364016AD" w14:textId="77777777" w:rsidR="00521DA8" w:rsidRPr="00521DA8" w:rsidRDefault="00521DA8" w:rsidP="00C94613">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single" w:sz="4" w:space="0" w:color="BFBFBF"/>
              <w:left w:val="nil"/>
              <w:bottom w:val="single" w:sz="4" w:space="0" w:color="BFBFBF"/>
              <w:right w:val="single" w:sz="4" w:space="0" w:color="BFBFBF"/>
            </w:tcBorders>
            <w:shd w:val="clear" w:color="auto" w:fill="auto"/>
            <w:noWrap/>
            <w:vAlign w:val="center"/>
          </w:tcPr>
          <w:p w14:paraId="53B2A896" w14:textId="77777777" w:rsidR="00521DA8" w:rsidRPr="00521DA8" w:rsidRDefault="00521DA8" w:rsidP="00C94613">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single" w:sz="4" w:space="0" w:color="BFBFBF"/>
              <w:left w:val="nil"/>
              <w:bottom w:val="single" w:sz="4" w:space="0" w:color="BFBFBF"/>
              <w:right w:val="single" w:sz="4" w:space="0" w:color="BFBFBF"/>
            </w:tcBorders>
            <w:shd w:val="clear" w:color="auto" w:fill="auto"/>
            <w:noWrap/>
            <w:vAlign w:val="center"/>
          </w:tcPr>
          <w:p w14:paraId="07FA761C" w14:textId="77777777" w:rsidR="00521DA8" w:rsidRPr="00521DA8" w:rsidRDefault="00521DA8" w:rsidP="00C94613">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single" w:sz="4" w:space="0" w:color="BFBFBF"/>
              <w:left w:val="nil"/>
              <w:bottom w:val="single" w:sz="4" w:space="0" w:color="BFBFBF"/>
              <w:right w:val="single" w:sz="4" w:space="0" w:color="BFBFBF"/>
            </w:tcBorders>
            <w:shd w:val="clear" w:color="auto" w:fill="auto"/>
            <w:noWrap/>
            <w:vAlign w:val="center"/>
          </w:tcPr>
          <w:p w14:paraId="2E91CE10" w14:textId="77777777" w:rsidR="00521DA8" w:rsidRPr="00521DA8" w:rsidRDefault="00521DA8" w:rsidP="00C94613">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single" w:sz="4" w:space="0" w:color="BFBFBF"/>
              <w:left w:val="nil"/>
              <w:bottom w:val="single" w:sz="4" w:space="0" w:color="BFBFBF"/>
              <w:right w:val="single" w:sz="4" w:space="0" w:color="BFBFBF"/>
            </w:tcBorders>
            <w:shd w:val="clear" w:color="auto" w:fill="auto"/>
            <w:noWrap/>
            <w:vAlign w:val="center"/>
          </w:tcPr>
          <w:p w14:paraId="2A9B170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single" w:sz="4" w:space="0" w:color="BFBFBF"/>
              <w:left w:val="nil"/>
              <w:bottom w:val="single" w:sz="4" w:space="0" w:color="BFBFBF"/>
              <w:right w:val="single" w:sz="4" w:space="0" w:color="BFBFBF"/>
            </w:tcBorders>
            <w:shd w:val="clear" w:color="auto" w:fill="auto"/>
            <w:noWrap/>
            <w:vAlign w:val="center"/>
          </w:tcPr>
          <w:p w14:paraId="1ACE3704" w14:textId="77777777" w:rsidR="00521DA8" w:rsidRPr="00521DA8" w:rsidRDefault="00521DA8" w:rsidP="00C94613">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single" w:sz="4" w:space="0" w:color="BFBFBF"/>
              <w:left w:val="nil"/>
              <w:bottom w:val="single" w:sz="4" w:space="0" w:color="BFBFBF"/>
              <w:right w:val="double" w:sz="4" w:space="0" w:color="auto"/>
            </w:tcBorders>
            <w:shd w:val="clear" w:color="auto" w:fill="auto"/>
            <w:noWrap/>
            <w:vAlign w:val="center"/>
          </w:tcPr>
          <w:p w14:paraId="74214A06"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533B4A96" w14:textId="77777777" w:rsidTr="008C257B">
        <w:trPr>
          <w:trHeight w:val="340"/>
          <w:jc w:val="center"/>
        </w:trPr>
        <w:tc>
          <w:tcPr>
            <w:tcW w:w="2283" w:type="dxa"/>
            <w:tcBorders>
              <w:left w:val="double" w:sz="4" w:space="0" w:color="auto"/>
              <w:bottom w:val="single" w:sz="4" w:space="0" w:color="BFBFBF"/>
              <w:right w:val="single" w:sz="4" w:space="0" w:color="BFBFBF"/>
            </w:tcBorders>
            <w:shd w:val="clear" w:color="auto" w:fill="auto"/>
            <w:noWrap/>
            <w:vAlign w:val="bottom"/>
          </w:tcPr>
          <w:p w14:paraId="765651D4"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Goulburn</w:t>
            </w:r>
          </w:p>
        </w:tc>
        <w:tc>
          <w:tcPr>
            <w:tcW w:w="857" w:type="dxa"/>
            <w:tcBorders>
              <w:left w:val="nil"/>
              <w:bottom w:val="single" w:sz="4" w:space="0" w:color="BFBFBF"/>
              <w:right w:val="single" w:sz="4" w:space="0" w:color="BFBFBF"/>
            </w:tcBorders>
            <w:shd w:val="clear" w:color="auto" w:fill="auto"/>
            <w:noWrap/>
            <w:vAlign w:val="center"/>
          </w:tcPr>
          <w:p w14:paraId="688E18A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166</w:t>
            </w:r>
          </w:p>
        </w:tc>
        <w:tc>
          <w:tcPr>
            <w:tcW w:w="938" w:type="dxa"/>
            <w:tcBorders>
              <w:left w:val="nil"/>
              <w:bottom w:val="single" w:sz="4" w:space="0" w:color="BFBFBF"/>
              <w:right w:val="single" w:sz="4" w:space="0" w:color="BFBFBF"/>
            </w:tcBorders>
            <w:shd w:val="clear" w:color="auto" w:fill="auto"/>
            <w:noWrap/>
            <w:vAlign w:val="center"/>
          </w:tcPr>
          <w:p w14:paraId="2E552C4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143</w:t>
            </w:r>
          </w:p>
        </w:tc>
        <w:tc>
          <w:tcPr>
            <w:tcW w:w="938" w:type="dxa"/>
            <w:tcBorders>
              <w:left w:val="nil"/>
              <w:bottom w:val="single" w:sz="4" w:space="0" w:color="BFBFBF"/>
              <w:right w:val="single" w:sz="4" w:space="0" w:color="BFBFBF"/>
            </w:tcBorders>
            <w:shd w:val="clear" w:color="auto" w:fill="auto"/>
            <w:noWrap/>
            <w:vAlign w:val="center"/>
          </w:tcPr>
          <w:p w14:paraId="149005DF"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311</w:t>
            </w:r>
          </w:p>
        </w:tc>
        <w:tc>
          <w:tcPr>
            <w:tcW w:w="1012" w:type="dxa"/>
            <w:tcBorders>
              <w:left w:val="nil"/>
              <w:bottom w:val="single" w:sz="4" w:space="0" w:color="BFBFBF"/>
              <w:right w:val="single" w:sz="4" w:space="0" w:color="BFBFBF"/>
            </w:tcBorders>
            <w:shd w:val="clear" w:color="auto" w:fill="auto"/>
            <w:noWrap/>
            <w:vAlign w:val="center"/>
          </w:tcPr>
          <w:p w14:paraId="743DF55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left w:val="nil"/>
              <w:bottom w:val="single" w:sz="4" w:space="0" w:color="BFBFBF"/>
              <w:right w:val="single" w:sz="4" w:space="0" w:color="BFBFBF"/>
            </w:tcBorders>
            <w:shd w:val="clear" w:color="auto" w:fill="auto"/>
            <w:noWrap/>
            <w:vAlign w:val="center"/>
          </w:tcPr>
          <w:p w14:paraId="07F9960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left w:val="nil"/>
              <w:bottom w:val="single" w:sz="4" w:space="0" w:color="BFBFBF"/>
              <w:right w:val="single" w:sz="4" w:space="0" w:color="BFBFBF"/>
            </w:tcBorders>
            <w:shd w:val="clear" w:color="auto" w:fill="auto"/>
            <w:noWrap/>
            <w:vAlign w:val="center"/>
          </w:tcPr>
          <w:p w14:paraId="0CFC227E"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left w:val="nil"/>
              <w:bottom w:val="single" w:sz="4" w:space="0" w:color="BFBFBF"/>
              <w:right w:val="single" w:sz="4" w:space="0" w:color="BFBFBF"/>
            </w:tcBorders>
            <w:shd w:val="clear" w:color="auto" w:fill="auto"/>
            <w:noWrap/>
            <w:vAlign w:val="center"/>
          </w:tcPr>
          <w:p w14:paraId="3FC400D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left w:val="nil"/>
              <w:bottom w:val="single" w:sz="4" w:space="0" w:color="BFBFBF"/>
              <w:right w:val="single" w:sz="4" w:space="0" w:color="BFBFBF"/>
            </w:tcBorders>
            <w:shd w:val="clear" w:color="auto" w:fill="auto"/>
            <w:noWrap/>
            <w:vAlign w:val="center"/>
          </w:tcPr>
          <w:p w14:paraId="5D61BD8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left w:val="nil"/>
              <w:bottom w:val="single" w:sz="4" w:space="0" w:color="BFBFBF"/>
              <w:right w:val="single" w:sz="4" w:space="0" w:color="BFBFBF"/>
            </w:tcBorders>
            <w:shd w:val="clear" w:color="auto" w:fill="auto"/>
            <w:noWrap/>
            <w:vAlign w:val="center"/>
          </w:tcPr>
          <w:p w14:paraId="09B0DA6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left w:val="nil"/>
              <w:bottom w:val="single" w:sz="4" w:space="0" w:color="BFBFBF"/>
              <w:right w:val="single" w:sz="4" w:space="0" w:color="BFBFBF"/>
            </w:tcBorders>
            <w:shd w:val="clear" w:color="auto" w:fill="auto"/>
            <w:noWrap/>
            <w:vAlign w:val="center"/>
          </w:tcPr>
          <w:p w14:paraId="60B8878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left w:val="nil"/>
              <w:bottom w:val="single" w:sz="4" w:space="0" w:color="BFBFBF"/>
              <w:right w:val="single" w:sz="4" w:space="0" w:color="BFBFBF"/>
            </w:tcBorders>
            <w:shd w:val="clear" w:color="auto" w:fill="auto"/>
            <w:noWrap/>
            <w:vAlign w:val="center"/>
          </w:tcPr>
          <w:p w14:paraId="223315A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left w:val="nil"/>
              <w:bottom w:val="single" w:sz="4" w:space="0" w:color="BFBFBF"/>
              <w:right w:val="single" w:sz="4" w:space="0" w:color="BFBFBF"/>
            </w:tcBorders>
            <w:shd w:val="clear" w:color="auto" w:fill="auto"/>
            <w:noWrap/>
            <w:vAlign w:val="center"/>
          </w:tcPr>
          <w:p w14:paraId="1CD2DE4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left w:val="nil"/>
              <w:bottom w:val="single" w:sz="4" w:space="0" w:color="BFBFBF"/>
              <w:right w:val="double" w:sz="4" w:space="0" w:color="auto"/>
            </w:tcBorders>
            <w:shd w:val="clear" w:color="auto" w:fill="auto"/>
            <w:noWrap/>
            <w:vAlign w:val="center"/>
          </w:tcPr>
          <w:p w14:paraId="60A5C9CB"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72B048CF"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24A92E2B"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Outer Gippsland</w:t>
            </w:r>
          </w:p>
        </w:tc>
        <w:tc>
          <w:tcPr>
            <w:tcW w:w="857" w:type="dxa"/>
            <w:tcBorders>
              <w:top w:val="nil"/>
              <w:left w:val="nil"/>
              <w:bottom w:val="single" w:sz="4" w:space="0" w:color="BFBFBF"/>
              <w:right w:val="single" w:sz="4" w:space="0" w:color="BFBFBF"/>
            </w:tcBorders>
            <w:shd w:val="clear" w:color="auto" w:fill="auto"/>
            <w:noWrap/>
            <w:vAlign w:val="center"/>
          </w:tcPr>
          <w:p w14:paraId="095CDAA7"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96</w:t>
            </w:r>
          </w:p>
        </w:tc>
        <w:tc>
          <w:tcPr>
            <w:tcW w:w="938" w:type="dxa"/>
            <w:tcBorders>
              <w:top w:val="nil"/>
              <w:left w:val="nil"/>
              <w:bottom w:val="single" w:sz="4" w:space="0" w:color="BFBFBF"/>
              <w:right w:val="single" w:sz="4" w:space="0" w:color="BFBFBF"/>
            </w:tcBorders>
            <w:shd w:val="clear" w:color="auto" w:fill="auto"/>
            <w:noWrap/>
            <w:vAlign w:val="center"/>
          </w:tcPr>
          <w:p w14:paraId="4A3CE08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85</w:t>
            </w:r>
          </w:p>
        </w:tc>
        <w:tc>
          <w:tcPr>
            <w:tcW w:w="938" w:type="dxa"/>
            <w:tcBorders>
              <w:top w:val="nil"/>
              <w:left w:val="nil"/>
              <w:bottom w:val="single" w:sz="4" w:space="0" w:color="BFBFBF"/>
              <w:right w:val="single" w:sz="4" w:space="0" w:color="BFBFBF"/>
            </w:tcBorders>
            <w:shd w:val="clear" w:color="auto" w:fill="auto"/>
            <w:noWrap/>
            <w:vAlign w:val="center"/>
          </w:tcPr>
          <w:p w14:paraId="1C7E8D2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180</w:t>
            </w:r>
          </w:p>
        </w:tc>
        <w:tc>
          <w:tcPr>
            <w:tcW w:w="1012" w:type="dxa"/>
            <w:tcBorders>
              <w:top w:val="nil"/>
              <w:left w:val="nil"/>
              <w:bottom w:val="single" w:sz="4" w:space="0" w:color="BFBFBF"/>
              <w:right w:val="single" w:sz="4" w:space="0" w:color="BFBFBF"/>
            </w:tcBorders>
            <w:shd w:val="clear" w:color="auto" w:fill="auto"/>
            <w:noWrap/>
            <w:vAlign w:val="center"/>
          </w:tcPr>
          <w:p w14:paraId="3DFA29D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412530E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4AD195B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65693CC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114CCFE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4AD1445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59385D0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6255CD0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10A8611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26A06786"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215052D9" w14:textId="77777777" w:rsidTr="008C257B">
        <w:trPr>
          <w:trHeight w:val="340"/>
          <w:jc w:val="center"/>
        </w:trPr>
        <w:tc>
          <w:tcPr>
            <w:tcW w:w="2283" w:type="dxa"/>
            <w:tcBorders>
              <w:top w:val="single" w:sz="4" w:space="0" w:color="BFBFBF"/>
              <w:left w:val="double" w:sz="4" w:space="0" w:color="auto"/>
              <w:bottom w:val="double" w:sz="4" w:space="0" w:color="auto"/>
              <w:right w:val="single" w:sz="4" w:space="0" w:color="BFBFBF"/>
            </w:tcBorders>
            <w:shd w:val="clear" w:color="auto" w:fill="auto"/>
            <w:noWrap/>
            <w:vAlign w:val="bottom"/>
          </w:tcPr>
          <w:p w14:paraId="6FE611D3"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Inner Gippsland</w:t>
            </w:r>
          </w:p>
        </w:tc>
        <w:tc>
          <w:tcPr>
            <w:tcW w:w="857" w:type="dxa"/>
            <w:tcBorders>
              <w:top w:val="single" w:sz="4" w:space="0" w:color="BFBFBF"/>
              <w:left w:val="nil"/>
              <w:bottom w:val="double" w:sz="4" w:space="0" w:color="auto"/>
              <w:right w:val="single" w:sz="4" w:space="0" w:color="BFBFBF"/>
            </w:tcBorders>
            <w:shd w:val="clear" w:color="auto" w:fill="auto"/>
            <w:noWrap/>
            <w:vAlign w:val="center"/>
          </w:tcPr>
          <w:p w14:paraId="6846C9C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55</w:t>
            </w:r>
          </w:p>
        </w:tc>
        <w:tc>
          <w:tcPr>
            <w:tcW w:w="938" w:type="dxa"/>
            <w:tcBorders>
              <w:top w:val="single" w:sz="4" w:space="0" w:color="BFBFBF"/>
              <w:left w:val="nil"/>
              <w:bottom w:val="double" w:sz="4" w:space="0" w:color="auto"/>
              <w:right w:val="single" w:sz="4" w:space="0" w:color="BFBFBF"/>
            </w:tcBorders>
            <w:shd w:val="clear" w:color="auto" w:fill="auto"/>
            <w:noWrap/>
            <w:vAlign w:val="center"/>
          </w:tcPr>
          <w:p w14:paraId="7EB6E5EC"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83</w:t>
            </w:r>
          </w:p>
        </w:tc>
        <w:tc>
          <w:tcPr>
            <w:tcW w:w="938" w:type="dxa"/>
            <w:tcBorders>
              <w:top w:val="single" w:sz="4" w:space="0" w:color="BFBFBF"/>
              <w:left w:val="nil"/>
              <w:bottom w:val="double" w:sz="4" w:space="0" w:color="auto"/>
              <w:right w:val="single" w:sz="4" w:space="0" w:color="BFBFBF"/>
            </w:tcBorders>
            <w:shd w:val="clear" w:color="auto" w:fill="auto"/>
            <w:noWrap/>
            <w:vAlign w:val="center"/>
          </w:tcPr>
          <w:p w14:paraId="499F95C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141</w:t>
            </w:r>
          </w:p>
        </w:tc>
        <w:tc>
          <w:tcPr>
            <w:tcW w:w="1012" w:type="dxa"/>
            <w:tcBorders>
              <w:top w:val="single" w:sz="4" w:space="0" w:color="BFBFBF"/>
              <w:left w:val="nil"/>
              <w:bottom w:val="double" w:sz="4" w:space="0" w:color="auto"/>
              <w:right w:val="single" w:sz="4" w:space="0" w:color="BFBFBF"/>
            </w:tcBorders>
            <w:shd w:val="clear" w:color="auto" w:fill="auto"/>
            <w:noWrap/>
            <w:vAlign w:val="center"/>
          </w:tcPr>
          <w:p w14:paraId="0A40F33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single" w:sz="4" w:space="0" w:color="BFBFBF"/>
              <w:left w:val="nil"/>
              <w:bottom w:val="double" w:sz="4" w:space="0" w:color="auto"/>
              <w:right w:val="single" w:sz="4" w:space="0" w:color="BFBFBF"/>
            </w:tcBorders>
            <w:shd w:val="clear" w:color="auto" w:fill="auto"/>
            <w:noWrap/>
            <w:vAlign w:val="center"/>
          </w:tcPr>
          <w:p w14:paraId="78C05B1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single" w:sz="4" w:space="0" w:color="BFBFBF"/>
              <w:left w:val="nil"/>
              <w:bottom w:val="double" w:sz="4" w:space="0" w:color="auto"/>
              <w:right w:val="single" w:sz="4" w:space="0" w:color="BFBFBF"/>
            </w:tcBorders>
            <w:shd w:val="clear" w:color="auto" w:fill="auto"/>
            <w:noWrap/>
            <w:vAlign w:val="center"/>
          </w:tcPr>
          <w:p w14:paraId="0673DC8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single" w:sz="4" w:space="0" w:color="BFBFBF"/>
              <w:left w:val="nil"/>
              <w:bottom w:val="double" w:sz="4" w:space="0" w:color="auto"/>
              <w:right w:val="single" w:sz="4" w:space="0" w:color="BFBFBF"/>
            </w:tcBorders>
            <w:shd w:val="clear" w:color="auto" w:fill="auto"/>
            <w:noWrap/>
            <w:vAlign w:val="center"/>
          </w:tcPr>
          <w:p w14:paraId="25DFBFB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single" w:sz="4" w:space="0" w:color="BFBFBF"/>
              <w:left w:val="nil"/>
              <w:bottom w:val="double" w:sz="4" w:space="0" w:color="auto"/>
              <w:right w:val="single" w:sz="4" w:space="0" w:color="BFBFBF"/>
            </w:tcBorders>
            <w:shd w:val="clear" w:color="auto" w:fill="auto"/>
            <w:noWrap/>
            <w:vAlign w:val="center"/>
          </w:tcPr>
          <w:p w14:paraId="13C9E04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single" w:sz="4" w:space="0" w:color="BFBFBF"/>
              <w:left w:val="nil"/>
              <w:bottom w:val="double" w:sz="4" w:space="0" w:color="auto"/>
              <w:right w:val="single" w:sz="4" w:space="0" w:color="BFBFBF"/>
            </w:tcBorders>
            <w:shd w:val="clear" w:color="auto" w:fill="auto"/>
            <w:noWrap/>
            <w:vAlign w:val="center"/>
          </w:tcPr>
          <w:p w14:paraId="42AE3B7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single" w:sz="4" w:space="0" w:color="BFBFBF"/>
              <w:left w:val="nil"/>
              <w:bottom w:val="double" w:sz="4" w:space="0" w:color="auto"/>
              <w:right w:val="single" w:sz="4" w:space="0" w:color="BFBFBF"/>
            </w:tcBorders>
            <w:shd w:val="clear" w:color="auto" w:fill="auto"/>
            <w:noWrap/>
            <w:vAlign w:val="center"/>
          </w:tcPr>
          <w:p w14:paraId="312B3F9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single" w:sz="4" w:space="0" w:color="BFBFBF"/>
              <w:left w:val="nil"/>
              <w:bottom w:val="double" w:sz="4" w:space="0" w:color="auto"/>
              <w:right w:val="single" w:sz="4" w:space="0" w:color="BFBFBF"/>
            </w:tcBorders>
            <w:shd w:val="clear" w:color="auto" w:fill="auto"/>
            <w:noWrap/>
            <w:vAlign w:val="center"/>
          </w:tcPr>
          <w:p w14:paraId="63340A2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single" w:sz="4" w:space="0" w:color="BFBFBF"/>
              <w:left w:val="nil"/>
              <w:bottom w:val="double" w:sz="4" w:space="0" w:color="auto"/>
              <w:right w:val="single" w:sz="4" w:space="0" w:color="BFBFBF"/>
            </w:tcBorders>
            <w:shd w:val="clear" w:color="auto" w:fill="auto"/>
            <w:noWrap/>
            <w:vAlign w:val="center"/>
          </w:tcPr>
          <w:p w14:paraId="5E775DA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single" w:sz="4" w:space="0" w:color="BFBFBF"/>
              <w:left w:val="nil"/>
              <w:bottom w:val="double" w:sz="4" w:space="0" w:color="auto"/>
              <w:right w:val="double" w:sz="4" w:space="0" w:color="auto"/>
            </w:tcBorders>
            <w:shd w:val="clear" w:color="auto" w:fill="auto"/>
            <w:noWrap/>
            <w:vAlign w:val="center"/>
          </w:tcPr>
          <w:p w14:paraId="244FB7F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6CE61EF1" w14:textId="77777777" w:rsidTr="008C257B">
        <w:trPr>
          <w:trHeight w:val="340"/>
          <w:jc w:val="center"/>
        </w:trPr>
        <w:tc>
          <w:tcPr>
            <w:tcW w:w="2283" w:type="dxa"/>
            <w:tcBorders>
              <w:top w:val="double" w:sz="4" w:space="0" w:color="auto"/>
            </w:tcBorders>
            <w:shd w:val="clear" w:color="auto" w:fill="auto"/>
            <w:noWrap/>
            <w:vAlign w:val="bottom"/>
          </w:tcPr>
          <w:p w14:paraId="21870E73" w14:textId="77777777" w:rsidR="00521DA8" w:rsidRPr="008C257B" w:rsidRDefault="00521DA8" w:rsidP="003152E2">
            <w:pPr>
              <w:spacing w:before="0" w:after="0"/>
              <w:ind w:firstLineChars="100" w:firstLine="160"/>
              <w:rPr>
                <w:rFonts w:ascii="Arial" w:hAnsi="Arial" w:cs="Arial"/>
                <w:color w:val="000000"/>
                <w:sz w:val="16"/>
                <w:szCs w:val="16"/>
                <w:lang w:val="en-AU" w:eastAsia="en-AU"/>
              </w:rPr>
            </w:pPr>
            <w:r w:rsidRPr="008C257B">
              <w:rPr>
                <w:rFonts w:ascii="Arial" w:hAnsi="Arial" w:cs="Arial"/>
                <w:color w:val="000000"/>
                <w:sz w:val="16"/>
                <w:szCs w:val="16"/>
                <w:lang w:val="en-AU" w:eastAsia="en-AU"/>
              </w:rPr>
              <w:t>Continued on next page</w:t>
            </w:r>
          </w:p>
        </w:tc>
        <w:tc>
          <w:tcPr>
            <w:tcW w:w="857" w:type="dxa"/>
            <w:tcBorders>
              <w:top w:val="double" w:sz="4" w:space="0" w:color="auto"/>
            </w:tcBorders>
            <w:shd w:val="clear" w:color="auto" w:fill="auto"/>
            <w:noWrap/>
            <w:vAlign w:val="center"/>
          </w:tcPr>
          <w:p w14:paraId="55420D6B" w14:textId="77777777" w:rsidR="00521DA8" w:rsidRPr="008C257B" w:rsidRDefault="00521DA8" w:rsidP="003152E2">
            <w:pPr>
              <w:spacing w:before="0" w:after="0"/>
              <w:jc w:val="center"/>
              <w:rPr>
                <w:rFonts w:ascii="Arial" w:hAnsi="Arial" w:cs="Arial"/>
                <w:color w:val="000000"/>
                <w:sz w:val="16"/>
                <w:szCs w:val="16"/>
                <w:lang w:val="en-AU" w:eastAsia="en-AU"/>
              </w:rPr>
            </w:pPr>
          </w:p>
        </w:tc>
        <w:tc>
          <w:tcPr>
            <w:tcW w:w="938" w:type="dxa"/>
            <w:tcBorders>
              <w:top w:val="double" w:sz="4" w:space="0" w:color="auto"/>
            </w:tcBorders>
            <w:shd w:val="clear" w:color="auto" w:fill="auto"/>
            <w:noWrap/>
            <w:vAlign w:val="center"/>
          </w:tcPr>
          <w:p w14:paraId="6209B230" w14:textId="77777777" w:rsidR="00521DA8" w:rsidRPr="008C257B" w:rsidRDefault="00521DA8" w:rsidP="003152E2">
            <w:pPr>
              <w:spacing w:before="0" w:after="0"/>
              <w:jc w:val="center"/>
              <w:rPr>
                <w:rFonts w:ascii="Arial" w:hAnsi="Arial" w:cs="Arial"/>
                <w:color w:val="000000"/>
                <w:sz w:val="16"/>
                <w:szCs w:val="16"/>
                <w:lang w:val="en-AU" w:eastAsia="en-AU"/>
              </w:rPr>
            </w:pPr>
          </w:p>
        </w:tc>
        <w:tc>
          <w:tcPr>
            <w:tcW w:w="938" w:type="dxa"/>
            <w:tcBorders>
              <w:top w:val="double" w:sz="4" w:space="0" w:color="auto"/>
            </w:tcBorders>
            <w:shd w:val="clear" w:color="auto" w:fill="auto"/>
            <w:noWrap/>
            <w:vAlign w:val="center"/>
          </w:tcPr>
          <w:p w14:paraId="2905BFFE" w14:textId="77777777" w:rsidR="00521DA8" w:rsidRPr="008C257B" w:rsidRDefault="00521DA8" w:rsidP="003152E2">
            <w:pPr>
              <w:spacing w:before="0" w:after="0"/>
              <w:jc w:val="center"/>
              <w:rPr>
                <w:rFonts w:ascii="Arial" w:hAnsi="Arial" w:cs="Arial"/>
                <w:color w:val="000000"/>
                <w:sz w:val="16"/>
                <w:szCs w:val="16"/>
                <w:lang w:val="en-AU" w:eastAsia="en-AU"/>
              </w:rPr>
            </w:pPr>
          </w:p>
        </w:tc>
        <w:tc>
          <w:tcPr>
            <w:tcW w:w="1012" w:type="dxa"/>
            <w:tcBorders>
              <w:top w:val="double" w:sz="4" w:space="0" w:color="auto"/>
            </w:tcBorders>
            <w:shd w:val="clear" w:color="auto" w:fill="auto"/>
            <w:noWrap/>
            <w:vAlign w:val="center"/>
          </w:tcPr>
          <w:p w14:paraId="5CA343F8" w14:textId="77777777" w:rsidR="00521DA8" w:rsidRPr="008C257B" w:rsidRDefault="00521DA8" w:rsidP="003152E2">
            <w:pPr>
              <w:spacing w:before="0" w:after="0"/>
              <w:jc w:val="center"/>
              <w:rPr>
                <w:rFonts w:ascii="Arial" w:hAnsi="Arial" w:cs="Arial"/>
                <w:color w:val="000000"/>
                <w:sz w:val="16"/>
                <w:szCs w:val="16"/>
                <w:lang w:val="en-AU" w:eastAsia="en-AU"/>
              </w:rPr>
            </w:pPr>
          </w:p>
        </w:tc>
        <w:tc>
          <w:tcPr>
            <w:tcW w:w="938" w:type="dxa"/>
            <w:tcBorders>
              <w:top w:val="double" w:sz="4" w:space="0" w:color="auto"/>
            </w:tcBorders>
            <w:shd w:val="clear" w:color="auto" w:fill="auto"/>
            <w:noWrap/>
            <w:vAlign w:val="center"/>
          </w:tcPr>
          <w:p w14:paraId="7E7372FB" w14:textId="77777777" w:rsidR="00521DA8" w:rsidRPr="008C257B" w:rsidRDefault="00521DA8" w:rsidP="003152E2">
            <w:pPr>
              <w:spacing w:before="0" w:after="0"/>
              <w:jc w:val="center"/>
              <w:rPr>
                <w:rFonts w:ascii="Arial" w:hAnsi="Arial" w:cs="Arial"/>
                <w:color w:val="000000"/>
                <w:sz w:val="16"/>
                <w:szCs w:val="16"/>
                <w:lang w:val="en-AU" w:eastAsia="en-AU"/>
              </w:rPr>
            </w:pPr>
          </w:p>
        </w:tc>
        <w:tc>
          <w:tcPr>
            <w:tcW w:w="938" w:type="dxa"/>
            <w:tcBorders>
              <w:top w:val="double" w:sz="4" w:space="0" w:color="auto"/>
            </w:tcBorders>
            <w:shd w:val="clear" w:color="auto" w:fill="auto"/>
            <w:noWrap/>
            <w:vAlign w:val="center"/>
          </w:tcPr>
          <w:p w14:paraId="2E0F0AFC" w14:textId="77777777" w:rsidR="00521DA8" w:rsidRPr="008C257B" w:rsidRDefault="00521DA8" w:rsidP="003152E2">
            <w:pPr>
              <w:spacing w:before="0" w:after="0"/>
              <w:jc w:val="center"/>
              <w:rPr>
                <w:rFonts w:ascii="Arial" w:hAnsi="Arial" w:cs="Arial"/>
                <w:color w:val="000000"/>
                <w:sz w:val="16"/>
                <w:szCs w:val="16"/>
                <w:lang w:val="en-AU" w:eastAsia="en-AU"/>
              </w:rPr>
            </w:pPr>
          </w:p>
        </w:tc>
        <w:tc>
          <w:tcPr>
            <w:tcW w:w="1012" w:type="dxa"/>
            <w:tcBorders>
              <w:top w:val="double" w:sz="4" w:space="0" w:color="auto"/>
            </w:tcBorders>
            <w:shd w:val="clear" w:color="auto" w:fill="auto"/>
            <w:noWrap/>
            <w:vAlign w:val="center"/>
          </w:tcPr>
          <w:p w14:paraId="12252C82" w14:textId="77777777" w:rsidR="00521DA8" w:rsidRPr="008C257B" w:rsidRDefault="00521DA8" w:rsidP="003152E2">
            <w:pPr>
              <w:spacing w:before="0" w:after="0"/>
              <w:jc w:val="center"/>
              <w:rPr>
                <w:rFonts w:ascii="Arial" w:hAnsi="Arial" w:cs="Arial"/>
                <w:color w:val="000000"/>
                <w:sz w:val="16"/>
                <w:szCs w:val="16"/>
                <w:lang w:val="en-AU" w:eastAsia="en-AU"/>
              </w:rPr>
            </w:pPr>
          </w:p>
        </w:tc>
        <w:tc>
          <w:tcPr>
            <w:tcW w:w="938" w:type="dxa"/>
            <w:tcBorders>
              <w:top w:val="double" w:sz="4" w:space="0" w:color="auto"/>
            </w:tcBorders>
            <w:shd w:val="clear" w:color="auto" w:fill="auto"/>
            <w:noWrap/>
            <w:vAlign w:val="center"/>
          </w:tcPr>
          <w:p w14:paraId="37292B3A" w14:textId="77777777" w:rsidR="00521DA8" w:rsidRPr="008C257B" w:rsidRDefault="00521DA8" w:rsidP="003152E2">
            <w:pPr>
              <w:spacing w:before="0" w:after="0"/>
              <w:jc w:val="center"/>
              <w:rPr>
                <w:rFonts w:ascii="Arial" w:hAnsi="Arial" w:cs="Arial"/>
                <w:color w:val="000000"/>
                <w:sz w:val="16"/>
                <w:szCs w:val="16"/>
                <w:lang w:val="en-AU" w:eastAsia="en-AU"/>
              </w:rPr>
            </w:pPr>
          </w:p>
        </w:tc>
        <w:tc>
          <w:tcPr>
            <w:tcW w:w="938" w:type="dxa"/>
            <w:tcBorders>
              <w:top w:val="double" w:sz="4" w:space="0" w:color="auto"/>
            </w:tcBorders>
            <w:shd w:val="clear" w:color="auto" w:fill="auto"/>
            <w:noWrap/>
            <w:vAlign w:val="center"/>
          </w:tcPr>
          <w:p w14:paraId="416C2C28" w14:textId="77777777" w:rsidR="00521DA8" w:rsidRPr="00521DA8" w:rsidRDefault="00521DA8" w:rsidP="003152E2">
            <w:pPr>
              <w:spacing w:before="0" w:after="0"/>
              <w:jc w:val="center"/>
              <w:rPr>
                <w:rFonts w:ascii="Arial" w:hAnsi="Arial" w:cs="Arial"/>
                <w:color w:val="000000"/>
                <w:sz w:val="16"/>
                <w:szCs w:val="16"/>
                <w:lang w:val="en-AU" w:eastAsia="en-AU"/>
              </w:rPr>
            </w:pPr>
          </w:p>
        </w:tc>
        <w:tc>
          <w:tcPr>
            <w:tcW w:w="938" w:type="dxa"/>
            <w:tcBorders>
              <w:top w:val="double" w:sz="4" w:space="0" w:color="auto"/>
            </w:tcBorders>
            <w:shd w:val="clear" w:color="auto" w:fill="auto"/>
            <w:noWrap/>
            <w:vAlign w:val="center"/>
          </w:tcPr>
          <w:p w14:paraId="6DE6DD6F" w14:textId="77777777" w:rsidR="00521DA8" w:rsidRPr="00521DA8" w:rsidRDefault="00521DA8" w:rsidP="003152E2">
            <w:pPr>
              <w:spacing w:before="0" w:after="0"/>
              <w:jc w:val="center"/>
              <w:rPr>
                <w:rFonts w:ascii="Arial" w:hAnsi="Arial" w:cs="Arial"/>
                <w:color w:val="000000"/>
                <w:sz w:val="16"/>
                <w:szCs w:val="16"/>
                <w:lang w:val="en-AU" w:eastAsia="en-AU"/>
              </w:rPr>
            </w:pPr>
          </w:p>
        </w:tc>
        <w:tc>
          <w:tcPr>
            <w:tcW w:w="960" w:type="dxa"/>
            <w:tcBorders>
              <w:top w:val="double" w:sz="4" w:space="0" w:color="auto"/>
            </w:tcBorders>
            <w:shd w:val="clear" w:color="auto" w:fill="auto"/>
            <w:noWrap/>
            <w:vAlign w:val="center"/>
          </w:tcPr>
          <w:p w14:paraId="4CC9E289" w14:textId="77777777" w:rsidR="00521DA8" w:rsidRPr="00521DA8" w:rsidRDefault="00521DA8" w:rsidP="003152E2">
            <w:pPr>
              <w:spacing w:before="0" w:after="0"/>
              <w:jc w:val="center"/>
              <w:rPr>
                <w:rFonts w:ascii="Arial" w:hAnsi="Arial" w:cs="Arial"/>
                <w:color w:val="000000"/>
                <w:sz w:val="16"/>
                <w:szCs w:val="16"/>
                <w:lang w:val="en-AU" w:eastAsia="en-AU"/>
              </w:rPr>
            </w:pPr>
          </w:p>
        </w:tc>
        <w:tc>
          <w:tcPr>
            <w:tcW w:w="960" w:type="dxa"/>
            <w:tcBorders>
              <w:top w:val="double" w:sz="4" w:space="0" w:color="auto"/>
            </w:tcBorders>
            <w:shd w:val="clear" w:color="auto" w:fill="auto"/>
            <w:noWrap/>
            <w:vAlign w:val="center"/>
          </w:tcPr>
          <w:p w14:paraId="78047B4E" w14:textId="77777777" w:rsidR="00521DA8" w:rsidRPr="00521DA8" w:rsidRDefault="00521DA8" w:rsidP="003152E2">
            <w:pPr>
              <w:spacing w:before="0" w:after="0"/>
              <w:jc w:val="center"/>
              <w:rPr>
                <w:rFonts w:ascii="Arial" w:hAnsi="Arial" w:cs="Arial"/>
                <w:color w:val="000000"/>
                <w:sz w:val="16"/>
                <w:szCs w:val="16"/>
                <w:lang w:val="en-AU" w:eastAsia="en-AU"/>
              </w:rPr>
            </w:pPr>
          </w:p>
        </w:tc>
        <w:tc>
          <w:tcPr>
            <w:tcW w:w="960" w:type="dxa"/>
            <w:tcBorders>
              <w:top w:val="double" w:sz="4" w:space="0" w:color="auto"/>
            </w:tcBorders>
            <w:shd w:val="clear" w:color="auto" w:fill="auto"/>
            <w:noWrap/>
            <w:vAlign w:val="center"/>
          </w:tcPr>
          <w:p w14:paraId="5EFB61DC" w14:textId="77777777" w:rsidR="00521DA8" w:rsidRPr="00521DA8" w:rsidRDefault="00521DA8" w:rsidP="003152E2">
            <w:pPr>
              <w:spacing w:before="0" w:after="0"/>
              <w:jc w:val="center"/>
              <w:rPr>
                <w:rFonts w:ascii="Arial" w:hAnsi="Arial" w:cs="Arial"/>
                <w:color w:val="000000"/>
                <w:sz w:val="16"/>
                <w:szCs w:val="16"/>
                <w:lang w:val="en-AU" w:eastAsia="en-AU"/>
              </w:rPr>
            </w:pPr>
          </w:p>
        </w:tc>
      </w:tr>
      <w:tr w:rsidR="00521DA8" w:rsidRPr="00521DA8" w14:paraId="2D269910" w14:textId="77777777" w:rsidTr="008C257B">
        <w:trPr>
          <w:trHeight w:val="340"/>
          <w:jc w:val="center"/>
        </w:trPr>
        <w:tc>
          <w:tcPr>
            <w:tcW w:w="2283" w:type="dxa"/>
            <w:tcBorders>
              <w:left w:val="double" w:sz="4" w:space="0" w:color="auto"/>
              <w:bottom w:val="single" w:sz="4" w:space="0" w:color="BFBFBF"/>
              <w:right w:val="single" w:sz="4" w:space="0" w:color="BFBFBF"/>
            </w:tcBorders>
            <w:shd w:val="clear" w:color="auto" w:fill="auto"/>
            <w:noWrap/>
            <w:vAlign w:val="bottom"/>
          </w:tcPr>
          <w:p w14:paraId="533E0494" w14:textId="77777777" w:rsidR="00521DA8" w:rsidRPr="008C257B" w:rsidRDefault="00521DA8" w:rsidP="003152E2">
            <w:pPr>
              <w:spacing w:before="0" w:after="0"/>
              <w:ind w:firstLineChars="100" w:firstLine="160"/>
              <w:rPr>
                <w:rFonts w:ascii="Arial" w:hAnsi="Arial" w:cs="Arial"/>
                <w:color w:val="000000"/>
                <w:sz w:val="16"/>
                <w:szCs w:val="16"/>
                <w:lang w:val="en-AU" w:eastAsia="en-AU"/>
              </w:rPr>
            </w:pPr>
            <w:r w:rsidRPr="008C257B">
              <w:rPr>
                <w:rFonts w:ascii="Arial" w:hAnsi="Arial" w:cs="Arial"/>
                <w:color w:val="000000"/>
                <w:sz w:val="16"/>
                <w:szCs w:val="16"/>
                <w:lang w:val="en-AU" w:eastAsia="en-AU"/>
              </w:rPr>
              <w:lastRenderedPageBreak/>
              <w:t>Western District</w:t>
            </w:r>
          </w:p>
        </w:tc>
        <w:tc>
          <w:tcPr>
            <w:tcW w:w="857" w:type="dxa"/>
            <w:tcBorders>
              <w:left w:val="nil"/>
              <w:bottom w:val="single" w:sz="4" w:space="0" w:color="BFBFBF"/>
              <w:right w:val="single" w:sz="4" w:space="0" w:color="BFBFBF"/>
            </w:tcBorders>
            <w:shd w:val="clear" w:color="auto" w:fill="auto"/>
            <w:noWrap/>
            <w:vAlign w:val="center"/>
          </w:tcPr>
          <w:p w14:paraId="0D427384" w14:textId="77777777" w:rsidR="00521DA8" w:rsidRPr="008C257B" w:rsidRDefault="00521DA8" w:rsidP="00521DA8">
            <w:pPr>
              <w:spacing w:before="0" w:after="0"/>
              <w:jc w:val="center"/>
              <w:rPr>
                <w:rFonts w:ascii="Arial" w:hAnsi="Arial" w:cs="Arial"/>
                <w:color w:val="000000"/>
                <w:sz w:val="16"/>
                <w:szCs w:val="16"/>
                <w:lang w:val="en-AU" w:eastAsia="en-AU"/>
              </w:rPr>
            </w:pPr>
            <w:r w:rsidRPr="008C257B">
              <w:rPr>
                <w:rFonts w:ascii="Arial" w:hAnsi="Arial" w:cs="Arial"/>
                <w:color w:val="000000"/>
                <w:sz w:val="16"/>
                <w:szCs w:val="16"/>
                <w:lang w:val="en-AU" w:eastAsia="en-AU"/>
              </w:rPr>
              <w:t>79</w:t>
            </w:r>
          </w:p>
        </w:tc>
        <w:tc>
          <w:tcPr>
            <w:tcW w:w="938" w:type="dxa"/>
            <w:tcBorders>
              <w:left w:val="nil"/>
              <w:bottom w:val="single" w:sz="4" w:space="0" w:color="BFBFBF"/>
              <w:right w:val="single" w:sz="4" w:space="0" w:color="BFBFBF"/>
            </w:tcBorders>
            <w:shd w:val="clear" w:color="auto" w:fill="auto"/>
            <w:noWrap/>
            <w:vAlign w:val="center"/>
          </w:tcPr>
          <w:p w14:paraId="495648F3" w14:textId="77777777" w:rsidR="00521DA8" w:rsidRPr="008C257B" w:rsidRDefault="00521DA8">
            <w:pPr>
              <w:jc w:val="center"/>
              <w:rPr>
                <w:rFonts w:ascii="Arial" w:hAnsi="Arial" w:cs="Arial"/>
                <w:color w:val="000000"/>
                <w:sz w:val="16"/>
                <w:szCs w:val="16"/>
                <w:lang w:val="en-AU" w:eastAsia="en-AU"/>
              </w:rPr>
            </w:pPr>
            <w:r w:rsidRPr="008C257B">
              <w:rPr>
                <w:rFonts w:ascii="Arial" w:hAnsi="Arial" w:cs="Arial"/>
                <w:color w:val="000000"/>
                <w:sz w:val="16"/>
                <w:szCs w:val="16"/>
                <w:lang w:val="en-AU" w:eastAsia="en-AU"/>
              </w:rPr>
              <w:t>63</w:t>
            </w:r>
          </w:p>
        </w:tc>
        <w:tc>
          <w:tcPr>
            <w:tcW w:w="938" w:type="dxa"/>
            <w:tcBorders>
              <w:left w:val="nil"/>
              <w:bottom w:val="single" w:sz="4" w:space="0" w:color="BFBFBF"/>
              <w:right w:val="single" w:sz="4" w:space="0" w:color="BFBFBF"/>
            </w:tcBorders>
            <w:shd w:val="clear" w:color="auto" w:fill="auto"/>
            <w:noWrap/>
            <w:vAlign w:val="center"/>
          </w:tcPr>
          <w:p w14:paraId="0E395C63" w14:textId="77777777" w:rsidR="00521DA8" w:rsidRPr="008C257B" w:rsidRDefault="00521DA8">
            <w:pPr>
              <w:jc w:val="center"/>
              <w:rPr>
                <w:rFonts w:ascii="Arial" w:hAnsi="Arial" w:cs="Arial"/>
                <w:color w:val="000000"/>
                <w:sz w:val="16"/>
                <w:szCs w:val="16"/>
                <w:lang w:val="en-AU" w:eastAsia="en-AU"/>
              </w:rPr>
            </w:pPr>
            <w:r w:rsidRPr="008C257B">
              <w:rPr>
                <w:rFonts w:ascii="Arial" w:hAnsi="Arial" w:cs="Arial"/>
                <w:color w:val="000000"/>
                <w:sz w:val="16"/>
                <w:szCs w:val="16"/>
                <w:lang w:val="en-AU" w:eastAsia="en-AU"/>
              </w:rPr>
              <w:t>143</w:t>
            </w:r>
          </w:p>
        </w:tc>
        <w:tc>
          <w:tcPr>
            <w:tcW w:w="1012" w:type="dxa"/>
            <w:tcBorders>
              <w:left w:val="nil"/>
              <w:bottom w:val="single" w:sz="4" w:space="0" w:color="BFBFBF"/>
              <w:right w:val="single" w:sz="4" w:space="0" w:color="BFBFBF"/>
            </w:tcBorders>
            <w:shd w:val="clear" w:color="auto" w:fill="auto"/>
            <w:noWrap/>
            <w:vAlign w:val="center"/>
          </w:tcPr>
          <w:p w14:paraId="4999E7BA" w14:textId="77777777" w:rsidR="00521DA8" w:rsidRPr="008C257B" w:rsidRDefault="00521DA8" w:rsidP="003152E2">
            <w:pPr>
              <w:spacing w:before="0" w:after="0"/>
              <w:jc w:val="center"/>
              <w:rPr>
                <w:rFonts w:ascii="Arial" w:hAnsi="Arial" w:cs="Arial"/>
                <w:color w:val="000000"/>
                <w:sz w:val="16"/>
                <w:szCs w:val="16"/>
                <w:lang w:val="en-AU" w:eastAsia="en-AU"/>
              </w:rPr>
            </w:pPr>
            <w:r w:rsidRPr="008C257B">
              <w:rPr>
                <w:rFonts w:ascii="Arial" w:hAnsi="Arial" w:cs="Arial"/>
                <w:color w:val="000000"/>
                <w:sz w:val="16"/>
                <w:szCs w:val="16"/>
                <w:lang w:val="en-AU" w:eastAsia="en-AU"/>
              </w:rPr>
              <w:t>n/a</w:t>
            </w:r>
          </w:p>
        </w:tc>
        <w:tc>
          <w:tcPr>
            <w:tcW w:w="938" w:type="dxa"/>
            <w:tcBorders>
              <w:left w:val="nil"/>
              <w:bottom w:val="single" w:sz="4" w:space="0" w:color="BFBFBF"/>
              <w:right w:val="single" w:sz="4" w:space="0" w:color="BFBFBF"/>
            </w:tcBorders>
            <w:shd w:val="clear" w:color="auto" w:fill="auto"/>
            <w:noWrap/>
            <w:vAlign w:val="center"/>
          </w:tcPr>
          <w:p w14:paraId="305BB964" w14:textId="77777777" w:rsidR="00521DA8" w:rsidRPr="008C257B" w:rsidRDefault="00521DA8" w:rsidP="003152E2">
            <w:pPr>
              <w:spacing w:before="0" w:after="0"/>
              <w:jc w:val="center"/>
              <w:rPr>
                <w:rFonts w:ascii="Arial" w:hAnsi="Arial" w:cs="Arial"/>
                <w:color w:val="000000"/>
                <w:sz w:val="16"/>
                <w:szCs w:val="16"/>
                <w:lang w:val="en-AU" w:eastAsia="en-AU"/>
              </w:rPr>
            </w:pPr>
            <w:r w:rsidRPr="008C257B">
              <w:rPr>
                <w:rFonts w:ascii="Arial" w:hAnsi="Arial" w:cs="Arial"/>
                <w:color w:val="000000"/>
                <w:sz w:val="16"/>
                <w:szCs w:val="16"/>
                <w:lang w:val="en-AU" w:eastAsia="en-AU"/>
              </w:rPr>
              <w:t>n/a</w:t>
            </w:r>
          </w:p>
        </w:tc>
        <w:tc>
          <w:tcPr>
            <w:tcW w:w="938" w:type="dxa"/>
            <w:tcBorders>
              <w:left w:val="nil"/>
              <w:bottom w:val="single" w:sz="4" w:space="0" w:color="BFBFBF"/>
              <w:right w:val="single" w:sz="4" w:space="0" w:color="BFBFBF"/>
            </w:tcBorders>
            <w:shd w:val="clear" w:color="auto" w:fill="auto"/>
            <w:noWrap/>
            <w:vAlign w:val="center"/>
          </w:tcPr>
          <w:p w14:paraId="49E3FD9B" w14:textId="77777777" w:rsidR="00521DA8" w:rsidRPr="008C257B" w:rsidRDefault="00521DA8" w:rsidP="003152E2">
            <w:pPr>
              <w:spacing w:before="0" w:after="0"/>
              <w:jc w:val="center"/>
              <w:rPr>
                <w:rFonts w:ascii="Arial" w:hAnsi="Arial" w:cs="Arial"/>
                <w:color w:val="000000"/>
                <w:sz w:val="16"/>
                <w:szCs w:val="16"/>
                <w:lang w:val="en-AU" w:eastAsia="en-AU"/>
              </w:rPr>
            </w:pPr>
            <w:r w:rsidRPr="008C257B">
              <w:rPr>
                <w:rFonts w:ascii="Arial" w:hAnsi="Arial" w:cs="Arial"/>
                <w:color w:val="000000"/>
                <w:sz w:val="16"/>
                <w:szCs w:val="16"/>
                <w:lang w:val="en-AU" w:eastAsia="en-AU"/>
              </w:rPr>
              <w:t>n/a</w:t>
            </w:r>
          </w:p>
        </w:tc>
        <w:tc>
          <w:tcPr>
            <w:tcW w:w="1012" w:type="dxa"/>
            <w:tcBorders>
              <w:left w:val="nil"/>
              <w:bottom w:val="single" w:sz="4" w:space="0" w:color="BFBFBF"/>
              <w:right w:val="single" w:sz="4" w:space="0" w:color="BFBFBF"/>
            </w:tcBorders>
            <w:shd w:val="clear" w:color="auto" w:fill="auto"/>
            <w:noWrap/>
            <w:vAlign w:val="center"/>
          </w:tcPr>
          <w:p w14:paraId="4A84F9B3" w14:textId="77777777" w:rsidR="00521DA8" w:rsidRPr="008C257B" w:rsidRDefault="00521DA8" w:rsidP="003152E2">
            <w:pPr>
              <w:spacing w:before="0" w:after="0"/>
              <w:jc w:val="center"/>
              <w:rPr>
                <w:rFonts w:ascii="Arial" w:hAnsi="Arial" w:cs="Arial"/>
                <w:color w:val="000000"/>
                <w:sz w:val="16"/>
                <w:szCs w:val="16"/>
                <w:lang w:val="en-AU" w:eastAsia="en-AU"/>
              </w:rPr>
            </w:pPr>
            <w:r w:rsidRPr="008C257B">
              <w:rPr>
                <w:rFonts w:ascii="Arial" w:hAnsi="Arial" w:cs="Arial"/>
                <w:color w:val="000000"/>
                <w:sz w:val="16"/>
                <w:szCs w:val="16"/>
                <w:lang w:val="en-AU" w:eastAsia="en-AU"/>
              </w:rPr>
              <w:t>n/a</w:t>
            </w:r>
          </w:p>
        </w:tc>
        <w:tc>
          <w:tcPr>
            <w:tcW w:w="938" w:type="dxa"/>
            <w:tcBorders>
              <w:left w:val="nil"/>
              <w:bottom w:val="single" w:sz="4" w:space="0" w:color="BFBFBF"/>
              <w:right w:val="single" w:sz="4" w:space="0" w:color="BFBFBF"/>
            </w:tcBorders>
            <w:shd w:val="clear" w:color="auto" w:fill="auto"/>
            <w:noWrap/>
            <w:vAlign w:val="center"/>
          </w:tcPr>
          <w:p w14:paraId="6A6C326C" w14:textId="77777777" w:rsidR="00521DA8" w:rsidRPr="008C257B" w:rsidRDefault="00521DA8" w:rsidP="003152E2">
            <w:pPr>
              <w:spacing w:before="0" w:after="0"/>
              <w:jc w:val="center"/>
              <w:rPr>
                <w:rFonts w:ascii="Arial" w:hAnsi="Arial" w:cs="Arial"/>
                <w:color w:val="000000"/>
                <w:sz w:val="16"/>
                <w:szCs w:val="16"/>
                <w:lang w:val="en-AU" w:eastAsia="en-AU"/>
              </w:rPr>
            </w:pPr>
            <w:r w:rsidRPr="008C257B">
              <w:rPr>
                <w:rFonts w:ascii="Arial" w:hAnsi="Arial" w:cs="Arial"/>
                <w:color w:val="000000"/>
                <w:sz w:val="16"/>
                <w:szCs w:val="16"/>
                <w:lang w:val="en-AU" w:eastAsia="en-AU"/>
              </w:rPr>
              <w:t>n/a</w:t>
            </w:r>
          </w:p>
        </w:tc>
        <w:tc>
          <w:tcPr>
            <w:tcW w:w="938" w:type="dxa"/>
            <w:tcBorders>
              <w:left w:val="nil"/>
              <w:bottom w:val="single" w:sz="4" w:space="0" w:color="BFBFBF"/>
              <w:right w:val="single" w:sz="4" w:space="0" w:color="BFBFBF"/>
            </w:tcBorders>
            <w:shd w:val="clear" w:color="auto" w:fill="auto"/>
            <w:noWrap/>
            <w:vAlign w:val="center"/>
          </w:tcPr>
          <w:p w14:paraId="53D756B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left w:val="nil"/>
              <w:bottom w:val="single" w:sz="4" w:space="0" w:color="BFBFBF"/>
              <w:right w:val="single" w:sz="4" w:space="0" w:color="BFBFBF"/>
            </w:tcBorders>
            <w:shd w:val="clear" w:color="auto" w:fill="auto"/>
            <w:noWrap/>
            <w:vAlign w:val="center"/>
          </w:tcPr>
          <w:p w14:paraId="0727740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left w:val="nil"/>
              <w:bottom w:val="single" w:sz="4" w:space="0" w:color="BFBFBF"/>
              <w:right w:val="single" w:sz="4" w:space="0" w:color="BFBFBF"/>
            </w:tcBorders>
            <w:shd w:val="clear" w:color="auto" w:fill="auto"/>
            <w:noWrap/>
            <w:vAlign w:val="center"/>
          </w:tcPr>
          <w:p w14:paraId="0F9A91C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left w:val="nil"/>
              <w:bottom w:val="single" w:sz="4" w:space="0" w:color="BFBFBF"/>
              <w:right w:val="single" w:sz="4" w:space="0" w:color="BFBFBF"/>
            </w:tcBorders>
            <w:shd w:val="clear" w:color="auto" w:fill="auto"/>
            <w:noWrap/>
            <w:vAlign w:val="center"/>
          </w:tcPr>
          <w:p w14:paraId="37D6337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left w:val="nil"/>
              <w:bottom w:val="single" w:sz="4" w:space="0" w:color="BFBFBF"/>
              <w:right w:val="double" w:sz="4" w:space="0" w:color="auto"/>
            </w:tcBorders>
            <w:shd w:val="clear" w:color="auto" w:fill="auto"/>
            <w:noWrap/>
            <w:vAlign w:val="center"/>
          </w:tcPr>
          <w:p w14:paraId="2F8219D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41F8642C"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3CCABEA0"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Barwon</w:t>
            </w:r>
          </w:p>
        </w:tc>
        <w:tc>
          <w:tcPr>
            <w:tcW w:w="857" w:type="dxa"/>
            <w:tcBorders>
              <w:top w:val="nil"/>
              <w:left w:val="nil"/>
              <w:bottom w:val="single" w:sz="4" w:space="0" w:color="BFBFBF"/>
              <w:right w:val="single" w:sz="4" w:space="0" w:color="BFBFBF"/>
            </w:tcBorders>
            <w:shd w:val="clear" w:color="auto" w:fill="auto"/>
            <w:noWrap/>
            <w:vAlign w:val="center"/>
          </w:tcPr>
          <w:p w14:paraId="48FFC25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97</w:t>
            </w:r>
          </w:p>
        </w:tc>
        <w:tc>
          <w:tcPr>
            <w:tcW w:w="938" w:type="dxa"/>
            <w:tcBorders>
              <w:top w:val="nil"/>
              <w:left w:val="nil"/>
              <w:bottom w:val="single" w:sz="4" w:space="0" w:color="BFBFBF"/>
              <w:right w:val="single" w:sz="4" w:space="0" w:color="BFBFBF"/>
            </w:tcBorders>
            <w:shd w:val="clear" w:color="auto" w:fill="auto"/>
            <w:noWrap/>
            <w:vAlign w:val="center"/>
          </w:tcPr>
          <w:p w14:paraId="16D03325"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82</w:t>
            </w:r>
          </w:p>
        </w:tc>
        <w:tc>
          <w:tcPr>
            <w:tcW w:w="938" w:type="dxa"/>
            <w:tcBorders>
              <w:top w:val="nil"/>
              <w:left w:val="nil"/>
              <w:bottom w:val="single" w:sz="4" w:space="0" w:color="BFBFBF"/>
              <w:right w:val="single" w:sz="4" w:space="0" w:color="BFBFBF"/>
            </w:tcBorders>
            <w:shd w:val="clear" w:color="auto" w:fill="auto"/>
            <w:noWrap/>
            <w:vAlign w:val="center"/>
          </w:tcPr>
          <w:p w14:paraId="4C46BF4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176</w:t>
            </w:r>
          </w:p>
        </w:tc>
        <w:tc>
          <w:tcPr>
            <w:tcW w:w="1012" w:type="dxa"/>
            <w:tcBorders>
              <w:top w:val="nil"/>
              <w:left w:val="nil"/>
              <w:bottom w:val="single" w:sz="4" w:space="0" w:color="BFBFBF"/>
              <w:right w:val="single" w:sz="4" w:space="0" w:color="BFBFBF"/>
            </w:tcBorders>
            <w:shd w:val="clear" w:color="auto" w:fill="auto"/>
            <w:noWrap/>
            <w:vAlign w:val="center"/>
          </w:tcPr>
          <w:p w14:paraId="5123C58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645EA11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1D57CF2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4CB290B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796680E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6C6B7E7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72DED08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68F2A14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3F224A0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217FE17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111B1BEC"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bottom"/>
          </w:tcPr>
          <w:p w14:paraId="7127C7B2"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Central Highlands</w:t>
            </w:r>
          </w:p>
        </w:tc>
        <w:tc>
          <w:tcPr>
            <w:tcW w:w="857" w:type="dxa"/>
            <w:tcBorders>
              <w:top w:val="nil"/>
              <w:left w:val="nil"/>
              <w:bottom w:val="single" w:sz="4" w:space="0" w:color="BFBFBF"/>
              <w:right w:val="single" w:sz="4" w:space="0" w:color="BFBFBF"/>
            </w:tcBorders>
            <w:shd w:val="clear" w:color="auto" w:fill="auto"/>
            <w:noWrap/>
            <w:vAlign w:val="center"/>
          </w:tcPr>
          <w:p w14:paraId="1E24DE1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63</w:t>
            </w:r>
          </w:p>
        </w:tc>
        <w:tc>
          <w:tcPr>
            <w:tcW w:w="938" w:type="dxa"/>
            <w:tcBorders>
              <w:top w:val="nil"/>
              <w:left w:val="nil"/>
              <w:bottom w:val="single" w:sz="4" w:space="0" w:color="BFBFBF"/>
              <w:right w:val="single" w:sz="4" w:space="0" w:color="BFBFBF"/>
            </w:tcBorders>
            <w:shd w:val="clear" w:color="auto" w:fill="auto"/>
            <w:noWrap/>
            <w:vAlign w:val="center"/>
          </w:tcPr>
          <w:p w14:paraId="0768FDE3"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90</w:t>
            </w:r>
          </w:p>
        </w:tc>
        <w:tc>
          <w:tcPr>
            <w:tcW w:w="938" w:type="dxa"/>
            <w:tcBorders>
              <w:top w:val="nil"/>
              <w:left w:val="nil"/>
              <w:bottom w:val="single" w:sz="4" w:space="0" w:color="BFBFBF"/>
              <w:right w:val="single" w:sz="4" w:space="0" w:color="BFBFBF"/>
            </w:tcBorders>
            <w:shd w:val="clear" w:color="auto" w:fill="auto"/>
            <w:noWrap/>
            <w:vAlign w:val="center"/>
          </w:tcPr>
          <w:p w14:paraId="61E0A5A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153</w:t>
            </w:r>
          </w:p>
        </w:tc>
        <w:tc>
          <w:tcPr>
            <w:tcW w:w="1012" w:type="dxa"/>
            <w:tcBorders>
              <w:top w:val="nil"/>
              <w:left w:val="nil"/>
              <w:bottom w:val="single" w:sz="4" w:space="0" w:color="BFBFBF"/>
              <w:right w:val="single" w:sz="4" w:space="0" w:color="BFBFBF"/>
            </w:tcBorders>
            <w:shd w:val="clear" w:color="auto" w:fill="auto"/>
            <w:noWrap/>
            <w:vAlign w:val="center"/>
          </w:tcPr>
          <w:p w14:paraId="0240271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7227E63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7FB7651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1012" w:type="dxa"/>
            <w:tcBorders>
              <w:top w:val="nil"/>
              <w:left w:val="nil"/>
              <w:bottom w:val="single" w:sz="4" w:space="0" w:color="BFBFBF"/>
              <w:right w:val="single" w:sz="4" w:space="0" w:color="BFBFBF"/>
            </w:tcBorders>
            <w:shd w:val="clear" w:color="auto" w:fill="auto"/>
            <w:noWrap/>
            <w:vAlign w:val="center"/>
          </w:tcPr>
          <w:p w14:paraId="39ADC1B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59ECDF98"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6F4AB5D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38" w:type="dxa"/>
            <w:tcBorders>
              <w:top w:val="nil"/>
              <w:left w:val="nil"/>
              <w:bottom w:val="single" w:sz="4" w:space="0" w:color="BFBFBF"/>
              <w:right w:val="single" w:sz="4" w:space="0" w:color="BFBFBF"/>
            </w:tcBorders>
            <w:shd w:val="clear" w:color="auto" w:fill="auto"/>
            <w:noWrap/>
            <w:vAlign w:val="center"/>
          </w:tcPr>
          <w:p w14:paraId="202DE67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1BEF77D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4CD447D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c>
          <w:tcPr>
            <w:tcW w:w="960" w:type="dxa"/>
            <w:tcBorders>
              <w:top w:val="nil"/>
              <w:left w:val="nil"/>
              <w:bottom w:val="single" w:sz="4" w:space="0" w:color="BFBFBF"/>
              <w:right w:val="double" w:sz="4" w:space="0" w:color="auto"/>
            </w:tcBorders>
            <w:shd w:val="clear" w:color="auto" w:fill="auto"/>
            <w:noWrap/>
            <w:vAlign w:val="center"/>
          </w:tcPr>
          <w:p w14:paraId="06D4144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n/a</w:t>
            </w:r>
          </w:p>
        </w:tc>
      </w:tr>
      <w:tr w:rsidR="00521DA8" w:rsidRPr="00521DA8" w14:paraId="0CAD6552"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580AF9AF" w14:textId="77777777" w:rsidR="00521DA8" w:rsidRPr="00521DA8" w:rsidRDefault="00521DA8" w:rsidP="003152E2">
            <w:pPr>
              <w:spacing w:before="0" w:after="0"/>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By Concession Status -</w:t>
            </w:r>
          </w:p>
        </w:tc>
        <w:tc>
          <w:tcPr>
            <w:tcW w:w="857" w:type="dxa"/>
            <w:tcBorders>
              <w:top w:val="nil"/>
              <w:left w:val="nil"/>
              <w:bottom w:val="single" w:sz="4" w:space="0" w:color="BFBFBF"/>
              <w:right w:val="single" w:sz="4" w:space="0" w:color="BFBFBF"/>
            </w:tcBorders>
            <w:shd w:val="clear" w:color="auto" w:fill="auto"/>
            <w:noWrap/>
            <w:vAlign w:val="center"/>
          </w:tcPr>
          <w:p w14:paraId="38199D5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49B5181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436A519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1012" w:type="dxa"/>
            <w:tcBorders>
              <w:top w:val="nil"/>
              <w:left w:val="nil"/>
              <w:bottom w:val="single" w:sz="4" w:space="0" w:color="BFBFBF"/>
              <w:right w:val="single" w:sz="4" w:space="0" w:color="BFBFBF"/>
            </w:tcBorders>
            <w:shd w:val="clear" w:color="auto" w:fill="auto"/>
            <w:noWrap/>
            <w:vAlign w:val="center"/>
          </w:tcPr>
          <w:p w14:paraId="60C91E3E"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1E9A0B3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16AC020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1012" w:type="dxa"/>
            <w:tcBorders>
              <w:top w:val="nil"/>
              <w:left w:val="nil"/>
              <w:bottom w:val="single" w:sz="4" w:space="0" w:color="BFBFBF"/>
              <w:right w:val="single" w:sz="4" w:space="0" w:color="BFBFBF"/>
            </w:tcBorders>
            <w:shd w:val="clear" w:color="auto" w:fill="auto"/>
            <w:noWrap/>
            <w:vAlign w:val="center"/>
          </w:tcPr>
          <w:p w14:paraId="5FD6E5B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523689A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114B70B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162EB91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bottom"/>
          </w:tcPr>
          <w:p w14:paraId="197EDD0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center"/>
          </w:tcPr>
          <w:p w14:paraId="32F2283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double" w:sz="4" w:space="0" w:color="auto"/>
            </w:tcBorders>
            <w:shd w:val="clear" w:color="auto" w:fill="auto"/>
            <w:noWrap/>
            <w:vAlign w:val="center"/>
          </w:tcPr>
          <w:p w14:paraId="0EFCA0B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r>
      <w:tr w:rsidR="00521DA8" w:rsidRPr="00521DA8" w14:paraId="6564821E"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7314A50C"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Aged Concession HHs</w:t>
            </w:r>
          </w:p>
        </w:tc>
        <w:tc>
          <w:tcPr>
            <w:tcW w:w="857" w:type="dxa"/>
            <w:tcBorders>
              <w:top w:val="nil"/>
              <w:left w:val="nil"/>
              <w:bottom w:val="single" w:sz="4" w:space="0" w:color="BFBFBF"/>
              <w:right w:val="single" w:sz="4" w:space="0" w:color="BFBFBF"/>
            </w:tcBorders>
            <w:shd w:val="clear" w:color="auto" w:fill="auto"/>
            <w:noWrap/>
            <w:vAlign w:val="center"/>
          </w:tcPr>
          <w:p w14:paraId="7A0CA847"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70</w:t>
            </w:r>
          </w:p>
        </w:tc>
        <w:tc>
          <w:tcPr>
            <w:tcW w:w="938" w:type="dxa"/>
            <w:tcBorders>
              <w:top w:val="nil"/>
              <w:left w:val="nil"/>
              <w:bottom w:val="single" w:sz="4" w:space="0" w:color="BFBFBF"/>
              <w:right w:val="single" w:sz="4" w:space="0" w:color="BFBFBF"/>
            </w:tcBorders>
            <w:shd w:val="clear" w:color="auto" w:fill="auto"/>
            <w:noWrap/>
            <w:vAlign w:val="center"/>
          </w:tcPr>
          <w:p w14:paraId="52A0B3C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67</w:t>
            </w:r>
          </w:p>
        </w:tc>
        <w:tc>
          <w:tcPr>
            <w:tcW w:w="938" w:type="dxa"/>
            <w:tcBorders>
              <w:top w:val="nil"/>
              <w:left w:val="nil"/>
              <w:bottom w:val="single" w:sz="4" w:space="0" w:color="BFBFBF"/>
              <w:right w:val="single" w:sz="4" w:space="0" w:color="BFBFBF"/>
            </w:tcBorders>
            <w:shd w:val="clear" w:color="auto" w:fill="auto"/>
            <w:noWrap/>
            <w:vAlign w:val="center"/>
          </w:tcPr>
          <w:p w14:paraId="7A1E19E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138</w:t>
            </w:r>
          </w:p>
        </w:tc>
        <w:tc>
          <w:tcPr>
            <w:tcW w:w="1012" w:type="dxa"/>
            <w:tcBorders>
              <w:top w:val="nil"/>
              <w:left w:val="nil"/>
              <w:bottom w:val="single" w:sz="4" w:space="0" w:color="BFBFBF"/>
              <w:right w:val="single" w:sz="4" w:space="0" w:color="BFBFBF"/>
            </w:tcBorders>
            <w:shd w:val="clear" w:color="auto" w:fill="auto"/>
            <w:noWrap/>
            <w:vAlign w:val="center"/>
          </w:tcPr>
          <w:p w14:paraId="6FD5BF9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92</w:t>
            </w:r>
          </w:p>
        </w:tc>
        <w:tc>
          <w:tcPr>
            <w:tcW w:w="938" w:type="dxa"/>
            <w:tcBorders>
              <w:top w:val="nil"/>
              <w:left w:val="nil"/>
              <w:bottom w:val="single" w:sz="4" w:space="0" w:color="BFBFBF"/>
              <w:right w:val="single" w:sz="4" w:space="0" w:color="BFBFBF"/>
            </w:tcBorders>
            <w:shd w:val="clear" w:color="auto" w:fill="auto"/>
            <w:noWrap/>
            <w:vAlign w:val="center"/>
          </w:tcPr>
          <w:p w14:paraId="7623CEB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89</w:t>
            </w:r>
          </w:p>
        </w:tc>
        <w:tc>
          <w:tcPr>
            <w:tcW w:w="938" w:type="dxa"/>
            <w:tcBorders>
              <w:top w:val="nil"/>
              <w:left w:val="nil"/>
              <w:bottom w:val="single" w:sz="4" w:space="0" w:color="BFBFBF"/>
              <w:right w:val="single" w:sz="4" w:space="0" w:color="BFBFBF"/>
            </w:tcBorders>
            <w:shd w:val="clear" w:color="auto" w:fill="auto"/>
            <w:noWrap/>
            <w:vAlign w:val="center"/>
          </w:tcPr>
          <w:p w14:paraId="56BDE14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181</w:t>
            </w:r>
          </w:p>
        </w:tc>
        <w:tc>
          <w:tcPr>
            <w:tcW w:w="1012" w:type="dxa"/>
            <w:tcBorders>
              <w:top w:val="nil"/>
              <w:left w:val="nil"/>
              <w:bottom w:val="single" w:sz="4" w:space="0" w:color="BFBFBF"/>
              <w:right w:val="single" w:sz="4" w:space="0" w:color="BFBFBF"/>
            </w:tcBorders>
            <w:shd w:val="clear" w:color="auto" w:fill="auto"/>
            <w:noWrap/>
            <w:vAlign w:val="center"/>
          </w:tcPr>
          <w:p w14:paraId="4D782D7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140</w:t>
            </w:r>
          </w:p>
        </w:tc>
        <w:tc>
          <w:tcPr>
            <w:tcW w:w="938" w:type="dxa"/>
            <w:tcBorders>
              <w:top w:val="nil"/>
              <w:left w:val="nil"/>
              <w:bottom w:val="single" w:sz="4" w:space="0" w:color="BFBFBF"/>
              <w:right w:val="single" w:sz="4" w:space="0" w:color="BFBFBF"/>
            </w:tcBorders>
            <w:shd w:val="clear" w:color="auto" w:fill="auto"/>
            <w:noWrap/>
            <w:vAlign w:val="center"/>
          </w:tcPr>
          <w:p w14:paraId="1674414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103</w:t>
            </w:r>
          </w:p>
        </w:tc>
        <w:tc>
          <w:tcPr>
            <w:tcW w:w="938" w:type="dxa"/>
            <w:tcBorders>
              <w:top w:val="nil"/>
              <w:left w:val="nil"/>
              <w:bottom w:val="single" w:sz="4" w:space="0" w:color="BFBFBF"/>
              <w:right w:val="single" w:sz="4" w:space="0" w:color="BFBFBF"/>
            </w:tcBorders>
            <w:shd w:val="clear" w:color="auto" w:fill="auto"/>
            <w:noWrap/>
            <w:vAlign w:val="center"/>
          </w:tcPr>
          <w:p w14:paraId="04F9635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233</w:t>
            </w:r>
          </w:p>
        </w:tc>
        <w:tc>
          <w:tcPr>
            <w:tcW w:w="938" w:type="dxa"/>
            <w:tcBorders>
              <w:top w:val="nil"/>
              <w:left w:val="nil"/>
              <w:bottom w:val="single" w:sz="4" w:space="0" w:color="BFBFBF"/>
              <w:right w:val="single" w:sz="4" w:space="0" w:color="BFBFBF"/>
            </w:tcBorders>
            <w:shd w:val="clear" w:color="auto" w:fill="auto"/>
            <w:noWrap/>
            <w:vAlign w:val="center"/>
          </w:tcPr>
          <w:p w14:paraId="6E63CD1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175</w:t>
            </w:r>
          </w:p>
        </w:tc>
        <w:tc>
          <w:tcPr>
            <w:tcW w:w="960" w:type="dxa"/>
            <w:tcBorders>
              <w:top w:val="nil"/>
              <w:left w:val="nil"/>
              <w:bottom w:val="single" w:sz="4" w:space="0" w:color="BFBFBF"/>
              <w:right w:val="single" w:sz="4" w:space="0" w:color="BFBFBF"/>
            </w:tcBorders>
            <w:shd w:val="clear" w:color="auto" w:fill="auto"/>
            <w:noWrap/>
            <w:vAlign w:val="bottom"/>
          </w:tcPr>
          <w:p w14:paraId="05BF4A0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-24.0%</w:t>
            </w:r>
          </w:p>
        </w:tc>
        <w:tc>
          <w:tcPr>
            <w:tcW w:w="960" w:type="dxa"/>
            <w:tcBorders>
              <w:top w:val="nil"/>
              <w:left w:val="nil"/>
              <w:bottom w:val="single" w:sz="4" w:space="0" w:color="BFBFBF"/>
              <w:right w:val="single" w:sz="4" w:space="0" w:color="BFBFBF"/>
            </w:tcBorders>
            <w:shd w:val="clear" w:color="auto" w:fill="auto"/>
            <w:noWrap/>
            <w:vAlign w:val="center"/>
          </w:tcPr>
          <w:p w14:paraId="16873587"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-22.3%</w:t>
            </w:r>
          </w:p>
        </w:tc>
        <w:tc>
          <w:tcPr>
            <w:tcW w:w="960" w:type="dxa"/>
            <w:tcBorders>
              <w:top w:val="nil"/>
              <w:left w:val="nil"/>
              <w:bottom w:val="single" w:sz="4" w:space="0" w:color="BFBFBF"/>
              <w:right w:val="double" w:sz="4" w:space="0" w:color="auto"/>
            </w:tcBorders>
            <w:shd w:val="clear" w:color="auto" w:fill="auto"/>
            <w:noWrap/>
            <w:vAlign w:val="center"/>
          </w:tcPr>
          <w:p w14:paraId="5C1D26C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33.1%</w:t>
            </w:r>
          </w:p>
        </w:tc>
      </w:tr>
      <w:tr w:rsidR="00521DA8" w:rsidRPr="00521DA8" w14:paraId="127E198C"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5BE0A817"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Other Concession HHs</w:t>
            </w:r>
          </w:p>
        </w:tc>
        <w:tc>
          <w:tcPr>
            <w:tcW w:w="857" w:type="dxa"/>
            <w:tcBorders>
              <w:top w:val="nil"/>
              <w:left w:val="nil"/>
              <w:bottom w:val="single" w:sz="4" w:space="0" w:color="BFBFBF"/>
              <w:right w:val="single" w:sz="4" w:space="0" w:color="BFBFBF"/>
            </w:tcBorders>
            <w:shd w:val="clear" w:color="auto" w:fill="auto"/>
            <w:noWrap/>
            <w:vAlign w:val="center"/>
          </w:tcPr>
          <w:p w14:paraId="549D697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77</w:t>
            </w:r>
          </w:p>
        </w:tc>
        <w:tc>
          <w:tcPr>
            <w:tcW w:w="938" w:type="dxa"/>
            <w:tcBorders>
              <w:top w:val="nil"/>
              <w:left w:val="nil"/>
              <w:bottom w:val="single" w:sz="4" w:space="0" w:color="BFBFBF"/>
              <w:right w:val="single" w:sz="4" w:space="0" w:color="BFBFBF"/>
            </w:tcBorders>
            <w:shd w:val="clear" w:color="auto" w:fill="auto"/>
            <w:noWrap/>
            <w:vAlign w:val="center"/>
          </w:tcPr>
          <w:p w14:paraId="35E42F1C"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80</w:t>
            </w:r>
          </w:p>
        </w:tc>
        <w:tc>
          <w:tcPr>
            <w:tcW w:w="938" w:type="dxa"/>
            <w:tcBorders>
              <w:top w:val="nil"/>
              <w:left w:val="nil"/>
              <w:bottom w:val="single" w:sz="4" w:space="0" w:color="BFBFBF"/>
              <w:right w:val="single" w:sz="4" w:space="0" w:color="BFBFBF"/>
            </w:tcBorders>
            <w:shd w:val="clear" w:color="auto" w:fill="auto"/>
            <w:noWrap/>
            <w:vAlign w:val="center"/>
          </w:tcPr>
          <w:p w14:paraId="0DF00B15"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158</w:t>
            </w:r>
          </w:p>
        </w:tc>
        <w:tc>
          <w:tcPr>
            <w:tcW w:w="1012" w:type="dxa"/>
            <w:tcBorders>
              <w:top w:val="nil"/>
              <w:left w:val="nil"/>
              <w:bottom w:val="single" w:sz="4" w:space="0" w:color="BFBFBF"/>
              <w:right w:val="single" w:sz="4" w:space="0" w:color="BFBFBF"/>
            </w:tcBorders>
            <w:shd w:val="clear" w:color="auto" w:fill="auto"/>
            <w:noWrap/>
            <w:vAlign w:val="center"/>
          </w:tcPr>
          <w:p w14:paraId="4CE5EA2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99</w:t>
            </w:r>
          </w:p>
        </w:tc>
        <w:tc>
          <w:tcPr>
            <w:tcW w:w="938" w:type="dxa"/>
            <w:tcBorders>
              <w:top w:val="nil"/>
              <w:left w:val="nil"/>
              <w:bottom w:val="single" w:sz="4" w:space="0" w:color="BFBFBF"/>
              <w:right w:val="single" w:sz="4" w:space="0" w:color="BFBFBF"/>
            </w:tcBorders>
            <w:shd w:val="clear" w:color="auto" w:fill="auto"/>
            <w:noWrap/>
            <w:vAlign w:val="center"/>
          </w:tcPr>
          <w:p w14:paraId="2B55165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120</w:t>
            </w:r>
          </w:p>
        </w:tc>
        <w:tc>
          <w:tcPr>
            <w:tcW w:w="938" w:type="dxa"/>
            <w:tcBorders>
              <w:top w:val="nil"/>
              <w:left w:val="nil"/>
              <w:bottom w:val="single" w:sz="4" w:space="0" w:color="BFBFBF"/>
              <w:right w:val="single" w:sz="4" w:space="0" w:color="BFBFBF"/>
            </w:tcBorders>
            <w:shd w:val="clear" w:color="auto" w:fill="auto"/>
            <w:noWrap/>
            <w:vAlign w:val="center"/>
          </w:tcPr>
          <w:p w14:paraId="7A45D8B8"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219</w:t>
            </w:r>
          </w:p>
        </w:tc>
        <w:tc>
          <w:tcPr>
            <w:tcW w:w="1012" w:type="dxa"/>
            <w:tcBorders>
              <w:top w:val="nil"/>
              <w:left w:val="nil"/>
              <w:bottom w:val="single" w:sz="4" w:space="0" w:color="BFBFBF"/>
              <w:right w:val="single" w:sz="4" w:space="0" w:color="BFBFBF"/>
            </w:tcBorders>
            <w:shd w:val="clear" w:color="auto" w:fill="auto"/>
            <w:noWrap/>
            <w:vAlign w:val="center"/>
          </w:tcPr>
          <w:p w14:paraId="64980CFE"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167</w:t>
            </w:r>
          </w:p>
        </w:tc>
        <w:tc>
          <w:tcPr>
            <w:tcW w:w="938" w:type="dxa"/>
            <w:tcBorders>
              <w:top w:val="nil"/>
              <w:left w:val="nil"/>
              <w:bottom w:val="single" w:sz="4" w:space="0" w:color="BFBFBF"/>
              <w:right w:val="single" w:sz="4" w:space="0" w:color="BFBFBF"/>
            </w:tcBorders>
            <w:shd w:val="clear" w:color="auto" w:fill="auto"/>
            <w:noWrap/>
            <w:vAlign w:val="center"/>
          </w:tcPr>
          <w:p w14:paraId="383759B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129</w:t>
            </w:r>
          </w:p>
        </w:tc>
        <w:tc>
          <w:tcPr>
            <w:tcW w:w="938" w:type="dxa"/>
            <w:tcBorders>
              <w:top w:val="nil"/>
              <w:left w:val="nil"/>
              <w:bottom w:val="single" w:sz="4" w:space="0" w:color="BFBFBF"/>
              <w:right w:val="single" w:sz="4" w:space="0" w:color="BFBFBF"/>
            </w:tcBorders>
            <w:shd w:val="clear" w:color="auto" w:fill="auto"/>
            <w:noWrap/>
            <w:vAlign w:val="center"/>
          </w:tcPr>
          <w:p w14:paraId="3E7AB65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285</w:t>
            </w:r>
          </w:p>
        </w:tc>
        <w:tc>
          <w:tcPr>
            <w:tcW w:w="938" w:type="dxa"/>
            <w:tcBorders>
              <w:top w:val="nil"/>
              <w:left w:val="nil"/>
              <w:bottom w:val="single" w:sz="4" w:space="0" w:color="BFBFBF"/>
              <w:right w:val="single" w:sz="4" w:space="0" w:color="BFBFBF"/>
            </w:tcBorders>
            <w:shd w:val="clear" w:color="auto" w:fill="auto"/>
            <w:noWrap/>
            <w:vAlign w:val="center"/>
          </w:tcPr>
          <w:p w14:paraId="04B1620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247</w:t>
            </w:r>
          </w:p>
        </w:tc>
        <w:tc>
          <w:tcPr>
            <w:tcW w:w="960" w:type="dxa"/>
            <w:tcBorders>
              <w:top w:val="nil"/>
              <w:left w:val="nil"/>
              <w:bottom w:val="single" w:sz="4" w:space="0" w:color="BFBFBF"/>
              <w:right w:val="single" w:sz="4" w:space="0" w:color="BFBFBF"/>
            </w:tcBorders>
            <w:shd w:val="clear" w:color="auto" w:fill="auto"/>
            <w:noWrap/>
            <w:vAlign w:val="bottom"/>
          </w:tcPr>
          <w:p w14:paraId="2409574B"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-28.0%</w:t>
            </w:r>
          </w:p>
        </w:tc>
        <w:tc>
          <w:tcPr>
            <w:tcW w:w="960" w:type="dxa"/>
            <w:tcBorders>
              <w:top w:val="nil"/>
              <w:left w:val="nil"/>
              <w:bottom w:val="single" w:sz="4" w:space="0" w:color="BFBFBF"/>
              <w:right w:val="single" w:sz="4" w:space="0" w:color="BFBFBF"/>
            </w:tcBorders>
            <w:shd w:val="clear" w:color="auto" w:fill="auto"/>
            <w:noWrap/>
            <w:vAlign w:val="center"/>
          </w:tcPr>
          <w:p w14:paraId="1566A20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-23.2%</w:t>
            </w:r>
          </w:p>
        </w:tc>
        <w:tc>
          <w:tcPr>
            <w:tcW w:w="960" w:type="dxa"/>
            <w:tcBorders>
              <w:top w:val="nil"/>
              <w:left w:val="nil"/>
              <w:bottom w:val="single" w:sz="4" w:space="0" w:color="BFBFBF"/>
              <w:right w:val="double" w:sz="4" w:space="0" w:color="auto"/>
            </w:tcBorders>
            <w:shd w:val="clear" w:color="auto" w:fill="auto"/>
            <w:noWrap/>
            <w:vAlign w:val="center"/>
          </w:tcPr>
          <w:p w14:paraId="1D63A35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15.4%</w:t>
            </w:r>
          </w:p>
        </w:tc>
      </w:tr>
      <w:tr w:rsidR="00521DA8" w:rsidRPr="00521DA8" w14:paraId="1F0C8324"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0AA6DAA4"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Total Concession HHs</w:t>
            </w:r>
          </w:p>
        </w:tc>
        <w:tc>
          <w:tcPr>
            <w:tcW w:w="857" w:type="dxa"/>
            <w:tcBorders>
              <w:top w:val="nil"/>
              <w:left w:val="nil"/>
              <w:bottom w:val="single" w:sz="4" w:space="0" w:color="BFBFBF"/>
              <w:right w:val="single" w:sz="4" w:space="0" w:color="BFBFBF"/>
            </w:tcBorders>
            <w:shd w:val="clear" w:color="auto" w:fill="auto"/>
            <w:noWrap/>
            <w:vAlign w:val="center"/>
          </w:tcPr>
          <w:p w14:paraId="3E1E83B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73</w:t>
            </w:r>
          </w:p>
        </w:tc>
        <w:tc>
          <w:tcPr>
            <w:tcW w:w="938" w:type="dxa"/>
            <w:tcBorders>
              <w:top w:val="nil"/>
              <w:left w:val="nil"/>
              <w:bottom w:val="single" w:sz="4" w:space="0" w:color="BFBFBF"/>
              <w:right w:val="single" w:sz="4" w:space="0" w:color="BFBFBF"/>
            </w:tcBorders>
            <w:shd w:val="clear" w:color="auto" w:fill="auto"/>
            <w:noWrap/>
            <w:vAlign w:val="center"/>
          </w:tcPr>
          <w:p w14:paraId="33AF0D65"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74</w:t>
            </w:r>
          </w:p>
        </w:tc>
        <w:tc>
          <w:tcPr>
            <w:tcW w:w="938" w:type="dxa"/>
            <w:tcBorders>
              <w:top w:val="nil"/>
              <w:left w:val="nil"/>
              <w:bottom w:val="single" w:sz="4" w:space="0" w:color="BFBFBF"/>
              <w:right w:val="single" w:sz="4" w:space="0" w:color="BFBFBF"/>
            </w:tcBorders>
            <w:shd w:val="clear" w:color="auto" w:fill="auto"/>
            <w:noWrap/>
            <w:vAlign w:val="center"/>
          </w:tcPr>
          <w:p w14:paraId="5DA1AB57"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147</w:t>
            </w:r>
          </w:p>
        </w:tc>
        <w:tc>
          <w:tcPr>
            <w:tcW w:w="1012" w:type="dxa"/>
            <w:tcBorders>
              <w:top w:val="nil"/>
              <w:left w:val="nil"/>
              <w:bottom w:val="single" w:sz="4" w:space="0" w:color="BFBFBF"/>
              <w:right w:val="single" w:sz="4" w:space="0" w:color="BFBFBF"/>
            </w:tcBorders>
            <w:shd w:val="clear" w:color="auto" w:fill="auto"/>
            <w:noWrap/>
            <w:vAlign w:val="center"/>
          </w:tcPr>
          <w:p w14:paraId="1E3705AB"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95</w:t>
            </w:r>
          </w:p>
        </w:tc>
        <w:tc>
          <w:tcPr>
            <w:tcW w:w="938" w:type="dxa"/>
            <w:tcBorders>
              <w:top w:val="nil"/>
              <w:left w:val="nil"/>
              <w:bottom w:val="single" w:sz="4" w:space="0" w:color="BFBFBF"/>
              <w:right w:val="single" w:sz="4" w:space="0" w:color="BFBFBF"/>
            </w:tcBorders>
            <w:shd w:val="clear" w:color="auto" w:fill="auto"/>
            <w:noWrap/>
            <w:vAlign w:val="center"/>
          </w:tcPr>
          <w:p w14:paraId="3FE13B8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103</w:t>
            </w:r>
          </w:p>
        </w:tc>
        <w:tc>
          <w:tcPr>
            <w:tcW w:w="938" w:type="dxa"/>
            <w:tcBorders>
              <w:top w:val="nil"/>
              <w:left w:val="nil"/>
              <w:bottom w:val="single" w:sz="4" w:space="0" w:color="BFBFBF"/>
              <w:right w:val="single" w:sz="4" w:space="0" w:color="BFBFBF"/>
            </w:tcBorders>
            <w:shd w:val="clear" w:color="auto" w:fill="auto"/>
            <w:noWrap/>
            <w:vAlign w:val="center"/>
          </w:tcPr>
          <w:p w14:paraId="3EB56BAE"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198</w:t>
            </w:r>
          </w:p>
        </w:tc>
        <w:tc>
          <w:tcPr>
            <w:tcW w:w="1012" w:type="dxa"/>
            <w:tcBorders>
              <w:top w:val="nil"/>
              <w:left w:val="nil"/>
              <w:bottom w:val="single" w:sz="4" w:space="0" w:color="BFBFBF"/>
              <w:right w:val="single" w:sz="4" w:space="0" w:color="BFBFBF"/>
            </w:tcBorders>
            <w:shd w:val="clear" w:color="auto" w:fill="auto"/>
            <w:noWrap/>
            <w:vAlign w:val="center"/>
          </w:tcPr>
          <w:p w14:paraId="50F0D08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153</w:t>
            </w:r>
          </w:p>
        </w:tc>
        <w:tc>
          <w:tcPr>
            <w:tcW w:w="938" w:type="dxa"/>
            <w:tcBorders>
              <w:top w:val="nil"/>
              <w:left w:val="nil"/>
              <w:bottom w:val="single" w:sz="4" w:space="0" w:color="BFBFBF"/>
              <w:right w:val="single" w:sz="4" w:space="0" w:color="BFBFBF"/>
            </w:tcBorders>
            <w:shd w:val="clear" w:color="auto" w:fill="auto"/>
            <w:noWrap/>
            <w:vAlign w:val="center"/>
          </w:tcPr>
          <w:p w14:paraId="417D58A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115</w:t>
            </w:r>
          </w:p>
        </w:tc>
        <w:tc>
          <w:tcPr>
            <w:tcW w:w="938" w:type="dxa"/>
            <w:tcBorders>
              <w:top w:val="nil"/>
              <w:left w:val="nil"/>
              <w:bottom w:val="single" w:sz="4" w:space="0" w:color="BFBFBF"/>
              <w:right w:val="single" w:sz="4" w:space="0" w:color="BFBFBF"/>
            </w:tcBorders>
            <w:shd w:val="clear" w:color="auto" w:fill="auto"/>
            <w:noWrap/>
            <w:vAlign w:val="center"/>
          </w:tcPr>
          <w:p w14:paraId="00BE2D8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257</w:t>
            </w:r>
          </w:p>
        </w:tc>
        <w:tc>
          <w:tcPr>
            <w:tcW w:w="938" w:type="dxa"/>
            <w:tcBorders>
              <w:top w:val="nil"/>
              <w:left w:val="nil"/>
              <w:bottom w:val="single" w:sz="4" w:space="0" w:color="BFBFBF"/>
              <w:right w:val="single" w:sz="4" w:space="0" w:color="BFBFBF"/>
            </w:tcBorders>
            <w:shd w:val="clear" w:color="auto" w:fill="auto"/>
            <w:noWrap/>
            <w:vAlign w:val="center"/>
          </w:tcPr>
          <w:p w14:paraId="1AE52C0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204</w:t>
            </w:r>
          </w:p>
        </w:tc>
        <w:tc>
          <w:tcPr>
            <w:tcW w:w="960" w:type="dxa"/>
            <w:tcBorders>
              <w:top w:val="nil"/>
              <w:left w:val="nil"/>
              <w:bottom w:val="single" w:sz="4" w:space="0" w:color="BFBFBF"/>
              <w:right w:val="single" w:sz="4" w:space="0" w:color="BFBFBF"/>
            </w:tcBorders>
            <w:shd w:val="clear" w:color="auto" w:fill="auto"/>
            <w:noWrap/>
            <w:vAlign w:val="bottom"/>
          </w:tcPr>
          <w:p w14:paraId="64D69A73"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-25.6%</w:t>
            </w:r>
          </w:p>
        </w:tc>
        <w:tc>
          <w:tcPr>
            <w:tcW w:w="960" w:type="dxa"/>
            <w:tcBorders>
              <w:top w:val="nil"/>
              <w:left w:val="nil"/>
              <w:bottom w:val="single" w:sz="4" w:space="0" w:color="BFBFBF"/>
              <w:right w:val="single" w:sz="4" w:space="0" w:color="BFBFBF"/>
            </w:tcBorders>
            <w:shd w:val="clear" w:color="auto" w:fill="auto"/>
            <w:noWrap/>
            <w:vAlign w:val="center"/>
          </w:tcPr>
          <w:p w14:paraId="17F022E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-23.0%</w:t>
            </w:r>
          </w:p>
        </w:tc>
        <w:tc>
          <w:tcPr>
            <w:tcW w:w="960" w:type="dxa"/>
            <w:tcBorders>
              <w:top w:val="nil"/>
              <w:left w:val="nil"/>
              <w:bottom w:val="single" w:sz="4" w:space="0" w:color="BFBFBF"/>
              <w:right w:val="double" w:sz="4" w:space="0" w:color="auto"/>
            </w:tcBorders>
            <w:shd w:val="clear" w:color="auto" w:fill="auto"/>
            <w:noWrap/>
            <w:vAlign w:val="center"/>
          </w:tcPr>
          <w:p w14:paraId="7278CAE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26.0%</w:t>
            </w:r>
          </w:p>
        </w:tc>
      </w:tr>
      <w:tr w:rsidR="00521DA8" w:rsidRPr="00521DA8" w14:paraId="7AEA805D"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3E0FCEB9"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Non-Concession HHs</w:t>
            </w:r>
          </w:p>
        </w:tc>
        <w:tc>
          <w:tcPr>
            <w:tcW w:w="857" w:type="dxa"/>
            <w:tcBorders>
              <w:top w:val="nil"/>
              <w:left w:val="nil"/>
              <w:bottom w:val="single" w:sz="4" w:space="0" w:color="BFBFBF"/>
              <w:right w:val="single" w:sz="4" w:space="0" w:color="BFBFBF"/>
            </w:tcBorders>
            <w:shd w:val="clear" w:color="auto" w:fill="auto"/>
            <w:noWrap/>
            <w:vAlign w:val="center"/>
          </w:tcPr>
          <w:p w14:paraId="7F7A767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84</w:t>
            </w:r>
          </w:p>
        </w:tc>
        <w:tc>
          <w:tcPr>
            <w:tcW w:w="938" w:type="dxa"/>
            <w:tcBorders>
              <w:top w:val="nil"/>
              <w:left w:val="nil"/>
              <w:bottom w:val="single" w:sz="4" w:space="0" w:color="BFBFBF"/>
              <w:right w:val="single" w:sz="4" w:space="0" w:color="BFBFBF"/>
            </w:tcBorders>
            <w:shd w:val="clear" w:color="auto" w:fill="auto"/>
            <w:noWrap/>
            <w:vAlign w:val="center"/>
          </w:tcPr>
          <w:p w14:paraId="181F4BE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91</w:t>
            </w:r>
          </w:p>
        </w:tc>
        <w:tc>
          <w:tcPr>
            <w:tcW w:w="938" w:type="dxa"/>
            <w:tcBorders>
              <w:top w:val="nil"/>
              <w:left w:val="nil"/>
              <w:bottom w:val="single" w:sz="4" w:space="0" w:color="BFBFBF"/>
              <w:right w:val="single" w:sz="4" w:space="0" w:color="BFBFBF"/>
            </w:tcBorders>
            <w:shd w:val="clear" w:color="auto" w:fill="auto"/>
            <w:noWrap/>
            <w:vAlign w:val="center"/>
          </w:tcPr>
          <w:p w14:paraId="03AEEDC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174</w:t>
            </w:r>
          </w:p>
        </w:tc>
        <w:tc>
          <w:tcPr>
            <w:tcW w:w="1012" w:type="dxa"/>
            <w:tcBorders>
              <w:top w:val="nil"/>
              <w:left w:val="nil"/>
              <w:bottom w:val="single" w:sz="4" w:space="0" w:color="BFBFBF"/>
              <w:right w:val="single" w:sz="4" w:space="0" w:color="BFBFBF"/>
            </w:tcBorders>
            <w:shd w:val="clear" w:color="auto" w:fill="auto"/>
            <w:noWrap/>
            <w:vAlign w:val="center"/>
          </w:tcPr>
          <w:p w14:paraId="68E59D0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110</w:t>
            </w:r>
          </w:p>
        </w:tc>
        <w:tc>
          <w:tcPr>
            <w:tcW w:w="938" w:type="dxa"/>
            <w:tcBorders>
              <w:top w:val="nil"/>
              <w:left w:val="nil"/>
              <w:bottom w:val="single" w:sz="4" w:space="0" w:color="BFBFBF"/>
              <w:right w:val="single" w:sz="4" w:space="0" w:color="BFBFBF"/>
            </w:tcBorders>
            <w:shd w:val="clear" w:color="auto" w:fill="auto"/>
            <w:noWrap/>
            <w:vAlign w:val="center"/>
          </w:tcPr>
          <w:p w14:paraId="4BC4E66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118</w:t>
            </w:r>
          </w:p>
        </w:tc>
        <w:tc>
          <w:tcPr>
            <w:tcW w:w="938" w:type="dxa"/>
            <w:tcBorders>
              <w:top w:val="nil"/>
              <w:left w:val="nil"/>
              <w:bottom w:val="single" w:sz="4" w:space="0" w:color="BFBFBF"/>
              <w:right w:val="single" w:sz="4" w:space="0" w:color="BFBFBF"/>
            </w:tcBorders>
            <w:shd w:val="clear" w:color="auto" w:fill="auto"/>
            <w:noWrap/>
            <w:vAlign w:val="center"/>
          </w:tcPr>
          <w:p w14:paraId="5BC91D9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227</w:t>
            </w:r>
          </w:p>
        </w:tc>
        <w:tc>
          <w:tcPr>
            <w:tcW w:w="1012" w:type="dxa"/>
            <w:tcBorders>
              <w:top w:val="nil"/>
              <w:left w:val="nil"/>
              <w:bottom w:val="single" w:sz="4" w:space="0" w:color="BFBFBF"/>
              <w:right w:val="single" w:sz="4" w:space="0" w:color="BFBFBF"/>
            </w:tcBorders>
            <w:shd w:val="clear" w:color="auto" w:fill="auto"/>
            <w:noWrap/>
            <w:vAlign w:val="center"/>
          </w:tcPr>
          <w:p w14:paraId="4D803D6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167</w:t>
            </w:r>
          </w:p>
        </w:tc>
        <w:tc>
          <w:tcPr>
            <w:tcW w:w="938" w:type="dxa"/>
            <w:tcBorders>
              <w:top w:val="nil"/>
              <w:left w:val="nil"/>
              <w:bottom w:val="single" w:sz="4" w:space="0" w:color="BFBFBF"/>
              <w:right w:val="single" w:sz="4" w:space="0" w:color="BFBFBF"/>
            </w:tcBorders>
            <w:shd w:val="clear" w:color="auto" w:fill="auto"/>
            <w:noWrap/>
            <w:vAlign w:val="center"/>
          </w:tcPr>
          <w:p w14:paraId="4BC1AB88"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126</w:t>
            </w:r>
          </w:p>
        </w:tc>
        <w:tc>
          <w:tcPr>
            <w:tcW w:w="938" w:type="dxa"/>
            <w:tcBorders>
              <w:top w:val="nil"/>
              <w:left w:val="nil"/>
              <w:bottom w:val="single" w:sz="4" w:space="0" w:color="BFBFBF"/>
              <w:right w:val="single" w:sz="4" w:space="0" w:color="BFBFBF"/>
            </w:tcBorders>
            <w:shd w:val="clear" w:color="auto" w:fill="auto"/>
            <w:noWrap/>
            <w:vAlign w:val="center"/>
          </w:tcPr>
          <w:p w14:paraId="5FDE62E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287</w:t>
            </w:r>
          </w:p>
        </w:tc>
        <w:tc>
          <w:tcPr>
            <w:tcW w:w="938" w:type="dxa"/>
            <w:tcBorders>
              <w:top w:val="nil"/>
              <w:left w:val="nil"/>
              <w:bottom w:val="single" w:sz="4" w:space="0" w:color="BFBFBF"/>
              <w:right w:val="single" w:sz="4" w:space="0" w:color="BFBFBF"/>
            </w:tcBorders>
            <w:shd w:val="clear" w:color="auto" w:fill="auto"/>
            <w:noWrap/>
            <w:vAlign w:val="center"/>
          </w:tcPr>
          <w:p w14:paraId="7186658E"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258</w:t>
            </w:r>
          </w:p>
        </w:tc>
        <w:tc>
          <w:tcPr>
            <w:tcW w:w="960" w:type="dxa"/>
            <w:tcBorders>
              <w:top w:val="nil"/>
              <w:left w:val="nil"/>
              <w:bottom w:val="single" w:sz="4" w:space="0" w:color="BFBFBF"/>
              <w:right w:val="single" w:sz="4" w:space="0" w:color="BFBFBF"/>
            </w:tcBorders>
            <w:shd w:val="clear" w:color="auto" w:fill="auto"/>
            <w:noWrap/>
            <w:vAlign w:val="bottom"/>
          </w:tcPr>
          <w:p w14:paraId="4BF2E6A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-23.3%</w:t>
            </w:r>
          </w:p>
        </w:tc>
        <w:tc>
          <w:tcPr>
            <w:tcW w:w="960" w:type="dxa"/>
            <w:tcBorders>
              <w:top w:val="nil"/>
              <w:left w:val="nil"/>
              <w:bottom w:val="single" w:sz="4" w:space="0" w:color="BFBFBF"/>
              <w:right w:val="single" w:sz="4" w:space="0" w:color="BFBFBF"/>
            </w:tcBorders>
            <w:shd w:val="clear" w:color="auto" w:fill="auto"/>
            <w:noWrap/>
            <w:vAlign w:val="center"/>
          </w:tcPr>
          <w:p w14:paraId="40878E6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-20.9%</w:t>
            </w:r>
          </w:p>
        </w:tc>
        <w:tc>
          <w:tcPr>
            <w:tcW w:w="960" w:type="dxa"/>
            <w:tcBorders>
              <w:top w:val="nil"/>
              <w:left w:val="nil"/>
              <w:bottom w:val="single" w:sz="4" w:space="0" w:color="BFBFBF"/>
              <w:right w:val="double" w:sz="4" w:space="0" w:color="auto"/>
            </w:tcBorders>
            <w:shd w:val="clear" w:color="auto" w:fill="auto"/>
            <w:noWrap/>
            <w:vAlign w:val="center"/>
          </w:tcPr>
          <w:p w14:paraId="2B6FCBCF"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11.2%</w:t>
            </w:r>
          </w:p>
        </w:tc>
      </w:tr>
      <w:tr w:rsidR="00521DA8" w:rsidRPr="00521DA8" w14:paraId="6F805726"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114B6A85" w14:textId="77777777" w:rsidR="00521DA8" w:rsidRPr="00521DA8" w:rsidRDefault="00521DA8" w:rsidP="003152E2">
            <w:pPr>
              <w:spacing w:before="0" w:after="0"/>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By Household Size -</w:t>
            </w:r>
          </w:p>
        </w:tc>
        <w:tc>
          <w:tcPr>
            <w:tcW w:w="857" w:type="dxa"/>
            <w:tcBorders>
              <w:top w:val="nil"/>
              <w:left w:val="nil"/>
              <w:bottom w:val="single" w:sz="4" w:space="0" w:color="BFBFBF"/>
              <w:right w:val="single" w:sz="4" w:space="0" w:color="BFBFBF"/>
            </w:tcBorders>
            <w:shd w:val="clear" w:color="auto" w:fill="auto"/>
            <w:noWrap/>
            <w:vAlign w:val="center"/>
          </w:tcPr>
          <w:p w14:paraId="1542382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2871D13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31750886"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1012" w:type="dxa"/>
            <w:tcBorders>
              <w:top w:val="nil"/>
              <w:left w:val="nil"/>
              <w:bottom w:val="single" w:sz="4" w:space="0" w:color="BFBFBF"/>
              <w:right w:val="single" w:sz="4" w:space="0" w:color="BFBFBF"/>
            </w:tcBorders>
            <w:shd w:val="clear" w:color="auto" w:fill="auto"/>
            <w:noWrap/>
            <w:vAlign w:val="center"/>
          </w:tcPr>
          <w:p w14:paraId="71D4BDB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097F08C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6981429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1012" w:type="dxa"/>
            <w:tcBorders>
              <w:top w:val="nil"/>
              <w:left w:val="nil"/>
              <w:bottom w:val="single" w:sz="4" w:space="0" w:color="BFBFBF"/>
              <w:right w:val="single" w:sz="4" w:space="0" w:color="BFBFBF"/>
            </w:tcBorders>
            <w:shd w:val="clear" w:color="auto" w:fill="auto"/>
            <w:noWrap/>
            <w:vAlign w:val="center"/>
          </w:tcPr>
          <w:p w14:paraId="1EE380F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18D6E70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076A084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09CD6F7B"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bottom"/>
          </w:tcPr>
          <w:p w14:paraId="293A7EA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center"/>
          </w:tcPr>
          <w:p w14:paraId="441A872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double" w:sz="4" w:space="0" w:color="auto"/>
            </w:tcBorders>
            <w:shd w:val="clear" w:color="auto" w:fill="auto"/>
            <w:noWrap/>
            <w:vAlign w:val="center"/>
          </w:tcPr>
          <w:p w14:paraId="48BF572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r>
      <w:tr w:rsidR="00521DA8" w:rsidRPr="00521DA8" w14:paraId="68F7A32A"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299C4C09"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1 person</w:t>
            </w:r>
          </w:p>
        </w:tc>
        <w:tc>
          <w:tcPr>
            <w:tcW w:w="857" w:type="dxa"/>
            <w:tcBorders>
              <w:top w:val="nil"/>
              <w:left w:val="nil"/>
              <w:bottom w:val="single" w:sz="4" w:space="0" w:color="BFBFBF"/>
              <w:right w:val="single" w:sz="4" w:space="0" w:color="BFBFBF"/>
            </w:tcBorders>
            <w:shd w:val="clear" w:color="auto" w:fill="auto"/>
            <w:noWrap/>
            <w:vAlign w:val="center"/>
          </w:tcPr>
          <w:p w14:paraId="6C1DB93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44</w:t>
            </w:r>
          </w:p>
        </w:tc>
        <w:tc>
          <w:tcPr>
            <w:tcW w:w="938" w:type="dxa"/>
            <w:tcBorders>
              <w:top w:val="nil"/>
              <w:left w:val="nil"/>
              <w:bottom w:val="single" w:sz="4" w:space="0" w:color="BFBFBF"/>
              <w:right w:val="single" w:sz="4" w:space="0" w:color="BFBFBF"/>
            </w:tcBorders>
            <w:shd w:val="clear" w:color="auto" w:fill="auto"/>
            <w:noWrap/>
            <w:vAlign w:val="center"/>
          </w:tcPr>
          <w:p w14:paraId="4B57DC9B"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44</w:t>
            </w:r>
          </w:p>
        </w:tc>
        <w:tc>
          <w:tcPr>
            <w:tcW w:w="938" w:type="dxa"/>
            <w:tcBorders>
              <w:top w:val="nil"/>
              <w:left w:val="nil"/>
              <w:bottom w:val="single" w:sz="4" w:space="0" w:color="BFBFBF"/>
              <w:right w:val="single" w:sz="4" w:space="0" w:color="BFBFBF"/>
            </w:tcBorders>
            <w:shd w:val="clear" w:color="auto" w:fill="auto"/>
            <w:noWrap/>
            <w:vAlign w:val="center"/>
          </w:tcPr>
          <w:p w14:paraId="04B70DF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91</w:t>
            </w:r>
          </w:p>
        </w:tc>
        <w:tc>
          <w:tcPr>
            <w:tcW w:w="1012" w:type="dxa"/>
            <w:tcBorders>
              <w:top w:val="nil"/>
              <w:left w:val="nil"/>
              <w:bottom w:val="single" w:sz="4" w:space="0" w:color="BFBFBF"/>
              <w:right w:val="single" w:sz="4" w:space="0" w:color="BFBFBF"/>
            </w:tcBorders>
            <w:shd w:val="clear" w:color="auto" w:fill="auto"/>
            <w:noWrap/>
            <w:vAlign w:val="center"/>
          </w:tcPr>
          <w:p w14:paraId="7D9E6BA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64</w:t>
            </w:r>
          </w:p>
        </w:tc>
        <w:tc>
          <w:tcPr>
            <w:tcW w:w="938" w:type="dxa"/>
            <w:tcBorders>
              <w:top w:val="nil"/>
              <w:left w:val="nil"/>
              <w:bottom w:val="single" w:sz="4" w:space="0" w:color="BFBFBF"/>
              <w:right w:val="single" w:sz="4" w:space="0" w:color="BFBFBF"/>
            </w:tcBorders>
            <w:shd w:val="clear" w:color="auto" w:fill="auto"/>
            <w:noWrap/>
            <w:vAlign w:val="center"/>
          </w:tcPr>
          <w:p w14:paraId="4195D498"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65</w:t>
            </w:r>
          </w:p>
        </w:tc>
        <w:tc>
          <w:tcPr>
            <w:tcW w:w="938" w:type="dxa"/>
            <w:tcBorders>
              <w:top w:val="nil"/>
              <w:left w:val="nil"/>
              <w:bottom w:val="single" w:sz="4" w:space="0" w:color="BFBFBF"/>
              <w:right w:val="single" w:sz="4" w:space="0" w:color="BFBFBF"/>
            </w:tcBorders>
            <w:shd w:val="clear" w:color="auto" w:fill="auto"/>
            <w:noWrap/>
            <w:vAlign w:val="center"/>
          </w:tcPr>
          <w:p w14:paraId="2C0991B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128</w:t>
            </w:r>
          </w:p>
        </w:tc>
        <w:tc>
          <w:tcPr>
            <w:tcW w:w="1012" w:type="dxa"/>
            <w:tcBorders>
              <w:top w:val="nil"/>
              <w:left w:val="nil"/>
              <w:bottom w:val="single" w:sz="4" w:space="0" w:color="BFBFBF"/>
              <w:right w:val="single" w:sz="4" w:space="0" w:color="BFBFBF"/>
            </w:tcBorders>
            <w:shd w:val="clear" w:color="auto" w:fill="auto"/>
            <w:noWrap/>
            <w:vAlign w:val="center"/>
          </w:tcPr>
          <w:p w14:paraId="0628637E"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117</w:t>
            </w:r>
          </w:p>
        </w:tc>
        <w:tc>
          <w:tcPr>
            <w:tcW w:w="938" w:type="dxa"/>
            <w:tcBorders>
              <w:top w:val="nil"/>
              <w:left w:val="nil"/>
              <w:bottom w:val="single" w:sz="4" w:space="0" w:color="BFBFBF"/>
              <w:right w:val="single" w:sz="4" w:space="0" w:color="BFBFBF"/>
            </w:tcBorders>
            <w:shd w:val="clear" w:color="auto" w:fill="auto"/>
            <w:noWrap/>
            <w:vAlign w:val="center"/>
          </w:tcPr>
          <w:p w14:paraId="567D80D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88</w:t>
            </w:r>
          </w:p>
        </w:tc>
        <w:tc>
          <w:tcPr>
            <w:tcW w:w="938" w:type="dxa"/>
            <w:tcBorders>
              <w:top w:val="nil"/>
              <w:left w:val="nil"/>
              <w:bottom w:val="single" w:sz="4" w:space="0" w:color="BFBFBF"/>
              <w:right w:val="single" w:sz="4" w:space="0" w:color="BFBFBF"/>
            </w:tcBorders>
            <w:shd w:val="clear" w:color="auto" w:fill="auto"/>
            <w:noWrap/>
            <w:vAlign w:val="center"/>
          </w:tcPr>
          <w:p w14:paraId="27C55895"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196</w:t>
            </w:r>
          </w:p>
        </w:tc>
        <w:tc>
          <w:tcPr>
            <w:tcW w:w="938" w:type="dxa"/>
            <w:tcBorders>
              <w:top w:val="nil"/>
              <w:left w:val="nil"/>
              <w:bottom w:val="single" w:sz="4" w:space="0" w:color="BFBFBF"/>
              <w:right w:val="single" w:sz="4" w:space="0" w:color="BFBFBF"/>
            </w:tcBorders>
            <w:shd w:val="clear" w:color="auto" w:fill="auto"/>
            <w:noWrap/>
            <w:vAlign w:val="center"/>
          </w:tcPr>
          <w:p w14:paraId="58E40BBE"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143</w:t>
            </w:r>
          </w:p>
        </w:tc>
        <w:tc>
          <w:tcPr>
            <w:tcW w:w="960" w:type="dxa"/>
            <w:tcBorders>
              <w:top w:val="nil"/>
              <w:left w:val="nil"/>
              <w:bottom w:val="single" w:sz="4" w:space="0" w:color="BFBFBF"/>
              <w:right w:val="single" w:sz="4" w:space="0" w:color="BFBFBF"/>
            </w:tcBorders>
            <w:shd w:val="clear" w:color="auto" w:fill="auto"/>
            <w:noWrap/>
            <w:vAlign w:val="bottom"/>
          </w:tcPr>
          <w:p w14:paraId="3FA35A0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-29.0%</w:t>
            </w:r>
          </w:p>
        </w:tc>
        <w:tc>
          <w:tcPr>
            <w:tcW w:w="960" w:type="dxa"/>
            <w:tcBorders>
              <w:top w:val="nil"/>
              <w:left w:val="nil"/>
              <w:bottom w:val="single" w:sz="4" w:space="0" w:color="BFBFBF"/>
              <w:right w:val="single" w:sz="4" w:space="0" w:color="BFBFBF"/>
            </w:tcBorders>
            <w:shd w:val="clear" w:color="auto" w:fill="auto"/>
            <w:noWrap/>
            <w:vAlign w:val="center"/>
          </w:tcPr>
          <w:p w14:paraId="78C1AEDB"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-34.7%</w:t>
            </w:r>
          </w:p>
        </w:tc>
        <w:tc>
          <w:tcPr>
            <w:tcW w:w="960" w:type="dxa"/>
            <w:tcBorders>
              <w:top w:val="nil"/>
              <w:left w:val="nil"/>
              <w:bottom w:val="single" w:sz="4" w:space="0" w:color="BFBFBF"/>
              <w:right w:val="double" w:sz="4" w:space="0" w:color="auto"/>
            </w:tcBorders>
            <w:shd w:val="clear" w:color="auto" w:fill="auto"/>
            <w:noWrap/>
            <w:vAlign w:val="center"/>
          </w:tcPr>
          <w:p w14:paraId="395E127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37.1%</w:t>
            </w:r>
          </w:p>
        </w:tc>
      </w:tr>
      <w:tr w:rsidR="00521DA8" w:rsidRPr="00521DA8" w14:paraId="6AEFC45B"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7F3B8215"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2 persons</w:t>
            </w:r>
          </w:p>
        </w:tc>
        <w:tc>
          <w:tcPr>
            <w:tcW w:w="857" w:type="dxa"/>
            <w:tcBorders>
              <w:top w:val="nil"/>
              <w:left w:val="nil"/>
              <w:bottom w:val="single" w:sz="4" w:space="0" w:color="BFBFBF"/>
              <w:right w:val="single" w:sz="4" w:space="0" w:color="BFBFBF"/>
            </w:tcBorders>
            <w:shd w:val="clear" w:color="auto" w:fill="auto"/>
            <w:noWrap/>
            <w:vAlign w:val="center"/>
          </w:tcPr>
          <w:p w14:paraId="28FA5B3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77</w:t>
            </w:r>
          </w:p>
        </w:tc>
        <w:tc>
          <w:tcPr>
            <w:tcW w:w="938" w:type="dxa"/>
            <w:tcBorders>
              <w:top w:val="nil"/>
              <w:left w:val="nil"/>
              <w:bottom w:val="single" w:sz="4" w:space="0" w:color="BFBFBF"/>
              <w:right w:val="single" w:sz="4" w:space="0" w:color="BFBFBF"/>
            </w:tcBorders>
            <w:shd w:val="clear" w:color="auto" w:fill="auto"/>
            <w:noWrap/>
            <w:vAlign w:val="center"/>
          </w:tcPr>
          <w:p w14:paraId="27890825"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75</w:t>
            </w:r>
          </w:p>
        </w:tc>
        <w:tc>
          <w:tcPr>
            <w:tcW w:w="938" w:type="dxa"/>
            <w:tcBorders>
              <w:top w:val="nil"/>
              <w:left w:val="nil"/>
              <w:bottom w:val="single" w:sz="4" w:space="0" w:color="BFBFBF"/>
              <w:right w:val="single" w:sz="4" w:space="0" w:color="BFBFBF"/>
            </w:tcBorders>
            <w:shd w:val="clear" w:color="auto" w:fill="auto"/>
            <w:noWrap/>
            <w:vAlign w:val="center"/>
          </w:tcPr>
          <w:p w14:paraId="4F0A46C3"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152</w:t>
            </w:r>
          </w:p>
        </w:tc>
        <w:tc>
          <w:tcPr>
            <w:tcW w:w="1012" w:type="dxa"/>
            <w:tcBorders>
              <w:top w:val="nil"/>
              <w:left w:val="nil"/>
              <w:bottom w:val="single" w:sz="4" w:space="0" w:color="BFBFBF"/>
              <w:right w:val="single" w:sz="4" w:space="0" w:color="BFBFBF"/>
            </w:tcBorders>
            <w:shd w:val="clear" w:color="auto" w:fill="auto"/>
            <w:noWrap/>
            <w:vAlign w:val="center"/>
          </w:tcPr>
          <w:p w14:paraId="5849801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99</w:t>
            </w:r>
          </w:p>
        </w:tc>
        <w:tc>
          <w:tcPr>
            <w:tcW w:w="938" w:type="dxa"/>
            <w:tcBorders>
              <w:top w:val="nil"/>
              <w:left w:val="nil"/>
              <w:bottom w:val="single" w:sz="4" w:space="0" w:color="BFBFBF"/>
              <w:right w:val="single" w:sz="4" w:space="0" w:color="BFBFBF"/>
            </w:tcBorders>
            <w:shd w:val="clear" w:color="auto" w:fill="auto"/>
            <w:noWrap/>
            <w:vAlign w:val="center"/>
          </w:tcPr>
          <w:p w14:paraId="16C365E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98</w:t>
            </w:r>
          </w:p>
        </w:tc>
        <w:tc>
          <w:tcPr>
            <w:tcW w:w="938" w:type="dxa"/>
            <w:tcBorders>
              <w:top w:val="nil"/>
              <w:left w:val="nil"/>
              <w:bottom w:val="single" w:sz="4" w:space="0" w:color="BFBFBF"/>
              <w:right w:val="single" w:sz="4" w:space="0" w:color="BFBFBF"/>
            </w:tcBorders>
            <w:shd w:val="clear" w:color="auto" w:fill="auto"/>
            <w:noWrap/>
            <w:vAlign w:val="center"/>
          </w:tcPr>
          <w:p w14:paraId="6129BC5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196</w:t>
            </w:r>
          </w:p>
        </w:tc>
        <w:tc>
          <w:tcPr>
            <w:tcW w:w="1012" w:type="dxa"/>
            <w:tcBorders>
              <w:top w:val="nil"/>
              <w:left w:val="nil"/>
              <w:bottom w:val="single" w:sz="4" w:space="0" w:color="BFBFBF"/>
              <w:right w:val="single" w:sz="4" w:space="0" w:color="BFBFBF"/>
            </w:tcBorders>
            <w:shd w:val="clear" w:color="auto" w:fill="auto"/>
            <w:noWrap/>
            <w:vAlign w:val="center"/>
          </w:tcPr>
          <w:p w14:paraId="192C2D6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161</w:t>
            </w:r>
          </w:p>
        </w:tc>
        <w:tc>
          <w:tcPr>
            <w:tcW w:w="938" w:type="dxa"/>
            <w:tcBorders>
              <w:top w:val="nil"/>
              <w:left w:val="nil"/>
              <w:bottom w:val="single" w:sz="4" w:space="0" w:color="BFBFBF"/>
              <w:right w:val="single" w:sz="4" w:space="0" w:color="BFBFBF"/>
            </w:tcBorders>
            <w:shd w:val="clear" w:color="auto" w:fill="auto"/>
            <w:noWrap/>
            <w:vAlign w:val="center"/>
          </w:tcPr>
          <w:p w14:paraId="4ED5A3CD"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114</w:t>
            </w:r>
          </w:p>
        </w:tc>
        <w:tc>
          <w:tcPr>
            <w:tcW w:w="938" w:type="dxa"/>
            <w:tcBorders>
              <w:top w:val="nil"/>
              <w:left w:val="nil"/>
              <w:bottom w:val="single" w:sz="4" w:space="0" w:color="BFBFBF"/>
              <w:right w:val="single" w:sz="4" w:space="0" w:color="BFBFBF"/>
            </w:tcBorders>
            <w:shd w:val="clear" w:color="auto" w:fill="auto"/>
            <w:noWrap/>
            <w:vAlign w:val="center"/>
          </w:tcPr>
          <w:p w14:paraId="74F9C6D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268</w:t>
            </w:r>
          </w:p>
        </w:tc>
        <w:tc>
          <w:tcPr>
            <w:tcW w:w="938" w:type="dxa"/>
            <w:tcBorders>
              <w:top w:val="nil"/>
              <w:left w:val="nil"/>
              <w:bottom w:val="single" w:sz="4" w:space="0" w:color="BFBFBF"/>
              <w:right w:val="single" w:sz="4" w:space="0" w:color="BFBFBF"/>
            </w:tcBorders>
            <w:shd w:val="clear" w:color="auto" w:fill="auto"/>
            <w:noWrap/>
            <w:vAlign w:val="center"/>
          </w:tcPr>
          <w:p w14:paraId="2D4DF80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200</w:t>
            </w:r>
          </w:p>
        </w:tc>
        <w:tc>
          <w:tcPr>
            <w:tcW w:w="960" w:type="dxa"/>
            <w:tcBorders>
              <w:top w:val="nil"/>
              <w:left w:val="nil"/>
              <w:bottom w:val="single" w:sz="4" w:space="0" w:color="BFBFBF"/>
              <w:right w:val="single" w:sz="4" w:space="0" w:color="BFBFBF"/>
            </w:tcBorders>
            <w:shd w:val="clear" w:color="auto" w:fill="auto"/>
            <w:noWrap/>
            <w:vAlign w:val="bottom"/>
          </w:tcPr>
          <w:p w14:paraId="2330065F"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-22.5%</w:t>
            </w:r>
          </w:p>
        </w:tc>
        <w:tc>
          <w:tcPr>
            <w:tcW w:w="960" w:type="dxa"/>
            <w:tcBorders>
              <w:top w:val="nil"/>
              <w:left w:val="nil"/>
              <w:bottom w:val="single" w:sz="4" w:space="0" w:color="BFBFBF"/>
              <w:right w:val="single" w:sz="4" w:space="0" w:color="BFBFBF"/>
            </w:tcBorders>
            <w:shd w:val="clear" w:color="auto" w:fill="auto"/>
            <w:noWrap/>
            <w:vAlign w:val="center"/>
          </w:tcPr>
          <w:p w14:paraId="0471335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-26.9%</w:t>
            </w:r>
          </w:p>
        </w:tc>
        <w:tc>
          <w:tcPr>
            <w:tcW w:w="960" w:type="dxa"/>
            <w:tcBorders>
              <w:top w:val="nil"/>
              <w:left w:val="nil"/>
              <w:bottom w:val="single" w:sz="4" w:space="0" w:color="BFBFBF"/>
              <w:right w:val="double" w:sz="4" w:space="0" w:color="auto"/>
            </w:tcBorders>
            <w:shd w:val="clear" w:color="auto" w:fill="auto"/>
            <w:noWrap/>
            <w:vAlign w:val="center"/>
          </w:tcPr>
          <w:p w14:paraId="05CB7FB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34.0%</w:t>
            </w:r>
          </w:p>
        </w:tc>
      </w:tr>
      <w:tr w:rsidR="00521DA8" w:rsidRPr="00521DA8" w14:paraId="50CDDE27"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0B4CC355"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3 persons</w:t>
            </w:r>
          </w:p>
        </w:tc>
        <w:tc>
          <w:tcPr>
            <w:tcW w:w="857" w:type="dxa"/>
            <w:tcBorders>
              <w:top w:val="nil"/>
              <w:left w:val="nil"/>
              <w:bottom w:val="single" w:sz="4" w:space="0" w:color="BFBFBF"/>
              <w:right w:val="single" w:sz="4" w:space="0" w:color="BFBFBF"/>
            </w:tcBorders>
            <w:shd w:val="clear" w:color="auto" w:fill="auto"/>
            <w:noWrap/>
            <w:vAlign w:val="center"/>
          </w:tcPr>
          <w:p w14:paraId="1AEE597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84</w:t>
            </w:r>
          </w:p>
        </w:tc>
        <w:tc>
          <w:tcPr>
            <w:tcW w:w="938" w:type="dxa"/>
            <w:tcBorders>
              <w:top w:val="nil"/>
              <w:left w:val="nil"/>
              <w:bottom w:val="single" w:sz="4" w:space="0" w:color="BFBFBF"/>
              <w:right w:val="single" w:sz="4" w:space="0" w:color="BFBFBF"/>
            </w:tcBorders>
            <w:shd w:val="clear" w:color="auto" w:fill="auto"/>
            <w:noWrap/>
            <w:vAlign w:val="center"/>
          </w:tcPr>
          <w:p w14:paraId="44EBE06F"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96</w:t>
            </w:r>
          </w:p>
        </w:tc>
        <w:tc>
          <w:tcPr>
            <w:tcW w:w="938" w:type="dxa"/>
            <w:tcBorders>
              <w:top w:val="nil"/>
              <w:left w:val="nil"/>
              <w:bottom w:val="single" w:sz="4" w:space="0" w:color="BFBFBF"/>
              <w:right w:val="single" w:sz="4" w:space="0" w:color="BFBFBF"/>
            </w:tcBorders>
            <w:shd w:val="clear" w:color="auto" w:fill="auto"/>
            <w:noWrap/>
            <w:vAlign w:val="center"/>
          </w:tcPr>
          <w:p w14:paraId="280DDBD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179</w:t>
            </w:r>
          </w:p>
        </w:tc>
        <w:tc>
          <w:tcPr>
            <w:tcW w:w="1012" w:type="dxa"/>
            <w:tcBorders>
              <w:top w:val="nil"/>
              <w:left w:val="nil"/>
              <w:bottom w:val="single" w:sz="4" w:space="0" w:color="BFBFBF"/>
              <w:right w:val="single" w:sz="4" w:space="0" w:color="BFBFBF"/>
            </w:tcBorders>
            <w:shd w:val="clear" w:color="auto" w:fill="auto"/>
            <w:noWrap/>
            <w:vAlign w:val="center"/>
          </w:tcPr>
          <w:p w14:paraId="36B8897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112</w:t>
            </w:r>
          </w:p>
        </w:tc>
        <w:tc>
          <w:tcPr>
            <w:tcW w:w="938" w:type="dxa"/>
            <w:tcBorders>
              <w:top w:val="nil"/>
              <w:left w:val="nil"/>
              <w:bottom w:val="single" w:sz="4" w:space="0" w:color="BFBFBF"/>
              <w:right w:val="single" w:sz="4" w:space="0" w:color="BFBFBF"/>
            </w:tcBorders>
            <w:shd w:val="clear" w:color="auto" w:fill="auto"/>
            <w:noWrap/>
            <w:vAlign w:val="center"/>
          </w:tcPr>
          <w:p w14:paraId="607DC44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122</w:t>
            </w:r>
          </w:p>
        </w:tc>
        <w:tc>
          <w:tcPr>
            <w:tcW w:w="938" w:type="dxa"/>
            <w:tcBorders>
              <w:top w:val="nil"/>
              <w:left w:val="nil"/>
              <w:bottom w:val="single" w:sz="4" w:space="0" w:color="BFBFBF"/>
              <w:right w:val="single" w:sz="4" w:space="0" w:color="BFBFBF"/>
            </w:tcBorders>
            <w:shd w:val="clear" w:color="auto" w:fill="auto"/>
            <w:noWrap/>
            <w:vAlign w:val="center"/>
          </w:tcPr>
          <w:p w14:paraId="53E0179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233</w:t>
            </w:r>
          </w:p>
        </w:tc>
        <w:tc>
          <w:tcPr>
            <w:tcW w:w="1012" w:type="dxa"/>
            <w:tcBorders>
              <w:top w:val="nil"/>
              <w:left w:val="nil"/>
              <w:bottom w:val="single" w:sz="4" w:space="0" w:color="BFBFBF"/>
              <w:right w:val="single" w:sz="4" w:space="0" w:color="BFBFBF"/>
            </w:tcBorders>
            <w:shd w:val="clear" w:color="auto" w:fill="auto"/>
            <w:noWrap/>
            <w:vAlign w:val="center"/>
          </w:tcPr>
          <w:p w14:paraId="56F6958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170</w:t>
            </w:r>
          </w:p>
        </w:tc>
        <w:tc>
          <w:tcPr>
            <w:tcW w:w="938" w:type="dxa"/>
            <w:tcBorders>
              <w:top w:val="nil"/>
              <w:left w:val="nil"/>
              <w:bottom w:val="single" w:sz="4" w:space="0" w:color="BFBFBF"/>
              <w:right w:val="single" w:sz="4" w:space="0" w:color="BFBFBF"/>
            </w:tcBorders>
            <w:shd w:val="clear" w:color="auto" w:fill="auto"/>
            <w:noWrap/>
            <w:vAlign w:val="center"/>
          </w:tcPr>
          <w:p w14:paraId="4CD2944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127</w:t>
            </w:r>
          </w:p>
        </w:tc>
        <w:tc>
          <w:tcPr>
            <w:tcW w:w="938" w:type="dxa"/>
            <w:tcBorders>
              <w:top w:val="nil"/>
              <w:left w:val="nil"/>
              <w:bottom w:val="single" w:sz="4" w:space="0" w:color="BFBFBF"/>
              <w:right w:val="single" w:sz="4" w:space="0" w:color="BFBFBF"/>
            </w:tcBorders>
            <w:shd w:val="clear" w:color="auto" w:fill="auto"/>
            <w:noWrap/>
            <w:vAlign w:val="center"/>
          </w:tcPr>
          <w:p w14:paraId="458EA7BB"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289</w:t>
            </w:r>
          </w:p>
        </w:tc>
        <w:tc>
          <w:tcPr>
            <w:tcW w:w="938" w:type="dxa"/>
            <w:tcBorders>
              <w:top w:val="nil"/>
              <w:left w:val="nil"/>
              <w:bottom w:val="single" w:sz="4" w:space="0" w:color="BFBFBF"/>
              <w:right w:val="single" w:sz="4" w:space="0" w:color="BFBFBF"/>
            </w:tcBorders>
            <w:shd w:val="clear" w:color="auto" w:fill="auto"/>
            <w:noWrap/>
            <w:vAlign w:val="center"/>
          </w:tcPr>
          <w:p w14:paraId="0CC57F2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259</w:t>
            </w:r>
          </w:p>
        </w:tc>
        <w:tc>
          <w:tcPr>
            <w:tcW w:w="960" w:type="dxa"/>
            <w:tcBorders>
              <w:top w:val="nil"/>
              <w:left w:val="nil"/>
              <w:bottom w:val="single" w:sz="4" w:space="0" w:color="BFBFBF"/>
              <w:right w:val="single" w:sz="4" w:space="0" w:color="BFBFBF"/>
            </w:tcBorders>
            <w:shd w:val="clear" w:color="auto" w:fill="auto"/>
            <w:noWrap/>
            <w:vAlign w:val="bottom"/>
          </w:tcPr>
          <w:p w14:paraId="0FAC13A6"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-23.3%</w:t>
            </w:r>
          </w:p>
        </w:tc>
        <w:tc>
          <w:tcPr>
            <w:tcW w:w="960" w:type="dxa"/>
            <w:tcBorders>
              <w:top w:val="nil"/>
              <w:left w:val="nil"/>
              <w:bottom w:val="single" w:sz="4" w:space="0" w:color="BFBFBF"/>
              <w:right w:val="single" w:sz="4" w:space="0" w:color="BFBFBF"/>
            </w:tcBorders>
            <w:shd w:val="clear" w:color="auto" w:fill="auto"/>
            <w:noWrap/>
            <w:vAlign w:val="center"/>
          </w:tcPr>
          <w:p w14:paraId="577A934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-19.4%</w:t>
            </w:r>
          </w:p>
        </w:tc>
        <w:tc>
          <w:tcPr>
            <w:tcW w:w="960" w:type="dxa"/>
            <w:tcBorders>
              <w:top w:val="nil"/>
              <w:left w:val="nil"/>
              <w:bottom w:val="single" w:sz="4" w:space="0" w:color="BFBFBF"/>
              <w:right w:val="double" w:sz="4" w:space="0" w:color="auto"/>
            </w:tcBorders>
            <w:shd w:val="clear" w:color="auto" w:fill="auto"/>
            <w:noWrap/>
            <w:vAlign w:val="center"/>
          </w:tcPr>
          <w:p w14:paraId="1471120B"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11.6%</w:t>
            </w:r>
          </w:p>
        </w:tc>
      </w:tr>
      <w:tr w:rsidR="00521DA8" w:rsidRPr="00521DA8" w14:paraId="0FBC57D0"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04D053D1"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4 or more persons</w:t>
            </w:r>
          </w:p>
        </w:tc>
        <w:tc>
          <w:tcPr>
            <w:tcW w:w="857" w:type="dxa"/>
            <w:tcBorders>
              <w:top w:val="nil"/>
              <w:left w:val="nil"/>
              <w:bottom w:val="single" w:sz="4" w:space="0" w:color="BFBFBF"/>
              <w:right w:val="single" w:sz="4" w:space="0" w:color="BFBFBF"/>
            </w:tcBorders>
            <w:shd w:val="clear" w:color="auto" w:fill="auto"/>
            <w:noWrap/>
            <w:vAlign w:val="center"/>
          </w:tcPr>
          <w:p w14:paraId="472C1DA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110</w:t>
            </w:r>
          </w:p>
        </w:tc>
        <w:tc>
          <w:tcPr>
            <w:tcW w:w="938" w:type="dxa"/>
            <w:tcBorders>
              <w:top w:val="nil"/>
              <w:left w:val="nil"/>
              <w:bottom w:val="single" w:sz="4" w:space="0" w:color="BFBFBF"/>
              <w:right w:val="single" w:sz="4" w:space="0" w:color="BFBFBF"/>
            </w:tcBorders>
            <w:shd w:val="clear" w:color="auto" w:fill="auto"/>
            <w:noWrap/>
            <w:vAlign w:val="center"/>
          </w:tcPr>
          <w:p w14:paraId="0279F69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119</w:t>
            </w:r>
          </w:p>
        </w:tc>
        <w:tc>
          <w:tcPr>
            <w:tcW w:w="938" w:type="dxa"/>
            <w:tcBorders>
              <w:top w:val="nil"/>
              <w:left w:val="nil"/>
              <w:bottom w:val="single" w:sz="4" w:space="0" w:color="BFBFBF"/>
              <w:right w:val="single" w:sz="4" w:space="0" w:color="BFBFBF"/>
            </w:tcBorders>
            <w:shd w:val="clear" w:color="auto" w:fill="auto"/>
            <w:noWrap/>
            <w:vAlign w:val="center"/>
          </w:tcPr>
          <w:p w14:paraId="1BF4F84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227</w:t>
            </w:r>
          </w:p>
        </w:tc>
        <w:tc>
          <w:tcPr>
            <w:tcW w:w="1012" w:type="dxa"/>
            <w:tcBorders>
              <w:top w:val="nil"/>
              <w:left w:val="nil"/>
              <w:bottom w:val="single" w:sz="4" w:space="0" w:color="BFBFBF"/>
              <w:right w:val="single" w:sz="4" w:space="0" w:color="BFBFBF"/>
            </w:tcBorders>
            <w:shd w:val="clear" w:color="auto" w:fill="auto"/>
            <w:noWrap/>
            <w:vAlign w:val="center"/>
          </w:tcPr>
          <w:p w14:paraId="1FE5D9AC"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131</w:t>
            </w:r>
          </w:p>
        </w:tc>
        <w:tc>
          <w:tcPr>
            <w:tcW w:w="938" w:type="dxa"/>
            <w:tcBorders>
              <w:top w:val="nil"/>
              <w:left w:val="nil"/>
              <w:bottom w:val="single" w:sz="4" w:space="0" w:color="BFBFBF"/>
              <w:right w:val="single" w:sz="4" w:space="0" w:color="BFBFBF"/>
            </w:tcBorders>
            <w:shd w:val="clear" w:color="auto" w:fill="auto"/>
            <w:noWrap/>
            <w:vAlign w:val="center"/>
          </w:tcPr>
          <w:p w14:paraId="4FDC5B1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154</w:t>
            </w:r>
          </w:p>
        </w:tc>
        <w:tc>
          <w:tcPr>
            <w:tcW w:w="938" w:type="dxa"/>
            <w:tcBorders>
              <w:top w:val="nil"/>
              <w:left w:val="nil"/>
              <w:bottom w:val="single" w:sz="4" w:space="0" w:color="BFBFBF"/>
              <w:right w:val="single" w:sz="4" w:space="0" w:color="BFBFBF"/>
            </w:tcBorders>
            <w:shd w:val="clear" w:color="auto" w:fill="auto"/>
            <w:noWrap/>
            <w:vAlign w:val="center"/>
          </w:tcPr>
          <w:p w14:paraId="539FB01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286</w:t>
            </w:r>
          </w:p>
        </w:tc>
        <w:tc>
          <w:tcPr>
            <w:tcW w:w="1012" w:type="dxa"/>
            <w:tcBorders>
              <w:top w:val="nil"/>
              <w:left w:val="nil"/>
              <w:bottom w:val="single" w:sz="4" w:space="0" w:color="BFBFBF"/>
              <w:right w:val="single" w:sz="4" w:space="0" w:color="BFBFBF"/>
            </w:tcBorders>
            <w:shd w:val="clear" w:color="auto" w:fill="auto"/>
            <w:noWrap/>
            <w:vAlign w:val="center"/>
          </w:tcPr>
          <w:p w14:paraId="30332C5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183</w:t>
            </w:r>
          </w:p>
        </w:tc>
        <w:tc>
          <w:tcPr>
            <w:tcW w:w="938" w:type="dxa"/>
            <w:tcBorders>
              <w:top w:val="nil"/>
              <w:left w:val="nil"/>
              <w:bottom w:val="single" w:sz="4" w:space="0" w:color="BFBFBF"/>
              <w:right w:val="single" w:sz="4" w:space="0" w:color="BFBFBF"/>
            </w:tcBorders>
            <w:shd w:val="clear" w:color="auto" w:fill="auto"/>
            <w:noWrap/>
            <w:vAlign w:val="center"/>
          </w:tcPr>
          <w:p w14:paraId="3637B74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147</w:t>
            </w:r>
          </w:p>
        </w:tc>
        <w:tc>
          <w:tcPr>
            <w:tcW w:w="938" w:type="dxa"/>
            <w:tcBorders>
              <w:top w:val="nil"/>
              <w:left w:val="nil"/>
              <w:bottom w:val="single" w:sz="4" w:space="0" w:color="BFBFBF"/>
              <w:right w:val="single" w:sz="4" w:space="0" w:color="BFBFBF"/>
            </w:tcBorders>
            <w:shd w:val="clear" w:color="auto" w:fill="auto"/>
            <w:noWrap/>
            <w:vAlign w:val="center"/>
          </w:tcPr>
          <w:p w14:paraId="127E095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324</w:t>
            </w:r>
          </w:p>
        </w:tc>
        <w:tc>
          <w:tcPr>
            <w:tcW w:w="938" w:type="dxa"/>
            <w:tcBorders>
              <w:top w:val="nil"/>
              <w:left w:val="nil"/>
              <w:bottom w:val="single" w:sz="4" w:space="0" w:color="BFBFBF"/>
              <w:right w:val="single" w:sz="4" w:space="0" w:color="BFBFBF"/>
            </w:tcBorders>
            <w:shd w:val="clear" w:color="auto" w:fill="auto"/>
            <w:noWrap/>
            <w:vAlign w:val="center"/>
          </w:tcPr>
          <w:p w14:paraId="08380D98"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306</w:t>
            </w:r>
          </w:p>
        </w:tc>
        <w:tc>
          <w:tcPr>
            <w:tcW w:w="960" w:type="dxa"/>
            <w:tcBorders>
              <w:top w:val="nil"/>
              <w:left w:val="nil"/>
              <w:bottom w:val="single" w:sz="4" w:space="0" w:color="BFBFBF"/>
              <w:right w:val="single" w:sz="4" w:space="0" w:color="BFBFBF"/>
            </w:tcBorders>
            <w:shd w:val="clear" w:color="auto" w:fill="auto"/>
            <w:noWrap/>
            <w:vAlign w:val="bottom"/>
          </w:tcPr>
          <w:p w14:paraId="696E374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-20.7%</w:t>
            </w:r>
          </w:p>
        </w:tc>
        <w:tc>
          <w:tcPr>
            <w:tcW w:w="960" w:type="dxa"/>
            <w:tcBorders>
              <w:top w:val="nil"/>
              <w:left w:val="nil"/>
              <w:bottom w:val="single" w:sz="4" w:space="0" w:color="BFBFBF"/>
              <w:right w:val="single" w:sz="4" w:space="0" w:color="BFBFBF"/>
            </w:tcBorders>
            <w:shd w:val="clear" w:color="auto" w:fill="auto"/>
            <w:noWrap/>
            <w:vAlign w:val="center"/>
          </w:tcPr>
          <w:p w14:paraId="444BFF2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-11.7%</w:t>
            </w:r>
          </w:p>
        </w:tc>
        <w:tc>
          <w:tcPr>
            <w:tcW w:w="960" w:type="dxa"/>
            <w:tcBorders>
              <w:top w:val="nil"/>
              <w:left w:val="nil"/>
              <w:bottom w:val="single" w:sz="4" w:space="0" w:color="BFBFBF"/>
              <w:right w:val="double" w:sz="4" w:space="0" w:color="auto"/>
            </w:tcBorders>
            <w:shd w:val="clear" w:color="auto" w:fill="auto"/>
            <w:noWrap/>
            <w:vAlign w:val="center"/>
          </w:tcPr>
          <w:p w14:paraId="3287686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5.9%</w:t>
            </w:r>
          </w:p>
        </w:tc>
      </w:tr>
      <w:tr w:rsidR="00521DA8" w:rsidRPr="00521DA8" w14:paraId="6BA14F27"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478182BB" w14:textId="77777777" w:rsidR="00521DA8" w:rsidRPr="00521DA8" w:rsidRDefault="00521DA8" w:rsidP="003152E2">
            <w:pPr>
              <w:spacing w:before="0" w:after="0"/>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By Housing Status -</w:t>
            </w:r>
          </w:p>
        </w:tc>
        <w:tc>
          <w:tcPr>
            <w:tcW w:w="857" w:type="dxa"/>
            <w:tcBorders>
              <w:top w:val="nil"/>
              <w:left w:val="nil"/>
              <w:bottom w:val="single" w:sz="4" w:space="0" w:color="BFBFBF"/>
              <w:right w:val="single" w:sz="4" w:space="0" w:color="BFBFBF"/>
            </w:tcBorders>
            <w:shd w:val="clear" w:color="auto" w:fill="auto"/>
            <w:noWrap/>
            <w:vAlign w:val="center"/>
          </w:tcPr>
          <w:p w14:paraId="4E81144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48F4BC0B"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6FDEC55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1012" w:type="dxa"/>
            <w:tcBorders>
              <w:top w:val="nil"/>
              <w:left w:val="nil"/>
              <w:bottom w:val="single" w:sz="4" w:space="0" w:color="BFBFBF"/>
              <w:right w:val="single" w:sz="4" w:space="0" w:color="BFBFBF"/>
            </w:tcBorders>
            <w:shd w:val="clear" w:color="auto" w:fill="auto"/>
            <w:noWrap/>
            <w:vAlign w:val="center"/>
          </w:tcPr>
          <w:p w14:paraId="50448DA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70FB997B"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7F3C050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1012" w:type="dxa"/>
            <w:tcBorders>
              <w:top w:val="nil"/>
              <w:left w:val="nil"/>
              <w:bottom w:val="single" w:sz="4" w:space="0" w:color="BFBFBF"/>
              <w:right w:val="single" w:sz="4" w:space="0" w:color="BFBFBF"/>
            </w:tcBorders>
            <w:shd w:val="clear" w:color="auto" w:fill="auto"/>
            <w:noWrap/>
            <w:vAlign w:val="center"/>
          </w:tcPr>
          <w:p w14:paraId="3C990B5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56552548"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1B840DBB"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38" w:type="dxa"/>
            <w:tcBorders>
              <w:top w:val="nil"/>
              <w:left w:val="nil"/>
              <w:bottom w:val="single" w:sz="4" w:space="0" w:color="BFBFBF"/>
              <w:right w:val="single" w:sz="4" w:space="0" w:color="BFBFBF"/>
            </w:tcBorders>
            <w:shd w:val="clear" w:color="auto" w:fill="auto"/>
            <w:noWrap/>
            <w:vAlign w:val="center"/>
          </w:tcPr>
          <w:p w14:paraId="340F78DB"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bottom"/>
          </w:tcPr>
          <w:p w14:paraId="509C2CB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single" w:sz="4" w:space="0" w:color="BFBFBF"/>
            </w:tcBorders>
            <w:shd w:val="clear" w:color="auto" w:fill="auto"/>
            <w:noWrap/>
            <w:vAlign w:val="center"/>
          </w:tcPr>
          <w:p w14:paraId="126B78E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c>
          <w:tcPr>
            <w:tcW w:w="960" w:type="dxa"/>
            <w:tcBorders>
              <w:top w:val="nil"/>
              <w:left w:val="nil"/>
              <w:bottom w:val="single" w:sz="4" w:space="0" w:color="BFBFBF"/>
              <w:right w:val="double" w:sz="4" w:space="0" w:color="auto"/>
            </w:tcBorders>
            <w:shd w:val="clear" w:color="auto" w:fill="auto"/>
            <w:noWrap/>
            <w:vAlign w:val="center"/>
          </w:tcPr>
          <w:p w14:paraId="400A7117"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 </w:t>
            </w:r>
          </w:p>
        </w:tc>
      </w:tr>
      <w:tr w:rsidR="00521DA8" w:rsidRPr="00521DA8" w14:paraId="0B9C9958"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2666762B"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Owned/paid off</w:t>
            </w:r>
          </w:p>
        </w:tc>
        <w:tc>
          <w:tcPr>
            <w:tcW w:w="857" w:type="dxa"/>
            <w:tcBorders>
              <w:top w:val="nil"/>
              <w:left w:val="nil"/>
              <w:bottom w:val="single" w:sz="4" w:space="0" w:color="BFBFBF"/>
              <w:right w:val="single" w:sz="4" w:space="0" w:color="BFBFBF"/>
            </w:tcBorders>
            <w:shd w:val="clear" w:color="auto" w:fill="auto"/>
            <w:noWrap/>
            <w:vAlign w:val="center"/>
          </w:tcPr>
          <w:p w14:paraId="43D011C8"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80</w:t>
            </w:r>
          </w:p>
        </w:tc>
        <w:tc>
          <w:tcPr>
            <w:tcW w:w="938" w:type="dxa"/>
            <w:tcBorders>
              <w:top w:val="nil"/>
              <w:left w:val="nil"/>
              <w:bottom w:val="single" w:sz="4" w:space="0" w:color="BFBFBF"/>
              <w:right w:val="single" w:sz="4" w:space="0" w:color="BFBFBF"/>
            </w:tcBorders>
            <w:shd w:val="clear" w:color="auto" w:fill="auto"/>
            <w:noWrap/>
            <w:vAlign w:val="center"/>
          </w:tcPr>
          <w:p w14:paraId="20470E69"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80</w:t>
            </w:r>
          </w:p>
        </w:tc>
        <w:tc>
          <w:tcPr>
            <w:tcW w:w="938" w:type="dxa"/>
            <w:tcBorders>
              <w:top w:val="nil"/>
              <w:left w:val="nil"/>
              <w:bottom w:val="single" w:sz="4" w:space="0" w:color="BFBFBF"/>
              <w:right w:val="single" w:sz="4" w:space="0" w:color="BFBFBF"/>
            </w:tcBorders>
            <w:shd w:val="clear" w:color="auto" w:fill="auto"/>
            <w:noWrap/>
            <w:vAlign w:val="center"/>
          </w:tcPr>
          <w:p w14:paraId="61008312"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160</w:t>
            </w:r>
          </w:p>
        </w:tc>
        <w:tc>
          <w:tcPr>
            <w:tcW w:w="1012" w:type="dxa"/>
            <w:tcBorders>
              <w:top w:val="nil"/>
              <w:left w:val="nil"/>
              <w:bottom w:val="single" w:sz="4" w:space="0" w:color="BFBFBF"/>
              <w:right w:val="single" w:sz="4" w:space="0" w:color="BFBFBF"/>
            </w:tcBorders>
            <w:shd w:val="clear" w:color="auto" w:fill="auto"/>
            <w:noWrap/>
            <w:vAlign w:val="center"/>
          </w:tcPr>
          <w:p w14:paraId="6BB13AD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107</w:t>
            </w:r>
          </w:p>
        </w:tc>
        <w:tc>
          <w:tcPr>
            <w:tcW w:w="938" w:type="dxa"/>
            <w:tcBorders>
              <w:top w:val="nil"/>
              <w:left w:val="nil"/>
              <w:bottom w:val="single" w:sz="4" w:space="0" w:color="BFBFBF"/>
              <w:right w:val="single" w:sz="4" w:space="0" w:color="BFBFBF"/>
            </w:tcBorders>
            <w:shd w:val="clear" w:color="auto" w:fill="auto"/>
            <w:noWrap/>
            <w:vAlign w:val="center"/>
          </w:tcPr>
          <w:p w14:paraId="092AC96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106</w:t>
            </w:r>
          </w:p>
        </w:tc>
        <w:tc>
          <w:tcPr>
            <w:tcW w:w="938" w:type="dxa"/>
            <w:tcBorders>
              <w:top w:val="nil"/>
              <w:left w:val="nil"/>
              <w:bottom w:val="single" w:sz="4" w:space="0" w:color="BFBFBF"/>
              <w:right w:val="single" w:sz="4" w:space="0" w:color="BFBFBF"/>
            </w:tcBorders>
            <w:shd w:val="clear" w:color="auto" w:fill="auto"/>
            <w:noWrap/>
            <w:vAlign w:val="center"/>
          </w:tcPr>
          <w:p w14:paraId="497E68E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212</w:t>
            </w:r>
          </w:p>
        </w:tc>
        <w:tc>
          <w:tcPr>
            <w:tcW w:w="1012" w:type="dxa"/>
            <w:tcBorders>
              <w:top w:val="nil"/>
              <w:left w:val="nil"/>
              <w:bottom w:val="single" w:sz="4" w:space="0" w:color="BFBFBF"/>
              <w:right w:val="single" w:sz="4" w:space="0" w:color="BFBFBF"/>
            </w:tcBorders>
            <w:shd w:val="clear" w:color="auto" w:fill="auto"/>
            <w:noWrap/>
            <w:vAlign w:val="center"/>
          </w:tcPr>
          <w:p w14:paraId="118AA3D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162</w:t>
            </w:r>
          </w:p>
        </w:tc>
        <w:tc>
          <w:tcPr>
            <w:tcW w:w="938" w:type="dxa"/>
            <w:tcBorders>
              <w:top w:val="nil"/>
              <w:left w:val="nil"/>
              <w:bottom w:val="single" w:sz="4" w:space="0" w:color="BFBFBF"/>
              <w:right w:val="single" w:sz="4" w:space="0" w:color="BFBFBF"/>
            </w:tcBorders>
            <w:shd w:val="clear" w:color="auto" w:fill="auto"/>
            <w:noWrap/>
            <w:vAlign w:val="center"/>
          </w:tcPr>
          <w:p w14:paraId="0EBBF44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116</w:t>
            </w:r>
          </w:p>
        </w:tc>
        <w:tc>
          <w:tcPr>
            <w:tcW w:w="938" w:type="dxa"/>
            <w:tcBorders>
              <w:top w:val="nil"/>
              <w:left w:val="nil"/>
              <w:bottom w:val="single" w:sz="4" w:space="0" w:color="BFBFBF"/>
              <w:right w:val="single" w:sz="4" w:space="0" w:color="BFBFBF"/>
            </w:tcBorders>
            <w:shd w:val="clear" w:color="auto" w:fill="auto"/>
            <w:noWrap/>
            <w:vAlign w:val="center"/>
          </w:tcPr>
          <w:p w14:paraId="5B970FB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269</w:t>
            </w:r>
          </w:p>
        </w:tc>
        <w:tc>
          <w:tcPr>
            <w:tcW w:w="938" w:type="dxa"/>
            <w:tcBorders>
              <w:top w:val="nil"/>
              <w:left w:val="nil"/>
              <w:bottom w:val="single" w:sz="4" w:space="0" w:color="BFBFBF"/>
              <w:right w:val="single" w:sz="4" w:space="0" w:color="BFBFBF"/>
            </w:tcBorders>
            <w:shd w:val="clear" w:color="auto" w:fill="auto"/>
            <w:noWrap/>
            <w:vAlign w:val="center"/>
          </w:tcPr>
          <w:p w14:paraId="4D43146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226</w:t>
            </w:r>
          </w:p>
        </w:tc>
        <w:tc>
          <w:tcPr>
            <w:tcW w:w="960" w:type="dxa"/>
            <w:tcBorders>
              <w:top w:val="nil"/>
              <w:left w:val="nil"/>
              <w:bottom w:val="single" w:sz="4" w:space="0" w:color="BFBFBF"/>
              <w:right w:val="single" w:sz="4" w:space="0" w:color="BFBFBF"/>
            </w:tcBorders>
            <w:shd w:val="clear" w:color="auto" w:fill="auto"/>
            <w:noWrap/>
            <w:vAlign w:val="bottom"/>
          </w:tcPr>
          <w:p w14:paraId="2173B33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-24.7%</w:t>
            </w:r>
          </w:p>
        </w:tc>
        <w:tc>
          <w:tcPr>
            <w:tcW w:w="960" w:type="dxa"/>
            <w:tcBorders>
              <w:top w:val="nil"/>
              <w:left w:val="nil"/>
              <w:bottom w:val="single" w:sz="4" w:space="0" w:color="BFBFBF"/>
              <w:right w:val="single" w:sz="4" w:space="0" w:color="BFBFBF"/>
            </w:tcBorders>
            <w:shd w:val="clear" w:color="auto" w:fill="auto"/>
            <w:noWrap/>
            <w:vAlign w:val="center"/>
          </w:tcPr>
          <w:p w14:paraId="6EAE934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-21.2%</w:t>
            </w:r>
          </w:p>
        </w:tc>
        <w:tc>
          <w:tcPr>
            <w:tcW w:w="960" w:type="dxa"/>
            <w:tcBorders>
              <w:top w:val="nil"/>
              <w:left w:val="nil"/>
              <w:bottom w:val="single" w:sz="4" w:space="0" w:color="BFBFBF"/>
              <w:right w:val="double" w:sz="4" w:space="0" w:color="auto"/>
            </w:tcBorders>
            <w:shd w:val="clear" w:color="auto" w:fill="auto"/>
            <w:noWrap/>
            <w:vAlign w:val="center"/>
          </w:tcPr>
          <w:p w14:paraId="3A55E0C4"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19.0%</w:t>
            </w:r>
          </w:p>
        </w:tc>
      </w:tr>
      <w:tr w:rsidR="00521DA8" w:rsidRPr="00521DA8" w14:paraId="1A250F33"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11B38C27"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Buying/paying off</w:t>
            </w:r>
          </w:p>
        </w:tc>
        <w:tc>
          <w:tcPr>
            <w:tcW w:w="857" w:type="dxa"/>
            <w:tcBorders>
              <w:top w:val="nil"/>
              <w:left w:val="nil"/>
              <w:bottom w:val="single" w:sz="4" w:space="0" w:color="BFBFBF"/>
              <w:right w:val="single" w:sz="4" w:space="0" w:color="BFBFBF"/>
            </w:tcBorders>
            <w:shd w:val="clear" w:color="auto" w:fill="auto"/>
            <w:noWrap/>
            <w:vAlign w:val="center"/>
          </w:tcPr>
          <w:p w14:paraId="30147D13"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85</w:t>
            </w:r>
          </w:p>
        </w:tc>
        <w:tc>
          <w:tcPr>
            <w:tcW w:w="938" w:type="dxa"/>
            <w:tcBorders>
              <w:top w:val="nil"/>
              <w:left w:val="nil"/>
              <w:bottom w:val="single" w:sz="4" w:space="0" w:color="BFBFBF"/>
              <w:right w:val="single" w:sz="4" w:space="0" w:color="BFBFBF"/>
            </w:tcBorders>
            <w:shd w:val="clear" w:color="auto" w:fill="auto"/>
            <w:noWrap/>
            <w:vAlign w:val="center"/>
          </w:tcPr>
          <w:p w14:paraId="1D0F11A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94</w:t>
            </w:r>
          </w:p>
        </w:tc>
        <w:tc>
          <w:tcPr>
            <w:tcW w:w="938" w:type="dxa"/>
            <w:tcBorders>
              <w:top w:val="nil"/>
              <w:left w:val="nil"/>
              <w:bottom w:val="single" w:sz="4" w:space="0" w:color="BFBFBF"/>
              <w:right w:val="single" w:sz="4" w:space="0" w:color="BFBFBF"/>
            </w:tcBorders>
            <w:shd w:val="clear" w:color="auto" w:fill="auto"/>
            <w:noWrap/>
            <w:vAlign w:val="center"/>
          </w:tcPr>
          <w:p w14:paraId="66240B27"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178</w:t>
            </w:r>
          </w:p>
        </w:tc>
        <w:tc>
          <w:tcPr>
            <w:tcW w:w="1012" w:type="dxa"/>
            <w:tcBorders>
              <w:top w:val="nil"/>
              <w:left w:val="nil"/>
              <w:bottom w:val="single" w:sz="4" w:space="0" w:color="BFBFBF"/>
              <w:right w:val="single" w:sz="4" w:space="0" w:color="BFBFBF"/>
            </w:tcBorders>
            <w:shd w:val="clear" w:color="auto" w:fill="auto"/>
            <w:noWrap/>
            <w:vAlign w:val="center"/>
          </w:tcPr>
          <w:p w14:paraId="0FCCC3D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107</w:t>
            </w:r>
          </w:p>
        </w:tc>
        <w:tc>
          <w:tcPr>
            <w:tcW w:w="938" w:type="dxa"/>
            <w:tcBorders>
              <w:top w:val="nil"/>
              <w:left w:val="nil"/>
              <w:bottom w:val="single" w:sz="4" w:space="0" w:color="BFBFBF"/>
              <w:right w:val="single" w:sz="4" w:space="0" w:color="BFBFBF"/>
            </w:tcBorders>
            <w:shd w:val="clear" w:color="auto" w:fill="auto"/>
            <w:noWrap/>
            <w:vAlign w:val="center"/>
          </w:tcPr>
          <w:p w14:paraId="3D80EAF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125</w:t>
            </w:r>
          </w:p>
        </w:tc>
        <w:tc>
          <w:tcPr>
            <w:tcW w:w="938" w:type="dxa"/>
            <w:tcBorders>
              <w:top w:val="nil"/>
              <w:left w:val="nil"/>
              <w:bottom w:val="single" w:sz="4" w:space="0" w:color="BFBFBF"/>
              <w:right w:val="single" w:sz="4" w:space="0" w:color="BFBFBF"/>
            </w:tcBorders>
            <w:shd w:val="clear" w:color="auto" w:fill="auto"/>
            <w:noWrap/>
            <w:vAlign w:val="center"/>
          </w:tcPr>
          <w:p w14:paraId="15C1D40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233</w:t>
            </w:r>
          </w:p>
        </w:tc>
        <w:tc>
          <w:tcPr>
            <w:tcW w:w="1012" w:type="dxa"/>
            <w:tcBorders>
              <w:top w:val="nil"/>
              <w:left w:val="nil"/>
              <w:bottom w:val="single" w:sz="4" w:space="0" w:color="BFBFBF"/>
              <w:right w:val="single" w:sz="4" w:space="0" w:color="BFBFBF"/>
            </w:tcBorders>
            <w:shd w:val="clear" w:color="auto" w:fill="auto"/>
            <w:noWrap/>
            <w:vAlign w:val="center"/>
          </w:tcPr>
          <w:p w14:paraId="47EEE38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163</w:t>
            </w:r>
          </w:p>
        </w:tc>
        <w:tc>
          <w:tcPr>
            <w:tcW w:w="938" w:type="dxa"/>
            <w:tcBorders>
              <w:top w:val="nil"/>
              <w:left w:val="nil"/>
              <w:bottom w:val="single" w:sz="4" w:space="0" w:color="BFBFBF"/>
              <w:right w:val="single" w:sz="4" w:space="0" w:color="BFBFBF"/>
            </w:tcBorders>
            <w:shd w:val="clear" w:color="auto" w:fill="auto"/>
            <w:noWrap/>
            <w:vAlign w:val="center"/>
          </w:tcPr>
          <w:p w14:paraId="329BC8F3"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132</w:t>
            </w:r>
          </w:p>
        </w:tc>
        <w:tc>
          <w:tcPr>
            <w:tcW w:w="938" w:type="dxa"/>
            <w:tcBorders>
              <w:top w:val="nil"/>
              <w:left w:val="nil"/>
              <w:bottom w:val="single" w:sz="4" w:space="0" w:color="BFBFBF"/>
              <w:right w:val="single" w:sz="4" w:space="0" w:color="BFBFBF"/>
            </w:tcBorders>
            <w:shd w:val="clear" w:color="auto" w:fill="auto"/>
            <w:noWrap/>
            <w:vAlign w:val="center"/>
          </w:tcPr>
          <w:p w14:paraId="1D78E56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290</w:t>
            </w:r>
          </w:p>
        </w:tc>
        <w:tc>
          <w:tcPr>
            <w:tcW w:w="938" w:type="dxa"/>
            <w:tcBorders>
              <w:top w:val="nil"/>
              <w:left w:val="nil"/>
              <w:bottom w:val="single" w:sz="4" w:space="0" w:color="BFBFBF"/>
              <w:right w:val="single" w:sz="4" w:space="0" w:color="BFBFBF"/>
            </w:tcBorders>
            <w:shd w:val="clear" w:color="auto" w:fill="auto"/>
            <w:noWrap/>
            <w:vAlign w:val="center"/>
          </w:tcPr>
          <w:p w14:paraId="42045836"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269</w:t>
            </w:r>
          </w:p>
        </w:tc>
        <w:tc>
          <w:tcPr>
            <w:tcW w:w="960" w:type="dxa"/>
            <w:tcBorders>
              <w:top w:val="nil"/>
              <w:left w:val="nil"/>
              <w:bottom w:val="single" w:sz="4" w:space="0" w:color="BFBFBF"/>
              <w:right w:val="single" w:sz="4" w:space="0" w:color="BFBFBF"/>
            </w:tcBorders>
            <w:shd w:val="clear" w:color="auto" w:fill="auto"/>
            <w:noWrap/>
            <w:vAlign w:val="bottom"/>
          </w:tcPr>
          <w:p w14:paraId="3BB8DC45"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-23.8%</w:t>
            </w:r>
          </w:p>
        </w:tc>
        <w:tc>
          <w:tcPr>
            <w:tcW w:w="960" w:type="dxa"/>
            <w:tcBorders>
              <w:top w:val="nil"/>
              <w:left w:val="nil"/>
              <w:bottom w:val="single" w:sz="4" w:space="0" w:color="BFBFBF"/>
              <w:right w:val="single" w:sz="4" w:space="0" w:color="BFBFBF"/>
            </w:tcBorders>
            <w:shd w:val="clear" w:color="auto" w:fill="auto"/>
            <w:noWrap/>
            <w:vAlign w:val="center"/>
          </w:tcPr>
          <w:p w14:paraId="3DE715F0"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-19.7%</w:t>
            </w:r>
          </w:p>
        </w:tc>
        <w:tc>
          <w:tcPr>
            <w:tcW w:w="960" w:type="dxa"/>
            <w:tcBorders>
              <w:top w:val="nil"/>
              <w:left w:val="nil"/>
              <w:bottom w:val="single" w:sz="4" w:space="0" w:color="BFBFBF"/>
              <w:right w:val="double" w:sz="4" w:space="0" w:color="auto"/>
            </w:tcBorders>
            <w:shd w:val="clear" w:color="auto" w:fill="auto"/>
            <w:noWrap/>
            <w:vAlign w:val="center"/>
          </w:tcPr>
          <w:p w14:paraId="65416DF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7.8%</w:t>
            </w:r>
          </w:p>
        </w:tc>
      </w:tr>
      <w:tr w:rsidR="00521DA8" w:rsidRPr="00521DA8" w14:paraId="05F9AC48"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1AC4E947"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Renting - Private</w:t>
            </w:r>
          </w:p>
        </w:tc>
        <w:tc>
          <w:tcPr>
            <w:tcW w:w="857" w:type="dxa"/>
            <w:tcBorders>
              <w:top w:val="nil"/>
              <w:left w:val="nil"/>
              <w:bottom w:val="single" w:sz="4" w:space="0" w:color="BFBFBF"/>
              <w:right w:val="single" w:sz="4" w:space="0" w:color="BFBFBF"/>
            </w:tcBorders>
            <w:shd w:val="clear" w:color="auto" w:fill="auto"/>
            <w:noWrap/>
            <w:vAlign w:val="center"/>
          </w:tcPr>
          <w:p w14:paraId="0F3602C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66</w:t>
            </w:r>
          </w:p>
        </w:tc>
        <w:tc>
          <w:tcPr>
            <w:tcW w:w="938" w:type="dxa"/>
            <w:tcBorders>
              <w:top w:val="nil"/>
              <w:left w:val="nil"/>
              <w:bottom w:val="single" w:sz="4" w:space="0" w:color="BFBFBF"/>
              <w:right w:val="single" w:sz="4" w:space="0" w:color="BFBFBF"/>
            </w:tcBorders>
            <w:shd w:val="clear" w:color="auto" w:fill="auto"/>
            <w:noWrap/>
            <w:vAlign w:val="center"/>
          </w:tcPr>
          <w:p w14:paraId="2615C97D"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73</w:t>
            </w:r>
          </w:p>
        </w:tc>
        <w:tc>
          <w:tcPr>
            <w:tcW w:w="938" w:type="dxa"/>
            <w:tcBorders>
              <w:top w:val="nil"/>
              <w:left w:val="nil"/>
              <w:bottom w:val="single" w:sz="4" w:space="0" w:color="BFBFBF"/>
              <w:right w:val="single" w:sz="4" w:space="0" w:color="BFBFBF"/>
            </w:tcBorders>
            <w:shd w:val="clear" w:color="auto" w:fill="auto"/>
            <w:noWrap/>
            <w:vAlign w:val="center"/>
          </w:tcPr>
          <w:p w14:paraId="2CDF8C8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140</w:t>
            </w:r>
          </w:p>
        </w:tc>
        <w:tc>
          <w:tcPr>
            <w:tcW w:w="1012" w:type="dxa"/>
            <w:tcBorders>
              <w:top w:val="nil"/>
              <w:left w:val="nil"/>
              <w:bottom w:val="single" w:sz="4" w:space="0" w:color="BFBFBF"/>
              <w:right w:val="single" w:sz="4" w:space="0" w:color="BFBFBF"/>
            </w:tcBorders>
            <w:shd w:val="clear" w:color="auto" w:fill="auto"/>
            <w:noWrap/>
            <w:vAlign w:val="center"/>
          </w:tcPr>
          <w:p w14:paraId="171F529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88</w:t>
            </w:r>
          </w:p>
        </w:tc>
        <w:tc>
          <w:tcPr>
            <w:tcW w:w="938" w:type="dxa"/>
            <w:tcBorders>
              <w:top w:val="nil"/>
              <w:left w:val="nil"/>
              <w:bottom w:val="single" w:sz="4" w:space="0" w:color="BFBFBF"/>
              <w:right w:val="single" w:sz="4" w:space="0" w:color="BFBFBF"/>
            </w:tcBorders>
            <w:shd w:val="clear" w:color="auto" w:fill="auto"/>
            <w:noWrap/>
            <w:vAlign w:val="center"/>
          </w:tcPr>
          <w:p w14:paraId="27B03722"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105</w:t>
            </w:r>
          </w:p>
        </w:tc>
        <w:tc>
          <w:tcPr>
            <w:tcW w:w="938" w:type="dxa"/>
            <w:tcBorders>
              <w:top w:val="nil"/>
              <w:left w:val="nil"/>
              <w:bottom w:val="single" w:sz="4" w:space="0" w:color="BFBFBF"/>
              <w:right w:val="single" w:sz="4" w:space="0" w:color="BFBFBF"/>
            </w:tcBorders>
            <w:shd w:val="clear" w:color="auto" w:fill="auto"/>
            <w:noWrap/>
            <w:vAlign w:val="center"/>
          </w:tcPr>
          <w:p w14:paraId="2E3FE9B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194</w:t>
            </w:r>
          </w:p>
        </w:tc>
        <w:tc>
          <w:tcPr>
            <w:tcW w:w="1012" w:type="dxa"/>
            <w:tcBorders>
              <w:top w:val="nil"/>
              <w:left w:val="nil"/>
              <w:bottom w:val="single" w:sz="4" w:space="0" w:color="BFBFBF"/>
              <w:right w:val="single" w:sz="4" w:space="0" w:color="BFBFBF"/>
            </w:tcBorders>
            <w:shd w:val="clear" w:color="auto" w:fill="auto"/>
            <w:noWrap/>
            <w:vAlign w:val="center"/>
          </w:tcPr>
          <w:p w14:paraId="64F7086B"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159</w:t>
            </w:r>
          </w:p>
        </w:tc>
        <w:tc>
          <w:tcPr>
            <w:tcW w:w="938" w:type="dxa"/>
            <w:tcBorders>
              <w:top w:val="nil"/>
              <w:left w:val="nil"/>
              <w:bottom w:val="single" w:sz="4" w:space="0" w:color="BFBFBF"/>
              <w:right w:val="single" w:sz="4" w:space="0" w:color="BFBFBF"/>
            </w:tcBorders>
            <w:shd w:val="clear" w:color="auto" w:fill="auto"/>
            <w:noWrap/>
            <w:vAlign w:val="center"/>
          </w:tcPr>
          <w:p w14:paraId="740AEE6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122</w:t>
            </w:r>
          </w:p>
        </w:tc>
        <w:tc>
          <w:tcPr>
            <w:tcW w:w="938" w:type="dxa"/>
            <w:tcBorders>
              <w:top w:val="nil"/>
              <w:left w:val="nil"/>
              <w:bottom w:val="single" w:sz="4" w:space="0" w:color="BFBFBF"/>
              <w:right w:val="single" w:sz="4" w:space="0" w:color="BFBFBF"/>
            </w:tcBorders>
            <w:shd w:val="clear" w:color="auto" w:fill="auto"/>
            <w:noWrap/>
            <w:vAlign w:val="center"/>
          </w:tcPr>
          <w:p w14:paraId="6267BC3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275</w:t>
            </w:r>
          </w:p>
        </w:tc>
        <w:tc>
          <w:tcPr>
            <w:tcW w:w="938" w:type="dxa"/>
            <w:tcBorders>
              <w:top w:val="nil"/>
              <w:left w:val="nil"/>
              <w:bottom w:val="single" w:sz="4" w:space="0" w:color="BFBFBF"/>
              <w:right w:val="single" w:sz="4" w:space="0" w:color="BFBFBF"/>
            </w:tcBorders>
            <w:shd w:val="clear" w:color="auto" w:fill="auto"/>
            <w:noWrap/>
            <w:vAlign w:val="center"/>
          </w:tcPr>
          <w:p w14:paraId="40ACF7E1"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198</w:t>
            </w:r>
          </w:p>
        </w:tc>
        <w:tc>
          <w:tcPr>
            <w:tcW w:w="960" w:type="dxa"/>
            <w:tcBorders>
              <w:top w:val="nil"/>
              <w:left w:val="nil"/>
              <w:bottom w:val="single" w:sz="4" w:space="0" w:color="BFBFBF"/>
              <w:right w:val="single" w:sz="4" w:space="0" w:color="BFBFBF"/>
            </w:tcBorders>
            <w:shd w:val="clear" w:color="auto" w:fill="auto"/>
            <w:noWrap/>
            <w:vAlign w:val="bottom"/>
          </w:tcPr>
          <w:p w14:paraId="46AE416A"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-27.8%</w:t>
            </w:r>
          </w:p>
        </w:tc>
        <w:tc>
          <w:tcPr>
            <w:tcW w:w="960" w:type="dxa"/>
            <w:tcBorders>
              <w:top w:val="nil"/>
              <w:left w:val="nil"/>
              <w:bottom w:val="single" w:sz="4" w:space="0" w:color="BFBFBF"/>
              <w:right w:val="single" w:sz="4" w:space="0" w:color="BFBFBF"/>
            </w:tcBorders>
            <w:shd w:val="clear" w:color="auto" w:fill="auto"/>
            <w:noWrap/>
            <w:vAlign w:val="center"/>
          </w:tcPr>
          <w:p w14:paraId="26104EB5"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-29.5%</w:t>
            </w:r>
          </w:p>
        </w:tc>
        <w:tc>
          <w:tcPr>
            <w:tcW w:w="960" w:type="dxa"/>
            <w:tcBorders>
              <w:top w:val="nil"/>
              <w:left w:val="nil"/>
              <w:bottom w:val="single" w:sz="4" w:space="0" w:color="BFBFBF"/>
              <w:right w:val="double" w:sz="4" w:space="0" w:color="auto"/>
            </w:tcBorders>
            <w:shd w:val="clear" w:color="auto" w:fill="auto"/>
            <w:noWrap/>
            <w:vAlign w:val="center"/>
          </w:tcPr>
          <w:p w14:paraId="5AA84F5E"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38.9%</w:t>
            </w:r>
          </w:p>
        </w:tc>
      </w:tr>
      <w:tr w:rsidR="00521DA8" w:rsidRPr="00521DA8" w14:paraId="70A1C917" w14:textId="77777777" w:rsidTr="008C257B">
        <w:trPr>
          <w:trHeight w:val="340"/>
          <w:jc w:val="center"/>
        </w:trPr>
        <w:tc>
          <w:tcPr>
            <w:tcW w:w="2283" w:type="dxa"/>
            <w:tcBorders>
              <w:top w:val="nil"/>
              <w:left w:val="double" w:sz="4" w:space="0" w:color="auto"/>
              <w:bottom w:val="single" w:sz="4" w:space="0" w:color="BFBFBF"/>
              <w:right w:val="single" w:sz="4" w:space="0" w:color="BFBFBF"/>
            </w:tcBorders>
            <w:shd w:val="clear" w:color="auto" w:fill="auto"/>
            <w:noWrap/>
            <w:vAlign w:val="center"/>
          </w:tcPr>
          <w:p w14:paraId="5653058B" w14:textId="77777777" w:rsidR="00521DA8" w:rsidRPr="00521DA8" w:rsidRDefault="00521DA8" w:rsidP="003152E2">
            <w:pPr>
              <w:spacing w:before="0" w:after="0"/>
              <w:ind w:firstLineChars="100" w:firstLine="160"/>
              <w:rPr>
                <w:rFonts w:ascii="Arial" w:hAnsi="Arial" w:cs="Arial"/>
                <w:color w:val="000000"/>
                <w:sz w:val="16"/>
                <w:szCs w:val="16"/>
                <w:lang w:val="en-AU" w:eastAsia="en-AU"/>
              </w:rPr>
            </w:pPr>
            <w:r w:rsidRPr="00521DA8">
              <w:rPr>
                <w:rFonts w:ascii="Arial" w:hAnsi="Arial" w:cs="Arial"/>
                <w:color w:val="000000"/>
                <w:sz w:val="16"/>
                <w:szCs w:val="16"/>
                <w:lang w:val="en-AU" w:eastAsia="en-AU"/>
              </w:rPr>
              <w:t>Renting – Public</w:t>
            </w:r>
          </w:p>
        </w:tc>
        <w:tc>
          <w:tcPr>
            <w:tcW w:w="857" w:type="dxa"/>
            <w:tcBorders>
              <w:top w:val="nil"/>
              <w:left w:val="nil"/>
              <w:bottom w:val="single" w:sz="4" w:space="0" w:color="BFBFBF"/>
              <w:right w:val="single" w:sz="4" w:space="0" w:color="BFBFBF"/>
            </w:tcBorders>
            <w:shd w:val="clear" w:color="auto" w:fill="auto"/>
            <w:noWrap/>
            <w:vAlign w:val="center"/>
          </w:tcPr>
          <w:p w14:paraId="4A0898F6"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64</w:t>
            </w:r>
          </w:p>
        </w:tc>
        <w:tc>
          <w:tcPr>
            <w:tcW w:w="938" w:type="dxa"/>
            <w:tcBorders>
              <w:top w:val="nil"/>
              <w:left w:val="nil"/>
              <w:bottom w:val="single" w:sz="4" w:space="0" w:color="BFBFBF"/>
              <w:right w:val="single" w:sz="4" w:space="0" w:color="BFBFBF"/>
            </w:tcBorders>
            <w:shd w:val="clear" w:color="auto" w:fill="auto"/>
            <w:noWrap/>
            <w:vAlign w:val="center"/>
          </w:tcPr>
          <w:p w14:paraId="46E0EBAF"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75</w:t>
            </w:r>
          </w:p>
        </w:tc>
        <w:tc>
          <w:tcPr>
            <w:tcW w:w="938" w:type="dxa"/>
            <w:tcBorders>
              <w:top w:val="nil"/>
              <w:left w:val="nil"/>
              <w:bottom w:val="single" w:sz="4" w:space="0" w:color="BFBFBF"/>
              <w:right w:val="single" w:sz="4" w:space="0" w:color="BFBFBF"/>
            </w:tcBorders>
            <w:shd w:val="clear" w:color="auto" w:fill="auto"/>
            <w:noWrap/>
            <w:vAlign w:val="center"/>
          </w:tcPr>
          <w:p w14:paraId="3DBE7C0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141</w:t>
            </w:r>
          </w:p>
        </w:tc>
        <w:tc>
          <w:tcPr>
            <w:tcW w:w="1012" w:type="dxa"/>
            <w:tcBorders>
              <w:top w:val="nil"/>
              <w:left w:val="nil"/>
              <w:bottom w:val="single" w:sz="4" w:space="0" w:color="BFBFBF"/>
              <w:right w:val="single" w:sz="4" w:space="0" w:color="BFBFBF"/>
            </w:tcBorders>
            <w:shd w:val="clear" w:color="auto" w:fill="auto"/>
            <w:noWrap/>
            <w:vAlign w:val="center"/>
          </w:tcPr>
          <w:p w14:paraId="4FA80DA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95</w:t>
            </w:r>
          </w:p>
        </w:tc>
        <w:tc>
          <w:tcPr>
            <w:tcW w:w="938" w:type="dxa"/>
            <w:tcBorders>
              <w:top w:val="nil"/>
              <w:left w:val="nil"/>
              <w:bottom w:val="single" w:sz="4" w:space="0" w:color="BFBFBF"/>
              <w:right w:val="single" w:sz="4" w:space="0" w:color="BFBFBF"/>
            </w:tcBorders>
            <w:shd w:val="clear" w:color="auto" w:fill="auto"/>
            <w:noWrap/>
            <w:vAlign w:val="center"/>
          </w:tcPr>
          <w:p w14:paraId="7D1F961A"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110</w:t>
            </w:r>
          </w:p>
        </w:tc>
        <w:tc>
          <w:tcPr>
            <w:tcW w:w="938" w:type="dxa"/>
            <w:tcBorders>
              <w:top w:val="nil"/>
              <w:left w:val="nil"/>
              <w:bottom w:val="single" w:sz="4" w:space="0" w:color="BFBFBF"/>
              <w:right w:val="single" w:sz="4" w:space="0" w:color="BFBFBF"/>
            </w:tcBorders>
            <w:shd w:val="clear" w:color="auto" w:fill="auto"/>
            <w:noWrap/>
            <w:vAlign w:val="center"/>
          </w:tcPr>
          <w:p w14:paraId="3FCE61A0"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204</w:t>
            </w:r>
          </w:p>
        </w:tc>
        <w:tc>
          <w:tcPr>
            <w:tcW w:w="1012" w:type="dxa"/>
            <w:tcBorders>
              <w:top w:val="nil"/>
              <w:left w:val="nil"/>
              <w:bottom w:val="single" w:sz="4" w:space="0" w:color="BFBFBF"/>
              <w:right w:val="single" w:sz="4" w:space="0" w:color="BFBFBF"/>
            </w:tcBorders>
            <w:shd w:val="clear" w:color="auto" w:fill="auto"/>
            <w:noWrap/>
            <w:vAlign w:val="center"/>
          </w:tcPr>
          <w:p w14:paraId="6B840C77"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130</w:t>
            </w:r>
          </w:p>
        </w:tc>
        <w:tc>
          <w:tcPr>
            <w:tcW w:w="938" w:type="dxa"/>
            <w:tcBorders>
              <w:top w:val="nil"/>
              <w:left w:val="nil"/>
              <w:bottom w:val="single" w:sz="4" w:space="0" w:color="BFBFBF"/>
              <w:right w:val="single" w:sz="4" w:space="0" w:color="BFBFBF"/>
            </w:tcBorders>
            <w:shd w:val="clear" w:color="auto" w:fill="auto"/>
            <w:noWrap/>
            <w:vAlign w:val="center"/>
          </w:tcPr>
          <w:p w14:paraId="43DF2D29"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110</w:t>
            </w:r>
          </w:p>
        </w:tc>
        <w:tc>
          <w:tcPr>
            <w:tcW w:w="938" w:type="dxa"/>
            <w:tcBorders>
              <w:top w:val="nil"/>
              <w:left w:val="nil"/>
              <w:bottom w:val="single" w:sz="4" w:space="0" w:color="BFBFBF"/>
              <w:right w:val="single" w:sz="4" w:space="0" w:color="BFBFBF"/>
            </w:tcBorders>
            <w:shd w:val="clear" w:color="auto" w:fill="auto"/>
            <w:noWrap/>
            <w:vAlign w:val="center"/>
          </w:tcPr>
          <w:p w14:paraId="63D46884"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229</w:t>
            </w:r>
          </w:p>
        </w:tc>
        <w:tc>
          <w:tcPr>
            <w:tcW w:w="938" w:type="dxa"/>
            <w:tcBorders>
              <w:top w:val="nil"/>
              <w:left w:val="nil"/>
              <w:bottom w:val="single" w:sz="4" w:space="0" w:color="BFBFBF"/>
              <w:right w:val="single" w:sz="4" w:space="0" w:color="BFBFBF"/>
            </w:tcBorders>
            <w:shd w:val="clear" w:color="auto" w:fill="auto"/>
            <w:noWrap/>
            <w:vAlign w:val="center"/>
          </w:tcPr>
          <w:p w14:paraId="66BA7BFF" w14:textId="77777777" w:rsidR="00521DA8" w:rsidRPr="00521DA8" w:rsidRDefault="00521DA8" w:rsidP="003152E2">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232</w:t>
            </w:r>
          </w:p>
        </w:tc>
        <w:tc>
          <w:tcPr>
            <w:tcW w:w="960" w:type="dxa"/>
            <w:tcBorders>
              <w:top w:val="nil"/>
              <w:left w:val="nil"/>
              <w:bottom w:val="single" w:sz="4" w:space="0" w:color="BFBFBF"/>
              <w:right w:val="single" w:sz="4" w:space="0" w:color="BFBFBF"/>
            </w:tcBorders>
            <w:shd w:val="clear" w:color="auto" w:fill="auto"/>
            <w:noWrap/>
            <w:vAlign w:val="bottom"/>
          </w:tcPr>
          <w:p w14:paraId="1B33E2FF"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-30.7%</w:t>
            </w:r>
          </w:p>
        </w:tc>
        <w:tc>
          <w:tcPr>
            <w:tcW w:w="960" w:type="dxa"/>
            <w:tcBorders>
              <w:top w:val="nil"/>
              <w:left w:val="nil"/>
              <w:bottom w:val="single" w:sz="4" w:space="0" w:color="BFBFBF"/>
              <w:right w:val="single" w:sz="4" w:space="0" w:color="BFBFBF"/>
            </w:tcBorders>
            <w:shd w:val="clear" w:color="auto" w:fill="auto"/>
            <w:noWrap/>
            <w:vAlign w:val="center"/>
          </w:tcPr>
          <w:p w14:paraId="3097FFB1"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-10.9%</w:t>
            </w:r>
          </w:p>
        </w:tc>
        <w:tc>
          <w:tcPr>
            <w:tcW w:w="960" w:type="dxa"/>
            <w:tcBorders>
              <w:top w:val="nil"/>
              <w:left w:val="nil"/>
              <w:bottom w:val="single" w:sz="4" w:space="0" w:color="BFBFBF"/>
              <w:right w:val="double" w:sz="4" w:space="0" w:color="auto"/>
            </w:tcBorders>
            <w:shd w:val="clear" w:color="auto" w:fill="auto"/>
            <w:noWrap/>
            <w:vAlign w:val="center"/>
          </w:tcPr>
          <w:p w14:paraId="523905D6" w14:textId="77777777" w:rsidR="00521DA8" w:rsidRPr="00521DA8" w:rsidRDefault="00521DA8" w:rsidP="00521DA8">
            <w:pPr>
              <w:spacing w:before="0" w:after="0"/>
              <w:jc w:val="center"/>
              <w:rPr>
                <w:rFonts w:ascii="Arial" w:hAnsi="Arial" w:cs="Arial"/>
                <w:color w:val="000000"/>
                <w:sz w:val="16"/>
                <w:szCs w:val="16"/>
                <w:lang w:val="en-AU" w:eastAsia="en-AU"/>
              </w:rPr>
            </w:pPr>
            <w:r w:rsidRPr="00521DA8">
              <w:rPr>
                <w:rFonts w:ascii="Arial" w:hAnsi="Arial" w:cs="Arial"/>
                <w:color w:val="000000"/>
                <w:sz w:val="16"/>
                <w:szCs w:val="16"/>
                <w:lang w:val="en-AU" w:eastAsia="en-AU"/>
              </w:rPr>
              <w:t>-1.3%</w:t>
            </w:r>
          </w:p>
        </w:tc>
      </w:tr>
      <w:tr w:rsidR="00521DA8" w:rsidRPr="003835AE" w14:paraId="084E6C66" w14:textId="77777777" w:rsidTr="008C257B">
        <w:trPr>
          <w:trHeight w:val="340"/>
          <w:jc w:val="center"/>
        </w:trPr>
        <w:tc>
          <w:tcPr>
            <w:tcW w:w="2283" w:type="dxa"/>
            <w:tcBorders>
              <w:top w:val="nil"/>
              <w:left w:val="double" w:sz="4" w:space="0" w:color="auto"/>
              <w:bottom w:val="double" w:sz="4" w:space="0" w:color="auto"/>
              <w:right w:val="single" w:sz="4" w:space="0" w:color="BFBFBF"/>
            </w:tcBorders>
            <w:shd w:val="clear" w:color="auto" w:fill="auto"/>
            <w:noWrap/>
            <w:vAlign w:val="center"/>
          </w:tcPr>
          <w:p w14:paraId="09AC7C35" w14:textId="77777777" w:rsidR="00521DA8" w:rsidRPr="00521DA8" w:rsidRDefault="00521DA8" w:rsidP="003152E2">
            <w:pPr>
              <w:spacing w:before="0" w:after="0"/>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Total Households</w:t>
            </w:r>
          </w:p>
        </w:tc>
        <w:tc>
          <w:tcPr>
            <w:tcW w:w="857" w:type="dxa"/>
            <w:tcBorders>
              <w:top w:val="nil"/>
              <w:left w:val="nil"/>
              <w:bottom w:val="double" w:sz="4" w:space="0" w:color="auto"/>
              <w:right w:val="single" w:sz="4" w:space="0" w:color="BFBFBF"/>
            </w:tcBorders>
            <w:shd w:val="clear" w:color="auto" w:fill="auto"/>
            <w:noWrap/>
            <w:vAlign w:val="center"/>
          </w:tcPr>
          <w:p w14:paraId="3925B2AE" w14:textId="77777777" w:rsidR="00521DA8" w:rsidRPr="00521DA8" w:rsidRDefault="00521DA8" w:rsidP="00521DA8">
            <w:pPr>
              <w:spacing w:before="0" w:after="0"/>
              <w:jc w:val="center"/>
              <w:rPr>
                <w:rFonts w:ascii="Arial" w:hAnsi="Arial" w:cs="Arial"/>
                <w:b/>
                <w:color w:val="000000"/>
                <w:sz w:val="16"/>
                <w:szCs w:val="16"/>
                <w:lang w:val="en-AU" w:eastAsia="en-AU"/>
              </w:rPr>
            </w:pPr>
            <w:r w:rsidRPr="00521DA8">
              <w:rPr>
                <w:rFonts w:ascii="Arial" w:hAnsi="Arial" w:cs="Arial"/>
                <w:b/>
                <w:color w:val="000000"/>
                <w:sz w:val="16"/>
                <w:szCs w:val="16"/>
                <w:lang w:val="en-AU" w:eastAsia="en-AU"/>
              </w:rPr>
              <w:t>79</w:t>
            </w:r>
          </w:p>
        </w:tc>
        <w:tc>
          <w:tcPr>
            <w:tcW w:w="938" w:type="dxa"/>
            <w:tcBorders>
              <w:top w:val="nil"/>
              <w:left w:val="nil"/>
              <w:bottom w:val="double" w:sz="4" w:space="0" w:color="auto"/>
              <w:right w:val="single" w:sz="4" w:space="0" w:color="BFBFBF"/>
            </w:tcBorders>
            <w:shd w:val="clear" w:color="auto" w:fill="auto"/>
            <w:noWrap/>
            <w:vAlign w:val="center"/>
          </w:tcPr>
          <w:p w14:paraId="7644843D" w14:textId="77777777" w:rsidR="00521DA8" w:rsidRPr="00521DA8" w:rsidRDefault="00521DA8" w:rsidP="00521DA8">
            <w:pPr>
              <w:spacing w:before="0" w:after="0"/>
              <w:jc w:val="center"/>
              <w:rPr>
                <w:rFonts w:ascii="Arial" w:hAnsi="Arial" w:cs="Arial"/>
                <w:b/>
                <w:color w:val="000000"/>
                <w:sz w:val="16"/>
                <w:szCs w:val="16"/>
                <w:lang w:val="en-AU" w:eastAsia="en-AU"/>
              </w:rPr>
            </w:pPr>
            <w:r w:rsidRPr="00521DA8">
              <w:rPr>
                <w:rFonts w:ascii="Arial" w:hAnsi="Arial" w:cs="Arial"/>
                <w:b/>
                <w:color w:val="000000"/>
                <w:sz w:val="16"/>
                <w:szCs w:val="16"/>
                <w:lang w:val="en-AU" w:eastAsia="en-AU"/>
              </w:rPr>
              <w:t>83</w:t>
            </w:r>
          </w:p>
        </w:tc>
        <w:tc>
          <w:tcPr>
            <w:tcW w:w="938" w:type="dxa"/>
            <w:tcBorders>
              <w:top w:val="nil"/>
              <w:left w:val="nil"/>
              <w:bottom w:val="double" w:sz="4" w:space="0" w:color="auto"/>
              <w:right w:val="single" w:sz="4" w:space="0" w:color="BFBFBF"/>
            </w:tcBorders>
            <w:shd w:val="clear" w:color="auto" w:fill="auto"/>
            <w:noWrap/>
            <w:vAlign w:val="center"/>
          </w:tcPr>
          <w:p w14:paraId="3D921FDB" w14:textId="77777777" w:rsidR="00521DA8" w:rsidRPr="00521DA8" w:rsidRDefault="00521DA8" w:rsidP="00521DA8">
            <w:pPr>
              <w:spacing w:before="0" w:after="0"/>
              <w:jc w:val="center"/>
              <w:rPr>
                <w:rFonts w:ascii="Arial" w:hAnsi="Arial" w:cs="Arial"/>
                <w:b/>
                <w:color w:val="000000"/>
                <w:sz w:val="16"/>
                <w:szCs w:val="16"/>
                <w:lang w:val="en-AU" w:eastAsia="en-AU"/>
              </w:rPr>
            </w:pPr>
            <w:r w:rsidRPr="00521DA8">
              <w:rPr>
                <w:rFonts w:ascii="Arial" w:hAnsi="Arial" w:cs="Arial"/>
                <w:b/>
                <w:color w:val="000000"/>
                <w:sz w:val="16"/>
                <w:szCs w:val="16"/>
                <w:lang w:val="en-AU" w:eastAsia="en-AU"/>
              </w:rPr>
              <w:t>162</w:t>
            </w:r>
          </w:p>
        </w:tc>
        <w:tc>
          <w:tcPr>
            <w:tcW w:w="1012" w:type="dxa"/>
            <w:tcBorders>
              <w:top w:val="nil"/>
              <w:left w:val="nil"/>
              <w:bottom w:val="double" w:sz="4" w:space="0" w:color="auto"/>
              <w:right w:val="single" w:sz="4" w:space="0" w:color="BFBFBF"/>
            </w:tcBorders>
            <w:shd w:val="clear" w:color="auto" w:fill="auto"/>
            <w:noWrap/>
            <w:vAlign w:val="center"/>
          </w:tcPr>
          <w:p w14:paraId="29DCEC9A" w14:textId="77777777" w:rsidR="00521DA8" w:rsidRPr="00521DA8" w:rsidRDefault="00521DA8"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104</w:t>
            </w:r>
          </w:p>
        </w:tc>
        <w:tc>
          <w:tcPr>
            <w:tcW w:w="938" w:type="dxa"/>
            <w:tcBorders>
              <w:top w:val="nil"/>
              <w:left w:val="nil"/>
              <w:bottom w:val="double" w:sz="4" w:space="0" w:color="auto"/>
              <w:right w:val="single" w:sz="4" w:space="0" w:color="BFBFBF"/>
            </w:tcBorders>
            <w:shd w:val="clear" w:color="auto" w:fill="auto"/>
            <w:noWrap/>
            <w:vAlign w:val="center"/>
          </w:tcPr>
          <w:p w14:paraId="1B6D93D5" w14:textId="77777777" w:rsidR="00521DA8" w:rsidRPr="00521DA8" w:rsidRDefault="00521DA8"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112</w:t>
            </w:r>
          </w:p>
        </w:tc>
        <w:tc>
          <w:tcPr>
            <w:tcW w:w="938" w:type="dxa"/>
            <w:tcBorders>
              <w:top w:val="nil"/>
              <w:left w:val="nil"/>
              <w:bottom w:val="double" w:sz="4" w:space="0" w:color="auto"/>
              <w:right w:val="single" w:sz="4" w:space="0" w:color="BFBFBF"/>
            </w:tcBorders>
            <w:shd w:val="clear" w:color="auto" w:fill="auto"/>
            <w:noWrap/>
            <w:vAlign w:val="center"/>
          </w:tcPr>
          <w:p w14:paraId="55CD1B95" w14:textId="77777777" w:rsidR="00521DA8" w:rsidRPr="00521DA8" w:rsidRDefault="00521DA8"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216</w:t>
            </w:r>
          </w:p>
        </w:tc>
        <w:tc>
          <w:tcPr>
            <w:tcW w:w="1012" w:type="dxa"/>
            <w:tcBorders>
              <w:top w:val="nil"/>
              <w:left w:val="nil"/>
              <w:bottom w:val="double" w:sz="4" w:space="0" w:color="auto"/>
              <w:right w:val="single" w:sz="4" w:space="0" w:color="BFBFBF"/>
            </w:tcBorders>
            <w:shd w:val="clear" w:color="auto" w:fill="auto"/>
            <w:noWrap/>
            <w:vAlign w:val="center"/>
          </w:tcPr>
          <w:p w14:paraId="38A80EBA" w14:textId="77777777" w:rsidR="00521DA8" w:rsidRPr="00521DA8" w:rsidRDefault="00521DA8"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162</w:t>
            </w:r>
          </w:p>
        </w:tc>
        <w:tc>
          <w:tcPr>
            <w:tcW w:w="938" w:type="dxa"/>
            <w:tcBorders>
              <w:top w:val="nil"/>
              <w:left w:val="nil"/>
              <w:bottom w:val="double" w:sz="4" w:space="0" w:color="auto"/>
              <w:right w:val="single" w:sz="4" w:space="0" w:color="BFBFBF"/>
            </w:tcBorders>
            <w:shd w:val="clear" w:color="auto" w:fill="auto"/>
            <w:noWrap/>
            <w:vAlign w:val="center"/>
          </w:tcPr>
          <w:p w14:paraId="2249C91E" w14:textId="77777777" w:rsidR="00521DA8" w:rsidRPr="00521DA8" w:rsidRDefault="00521DA8"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122</w:t>
            </w:r>
          </w:p>
        </w:tc>
        <w:tc>
          <w:tcPr>
            <w:tcW w:w="938" w:type="dxa"/>
            <w:tcBorders>
              <w:top w:val="nil"/>
              <w:left w:val="nil"/>
              <w:bottom w:val="double" w:sz="4" w:space="0" w:color="auto"/>
              <w:right w:val="single" w:sz="4" w:space="0" w:color="BFBFBF"/>
            </w:tcBorders>
            <w:shd w:val="clear" w:color="auto" w:fill="auto"/>
            <w:noWrap/>
            <w:vAlign w:val="center"/>
          </w:tcPr>
          <w:p w14:paraId="03B54BAF" w14:textId="77777777" w:rsidR="00521DA8" w:rsidRPr="00521DA8" w:rsidRDefault="00521DA8"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276</w:t>
            </w:r>
          </w:p>
        </w:tc>
        <w:tc>
          <w:tcPr>
            <w:tcW w:w="938" w:type="dxa"/>
            <w:tcBorders>
              <w:top w:val="nil"/>
              <w:left w:val="nil"/>
              <w:bottom w:val="double" w:sz="4" w:space="0" w:color="auto"/>
              <w:right w:val="single" w:sz="4" w:space="0" w:color="BFBFBF"/>
            </w:tcBorders>
            <w:shd w:val="clear" w:color="auto" w:fill="auto"/>
            <w:noWrap/>
            <w:vAlign w:val="center"/>
          </w:tcPr>
          <w:p w14:paraId="5D252C80" w14:textId="77777777" w:rsidR="00521DA8" w:rsidRPr="00521DA8" w:rsidRDefault="00521DA8" w:rsidP="003152E2">
            <w:pPr>
              <w:spacing w:before="0" w:after="0"/>
              <w:jc w:val="center"/>
              <w:rPr>
                <w:rFonts w:ascii="Arial" w:hAnsi="Arial" w:cs="Arial"/>
                <w:b/>
                <w:bCs/>
                <w:color w:val="000000"/>
                <w:sz w:val="16"/>
                <w:szCs w:val="16"/>
                <w:lang w:val="en-AU" w:eastAsia="en-AU"/>
              </w:rPr>
            </w:pPr>
            <w:r w:rsidRPr="00521DA8">
              <w:rPr>
                <w:rFonts w:ascii="Arial" w:hAnsi="Arial" w:cs="Arial"/>
                <w:b/>
                <w:bCs/>
                <w:color w:val="000000"/>
                <w:sz w:val="16"/>
                <w:szCs w:val="16"/>
                <w:lang w:val="en-AU" w:eastAsia="en-AU"/>
              </w:rPr>
              <w:t>238</w:t>
            </w:r>
          </w:p>
        </w:tc>
        <w:tc>
          <w:tcPr>
            <w:tcW w:w="960" w:type="dxa"/>
            <w:tcBorders>
              <w:top w:val="nil"/>
              <w:left w:val="nil"/>
              <w:bottom w:val="double" w:sz="4" w:space="0" w:color="auto"/>
              <w:right w:val="single" w:sz="4" w:space="0" w:color="BFBFBF"/>
            </w:tcBorders>
            <w:shd w:val="clear" w:color="auto" w:fill="auto"/>
            <w:noWrap/>
            <w:vAlign w:val="center"/>
          </w:tcPr>
          <w:p w14:paraId="7628FF9E" w14:textId="77777777" w:rsidR="00521DA8" w:rsidRPr="00521DA8" w:rsidRDefault="00521DA8" w:rsidP="00521DA8">
            <w:pPr>
              <w:spacing w:before="0" w:after="0"/>
              <w:jc w:val="center"/>
              <w:rPr>
                <w:rFonts w:ascii="Arial" w:hAnsi="Arial" w:cs="Arial"/>
                <w:b/>
                <w:color w:val="000000"/>
                <w:sz w:val="16"/>
                <w:szCs w:val="16"/>
                <w:lang w:val="en-AU" w:eastAsia="en-AU"/>
              </w:rPr>
            </w:pPr>
            <w:r w:rsidRPr="00521DA8">
              <w:rPr>
                <w:rFonts w:ascii="Arial" w:hAnsi="Arial" w:cs="Arial"/>
                <w:b/>
                <w:color w:val="000000"/>
                <w:sz w:val="16"/>
                <w:szCs w:val="16"/>
                <w:lang w:val="en-AU" w:eastAsia="en-AU"/>
              </w:rPr>
              <w:t>-24.9%</w:t>
            </w:r>
          </w:p>
        </w:tc>
        <w:tc>
          <w:tcPr>
            <w:tcW w:w="960" w:type="dxa"/>
            <w:tcBorders>
              <w:top w:val="nil"/>
              <w:left w:val="nil"/>
              <w:bottom w:val="double" w:sz="4" w:space="0" w:color="auto"/>
              <w:right w:val="single" w:sz="4" w:space="0" w:color="BFBFBF"/>
            </w:tcBorders>
            <w:shd w:val="clear" w:color="auto" w:fill="auto"/>
            <w:noWrap/>
            <w:vAlign w:val="center"/>
          </w:tcPr>
          <w:p w14:paraId="1DE3376D" w14:textId="77777777" w:rsidR="00521DA8" w:rsidRPr="00521DA8" w:rsidRDefault="00521DA8" w:rsidP="00521DA8">
            <w:pPr>
              <w:spacing w:before="0" w:after="0"/>
              <w:jc w:val="center"/>
              <w:rPr>
                <w:rFonts w:ascii="Arial" w:hAnsi="Arial" w:cs="Arial"/>
                <w:b/>
                <w:color w:val="000000"/>
                <w:sz w:val="16"/>
                <w:szCs w:val="16"/>
                <w:lang w:val="en-AU" w:eastAsia="en-AU"/>
              </w:rPr>
            </w:pPr>
            <w:r w:rsidRPr="00521DA8">
              <w:rPr>
                <w:rFonts w:ascii="Arial" w:hAnsi="Arial" w:cs="Arial"/>
                <w:b/>
                <w:color w:val="000000"/>
                <w:sz w:val="16"/>
                <w:szCs w:val="16"/>
                <w:lang w:val="en-AU" w:eastAsia="en-AU"/>
              </w:rPr>
              <w:t>-21.7%</w:t>
            </w:r>
          </w:p>
        </w:tc>
        <w:tc>
          <w:tcPr>
            <w:tcW w:w="960" w:type="dxa"/>
            <w:tcBorders>
              <w:top w:val="nil"/>
              <w:left w:val="nil"/>
              <w:bottom w:val="double" w:sz="4" w:space="0" w:color="auto"/>
              <w:right w:val="double" w:sz="4" w:space="0" w:color="auto"/>
            </w:tcBorders>
            <w:shd w:val="clear" w:color="auto" w:fill="auto"/>
            <w:noWrap/>
            <w:vAlign w:val="center"/>
          </w:tcPr>
          <w:p w14:paraId="30D22126" w14:textId="77777777" w:rsidR="00521DA8" w:rsidRPr="00521DA8" w:rsidRDefault="00521DA8" w:rsidP="00521DA8">
            <w:pPr>
              <w:spacing w:before="0" w:after="0"/>
              <w:jc w:val="center"/>
              <w:rPr>
                <w:rFonts w:ascii="Arial" w:hAnsi="Arial" w:cs="Arial"/>
                <w:b/>
                <w:color w:val="000000"/>
                <w:sz w:val="16"/>
                <w:szCs w:val="16"/>
                <w:lang w:val="en-AU" w:eastAsia="en-AU"/>
              </w:rPr>
            </w:pPr>
            <w:r w:rsidRPr="00521DA8">
              <w:rPr>
                <w:rFonts w:ascii="Arial" w:hAnsi="Arial" w:cs="Arial"/>
                <w:b/>
                <w:color w:val="000000"/>
                <w:sz w:val="16"/>
                <w:szCs w:val="16"/>
                <w:lang w:val="en-AU" w:eastAsia="en-AU"/>
              </w:rPr>
              <w:t>16.0%</w:t>
            </w:r>
          </w:p>
        </w:tc>
      </w:tr>
    </w:tbl>
    <w:p w14:paraId="43A1445F" w14:textId="0CED8F96" w:rsidR="00D109F7" w:rsidRPr="00521DA8" w:rsidRDefault="003152E2" w:rsidP="009748AD">
      <w:pPr>
        <w:spacing w:after="0"/>
        <w:jc w:val="center"/>
        <w:rPr>
          <w:sz w:val="20"/>
          <w:lang w:val="en-AU"/>
        </w:rPr>
      </w:pPr>
      <w:r w:rsidRPr="00521DA8">
        <w:rPr>
          <w:sz w:val="20"/>
          <w:lang w:val="en-AU"/>
        </w:rPr>
        <w:t xml:space="preserve">* </w:t>
      </w:r>
      <w:r w:rsidR="00D109F7" w:rsidRPr="00521DA8">
        <w:rPr>
          <w:sz w:val="20"/>
          <w:lang w:val="en-AU"/>
        </w:rPr>
        <w:t xml:space="preserve">Average monthly summer </w:t>
      </w:r>
      <w:r w:rsidR="00D109F7" w:rsidRPr="009748AD">
        <w:rPr>
          <w:sz w:val="20"/>
          <w:lang w:val="en-AU"/>
        </w:rPr>
        <w:t>consumption</w:t>
      </w:r>
      <w:r w:rsidR="00D109F7" w:rsidRPr="00521DA8">
        <w:rPr>
          <w:sz w:val="20"/>
          <w:lang w:val="en-AU"/>
        </w:rPr>
        <w:t xml:space="preserve"> (i.e. December-April) in </w:t>
      </w:r>
      <w:r w:rsidR="00691EAE" w:rsidRPr="00521DA8">
        <w:rPr>
          <w:sz w:val="20"/>
          <w:lang w:val="en-AU"/>
        </w:rPr>
        <w:t>20</w:t>
      </w:r>
      <w:r w:rsidRPr="00521DA8">
        <w:rPr>
          <w:sz w:val="20"/>
          <w:lang w:val="en-AU"/>
        </w:rPr>
        <w:t>14</w:t>
      </w:r>
      <w:r w:rsidR="00D109F7" w:rsidRPr="00521DA8">
        <w:rPr>
          <w:sz w:val="20"/>
          <w:lang w:val="en-AU"/>
        </w:rPr>
        <w:t xml:space="preserve"> </w:t>
      </w:r>
      <w:r w:rsidRPr="00521DA8">
        <w:rPr>
          <w:sz w:val="20"/>
          <w:lang w:val="en-AU"/>
        </w:rPr>
        <w:t>was</w:t>
      </w:r>
      <w:r w:rsidR="00D109F7" w:rsidRPr="00521DA8">
        <w:rPr>
          <w:sz w:val="20"/>
          <w:lang w:val="en-AU"/>
        </w:rPr>
        <w:t xml:space="preserve"> </w:t>
      </w:r>
      <w:r w:rsidRPr="00521DA8">
        <w:rPr>
          <w:sz w:val="20"/>
          <w:lang w:val="en-AU"/>
        </w:rPr>
        <w:t>16</w:t>
      </w:r>
      <w:r w:rsidR="008E492D">
        <w:rPr>
          <w:sz w:val="20"/>
          <w:lang w:val="en-AU"/>
        </w:rPr>
        <w:t xml:space="preserve"> kL</w:t>
      </w:r>
      <w:r w:rsidR="00D109F7" w:rsidRPr="00521DA8">
        <w:rPr>
          <w:sz w:val="20"/>
          <w:lang w:val="en-AU"/>
        </w:rPr>
        <w:t xml:space="preserve"> (200</w:t>
      </w:r>
      <w:r w:rsidRPr="00521DA8">
        <w:rPr>
          <w:sz w:val="20"/>
          <w:lang w:val="en-AU"/>
        </w:rPr>
        <w:t>7: 21</w:t>
      </w:r>
      <w:r w:rsidR="00DD19AA">
        <w:rPr>
          <w:sz w:val="20"/>
          <w:lang w:val="en-AU"/>
        </w:rPr>
        <w:t>kL</w:t>
      </w:r>
      <w:r w:rsidRPr="00521DA8">
        <w:rPr>
          <w:sz w:val="20"/>
          <w:lang w:val="en-AU"/>
        </w:rPr>
        <w:t>)</w:t>
      </w:r>
      <w:r w:rsidR="00D109F7" w:rsidRPr="00521DA8">
        <w:rPr>
          <w:sz w:val="20"/>
          <w:lang w:val="en-AU"/>
        </w:rPr>
        <w:t xml:space="preserve">.  Average monthly winter consumption (i.e. May-November) </w:t>
      </w:r>
      <w:r w:rsidRPr="00521DA8">
        <w:rPr>
          <w:sz w:val="20"/>
          <w:lang w:val="en-AU"/>
        </w:rPr>
        <w:t>was</w:t>
      </w:r>
      <w:r w:rsidR="00D109F7" w:rsidRPr="00521DA8">
        <w:rPr>
          <w:sz w:val="20"/>
          <w:lang w:val="en-AU"/>
        </w:rPr>
        <w:t xml:space="preserve"> </w:t>
      </w:r>
      <w:r w:rsidRPr="00521DA8">
        <w:rPr>
          <w:sz w:val="20"/>
          <w:lang w:val="en-AU"/>
        </w:rPr>
        <w:t>12</w:t>
      </w:r>
      <w:r w:rsidR="00DD19AA">
        <w:rPr>
          <w:sz w:val="20"/>
          <w:lang w:val="en-AU"/>
        </w:rPr>
        <w:t>kL</w:t>
      </w:r>
      <w:r w:rsidR="00D109F7" w:rsidRPr="00521DA8">
        <w:rPr>
          <w:sz w:val="20"/>
          <w:lang w:val="en-AU"/>
        </w:rPr>
        <w:t xml:space="preserve"> </w:t>
      </w:r>
      <w:r w:rsidR="00D109F7" w:rsidRPr="00521DA8">
        <w:rPr>
          <w:sz w:val="20"/>
          <w:lang w:val="en-AU"/>
        </w:rPr>
        <w:br/>
        <w:t>(200</w:t>
      </w:r>
      <w:r w:rsidRPr="00521DA8">
        <w:rPr>
          <w:sz w:val="20"/>
          <w:lang w:val="en-AU"/>
        </w:rPr>
        <w:t>7</w:t>
      </w:r>
      <w:r w:rsidR="00D109F7" w:rsidRPr="00521DA8">
        <w:rPr>
          <w:sz w:val="20"/>
          <w:lang w:val="en-AU"/>
        </w:rPr>
        <w:t xml:space="preserve"> - </w:t>
      </w:r>
      <w:r w:rsidRPr="00521DA8">
        <w:rPr>
          <w:sz w:val="20"/>
          <w:lang w:val="en-AU"/>
        </w:rPr>
        <w:t>16</w:t>
      </w:r>
      <w:r w:rsidR="00D109F7" w:rsidRPr="00521DA8">
        <w:rPr>
          <w:sz w:val="20"/>
          <w:lang w:val="en-AU"/>
        </w:rPr>
        <w:t xml:space="preserve"> </w:t>
      </w:r>
      <w:r w:rsidR="00DD19AA">
        <w:rPr>
          <w:sz w:val="20"/>
          <w:lang w:val="en-AU"/>
        </w:rPr>
        <w:t>kL</w:t>
      </w:r>
      <w:r w:rsidR="00D109F7" w:rsidRPr="00521DA8">
        <w:rPr>
          <w:sz w:val="20"/>
          <w:lang w:val="en-AU"/>
        </w:rPr>
        <w:t>).</w:t>
      </w:r>
    </w:p>
    <w:p w14:paraId="1CC8B6A6" w14:textId="77777777" w:rsidR="00C94613" w:rsidRPr="003835AE" w:rsidRDefault="00C94613" w:rsidP="003152E2">
      <w:pPr>
        <w:spacing w:after="0"/>
        <w:jc w:val="both"/>
        <w:rPr>
          <w:sz w:val="20"/>
          <w:highlight w:val="yellow"/>
          <w:lang w:val="en-AU"/>
        </w:rPr>
      </w:pPr>
    </w:p>
    <w:p w14:paraId="5B13B261" w14:textId="77777777" w:rsidR="00D109F7" w:rsidRDefault="00C94613" w:rsidP="00C94613">
      <w:pPr>
        <w:spacing w:before="0" w:after="0" w:line="340" w:lineRule="exact"/>
        <w:jc w:val="both"/>
      </w:pPr>
      <w:r w:rsidRPr="002611D4">
        <w:rPr>
          <w:lang w:val="en-AU"/>
        </w:rPr>
        <w:lastRenderedPageBreak/>
        <w:t>This fall in average per household water consumption is possibly a result of water restrictions across Victoria leading to households modifying their water consumption habits, and suggests that some of these habits have been maintained after the partial easing of these restrictions.  Other factors could include</w:t>
      </w:r>
      <w:r w:rsidRPr="002611D4">
        <w:t xml:space="preserve"> increased use of water-efficient or water-saving fittings (e.g. water saving shower heads) and water efficient appliances, such as dish washers and washing machines.  An increase in the installation and use of water tanks may also be a factor.  Related factors would also include the extent of media focus on climate change and water-shortage issues, which could certainly have played a part in changing water usage behaviour.  Sensitivity of demand to increasing unit </w:t>
      </w:r>
      <w:r w:rsidRPr="00642822">
        <w:t>prices could also be a factor.</w:t>
      </w:r>
    </w:p>
    <w:p w14:paraId="05E71CBF" w14:textId="77777777" w:rsidR="00554F93" w:rsidRPr="00642822" w:rsidRDefault="00554F93" w:rsidP="00C94613">
      <w:pPr>
        <w:spacing w:before="0" w:after="0" w:line="340" w:lineRule="exact"/>
        <w:jc w:val="both"/>
      </w:pPr>
    </w:p>
    <w:p w14:paraId="1DAF164C" w14:textId="75EACB7A" w:rsidR="003920D8" w:rsidRPr="00642822" w:rsidRDefault="00D109F7">
      <w:pPr>
        <w:pStyle w:val="Heading3"/>
        <w:tabs>
          <w:tab w:val="clear" w:pos="8517"/>
          <w:tab w:val="num" w:pos="851"/>
        </w:tabs>
        <w:ind w:left="0" w:firstLine="0"/>
        <w:rPr>
          <w:bCs/>
          <w:lang w:val="en-AU"/>
        </w:rPr>
      </w:pPr>
      <w:bookmarkStart w:id="197" w:name="_Toc439198326"/>
      <w:bookmarkStart w:id="198" w:name="_Toc445571703"/>
      <w:r w:rsidRPr="00642822">
        <w:rPr>
          <w:bCs/>
          <w:lang w:val="en-AU"/>
        </w:rPr>
        <w:t>Water Charges</w:t>
      </w:r>
      <w:bookmarkEnd w:id="197"/>
      <w:bookmarkEnd w:id="198"/>
    </w:p>
    <w:p w14:paraId="60F71A07" w14:textId="77777777" w:rsidR="00D109F7" w:rsidRPr="00642822" w:rsidRDefault="00F431B3" w:rsidP="00D109F7">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642822">
        <w:rPr>
          <w:lang w:val="en-AU"/>
        </w:rPr>
        <w:t>B</w:t>
      </w:r>
      <w:r w:rsidR="00D109F7" w:rsidRPr="00642822">
        <w:rPr>
          <w:lang w:val="en-AU"/>
        </w:rPr>
        <w:t xml:space="preserve">etween 1996 and 2001 the method of calculation of Water Charges </w:t>
      </w:r>
      <w:r w:rsidRPr="00642822">
        <w:rPr>
          <w:lang w:val="en-AU"/>
        </w:rPr>
        <w:t>was</w:t>
      </w:r>
      <w:r w:rsidR="00D109F7" w:rsidRPr="00642822">
        <w:rPr>
          <w:lang w:val="en-AU"/>
        </w:rPr>
        <w:t xml:space="preserve"> significantly altered.  A 20% reduction in fixed service charges, plus a revised calculation of consumption charges during the period between surveys means that results in 1996 are not strictly comparable with results in 2001.  As a consequence, the majority of analysis of water charges over time has been restricted to differences between </w:t>
      </w:r>
      <w:r w:rsidR="009441A5" w:rsidRPr="00642822">
        <w:rPr>
          <w:lang w:val="en-AU"/>
        </w:rPr>
        <w:t xml:space="preserve">2014 and </w:t>
      </w:r>
      <w:r w:rsidR="00691EAE" w:rsidRPr="00642822">
        <w:rPr>
          <w:lang w:val="en-AU"/>
        </w:rPr>
        <w:t>2007</w:t>
      </w:r>
      <w:r w:rsidR="00D109F7" w:rsidRPr="00642822">
        <w:rPr>
          <w:lang w:val="en-AU"/>
        </w:rPr>
        <w:t xml:space="preserve"> and </w:t>
      </w:r>
      <w:r w:rsidR="009441A5" w:rsidRPr="00642822">
        <w:rPr>
          <w:lang w:val="en-AU"/>
        </w:rPr>
        <w:t xml:space="preserve">between 2007 and </w:t>
      </w:r>
      <w:r w:rsidR="00D109F7" w:rsidRPr="00642822">
        <w:rPr>
          <w:lang w:val="en-AU"/>
        </w:rPr>
        <w:t>2001.</w:t>
      </w:r>
    </w:p>
    <w:p w14:paraId="02AE7622" w14:textId="77777777" w:rsidR="00D109F7" w:rsidRPr="00642822" w:rsidRDefault="00D109F7" w:rsidP="00D109F7">
      <w:pPr>
        <w:pStyle w:val="Para"/>
        <w:rPr>
          <w:lang w:val="en-AU"/>
        </w:rPr>
      </w:pPr>
    </w:p>
    <w:p w14:paraId="79F6A5EE" w14:textId="42DA9E92" w:rsidR="00CC4909" w:rsidRPr="00642822" w:rsidRDefault="00CC4909" w:rsidP="00CC4909">
      <w:pPr>
        <w:pStyle w:val="Para"/>
        <w:rPr>
          <w:lang w:val="en-AU"/>
        </w:rPr>
      </w:pPr>
      <w:r w:rsidRPr="00642822">
        <w:rPr>
          <w:lang w:val="en-AU"/>
        </w:rPr>
        <w:t xml:space="preserve">Annual average water charges, discounts and expenditure for 2014, 2007, 2001 and 1996 </w:t>
      </w:r>
      <w:r w:rsidR="00B16FCD">
        <w:rPr>
          <w:lang w:val="en-AU"/>
        </w:rPr>
        <w:t>are</w:t>
      </w:r>
      <w:r w:rsidRPr="00642822">
        <w:rPr>
          <w:lang w:val="en-AU"/>
        </w:rPr>
        <w:t xml:space="preserve"> shown in Tables 5.2.2.1, 5.2.2.2, 5.2.2.3 and 5.2.2.4 on the following pages.  </w:t>
      </w:r>
    </w:p>
    <w:p w14:paraId="0648826B" w14:textId="77777777" w:rsidR="00CC4909" w:rsidRPr="00642822" w:rsidRDefault="00CC4909" w:rsidP="00D109F7">
      <w:pPr>
        <w:pStyle w:val="Para"/>
        <w:rPr>
          <w:lang w:val="en-AU"/>
        </w:rPr>
      </w:pPr>
    </w:p>
    <w:p w14:paraId="26BFFD18" w14:textId="5C05E9CB" w:rsidR="00D109F7" w:rsidRPr="0038020F" w:rsidRDefault="00D109F7" w:rsidP="00D109F7">
      <w:pPr>
        <w:pStyle w:val="Para"/>
        <w:rPr>
          <w:lang w:val="en-AU"/>
        </w:rPr>
      </w:pPr>
      <w:r w:rsidRPr="0038020F">
        <w:rPr>
          <w:lang w:val="en-AU"/>
        </w:rPr>
        <w:t>The average annual bill paid for water</w:t>
      </w:r>
      <w:r w:rsidR="00F431B3" w:rsidRPr="0038020F">
        <w:rPr>
          <w:rStyle w:val="FootnoteReference"/>
          <w:lang w:val="en-AU"/>
        </w:rPr>
        <w:footnoteReference w:id="11"/>
      </w:r>
      <w:r w:rsidRPr="0038020F">
        <w:rPr>
          <w:lang w:val="en-AU"/>
        </w:rPr>
        <w:t xml:space="preserve"> by households in </w:t>
      </w:r>
      <w:r w:rsidR="00691EAE" w:rsidRPr="0038020F">
        <w:rPr>
          <w:lang w:val="en-AU"/>
        </w:rPr>
        <w:t>20</w:t>
      </w:r>
      <w:r w:rsidR="00EC20C4" w:rsidRPr="0038020F">
        <w:rPr>
          <w:lang w:val="en-AU"/>
        </w:rPr>
        <w:t>14</w:t>
      </w:r>
      <w:r w:rsidRPr="0038020F">
        <w:rPr>
          <w:lang w:val="en-AU"/>
        </w:rPr>
        <w:t xml:space="preserve"> was $</w:t>
      </w:r>
      <w:r w:rsidR="0084681B">
        <w:rPr>
          <w:lang w:val="en-AU"/>
        </w:rPr>
        <w:t>801</w:t>
      </w:r>
      <w:r w:rsidRPr="0038020F">
        <w:rPr>
          <w:lang w:val="en-AU"/>
        </w:rPr>
        <w:t>.</w:t>
      </w:r>
      <w:r w:rsidRPr="0038020F">
        <w:rPr>
          <w:b/>
          <w:lang w:val="en-AU"/>
        </w:rPr>
        <w:t xml:space="preserve">  </w:t>
      </w:r>
      <w:r w:rsidRPr="0038020F">
        <w:rPr>
          <w:lang w:val="en-AU"/>
        </w:rPr>
        <w:t xml:space="preserve">This compares with an average outlay of </w:t>
      </w:r>
      <w:r w:rsidR="00EC20C4" w:rsidRPr="0038020F">
        <w:rPr>
          <w:lang w:val="en-AU"/>
        </w:rPr>
        <w:t xml:space="preserve">$516 in 2007, </w:t>
      </w:r>
      <w:r w:rsidRPr="0038020F">
        <w:rPr>
          <w:lang w:val="en-AU"/>
        </w:rPr>
        <w:t xml:space="preserve">$442 in 2001 and $444 in 1996.  This represents a </w:t>
      </w:r>
      <w:r w:rsidR="00EC20C4" w:rsidRPr="0038020F">
        <w:rPr>
          <w:lang w:val="en-AU"/>
        </w:rPr>
        <w:t>5</w:t>
      </w:r>
      <w:r w:rsidR="0038020F" w:rsidRPr="0038020F">
        <w:rPr>
          <w:lang w:val="en-AU"/>
        </w:rPr>
        <w:t>5</w:t>
      </w:r>
      <w:r w:rsidRPr="0038020F">
        <w:rPr>
          <w:lang w:val="en-AU"/>
        </w:rPr>
        <w:t>% increase in the water bill amount since 200</w:t>
      </w:r>
      <w:r w:rsidR="00EC20C4" w:rsidRPr="0038020F">
        <w:rPr>
          <w:lang w:val="en-AU"/>
        </w:rPr>
        <w:t>7</w:t>
      </w:r>
      <w:r w:rsidRPr="0038020F">
        <w:rPr>
          <w:lang w:val="en-AU"/>
        </w:rPr>
        <w:t>, while average annual household consumption has fallen by 2</w:t>
      </w:r>
      <w:r w:rsidR="009722EB">
        <w:rPr>
          <w:lang w:val="en-AU"/>
        </w:rPr>
        <w:t>5</w:t>
      </w:r>
      <w:r w:rsidRPr="0038020F">
        <w:rPr>
          <w:lang w:val="en-AU"/>
        </w:rPr>
        <w:t xml:space="preserve">%.  </w:t>
      </w:r>
    </w:p>
    <w:p w14:paraId="2E5D3A5E" w14:textId="77777777" w:rsidR="00D109F7" w:rsidRPr="0038020F" w:rsidRDefault="00D109F7" w:rsidP="00D109F7">
      <w:pPr>
        <w:pStyle w:val="Para"/>
        <w:rPr>
          <w:lang w:val="en-AU"/>
        </w:rPr>
      </w:pPr>
    </w:p>
    <w:p w14:paraId="4994E7EA" w14:textId="77777777" w:rsidR="00D109F7" w:rsidRDefault="00602A1E" w:rsidP="00D109F7">
      <w:pPr>
        <w:pStyle w:val="Para"/>
        <w:rPr>
          <w:lang w:val="en-AU"/>
        </w:rPr>
      </w:pPr>
      <w:r w:rsidRPr="009722EB">
        <w:rPr>
          <w:lang w:val="en-AU"/>
        </w:rPr>
        <w:t>The only group to experience a decrease in average water bills since 2007 were public renters (-3</w:t>
      </w:r>
      <w:r w:rsidR="0038020F" w:rsidRPr="009722EB">
        <w:rPr>
          <w:lang w:val="en-AU"/>
        </w:rPr>
        <w:t>3</w:t>
      </w:r>
      <w:r w:rsidRPr="009722EB">
        <w:rPr>
          <w:lang w:val="en-AU"/>
        </w:rPr>
        <w:t xml:space="preserve">%).  </w:t>
      </w:r>
      <w:r w:rsidR="00D109F7" w:rsidRPr="009722EB">
        <w:rPr>
          <w:lang w:val="en-AU"/>
        </w:rPr>
        <w:t xml:space="preserve">The greatest increase in </w:t>
      </w:r>
      <w:r w:rsidRPr="009722EB">
        <w:rPr>
          <w:lang w:val="en-AU"/>
        </w:rPr>
        <w:t xml:space="preserve">average water bills </w:t>
      </w:r>
      <w:r w:rsidR="00D109F7" w:rsidRPr="009722EB">
        <w:rPr>
          <w:lang w:val="en-AU"/>
        </w:rPr>
        <w:t>since 200</w:t>
      </w:r>
      <w:r w:rsidRPr="009722EB">
        <w:rPr>
          <w:lang w:val="en-AU"/>
        </w:rPr>
        <w:t>7</w:t>
      </w:r>
      <w:r w:rsidR="00D109F7" w:rsidRPr="009722EB">
        <w:rPr>
          <w:lang w:val="en-AU"/>
        </w:rPr>
        <w:t xml:space="preserve"> were observed amongst </w:t>
      </w:r>
      <w:r w:rsidRPr="009722EB">
        <w:rPr>
          <w:lang w:val="en-AU"/>
        </w:rPr>
        <w:t>non-concession households (7</w:t>
      </w:r>
      <w:r w:rsidR="009722EB">
        <w:rPr>
          <w:lang w:val="en-AU"/>
        </w:rPr>
        <w:t>1</w:t>
      </w:r>
      <w:r w:rsidRPr="009722EB">
        <w:rPr>
          <w:lang w:val="en-AU"/>
        </w:rPr>
        <w:t xml:space="preserve">%), despite average water usage declining by 23% over this same period.  </w:t>
      </w:r>
    </w:p>
    <w:p w14:paraId="1C477011" w14:textId="77777777" w:rsidR="00A32FA3" w:rsidRDefault="00D109F7" w:rsidP="00C90BFA">
      <w:pPr>
        <w:pStyle w:val="Para"/>
        <w:rPr>
          <w:lang w:val="en-AU"/>
        </w:rPr>
      </w:pPr>
      <w:r w:rsidRPr="009722EB">
        <w:rPr>
          <w:lang w:val="en-AU"/>
        </w:rPr>
        <w:lastRenderedPageBreak/>
        <w:t>Four or more person households also recorded significant growth in water bills since 200</w:t>
      </w:r>
      <w:r w:rsidR="00602A1E" w:rsidRPr="009722EB">
        <w:rPr>
          <w:lang w:val="en-AU"/>
        </w:rPr>
        <w:t>7</w:t>
      </w:r>
      <w:r w:rsidRPr="009722EB">
        <w:rPr>
          <w:lang w:val="en-AU"/>
        </w:rPr>
        <w:t xml:space="preserve"> (+</w:t>
      </w:r>
      <w:r w:rsidR="00602A1E" w:rsidRPr="009722EB">
        <w:rPr>
          <w:lang w:val="en-AU"/>
        </w:rPr>
        <w:t>6</w:t>
      </w:r>
      <w:r w:rsidR="009722EB">
        <w:rPr>
          <w:lang w:val="en-AU"/>
        </w:rPr>
        <w:t>4</w:t>
      </w:r>
      <w:r w:rsidRPr="009722EB">
        <w:rPr>
          <w:lang w:val="en-AU"/>
        </w:rPr>
        <w:t xml:space="preserve">%), while reducing consumption by </w:t>
      </w:r>
      <w:r w:rsidR="00602A1E" w:rsidRPr="009722EB">
        <w:rPr>
          <w:lang w:val="en-AU"/>
        </w:rPr>
        <w:t>2</w:t>
      </w:r>
      <w:r w:rsidR="009722EB">
        <w:rPr>
          <w:lang w:val="en-AU"/>
        </w:rPr>
        <w:t>1</w:t>
      </w:r>
      <w:r w:rsidRPr="009722EB">
        <w:rPr>
          <w:lang w:val="en-AU"/>
        </w:rPr>
        <w:t xml:space="preserve">%.  </w:t>
      </w:r>
    </w:p>
    <w:p w14:paraId="3834C449" w14:textId="77777777" w:rsidR="00A32FA3" w:rsidRDefault="00A32FA3" w:rsidP="00C90BFA">
      <w:pPr>
        <w:pStyle w:val="Para"/>
        <w:rPr>
          <w:lang w:val="en-AU"/>
        </w:rPr>
      </w:pPr>
    </w:p>
    <w:p w14:paraId="1C3C1000" w14:textId="7BA30647" w:rsidR="00C90BFA" w:rsidRDefault="00C90BFA" w:rsidP="00C90BFA">
      <w:pPr>
        <w:pStyle w:val="Para"/>
        <w:rPr>
          <w:lang w:val="en-AU"/>
        </w:rPr>
      </w:pPr>
      <w:r w:rsidRPr="00C90BFA">
        <w:rPr>
          <w:lang w:val="en-AU"/>
        </w:rPr>
        <w:t xml:space="preserve">The average </w:t>
      </w:r>
      <w:r>
        <w:rPr>
          <w:lang w:val="en-AU"/>
        </w:rPr>
        <w:t>annual water bill for non-concession households ($977) was substantially higher than the average bill for other concession ($579) or aged concession ($575) households.</w:t>
      </w:r>
    </w:p>
    <w:p w14:paraId="382FC939" w14:textId="77777777" w:rsidR="00A32FA3" w:rsidRDefault="00A32FA3" w:rsidP="00C90BFA">
      <w:pPr>
        <w:pStyle w:val="Para"/>
        <w:rPr>
          <w:lang w:val="en-AU"/>
        </w:rPr>
      </w:pPr>
    </w:p>
    <w:p w14:paraId="0289637F" w14:textId="49ECE508" w:rsidR="00C90BFA" w:rsidRDefault="00C90BFA" w:rsidP="00C90BFA">
      <w:pPr>
        <w:pStyle w:val="Para"/>
        <w:rPr>
          <w:lang w:val="en-AU"/>
        </w:rPr>
      </w:pPr>
      <w:r w:rsidRPr="00C90BFA">
        <w:rPr>
          <w:lang w:val="en-AU"/>
        </w:rPr>
        <w:t>The survey does not indicate the concession status of each person whose name is on each bill, but defines the concession status of the household according to the concession status of the respondent, who is the main bill-payer. Therefore it is not possible to calculate a precise estimate of the proportion of eligible households that actually received a water concession.  Nevertheless, a very close approximation is the proportion of ‘concession household</w:t>
      </w:r>
      <w:r>
        <w:rPr>
          <w:lang w:val="en-AU"/>
        </w:rPr>
        <w:t xml:space="preserve">s’ that received the concession (see Table 7.1.2) </w:t>
      </w:r>
    </w:p>
    <w:p w14:paraId="5B5AECF9" w14:textId="77777777" w:rsidR="00A32FA3" w:rsidRDefault="00A32FA3" w:rsidP="00C90BFA">
      <w:pPr>
        <w:pStyle w:val="Para"/>
        <w:rPr>
          <w:lang w:val="en-AU"/>
        </w:rPr>
      </w:pPr>
    </w:p>
    <w:p w14:paraId="03FE0EAE" w14:textId="60E43879" w:rsidR="002A2A10" w:rsidRPr="009722EB" w:rsidRDefault="002A2A10" w:rsidP="00D109F7">
      <w:pPr>
        <w:pStyle w:val="Para"/>
        <w:rPr>
          <w:lang w:val="en-AU"/>
        </w:rPr>
      </w:pPr>
      <w:r w:rsidRPr="009722EB">
        <w:rPr>
          <w:lang w:val="en-AU"/>
        </w:rPr>
        <w:t>Since 2007, the average water cons</w:t>
      </w:r>
      <w:r w:rsidR="009722EB" w:rsidRPr="009722EB">
        <w:rPr>
          <w:lang w:val="en-AU"/>
        </w:rPr>
        <w:t>umption charge has increased 104</w:t>
      </w:r>
      <w:r w:rsidRPr="009722EB">
        <w:rPr>
          <w:lang w:val="en-AU"/>
        </w:rPr>
        <w:t>%, with the average water and sewerage service charges increasing 12</w:t>
      </w:r>
      <w:r w:rsidR="009722EB" w:rsidRPr="009722EB">
        <w:rPr>
          <w:lang w:val="en-AU"/>
        </w:rPr>
        <w:t>5</w:t>
      </w:r>
      <w:r w:rsidRPr="009722EB">
        <w:rPr>
          <w:lang w:val="en-AU"/>
        </w:rPr>
        <w:t>% and 11</w:t>
      </w:r>
      <w:r w:rsidR="009722EB" w:rsidRPr="009722EB">
        <w:rPr>
          <w:lang w:val="en-AU"/>
        </w:rPr>
        <w:t>4</w:t>
      </w:r>
      <w:r w:rsidRPr="009722EB">
        <w:rPr>
          <w:lang w:val="en-AU"/>
        </w:rPr>
        <w:t>% respectively.</w:t>
      </w:r>
      <w:r w:rsidR="00864AFD" w:rsidRPr="009722EB">
        <w:rPr>
          <w:lang w:val="en-AU"/>
        </w:rPr>
        <w:t xml:space="preserve">  Average increases since 2007 in sewerage disposal, drainage &amp; waterways service and parks charges were substantially lower (49%, 41% and 21% respectively).</w:t>
      </w:r>
    </w:p>
    <w:p w14:paraId="4485E468" w14:textId="77777777" w:rsidR="002A2A10" w:rsidRPr="003835AE" w:rsidRDefault="002A2A10" w:rsidP="00D109F7">
      <w:pPr>
        <w:pStyle w:val="Para"/>
        <w:rPr>
          <w:highlight w:val="yellow"/>
          <w:lang w:val="en-AU"/>
        </w:rPr>
      </w:pPr>
    </w:p>
    <w:p w14:paraId="5F98304A" w14:textId="77777777" w:rsidR="00D109F7" w:rsidRPr="003835AE" w:rsidRDefault="00D109F7" w:rsidP="00D109F7">
      <w:pPr>
        <w:pStyle w:val="Para"/>
        <w:rPr>
          <w:highlight w:val="yellow"/>
          <w:lang w:val="en-AU"/>
        </w:rPr>
      </w:pPr>
      <w:r w:rsidRPr="009722EB">
        <w:rPr>
          <w:lang w:val="en-AU"/>
        </w:rPr>
        <w:t xml:space="preserve">In </w:t>
      </w:r>
      <w:r w:rsidR="00691EAE" w:rsidRPr="009722EB">
        <w:rPr>
          <w:lang w:val="en-AU"/>
        </w:rPr>
        <w:t>20</w:t>
      </w:r>
      <w:r w:rsidR="00864AFD" w:rsidRPr="009722EB">
        <w:rPr>
          <w:lang w:val="en-AU"/>
        </w:rPr>
        <w:t xml:space="preserve">14, </w:t>
      </w:r>
      <w:r w:rsidRPr="009722EB">
        <w:rPr>
          <w:lang w:val="en-AU"/>
        </w:rPr>
        <w:t>8</w:t>
      </w:r>
      <w:r w:rsidR="00864AFD" w:rsidRPr="009722EB">
        <w:rPr>
          <w:lang w:val="en-AU"/>
        </w:rPr>
        <w:t>3</w:t>
      </w:r>
      <w:r w:rsidRPr="009722EB">
        <w:rPr>
          <w:lang w:val="en-AU"/>
        </w:rPr>
        <w:t xml:space="preserve">% of households </w:t>
      </w:r>
      <w:r w:rsidR="00864AFD" w:rsidRPr="009722EB">
        <w:rPr>
          <w:lang w:val="en-AU"/>
        </w:rPr>
        <w:t xml:space="preserve">receiving a water bill </w:t>
      </w:r>
      <w:r w:rsidRPr="009722EB">
        <w:rPr>
          <w:lang w:val="en-AU"/>
        </w:rPr>
        <w:t xml:space="preserve">had a water service charge </w:t>
      </w:r>
      <w:r w:rsidR="006F64CA" w:rsidRPr="009722EB">
        <w:rPr>
          <w:lang w:val="en-AU"/>
        </w:rPr>
        <w:t>levied on</w:t>
      </w:r>
      <w:r w:rsidRPr="009722EB">
        <w:rPr>
          <w:lang w:val="en-AU"/>
        </w:rPr>
        <w:t xml:space="preserve"> them.  The incidence was far lower for rental households, both private and public </w:t>
      </w:r>
      <w:r w:rsidR="00864AFD" w:rsidRPr="009722EB">
        <w:rPr>
          <w:lang w:val="en-AU"/>
        </w:rPr>
        <w:t xml:space="preserve">(9% and 4% respectively, down from </w:t>
      </w:r>
      <w:r w:rsidRPr="009722EB">
        <w:rPr>
          <w:lang w:val="en-AU"/>
        </w:rPr>
        <w:t>15% and 13% respectively</w:t>
      </w:r>
      <w:r w:rsidR="00864AFD" w:rsidRPr="009722EB">
        <w:rPr>
          <w:lang w:val="en-AU"/>
        </w:rPr>
        <w:t xml:space="preserve"> in 2007</w:t>
      </w:r>
      <w:r w:rsidRPr="009722EB">
        <w:rPr>
          <w:lang w:val="en-AU"/>
        </w:rPr>
        <w:t xml:space="preserve">) and for </w:t>
      </w:r>
      <w:r w:rsidR="00864AFD" w:rsidRPr="009722EB">
        <w:rPr>
          <w:lang w:val="en-AU"/>
        </w:rPr>
        <w:t xml:space="preserve">other </w:t>
      </w:r>
      <w:r w:rsidRPr="009722EB">
        <w:rPr>
          <w:lang w:val="en-AU"/>
        </w:rPr>
        <w:t>concession households (6</w:t>
      </w:r>
      <w:r w:rsidR="009722EB" w:rsidRPr="009722EB">
        <w:rPr>
          <w:lang w:val="en-AU"/>
        </w:rPr>
        <w:t>4</w:t>
      </w:r>
      <w:r w:rsidRPr="009722EB">
        <w:rPr>
          <w:lang w:val="en-AU"/>
        </w:rPr>
        <w:t xml:space="preserve">%).  This </w:t>
      </w:r>
      <w:r w:rsidR="007859D3" w:rsidRPr="009722EB">
        <w:rPr>
          <w:lang w:val="en-AU"/>
        </w:rPr>
        <w:t xml:space="preserve">latter result </w:t>
      </w:r>
      <w:r w:rsidRPr="009722EB">
        <w:rPr>
          <w:lang w:val="en-AU"/>
        </w:rPr>
        <w:t xml:space="preserve">is not surprising since renting households (which includes a significant proportion of </w:t>
      </w:r>
      <w:r w:rsidR="0055008C" w:rsidRPr="009722EB">
        <w:rPr>
          <w:lang w:val="en-AU"/>
        </w:rPr>
        <w:t>other concession households</w:t>
      </w:r>
      <w:r w:rsidRPr="009722EB">
        <w:rPr>
          <w:lang w:val="en-AU"/>
        </w:rPr>
        <w:t xml:space="preserve">) should not receive this charge.  </w:t>
      </w:r>
      <w:r w:rsidR="00840C23" w:rsidRPr="009722EB">
        <w:rPr>
          <w:lang w:val="en-AU"/>
        </w:rPr>
        <w:t>Th</w:t>
      </w:r>
      <w:r w:rsidR="007859D3" w:rsidRPr="009722EB">
        <w:rPr>
          <w:lang w:val="en-AU"/>
        </w:rPr>
        <w:t>e fact that billing data shows a proportion of renters paying a water service charge suggests that there may be</w:t>
      </w:r>
      <w:r w:rsidR="00840C23" w:rsidRPr="009722EB">
        <w:rPr>
          <w:lang w:val="en-AU"/>
        </w:rPr>
        <w:t xml:space="preserve"> some mis-reporting in relation to application of this charge.</w:t>
      </w:r>
      <w:r w:rsidR="007859D3" w:rsidRPr="009722EB">
        <w:rPr>
          <w:rStyle w:val="FootnoteReference"/>
          <w:lang w:val="en-AU"/>
        </w:rPr>
        <w:footnoteReference w:id="12"/>
      </w:r>
      <w:r w:rsidR="00840C23" w:rsidRPr="009722EB">
        <w:rPr>
          <w:lang w:val="en-AU"/>
        </w:rPr>
        <w:t xml:space="preserve">  </w:t>
      </w:r>
      <w:r w:rsidRPr="009722EB">
        <w:rPr>
          <w:lang w:val="en-AU"/>
        </w:rPr>
        <w:t>Overall the average annual water service charge applied was $</w:t>
      </w:r>
      <w:r w:rsidR="00864AFD" w:rsidRPr="009722EB">
        <w:rPr>
          <w:lang w:val="en-AU"/>
        </w:rPr>
        <w:t>17</w:t>
      </w:r>
      <w:r w:rsidR="009722EB" w:rsidRPr="009722EB">
        <w:rPr>
          <w:lang w:val="en-AU"/>
        </w:rPr>
        <w:t>1</w:t>
      </w:r>
      <w:r w:rsidRPr="009722EB">
        <w:rPr>
          <w:lang w:val="en-AU"/>
        </w:rPr>
        <w:t xml:space="preserve"> in </w:t>
      </w:r>
      <w:r w:rsidR="00691EAE" w:rsidRPr="009722EB">
        <w:rPr>
          <w:lang w:val="en-AU"/>
        </w:rPr>
        <w:t>20</w:t>
      </w:r>
      <w:r w:rsidR="00864AFD" w:rsidRPr="009722EB">
        <w:rPr>
          <w:lang w:val="en-AU"/>
        </w:rPr>
        <w:t>14</w:t>
      </w:r>
      <w:r w:rsidRPr="009722EB">
        <w:rPr>
          <w:lang w:val="en-AU"/>
        </w:rPr>
        <w:t>, up from $</w:t>
      </w:r>
      <w:r w:rsidR="00864AFD" w:rsidRPr="009722EB">
        <w:rPr>
          <w:lang w:val="en-AU"/>
        </w:rPr>
        <w:t>76</w:t>
      </w:r>
      <w:r w:rsidRPr="009722EB">
        <w:rPr>
          <w:lang w:val="en-AU"/>
        </w:rPr>
        <w:t xml:space="preserve"> in 200</w:t>
      </w:r>
      <w:r w:rsidR="00864AFD" w:rsidRPr="009722EB">
        <w:rPr>
          <w:lang w:val="en-AU"/>
        </w:rPr>
        <w:t>7</w:t>
      </w:r>
      <w:r w:rsidRPr="009722EB">
        <w:rPr>
          <w:lang w:val="en-AU"/>
        </w:rPr>
        <w:t>.</w:t>
      </w:r>
    </w:p>
    <w:p w14:paraId="6C815DCC" w14:textId="77777777" w:rsidR="00840C23" w:rsidRPr="009722EB" w:rsidRDefault="00840C23" w:rsidP="00840C23">
      <w:pPr>
        <w:pStyle w:val="Para"/>
        <w:rPr>
          <w:sz w:val="20"/>
          <w:lang w:val="en-AU"/>
        </w:rPr>
      </w:pPr>
    </w:p>
    <w:p w14:paraId="39F84FEC" w14:textId="77777777" w:rsidR="00F522DE" w:rsidRPr="009722EB" w:rsidRDefault="00F77388" w:rsidP="00840C23">
      <w:pPr>
        <w:pStyle w:val="Para"/>
        <w:rPr>
          <w:sz w:val="20"/>
          <w:lang w:val="en-AU"/>
        </w:rPr>
      </w:pPr>
      <w:r w:rsidRPr="009722EB">
        <w:rPr>
          <w:lang w:val="en-AU"/>
        </w:rPr>
        <w:t>Eight in ten households paying water bills received a sewerage service charge in 2014 (79%, down from 81% in 2007), with rental households (6% private and 3% public) and other concession households (6</w:t>
      </w:r>
      <w:r w:rsidR="009722EB" w:rsidRPr="009722EB">
        <w:rPr>
          <w:lang w:val="en-AU"/>
        </w:rPr>
        <w:t>2</w:t>
      </w:r>
      <w:r w:rsidRPr="009722EB">
        <w:rPr>
          <w:lang w:val="en-AU"/>
        </w:rPr>
        <w:t xml:space="preserve">%) again recording the lowest levels of incidence, as expected (as these properties/tenants </w:t>
      </w:r>
      <w:r w:rsidRPr="009722EB">
        <w:rPr>
          <w:lang w:val="en-AU"/>
        </w:rPr>
        <w:lastRenderedPageBreak/>
        <w:t xml:space="preserve">should not receive such charges, indicating some </w:t>
      </w:r>
      <w:r w:rsidR="0079798C" w:rsidRPr="009722EB">
        <w:rPr>
          <w:lang w:val="en-AU"/>
        </w:rPr>
        <w:t xml:space="preserve">possible </w:t>
      </w:r>
      <w:r w:rsidRPr="009722EB">
        <w:rPr>
          <w:lang w:val="en-AU"/>
        </w:rPr>
        <w:t>mis-reporting by water retailers in this area</w:t>
      </w:r>
      <w:r w:rsidRPr="009722EB">
        <w:rPr>
          <w:vertAlign w:val="superscript"/>
          <w:lang w:val="en-AU"/>
        </w:rPr>
        <w:t>1</w:t>
      </w:r>
      <w:r w:rsidRPr="009722EB">
        <w:rPr>
          <w:lang w:val="en-AU"/>
        </w:rPr>
        <w:t>).   The average sewerage service charge amount in 2014 was $39</w:t>
      </w:r>
      <w:r w:rsidR="009722EB" w:rsidRPr="009722EB">
        <w:rPr>
          <w:lang w:val="en-AU"/>
        </w:rPr>
        <w:t>1</w:t>
      </w:r>
      <w:r w:rsidRPr="009722EB">
        <w:rPr>
          <w:lang w:val="en-AU"/>
        </w:rPr>
        <w:t>, compared with $183 in 2007 and $122 in 2001.  Sewerage service charges were far higher in country areas, averaging $55</w:t>
      </w:r>
      <w:r w:rsidR="009722EB" w:rsidRPr="009722EB">
        <w:rPr>
          <w:lang w:val="en-AU"/>
        </w:rPr>
        <w:t>4</w:t>
      </w:r>
      <w:r w:rsidRPr="009722EB">
        <w:rPr>
          <w:lang w:val="en-AU"/>
        </w:rPr>
        <w:t xml:space="preserve"> in 2014, compared with $34</w:t>
      </w:r>
      <w:r w:rsidR="009722EB" w:rsidRPr="009722EB">
        <w:rPr>
          <w:lang w:val="en-AU"/>
        </w:rPr>
        <w:t>3</w:t>
      </w:r>
      <w:r w:rsidRPr="009722EB">
        <w:rPr>
          <w:lang w:val="en-AU"/>
        </w:rPr>
        <w:t xml:space="preserve"> for Melbourne households.  </w:t>
      </w:r>
    </w:p>
    <w:p w14:paraId="061EF178" w14:textId="77777777" w:rsidR="00F522DE" w:rsidRPr="003835AE" w:rsidRDefault="00F522DE" w:rsidP="00840C23">
      <w:pPr>
        <w:pStyle w:val="Para"/>
        <w:rPr>
          <w:sz w:val="20"/>
          <w:highlight w:val="yellow"/>
          <w:lang w:val="en-AU"/>
        </w:rPr>
      </w:pPr>
    </w:p>
    <w:p w14:paraId="6C224F2D" w14:textId="6CDBD7F1" w:rsidR="00D109F7" w:rsidRPr="003835AE" w:rsidRDefault="00CA3174" w:rsidP="0079798C">
      <w:pPr>
        <w:pStyle w:val="Para"/>
        <w:rPr>
          <w:highlight w:val="yellow"/>
          <w:lang w:val="en-AU"/>
        </w:rPr>
      </w:pPr>
      <w:r w:rsidRPr="009722EB">
        <w:rPr>
          <w:lang w:val="en-AU"/>
        </w:rPr>
        <w:t>Just under t</w:t>
      </w:r>
      <w:r w:rsidR="00D109F7" w:rsidRPr="009722EB">
        <w:rPr>
          <w:lang w:val="en-AU"/>
        </w:rPr>
        <w:t>hree quarters of all Victorian water using households were charged the sewerage disposal charge (</w:t>
      </w:r>
      <w:r w:rsidRPr="00A6026E">
        <w:rPr>
          <w:lang w:val="en-AU"/>
        </w:rPr>
        <w:t>71%, down from 7</w:t>
      </w:r>
      <w:r w:rsidR="00D109F7" w:rsidRPr="00A6026E">
        <w:rPr>
          <w:lang w:val="en-AU"/>
        </w:rPr>
        <w:t>6%</w:t>
      </w:r>
      <w:r w:rsidRPr="00A6026E">
        <w:rPr>
          <w:lang w:val="en-AU"/>
        </w:rPr>
        <w:t xml:space="preserve"> in 2007</w:t>
      </w:r>
      <w:r w:rsidR="00D109F7" w:rsidRPr="00A6026E">
        <w:rPr>
          <w:lang w:val="en-AU"/>
        </w:rPr>
        <w:t>)</w:t>
      </w:r>
      <w:r w:rsidR="00A63F85" w:rsidRPr="00A6026E">
        <w:rPr>
          <w:lang w:val="en-AU"/>
        </w:rPr>
        <w:t xml:space="preserve">, though this overwhelmingly occurred in Melbourne (93%) rather than country Victorian (3%) households </w:t>
      </w:r>
      <w:r w:rsidRPr="00A6026E">
        <w:rPr>
          <w:lang w:val="en-AU"/>
        </w:rPr>
        <w:t xml:space="preserve">  </w:t>
      </w:r>
      <w:r w:rsidR="00D109F7" w:rsidRPr="00A6026E">
        <w:rPr>
          <w:lang w:val="en-AU"/>
        </w:rPr>
        <w:t xml:space="preserve">The annual average sewerage disposal charge amount was </w:t>
      </w:r>
      <w:r w:rsidRPr="00A6026E">
        <w:rPr>
          <w:lang w:val="en-AU"/>
        </w:rPr>
        <w:t>$20</w:t>
      </w:r>
      <w:r w:rsidR="009722EB" w:rsidRPr="00A6026E">
        <w:rPr>
          <w:lang w:val="en-AU"/>
        </w:rPr>
        <w:t>7</w:t>
      </w:r>
      <w:r w:rsidRPr="00A6026E">
        <w:rPr>
          <w:lang w:val="en-AU"/>
        </w:rPr>
        <w:t xml:space="preserve">, up from </w:t>
      </w:r>
      <w:r w:rsidR="00D109F7" w:rsidRPr="00A6026E">
        <w:rPr>
          <w:lang w:val="en-AU"/>
        </w:rPr>
        <w:t>$139</w:t>
      </w:r>
      <w:r w:rsidRPr="00A6026E">
        <w:rPr>
          <w:lang w:val="en-AU"/>
        </w:rPr>
        <w:t xml:space="preserve"> in 2007 and </w:t>
      </w:r>
      <w:r w:rsidR="0079798C" w:rsidRPr="00A6026E">
        <w:rPr>
          <w:lang w:val="en-AU"/>
        </w:rPr>
        <w:t>$</w:t>
      </w:r>
      <w:r w:rsidR="00D109F7" w:rsidRPr="00A6026E">
        <w:rPr>
          <w:lang w:val="en-AU"/>
        </w:rPr>
        <w:t xml:space="preserve">96 in 2001.  </w:t>
      </w:r>
      <w:r w:rsidRPr="00A6026E">
        <w:rPr>
          <w:lang w:val="en-AU"/>
        </w:rPr>
        <w:t xml:space="preserve">The drainage service charge was applied to 64% of Victorian households receiving water bills, up from the 55% recorded in the 2007 survey.  </w:t>
      </w:r>
      <w:r w:rsidR="00814182" w:rsidRPr="00A6026E">
        <w:rPr>
          <w:lang w:val="en-AU"/>
        </w:rPr>
        <w:t xml:space="preserve">Again, this was far more likely to apply to </w:t>
      </w:r>
      <w:smartTag w:uri="urn:schemas-microsoft-com:office:smarttags" w:element="City">
        <w:r w:rsidR="00814182" w:rsidRPr="00A6026E">
          <w:rPr>
            <w:lang w:val="en-AU"/>
          </w:rPr>
          <w:t>Melbourne</w:t>
        </w:r>
      </w:smartTag>
      <w:r w:rsidR="00814182" w:rsidRPr="00A6026E">
        <w:rPr>
          <w:lang w:val="en-AU"/>
        </w:rPr>
        <w:t xml:space="preserve"> households (83%) than those in country </w:t>
      </w:r>
      <w:smartTag w:uri="urn:schemas-microsoft-com:office:smarttags" w:element="State">
        <w:smartTag w:uri="urn:schemas-microsoft-com:office:smarttags" w:element="place">
          <w:r w:rsidR="00814182" w:rsidRPr="00A6026E">
            <w:rPr>
              <w:lang w:val="en-AU"/>
            </w:rPr>
            <w:t>Victoria</w:t>
          </w:r>
        </w:smartTag>
      </w:smartTag>
      <w:r w:rsidR="00814182" w:rsidRPr="00A6026E">
        <w:rPr>
          <w:lang w:val="en-AU"/>
        </w:rPr>
        <w:t xml:space="preserve"> (5%).  </w:t>
      </w:r>
      <w:r w:rsidRPr="00A6026E">
        <w:rPr>
          <w:lang w:val="en-AU"/>
        </w:rPr>
        <w:t>The average drainage service charge was $9</w:t>
      </w:r>
      <w:r w:rsidR="00A6026E" w:rsidRPr="00A6026E">
        <w:rPr>
          <w:lang w:val="en-AU"/>
        </w:rPr>
        <w:t>1</w:t>
      </w:r>
      <w:r w:rsidRPr="00A6026E">
        <w:rPr>
          <w:lang w:val="en-AU"/>
        </w:rPr>
        <w:t xml:space="preserve"> per annum in 2014, compared with $64 in 2007 and $56 in 2001.</w:t>
      </w:r>
    </w:p>
    <w:p w14:paraId="7B444F3B" w14:textId="77777777" w:rsidR="00D109F7" w:rsidRPr="00A6026E" w:rsidRDefault="00D109F7" w:rsidP="00D109F7">
      <w:pPr>
        <w:pStyle w:val="Para"/>
        <w:rPr>
          <w:lang w:val="en-AU"/>
        </w:rPr>
      </w:pPr>
    </w:p>
    <w:p w14:paraId="06A07B34" w14:textId="77777777" w:rsidR="00D109F7" w:rsidRPr="00A6026E" w:rsidRDefault="00A63F85" w:rsidP="00814182">
      <w:pPr>
        <w:pStyle w:val="Para"/>
        <w:rPr>
          <w:lang w:val="en-AU"/>
        </w:rPr>
      </w:pPr>
      <w:r w:rsidRPr="00A6026E">
        <w:rPr>
          <w:lang w:val="en-AU"/>
        </w:rPr>
        <w:t>In 2014, 61% of households receiving water bills paid a parks charg</w:t>
      </w:r>
      <w:r w:rsidR="00814182" w:rsidRPr="00A6026E">
        <w:rPr>
          <w:lang w:val="en-AU"/>
        </w:rPr>
        <w:t>e</w:t>
      </w:r>
      <w:r w:rsidR="00EE4C05" w:rsidRPr="00A6026E">
        <w:rPr>
          <w:lang w:val="en-AU"/>
        </w:rPr>
        <w:t xml:space="preserve"> (see glossary)</w:t>
      </w:r>
      <w:r w:rsidR="00814182" w:rsidRPr="00A6026E">
        <w:rPr>
          <w:lang w:val="en-AU"/>
        </w:rPr>
        <w:t>, up slightly from 2007 (57%), with the charge being applied to 7</w:t>
      </w:r>
      <w:r w:rsidR="00A6026E" w:rsidRPr="00A6026E">
        <w:rPr>
          <w:lang w:val="en-AU"/>
        </w:rPr>
        <w:t>9</w:t>
      </w:r>
      <w:r w:rsidR="00814182" w:rsidRPr="00A6026E">
        <w:rPr>
          <w:lang w:val="en-AU"/>
        </w:rPr>
        <w:t>% of Melbourne households and just 3% of households in country Victoria.</w:t>
      </w:r>
      <w:r w:rsidRPr="00A6026E">
        <w:rPr>
          <w:lang w:val="en-AU"/>
        </w:rPr>
        <w:t xml:space="preserve"> </w:t>
      </w:r>
      <w:r w:rsidR="00814182" w:rsidRPr="00A6026E">
        <w:rPr>
          <w:lang w:val="en-AU"/>
        </w:rPr>
        <w:t xml:space="preserve">  The average fee was $71, but was substantially higher for public renters ($15</w:t>
      </w:r>
      <w:r w:rsidR="00A6026E" w:rsidRPr="00A6026E">
        <w:rPr>
          <w:lang w:val="en-AU"/>
        </w:rPr>
        <w:t>6</w:t>
      </w:r>
      <w:r w:rsidR="00814182" w:rsidRPr="00A6026E">
        <w:rPr>
          <w:lang w:val="en-AU"/>
        </w:rPr>
        <w:t xml:space="preserve">), and lower </w:t>
      </w:r>
      <w:r w:rsidR="0079798C" w:rsidRPr="00A6026E">
        <w:rPr>
          <w:lang w:val="en-AU"/>
        </w:rPr>
        <w:t xml:space="preserve">for </w:t>
      </w:r>
      <w:r w:rsidR="00814182" w:rsidRPr="00A6026E">
        <w:rPr>
          <w:lang w:val="en-AU"/>
        </w:rPr>
        <w:t>country Victorian households ($37).</w:t>
      </w:r>
    </w:p>
    <w:p w14:paraId="55A33B9A" w14:textId="77777777" w:rsidR="00D109F7" w:rsidRPr="007E6B9E" w:rsidRDefault="00D109F7" w:rsidP="00D109F7">
      <w:pPr>
        <w:pStyle w:val="Para"/>
        <w:rPr>
          <w:lang w:val="en-AU"/>
        </w:rPr>
      </w:pPr>
    </w:p>
    <w:p w14:paraId="663AEBE4" w14:textId="77777777" w:rsidR="007E6B9E" w:rsidRPr="007E6B9E" w:rsidRDefault="007E6B9E" w:rsidP="007E6B9E">
      <w:pPr>
        <w:pStyle w:val="Para"/>
        <w:rPr>
          <w:lang w:val="en-AU"/>
        </w:rPr>
      </w:pPr>
      <w:r w:rsidRPr="007E6B9E">
        <w:rPr>
          <w:lang w:val="en-AU"/>
        </w:rPr>
        <w:t>The average total water charge applicable (</w:t>
      </w:r>
      <w:r w:rsidRPr="00C641F8">
        <w:rPr>
          <w:lang w:val="en-AU"/>
        </w:rPr>
        <w:t>i.e. the amount that could be charged if concessions and discounts were not applied) in 2014 was $</w:t>
      </w:r>
      <w:r w:rsidRPr="007E6B9E">
        <w:rPr>
          <w:lang w:val="en-AU"/>
        </w:rPr>
        <w:t>1,072</w:t>
      </w:r>
      <w:r w:rsidRPr="00C641F8">
        <w:rPr>
          <w:lang w:val="en-AU"/>
        </w:rPr>
        <w:t xml:space="preserve">, up </w:t>
      </w:r>
      <w:r w:rsidRPr="007E6B9E">
        <w:rPr>
          <w:lang w:val="en-AU"/>
        </w:rPr>
        <w:t>89</w:t>
      </w:r>
      <w:r w:rsidRPr="00C641F8">
        <w:rPr>
          <w:lang w:val="en-AU"/>
        </w:rPr>
        <w:t>% from $</w:t>
      </w:r>
      <w:r w:rsidRPr="007E6B9E">
        <w:rPr>
          <w:lang w:val="en-AU"/>
        </w:rPr>
        <w:t>567</w:t>
      </w:r>
      <w:r w:rsidRPr="00C641F8">
        <w:rPr>
          <w:lang w:val="en-AU"/>
        </w:rPr>
        <w:t xml:space="preserve"> in 2007.  </w:t>
      </w:r>
    </w:p>
    <w:p w14:paraId="06397B46" w14:textId="77777777" w:rsidR="007E6B9E" w:rsidRPr="007E6B9E" w:rsidRDefault="007E6B9E" w:rsidP="00D109F7">
      <w:pPr>
        <w:pStyle w:val="Para"/>
        <w:rPr>
          <w:lang w:val="en-AU"/>
        </w:rPr>
      </w:pPr>
    </w:p>
    <w:p w14:paraId="7232683F" w14:textId="77777777" w:rsidR="00D109F7" w:rsidRPr="00A6026E" w:rsidRDefault="00D109F7" w:rsidP="00D109F7">
      <w:pPr>
        <w:pStyle w:val="Para"/>
        <w:rPr>
          <w:lang w:val="en-AU"/>
        </w:rPr>
      </w:pPr>
      <w:r w:rsidRPr="00A6026E">
        <w:rPr>
          <w:lang w:val="en-AU"/>
        </w:rPr>
        <w:t>The proportion of households receiving DH</w:t>
      </w:r>
      <w:r w:rsidR="00FC6098" w:rsidRPr="00A6026E">
        <w:rPr>
          <w:lang w:val="en-AU"/>
        </w:rPr>
        <w:t>H</w:t>
      </w:r>
      <w:r w:rsidRPr="00A6026E">
        <w:rPr>
          <w:lang w:val="en-AU"/>
        </w:rPr>
        <w:t xml:space="preserve">S concessions on their water bills </w:t>
      </w:r>
      <w:r w:rsidR="00FC6098" w:rsidRPr="00A6026E">
        <w:rPr>
          <w:lang w:val="en-AU"/>
        </w:rPr>
        <w:t>in 2014 was 44%</w:t>
      </w:r>
      <w:r w:rsidR="00657C79" w:rsidRPr="00A6026E">
        <w:rPr>
          <w:rStyle w:val="FootnoteReference"/>
          <w:lang w:val="en-AU"/>
        </w:rPr>
        <w:footnoteReference w:id="13"/>
      </w:r>
      <w:r w:rsidR="00FC6098" w:rsidRPr="00A6026E">
        <w:rPr>
          <w:lang w:val="en-AU"/>
        </w:rPr>
        <w:t xml:space="preserve">, compared with </w:t>
      </w:r>
      <w:r w:rsidRPr="00A6026E">
        <w:rPr>
          <w:lang w:val="en-AU"/>
        </w:rPr>
        <w:t xml:space="preserve">43% in </w:t>
      </w:r>
      <w:r w:rsidR="00691EAE" w:rsidRPr="00A6026E">
        <w:rPr>
          <w:lang w:val="en-AU"/>
        </w:rPr>
        <w:t>2007</w:t>
      </w:r>
      <w:r w:rsidRPr="00A6026E">
        <w:rPr>
          <w:lang w:val="en-AU"/>
        </w:rPr>
        <w:t xml:space="preserve"> </w:t>
      </w:r>
      <w:r w:rsidR="00FC6098" w:rsidRPr="00A6026E">
        <w:rPr>
          <w:lang w:val="en-AU"/>
        </w:rPr>
        <w:t xml:space="preserve">and </w:t>
      </w:r>
      <w:r w:rsidRPr="00A6026E">
        <w:rPr>
          <w:lang w:val="en-AU"/>
        </w:rPr>
        <w:t xml:space="preserve">35% in 2001.  </w:t>
      </w:r>
      <w:r w:rsidR="00FC6098" w:rsidRPr="00A6026E">
        <w:rPr>
          <w:lang w:val="en-AU"/>
        </w:rPr>
        <w:t xml:space="preserve"> Households in Melbourne (4</w:t>
      </w:r>
      <w:r w:rsidR="00A6026E" w:rsidRPr="00A6026E">
        <w:rPr>
          <w:lang w:val="en-AU"/>
        </w:rPr>
        <w:t>2</w:t>
      </w:r>
      <w:r w:rsidR="00FC6098" w:rsidRPr="00A6026E">
        <w:rPr>
          <w:lang w:val="en-AU"/>
        </w:rPr>
        <w:t>%) were less likely than those in country Victoria (</w:t>
      </w:r>
      <w:r w:rsidR="00A6026E" w:rsidRPr="00A6026E">
        <w:rPr>
          <w:lang w:val="en-AU"/>
        </w:rPr>
        <w:t>49</w:t>
      </w:r>
      <w:r w:rsidR="00FC6098" w:rsidRPr="00A6026E">
        <w:rPr>
          <w:lang w:val="en-AU"/>
        </w:rPr>
        <w:t>%) to receive a DHHS concession.  The proportion of public renters receiving a DHHS concession on their water bill increased from 5</w:t>
      </w:r>
      <w:r w:rsidR="00A6026E" w:rsidRPr="00A6026E">
        <w:rPr>
          <w:lang w:val="en-AU"/>
        </w:rPr>
        <w:t>7</w:t>
      </w:r>
      <w:r w:rsidR="00FC6098" w:rsidRPr="00A6026E">
        <w:rPr>
          <w:lang w:val="en-AU"/>
        </w:rPr>
        <w:t>% in 2007 to 8</w:t>
      </w:r>
      <w:r w:rsidR="00A6026E" w:rsidRPr="00A6026E">
        <w:rPr>
          <w:lang w:val="en-AU"/>
        </w:rPr>
        <w:t>3</w:t>
      </w:r>
      <w:r w:rsidR="00FC6098" w:rsidRPr="00A6026E">
        <w:rPr>
          <w:lang w:val="en-AU"/>
        </w:rPr>
        <w:t>% in 2014, while the increase among pr</w:t>
      </w:r>
      <w:r w:rsidR="00A6026E" w:rsidRPr="00A6026E">
        <w:rPr>
          <w:lang w:val="en-AU"/>
        </w:rPr>
        <w:t>ivate renters was from 41% to 50</w:t>
      </w:r>
      <w:r w:rsidR="00FC6098" w:rsidRPr="00A6026E">
        <w:rPr>
          <w:lang w:val="en-AU"/>
        </w:rPr>
        <w:t>%.</w:t>
      </w:r>
    </w:p>
    <w:p w14:paraId="12D628E8" w14:textId="77777777" w:rsidR="00C76F63" w:rsidRPr="003835AE" w:rsidRDefault="00C76F63" w:rsidP="00D109F7">
      <w:pPr>
        <w:pStyle w:val="Para"/>
        <w:rPr>
          <w:highlight w:val="yellow"/>
          <w:lang w:val="en-AU"/>
        </w:rPr>
      </w:pPr>
    </w:p>
    <w:p w14:paraId="3CEC150A" w14:textId="2E57645B" w:rsidR="00FC6098" w:rsidRPr="00A6026E" w:rsidRDefault="00FC6098" w:rsidP="00D109F7">
      <w:pPr>
        <w:pStyle w:val="Para"/>
        <w:rPr>
          <w:lang w:val="en-AU"/>
        </w:rPr>
      </w:pPr>
      <w:r w:rsidRPr="00A6026E">
        <w:rPr>
          <w:lang w:val="en-AU"/>
        </w:rPr>
        <w:lastRenderedPageBreak/>
        <w:t>The average amount of DHHS concession in 2014 was $25</w:t>
      </w:r>
      <w:r w:rsidR="00A6026E" w:rsidRPr="00A6026E">
        <w:rPr>
          <w:lang w:val="en-AU"/>
        </w:rPr>
        <w:t>3</w:t>
      </w:r>
      <w:r w:rsidRPr="00A6026E">
        <w:rPr>
          <w:lang w:val="en-AU"/>
        </w:rPr>
        <w:t xml:space="preserve"> per annum, representing a 9</w:t>
      </w:r>
      <w:r w:rsidR="00A6026E" w:rsidRPr="00A6026E">
        <w:rPr>
          <w:lang w:val="en-AU"/>
        </w:rPr>
        <w:t>2</w:t>
      </w:r>
      <w:r w:rsidRPr="00A6026E">
        <w:rPr>
          <w:lang w:val="en-AU"/>
        </w:rPr>
        <w:t>% increase since the 2007 survey.</w:t>
      </w:r>
      <w:r w:rsidR="007244BF" w:rsidRPr="00A6026E">
        <w:rPr>
          <w:lang w:val="en-AU"/>
        </w:rPr>
        <w:t xml:space="preserve">  The only sub-groups that were substantially below this average amount were public and private renters ($16</w:t>
      </w:r>
      <w:r w:rsidR="00A6026E" w:rsidRPr="00A6026E">
        <w:rPr>
          <w:lang w:val="en-AU"/>
        </w:rPr>
        <w:t>6</w:t>
      </w:r>
      <w:r w:rsidR="007244BF" w:rsidRPr="00A6026E">
        <w:rPr>
          <w:lang w:val="en-AU"/>
        </w:rPr>
        <w:t xml:space="preserve"> and $17</w:t>
      </w:r>
      <w:r w:rsidR="00A6026E" w:rsidRPr="00A6026E">
        <w:rPr>
          <w:lang w:val="en-AU"/>
        </w:rPr>
        <w:t>6</w:t>
      </w:r>
      <w:r w:rsidR="007244BF" w:rsidRPr="00A6026E">
        <w:rPr>
          <w:lang w:val="en-AU"/>
        </w:rPr>
        <w:t xml:space="preserve"> per annum respectively).</w:t>
      </w:r>
      <w:r w:rsidR="00A32FA3">
        <w:rPr>
          <w:lang w:val="en-AU"/>
        </w:rPr>
        <w:t xml:space="preserve">  </w:t>
      </w:r>
    </w:p>
    <w:p w14:paraId="47EFE26B" w14:textId="77777777" w:rsidR="007244BF" w:rsidRPr="003835AE" w:rsidRDefault="007244BF" w:rsidP="00D109F7">
      <w:pPr>
        <w:pStyle w:val="Para"/>
        <w:rPr>
          <w:highlight w:val="yellow"/>
          <w:lang w:val="en-AU"/>
        </w:rPr>
      </w:pPr>
    </w:p>
    <w:p w14:paraId="58CE0F24" w14:textId="77777777" w:rsidR="007244BF" w:rsidRPr="00A6026E" w:rsidRDefault="007244BF" w:rsidP="00D109F7">
      <w:pPr>
        <w:pStyle w:val="Para"/>
        <w:rPr>
          <w:lang w:val="en-AU"/>
        </w:rPr>
      </w:pPr>
      <w:r w:rsidRPr="00A6026E">
        <w:rPr>
          <w:lang w:val="en-AU"/>
        </w:rPr>
        <w:t xml:space="preserve">The Fairer Water Bills Saving (introduced in July 2014) was obtained by 86% of households receiving a water bill, at an average amount of $94. </w:t>
      </w:r>
    </w:p>
    <w:p w14:paraId="7427C3F9" w14:textId="77777777" w:rsidR="00D109F7" w:rsidRPr="003835AE" w:rsidRDefault="00D109F7" w:rsidP="00D109F7">
      <w:pPr>
        <w:spacing w:before="0" w:after="0" w:line="340" w:lineRule="exact"/>
        <w:jc w:val="both"/>
        <w:rPr>
          <w:szCs w:val="24"/>
          <w:highlight w:val="yellow"/>
          <w:lang w:val="en-AU"/>
        </w:rPr>
      </w:pPr>
    </w:p>
    <w:p w14:paraId="349616E0" w14:textId="48F81B4E" w:rsidR="001F3E33" w:rsidRPr="00A6026E" w:rsidRDefault="001F3E33">
      <w:pPr>
        <w:pStyle w:val="Para"/>
        <w:rPr>
          <w:lang w:val="en-AU"/>
        </w:rPr>
      </w:pPr>
      <w:r w:rsidRPr="00A6026E">
        <w:rPr>
          <w:lang w:val="en-AU"/>
        </w:rPr>
        <w:t xml:space="preserve">In 2014, just one household received </w:t>
      </w:r>
      <w:r w:rsidR="00143675">
        <w:rPr>
          <w:lang w:val="en-AU"/>
        </w:rPr>
        <w:t>a</w:t>
      </w:r>
      <w:r w:rsidR="00143675" w:rsidRPr="00A6026E">
        <w:rPr>
          <w:lang w:val="en-AU"/>
        </w:rPr>
        <w:t xml:space="preserve"> U</w:t>
      </w:r>
      <w:r w:rsidR="00143675">
        <w:rPr>
          <w:lang w:val="en-AU"/>
        </w:rPr>
        <w:t xml:space="preserve">tility </w:t>
      </w:r>
      <w:r w:rsidR="00143675" w:rsidRPr="00A6026E">
        <w:rPr>
          <w:lang w:val="en-AU"/>
        </w:rPr>
        <w:t>R</w:t>
      </w:r>
      <w:r w:rsidR="00143675">
        <w:rPr>
          <w:lang w:val="en-AU"/>
        </w:rPr>
        <w:t xml:space="preserve">elief </w:t>
      </w:r>
      <w:r w:rsidR="00143675" w:rsidRPr="00A6026E">
        <w:rPr>
          <w:lang w:val="en-AU"/>
        </w:rPr>
        <w:t>G</w:t>
      </w:r>
      <w:r w:rsidR="00143675">
        <w:rPr>
          <w:lang w:val="en-AU"/>
        </w:rPr>
        <w:t xml:space="preserve">rant </w:t>
      </w:r>
      <w:r w:rsidR="00143675" w:rsidRPr="00A6026E">
        <w:rPr>
          <w:lang w:val="en-AU"/>
        </w:rPr>
        <w:t>S</w:t>
      </w:r>
      <w:r w:rsidR="00143675">
        <w:rPr>
          <w:lang w:val="en-AU"/>
        </w:rPr>
        <w:t>cheme</w:t>
      </w:r>
      <w:r w:rsidR="00143675" w:rsidRPr="00A6026E">
        <w:rPr>
          <w:lang w:val="en-AU"/>
        </w:rPr>
        <w:t xml:space="preserve"> </w:t>
      </w:r>
      <w:r w:rsidRPr="00A6026E">
        <w:rPr>
          <w:lang w:val="en-AU"/>
        </w:rPr>
        <w:t xml:space="preserve">grant on their water bill, for the amount of $321.   There were no such cases in 2007 or 2001.  </w:t>
      </w:r>
    </w:p>
    <w:p w14:paraId="7CF86D1B" w14:textId="77777777" w:rsidR="001F3E33" w:rsidRPr="003835AE" w:rsidRDefault="001F3E33" w:rsidP="00D109F7">
      <w:pPr>
        <w:spacing w:before="0" w:after="0" w:line="340" w:lineRule="exact"/>
        <w:jc w:val="both"/>
        <w:rPr>
          <w:szCs w:val="24"/>
          <w:highlight w:val="yellow"/>
          <w:lang w:val="en-AU"/>
        </w:rPr>
      </w:pPr>
    </w:p>
    <w:p w14:paraId="617EADED" w14:textId="713C68C2" w:rsidR="001F3E33" w:rsidRPr="00A6026E" w:rsidRDefault="007244BF" w:rsidP="00184CD0">
      <w:pPr>
        <w:pStyle w:val="Para"/>
        <w:rPr>
          <w:lang w:val="en-AU"/>
        </w:rPr>
      </w:pPr>
      <w:r w:rsidRPr="00A6026E">
        <w:rPr>
          <w:lang w:val="en-AU"/>
        </w:rPr>
        <w:t xml:space="preserve">Twenty </w:t>
      </w:r>
      <w:r w:rsidR="00B942AA">
        <w:rPr>
          <w:lang w:val="en-AU"/>
        </w:rPr>
        <w:t>per cent</w:t>
      </w:r>
      <w:r w:rsidRPr="00A6026E">
        <w:rPr>
          <w:lang w:val="en-AU"/>
        </w:rPr>
        <w:t xml:space="preserve"> of households that received a water bill received some other discount from the water supplier, at an average amount of $</w:t>
      </w:r>
      <w:r w:rsidR="00A6026E" w:rsidRPr="00A6026E">
        <w:rPr>
          <w:lang w:val="en-AU"/>
        </w:rPr>
        <w:t>8</w:t>
      </w:r>
      <w:r w:rsidRPr="00A6026E">
        <w:rPr>
          <w:lang w:val="en-AU"/>
        </w:rPr>
        <w:t xml:space="preserve"> per annum.  In contrast, only </w:t>
      </w:r>
      <w:r w:rsidR="00D109F7" w:rsidRPr="00A6026E">
        <w:rPr>
          <w:lang w:val="en-AU"/>
        </w:rPr>
        <w:t xml:space="preserve">1% of households received </w:t>
      </w:r>
      <w:r w:rsidRPr="00A6026E">
        <w:rPr>
          <w:lang w:val="en-AU"/>
        </w:rPr>
        <w:t xml:space="preserve">another form of discount </w:t>
      </w:r>
      <w:r w:rsidR="00D109F7" w:rsidRPr="00A6026E">
        <w:rPr>
          <w:lang w:val="en-AU"/>
        </w:rPr>
        <w:t xml:space="preserve">off their water bills in </w:t>
      </w:r>
      <w:r w:rsidR="00691EAE" w:rsidRPr="00A6026E">
        <w:rPr>
          <w:lang w:val="en-AU"/>
        </w:rPr>
        <w:t>2007</w:t>
      </w:r>
      <w:r w:rsidR="00D109F7" w:rsidRPr="00A6026E">
        <w:rPr>
          <w:lang w:val="en-AU"/>
        </w:rPr>
        <w:t xml:space="preserve">, </w:t>
      </w:r>
      <w:r w:rsidR="00237810" w:rsidRPr="00A6026E">
        <w:rPr>
          <w:lang w:val="en-AU"/>
        </w:rPr>
        <w:t>but the average amount was higher (</w:t>
      </w:r>
      <w:r w:rsidR="00D109F7" w:rsidRPr="00A6026E">
        <w:rPr>
          <w:lang w:val="en-AU"/>
        </w:rPr>
        <w:t>$40</w:t>
      </w:r>
      <w:r w:rsidR="00237810" w:rsidRPr="00A6026E">
        <w:rPr>
          <w:lang w:val="en-AU"/>
        </w:rPr>
        <w:t>)</w:t>
      </w:r>
      <w:r w:rsidR="00D109F7" w:rsidRPr="00A6026E">
        <w:rPr>
          <w:lang w:val="en-AU"/>
        </w:rPr>
        <w:t>.</w:t>
      </w:r>
      <w:r w:rsidR="000E0A67" w:rsidRPr="00A6026E">
        <w:rPr>
          <w:lang w:val="en-AU"/>
        </w:rPr>
        <w:t xml:space="preserve">  </w:t>
      </w:r>
      <w:r w:rsidR="001F3E33" w:rsidRPr="00A6026E">
        <w:rPr>
          <w:lang w:val="en-AU"/>
        </w:rPr>
        <w:t xml:space="preserve"> In 2014, only a minority of water suppliers provided explanatory notes on the nature of these other discounts, and most comments described rounding adjustments or other administrative adjustments rather than genuine discounts.</w:t>
      </w:r>
    </w:p>
    <w:p w14:paraId="53E34685" w14:textId="77777777" w:rsidR="00D109F7" w:rsidRPr="00A6026E" w:rsidRDefault="00D109F7" w:rsidP="00D109F7">
      <w:pPr>
        <w:spacing w:before="0" w:after="0" w:line="340" w:lineRule="exact"/>
        <w:jc w:val="both"/>
        <w:rPr>
          <w:szCs w:val="24"/>
          <w:lang w:val="en-AU"/>
        </w:rPr>
      </w:pPr>
    </w:p>
    <w:p w14:paraId="51154BF5" w14:textId="77777777" w:rsidR="00D109F7" w:rsidRPr="00A6026E" w:rsidRDefault="00D109F7" w:rsidP="00D109F7">
      <w:pPr>
        <w:pStyle w:val="Para"/>
        <w:rPr>
          <w:b/>
          <w:szCs w:val="24"/>
          <w:lang w:val="en-AU"/>
        </w:rPr>
      </w:pPr>
    </w:p>
    <w:p w14:paraId="1610E809" w14:textId="77777777" w:rsidR="00A32FA3" w:rsidRDefault="00A32FA3">
      <w:pPr>
        <w:spacing w:before="0" w:after="0"/>
        <w:rPr>
          <w:b/>
          <w:lang w:val="en-AU"/>
        </w:rPr>
      </w:pPr>
      <w:r>
        <w:rPr>
          <w:b/>
          <w:lang w:val="en-AU"/>
        </w:rPr>
        <w:br w:type="page"/>
      </w:r>
    </w:p>
    <w:p w14:paraId="390FE892" w14:textId="54A9EDB4" w:rsidR="00D109F7" w:rsidRPr="00A6026E" w:rsidRDefault="00D109F7" w:rsidP="00D94827">
      <w:pPr>
        <w:pStyle w:val="Para"/>
        <w:spacing w:after="60" w:line="240" w:lineRule="atLeast"/>
        <w:jc w:val="center"/>
        <w:rPr>
          <w:b/>
          <w:u w:val="single"/>
          <w:lang w:val="en-AU"/>
        </w:rPr>
      </w:pPr>
      <w:r w:rsidRPr="00A6026E">
        <w:rPr>
          <w:b/>
          <w:lang w:val="en-AU"/>
        </w:rPr>
        <w:lastRenderedPageBreak/>
        <w:t xml:space="preserve">Table </w:t>
      </w:r>
      <w:r w:rsidR="001A2002" w:rsidRPr="00A6026E">
        <w:rPr>
          <w:b/>
          <w:lang w:val="en-AU"/>
        </w:rPr>
        <w:t>5</w:t>
      </w:r>
      <w:r w:rsidRPr="00A6026E">
        <w:rPr>
          <w:b/>
          <w:lang w:val="en-AU"/>
        </w:rPr>
        <w:t xml:space="preserve">.2.2.1: </w:t>
      </w:r>
      <w:r w:rsidRPr="00A6026E">
        <w:rPr>
          <w:b/>
          <w:u w:val="single"/>
          <w:lang w:val="en-AU"/>
        </w:rPr>
        <w:t>Water Bill Charges  – Part 1</w:t>
      </w:r>
    </w:p>
    <w:p w14:paraId="3259F877" w14:textId="77777777" w:rsidR="00B23381" w:rsidRPr="00A6026E" w:rsidRDefault="00B23381" w:rsidP="000E0A67">
      <w:pPr>
        <w:pStyle w:val="Para"/>
        <w:spacing w:line="240" w:lineRule="exact"/>
        <w:rPr>
          <w:sz w:val="20"/>
          <w:lang w:val="en-AU"/>
        </w:rPr>
      </w:pPr>
    </w:p>
    <w:tbl>
      <w:tblPr>
        <w:tblW w:w="14035" w:type="dxa"/>
        <w:jc w:val="center"/>
        <w:tblLook w:val="04A0" w:firstRow="1" w:lastRow="0" w:firstColumn="1" w:lastColumn="0" w:noHBand="0" w:noVBand="1"/>
      </w:tblPr>
      <w:tblGrid>
        <w:gridCol w:w="2291"/>
        <w:gridCol w:w="734"/>
        <w:gridCol w:w="734"/>
        <w:gridCol w:w="734"/>
        <w:gridCol w:w="734"/>
        <w:gridCol w:w="734"/>
        <w:gridCol w:w="734"/>
        <w:gridCol w:w="734"/>
        <w:gridCol w:w="734"/>
        <w:gridCol w:w="734"/>
        <w:gridCol w:w="734"/>
        <w:gridCol w:w="734"/>
        <w:gridCol w:w="734"/>
        <w:gridCol w:w="734"/>
        <w:gridCol w:w="734"/>
        <w:gridCol w:w="734"/>
        <w:gridCol w:w="734"/>
      </w:tblGrid>
      <w:tr w:rsidR="00B6186D" w:rsidRPr="00A6026E" w14:paraId="5B38672E" w14:textId="77777777" w:rsidTr="00D94827">
        <w:trPr>
          <w:trHeight w:val="240"/>
          <w:tblHeader/>
          <w:jc w:val="center"/>
        </w:trPr>
        <w:tc>
          <w:tcPr>
            <w:tcW w:w="2291" w:type="dxa"/>
            <w:tcBorders>
              <w:top w:val="double" w:sz="6" w:space="0" w:color="auto"/>
              <w:left w:val="double" w:sz="6" w:space="0" w:color="auto"/>
              <w:bottom w:val="single" w:sz="4" w:space="0" w:color="BFBFBF"/>
              <w:right w:val="nil"/>
            </w:tcBorders>
            <w:shd w:val="clear" w:color="auto" w:fill="auto"/>
            <w:noWrap/>
            <w:vAlign w:val="center"/>
          </w:tcPr>
          <w:p w14:paraId="409DB563"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2936" w:type="dxa"/>
            <w:gridSpan w:val="4"/>
            <w:vMerge w:val="restart"/>
            <w:tcBorders>
              <w:top w:val="double" w:sz="6" w:space="0" w:color="auto"/>
              <w:left w:val="single" w:sz="4" w:space="0" w:color="auto"/>
              <w:bottom w:val="single" w:sz="4" w:space="0" w:color="BFBFBF"/>
              <w:right w:val="single" w:sz="4" w:space="0" w:color="auto"/>
            </w:tcBorders>
            <w:shd w:val="clear" w:color="auto" w:fill="auto"/>
            <w:noWrap/>
            <w:vAlign w:val="center"/>
          </w:tcPr>
          <w:p w14:paraId="7D446DBA"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 Paying Water Bills</w:t>
            </w:r>
          </w:p>
        </w:tc>
        <w:tc>
          <w:tcPr>
            <w:tcW w:w="4404" w:type="dxa"/>
            <w:gridSpan w:val="6"/>
            <w:tcBorders>
              <w:top w:val="double" w:sz="6" w:space="0" w:color="auto"/>
              <w:left w:val="single" w:sz="4" w:space="0" w:color="auto"/>
              <w:bottom w:val="single" w:sz="4" w:space="0" w:color="BFBFBF"/>
              <w:right w:val="single" w:sz="4" w:space="0" w:color="000000"/>
            </w:tcBorders>
            <w:shd w:val="clear" w:color="auto" w:fill="auto"/>
            <w:noWrap/>
            <w:vAlign w:val="center"/>
          </w:tcPr>
          <w:p w14:paraId="453285CF"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Water Consumption Charge</w:t>
            </w:r>
          </w:p>
        </w:tc>
        <w:tc>
          <w:tcPr>
            <w:tcW w:w="4404" w:type="dxa"/>
            <w:gridSpan w:val="6"/>
            <w:tcBorders>
              <w:top w:val="double" w:sz="6" w:space="0" w:color="auto"/>
              <w:left w:val="nil"/>
              <w:bottom w:val="single" w:sz="4" w:space="0" w:color="BFBFBF"/>
              <w:right w:val="double" w:sz="6" w:space="0" w:color="000000"/>
            </w:tcBorders>
            <w:shd w:val="clear" w:color="auto" w:fill="auto"/>
            <w:noWrap/>
            <w:vAlign w:val="center"/>
          </w:tcPr>
          <w:p w14:paraId="3E443F2D"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Water Service Charge</w:t>
            </w:r>
          </w:p>
        </w:tc>
      </w:tr>
      <w:tr w:rsidR="00B6186D" w:rsidRPr="00A6026E" w14:paraId="0F6F4E82" w14:textId="77777777" w:rsidTr="004B2028">
        <w:trPr>
          <w:trHeight w:val="225"/>
          <w:tblHeader/>
          <w:jc w:val="center"/>
        </w:trPr>
        <w:tc>
          <w:tcPr>
            <w:tcW w:w="2291" w:type="dxa"/>
            <w:tcBorders>
              <w:top w:val="single" w:sz="4" w:space="0" w:color="BFBFBF"/>
              <w:left w:val="double" w:sz="6" w:space="0" w:color="auto"/>
              <w:bottom w:val="single" w:sz="4" w:space="0" w:color="BFBFBF"/>
              <w:right w:val="single" w:sz="4" w:space="0" w:color="auto"/>
            </w:tcBorders>
            <w:shd w:val="clear" w:color="auto" w:fill="auto"/>
            <w:noWrap/>
            <w:vAlign w:val="center"/>
          </w:tcPr>
          <w:p w14:paraId="1DDB34A4"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2936" w:type="dxa"/>
            <w:gridSpan w:val="4"/>
            <w:vMerge/>
            <w:tcBorders>
              <w:top w:val="single" w:sz="4" w:space="0" w:color="BFBFBF"/>
              <w:left w:val="single" w:sz="4" w:space="0" w:color="auto"/>
              <w:bottom w:val="single" w:sz="4" w:space="0" w:color="BFBFBF"/>
              <w:right w:val="single" w:sz="4" w:space="0" w:color="auto"/>
            </w:tcBorders>
            <w:vAlign w:val="center"/>
          </w:tcPr>
          <w:p w14:paraId="7D7F44C0" w14:textId="77777777" w:rsidR="00B6186D" w:rsidRPr="00A6026E" w:rsidRDefault="00B6186D" w:rsidP="00B6186D">
            <w:pPr>
              <w:spacing w:before="0" w:after="0"/>
              <w:rPr>
                <w:rFonts w:ascii="Arial" w:hAnsi="Arial" w:cs="Arial"/>
                <w:b/>
                <w:bCs/>
                <w:color w:val="000000"/>
                <w:sz w:val="16"/>
                <w:szCs w:val="16"/>
                <w:lang w:val="en-AU" w:eastAsia="en-AU"/>
              </w:rPr>
            </w:pPr>
          </w:p>
        </w:tc>
        <w:tc>
          <w:tcPr>
            <w:tcW w:w="1468" w:type="dxa"/>
            <w:gridSpan w:val="2"/>
            <w:tcBorders>
              <w:top w:val="single" w:sz="4" w:space="0" w:color="BFBFBF"/>
              <w:left w:val="single" w:sz="4" w:space="0" w:color="auto"/>
              <w:bottom w:val="single" w:sz="4" w:space="0" w:color="BFBFBF"/>
              <w:right w:val="single" w:sz="4" w:space="0" w:color="BFBFBF"/>
            </w:tcBorders>
            <w:shd w:val="clear" w:color="auto" w:fill="auto"/>
            <w:noWrap/>
            <w:vAlign w:val="center"/>
          </w:tcPr>
          <w:p w14:paraId="167D7D67"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1468" w:type="dxa"/>
            <w:gridSpan w:val="2"/>
            <w:tcBorders>
              <w:top w:val="single" w:sz="4" w:space="0" w:color="BFBFBF"/>
              <w:left w:val="nil"/>
              <w:bottom w:val="single" w:sz="4" w:space="0" w:color="BFBFBF"/>
              <w:right w:val="single" w:sz="4" w:space="0" w:color="BFBFBF"/>
            </w:tcBorders>
            <w:shd w:val="clear" w:color="auto" w:fill="auto"/>
            <w:noWrap/>
            <w:vAlign w:val="center"/>
          </w:tcPr>
          <w:p w14:paraId="67409170"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734" w:type="dxa"/>
            <w:tcBorders>
              <w:top w:val="nil"/>
              <w:left w:val="nil"/>
              <w:bottom w:val="single" w:sz="4" w:space="0" w:color="BFBFBF"/>
              <w:right w:val="single" w:sz="4" w:space="0" w:color="BFBFBF"/>
            </w:tcBorders>
            <w:shd w:val="clear" w:color="auto" w:fill="auto"/>
            <w:noWrap/>
            <w:vAlign w:val="center"/>
          </w:tcPr>
          <w:p w14:paraId="3318584B"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2001</w:t>
            </w:r>
          </w:p>
        </w:tc>
        <w:tc>
          <w:tcPr>
            <w:tcW w:w="734" w:type="dxa"/>
            <w:tcBorders>
              <w:top w:val="nil"/>
              <w:left w:val="nil"/>
              <w:bottom w:val="single" w:sz="4" w:space="0" w:color="BFBFBF"/>
              <w:right w:val="single" w:sz="4" w:space="0" w:color="auto"/>
            </w:tcBorders>
            <w:shd w:val="clear" w:color="auto" w:fill="auto"/>
            <w:noWrap/>
            <w:vAlign w:val="center"/>
          </w:tcPr>
          <w:p w14:paraId="48001095"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1996</w:t>
            </w:r>
          </w:p>
        </w:tc>
        <w:tc>
          <w:tcPr>
            <w:tcW w:w="1468" w:type="dxa"/>
            <w:gridSpan w:val="2"/>
            <w:tcBorders>
              <w:top w:val="single" w:sz="4" w:space="0" w:color="BFBFBF"/>
              <w:left w:val="nil"/>
              <w:bottom w:val="single" w:sz="4" w:space="0" w:color="BFBFBF"/>
              <w:right w:val="single" w:sz="4" w:space="0" w:color="BFBFBF"/>
            </w:tcBorders>
            <w:shd w:val="clear" w:color="auto" w:fill="auto"/>
            <w:noWrap/>
            <w:vAlign w:val="center"/>
          </w:tcPr>
          <w:p w14:paraId="45890E14"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1468" w:type="dxa"/>
            <w:gridSpan w:val="2"/>
            <w:tcBorders>
              <w:top w:val="single" w:sz="4" w:space="0" w:color="BFBFBF"/>
              <w:left w:val="nil"/>
              <w:bottom w:val="single" w:sz="4" w:space="0" w:color="BFBFBF"/>
              <w:right w:val="single" w:sz="4" w:space="0" w:color="BFBFBF"/>
            </w:tcBorders>
            <w:shd w:val="clear" w:color="auto" w:fill="auto"/>
            <w:noWrap/>
            <w:vAlign w:val="center"/>
          </w:tcPr>
          <w:p w14:paraId="35EDE8F6"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734" w:type="dxa"/>
            <w:tcBorders>
              <w:top w:val="nil"/>
              <w:left w:val="nil"/>
              <w:bottom w:val="single" w:sz="4" w:space="0" w:color="BFBFBF"/>
              <w:right w:val="single" w:sz="4" w:space="0" w:color="BFBFBF"/>
            </w:tcBorders>
            <w:shd w:val="clear" w:color="auto" w:fill="auto"/>
            <w:noWrap/>
            <w:vAlign w:val="center"/>
          </w:tcPr>
          <w:p w14:paraId="030EFB17"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2001</w:t>
            </w:r>
          </w:p>
        </w:tc>
        <w:tc>
          <w:tcPr>
            <w:tcW w:w="734" w:type="dxa"/>
            <w:tcBorders>
              <w:top w:val="nil"/>
              <w:left w:val="nil"/>
              <w:bottom w:val="single" w:sz="4" w:space="0" w:color="BFBFBF"/>
              <w:right w:val="double" w:sz="6" w:space="0" w:color="auto"/>
            </w:tcBorders>
            <w:shd w:val="clear" w:color="auto" w:fill="auto"/>
            <w:noWrap/>
            <w:vAlign w:val="center"/>
          </w:tcPr>
          <w:p w14:paraId="70C34D09"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1996</w:t>
            </w:r>
          </w:p>
        </w:tc>
      </w:tr>
      <w:tr w:rsidR="00B6186D" w:rsidRPr="00A6026E" w14:paraId="1169D8A2" w14:textId="77777777" w:rsidTr="00D94827">
        <w:trPr>
          <w:trHeight w:val="225"/>
          <w:tblHeader/>
          <w:jc w:val="center"/>
        </w:trPr>
        <w:tc>
          <w:tcPr>
            <w:tcW w:w="2291" w:type="dxa"/>
            <w:tcBorders>
              <w:top w:val="nil"/>
              <w:left w:val="double" w:sz="6" w:space="0" w:color="auto"/>
              <w:bottom w:val="single" w:sz="4" w:space="0" w:color="BFBFBF"/>
              <w:right w:val="nil"/>
            </w:tcBorders>
            <w:shd w:val="clear" w:color="auto" w:fill="auto"/>
            <w:noWrap/>
            <w:vAlign w:val="center"/>
          </w:tcPr>
          <w:p w14:paraId="3C237B90"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38480ED7"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734" w:type="dxa"/>
            <w:tcBorders>
              <w:top w:val="nil"/>
              <w:left w:val="nil"/>
              <w:bottom w:val="single" w:sz="4" w:space="0" w:color="BFBFBF"/>
              <w:right w:val="single" w:sz="4" w:space="0" w:color="BFBFBF"/>
            </w:tcBorders>
            <w:shd w:val="clear" w:color="auto" w:fill="auto"/>
            <w:noWrap/>
            <w:vAlign w:val="center"/>
          </w:tcPr>
          <w:p w14:paraId="3F6E2B8B"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734" w:type="dxa"/>
            <w:tcBorders>
              <w:top w:val="nil"/>
              <w:left w:val="nil"/>
              <w:bottom w:val="single" w:sz="4" w:space="0" w:color="BFBFBF"/>
              <w:right w:val="single" w:sz="4" w:space="0" w:color="BFBFBF"/>
            </w:tcBorders>
            <w:shd w:val="clear" w:color="auto" w:fill="auto"/>
            <w:noWrap/>
            <w:vAlign w:val="center"/>
          </w:tcPr>
          <w:p w14:paraId="00893A62"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2001</w:t>
            </w:r>
          </w:p>
        </w:tc>
        <w:tc>
          <w:tcPr>
            <w:tcW w:w="734" w:type="dxa"/>
            <w:tcBorders>
              <w:top w:val="nil"/>
              <w:left w:val="nil"/>
              <w:bottom w:val="single" w:sz="4" w:space="0" w:color="BFBFBF"/>
              <w:right w:val="single" w:sz="4" w:space="0" w:color="auto"/>
            </w:tcBorders>
            <w:shd w:val="clear" w:color="auto" w:fill="auto"/>
            <w:noWrap/>
            <w:vAlign w:val="center"/>
          </w:tcPr>
          <w:p w14:paraId="2B916EA3"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1996</w:t>
            </w:r>
          </w:p>
        </w:tc>
        <w:tc>
          <w:tcPr>
            <w:tcW w:w="734" w:type="dxa"/>
            <w:tcBorders>
              <w:top w:val="nil"/>
              <w:left w:val="nil"/>
              <w:bottom w:val="single" w:sz="4" w:space="0" w:color="BFBFBF"/>
              <w:right w:val="single" w:sz="4" w:space="0" w:color="BFBFBF"/>
            </w:tcBorders>
            <w:shd w:val="clear" w:color="auto" w:fill="auto"/>
            <w:noWrap/>
            <w:vAlign w:val="center"/>
          </w:tcPr>
          <w:p w14:paraId="054E1D11"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20BDB67C"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290E6FB4"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29E01483"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147FA5B2"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auto"/>
            </w:tcBorders>
            <w:shd w:val="clear" w:color="auto" w:fill="auto"/>
            <w:noWrap/>
            <w:vAlign w:val="center"/>
          </w:tcPr>
          <w:p w14:paraId="00044D0F"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400CFACC"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4CFE4B19"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5293EC13"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0FD4879F"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676395C2"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734" w:type="dxa"/>
            <w:tcBorders>
              <w:top w:val="nil"/>
              <w:left w:val="nil"/>
              <w:bottom w:val="single" w:sz="4" w:space="0" w:color="BFBFBF"/>
              <w:right w:val="double" w:sz="6" w:space="0" w:color="auto"/>
            </w:tcBorders>
            <w:shd w:val="clear" w:color="auto" w:fill="auto"/>
            <w:noWrap/>
            <w:vAlign w:val="center"/>
          </w:tcPr>
          <w:p w14:paraId="727519C0"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r>
      <w:tr w:rsidR="00B6186D" w:rsidRPr="00A6026E" w14:paraId="647413AA" w14:textId="77777777" w:rsidTr="00D94827">
        <w:trPr>
          <w:trHeight w:val="225"/>
          <w:tblHeader/>
          <w:jc w:val="center"/>
        </w:trPr>
        <w:tc>
          <w:tcPr>
            <w:tcW w:w="2291" w:type="dxa"/>
            <w:tcBorders>
              <w:top w:val="nil"/>
              <w:left w:val="double" w:sz="6" w:space="0" w:color="auto"/>
              <w:bottom w:val="single" w:sz="4" w:space="0" w:color="BFBFBF"/>
              <w:right w:val="nil"/>
            </w:tcBorders>
            <w:shd w:val="clear" w:color="auto" w:fill="auto"/>
            <w:noWrap/>
            <w:vAlign w:val="center"/>
          </w:tcPr>
          <w:p w14:paraId="24A87853" w14:textId="77777777" w:rsidR="00B6186D" w:rsidRPr="00A6026E" w:rsidRDefault="00B6186D"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Sub-group</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E1CC7D7"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n=1,861</w:t>
            </w:r>
          </w:p>
        </w:tc>
        <w:tc>
          <w:tcPr>
            <w:tcW w:w="734" w:type="dxa"/>
            <w:tcBorders>
              <w:top w:val="nil"/>
              <w:left w:val="nil"/>
              <w:bottom w:val="single" w:sz="4" w:space="0" w:color="BFBFBF"/>
              <w:right w:val="single" w:sz="4" w:space="0" w:color="BFBFBF"/>
            </w:tcBorders>
            <w:shd w:val="clear" w:color="auto" w:fill="auto"/>
            <w:noWrap/>
            <w:vAlign w:val="center"/>
          </w:tcPr>
          <w:p w14:paraId="612B6C14"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n=2,061</w:t>
            </w:r>
          </w:p>
        </w:tc>
        <w:tc>
          <w:tcPr>
            <w:tcW w:w="734" w:type="dxa"/>
            <w:tcBorders>
              <w:top w:val="nil"/>
              <w:left w:val="nil"/>
              <w:bottom w:val="single" w:sz="4" w:space="0" w:color="BFBFBF"/>
              <w:right w:val="single" w:sz="4" w:space="0" w:color="BFBFBF"/>
            </w:tcBorders>
            <w:shd w:val="clear" w:color="auto" w:fill="auto"/>
            <w:noWrap/>
            <w:vAlign w:val="center"/>
          </w:tcPr>
          <w:p w14:paraId="59DE2789"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n=2,006</w:t>
            </w:r>
          </w:p>
        </w:tc>
        <w:tc>
          <w:tcPr>
            <w:tcW w:w="734" w:type="dxa"/>
            <w:tcBorders>
              <w:top w:val="nil"/>
              <w:left w:val="nil"/>
              <w:bottom w:val="single" w:sz="4" w:space="0" w:color="BFBFBF"/>
              <w:right w:val="single" w:sz="4" w:space="0" w:color="auto"/>
            </w:tcBorders>
            <w:shd w:val="clear" w:color="auto" w:fill="auto"/>
            <w:noWrap/>
            <w:vAlign w:val="center"/>
          </w:tcPr>
          <w:p w14:paraId="3A9F9EAB"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n=2,000</w:t>
            </w:r>
          </w:p>
        </w:tc>
        <w:tc>
          <w:tcPr>
            <w:tcW w:w="734" w:type="dxa"/>
            <w:tcBorders>
              <w:top w:val="nil"/>
              <w:left w:val="nil"/>
              <w:bottom w:val="single" w:sz="4" w:space="0" w:color="BFBFBF"/>
              <w:right w:val="single" w:sz="4" w:space="0" w:color="BFBFBF"/>
            </w:tcBorders>
            <w:shd w:val="clear" w:color="auto" w:fill="auto"/>
            <w:noWrap/>
            <w:vAlign w:val="center"/>
          </w:tcPr>
          <w:p w14:paraId="1896CF2E"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n=1,681</w:t>
            </w:r>
          </w:p>
        </w:tc>
        <w:tc>
          <w:tcPr>
            <w:tcW w:w="734" w:type="dxa"/>
            <w:tcBorders>
              <w:top w:val="nil"/>
              <w:left w:val="nil"/>
              <w:bottom w:val="single" w:sz="4" w:space="0" w:color="BFBFBF"/>
              <w:right w:val="single" w:sz="4" w:space="0" w:color="BFBFBF"/>
            </w:tcBorders>
            <w:shd w:val="clear" w:color="auto" w:fill="auto"/>
            <w:noWrap/>
            <w:vAlign w:val="center"/>
          </w:tcPr>
          <w:p w14:paraId="6C96CF01"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n=1,670</w:t>
            </w:r>
          </w:p>
        </w:tc>
        <w:tc>
          <w:tcPr>
            <w:tcW w:w="734" w:type="dxa"/>
            <w:tcBorders>
              <w:top w:val="nil"/>
              <w:left w:val="nil"/>
              <w:bottom w:val="single" w:sz="4" w:space="0" w:color="BFBFBF"/>
              <w:right w:val="single" w:sz="4" w:space="0" w:color="BFBFBF"/>
            </w:tcBorders>
            <w:shd w:val="clear" w:color="auto" w:fill="auto"/>
            <w:noWrap/>
            <w:vAlign w:val="center"/>
          </w:tcPr>
          <w:p w14:paraId="70905B83"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n=1,897</w:t>
            </w:r>
          </w:p>
        </w:tc>
        <w:tc>
          <w:tcPr>
            <w:tcW w:w="734" w:type="dxa"/>
            <w:tcBorders>
              <w:top w:val="nil"/>
              <w:left w:val="nil"/>
              <w:bottom w:val="single" w:sz="4" w:space="0" w:color="BFBFBF"/>
              <w:right w:val="single" w:sz="4" w:space="0" w:color="BFBFBF"/>
            </w:tcBorders>
            <w:shd w:val="clear" w:color="auto" w:fill="auto"/>
            <w:noWrap/>
            <w:vAlign w:val="center"/>
          </w:tcPr>
          <w:p w14:paraId="6D139E0F"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n=1,895</w:t>
            </w:r>
          </w:p>
        </w:tc>
        <w:tc>
          <w:tcPr>
            <w:tcW w:w="734" w:type="dxa"/>
            <w:tcBorders>
              <w:top w:val="nil"/>
              <w:left w:val="nil"/>
              <w:bottom w:val="single" w:sz="4" w:space="0" w:color="BFBFBF"/>
              <w:right w:val="single" w:sz="4" w:space="0" w:color="BFBFBF"/>
            </w:tcBorders>
            <w:shd w:val="clear" w:color="auto" w:fill="auto"/>
            <w:noWrap/>
            <w:vAlign w:val="center"/>
          </w:tcPr>
          <w:p w14:paraId="24A38DD4"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n=1,809</w:t>
            </w:r>
          </w:p>
        </w:tc>
        <w:tc>
          <w:tcPr>
            <w:tcW w:w="734" w:type="dxa"/>
            <w:tcBorders>
              <w:top w:val="nil"/>
              <w:left w:val="nil"/>
              <w:bottom w:val="single" w:sz="4" w:space="0" w:color="BFBFBF"/>
              <w:right w:val="single" w:sz="4" w:space="0" w:color="auto"/>
            </w:tcBorders>
            <w:shd w:val="clear" w:color="auto" w:fill="auto"/>
            <w:noWrap/>
            <w:vAlign w:val="center"/>
          </w:tcPr>
          <w:p w14:paraId="3184B28B"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n=1,677</w:t>
            </w:r>
          </w:p>
        </w:tc>
        <w:tc>
          <w:tcPr>
            <w:tcW w:w="734" w:type="dxa"/>
            <w:tcBorders>
              <w:top w:val="nil"/>
              <w:left w:val="nil"/>
              <w:bottom w:val="single" w:sz="4" w:space="0" w:color="BFBFBF"/>
              <w:right w:val="single" w:sz="4" w:space="0" w:color="BFBFBF"/>
            </w:tcBorders>
            <w:shd w:val="clear" w:color="auto" w:fill="auto"/>
            <w:noWrap/>
            <w:vAlign w:val="center"/>
          </w:tcPr>
          <w:p w14:paraId="4AC23EA2"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n=1,681</w:t>
            </w:r>
          </w:p>
        </w:tc>
        <w:tc>
          <w:tcPr>
            <w:tcW w:w="734" w:type="dxa"/>
            <w:tcBorders>
              <w:top w:val="nil"/>
              <w:left w:val="nil"/>
              <w:bottom w:val="single" w:sz="4" w:space="0" w:color="BFBFBF"/>
              <w:right w:val="single" w:sz="4" w:space="0" w:color="BFBFBF"/>
            </w:tcBorders>
            <w:shd w:val="clear" w:color="auto" w:fill="auto"/>
            <w:noWrap/>
            <w:vAlign w:val="center"/>
          </w:tcPr>
          <w:p w14:paraId="18E9B947"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n=1,440</w:t>
            </w:r>
          </w:p>
        </w:tc>
        <w:tc>
          <w:tcPr>
            <w:tcW w:w="734" w:type="dxa"/>
            <w:tcBorders>
              <w:top w:val="nil"/>
              <w:left w:val="nil"/>
              <w:bottom w:val="single" w:sz="4" w:space="0" w:color="BFBFBF"/>
              <w:right w:val="single" w:sz="4" w:space="0" w:color="BFBFBF"/>
            </w:tcBorders>
            <w:shd w:val="clear" w:color="auto" w:fill="auto"/>
            <w:noWrap/>
            <w:vAlign w:val="center"/>
          </w:tcPr>
          <w:p w14:paraId="597585E6"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n=1,897</w:t>
            </w:r>
          </w:p>
        </w:tc>
        <w:tc>
          <w:tcPr>
            <w:tcW w:w="734" w:type="dxa"/>
            <w:tcBorders>
              <w:top w:val="nil"/>
              <w:left w:val="nil"/>
              <w:bottom w:val="single" w:sz="4" w:space="0" w:color="BFBFBF"/>
              <w:right w:val="single" w:sz="4" w:space="0" w:color="BFBFBF"/>
            </w:tcBorders>
            <w:shd w:val="clear" w:color="auto" w:fill="auto"/>
            <w:noWrap/>
            <w:vAlign w:val="center"/>
          </w:tcPr>
          <w:p w14:paraId="0C9EAFBC"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n=1,583</w:t>
            </w:r>
          </w:p>
        </w:tc>
        <w:tc>
          <w:tcPr>
            <w:tcW w:w="734" w:type="dxa"/>
            <w:tcBorders>
              <w:top w:val="nil"/>
              <w:left w:val="nil"/>
              <w:bottom w:val="single" w:sz="4" w:space="0" w:color="BFBFBF"/>
              <w:right w:val="single" w:sz="4" w:space="0" w:color="BFBFBF"/>
            </w:tcBorders>
            <w:shd w:val="clear" w:color="auto" w:fill="auto"/>
            <w:noWrap/>
            <w:vAlign w:val="center"/>
          </w:tcPr>
          <w:p w14:paraId="3EC87758"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n=1,686</w:t>
            </w:r>
          </w:p>
        </w:tc>
        <w:tc>
          <w:tcPr>
            <w:tcW w:w="734" w:type="dxa"/>
            <w:tcBorders>
              <w:top w:val="nil"/>
              <w:left w:val="nil"/>
              <w:bottom w:val="single" w:sz="4" w:space="0" w:color="BFBFBF"/>
              <w:right w:val="double" w:sz="6" w:space="0" w:color="auto"/>
            </w:tcBorders>
            <w:shd w:val="clear" w:color="auto" w:fill="auto"/>
            <w:noWrap/>
            <w:vAlign w:val="center"/>
          </w:tcPr>
          <w:p w14:paraId="2B973FB7" w14:textId="77777777" w:rsidR="00B6186D" w:rsidRPr="00A6026E" w:rsidRDefault="00B6186D" w:rsidP="00B6186D">
            <w:pPr>
              <w:spacing w:before="0" w:after="0"/>
              <w:jc w:val="center"/>
              <w:rPr>
                <w:rFonts w:ascii="Arial" w:hAnsi="Arial" w:cs="Arial"/>
                <w:b/>
                <w:bCs/>
                <w:color w:val="000000"/>
                <w:sz w:val="14"/>
                <w:szCs w:val="14"/>
                <w:lang w:val="en-AU" w:eastAsia="en-AU"/>
              </w:rPr>
            </w:pPr>
            <w:r w:rsidRPr="00A6026E">
              <w:rPr>
                <w:rFonts w:ascii="Arial" w:hAnsi="Arial" w:cs="Arial"/>
                <w:b/>
                <w:bCs/>
                <w:color w:val="000000"/>
                <w:sz w:val="14"/>
                <w:szCs w:val="14"/>
                <w:lang w:val="en-AU" w:eastAsia="en-AU"/>
              </w:rPr>
              <w:t>n=1,524</w:t>
            </w:r>
          </w:p>
        </w:tc>
      </w:tr>
      <w:tr w:rsidR="00B6186D" w:rsidRPr="00A6026E" w14:paraId="3C9FC793"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42345D6" w14:textId="77777777" w:rsidR="00B6186D" w:rsidRPr="00A6026E" w:rsidRDefault="00B6186D"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Region -</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683AFDDA" w14:textId="77777777" w:rsidR="00B6186D" w:rsidRPr="00A6026E" w:rsidRDefault="00B6186D" w:rsidP="00B6186D">
            <w:pPr>
              <w:spacing w:before="0" w:after="0"/>
              <w:rPr>
                <w:rFonts w:ascii="Arial" w:hAnsi="Arial" w:cs="Arial"/>
                <w:color w:val="FF0000"/>
                <w:sz w:val="16"/>
                <w:szCs w:val="16"/>
                <w:lang w:val="en-AU" w:eastAsia="en-AU"/>
              </w:rPr>
            </w:pPr>
            <w:r w:rsidRPr="00A6026E">
              <w:rPr>
                <w:rFonts w:ascii="Arial" w:hAnsi="Arial" w:cs="Arial"/>
                <w:color w:val="FF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A298F9A"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776E700"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5788E5F5"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39EAC49E" w14:textId="77777777" w:rsidR="00B6186D" w:rsidRPr="00A6026E" w:rsidRDefault="00B6186D" w:rsidP="00B6186D">
            <w:pPr>
              <w:spacing w:before="0" w:after="0"/>
              <w:rPr>
                <w:rFonts w:ascii="Arial" w:hAnsi="Arial" w:cs="Arial"/>
                <w:color w:val="FF0000"/>
                <w:sz w:val="16"/>
                <w:szCs w:val="16"/>
                <w:lang w:val="en-AU" w:eastAsia="en-AU"/>
              </w:rPr>
            </w:pPr>
            <w:r w:rsidRPr="00A6026E">
              <w:rPr>
                <w:rFonts w:ascii="Arial" w:hAnsi="Arial" w:cs="Arial"/>
                <w:color w:val="FF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7E85A85A"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898856C"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E435C79"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93F5870"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4E30894B"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370FDC76" w14:textId="77777777" w:rsidR="00B6186D" w:rsidRPr="00A6026E" w:rsidRDefault="00B6186D" w:rsidP="00B6186D">
            <w:pPr>
              <w:spacing w:before="0" w:after="0"/>
              <w:rPr>
                <w:rFonts w:ascii="Arial" w:hAnsi="Arial" w:cs="Arial"/>
                <w:color w:val="FF0000"/>
                <w:sz w:val="16"/>
                <w:szCs w:val="16"/>
                <w:lang w:val="en-AU" w:eastAsia="en-AU"/>
              </w:rPr>
            </w:pPr>
            <w:r w:rsidRPr="00A6026E">
              <w:rPr>
                <w:rFonts w:ascii="Arial" w:hAnsi="Arial" w:cs="Arial"/>
                <w:color w:val="FF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76896904"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08EA99B"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C0D4931"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4BDCB3F"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702AFFAF"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642822" w:rsidRPr="00A6026E" w14:paraId="5E5EA69F"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8B81490"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A6026E">
                  <w:rPr>
                    <w:rFonts w:ascii="Arial" w:hAnsi="Arial" w:cs="Arial"/>
                    <w:color w:val="000000"/>
                    <w:sz w:val="16"/>
                    <w:szCs w:val="16"/>
                    <w:lang w:val="en-AU" w:eastAsia="en-AU"/>
                  </w:rPr>
                  <w:t>Melbourne</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8F9C110"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10705A1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BFBFBF"/>
            </w:tcBorders>
            <w:shd w:val="clear" w:color="auto" w:fill="auto"/>
            <w:noWrap/>
            <w:vAlign w:val="center"/>
          </w:tcPr>
          <w:p w14:paraId="413D88B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auto"/>
            </w:tcBorders>
            <w:shd w:val="clear" w:color="auto" w:fill="auto"/>
            <w:noWrap/>
            <w:vAlign w:val="center"/>
          </w:tcPr>
          <w:p w14:paraId="70B386B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BFBFBF"/>
            </w:tcBorders>
            <w:shd w:val="clear" w:color="auto" w:fill="auto"/>
            <w:noWrap/>
            <w:vAlign w:val="center"/>
          </w:tcPr>
          <w:p w14:paraId="3243DBF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705A89A4"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375</w:t>
            </w:r>
          </w:p>
        </w:tc>
        <w:tc>
          <w:tcPr>
            <w:tcW w:w="734" w:type="dxa"/>
            <w:tcBorders>
              <w:top w:val="nil"/>
              <w:left w:val="nil"/>
              <w:bottom w:val="single" w:sz="4" w:space="0" w:color="BFBFBF"/>
              <w:right w:val="single" w:sz="4" w:space="0" w:color="BFBFBF"/>
            </w:tcBorders>
            <w:shd w:val="clear" w:color="auto" w:fill="auto"/>
            <w:noWrap/>
            <w:vAlign w:val="center"/>
          </w:tcPr>
          <w:p w14:paraId="5C5F3C8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4CA2133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178</w:t>
            </w:r>
          </w:p>
        </w:tc>
        <w:tc>
          <w:tcPr>
            <w:tcW w:w="734" w:type="dxa"/>
            <w:tcBorders>
              <w:top w:val="nil"/>
              <w:left w:val="nil"/>
              <w:bottom w:val="single" w:sz="4" w:space="0" w:color="BFBFBF"/>
              <w:right w:val="single" w:sz="4" w:space="0" w:color="BFBFBF"/>
            </w:tcBorders>
            <w:shd w:val="clear" w:color="auto" w:fill="auto"/>
            <w:noWrap/>
            <w:vAlign w:val="center"/>
          </w:tcPr>
          <w:p w14:paraId="00C8B8D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168</w:t>
            </w:r>
          </w:p>
        </w:tc>
        <w:tc>
          <w:tcPr>
            <w:tcW w:w="734" w:type="dxa"/>
            <w:tcBorders>
              <w:top w:val="nil"/>
              <w:left w:val="nil"/>
              <w:bottom w:val="single" w:sz="4" w:space="0" w:color="BFBFBF"/>
              <w:right w:val="single" w:sz="4" w:space="0" w:color="auto"/>
            </w:tcBorders>
            <w:shd w:val="clear" w:color="auto" w:fill="auto"/>
            <w:noWrap/>
            <w:vAlign w:val="center"/>
          </w:tcPr>
          <w:p w14:paraId="2F68EED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144</w:t>
            </w:r>
          </w:p>
        </w:tc>
        <w:tc>
          <w:tcPr>
            <w:tcW w:w="734" w:type="dxa"/>
            <w:tcBorders>
              <w:top w:val="nil"/>
              <w:left w:val="nil"/>
              <w:bottom w:val="single" w:sz="4" w:space="0" w:color="BFBFBF"/>
              <w:right w:val="single" w:sz="4" w:space="0" w:color="BFBFBF"/>
            </w:tcBorders>
            <w:shd w:val="clear" w:color="auto" w:fill="auto"/>
            <w:noWrap/>
            <w:vAlign w:val="center"/>
          </w:tcPr>
          <w:p w14:paraId="679FB84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756D38AB"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160</w:t>
            </w:r>
          </w:p>
        </w:tc>
        <w:tc>
          <w:tcPr>
            <w:tcW w:w="734" w:type="dxa"/>
            <w:tcBorders>
              <w:top w:val="nil"/>
              <w:left w:val="nil"/>
              <w:bottom w:val="single" w:sz="4" w:space="0" w:color="BFBFBF"/>
              <w:right w:val="single" w:sz="4" w:space="0" w:color="BFBFBF"/>
            </w:tcBorders>
            <w:shd w:val="clear" w:color="auto" w:fill="auto"/>
            <w:noWrap/>
            <w:vAlign w:val="center"/>
          </w:tcPr>
          <w:p w14:paraId="7A23FB8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5175F46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w:t>
            </w:r>
          </w:p>
        </w:tc>
        <w:tc>
          <w:tcPr>
            <w:tcW w:w="734" w:type="dxa"/>
            <w:tcBorders>
              <w:top w:val="nil"/>
              <w:left w:val="nil"/>
              <w:bottom w:val="single" w:sz="4" w:space="0" w:color="BFBFBF"/>
              <w:right w:val="single" w:sz="4" w:space="0" w:color="BFBFBF"/>
            </w:tcBorders>
            <w:shd w:val="clear" w:color="auto" w:fill="auto"/>
            <w:noWrap/>
            <w:vAlign w:val="center"/>
          </w:tcPr>
          <w:p w14:paraId="352E562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58</w:t>
            </w:r>
          </w:p>
        </w:tc>
        <w:tc>
          <w:tcPr>
            <w:tcW w:w="734" w:type="dxa"/>
            <w:tcBorders>
              <w:top w:val="nil"/>
              <w:left w:val="nil"/>
              <w:bottom w:val="single" w:sz="4" w:space="0" w:color="BFBFBF"/>
              <w:right w:val="double" w:sz="6" w:space="0" w:color="auto"/>
            </w:tcBorders>
            <w:shd w:val="clear" w:color="auto" w:fill="auto"/>
            <w:noWrap/>
            <w:vAlign w:val="center"/>
          </w:tcPr>
          <w:p w14:paraId="4DAC199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88</w:t>
            </w:r>
          </w:p>
        </w:tc>
      </w:tr>
      <w:tr w:rsidR="00642822" w:rsidRPr="00A6026E" w14:paraId="268973CF"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702B09C2"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Country VIC</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E225C2D"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4736F83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22DC8BC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auto"/>
            </w:tcBorders>
            <w:shd w:val="clear" w:color="auto" w:fill="auto"/>
            <w:noWrap/>
            <w:vAlign w:val="center"/>
          </w:tcPr>
          <w:p w14:paraId="01EC180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89%</w:t>
            </w:r>
          </w:p>
        </w:tc>
        <w:tc>
          <w:tcPr>
            <w:tcW w:w="734" w:type="dxa"/>
            <w:tcBorders>
              <w:top w:val="nil"/>
              <w:left w:val="nil"/>
              <w:bottom w:val="single" w:sz="4" w:space="0" w:color="BFBFBF"/>
              <w:right w:val="single" w:sz="4" w:space="0" w:color="BFBFBF"/>
            </w:tcBorders>
            <w:shd w:val="clear" w:color="auto" w:fill="auto"/>
            <w:noWrap/>
            <w:vAlign w:val="center"/>
          </w:tcPr>
          <w:p w14:paraId="5963B01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60676ED9"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365</w:t>
            </w:r>
          </w:p>
        </w:tc>
        <w:tc>
          <w:tcPr>
            <w:tcW w:w="734" w:type="dxa"/>
            <w:tcBorders>
              <w:top w:val="nil"/>
              <w:left w:val="nil"/>
              <w:bottom w:val="single" w:sz="4" w:space="0" w:color="BFBFBF"/>
              <w:right w:val="single" w:sz="4" w:space="0" w:color="BFBFBF"/>
            </w:tcBorders>
            <w:shd w:val="clear" w:color="auto" w:fill="auto"/>
            <w:noWrap/>
            <w:vAlign w:val="center"/>
          </w:tcPr>
          <w:p w14:paraId="7B145B6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703D08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190</w:t>
            </w:r>
          </w:p>
        </w:tc>
        <w:tc>
          <w:tcPr>
            <w:tcW w:w="734" w:type="dxa"/>
            <w:tcBorders>
              <w:top w:val="nil"/>
              <w:left w:val="nil"/>
              <w:bottom w:val="single" w:sz="4" w:space="0" w:color="BFBFBF"/>
              <w:right w:val="single" w:sz="4" w:space="0" w:color="BFBFBF"/>
            </w:tcBorders>
            <w:shd w:val="clear" w:color="auto" w:fill="auto"/>
            <w:noWrap/>
            <w:vAlign w:val="center"/>
          </w:tcPr>
          <w:p w14:paraId="48633E1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164</w:t>
            </w:r>
          </w:p>
        </w:tc>
        <w:tc>
          <w:tcPr>
            <w:tcW w:w="734" w:type="dxa"/>
            <w:tcBorders>
              <w:top w:val="nil"/>
              <w:left w:val="nil"/>
              <w:bottom w:val="single" w:sz="4" w:space="0" w:color="BFBFBF"/>
              <w:right w:val="single" w:sz="4" w:space="0" w:color="auto"/>
            </w:tcBorders>
            <w:shd w:val="clear" w:color="auto" w:fill="auto"/>
            <w:noWrap/>
            <w:vAlign w:val="center"/>
          </w:tcPr>
          <w:p w14:paraId="2251753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108</w:t>
            </w:r>
          </w:p>
        </w:tc>
        <w:tc>
          <w:tcPr>
            <w:tcW w:w="734" w:type="dxa"/>
            <w:tcBorders>
              <w:top w:val="nil"/>
              <w:left w:val="nil"/>
              <w:bottom w:val="single" w:sz="4" w:space="0" w:color="BFBFBF"/>
              <w:right w:val="single" w:sz="4" w:space="0" w:color="BFBFBF"/>
            </w:tcBorders>
            <w:shd w:val="clear" w:color="auto" w:fill="auto"/>
            <w:noWrap/>
            <w:vAlign w:val="center"/>
          </w:tcPr>
          <w:p w14:paraId="2A0A5A55"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6A382DD1"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206</w:t>
            </w:r>
          </w:p>
        </w:tc>
        <w:tc>
          <w:tcPr>
            <w:tcW w:w="734" w:type="dxa"/>
            <w:tcBorders>
              <w:top w:val="nil"/>
              <w:left w:val="nil"/>
              <w:bottom w:val="single" w:sz="4" w:space="0" w:color="BFBFBF"/>
              <w:right w:val="single" w:sz="4" w:space="0" w:color="BFBFBF"/>
            </w:tcBorders>
            <w:shd w:val="clear" w:color="auto" w:fill="auto"/>
            <w:noWrap/>
            <w:vAlign w:val="center"/>
          </w:tcPr>
          <w:p w14:paraId="08429AF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7E3EFE9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116</w:t>
            </w:r>
          </w:p>
        </w:tc>
        <w:tc>
          <w:tcPr>
            <w:tcW w:w="734" w:type="dxa"/>
            <w:tcBorders>
              <w:top w:val="nil"/>
              <w:left w:val="nil"/>
              <w:bottom w:val="single" w:sz="4" w:space="0" w:color="BFBFBF"/>
              <w:right w:val="single" w:sz="4" w:space="0" w:color="BFBFBF"/>
            </w:tcBorders>
            <w:shd w:val="clear" w:color="auto" w:fill="auto"/>
            <w:noWrap/>
            <w:vAlign w:val="center"/>
          </w:tcPr>
          <w:p w14:paraId="51B9EE6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734" w:type="dxa"/>
            <w:tcBorders>
              <w:top w:val="nil"/>
              <w:left w:val="nil"/>
              <w:bottom w:val="single" w:sz="4" w:space="0" w:color="BFBFBF"/>
              <w:right w:val="double" w:sz="6" w:space="0" w:color="auto"/>
            </w:tcBorders>
            <w:shd w:val="clear" w:color="auto" w:fill="auto"/>
            <w:noWrap/>
            <w:vAlign w:val="center"/>
          </w:tcPr>
          <w:p w14:paraId="64FBAF8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110</w:t>
            </w:r>
          </w:p>
        </w:tc>
      </w:tr>
      <w:tr w:rsidR="00642822" w:rsidRPr="00A6026E" w14:paraId="54253B05"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022C94A9" w14:textId="0DC4E24B" w:rsidR="00642822" w:rsidRPr="00A6026E" w:rsidRDefault="00BC6314" w:rsidP="00B6186D">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642822" w:rsidRPr="00A6026E">
              <w:rPr>
                <w:rFonts w:ascii="Arial" w:hAnsi="Arial" w:cs="Arial"/>
                <w:color w:val="000000"/>
                <w:sz w:val="16"/>
                <w:szCs w:val="16"/>
                <w:lang w:val="en-AU" w:eastAsia="en-AU"/>
              </w:rPr>
              <w:t>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34FBD50"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56%</w:t>
            </w:r>
          </w:p>
        </w:tc>
        <w:tc>
          <w:tcPr>
            <w:tcW w:w="734" w:type="dxa"/>
            <w:tcBorders>
              <w:top w:val="nil"/>
              <w:left w:val="nil"/>
              <w:bottom w:val="single" w:sz="4" w:space="0" w:color="BFBFBF"/>
              <w:right w:val="single" w:sz="4" w:space="0" w:color="BFBFBF"/>
            </w:tcBorders>
            <w:shd w:val="clear" w:color="auto" w:fill="auto"/>
            <w:noWrap/>
            <w:vAlign w:val="center"/>
          </w:tcPr>
          <w:p w14:paraId="251E561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734" w:type="dxa"/>
            <w:tcBorders>
              <w:top w:val="nil"/>
              <w:left w:val="nil"/>
              <w:bottom w:val="single" w:sz="4" w:space="0" w:color="BFBFBF"/>
              <w:right w:val="single" w:sz="4" w:space="0" w:color="BFBFBF"/>
            </w:tcBorders>
            <w:shd w:val="clear" w:color="auto" w:fill="auto"/>
            <w:noWrap/>
            <w:vAlign w:val="center"/>
          </w:tcPr>
          <w:p w14:paraId="17D9B1C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584FF8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A4C6DC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BFBFBF"/>
            </w:tcBorders>
            <w:shd w:val="clear" w:color="auto" w:fill="auto"/>
            <w:noWrap/>
            <w:vAlign w:val="center"/>
          </w:tcPr>
          <w:p w14:paraId="511D70C5"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496</w:t>
            </w:r>
          </w:p>
        </w:tc>
        <w:tc>
          <w:tcPr>
            <w:tcW w:w="734" w:type="dxa"/>
            <w:tcBorders>
              <w:top w:val="nil"/>
              <w:left w:val="nil"/>
              <w:bottom w:val="single" w:sz="4" w:space="0" w:color="BFBFBF"/>
              <w:right w:val="single" w:sz="4" w:space="0" w:color="BFBFBF"/>
            </w:tcBorders>
            <w:shd w:val="clear" w:color="auto" w:fill="auto"/>
            <w:noWrap/>
            <w:vAlign w:val="center"/>
          </w:tcPr>
          <w:p w14:paraId="717C15D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405F0F5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175</w:t>
            </w:r>
          </w:p>
        </w:tc>
        <w:tc>
          <w:tcPr>
            <w:tcW w:w="734" w:type="dxa"/>
            <w:tcBorders>
              <w:top w:val="nil"/>
              <w:left w:val="nil"/>
              <w:bottom w:val="single" w:sz="4" w:space="0" w:color="BFBFBF"/>
              <w:right w:val="single" w:sz="4" w:space="0" w:color="BFBFBF"/>
            </w:tcBorders>
            <w:shd w:val="clear" w:color="auto" w:fill="auto"/>
            <w:noWrap/>
            <w:vAlign w:val="center"/>
          </w:tcPr>
          <w:p w14:paraId="19DC002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7FDBA1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BD8145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67%</w:t>
            </w:r>
          </w:p>
        </w:tc>
        <w:tc>
          <w:tcPr>
            <w:tcW w:w="734" w:type="dxa"/>
            <w:tcBorders>
              <w:top w:val="nil"/>
              <w:left w:val="nil"/>
              <w:bottom w:val="single" w:sz="4" w:space="0" w:color="BFBFBF"/>
              <w:right w:val="single" w:sz="4" w:space="0" w:color="BFBFBF"/>
            </w:tcBorders>
            <w:shd w:val="clear" w:color="auto" w:fill="auto"/>
            <w:noWrap/>
            <w:vAlign w:val="center"/>
          </w:tcPr>
          <w:p w14:paraId="3B91123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220</w:t>
            </w:r>
          </w:p>
        </w:tc>
        <w:tc>
          <w:tcPr>
            <w:tcW w:w="734" w:type="dxa"/>
            <w:tcBorders>
              <w:top w:val="nil"/>
              <w:left w:val="nil"/>
              <w:bottom w:val="single" w:sz="4" w:space="0" w:color="BFBFBF"/>
              <w:right w:val="single" w:sz="4" w:space="0" w:color="BFBFBF"/>
            </w:tcBorders>
            <w:shd w:val="clear" w:color="auto" w:fill="auto"/>
            <w:noWrap/>
            <w:vAlign w:val="center"/>
          </w:tcPr>
          <w:p w14:paraId="477596A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0522A05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146</w:t>
            </w:r>
          </w:p>
        </w:tc>
        <w:tc>
          <w:tcPr>
            <w:tcW w:w="734" w:type="dxa"/>
            <w:tcBorders>
              <w:top w:val="nil"/>
              <w:left w:val="nil"/>
              <w:bottom w:val="single" w:sz="4" w:space="0" w:color="BFBFBF"/>
              <w:right w:val="single" w:sz="4" w:space="0" w:color="BFBFBF"/>
            </w:tcBorders>
            <w:shd w:val="clear" w:color="auto" w:fill="auto"/>
            <w:noWrap/>
            <w:vAlign w:val="center"/>
          </w:tcPr>
          <w:p w14:paraId="1C6D677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2C264B5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5DB84816"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335616AB" w14:textId="77777777" w:rsidR="00642822" w:rsidRPr="00A6026E" w:rsidRDefault="00642822"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DHHS Area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8B06E8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38CBA5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8D53CC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278A49E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F4317FB"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BFC074C"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EB0C60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EAAB99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69E99A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3D79F76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B162DBA"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CE4E839"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4ADC0A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8C3A5F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4C21D5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65ED5A9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642822" w:rsidRPr="00A6026E" w14:paraId="3AE2EC16"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01B264EA"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Hume Moreland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3D60E3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97%</w:t>
            </w:r>
          </w:p>
        </w:tc>
        <w:tc>
          <w:tcPr>
            <w:tcW w:w="734" w:type="dxa"/>
            <w:tcBorders>
              <w:top w:val="nil"/>
              <w:left w:val="nil"/>
              <w:bottom w:val="single" w:sz="4" w:space="0" w:color="BFBFBF"/>
              <w:right w:val="single" w:sz="4" w:space="0" w:color="BFBFBF"/>
            </w:tcBorders>
            <w:shd w:val="clear" w:color="auto" w:fill="auto"/>
            <w:noWrap/>
            <w:vAlign w:val="center"/>
          </w:tcPr>
          <w:p w14:paraId="35EC507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5D6BE3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5A4C228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5D5EAD0"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6A9E0FD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370</w:t>
            </w:r>
          </w:p>
        </w:tc>
        <w:tc>
          <w:tcPr>
            <w:tcW w:w="734" w:type="dxa"/>
            <w:tcBorders>
              <w:top w:val="nil"/>
              <w:left w:val="nil"/>
              <w:bottom w:val="single" w:sz="4" w:space="0" w:color="BFBFBF"/>
              <w:right w:val="single" w:sz="4" w:space="0" w:color="BFBFBF"/>
            </w:tcBorders>
            <w:shd w:val="clear" w:color="auto" w:fill="auto"/>
            <w:noWrap/>
            <w:vAlign w:val="center"/>
          </w:tcPr>
          <w:p w14:paraId="4CD39D7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D4D256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3A03F8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5B1DB8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340DBA9"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78%</w:t>
            </w:r>
          </w:p>
        </w:tc>
        <w:tc>
          <w:tcPr>
            <w:tcW w:w="734" w:type="dxa"/>
            <w:tcBorders>
              <w:top w:val="nil"/>
              <w:left w:val="nil"/>
              <w:bottom w:val="single" w:sz="4" w:space="0" w:color="BFBFBF"/>
              <w:right w:val="single" w:sz="4" w:space="0" w:color="BFBFBF"/>
            </w:tcBorders>
            <w:shd w:val="clear" w:color="auto" w:fill="auto"/>
            <w:noWrap/>
            <w:vAlign w:val="center"/>
          </w:tcPr>
          <w:p w14:paraId="2A37ACA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178</w:t>
            </w:r>
          </w:p>
        </w:tc>
        <w:tc>
          <w:tcPr>
            <w:tcW w:w="734" w:type="dxa"/>
            <w:tcBorders>
              <w:top w:val="nil"/>
              <w:left w:val="nil"/>
              <w:bottom w:val="single" w:sz="4" w:space="0" w:color="BFBFBF"/>
              <w:right w:val="single" w:sz="4" w:space="0" w:color="BFBFBF"/>
            </w:tcBorders>
            <w:shd w:val="clear" w:color="auto" w:fill="auto"/>
            <w:noWrap/>
            <w:vAlign w:val="center"/>
          </w:tcPr>
          <w:p w14:paraId="34E7365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51D9AB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BC59E9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676222E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771BCB76"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2E87E9DA"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North Eastern 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F230C3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734" w:type="dxa"/>
            <w:tcBorders>
              <w:top w:val="nil"/>
              <w:left w:val="nil"/>
              <w:bottom w:val="single" w:sz="4" w:space="0" w:color="BFBFBF"/>
              <w:right w:val="single" w:sz="4" w:space="0" w:color="BFBFBF"/>
            </w:tcBorders>
            <w:shd w:val="clear" w:color="auto" w:fill="auto"/>
            <w:noWrap/>
            <w:vAlign w:val="center"/>
          </w:tcPr>
          <w:p w14:paraId="6E98606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6B7927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B7A652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1874A0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0E30E07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410</w:t>
            </w:r>
          </w:p>
        </w:tc>
        <w:tc>
          <w:tcPr>
            <w:tcW w:w="734" w:type="dxa"/>
            <w:tcBorders>
              <w:top w:val="nil"/>
              <w:left w:val="nil"/>
              <w:bottom w:val="single" w:sz="4" w:space="0" w:color="BFBFBF"/>
              <w:right w:val="single" w:sz="4" w:space="0" w:color="BFBFBF"/>
            </w:tcBorders>
            <w:shd w:val="clear" w:color="auto" w:fill="auto"/>
            <w:noWrap/>
            <w:vAlign w:val="center"/>
          </w:tcPr>
          <w:p w14:paraId="042005D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B8D671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AB9CB7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4BF0E0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089600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734" w:type="dxa"/>
            <w:tcBorders>
              <w:top w:val="nil"/>
              <w:left w:val="nil"/>
              <w:bottom w:val="single" w:sz="4" w:space="0" w:color="BFBFBF"/>
              <w:right w:val="single" w:sz="4" w:space="0" w:color="BFBFBF"/>
            </w:tcBorders>
            <w:shd w:val="clear" w:color="auto" w:fill="auto"/>
            <w:noWrap/>
            <w:vAlign w:val="center"/>
          </w:tcPr>
          <w:p w14:paraId="4134FB2D"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177</w:t>
            </w:r>
          </w:p>
        </w:tc>
        <w:tc>
          <w:tcPr>
            <w:tcW w:w="734" w:type="dxa"/>
            <w:tcBorders>
              <w:top w:val="nil"/>
              <w:left w:val="nil"/>
              <w:bottom w:val="single" w:sz="4" w:space="0" w:color="BFBFBF"/>
              <w:right w:val="single" w:sz="4" w:space="0" w:color="BFBFBF"/>
            </w:tcBorders>
            <w:shd w:val="clear" w:color="auto" w:fill="auto"/>
            <w:noWrap/>
            <w:vAlign w:val="center"/>
          </w:tcPr>
          <w:p w14:paraId="2894CE0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FAFE25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98B059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756321F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14BF30BE"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00596515"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 xml:space="preserve">Outer </w:t>
            </w:r>
            <w:smartTag w:uri="urn:schemas-microsoft-com:office:smarttags" w:element="place">
              <w:r w:rsidRPr="00A6026E">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08789C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6ABE7FF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94151E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9EF2E0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7C4D39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4F587D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333</w:t>
            </w:r>
          </w:p>
        </w:tc>
        <w:tc>
          <w:tcPr>
            <w:tcW w:w="734" w:type="dxa"/>
            <w:tcBorders>
              <w:top w:val="nil"/>
              <w:left w:val="nil"/>
              <w:bottom w:val="single" w:sz="4" w:space="0" w:color="BFBFBF"/>
              <w:right w:val="single" w:sz="4" w:space="0" w:color="BFBFBF"/>
            </w:tcBorders>
            <w:shd w:val="clear" w:color="auto" w:fill="auto"/>
            <w:noWrap/>
            <w:vAlign w:val="center"/>
          </w:tcPr>
          <w:p w14:paraId="6A6A24F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519F9D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092979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2CDE6E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01EFE9C"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501A7B5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137</w:t>
            </w:r>
          </w:p>
        </w:tc>
        <w:tc>
          <w:tcPr>
            <w:tcW w:w="734" w:type="dxa"/>
            <w:tcBorders>
              <w:top w:val="nil"/>
              <w:left w:val="nil"/>
              <w:bottom w:val="single" w:sz="4" w:space="0" w:color="BFBFBF"/>
              <w:right w:val="single" w:sz="4" w:space="0" w:color="BFBFBF"/>
            </w:tcBorders>
            <w:shd w:val="clear" w:color="auto" w:fill="auto"/>
            <w:noWrap/>
            <w:vAlign w:val="center"/>
          </w:tcPr>
          <w:p w14:paraId="22FA9C3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346A04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77F782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0031E23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2AD85DCE"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05BDB2AF"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 xml:space="preserve">Inner </w:t>
            </w:r>
            <w:smartTag w:uri="urn:schemas-microsoft-com:office:smarttags" w:element="place">
              <w:r w:rsidRPr="00A6026E">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97C944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734" w:type="dxa"/>
            <w:tcBorders>
              <w:top w:val="nil"/>
              <w:left w:val="nil"/>
              <w:bottom w:val="single" w:sz="4" w:space="0" w:color="BFBFBF"/>
              <w:right w:val="single" w:sz="4" w:space="0" w:color="BFBFBF"/>
            </w:tcBorders>
            <w:shd w:val="clear" w:color="auto" w:fill="auto"/>
            <w:noWrap/>
            <w:vAlign w:val="center"/>
          </w:tcPr>
          <w:p w14:paraId="1B508C3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C1FD6A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C7B634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49C1F5D"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046C0FC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391</w:t>
            </w:r>
          </w:p>
        </w:tc>
        <w:tc>
          <w:tcPr>
            <w:tcW w:w="734" w:type="dxa"/>
            <w:tcBorders>
              <w:top w:val="nil"/>
              <w:left w:val="nil"/>
              <w:bottom w:val="single" w:sz="4" w:space="0" w:color="BFBFBF"/>
              <w:right w:val="single" w:sz="4" w:space="0" w:color="BFBFBF"/>
            </w:tcBorders>
            <w:shd w:val="clear" w:color="auto" w:fill="auto"/>
            <w:noWrap/>
            <w:vAlign w:val="center"/>
          </w:tcPr>
          <w:p w14:paraId="40A5E25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6E9F5E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88BA33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00252D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4301F33"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2529CA5C"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165</w:t>
            </w:r>
          </w:p>
        </w:tc>
        <w:tc>
          <w:tcPr>
            <w:tcW w:w="734" w:type="dxa"/>
            <w:tcBorders>
              <w:top w:val="nil"/>
              <w:left w:val="nil"/>
              <w:bottom w:val="single" w:sz="4" w:space="0" w:color="BFBFBF"/>
              <w:right w:val="single" w:sz="4" w:space="0" w:color="BFBFBF"/>
            </w:tcBorders>
            <w:shd w:val="clear" w:color="auto" w:fill="auto"/>
            <w:noWrap/>
            <w:vAlign w:val="center"/>
          </w:tcPr>
          <w:p w14:paraId="4F44F54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383688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34F0AC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0A5CF2B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7A266756"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499373F4"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smartTag w:uri="urn:schemas-microsoft-com:office:smarttags" w:element="place">
              <w:r w:rsidRPr="00A6026E">
                <w:rPr>
                  <w:rFonts w:ascii="Arial" w:hAnsi="Arial" w:cs="Arial"/>
                  <w:color w:val="000000"/>
                  <w:sz w:val="16"/>
                  <w:szCs w:val="16"/>
                  <w:lang w:val="en-AU" w:eastAsia="en-AU"/>
                </w:rPr>
                <w:t>Southern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8D4373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734" w:type="dxa"/>
            <w:tcBorders>
              <w:top w:val="nil"/>
              <w:left w:val="nil"/>
              <w:bottom w:val="single" w:sz="4" w:space="0" w:color="BFBFBF"/>
              <w:right w:val="single" w:sz="4" w:space="0" w:color="BFBFBF"/>
            </w:tcBorders>
            <w:shd w:val="clear" w:color="auto" w:fill="auto"/>
            <w:noWrap/>
            <w:vAlign w:val="center"/>
          </w:tcPr>
          <w:p w14:paraId="4056F36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2C56A2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A860D9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3C364B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97%</w:t>
            </w:r>
          </w:p>
        </w:tc>
        <w:tc>
          <w:tcPr>
            <w:tcW w:w="734" w:type="dxa"/>
            <w:tcBorders>
              <w:top w:val="nil"/>
              <w:left w:val="nil"/>
              <w:bottom w:val="single" w:sz="4" w:space="0" w:color="BFBFBF"/>
              <w:right w:val="single" w:sz="4" w:space="0" w:color="BFBFBF"/>
            </w:tcBorders>
            <w:shd w:val="clear" w:color="auto" w:fill="auto"/>
            <w:noWrap/>
            <w:vAlign w:val="center"/>
          </w:tcPr>
          <w:p w14:paraId="49FCAA89"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363</w:t>
            </w:r>
          </w:p>
        </w:tc>
        <w:tc>
          <w:tcPr>
            <w:tcW w:w="734" w:type="dxa"/>
            <w:tcBorders>
              <w:top w:val="nil"/>
              <w:left w:val="nil"/>
              <w:bottom w:val="single" w:sz="4" w:space="0" w:color="BFBFBF"/>
              <w:right w:val="single" w:sz="4" w:space="0" w:color="BFBFBF"/>
            </w:tcBorders>
            <w:shd w:val="clear" w:color="auto" w:fill="auto"/>
            <w:noWrap/>
            <w:vAlign w:val="center"/>
          </w:tcPr>
          <w:p w14:paraId="7D27179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FC1FE0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03B800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5AA6CF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6225DCD"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BFBFBF"/>
            </w:tcBorders>
            <w:shd w:val="clear" w:color="auto" w:fill="auto"/>
            <w:noWrap/>
            <w:vAlign w:val="center"/>
          </w:tcPr>
          <w:p w14:paraId="0F754BE1"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114</w:t>
            </w:r>
          </w:p>
        </w:tc>
        <w:tc>
          <w:tcPr>
            <w:tcW w:w="734" w:type="dxa"/>
            <w:tcBorders>
              <w:top w:val="nil"/>
              <w:left w:val="nil"/>
              <w:bottom w:val="single" w:sz="4" w:space="0" w:color="BFBFBF"/>
              <w:right w:val="single" w:sz="4" w:space="0" w:color="BFBFBF"/>
            </w:tcBorders>
            <w:shd w:val="clear" w:color="auto" w:fill="auto"/>
            <w:noWrap/>
            <w:vAlign w:val="center"/>
          </w:tcPr>
          <w:p w14:paraId="21ECB86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16A193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E55FA6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3373BD0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7E5627E4"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2E57533E"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Bayside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72134E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7FF6A74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47B4AB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8ED5FA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57BBDCC"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372D0810"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386</w:t>
            </w:r>
          </w:p>
        </w:tc>
        <w:tc>
          <w:tcPr>
            <w:tcW w:w="734" w:type="dxa"/>
            <w:tcBorders>
              <w:top w:val="nil"/>
              <w:left w:val="nil"/>
              <w:bottom w:val="single" w:sz="4" w:space="0" w:color="BFBFBF"/>
              <w:right w:val="single" w:sz="4" w:space="0" w:color="BFBFBF"/>
            </w:tcBorders>
            <w:shd w:val="clear" w:color="auto" w:fill="auto"/>
            <w:noWrap/>
            <w:vAlign w:val="center"/>
          </w:tcPr>
          <w:p w14:paraId="559B163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9AF417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36F997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B5F7A9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8EFDA0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048D696A"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116</w:t>
            </w:r>
          </w:p>
        </w:tc>
        <w:tc>
          <w:tcPr>
            <w:tcW w:w="734" w:type="dxa"/>
            <w:tcBorders>
              <w:top w:val="nil"/>
              <w:left w:val="nil"/>
              <w:bottom w:val="single" w:sz="4" w:space="0" w:color="BFBFBF"/>
              <w:right w:val="single" w:sz="4" w:space="0" w:color="BFBFBF"/>
            </w:tcBorders>
            <w:shd w:val="clear" w:color="auto" w:fill="auto"/>
            <w:noWrap/>
            <w:vAlign w:val="center"/>
          </w:tcPr>
          <w:p w14:paraId="4011B39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222940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395759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17CBBE7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62B2429B"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4A455CE3"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smartTag w:uri="urn:schemas-microsoft-com:office:smarttags" w:element="place">
              <w:r w:rsidRPr="00A6026E">
                <w:rPr>
                  <w:rFonts w:ascii="Arial" w:hAnsi="Arial" w:cs="Arial"/>
                  <w:color w:val="000000"/>
                  <w:sz w:val="16"/>
                  <w:szCs w:val="16"/>
                  <w:lang w:val="en-AU" w:eastAsia="en-AU"/>
                </w:rPr>
                <w:t>Western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20946DB"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18F029F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086732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50FC35C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6A8A76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F2B0185"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343</w:t>
            </w:r>
          </w:p>
        </w:tc>
        <w:tc>
          <w:tcPr>
            <w:tcW w:w="734" w:type="dxa"/>
            <w:tcBorders>
              <w:top w:val="nil"/>
              <w:left w:val="nil"/>
              <w:bottom w:val="single" w:sz="4" w:space="0" w:color="BFBFBF"/>
              <w:right w:val="single" w:sz="4" w:space="0" w:color="BFBFBF"/>
            </w:tcBorders>
            <w:shd w:val="clear" w:color="auto" w:fill="auto"/>
            <w:noWrap/>
            <w:vAlign w:val="center"/>
          </w:tcPr>
          <w:p w14:paraId="6FE622C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AD0455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30104E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926EEB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5A08433"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49FC6853"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217</w:t>
            </w:r>
          </w:p>
        </w:tc>
        <w:tc>
          <w:tcPr>
            <w:tcW w:w="734" w:type="dxa"/>
            <w:tcBorders>
              <w:top w:val="nil"/>
              <w:left w:val="nil"/>
              <w:bottom w:val="single" w:sz="4" w:space="0" w:color="BFBFBF"/>
              <w:right w:val="single" w:sz="4" w:space="0" w:color="BFBFBF"/>
            </w:tcBorders>
            <w:shd w:val="clear" w:color="auto" w:fill="auto"/>
            <w:noWrap/>
            <w:vAlign w:val="center"/>
          </w:tcPr>
          <w:p w14:paraId="733B232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EC0515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2FCEC5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6C03A3D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30038FAC"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6BB20EBF"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Brimbank Melton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8EC987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734" w:type="dxa"/>
            <w:tcBorders>
              <w:top w:val="nil"/>
              <w:left w:val="nil"/>
              <w:bottom w:val="single" w:sz="4" w:space="0" w:color="BFBFBF"/>
              <w:right w:val="single" w:sz="4" w:space="0" w:color="BFBFBF"/>
            </w:tcBorders>
            <w:shd w:val="clear" w:color="auto" w:fill="auto"/>
            <w:noWrap/>
            <w:vAlign w:val="center"/>
          </w:tcPr>
          <w:p w14:paraId="17A105F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76F73B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9B6B47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135ADD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635AF9E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384</w:t>
            </w:r>
          </w:p>
        </w:tc>
        <w:tc>
          <w:tcPr>
            <w:tcW w:w="734" w:type="dxa"/>
            <w:tcBorders>
              <w:top w:val="nil"/>
              <w:left w:val="nil"/>
              <w:bottom w:val="single" w:sz="4" w:space="0" w:color="BFBFBF"/>
              <w:right w:val="single" w:sz="4" w:space="0" w:color="BFBFBF"/>
            </w:tcBorders>
            <w:shd w:val="clear" w:color="auto" w:fill="auto"/>
            <w:noWrap/>
            <w:vAlign w:val="center"/>
          </w:tcPr>
          <w:p w14:paraId="3432FDB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33C690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F958AE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6FDBE1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F717455"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4E88B8C5"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222</w:t>
            </w:r>
          </w:p>
        </w:tc>
        <w:tc>
          <w:tcPr>
            <w:tcW w:w="734" w:type="dxa"/>
            <w:tcBorders>
              <w:top w:val="nil"/>
              <w:left w:val="nil"/>
              <w:bottom w:val="single" w:sz="4" w:space="0" w:color="BFBFBF"/>
              <w:right w:val="single" w:sz="4" w:space="0" w:color="BFBFBF"/>
            </w:tcBorders>
            <w:shd w:val="clear" w:color="auto" w:fill="auto"/>
            <w:noWrap/>
            <w:vAlign w:val="center"/>
          </w:tcPr>
          <w:p w14:paraId="6E2539E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52A3E3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0A07BF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07C1C73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0D2691B0"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13AB9067"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Mallee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7CF8DD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90%</w:t>
            </w:r>
          </w:p>
        </w:tc>
        <w:tc>
          <w:tcPr>
            <w:tcW w:w="734" w:type="dxa"/>
            <w:tcBorders>
              <w:top w:val="nil"/>
              <w:left w:val="nil"/>
              <w:bottom w:val="single" w:sz="4" w:space="0" w:color="BFBFBF"/>
              <w:right w:val="single" w:sz="4" w:space="0" w:color="BFBFBF"/>
            </w:tcBorders>
            <w:shd w:val="clear" w:color="auto" w:fill="auto"/>
            <w:noWrap/>
            <w:vAlign w:val="center"/>
          </w:tcPr>
          <w:p w14:paraId="30825E4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468BC5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10D2B1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13A1B7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97%</w:t>
            </w:r>
          </w:p>
        </w:tc>
        <w:tc>
          <w:tcPr>
            <w:tcW w:w="734" w:type="dxa"/>
            <w:tcBorders>
              <w:top w:val="nil"/>
              <w:left w:val="nil"/>
              <w:bottom w:val="single" w:sz="4" w:space="0" w:color="BFBFBF"/>
              <w:right w:val="single" w:sz="4" w:space="0" w:color="BFBFBF"/>
            </w:tcBorders>
            <w:shd w:val="clear" w:color="auto" w:fill="auto"/>
            <w:noWrap/>
            <w:vAlign w:val="center"/>
          </w:tcPr>
          <w:p w14:paraId="6D3D9553"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335</w:t>
            </w:r>
          </w:p>
        </w:tc>
        <w:tc>
          <w:tcPr>
            <w:tcW w:w="734" w:type="dxa"/>
            <w:tcBorders>
              <w:top w:val="nil"/>
              <w:left w:val="nil"/>
              <w:bottom w:val="single" w:sz="4" w:space="0" w:color="BFBFBF"/>
              <w:right w:val="single" w:sz="4" w:space="0" w:color="BFBFBF"/>
            </w:tcBorders>
            <w:shd w:val="clear" w:color="auto" w:fill="auto"/>
            <w:noWrap/>
            <w:vAlign w:val="center"/>
          </w:tcPr>
          <w:p w14:paraId="6E96883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FF4719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FB6459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E993B6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788AE1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734" w:type="dxa"/>
            <w:tcBorders>
              <w:top w:val="nil"/>
              <w:left w:val="nil"/>
              <w:bottom w:val="single" w:sz="4" w:space="0" w:color="BFBFBF"/>
              <w:right w:val="single" w:sz="4" w:space="0" w:color="BFBFBF"/>
            </w:tcBorders>
            <w:shd w:val="clear" w:color="auto" w:fill="auto"/>
            <w:noWrap/>
            <w:vAlign w:val="center"/>
          </w:tcPr>
          <w:p w14:paraId="418A9F3D"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196</w:t>
            </w:r>
          </w:p>
        </w:tc>
        <w:tc>
          <w:tcPr>
            <w:tcW w:w="734" w:type="dxa"/>
            <w:tcBorders>
              <w:top w:val="nil"/>
              <w:left w:val="nil"/>
              <w:bottom w:val="single" w:sz="4" w:space="0" w:color="BFBFBF"/>
              <w:right w:val="single" w:sz="4" w:space="0" w:color="BFBFBF"/>
            </w:tcBorders>
            <w:shd w:val="clear" w:color="auto" w:fill="auto"/>
            <w:noWrap/>
            <w:vAlign w:val="center"/>
          </w:tcPr>
          <w:p w14:paraId="7E0BB18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1A7C95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CE2E06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66C776D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2E0A3D0E"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1BAFCB48"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Loddon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216416D"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6AD8DC3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C863B1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49507D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459B471"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406C32E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452</w:t>
            </w:r>
          </w:p>
        </w:tc>
        <w:tc>
          <w:tcPr>
            <w:tcW w:w="734" w:type="dxa"/>
            <w:tcBorders>
              <w:top w:val="nil"/>
              <w:left w:val="nil"/>
              <w:bottom w:val="single" w:sz="4" w:space="0" w:color="BFBFBF"/>
              <w:right w:val="single" w:sz="4" w:space="0" w:color="BFBFBF"/>
            </w:tcBorders>
            <w:shd w:val="clear" w:color="auto" w:fill="auto"/>
            <w:noWrap/>
            <w:vAlign w:val="center"/>
          </w:tcPr>
          <w:p w14:paraId="11E8EE2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005372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3214C4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F77FE5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965DC9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53CCB6D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233</w:t>
            </w:r>
          </w:p>
        </w:tc>
        <w:tc>
          <w:tcPr>
            <w:tcW w:w="734" w:type="dxa"/>
            <w:tcBorders>
              <w:top w:val="nil"/>
              <w:left w:val="nil"/>
              <w:bottom w:val="single" w:sz="4" w:space="0" w:color="BFBFBF"/>
              <w:right w:val="single" w:sz="4" w:space="0" w:color="BFBFBF"/>
            </w:tcBorders>
            <w:shd w:val="clear" w:color="auto" w:fill="auto"/>
            <w:noWrap/>
            <w:vAlign w:val="center"/>
          </w:tcPr>
          <w:p w14:paraId="6F90420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C420F8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D59EFE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5E56410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4C611EEA"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59D517CD"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A6026E">
                  <w:rPr>
                    <w:rFonts w:ascii="Arial" w:hAnsi="Arial" w:cs="Arial"/>
                    <w:color w:val="000000"/>
                    <w:sz w:val="16"/>
                    <w:szCs w:val="16"/>
                    <w:lang w:val="en-AU" w:eastAsia="en-AU"/>
                  </w:rPr>
                  <w:t>Murray</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EFF0BE1"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7977B2F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019B41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51E30F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2495B6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7345819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502</w:t>
            </w:r>
          </w:p>
        </w:tc>
        <w:tc>
          <w:tcPr>
            <w:tcW w:w="734" w:type="dxa"/>
            <w:tcBorders>
              <w:top w:val="nil"/>
              <w:left w:val="nil"/>
              <w:bottom w:val="single" w:sz="4" w:space="0" w:color="BFBFBF"/>
              <w:right w:val="single" w:sz="4" w:space="0" w:color="BFBFBF"/>
            </w:tcBorders>
            <w:shd w:val="clear" w:color="auto" w:fill="auto"/>
            <w:noWrap/>
            <w:vAlign w:val="center"/>
          </w:tcPr>
          <w:p w14:paraId="4C88AC7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24DE0F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0BD693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D79F68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AF3CF5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36663A30"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197</w:t>
            </w:r>
          </w:p>
        </w:tc>
        <w:tc>
          <w:tcPr>
            <w:tcW w:w="734" w:type="dxa"/>
            <w:tcBorders>
              <w:top w:val="nil"/>
              <w:left w:val="nil"/>
              <w:bottom w:val="single" w:sz="4" w:space="0" w:color="BFBFBF"/>
              <w:right w:val="single" w:sz="4" w:space="0" w:color="BFBFBF"/>
            </w:tcBorders>
            <w:shd w:val="clear" w:color="auto" w:fill="auto"/>
            <w:noWrap/>
            <w:vAlign w:val="center"/>
          </w:tcPr>
          <w:p w14:paraId="0AD3076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CCFA43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4DC2C8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2DA5CAC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6586095C"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44EBE30E"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Goulburn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8726714"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47E93FA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A3CF91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02D8D8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E9B2C2B"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97%</w:t>
            </w:r>
          </w:p>
        </w:tc>
        <w:tc>
          <w:tcPr>
            <w:tcW w:w="734" w:type="dxa"/>
            <w:tcBorders>
              <w:top w:val="nil"/>
              <w:left w:val="nil"/>
              <w:bottom w:val="single" w:sz="4" w:space="0" w:color="BFBFBF"/>
              <w:right w:val="single" w:sz="4" w:space="0" w:color="BFBFBF"/>
            </w:tcBorders>
            <w:shd w:val="clear" w:color="auto" w:fill="auto"/>
            <w:noWrap/>
            <w:vAlign w:val="center"/>
          </w:tcPr>
          <w:p w14:paraId="41FA230C"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398</w:t>
            </w:r>
          </w:p>
        </w:tc>
        <w:tc>
          <w:tcPr>
            <w:tcW w:w="734" w:type="dxa"/>
            <w:tcBorders>
              <w:top w:val="nil"/>
              <w:left w:val="nil"/>
              <w:bottom w:val="single" w:sz="4" w:space="0" w:color="BFBFBF"/>
              <w:right w:val="single" w:sz="4" w:space="0" w:color="BFBFBF"/>
            </w:tcBorders>
            <w:shd w:val="clear" w:color="auto" w:fill="auto"/>
            <w:noWrap/>
            <w:vAlign w:val="center"/>
          </w:tcPr>
          <w:p w14:paraId="341F4A6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F75BFA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3468E5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54D042B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49BC0B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763D17B3"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169</w:t>
            </w:r>
          </w:p>
        </w:tc>
        <w:tc>
          <w:tcPr>
            <w:tcW w:w="734" w:type="dxa"/>
            <w:tcBorders>
              <w:top w:val="nil"/>
              <w:left w:val="nil"/>
              <w:bottom w:val="single" w:sz="4" w:space="0" w:color="BFBFBF"/>
              <w:right w:val="single" w:sz="4" w:space="0" w:color="BFBFBF"/>
            </w:tcBorders>
            <w:shd w:val="clear" w:color="auto" w:fill="auto"/>
            <w:noWrap/>
            <w:vAlign w:val="center"/>
          </w:tcPr>
          <w:p w14:paraId="20C32B7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A67040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D12D9F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3741772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29110D89"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6221EC9B"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Outer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A7EDC83"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66%</w:t>
            </w:r>
          </w:p>
        </w:tc>
        <w:tc>
          <w:tcPr>
            <w:tcW w:w="734" w:type="dxa"/>
            <w:tcBorders>
              <w:top w:val="nil"/>
              <w:left w:val="nil"/>
              <w:bottom w:val="single" w:sz="4" w:space="0" w:color="BFBFBF"/>
              <w:right w:val="single" w:sz="4" w:space="0" w:color="BFBFBF"/>
            </w:tcBorders>
            <w:shd w:val="clear" w:color="auto" w:fill="auto"/>
            <w:noWrap/>
            <w:vAlign w:val="center"/>
          </w:tcPr>
          <w:p w14:paraId="7FDE5E2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0CE48A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54C6ADF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50C175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734" w:type="dxa"/>
            <w:tcBorders>
              <w:top w:val="nil"/>
              <w:left w:val="nil"/>
              <w:bottom w:val="single" w:sz="4" w:space="0" w:color="BFBFBF"/>
              <w:right w:val="single" w:sz="4" w:space="0" w:color="BFBFBF"/>
            </w:tcBorders>
            <w:shd w:val="clear" w:color="auto" w:fill="auto"/>
            <w:noWrap/>
            <w:vAlign w:val="center"/>
          </w:tcPr>
          <w:p w14:paraId="1BE8838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328</w:t>
            </w:r>
          </w:p>
        </w:tc>
        <w:tc>
          <w:tcPr>
            <w:tcW w:w="734" w:type="dxa"/>
            <w:tcBorders>
              <w:top w:val="nil"/>
              <w:left w:val="nil"/>
              <w:bottom w:val="single" w:sz="4" w:space="0" w:color="BFBFBF"/>
              <w:right w:val="single" w:sz="4" w:space="0" w:color="BFBFBF"/>
            </w:tcBorders>
            <w:shd w:val="clear" w:color="auto" w:fill="auto"/>
            <w:noWrap/>
            <w:vAlign w:val="center"/>
          </w:tcPr>
          <w:p w14:paraId="420AB5D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FEF1D9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34E5EC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096D1F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502744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2A33E6D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210</w:t>
            </w:r>
          </w:p>
        </w:tc>
        <w:tc>
          <w:tcPr>
            <w:tcW w:w="734" w:type="dxa"/>
            <w:tcBorders>
              <w:top w:val="nil"/>
              <w:left w:val="nil"/>
              <w:bottom w:val="single" w:sz="4" w:space="0" w:color="BFBFBF"/>
              <w:right w:val="single" w:sz="4" w:space="0" w:color="BFBFBF"/>
            </w:tcBorders>
            <w:shd w:val="clear" w:color="auto" w:fill="auto"/>
            <w:noWrap/>
            <w:vAlign w:val="center"/>
          </w:tcPr>
          <w:p w14:paraId="242C9E0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EB7420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76D6F1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7C4CCAE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45249B8B"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0E40FFF0"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Inner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EA7526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80%</w:t>
            </w:r>
          </w:p>
        </w:tc>
        <w:tc>
          <w:tcPr>
            <w:tcW w:w="734" w:type="dxa"/>
            <w:tcBorders>
              <w:top w:val="nil"/>
              <w:left w:val="nil"/>
              <w:bottom w:val="single" w:sz="4" w:space="0" w:color="BFBFBF"/>
              <w:right w:val="single" w:sz="4" w:space="0" w:color="BFBFBF"/>
            </w:tcBorders>
            <w:shd w:val="clear" w:color="auto" w:fill="auto"/>
            <w:noWrap/>
            <w:vAlign w:val="center"/>
          </w:tcPr>
          <w:p w14:paraId="24105C4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2B1188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F072C9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14586A0"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734A7AC5"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272</w:t>
            </w:r>
          </w:p>
        </w:tc>
        <w:tc>
          <w:tcPr>
            <w:tcW w:w="734" w:type="dxa"/>
            <w:tcBorders>
              <w:top w:val="nil"/>
              <w:left w:val="nil"/>
              <w:bottom w:val="single" w:sz="4" w:space="0" w:color="BFBFBF"/>
              <w:right w:val="single" w:sz="4" w:space="0" w:color="BFBFBF"/>
            </w:tcBorders>
            <w:shd w:val="clear" w:color="auto" w:fill="auto"/>
            <w:noWrap/>
            <w:vAlign w:val="center"/>
          </w:tcPr>
          <w:p w14:paraId="0B54BED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D293D7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22769B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D0EDAB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DE9340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367F094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213</w:t>
            </w:r>
          </w:p>
        </w:tc>
        <w:tc>
          <w:tcPr>
            <w:tcW w:w="734" w:type="dxa"/>
            <w:tcBorders>
              <w:top w:val="nil"/>
              <w:left w:val="nil"/>
              <w:bottom w:val="single" w:sz="4" w:space="0" w:color="BFBFBF"/>
              <w:right w:val="single" w:sz="4" w:space="0" w:color="BFBFBF"/>
            </w:tcBorders>
            <w:shd w:val="clear" w:color="auto" w:fill="auto"/>
            <w:noWrap/>
            <w:vAlign w:val="center"/>
          </w:tcPr>
          <w:p w14:paraId="4293BCD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8C13C7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83A1E7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18B0792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156BD910"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286FFD30"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Western District</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B50DE2C"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w:t>
            </w:r>
          </w:p>
        </w:tc>
        <w:tc>
          <w:tcPr>
            <w:tcW w:w="734" w:type="dxa"/>
            <w:tcBorders>
              <w:top w:val="nil"/>
              <w:left w:val="nil"/>
              <w:bottom w:val="single" w:sz="4" w:space="0" w:color="BFBFBF"/>
              <w:right w:val="single" w:sz="4" w:space="0" w:color="BFBFBF"/>
            </w:tcBorders>
            <w:shd w:val="clear" w:color="auto" w:fill="auto"/>
            <w:noWrap/>
            <w:vAlign w:val="center"/>
          </w:tcPr>
          <w:p w14:paraId="18681F9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D91BDF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B30ED0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F0289D9"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97%</w:t>
            </w:r>
          </w:p>
        </w:tc>
        <w:tc>
          <w:tcPr>
            <w:tcW w:w="734" w:type="dxa"/>
            <w:tcBorders>
              <w:top w:val="nil"/>
              <w:left w:val="nil"/>
              <w:bottom w:val="single" w:sz="4" w:space="0" w:color="BFBFBF"/>
              <w:right w:val="single" w:sz="4" w:space="0" w:color="BFBFBF"/>
            </w:tcBorders>
            <w:shd w:val="clear" w:color="auto" w:fill="auto"/>
            <w:noWrap/>
            <w:vAlign w:val="center"/>
          </w:tcPr>
          <w:p w14:paraId="4F6F354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255</w:t>
            </w:r>
          </w:p>
        </w:tc>
        <w:tc>
          <w:tcPr>
            <w:tcW w:w="734" w:type="dxa"/>
            <w:tcBorders>
              <w:top w:val="nil"/>
              <w:left w:val="nil"/>
              <w:bottom w:val="single" w:sz="4" w:space="0" w:color="BFBFBF"/>
              <w:right w:val="single" w:sz="4" w:space="0" w:color="BFBFBF"/>
            </w:tcBorders>
            <w:shd w:val="clear" w:color="auto" w:fill="auto"/>
            <w:noWrap/>
            <w:vAlign w:val="center"/>
          </w:tcPr>
          <w:p w14:paraId="785BD0E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56A7EF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195C18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92EB60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00B18A4"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90%</w:t>
            </w:r>
          </w:p>
        </w:tc>
        <w:tc>
          <w:tcPr>
            <w:tcW w:w="734" w:type="dxa"/>
            <w:tcBorders>
              <w:top w:val="nil"/>
              <w:left w:val="nil"/>
              <w:bottom w:val="single" w:sz="4" w:space="0" w:color="BFBFBF"/>
              <w:right w:val="single" w:sz="4" w:space="0" w:color="BFBFBF"/>
            </w:tcBorders>
            <w:shd w:val="clear" w:color="auto" w:fill="auto"/>
            <w:noWrap/>
            <w:vAlign w:val="center"/>
          </w:tcPr>
          <w:p w14:paraId="54BD3873"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254</w:t>
            </w:r>
          </w:p>
        </w:tc>
        <w:tc>
          <w:tcPr>
            <w:tcW w:w="734" w:type="dxa"/>
            <w:tcBorders>
              <w:top w:val="nil"/>
              <w:left w:val="nil"/>
              <w:bottom w:val="single" w:sz="4" w:space="0" w:color="BFBFBF"/>
              <w:right w:val="single" w:sz="4" w:space="0" w:color="BFBFBF"/>
            </w:tcBorders>
            <w:shd w:val="clear" w:color="auto" w:fill="auto"/>
            <w:noWrap/>
            <w:vAlign w:val="center"/>
          </w:tcPr>
          <w:p w14:paraId="7A2B6AB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EA8FD1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403224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674677B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1862E450" w14:textId="77777777" w:rsidTr="003561A9">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65730105"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Barwon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7FAFE3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42F7AFA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31A05B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85AF15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3EA3E2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6C5E141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398</w:t>
            </w:r>
          </w:p>
        </w:tc>
        <w:tc>
          <w:tcPr>
            <w:tcW w:w="734" w:type="dxa"/>
            <w:tcBorders>
              <w:top w:val="nil"/>
              <w:left w:val="nil"/>
              <w:bottom w:val="single" w:sz="4" w:space="0" w:color="BFBFBF"/>
              <w:right w:val="single" w:sz="4" w:space="0" w:color="BFBFBF"/>
            </w:tcBorders>
            <w:shd w:val="clear" w:color="auto" w:fill="auto"/>
            <w:noWrap/>
            <w:vAlign w:val="center"/>
          </w:tcPr>
          <w:p w14:paraId="70356E4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CD37A9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8120D7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79BE46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29515A9"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3C6CC59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173</w:t>
            </w:r>
          </w:p>
        </w:tc>
        <w:tc>
          <w:tcPr>
            <w:tcW w:w="734" w:type="dxa"/>
            <w:tcBorders>
              <w:top w:val="nil"/>
              <w:left w:val="nil"/>
              <w:bottom w:val="single" w:sz="4" w:space="0" w:color="BFBFBF"/>
              <w:right w:val="single" w:sz="4" w:space="0" w:color="BFBFBF"/>
            </w:tcBorders>
            <w:shd w:val="clear" w:color="auto" w:fill="auto"/>
            <w:noWrap/>
            <w:vAlign w:val="center"/>
          </w:tcPr>
          <w:p w14:paraId="33E6145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CA7348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5981B7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4762123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70C2AA93" w14:textId="77777777" w:rsidTr="003561A9">
        <w:trPr>
          <w:trHeight w:val="225"/>
          <w:jc w:val="center"/>
        </w:trPr>
        <w:tc>
          <w:tcPr>
            <w:tcW w:w="2291" w:type="dxa"/>
            <w:tcBorders>
              <w:top w:val="single" w:sz="4" w:space="0" w:color="BFBFBF"/>
              <w:left w:val="double" w:sz="6" w:space="0" w:color="auto"/>
              <w:bottom w:val="double" w:sz="4" w:space="0" w:color="auto"/>
              <w:right w:val="nil"/>
            </w:tcBorders>
            <w:shd w:val="clear" w:color="auto" w:fill="auto"/>
            <w:noWrap/>
            <w:vAlign w:val="bottom"/>
          </w:tcPr>
          <w:p w14:paraId="24DD9A58"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Central Highlands</w:t>
            </w:r>
          </w:p>
        </w:tc>
        <w:tc>
          <w:tcPr>
            <w:tcW w:w="734"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6476EE2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82%</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419BDD6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1389CD4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single" w:sz="4" w:space="0" w:color="BFBFBF"/>
              <w:left w:val="nil"/>
              <w:bottom w:val="double" w:sz="4" w:space="0" w:color="auto"/>
              <w:right w:val="single" w:sz="4" w:space="0" w:color="auto"/>
            </w:tcBorders>
            <w:shd w:val="clear" w:color="auto" w:fill="auto"/>
            <w:noWrap/>
            <w:vAlign w:val="center"/>
          </w:tcPr>
          <w:p w14:paraId="2895D9B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17CF0E8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7D6D86AA"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276</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6DD4335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00C2C67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4B444A5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single" w:sz="4" w:space="0" w:color="BFBFBF"/>
              <w:left w:val="nil"/>
              <w:bottom w:val="double" w:sz="4" w:space="0" w:color="auto"/>
              <w:right w:val="single" w:sz="4" w:space="0" w:color="auto"/>
            </w:tcBorders>
            <w:shd w:val="clear" w:color="auto" w:fill="auto"/>
            <w:noWrap/>
            <w:vAlign w:val="center"/>
          </w:tcPr>
          <w:p w14:paraId="15E51BF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116F8E2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72%</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7FAE494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225</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5C3F4A4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0311FCF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64230BF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734" w:type="dxa"/>
            <w:tcBorders>
              <w:top w:val="single" w:sz="4" w:space="0" w:color="BFBFBF"/>
              <w:left w:val="nil"/>
              <w:bottom w:val="double" w:sz="4" w:space="0" w:color="auto"/>
              <w:right w:val="double" w:sz="6" w:space="0" w:color="auto"/>
            </w:tcBorders>
            <w:shd w:val="clear" w:color="auto" w:fill="auto"/>
            <w:noWrap/>
            <w:vAlign w:val="center"/>
          </w:tcPr>
          <w:p w14:paraId="2F8DDF7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642822" w:rsidRPr="00A6026E" w14:paraId="33EF2E84" w14:textId="77777777" w:rsidTr="003561A9">
        <w:trPr>
          <w:trHeight w:val="225"/>
          <w:jc w:val="center"/>
        </w:trPr>
        <w:tc>
          <w:tcPr>
            <w:tcW w:w="2291" w:type="dxa"/>
            <w:tcBorders>
              <w:top w:val="double" w:sz="4" w:space="0" w:color="auto"/>
            </w:tcBorders>
            <w:shd w:val="clear" w:color="auto" w:fill="auto"/>
            <w:noWrap/>
            <w:vAlign w:val="center"/>
          </w:tcPr>
          <w:p w14:paraId="7716BB24" w14:textId="77777777" w:rsidR="00642822" w:rsidRDefault="00642822" w:rsidP="00B6186D">
            <w:pPr>
              <w:spacing w:before="0" w:after="0"/>
              <w:rPr>
                <w:rFonts w:ascii="Arial" w:hAnsi="Arial" w:cs="Arial"/>
                <w:bCs/>
                <w:color w:val="000000"/>
                <w:sz w:val="16"/>
                <w:szCs w:val="16"/>
                <w:lang w:val="en-AU" w:eastAsia="en-AU"/>
              </w:rPr>
            </w:pPr>
            <w:r w:rsidRPr="00A6026E">
              <w:rPr>
                <w:rFonts w:ascii="Arial" w:hAnsi="Arial" w:cs="Arial"/>
                <w:bCs/>
                <w:color w:val="000000"/>
                <w:sz w:val="16"/>
                <w:szCs w:val="16"/>
                <w:lang w:val="en-AU" w:eastAsia="en-AU"/>
              </w:rPr>
              <w:t>Continued on next page</w:t>
            </w:r>
          </w:p>
          <w:p w14:paraId="074BEFA1" w14:textId="77777777" w:rsidR="00A32FA3" w:rsidRDefault="00A32FA3" w:rsidP="00B6186D">
            <w:pPr>
              <w:spacing w:before="0" w:after="0"/>
              <w:rPr>
                <w:rFonts w:ascii="Arial" w:hAnsi="Arial" w:cs="Arial"/>
                <w:bCs/>
                <w:color w:val="000000"/>
                <w:sz w:val="16"/>
                <w:szCs w:val="16"/>
                <w:lang w:val="en-AU" w:eastAsia="en-AU"/>
              </w:rPr>
            </w:pPr>
          </w:p>
          <w:p w14:paraId="0734B8BA" w14:textId="77777777" w:rsidR="00A32FA3" w:rsidRDefault="00A32FA3" w:rsidP="00B6186D">
            <w:pPr>
              <w:spacing w:before="0" w:after="0"/>
              <w:rPr>
                <w:rFonts w:ascii="Arial" w:hAnsi="Arial" w:cs="Arial"/>
                <w:bCs/>
                <w:color w:val="000000"/>
                <w:sz w:val="16"/>
                <w:szCs w:val="16"/>
                <w:lang w:val="en-AU" w:eastAsia="en-AU"/>
              </w:rPr>
            </w:pPr>
          </w:p>
          <w:p w14:paraId="0C9F64C1" w14:textId="77777777" w:rsidR="00A32FA3" w:rsidRDefault="00A32FA3" w:rsidP="00B6186D">
            <w:pPr>
              <w:spacing w:before="0" w:after="0"/>
              <w:rPr>
                <w:rFonts w:ascii="Arial" w:hAnsi="Arial" w:cs="Arial"/>
                <w:bCs/>
                <w:color w:val="000000"/>
                <w:sz w:val="16"/>
                <w:szCs w:val="16"/>
                <w:lang w:val="en-AU" w:eastAsia="en-AU"/>
              </w:rPr>
            </w:pPr>
          </w:p>
          <w:p w14:paraId="59E907E5" w14:textId="77777777" w:rsidR="00A32FA3" w:rsidRDefault="00A32FA3" w:rsidP="00B6186D">
            <w:pPr>
              <w:spacing w:before="0" w:after="0"/>
              <w:rPr>
                <w:rFonts w:ascii="Arial" w:hAnsi="Arial" w:cs="Arial"/>
                <w:bCs/>
                <w:color w:val="000000"/>
                <w:sz w:val="16"/>
                <w:szCs w:val="16"/>
                <w:lang w:val="en-AU" w:eastAsia="en-AU"/>
              </w:rPr>
            </w:pPr>
          </w:p>
          <w:p w14:paraId="5BE0B67B" w14:textId="77777777" w:rsidR="00A32FA3" w:rsidRDefault="00A32FA3" w:rsidP="00B6186D">
            <w:pPr>
              <w:spacing w:before="0" w:after="0"/>
              <w:rPr>
                <w:rFonts w:ascii="Arial" w:hAnsi="Arial" w:cs="Arial"/>
                <w:bCs/>
                <w:color w:val="000000"/>
                <w:sz w:val="16"/>
                <w:szCs w:val="16"/>
                <w:lang w:val="en-AU" w:eastAsia="en-AU"/>
              </w:rPr>
            </w:pPr>
          </w:p>
          <w:p w14:paraId="56C561CD" w14:textId="77777777" w:rsidR="00A32FA3" w:rsidRPr="00A6026E" w:rsidRDefault="00A32FA3" w:rsidP="00B6186D">
            <w:pPr>
              <w:spacing w:before="0" w:after="0"/>
              <w:rPr>
                <w:rFonts w:ascii="Arial" w:hAnsi="Arial" w:cs="Arial"/>
                <w:bCs/>
                <w:color w:val="000000"/>
                <w:sz w:val="16"/>
                <w:szCs w:val="16"/>
                <w:lang w:val="en-AU" w:eastAsia="en-AU"/>
              </w:rPr>
            </w:pPr>
          </w:p>
          <w:p w14:paraId="3E164A17" w14:textId="77777777" w:rsidR="00642822" w:rsidRPr="00A6026E" w:rsidRDefault="00642822" w:rsidP="00B6186D">
            <w:pPr>
              <w:spacing w:before="0" w:after="0"/>
              <w:rPr>
                <w:rFonts w:ascii="Arial" w:hAnsi="Arial" w:cs="Arial"/>
                <w:bCs/>
                <w:color w:val="000000"/>
                <w:sz w:val="16"/>
                <w:szCs w:val="16"/>
                <w:lang w:val="en-AU" w:eastAsia="en-AU"/>
              </w:rPr>
            </w:pPr>
          </w:p>
          <w:p w14:paraId="7825317D" w14:textId="77777777" w:rsidR="00642822" w:rsidRPr="00A6026E" w:rsidRDefault="00642822" w:rsidP="00B6186D">
            <w:pPr>
              <w:spacing w:before="0" w:after="0"/>
              <w:rPr>
                <w:rFonts w:ascii="Arial" w:hAnsi="Arial" w:cs="Arial"/>
                <w:bCs/>
                <w:color w:val="000000"/>
                <w:sz w:val="16"/>
                <w:szCs w:val="16"/>
                <w:lang w:val="en-AU" w:eastAsia="en-AU"/>
              </w:rPr>
            </w:pPr>
          </w:p>
        </w:tc>
        <w:tc>
          <w:tcPr>
            <w:tcW w:w="734" w:type="dxa"/>
            <w:tcBorders>
              <w:top w:val="double" w:sz="4" w:space="0" w:color="auto"/>
            </w:tcBorders>
            <w:shd w:val="clear" w:color="auto" w:fill="auto"/>
            <w:noWrap/>
            <w:vAlign w:val="center"/>
          </w:tcPr>
          <w:p w14:paraId="45E88025"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0388EF7A"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757BB3E"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BB6FB89"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75DC9194"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29C9E0AA"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40BCA403"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1FECE128"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5D867BBE"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0B461B6B"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1B9680DC"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77DA391B"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09CDC210"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59AA007"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07F9F993" w14:textId="77777777" w:rsidR="00642822" w:rsidRPr="00A6026E" w:rsidRDefault="00642822" w:rsidP="00B6186D">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1BE82564" w14:textId="77777777" w:rsidR="00642822" w:rsidRPr="00A6026E" w:rsidRDefault="00642822" w:rsidP="00B6186D">
            <w:pPr>
              <w:spacing w:before="0" w:after="0"/>
              <w:jc w:val="center"/>
              <w:rPr>
                <w:rFonts w:ascii="Arial" w:hAnsi="Arial" w:cs="Arial"/>
                <w:color w:val="000000"/>
                <w:sz w:val="16"/>
                <w:szCs w:val="16"/>
                <w:lang w:val="en-AU" w:eastAsia="en-AU"/>
              </w:rPr>
            </w:pPr>
          </w:p>
        </w:tc>
      </w:tr>
      <w:tr w:rsidR="00642822" w:rsidRPr="00A6026E" w14:paraId="113E9145" w14:textId="77777777" w:rsidTr="003561A9">
        <w:trPr>
          <w:trHeight w:val="225"/>
          <w:jc w:val="center"/>
        </w:trPr>
        <w:tc>
          <w:tcPr>
            <w:tcW w:w="2291" w:type="dxa"/>
            <w:tcBorders>
              <w:left w:val="double" w:sz="6" w:space="0" w:color="auto"/>
              <w:bottom w:val="single" w:sz="4" w:space="0" w:color="BFBFBF"/>
              <w:right w:val="nil"/>
            </w:tcBorders>
            <w:shd w:val="clear" w:color="auto" w:fill="auto"/>
            <w:noWrap/>
            <w:vAlign w:val="center"/>
          </w:tcPr>
          <w:p w14:paraId="79D858D7" w14:textId="77777777" w:rsidR="00642822" w:rsidRPr="00A6026E" w:rsidRDefault="00642822" w:rsidP="00B6186D">
            <w:pPr>
              <w:spacing w:before="0" w:after="0"/>
              <w:rPr>
                <w:rFonts w:ascii="Arial" w:hAnsi="Arial" w:cs="Arial"/>
                <w:b/>
                <w:bCs/>
                <w:color w:val="000000"/>
                <w:sz w:val="16"/>
                <w:szCs w:val="16"/>
                <w:lang w:val="en-AU" w:eastAsia="en-AU"/>
              </w:rPr>
            </w:pPr>
          </w:p>
          <w:p w14:paraId="7BD5169B" w14:textId="77777777" w:rsidR="00642822" w:rsidRPr="00A6026E" w:rsidRDefault="00642822"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Concession Status -</w:t>
            </w:r>
          </w:p>
        </w:tc>
        <w:tc>
          <w:tcPr>
            <w:tcW w:w="734" w:type="dxa"/>
            <w:tcBorders>
              <w:left w:val="single" w:sz="4" w:space="0" w:color="auto"/>
              <w:bottom w:val="single" w:sz="4" w:space="0" w:color="BFBFBF"/>
              <w:right w:val="single" w:sz="4" w:space="0" w:color="BFBFBF"/>
            </w:tcBorders>
            <w:shd w:val="clear" w:color="auto" w:fill="auto"/>
            <w:noWrap/>
            <w:vAlign w:val="center"/>
          </w:tcPr>
          <w:p w14:paraId="38D124B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4A7AED7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68F54F7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auto"/>
            </w:tcBorders>
            <w:shd w:val="clear" w:color="auto" w:fill="auto"/>
            <w:noWrap/>
            <w:vAlign w:val="center"/>
          </w:tcPr>
          <w:p w14:paraId="25F6628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782E5D6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25C3525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513B173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62F7897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4D61F2F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auto"/>
            </w:tcBorders>
            <w:shd w:val="clear" w:color="auto" w:fill="auto"/>
            <w:noWrap/>
            <w:vAlign w:val="center"/>
          </w:tcPr>
          <w:p w14:paraId="41B40D2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3368ABC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5193477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1A28727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1CBC5D2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014F83A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left w:val="nil"/>
              <w:bottom w:val="single" w:sz="4" w:space="0" w:color="BFBFBF"/>
              <w:right w:val="double" w:sz="6" w:space="0" w:color="auto"/>
            </w:tcBorders>
            <w:shd w:val="clear" w:color="auto" w:fill="auto"/>
            <w:noWrap/>
            <w:vAlign w:val="center"/>
          </w:tcPr>
          <w:p w14:paraId="627A849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642822" w:rsidRPr="00A6026E" w14:paraId="3F017095"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2857CA47"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Aged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AF7C0D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1DADB0A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BFBFBF"/>
            </w:tcBorders>
            <w:shd w:val="clear" w:color="auto" w:fill="auto"/>
            <w:noWrap/>
            <w:vAlign w:val="center"/>
          </w:tcPr>
          <w:p w14:paraId="2B5FBC0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auto"/>
            </w:tcBorders>
            <w:shd w:val="clear" w:color="auto" w:fill="auto"/>
            <w:noWrap/>
            <w:vAlign w:val="center"/>
          </w:tcPr>
          <w:p w14:paraId="12BC666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60B24B4C"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32FF8B6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296</w:t>
            </w:r>
          </w:p>
        </w:tc>
        <w:tc>
          <w:tcPr>
            <w:tcW w:w="734" w:type="dxa"/>
            <w:tcBorders>
              <w:top w:val="nil"/>
              <w:left w:val="nil"/>
              <w:bottom w:val="single" w:sz="4" w:space="0" w:color="BFBFBF"/>
              <w:right w:val="single" w:sz="4" w:space="0" w:color="BFBFBF"/>
            </w:tcBorders>
            <w:shd w:val="clear" w:color="auto" w:fill="auto"/>
            <w:noWrap/>
            <w:vAlign w:val="center"/>
          </w:tcPr>
          <w:p w14:paraId="1094FF9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F1DE44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142</w:t>
            </w:r>
          </w:p>
        </w:tc>
        <w:tc>
          <w:tcPr>
            <w:tcW w:w="734" w:type="dxa"/>
            <w:tcBorders>
              <w:top w:val="nil"/>
              <w:left w:val="nil"/>
              <w:bottom w:val="single" w:sz="4" w:space="0" w:color="BFBFBF"/>
              <w:right w:val="single" w:sz="4" w:space="0" w:color="BFBFBF"/>
            </w:tcBorders>
            <w:shd w:val="clear" w:color="auto" w:fill="auto"/>
            <w:noWrap/>
            <w:vAlign w:val="center"/>
          </w:tcPr>
          <w:p w14:paraId="78CC2A6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139</w:t>
            </w:r>
          </w:p>
        </w:tc>
        <w:tc>
          <w:tcPr>
            <w:tcW w:w="734" w:type="dxa"/>
            <w:tcBorders>
              <w:top w:val="nil"/>
              <w:left w:val="nil"/>
              <w:bottom w:val="single" w:sz="4" w:space="0" w:color="BFBFBF"/>
              <w:right w:val="single" w:sz="4" w:space="0" w:color="auto"/>
            </w:tcBorders>
            <w:shd w:val="clear" w:color="auto" w:fill="auto"/>
            <w:noWrap/>
            <w:vAlign w:val="center"/>
          </w:tcPr>
          <w:p w14:paraId="4B836F6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734" w:type="dxa"/>
            <w:tcBorders>
              <w:top w:val="nil"/>
              <w:left w:val="nil"/>
              <w:bottom w:val="single" w:sz="4" w:space="0" w:color="BFBFBF"/>
              <w:right w:val="single" w:sz="4" w:space="0" w:color="BFBFBF"/>
            </w:tcBorders>
            <w:shd w:val="clear" w:color="auto" w:fill="auto"/>
            <w:noWrap/>
            <w:vAlign w:val="center"/>
          </w:tcPr>
          <w:p w14:paraId="0C54E4D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2FDB9E3D"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167</w:t>
            </w:r>
          </w:p>
        </w:tc>
        <w:tc>
          <w:tcPr>
            <w:tcW w:w="734" w:type="dxa"/>
            <w:tcBorders>
              <w:top w:val="nil"/>
              <w:left w:val="nil"/>
              <w:bottom w:val="single" w:sz="4" w:space="0" w:color="BFBFBF"/>
              <w:right w:val="single" w:sz="4" w:space="0" w:color="BFBFBF"/>
            </w:tcBorders>
            <w:shd w:val="clear" w:color="auto" w:fill="auto"/>
            <w:noWrap/>
            <w:vAlign w:val="center"/>
          </w:tcPr>
          <w:p w14:paraId="1752625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90%</w:t>
            </w:r>
          </w:p>
        </w:tc>
        <w:tc>
          <w:tcPr>
            <w:tcW w:w="734" w:type="dxa"/>
            <w:tcBorders>
              <w:top w:val="nil"/>
              <w:left w:val="nil"/>
              <w:bottom w:val="single" w:sz="4" w:space="0" w:color="BFBFBF"/>
              <w:right w:val="single" w:sz="4" w:space="0" w:color="BFBFBF"/>
            </w:tcBorders>
            <w:shd w:val="clear" w:color="auto" w:fill="auto"/>
            <w:noWrap/>
            <w:vAlign w:val="center"/>
          </w:tcPr>
          <w:p w14:paraId="4E93E88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1B4BF74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73</w:t>
            </w:r>
          </w:p>
        </w:tc>
        <w:tc>
          <w:tcPr>
            <w:tcW w:w="734" w:type="dxa"/>
            <w:tcBorders>
              <w:top w:val="nil"/>
              <w:left w:val="nil"/>
              <w:bottom w:val="single" w:sz="4" w:space="0" w:color="BFBFBF"/>
              <w:right w:val="double" w:sz="6" w:space="0" w:color="auto"/>
            </w:tcBorders>
            <w:shd w:val="clear" w:color="auto" w:fill="auto"/>
            <w:noWrap/>
            <w:vAlign w:val="center"/>
          </w:tcPr>
          <w:p w14:paraId="4C5A4B2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r>
      <w:tr w:rsidR="00642822" w:rsidRPr="00A6026E" w14:paraId="20DB8B70"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3548C910"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Other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45648D9"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BFBFBF"/>
            </w:tcBorders>
            <w:shd w:val="clear" w:color="auto" w:fill="auto"/>
            <w:noWrap/>
            <w:vAlign w:val="center"/>
          </w:tcPr>
          <w:p w14:paraId="3D35851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493FE8D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auto"/>
            </w:tcBorders>
            <w:shd w:val="clear" w:color="auto" w:fill="auto"/>
            <w:noWrap/>
            <w:vAlign w:val="center"/>
          </w:tcPr>
          <w:p w14:paraId="33D5963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734" w:type="dxa"/>
            <w:tcBorders>
              <w:top w:val="nil"/>
              <w:left w:val="nil"/>
              <w:bottom w:val="single" w:sz="4" w:space="0" w:color="BFBFBF"/>
              <w:right w:val="single" w:sz="4" w:space="0" w:color="BFBFBF"/>
            </w:tcBorders>
            <w:shd w:val="clear" w:color="auto" w:fill="auto"/>
            <w:noWrap/>
            <w:vAlign w:val="center"/>
          </w:tcPr>
          <w:p w14:paraId="23F0A8B4"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6284CA5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363</w:t>
            </w:r>
          </w:p>
        </w:tc>
        <w:tc>
          <w:tcPr>
            <w:tcW w:w="734" w:type="dxa"/>
            <w:tcBorders>
              <w:top w:val="nil"/>
              <w:left w:val="nil"/>
              <w:bottom w:val="single" w:sz="4" w:space="0" w:color="BFBFBF"/>
              <w:right w:val="single" w:sz="4" w:space="0" w:color="BFBFBF"/>
            </w:tcBorders>
            <w:shd w:val="clear" w:color="auto" w:fill="auto"/>
            <w:noWrap/>
            <w:vAlign w:val="center"/>
          </w:tcPr>
          <w:p w14:paraId="1B54753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12212BC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202</w:t>
            </w:r>
          </w:p>
        </w:tc>
        <w:tc>
          <w:tcPr>
            <w:tcW w:w="734" w:type="dxa"/>
            <w:tcBorders>
              <w:top w:val="nil"/>
              <w:left w:val="nil"/>
              <w:bottom w:val="single" w:sz="4" w:space="0" w:color="BFBFBF"/>
              <w:right w:val="single" w:sz="4" w:space="0" w:color="BFBFBF"/>
            </w:tcBorders>
            <w:shd w:val="clear" w:color="auto" w:fill="auto"/>
            <w:noWrap/>
            <w:vAlign w:val="center"/>
          </w:tcPr>
          <w:p w14:paraId="1D9A1E2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166</w:t>
            </w:r>
          </w:p>
        </w:tc>
        <w:tc>
          <w:tcPr>
            <w:tcW w:w="734" w:type="dxa"/>
            <w:tcBorders>
              <w:top w:val="nil"/>
              <w:left w:val="nil"/>
              <w:bottom w:val="single" w:sz="4" w:space="0" w:color="BFBFBF"/>
              <w:right w:val="single" w:sz="4" w:space="0" w:color="auto"/>
            </w:tcBorders>
            <w:shd w:val="clear" w:color="auto" w:fill="auto"/>
            <w:noWrap/>
            <w:vAlign w:val="center"/>
          </w:tcPr>
          <w:p w14:paraId="3C82BCD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134</w:t>
            </w:r>
          </w:p>
        </w:tc>
        <w:tc>
          <w:tcPr>
            <w:tcW w:w="734" w:type="dxa"/>
            <w:tcBorders>
              <w:top w:val="nil"/>
              <w:left w:val="nil"/>
              <w:bottom w:val="single" w:sz="4" w:space="0" w:color="BFBFBF"/>
              <w:right w:val="single" w:sz="4" w:space="0" w:color="BFBFBF"/>
            </w:tcBorders>
            <w:shd w:val="clear" w:color="auto" w:fill="auto"/>
            <w:noWrap/>
            <w:vAlign w:val="center"/>
          </w:tcPr>
          <w:p w14:paraId="7E9370AC"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734" w:type="dxa"/>
            <w:tcBorders>
              <w:top w:val="nil"/>
              <w:left w:val="nil"/>
              <w:bottom w:val="single" w:sz="4" w:space="0" w:color="BFBFBF"/>
              <w:right w:val="single" w:sz="4" w:space="0" w:color="BFBFBF"/>
            </w:tcBorders>
            <w:shd w:val="clear" w:color="auto" w:fill="auto"/>
            <w:noWrap/>
            <w:vAlign w:val="center"/>
          </w:tcPr>
          <w:p w14:paraId="79567E40"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173</w:t>
            </w:r>
          </w:p>
        </w:tc>
        <w:tc>
          <w:tcPr>
            <w:tcW w:w="734" w:type="dxa"/>
            <w:tcBorders>
              <w:top w:val="nil"/>
              <w:left w:val="nil"/>
              <w:bottom w:val="single" w:sz="4" w:space="0" w:color="BFBFBF"/>
              <w:right w:val="single" w:sz="4" w:space="0" w:color="BFBFBF"/>
            </w:tcBorders>
            <w:shd w:val="clear" w:color="auto" w:fill="auto"/>
            <w:noWrap/>
            <w:vAlign w:val="center"/>
          </w:tcPr>
          <w:p w14:paraId="0636628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63%</w:t>
            </w:r>
          </w:p>
        </w:tc>
        <w:tc>
          <w:tcPr>
            <w:tcW w:w="734" w:type="dxa"/>
            <w:tcBorders>
              <w:top w:val="nil"/>
              <w:left w:val="nil"/>
              <w:bottom w:val="single" w:sz="4" w:space="0" w:color="BFBFBF"/>
              <w:right w:val="single" w:sz="4" w:space="0" w:color="BFBFBF"/>
            </w:tcBorders>
            <w:shd w:val="clear" w:color="auto" w:fill="auto"/>
            <w:noWrap/>
            <w:vAlign w:val="center"/>
          </w:tcPr>
          <w:p w14:paraId="6F6F741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78</w:t>
            </w:r>
          </w:p>
        </w:tc>
        <w:tc>
          <w:tcPr>
            <w:tcW w:w="734" w:type="dxa"/>
            <w:tcBorders>
              <w:top w:val="nil"/>
              <w:left w:val="nil"/>
              <w:bottom w:val="single" w:sz="4" w:space="0" w:color="BFBFBF"/>
              <w:right w:val="single" w:sz="4" w:space="0" w:color="BFBFBF"/>
            </w:tcBorders>
            <w:shd w:val="clear" w:color="auto" w:fill="auto"/>
            <w:noWrap/>
            <w:vAlign w:val="center"/>
          </w:tcPr>
          <w:p w14:paraId="21C5916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w:t>
            </w:r>
          </w:p>
        </w:tc>
        <w:tc>
          <w:tcPr>
            <w:tcW w:w="734" w:type="dxa"/>
            <w:tcBorders>
              <w:top w:val="nil"/>
              <w:left w:val="nil"/>
              <w:bottom w:val="single" w:sz="4" w:space="0" w:color="BFBFBF"/>
              <w:right w:val="double" w:sz="6" w:space="0" w:color="auto"/>
            </w:tcBorders>
            <w:shd w:val="clear" w:color="auto" w:fill="auto"/>
            <w:noWrap/>
            <w:vAlign w:val="center"/>
          </w:tcPr>
          <w:p w14:paraId="336766B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r>
      <w:tr w:rsidR="00642822" w:rsidRPr="00A6026E" w14:paraId="1A69D08F"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21811A30"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Total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0D65663"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89%</w:t>
            </w:r>
          </w:p>
        </w:tc>
        <w:tc>
          <w:tcPr>
            <w:tcW w:w="734" w:type="dxa"/>
            <w:tcBorders>
              <w:top w:val="nil"/>
              <w:left w:val="nil"/>
              <w:bottom w:val="single" w:sz="4" w:space="0" w:color="BFBFBF"/>
              <w:right w:val="single" w:sz="4" w:space="0" w:color="BFBFBF"/>
            </w:tcBorders>
            <w:shd w:val="clear" w:color="auto" w:fill="auto"/>
            <w:noWrap/>
            <w:vAlign w:val="center"/>
          </w:tcPr>
          <w:p w14:paraId="69BD019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90%</w:t>
            </w:r>
          </w:p>
        </w:tc>
        <w:tc>
          <w:tcPr>
            <w:tcW w:w="734" w:type="dxa"/>
            <w:tcBorders>
              <w:top w:val="nil"/>
              <w:left w:val="nil"/>
              <w:bottom w:val="single" w:sz="4" w:space="0" w:color="BFBFBF"/>
              <w:right w:val="single" w:sz="4" w:space="0" w:color="BFBFBF"/>
            </w:tcBorders>
            <w:shd w:val="clear" w:color="auto" w:fill="auto"/>
            <w:noWrap/>
            <w:vAlign w:val="center"/>
          </w:tcPr>
          <w:p w14:paraId="12F2A77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90%</w:t>
            </w:r>
          </w:p>
        </w:tc>
        <w:tc>
          <w:tcPr>
            <w:tcW w:w="734" w:type="dxa"/>
            <w:tcBorders>
              <w:top w:val="nil"/>
              <w:left w:val="nil"/>
              <w:bottom w:val="single" w:sz="4" w:space="0" w:color="BFBFBF"/>
              <w:right w:val="single" w:sz="4" w:space="0" w:color="auto"/>
            </w:tcBorders>
            <w:shd w:val="clear" w:color="auto" w:fill="auto"/>
            <w:noWrap/>
            <w:vAlign w:val="center"/>
          </w:tcPr>
          <w:p w14:paraId="020E6CA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80%</w:t>
            </w:r>
          </w:p>
        </w:tc>
        <w:tc>
          <w:tcPr>
            <w:tcW w:w="734" w:type="dxa"/>
            <w:tcBorders>
              <w:top w:val="nil"/>
              <w:left w:val="nil"/>
              <w:bottom w:val="single" w:sz="4" w:space="0" w:color="BFBFBF"/>
              <w:right w:val="single" w:sz="4" w:space="0" w:color="BFBFBF"/>
            </w:tcBorders>
            <w:shd w:val="clear" w:color="auto" w:fill="auto"/>
            <w:noWrap/>
            <w:vAlign w:val="center"/>
          </w:tcPr>
          <w:p w14:paraId="7E69F00B"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412ABF7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328</w:t>
            </w:r>
          </w:p>
        </w:tc>
        <w:tc>
          <w:tcPr>
            <w:tcW w:w="734" w:type="dxa"/>
            <w:tcBorders>
              <w:top w:val="nil"/>
              <w:left w:val="nil"/>
              <w:bottom w:val="single" w:sz="4" w:space="0" w:color="BFBFBF"/>
              <w:right w:val="single" w:sz="4" w:space="0" w:color="BFBFBF"/>
            </w:tcBorders>
            <w:shd w:val="clear" w:color="auto" w:fill="auto"/>
            <w:noWrap/>
            <w:vAlign w:val="center"/>
          </w:tcPr>
          <w:p w14:paraId="2001527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6DC5653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169</w:t>
            </w:r>
          </w:p>
        </w:tc>
        <w:tc>
          <w:tcPr>
            <w:tcW w:w="734" w:type="dxa"/>
            <w:tcBorders>
              <w:top w:val="nil"/>
              <w:left w:val="nil"/>
              <w:bottom w:val="single" w:sz="4" w:space="0" w:color="BFBFBF"/>
              <w:right w:val="single" w:sz="4" w:space="0" w:color="BFBFBF"/>
            </w:tcBorders>
            <w:shd w:val="clear" w:color="auto" w:fill="auto"/>
            <w:noWrap/>
            <w:vAlign w:val="center"/>
          </w:tcPr>
          <w:p w14:paraId="48C8BB7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151</w:t>
            </w:r>
          </w:p>
        </w:tc>
        <w:tc>
          <w:tcPr>
            <w:tcW w:w="734" w:type="dxa"/>
            <w:tcBorders>
              <w:top w:val="nil"/>
              <w:left w:val="nil"/>
              <w:bottom w:val="single" w:sz="4" w:space="0" w:color="BFBFBF"/>
              <w:right w:val="single" w:sz="4" w:space="0" w:color="auto"/>
            </w:tcBorders>
            <w:shd w:val="clear" w:color="auto" w:fill="auto"/>
            <w:noWrap/>
            <w:vAlign w:val="center"/>
          </w:tcPr>
          <w:p w14:paraId="57CD490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111</w:t>
            </w:r>
          </w:p>
        </w:tc>
        <w:tc>
          <w:tcPr>
            <w:tcW w:w="734" w:type="dxa"/>
            <w:tcBorders>
              <w:top w:val="nil"/>
              <w:left w:val="nil"/>
              <w:bottom w:val="single" w:sz="4" w:space="0" w:color="BFBFBF"/>
              <w:right w:val="single" w:sz="4" w:space="0" w:color="BFBFBF"/>
            </w:tcBorders>
            <w:shd w:val="clear" w:color="auto" w:fill="auto"/>
            <w:noWrap/>
            <w:vAlign w:val="center"/>
          </w:tcPr>
          <w:p w14:paraId="7978831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734" w:type="dxa"/>
            <w:tcBorders>
              <w:top w:val="nil"/>
              <w:left w:val="nil"/>
              <w:bottom w:val="single" w:sz="4" w:space="0" w:color="BFBFBF"/>
              <w:right w:val="single" w:sz="4" w:space="0" w:color="BFBFBF"/>
            </w:tcBorders>
            <w:shd w:val="clear" w:color="auto" w:fill="auto"/>
            <w:noWrap/>
            <w:vAlign w:val="center"/>
          </w:tcPr>
          <w:p w14:paraId="1F49DD81"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169</w:t>
            </w:r>
          </w:p>
        </w:tc>
        <w:tc>
          <w:tcPr>
            <w:tcW w:w="734" w:type="dxa"/>
            <w:tcBorders>
              <w:top w:val="nil"/>
              <w:left w:val="nil"/>
              <w:bottom w:val="single" w:sz="4" w:space="0" w:color="BFBFBF"/>
              <w:right w:val="single" w:sz="4" w:space="0" w:color="BFBFBF"/>
            </w:tcBorders>
            <w:shd w:val="clear" w:color="auto" w:fill="auto"/>
            <w:noWrap/>
            <w:vAlign w:val="center"/>
          </w:tcPr>
          <w:p w14:paraId="6FC350B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78%</w:t>
            </w:r>
          </w:p>
        </w:tc>
        <w:tc>
          <w:tcPr>
            <w:tcW w:w="734" w:type="dxa"/>
            <w:tcBorders>
              <w:top w:val="nil"/>
              <w:left w:val="nil"/>
              <w:bottom w:val="single" w:sz="4" w:space="0" w:color="BFBFBF"/>
              <w:right w:val="single" w:sz="4" w:space="0" w:color="BFBFBF"/>
            </w:tcBorders>
            <w:shd w:val="clear" w:color="auto" w:fill="auto"/>
            <w:noWrap/>
            <w:vAlign w:val="center"/>
          </w:tcPr>
          <w:p w14:paraId="32FD495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80</w:t>
            </w:r>
          </w:p>
        </w:tc>
        <w:tc>
          <w:tcPr>
            <w:tcW w:w="734" w:type="dxa"/>
            <w:tcBorders>
              <w:top w:val="nil"/>
              <w:left w:val="nil"/>
              <w:bottom w:val="single" w:sz="4" w:space="0" w:color="BFBFBF"/>
              <w:right w:val="single" w:sz="4" w:space="0" w:color="BFBFBF"/>
            </w:tcBorders>
            <w:shd w:val="clear" w:color="auto" w:fill="auto"/>
            <w:noWrap/>
            <w:vAlign w:val="center"/>
          </w:tcPr>
          <w:p w14:paraId="39F2563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734" w:type="dxa"/>
            <w:tcBorders>
              <w:top w:val="nil"/>
              <w:left w:val="nil"/>
              <w:bottom w:val="single" w:sz="4" w:space="0" w:color="BFBFBF"/>
              <w:right w:val="double" w:sz="6" w:space="0" w:color="auto"/>
            </w:tcBorders>
            <w:shd w:val="clear" w:color="auto" w:fill="auto"/>
            <w:noWrap/>
            <w:vAlign w:val="center"/>
          </w:tcPr>
          <w:p w14:paraId="20E2086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89</w:t>
            </w:r>
          </w:p>
        </w:tc>
      </w:tr>
      <w:tr w:rsidR="00642822" w:rsidRPr="00A6026E" w14:paraId="0D1B76C4"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6872AFB3"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Non-Concession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2CB573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BFBFBF"/>
            </w:tcBorders>
            <w:shd w:val="clear" w:color="auto" w:fill="auto"/>
            <w:noWrap/>
            <w:vAlign w:val="center"/>
          </w:tcPr>
          <w:p w14:paraId="1DDED0F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BFBFBF"/>
            </w:tcBorders>
            <w:shd w:val="clear" w:color="auto" w:fill="auto"/>
            <w:noWrap/>
            <w:vAlign w:val="center"/>
          </w:tcPr>
          <w:p w14:paraId="0803A61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auto"/>
            </w:tcBorders>
            <w:shd w:val="clear" w:color="auto" w:fill="auto"/>
            <w:noWrap/>
            <w:vAlign w:val="center"/>
          </w:tcPr>
          <w:p w14:paraId="0F06AA3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0DBC401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09F2A85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408</w:t>
            </w:r>
          </w:p>
        </w:tc>
        <w:tc>
          <w:tcPr>
            <w:tcW w:w="734" w:type="dxa"/>
            <w:tcBorders>
              <w:top w:val="nil"/>
              <w:left w:val="nil"/>
              <w:bottom w:val="single" w:sz="4" w:space="0" w:color="BFBFBF"/>
              <w:right w:val="single" w:sz="4" w:space="0" w:color="BFBFBF"/>
            </w:tcBorders>
            <w:shd w:val="clear" w:color="auto" w:fill="auto"/>
            <w:noWrap/>
            <w:vAlign w:val="center"/>
          </w:tcPr>
          <w:p w14:paraId="3D30D51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156CACA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190</w:t>
            </w:r>
          </w:p>
        </w:tc>
        <w:tc>
          <w:tcPr>
            <w:tcW w:w="734" w:type="dxa"/>
            <w:tcBorders>
              <w:top w:val="nil"/>
              <w:left w:val="nil"/>
              <w:bottom w:val="single" w:sz="4" w:space="0" w:color="BFBFBF"/>
              <w:right w:val="single" w:sz="4" w:space="0" w:color="BFBFBF"/>
            </w:tcBorders>
            <w:shd w:val="clear" w:color="auto" w:fill="auto"/>
            <w:noWrap/>
            <w:vAlign w:val="center"/>
          </w:tcPr>
          <w:p w14:paraId="05274FF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176</w:t>
            </w:r>
          </w:p>
        </w:tc>
        <w:tc>
          <w:tcPr>
            <w:tcW w:w="734" w:type="dxa"/>
            <w:tcBorders>
              <w:top w:val="nil"/>
              <w:left w:val="nil"/>
              <w:bottom w:val="single" w:sz="4" w:space="0" w:color="BFBFBF"/>
              <w:right w:val="single" w:sz="4" w:space="0" w:color="auto"/>
            </w:tcBorders>
            <w:shd w:val="clear" w:color="auto" w:fill="auto"/>
            <w:noWrap/>
            <w:vAlign w:val="center"/>
          </w:tcPr>
          <w:p w14:paraId="5033886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147</w:t>
            </w:r>
          </w:p>
        </w:tc>
        <w:tc>
          <w:tcPr>
            <w:tcW w:w="734" w:type="dxa"/>
            <w:tcBorders>
              <w:top w:val="nil"/>
              <w:left w:val="nil"/>
              <w:bottom w:val="single" w:sz="4" w:space="0" w:color="BFBFBF"/>
              <w:right w:val="single" w:sz="4" w:space="0" w:color="BFBFBF"/>
            </w:tcBorders>
            <w:shd w:val="clear" w:color="auto" w:fill="auto"/>
            <w:noWrap/>
            <w:vAlign w:val="center"/>
          </w:tcPr>
          <w:p w14:paraId="6404B0C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89%</w:t>
            </w:r>
          </w:p>
        </w:tc>
        <w:tc>
          <w:tcPr>
            <w:tcW w:w="734" w:type="dxa"/>
            <w:tcBorders>
              <w:top w:val="nil"/>
              <w:left w:val="nil"/>
              <w:bottom w:val="single" w:sz="4" w:space="0" w:color="BFBFBF"/>
              <w:right w:val="single" w:sz="4" w:space="0" w:color="BFBFBF"/>
            </w:tcBorders>
            <w:shd w:val="clear" w:color="auto" w:fill="auto"/>
            <w:noWrap/>
            <w:vAlign w:val="center"/>
          </w:tcPr>
          <w:p w14:paraId="22FFC36D"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172</w:t>
            </w:r>
          </w:p>
        </w:tc>
        <w:tc>
          <w:tcPr>
            <w:tcW w:w="734" w:type="dxa"/>
            <w:tcBorders>
              <w:top w:val="nil"/>
              <w:left w:val="nil"/>
              <w:bottom w:val="single" w:sz="4" w:space="0" w:color="BFBFBF"/>
              <w:right w:val="single" w:sz="4" w:space="0" w:color="BFBFBF"/>
            </w:tcBorders>
            <w:shd w:val="clear" w:color="auto" w:fill="auto"/>
            <w:noWrap/>
            <w:vAlign w:val="center"/>
          </w:tcPr>
          <w:p w14:paraId="48F8F85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BFBFBF"/>
            </w:tcBorders>
            <w:shd w:val="clear" w:color="auto" w:fill="auto"/>
            <w:noWrap/>
            <w:vAlign w:val="center"/>
          </w:tcPr>
          <w:p w14:paraId="125C60A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734" w:type="dxa"/>
            <w:tcBorders>
              <w:top w:val="nil"/>
              <w:left w:val="nil"/>
              <w:bottom w:val="single" w:sz="4" w:space="0" w:color="BFBFBF"/>
              <w:right w:val="single" w:sz="4" w:space="0" w:color="BFBFBF"/>
            </w:tcBorders>
            <w:shd w:val="clear" w:color="auto" w:fill="auto"/>
            <w:noWrap/>
            <w:vAlign w:val="center"/>
          </w:tcPr>
          <w:p w14:paraId="7CF5875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w:t>
            </w:r>
          </w:p>
        </w:tc>
        <w:tc>
          <w:tcPr>
            <w:tcW w:w="734" w:type="dxa"/>
            <w:tcBorders>
              <w:top w:val="nil"/>
              <w:left w:val="nil"/>
              <w:bottom w:val="single" w:sz="4" w:space="0" w:color="BFBFBF"/>
              <w:right w:val="double" w:sz="6" w:space="0" w:color="auto"/>
            </w:tcBorders>
            <w:shd w:val="clear" w:color="auto" w:fill="auto"/>
            <w:noWrap/>
            <w:vAlign w:val="center"/>
          </w:tcPr>
          <w:p w14:paraId="7256F5A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97</w:t>
            </w:r>
          </w:p>
        </w:tc>
      </w:tr>
      <w:tr w:rsidR="00642822" w:rsidRPr="00A6026E" w14:paraId="1CA52514"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71A8085A" w14:textId="77777777" w:rsidR="00642822" w:rsidRPr="00A6026E" w:rsidRDefault="00642822"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Household Size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6556C04"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61DB11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C1F9ED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441C7B2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3ACC4E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60BC8C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D22973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30F1A4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56FE9C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4168B59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90C099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DD909F4"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A5F812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CEB634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D4C830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4B4B23B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642822" w:rsidRPr="00A6026E" w14:paraId="4D3241B6"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068C39B3"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1 person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C8E3BCD"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BFBFBF"/>
            </w:tcBorders>
            <w:shd w:val="clear" w:color="auto" w:fill="auto"/>
            <w:noWrap/>
            <w:vAlign w:val="center"/>
          </w:tcPr>
          <w:p w14:paraId="0799150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16C829B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w:t>
            </w:r>
          </w:p>
        </w:tc>
        <w:tc>
          <w:tcPr>
            <w:tcW w:w="734" w:type="dxa"/>
            <w:tcBorders>
              <w:top w:val="nil"/>
              <w:left w:val="nil"/>
              <w:bottom w:val="single" w:sz="4" w:space="0" w:color="BFBFBF"/>
              <w:right w:val="single" w:sz="4" w:space="0" w:color="auto"/>
            </w:tcBorders>
            <w:shd w:val="clear" w:color="auto" w:fill="auto"/>
            <w:noWrap/>
            <w:vAlign w:val="center"/>
          </w:tcPr>
          <w:p w14:paraId="17F56DE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73%</w:t>
            </w:r>
          </w:p>
        </w:tc>
        <w:tc>
          <w:tcPr>
            <w:tcW w:w="734" w:type="dxa"/>
            <w:tcBorders>
              <w:top w:val="nil"/>
              <w:left w:val="nil"/>
              <w:bottom w:val="single" w:sz="4" w:space="0" w:color="BFBFBF"/>
              <w:right w:val="single" w:sz="4" w:space="0" w:color="BFBFBF"/>
            </w:tcBorders>
            <w:shd w:val="clear" w:color="auto" w:fill="auto"/>
            <w:noWrap/>
            <w:vAlign w:val="center"/>
          </w:tcPr>
          <w:p w14:paraId="3D87277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0502D30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193</w:t>
            </w:r>
          </w:p>
        </w:tc>
        <w:tc>
          <w:tcPr>
            <w:tcW w:w="734" w:type="dxa"/>
            <w:tcBorders>
              <w:top w:val="nil"/>
              <w:left w:val="nil"/>
              <w:bottom w:val="single" w:sz="4" w:space="0" w:color="BFBFBF"/>
              <w:right w:val="single" w:sz="4" w:space="0" w:color="BFBFBF"/>
            </w:tcBorders>
            <w:shd w:val="clear" w:color="auto" w:fill="auto"/>
            <w:noWrap/>
            <w:vAlign w:val="center"/>
          </w:tcPr>
          <w:p w14:paraId="5867A87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1BB691A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734" w:type="dxa"/>
            <w:tcBorders>
              <w:top w:val="nil"/>
              <w:left w:val="nil"/>
              <w:bottom w:val="single" w:sz="4" w:space="0" w:color="BFBFBF"/>
              <w:right w:val="single" w:sz="4" w:space="0" w:color="BFBFBF"/>
            </w:tcBorders>
            <w:shd w:val="clear" w:color="auto" w:fill="auto"/>
            <w:noWrap/>
            <w:vAlign w:val="center"/>
          </w:tcPr>
          <w:p w14:paraId="45FF9FB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118</w:t>
            </w:r>
          </w:p>
        </w:tc>
        <w:tc>
          <w:tcPr>
            <w:tcW w:w="734" w:type="dxa"/>
            <w:tcBorders>
              <w:top w:val="nil"/>
              <w:left w:val="nil"/>
              <w:bottom w:val="single" w:sz="4" w:space="0" w:color="BFBFBF"/>
              <w:right w:val="single" w:sz="4" w:space="0" w:color="auto"/>
            </w:tcBorders>
            <w:shd w:val="clear" w:color="auto" w:fill="auto"/>
            <w:noWrap/>
            <w:vAlign w:val="center"/>
          </w:tcPr>
          <w:p w14:paraId="7AA02C9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734" w:type="dxa"/>
            <w:tcBorders>
              <w:top w:val="nil"/>
              <w:left w:val="nil"/>
              <w:bottom w:val="single" w:sz="4" w:space="0" w:color="BFBFBF"/>
              <w:right w:val="single" w:sz="4" w:space="0" w:color="BFBFBF"/>
            </w:tcBorders>
            <w:shd w:val="clear" w:color="auto" w:fill="auto"/>
            <w:noWrap/>
            <w:vAlign w:val="center"/>
          </w:tcPr>
          <w:p w14:paraId="6DDA89C5"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BFBFBF"/>
            </w:tcBorders>
            <w:shd w:val="clear" w:color="auto" w:fill="auto"/>
            <w:noWrap/>
            <w:vAlign w:val="center"/>
          </w:tcPr>
          <w:p w14:paraId="73E4355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172</w:t>
            </w:r>
          </w:p>
        </w:tc>
        <w:tc>
          <w:tcPr>
            <w:tcW w:w="734" w:type="dxa"/>
            <w:tcBorders>
              <w:top w:val="nil"/>
              <w:left w:val="nil"/>
              <w:bottom w:val="single" w:sz="4" w:space="0" w:color="BFBFBF"/>
              <w:right w:val="single" w:sz="4" w:space="0" w:color="BFBFBF"/>
            </w:tcBorders>
            <w:shd w:val="clear" w:color="auto" w:fill="auto"/>
            <w:noWrap/>
            <w:vAlign w:val="center"/>
          </w:tcPr>
          <w:p w14:paraId="14DF1E4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4E9A45C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BFBFBF"/>
            </w:tcBorders>
            <w:shd w:val="clear" w:color="auto" w:fill="auto"/>
            <w:noWrap/>
            <w:vAlign w:val="center"/>
          </w:tcPr>
          <w:p w14:paraId="0F73493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59</w:t>
            </w:r>
          </w:p>
        </w:tc>
        <w:tc>
          <w:tcPr>
            <w:tcW w:w="734" w:type="dxa"/>
            <w:tcBorders>
              <w:top w:val="nil"/>
              <w:left w:val="nil"/>
              <w:bottom w:val="single" w:sz="4" w:space="0" w:color="BFBFBF"/>
              <w:right w:val="double" w:sz="6" w:space="0" w:color="auto"/>
            </w:tcBorders>
            <w:shd w:val="clear" w:color="auto" w:fill="auto"/>
            <w:noWrap/>
            <w:vAlign w:val="center"/>
          </w:tcPr>
          <w:p w14:paraId="54CCBB1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r>
      <w:tr w:rsidR="00642822" w:rsidRPr="00A6026E" w14:paraId="4A41F0F0"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1C0FD396"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2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634ED9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578CB53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BFBFBF"/>
            </w:tcBorders>
            <w:shd w:val="clear" w:color="auto" w:fill="auto"/>
            <w:noWrap/>
            <w:vAlign w:val="center"/>
          </w:tcPr>
          <w:p w14:paraId="4C10F19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auto"/>
            </w:tcBorders>
            <w:shd w:val="clear" w:color="auto" w:fill="auto"/>
            <w:noWrap/>
            <w:vAlign w:val="center"/>
          </w:tcPr>
          <w:p w14:paraId="4112372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72DABD90"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4CA73AD1"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338</w:t>
            </w:r>
          </w:p>
        </w:tc>
        <w:tc>
          <w:tcPr>
            <w:tcW w:w="734" w:type="dxa"/>
            <w:tcBorders>
              <w:top w:val="nil"/>
              <w:left w:val="nil"/>
              <w:bottom w:val="single" w:sz="4" w:space="0" w:color="BFBFBF"/>
              <w:right w:val="single" w:sz="4" w:space="0" w:color="BFBFBF"/>
            </w:tcBorders>
            <w:shd w:val="clear" w:color="auto" w:fill="auto"/>
            <w:noWrap/>
            <w:vAlign w:val="center"/>
          </w:tcPr>
          <w:p w14:paraId="4688475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7526495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158</w:t>
            </w:r>
          </w:p>
        </w:tc>
        <w:tc>
          <w:tcPr>
            <w:tcW w:w="734" w:type="dxa"/>
            <w:tcBorders>
              <w:top w:val="nil"/>
              <w:left w:val="nil"/>
              <w:bottom w:val="single" w:sz="4" w:space="0" w:color="BFBFBF"/>
              <w:right w:val="single" w:sz="4" w:space="0" w:color="BFBFBF"/>
            </w:tcBorders>
            <w:shd w:val="clear" w:color="auto" w:fill="auto"/>
            <w:noWrap/>
            <w:vAlign w:val="center"/>
          </w:tcPr>
          <w:p w14:paraId="58D7B1C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161</w:t>
            </w:r>
          </w:p>
        </w:tc>
        <w:tc>
          <w:tcPr>
            <w:tcW w:w="734" w:type="dxa"/>
            <w:tcBorders>
              <w:top w:val="nil"/>
              <w:left w:val="nil"/>
              <w:bottom w:val="single" w:sz="4" w:space="0" w:color="BFBFBF"/>
              <w:right w:val="single" w:sz="4" w:space="0" w:color="auto"/>
            </w:tcBorders>
            <w:shd w:val="clear" w:color="auto" w:fill="auto"/>
            <w:noWrap/>
            <w:vAlign w:val="center"/>
          </w:tcPr>
          <w:p w14:paraId="65CBAA7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113</w:t>
            </w:r>
          </w:p>
        </w:tc>
        <w:tc>
          <w:tcPr>
            <w:tcW w:w="734" w:type="dxa"/>
            <w:tcBorders>
              <w:top w:val="nil"/>
              <w:left w:val="nil"/>
              <w:bottom w:val="single" w:sz="4" w:space="0" w:color="BFBFBF"/>
              <w:right w:val="single" w:sz="4" w:space="0" w:color="BFBFBF"/>
            </w:tcBorders>
            <w:shd w:val="clear" w:color="auto" w:fill="auto"/>
            <w:noWrap/>
            <w:vAlign w:val="center"/>
          </w:tcPr>
          <w:p w14:paraId="515726D1"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1778F160"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170</w:t>
            </w:r>
          </w:p>
        </w:tc>
        <w:tc>
          <w:tcPr>
            <w:tcW w:w="734" w:type="dxa"/>
            <w:tcBorders>
              <w:top w:val="nil"/>
              <w:left w:val="nil"/>
              <w:bottom w:val="single" w:sz="4" w:space="0" w:color="BFBFBF"/>
              <w:right w:val="single" w:sz="4" w:space="0" w:color="BFBFBF"/>
            </w:tcBorders>
            <w:shd w:val="clear" w:color="auto" w:fill="auto"/>
            <w:noWrap/>
            <w:vAlign w:val="center"/>
          </w:tcPr>
          <w:p w14:paraId="15D0B45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02A4080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78</w:t>
            </w:r>
          </w:p>
        </w:tc>
        <w:tc>
          <w:tcPr>
            <w:tcW w:w="734" w:type="dxa"/>
            <w:tcBorders>
              <w:top w:val="nil"/>
              <w:left w:val="nil"/>
              <w:bottom w:val="single" w:sz="4" w:space="0" w:color="BFBFBF"/>
              <w:right w:val="single" w:sz="4" w:space="0" w:color="BFBFBF"/>
            </w:tcBorders>
            <w:shd w:val="clear" w:color="auto" w:fill="auto"/>
            <w:noWrap/>
            <w:vAlign w:val="center"/>
          </w:tcPr>
          <w:p w14:paraId="69D425B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734" w:type="dxa"/>
            <w:tcBorders>
              <w:top w:val="nil"/>
              <w:left w:val="nil"/>
              <w:bottom w:val="single" w:sz="4" w:space="0" w:color="BFBFBF"/>
              <w:right w:val="double" w:sz="6" w:space="0" w:color="auto"/>
            </w:tcBorders>
            <w:shd w:val="clear" w:color="auto" w:fill="auto"/>
            <w:noWrap/>
            <w:vAlign w:val="center"/>
          </w:tcPr>
          <w:p w14:paraId="0AB7DA6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r>
      <w:tr w:rsidR="00642822" w:rsidRPr="00A6026E" w14:paraId="73297ABA"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EC51362"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3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9857B8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20E0DD9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6DA17A6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auto"/>
            </w:tcBorders>
            <w:shd w:val="clear" w:color="auto" w:fill="auto"/>
            <w:noWrap/>
            <w:vAlign w:val="center"/>
          </w:tcPr>
          <w:p w14:paraId="66E213D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89%</w:t>
            </w:r>
          </w:p>
        </w:tc>
        <w:tc>
          <w:tcPr>
            <w:tcW w:w="734" w:type="dxa"/>
            <w:tcBorders>
              <w:top w:val="nil"/>
              <w:left w:val="nil"/>
              <w:bottom w:val="single" w:sz="4" w:space="0" w:color="BFBFBF"/>
              <w:right w:val="single" w:sz="4" w:space="0" w:color="BFBFBF"/>
            </w:tcBorders>
            <w:shd w:val="clear" w:color="auto" w:fill="auto"/>
            <w:noWrap/>
            <w:vAlign w:val="center"/>
          </w:tcPr>
          <w:p w14:paraId="0A1F1491"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6564B7C5"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416</w:t>
            </w:r>
          </w:p>
        </w:tc>
        <w:tc>
          <w:tcPr>
            <w:tcW w:w="734" w:type="dxa"/>
            <w:tcBorders>
              <w:top w:val="nil"/>
              <w:left w:val="nil"/>
              <w:bottom w:val="single" w:sz="4" w:space="0" w:color="BFBFBF"/>
              <w:right w:val="single" w:sz="4" w:space="0" w:color="BFBFBF"/>
            </w:tcBorders>
            <w:shd w:val="clear" w:color="auto" w:fill="auto"/>
            <w:noWrap/>
            <w:vAlign w:val="center"/>
          </w:tcPr>
          <w:p w14:paraId="63EAEA2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46253E4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192</w:t>
            </w:r>
          </w:p>
        </w:tc>
        <w:tc>
          <w:tcPr>
            <w:tcW w:w="734" w:type="dxa"/>
            <w:tcBorders>
              <w:top w:val="nil"/>
              <w:left w:val="nil"/>
              <w:bottom w:val="single" w:sz="4" w:space="0" w:color="BFBFBF"/>
              <w:right w:val="single" w:sz="4" w:space="0" w:color="BFBFBF"/>
            </w:tcBorders>
            <w:shd w:val="clear" w:color="auto" w:fill="auto"/>
            <w:noWrap/>
            <w:vAlign w:val="center"/>
          </w:tcPr>
          <w:p w14:paraId="1DD3AD9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177</w:t>
            </w:r>
          </w:p>
        </w:tc>
        <w:tc>
          <w:tcPr>
            <w:tcW w:w="734" w:type="dxa"/>
            <w:tcBorders>
              <w:top w:val="nil"/>
              <w:left w:val="nil"/>
              <w:bottom w:val="single" w:sz="4" w:space="0" w:color="BFBFBF"/>
              <w:right w:val="single" w:sz="4" w:space="0" w:color="auto"/>
            </w:tcBorders>
            <w:shd w:val="clear" w:color="auto" w:fill="auto"/>
            <w:noWrap/>
            <w:vAlign w:val="center"/>
          </w:tcPr>
          <w:p w14:paraId="5CB68A3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144</w:t>
            </w:r>
          </w:p>
        </w:tc>
        <w:tc>
          <w:tcPr>
            <w:tcW w:w="734" w:type="dxa"/>
            <w:tcBorders>
              <w:top w:val="nil"/>
              <w:left w:val="nil"/>
              <w:bottom w:val="single" w:sz="4" w:space="0" w:color="BFBFBF"/>
              <w:right w:val="single" w:sz="4" w:space="0" w:color="BFBFBF"/>
            </w:tcBorders>
            <w:shd w:val="clear" w:color="auto" w:fill="auto"/>
            <w:noWrap/>
            <w:vAlign w:val="center"/>
          </w:tcPr>
          <w:p w14:paraId="61E1211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77%</w:t>
            </w:r>
          </w:p>
        </w:tc>
        <w:tc>
          <w:tcPr>
            <w:tcW w:w="734" w:type="dxa"/>
            <w:tcBorders>
              <w:top w:val="nil"/>
              <w:left w:val="nil"/>
              <w:bottom w:val="single" w:sz="4" w:space="0" w:color="BFBFBF"/>
              <w:right w:val="single" w:sz="4" w:space="0" w:color="BFBFBF"/>
            </w:tcBorders>
            <w:shd w:val="clear" w:color="auto" w:fill="auto"/>
            <w:noWrap/>
            <w:vAlign w:val="center"/>
          </w:tcPr>
          <w:p w14:paraId="14BF69A4"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168</w:t>
            </w:r>
          </w:p>
        </w:tc>
        <w:tc>
          <w:tcPr>
            <w:tcW w:w="734" w:type="dxa"/>
            <w:tcBorders>
              <w:top w:val="nil"/>
              <w:left w:val="nil"/>
              <w:bottom w:val="single" w:sz="4" w:space="0" w:color="BFBFBF"/>
              <w:right w:val="single" w:sz="4" w:space="0" w:color="BFBFBF"/>
            </w:tcBorders>
            <w:shd w:val="clear" w:color="auto" w:fill="auto"/>
            <w:noWrap/>
            <w:vAlign w:val="center"/>
          </w:tcPr>
          <w:p w14:paraId="0E447CD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747609C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734" w:type="dxa"/>
            <w:tcBorders>
              <w:top w:val="nil"/>
              <w:left w:val="nil"/>
              <w:bottom w:val="single" w:sz="4" w:space="0" w:color="BFBFBF"/>
              <w:right w:val="single" w:sz="4" w:space="0" w:color="BFBFBF"/>
            </w:tcBorders>
            <w:shd w:val="clear" w:color="auto" w:fill="auto"/>
            <w:noWrap/>
            <w:vAlign w:val="center"/>
          </w:tcPr>
          <w:p w14:paraId="6F62615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65</w:t>
            </w:r>
          </w:p>
        </w:tc>
        <w:tc>
          <w:tcPr>
            <w:tcW w:w="734" w:type="dxa"/>
            <w:tcBorders>
              <w:top w:val="nil"/>
              <w:left w:val="nil"/>
              <w:bottom w:val="single" w:sz="4" w:space="0" w:color="BFBFBF"/>
              <w:right w:val="double" w:sz="6" w:space="0" w:color="auto"/>
            </w:tcBorders>
            <w:shd w:val="clear" w:color="auto" w:fill="auto"/>
            <w:noWrap/>
            <w:vAlign w:val="center"/>
          </w:tcPr>
          <w:p w14:paraId="2C3E755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93</w:t>
            </w:r>
          </w:p>
        </w:tc>
      </w:tr>
      <w:tr w:rsidR="00642822" w:rsidRPr="00A6026E" w14:paraId="790B5325"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19561AC6"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4 or more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74DD24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1F89D2E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97%</w:t>
            </w:r>
          </w:p>
        </w:tc>
        <w:tc>
          <w:tcPr>
            <w:tcW w:w="734" w:type="dxa"/>
            <w:tcBorders>
              <w:top w:val="nil"/>
              <w:left w:val="nil"/>
              <w:bottom w:val="single" w:sz="4" w:space="0" w:color="BFBFBF"/>
              <w:right w:val="single" w:sz="4" w:space="0" w:color="BFBFBF"/>
            </w:tcBorders>
            <w:shd w:val="clear" w:color="auto" w:fill="auto"/>
            <w:noWrap/>
            <w:vAlign w:val="center"/>
          </w:tcPr>
          <w:p w14:paraId="056CB63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734" w:type="dxa"/>
            <w:tcBorders>
              <w:top w:val="nil"/>
              <w:left w:val="nil"/>
              <w:bottom w:val="single" w:sz="4" w:space="0" w:color="BFBFBF"/>
              <w:right w:val="single" w:sz="4" w:space="0" w:color="auto"/>
            </w:tcBorders>
            <w:shd w:val="clear" w:color="auto" w:fill="auto"/>
            <w:noWrap/>
            <w:vAlign w:val="center"/>
          </w:tcPr>
          <w:p w14:paraId="3697551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BFBFBF"/>
            </w:tcBorders>
            <w:shd w:val="clear" w:color="auto" w:fill="auto"/>
            <w:noWrap/>
            <w:vAlign w:val="center"/>
          </w:tcPr>
          <w:p w14:paraId="66A7350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37AA552A"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545</w:t>
            </w:r>
          </w:p>
        </w:tc>
        <w:tc>
          <w:tcPr>
            <w:tcW w:w="734" w:type="dxa"/>
            <w:tcBorders>
              <w:top w:val="nil"/>
              <w:left w:val="nil"/>
              <w:bottom w:val="single" w:sz="4" w:space="0" w:color="BFBFBF"/>
              <w:right w:val="single" w:sz="4" w:space="0" w:color="BFBFBF"/>
            </w:tcBorders>
            <w:shd w:val="clear" w:color="auto" w:fill="auto"/>
            <w:noWrap/>
            <w:vAlign w:val="center"/>
          </w:tcPr>
          <w:p w14:paraId="1C91FD4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27AD8E0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261</w:t>
            </w:r>
          </w:p>
        </w:tc>
        <w:tc>
          <w:tcPr>
            <w:tcW w:w="734" w:type="dxa"/>
            <w:tcBorders>
              <w:top w:val="nil"/>
              <w:left w:val="nil"/>
              <w:bottom w:val="single" w:sz="4" w:space="0" w:color="BFBFBF"/>
              <w:right w:val="single" w:sz="4" w:space="0" w:color="BFBFBF"/>
            </w:tcBorders>
            <w:shd w:val="clear" w:color="auto" w:fill="auto"/>
            <w:noWrap/>
            <w:vAlign w:val="center"/>
          </w:tcPr>
          <w:p w14:paraId="482DFC6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197</w:t>
            </w:r>
          </w:p>
        </w:tc>
        <w:tc>
          <w:tcPr>
            <w:tcW w:w="734" w:type="dxa"/>
            <w:tcBorders>
              <w:top w:val="nil"/>
              <w:left w:val="nil"/>
              <w:bottom w:val="single" w:sz="4" w:space="0" w:color="BFBFBF"/>
              <w:right w:val="single" w:sz="4" w:space="0" w:color="auto"/>
            </w:tcBorders>
            <w:shd w:val="clear" w:color="auto" w:fill="auto"/>
            <w:noWrap/>
            <w:vAlign w:val="center"/>
          </w:tcPr>
          <w:p w14:paraId="2738EA2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175</w:t>
            </w:r>
          </w:p>
        </w:tc>
        <w:tc>
          <w:tcPr>
            <w:tcW w:w="734" w:type="dxa"/>
            <w:tcBorders>
              <w:top w:val="nil"/>
              <w:left w:val="nil"/>
              <w:bottom w:val="single" w:sz="4" w:space="0" w:color="BFBFBF"/>
              <w:right w:val="single" w:sz="4" w:space="0" w:color="BFBFBF"/>
            </w:tcBorders>
            <w:shd w:val="clear" w:color="auto" w:fill="auto"/>
            <w:noWrap/>
            <w:vAlign w:val="center"/>
          </w:tcPr>
          <w:p w14:paraId="4D7C1291"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BFBFBF"/>
            </w:tcBorders>
            <w:shd w:val="clear" w:color="auto" w:fill="auto"/>
            <w:noWrap/>
            <w:vAlign w:val="center"/>
          </w:tcPr>
          <w:p w14:paraId="2BE11F31"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173</w:t>
            </w:r>
          </w:p>
        </w:tc>
        <w:tc>
          <w:tcPr>
            <w:tcW w:w="734" w:type="dxa"/>
            <w:tcBorders>
              <w:top w:val="nil"/>
              <w:left w:val="nil"/>
              <w:bottom w:val="single" w:sz="4" w:space="0" w:color="BFBFBF"/>
              <w:right w:val="single" w:sz="4" w:space="0" w:color="BFBFBF"/>
            </w:tcBorders>
            <w:shd w:val="clear" w:color="auto" w:fill="auto"/>
            <w:noWrap/>
            <w:vAlign w:val="center"/>
          </w:tcPr>
          <w:p w14:paraId="76765E7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3612AF8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w:t>
            </w:r>
          </w:p>
        </w:tc>
        <w:tc>
          <w:tcPr>
            <w:tcW w:w="734" w:type="dxa"/>
            <w:tcBorders>
              <w:top w:val="nil"/>
              <w:left w:val="nil"/>
              <w:bottom w:val="single" w:sz="4" w:space="0" w:color="BFBFBF"/>
              <w:right w:val="single" w:sz="4" w:space="0" w:color="BFBFBF"/>
            </w:tcBorders>
            <w:shd w:val="clear" w:color="auto" w:fill="auto"/>
            <w:noWrap/>
            <w:vAlign w:val="center"/>
          </w:tcPr>
          <w:p w14:paraId="05E4C62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734" w:type="dxa"/>
            <w:tcBorders>
              <w:top w:val="nil"/>
              <w:left w:val="nil"/>
              <w:bottom w:val="single" w:sz="4" w:space="0" w:color="BFBFBF"/>
              <w:right w:val="double" w:sz="6" w:space="0" w:color="auto"/>
            </w:tcBorders>
            <w:shd w:val="clear" w:color="auto" w:fill="auto"/>
            <w:noWrap/>
            <w:vAlign w:val="center"/>
          </w:tcPr>
          <w:p w14:paraId="3492A68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r>
      <w:tr w:rsidR="00642822" w:rsidRPr="00A6026E" w14:paraId="73494272"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4281A4EF" w14:textId="77777777" w:rsidR="00642822" w:rsidRPr="00A6026E" w:rsidRDefault="00642822"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Housing Status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2A12D49"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C52EF6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4B84BB9"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7D3DACE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21E282D"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9F82AA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08A110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BBB2B4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67738E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66CFAD8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841985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77E428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61CC329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1BD2E4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1A65EA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668ABB8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642822" w:rsidRPr="00A6026E" w14:paraId="17077631"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C870640"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Owned/paid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307A263"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16ED815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3087A41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5EB017F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249475B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6E74A12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368</w:t>
            </w:r>
          </w:p>
        </w:tc>
        <w:tc>
          <w:tcPr>
            <w:tcW w:w="734" w:type="dxa"/>
            <w:tcBorders>
              <w:top w:val="nil"/>
              <w:left w:val="nil"/>
              <w:bottom w:val="single" w:sz="4" w:space="0" w:color="BFBFBF"/>
              <w:right w:val="single" w:sz="4" w:space="0" w:color="BFBFBF"/>
            </w:tcBorders>
            <w:shd w:val="clear" w:color="auto" w:fill="auto"/>
            <w:noWrap/>
            <w:vAlign w:val="center"/>
          </w:tcPr>
          <w:p w14:paraId="0B58484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4DA0BF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175</w:t>
            </w:r>
          </w:p>
        </w:tc>
        <w:tc>
          <w:tcPr>
            <w:tcW w:w="734" w:type="dxa"/>
            <w:tcBorders>
              <w:top w:val="nil"/>
              <w:left w:val="nil"/>
              <w:bottom w:val="single" w:sz="4" w:space="0" w:color="BFBFBF"/>
              <w:right w:val="single" w:sz="4" w:space="0" w:color="BFBFBF"/>
            </w:tcBorders>
            <w:shd w:val="clear" w:color="auto" w:fill="auto"/>
            <w:noWrap/>
            <w:vAlign w:val="center"/>
          </w:tcPr>
          <w:p w14:paraId="4C0A98D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164</w:t>
            </w:r>
          </w:p>
        </w:tc>
        <w:tc>
          <w:tcPr>
            <w:tcW w:w="734" w:type="dxa"/>
            <w:tcBorders>
              <w:top w:val="nil"/>
              <w:left w:val="nil"/>
              <w:bottom w:val="single" w:sz="4" w:space="0" w:color="BFBFBF"/>
              <w:right w:val="single" w:sz="4" w:space="0" w:color="auto"/>
            </w:tcBorders>
            <w:shd w:val="clear" w:color="auto" w:fill="auto"/>
            <w:noWrap/>
            <w:vAlign w:val="center"/>
          </w:tcPr>
          <w:p w14:paraId="4D9739B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127</w:t>
            </w:r>
          </w:p>
        </w:tc>
        <w:tc>
          <w:tcPr>
            <w:tcW w:w="734" w:type="dxa"/>
            <w:tcBorders>
              <w:top w:val="nil"/>
              <w:left w:val="nil"/>
              <w:bottom w:val="single" w:sz="4" w:space="0" w:color="BFBFBF"/>
              <w:right w:val="single" w:sz="4" w:space="0" w:color="BFBFBF"/>
            </w:tcBorders>
            <w:shd w:val="clear" w:color="auto" w:fill="auto"/>
            <w:noWrap/>
            <w:vAlign w:val="center"/>
          </w:tcPr>
          <w:p w14:paraId="3D8DFCB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734" w:type="dxa"/>
            <w:tcBorders>
              <w:top w:val="nil"/>
              <w:left w:val="nil"/>
              <w:bottom w:val="single" w:sz="4" w:space="0" w:color="BFBFBF"/>
              <w:right w:val="single" w:sz="4" w:space="0" w:color="BFBFBF"/>
            </w:tcBorders>
            <w:shd w:val="clear" w:color="auto" w:fill="auto"/>
            <w:noWrap/>
            <w:vAlign w:val="center"/>
          </w:tcPr>
          <w:p w14:paraId="0B25E80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169</w:t>
            </w:r>
          </w:p>
        </w:tc>
        <w:tc>
          <w:tcPr>
            <w:tcW w:w="734" w:type="dxa"/>
            <w:tcBorders>
              <w:top w:val="nil"/>
              <w:left w:val="nil"/>
              <w:bottom w:val="single" w:sz="4" w:space="0" w:color="BFBFBF"/>
              <w:right w:val="single" w:sz="4" w:space="0" w:color="BFBFBF"/>
            </w:tcBorders>
            <w:shd w:val="clear" w:color="auto" w:fill="auto"/>
            <w:noWrap/>
            <w:vAlign w:val="center"/>
          </w:tcPr>
          <w:p w14:paraId="4842462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734" w:type="dxa"/>
            <w:tcBorders>
              <w:top w:val="nil"/>
              <w:left w:val="nil"/>
              <w:bottom w:val="single" w:sz="4" w:space="0" w:color="BFBFBF"/>
              <w:right w:val="single" w:sz="4" w:space="0" w:color="BFBFBF"/>
            </w:tcBorders>
            <w:shd w:val="clear" w:color="auto" w:fill="auto"/>
            <w:noWrap/>
            <w:vAlign w:val="center"/>
          </w:tcPr>
          <w:p w14:paraId="318B280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w:t>
            </w:r>
          </w:p>
        </w:tc>
        <w:tc>
          <w:tcPr>
            <w:tcW w:w="734" w:type="dxa"/>
            <w:tcBorders>
              <w:top w:val="nil"/>
              <w:left w:val="nil"/>
              <w:bottom w:val="single" w:sz="4" w:space="0" w:color="BFBFBF"/>
              <w:right w:val="single" w:sz="4" w:space="0" w:color="BFBFBF"/>
            </w:tcBorders>
            <w:shd w:val="clear" w:color="auto" w:fill="auto"/>
            <w:noWrap/>
            <w:vAlign w:val="center"/>
          </w:tcPr>
          <w:p w14:paraId="428C76A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65</w:t>
            </w:r>
          </w:p>
        </w:tc>
        <w:tc>
          <w:tcPr>
            <w:tcW w:w="734" w:type="dxa"/>
            <w:tcBorders>
              <w:top w:val="nil"/>
              <w:left w:val="nil"/>
              <w:bottom w:val="single" w:sz="4" w:space="0" w:color="BFBFBF"/>
              <w:right w:val="double" w:sz="6" w:space="0" w:color="auto"/>
            </w:tcBorders>
            <w:shd w:val="clear" w:color="auto" w:fill="auto"/>
            <w:noWrap/>
            <w:vAlign w:val="center"/>
          </w:tcPr>
          <w:p w14:paraId="21B0CF2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r>
      <w:tr w:rsidR="00642822" w:rsidRPr="00A6026E" w14:paraId="41AB7198"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144DEEAD"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Buying/paying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CCA1128"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734" w:type="dxa"/>
            <w:tcBorders>
              <w:top w:val="nil"/>
              <w:left w:val="nil"/>
              <w:bottom w:val="single" w:sz="4" w:space="0" w:color="BFBFBF"/>
              <w:right w:val="single" w:sz="4" w:space="0" w:color="BFBFBF"/>
            </w:tcBorders>
            <w:shd w:val="clear" w:color="auto" w:fill="auto"/>
            <w:noWrap/>
            <w:vAlign w:val="center"/>
          </w:tcPr>
          <w:p w14:paraId="3F00E8C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20EDD097"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5E67E53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52D1E0FF"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58B18B4D"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404</w:t>
            </w:r>
          </w:p>
        </w:tc>
        <w:tc>
          <w:tcPr>
            <w:tcW w:w="734" w:type="dxa"/>
            <w:tcBorders>
              <w:top w:val="nil"/>
              <w:left w:val="nil"/>
              <w:bottom w:val="single" w:sz="4" w:space="0" w:color="BFBFBF"/>
              <w:right w:val="single" w:sz="4" w:space="0" w:color="BFBFBF"/>
            </w:tcBorders>
            <w:shd w:val="clear" w:color="auto" w:fill="auto"/>
            <w:noWrap/>
            <w:vAlign w:val="center"/>
          </w:tcPr>
          <w:p w14:paraId="2E39DBB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7CAE038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205</w:t>
            </w:r>
          </w:p>
        </w:tc>
        <w:tc>
          <w:tcPr>
            <w:tcW w:w="734" w:type="dxa"/>
            <w:tcBorders>
              <w:top w:val="nil"/>
              <w:left w:val="nil"/>
              <w:bottom w:val="single" w:sz="4" w:space="0" w:color="BFBFBF"/>
              <w:right w:val="single" w:sz="4" w:space="0" w:color="BFBFBF"/>
            </w:tcBorders>
            <w:shd w:val="clear" w:color="auto" w:fill="auto"/>
            <w:noWrap/>
            <w:vAlign w:val="center"/>
          </w:tcPr>
          <w:p w14:paraId="3AC9E69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175</w:t>
            </w:r>
          </w:p>
        </w:tc>
        <w:tc>
          <w:tcPr>
            <w:tcW w:w="734" w:type="dxa"/>
            <w:tcBorders>
              <w:top w:val="nil"/>
              <w:left w:val="nil"/>
              <w:bottom w:val="single" w:sz="4" w:space="0" w:color="BFBFBF"/>
              <w:right w:val="single" w:sz="4" w:space="0" w:color="auto"/>
            </w:tcBorders>
            <w:shd w:val="clear" w:color="auto" w:fill="auto"/>
            <w:noWrap/>
            <w:vAlign w:val="center"/>
          </w:tcPr>
          <w:p w14:paraId="6E9F668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152</w:t>
            </w:r>
          </w:p>
        </w:tc>
        <w:tc>
          <w:tcPr>
            <w:tcW w:w="734" w:type="dxa"/>
            <w:tcBorders>
              <w:top w:val="nil"/>
              <w:left w:val="nil"/>
              <w:bottom w:val="single" w:sz="4" w:space="0" w:color="BFBFBF"/>
              <w:right w:val="single" w:sz="4" w:space="0" w:color="BFBFBF"/>
            </w:tcBorders>
            <w:shd w:val="clear" w:color="auto" w:fill="auto"/>
            <w:noWrap/>
            <w:vAlign w:val="center"/>
          </w:tcPr>
          <w:p w14:paraId="742DFE3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237DAF63"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173</w:t>
            </w:r>
          </w:p>
        </w:tc>
        <w:tc>
          <w:tcPr>
            <w:tcW w:w="734" w:type="dxa"/>
            <w:tcBorders>
              <w:top w:val="nil"/>
              <w:left w:val="nil"/>
              <w:bottom w:val="single" w:sz="4" w:space="0" w:color="BFBFBF"/>
              <w:right w:val="single" w:sz="4" w:space="0" w:color="BFBFBF"/>
            </w:tcBorders>
            <w:shd w:val="clear" w:color="auto" w:fill="auto"/>
            <w:noWrap/>
            <w:vAlign w:val="center"/>
          </w:tcPr>
          <w:p w14:paraId="27BE401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734" w:type="dxa"/>
            <w:tcBorders>
              <w:top w:val="nil"/>
              <w:left w:val="nil"/>
              <w:bottom w:val="single" w:sz="4" w:space="0" w:color="BFBFBF"/>
              <w:right w:val="single" w:sz="4" w:space="0" w:color="BFBFBF"/>
            </w:tcBorders>
            <w:shd w:val="clear" w:color="auto" w:fill="auto"/>
            <w:noWrap/>
            <w:vAlign w:val="center"/>
          </w:tcPr>
          <w:p w14:paraId="48AE2F2A"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734" w:type="dxa"/>
            <w:tcBorders>
              <w:top w:val="nil"/>
              <w:left w:val="nil"/>
              <w:bottom w:val="single" w:sz="4" w:space="0" w:color="BFBFBF"/>
              <w:right w:val="single" w:sz="4" w:space="0" w:color="BFBFBF"/>
            </w:tcBorders>
            <w:shd w:val="clear" w:color="auto" w:fill="auto"/>
            <w:noWrap/>
            <w:vAlign w:val="center"/>
          </w:tcPr>
          <w:p w14:paraId="5D54328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61</w:t>
            </w:r>
          </w:p>
        </w:tc>
        <w:tc>
          <w:tcPr>
            <w:tcW w:w="734" w:type="dxa"/>
            <w:tcBorders>
              <w:top w:val="nil"/>
              <w:left w:val="nil"/>
              <w:bottom w:val="single" w:sz="4" w:space="0" w:color="BFBFBF"/>
              <w:right w:val="double" w:sz="6" w:space="0" w:color="auto"/>
            </w:tcBorders>
            <w:shd w:val="clear" w:color="auto" w:fill="auto"/>
            <w:noWrap/>
            <w:vAlign w:val="center"/>
          </w:tcPr>
          <w:p w14:paraId="0224325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r>
      <w:tr w:rsidR="00642822" w:rsidRPr="00A6026E" w14:paraId="3087B237"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6931AD15"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Renting - Private</w:t>
            </w:r>
            <w:r w:rsidRPr="00A6026E">
              <w:rPr>
                <w:rFonts w:ascii="Arial" w:hAnsi="Arial" w:cs="Arial"/>
                <w:color w:val="000000"/>
                <w:sz w:val="16"/>
                <w:szCs w:val="16"/>
                <w:vertAlign w:val="superscript"/>
                <w:lang w:val="en-AU" w:eastAsia="en-AU"/>
              </w:rPr>
              <w:t>1</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1C9FFCE"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734" w:type="dxa"/>
            <w:tcBorders>
              <w:top w:val="nil"/>
              <w:left w:val="nil"/>
              <w:bottom w:val="single" w:sz="4" w:space="0" w:color="BFBFBF"/>
              <w:right w:val="single" w:sz="4" w:space="0" w:color="BFBFBF"/>
            </w:tcBorders>
            <w:shd w:val="clear" w:color="auto" w:fill="auto"/>
            <w:noWrap/>
            <w:vAlign w:val="center"/>
          </w:tcPr>
          <w:p w14:paraId="2D67615F"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70%</w:t>
            </w:r>
          </w:p>
        </w:tc>
        <w:tc>
          <w:tcPr>
            <w:tcW w:w="734" w:type="dxa"/>
            <w:tcBorders>
              <w:top w:val="nil"/>
              <w:left w:val="nil"/>
              <w:bottom w:val="single" w:sz="4" w:space="0" w:color="BFBFBF"/>
              <w:right w:val="single" w:sz="4" w:space="0" w:color="BFBFBF"/>
            </w:tcBorders>
            <w:shd w:val="clear" w:color="auto" w:fill="auto"/>
            <w:noWrap/>
            <w:vAlign w:val="center"/>
          </w:tcPr>
          <w:p w14:paraId="720F43B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734" w:type="dxa"/>
            <w:tcBorders>
              <w:top w:val="nil"/>
              <w:left w:val="nil"/>
              <w:bottom w:val="single" w:sz="4" w:space="0" w:color="BFBFBF"/>
              <w:right w:val="single" w:sz="4" w:space="0" w:color="auto"/>
            </w:tcBorders>
            <w:shd w:val="clear" w:color="auto" w:fill="auto"/>
            <w:noWrap/>
            <w:vAlign w:val="center"/>
          </w:tcPr>
          <w:p w14:paraId="4EA4B06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59%</w:t>
            </w:r>
          </w:p>
        </w:tc>
        <w:tc>
          <w:tcPr>
            <w:tcW w:w="734" w:type="dxa"/>
            <w:tcBorders>
              <w:top w:val="nil"/>
              <w:left w:val="nil"/>
              <w:bottom w:val="single" w:sz="4" w:space="0" w:color="BFBFBF"/>
              <w:right w:val="single" w:sz="4" w:space="0" w:color="BFBFBF"/>
            </w:tcBorders>
            <w:shd w:val="clear" w:color="auto" w:fill="auto"/>
            <w:noWrap/>
            <w:vAlign w:val="center"/>
          </w:tcPr>
          <w:p w14:paraId="1F0FFD7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437B91DA"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327</w:t>
            </w:r>
          </w:p>
        </w:tc>
        <w:tc>
          <w:tcPr>
            <w:tcW w:w="734" w:type="dxa"/>
            <w:tcBorders>
              <w:top w:val="nil"/>
              <w:left w:val="nil"/>
              <w:bottom w:val="single" w:sz="4" w:space="0" w:color="BFBFBF"/>
              <w:right w:val="single" w:sz="4" w:space="0" w:color="BFBFBF"/>
            </w:tcBorders>
            <w:shd w:val="clear" w:color="auto" w:fill="auto"/>
            <w:noWrap/>
            <w:vAlign w:val="center"/>
          </w:tcPr>
          <w:p w14:paraId="769726F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1FBDE81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157</w:t>
            </w:r>
          </w:p>
        </w:tc>
        <w:tc>
          <w:tcPr>
            <w:tcW w:w="734" w:type="dxa"/>
            <w:tcBorders>
              <w:top w:val="nil"/>
              <w:left w:val="nil"/>
              <w:bottom w:val="single" w:sz="4" w:space="0" w:color="BFBFBF"/>
              <w:right w:val="single" w:sz="4" w:space="0" w:color="BFBFBF"/>
            </w:tcBorders>
            <w:shd w:val="clear" w:color="auto" w:fill="auto"/>
            <w:noWrap/>
            <w:vAlign w:val="center"/>
          </w:tcPr>
          <w:p w14:paraId="537D4345"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164</w:t>
            </w:r>
          </w:p>
        </w:tc>
        <w:tc>
          <w:tcPr>
            <w:tcW w:w="734" w:type="dxa"/>
            <w:tcBorders>
              <w:top w:val="nil"/>
              <w:left w:val="nil"/>
              <w:bottom w:val="single" w:sz="4" w:space="0" w:color="BFBFBF"/>
              <w:right w:val="single" w:sz="4" w:space="0" w:color="auto"/>
            </w:tcBorders>
            <w:shd w:val="clear" w:color="auto" w:fill="auto"/>
            <w:noWrap/>
            <w:vAlign w:val="center"/>
          </w:tcPr>
          <w:p w14:paraId="078A9F83"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116</w:t>
            </w:r>
          </w:p>
        </w:tc>
        <w:tc>
          <w:tcPr>
            <w:tcW w:w="734" w:type="dxa"/>
            <w:tcBorders>
              <w:top w:val="nil"/>
              <w:left w:val="nil"/>
              <w:bottom w:val="single" w:sz="4" w:space="0" w:color="BFBFBF"/>
              <w:right w:val="single" w:sz="4" w:space="0" w:color="BFBFBF"/>
            </w:tcBorders>
            <w:shd w:val="clear" w:color="auto" w:fill="auto"/>
            <w:noWrap/>
            <w:vAlign w:val="center"/>
          </w:tcPr>
          <w:p w14:paraId="6C16183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w:t>
            </w:r>
          </w:p>
        </w:tc>
        <w:tc>
          <w:tcPr>
            <w:tcW w:w="734" w:type="dxa"/>
            <w:tcBorders>
              <w:top w:val="nil"/>
              <w:left w:val="nil"/>
              <w:bottom w:val="single" w:sz="4" w:space="0" w:color="BFBFBF"/>
              <w:right w:val="single" w:sz="4" w:space="0" w:color="BFBFBF"/>
            </w:tcBorders>
            <w:shd w:val="clear" w:color="auto" w:fill="auto"/>
            <w:noWrap/>
            <w:vAlign w:val="center"/>
          </w:tcPr>
          <w:p w14:paraId="26ABD59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223</w:t>
            </w:r>
          </w:p>
        </w:tc>
        <w:tc>
          <w:tcPr>
            <w:tcW w:w="734" w:type="dxa"/>
            <w:tcBorders>
              <w:top w:val="nil"/>
              <w:left w:val="nil"/>
              <w:bottom w:val="single" w:sz="4" w:space="0" w:color="BFBFBF"/>
              <w:right w:val="single" w:sz="4" w:space="0" w:color="BFBFBF"/>
            </w:tcBorders>
            <w:shd w:val="clear" w:color="auto" w:fill="auto"/>
            <w:noWrap/>
            <w:vAlign w:val="center"/>
          </w:tcPr>
          <w:p w14:paraId="292DD301"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w:t>
            </w:r>
          </w:p>
        </w:tc>
        <w:tc>
          <w:tcPr>
            <w:tcW w:w="734" w:type="dxa"/>
            <w:tcBorders>
              <w:top w:val="nil"/>
              <w:left w:val="nil"/>
              <w:bottom w:val="single" w:sz="4" w:space="0" w:color="BFBFBF"/>
              <w:right w:val="single" w:sz="4" w:space="0" w:color="BFBFBF"/>
            </w:tcBorders>
            <w:shd w:val="clear" w:color="auto" w:fill="auto"/>
            <w:noWrap/>
            <w:vAlign w:val="center"/>
          </w:tcPr>
          <w:p w14:paraId="5E049C5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BFBFBF"/>
            </w:tcBorders>
            <w:shd w:val="clear" w:color="auto" w:fill="auto"/>
            <w:noWrap/>
            <w:vAlign w:val="center"/>
          </w:tcPr>
          <w:p w14:paraId="71EE7A5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w:t>
            </w:r>
          </w:p>
        </w:tc>
        <w:tc>
          <w:tcPr>
            <w:tcW w:w="734" w:type="dxa"/>
            <w:tcBorders>
              <w:top w:val="nil"/>
              <w:left w:val="nil"/>
              <w:bottom w:val="single" w:sz="4" w:space="0" w:color="BFBFBF"/>
              <w:right w:val="double" w:sz="6" w:space="0" w:color="auto"/>
            </w:tcBorders>
            <w:shd w:val="clear" w:color="auto" w:fill="auto"/>
            <w:noWrap/>
            <w:vAlign w:val="center"/>
          </w:tcPr>
          <w:p w14:paraId="64D73E8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90</w:t>
            </w:r>
          </w:p>
        </w:tc>
      </w:tr>
      <w:tr w:rsidR="00642822" w:rsidRPr="00A6026E" w14:paraId="6A44B2E1" w14:textId="77777777" w:rsidTr="00D94827">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60CCBFA5" w14:textId="77777777" w:rsidR="00642822" w:rsidRPr="00A6026E" w:rsidRDefault="00642822"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Renting - Public</w:t>
            </w:r>
            <w:r w:rsidRPr="00A6026E">
              <w:rPr>
                <w:rFonts w:ascii="Arial" w:hAnsi="Arial" w:cs="Arial"/>
                <w:color w:val="000000"/>
                <w:sz w:val="16"/>
                <w:szCs w:val="16"/>
                <w:vertAlign w:val="superscript"/>
                <w:lang w:val="en-AU" w:eastAsia="en-AU"/>
              </w:rPr>
              <w:t>1</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9E10AB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77%</w:t>
            </w:r>
          </w:p>
        </w:tc>
        <w:tc>
          <w:tcPr>
            <w:tcW w:w="734" w:type="dxa"/>
            <w:tcBorders>
              <w:top w:val="nil"/>
              <w:left w:val="nil"/>
              <w:bottom w:val="single" w:sz="4" w:space="0" w:color="BFBFBF"/>
              <w:right w:val="single" w:sz="4" w:space="0" w:color="BFBFBF"/>
            </w:tcBorders>
            <w:shd w:val="clear" w:color="auto" w:fill="auto"/>
            <w:noWrap/>
            <w:vAlign w:val="center"/>
          </w:tcPr>
          <w:p w14:paraId="3964C5E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734" w:type="dxa"/>
            <w:tcBorders>
              <w:top w:val="nil"/>
              <w:left w:val="nil"/>
              <w:bottom w:val="single" w:sz="4" w:space="0" w:color="BFBFBF"/>
              <w:right w:val="single" w:sz="4" w:space="0" w:color="BFBFBF"/>
            </w:tcBorders>
            <w:shd w:val="clear" w:color="auto" w:fill="auto"/>
            <w:noWrap/>
            <w:vAlign w:val="center"/>
          </w:tcPr>
          <w:p w14:paraId="6A09FED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62%</w:t>
            </w:r>
          </w:p>
        </w:tc>
        <w:tc>
          <w:tcPr>
            <w:tcW w:w="734" w:type="dxa"/>
            <w:tcBorders>
              <w:top w:val="nil"/>
              <w:left w:val="nil"/>
              <w:bottom w:val="single" w:sz="4" w:space="0" w:color="BFBFBF"/>
              <w:right w:val="single" w:sz="4" w:space="0" w:color="auto"/>
            </w:tcBorders>
            <w:shd w:val="clear" w:color="auto" w:fill="auto"/>
            <w:noWrap/>
            <w:vAlign w:val="center"/>
          </w:tcPr>
          <w:p w14:paraId="1C81A372"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39%</w:t>
            </w:r>
          </w:p>
        </w:tc>
        <w:tc>
          <w:tcPr>
            <w:tcW w:w="734" w:type="dxa"/>
            <w:tcBorders>
              <w:top w:val="nil"/>
              <w:left w:val="nil"/>
              <w:bottom w:val="single" w:sz="4" w:space="0" w:color="BFBFBF"/>
              <w:right w:val="single" w:sz="4" w:space="0" w:color="BFBFBF"/>
            </w:tcBorders>
            <w:shd w:val="clear" w:color="auto" w:fill="auto"/>
            <w:noWrap/>
            <w:vAlign w:val="center"/>
          </w:tcPr>
          <w:p w14:paraId="34680822"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160CD147"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315</w:t>
            </w:r>
          </w:p>
        </w:tc>
        <w:tc>
          <w:tcPr>
            <w:tcW w:w="734" w:type="dxa"/>
            <w:tcBorders>
              <w:top w:val="nil"/>
              <w:left w:val="nil"/>
              <w:bottom w:val="single" w:sz="4" w:space="0" w:color="BFBFBF"/>
              <w:right w:val="single" w:sz="4" w:space="0" w:color="BFBFBF"/>
            </w:tcBorders>
            <w:shd w:val="clear" w:color="auto" w:fill="auto"/>
            <w:noWrap/>
            <w:vAlign w:val="center"/>
          </w:tcPr>
          <w:p w14:paraId="04C54ADE"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1FD5D15C"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170</w:t>
            </w:r>
          </w:p>
        </w:tc>
        <w:tc>
          <w:tcPr>
            <w:tcW w:w="734" w:type="dxa"/>
            <w:tcBorders>
              <w:top w:val="nil"/>
              <w:left w:val="nil"/>
              <w:bottom w:val="single" w:sz="4" w:space="0" w:color="BFBFBF"/>
              <w:right w:val="single" w:sz="4" w:space="0" w:color="BFBFBF"/>
            </w:tcBorders>
            <w:shd w:val="clear" w:color="auto" w:fill="auto"/>
            <w:noWrap/>
            <w:vAlign w:val="center"/>
          </w:tcPr>
          <w:p w14:paraId="68CD7E6D"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139</w:t>
            </w:r>
          </w:p>
        </w:tc>
        <w:tc>
          <w:tcPr>
            <w:tcW w:w="734" w:type="dxa"/>
            <w:tcBorders>
              <w:top w:val="nil"/>
              <w:left w:val="nil"/>
              <w:bottom w:val="single" w:sz="4" w:space="0" w:color="BFBFBF"/>
              <w:right w:val="single" w:sz="4" w:space="0" w:color="auto"/>
            </w:tcBorders>
            <w:shd w:val="clear" w:color="auto" w:fill="auto"/>
            <w:noWrap/>
            <w:vAlign w:val="center"/>
          </w:tcPr>
          <w:p w14:paraId="2E780ACB"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115</w:t>
            </w:r>
          </w:p>
        </w:tc>
        <w:tc>
          <w:tcPr>
            <w:tcW w:w="734" w:type="dxa"/>
            <w:tcBorders>
              <w:top w:val="nil"/>
              <w:left w:val="nil"/>
              <w:bottom w:val="single" w:sz="4" w:space="0" w:color="BFBFBF"/>
              <w:right w:val="single" w:sz="4" w:space="0" w:color="BFBFBF"/>
            </w:tcBorders>
            <w:shd w:val="clear" w:color="auto" w:fill="auto"/>
            <w:noWrap/>
            <w:vAlign w:val="center"/>
          </w:tcPr>
          <w:p w14:paraId="4E42D680"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w:t>
            </w:r>
          </w:p>
        </w:tc>
        <w:tc>
          <w:tcPr>
            <w:tcW w:w="734" w:type="dxa"/>
            <w:tcBorders>
              <w:top w:val="nil"/>
              <w:left w:val="nil"/>
              <w:bottom w:val="single" w:sz="4" w:space="0" w:color="BFBFBF"/>
              <w:right w:val="single" w:sz="4" w:space="0" w:color="BFBFBF"/>
            </w:tcBorders>
            <w:shd w:val="clear" w:color="auto" w:fill="auto"/>
            <w:noWrap/>
            <w:vAlign w:val="center"/>
          </w:tcPr>
          <w:p w14:paraId="752BD4A6" w14:textId="77777777" w:rsidR="00642822" w:rsidRPr="00A6026E" w:rsidRDefault="00642822" w:rsidP="00642822">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236</w:t>
            </w:r>
          </w:p>
        </w:tc>
        <w:tc>
          <w:tcPr>
            <w:tcW w:w="734" w:type="dxa"/>
            <w:tcBorders>
              <w:top w:val="nil"/>
              <w:left w:val="nil"/>
              <w:bottom w:val="single" w:sz="4" w:space="0" w:color="BFBFBF"/>
              <w:right w:val="single" w:sz="4" w:space="0" w:color="BFBFBF"/>
            </w:tcBorders>
            <w:shd w:val="clear" w:color="auto" w:fill="auto"/>
            <w:noWrap/>
            <w:vAlign w:val="center"/>
          </w:tcPr>
          <w:p w14:paraId="2D89D094"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w:t>
            </w:r>
          </w:p>
        </w:tc>
        <w:tc>
          <w:tcPr>
            <w:tcW w:w="734" w:type="dxa"/>
            <w:tcBorders>
              <w:top w:val="nil"/>
              <w:left w:val="nil"/>
              <w:bottom w:val="single" w:sz="4" w:space="0" w:color="BFBFBF"/>
              <w:right w:val="single" w:sz="4" w:space="0" w:color="BFBFBF"/>
            </w:tcBorders>
            <w:shd w:val="clear" w:color="auto" w:fill="auto"/>
            <w:noWrap/>
            <w:vAlign w:val="center"/>
          </w:tcPr>
          <w:p w14:paraId="1B138360"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66</w:t>
            </w:r>
          </w:p>
        </w:tc>
        <w:tc>
          <w:tcPr>
            <w:tcW w:w="734" w:type="dxa"/>
            <w:tcBorders>
              <w:top w:val="nil"/>
              <w:left w:val="nil"/>
              <w:bottom w:val="single" w:sz="4" w:space="0" w:color="BFBFBF"/>
              <w:right w:val="single" w:sz="4" w:space="0" w:color="BFBFBF"/>
            </w:tcBorders>
            <w:shd w:val="clear" w:color="auto" w:fill="auto"/>
            <w:noWrap/>
            <w:vAlign w:val="center"/>
          </w:tcPr>
          <w:p w14:paraId="56A3C9E6"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56</w:t>
            </w:r>
          </w:p>
        </w:tc>
        <w:tc>
          <w:tcPr>
            <w:tcW w:w="734" w:type="dxa"/>
            <w:tcBorders>
              <w:top w:val="nil"/>
              <w:left w:val="nil"/>
              <w:bottom w:val="single" w:sz="4" w:space="0" w:color="BFBFBF"/>
              <w:right w:val="double" w:sz="6" w:space="0" w:color="auto"/>
            </w:tcBorders>
            <w:shd w:val="clear" w:color="auto" w:fill="auto"/>
            <w:noWrap/>
            <w:vAlign w:val="center"/>
          </w:tcPr>
          <w:p w14:paraId="64855618" w14:textId="77777777" w:rsidR="00642822" w:rsidRPr="00A6026E" w:rsidRDefault="00642822"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r>
      <w:tr w:rsidR="00642822" w:rsidRPr="00A6026E" w14:paraId="7FB100C8" w14:textId="77777777" w:rsidTr="00D94827">
        <w:trPr>
          <w:trHeight w:val="240"/>
          <w:jc w:val="center"/>
        </w:trPr>
        <w:tc>
          <w:tcPr>
            <w:tcW w:w="2291" w:type="dxa"/>
            <w:tcBorders>
              <w:top w:val="nil"/>
              <w:left w:val="double" w:sz="6" w:space="0" w:color="auto"/>
              <w:bottom w:val="double" w:sz="6" w:space="0" w:color="auto"/>
              <w:right w:val="nil"/>
            </w:tcBorders>
            <w:shd w:val="clear" w:color="auto" w:fill="auto"/>
            <w:noWrap/>
            <w:vAlign w:val="center"/>
          </w:tcPr>
          <w:p w14:paraId="688F4B9C" w14:textId="77777777" w:rsidR="00642822" w:rsidRPr="00A6026E" w:rsidRDefault="00642822"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Total Households</w:t>
            </w:r>
          </w:p>
        </w:tc>
        <w:tc>
          <w:tcPr>
            <w:tcW w:w="734" w:type="dxa"/>
            <w:tcBorders>
              <w:top w:val="nil"/>
              <w:left w:val="single" w:sz="4" w:space="0" w:color="auto"/>
              <w:bottom w:val="double" w:sz="6" w:space="0" w:color="auto"/>
              <w:right w:val="single" w:sz="4" w:space="0" w:color="BFBFBF"/>
            </w:tcBorders>
            <w:shd w:val="clear" w:color="auto" w:fill="auto"/>
            <w:noWrap/>
            <w:vAlign w:val="center"/>
          </w:tcPr>
          <w:p w14:paraId="5C5492C3" w14:textId="77777777" w:rsidR="00642822" w:rsidRPr="00A6026E" w:rsidRDefault="00642822" w:rsidP="00642822">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92%</w:t>
            </w:r>
          </w:p>
        </w:tc>
        <w:tc>
          <w:tcPr>
            <w:tcW w:w="734" w:type="dxa"/>
            <w:tcBorders>
              <w:top w:val="nil"/>
              <w:left w:val="nil"/>
              <w:bottom w:val="double" w:sz="6" w:space="0" w:color="auto"/>
              <w:right w:val="single" w:sz="4" w:space="0" w:color="BFBFBF"/>
            </w:tcBorders>
            <w:shd w:val="clear" w:color="auto" w:fill="auto"/>
            <w:noWrap/>
            <w:vAlign w:val="center"/>
          </w:tcPr>
          <w:p w14:paraId="338F1CAE" w14:textId="77777777" w:rsidR="00642822" w:rsidRPr="00A6026E" w:rsidRDefault="00642822"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93%</w:t>
            </w:r>
          </w:p>
        </w:tc>
        <w:tc>
          <w:tcPr>
            <w:tcW w:w="734" w:type="dxa"/>
            <w:tcBorders>
              <w:top w:val="nil"/>
              <w:left w:val="nil"/>
              <w:bottom w:val="double" w:sz="6" w:space="0" w:color="auto"/>
              <w:right w:val="single" w:sz="4" w:space="0" w:color="BFBFBF"/>
            </w:tcBorders>
            <w:shd w:val="clear" w:color="auto" w:fill="auto"/>
            <w:noWrap/>
            <w:vAlign w:val="center"/>
          </w:tcPr>
          <w:p w14:paraId="144C10E3" w14:textId="77777777" w:rsidR="00642822" w:rsidRPr="00A6026E" w:rsidRDefault="00642822"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93%</w:t>
            </w:r>
          </w:p>
        </w:tc>
        <w:tc>
          <w:tcPr>
            <w:tcW w:w="734" w:type="dxa"/>
            <w:tcBorders>
              <w:top w:val="nil"/>
              <w:left w:val="nil"/>
              <w:bottom w:val="double" w:sz="6" w:space="0" w:color="auto"/>
              <w:right w:val="single" w:sz="4" w:space="0" w:color="auto"/>
            </w:tcBorders>
            <w:shd w:val="clear" w:color="auto" w:fill="auto"/>
            <w:noWrap/>
            <w:vAlign w:val="center"/>
          </w:tcPr>
          <w:p w14:paraId="4530877E" w14:textId="77777777" w:rsidR="00642822" w:rsidRPr="00A6026E" w:rsidRDefault="00642822"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87%</w:t>
            </w:r>
          </w:p>
        </w:tc>
        <w:tc>
          <w:tcPr>
            <w:tcW w:w="734" w:type="dxa"/>
            <w:tcBorders>
              <w:top w:val="nil"/>
              <w:left w:val="nil"/>
              <w:bottom w:val="double" w:sz="6" w:space="0" w:color="auto"/>
              <w:right w:val="single" w:sz="4" w:space="0" w:color="BFBFBF"/>
            </w:tcBorders>
            <w:shd w:val="clear" w:color="auto" w:fill="auto"/>
            <w:noWrap/>
            <w:vAlign w:val="center"/>
          </w:tcPr>
          <w:p w14:paraId="71CABAFF" w14:textId="77777777" w:rsidR="00642822" w:rsidRPr="00A6026E" w:rsidRDefault="00642822" w:rsidP="00642822">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99%</w:t>
            </w:r>
          </w:p>
        </w:tc>
        <w:tc>
          <w:tcPr>
            <w:tcW w:w="734" w:type="dxa"/>
            <w:tcBorders>
              <w:top w:val="nil"/>
              <w:left w:val="nil"/>
              <w:bottom w:val="double" w:sz="6" w:space="0" w:color="auto"/>
              <w:right w:val="single" w:sz="4" w:space="0" w:color="BFBFBF"/>
            </w:tcBorders>
            <w:shd w:val="clear" w:color="auto" w:fill="auto"/>
            <w:noWrap/>
            <w:vAlign w:val="center"/>
          </w:tcPr>
          <w:p w14:paraId="0974BAC2" w14:textId="77777777" w:rsidR="00642822" w:rsidRPr="00A6026E" w:rsidRDefault="00642822" w:rsidP="00642822">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373</w:t>
            </w:r>
          </w:p>
        </w:tc>
        <w:tc>
          <w:tcPr>
            <w:tcW w:w="734" w:type="dxa"/>
            <w:tcBorders>
              <w:top w:val="nil"/>
              <w:left w:val="nil"/>
              <w:bottom w:val="double" w:sz="6" w:space="0" w:color="auto"/>
              <w:right w:val="single" w:sz="4" w:space="0" w:color="BFBFBF"/>
            </w:tcBorders>
            <w:shd w:val="clear" w:color="auto" w:fill="auto"/>
            <w:noWrap/>
            <w:vAlign w:val="center"/>
          </w:tcPr>
          <w:p w14:paraId="5E2D4A2A" w14:textId="77777777" w:rsidR="00642822" w:rsidRPr="00A6026E" w:rsidRDefault="00642822"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100%</w:t>
            </w:r>
          </w:p>
        </w:tc>
        <w:tc>
          <w:tcPr>
            <w:tcW w:w="734" w:type="dxa"/>
            <w:tcBorders>
              <w:top w:val="nil"/>
              <w:left w:val="nil"/>
              <w:bottom w:val="double" w:sz="6" w:space="0" w:color="auto"/>
              <w:right w:val="single" w:sz="4" w:space="0" w:color="BFBFBF"/>
            </w:tcBorders>
            <w:shd w:val="clear" w:color="auto" w:fill="auto"/>
            <w:noWrap/>
            <w:vAlign w:val="center"/>
          </w:tcPr>
          <w:p w14:paraId="0A83151D" w14:textId="77777777" w:rsidR="00642822" w:rsidRPr="00A6026E" w:rsidRDefault="00642822"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182</w:t>
            </w:r>
          </w:p>
        </w:tc>
        <w:tc>
          <w:tcPr>
            <w:tcW w:w="734" w:type="dxa"/>
            <w:tcBorders>
              <w:top w:val="nil"/>
              <w:left w:val="nil"/>
              <w:bottom w:val="double" w:sz="6" w:space="0" w:color="auto"/>
              <w:right w:val="single" w:sz="4" w:space="0" w:color="BFBFBF"/>
            </w:tcBorders>
            <w:shd w:val="clear" w:color="auto" w:fill="auto"/>
            <w:noWrap/>
            <w:vAlign w:val="center"/>
          </w:tcPr>
          <w:p w14:paraId="61CDA391" w14:textId="77777777" w:rsidR="00642822" w:rsidRPr="00A6026E" w:rsidRDefault="00642822"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167</w:t>
            </w:r>
          </w:p>
        </w:tc>
        <w:tc>
          <w:tcPr>
            <w:tcW w:w="734" w:type="dxa"/>
            <w:tcBorders>
              <w:top w:val="nil"/>
              <w:left w:val="nil"/>
              <w:bottom w:val="double" w:sz="6" w:space="0" w:color="auto"/>
              <w:right w:val="single" w:sz="4" w:space="0" w:color="auto"/>
            </w:tcBorders>
            <w:shd w:val="clear" w:color="auto" w:fill="auto"/>
            <w:noWrap/>
            <w:vAlign w:val="center"/>
          </w:tcPr>
          <w:p w14:paraId="2908EE0F" w14:textId="77777777" w:rsidR="00642822" w:rsidRPr="00A6026E" w:rsidRDefault="00642822"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134</w:t>
            </w:r>
          </w:p>
        </w:tc>
        <w:tc>
          <w:tcPr>
            <w:tcW w:w="734" w:type="dxa"/>
            <w:tcBorders>
              <w:top w:val="nil"/>
              <w:left w:val="nil"/>
              <w:bottom w:val="double" w:sz="6" w:space="0" w:color="auto"/>
              <w:right w:val="single" w:sz="4" w:space="0" w:color="BFBFBF"/>
            </w:tcBorders>
            <w:shd w:val="clear" w:color="auto" w:fill="auto"/>
            <w:noWrap/>
            <w:vAlign w:val="center"/>
          </w:tcPr>
          <w:p w14:paraId="56A17D01" w14:textId="77777777" w:rsidR="00642822" w:rsidRPr="00A6026E" w:rsidRDefault="00642822" w:rsidP="00642822">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83%</w:t>
            </w:r>
          </w:p>
        </w:tc>
        <w:tc>
          <w:tcPr>
            <w:tcW w:w="734" w:type="dxa"/>
            <w:tcBorders>
              <w:top w:val="nil"/>
              <w:left w:val="nil"/>
              <w:bottom w:val="double" w:sz="6" w:space="0" w:color="auto"/>
              <w:right w:val="single" w:sz="4" w:space="0" w:color="BFBFBF"/>
            </w:tcBorders>
            <w:shd w:val="clear" w:color="auto" w:fill="auto"/>
            <w:noWrap/>
            <w:vAlign w:val="center"/>
          </w:tcPr>
          <w:p w14:paraId="0C457B1D" w14:textId="77777777" w:rsidR="00642822" w:rsidRPr="00A6026E" w:rsidRDefault="00642822" w:rsidP="00642822">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171</w:t>
            </w:r>
          </w:p>
        </w:tc>
        <w:tc>
          <w:tcPr>
            <w:tcW w:w="734" w:type="dxa"/>
            <w:tcBorders>
              <w:top w:val="nil"/>
              <w:left w:val="nil"/>
              <w:bottom w:val="double" w:sz="6" w:space="0" w:color="auto"/>
              <w:right w:val="single" w:sz="4" w:space="0" w:color="BFBFBF"/>
            </w:tcBorders>
            <w:shd w:val="clear" w:color="auto" w:fill="auto"/>
            <w:noWrap/>
            <w:vAlign w:val="center"/>
          </w:tcPr>
          <w:p w14:paraId="6090C2A7" w14:textId="77777777" w:rsidR="00642822" w:rsidRPr="00A6026E" w:rsidRDefault="00642822"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84%</w:t>
            </w:r>
          </w:p>
        </w:tc>
        <w:tc>
          <w:tcPr>
            <w:tcW w:w="734" w:type="dxa"/>
            <w:tcBorders>
              <w:top w:val="nil"/>
              <w:left w:val="nil"/>
              <w:bottom w:val="double" w:sz="6" w:space="0" w:color="auto"/>
              <w:right w:val="single" w:sz="4" w:space="0" w:color="BFBFBF"/>
            </w:tcBorders>
            <w:shd w:val="clear" w:color="auto" w:fill="auto"/>
            <w:noWrap/>
            <w:vAlign w:val="center"/>
          </w:tcPr>
          <w:p w14:paraId="2C886692" w14:textId="77777777" w:rsidR="00642822" w:rsidRPr="00A6026E" w:rsidRDefault="00642822"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76</w:t>
            </w:r>
          </w:p>
        </w:tc>
        <w:tc>
          <w:tcPr>
            <w:tcW w:w="734" w:type="dxa"/>
            <w:tcBorders>
              <w:top w:val="nil"/>
              <w:left w:val="nil"/>
              <w:bottom w:val="double" w:sz="6" w:space="0" w:color="auto"/>
              <w:right w:val="single" w:sz="4" w:space="0" w:color="BFBFBF"/>
            </w:tcBorders>
            <w:shd w:val="clear" w:color="auto" w:fill="auto"/>
            <w:noWrap/>
            <w:vAlign w:val="center"/>
          </w:tcPr>
          <w:p w14:paraId="07D3CA15" w14:textId="77777777" w:rsidR="00642822" w:rsidRPr="00A6026E" w:rsidRDefault="00642822"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63</w:t>
            </w:r>
          </w:p>
        </w:tc>
        <w:tc>
          <w:tcPr>
            <w:tcW w:w="734" w:type="dxa"/>
            <w:tcBorders>
              <w:top w:val="nil"/>
              <w:left w:val="nil"/>
              <w:bottom w:val="double" w:sz="6" w:space="0" w:color="auto"/>
              <w:right w:val="double" w:sz="6" w:space="0" w:color="auto"/>
            </w:tcBorders>
            <w:shd w:val="clear" w:color="auto" w:fill="auto"/>
            <w:noWrap/>
            <w:vAlign w:val="center"/>
          </w:tcPr>
          <w:p w14:paraId="62FC2F57" w14:textId="77777777" w:rsidR="00642822" w:rsidRPr="00A6026E" w:rsidRDefault="00642822"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94</w:t>
            </w:r>
          </w:p>
        </w:tc>
      </w:tr>
    </w:tbl>
    <w:p w14:paraId="4477F33D" w14:textId="77777777" w:rsidR="000E0A67" w:rsidRPr="00A6026E" w:rsidRDefault="000E0A67" w:rsidP="009748AD">
      <w:pPr>
        <w:pStyle w:val="Para"/>
        <w:spacing w:before="120" w:line="240" w:lineRule="exact"/>
        <w:rPr>
          <w:sz w:val="20"/>
          <w:lang w:val="en-AU"/>
        </w:rPr>
      </w:pPr>
      <w:r w:rsidRPr="00A6026E">
        <w:rPr>
          <w:sz w:val="20"/>
          <w:lang w:val="en-AU"/>
        </w:rPr>
        <w:t xml:space="preserve">1. Renting households would not be charged water service charges.  As such, there </w:t>
      </w:r>
      <w:r w:rsidR="006A1778" w:rsidRPr="00A6026E">
        <w:rPr>
          <w:sz w:val="20"/>
          <w:lang w:val="en-AU"/>
        </w:rPr>
        <w:t>may be</w:t>
      </w:r>
      <w:r w:rsidRPr="00A6026E">
        <w:rPr>
          <w:sz w:val="20"/>
          <w:lang w:val="en-AU"/>
        </w:rPr>
        <w:t xml:space="preserve"> some mis-reporting in the data provided by water suppliers. As respondent survey </w:t>
      </w:r>
      <w:r w:rsidR="00AE4D91" w:rsidRPr="00A6026E">
        <w:rPr>
          <w:sz w:val="20"/>
          <w:lang w:val="en-AU"/>
        </w:rPr>
        <w:br/>
        <w:t xml:space="preserve">    </w:t>
      </w:r>
      <w:r w:rsidRPr="00A6026E">
        <w:rPr>
          <w:sz w:val="20"/>
          <w:lang w:val="en-AU"/>
        </w:rPr>
        <w:t>data was collected for the 2</w:t>
      </w:r>
      <w:r w:rsidR="006271AB" w:rsidRPr="00A6026E">
        <w:rPr>
          <w:sz w:val="20"/>
          <w:lang w:val="en-AU"/>
        </w:rPr>
        <w:t>015</w:t>
      </w:r>
      <w:r w:rsidRPr="00A6026E">
        <w:rPr>
          <w:sz w:val="20"/>
          <w:lang w:val="en-AU"/>
        </w:rPr>
        <w:t xml:space="preserve"> year and billing data was collected for the 20</w:t>
      </w:r>
      <w:r w:rsidR="006271AB" w:rsidRPr="00A6026E">
        <w:rPr>
          <w:sz w:val="20"/>
          <w:lang w:val="en-AU"/>
        </w:rPr>
        <w:t>14</w:t>
      </w:r>
      <w:r w:rsidRPr="00A6026E">
        <w:rPr>
          <w:sz w:val="20"/>
          <w:lang w:val="en-AU"/>
        </w:rPr>
        <w:t xml:space="preserve"> year, there is some likelihood that respondent and billing data will cause</w:t>
      </w:r>
      <w:r w:rsidRPr="00A6026E">
        <w:rPr>
          <w:sz w:val="20"/>
          <w:lang w:val="en-AU"/>
        </w:rPr>
        <w:br/>
        <w:t xml:space="preserve">    some anomalies in terms of analysis. For example, a household in 20</w:t>
      </w:r>
      <w:r w:rsidR="006271AB" w:rsidRPr="00A6026E">
        <w:rPr>
          <w:sz w:val="20"/>
          <w:lang w:val="en-AU"/>
        </w:rPr>
        <w:t>15</w:t>
      </w:r>
      <w:r w:rsidRPr="00A6026E">
        <w:rPr>
          <w:sz w:val="20"/>
          <w:lang w:val="en-AU"/>
        </w:rPr>
        <w:t xml:space="preserve"> may have been renting, but not in 20</w:t>
      </w:r>
      <w:r w:rsidR="006271AB" w:rsidRPr="00A6026E">
        <w:rPr>
          <w:sz w:val="20"/>
          <w:lang w:val="en-AU"/>
        </w:rPr>
        <w:t>14</w:t>
      </w:r>
      <w:r w:rsidRPr="00A6026E">
        <w:rPr>
          <w:sz w:val="20"/>
          <w:lang w:val="en-AU"/>
        </w:rPr>
        <w:t xml:space="preserve"> (although such an occurrence should be rare).</w:t>
      </w:r>
    </w:p>
    <w:p w14:paraId="48BB4B4B" w14:textId="77777777" w:rsidR="00D109F7" w:rsidRPr="00A6026E" w:rsidRDefault="00D109F7" w:rsidP="00D109F7">
      <w:pPr>
        <w:pStyle w:val="Para"/>
        <w:spacing w:line="240" w:lineRule="atLeast"/>
        <w:rPr>
          <w:lang w:val="en-AU"/>
        </w:rPr>
      </w:pPr>
    </w:p>
    <w:p w14:paraId="544457CF" w14:textId="77777777" w:rsidR="00D109F7" w:rsidRPr="00A6026E" w:rsidRDefault="00D109F7" w:rsidP="00D94827">
      <w:pPr>
        <w:pStyle w:val="Para"/>
        <w:spacing w:after="60" w:line="240" w:lineRule="atLeast"/>
        <w:jc w:val="center"/>
        <w:rPr>
          <w:b/>
          <w:u w:val="single"/>
          <w:lang w:val="en-AU"/>
        </w:rPr>
      </w:pPr>
      <w:r w:rsidRPr="00A6026E">
        <w:rPr>
          <w:b/>
          <w:lang w:val="en-AU"/>
        </w:rPr>
        <w:br w:type="page"/>
      </w:r>
      <w:r w:rsidRPr="00A6026E">
        <w:rPr>
          <w:b/>
          <w:lang w:val="en-AU"/>
        </w:rPr>
        <w:lastRenderedPageBreak/>
        <w:t xml:space="preserve">Table </w:t>
      </w:r>
      <w:r w:rsidR="001A2002" w:rsidRPr="00A6026E">
        <w:rPr>
          <w:b/>
          <w:lang w:val="en-AU"/>
        </w:rPr>
        <w:t>5</w:t>
      </w:r>
      <w:r w:rsidRPr="00A6026E">
        <w:rPr>
          <w:b/>
          <w:lang w:val="en-AU"/>
        </w:rPr>
        <w:t xml:space="preserve">.2.2.2: </w:t>
      </w:r>
      <w:r w:rsidRPr="00A6026E">
        <w:rPr>
          <w:b/>
          <w:u w:val="single"/>
          <w:lang w:val="en-AU"/>
        </w:rPr>
        <w:t>Water Bill Charges  – Part 2</w:t>
      </w:r>
    </w:p>
    <w:p w14:paraId="5CE978B0" w14:textId="77777777" w:rsidR="007C682A" w:rsidRPr="00A6026E" w:rsidRDefault="007C682A" w:rsidP="00AE4D91">
      <w:pPr>
        <w:pStyle w:val="Para"/>
        <w:spacing w:line="240" w:lineRule="exact"/>
        <w:rPr>
          <w:sz w:val="20"/>
          <w:lang w:val="en-AU"/>
        </w:rPr>
      </w:pPr>
    </w:p>
    <w:tbl>
      <w:tblPr>
        <w:tblW w:w="12271" w:type="dxa"/>
        <w:jc w:val="center"/>
        <w:tblLook w:val="04A0" w:firstRow="1" w:lastRow="0" w:firstColumn="1" w:lastColumn="0" w:noHBand="0" w:noVBand="1"/>
      </w:tblPr>
      <w:tblGrid>
        <w:gridCol w:w="2575"/>
        <w:gridCol w:w="808"/>
        <w:gridCol w:w="808"/>
        <w:gridCol w:w="808"/>
        <w:gridCol w:w="808"/>
        <w:gridCol w:w="808"/>
        <w:gridCol w:w="808"/>
        <w:gridCol w:w="808"/>
        <w:gridCol w:w="808"/>
        <w:gridCol w:w="808"/>
        <w:gridCol w:w="808"/>
        <w:gridCol w:w="808"/>
        <w:gridCol w:w="808"/>
      </w:tblGrid>
      <w:tr w:rsidR="00B6186D" w:rsidRPr="00A6026E" w14:paraId="29FBD239" w14:textId="77777777" w:rsidTr="00256AC4">
        <w:trPr>
          <w:trHeight w:val="240"/>
          <w:tblHeader/>
          <w:jc w:val="center"/>
        </w:trPr>
        <w:tc>
          <w:tcPr>
            <w:tcW w:w="2575" w:type="dxa"/>
            <w:tcBorders>
              <w:top w:val="double" w:sz="6" w:space="0" w:color="auto"/>
              <w:left w:val="double" w:sz="6" w:space="0" w:color="auto"/>
              <w:bottom w:val="single" w:sz="4" w:space="0" w:color="BFBFBF"/>
              <w:right w:val="nil"/>
            </w:tcBorders>
            <w:shd w:val="clear" w:color="auto" w:fill="auto"/>
            <w:noWrap/>
            <w:vAlign w:val="center"/>
          </w:tcPr>
          <w:p w14:paraId="03C7E5A3"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4848" w:type="dxa"/>
            <w:gridSpan w:val="6"/>
            <w:tcBorders>
              <w:top w:val="double" w:sz="6" w:space="0" w:color="auto"/>
              <w:left w:val="single" w:sz="4" w:space="0" w:color="auto"/>
              <w:bottom w:val="single" w:sz="4" w:space="0" w:color="BFBFBF"/>
              <w:right w:val="single" w:sz="4" w:space="0" w:color="000000"/>
            </w:tcBorders>
            <w:shd w:val="clear" w:color="auto" w:fill="auto"/>
            <w:noWrap/>
            <w:vAlign w:val="center"/>
          </w:tcPr>
          <w:p w14:paraId="26C14EB2"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Sewerage Service Charge</w:t>
            </w:r>
          </w:p>
        </w:tc>
        <w:tc>
          <w:tcPr>
            <w:tcW w:w="4848" w:type="dxa"/>
            <w:gridSpan w:val="6"/>
            <w:tcBorders>
              <w:top w:val="double" w:sz="6" w:space="0" w:color="auto"/>
              <w:left w:val="nil"/>
              <w:bottom w:val="single" w:sz="4" w:space="0" w:color="BFBFBF"/>
              <w:right w:val="double" w:sz="6" w:space="0" w:color="000000"/>
            </w:tcBorders>
            <w:shd w:val="clear" w:color="auto" w:fill="auto"/>
            <w:noWrap/>
            <w:vAlign w:val="center"/>
          </w:tcPr>
          <w:p w14:paraId="60F4CA25"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Sewerage Disposal Charge</w:t>
            </w:r>
          </w:p>
        </w:tc>
      </w:tr>
      <w:tr w:rsidR="00B6186D" w:rsidRPr="00A6026E" w14:paraId="15A9D5EB" w14:textId="77777777" w:rsidTr="004B2028">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3CBC93F2"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1616" w:type="dxa"/>
            <w:gridSpan w:val="2"/>
            <w:tcBorders>
              <w:top w:val="single" w:sz="4" w:space="0" w:color="BFBFBF"/>
              <w:left w:val="single" w:sz="4" w:space="0" w:color="auto"/>
              <w:bottom w:val="single" w:sz="4" w:space="0" w:color="BFBFBF"/>
              <w:right w:val="single" w:sz="4" w:space="0" w:color="BFBFBF"/>
            </w:tcBorders>
            <w:shd w:val="clear" w:color="auto" w:fill="auto"/>
            <w:noWrap/>
            <w:vAlign w:val="center"/>
          </w:tcPr>
          <w:p w14:paraId="29849072"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1616" w:type="dxa"/>
            <w:gridSpan w:val="2"/>
            <w:tcBorders>
              <w:top w:val="single" w:sz="4" w:space="0" w:color="BFBFBF"/>
              <w:left w:val="nil"/>
              <w:bottom w:val="single" w:sz="4" w:space="0" w:color="BFBFBF"/>
              <w:right w:val="single" w:sz="4" w:space="0" w:color="BFBFBF"/>
            </w:tcBorders>
            <w:shd w:val="clear" w:color="auto" w:fill="auto"/>
            <w:noWrap/>
            <w:vAlign w:val="center"/>
          </w:tcPr>
          <w:p w14:paraId="5DA61D9C"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BFBFBF"/>
            </w:tcBorders>
            <w:shd w:val="clear" w:color="auto" w:fill="auto"/>
            <w:noWrap/>
            <w:vAlign w:val="center"/>
          </w:tcPr>
          <w:p w14:paraId="48CACC5A"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2001</w:t>
            </w:r>
          </w:p>
        </w:tc>
        <w:tc>
          <w:tcPr>
            <w:tcW w:w="808" w:type="dxa"/>
            <w:tcBorders>
              <w:top w:val="nil"/>
              <w:left w:val="nil"/>
              <w:bottom w:val="single" w:sz="4" w:space="0" w:color="BFBFBF"/>
              <w:right w:val="single" w:sz="4" w:space="0" w:color="auto"/>
            </w:tcBorders>
            <w:shd w:val="clear" w:color="auto" w:fill="auto"/>
            <w:noWrap/>
            <w:vAlign w:val="center"/>
          </w:tcPr>
          <w:p w14:paraId="270E7B01"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1996</w:t>
            </w:r>
          </w:p>
        </w:tc>
        <w:tc>
          <w:tcPr>
            <w:tcW w:w="1616" w:type="dxa"/>
            <w:gridSpan w:val="2"/>
            <w:tcBorders>
              <w:top w:val="single" w:sz="4" w:space="0" w:color="BFBFBF"/>
              <w:left w:val="nil"/>
              <w:bottom w:val="single" w:sz="4" w:space="0" w:color="BFBFBF"/>
              <w:right w:val="single" w:sz="4" w:space="0" w:color="BFBFBF"/>
            </w:tcBorders>
            <w:shd w:val="clear" w:color="auto" w:fill="auto"/>
            <w:noWrap/>
            <w:vAlign w:val="center"/>
          </w:tcPr>
          <w:p w14:paraId="719194D3"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1616" w:type="dxa"/>
            <w:gridSpan w:val="2"/>
            <w:tcBorders>
              <w:top w:val="single" w:sz="4" w:space="0" w:color="BFBFBF"/>
              <w:left w:val="nil"/>
              <w:bottom w:val="single" w:sz="4" w:space="0" w:color="BFBFBF"/>
              <w:right w:val="single" w:sz="4" w:space="0" w:color="BFBFBF"/>
            </w:tcBorders>
            <w:shd w:val="clear" w:color="auto" w:fill="auto"/>
            <w:noWrap/>
            <w:vAlign w:val="center"/>
          </w:tcPr>
          <w:p w14:paraId="79075D15"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BFBFBF"/>
            </w:tcBorders>
            <w:shd w:val="clear" w:color="auto" w:fill="auto"/>
            <w:noWrap/>
            <w:vAlign w:val="center"/>
          </w:tcPr>
          <w:p w14:paraId="2A8AE757"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2001</w:t>
            </w:r>
          </w:p>
        </w:tc>
        <w:tc>
          <w:tcPr>
            <w:tcW w:w="808" w:type="dxa"/>
            <w:tcBorders>
              <w:top w:val="nil"/>
              <w:left w:val="nil"/>
              <w:bottom w:val="single" w:sz="4" w:space="0" w:color="BFBFBF"/>
              <w:right w:val="double" w:sz="6" w:space="0" w:color="auto"/>
            </w:tcBorders>
            <w:shd w:val="clear" w:color="auto" w:fill="auto"/>
            <w:noWrap/>
            <w:vAlign w:val="center"/>
          </w:tcPr>
          <w:p w14:paraId="2DD9C00F" w14:textId="77777777" w:rsidR="00B6186D" w:rsidRPr="00A6026E" w:rsidRDefault="00B6186D"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1996</w:t>
            </w:r>
          </w:p>
        </w:tc>
      </w:tr>
      <w:tr w:rsidR="00B6186D" w:rsidRPr="00A6026E" w14:paraId="218C6306" w14:textId="77777777" w:rsidTr="00256AC4">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2F806360"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B712CE5"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FD430EB"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A659E95"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78193AB"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10AE348"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auto"/>
            </w:tcBorders>
            <w:shd w:val="clear" w:color="auto" w:fill="auto"/>
            <w:noWrap/>
            <w:vAlign w:val="center"/>
          </w:tcPr>
          <w:p w14:paraId="49BE2B08"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1F859EB6"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426668F"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0396FDD"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6854B0D"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29CFC6D"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double" w:sz="6" w:space="0" w:color="auto"/>
            </w:tcBorders>
            <w:shd w:val="clear" w:color="auto" w:fill="auto"/>
            <w:noWrap/>
            <w:vAlign w:val="center"/>
          </w:tcPr>
          <w:p w14:paraId="3B8CBF1C"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r>
      <w:tr w:rsidR="00B6186D" w:rsidRPr="00A6026E" w14:paraId="770840F9" w14:textId="77777777" w:rsidTr="00256AC4">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21BFAC75" w14:textId="77777777" w:rsidR="00B6186D" w:rsidRPr="00A6026E" w:rsidRDefault="00B6186D"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Sub-group</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147BEB9"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n=1,681</w:t>
            </w:r>
          </w:p>
        </w:tc>
        <w:tc>
          <w:tcPr>
            <w:tcW w:w="808" w:type="dxa"/>
            <w:tcBorders>
              <w:top w:val="nil"/>
              <w:left w:val="nil"/>
              <w:bottom w:val="single" w:sz="4" w:space="0" w:color="BFBFBF"/>
              <w:right w:val="single" w:sz="4" w:space="0" w:color="BFBFBF"/>
            </w:tcBorders>
            <w:shd w:val="clear" w:color="auto" w:fill="auto"/>
            <w:noWrap/>
            <w:vAlign w:val="center"/>
          </w:tcPr>
          <w:p w14:paraId="486C9E37"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n=1,362</w:t>
            </w:r>
          </w:p>
        </w:tc>
        <w:tc>
          <w:tcPr>
            <w:tcW w:w="808" w:type="dxa"/>
            <w:tcBorders>
              <w:top w:val="nil"/>
              <w:left w:val="nil"/>
              <w:bottom w:val="single" w:sz="4" w:space="0" w:color="BFBFBF"/>
              <w:right w:val="single" w:sz="4" w:space="0" w:color="BFBFBF"/>
            </w:tcBorders>
            <w:shd w:val="clear" w:color="auto" w:fill="auto"/>
            <w:noWrap/>
            <w:vAlign w:val="center"/>
          </w:tcPr>
          <w:p w14:paraId="09FE8A1D"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n=1,897</w:t>
            </w:r>
          </w:p>
        </w:tc>
        <w:tc>
          <w:tcPr>
            <w:tcW w:w="808" w:type="dxa"/>
            <w:tcBorders>
              <w:top w:val="nil"/>
              <w:left w:val="nil"/>
              <w:bottom w:val="single" w:sz="4" w:space="0" w:color="BFBFBF"/>
              <w:right w:val="single" w:sz="4" w:space="0" w:color="BFBFBF"/>
            </w:tcBorders>
            <w:shd w:val="clear" w:color="auto" w:fill="auto"/>
            <w:noWrap/>
            <w:vAlign w:val="center"/>
          </w:tcPr>
          <w:p w14:paraId="05051DC1"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n=1,535</w:t>
            </w:r>
          </w:p>
        </w:tc>
        <w:tc>
          <w:tcPr>
            <w:tcW w:w="808" w:type="dxa"/>
            <w:tcBorders>
              <w:top w:val="nil"/>
              <w:left w:val="nil"/>
              <w:bottom w:val="single" w:sz="4" w:space="0" w:color="BFBFBF"/>
              <w:right w:val="single" w:sz="4" w:space="0" w:color="BFBFBF"/>
            </w:tcBorders>
            <w:shd w:val="clear" w:color="auto" w:fill="auto"/>
            <w:noWrap/>
            <w:vAlign w:val="center"/>
          </w:tcPr>
          <w:p w14:paraId="305336D4"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n=1,661</w:t>
            </w:r>
          </w:p>
        </w:tc>
        <w:tc>
          <w:tcPr>
            <w:tcW w:w="808" w:type="dxa"/>
            <w:tcBorders>
              <w:top w:val="nil"/>
              <w:left w:val="nil"/>
              <w:bottom w:val="single" w:sz="4" w:space="0" w:color="BFBFBF"/>
              <w:right w:val="single" w:sz="4" w:space="0" w:color="auto"/>
            </w:tcBorders>
            <w:shd w:val="clear" w:color="auto" w:fill="auto"/>
            <w:noWrap/>
            <w:vAlign w:val="center"/>
          </w:tcPr>
          <w:p w14:paraId="036B21F6"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n=1,512</w:t>
            </w:r>
          </w:p>
        </w:tc>
        <w:tc>
          <w:tcPr>
            <w:tcW w:w="808" w:type="dxa"/>
            <w:tcBorders>
              <w:top w:val="nil"/>
              <w:left w:val="nil"/>
              <w:bottom w:val="single" w:sz="4" w:space="0" w:color="BFBFBF"/>
              <w:right w:val="single" w:sz="4" w:space="0" w:color="BFBFBF"/>
            </w:tcBorders>
            <w:shd w:val="clear" w:color="auto" w:fill="auto"/>
            <w:noWrap/>
            <w:vAlign w:val="center"/>
          </w:tcPr>
          <w:p w14:paraId="40027DA9"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n=1,681</w:t>
            </w:r>
          </w:p>
        </w:tc>
        <w:tc>
          <w:tcPr>
            <w:tcW w:w="808" w:type="dxa"/>
            <w:tcBorders>
              <w:top w:val="nil"/>
              <w:left w:val="nil"/>
              <w:bottom w:val="single" w:sz="4" w:space="0" w:color="BFBFBF"/>
              <w:right w:val="single" w:sz="4" w:space="0" w:color="BFBFBF"/>
            </w:tcBorders>
            <w:shd w:val="clear" w:color="auto" w:fill="auto"/>
            <w:noWrap/>
            <w:vAlign w:val="center"/>
          </w:tcPr>
          <w:p w14:paraId="3A9B8513"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n=1,010</w:t>
            </w:r>
          </w:p>
        </w:tc>
        <w:tc>
          <w:tcPr>
            <w:tcW w:w="808" w:type="dxa"/>
            <w:tcBorders>
              <w:top w:val="nil"/>
              <w:left w:val="nil"/>
              <w:bottom w:val="single" w:sz="4" w:space="0" w:color="BFBFBF"/>
              <w:right w:val="single" w:sz="4" w:space="0" w:color="BFBFBF"/>
            </w:tcBorders>
            <w:shd w:val="clear" w:color="auto" w:fill="auto"/>
            <w:noWrap/>
            <w:vAlign w:val="center"/>
          </w:tcPr>
          <w:p w14:paraId="7B4D0B15"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n=1,897</w:t>
            </w:r>
          </w:p>
        </w:tc>
        <w:tc>
          <w:tcPr>
            <w:tcW w:w="808" w:type="dxa"/>
            <w:tcBorders>
              <w:top w:val="nil"/>
              <w:left w:val="nil"/>
              <w:bottom w:val="single" w:sz="4" w:space="0" w:color="BFBFBF"/>
              <w:right w:val="single" w:sz="4" w:space="0" w:color="BFBFBF"/>
            </w:tcBorders>
            <w:shd w:val="clear" w:color="auto" w:fill="auto"/>
            <w:noWrap/>
            <w:vAlign w:val="center"/>
          </w:tcPr>
          <w:p w14:paraId="55AF1505"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n=1,246</w:t>
            </w:r>
          </w:p>
        </w:tc>
        <w:tc>
          <w:tcPr>
            <w:tcW w:w="808" w:type="dxa"/>
            <w:tcBorders>
              <w:top w:val="nil"/>
              <w:left w:val="nil"/>
              <w:bottom w:val="single" w:sz="4" w:space="0" w:color="BFBFBF"/>
              <w:right w:val="single" w:sz="4" w:space="0" w:color="BFBFBF"/>
            </w:tcBorders>
            <w:shd w:val="clear" w:color="auto" w:fill="auto"/>
            <w:noWrap/>
            <w:vAlign w:val="center"/>
          </w:tcPr>
          <w:p w14:paraId="38C64C57"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n=1,419</w:t>
            </w:r>
          </w:p>
        </w:tc>
        <w:tc>
          <w:tcPr>
            <w:tcW w:w="808" w:type="dxa"/>
            <w:tcBorders>
              <w:top w:val="nil"/>
              <w:left w:val="nil"/>
              <w:bottom w:val="single" w:sz="4" w:space="0" w:color="BFBFBF"/>
              <w:right w:val="double" w:sz="6" w:space="0" w:color="auto"/>
            </w:tcBorders>
            <w:shd w:val="clear" w:color="auto" w:fill="auto"/>
            <w:noWrap/>
            <w:vAlign w:val="center"/>
          </w:tcPr>
          <w:p w14:paraId="2A6B722F" w14:textId="77777777" w:rsidR="00B6186D" w:rsidRPr="00A6026E" w:rsidRDefault="00B6186D"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n=1,357</w:t>
            </w:r>
          </w:p>
        </w:tc>
      </w:tr>
      <w:tr w:rsidR="00B6186D" w:rsidRPr="00A6026E" w14:paraId="66C871E1"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12B190BD" w14:textId="77777777" w:rsidR="00B6186D" w:rsidRPr="00A6026E" w:rsidRDefault="00B6186D"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Region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10A54F0" w14:textId="77777777" w:rsidR="00B6186D" w:rsidRPr="00A6026E" w:rsidRDefault="00B6186D" w:rsidP="00B6186D">
            <w:pPr>
              <w:spacing w:before="0" w:after="0"/>
              <w:rPr>
                <w:rFonts w:ascii="Arial" w:hAnsi="Arial" w:cs="Arial"/>
                <w:color w:val="FF0000"/>
                <w:sz w:val="16"/>
                <w:szCs w:val="16"/>
                <w:lang w:val="en-AU" w:eastAsia="en-AU"/>
              </w:rPr>
            </w:pPr>
            <w:r w:rsidRPr="00A6026E">
              <w:rPr>
                <w:rFonts w:ascii="Arial" w:hAnsi="Arial" w:cs="Arial"/>
                <w:color w:val="FF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44695075"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740671B"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CC03F0B"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63F405F"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139538E8" w14:textId="77777777" w:rsidR="00B6186D" w:rsidRPr="00A6026E" w:rsidRDefault="00B6186D"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5EB4DF31" w14:textId="77777777" w:rsidR="00B6186D" w:rsidRPr="00A6026E" w:rsidRDefault="00B6186D" w:rsidP="00B6186D">
            <w:pPr>
              <w:spacing w:before="0" w:after="0"/>
              <w:rPr>
                <w:rFonts w:ascii="Arial" w:hAnsi="Arial" w:cs="Arial"/>
                <w:color w:val="FF0000"/>
                <w:sz w:val="16"/>
                <w:szCs w:val="16"/>
                <w:lang w:val="en-AU" w:eastAsia="en-AU"/>
              </w:rPr>
            </w:pPr>
            <w:r w:rsidRPr="00A6026E">
              <w:rPr>
                <w:rFonts w:ascii="Arial" w:hAnsi="Arial" w:cs="Arial"/>
                <w:color w:val="FF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5BE33C82"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7951BAC"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E536428"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0364819"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0D789A69" w14:textId="77777777" w:rsidR="00B6186D" w:rsidRPr="00A6026E" w:rsidRDefault="00B6186D"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256AC4" w:rsidRPr="00A6026E" w14:paraId="5CE240A5"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2C5A65F"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A6026E">
                  <w:rPr>
                    <w:rFonts w:ascii="Arial" w:hAnsi="Arial" w:cs="Arial"/>
                    <w:color w:val="000000"/>
                    <w:sz w:val="16"/>
                    <w:szCs w:val="16"/>
                    <w:lang w:val="en-AU" w:eastAsia="en-AU"/>
                  </w:rPr>
                  <w:t>Melbourne</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38C57FC"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81%</w:t>
            </w:r>
          </w:p>
        </w:tc>
        <w:tc>
          <w:tcPr>
            <w:tcW w:w="808" w:type="dxa"/>
            <w:tcBorders>
              <w:top w:val="nil"/>
              <w:left w:val="nil"/>
              <w:bottom w:val="single" w:sz="4" w:space="0" w:color="BFBFBF"/>
              <w:right w:val="single" w:sz="4" w:space="0" w:color="BFBFBF"/>
            </w:tcBorders>
            <w:shd w:val="clear" w:color="auto" w:fill="auto"/>
            <w:noWrap/>
            <w:vAlign w:val="center"/>
          </w:tcPr>
          <w:p w14:paraId="1A1857B5"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343</w:t>
            </w:r>
          </w:p>
        </w:tc>
        <w:tc>
          <w:tcPr>
            <w:tcW w:w="808" w:type="dxa"/>
            <w:tcBorders>
              <w:top w:val="nil"/>
              <w:left w:val="nil"/>
              <w:bottom w:val="single" w:sz="4" w:space="0" w:color="BFBFBF"/>
              <w:right w:val="single" w:sz="4" w:space="0" w:color="BFBFBF"/>
            </w:tcBorders>
            <w:shd w:val="clear" w:color="auto" w:fill="auto"/>
            <w:noWrap/>
            <w:vAlign w:val="center"/>
          </w:tcPr>
          <w:p w14:paraId="32E9899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79%</w:t>
            </w:r>
          </w:p>
        </w:tc>
        <w:tc>
          <w:tcPr>
            <w:tcW w:w="808" w:type="dxa"/>
            <w:tcBorders>
              <w:top w:val="nil"/>
              <w:left w:val="nil"/>
              <w:bottom w:val="single" w:sz="4" w:space="0" w:color="BFBFBF"/>
              <w:right w:val="single" w:sz="4" w:space="0" w:color="BFBFBF"/>
            </w:tcBorders>
            <w:shd w:val="clear" w:color="auto" w:fill="auto"/>
            <w:noWrap/>
            <w:vAlign w:val="center"/>
          </w:tcPr>
          <w:p w14:paraId="444FCFE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142</w:t>
            </w:r>
          </w:p>
        </w:tc>
        <w:tc>
          <w:tcPr>
            <w:tcW w:w="808" w:type="dxa"/>
            <w:tcBorders>
              <w:top w:val="nil"/>
              <w:left w:val="nil"/>
              <w:bottom w:val="single" w:sz="4" w:space="0" w:color="BFBFBF"/>
              <w:right w:val="single" w:sz="4" w:space="0" w:color="BFBFBF"/>
            </w:tcBorders>
            <w:shd w:val="clear" w:color="auto" w:fill="auto"/>
            <w:noWrap/>
            <w:vAlign w:val="center"/>
          </w:tcPr>
          <w:p w14:paraId="44E7A24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808" w:type="dxa"/>
            <w:tcBorders>
              <w:top w:val="nil"/>
              <w:left w:val="nil"/>
              <w:bottom w:val="single" w:sz="4" w:space="0" w:color="BFBFBF"/>
              <w:right w:val="single" w:sz="4" w:space="0" w:color="auto"/>
            </w:tcBorders>
            <w:shd w:val="clear" w:color="auto" w:fill="auto"/>
            <w:noWrap/>
            <w:vAlign w:val="center"/>
          </w:tcPr>
          <w:p w14:paraId="0549D4C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321</w:t>
            </w:r>
          </w:p>
        </w:tc>
        <w:tc>
          <w:tcPr>
            <w:tcW w:w="808" w:type="dxa"/>
            <w:tcBorders>
              <w:top w:val="nil"/>
              <w:left w:val="nil"/>
              <w:bottom w:val="single" w:sz="4" w:space="0" w:color="BFBFBF"/>
              <w:right w:val="single" w:sz="4" w:space="0" w:color="BFBFBF"/>
            </w:tcBorders>
            <w:shd w:val="clear" w:color="auto" w:fill="auto"/>
            <w:noWrap/>
            <w:vAlign w:val="center"/>
          </w:tcPr>
          <w:p w14:paraId="7C741B8C"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93%</w:t>
            </w:r>
          </w:p>
        </w:tc>
        <w:tc>
          <w:tcPr>
            <w:tcW w:w="808" w:type="dxa"/>
            <w:tcBorders>
              <w:top w:val="nil"/>
              <w:left w:val="nil"/>
              <w:bottom w:val="single" w:sz="4" w:space="0" w:color="BFBFBF"/>
              <w:right w:val="single" w:sz="4" w:space="0" w:color="BFBFBF"/>
            </w:tcBorders>
            <w:shd w:val="clear" w:color="auto" w:fill="auto"/>
            <w:noWrap/>
            <w:vAlign w:val="center"/>
          </w:tcPr>
          <w:p w14:paraId="0D51BA7B"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206</w:t>
            </w:r>
          </w:p>
        </w:tc>
        <w:tc>
          <w:tcPr>
            <w:tcW w:w="808" w:type="dxa"/>
            <w:tcBorders>
              <w:top w:val="nil"/>
              <w:left w:val="nil"/>
              <w:bottom w:val="single" w:sz="4" w:space="0" w:color="BFBFBF"/>
              <w:right w:val="single" w:sz="4" w:space="0" w:color="BFBFBF"/>
            </w:tcBorders>
            <w:shd w:val="clear" w:color="auto" w:fill="auto"/>
            <w:noWrap/>
            <w:vAlign w:val="center"/>
          </w:tcPr>
          <w:p w14:paraId="136BB47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808" w:type="dxa"/>
            <w:tcBorders>
              <w:top w:val="nil"/>
              <w:left w:val="nil"/>
              <w:bottom w:val="single" w:sz="4" w:space="0" w:color="BFBFBF"/>
              <w:right w:val="single" w:sz="4" w:space="0" w:color="BFBFBF"/>
            </w:tcBorders>
            <w:shd w:val="clear" w:color="auto" w:fill="auto"/>
            <w:noWrap/>
            <w:vAlign w:val="center"/>
          </w:tcPr>
          <w:p w14:paraId="25F6DA0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139</w:t>
            </w:r>
          </w:p>
        </w:tc>
        <w:tc>
          <w:tcPr>
            <w:tcW w:w="808" w:type="dxa"/>
            <w:tcBorders>
              <w:top w:val="nil"/>
              <w:left w:val="nil"/>
              <w:bottom w:val="single" w:sz="4" w:space="0" w:color="BFBFBF"/>
              <w:right w:val="single" w:sz="4" w:space="0" w:color="BFBFBF"/>
            </w:tcBorders>
            <w:shd w:val="clear" w:color="auto" w:fill="auto"/>
            <w:noWrap/>
            <w:vAlign w:val="center"/>
          </w:tcPr>
          <w:p w14:paraId="0A17EDA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808" w:type="dxa"/>
            <w:tcBorders>
              <w:top w:val="nil"/>
              <w:left w:val="nil"/>
              <w:bottom w:val="single" w:sz="4" w:space="0" w:color="BFBFBF"/>
              <w:right w:val="double" w:sz="6" w:space="0" w:color="auto"/>
            </w:tcBorders>
            <w:shd w:val="clear" w:color="auto" w:fill="auto"/>
            <w:noWrap/>
            <w:vAlign w:val="center"/>
          </w:tcPr>
          <w:p w14:paraId="5304093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w:t>
            </w:r>
          </w:p>
        </w:tc>
      </w:tr>
      <w:tr w:rsidR="00256AC4" w:rsidRPr="00A6026E" w14:paraId="24DD5427"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ED6E696"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Country VIC</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558F0DE"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BFBFBF"/>
            </w:tcBorders>
            <w:shd w:val="clear" w:color="auto" w:fill="auto"/>
            <w:noWrap/>
            <w:vAlign w:val="center"/>
          </w:tcPr>
          <w:p w14:paraId="001D4F8A"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554</w:t>
            </w:r>
          </w:p>
        </w:tc>
        <w:tc>
          <w:tcPr>
            <w:tcW w:w="808" w:type="dxa"/>
            <w:tcBorders>
              <w:top w:val="nil"/>
              <w:left w:val="nil"/>
              <w:bottom w:val="single" w:sz="4" w:space="0" w:color="BFBFBF"/>
              <w:right w:val="single" w:sz="4" w:space="0" w:color="BFBFBF"/>
            </w:tcBorders>
            <w:shd w:val="clear" w:color="auto" w:fill="auto"/>
            <w:noWrap/>
            <w:vAlign w:val="center"/>
          </w:tcPr>
          <w:p w14:paraId="7F81214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808" w:type="dxa"/>
            <w:tcBorders>
              <w:top w:val="nil"/>
              <w:left w:val="nil"/>
              <w:bottom w:val="single" w:sz="4" w:space="0" w:color="BFBFBF"/>
              <w:right w:val="single" w:sz="4" w:space="0" w:color="BFBFBF"/>
            </w:tcBorders>
            <w:shd w:val="clear" w:color="auto" w:fill="auto"/>
            <w:noWrap/>
            <w:vAlign w:val="center"/>
          </w:tcPr>
          <w:p w14:paraId="17E6407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265</w:t>
            </w:r>
          </w:p>
        </w:tc>
        <w:tc>
          <w:tcPr>
            <w:tcW w:w="808" w:type="dxa"/>
            <w:tcBorders>
              <w:top w:val="nil"/>
              <w:left w:val="nil"/>
              <w:bottom w:val="single" w:sz="4" w:space="0" w:color="BFBFBF"/>
              <w:right w:val="single" w:sz="4" w:space="0" w:color="BFBFBF"/>
            </w:tcBorders>
            <w:shd w:val="clear" w:color="auto" w:fill="auto"/>
            <w:noWrap/>
            <w:vAlign w:val="center"/>
          </w:tcPr>
          <w:p w14:paraId="7744DD5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185</w:t>
            </w:r>
          </w:p>
        </w:tc>
        <w:tc>
          <w:tcPr>
            <w:tcW w:w="808" w:type="dxa"/>
            <w:tcBorders>
              <w:top w:val="nil"/>
              <w:left w:val="nil"/>
              <w:bottom w:val="single" w:sz="4" w:space="0" w:color="BFBFBF"/>
              <w:right w:val="single" w:sz="4" w:space="0" w:color="auto"/>
            </w:tcBorders>
            <w:shd w:val="clear" w:color="auto" w:fill="auto"/>
            <w:noWrap/>
            <w:vAlign w:val="center"/>
          </w:tcPr>
          <w:p w14:paraId="27EC3BF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174</w:t>
            </w:r>
          </w:p>
        </w:tc>
        <w:tc>
          <w:tcPr>
            <w:tcW w:w="808" w:type="dxa"/>
            <w:tcBorders>
              <w:top w:val="nil"/>
              <w:left w:val="nil"/>
              <w:bottom w:val="single" w:sz="4" w:space="0" w:color="BFBFBF"/>
              <w:right w:val="single" w:sz="4" w:space="0" w:color="BFBFBF"/>
            </w:tcBorders>
            <w:shd w:val="clear" w:color="auto" w:fill="auto"/>
            <w:noWrap/>
            <w:vAlign w:val="center"/>
          </w:tcPr>
          <w:p w14:paraId="2CC4E87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808" w:type="dxa"/>
            <w:tcBorders>
              <w:top w:val="nil"/>
              <w:left w:val="nil"/>
              <w:bottom w:val="single" w:sz="4" w:space="0" w:color="BFBFBF"/>
              <w:right w:val="single" w:sz="4" w:space="0" w:color="BFBFBF"/>
            </w:tcBorders>
            <w:shd w:val="clear" w:color="auto" w:fill="auto"/>
            <w:noWrap/>
            <w:vAlign w:val="center"/>
          </w:tcPr>
          <w:p w14:paraId="1916FB7E"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241</w:t>
            </w:r>
          </w:p>
        </w:tc>
        <w:tc>
          <w:tcPr>
            <w:tcW w:w="808" w:type="dxa"/>
            <w:tcBorders>
              <w:top w:val="nil"/>
              <w:left w:val="nil"/>
              <w:bottom w:val="single" w:sz="4" w:space="0" w:color="BFBFBF"/>
              <w:right w:val="single" w:sz="4" w:space="0" w:color="BFBFBF"/>
            </w:tcBorders>
            <w:shd w:val="clear" w:color="auto" w:fill="auto"/>
            <w:noWrap/>
            <w:vAlign w:val="center"/>
          </w:tcPr>
          <w:p w14:paraId="21BAD79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33%</w:t>
            </w:r>
          </w:p>
        </w:tc>
        <w:tc>
          <w:tcPr>
            <w:tcW w:w="808" w:type="dxa"/>
            <w:tcBorders>
              <w:top w:val="nil"/>
              <w:left w:val="nil"/>
              <w:bottom w:val="single" w:sz="4" w:space="0" w:color="BFBFBF"/>
              <w:right w:val="single" w:sz="4" w:space="0" w:color="BFBFBF"/>
            </w:tcBorders>
            <w:shd w:val="clear" w:color="auto" w:fill="auto"/>
            <w:noWrap/>
            <w:vAlign w:val="center"/>
          </w:tcPr>
          <w:p w14:paraId="17ED3B8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139</w:t>
            </w:r>
          </w:p>
        </w:tc>
        <w:tc>
          <w:tcPr>
            <w:tcW w:w="808" w:type="dxa"/>
            <w:tcBorders>
              <w:top w:val="nil"/>
              <w:left w:val="nil"/>
              <w:bottom w:val="single" w:sz="4" w:space="0" w:color="BFBFBF"/>
              <w:right w:val="single" w:sz="4" w:space="0" w:color="BFBFBF"/>
            </w:tcBorders>
            <w:shd w:val="clear" w:color="auto" w:fill="auto"/>
            <w:noWrap/>
            <w:vAlign w:val="center"/>
          </w:tcPr>
          <w:p w14:paraId="03129AE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82</w:t>
            </w:r>
          </w:p>
        </w:tc>
        <w:tc>
          <w:tcPr>
            <w:tcW w:w="808" w:type="dxa"/>
            <w:tcBorders>
              <w:top w:val="nil"/>
              <w:left w:val="nil"/>
              <w:bottom w:val="single" w:sz="4" w:space="0" w:color="BFBFBF"/>
              <w:right w:val="double" w:sz="6" w:space="0" w:color="auto"/>
            </w:tcBorders>
            <w:shd w:val="clear" w:color="auto" w:fill="auto"/>
            <w:noWrap/>
            <w:vAlign w:val="center"/>
          </w:tcPr>
          <w:p w14:paraId="7BCDE52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r>
      <w:tr w:rsidR="00256AC4" w:rsidRPr="00A6026E" w14:paraId="7ED68A2B"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9F2291E" w14:textId="4BCA22C6" w:rsidR="00256AC4" w:rsidRPr="00A6026E" w:rsidRDefault="00BC6314" w:rsidP="00B6186D">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256AC4" w:rsidRPr="00A6026E">
              <w:rPr>
                <w:rFonts w:ascii="Arial" w:hAnsi="Arial" w:cs="Arial"/>
                <w:color w:val="000000"/>
                <w:sz w:val="16"/>
                <w:szCs w:val="16"/>
                <w:lang w:val="en-AU" w:eastAsia="en-AU"/>
              </w:rPr>
              <w:t>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A2052A5"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36%</w:t>
            </w:r>
          </w:p>
        </w:tc>
        <w:tc>
          <w:tcPr>
            <w:tcW w:w="808" w:type="dxa"/>
            <w:tcBorders>
              <w:top w:val="nil"/>
              <w:left w:val="nil"/>
              <w:bottom w:val="single" w:sz="4" w:space="0" w:color="BFBFBF"/>
              <w:right w:val="single" w:sz="4" w:space="0" w:color="BFBFBF"/>
            </w:tcBorders>
            <w:shd w:val="clear" w:color="auto" w:fill="auto"/>
            <w:noWrap/>
            <w:vAlign w:val="center"/>
          </w:tcPr>
          <w:p w14:paraId="050F4941"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488</w:t>
            </w:r>
          </w:p>
        </w:tc>
        <w:tc>
          <w:tcPr>
            <w:tcW w:w="808" w:type="dxa"/>
            <w:tcBorders>
              <w:top w:val="nil"/>
              <w:left w:val="nil"/>
              <w:bottom w:val="single" w:sz="4" w:space="0" w:color="BFBFBF"/>
              <w:right w:val="single" w:sz="4" w:space="0" w:color="BFBFBF"/>
            </w:tcBorders>
            <w:shd w:val="clear" w:color="auto" w:fill="auto"/>
            <w:noWrap/>
            <w:vAlign w:val="center"/>
          </w:tcPr>
          <w:p w14:paraId="3679F6C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808" w:type="dxa"/>
            <w:tcBorders>
              <w:top w:val="nil"/>
              <w:left w:val="nil"/>
              <w:bottom w:val="single" w:sz="4" w:space="0" w:color="BFBFBF"/>
              <w:right w:val="single" w:sz="4" w:space="0" w:color="BFBFBF"/>
            </w:tcBorders>
            <w:shd w:val="clear" w:color="auto" w:fill="auto"/>
            <w:noWrap/>
            <w:vAlign w:val="center"/>
          </w:tcPr>
          <w:p w14:paraId="7FFC80D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334</w:t>
            </w:r>
          </w:p>
        </w:tc>
        <w:tc>
          <w:tcPr>
            <w:tcW w:w="808" w:type="dxa"/>
            <w:tcBorders>
              <w:top w:val="nil"/>
              <w:left w:val="nil"/>
              <w:bottom w:val="single" w:sz="4" w:space="0" w:color="BFBFBF"/>
              <w:right w:val="single" w:sz="4" w:space="0" w:color="BFBFBF"/>
            </w:tcBorders>
            <w:shd w:val="clear" w:color="auto" w:fill="auto"/>
            <w:noWrap/>
            <w:vAlign w:val="center"/>
          </w:tcPr>
          <w:p w14:paraId="14E878F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574D40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DF6CA89"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w:t>
            </w:r>
          </w:p>
        </w:tc>
        <w:tc>
          <w:tcPr>
            <w:tcW w:w="808" w:type="dxa"/>
            <w:tcBorders>
              <w:top w:val="nil"/>
              <w:left w:val="nil"/>
              <w:bottom w:val="single" w:sz="4" w:space="0" w:color="BFBFBF"/>
              <w:right w:val="single" w:sz="4" w:space="0" w:color="BFBFBF"/>
            </w:tcBorders>
            <w:shd w:val="clear" w:color="auto" w:fill="auto"/>
            <w:noWrap/>
            <w:vAlign w:val="center"/>
          </w:tcPr>
          <w:p w14:paraId="5FC4DA3C"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247</w:t>
            </w:r>
          </w:p>
        </w:tc>
        <w:tc>
          <w:tcPr>
            <w:tcW w:w="808" w:type="dxa"/>
            <w:tcBorders>
              <w:top w:val="nil"/>
              <w:left w:val="nil"/>
              <w:bottom w:val="single" w:sz="4" w:space="0" w:color="BFBFBF"/>
              <w:right w:val="single" w:sz="4" w:space="0" w:color="BFBFBF"/>
            </w:tcBorders>
            <w:shd w:val="clear" w:color="auto" w:fill="auto"/>
            <w:noWrap/>
            <w:vAlign w:val="center"/>
          </w:tcPr>
          <w:p w14:paraId="1DF5224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808" w:type="dxa"/>
            <w:tcBorders>
              <w:top w:val="nil"/>
              <w:left w:val="nil"/>
              <w:bottom w:val="single" w:sz="4" w:space="0" w:color="BFBFBF"/>
              <w:right w:val="single" w:sz="4" w:space="0" w:color="BFBFBF"/>
            </w:tcBorders>
            <w:shd w:val="clear" w:color="auto" w:fill="auto"/>
            <w:noWrap/>
            <w:vAlign w:val="center"/>
          </w:tcPr>
          <w:p w14:paraId="6031395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808" w:type="dxa"/>
            <w:tcBorders>
              <w:top w:val="nil"/>
              <w:left w:val="nil"/>
              <w:bottom w:val="single" w:sz="4" w:space="0" w:color="BFBFBF"/>
              <w:right w:val="single" w:sz="4" w:space="0" w:color="BFBFBF"/>
            </w:tcBorders>
            <w:shd w:val="clear" w:color="auto" w:fill="auto"/>
            <w:noWrap/>
            <w:vAlign w:val="center"/>
          </w:tcPr>
          <w:p w14:paraId="5B718AE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DE9D67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4C9F360F"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77F9121" w14:textId="77777777" w:rsidR="00256AC4" w:rsidRPr="00A6026E" w:rsidRDefault="00256AC4"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DHHS Area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3EF5C0E"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0AB6059"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99C195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483E9E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3B0321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797E253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765D9A2"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95B2067"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57F6CF5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327CC76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77FA4D8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bottom"/>
          </w:tcPr>
          <w:p w14:paraId="587CF3B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256AC4" w:rsidRPr="00A6026E" w14:paraId="01A511CC"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12E9B139"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Hume Moreland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A408E0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78%</w:t>
            </w:r>
          </w:p>
        </w:tc>
        <w:tc>
          <w:tcPr>
            <w:tcW w:w="808" w:type="dxa"/>
            <w:tcBorders>
              <w:top w:val="nil"/>
              <w:left w:val="nil"/>
              <w:bottom w:val="single" w:sz="4" w:space="0" w:color="BFBFBF"/>
              <w:right w:val="single" w:sz="4" w:space="0" w:color="BFBFBF"/>
            </w:tcBorders>
            <w:shd w:val="clear" w:color="auto" w:fill="auto"/>
            <w:noWrap/>
            <w:vAlign w:val="center"/>
          </w:tcPr>
          <w:p w14:paraId="099596D6"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361</w:t>
            </w:r>
          </w:p>
        </w:tc>
        <w:tc>
          <w:tcPr>
            <w:tcW w:w="808" w:type="dxa"/>
            <w:tcBorders>
              <w:top w:val="nil"/>
              <w:left w:val="nil"/>
              <w:bottom w:val="single" w:sz="4" w:space="0" w:color="BFBFBF"/>
              <w:right w:val="single" w:sz="4" w:space="0" w:color="BFBFBF"/>
            </w:tcBorders>
            <w:shd w:val="clear" w:color="auto" w:fill="auto"/>
            <w:noWrap/>
            <w:vAlign w:val="center"/>
          </w:tcPr>
          <w:p w14:paraId="4AC83F9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F3D933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845D11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973420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5B935A6"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88%</w:t>
            </w:r>
          </w:p>
        </w:tc>
        <w:tc>
          <w:tcPr>
            <w:tcW w:w="808" w:type="dxa"/>
            <w:tcBorders>
              <w:top w:val="nil"/>
              <w:left w:val="nil"/>
              <w:bottom w:val="single" w:sz="4" w:space="0" w:color="BFBFBF"/>
              <w:right w:val="single" w:sz="4" w:space="0" w:color="BFBFBF"/>
            </w:tcBorders>
            <w:shd w:val="clear" w:color="auto" w:fill="auto"/>
            <w:noWrap/>
            <w:vAlign w:val="center"/>
          </w:tcPr>
          <w:p w14:paraId="6D4C0E19"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228</w:t>
            </w:r>
          </w:p>
        </w:tc>
        <w:tc>
          <w:tcPr>
            <w:tcW w:w="808" w:type="dxa"/>
            <w:tcBorders>
              <w:top w:val="nil"/>
              <w:left w:val="nil"/>
              <w:bottom w:val="single" w:sz="4" w:space="0" w:color="BFBFBF"/>
              <w:right w:val="single" w:sz="4" w:space="0" w:color="BFBFBF"/>
            </w:tcBorders>
            <w:shd w:val="clear" w:color="auto" w:fill="auto"/>
            <w:noWrap/>
            <w:vAlign w:val="center"/>
          </w:tcPr>
          <w:p w14:paraId="19C5CB6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418B45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2CB2E7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7C37D2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6FB0B85A"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34A85D4E"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North Eastern Melbourne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A105AE5"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72%</w:t>
            </w:r>
          </w:p>
        </w:tc>
        <w:tc>
          <w:tcPr>
            <w:tcW w:w="808" w:type="dxa"/>
            <w:tcBorders>
              <w:top w:val="nil"/>
              <w:left w:val="nil"/>
              <w:bottom w:val="single" w:sz="4" w:space="0" w:color="BFBFBF"/>
              <w:right w:val="single" w:sz="4" w:space="0" w:color="BFBFBF"/>
            </w:tcBorders>
            <w:shd w:val="clear" w:color="auto" w:fill="auto"/>
            <w:noWrap/>
            <w:vAlign w:val="center"/>
          </w:tcPr>
          <w:p w14:paraId="207BD534"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339</w:t>
            </w:r>
          </w:p>
        </w:tc>
        <w:tc>
          <w:tcPr>
            <w:tcW w:w="808" w:type="dxa"/>
            <w:tcBorders>
              <w:top w:val="nil"/>
              <w:left w:val="nil"/>
              <w:bottom w:val="single" w:sz="4" w:space="0" w:color="BFBFBF"/>
              <w:right w:val="single" w:sz="4" w:space="0" w:color="BFBFBF"/>
            </w:tcBorders>
            <w:shd w:val="clear" w:color="auto" w:fill="auto"/>
            <w:noWrap/>
            <w:vAlign w:val="center"/>
          </w:tcPr>
          <w:p w14:paraId="49AEEB2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67F368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95B448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D60384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F5B9160"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808" w:type="dxa"/>
            <w:tcBorders>
              <w:top w:val="nil"/>
              <w:left w:val="nil"/>
              <w:bottom w:val="single" w:sz="4" w:space="0" w:color="BFBFBF"/>
              <w:right w:val="single" w:sz="4" w:space="0" w:color="BFBFBF"/>
            </w:tcBorders>
            <w:shd w:val="clear" w:color="auto" w:fill="auto"/>
            <w:noWrap/>
            <w:vAlign w:val="center"/>
          </w:tcPr>
          <w:p w14:paraId="16E4CF5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233</w:t>
            </w:r>
          </w:p>
        </w:tc>
        <w:tc>
          <w:tcPr>
            <w:tcW w:w="808" w:type="dxa"/>
            <w:tcBorders>
              <w:top w:val="nil"/>
              <w:left w:val="nil"/>
              <w:bottom w:val="single" w:sz="4" w:space="0" w:color="BFBFBF"/>
              <w:right w:val="single" w:sz="4" w:space="0" w:color="BFBFBF"/>
            </w:tcBorders>
            <w:shd w:val="clear" w:color="auto" w:fill="auto"/>
            <w:noWrap/>
            <w:vAlign w:val="center"/>
          </w:tcPr>
          <w:p w14:paraId="62F310A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1D38F0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C237CC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8779C3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4FEDEDA5"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99D54BF"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 xml:space="preserve">Outer </w:t>
            </w:r>
            <w:smartTag w:uri="urn:schemas-microsoft-com:office:smarttags" w:element="place">
              <w:r w:rsidRPr="00A6026E">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3C90D8F"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BFBFBF"/>
            </w:tcBorders>
            <w:shd w:val="clear" w:color="auto" w:fill="auto"/>
            <w:noWrap/>
            <w:vAlign w:val="center"/>
          </w:tcPr>
          <w:p w14:paraId="631A0F8C"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368</w:t>
            </w:r>
          </w:p>
        </w:tc>
        <w:tc>
          <w:tcPr>
            <w:tcW w:w="808" w:type="dxa"/>
            <w:tcBorders>
              <w:top w:val="nil"/>
              <w:left w:val="nil"/>
              <w:bottom w:val="single" w:sz="4" w:space="0" w:color="BFBFBF"/>
              <w:right w:val="single" w:sz="4" w:space="0" w:color="BFBFBF"/>
            </w:tcBorders>
            <w:shd w:val="clear" w:color="auto" w:fill="auto"/>
            <w:noWrap/>
            <w:vAlign w:val="center"/>
          </w:tcPr>
          <w:p w14:paraId="79D35D9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CB9C9F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E84C7A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6EBB50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B8D585D"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808" w:type="dxa"/>
            <w:tcBorders>
              <w:top w:val="nil"/>
              <w:left w:val="nil"/>
              <w:bottom w:val="single" w:sz="4" w:space="0" w:color="BFBFBF"/>
              <w:right w:val="single" w:sz="4" w:space="0" w:color="BFBFBF"/>
            </w:tcBorders>
            <w:shd w:val="clear" w:color="auto" w:fill="auto"/>
            <w:noWrap/>
            <w:vAlign w:val="center"/>
          </w:tcPr>
          <w:p w14:paraId="1883BACF"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183</w:t>
            </w:r>
          </w:p>
        </w:tc>
        <w:tc>
          <w:tcPr>
            <w:tcW w:w="808" w:type="dxa"/>
            <w:tcBorders>
              <w:top w:val="nil"/>
              <w:left w:val="nil"/>
              <w:bottom w:val="single" w:sz="4" w:space="0" w:color="BFBFBF"/>
              <w:right w:val="single" w:sz="4" w:space="0" w:color="BFBFBF"/>
            </w:tcBorders>
            <w:shd w:val="clear" w:color="auto" w:fill="auto"/>
            <w:noWrap/>
            <w:vAlign w:val="center"/>
          </w:tcPr>
          <w:p w14:paraId="10A2549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E930F7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AC4814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FA033B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6E87E038"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5C2A2D0"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 xml:space="preserve">Inner </w:t>
            </w:r>
            <w:smartTag w:uri="urn:schemas-microsoft-com:office:smarttags" w:element="place">
              <w:r w:rsidRPr="00A6026E">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6ECF787"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808" w:type="dxa"/>
            <w:tcBorders>
              <w:top w:val="nil"/>
              <w:left w:val="nil"/>
              <w:bottom w:val="single" w:sz="4" w:space="0" w:color="BFBFBF"/>
              <w:right w:val="single" w:sz="4" w:space="0" w:color="BFBFBF"/>
            </w:tcBorders>
            <w:shd w:val="clear" w:color="auto" w:fill="auto"/>
            <w:noWrap/>
            <w:vAlign w:val="center"/>
          </w:tcPr>
          <w:p w14:paraId="0BE0DA86"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347</w:t>
            </w:r>
          </w:p>
        </w:tc>
        <w:tc>
          <w:tcPr>
            <w:tcW w:w="808" w:type="dxa"/>
            <w:tcBorders>
              <w:top w:val="nil"/>
              <w:left w:val="nil"/>
              <w:bottom w:val="single" w:sz="4" w:space="0" w:color="BFBFBF"/>
              <w:right w:val="single" w:sz="4" w:space="0" w:color="BFBFBF"/>
            </w:tcBorders>
            <w:shd w:val="clear" w:color="auto" w:fill="auto"/>
            <w:noWrap/>
            <w:vAlign w:val="center"/>
          </w:tcPr>
          <w:p w14:paraId="4C2C106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17E5BC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79457C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0F96A9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B7B7E05"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808" w:type="dxa"/>
            <w:tcBorders>
              <w:top w:val="nil"/>
              <w:left w:val="nil"/>
              <w:bottom w:val="single" w:sz="4" w:space="0" w:color="BFBFBF"/>
              <w:right w:val="single" w:sz="4" w:space="0" w:color="BFBFBF"/>
            </w:tcBorders>
            <w:shd w:val="clear" w:color="auto" w:fill="auto"/>
            <w:noWrap/>
            <w:vAlign w:val="center"/>
          </w:tcPr>
          <w:p w14:paraId="5B9E6B1E"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217</w:t>
            </w:r>
          </w:p>
        </w:tc>
        <w:tc>
          <w:tcPr>
            <w:tcW w:w="808" w:type="dxa"/>
            <w:tcBorders>
              <w:top w:val="nil"/>
              <w:left w:val="nil"/>
              <w:bottom w:val="single" w:sz="4" w:space="0" w:color="BFBFBF"/>
              <w:right w:val="single" w:sz="4" w:space="0" w:color="BFBFBF"/>
            </w:tcBorders>
            <w:shd w:val="clear" w:color="auto" w:fill="auto"/>
            <w:noWrap/>
            <w:vAlign w:val="center"/>
          </w:tcPr>
          <w:p w14:paraId="67804DE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039F90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B1448E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43DB65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3F5C2F84"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DB1B748"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smartTag w:uri="urn:schemas-microsoft-com:office:smarttags" w:element="place">
              <w:r w:rsidRPr="00A6026E">
                <w:rPr>
                  <w:rFonts w:ascii="Arial" w:hAnsi="Arial" w:cs="Arial"/>
                  <w:color w:val="000000"/>
                  <w:sz w:val="16"/>
                  <w:szCs w:val="16"/>
                  <w:lang w:val="en-AU" w:eastAsia="en-AU"/>
                </w:rPr>
                <w:t>Southern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5D13792"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78%</w:t>
            </w:r>
          </w:p>
        </w:tc>
        <w:tc>
          <w:tcPr>
            <w:tcW w:w="808" w:type="dxa"/>
            <w:tcBorders>
              <w:top w:val="nil"/>
              <w:left w:val="nil"/>
              <w:bottom w:val="single" w:sz="4" w:space="0" w:color="BFBFBF"/>
              <w:right w:val="single" w:sz="4" w:space="0" w:color="BFBFBF"/>
            </w:tcBorders>
            <w:shd w:val="clear" w:color="auto" w:fill="auto"/>
            <w:noWrap/>
            <w:vAlign w:val="center"/>
          </w:tcPr>
          <w:p w14:paraId="564DC3F7"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378</w:t>
            </w:r>
          </w:p>
        </w:tc>
        <w:tc>
          <w:tcPr>
            <w:tcW w:w="808" w:type="dxa"/>
            <w:tcBorders>
              <w:top w:val="nil"/>
              <w:left w:val="nil"/>
              <w:bottom w:val="single" w:sz="4" w:space="0" w:color="BFBFBF"/>
              <w:right w:val="single" w:sz="4" w:space="0" w:color="BFBFBF"/>
            </w:tcBorders>
            <w:shd w:val="clear" w:color="auto" w:fill="auto"/>
            <w:noWrap/>
            <w:vAlign w:val="center"/>
          </w:tcPr>
          <w:p w14:paraId="0063B21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BB43AF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C47771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CB18A2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20D3FE9"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88%</w:t>
            </w:r>
          </w:p>
        </w:tc>
        <w:tc>
          <w:tcPr>
            <w:tcW w:w="808" w:type="dxa"/>
            <w:tcBorders>
              <w:top w:val="nil"/>
              <w:left w:val="nil"/>
              <w:bottom w:val="single" w:sz="4" w:space="0" w:color="BFBFBF"/>
              <w:right w:val="single" w:sz="4" w:space="0" w:color="BFBFBF"/>
            </w:tcBorders>
            <w:shd w:val="clear" w:color="auto" w:fill="auto"/>
            <w:noWrap/>
            <w:vAlign w:val="center"/>
          </w:tcPr>
          <w:p w14:paraId="1159B220"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192</w:t>
            </w:r>
          </w:p>
        </w:tc>
        <w:tc>
          <w:tcPr>
            <w:tcW w:w="808" w:type="dxa"/>
            <w:tcBorders>
              <w:top w:val="nil"/>
              <w:left w:val="nil"/>
              <w:bottom w:val="single" w:sz="4" w:space="0" w:color="BFBFBF"/>
              <w:right w:val="single" w:sz="4" w:space="0" w:color="BFBFBF"/>
            </w:tcBorders>
            <w:shd w:val="clear" w:color="auto" w:fill="auto"/>
            <w:noWrap/>
            <w:vAlign w:val="center"/>
          </w:tcPr>
          <w:p w14:paraId="39133F5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27255B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74EDDD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7A0655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54CFF416"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4E97B94A"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Bayside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DAC19A9"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w:t>
            </w:r>
          </w:p>
        </w:tc>
        <w:tc>
          <w:tcPr>
            <w:tcW w:w="808" w:type="dxa"/>
            <w:tcBorders>
              <w:top w:val="nil"/>
              <w:left w:val="nil"/>
              <w:bottom w:val="single" w:sz="4" w:space="0" w:color="BFBFBF"/>
              <w:right w:val="single" w:sz="4" w:space="0" w:color="BFBFBF"/>
            </w:tcBorders>
            <w:shd w:val="clear" w:color="auto" w:fill="auto"/>
            <w:noWrap/>
            <w:vAlign w:val="center"/>
          </w:tcPr>
          <w:p w14:paraId="3E6130B3"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375</w:t>
            </w:r>
          </w:p>
        </w:tc>
        <w:tc>
          <w:tcPr>
            <w:tcW w:w="808" w:type="dxa"/>
            <w:tcBorders>
              <w:top w:val="nil"/>
              <w:left w:val="nil"/>
              <w:bottom w:val="single" w:sz="4" w:space="0" w:color="BFBFBF"/>
              <w:right w:val="single" w:sz="4" w:space="0" w:color="BFBFBF"/>
            </w:tcBorders>
            <w:shd w:val="clear" w:color="auto" w:fill="auto"/>
            <w:noWrap/>
            <w:vAlign w:val="center"/>
          </w:tcPr>
          <w:p w14:paraId="319627B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87F0F9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D85175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5DCA95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D592E86"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808" w:type="dxa"/>
            <w:tcBorders>
              <w:top w:val="nil"/>
              <w:left w:val="nil"/>
              <w:bottom w:val="single" w:sz="4" w:space="0" w:color="BFBFBF"/>
              <w:right w:val="single" w:sz="4" w:space="0" w:color="BFBFBF"/>
            </w:tcBorders>
            <w:shd w:val="clear" w:color="auto" w:fill="auto"/>
            <w:noWrap/>
            <w:vAlign w:val="center"/>
          </w:tcPr>
          <w:p w14:paraId="015A7BD6"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205</w:t>
            </w:r>
          </w:p>
        </w:tc>
        <w:tc>
          <w:tcPr>
            <w:tcW w:w="808" w:type="dxa"/>
            <w:tcBorders>
              <w:top w:val="nil"/>
              <w:left w:val="nil"/>
              <w:bottom w:val="single" w:sz="4" w:space="0" w:color="BFBFBF"/>
              <w:right w:val="single" w:sz="4" w:space="0" w:color="BFBFBF"/>
            </w:tcBorders>
            <w:shd w:val="clear" w:color="auto" w:fill="auto"/>
            <w:noWrap/>
            <w:vAlign w:val="center"/>
          </w:tcPr>
          <w:p w14:paraId="074D7A3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2564FA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43B479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71368D1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50153D82"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48D3E182"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smartTag w:uri="urn:schemas-microsoft-com:office:smarttags" w:element="place">
              <w:r w:rsidRPr="00A6026E">
                <w:rPr>
                  <w:rFonts w:ascii="Arial" w:hAnsi="Arial" w:cs="Arial"/>
                  <w:color w:val="000000"/>
                  <w:sz w:val="16"/>
                  <w:szCs w:val="16"/>
                  <w:lang w:val="en-AU" w:eastAsia="en-AU"/>
                </w:rPr>
                <w:t>Western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37F1930"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808" w:type="dxa"/>
            <w:tcBorders>
              <w:top w:val="nil"/>
              <w:left w:val="nil"/>
              <w:bottom w:val="single" w:sz="4" w:space="0" w:color="BFBFBF"/>
              <w:right w:val="single" w:sz="4" w:space="0" w:color="BFBFBF"/>
            </w:tcBorders>
            <w:shd w:val="clear" w:color="auto" w:fill="auto"/>
            <w:noWrap/>
            <w:vAlign w:val="center"/>
          </w:tcPr>
          <w:p w14:paraId="3DF5FB90"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250</w:t>
            </w:r>
          </w:p>
        </w:tc>
        <w:tc>
          <w:tcPr>
            <w:tcW w:w="808" w:type="dxa"/>
            <w:tcBorders>
              <w:top w:val="nil"/>
              <w:left w:val="nil"/>
              <w:bottom w:val="single" w:sz="4" w:space="0" w:color="BFBFBF"/>
              <w:right w:val="single" w:sz="4" w:space="0" w:color="BFBFBF"/>
            </w:tcBorders>
            <w:shd w:val="clear" w:color="auto" w:fill="auto"/>
            <w:noWrap/>
            <w:vAlign w:val="center"/>
          </w:tcPr>
          <w:p w14:paraId="20C094D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71AA13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3A6D1A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1C4FED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D71EAA7"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808" w:type="dxa"/>
            <w:tcBorders>
              <w:top w:val="nil"/>
              <w:left w:val="nil"/>
              <w:bottom w:val="single" w:sz="4" w:space="0" w:color="BFBFBF"/>
              <w:right w:val="single" w:sz="4" w:space="0" w:color="BFBFBF"/>
            </w:tcBorders>
            <w:shd w:val="clear" w:color="auto" w:fill="auto"/>
            <w:noWrap/>
            <w:vAlign w:val="center"/>
          </w:tcPr>
          <w:p w14:paraId="7643F35D"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186</w:t>
            </w:r>
          </w:p>
        </w:tc>
        <w:tc>
          <w:tcPr>
            <w:tcW w:w="808" w:type="dxa"/>
            <w:tcBorders>
              <w:top w:val="nil"/>
              <w:left w:val="nil"/>
              <w:bottom w:val="single" w:sz="4" w:space="0" w:color="BFBFBF"/>
              <w:right w:val="single" w:sz="4" w:space="0" w:color="BFBFBF"/>
            </w:tcBorders>
            <w:shd w:val="clear" w:color="auto" w:fill="auto"/>
            <w:noWrap/>
            <w:vAlign w:val="center"/>
          </w:tcPr>
          <w:p w14:paraId="27DC29C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43C706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DB195A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0C63CC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478BAF33"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59E58110"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Brimbank Melton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4952A23"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w:t>
            </w:r>
          </w:p>
        </w:tc>
        <w:tc>
          <w:tcPr>
            <w:tcW w:w="808" w:type="dxa"/>
            <w:tcBorders>
              <w:top w:val="nil"/>
              <w:left w:val="nil"/>
              <w:bottom w:val="single" w:sz="4" w:space="0" w:color="BFBFBF"/>
              <w:right w:val="single" w:sz="4" w:space="0" w:color="BFBFBF"/>
            </w:tcBorders>
            <w:shd w:val="clear" w:color="auto" w:fill="auto"/>
            <w:noWrap/>
            <w:vAlign w:val="center"/>
          </w:tcPr>
          <w:p w14:paraId="797E6D0F"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338</w:t>
            </w:r>
          </w:p>
        </w:tc>
        <w:tc>
          <w:tcPr>
            <w:tcW w:w="808" w:type="dxa"/>
            <w:tcBorders>
              <w:top w:val="nil"/>
              <w:left w:val="nil"/>
              <w:bottom w:val="single" w:sz="4" w:space="0" w:color="BFBFBF"/>
              <w:right w:val="single" w:sz="4" w:space="0" w:color="BFBFBF"/>
            </w:tcBorders>
            <w:shd w:val="clear" w:color="auto" w:fill="auto"/>
            <w:noWrap/>
            <w:vAlign w:val="center"/>
          </w:tcPr>
          <w:p w14:paraId="022ACB5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EC6A76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612325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321ABA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DC368DC"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68%</w:t>
            </w:r>
          </w:p>
        </w:tc>
        <w:tc>
          <w:tcPr>
            <w:tcW w:w="808" w:type="dxa"/>
            <w:tcBorders>
              <w:top w:val="nil"/>
              <w:left w:val="nil"/>
              <w:bottom w:val="single" w:sz="4" w:space="0" w:color="BFBFBF"/>
              <w:right w:val="single" w:sz="4" w:space="0" w:color="BFBFBF"/>
            </w:tcBorders>
            <w:shd w:val="clear" w:color="auto" w:fill="auto"/>
            <w:noWrap/>
            <w:vAlign w:val="center"/>
          </w:tcPr>
          <w:p w14:paraId="6C9A7A10"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201</w:t>
            </w:r>
          </w:p>
        </w:tc>
        <w:tc>
          <w:tcPr>
            <w:tcW w:w="808" w:type="dxa"/>
            <w:tcBorders>
              <w:top w:val="nil"/>
              <w:left w:val="nil"/>
              <w:bottom w:val="single" w:sz="4" w:space="0" w:color="BFBFBF"/>
              <w:right w:val="single" w:sz="4" w:space="0" w:color="BFBFBF"/>
            </w:tcBorders>
            <w:shd w:val="clear" w:color="auto" w:fill="auto"/>
            <w:noWrap/>
            <w:vAlign w:val="center"/>
          </w:tcPr>
          <w:p w14:paraId="7D49B63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FE0464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9F5EE9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ACEB89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0C6A0516"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54CD2286"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Mallee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CB25734"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62%</w:t>
            </w:r>
          </w:p>
        </w:tc>
        <w:tc>
          <w:tcPr>
            <w:tcW w:w="808" w:type="dxa"/>
            <w:tcBorders>
              <w:top w:val="nil"/>
              <w:left w:val="nil"/>
              <w:bottom w:val="single" w:sz="4" w:space="0" w:color="BFBFBF"/>
              <w:right w:val="single" w:sz="4" w:space="0" w:color="BFBFBF"/>
            </w:tcBorders>
            <w:shd w:val="clear" w:color="auto" w:fill="auto"/>
            <w:noWrap/>
            <w:vAlign w:val="center"/>
          </w:tcPr>
          <w:p w14:paraId="40C84EA4"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450</w:t>
            </w:r>
          </w:p>
        </w:tc>
        <w:tc>
          <w:tcPr>
            <w:tcW w:w="808" w:type="dxa"/>
            <w:tcBorders>
              <w:top w:val="nil"/>
              <w:left w:val="nil"/>
              <w:bottom w:val="single" w:sz="4" w:space="0" w:color="BFBFBF"/>
              <w:right w:val="single" w:sz="4" w:space="0" w:color="BFBFBF"/>
            </w:tcBorders>
            <w:shd w:val="clear" w:color="auto" w:fill="auto"/>
            <w:noWrap/>
            <w:vAlign w:val="center"/>
          </w:tcPr>
          <w:p w14:paraId="5F7DC0D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65CF5F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753EA9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95BFDE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9272B60"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EB7FA22"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303D8B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59DFA1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890FA4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CDD9A0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7D5B7AE1"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5A51E60C"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Loddon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2F33806"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80%</w:t>
            </w:r>
          </w:p>
        </w:tc>
        <w:tc>
          <w:tcPr>
            <w:tcW w:w="808" w:type="dxa"/>
            <w:tcBorders>
              <w:top w:val="nil"/>
              <w:left w:val="nil"/>
              <w:bottom w:val="single" w:sz="4" w:space="0" w:color="BFBFBF"/>
              <w:right w:val="single" w:sz="4" w:space="0" w:color="BFBFBF"/>
            </w:tcBorders>
            <w:shd w:val="clear" w:color="auto" w:fill="auto"/>
            <w:noWrap/>
            <w:vAlign w:val="center"/>
          </w:tcPr>
          <w:p w14:paraId="17B8F39B"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609</w:t>
            </w:r>
          </w:p>
        </w:tc>
        <w:tc>
          <w:tcPr>
            <w:tcW w:w="808" w:type="dxa"/>
            <w:tcBorders>
              <w:top w:val="nil"/>
              <w:left w:val="nil"/>
              <w:bottom w:val="single" w:sz="4" w:space="0" w:color="BFBFBF"/>
              <w:right w:val="single" w:sz="4" w:space="0" w:color="BFBFBF"/>
            </w:tcBorders>
            <w:shd w:val="clear" w:color="auto" w:fill="auto"/>
            <w:noWrap/>
            <w:vAlign w:val="center"/>
          </w:tcPr>
          <w:p w14:paraId="2D66485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7F212F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CCD592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5CE2107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79DD91A"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D9EA5AB"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A46683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A17D5D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F72D81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33D7EAE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28595F6A"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3985F736"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A6026E">
                  <w:rPr>
                    <w:rFonts w:ascii="Arial" w:hAnsi="Arial" w:cs="Arial"/>
                    <w:color w:val="000000"/>
                    <w:sz w:val="16"/>
                    <w:szCs w:val="16"/>
                    <w:lang w:val="en-AU" w:eastAsia="en-AU"/>
                  </w:rPr>
                  <w:t>Murray</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36994A1"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73%</w:t>
            </w:r>
          </w:p>
        </w:tc>
        <w:tc>
          <w:tcPr>
            <w:tcW w:w="808" w:type="dxa"/>
            <w:tcBorders>
              <w:top w:val="nil"/>
              <w:left w:val="nil"/>
              <w:bottom w:val="single" w:sz="4" w:space="0" w:color="BFBFBF"/>
              <w:right w:val="single" w:sz="4" w:space="0" w:color="BFBFBF"/>
            </w:tcBorders>
            <w:shd w:val="clear" w:color="auto" w:fill="auto"/>
            <w:noWrap/>
            <w:vAlign w:val="center"/>
          </w:tcPr>
          <w:p w14:paraId="6477BF4D"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224</w:t>
            </w:r>
          </w:p>
        </w:tc>
        <w:tc>
          <w:tcPr>
            <w:tcW w:w="808" w:type="dxa"/>
            <w:tcBorders>
              <w:top w:val="nil"/>
              <w:left w:val="nil"/>
              <w:bottom w:val="single" w:sz="4" w:space="0" w:color="BFBFBF"/>
              <w:right w:val="single" w:sz="4" w:space="0" w:color="BFBFBF"/>
            </w:tcBorders>
            <w:shd w:val="clear" w:color="auto" w:fill="auto"/>
            <w:noWrap/>
            <w:vAlign w:val="center"/>
          </w:tcPr>
          <w:p w14:paraId="60F2CC8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D9C616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351A5E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E556D1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E463E8E"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7DAA08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94D5E2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8226C8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BA9D62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D89539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2D7EDAD7"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07AE33E3"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Goulburn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1093ECA"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78%</w:t>
            </w:r>
          </w:p>
        </w:tc>
        <w:tc>
          <w:tcPr>
            <w:tcW w:w="808" w:type="dxa"/>
            <w:tcBorders>
              <w:top w:val="nil"/>
              <w:left w:val="nil"/>
              <w:bottom w:val="single" w:sz="4" w:space="0" w:color="BFBFBF"/>
              <w:right w:val="single" w:sz="4" w:space="0" w:color="BFBFBF"/>
            </w:tcBorders>
            <w:shd w:val="clear" w:color="auto" w:fill="auto"/>
            <w:noWrap/>
            <w:vAlign w:val="center"/>
          </w:tcPr>
          <w:p w14:paraId="1ABAB57C"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393</w:t>
            </w:r>
          </w:p>
        </w:tc>
        <w:tc>
          <w:tcPr>
            <w:tcW w:w="808" w:type="dxa"/>
            <w:tcBorders>
              <w:top w:val="nil"/>
              <w:left w:val="nil"/>
              <w:bottom w:val="single" w:sz="4" w:space="0" w:color="BFBFBF"/>
              <w:right w:val="single" w:sz="4" w:space="0" w:color="BFBFBF"/>
            </w:tcBorders>
            <w:shd w:val="clear" w:color="auto" w:fill="auto"/>
            <w:noWrap/>
            <w:vAlign w:val="center"/>
          </w:tcPr>
          <w:p w14:paraId="07D1115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A921DE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291F9B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525B06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1EC5D57"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w:t>
            </w:r>
          </w:p>
        </w:tc>
        <w:tc>
          <w:tcPr>
            <w:tcW w:w="808" w:type="dxa"/>
            <w:tcBorders>
              <w:top w:val="nil"/>
              <w:left w:val="nil"/>
              <w:bottom w:val="single" w:sz="4" w:space="0" w:color="BFBFBF"/>
              <w:right w:val="single" w:sz="4" w:space="0" w:color="BFBFBF"/>
            </w:tcBorders>
            <w:shd w:val="clear" w:color="auto" w:fill="auto"/>
            <w:noWrap/>
            <w:vAlign w:val="center"/>
          </w:tcPr>
          <w:p w14:paraId="73C5C63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236</w:t>
            </w:r>
          </w:p>
        </w:tc>
        <w:tc>
          <w:tcPr>
            <w:tcW w:w="808" w:type="dxa"/>
            <w:tcBorders>
              <w:top w:val="nil"/>
              <w:left w:val="nil"/>
              <w:bottom w:val="single" w:sz="4" w:space="0" w:color="BFBFBF"/>
              <w:right w:val="single" w:sz="4" w:space="0" w:color="BFBFBF"/>
            </w:tcBorders>
            <w:shd w:val="clear" w:color="auto" w:fill="auto"/>
            <w:noWrap/>
            <w:vAlign w:val="center"/>
          </w:tcPr>
          <w:p w14:paraId="0552369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E0566E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04A2F5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906307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66B63A6F"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69E431E"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Outer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081CE02"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BFBFBF"/>
            </w:tcBorders>
            <w:shd w:val="clear" w:color="auto" w:fill="auto"/>
            <w:noWrap/>
            <w:vAlign w:val="center"/>
          </w:tcPr>
          <w:p w14:paraId="7EC9032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670</w:t>
            </w:r>
          </w:p>
        </w:tc>
        <w:tc>
          <w:tcPr>
            <w:tcW w:w="808" w:type="dxa"/>
            <w:tcBorders>
              <w:top w:val="nil"/>
              <w:left w:val="nil"/>
              <w:bottom w:val="single" w:sz="4" w:space="0" w:color="BFBFBF"/>
              <w:right w:val="single" w:sz="4" w:space="0" w:color="BFBFBF"/>
            </w:tcBorders>
            <w:shd w:val="clear" w:color="auto" w:fill="auto"/>
            <w:noWrap/>
            <w:vAlign w:val="center"/>
          </w:tcPr>
          <w:p w14:paraId="008B0CF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17D4E3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F2FC40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67FBFD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DF08F93"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0C0D1C5"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103C447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31B512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A057A1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3F2AC43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154536B6"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7ECA6F6"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Inner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CCE281F"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70%</w:t>
            </w:r>
          </w:p>
        </w:tc>
        <w:tc>
          <w:tcPr>
            <w:tcW w:w="808" w:type="dxa"/>
            <w:tcBorders>
              <w:top w:val="nil"/>
              <w:left w:val="nil"/>
              <w:bottom w:val="single" w:sz="4" w:space="0" w:color="BFBFBF"/>
              <w:right w:val="single" w:sz="4" w:space="0" w:color="BFBFBF"/>
            </w:tcBorders>
            <w:shd w:val="clear" w:color="auto" w:fill="auto"/>
            <w:noWrap/>
            <w:vAlign w:val="center"/>
          </w:tcPr>
          <w:p w14:paraId="1BE617BD"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697</w:t>
            </w:r>
          </w:p>
        </w:tc>
        <w:tc>
          <w:tcPr>
            <w:tcW w:w="808" w:type="dxa"/>
            <w:tcBorders>
              <w:top w:val="nil"/>
              <w:left w:val="nil"/>
              <w:bottom w:val="single" w:sz="4" w:space="0" w:color="BFBFBF"/>
              <w:right w:val="single" w:sz="4" w:space="0" w:color="BFBFBF"/>
            </w:tcBorders>
            <w:shd w:val="clear" w:color="auto" w:fill="auto"/>
            <w:noWrap/>
            <w:vAlign w:val="center"/>
          </w:tcPr>
          <w:p w14:paraId="6529656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024260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5D33C2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3B654D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4E1B3AD"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w:t>
            </w:r>
          </w:p>
        </w:tc>
        <w:tc>
          <w:tcPr>
            <w:tcW w:w="808" w:type="dxa"/>
            <w:tcBorders>
              <w:top w:val="nil"/>
              <w:left w:val="nil"/>
              <w:bottom w:val="single" w:sz="4" w:space="0" w:color="BFBFBF"/>
              <w:right w:val="single" w:sz="4" w:space="0" w:color="BFBFBF"/>
            </w:tcBorders>
            <w:shd w:val="clear" w:color="auto" w:fill="auto"/>
            <w:noWrap/>
            <w:vAlign w:val="center"/>
          </w:tcPr>
          <w:p w14:paraId="71B6D943"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265</w:t>
            </w:r>
          </w:p>
        </w:tc>
        <w:tc>
          <w:tcPr>
            <w:tcW w:w="808" w:type="dxa"/>
            <w:tcBorders>
              <w:top w:val="nil"/>
              <w:left w:val="nil"/>
              <w:bottom w:val="single" w:sz="4" w:space="0" w:color="BFBFBF"/>
              <w:right w:val="single" w:sz="4" w:space="0" w:color="BFBFBF"/>
            </w:tcBorders>
            <w:shd w:val="clear" w:color="auto" w:fill="auto"/>
            <w:noWrap/>
            <w:vAlign w:val="center"/>
          </w:tcPr>
          <w:p w14:paraId="0EB9C69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804746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DF1B22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C4CB19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5A2B3F81"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1B50A396"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Western District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FA05F32"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90%</w:t>
            </w:r>
          </w:p>
        </w:tc>
        <w:tc>
          <w:tcPr>
            <w:tcW w:w="808" w:type="dxa"/>
            <w:tcBorders>
              <w:top w:val="nil"/>
              <w:left w:val="nil"/>
              <w:bottom w:val="single" w:sz="4" w:space="0" w:color="BFBFBF"/>
              <w:right w:val="single" w:sz="4" w:space="0" w:color="BFBFBF"/>
            </w:tcBorders>
            <w:shd w:val="clear" w:color="auto" w:fill="auto"/>
            <w:noWrap/>
            <w:vAlign w:val="center"/>
          </w:tcPr>
          <w:p w14:paraId="4670F9B9"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643</w:t>
            </w:r>
          </w:p>
        </w:tc>
        <w:tc>
          <w:tcPr>
            <w:tcW w:w="808" w:type="dxa"/>
            <w:tcBorders>
              <w:top w:val="nil"/>
              <w:left w:val="nil"/>
              <w:bottom w:val="single" w:sz="4" w:space="0" w:color="BFBFBF"/>
              <w:right w:val="single" w:sz="4" w:space="0" w:color="BFBFBF"/>
            </w:tcBorders>
            <w:shd w:val="clear" w:color="auto" w:fill="auto"/>
            <w:noWrap/>
            <w:vAlign w:val="center"/>
          </w:tcPr>
          <w:p w14:paraId="7729121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DA7B4B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5CC27A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419BF1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AC44FD0"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836A77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3C3765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C9EE57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6D57FC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7942A6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34DAEDE1"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48301766"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Barwon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7FE6E3B"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78%</w:t>
            </w:r>
          </w:p>
        </w:tc>
        <w:tc>
          <w:tcPr>
            <w:tcW w:w="808" w:type="dxa"/>
            <w:tcBorders>
              <w:top w:val="nil"/>
              <w:left w:val="nil"/>
              <w:bottom w:val="single" w:sz="4" w:space="0" w:color="BFBFBF"/>
              <w:right w:val="single" w:sz="4" w:space="0" w:color="BFBFBF"/>
            </w:tcBorders>
            <w:shd w:val="clear" w:color="auto" w:fill="auto"/>
            <w:noWrap/>
            <w:vAlign w:val="center"/>
          </w:tcPr>
          <w:p w14:paraId="76D7C6E4"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545</w:t>
            </w:r>
          </w:p>
        </w:tc>
        <w:tc>
          <w:tcPr>
            <w:tcW w:w="808" w:type="dxa"/>
            <w:tcBorders>
              <w:top w:val="nil"/>
              <w:left w:val="nil"/>
              <w:bottom w:val="single" w:sz="4" w:space="0" w:color="BFBFBF"/>
              <w:right w:val="single" w:sz="4" w:space="0" w:color="BFBFBF"/>
            </w:tcBorders>
            <w:shd w:val="clear" w:color="auto" w:fill="auto"/>
            <w:noWrap/>
            <w:vAlign w:val="center"/>
          </w:tcPr>
          <w:p w14:paraId="4EF6039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EF4FEA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7D9AF4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526C8A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BECAAE7"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808" w:type="dxa"/>
            <w:tcBorders>
              <w:top w:val="nil"/>
              <w:left w:val="nil"/>
              <w:bottom w:val="single" w:sz="4" w:space="0" w:color="BFBFBF"/>
              <w:right w:val="single" w:sz="4" w:space="0" w:color="BFBFBF"/>
            </w:tcBorders>
            <w:shd w:val="clear" w:color="auto" w:fill="auto"/>
            <w:noWrap/>
            <w:vAlign w:val="center"/>
          </w:tcPr>
          <w:p w14:paraId="61651989"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211</w:t>
            </w:r>
          </w:p>
        </w:tc>
        <w:tc>
          <w:tcPr>
            <w:tcW w:w="808" w:type="dxa"/>
            <w:tcBorders>
              <w:top w:val="nil"/>
              <w:left w:val="nil"/>
              <w:bottom w:val="single" w:sz="4" w:space="0" w:color="BFBFBF"/>
              <w:right w:val="single" w:sz="4" w:space="0" w:color="BFBFBF"/>
            </w:tcBorders>
            <w:shd w:val="clear" w:color="auto" w:fill="auto"/>
            <w:noWrap/>
            <w:vAlign w:val="center"/>
          </w:tcPr>
          <w:p w14:paraId="7E9190C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16B433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AFE354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54EA34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3B711E81"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4DE499B8"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Central Highlands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5E9FE89"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65%</w:t>
            </w:r>
          </w:p>
        </w:tc>
        <w:tc>
          <w:tcPr>
            <w:tcW w:w="808" w:type="dxa"/>
            <w:tcBorders>
              <w:top w:val="nil"/>
              <w:left w:val="nil"/>
              <w:bottom w:val="single" w:sz="4" w:space="0" w:color="BFBFBF"/>
              <w:right w:val="single" w:sz="4" w:space="0" w:color="BFBFBF"/>
            </w:tcBorders>
            <w:shd w:val="clear" w:color="auto" w:fill="auto"/>
            <w:noWrap/>
            <w:vAlign w:val="center"/>
          </w:tcPr>
          <w:p w14:paraId="0CD6ADAE"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688</w:t>
            </w:r>
          </w:p>
        </w:tc>
        <w:tc>
          <w:tcPr>
            <w:tcW w:w="808" w:type="dxa"/>
            <w:tcBorders>
              <w:top w:val="nil"/>
              <w:left w:val="nil"/>
              <w:bottom w:val="single" w:sz="4" w:space="0" w:color="BFBFBF"/>
              <w:right w:val="single" w:sz="4" w:space="0" w:color="BFBFBF"/>
            </w:tcBorders>
            <w:shd w:val="clear" w:color="auto" w:fill="auto"/>
            <w:noWrap/>
            <w:vAlign w:val="center"/>
          </w:tcPr>
          <w:p w14:paraId="22D1B2D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1C7D38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A09C21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3670DF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38EDBD9"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A94F311"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F3DA7D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B5CED0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6FECE8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8471EB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256AC4" w:rsidRPr="00A6026E" w14:paraId="2F361F26"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7DAC0929" w14:textId="77777777" w:rsidR="00256AC4" w:rsidRPr="00A6026E" w:rsidRDefault="00256AC4"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Concession Status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BE862FA"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D29FF0B"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F2A03E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9E412D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DB3100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697BB60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A036603"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F6D6CC2"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3F24F5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1DB19B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D76828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767986D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256AC4" w:rsidRPr="00A6026E" w14:paraId="14FA6A71"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4A55CE32"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Aged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8D42263"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808" w:type="dxa"/>
            <w:tcBorders>
              <w:top w:val="nil"/>
              <w:left w:val="nil"/>
              <w:bottom w:val="single" w:sz="4" w:space="0" w:color="BFBFBF"/>
              <w:right w:val="single" w:sz="4" w:space="0" w:color="BFBFBF"/>
            </w:tcBorders>
            <w:shd w:val="clear" w:color="auto" w:fill="auto"/>
            <w:noWrap/>
            <w:vAlign w:val="center"/>
          </w:tcPr>
          <w:p w14:paraId="5D382214"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405</w:t>
            </w:r>
          </w:p>
        </w:tc>
        <w:tc>
          <w:tcPr>
            <w:tcW w:w="808" w:type="dxa"/>
            <w:tcBorders>
              <w:top w:val="nil"/>
              <w:left w:val="nil"/>
              <w:bottom w:val="single" w:sz="4" w:space="0" w:color="BFBFBF"/>
              <w:right w:val="single" w:sz="4" w:space="0" w:color="BFBFBF"/>
            </w:tcBorders>
            <w:shd w:val="clear" w:color="auto" w:fill="auto"/>
            <w:noWrap/>
            <w:vAlign w:val="center"/>
          </w:tcPr>
          <w:p w14:paraId="4D804B9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88%</w:t>
            </w:r>
          </w:p>
        </w:tc>
        <w:tc>
          <w:tcPr>
            <w:tcW w:w="808" w:type="dxa"/>
            <w:tcBorders>
              <w:top w:val="nil"/>
              <w:left w:val="nil"/>
              <w:bottom w:val="single" w:sz="4" w:space="0" w:color="BFBFBF"/>
              <w:right w:val="single" w:sz="4" w:space="0" w:color="BFBFBF"/>
            </w:tcBorders>
            <w:shd w:val="clear" w:color="auto" w:fill="auto"/>
            <w:noWrap/>
            <w:vAlign w:val="center"/>
          </w:tcPr>
          <w:p w14:paraId="4DE15A3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190</w:t>
            </w:r>
          </w:p>
        </w:tc>
        <w:tc>
          <w:tcPr>
            <w:tcW w:w="808" w:type="dxa"/>
            <w:tcBorders>
              <w:top w:val="nil"/>
              <w:left w:val="nil"/>
              <w:bottom w:val="single" w:sz="4" w:space="0" w:color="BFBFBF"/>
              <w:right w:val="single" w:sz="4" w:space="0" w:color="BFBFBF"/>
            </w:tcBorders>
            <w:shd w:val="clear" w:color="auto" w:fill="auto"/>
            <w:noWrap/>
            <w:vAlign w:val="center"/>
          </w:tcPr>
          <w:p w14:paraId="594DDE5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123</w:t>
            </w:r>
          </w:p>
        </w:tc>
        <w:tc>
          <w:tcPr>
            <w:tcW w:w="808" w:type="dxa"/>
            <w:tcBorders>
              <w:top w:val="nil"/>
              <w:left w:val="nil"/>
              <w:bottom w:val="single" w:sz="4" w:space="0" w:color="BFBFBF"/>
              <w:right w:val="single" w:sz="4" w:space="0" w:color="auto"/>
            </w:tcBorders>
            <w:shd w:val="clear" w:color="auto" w:fill="auto"/>
            <w:noWrap/>
            <w:vAlign w:val="center"/>
          </w:tcPr>
          <w:p w14:paraId="1B56C56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260</w:t>
            </w:r>
          </w:p>
        </w:tc>
        <w:tc>
          <w:tcPr>
            <w:tcW w:w="808" w:type="dxa"/>
            <w:tcBorders>
              <w:top w:val="nil"/>
              <w:left w:val="nil"/>
              <w:bottom w:val="single" w:sz="4" w:space="0" w:color="BFBFBF"/>
              <w:right w:val="single" w:sz="4" w:space="0" w:color="BFBFBF"/>
            </w:tcBorders>
            <w:shd w:val="clear" w:color="auto" w:fill="auto"/>
            <w:noWrap/>
            <w:vAlign w:val="center"/>
          </w:tcPr>
          <w:p w14:paraId="6AE0FE66"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69%</w:t>
            </w:r>
          </w:p>
        </w:tc>
        <w:tc>
          <w:tcPr>
            <w:tcW w:w="808" w:type="dxa"/>
            <w:tcBorders>
              <w:top w:val="nil"/>
              <w:left w:val="nil"/>
              <w:bottom w:val="single" w:sz="4" w:space="0" w:color="BFBFBF"/>
              <w:right w:val="single" w:sz="4" w:space="0" w:color="BFBFBF"/>
            </w:tcBorders>
            <w:shd w:val="clear" w:color="auto" w:fill="auto"/>
            <w:noWrap/>
            <w:vAlign w:val="center"/>
          </w:tcPr>
          <w:p w14:paraId="548C8F6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166</w:t>
            </w:r>
          </w:p>
        </w:tc>
        <w:tc>
          <w:tcPr>
            <w:tcW w:w="808" w:type="dxa"/>
            <w:tcBorders>
              <w:top w:val="nil"/>
              <w:left w:val="nil"/>
              <w:bottom w:val="single" w:sz="4" w:space="0" w:color="BFBFBF"/>
              <w:right w:val="single" w:sz="4" w:space="0" w:color="BFBFBF"/>
            </w:tcBorders>
            <w:shd w:val="clear" w:color="auto" w:fill="auto"/>
            <w:noWrap/>
            <w:vAlign w:val="center"/>
          </w:tcPr>
          <w:p w14:paraId="2F66687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06C2755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117</w:t>
            </w:r>
          </w:p>
        </w:tc>
        <w:tc>
          <w:tcPr>
            <w:tcW w:w="808" w:type="dxa"/>
            <w:tcBorders>
              <w:top w:val="nil"/>
              <w:left w:val="nil"/>
              <w:bottom w:val="single" w:sz="4" w:space="0" w:color="BFBFBF"/>
              <w:right w:val="single" w:sz="4" w:space="0" w:color="BFBFBF"/>
            </w:tcBorders>
            <w:shd w:val="clear" w:color="auto" w:fill="auto"/>
            <w:noWrap/>
            <w:vAlign w:val="center"/>
          </w:tcPr>
          <w:p w14:paraId="6D1CA22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77</w:t>
            </w:r>
          </w:p>
        </w:tc>
        <w:tc>
          <w:tcPr>
            <w:tcW w:w="808" w:type="dxa"/>
            <w:tcBorders>
              <w:top w:val="nil"/>
              <w:left w:val="nil"/>
              <w:bottom w:val="single" w:sz="4" w:space="0" w:color="BFBFBF"/>
              <w:right w:val="double" w:sz="6" w:space="0" w:color="auto"/>
            </w:tcBorders>
            <w:shd w:val="clear" w:color="auto" w:fill="auto"/>
            <w:noWrap/>
            <w:vAlign w:val="center"/>
          </w:tcPr>
          <w:p w14:paraId="7E86D08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w:t>
            </w:r>
          </w:p>
        </w:tc>
      </w:tr>
      <w:tr w:rsidR="00256AC4" w:rsidRPr="00A6026E" w14:paraId="4F60B265"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5D228B8"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Other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A711979"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62%</w:t>
            </w:r>
          </w:p>
        </w:tc>
        <w:tc>
          <w:tcPr>
            <w:tcW w:w="808" w:type="dxa"/>
            <w:tcBorders>
              <w:top w:val="nil"/>
              <w:left w:val="nil"/>
              <w:bottom w:val="single" w:sz="4" w:space="0" w:color="BFBFBF"/>
              <w:right w:val="single" w:sz="4" w:space="0" w:color="BFBFBF"/>
            </w:tcBorders>
            <w:shd w:val="clear" w:color="auto" w:fill="auto"/>
            <w:noWrap/>
            <w:vAlign w:val="center"/>
          </w:tcPr>
          <w:p w14:paraId="6FEB0FBF"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401</w:t>
            </w:r>
          </w:p>
        </w:tc>
        <w:tc>
          <w:tcPr>
            <w:tcW w:w="808" w:type="dxa"/>
            <w:tcBorders>
              <w:top w:val="nil"/>
              <w:left w:val="nil"/>
              <w:bottom w:val="single" w:sz="4" w:space="0" w:color="BFBFBF"/>
              <w:right w:val="single" w:sz="4" w:space="0" w:color="BFBFBF"/>
            </w:tcBorders>
            <w:shd w:val="clear" w:color="auto" w:fill="auto"/>
            <w:noWrap/>
            <w:vAlign w:val="center"/>
          </w:tcPr>
          <w:p w14:paraId="27C7F59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61%</w:t>
            </w:r>
          </w:p>
        </w:tc>
        <w:tc>
          <w:tcPr>
            <w:tcW w:w="808" w:type="dxa"/>
            <w:tcBorders>
              <w:top w:val="nil"/>
              <w:left w:val="nil"/>
              <w:bottom w:val="single" w:sz="4" w:space="0" w:color="BFBFBF"/>
              <w:right w:val="single" w:sz="4" w:space="0" w:color="BFBFBF"/>
            </w:tcBorders>
            <w:shd w:val="clear" w:color="auto" w:fill="auto"/>
            <w:noWrap/>
            <w:vAlign w:val="center"/>
          </w:tcPr>
          <w:p w14:paraId="3D258E9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184</w:t>
            </w:r>
          </w:p>
        </w:tc>
        <w:tc>
          <w:tcPr>
            <w:tcW w:w="808" w:type="dxa"/>
            <w:tcBorders>
              <w:top w:val="nil"/>
              <w:left w:val="nil"/>
              <w:bottom w:val="single" w:sz="4" w:space="0" w:color="BFBFBF"/>
              <w:right w:val="single" w:sz="4" w:space="0" w:color="BFBFBF"/>
            </w:tcBorders>
            <w:shd w:val="clear" w:color="auto" w:fill="auto"/>
            <w:noWrap/>
            <w:vAlign w:val="center"/>
          </w:tcPr>
          <w:p w14:paraId="64DB8CB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118</w:t>
            </w:r>
          </w:p>
        </w:tc>
        <w:tc>
          <w:tcPr>
            <w:tcW w:w="808" w:type="dxa"/>
            <w:tcBorders>
              <w:top w:val="nil"/>
              <w:left w:val="nil"/>
              <w:bottom w:val="single" w:sz="4" w:space="0" w:color="BFBFBF"/>
              <w:right w:val="single" w:sz="4" w:space="0" w:color="auto"/>
            </w:tcBorders>
            <w:shd w:val="clear" w:color="auto" w:fill="auto"/>
            <w:noWrap/>
            <w:vAlign w:val="center"/>
          </w:tcPr>
          <w:p w14:paraId="55B3521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231</w:t>
            </w:r>
          </w:p>
        </w:tc>
        <w:tc>
          <w:tcPr>
            <w:tcW w:w="808" w:type="dxa"/>
            <w:tcBorders>
              <w:top w:val="nil"/>
              <w:left w:val="nil"/>
              <w:bottom w:val="single" w:sz="4" w:space="0" w:color="BFBFBF"/>
              <w:right w:val="single" w:sz="4" w:space="0" w:color="BFBFBF"/>
            </w:tcBorders>
            <w:shd w:val="clear" w:color="auto" w:fill="auto"/>
            <w:noWrap/>
            <w:vAlign w:val="center"/>
          </w:tcPr>
          <w:p w14:paraId="5B60A92C"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66%</w:t>
            </w:r>
          </w:p>
        </w:tc>
        <w:tc>
          <w:tcPr>
            <w:tcW w:w="808" w:type="dxa"/>
            <w:tcBorders>
              <w:top w:val="nil"/>
              <w:left w:val="nil"/>
              <w:bottom w:val="single" w:sz="4" w:space="0" w:color="BFBFBF"/>
              <w:right w:val="single" w:sz="4" w:space="0" w:color="BFBFBF"/>
            </w:tcBorders>
            <w:shd w:val="clear" w:color="auto" w:fill="auto"/>
            <w:noWrap/>
            <w:vAlign w:val="center"/>
          </w:tcPr>
          <w:p w14:paraId="2646EA02"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211</w:t>
            </w:r>
          </w:p>
        </w:tc>
        <w:tc>
          <w:tcPr>
            <w:tcW w:w="808" w:type="dxa"/>
            <w:tcBorders>
              <w:top w:val="nil"/>
              <w:left w:val="nil"/>
              <w:bottom w:val="single" w:sz="4" w:space="0" w:color="BFBFBF"/>
              <w:right w:val="single" w:sz="4" w:space="0" w:color="BFBFBF"/>
            </w:tcBorders>
            <w:shd w:val="clear" w:color="auto" w:fill="auto"/>
            <w:noWrap/>
            <w:vAlign w:val="center"/>
          </w:tcPr>
          <w:p w14:paraId="098C0D3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72%</w:t>
            </w:r>
          </w:p>
        </w:tc>
        <w:tc>
          <w:tcPr>
            <w:tcW w:w="808" w:type="dxa"/>
            <w:tcBorders>
              <w:top w:val="nil"/>
              <w:left w:val="nil"/>
              <w:bottom w:val="single" w:sz="4" w:space="0" w:color="BFBFBF"/>
              <w:right w:val="single" w:sz="4" w:space="0" w:color="BFBFBF"/>
            </w:tcBorders>
            <w:shd w:val="clear" w:color="auto" w:fill="auto"/>
            <w:noWrap/>
            <w:vAlign w:val="center"/>
          </w:tcPr>
          <w:p w14:paraId="5CE3E38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145</w:t>
            </w:r>
          </w:p>
        </w:tc>
        <w:tc>
          <w:tcPr>
            <w:tcW w:w="808" w:type="dxa"/>
            <w:tcBorders>
              <w:top w:val="nil"/>
              <w:left w:val="nil"/>
              <w:bottom w:val="single" w:sz="4" w:space="0" w:color="BFBFBF"/>
              <w:right w:val="single" w:sz="4" w:space="0" w:color="BFBFBF"/>
            </w:tcBorders>
            <w:shd w:val="clear" w:color="auto" w:fill="auto"/>
            <w:noWrap/>
            <w:vAlign w:val="center"/>
          </w:tcPr>
          <w:p w14:paraId="2D9D79A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90</w:t>
            </w:r>
          </w:p>
        </w:tc>
        <w:tc>
          <w:tcPr>
            <w:tcW w:w="808" w:type="dxa"/>
            <w:tcBorders>
              <w:top w:val="nil"/>
              <w:left w:val="nil"/>
              <w:bottom w:val="single" w:sz="4" w:space="0" w:color="BFBFBF"/>
              <w:right w:val="double" w:sz="6" w:space="0" w:color="auto"/>
            </w:tcBorders>
            <w:shd w:val="clear" w:color="auto" w:fill="auto"/>
            <w:noWrap/>
            <w:vAlign w:val="center"/>
          </w:tcPr>
          <w:p w14:paraId="0D4FF46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31</w:t>
            </w:r>
          </w:p>
        </w:tc>
      </w:tr>
      <w:tr w:rsidR="00256AC4" w:rsidRPr="00A6026E" w14:paraId="737F42F7"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4BA89A64"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Total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E37D60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73%</w:t>
            </w:r>
          </w:p>
        </w:tc>
        <w:tc>
          <w:tcPr>
            <w:tcW w:w="808" w:type="dxa"/>
            <w:tcBorders>
              <w:top w:val="nil"/>
              <w:left w:val="nil"/>
              <w:bottom w:val="single" w:sz="4" w:space="0" w:color="BFBFBF"/>
              <w:right w:val="single" w:sz="4" w:space="0" w:color="BFBFBF"/>
            </w:tcBorders>
            <w:shd w:val="clear" w:color="auto" w:fill="auto"/>
            <w:noWrap/>
            <w:vAlign w:val="center"/>
          </w:tcPr>
          <w:p w14:paraId="5F1AB35E"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403</w:t>
            </w:r>
          </w:p>
        </w:tc>
        <w:tc>
          <w:tcPr>
            <w:tcW w:w="808" w:type="dxa"/>
            <w:tcBorders>
              <w:top w:val="nil"/>
              <w:left w:val="nil"/>
              <w:bottom w:val="single" w:sz="4" w:space="0" w:color="BFBFBF"/>
              <w:right w:val="single" w:sz="4" w:space="0" w:color="BFBFBF"/>
            </w:tcBorders>
            <w:shd w:val="clear" w:color="auto" w:fill="auto"/>
            <w:noWrap/>
            <w:vAlign w:val="center"/>
          </w:tcPr>
          <w:p w14:paraId="1E5FFB6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808" w:type="dxa"/>
            <w:tcBorders>
              <w:top w:val="nil"/>
              <w:left w:val="nil"/>
              <w:bottom w:val="single" w:sz="4" w:space="0" w:color="BFBFBF"/>
              <w:right w:val="single" w:sz="4" w:space="0" w:color="BFBFBF"/>
            </w:tcBorders>
            <w:shd w:val="clear" w:color="auto" w:fill="auto"/>
            <w:noWrap/>
            <w:vAlign w:val="center"/>
          </w:tcPr>
          <w:p w14:paraId="633CB1F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188</w:t>
            </w:r>
          </w:p>
        </w:tc>
        <w:tc>
          <w:tcPr>
            <w:tcW w:w="808" w:type="dxa"/>
            <w:tcBorders>
              <w:top w:val="nil"/>
              <w:left w:val="nil"/>
              <w:bottom w:val="single" w:sz="4" w:space="0" w:color="BFBFBF"/>
              <w:right w:val="single" w:sz="4" w:space="0" w:color="BFBFBF"/>
            </w:tcBorders>
            <w:shd w:val="clear" w:color="auto" w:fill="auto"/>
            <w:noWrap/>
            <w:vAlign w:val="center"/>
          </w:tcPr>
          <w:p w14:paraId="2A83AA1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121</w:t>
            </w:r>
          </w:p>
        </w:tc>
        <w:tc>
          <w:tcPr>
            <w:tcW w:w="808" w:type="dxa"/>
            <w:tcBorders>
              <w:top w:val="nil"/>
              <w:left w:val="nil"/>
              <w:bottom w:val="single" w:sz="4" w:space="0" w:color="BFBFBF"/>
              <w:right w:val="single" w:sz="4" w:space="0" w:color="auto"/>
            </w:tcBorders>
            <w:shd w:val="clear" w:color="auto" w:fill="auto"/>
            <w:noWrap/>
            <w:vAlign w:val="center"/>
          </w:tcPr>
          <w:p w14:paraId="1820328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250</w:t>
            </w:r>
          </w:p>
        </w:tc>
        <w:tc>
          <w:tcPr>
            <w:tcW w:w="808" w:type="dxa"/>
            <w:tcBorders>
              <w:top w:val="nil"/>
              <w:left w:val="nil"/>
              <w:bottom w:val="single" w:sz="4" w:space="0" w:color="BFBFBF"/>
              <w:right w:val="single" w:sz="4" w:space="0" w:color="BFBFBF"/>
            </w:tcBorders>
            <w:shd w:val="clear" w:color="auto" w:fill="auto"/>
            <w:noWrap/>
            <w:vAlign w:val="center"/>
          </w:tcPr>
          <w:p w14:paraId="263E6105"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68%</w:t>
            </w:r>
          </w:p>
        </w:tc>
        <w:tc>
          <w:tcPr>
            <w:tcW w:w="808" w:type="dxa"/>
            <w:tcBorders>
              <w:top w:val="nil"/>
              <w:left w:val="nil"/>
              <w:bottom w:val="single" w:sz="4" w:space="0" w:color="BFBFBF"/>
              <w:right w:val="single" w:sz="4" w:space="0" w:color="BFBFBF"/>
            </w:tcBorders>
            <w:shd w:val="clear" w:color="auto" w:fill="auto"/>
            <w:noWrap/>
            <w:vAlign w:val="center"/>
          </w:tcPr>
          <w:p w14:paraId="421CD4B5"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188</w:t>
            </w:r>
          </w:p>
        </w:tc>
        <w:tc>
          <w:tcPr>
            <w:tcW w:w="808" w:type="dxa"/>
            <w:tcBorders>
              <w:top w:val="nil"/>
              <w:left w:val="nil"/>
              <w:bottom w:val="single" w:sz="4" w:space="0" w:color="BFBFBF"/>
              <w:right w:val="single" w:sz="4" w:space="0" w:color="BFBFBF"/>
            </w:tcBorders>
            <w:shd w:val="clear" w:color="auto" w:fill="auto"/>
            <w:noWrap/>
            <w:vAlign w:val="center"/>
          </w:tcPr>
          <w:p w14:paraId="6719001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45245D9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130</w:t>
            </w:r>
          </w:p>
        </w:tc>
        <w:tc>
          <w:tcPr>
            <w:tcW w:w="808" w:type="dxa"/>
            <w:tcBorders>
              <w:top w:val="nil"/>
              <w:left w:val="nil"/>
              <w:bottom w:val="single" w:sz="4" w:space="0" w:color="BFBFBF"/>
              <w:right w:val="single" w:sz="4" w:space="0" w:color="BFBFBF"/>
            </w:tcBorders>
            <w:shd w:val="clear" w:color="auto" w:fill="auto"/>
            <w:noWrap/>
            <w:vAlign w:val="center"/>
          </w:tcPr>
          <w:p w14:paraId="1F28879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82</w:t>
            </w:r>
          </w:p>
        </w:tc>
        <w:tc>
          <w:tcPr>
            <w:tcW w:w="808" w:type="dxa"/>
            <w:tcBorders>
              <w:top w:val="nil"/>
              <w:left w:val="nil"/>
              <w:bottom w:val="single" w:sz="4" w:space="0" w:color="BFBFBF"/>
              <w:right w:val="double" w:sz="6" w:space="0" w:color="auto"/>
            </w:tcBorders>
            <w:shd w:val="clear" w:color="auto" w:fill="auto"/>
            <w:noWrap/>
            <w:vAlign w:val="center"/>
          </w:tcPr>
          <w:p w14:paraId="70E7464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w:t>
            </w:r>
          </w:p>
        </w:tc>
      </w:tr>
      <w:tr w:rsidR="00256AC4" w:rsidRPr="00A6026E" w14:paraId="42CF688C" w14:textId="77777777" w:rsidTr="00256AC4">
        <w:trPr>
          <w:trHeight w:val="225"/>
          <w:jc w:val="center"/>
        </w:trPr>
        <w:tc>
          <w:tcPr>
            <w:tcW w:w="2575" w:type="dxa"/>
            <w:tcBorders>
              <w:top w:val="single" w:sz="4" w:space="0" w:color="BFBFBF"/>
              <w:left w:val="double" w:sz="6" w:space="0" w:color="auto"/>
              <w:bottom w:val="double" w:sz="4" w:space="0" w:color="auto"/>
              <w:right w:val="nil"/>
            </w:tcBorders>
            <w:shd w:val="clear" w:color="auto" w:fill="auto"/>
            <w:noWrap/>
            <w:vAlign w:val="center"/>
          </w:tcPr>
          <w:p w14:paraId="7438FAA2"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Non-Concession HHs</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48F41143"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56470D4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383</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7ED56A1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5C547DA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180</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3066370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122</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5C59F7E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296</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0289775A"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6EB45DE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220</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18837F8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79%</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07C10EC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145</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1460B7D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103</w:t>
            </w:r>
          </w:p>
        </w:tc>
        <w:tc>
          <w:tcPr>
            <w:tcW w:w="808" w:type="dxa"/>
            <w:tcBorders>
              <w:top w:val="single" w:sz="4" w:space="0" w:color="BFBFBF"/>
              <w:left w:val="nil"/>
              <w:bottom w:val="double" w:sz="4" w:space="0" w:color="auto"/>
              <w:right w:val="double" w:sz="6" w:space="0" w:color="auto"/>
            </w:tcBorders>
            <w:shd w:val="clear" w:color="auto" w:fill="auto"/>
            <w:noWrap/>
            <w:vAlign w:val="center"/>
          </w:tcPr>
          <w:p w14:paraId="5D7A95B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34</w:t>
            </w:r>
          </w:p>
        </w:tc>
      </w:tr>
      <w:tr w:rsidR="00256AC4" w:rsidRPr="00A6026E" w14:paraId="0ECA1A0F" w14:textId="77777777" w:rsidTr="00256AC4">
        <w:trPr>
          <w:trHeight w:val="225"/>
          <w:jc w:val="center"/>
        </w:trPr>
        <w:tc>
          <w:tcPr>
            <w:tcW w:w="2575" w:type="dxa"/>
            <w:tcBorders>
              <w:top w:val="double" w:sz="4" w:space="0" w:color="auto"/>
            </w:tcBorders>
            <w:shd w:val="clear" w:color="auto" w:fill="auto"/>
            <w:noWrap/>
            <w:vAlign w:val="center"/>
          </w:tcPr>
          <w:p w14:paraId="29EAAA7D" w14:textId="77777777" w:rsidR="00256AC4" w:rsidRPr="00A6026E" w:rsidRDefault="00256AC4" w:rsidP="00B6186D">
            <w:pPr>
              <w:spacing w:before="0" w:after="0"/>
              <w:rPr>
                <w:rFonts w:ascii="Arial" w:hAnsi="Arial" w:cs="Arial"/>
                <w:bCs/>
                <w:color w:val="000000"/>
                <w:sz w:val="16"/>
                <w:szCs w:val="16"/>
                <w:lang w:val="en-AU" w:eastAsia="en-AU"/>
              </w:rPr>
            </w:pPr>
            <w:r w:rsidRPr="00A6026E">
              <w:rPr>
                <w:rFonts w:ascii="Arial" w:hAnsi="Arial" w:cs="Arial"/>
                <w:bCs/>
                <w:color w:val="000000"/>
                <w:sz w:val="16"/>
                <w:szCs w:val="16"/>
                <w:lang w:val="en-AU" w:eastAsia="en-AU"/>
              </w:rPr>
              <w:t>Continued on next page</w:t>
            </w:r>
          </w:p>
          <w:p w14:paraId="2A9B38E8" w14:textId="77777777" w:rsidR="00256AC4" w:rsidRPr="00A6026E" w:rsidRDefault="00256AC4" w:rsidP="00B6186D">
            <w:pPr>
              <w:spacing w:before="0" w:after="0"/>
              <w:rPr>
                <w:rFonts w:ascii="Arial" w:hAnsi="Arial" w:cs="Arial"/>
                <w:b/>
                <w:bCs/>
                <w:color w:val="000000"/>
                <w:sz w:val="16"/>
                <w:szCs w:val="16"/>
                <w:lang w:val="en-AU" w:eastAsia="en-AU"/>
              </w:rPr>
            </w:pPr>
          </w:p>
        </w:tc>
        <w:tc>
          <w:tcPr>
            <w:tcW w:w="808" w:type="dxa"/>
            <w:tcBorders>
              <w:top w:val="double" w:sz="4" w:space="0" w:color="auto"/>
            </w:tcBorders>
            <w:shd w:val="clear" w:color="auto" w:fill="auto"/>
            <w:noWrap/>
            <w:vAlign w:val="center"/>
          </w:tcPr>
          <w:p w14:paraId="1FE2D84D" w14:textId="77777777" w:rsidR="00256AC4" w:rsidRPr="00A6026E" w:rsidRDefault="00256AC4"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5C90C867" w14:textId="77777777" w:rsidR="00256AC4" w:rsidRPr="00A6026E" w:rsidRDefault="00256AC4"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39650DBB" w14:textId="77777777" w:rsidR="00256AC4" w:rsidRPr="00A6026E" w:rsidRDefault="00256AC4"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74CC9180" w14:textId="77777777" w:rsidR="00256AC4" w:rsidRPr="00A6026E" w:rsidRDefault="00256AC4"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66F6E225" w14:textId="77777777" w:rsidR="00256AC4" w:rsidRPr="00A6026E" w:rsidRDefault="00256AC4"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284E8F04" w14:textId="77777777" w:rsidR="00256AC4" w:rsidRPr="00A6026E" w:rsidRDefault="00256AC4"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68D163AB" w14:textId="77777777" w:rsidR="00256AC4" w:rsidRPr="00A6026E" w:rsidRDefault="00256AC4"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3E98172" w14:textId="77777777" w:rsidR="00256AC4" w:rsidRPr="00A6026E" w:rsidRDefault="00256AC4"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7017C296" w14:textId="77777777" w:rsidR="00256AC4" w:rsidRPr="00A6026E" w:rsidRDefault="00256AC4"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5A90DBF8" w14:textId="77777777" w:rsidR="00256AC4" w:rsidRPr="00A6026E" w:rsidRDefault="00256AC4"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02538D18" w14:textId="77777777" w:rsidR="00256AC4" w:rsidRPr="00A6026E" w:rsidRDefault="00256AC4"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5A587695" w14:textId="77777777" w:rsidR="00256AC4" w:rsidRPr="00A6026E" w:rsidRDefault="00256AC4" w:rsidP="00B6186D">
            <w:pPr>
              <w:spacing w:before="0" w:after="0"/>
              <w:jc w:val="center"/>
              <w:rPr>
                <w:rFonts w:ascii="Arial" w:hAnsi="Arial" w:cs="Arial"/>
                <w:color w:val="000000"/>
                <w:sz w:val="16"/>
                <w:szCs w:val="16"/>
                <w:lang w:val="en-AU" w:eastAsia="en-AU"/>
              </w:rPr>
            </w:pPr>
          </w:p>
        </w:tc>
      </w:tr>
      <w:tr w:rsidR="00256AC4" w:rsidRPr="00A6026E" w14:paraId="571B1795" w14:textId="77777777" w:rsidTr="00256AC4">
        <w:trPr>
          <w:trHeight w:val="225"/>
          <w:jc w:val="center"/>
        </w:trPr>
        <w:tc>
          <w:tcPr>
            <w:tcW w:w="2575" w:type="dxa"/>
            <w:tcBorders>
              <w:left w:val="double" w:sz="6" w:space="0" w:color="auto"/>
              <w:bottom w:val="single" w:sz="4" w:space="0" w:color="BFBFBF"/>
              <w:right w:val="nil"/>
            </w:tcBorders>
            <w:shd w:val="clear" w:color="auto" w:fill="auto"/>
            <w:noWrap/>
            <w:vAlign w:val="center"/>
          </w:tcPr>
          <w:p w14:paraId="7A567974" w14:textId="77777777" w:rsidR="00256AC4" w:rsidRPr="00A6026E" w:rsidRDefault="00256AC4" w:rsidP="00B6186D">
            <w:pPr>
              <w:spacing w:before="0" w:after="0"/>
              <w:rPr>
                <w:rFonts w:ascii="Arial" w:hAnsi="Arial" w:cs="Arial"/>
                <w:b/>
                <w:bCs/>
                <w:color w:val="000000"/>
                <w:sz w:val="16"/>
                <w:szCs w:val="16"/>
                <w:lang w:val="en-AU" w:eastAsia="en-AU"/>
              </w:rPr>
            </w:pPr>
          </w:p>
          <w:p w14:paraId="627E4655" w14:textId="77777777" w:rsidR="00256AC4" w:rsidRPr="00A6026E" w:rsidRDefault="00256AC4"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Household Size -</w:t>
            </w:r>
          </w:p>
        </w:tc>
        <w:tc>
          <w:tcPr>
            <w:tcW w:w="808" w:type="dxa"/>
            <w:tcBorders>
              <w:left w:val="single" w:sz="4" w:space="0" w:color="auto"/>
              <w:bottom w:val="single" w:sz="4" w:space="0" w:color="BFBFBF"/>
              <w:right w:val="single" w:sz="4" w:space="0" w:color="BFBFBF"/>
            </w:tcBorders>
            <w:shd w:val="clear" w:color="auto" w:fill="auto"/>
            <w:noWrap/>
            <w:vAlign w:val="center"/>
          </w:tcPr>
          <w:p w14:paraId="215D1A0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0BBB33C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27BE924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54FF0CC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579A1DB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4E72ACC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205B2A1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646A2EA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588CEAB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3115B98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297BA00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double" w:sz="6" w:space="0" w:color="auto"/>
            </w:tcBorders>
            <w:shd w:val="clear" w:color="auto" w:fill="auto"/>
            <w:noWrap/>
            <w:vAlign w:val="center"/>
          </w:tcPr>
          <w:p w14:paraId="06B7E00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256AC4" w:rsidRPr="00A6026E" w14:paraId="4D85BA5F"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45648632"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1 person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7D088D"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77%</w:t>
            </w:r>
          </w:p>
        </w:tc>
        <w:tc>
          <w:tcPr>
            <w:tcW w:w="808" w:type="dxa"/>
            <w:tcBorders>
              <w:top w:val="nil"/>
              <w:left w:val="nil"/>
              <w:bottom w:val="single" w:sz="4" w:space="0" w:color="BFBFBF"/>
              <w:right w:val="single" w:sz="4" w:space="0" w:color="BFBFBF"/>
            </w:tcBorders>
            <w:shd w:val="clear" w:color="auto" w:fill="auto"/>
            <w:noWrap/>
            <w:vAlign w:val="center"/>
          </w:tcPr>
          <w:p w14:paraId="23BDE1A4"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404</w:t>
            </w:r>
          </w:p>
        </w:tc>
        <w:tc>
          <w:tcPr>
            <w:tcW w:w="808" w:type="dxa"/>
            <w:tcBorders>
              <w:top w:val="nil"/>
              <w:left w:val="nil"/>
              <w:bottom w:val="single" w:sz="4" w:space="0" w:color="BFBFBF"/>
              <w:right w:val="single" w:sz="4" w:space="0" w:color="BFBFBF"/>
            </w:tcBorders>
            <w:shd w:val="clear" w:color="auto" w:fill="auto"/>
            <w:noWrap/>
            <w:vAlign w:val="center"/>
          </w:tcPr>
          <w:p w14:paraId="468610F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81%</w:t>
            </w:r>
          </w:p>
        </w:tc>
        <w:tc>
          <w:tcPr>
            <w:tcW w:w="808" w:type="dxa"/>
            <w:tcBorders>
              <w:top w:val="nil"/>
              <w:left w:val="nil"/>
              <w:bottom w:val="single" w:sz="4" w:space="0" w:color="BFBFBF"/>
              <w:right w:val="single" w:sz="4" w:space="0" w:color="BFBFBF"/>
            </w:tcBorders>
            <w:shd w:val="clear" w:color="auto" w:fill="auto"/>
            <w:noWrap/>
            <w:vAlign w:val="center"/>
          </w:tcPr>
          <w:p w14:paraId="2044C88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189</w:t>
            </w:r>
          </w:p>
        </w:tc>
        <w:tc>
          <w:tcPr>
            <w:tcW w:w="808" w:type="dxa"/>
            <w:tcBorders>
              <w:top w:val="nil"/>
              <w:left w:val="nil"/>
              <w:bottom w:val="single" w:sz="4" w:space="0" w:color="BFBFBF"/>
              <w:right w:val="single" w:sz="4" w:space="0" w:color="BFBFBF"/>
            </w:tcBorders>
            <w:shd w:val="clear" w:color="auto" w:fill="auto"/>
            <w:noWrap/>
            <w:vAlign w:val="center"/>
          </w:tcPr>
          <w:p w14:paraId="09CD371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121</w:t>
            </w:r>
          </w:p>
        </w:tc>
        <w:tc>
          <w:tcPr>
            <w:tcW w:w="808" w:type="dxa"/>
            <w:tcBorders>
              <w:top w:val="nil"/>
              <w:left w:val="nil"/>
              <w:bottom w:val="single" w:sz="4" w:space="0" w:color="BFBFBF"/>
              <w:right w:val="single" w:sz="4" w:space="0" w:color="auto"/>
            </w:tcBorders>
            <w:shd w:val="clear" w:color="auto" w:fill="auto"/>
            <w:noWrap/>
            <w:vAlign w:val="center"/>
          </w:tcPr>
          <w:p w14:paraId="20C622C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259</w:t>
            </w:r>
          </w:p>
        </w:tc>
        <w:tc>
          <w:tcPr>
            <w:tcW w:w="808" w:type="dxa"/>
            <w:tcBorders>
              <w:top w:val="nil"/>
              <w:left w:val="nil"/>
              <w:bottom w:val="single" w:sz="4" w:space="0" w:color="BFBFBF"/>
              <w:right w:val="single" w:sz="4" w:space="0" w:color="BFBFBF"/>
            </w:tcBorders>
            <w:shd w:val="clear" w:color="auto" w:fill="auto"/>
            <w:noWrap/>
            <w:vAlign w:val="center"/>
          </w:tcPr>
          <w:p w14:paraId="6C2FF39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66%</w:t>
            </w:r>
          </w:p>
        </w:tc>
        <w:tc>
          <w:tcPr>
            <w:tcW w:w="808" w:type="dxa"/>
            <w:tcBorders>
              <w:top w:val="nil"/>
              <w:left w:val="nil"/>
              <w:bottom w:val="single" w:sz="4" w:space="0" w:color="BFBFBF"/>
              <w:right w:val="single" w:sz="4" w:space="0" w:color="BFBFBF"/>
            </w:tcBorders>
            <w:shd w:val="clear" w:color="auto" w:fill="auto"/>
            <w:noWrap/>
            <w:vAlign w:val="center"/>
          </w:tcPr>
          <w:p w14:paraId="06A0F1E1"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111</w:t>
            </w:r>
          </w:p>
        </w:tc>
        <w:tc>
          <w:tcPr>
            <w:tcW w:w="808" w:type="dxa"/>
            <w:tcBorders>
              <w:top w:val="nil"/>
              <w:left w:val="nil"/>
              <w:bottom w:val="single" w:sz="4" w:space="0" w:color="BFBFBF"/>
              <w:right w:val="single" w:sz="4" w:space="0" w:color="BFBFBF"/>
            </w:tcBorders>
            <w:shd w:val="clear" w:color="auto" w:fill="auto"/>
            <w:noWrap/>
            <w:vAlign w:val="center"/>
          </w:tcPr>
          <w:p w14:paraId="676BE85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808" w:type="dxa"/>
            <w:tcBorders>
              <w:top w:val="nil"/>
              <w:left w:val="nil"/>
              <w:bottom w:val="single" w:sz="4" w:space="0" w:color="BFBFBF"/>
              <w:right w:val="single" w:sz="4" w:space="0" w:color="BFBFBF"/>
            </w:tcBorders>
            <w:shd w:val="clear" w:color="auto" w:fill="auto"/>
            <w:noWrap/>
            <w:vAlign w:val="center"/>
          </w:tcPr>
          <w:p w14:paraId="31BCC31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79</w:t>
            </w:r>
          </w:p>
        </w:tc>
        <w:tc>
          <w:tcPr>
            <w:tcW w:w="808" w:type="dxa"/>
            <w:tcBorders>
              <w:top w:val="nil"/>
              <w:left w:val="nil"/>
              <w:bottom w:val="single" w:sz="4" w:space="0" w:color="BFBFBF"/>
              <w:right w:val="single" w:sz="4" w:space="0" w:color="BFBFBF"/>
            </w:tcBorders>
            <w:shd w:val="clear" w:color="auto" w:fill="auto"/>
            <w:noWrap/>
            <w:vAlign w:val="center"/>
          </w:tcPr>
          <w:p w14:paraId="31945A3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808" w:type="dxa"/>
            <w:tcBorders>
              <w:top w:val="nil"/>
              <w:left w:val="nil"/>
              <w:bottom w:val="single" w:sz="4" w:space="0" w:color="BFBFBF"/>
              <w:right w:val="double" w:sz="6" w:space="0" w:color="auto"/>
            </w:tcBorders>
            <w:shd w:val="clear" w:color="auto" w:fill="auto"/>
            <w:noWrap/>
            <w:vAlign w:val="center"/>
          </w:tcPr>
          <w:p w14:paraId="2356A1B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w:t>
            </w:r>
          </w:p>
        </w:tc>
      </w:tr>
      <w:tr w:rsidR="00256AC4" w:rsidRPr="00A6026E" w14:paraId="3E3228D4"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1E4BBBC2"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2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A6ED4DF"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82%</w:t>
            </w:r>
          </w:p>
        </w:tc>
        <w:tc>
          <w:tcPr>
            <w:tcW w:w="808" w:type="dxa"/>
            <w:tcBorders>
              <w:top w:val="nil"/>
              <w:left w:val="nil"/>
              <w:bottom w:val="single" w:sz="4" w:space="0" w:color="BFBFBF"/>
              <w:right w:val="single" w:sz="4" w:space="0" w:color="BFBFBF"/>
            </w:tcBorders>
            <w:shd w:val="clear" w:color="auto" w:fill="auto"/>
            <w:noWrap/>
            <w:vAlign w:val="center"/>
          </w:tcPr>
          <w:p w14:paraId="68E94F3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401</w:t>
            </w:r>
          </w:p>
        </w:tc>
        <w:tc>
          <w:tcPr>
            <w:tcW w:w="808" w:type="dxa"/>
            <w:tcBorders>
              <w:top w:val="nil"/>
              <w:left w:val="nil"/>
              <w:bottom w:val="single" w:sz="4" w:space="0" w:color="BFBFBF"/>
              <w:right w:val="single" w:sz="4" w:space="0" w:color="BFBFBF"/>
            </w:tcBorders>
            <w:shd w:val="clear" w:color="auto" w:fill="auto"/>
            <w:noWrap/>
            <w:vAlign w:val="center"/>
          </w:tcPr>
          <w:p w14:paraId="5990F9E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80%</w:t>
            </w:r>
          </w:p>
        </w:tc>
        <w:tc>
          <w:tcPr>
            <w:tcW w:w="808" w:type="dxa"/>
            <w:tcBorders>
              <w:top w:val="nil"/>
              <w:left w:val="nil"/>
              <w:bottom w:val="single" w:sz="4" w:space="0" w:color="BFBFBF"/>
              <w:right w:val="single" w:sz="4" w:space="0" w:color="BFBFBF"/>
            </w:tcBorders>
            <w:shd w:val="clear" w:color="auto" w:fill="auto"/>
            <w:noWrap/>
            <w:vAlign w:val="center"/>
          </w:tcPr>
          <w:p w14:paraId="29CEDAB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188</w:t>
            </w:r>
          </w:p>
        </w:tc>
        <w:tc>
          <w:tcPr>
            <w:tcW w:w="808" w:type="dxa"/>
            <w:tcBorders>
              <w:top w:val="nil"/>
              <w:left w:val="nil"/>
              <w:bottom w:val="single" w:sz="4" w:space="0" w:color="BFBFBF"/>
              <w:right w:val="single" w:sz="4" w:space="0" w:color="BFBFBF"/>
            </w:tcBorders>
            <w:shd w:val="clear" w:color="auto" w:fill="auto"/>
            <w:noWrap/>
            <w:vAlign w:val="center"/>
          </w:tcPr>
          <w:p w14:paraId="7FAA991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120</w:t>
            </w:r>
          </w:p>
        </w:tc>
        <w:tc>
          <w:tcPr>
            <w:tcW w:w="808" w:type="dxa"/>
            <w:tcBorders>
              <w:top w:val="nil"/>
              <w:left w:val="nil"/>
              <w:bottom w:val="single" w:sz="4" w:space="0" w:color="BFBFBF"/>
              <w:right w:val="single" w:sz="4" w:space="0" w:color="auto"/>
            </w:tcBorders>
            <w:shd w:val="clear" w:color="auto" w:fill="auto"/>
            <w:noWrap/>
            <w:vAlign w:val="center"/>
          </w:tcPr>
          <w:p w14:paraId="4EC0010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266</w:t>
            </w:r>
          </w:p>
        </w:tc>
        <w:tc>
          <w:tcPr>
            <w:tcW w:w="808" w:type="dxa"/>
            <w:tcBorders>
              <w:top w:val="nil"/>
              <w:left w:val="nil"/>
              <w:bottom w:val="single" w:sz="4" w:space="0" w:color="BFBFBF"/>
              <w:right w:val="single" w:sz="4" w:space="0" w:color="BFBFBF"/>
            </w:tcBorders>
            <w:shd w:val="clear" w:color="auto" w:fill="auto"/>
            <w:noWrap/>
            <w:vAlign w:val="center"/>
          </w:tcPr>
          <w:p w14:paraId="36F4B5E0"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64F212A9"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193</w:t>
            </w:r>
          </w:p>
        </w:tc>
        <w:tc>
          <w:tcPr>
            <w:tcW w:w="808" w:type="dxa"/>
            <w:tcBorders>
              <w:top w:val="nil"/>
              <w:left w:val="nil"/>
              <w:bottom w:val="single" w:sz="4" w:space="0" w:color="BFBFBF"/>
              <w:right w:val="single" w:sz="4" w:space="0" w:color="BFBFBF"/>
            </w:tcBorders>
            <w:shd w:val="clear" w:color="auto" w:fill="auto"/>
            <w:noWrap/>
            <w:vAlign w:val="center"/>
          </w:tcPr>
          <w:p w14:paraId="35C2D7C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808" w:type="dxa"/>
            <w:tcBorders>
              <w:top w:val="nil"/>
              <w:left w:val="nil"/>
              <w:bottom w:val="single" w:sz="4" w:space="0" w:color="BFBFBF"/>
              <w:right w:val="single" w:sz="4" w:space="0" w:color="BFBFBF"/>
            </w:tcBorders>
            <w:shd w:val="clear" w:color="auto" w:fill="auto"/>
            <w:noWrap/>
            <w:vAlign w:val="center"/>
          </w:tcPr>
          <w:p w14:paraId="0EDBD25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126</w:t>
            </w:r>
          </w:p>
        </w:tc>
        <w:tc>
          <w:tcPr>
            <w:tcW w:w="808" w:type="dxa"/>
            <w:tcBorders>
              <w:top w:val="nil"/>
              <w:left w:val="nil"/>
              <w:bottom w:val="single" w:sz="4" w:space="0" w:color="BFBFBF"/>
              <w:right w:val="single" w:sz="4" w:space="0" w:color="BFBFBF"/>
            </w:tcBorders>
            <w:shd w:val="clear" w:color="auto" w:fill="auto"/>
            <w:noWrap/>
            <w:vAlign w:val="center"/>
          </w:tcPr>
          <w:p w14:paraId="22213B8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89</w:t>
            </w:r>
          </w:p>
        </w:tc>
        <w:tc>
          <w:tcPr>
            <w:tcW w:w="808" w:type="dxa"/>
            <w:tcBorders>
              <w:top w:val="nil"/>
              <w:left w:val="nil"/>
              <w:bottom w:val="single" w:sz="4" w:space="0" w:color="BFBFBF"/>
              <w:right w:val="double" w:sz="6" w:space="0" w:color="auto"/>
            </w:tcBorders>
            <w:shd w:val="clear" w:color="auto" w:fill="auto"/>
            <w:noWrap/>
            <w:vAlign w:val="center"/>
          </w:tcPr>
          <w:p w14:paraId="6FF5A7C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29</w:t>
            </w:r>
          </w:p>
        </w:tc>
      </w:tr>
      <w:tr w:rsidR="00256AC4" w:rsidRPr="00A6026E" w14:paraId="3C0B9F6A"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25551506"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3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C145002"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73%</w:t>
            </w:r>
          </w:p>
        </w:tc>
        <w:tc>
          <w:tcPr>
            <w:tcW w:w="808" w:type="dxa"/>
            <w:tcBorders>
              <w:top w:val="nil"/>
              <w:left w:val="nil"/>
              <w:bottom w:val="single" w:sz="4" w:space="0" w:color="BFBFBF"/>
              <w:right w:val="single" w:sz="4" w:space="0" w:color="BFBFBF"/>
            </w:tcBorders>
            <w:shd w:val="clear" w:color="auto" w:fill="auto"/>
            <w:noWrap/>
            <w:vAlign w:val="center"/>
          </w:tcPr>
          <w:p w14:paraId="424E4BD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383</w:t>
            </w:r>
          </w:p>
        </w:tc>
        <w:tc>
          <w:tcPr>
            <w:tcW w:w="808" w:type="dxa"/>
            <w:tcBorders>
              <w:top w:val="nil"/>
              <w:left w:val="nil"/>
              <w:bottom w:val="single" w:sz="4" w:space="0" w:color="BFBFBF"/>
              <w:right w:val="single" w:sz="4" w:space="0" w:color="BFBFBF"/>
            </w:tcBorders>
            <w:shd w:val="clear" w:color="auto" w:fill="auto"/>
            <w:noWrap/>
            <w:vAlign w:val="center"/>
          </w:tcPr>
          <w:p w14:paraId="50C0859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77%</w:t>
            </w:r>
          </w:p>
        </w:tc>
        <w:tc>
          <w:tcPr>
            <w:tcW w:w="808" w:type="dxa"/>
            <w:tcBorders>
              <w:top w:val="nil"/>
              <w:left w:val="nil"/>
              <w:bottom w:val="single" w:sz="4" w:space="0" w:color="BFBFBF"/>
              <w:right w:val="single" w:sz="4" w:space="0" w:color="BFBFBF"/>
            </w:tcBorders>
            <w:shd w:val="clear" w:color="auto" w:fill="auto"/>
            <w:noWrap/>
            <w:vAlign w:val="center"/>
          </w:tcPr>
          <w:p w14:paraId="04D2EAA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179</w:t>
            </w:r>
          </w:p>
        </w:tc>
        <w:tc>
          <w:tcPr>
            <w:tcW w:w="808" w:type="dxa"/>
            <w:tcBorders>
              <w:top w:val="nil"/>
              <w:left w:val="nil"/>
              <w:bottom w:val="single" w:sz="4" w:space="0" w:color="BFBFBF"/>
              <w:right w:val="single" w:sz="4" w:space="0" w:color="BFBFBF"/>
            </w:tcBorders>
            <w:shd w:val="clear" w:color="auto" w:fill="auto"/>
            <w:noWrap/>
            <w:vAlign w:val="center"/>
          </w:tcPr>
          <w:p w14:paraId="2A818E0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119</w:t>
            </w:r>
          </w:p>
        </w:tc>
        <w:tc>
          <w:tcPr>
            <w:tcW w:w="808" w:type="dxa"/>
            <w:tcBorders>
              <w:top w:val="nil"/>
              <w:left w:val="nil"/>
              <w:bottom w:val="single" w:sz="4" w:space="0" w:color="BFBFBF"/>
              <w:right w:val="single" w:sz="4" w:space="0" w:color="auto"/>
            </w:tcBorders>
            <w:shd w:val="clear" w:color="auto" w:fill="auto"/>
            <w:noWrap/>
            <w:vAlign w:val="center"/>
          </w:tcPr>
          <w:p w14:paraId="47321ED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279</w:t>
            </w:r>
          </w:p>
        </w:tc>
        <w:tc>
          <w:tcPr>
            <w:tcW w:w="808" w:type="dxa"/>
            <w:tcBorders>
              <w:top w:val="nil"/>
              <w:left w:val="nil"/>
              <w:bottom w:val="single" w:sz="4" w:space="0" w:color="BFBFBF"/>
              <w:right w:val="single" w:sz="4" w:space="0" w:color="BFBFBF"/>
            </w:tcBorders>
            <w:shd w:val="clear" w:color="auto" w:fill="auto"/>
            <w:noWrap/>
            <w:vAlign w:val="center"/>
          </w:tcPr>
          <w:p w14:paraId="68D72EAB"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808" w:type="dxa"/>
            <w:tcBorders>
              <w:top w:val="nil"/>
              <w:left w:val="nil"/>
              <w:bottom w:val="single" w:sz="4" w:space="0" w:color="BFBFBF"/>
              <w:right w:val="single" w:sz="4" w:space="0" w:color="BFBFBF"/>
            </w:tcBorders>
            <w:shd w:val="clear" w:color="auto" w:fill="auto"/>
            <w:noWrap/>
            <w:vAlign w:val="center"/>
          </w:tcPr>
          <w:p w14:paraId="22265846"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233</w:t>
            </w:r>
          </w:p>
        </w:tc>
        <w:tc>
          <w:tcPr>
            <w:tcW w:w="808" w:type="dxa"/>
            <w:tcBorders>
              <w:top w:val="nil"/>
              <w:left w:val="nil"/>
              <w:bottom w:val="single" w:sz="4" w:space="0" w:color="BFBFBF"/>
              <w:right w:val="single" w:sz="4" w:space="0" w:color="BFBFBF"/>
            </w:tcBorders>
            <w:shd w:val="clear" w:color="auto" w:fill="auto"/>
            <w:noWrap/>
            <w:vAlign w:val="center"/>
          </w:tcPr>
          <w:p w14:paraId="34153C76"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BFBFBF"/>
            </w:tcBorders>
            <w:shd w:val="clear" w:color="auto" w:fill="auto"/>
            <w:noWrap/>
            <w:vAlign w:val="center"/>
          </w:tcPr>
          <w:p w14:paraId="2DBD5C3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149</w:t>
            </w:r>
          </w:p>
        </w:tc>
        <w:tc>
          <w:tcPr>
            <w:tcW w:w="808" w:type="dxa"/>
            <w:tcBorders>
              <w:top w:val="nil"/>
              <w:left w:val="nil"/>
              <w:bottom w:val="single" w:sz="4" w:space="0" w:color="BFBFBF"/>
              <w:right w:val="single" w:sz="4" w:space="0" w:color="BFBFBF"/>
            </w:tcBorders>
            <w:shd w:val="clear" w:color="auto" w:fill="auto"/>
            <w:noWrap/>
            <w:vAlign w:val="center"/>
          </w:tcPr>
          <w:p w14:paraId="5486E87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102</w:t>
            </w:r>
          </w:p>
        </w:tc>
        <w:tc>
          <w:tcPr>
            <w:tcW w:w="808" w:type="dxa"/>
            <w:tcBorders>
              <w:top w:val="nil"/>
              <w:left w:val="nil"/>
              <w:bottom w:val="single" w:sz="4" w:space="0" w:color="BFBFBF"/>
              <w:right w:val="double" w:sz="6" w:space="0" w:color="auto"/>
            </w:tcBorders>
            <w:shd w:val="clear" w:color="auto" w:fill="auto"/>
            <w:noWrap/>
            <w:vAlign w:val="center"/>
          </w:tcPr>
          <w:p w14:paraId="56920D0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33</w:t>
            </w:r>
          </w:p>
        </w:tc>
      </w:tr>
      <w:tr w:rsidR="00256AC4" w:rsidRPr="00A6026E" w14:paraId="47C57061"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24EF6A5E"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4 or more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FD06F38"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82%</w:t>
            </w:r>
          </w:p>
        </w:tc>
        <w:tc>
          <w:tcPr>
            <w:tcW w:w="808" w:type="dxa"/>
            <w:tcBorders>
              <w:top w:val="nil"/>
              <w:left w:val="nil"/>
              <w:bottom w:val="single" w:sz="4" w:space="0" w:color="BFBFBF"/>
              <w:right w:val="single" w:sz="4" w:space="0" w:color="BFBFBF"/>
            </w:tcBorders>
            <w:shd w:val="clear" w:color="auto" w:fill="auto"/>
            <w:noWrap/>
            <w:vAlign w:val="center"/>
          </w:tcPr>
          <w:p w14:paraId="4A476D5E"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373</w:t>
            </w:r>
          </w:p>
        </w:tc>
        <w:tc>
          <w:tcPr>
            <w:tcW w:w="808" w:type="dxa"/>
            <w:tcBorders>
              <w:top w:val="nil"/>
              <w:left w:val="nil"/>
              <w:bottom w:val="single" w:sz="4" w:space="0" w:color="BFBFBF"/>
              <w:right w:val="single" w:sz="4" w:space="0" w:color="BFBFBF"/>
            </w:tcBorders>
            <w:shd w:val="clear" w:color="auto" w:fill="auto"/>
            <w:noWrap/>
            <w:vAlign w:val="center"/>
          </w:tcPr>
          <w:p w14:paraId="313B879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808" w:type="dxa"/>
            <w:tcBorders>
              <w:top w:val="nil"/>
              <w:left w:val="nil"/>
              <w:bottom w:val="single" w:sz="4" w:space="0" w:color="BFBFBF"/>
              <w:right w:val="single" w:sz="4" w:space="0" w:color="BFBFBF"/>
            </w:tcBorders>
            <w:shd w:val="clear" w:color="auto" w:fill="auto"/>
            <w:noWrap/>
            <w:vAlign w:val="center"/>
          </w:tcPr>
          <w:p w14:paraId="53CC860A"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175</w:t>
            </w:r>
          </w:p>
        </w:tc>
        <w:tc>
          <w:tcPr>
            <w:tcW w:w="808" w:type="dxa"/>
            <w:tcBorders>
              <w:top w:val="nil"/>
              <w:left w:val="nil"/>
              <w:bottom w:val="single" w:sz="4" w:space="0" w:color="BFBFBF"/>
              <w:right w:val="single" w:sz="4" w:space="0" w:color="BFBFBF"/>
            </w:tcBorders>
            <w:shd w:val="clear" w:color="auto" w:fill="auto"/>
            <w:noWrap/>
            <w:vAlign w:val="center"/>
          </w:tcPr>
          <w:p w14:paraId="683F089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126</w:t>
            </w:r>
          </w:p>
        </w:tc>
        <w:tc>
          <w:tcPr>
            <w:tcW w:w="808" w:type="dxa"/>
            <w:tcBorders>
              <w:top w:val="nil"/>
              <w:left w:val="nil"/>
              <w:bottom w:val="single" w:sz="4" w:space="0" w:color="BFBFBF"/>
              <w:right w:val="single" w:sz="4" w:space="0" w:color="auto"/>
            </w:tcBorders>
            <w:shd w:val="clear" w:color="auto" w:fill="auto"/>
            <w:noWrap/>
            <w:vAlign w:val="center"/>
          </w:tcPr>
          <w:p w14:paraId="55399CB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302</w:t>
            </w:r>
          </w:p>
        </w:tc>
        <w:tc>
          <w:tcPr>
            <w:tcW w:w="808" w:type="dxa"/>
            <w:tcBorders>
              <w:top w:val="nil"/>
              <w:left w:val="nil"/>
              <w:bottom w:val="single" w:sz="4" w:space="0" w:color="BFBFBF"/>
              <w:right w:val="single" w:sz="4" w:space="0" w:color="BFBFBF"/>
            </w:tcBorders>
            <w:shd w:val="clear" w:color="auto" w:fill="auto"/>
            <w:noWrap/>
            <w:vAlign w:val="center"/>
          </w:tcPr>
          <w:p w14:paraId="1E3CF43D"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BFBFBF"/>
            </w:tcBorders>
            <w:shd w:val="clear" w:color="auto" w:fill="auto"/>
            <w:noWrap/>
            <w:vAlign w:val="center"/>
          </w:tcPr>
          <w:p w14:paraId="23729C02"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280</w:t>
            </w:r>
          </w:p>
        </w:tc>
        <w:tc>
          <w:tcPr>
            <w:tcW w:w="808" w:type="dxa"/>
            <w:tcBorders>
              <w:top w:val="nil"/>
              <w:left w:val="nil"/>
              <w:bottom w:val="single" w:sz="4" w:space="0" w:color="BFBFBF"/>
              <w:right w:val="single" w:sz="4" w:space="0" w:color="BFBFBF"/>
            </w:tcBorders>
            <w:shd w:val="clear" w:color="auto" w:fill="auto"/>
            <w:noWrap/>
            <w:vAlign w:val="center"/>
          </w:tcPr>
          <w:p w14:paraId="7ED7B604"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79%</w:t>
            </w:r>
          </w:p>
        </w:tc>
        <w:tc>
          <w:tcPr>
            <w:tcW w:w="808" w:type="dxa"/>
            <w:tcBorders>
              <w:top w:val="nil"/>
              <w:left w:val="nil"/>
              <w:bottom w:val="single" w:sz="4" w:space="0" w:color="BFBFBF"/>
              <w:right w:val="single" w:sz="4" w:space="0" w:color="BFBFBF"/>
            </w:tcBorders>
            <w:shd w:val="clear" w:color="auto" w:fill="auto"/>
            <w:noWrap/>
            <w:vAlign w:val="center"/>
          </w:tcPr>
          <w:p w14:paraId="346EA79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186</w:t>
            </w:r>
          </w:p>
        </w:tc>
        <w:tc>
          <w:tcPr>
            <w:tcW w:w="808" w:type="dxa"/>
            <w:tcBorders>
              <w:top w:val="nil"/>
              <w:left w:val="nil"/>
              <w:bottom w:val="single" w:sz="4" w:space="0" w:color="BFBFBF"/>
              <w:right w:val="single" w:sz="4" w:space="0" w:color="BFBFBF"/>
            </w:tcBorders>
            <w:shd w:val="clear" w:color="auto" w:fill="auto"/>
            <w:noWrap/>
            <w:vAlign w:val="center"/>
          </w:tcPr>
          <w:p w14:paraId="1421557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111</w:t>
            </w:r>
          </w:p>
        </w:tc>
        <w:tc>
          <w:tcPr>
            <w:tcW w:w="808" w:type="dxa"/>
            <w:tcBorders>
              <w:top w:val="nil"/>
              <w:left w:val="nil"/>
              <w:bottom w:val="single" w:sz="4" w:space="0" w:color="BFBFBF"/>
              <w:right w:val="double" w:sz="6" w:space="0" w:color="auto"/>
            </w:tcBorders>
            <w:shd w:val="clear" w:color="auto" w:fill="auto"/>
            <w:noWrap/>
            <w:vAlign w:val="center"/>
          </w:tcPr>
          <w:p w14:paraId="5DD8230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38</w:t>
            </w:r>
          </w:p>
        </w:tc>
      </w:tr>
      <w:tr w:rsidR="00256AC4" w:rsidRPr="00A6026E" w14:paraId="7C611DD4"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7C751E17" w14:textId="77777777" w:rsidR="00256AC4" w:rsidRPr="00A6026E" w:rsidRDefault="00256AC4"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Housing Status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41044ED"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F311994"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9AF28A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FB8032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15E09F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7FB1534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0D478A6"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2255871"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DBE9C3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47D1BB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E9E265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6432653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256AC4" w:rsidRPr="00A6026E" w14:paraId="206A66F2"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4C25915"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Owned/paid off</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EE05944"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c>
          <w:tcPr>
            <w:tcW w:w="808" w:type="dxa"/>
            <w:tcBorders>
              <w:top w:val="nil"/>
              <w:left w:val="nil"/>
              <w:bottom w:val="single" w:sz="4" w:space="0" w:color="BFBFBF"/>
              <w:right w:val="single" w:sz="4" w:space="0" w:color="BFBFBF"/>
            </w:tcBorders>
            <w:shd w:val="clear" w:color="auto" w:fill="auto"/>
            <w:noWrap/>
            <w:vAlign w:val="center"/>
          </w:tcPr>
          <w:p w14:paraId="1FCD48FE"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388</w:t>
            </w:r>
          </w:p>
        </w:tc>
        <w:tc>
          <w:tcPr>
            <w:tcW w:w="808" w:type="dxa"/>
            <w:tcBorders>
              <w:top w:val="nil"/>
              <w:left w:val="nil"/>
              <w:bottom w:val="single" w:sz="4" w:space="0" w:color="BFBFBF"/>
              <w:right w:val="single" w:sz="4" w:space="0" w:color="BFBFBF"/>
            </w:tcBorders>
            <w:shd w:val="clear" w:color="auto" w:fill="auto"/>
            <w:noWrap/>
            <w:vAlign w:val="center"/>
          </w:tcPr>
          <w:p w14:paraId="2175F01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808" w:type="dxa"/>
            <w:tcBorders>
              <w:top w:val="nil"/>
              <w:left w:val="nil"/>
              <w:bottom w:val="single" w:sz="4" w:space="0" w:color="BFBFBF"/>
              <w:right w:val="single" w:sz="4" w:space="0" w:color="BFBFBF"/>
            </w:tcBorders>
            <w:shd w:val="clear" w:color="auto" w:fill="auto"/>
            <w:noWrap/>
            <w:vAlign w:val="center"/>
          </w:tcPr>
          <w:p w14:paraId="4488AEEC"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183</w:t>
            </w:r>
          </w:p>
        </w:tc>
        <w:tc>
          <w:tcPr>
            <w:tcW w:w="808" w:type="dxa"/>
            <w:tcBorders>
              <w:top w:val="nil"/>
              <w:left w:val="nil"/>
              <w:bottom w:val="single" w:sz="4" w:space="0" w:color="BFBFBF"/>
              <w:right w:val="single" w:sz="4" w:space="0" w:color="BFBFBF"/>
            </w:tcBorders>
            <w:shd w:val="clear" w:color="auto" w:fill="auto"/>
            <w:noWrap/>
            <w:vAlign w:val="center"/>
          </w:tcPr>
          <w:p w14:paraId="4AAB644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125</w:t>
            </w:r>
          </w:p>
        </w:tc>
        <w:tc>
          <w:tcPr>
            <w:tcW w:w="808" w:type="dxa"/>
            <w:tcBorders>
              <w:top w:val="nil"/>
              <w:left w:val="nil"/>
              <w:bottom w:val="single" w:sz="4" w:space="0" w:color="BFBFBF"/>
              <w:right w:val="single" w:sz="4" w:space="0" w:color="auto"/>
            </w:tcBorders>
            <w:shd w:val="clear" w:color="auto" w:fill="auto"/>
            <w:noWrap/>
            <w:vAlign w:val="center"/>
          </w:tcPr>
          <w:p w14:paraId="2C33021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275</w:t>
            </w:r>
          </w:p>
        </w:tc>
        <w:tc>
          <w:tcPr>
            <w:tcW w:w="808" w:type="dxa"/>
            <w:tcBorders>
              <w:top w:val="nil"/>
              <w:left w:val="nil"/>
              <w:bottom w:val="single" w:sz="4" w:space="0" w:color="BFBFBF"/>
              <w:right w:val="single" w:sz="4" w:space="0" w:color="BFBFBF"/>
            </w:tcBorders>
            <w:shd w:val="clear" w:color="auto" w:fill="auto"/>
            <w:noWrap/>
            <w:vAlign w:val="center"/>
          </w:tcPr>
          <w:p w14:paraId="3BE4D1DA"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73%</w:t>
            </w:r>
          </w:p>
        </w:tc>
        <w:tc>
          <w:tcPr>
            <w:tcW w:w="808" w:type="dxa"/>
            <w:tcBorders>
              <w:top w:val="nil"/>
              <w:left w:val="nil"/>
              <w:bottom w:val="single" w:sz="4" w:space="0" w:color="BFBFBF"/>
              <w:right w:val="single" w:sz="4" w:space="0" w:color="BFBFBF"/>
            </w:tcBorders>
            <w:shd w:val="clear" w:color="auto" w:fill="auto"/>
            <w:noWrap/>
            <w:vAlign w:val="center"/>
          </w:tcPr>
          <w:p w14:paraId="54535E54"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200</w:t>
            </w:r>
          </w:p>
        </w:tc>
        <w:tc>
          <w:tcPr>
            <w:tcW w:w="808" w:type="dxa"/>
            <w:tcBorders>
              <w:top w:val="nil"/>
              <w:left w:val="nil"/>
              <w:bottom w:val="single" w:sz="4" w:space="0" w:color="BFBFBF"/>
              <w:right w:val="single" w:sz="4" w:space="0" w:color="BFBFBF"/>
            </w:tcBorders>
            <w:shd w:val="clear" w:color="auto" w:fill="auto"/>
            <w:noWrap/>
            <w:vAlign w:val="center"/>
          </w:tcPr>
          <w:p w14:paraId="1D5696F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808" w:type="dxa"/>
            <w:tcBorders>
              <w:top w:val="nil"/>
              <w:left w:val="nil"/>
              <w:bottom w:val="single" w:sz="4" w:space="0" w:color="BFBFBF"/>
              <w:right w:val="single" w:sz="4" w:space="0" w:color="BFBFBF"/>
            </w:tcBorders>
            <w:shd w:val="clear" w:color="auto" w:fill="auto"/>
            <w:noWrap/>
            <w:vAlign w:val="center"/>
          </w:tcPr>
          <w:p w14:paraId="1DE9F1B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135</w:t>
            </w:r>
          </w:p>
        </w:tc>
        <w:tc>
          <w:tcPr>
            <w:tcW w:w="808" w:type="dxa"/>
            <w:tcBorders>
              <w:top w:val="nil"/>
              <w:left w:val="nil"/>
              <w:bottom w:val="single" w:sz="4" w:space="0" w:color="BFBFBF"/>
              <w:right w:val="single" w:sz="4" w:space="0" w:color="BFBFBF"/>
            </w:tcBorders>
            <w:shd w:val="clear" w:color="auto" w:fill="auto"/>
            <w:noWrap/>
            <w:vAlign w:val="center"/>
          </w:tcPr>
          <w:p w14:paraId="32EA1873"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808" w:type="dxa"/>
            <w:tcBorders>
              <w:top w:val="nil"/>
              <w:left w:val="nil"/>
              <w:bottom w:val="single" w:sz="4" w:space="0" w:color="BFBFBF"/>
              <w:right w:val="double" w:sz="6" w:space="0" w:color="auto"/>
            </w:tcBorders>
            <w:shd w:val="clear" w:color="auto" w:fill="auto"/>
            <w:noWrap/>
            <w:vAlign w:val="center"/>
          </w:tcPr>
          <w:p w14:paraId="59B8C50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33</w:t>
            </w:r>
          </w:p>
        </w:tc>
      </w:tr>
      <w:tr w:rsidR="00256AC4" w:rsidRPr="00A6026E" w14:paraId="7D45C031"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2CFC1281"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Buying/paying off</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D5EA85E"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808" w:type="dxa"/>
            <w:tcBorders>
              <w:top w:val="nil"/>
              <w:left w:val="nil"/>
              <w:bottom w:val="single" w:sz="4" w:space="0" w:color="BFBFBF"/>
              <w:right w:val="single" w:sz="4" w:space="0" w:color="BFBFBF"/>
            </w:tcBorders>
            <w:shd w:val="clear" w:color="auto" w:fill="auto"/>
            <w:noWrap/>
            <w:vAlign w:val="center"/>
          </w:tcPr>
          <w:p w14:paraId="136DFF42"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395</w:t>
            </w:r>
          </w:p>
        </w:tc>
        <w:tc>
          <w:tcPr>
            <w:tcW w:w="808" w:type="dxa"/>
            <w:tcBorders>
              <w:top w:val="nil"/>
              <w:left w:val="nil"/>
              <w:bottom w:val="single" w:sz="4" w:space="0" w:color="BFBFBF"/>
              <w:right w:val="single" w:sz="4" w:space="0" w:color="BFBFBF"/>
            </w:tcBorders>
            <w:shd w:val="clear" w:color="auto" w:fill="auto"/>
            <w:noWrap/>
            <w:vAlign w:val="center"/>
          </w:tcPr>
          <w:p w14:paraId="7DE64A0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c>
          <w:tcPr>
            <w:tcW w:w="808" w:type="dxa"/>
            <w:tcBorders>
              <w:top w:val="nil"/>
              <w:left w:val="nil"/>
              <w:bottom w:val="single" w:sz="4" w:space="0" w:color="BFBFBF"/>
              <w:right w:val="single" w:sz="4" w:space="0" w:color="BFBFBF"/>
            </w:tcBorders>
            <w:shd w:val="clear" w:color="auto" w:fill="auto"/>
            <w:noWrap/>
            <w:vAlign w:val="center"/>
          </w:tcPr>
          <w:p w14:paraId="06B32AE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183</w:t>
            </w:r>
          </w:p>
        </w:tc>
        <w:tc>
          <w:tcPr>
            <w:tcW w:w="808" w:type="dxa"/>
            <w:tcBorders>
              <w:top w:val="nil"/>
              <w:left w:val="nil"/>
              <w:bottom w:val="single" w:sz="4" w:space="0" w:color="BFBFBF"/>
              <w:right w:val="single" w:sz="4" w:space="0" w:color="BFBFBF"/>
            </w:tcBorders>
            <w:shd w:val="clear" w:color="auto" w:fill="auto"/>
            <w:noWrap/>
            <w:vAlign w:val="center"/>
          </w:tcPr>
          <w:p w14:paraId="22821F5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119</w:t>
            </w:r>
          </w:p>
        </w:tc>
        <w:tc>
          <w:tcPr>
            <w:tcW w:w="808" w:type="dxa"/>
            <w:tcBorders>
              <w:top w:val="nil"/>
              <w:left w:val="nil"/>
              <w:bottom w:val="single" w:sz="4" w:space="0" w:color="BFBFBF"/>
              <w:right w:val="single" w:sz="4" w:space="0" w:color="auto"/>
            </w:tcBorders>
            <w:shd w:val="clear" w:color="auto" w:fill="auto"/>
            <w:noWrap/>
            <w:vAlign w:val="center"/>
          </w:tcPr>
          <w:p w14:paraId="74F9E9C8"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284</w:t>
            </w:r>
          </w:p>
        </w:tc>
        <w:tc>
          <w:tcPr>
            <w:tcW w:w="808" w:type="dxa"/>
            <w:tcBorders>
              <w:top w:val="nil"/>
              <w:left w:val="nil"/>
              <w:bottom w:val="single" w:sz="4" w:space="0" w:color="BFBFBF"/>
              <w:right w:val="single" w:sz="4" w:space="0" w:color="BFBFBF"/>
            </w:tcBorders>
            <w:shd w:val="clear" w:color="auto" w:fill="auto"/>
            <w:noWrap/>
            <w:vAlign w:val="center"/>
          </w:tcPr>
          <w:p w14:paraId="328A83EF"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69%</w:t>
            </w:r>
          </w:p>
        </w:tc>
        <w:tc>
          <w:tcPr>
            <w:tcW w:w="808" w:type="dxa"/>
            <w:tcBorders>
              <w:top w:val="nil"/>
              <w:left w:val="nil"/>
              <w:bottom w:val="single" w:sz="4" w:space="0" w:color="BFBFBF"/>
              <w:right w:val="single" w:sz="4" w:space="0" w:color="BFBFBF"/>
            </w:tcBorders>
            <w:shd w:val="clear" w:color="auto" w:fill="auto"/>
            <w:noWrap/>
            <w:vAlign w:val="center"/>
          </w:tcPr>
          <w:p w14:paraId="06F43F6B"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221</w:t>
            </w:r>
          </w:p>
        </w:tc>
        <w:tc>
          <w:tcPr>
            <w:tcW w:w="808" w:type="dxa"/>
            <w:tcBorders>
              <w:top w:val="nil"/>
              <w:left w:val="nil"/>
              <w:bottom w:val="single" w:sz="4" w:space="0" w:color="BFBFBF"/>
              <w:right w:val="single" w:sz="4" w:space="0" w:color="BFBFBF"/>
            </w:tcBorders>
            <w:shd w:val="clear" w:color="auto" w:fill="auto"/>
            <w:noWrap/>
            <w:vAlign w:val="center"/>
          </w:tcPr>
          <w:p w14:paraId="6331AC4F"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77%</w:t>
            </w:r>
          </w:p>
        </w:tc>
        <w:tc>
          <w:tcPr>
            <w:tcW w:w="808" w:type="dxa"/>
            <w:tcBorders>
              <w:top w:val="nil"/>
              <w:left w:val="nil"/>
              <w:bottom w:val="single" w:sz="4" w:space="0" w:color="BFBFBF"/>
              <w:right w:val="single" w:sz="4" w:space="0" w:color="BFBFBF"/>
            </w:tcBorders>
            <w:shd w:val="clear" w:color="auto" w:fill="auto"/>
            <w:noWrap/>
            <w:vAlign w:val="center"/>
          </w:tcPr>
          <w:p w14:paraId="03AC34A2"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150</w:t>
            </w:r>
          </w:p>
        </w:tc>
        <w:tc>
          <w:tcPr>
            <w:tcW w:w="808" w:type="dxa"/>
            <w:tcBorders>
              <w:top w:val="nil"/>
              <w:left w:val="nil"/>
              <w:bottom w:val="single" w:sz="4" w:space="0" w:color="BFBFBF"/>
              <w:right w:val="single" w:sz="4" w:space="0" w:color="BFBFBF"/>
            </w:tcBorders>
            <w:shd w:val="clear" w:color="auto" w:fill="auto"/>
            <w:noWrap/>
            <w:vAlign w:val="center"/>
          </w:tcPr>
          <w:p w14:paraId="006BEDD7"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104</w:t>
            </w:r>
          </w:p>
        </w:tc>
        <w:tc>
          <w:tcPr>
            <w:tcW w:w="808" w:type="dxa"/>
            <w:tcBorders>
              <w:top w:val="nil"/>
              <w:left w:val="nil"/>
              <w:bottom w:val="single" w:sz="4" w:space="0" w:color="BFBFBF"/>
              <w:right w:val="double" w:sz="6" w:space="0" w:color="auto"/>
            </w:tcBorders>
            <w:shd w:val="clear" w:color="auto" w:fill="auto"/>
            <w:noWrap/>
            <w:vAlign w:val="center"/>
          </w:tcPr>
          <w:p w14:paraId="4790136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34</w:t>
            </w:r>
          </w:p>
        </w:tc>
      </w:tr>
      <w:tr w:rsidR="00256AC4" w:rsidRPr="00A6026E" w14:paraId="0CB9CF1A"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77EB18AD"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Renting - Private</w:t>
            </w:r>
            <w:r w:rsidRPr="00A6026E">
              <w:rPr>
                <w:rFonts w:ascii="Arial" w:hAnsi="Arial" w:cs="Arial"/>
                <w:color w:val="000000"/>
                <w:sz w:val="16"/>
                <w:szCs w:val="16"/>
                <w:vertAlign w:val="superscript"/>
                <w:lang w:val="en-AU" w:eastAsia="en-AU"/>
              </w:rPr>
              <w:t>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11E8EE0"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808" w:type="dxa"/>
            <w:tcBorders>
              <w:top w:val="nil"/>
              <w:left w:val="nil"/>
              <w:bottom w:val="single" w:sz="4" w:space="0" w:color="BFBFBF"/>
              <w:right w:val="single" w:sz="4" w:space="0" w:color="BFBFBF"/>
            </w:tcBorders>
            <w:shd w:val="clear" w:color="auto" w:fill="auto"/>
            <w:noWrap/>
            <w:vAlign w:val="center"/>
          </w:tcPr>
          <w:p w14:paraId="5C5BDBC0"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500</w:t>
            </w:r>
          </w:p>
        </w:tc>
        <w:tc>
          <w:tcPr>
            <w:tcW w:w="808" w:type="dxa"/>
            <w:tcBorders>
              <w:top w:val="nil"/>
              <w:left w:val="nil"/>
              <w:bottom w:val="single" w:sz="4" w:space="0" w:color="BFBFBF"/>
              <w:right w:val="single" w:sz="4" w:space="0" w:color="BFBFBF"/>
            </w:tcBorders>
            <w:shd w:val="clear" w:color="auto" w:fill="auto"/>
            <w:noWrap/>
            <w:vAlign w:val="center"/>
          </w:tcPr>
          <w:p w14:paraId="4B0A2D5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w:t>
            </w:r>
          </w:p>
        </w:tc>
        <w:tc>
          <w:tcPr>
            <w:tcW w:w="808" w:type="dxa"/>
            <w:tcBorders>
              <w:top w:val="nil"/>
              <w:left w:val="nil"/>
              <w:bottom w:val="single" w:sz="4" w:space="0" w:color="BFBFBF"/>
              <w:right w:val="single" w:sz="4" w:space="0" w:color="BFBFBF"/>
            </w:tcBorders>
            <w:shd w:val="clear" w:color="auto" w:fill="auto"/>
            <w:noWrap/>
            <w:vAlign w:val="center"/>
          </w:tcPr>
          <w:p w14:paraId="60794AB9"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176</w:t>
            </w:r>
          </w:p>
        </w:tc>
        <w:tc>
          <w:tcPr>
            <w:tcW w:w="808" w:type="dxa"/>
            <w:tcBorders>
              <w:top w:val="nil"/>
              <w:left w:val="nil"/>
              <w:bottom w:val="single" w:sz="4" w:space="0" w:color="BFBFBF"/>
              <w:right w:val="single" w:sz="4" w:space="0" w:color="BFBFBF"/>
            </w:tcBorders>
            <w:shd w:val="clear" w:color="auto" w:fill="auto"/>
            <w:noWrap/>
            <w:vAlign w:val="center"/>
          </w:tcPr>
          <w:p w14:paraId="2834944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112</w:t>
            </w:r>
          </w:p>
        </w:tc>
        <w:tc>
          <w:tcPr>
            <w:tcW w:w="808" w:type="dxa"/>
            <w:tcBorders>
              <w:top w:val="nil"/>
              <w:left w:val="nil"/>
              <w:bottom w:val="single" w:sz="4" w:space="0" w:color="BFBFBF"/>
              <w:right w:val="single" w:sz="4" w:space="0" w:color="auto"/>
            </w:tcBorders>
            <w:shd w:val="clear" w:color="auto" w:fill="auto"/>
            <w:noWrap/>
            <w:vAlign w:val="center"/>
          </w:tcPr>
          <w:p w14:paraId="0429C91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295</w:t>
            </w:r>
          </w:p>
        </w:tc>
        <w:tc>
          <w:tcPr>
            <w:tcW w:w="808" w:type="dxa"/>
            <w:tcBorders>
              <w:top w:val="nil"/>
              <w:left w:val="nil"/>
              <w:bottom w:val="single" w:sz="4" w:space="0" w:color="BFBFBF"/>
              <w:right w:val="single" w:sz="4" w:space="0" w:color="BFBFBF"/>
            </w:tcBorders>
            <w:shd w:val="clear" w:color="auto" w:fill="auto"/>
            <w:noWrap/>
            <w:vAlign w:val="center"/>
          </w:tcPr>
          <w:p w14:paraId="5214CBB4"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808" w:type="dxa"/>
            <w:tcBorders>
              <w:top w:val="nil"/>
              <w:left w:val="nil"/>
              <w:bottom w:val="single" w:sz="4" w:space="0" w:color="BFBFBF"/>
              <w:right w:val="single" w:sz="4" w:space="0" w:color="BFBFBF"/>
            </w:tcBorders>
            <w:shd w:val="clear" w:color="auto" w:fill="auto"/>
            <w:noWrap/>
            <w:vAlign w:val="center"/>
          </w:tcPr>
          <w:p w14:paraId="02D78964"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195</w:t>
            </w:r>
          </w:p>
        </w:tc>
        <w:tc>
          <w:tcPr>
            <w:tcW w:w="808" w:type="dxa"/>
            <w:tcBorders>
              <w:top w:val="nil"/>
              <w:left w:val="nil"/>
              <w:bottom w:val="single" w:sz="4" w:space="0" w:color="BFBFBF"/>
              <w:right w:val="single" w:sz="4" w:space="0" w:color="BFBFBF"/>
            </w:tcBorders>
            <w:shd w:val="clear" w:color="auto" w:fill="auto"/>
            <w:noWrap/>
            <w:vAlign w:val="center"/>
          </w:tcPr>
          <w:p w14:paraId="21BE825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80%</w:t>
            </w:r>
          </w:p>
        </w:tc>
        <w:tc>
          <w:tcPr>
            <w:tcW w:w="808" w:type="dxa"/>
            <w:tcBorders>
              <w:top w:val="nil"/>
              <w:left w:val="nil"/>
              <w:bottom w:val="single" w:sz="4" w:space="0" w:color="BFBFBF"/>
              <w:right w:val="single" w:sz="4" w:space="0" w:color="BFBFBF"/>
            </w:tcBorders>
            <w:shd w:val="clear" w:color="auto" w:fill="auto"/>
            <w:noWrap/>
            <w:vAlign w:val="center"/>
          </w:tcPr>
          <w:p w14:paraId="249C1D1B"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131</w:t>
            </w:r>
          </w:p>
        </w:tc>
        <w:tc>
          <w:tcPr>
            <w:tcW w:w="808" w:type="dxa"/>
            <w:tcBorders>
              <w:top w:val="nil"/>
              <w:left w:val="nil"/>
              <w:bottom w:val="single" w:sz="4" w:space="0" w:color="BFBFBF"/>
              <w:right w:val="single" w:sz="4" w:space="0" w:color="BFBFBF"/>
            </w:tcBorders>
            <w:shd w:val="clear" w:color="auto" w:fill="auto"/>
            <w:noWrap/>
            <w:vAlign w:val="center"/>
          </w:tcPr>
          <w:p w14:paraId="14154DD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808" w:type="dxa"/>
            <w:tcBorders>
              <w:top w:val="nil"/>
              <w:left w:val="nil"/>
              <w:bottom w:val="single" w:sz="4" w:space="0" w:color="BFBFBF"/>
              <w:right w:val="double" w:sz="6" w:space="0" w:color="auto"/>
            </w:tcBorders>
            <w:shd w:val="clear" w:color="auto" w:fill="auto"/>
            <w:noWrap/>
            <w:vAlign w:val="center"/>
          </w:tcPr>
          <w:p w14:paraId="1057A0A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w:t>
            </w:r>
          </w:p>
        </w:tc>
      </w:tr>
      <w:tr w:rsidR="00256AC4" w:rsidRPr="00A6026E" w14:paraId="562325F3" w14:textId="77777777" w:rsidTr="00256AC4">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4F4ADC08" w14:textId="77777777" w:rsidR="00256AC4" w:rsidRPr="00A6026E" w:rsidRDefault="00256AC4"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Renting - Public</w:t>
            </w:r>
            <w:r w:rsidRPr="00A6026E">
              <w:rPr>
                <w:rFonts w:ascii="Arial" w:hAnsi="Arial" w:cs="Arial"/>
                <w:color w:val="000000"/>
                <w:sz w:val="16"/>
                <w:szCs w:val="16"/>
                <w:vertAlign w:val="superscript"/>
                <w:lang w:val="en-AU" w:eastAsia="en-AU"/>
              </w:rPr>
              <w:t>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5E7F29B"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w:t>
            </w:r>
          </w:p>
        </w:tc>
        <w:tc>
          <w:tcPr>
            <w:tcW w:w="808" w:type="dxa"/>
            <w:tcBorders>
              <w:top w:val="nil"/>
              <w:left w:val="nil"/>
              <w:bottom w:val="single" w:sz="4" w:space="0" w:color="BFBFBF"/>
              <w:right w:val="single" w:sz="4" w:space="0" w:color="BFBFBF"/>
            </w:tcBorders>
            <w:shd w:val="clear" w:color="auto" w:fill="auto"/>
            <w:noWrap/>
            <w:vAlign w:val="center"/>
          </w:tcPr>
          <w:p w14:paraId="2E52D3AA"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326</w:t>
            </w:r>
          </w:p>
        </w:tc>
        <w:tc>
          <w:tcPr>
            <w:tcW w:w="808" w:type="dxa"/>
            <w:tcBorders>
              <w:top w:val="nil"/>
              <w:left w:val="nil"/>
              <w:bottom w:val="single" w:sz="4" w:space="0" w:color="BFBFBF"/>
              <w:right w:val="single" w:sz="4" w:space="0" w:color="BFBFBF"/>
            </w:tcBorders>
            <w:shd w:val="clear" w:color="auto" w:fill="auto"/>
            <w:noWrap/>
            <w:vAlign w:val="center"/>
          </w:tcPr>
          <w:p w14:paraId="3A8EF2CE"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w:t>
            </w:r>
          </w:p>
        </w:tc>
        <w:tc>
          <w:tcPr>
            <w:tcW w:w="808" w:type="dxa"/>
            <w:tcBorders>
              <w:top w:val="nil"/>
              <w:left w:val="nil"/>
              <w:bottom w:val="single" w:sz="4" w:space="0" w:color="BFBFBF"/>
              <w:right w:val="single" w:sz="4" w:space="0" w:color="BFBFBF"/>
            </w:tcBorders>
            <w:shd w:val="clear" w:color="auto" w:fill="auto"/>
            <w:noWrap/>
            <w:vAlign w:val="center"/>
          </w:tcPr>
          <w:p w14:paraId="19059EB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155</w:t>
            </w:r>
          </w:p>
        </w:tc>
        <w:tc>
          <w:tcPr>
            <w:tcW w:w="808" w:type="dxa"/>
            <w:tcBorders>
              <w:top w:val="nil"/>
              <w:left w:val="nil"/>
              <w:bottom w:val="single" w:sz="4" w:space="0" w:color="BFBFBF"/>
              <w:right w:val="single" w:sz="4" w:space="0" w:color="BFBFBF"/>
            </w:tcBorders>
            <w:shd w:val="clear" w:color="auto" w:fill="auto"/>
            <w:noWrap/>
            <w:vAlign w:val="center"/>
          </w:tcPr>
          <w:p w14:paraId="07A63F6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109</w:t>
            </w:r>
          </w:p>
        </w:tc>
        <w:tc>
          <w:tcPr>
            <w:tcW w:w="808" w:type="dxa"/>
            <w:tcBorders>
              <w:top w:val="nil"/>
              <w:left w:val="nil"/>
              <w:bottom w:val="single" w:sz="4" w:space="0" w:color="BFBFBF"/>
              <w:right w:val="single" w:sz="4" w:space="0" w:color="auto"/>
            </w:tcBorders>
            <w:shd w:val="clear" w:color="auto" w:fill="auto"/>
            <w:noWrap/>
            <w:vAlign w:val="center"/>
          </w:tcPr>
          <w:p w14:paraId="0FDA1381"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250</w:t>
            </w:r>
          </w:p>
        </w:tc>
        <w:tc>
          <w:tcPr>
            <w:tcW w:w="808" w:type="dxa"/>
            <w:tcBorders>
              <w:top w:val="nil"/>
              <w:left w:val="nil"/>
              <w:bottom w:val="single" w:sz="4" w:space="0" w:color="BFBFBF"/>
              <w:right w:val="single" w:sz="4" w:space="0" w:color="BFBFBF"/>
            </w:tcBorders>
            <w:shd w:val="clear" w:color="auto" w:fill="auto"/>
            <w:noWrap/>
            <w:vAlign w:val="center"/>
          </w:tcPr>
          <w:p w14:paraId="3C2AF63C"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w:t>
            </w:r>
          </w:p>
        </w:tc>
        <w:tc>
          <w:tcPr>
            <w:tcW w:w="808" w:type="dxa"/>
            <w:tcBorders>
              <w:top w:val="nil"/>
              <w:left w:val="nil"/>
              <w:bottom w:val="single" w:sz="4" w:space="0" w:color="BFBFBF"/>
              <w:right w:val="single" w:sz="4" w:space="0" w:color="BFBFBF"/>
            </w:tcBorders>
            <w:shd w:val="clear" w:color="auto" w:fill="auto"/>
            <w:noWrap/>
            <w:vAlign w:val="center"/>
          </w:tcPr>
          <w:p w14:paraId="57352261" w14:textId="77777777" w:rsidR="00256AC4" w:rsidRPr="00A6026E" w:rsidRDefault="00256AC4"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205</w:t>
            </w:r>
          </w:p>
        </w:tc>
        <w:tc>
          <w:tcPr>
            <w:tcW w:w="808" w:type="dxa"/>
            <w:tcBorders>
              <w:top w:val="nil"/>
              <w:left w:val="nil"/>
              <w:bottom w:val="single" w:sz="4" w:space="0" w:color="BFBFBF"/>
              <w:right w:val="single" w:sz="4" w:space="0" w:color="BFBFBF"/>
            </w:tcBorders>
            <w:shd w:val="clear" w:color="auto" w:fill="auto"/>
            <w:noWrap/>
            <w:vAlign w:val="center"/>
          </w:tcPr>
          <w:p w14:paraId="2C74C12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808" w:type="dxa"/>
            <w:tcBorders>
              <w:top w:val="nil"/>
              <w:left w:val="nil"/>
              <w:bottom w:val="single" w:sz="4" w:space="0" w:color="BFBFBF"/>
              <w:right w:val="single" w:sz="4" w:space="0" w:color="BFBFBF"/>
            </w:tcBorders>
            <w:shd w:val="clear" w:color="auto" w:fill="auto"/>
            <w:noWrap/>
            <w:vAlign w:val="center"/>
          </w:tcPr>
          <w:p w14:paraId="1621B2F5"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139</w:t>
            </w:r>
          </w:p>
        </w:tc>
        <w:tc>
          <w:tcPr>
            <w:tcW w:w="808" w:type="dxa"/>
            <w:tcBorders>
              <w:top w:val="nil"/>
              <w:left w:val="nil"/>
              <w:bottom w:val="single" w:sz="4" w:space="0" w:color="BFBFBF"/>
              <w:right w:val="single" w:sz="4" w:space="0" w:color="BFBFBF"/>
            </w:tcBorders>
            <w:shd w:val="clear" w:color="auto" w:fill="auto"/>
            <w:noWrap/>
            <w:vAlign w:val="center"/>
          </w:tcPr>
          <w:p w14:paraId="25DB1BAD"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102</w:t>
            </w:r>
          </w:p>
        </w:tc>
        <w:tc>
          <w:tcPr>
            <w:tcW w:w="808" w:type="dxa"/>
            <w:tcBorders>
              <w:top w:val="nil"/>
              <w:left w:val="nil"/>
              <w:bottom w:val="single" w:sz="4" w:space="0" w:color="BFBFBF"/>
              <w:right w:val="double" w:sz="6" w:space="0" w:color="auto"/>
            </w:tcBorders>
            <w:shd w:val="clear" w:color="auto" w:fill="auto"/>
            <w:noWrap/>
            <w:vAlign w:val="center"/>
          </w:tcPr>
          <w:p w14:paraId="61C177F0" w14:textId="77777777" w:rsidR="00256AC4" w:rsidRPr="00A6026E" w:rsidRDefault="00256AC4"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28</w:t>
            </w:r>
          </w:p>
        </w:tc>
      </w:tr>
      <w:tr w:rsidR="00256AC4" w:rsidRPr="00A6026E" w14:paraId="000091BB" w14:textId="77777777" w:rsidTr="00256AC4">
        <w:trPr>
          <w:trHeight w:val="240"/>
          <w:jc w:val="center"/>
        </w:trPr>
        <w:tc>
          <w:tcPr>
            <w:tcW w:w="2575" w:type="dxa"/>
            <w:tcBorders>
              <w:top w:val="nil"/>
              <w:left w:val="double" w:sz="6" w:space="0" w:color="auto"/>
              <w:bottom w:val="double" w:sz="6" w:space="0" w:color="auto"/>
              <w:right w:val="nil"/>
            </w:tcBorders>
            <w:shd w:val="clear" w:color="auto" w:fill="auto"/>
            <w:noWrap/>
            <w:vAlign w:val="center"/>
          </w:tcPr>
          <w:p w14:paraId="1D73CD78" w14:textId="77777777" w:rsidR="00256AC4" w:rsidRPr="00A6026E" w:rsidRDefault="00256AC4"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Total Households</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7E9E4789" w14:textId="77777777" w:rsidR="00256AC4" w:rsidRPr="00A6026E" w:rsidRDefault="00256AC4" w:rsidP="00256AC4">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79%</w:t>
            </w:r>
          </w:p>
        </w:tc>
        <w:tc>
          <w:tcPr>
            <w:tcW w:w="808" w:type="dxa"/>
            <w:tcBorders>
              <w:top w:val="nil"/>
              <w:left w:val="nil"/>
              <w:bottom w:val="double" w:sz="6" w:space="0" w:color="auto"/>
              <w:right w:val="single" w:sz="4" w:space="0" w:color="BFBFBF"/>
            </w:tcBorders>
            <w:shd w:val="clear" w:color="auto" w:fill="auto"/>
            <w:noWrap/>
            <w:vAlign w:val="center"/>
          </w:tcPr>
          <w:p w14:paraId="192B55E6" w14:textId="77777777" w:rsidR="00256AC4" w:rsidRPr="00A6026E" w:rsidRDefault="00256AC4" w:rsidP="00256AC4">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391</w:t>
            </w:r>
          </w:p>
        </w:tc>
        <w:tc>
          <w:tcPr>
            <w:tcW w:w="808" w:type="dxa"/>
            <w:tcBorders>
              <w:top w:val="nil"/>
              <w:left w:val="nil"/>
              <w:bottom w:val="double" w:sz="6" w:space="0" w:color="auto"/>
              <w:right w:val="single" w:sz="4" w:space="0" w:color="BFBFBF"/>
            </w:tcBorders>
            <w:shd w:val="clear" w:color="auto" w:fill="auto"/>
            <w:noWrap/>
            <w:vAlign w:val="center"/>
          </w:tcPr>
          <w:p w14:paraId="2E8B073D" w14:textId="77777777" w:rsidR="00256AC4" w:rsidRPr="00A6026E" w:rsidRDefault="00256AC4"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81%</w:t>
            </w:r>
          </w:p>
        </w:tc>
        <w:tc>
          <w:tcPr>
            <w:tcW w:w="808" w:type="dxa"/>
            <w:tcBorders>
              <w:top w:val="nil"/>
              <w:left w:val="nil"/>
              <w:bottom w:val="double" w:sz="6" w:space="0" w:color="auto"/>
              <w:right w:val="single" w:sz="4" w:space="0" w:color="BFBFBF"/>
            </w:tcBorders>
            <w:shd w:val="clear" w:color="auto" w:fill="auto"/>
            <w:noWrap/>
            <w:vAlign w:val="center"/>
          </w:tcPr>
          <w:p w14:paraId="26A168DB" w14:textId="77777777" w:rsidR="00256AC4" w:rsidRPr="00A6026E" w:rsidRDefault="00256AC4"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183</w:t>
            </w:r>
          </w:p>
        </w:tc>
        <w:tc>
          <w:tcPr>
            <w:tcW w:w="808" w:type="dxa"/>
            <w:tcBorders>
              <w:top w:val="nil"/>
              <w:left w:val="nil"/>
              <w:bottom w:val="double" w:sz="6" w:space="0" w:color="auto"/>
              <w:right w:val="single" w:sz="4" w:space="0" w:color="BFBFBF"/>
            </w:tcBorders>
            <w:shd w:val="clear" w:color="auto" w:fill="auto"/>
            <w:noWrap/>
            <w:vAlign w:val="center"/>
          </w:tcPr>
          <w:p w14:paraId="19406E28" w14:textId="77777777" w:rsidR="00256AC4" w:rsidRPr="00A6026E" w:rsidRDefault="00256AC4"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122</w:t>
            </w:r>
          </w:p>
        </w:tc>
        <w:tc>
          <w:tcPr>
            <w:tcW w:w="808" w:type="dxa"/>
            <w:tcBorders>
              <w:top w:val="nil"/>
              <w:left w:val="nil"/>
              <w:bottom w:val="double" w:sz="6" w:space="0" w:color="auto"/>
              <w:right w:val="single" w:sz="4" w:space="0" w:color="auto"/>
            </w:tcBorders>
            <w:shd w:val="clear" w:color="auto" w:fill="auto"/>
            <w:noWrap/>
            <w:vAlign w:val="center"/>
          </w:tcPr>
          <w:p w14:paraId="57CEAAC7" w14:textId="77777777" w:rsidR="00256AC4" w:rsidRPr="00A6026E" w:rsidRDefault="00256AC4"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279</w:t>
            </w:r>
          </w:p>
        </w:tc>
        <w:tc>
          <w:tcPr>
            <w:tcW w:w="808" w:type="dxa"/>
            <w:tcBorders>
              <w:top w:val="nil"/>
              <w:left w:val="nil"/>
              <w:bottom w:val="double" w:sz="6" w:space="0" w:color="auto"/>
              <w:right w:val="single" w:sz="4" w:space="0" w:color="BFBFBF"/>
            </w:tcBorders>
            <w:shd w:val="clear" w:color="auto" w:fill="auto"/>
            <w:noWrap/>
            <w:vAlign w:val="center"/>
          </w:tcPr>
          <w:p w14:paraId="2E7A819D" w14:textId="77777777" w:rsidR="00256AC4" w:rsidRPr="00A6026E" w:rsidRDefault="00256AC4" w:rsidP="00256AC4">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71%</w:t>
            </w:r>
          </w:p>
        </w:tc>
        <w:tc>
          <w:tcPr>
            <w:tcW w:w="808" w:type="dxa"/>
            <w:tcBorders>
              <w:top w:val="nil"/>
              <w:left w:val="nil"/>
              <w:bottom w:val="double" w:sz="6" w:space="0" w:color="auto"/>
              <w:right w:val="single" w:sz="4" w:space="0" w:color="BFBFBF"/>
            </w:tcBorders>
            <w:shd w:val="clear" w:color="auto" w:fill="auto"/>
            <w:noWrap/>
            <w:vAlign w:val="center"/>
          </w:tcPr>
          <w:p w14:paraId="2CCB3E66" w14:textId="77777777" w:rsidR="00256AC4" w:rsidRPr="00A6026E" w:rsidRDefault="00256AC4" w:rsidP="00256AC4">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207</w:t>
            </w:r>
          </w:p>
        </w:tc>
        <w:tc>
          <w:tcPr>
            <w:tcW w:w="808" w:type="dxa"/>
            <w:tcBorders>
              <w:top w:val="nil"/>
              <w:left w:val="nil"/>
              <w:bottom w:val="double" w:sz="6" w:space="0" w:color="auto"/>
              <w:right w:val="single" w:sz="4" w:space="0" w:color="BFBFBF"/>
            </w:tcBorders>
            <w:shd w:val="clear" w:color="auto" w:fill="auto"/>
            <w:noWrap/>
            <w:vAlign w:val="center"/>
          </w:tcPr>
          <w:p w14:paraId="0C25AB25" w14:textId="77777777" w:rsidR="00256AC4" w:rsidRPr="00A6026E" w:rsidRDefault="00256AC4"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76%</w:t>
            </w:r>
          </w:p>
        </w:tc>
        <w:tc>
          <w:tcPr>
            <w:tcW w:w="808" w:type="dxa"/>
            <w:tcBorders>
              <w:top w:val="nil"/>
              <w:left w:val="nil"/>
              <w:bottom w:val="double" w:sz="6" w:space="0" w:color="auto"/>
              <w:right w:val="single" w:sz="4" w:space="0" w:color="BFBFBF"/>
            </w:tcBorders>
            <w:shd w:val="clear" w:color="auto" w:fill="auto"/>
            <w:noWrap/>
            <w:vAlign w:val="center"/>
          </w:tcPr>
          <w:p w14:paraId="1C2366FC" w14:textId="77777777" w:rsidR="00256AC4" w:rsidRPr="00A6026E" w:rsidRDefault="00256AC4"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139</w:t>
            </w:r>
          </w:p>
        </w:tc>
        <w:tc>
          <w:tcPr>
            <w:tcW w:w="808" w:type="dxa"/>
            <w:tcBorders>
              <w:top w:val="nil"/>
              <w:left w:val="nil"/>
              <w:bottom w:val="double" w:sz="6" w:space="0" w:color="auto"/>
              <w:right w:val="single" w:sz="4" w:space="0" w:color="BFBFBF"/>
            </w:tcBorders>
            <w:shd w:val="clear" w:color="auto" w:fill="auto"/>
            <w:noWrap/>
            <w:vAlign w:val="center"/>
          </w:tcPr>
          <w:p w14:paraId="1532A266" w14:textId="77777777" w:rsidR="00256AC4" w:rsidRPr="00A6026E" w:rsidRDefault="00256AC4"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96</w:t>
            </w:r>
          </w:p>
        </w:tc>
        <w:tc>
          <w:tcPr>
            <w:tcW w:w="808" w:type="dxa"/>
            <w:tcBorders>
              <w:top w:val="nil"/>
              <w:left w:val="nil"/>
              <w:bottom w:val="double" w:sz="6" w:space="0" w:color="auto"/>
              <w:right w:val="double" w:sz="6" w:space="0" w:color="auto"/>
            </w:tcBorders>
            <w:shd w:val="clear" w:color="auto" w:fill="auto"/>
            <w:noWrap/>
            <w:vAlign w:val="center"/>
          </w:tcPr>
          <w:p w14:paraId="528CD628" w14:textId="77777777" w:rsidR="00256AC4" w:rsidRPr="00A6026E" w:rsidRDefault="00256AC4"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32</w:t>
            </w:r>
          </w:p>
        </w:tc>
      </w:tr>
    </w:tbl>
    <w:p w14:paraId="30E35434" w14:textId="77777777" w:rsidR="00B6186D" w:rsidRPr="00A6026E" w:rsidRDefault="00B6186D" w:rsidP="00AE4D91">
      <w:pPr>
        <w:pStyle w:val="Para"/>
        <w:spacing w:line="240" w:lineRule="exact"/>
        <w:rPr>
          <w:sz w:val="20"/>
          <w:lang w:val="en-AU"/>
        </w:rPr>
      </w:pPr>
    </w:p>
    <w:p w14:paraId="1C221B3F" w14:textId="77777777" w:rsidR="00AE4D91" w:rsidRPr="00A6026E" w:rsidRDefault="00AE4D91" w:rsidP="00AE4D91">
      <w:pPr>
        <w:pStyle w:val="Para"/>
        <w:spacing w:line="240" w:lineRule="exact"/>
        <w:rPr>
          <w:sz w:val="20"/>
          <w:lang w:val="en-AU"/>
        </w:rPr>
      </w:pPr>
      <w:r w:rsidRPr="00A6026E">
        <w:rPr>
          <w:sz w:val="20"/>
          <w:lang w:val="en-AU"/>
        </w:rPr>
        <w:t xml:space="preserve">1. Renting households would not be charged </w:t>
      </w:r>
      <w:r w:rsidR="003C28EB" w:rsidRPr="00A6026E">
        <w:rPr>
          <w:sz w:val="20"/>
          <w:lang w:val="en-AU"/>
        </w:rPr>
        <w:t xml:space="preserve">sewerage </w:t>
      </w:r>
      <w:r w:rsidRPr="00A6026E">
        <w:rPr>
          <w:sz w:val="20"/>
          <w:lang w:val="en-AU"/>
        </w:rPr>
        <w:t xml:space="preserve">service </w:t>
      </w:r>
      <w:r w:rsidR="003C28EB" w:rsidRPr="00A6026E">
        <w:rPr>
          <w:sz w:val="20"/>
          <w:lang w:val="en-AU"/>
        </w:rPr>
        <w:t>charges</w:t>
      </w:r>
      <w:r w:rsidRPr="00A6026E">
        <w:rPr>
          <w:sz w:val="20"/>
          <w:lang w:val="en-AU"/>
        </w:rPr>
        <w:t xml:space="preserve">.  As such, there </w:t>
      </w:r>
      <w:r w:rsidR="00567FF3" w:rsidRPr="00A6026E">
        <w:rPr>
          <w:sz w:val="20"/>
          <w:lang w:val="en-AU"/>
        </w:rPr>
        <w:t>may be</w:t>
      </w:r>
      <w:r w:rsidRPr="00A6026E">
        <w:rPr>
          <w:sz w:val="20"/>
          <w:lang w:val="en-AU"/>
        </w:rPr>
        <w:t xml:space="preserve"> some mis-reporting in the data provided by water suppliers. As respondent</w:t>
      </w:r>
      <w:r w:rsidRPr="00A6026E">
        <w:rPr>
          <w:sz w:val="20"/>
          <w:lang w:val="en-AU"/>
        </w:rPr>
        <w:br/>
        <w:t xml:space="preserve">    survey data was collected for the 20</w:t>
      </w:r>
      <w:r w:rsidR="006271AB" w:rsidRPr="00A6026E">
        <w:rPr>
          <w:sz w:val="20"/>
          <w:lang w:val="en-AU"/>
        </w:rPr>
        <w:t>15</w:t>
      </w:r>
      <w:r w:rsidRPr="00A6026E">
        <w:rPr>
          <w:sz w:val="20"/>
          <w:lang w:val="en-AU"/>
        </w:rPr>
        <w:t xml:space="preserve"> year and billing data was collected for the 20</w:t>
      </w:r>
      <w:r w:rsidR="006271AB" w:rsidRPr="00A6026E">
        <w:rPr>
          <w:sz w:val="20"/>
          <w:lang w:val="en-AU"/>
        </w:rPr>
        <w:t>14</w:t>
      </w:r>
      <w:r w:rsidRPr="00A6026E">
        <w:rPr>
          <w:sz w:val="20"/>
          <w:lang w:val="en-AU"/>
        </w:rPr>
        <w:t xml:space="preserve"> year, there is some likelihood that respondent and billing data will cause</w:t>
      </w:r>
      <w:r w:rsidRPr="00A6026E">
        <w:rPr>
          <w:sz w:val="20"/>
          <w:lang w:val="en-AU"/>
        </w:rPr>
        <w:br/>
        <w:t xml:space="preserve">    some anomalies in terms of analysis. For example, a household in 20</w:t>
      </w:r>
      <w:r w:rsidR="006271AB" w:rsidRPr="00A6026E">
        <w:rPr>
          <w:sz w:val="20"/>
          <w:lang w:val="en-AU"/>
        </w:rPr>
        <w:t>15</w:t>
      </w:r>
      <w:r w:rsidRPr="00A6026E">
        <w:rPr>
          <w:sz w:val="20"/>
          <w:lang w:val="en-AU"/>
        </w:rPr>
        <w:t xml:space="preserve"> may have been renting, but not in 20</w:t>
      </w:r>
      <w:r w:rsidR="006271AB" w:rsidRPr="00A6026E">
        <w:rPr>
          <w:sz w:val="20"/>
          <w:lang w:val="en-AU"/>
        </w:rPr>
        <w:t>14</w:t>
      </w:r>
      <w:r w:rsidRPr="00A6026E">
        <w:rPr>
          <w:sz w:val="20"/>
          <w:lang w:val="en-AU"/>
        </w:rPr>
        <w:t xml:space="preserve"> (although such an occurrence should be rare).</w:t>
      </w:r>
    </w:p>
    <w:p w14:paraId="637C04AB" w14:textId="77777777" w:rsidR="00D109F7" w:rsidRPr="00A6026E" w:rsidRDefault="00D109F7" w:rsidP="00D109F7">
      <w:pPr>
        <w:pStyle w:val="Para"/>
        <w:spacing w:line="240" w:lineRule="atLeast"/>
        <w:rPr>
          <w:lang w:val="en-AU"/>
        </w:rPr>
      </w:pPr>
    </w:p>
    <w:p w14:paraId="27CC0A96" w14:textId="77777777" w:rsidR="007C682A" w:rsidRPr="00A6026E" w:rsidRDefault="007C682A" w:rsidP="00D109F7">
      <w:pPr>
        <w:pStyle w:val="Para"/>
        <w:spacing w:after="60" w:line="240" w:lineRule="atLeast"/>
        <w:rPr>
          <w:b/>
          <w:lang w:val="en-AU"/>
        </w:rPr>
      </w:pPr>
    </w:p>
    <w:p w14:paraId="59BED6A3" w14:textId="77777777" w:rsidR="007C682A" w:rsidRPr="00A6026E" w:rsidRDefault="007C682A" w:rsidP="00D109F7">
      <w:pPr>
        <w:pStyle w:val="Para"/>
        <w:spacing w:after="60" w:line="240" w:lineRule="atLeast"/>
        <w:rPr>
          <w:b/>
          <w:lang w:val="en-AU"/>
        </w:rPr>
      </w:pPr>
    </w:p>
    <w:p w14:paraId="093D0342" w14:textId="77777777" w:rsidR="00B6186D" w:rsidRPr="00A6026E" w:rsidRDefault="007C682A" w:rsidP="00D94827">
      <w:pPr>
        <w:pStyle w:val="Para"/>
        <w:spacing w:after="60" w:line="240" w:lineRule="atLeast"/>
        <w:jc w:val="center"/>
        <w:rPr>
          <w:b/>
          <w:u w:val="single"/>
          <w:lang w:val="en-AU"/>
        </w:rPr>
      </w:pPr>
      <w:r w:rsidRPr="00A6026E">
        <w:rPr>
          <w:b/>
          <w:lang w:val="en-AU"/>
        </w:rPr>
        <w:br w:type="page"/>
      </w:r>
      <w:r w:rsidR="00B6186D" w:rsidRPr="00A6026E">
        <w:rPr>
          <w:b/>
          <w:lang w:val="en-AU"/>
        </w:rPr>
        <w:lastRenderedPageBreak/>
        <w:t xml:space="preserve">Table </w:t>
      </w:r>
      <w:r w:rsidR="001A2002" w:rsidRPr="00A6026E">
        <w:rPr>
          <w:b/>
          <w:lang w:val="en-AU"/>
        </w:rPr>
        <w:t>5</w:t>
      </w:r>
      <w:r w:rsidR="00B6186D" w:rsidRPr="00A6026E">
        <w:rPr>
          <w:b/>
          <w:lang w:val="en-AU"/>
        </w:rPr>
        <w:t xml:space="preserve">.2.2.3: </w:t>
      </w:r>
      <w:r w:rsidR="00B6186D" w:rsidRPr="00A6026E">
        <w:rPr>
          <w:b/>
          <w:u w:val="single"/>
          <w:lang w:val="en-AU"/>
        </w:rPr>
        <w:t>Water Bill Charges  – Part 3</w:t>
      </w:r>
    </w:p>
    <w:p w14:paraId="04B2BEDE" w14:textId="77777777" w:rsidR="006271AB" w:rsidRPr="00A6026E" w:rsidRDefault="006271AB" w:rsidP="006271AB">
      <w:pPr>
        <w:pStyle w:val="Para"/>
        <w:spacing w:after="60" w:line="240" w:lineRule="atLeast"/>
        <w:rPr>
          <w:b/>
          <w:lang w:val="en-AU"/>
        </w:rPr>
      </w:pPr>
    </w:p>
    <w:tbl>
      <w:tblPr>
        <w:tblW w:w="15607" w:type="dxa"/>
        <w:tblLayout w:type="fixed"/>
        <w:tblLook w:val="04A0" w:firstRow="1" w:lastRow="0" w:firstColumn="1" w:lastColumn="0" w:noHBand="0" w:noVBand="1"/>
      </w:tblPr>
      <w:tblGrid>
        <w:gridCol w:w="1873"/>
        <w:gridCol w:w="808"/>
        <w:gridCol w:w="675"/>
        <w:gridCol w:w="808"/>
        <w:gridCol w:w="675"/>
        <w:gridCol w:w="808"/>
        <w:gridCol w:w="808"/>
        <w:gridCol w:w="808"/>
        <w:gridCol w:w="675"/>
        <w:gridCol w:w="808"/>
        <w:gridCol w:w="675"/>
        <w:gridCol w:w="808"/>
        <w:gridCol w:w="808"/>
        <w:gridCol w:w="808"/>
        <w:gridCol w:w="586"/>
        <w:gridCol w:w="808"/>
        <w:gridCol w:w="586"/>
        <w:gridCol w:w="904"/>
        <w:gridCol w:w="878"/>
      </w:tblGrid>
      <w:tr w:rsidR="009A17B5" w:rsidRPr="00A6026E" w14:paraId="6537E2E7" w14:textId="07069FDB" w:rsidTr="00A84800">
        <w:trPr>
          <w:trHeight w:val="495"/>
          <w:tblHeader/>
        </w:trPr>
        <w:tc>
          <w:tcPr>
            <w:tcW w:w="1873" w:type="dxa"/>
            <w:tcBorders>
              <w:top w:val="double" w:sz="6" w:space="0" w:color="auto"/>
              <w:left w:val="double" w:sz="6" w:space="0" w:color="auto"/>
              <w:bottom w:val="single" w:sz="4" w:space="0" w:color="BFBFBF"/>
              <w:right w:val="nil"/>
            </w:tcBorders>
            <w:shd w:val="clear" w:color="auto" w:fill="auto"/>
            <w:noWrap/>
            <w:vAlign w:val="center"/>
          </w:tcPr>
          <w:p w14:paraId="5850ED7D"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4582" w:type="dxa"/>
            <w:gridSpan w:val="6"/>
            <w:tcBorders>
              <w:top w:val="double" w:sz="6" w:space="0" w:color="auto"/>
              <w:left w:val="single" w:sz="4" w:space="0" w:color="auto"/>
              <w:bottom w:val="single" w:sz="4" w:space="0" w:color="BFBFBF"/>
              <w:right w:val="double" w:sz="6" w:space="0" w:color="000000"/>
            </w:tcBorders>
            <w:shd w:val="clear" w:color="auto" w:fill="auto"/>
            <w:vAlign w:val="center"/>
          </w:tcPr>
          <w:p w14:paraId="33B3C002"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Drainage &amp; Waterways Service Charge</w:t>
            </w:r>
            <w:r w:rsidRPr="00A6026E">
              <w:rPr>
                <w:rFonts w:ascii="Arial" w:hAnsi="Arial" w:cs="Arial"/>
                <w:b/>
                <w:bCs/>
                <w:color w:val="000000"/>
                <w:sz w:val="16"/>
                <w:szCs w:val="16"/>
                <w:lang w:val="en-AU" w:eastAsia="en-AU"/>
              </w:rPr>
              <w:br/>
              <w:t>(formerly Drainage Service Charge)</w:t>
            </w:r>
          </w:p>
        </w:tc>
        <w:tc>
          <w:tcPr>
            <w:tcW w:w="4582" w:type="dxa"/>
            <w:gridSpan w:val="6"/>
            <w:tcBorders>
              <w:top w:val="double" w:sz="6" w:space="0" w:color="auto"/>
              <w:left w:val="single" w:sz="4" w:space="0" w:color="auto"/>
              <w:bottom w:val="single" w:sz="4" w:space="0" w:color="BFBFBF"/>
              <w:right w:val="single" w:sz="4" w:space="0" w:color="000000"/>
            </w:tcBorders>
            <w:shd w:val="clear" w:color="auto" w:fill="auto"/>
            <w:noWrap/>
            <w:vAlign w:val="center"/>
          </w:tcPr>
          <w:p w14:paraId="11D9E046"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 xml:space="preserve">Parks </w:t>
            </w:r>
            <w:smartTag w:uri="urn:schemas-microsoft-com:office:smarttags" w:element="State">
              <w:smartTag w:uri="urn:schemas-microsoft-com:office:smarttags" w:element="place">
                <w:r w:rsidRPr="00A6026E">
                  <w:rPr>
                    <w:rFonts w:ascii="Arial" w:hAnsi="Arial" w:cs="Arial"/>
                    <w:b/>
                    <w:bCs/>
                    <w:color w:val="000000"/>
                    <w:sz w:val="16"/>
                    <w:szCs w:val="16"/>
                    <w:lang w:val="en-AU" w:eastAsia="en-AU"/>
                  </w:rPr>
                  <w:t>Victoria</w:t>
                </w:r>
              </w:smartTag>
            </w:smartTag>
            <w:r w:rsidRPr="00A6026E">
              <w:rPr>
                <w:rFonts w:ascii="Arial" w:hAnsi="Arial" w:cs="Arial"/>
                <w:b/>
                <w:bCs/>
                <w:color w:val="000000"/>
                <w:sz w:val="16"/>
                <w:szCs w:val="16"/>
                <w:lang w:val="en-AU" w:eastAsia="en-AU"/>
              </w:rPr>
              <w:t xml:space="preserve"> or Annual Parks Charge</w:t>
            </w:r>
          </w:p>
        </w:tc>
        <w:tc>
          <w:tcPr>
            <w:tcW w:w="2788" w:type="dxa"/>
            <w:gridSpan w:val="4"/>
            <w:tcBorders>
              <w:top w:val="double" w:sz="6" w:space="0" w:color="auto"/>
              <w:left w:val="nil"/>
              <w:bottom w:val="single" w:sz="4" w:space="0" w:color="BFBFBF"/>
              <w:right w:val="double" w:sz="6" w:space="0" w:color="000000"/>
            </w:tcBorders>
            <w:shd w:val="clear" w:color="auto" w:fill="auto"/>
            <w:noWrap/>
            <w:vAlign w:val="center"/>
          </w:tcPr>
          <w:p w14:paraId="6E7DA535"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Other Charges</w:t>
            </w:r>
          </w:p>
        </w:tc>
        <w:tc>
          <w:tcPr>
            <w:tcW w:w="1782" w:type="dxa"/>
            <w:gridSpan w:val="2"/>
            <w:tcBorders>
              <w:top w:val="double" w:sz="6" w:space="0" w:color="auto"/>
              <w:left w:val="nil"/>
              <w:bottom w:val="single" w:sz="4" w:space="0" w:color="BFBFBF"/>
              <w:right w:val="double" w:sz="6" w:space="0" w:color="000000"/>
            </w:tcBorders>
          </w:tcPr>
          <w:p w14:paraId="242F584C" w14:textId="20C33BF6" w:rsidR="009A17B5" w:rsidRPr="00A6026E" w:rsidRDefault="009A17B5" w:rsidP="00B6186D">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Total All Charges</w:t>
            </w:r>
          </w:p>
        </w:tc>
      </w:tr>
      <w:tr w:rsidR="009A17B5" w:rsidRPr="00A6026E" w14:paraId="0A8C081E" w14:textId="475B16E1" w:rsidTr="00A84800">
        <w:trPr>
          <w:trHeight w:val="225"/>
          <w:tblHeader/>
        </w:trPr>
        <w:tc>
          <w:tcPr>
            <w:tcW w:w="1873" w:type="dxa"/>
            <w:tcBorders>
              <w:top w:val="nil"/>
              <w:left w:val="double" w:sz="6" w:space="0" w:color="auto"/>
              <w:bottom w:val="single" w:sz="4" w:space="0" w:color="BFBFBF"/>
              <w:right w:val="nil"/>
            </w:tcBorders>
            <w:shd w:val="clear" w:color="auto" w:fill="auto"/>
            <w:noWrap/>
            <w:vAlign w:val="center"/>
          </w:tcPr>
          <w:p w14:paraId="2C08B37A"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1483" w:type="dxa"/>
            <w:gridSpan w:val="2"/>
            <w:tcBorders>
              <w:top w:val="single" w:sz="4" w:space="0" w:color="BFBFBF"/>
              <w:left w:val="single" w:sz="4" w:space="0" w:color="auto"/>
              <w:bottom w:val="single" w:sz="4" w:space="0" w:color="BFBFBF"/>
              <w:right w:val="single" w:sz="4" w:space="0" w:color="BFBFBF"/>
            </w:tcBorders>
            <w:shd w:val="clear" w:color="auto" w:fill="auto"/>
            <w:noWrap/>
            <w:vAlign w:val="bottom"/>
          </w:tcPr>
          <w:p w14:paraId="64DA16F3"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1483" w:type="dxa"/>
            <w:gridSpan w:val="2"/>
            <w:tcBorders>
              <w:top w:val="single" w:sz="4" w:space="0" w:color="BFBFBF"/>
              <w:left w:val="nil"/>
              <w:bottom w:val="single" w:sz="4" w:space="0" w:color="BFBFBF"/>
              <w:right w:val="single" w:sz="4" w:space="0" w:color="BFBFBF"/>
            </w:tcBorders>
            <w:shd w:val="clear" w:color="auto" w:fill="auto"/>
            <w:noWrap/>
            <w:vAlign w:val="center"/>
          </w:tcPr>
          <w:p w14:paraId="1DAF5AFF"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BFBFBF"/>
            </w:tcBorders>
            <w:shd w:val="clear" w:color="auto" w:fill="auto"/>
            <w:noWrap/>
            <w:vAlign w:val="center"/>
          </w:tcPr>
          <w:p w14:paraId="6B429FA2"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2001</w:t>
            </w:r>
          </w:p>
        </w:tc>
        <w:tc>
          <w:tcPr>
            <w:tcW w:w="808" w:type="dxa"/>
            <w:tcBorders>
              <w:top w:val="nil"/>
              <w:left w:val="nil"/>
              <w:bottom w:val="single" w:sz="4" w:space="0" w:color="BFBFBF"/>
              <w:right w:val="double" w:sz="6" w:space="0" w:color="auto"/>
            </w:tcBorders>
            <w:shd w:val="clear" w:color="auto" w:fill="auto"/>
            <w:noWrap/>
            <w:vAlign w:val="center"/>
          </w:tcPr>
          <w:p w14:paraId="75F2F020"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1996</w:t>
            </w:r>
          </w:p>
        </w:tc>
        <w:tc>
          <w:tcPr>
            <w:tcW w:w="1483" w:type="dxa"/>
            <w:gridSpan w:val="2"/>
            <w:tcBorders>
              <w:top w:val="single" w:sz="4" w:space="0" w:color="BFBFBF"/>
              <w:left w:val="single" w:sz="4" w:space="0" w:color="auto"/>
              <w:bottom w:val="single" w:sz="4" w:space="0" w:color="BFBFBF"/>
              <w:right w:val="single" w:sz="4" w:space="0" w:color="BFBFBF"/>
            </w:tcBorders>
            <w:shd w:val="clear" w:color="auto" w:fill="auto"/>
            <w:noWrap/>
            <w:vAlign w:val="bottom"/>
          </w:tcPr>
          <w:p w14:paraId="03F2F995"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1483" w:type="dxa"/>
            <w:gridSpan w:val="2"/>
            <w:tcBorders>
              <w:top w:val="single" w:sz="4" w:space="0" w:color="BFBFBF"/>
              <w:left w:val="nil"/>
              <w:bottom w:val="single" w:sz="4" w:space="0" w:color="BFBFBF"/>
              <w:right w:val="single" w:sz="4" w:space="0" w:color="BFBFBF"/>
            </w:tcBorders>
            <w:shd w:val="clear" w:color="auto" w:fill="auto"/>
            <w:noWrap/>
            <w:vAlign w:val="center"/>
          </w:tcPr>
          <w:p w14:paraId="1B5D89A5"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BFBFBF"/>
            </w:tcBorders>
            <w:shd w:val="clear" w:color="auto" w:fill="auto"/>
            <w:noWrap/>
            <w:vAlign w:val="center"/>
          </w:tcPr>
          <w:p w14:paraId="6E76417A"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2001</w:t>
            </w:r>
          </w:p>
        </w:tc>
        <w:tc>
          <w:tcPr>
            <w:tcW w:w="808" w:type="dxa"/>
            <w:tcBorders>
              <w:top w:val="nil"/>
              <w:left w:val="nil"/>
              <w:bottom w:val="single" w:sz="4" w:space="0" w:color="BFBFBF"/>
              <w:right w:val="single" w:sz="4" w:space="0" w:color="auto"/>
            </w:tcBorders>
            <w:shd w:val="clear" w:color="auto" w:fill="auto"/>
            <w:noWrap/>
            <w:vAlign w:val="center"/>
          </w:tcPr>
          <w:p w14:paraId="49BACA8C"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1996</w:t>
            </w:r>
          </w:p>
        </w:tc>
        <w:tc>
          <w:tcPr>
            <w:tcW w:w="1394" w:type="dxa"/>
            <w:gridSpan w:val="2"/>
            <w:tcBorders>
              <w:top w:val="single" w:sz="4" w:space="0" w:color="BFBFBF"/>
              <w:left w:val="nil"/>
              <w:bottom w:val="single" w:sz="4" w:space="0" w:color="BFBFBF"/>
              <w:right w:val="single" w:sz="4" w:space="0" w:color="BFBFBF"/>
            </w:tcBorders>
            <w:shd w:val="clear" w:color="auto" w:fill="auto"/>
            <w:noWrap/>
            <w:vAlign w:val="bottom"/>
          </w:tcPr>
          <w:p w14:paraId="1DF945FC"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1394" w:type="dxa"/>
            <w:gridSpan w:val="2"/>
            <w:tcBorders>
              <w:top w:val="single" w:sz="4" w:space="0" w:color="BFBFBF"/>
              <w:left w:val="nil"/>
              <w:bottom w:val="single" w:sz="4" w:space="0" w:color="BFBFBF"/>
              <w:right w:val="double" w:sz="6" w:space="0" w:color="000000"/>
            </w:tcBorders>
            <w:shd w:val="clear" w:color="auto" w:fill="auto"/>
            <w:noWrap/>
            <w:vAlign w:val="center"/>
          </w:tcPr>
          <w:p w14:paraId="7EFEA850"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904" w:type="dxa"/>
            <w:tcBorders>
              <w:top w:val="single" w:sz="4" w:space="0" w:color="BFBFBF"/>
              <w:left w:val="nil"/>
              <w:bottom w:val="single" w:sz="4" w:space="0" w:color="A6A6A6" w:themeColor="background1" w:themeShade="A6"/>
              <w:right w:val="single" w:sz="4" w:space="0" w:color="A6A6A6" w:themeColor="background1" w:themeShade="A6"/>
            </w:tcBorders>
            <w:vAlign w:val="center"/>
          </w:tcPr>
          <w:p w14:paraId="51526251" w14:textId="0CE27B3E" w:rsidR="009A17B5" w:rsidRPr="00A6026E" w:rsidRDefault="009A17B5" w:rsidP="009A17B5">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2014</w:t>
            </w:r>
          </w:p>
        </w:tc>
        <w:tc>
          <w:tcPr>
            <w:tcW w:w="878" w:type="dxa"/>
            <w:tcBorders>
              <w:top w:val="single" w:sz="4" w:space="0" w:color="BFBFBF"/>
              <w:left w:val="single" w:sz="4" w:space="0" w:color="A6A6A6" w:themeColor="background1" w:themeShade="A6"/>
              <w:bottom w:val="single" w:sz="4" w:space="0" w:color="A6A6A6" w:themeColor="background1" w:themeShade="A6"/>
              <w:right w:val="double" w:sz="6" w:space="0" w:color="000000"/>
            </w:tcBorders>
            <w:vAlign w:val="center"/>
          </w:tcPr>
          <w:p w14:paraId="0C898338" w14:textId="679EB34B" w:rsidR="009A17B5" w:rsidRPr="00A6026E" w:rsidRDefault="009A17B5" w:rsidP="009A17B5">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2007</w:t>
            </w:r>
          </w:p>
        </w:tc>
      </w:tr>
      <w:tr w:rsidR="009A17B5" w:rsidRPr="00A6026E" w14:paraId="711D88C7" w14:textId="127BA7C8" w:rsidTr="00A84800">
        <w:trPr>
          <w:trHeight w:val="225"/>
          <w:tblHeader/>
        </w:trPr>
        <w:tc>
          <w:tcPr>
            <w:tcW w:w="1873" w:type="dxa"/>
            <w:tcBorders>
              <w:top w:val="nil"/>
              <w:left w:val="double" w:sz="6" w:space="0" w:color="auto"/>
              <w:bottom w:val="single" w:sz="4" w:space="0" w:color="BFBFBF"/>
              <w:right w:val="nil"/>
            </w:tcBorders>
            <w:shd w:val="clear" w:color="auto" w:fill="auto"/>
            <w:noWrap/>
            <w:vAlign w:val="center"/>
          </w:tcPr>
          <w:p w14:paraId="39200E89"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DDA7AFC"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61ACC786"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C6F3F70"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12E18AC6"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19594A9"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double" w:sz="6" w:space="0" w:color="auto"/>
            </w:tcBorders>
            <w:shd w:val="clear" w:color="auto" w:fill="auto"/>
            <w:noWrap/>
            <w:vAlign w:val="center"/>
          </w:tcPr>
          <w:p w14:paraId="12750338"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E093D82"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3389669D"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9326C54"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5E729D71"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E0EEA77" w14:textId="193E20B1" w:rsidR="009A17B5" w:rsidRPr="00A6026E" w:rsidRDefault="009A17B5" w:rsidP="00B6186D">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w:t>
            </w:r>
          </w:p>
        </w:tc>
        <w:tc>
          <w:tcPr>
            <w:tcW w:w="808" w:type="dxa"/>
            <w:tcBorders>
              <w:top w:val="nil"/>
              <w:left w:val="nil"/>
              <w:bottom w:val="single" w:sz="4" w:space="0" w:color="BFBFBF"/>
              <w:right w:val="single" w:sz="4" w:space="0" w:color="auto"/>
            </w:tcBorders>
            <w:shd w:val="clear" w:color="auto" w:fill="auto"/>
            <w:noWrap/>
            <w:vAlign w:val="center"/>
          </w:tcPr>
          <w:p w14:paraId="4D45BF15" w14:textId="5D4136B1" w:rsidR="009A17B5" w:rsidRPr="00A6026E" w:rsidRDefault="009A17B5" w:rsidP="00B6186D">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w:t>
            </w:r>
          </w:p>
        </w:tc>
        <w:tc>
          <w:tcPr>
            <w:tcW w:w="808" w:type="dxa"/>
            <w:tcBorders>
              <w:top w:val="nil"/>
              <w:left w:val="nil"/>
              <w:bottom w:val="single" w:sz="4" w:space="0" w:color="BFBFBF"/>
              <w:right w:val="single" w:sz="4" w:space="0" w:color="BFBFBF"/>
            </w:tcBorders>
            <w:shd w:val="clear" w:color="auto" w:fill="auto"/>
            <w:noWrap/>
            <w:vAlign w:val="center"/>
          </w:tcPr>
          <w:p w14:paraId="07C0592E"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7929F74D"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A012AA6"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586" w:type="dxa"/>
            <w:tcBorders>
              <w:top w:val="nil"/>
              <w:left w:val="nil"/>
              <w:bottom w:val="single" w:sz="4" w:space="0" w:color="BFBFBF"/>
              <w:right w:val="double" w:sz="6" w:space="0" w:color="auto"/>
            </w:tcBorders>
            <w:shd w:val="clear" w:color="auto" w:fill="auto"/>
            <w:noWrap/>
            <w:vAlign w:val="center"/>
          </w:tcPr>
          <w:p w14:paraId="79CE0EDF"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26BA141" w14:textId="6B9B2665" w:rsidR="009A17B5" w:rsidRPr="00A6026E" w:rsidRDefault="009A17B5" w:rsidP="009A17B5">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2CE04C1E" w14:textId="3A1CCF40" w:rsidR="009A17B5" w:rsidRPr="00A6026E" w:rsidRDefault="009A17B5" w:rsidP="009A17B5">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w:t>
            </w:r>
          </w:p>
        </w:tc>
      </w:tr>
      <w:tr w:rsidR="004B2028" w:rsidRPr="00A6026E" w14:paraId="696FCFEE" w14:textId="33D4F809" w:rsidTr="00A84800">
        <w:trPr>
          <w:trHeight w:val="225"/>
          <w:tblHeader/>
        </w:trPr>
        <w:tc>
          <w:tcPr>
            <w:tcW w:w="1873" w:type="dxa"/>
            <w:tcBorders>
              <w:top w:val="nil"/>
              <w:left w:val="double" w:sz="6" w:space="0" w:color="auto"/>
              <w:bottom w:val="single" w:sz="4" w:space="0" w:color="BFBFBF"/>
              <w:right w:val="nil"/>
            </w:tcBorders>
            <w:shd w:val="clear" w:color="auto" w:fill="auto"/>
            <w:noWrap/>
            <w:vAlign w:val="center"/>
          </w:tcPr>
          <w:p w14:paraId="15153F98" w14:textId="77777777" w:rsidR="004B2028" w:rsidRPr="00A6026E" w:rsidRDefault="004B2028"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Sub-group</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B356316"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n=1,681</w:t>
            </w:r>
          </w:p>
        </w:tc>
        <w:tc>
          <w:tcPr>
            <w:tcW w:w="675" w:type="dxa"/>
            <w:tcBorders>
              <w:top w:val="nil"/>
              <w:left w:val="nil"/>
              <w:bottom w:val="single" w:sz="4" w:space="0" w:color="BFBFBF"/>
              <w:right w:val="single" w:sz="4" w:space="0" w:color="BFBFBF"/>
            </w:tcBorders>
            <w:shd w:val="clear" w:color="auto" w:fill="auto"/>
            <w:noWrap/>
            <w:vAlign w:val="center"/>
          </w:tcPr>
          <w:p w14:paraId="7A273E05"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n=962</w:t>
            </w:r>
          </w:p>
        </w:tc>
        <w:tc>
          <w:tcPr>
            <w:tcW w:w="808" w:type="dxa"/>
            <w:tcBorders>
              <w:top w:val="nil"/>
              <w:left w:val="nil"/>
              <w:bottom w:val="single" w:sz="4" w:space="0" w:color="BFBFBF"/>
              <w:right w:val="single" w:sz="4" w:space="0" w:color="BFBFBF"/>
            </w:tcBorders>
            <w:shd w:val="clear" w:color="auto" w:fill="auto"/>
            <w:noWrap/>
            <w:vAlign w:val="center"/>
          </w:tcPr>
          <w:p w14:paraId="4E834FE9"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n=1,897</w:t>
            </w:r>
          </w:p>
        </w:tc>
        <w:tc>
          <w:tcPr>
            <w:tcW w:w="675" w:type="dxa"/>
            <w:tcBorders>
              <w:top w:val="nil"/>
              <w:left w:val="nil"/>
              <w:bottom w:val="single" w:sz="4" w:space="0" w:color="BFBFBF"/>
              <w:right w:val="single" w:sz="4" w:space="0" w:color="BFBFBF"/>
            </w:tcBorders>
            <w:shd w:val="clear" w:color="auto" w:fill="auto"/>
            <w:noWrap/>
            <w:vAlign w:val="center"/>
          </w:tcPr>
          <w:p w14:paraId="1E9D6E7F"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n=914</w:t>
            </w:r>
          </w:p>
        </w:tc>
        <w:tc>
          <w:tcPr>
            <w:tcW w:w="808" w:type="dxa"/>
            <w:tcBorders>
              <w:top w:val="nil"/>
              <w:left w:val="nil"/>
              <w:bottom w:val="single" w:sz="4" w:space="0" w:color="BFBFBF"/>
              <w:right w:val="single" w:sz="4" w:space="0" w:color="BFBFBF"/>
            </w:tcBorders>
            <w:shd w:val="clear" w:color="auto" w:fill="auto"/>
            <w:noWrap/>
            <w:vAlign w:val="center"/>
          </w:tcPr>
          <w:p w14:paraId="18A4B13E"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n=1,202</w:t>
            </w:r>
          </w:p>
        </w:tc>
        <w:tc>
          <w:tcPr>
            <w:tcW w:w="808" w:type="dxa"/>
            <w:tcBorders>
              <w:top w:val="nil"/>
              <w:left w:val="nil"/>
              <w:bottom w:val="single" w:sz="4" w:space="0" w:color="BFBFBF"/>
              <w:right w:val="double" w:sz="6" w:space="0" w:color="auto"/>
            </w:tcBorders>
            <w:shd w:val="clear" w:color="auto" w:fill="auto"/>
            <w:noWrap/>
            <w:vAlign w:val="center"/>
          </w:tcPr>
          <w:p w14:paraId="0130465C"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n=1,120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407D8B1"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n=1,681</w:t>
            </w:r>
          </w:p>
        </w:tc>
        <w:tc>
          <w:tcPr>
            <w:tcW w:w="675" w:type="dxa"/>
            <w:tcBorders>
              <w:top w:val="nil"/>
              <w:left w:val="nil"/>
              <w:bottom w:val="single" w:sz="4" w:space="0" w:color="BFBFBF"/>
              <w:right w:val="single" w:sz="4" w:space="0" w:color="BFBFBF"/>
            </w:tcBorders>
            <w:shd w:val="clear" w:color="auto" w:fill="auto"/>
            <w:noWrap/>
            <w:vAlign w:val="center"/>
          </w:tcPr>
          <w:p w14:paraId="2C10CAA8"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n=888</w:t>
            </w:r>
          </w:p>
        </w:tc>
        <w:tc>
          <w:tcPr>
            <w:tcW w:w="808" w:type="dxa"/>
            <w:tcBorders>
              <w:top w:val="nil"/>
              <w:left w:val="nil"/>
              <w:bottom w:val="single" w:sz="4" w:space="0" w:color="BFBFBF"/>
              <w:right w:val="single" w:sz="4" w:space="0" w:color="BFBFBF"/>
            </w:tcBorders>
            <w:shd w:val="clear" w:color="auto" w:fill="auto"/>
            <w:noWrap/>
            <w:vAlign w:val="center"/>
          </w:tcPr>
          <w:p w14:paraId="1B3B5188"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n=1,897</w:t>
            </w:r>
          </w:p>
        </w:tc>
        <w:tc>
          <w:tcPr>
            <w:tcW w:w="675" w:type="dxa"/>
            <w:tcBorders>
              <w:top w:val="nil"/>
              <w:left w:val="nil"/>
              <w:bottom w:val="single" w:sz="4" w:space="0" w:color="BFBFBF"/>
              <w:right w:val="single" w:sz="4" w:space="0" w:color="BFBFBF"/>
            </w:tcBorders>
            <w:shd w:val="clear" w:color="auto" w:fill="auto"/>
            <w:noWrap/>
            <w:vAlign w:val="center"/>
          </w:tcPr>
          <w:p w14:paraId="4DB39CF8"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n=959</w:t>
            </w:r>
          </w:p>
        </w:tc>
        <w:tc>
          <w:tcPr>
            <w:tcW w:w="808" w:type="dxa"/>
            <w:tcBorders>
              <w:top w:val="nil"/>
              <w:left w:val="nil"/>
              <w:bottom w:val="single" w:sz="4" w:space="0" w:color="BFBFBF"/>
              <w:right w:val="single" w:sz="4" w:space="0" w:color="BFBFBF"/>
            </w:tcBorders>
            <w:shd w:val="clear" w:color="auto" w:fill="auto"/>
            <w:noWrap/>
            <w:vAlign w:val="center"/>
          </w:tcPr>
          <w:p w14:paraId="7E99AE05" w14:textId="11CA67F5" w:rsidR="004B2028" w:rsidRPr="00A6026E" w:rsidRDefault="004B2028" w:rsidP="00B6186D">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n=1,249</w:t>
            </w:r>
          </w:p>
        </w:tc>
        <w:tc>
          <w:tcPr>
            <w:tcW w:w="808" w:type="dxa"/>
            <w:tcBorders>
              <w:top w:val="nil"/>
              <w:left w:val="nil"/>
              <w:bottom w:val="single" w:sz="4" w:space="0" w:color="BFBFBF"/>
              <w:right w:val="single" w:sz="4" w:space="0" w:color="auto"/>
            </w:tcBorders>
            <w:shd w:val="clear" w:color="auto" w:fill="auto"/>
            <w:noWrap/>
            <w:vAlign w:val="center"/>
          </w:tcPr>
          <w:p w14:paraId="68B5E8C1" w14:textId="116E39BA" w:rsidR="004B2028" w:rsidRPr="00A6026E" w:rsidRDefault="004B2028" w:rsidP="00B6186D">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n=1,075</w:t>
            </w:r>
          </w:p>
        </w:tc>
        <w:tc>
          <w:tcPr>
            <w:tcW w:w="808" w:type="dxa"/>
            <w:tcBorders>
              <w:top w:val="nil"/>
              <w:left w:val="nil"/>
              <w:bottom w:val="single" w:sz="4" w:space="0" w:color="BFBFBF"/>
              <w:right w:val="single" w:sz="4" w:space="0" w:color="BFBFBF"/>
            </w:tcBorders>
            <w:shd w:val="clear" w:color="auto" w:fill="auto"/>
            <w:noWrap/>
            <w:vAlign w:val="center"/>
          </w:tcPr>
          <w:p w14:paraId="25AF2688"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n=1,681</w:t>
            </w:r>
          </w:p>
        </w:tc>
        <w:tc>
          <w:tcPr>
            <w:tcW w:w="586" w:type="dxa"/>
            <w:tcBorders>
              <w:top w:val="nil"/>
              <w:left w:val="nil"/>
              <w:bottom w:val="single" w:sz="4" w:space="0" w:color="BFBFBF"/>
              <w:right w:val="single" w:sz="4" w:space="0" w:color="BFBFBF"/>
            </w:tcBorders>
            <w:shd w:val="clear" w:color="auto" w:fill="auto"/>
            <w:noWrap/>
            <w:vAlign w:val="center"/>
          </w:tcPr>
          <w:p w14:paraId="4B65F0E5"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n=17</w:t>
            </w:r>
          </w:p>
        </w:tc>
        <w:tc>
          <w:tcPr>
            <w:tcW w:w="808" w:type="dxa"/>
            <w:tcBorders>
              <w:top w:val="nil"/>
              <w:left w:val="nil"/>
              <w:bottom w:val="single" w:sz="4" w:space="0" w:color="BFBFBF"/>
              <w:right w:val="single" w:sz="4" w:space="0" w:color="BFBFBF"/>
            </w:tcBorders>
            <w:shd w:val="clear" w:color="auto" w:fill="auto"/>
            <w:noWrap/>
            <w:vAlign w:val="center"/>
          </w:tcPr>
          <w:p w14:paraId="20D75197"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n=1,897</w:t>
            </w:r>
          </w:p>
        </w:tc>
        <w:tc>
          <w:tcPr>
            <w:tcW w:w="586" w:type="dxa"/>
            <w:tcBorders>
              <w:top w:val="nil"/>
              <w:left w:val="nil"/>
              <w:bottom w:val="single" w:sz="4" w:space="0" w:color="BFBFBF"/>
              <w:right w:val="double" w:sz="6" w:space="0" w:color="auto"/>
            </w:tcBorders>
            <w:shd w:val="clear" w:color="auto" w:fill="auto"/>
            <w:noWrap/>
            <w:vAlign w:val="center"/>
          </w:tcPr>
          <w:p w14:paraId="7F61E3DF" w14:textId="77777777" w:rsidR="004B2028" w:rsidRPr="00A6026E" w:rsidRDefault="004B2028"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n=59</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951E9EC" w14:textId="581D19B9" w:rsidR="004B2028" w:rsidRPr="00A6026E" w:rsidRDefault="004B2028" w:rsidP="009A17B5">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n=1,681</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0C3C42A5" w14:textId="6F70B741" w:rsidR="004B2028" w:rsidRPr="00A6026E" w:rsidRDefault="004B2028" w:rsidP="009A17B5">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n=1,897</w:t>
            </w:r>
          </w:p>
        </w:tc>
      </w:tr>
      <w:tr w:rsidR="009A17B5" w:rsidRPr="00A6026E" w14:paraId="07A60305" w14:textId="7ED57174"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0188C949" w14:textId="77777777" w:rsidR="009A17B5" w:rsidRPr="00A6026E" w:rsidRDefault="009A17B5"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Region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79EB79A" w14:textId="77777777" w:rsidR="009A17B5" w:rsidRPr="00A6026E" w:rsidRDefault="009A17B5" w:rsidP="00B6186D">
            <w:pPr>
              <w:spacing w:before="0" w:after="0"/>
              <w:rPr>
                <w:rFonts w:ascii="Arial" w:hAnsi="Arial" w:cs="Arial"/>
                <w:color w:val="FF0000"/>
                <w:sz w:val="16"/>
                <w:szCs w:val="16"/>
                <w:lang w:val="en-AU" w:eastAsia="en-AU"/>
              </w:rPr>
            </w:pPr>
            <w:r w:rsidRPr="00A6026E">
              <w:rPr>
                <w:rFonts w:ascii="Arial" w:hAnsi="Arial" w:cs="Arial"/>
                <w:color w:val="FF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bottom"/>
          </w:tcPr>
          <w:p w14:paraId="1EF69718"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50F3461"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63596413"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7610A09"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60CAF301"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4D95164" w14:textId="77777777" w:rsidR="009A17B5" w:rsidRPr="00A6026E" w:rsidRDefault="009A17B5" w:rsidP="00B6186D">
            <w:pPr>
              <w:spacing w:before="0" w:after="0"/>
              <w:rPr>
                <w:rFonts w:ascii="Arial" w:hAnsi="Arial" w:cs="Arial"/>
                <w:color w:val="FF0000"/>
                <w:sz w:val="16"/>
                <w:szCs w:val="16"/>
                <w:lang w:val="en-AU" w:eastAsia="en-AU"/>
              </w:rPr>
            </w:pPr>
            <w:r w:rsidRPr="00A6026E">
              <w:rPr>
                <w:rFonts w:ascii="Arial" w:hAnsi="Arial" w:cs="Arial"/>
                <w:color w:val="FF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bottom"/>
          </w:tcPr>
          <w:p w14:paraId="001455FA"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73319D5"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6E72DB31"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474FD3F9" w14:textId="46752126" w:rsidR="009A17B5" w:rsidRPr="00A6026E" w:rsidRDefault="009A17B5" w:rsidP="00B6186D">
            <w:pPr>
              <w:spacing w:before="0" w:after="0"/>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single" w:sz="4" w:space="0" w:color="auto"/>
            </w:tcBorders>
            <w:shd w:val="clear" w:color="auto" w:fill="auto"/>
            <w:noWrap/>
            <w:vAlign w:val="center"/>
          </w:tcPr>
          <w:p w14:paraId="5C83C3F5" w14:textId="1D75E0FE" w:rsidR="009A17B5" w:rsidRPr="00A6026E" w:rsidRDefault="009A17B5" w:rsidP="00B6186D">
            <w:pPr>
              <w:spacing w:before="0" w:after="0"/>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single" w:sz="4" w:space="0" w:color="BFBFBF"/>
            </w:tcBorders>
            <w:shd w:val="clear" w:color="auto" w:fill="auto"/>
            <w:noWrap/>
            <w:vAlign w:val="bottom"/>
          </w:tcPr>
          <w:p w14:paraId="4601794D" w14:textId="77777777" w:rsidR="009A17B5" w:rsidRPr="00A6026E" w:rsidRDefault="009A17B5" w:rsidP="00B6186D">
            <w:pPr>
              <w:spacing w:before="0" w:after="0"/>
              <w:rPr>
                <w:rFonts w:ascii="Arial" w:hAnsi="Arial" w:cs="Arial"/>
                <w:color w:val="FF0000"/>
                <w:sz w:val="16"/>
                <w:szCs w:val="16"/>
                <w:lang w:val="en-AU" w:eastAsia="en-AU"/>
              </w:rPr>
            </w:pPr>
            <w:r w:rsidRPr="00A6026E">
              <w:rPr>
                <w:rFonts w:ascii="Arial" w:hAnsi="Arial" w:cs="Arial"/>
                <w:color w:val="FF0000"/>
                <w:sz w:val="16"/>
                <w:szCs w:val="16"/>
                <w:lang w:val="en-AU" w:eastAsia="en-AU"/>
              </w:rPr>
              <w:t> </w:t>
            </w:r>
          </w:p>
        </w:tc>
        <w:tc>
          <w:tcPr>
            <w:tcW w:w="586" w:type="dxa"/>
            <w:tcBorders>
              <w:top w:val="nil"/>
              <w:left w:val="nil"/>
              <w:bottom w:val="single" w:sz="4" w:space="0" w:color="BFBFBF"/>
              <w:right w:val="single" w:sz="4" w:space="0" w:color="BFBFBF"/>
            </w:tcBorders>
            <w:shd w:val="clear" w:color="auto" w:fill="auto"/>
            <w:noWrap/>
            <w:vAlign w:val="bottom"/>
          </w:tcPr>
          <w:p w14:paraId="41975D02"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6D7EDFD"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top w:val="nil"/>
              <w:left w:val="nil"/>
              <w:bottom w:val="single" w:sz="4" w:space="0" w:color="BFBFBF"/>
              <w:right w:val="double" w:sz="6" w:space="0" w:color="auto"/>
            </w:tcBorders>
            <w:shd w:val="clear" w:color="auto" w:fill="auto"/>
            <w:noWrap/>
            <w:vAlign w:val="center"/>
          </w:tcPr>
          <w:p w14:paraId="04D20211" w14:textId="77777777" w:rsidR="009A17B5" w:rsidRPr="00A6026E" w:rsidRDefault="009A17B5" w:rsidP="00B6186D">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2AA81A7" w14:textId="77777777" w:rsidR="009A17B5" w:rsidRPr="00A6026E" w:rsidRDefault="009A17B5" w:rsidP="009A17B5">
            <w:pPr>
              <w:spacing w:before="0" w:after="0"/>
              <w:jc w:val="center"/>
              <w:rPr>
                <w:rFonts w:ascii="Arial" w:hAnsi="Arial" w:cs="Arial"/>
                <w:color w:val="000000"/>
                <w:sz w:val="16"/>
                <w:szCs w:val="16"/>
                <w:lang w:val="en-AU" w:eastAsia="en-AU"/>
              </w:rPr>
            </w:pP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D6E7436" w14:textId="77777777" w:rsidR="009A17B5" w:rsidRPr="00A6026E" w:rsidRDefault="009A17B5" w:rsidP="009A17B5">
            <w:pPr>
              <w:spacing w:before="0" w:after="0"/>
              <w:jc w:val="center"/>
              <w:rPr>
                <w:rFonts w:ascii="Arial" w:hAnsi="Arial" w:cs="Arial"/>
                <w:color w:val="000000"/>
                <w:sz w:val="16"/>
                <w:szCs w:val="16"/>
                <w:lang w:val="en-AU" w:eastAsia="en-AU"/>
              </w:rPr>
            </w:pPr>
          </w:p>
        </w:tc>
      </w:tr>
      <w:tr w:rsidR="004B2028" w:rsidRPr="00A6026E" w14:paraId="44C98E51" w14:textId="716D2C3B"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06CE9D2E"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Melbourne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F709054"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675" w:type="dxa"/>
            <w:tcBorders>
              <w:top w:val="nil"/>
              <w:left w:val="nil"/>
              <w:bottom w:val="single" w:sz="4" w:space="0" w:color="BFBFBF"/>
              <w:right w:val="single" w:sz="4" w:space="0" w:color="BFBFBF"/>
            </w:tcBorders>
            <w:shd w:val="clear" w:color="auto" w:fill="auto"/>
            <w:noWrap/>
            <w:vAlign w:val="center"/>
          </w:tcPr>
          <w:p w14:paraId="5C5DBD35"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13307A2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81%</w:t>
            </w:r>
          </w:p>
        </w:tc>
        <w:tc>
          <w:tcPr>
            <w:tcW w:w="675" w:type="dxa"/>
            <w:tcBorders>
              <w:top w:val="nil"/>
              <w:left w:val="nil"/>
              <w:bottom w:val="single" w:sz="4" w:space="0" w:color="BFBFBF"/>
              <w:right w:val="single" w:sz="4" w:space="0" w:color="BFBFBF"/>
            </w:tcBorders>
            <w:shd w:val="clear" w:color="auto" w:fill="auto"/>
            <w:noWrap/>
            <w:vAlign w:val="center"/>
          </w:tcPr>
          <w:p w14:paraId="45CB63E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BFBFBF"/>
            </w:tcBorders>
            <w:shd w:val="clear" w:color="auto" w:fill="auto"/>
            <w:noWrap/>
            <w:vAlign w:val="center"/>
          </w:tcPr>
          <w:p w14:paraId="26C4ECD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w:t>
            </w:r>
          </w:p>
        </w:tc>
        <w:tc>
          <w:tcPr>
            <w:tcW w:w="808" w:type="dxa"/>
            <w:tcBorders>
              <w:top w:val="nil"/>
              <w:left w:val="nil"/>
              <w:bottom w:val="single" w:sz="4" w:space="0" w:color="BFBFBF"/>
              <w:right w:val="double" w:sz="6" w:space="0" w:color="auto"/>
            </w:tcBorders>
            <w:shd w:val="clear" w:color="auto" w:fill="auto"/>
            <w:noWrap/>
            <w:vAlign w:val="center"/>
          </w:tcPr>
          <w:p w14:paraId="6BBFA07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17CE32E"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79%</w:t>
            </w:r>
          </w:p>
        </w:tc>
        <w:tc>
          <w:tcPr>
            <w:tcW w:w="675" w:type="dxa"/>
            <w:tcBorders>
              <w:top w:val="nil"/>
              <w:left w:val="nil"/>
              <w:bottom w:val="single" w:sz="4" w:space="0" w:color="BFBFBF"/>
              <w:right w:val="single" w:sz="4" w:space="0" w:color="BFBFBF"/>
            </w:tcBorders>
            <w:shd w:val="clear" w:color="auto" w:fill="auto"/>
            <w:noWrap/>
            <w:vAlign w:val="center"/>
          </w:tcPr>
          <w:p w14:paraId="1F243AA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72</w:t>
            </w:r>
          </w:p>
        </w:tc>
        <w:tc>
          <w:tcPr>
            <w:tcW w:w="808" w:type="dxa"/>
            <w:tcBorders>
              <w:top w:val="nil"/>
              <w:left w:val="nil"/>
              <w:bottom w:val="single" w:sz="4" w:space="0" w:color="BFBFBF"/>
              <w:right w:val="single" w:sz="4" w:space="0" w:color="BFBFBF"/>
            </w:tcBorders>
            <w:shd w:val="clear" w:color="auto" w:fill="auto"/>
            <w:noWrap/>
            <w:vAlign w:val="center"/>
          </w:tcPr>
          <w:p w14:paraId="4BEAAB1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675" w:type="dxa"/>
            <w:tcBorders>
              <w:top w:val="nil"/>
              <w:left w:val="nil"/>
              <w:bottom w:val="single" w:sz="4" w:space="0" w:color="BFBFBF"/>
              <w:right w:val="single" w:sz="4" w:space="0" w:color="BFBFBF"/>
            </w:tcBorders>
            <w:shd w:val="clear" w:color="auto" w:fill="auto"/>
            <w:noWrap/>
            <w:vAlign w:val="center"/>
          </w:tcPr>
          <w:p w14:paraId="04B2D22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59</w:t>
            </w:r>
          </w:p>
        </w:tc>
        <w:tc>
          <w:tcPr>
            <w:tcW w:w="808" w:type="dxa"/>
            <w:tcBorders>
              <w:top w:val="nil"/>
              <w:left w:val="nil"/>
              <w:bottom w:val="single" w:sz="4" w:space="0" w:color="BFBFBF"/>
              <w:right w:val="single" w:sz="4" w:space="0" w:color="BFBFBF"/>
            </w:tcBorders>
            <w:shd w:val="clear" w:color="auto" w:fill="auto"/>
            <w:noWrap/>
            <w:vAlign w:val="center"/>
          </w:tcPr>
          <w:p w14:paraId="5B34BD24" w14:textId="010A309B"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37</w:t>
            </w:r>
          </w:p>
        </w:tc>
        <w:tc>
          <w:tcPr>
            <w:tcW w:w="808" w:type="dxa"/>
            <w:tcBorders>
              <w:top w:val="nil"/>
              <w:left w:val="nil"/>
              <w:bottom w:val="single" w:sz="4" w:space="0" w:color="BFBFBF"/>
              <w:right w:val="single" w:sz="4" w:space="0" w:color="auto"/>
            </w:tcBorders>
            <w:shd w:val="clear" w:color="auto" w:fill="auto"/>
            <w:noWrap/>
            <w:vAlign w:val="center"/>
          </w:tcPr>
          <w:p w14:paraId="1148F6E8" w14:textId="703DB790"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43</w:t>
            </w:r>
          </w:p>
        </w:tc>
        <w:tc>
          <w:tcPr>
            <w:tcW w:w="808" w:type="dxa"/>
            <w:tcBorders>
              <w:top w:val="nil"/>
              <w:left w:val="nil"/>
              <w:bottom w:val="single" w:sz="4" w:space="0" w:color="BFBFBF"/>
              <w:right w:val="single" w:sz="4" w:space="0" w:color="BFBFBF"/>
            </w:tcBorders>
            <w:shd w:val="clear" w:color="auto" w:fill="auto"/>
            <w:noWrap/>
            <w:vAlign w:val="center"/>
          </w:tcPr>
          <w:p w14:paraId="3734DA2E"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01A2DD8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140</w:t>
            </w:r>
          </w:p>
        </w:tc>
        <w:tc>
          <w:tcPr>
            <w:tcW w:w="808" w:type="dxa"/>
            <w:tcBorders>
              <w:top w:val="nil"/>
              <w:left w:val="nil"/>
              <w:bottom w:val="single" w:sz="4" w:space="0" w:color="BFBFBF"/>
              <w:right w:val="single" w:sz="4" w:space="0" w:color="BFBFBF"/>
            </w:tcBorders>
            <w:shd w:val="clear" w:color="auto" w:fill="auto"/>
            <w:noWrap/>
            <w:vAlign w:val="center"/>
          </w:tcPr>
          <w:p w14:paraId="601903B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586" w:type="dxa"/>
            <w:tcBorders>
              <w:top w:val="nil"/>
              <w:left w:val="nil"/>
              <w:bottom w:val="single" w:sz="4" w:space="0" w:color="BFBFBF"/>
              <w:right w:val="double" w:sz="6" w:space="0" w:color="auto"/>
            </w:tcBorders>
            <w:shd w:val="clear" w:color="auto" w:fill="auto"/>
            <w:noWrap/>
            <w:vAlign w:val="center"/>
          </w:tcPr>
          <w:p w14:paraId="3AB1745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36F25A9" w14:textId="189865B6"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1,107</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0446D3DD" w14:textId="792A69E6"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571</w:t>
            </w:r>
          </w:p>
        </w:tc>
      </w:tr>
      <w:tr w:rsidR="004B2028" w:rsidRPr="00A6026E" w14:paraId="0799F8BE" w14:textId="2C3A85A6"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0365894E"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Country VIC</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9511A93"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w:t>
            </w:r>
          </w:p>
        </w:tc>
        <w:tc>
          <w:tcPr>
            <w:tcW w:w="675" w:type="dxa"/>
            <w:tcBorders>
              <w:top w:val="nil"/>
              <w:left w:val="nil"/>
              <w:bottom w:val="single" w:sz="4" w:space="0" w:color="BFBFBF"/>
              <w:right w:val="single" w:sz="4" w:space="0" w:color="BFBFBF"/>
            </w:tcBorders>
            <w:shd w:val="clear" w:color="auto" w:fill="auto"/>
            <w:noWrap/>
            <w:vAlign w:val="center"/>
          </w:tcPr>
          <w:p w14:paraId="67755DCE"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70</w:t>
            </w:r>
          </w:p>
        </w:tc>
        <w:tc>
          <w:tcPr>
            <w:tcW w:w="808" w:type="dxa"/>
            <w:tcBorders>
              <w:top w:val="nil"/>
              <w:left w:val="nil"/>
              <w:bottom w:val="single" w:sz="4" w:space="0" w:color="BFBFBF"/>
              <w:right w:val="single" w:sz="4" w:space="0" w:color="BFBFBF"/>
            </w:tcBorders>
            <w:shd w:val="clear" w:color="auto" w:fill="auto"/>
            <w:noWrap/>
            <w:vAlign w:val="center"/>
          </w:tcPr>
          <w:p w14:paraId="1C9C90F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3D720123"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60</w:t>
            </w:r>
          </w:p>
        </w:tc>
        <w:tc>
          <w:tcPr>
            <w:tcW w:w="808" w:type="dxa"/>
            <w:tcBorders>
              <w:top w:val="nil"/>
              <w:left w:val="nil"/>
              <w:bottom w:val="single" w:sz="4" w:space="0" w:color="BFBFBF"/>
              <w:right w:val="single" w:sz="4" w:space="0" w:color="BFBFBF"/>
            </w:tcBorders>
            <w:shd w:val="clear" w:color="auto" w:fill="auto"/>
            <w:noWrap/>
            <w:vAlign w:val="center"/>
          </w:tcPr>
          <w:p w14:paraId="59A2786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42</w:t>
            </w:r>
          </w:p>
        </w:tc>
        <w:tc>
          <w:tcPr>
            <w:tcW w:w="808" w:type="dxa"/>
            <w:tcBorders>
              <w:top w:val="nil"/>
              <w:left w:val="nil"/>
              <w:bottom w:val="single" w:sz="4" w:space="0" w:color="BFBFBF"/>
              <w:right w:val="double" w:sz="6" w:space="0" w:color="auto"/>
            </w:tcBorders>
            <w:shd w:val="clear" w:color="auto" w:fill="auto"/>
            <w:noWrap/>
            <w:vAlign w:val="center"/>
          </w:tcPr>
          <w:p w14:paraId="48F1D558"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0926737"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675" w:type="dxa"/>
            <w:tcBorders>
              <w:top w:val="nil"/>
              <w:left w:val="nil"/>
              <w:bottom w:val="single" w:sz="4" w:space="0" w:color="BFBFBF"/>
              <w:right w:val="single" w:sz="4" w:space="0" w:color="BFBFBF"/>
            </w:tcBorders>
            <w:shd w:val="clear" w:color="auto" w:fill="auto"/>
            <w:noWrap/>
            <w:vAlign w:val="center"/>
          </w:tcPr>
          <w:p w14:paraId="0B8E5F15"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w:t>
            </w:r>
          </w:p>
        </w:tc>
        <w:tc>
          <w:tcPr>
            <w:tcW w:w="808" w:type="dxa"/>
            <w:tcBorders>
              <w:top w:val="nil"/>
              <w:left w:val="nil"/>
              <w:bottom w:val="single" w:sz="4" w:space="0" w:color="BFBFBF"/>
              <w:right w:val="single" w:sz="4" w:space="0" w:color="BFBFBF"/>
            </w:tcBorders>
            <w:shd w:val="clear" w:color="auto" w:fill="auto"/>
            <w:noWrap/>
            <w:vAlign w:val="center"/>
          </w:tcPr>
          <w:p w14:paraId="6FE261A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5AC90B69"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DC7A52A" w14:textId="52D345B7"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26</w:t>
            </w:r>
          </w:p>
        </w:tc>
        <w:tc>
          <w:tcPr>
            <w:tcW w:w="808" w:type="dxa"/>
            <w:tcBorders>
              <w:top w:val="nil"/>
              <w:left w:val="nil"/>
              <w:bottom w:val="single" w:sz="4" w:space="0" w:color="BFBFBF"/>
              <w:right w:val="single" w:sz="4" w:space="0" w:color="auto"/>
            </w:tcBorders>
            <w:shd w:val="clear" w:color="auto" w:fill="auto"/>
            <w:noWrap/>
            <w:vAlign w:val="center"/>
          </w:tcPr>
          <w:p w14:paraId="1F183D49" w14:textId="720FFE04"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41</w:t>
            </w:r>
          </w:p>
        </w:tc>
        <w:tc>
          <w:tcPr>
            <w:tcW w:w="808" w:type="dxa"/>
            <w:tcBorders>
              <w:top w:val="nil"/>
              <w:left w:val="nil"/>
              <w:bottom w:val="single" w:sz="4" w:space="0" w:color="BFBFBF"/>
              <w:right w:val="single" w:sz="4" w:space="0" w:color="BFBFBF"/>
            </w:tcBorders>
            <w:shd w:val="clear" w:color="auto" w:fill="auto"/>
            <w:noWrap/>
            <w:vAlign w:val="center"/>
          </w:tcPr>
          <w:p w14:paraId="7FF3EB43"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586" w:type="dxa"/>
            <w:tcBorders>
              <w:top w:val="nil"/>
              <w:left w:val="nil"/>
              <w:bottom w:val="single" w:sz="4" w:space="0" w:color="BFBFBF"/>
              <w:right w:val="single" w:sz="4" w:space="0" w:color="BFBFBF"/>
            </w:tcBorders>
            <w:shd w:val="clear" w:color="auto" w:fill="auto"/>
            <w:noWrap/>
            <w:vAlign w:val="center"/>
          </w:tcPr>
          <w:p w14:paraId="4B95700F"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101</w:t>
            </w:r>
          </w:p>
        </w:tc>
        <w:tc>
          <w:tcPr>
            <w:tcW w:w="808" w:type="dxa"/>
            <w:tcBorders>
              <w:top w:val="nil"/>
              <w:left w:val="nil"/>
              <w:bottom w:val="single" w:sz="4" w:space="0" w:color="BFBFBF"/>
              <w:right w:val="single" w:sz="4" w:space="0" w:color="BFBFBF"/>
            </w:tcBorders>
            <w:shd w:val="clear" w:color="auto" w:fill="auto"/>
            <w:noWrap/>
            <w:vAlign w:val="center"/>
          </w:tcPr>
          <w:p w14:paraId="3EF8E011"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586" w:type="dxa"/>
            <w:tcBorders>
              <w:top w:val="nil"/>
              <w:left w:val="nil"/>
              <w:bottom w:val="single" w:sz="4" w:space="0" w:color="BFBFBF"/>
              <w:right w:val="double" w:sz="6" w:space="0" w:color="auto"/>
            </w:tcBorders>
            <w:shd w:val="clear" w:color="auto" w:fill="auto"/>
            <w:noWrap/>
            <w:vAlign w:val="center"/>
          </w:tcPr>
          <w:p w14:paraId="6CB8C63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DC15AC6" w14:textId="6B2D88F9"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962</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C260C44" w14:textId="4CECB25D"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559</w:t>
            </w:r>
          </w:p>
        </w:tc>
      </w:tr>
      <w:tr w:rsidR="004B2028" w:rsidRPr="00A6026E" w14:paraId="39DCC6D0" w14:textId="3AB17A2D"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38E837C3" w14:textId="659C298E" w:rsidR="004B2028" w:rsidRPr="00A6026E" w:rsidRDefault="004B2028" w:rsidP="00B6186D">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Pr="00A6026E">
              <w:rPr>
                <w:rFonts w:ascii="Arial" w:hAnsi="Arial" w:cs="Arial"/>
                <w:color w:val="000000"/>
                <w:sz w:val="16"/>
                <w:szCs w:val="16"/>
                <w:lang w:val="en-AU" w:eastAsia="en-AU"/>
              </w:rPr>
              <w:t>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FB00A28"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21%</w:t>
            </w:r>
          </w:p>
        </w:tc>
        <w:tc>
          <w:tcPr>
            <w:tcW w:w="675" w:type="dxa"/>
            <w:tcBorders>
              <w:top w:val="nil"/>
              <w:left w:val="nil"/>
              <w:bottom w:val="single" w:sz="4" w:space="0" w:color="BFBFBF"/>
              <w:right w:val="single" w:sz="4" w:space="0" w:color="BFBFBF"/>
            </w:tcBorders>
            <w:shd w:val="clear" w:color="auto" w:fill="auto"/>
            <w:noWrap/>
            <w:vAlign w:val="center"/>
          </w:tcPr>
          <w:p w14:paraId="5F8283F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808" w:type="dxa"/>
            <w:tcBorders>
              <w:top w:val="nil"/>
              <w:left w:val="nil"/>
              <w:bottom w:val="single" w:sz="4" w:space="0" w:color="BFBFBF"/>
              <w:right w:val="single" w:sz="4" w:space="0" w:color="BFBFBF"/>
            </w:tcBorders>
            <w:shd w:val="clear" w:color="auto" w:fill="auto"/>
            <w:noWrap/>
            <w:vAlign w:val="center"/>
          </w:tcPr>
          <w:p w14:paraId="2D0D4FA2"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72B4B677"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19C8F16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CE21E7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9B876F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w:t>
            </w:r>
          </w:p>
        </w:tc>
        <w:tc>
          <w:tcPr>
            <w:tcW w:w="675" w:type="dxa"/>
            <w:tcBorders>
              <w:top w:val="nil"/>
              <w:left w:val="nil"/>
              <w:bottom w:val="single" w:sz="4" w:space="0" w:color="BFBFBF"/>
              <w:right w:val="single" w:sz="4" w:space="0" w:color="BFBFBF"/>
            </w:tcBorders>
            <w:shd w:val="clear" w:color="auto" w:fill="auto"/>
            <w:noWrap/>
            <w:vAlign w:val="center"/>
          </w:tcPr>
          <w:p w14:paraId="54B93F4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61BDFE5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50D3C84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7B7B9EA" w14:textId="511236AC"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0E642997" w14:textId="1AC33D05"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339C48B1"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w:t>
            </w:r>
          </w:p>
        </w:tc>
        <w:tc>
          <w:tcPr>
            <w:tcW w:w="586" w:type="dxa"/>
            <w:tcBorders>
              <w:top w:val="nil"/>
              <w:left w:val="nil"/>
              <w:bottom w:val="single" w:sz="4" w:space="0" w:color="BFBFBF"/>
              <w:right w:val="single" w:sz="4" w:space="0" w:color="BFBFBF"/>
            </w:tcBorders>
            <w:shd w:val="clear" w:color="auto" w:fill="auto"/>
            <w:noWrap/>
            <w:vAlign w:val="center"/>
          </w:tcPr>
          <w:p w14:paraId="0D9D890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BFBFBF"/>
            </w:tcBorders>
            <w:shd w:val="clear" w:color="auto" w:fill="auto"/>
            <w:noWrap/>
            <w:vAlign w:val="center"/>
          </w:tcPr>
          <w:p w14:paraId="6F9F1D32"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w:t>
            </w:r>
          </w:p>
        </w:tc>
        <w:tc>
          <w:tcPr>
            <w:tcW w:w="586" w:type="dxa"/>
            <w:tcBorders>
              <w:top w:val="nil"/>
              <w:left w:val="nil"/>
              <w:bottom w:val="single" w:sz="4" w:space="0" w:color="BFBFBF"/>
              <w:right w:val="double" w:sz="6" w:space="0" w:color="auto"/>
            </w:tcBorders>
            <w:shd w:val="clear" w:color="auto" w:fill="auto"/>
            <w:noWrap/>
            <w:vAlign w:val="center"/>
          </w:tcPr>
          <w:p w14:paraId="462FFBD4"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31</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81E5A76" w14:textId="2F838802"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886</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45A8D249" w14:textId="64056F9E"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596</w:t>
            </w:r>
          </w:p>
        </w:tc>
      </w:tr>
      <w:tr w:rsidR="004B2028" w:rsidRPr="00A6026E" w14:paraId="4B111370" w14:textId="78980E5C"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65C3E863" w14:textId="77777777" w:rsidR="004B2028" w:rsidRPr="00A6026E" w:rsidRDefault="004B2028"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DHHS Area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7B6FB1A"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31CBE5D2"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763C66C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bottom"/>
          </w:tcPr>
          <w:p w14:paraId="0640CB8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7ECD841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bottom"/>
          </w:tcPr>
          <w:p w14:paraId="2D52269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39FA24F"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5E228BA9"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6E54BFD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bottom"/>
          </w:tcPr>
          <w:p w14:paraId="4451699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024C7357" w14:textId="1ADBFE57"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single" w:sz="4" w:space="0" w:color="auto"/>
            </w:tcBorders>
            <w:shd w:val="clear" w:color="auto" w:fill="auto"/>
            <w:noWrap/>
            <w:vAlign w:val="bottom"/>
          </w:tcPr>
          <w:p w14:paraId="49F18DE6" w14:textId="4A251DE0"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nil"/>
              <w:bottom w:val="single" w:sz="4" w:space="0" w:color="BFBFBF"/>
              <w:right w:val="single" w:sz="4" w:space="0" w:color="BFBFBF"/>
            </w:tcBorders>
            <w:shd w:val="clear" w:color="auto" w:fill="auto"/>
            <w:noWrap/>
            <w:vAlign w:val="center"/>
          </w:tcPr>
          <w:p w14:paraId="52DD7A5C"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top w:val="nil"/>
              <w:left w:val="nil"/>
              <w:bottom w:val="single" w:sz="4" w:space="0" w:color="BFBFBF"/>
              <w:right w:val="single" w:sz="4" w:space="0" w:color="BFBFBF"/>
            </w:tcBorders>
            <w:shd w:val="clear" w:color="auto" w:fill="auto"/>
            <w:noWrap/>
            <w:vAlign w:val="center"/>
          </w:tcPr>
          <w:p w14:paraId="15AC090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03E3BAE0"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top w:val="nil"/>
              <w:left w:val="nil"/>
              <w:bottom w:val="single" w:sz="4" w:space="0" w:color="BFBFBF"/>
              <w:right w:val="double" w:sz="6" w:space="0" w:color="auto"/>
            </w:tcBorders>
            <w:shd w:val="clear" w:color="auto" w:fill="auto"/>
            <w:noWrap/>
            <w:vAlign w:val="bottom"/>
          </w:tcPr>
          <w:p w14:paraId="5284C89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83DCB64" w14:textId="2EE01430" w:rsidR="004B2028" w:rsidRPr="00A6026E" w:rsidRDefault="004B2028" w:rsidP="009A17B5">
            <w:pPr>
              <w:spacing w:before="0" w:after="0"/>
              <w:jc w:val="center"/>
              <w:rPr>
                <w:rFonts w:ascii="Arial" w:hAnsi="Arial" w:cs="Arial"/>
                <w:color w:val="000000"/>
                <w:sz w:val="16"/>
                <w:szCs w:val="16"/>
                <w:lang w:val="en-AU" w:eastAsia="en-AU"/>
              </w:rPr>
            </w:pP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7C6BE970" w14:textId="657330EE" w:rsidR="004B2028" w:rsidRPr="00A6026E" w:rsidRDefault="004B2028" w:rsidP="009A17B5">
            <w:pPr>
              <w:spacing w:before="0" w:after="0"/>
              <w:jc w:val="center"/>
              <w:rPr>
                <w:rFonts w:ascii="Arial" w:hAnsi="Arial" w:cs="Arial"/>
                <w:color w:val="000000"/>
                <w:sz w:val="16"/>
                <w:szCs w:val="16"/>
                <w:lang w:val="en-AU" w:eastAsia="en-AU"/>
              </w:rPr>
            </w:pPr>
          </w:p>
        </w:tc>
      </w:tr>
      <w:tr w:rsidR="004B2028" w:rsidRPr="00A6026E" w14:paraId="509FF7CB" w14:textId="52E75E01"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692398CF"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Hume Moreland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5AA375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78%</w:t>
            </w:r>
          </w:p>
        </w:tc>
        <w:tc>
          <w:tcPr>
            <w:tcW w:w="675" w:type="dxa"/>
            <w:tcBorders>
              <w:top w:val="nil"/>
              <w:left w:val="nil"/>
              <w:bottom w:val="single" w:sz="4" w:space="0" w:color="BFBFBF"/>
              <w:right w:val="single" w:sz="4" w:space="0" w:color="BFBFBF"/>
            </w:tcBorders>
            <w:shd w:val="clear" w:color="auto" w:fill="auto"/>
            <w:noWrap/>
            <w:vAlign w:val="center"/>
          </w:tcPr>
          <w:p w14:paraId="3E199491"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76654C99"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27388631"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E80BBF9"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BB825CF"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28F54B0"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72%</w:t>
            </w:r>
          </w:p>
        </w:tc>
        <w:tc>
          <w:tcPr>
            <w:tcW w:w="675" w:type="dxa"/>
            <w:tcBorders>
              <w:top w:val="nil"/>
              <w:left w:val="nil"/>
              <w:bottom w:val="single" w:sz="4" w:space="0" w:color="BFBFBF"/>
              <w:right w:val="single" w:sz="4" w:space="0" w:color="BFBFBF"/>
            </w:tcBorders>
            <w:shd w:val="clear" w:color="auto" w:fill="auto"/>
            <w:noWrap/>
            <w:vAlign w:val="center"/>
          </w:tcPr>
          <w:p w14:paraId="1FB0995D"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72</w:t>
            </w:r>
          </w:p>
        </w:tc>
        <w:tc>
          <w:tcPr>
            <w:tcW w:w="808" w:type="dxa"/>
            <w:tcBorders>
              <w:top w:val="nil"/>
              <w:left w:val="nil"/>
              <w:bottom w:val="single" w:sz="4" w:space="0" w:color="BFBFBF"/>
              <w:right w:val="single" w:sz="4" w:space="0" w:color="BFBFBF"/>
            </w:tcBorders>
            <w:shd w:val="clear" w:color="auto" w:fill="auto"/>
            <w:noWrap/>
            <w:vAlign w:val="center"/>
          </w:tcPr>
          <w:p w14:paraId="54F84BD1"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54817242"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50925F2" w14:textId="215D7CC4"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4B0171D5" w14:textId="72E86C90"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1178C5B5"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6145759C"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40BDDF1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4F24C4D5"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DA2FA7C" w14:textId="2982ADE4"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1,113</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110E30FF" w14:textId="065E96AF"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194CFD81" w14:textId="687A57F0"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23F20D7A" w14:textId="1F8EBBEC" w:rsidR="004B2028" w:rsidRPr="00A6026E" w:rsidRDefault="004B2028"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North Eastern Melb</w:t>
            </w:r>
            <w:r>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7FBB5EC"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73%</w:t>
            </w:r>
          </w:p>
        </w:tc>
        <w:tc>
          <w:tcPr>
            <w:tcW w:w="675" w:type="dxa"/>
            <w:tcBorders>
              <w:top w:val="nil"/>
              <w:left w:val="nil"/>
              <w:bottom w:val="single" w:sz="4" w:space="0" w:color="BFBFBF"/>
              <w:right w:val="single" w:sz="4" w:space="0" w:color="BFBFBF"/>
            </w:tcBorders>
            <w:shd w:val="clear" w:color="auto" w:fill="auto"/>
            <w:noWrap/>
            <w:vAlign w:val="center"/>
          </w:tcPr>
          <w:p w14:paraId="2E7EE5D8"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89</w:t>
            </w:r>
          </w:p>
        </w:tc>
        <w:tc>
          <w:tcPr>
            <w:tcW w:w="808" w:type="dxa"/>
            <w:tcBorders>
              <w:top w:val="nil"/>
              <w:left w:val="nil"/>
              <w:bottom w:val="single" w:sz="4" w:space="0" w:color="BFBFBF"/>
              <w:right w:val="single" w:sz="4" w:space="0" w:color="BFBFBF"/>
            </w:tcBorders>
            <w:shd w:val="clear" w:color="auto" w:fill="auto"/>
            <w:noWrap/>
            <w:vAlign w:val="center"/>
          </w:tcPr>
          <w:p w14:paraId="55445168"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38F3D6A0"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D7D9BC7"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6CE117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A80B28F"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675" w:type="dxa"/>
            <w:tcBorders>
              <w:top w:val="nil"/>
              <w:left w:val="nil"/>
              <w:bottom w:val="single" w:sz="4" w:space="0" w:color="BFBFBF"/>
              <w:right w:val="single" w:sz="4" w:space="0" w:color="BFBFBF"/>
            </w:tcBorders>
            <w:shd w:val="clear" w:color="auto" w:fill="auto"/>
            <w:noWrap/>
            <w:vAlign w:val="center"/>
          </w:tcPr>
          <w:p w14:paraId="764EF7D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4E877994"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3E5007B2"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F4404D8" w14:textId="7957B25C"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0F7A8965" w14:textId="3EFABE75"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6AF5A0A2"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6C2068DA"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26352B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27699A30"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7B3787B" w14:textId="1555D534"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1,132</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388C7FF5" w14:textId="010EC49E"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279F679A" w14:textId="0115B7D1"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39A5FE14" w14:textId="497616AB" w:rsidR="004B2028" w:rsidRPr="00A6026E" w:rsidRDefault="004B2028"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Outer Eastern Melb</w:t>
            </w:r>
            <w:r>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011124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675" w:type="dxa"/>
            <w:tcBorders>
              <w:top w:val="nil"/>
              <w:left w:val="nil"/>
              <w:bottom w:val="single" w:sz="4" w:space="0" w:color="BFBFBF"/>
              <w:right w:val="single" w:sz="4" w:space="0" w:color="BFBFBF"/>
            </w:tcBorders>
            <w:shd w:val="clear" w:color="auto" w:fill="auto"/>
            <w:noWrap/>
            <w:vAlign w:val="center"/>
          </w:tcPr>
          <w:p w14:paraId="19F79699"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w:t>
            </w:r>
          </w:p>
        </w:tc>
        <w:tc>
          <w:tcPr>
            <w:tcW w:w="808" w:type="dxa"/>
            <w:tcBorders>
              <w:top w:val="nil"/>
              <w:left w:val="nil"/>
              <w:bottom w:val="single" w:sz="4" w:space="0" w:color="BFBFBF"/>
              <w:right w:val="single" w:sz="4" w:space="0" w:color="BFBFBF"/>
            </w:tcBorders>
            <w:shd w:val="clear" w:color="auto" w:fill="auto"/>
            <w:noWrap/>
            <w:vAlign w:val="center"/>
          </w:tcPr>
          <w:p w14:paraId="4A592CC5"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5A175C74"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D42B4A4"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318E401"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EFA778"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675" w:type="dxa"/>
            <w:tcBorders>
              <w:top w:val="nil"/>
              <w:left w:val="nil"/>
              <w:bottom w:val="single" w:sz="4" w:space="0" w:color="BFBFBF"/>
              <w:right w:val="single" w:sz="4" w:space="0" w:color="BFBFBF"/>
            </w:tcBorders>
            <w:shd w:val="clear" w:color="auto" w:fill="auto"/>
            <w:noWrap/>
            <w:vAlign w:val="center"/>
          </w:tcPr>
          <w:p w14:paraId="50F88DC5"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6A639CF9"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A89F791"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9EB39DC" w14:textId="4A536F76"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00179201" w14:textId="41DEEC32"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2348E51D"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3E8A5E95"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D5B417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10EB22B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E3C2003" w14:textId="18E0E969"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1,015</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39399049" w14:textId="575E0B1D"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5455FEAB" w14:textId="706125AC"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29563D5D" w14:textId="0388876B" w:rsidR="004B2028" w:rsidRPr="00A6026E" w:rsidRDefault="004B2028"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Inner Eastern Melb</w:t>
            </w:r>
            <w:r>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C7CD80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675" w:type="dxa"/>
            <w:tcBorders>
              <w:top w:val="nil"/>
              <w:left w:val="nil"/>
              <w:bottom w:val="single" w:sz="4" w:space="0" w:color="BFBFBF"/>
              <w:right w:val="single" w:sz="4" w:space="0" w:color="BFBFBF"/>
            </w:tcBorders>
            <w:shd w:val="clear" w:color="auto" w:fill="auto"/>
            <w:noWrap/>
            <w:vAlign w:val="center"/>
          </w:tcPr>
          <w:p w14:paraId="0C7843B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7CCA5563"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793AA09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930855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35795B5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BB2CE10"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675" w:type="dxa"/>
            <w:tcBorders>
              <w:top w:val="nil"/>
              <w:left w:val="nil"/>
              <w:bottom w:val="single" w:sz="4" w:space="0" w:color="BFBFBF"/>
              <w:right w:val="single" w:sz="4" w:space="0" w:color="BFBFBF"/>
            </w:tcBorders>
            <w:shd w:val="clear" w:color="auto" w:fill="auto"/>
            <w:noWrap/>
            <w:vAlign w:val="center"/>
          </w:tcPr>
          <w:p w14:paraId="6597F608"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72</w:t>
            </w:r>
          </w:p>
        </w:tc>
        <w:tc>
          <w:tcPr>
            <w:tcW w:w="808" w:type="dxa"/>
            <w:tcBorders>
              <w:top w:val="nil"/>
              <w:left w:val="nil"/>
              <w:bottom w:val="single" w:sz="4" w:space="0" w:color="BFBFBF"/>
              <w:right w:val="single" w:sz="4" w:space="0" w:color="BFBFBF"/>
            </w:tcBorders>
            <w:shd w:val="clear" w:color="auto" w:fill="auto"/>
            <w:noWrap/>
            <w:vAlign w:val="center"/>
          </w:tcPr>
          <w:p w14:paraId="11C66FE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4C04A24"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FE8EA4B" w14:textId="556B4B8E"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05712753" w14:textId="4353CF4A"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60FE5A17"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18D31460"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4C16F8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3BE17BC5"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D4F8806" w14:textId="0767197F"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1,175</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9EF2507" w14:textId="3A390BF6"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251A1161" w14:textId="466C6CF6"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0217D89E" w14:textId="7F4C96FC" w:rsidR="004B2028" w:rsidRPr="00A6026E" w:rsidRDefault="004B2028"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Southern Melb</w:t>
            </w:r>
            <w:r>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7DDC77D"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675" w:type="dxa"/>
            <w:tcBorders>
              <w:top w:val="nil"/>
              <w:left w:val="nil"/>
              <w:bottom w:val="single" w:sz="4" w:space="0" w:color="BFBFBF"/>
              <w:right w:val="single" w:sz="4" w:space="0" w:color="BFBFBF"/>
            </w:tcBorders>
            <w:shd w:val="clear" w:color="auto" w:fill="auto"/>
            <w:noWrap/>
            <w:vAlign w:val="center"/>
          </w:tcPr>
          <w:p w14:paraId="423AF90E"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808" w:type="dxa"/>
            <w:tcBorders>
              <w:top w:val="nil"/>
              <w:left w:val="nil"/>
              <w:bottom w:val="single" w:sz="4" w:space="0" w:color="BFBFBF"/>
              <w:right w:val="single" w:sz="4" w:space="0" w:color="BFBFBF"/>
            </w:tcBorders>
            <w:shd w:val="clear" w:color="auto" w:fill="auto"/>
            <w:noWrap/>
            <w:vAlign w:val="center"/>
          </w:tcPr>
          <w:p w14:paraId="6B71551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75DB413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7624C79"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11CA849"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370A268"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68%</w:t>
            </w:r>
          </w:p>
        </w:tc>
        <w:tc>
          <w:tcPr>
            <w:tcW w:w="675" w:type="dxa"/>
            <w:tcBorders>
              <w:top w:val="nil"/>
              <w:left w:val="nil"/>
              <w:bottom w:val="single" w:sz="4" w:space="0" w:color="BFBFBF"/>
              <w:right w:val="single" w:sz="4" w:space="0" w:color="BFBFBF"/>
            </w:tcBorders>
            <w:shd w:val="clear" w:color="auto" w:fill="auto"/>
            <w:noWrap/>
            <w:vAlign w:val="center"/>
          </w:tcPr>
          <w:p w14:paraId="631337DC"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7352E915"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4EC4B5A0"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B78A3A6" w14:textId="2C15D929"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0E2B000F" w14:textId="643D1D37"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22ADF088"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05F143E9"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13C70575"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55291BB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C8E57AE" w14:textId="1949C108"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1,044</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489CF707" w14:textId="62CD083D"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2B7B8D18" w14:textId="48BDA354"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74198968"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Bayside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2B94C73"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w:t>
            </w:r>
          </w:p>
        </w:tc>
        <w:tc>
          <w:tcPr>
            <w:tcW w:w="675" w:type="dxa"/>
            <w:tcBorders>
              <w:top w:val="nil"/>
              <w:left w:val="nil"/>
              <w:bottom w:val="single" w:sz="4" w:space="0" w:color="BFBFBF"/>
              <w:right w:val="single" w:sz="4" w:space="0" w:color="BFBFBF"/>
            </w:tcBorders>
            <w:shd w:val="clear" w:color="auto" w:fill="auto"/>
            <w:noWrap/>
            <w:vAlign w:val="center"/>
          </w:tcPr>
          <w:p w14:paraId="69B6A061"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1E33A9D1"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3F068514"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82C150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E3063D2"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1724FDF"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w:t>
            </w:r>
          </w:p>
        </w:tc>
        <w:tc>
          <w:tcPr>
            <w:tcW w:w="675" w:type="dxa"/>
            <w:tcBorders>
              <w:top w:val="nil"/>
              <w:left w:val="nil"/>
              <w:bottom w:val="single" w:sz="4" w:space="0" w:color="BFBFBF"/>
              <w:right w:val="single" w:sz="4" w:space="0" w:color="BFBFBF"/>
            </w:tcBorders>
            <w:shd w:val="clear" w:color="auto" w:fill="auto"/>
            <w:noWrap/>
            <w:vAlign w:val="center"/>
          </w:tcPr>
          <w:p w14:paraId="096EFD0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808" w:type="dxa"/>
            <w:tcBorders>
              <w:top w:val="nil"/>
              <w:left w:val="nil"/>
              <w:bottom w:val="single" w:sz="4" w:space="0" w:color="BFBFBF"/>
              <w:right w:val="single" w:sz="4" w:space="0" w:color="BFBFBF"/>
            </w:tcBorders>
            <w:shd w:val="clear" w:color="auto" w:fill="auto"/>
            <w:noWrap/>
            <w:vAlign w:val="center"/>
          </w:tcPr>
          <w:p w14:paraId="01ED8EF3"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1191A37F"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B3A00DB" w14:textId="0BBAE666"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1B3F8124" w14:textId="69D29776"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6E4A02AA"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BFBFBF"/>
            </w:tcBorders>
            <w:shd w:val="clear" w:color="auto" w:fill="auto"/>
            <w:noWrap/>
            <w:vAlign w:val="center"/>
          </w:tcPr>
          <w:p w14:paraId="285523A1"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140</w:t>
            </w:r>
          </w:p>
        </w:tc>
        <w:tc>
          <w:tcPr>
            <w:tcW w:w="808" w:type="dxa"/>
            <w:tcBorders>
              <w:top w:val="nil"/>
              <w:left w:val="nil"/>
              <w:bottom w:val="single" w:sz="4" w:space="0" w:color="BFBFBF"/>
              <w:right w:val="single" w:sz="4" w:space="0" w:color="BFBFBF"/>
            </w:tcBorders>
            <w:shd w:val="clear" w:color="auto" w:fill="auto"/>
            <w:noWrap/>
            <w:vAlign w:val="center"/>
          </w:tcPr>
          <w:p w14:paraId="6544924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12ADAAB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7674E89" w14:textId="3D7F039B"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1,147</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2E2FBAEA" w14:textId="2355F4FF"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5659FE7A" w14:textId="78225DF9"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3DE09E4C" w14:textId="62836444" w:rsidR="004B2028" w:rsidRPr="00A6026E" w:rsidRDefault="004B2028"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Western Melb</w:t>
            </w:r>
            <w:r>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D259582"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55E59C81"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64B1D980"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15F1FF22"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FD589F3"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3E1A1DDF"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AF8D1C0"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675" w:type="dxa"/>
            <w:tcBorders>
              <w:top w:val="nil"/>
              <w:left w:val="nil"/>
              <w:bottom w:val="single" w:sz="4" w:space="0" w:color="BFBFBF"/>
              <w:right w:val="single" w:sz="4" w:space="0" w:color="BFBFBF"/>
            </w:tcBorders>
            <w:shd w:val="clear" w:color="auto" w:fill="auto"/>
            <w:noWrap/>
            <w:vAlign w:val="center"/>
          </w:tcPr>
          <w:p w14:paraId="06936F25"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611BA15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7C09DB6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132D2DD" w14:textId="387EEEB1"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35D03709" w14:textId="71C2EE7C"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0FDC2A71"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0C54E02F"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F292838"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58F8A83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35C5652" w14:textId="4CBA37E3"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1,050</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97C17C9" w14:textId="4E061C83"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2486A575" w14:textId="08A95D74"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55846683"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Brimbank Melton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35D8169"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675" w:type="dxa"/>
            <w:tcBorders>
              <w:top w:val="nil"/>
              <w:left w:val="nil"/>
              <w:bottom w:val="single" w:sz="4" w:space="0" w:color="BFBFBF"/>
              <w:right w:val="single" w:sz="4" w:space="0" w:color="BFBFBF"/>
            </w:tcBorders>
            <w:shd w:val="clear" w:color="auto" w:fill="auto"/>
            <w:noWrap/>
            <w:vAlign w:val="center"/>
          </w:tcPr>
          <w:p w14:paraId="453A8078"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705F67F0"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1723550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182BF18"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FE9E0B9"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A5EED5A"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58%</w:t>
            </w:r>
          </w:p>
        </w:tc>
        <w:tc>
          <w:tcPr>
            <w:tcW w:w="675" w:type="dxa"/>
            <w:tcBorders>
              <w:top w:val="nil"/>
              <w:left w:val="nil"/>
              <w:bottom w:val="single" w:sz="4" w:space="0" w:color="BFBFBF"/>
              <w:right w:val="single" w:sz="4" w:space="0" w:color="BFBFBF"/>
            </w:tcBorders>
            <w:shd w:val="clear" w:color="auto" w:fill="auto"/>
            <w:noWrap/>
            <w:vAlign w:val="center"/>
          </w:tcPr>
          <w:p w14:paraId="06C46EDD"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38DDCD9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30258B6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B629F74" w14:textId="6FCD11E5"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018BEA3B" w14:textId="5DBC5C31"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6FA578AD"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3A137B3C"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186B91E1"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71C8197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C7275D1" w14:textId="1EFECC7E"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1,122</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6472E00A" w14:textId="73982221"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1FE58399" w14:textId="2609C29D"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5C863346"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Mallee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369DFFE"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2FC2EBC4"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3DB8588"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779EAF9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DC3E185"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7EAF69E1"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A7DD048"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37AC113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F1DCB50"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150DB5D3"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A05197F" w14:textId="41DE5CB8"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40AFFFAB" w14:textId="7D7D6D76"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3AF0177E"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586" w:type="dxa"/>
            <w:tcBorders>
              <w:top w:val="nil"/>
              <w:left w:val="nil"/>
              <w:bottom w:val="single" w:sz="4" w:space="0" w:color="BFBFBF"/>
              <w:right w:val="single" w:sz="4" w:space="0" w:color="BFBFBF"/>
            </w:tcBorders>
            <w:shd w:val="clear" w:color="auto" w:fill="auto"/>
            <w:noWrap/>
            <w:vAlign w:val="center"/>
          </w:tcPr>
          <w:p w14:paraId="27C2047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w:t>
            </w:r>
          </w:p>
        </w:tc>
        <w:tc>
          <w:tcPr>
            <w:tcW w:w="808" w:type="dxa"/>
            <w:tcBorders>
              <w:top w:val="nil"/>
              <w:left w:val="nil"/>
              <w:bottom w:val="single" w:sz="4" w:space="0" w:color="BFBFBF"/>
              <w:right w:val="single" w:sz="4" w:space="0" w:color="BFBFBF"/>
            </w:tcBorders>
            <w:shd w:val="clear" w:color="auto" w:fill="auto"/>
            <w:noWrap/>
            <w:vAlign w:val="center"/>
          </w:tcPr>
          <w:p w14:paraId="5932B601"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097D1D9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6D16FAA" w14:textId="2E623138"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751</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F7BD8D9" w14:textId="0806F41C"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3CC558DB" w14:textId="2D3AF88A"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42F65894"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Loddon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FB0F0FD"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w:t>
            </w:r>
          </w:p>
        </w:tc>
        <w:tc>
          <w:tcPr>
            <w:tcW w:w="675" w:type="dxa"/>
            <w:tcBorders>
              <w:top w:val="nil"/>
              <w:left w:val="nil"/>
              <w:bottom w:val="single" w:sz="4" w:space="0" w:color="BFBFBF"/>
              <w:right w:val="single" w:sz="4" w:space="0" w:color="BFBFBF"/>
            </w:tcBorders>
            <w:shd w:val="clear" w:color="auto" w:fill="auto"/>
            <w:noWrap/>
            <w:vAlign w:val="center"/>
          </w:tcPr>
          <w:p w14:paraId="421A2833"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w:t>
            </w:r>
          </w:p>
        </w:tc>
        <w:tc>
          <w:tcPr>
            <w:tcW w:w="808" w:type="dxa"/>
            <w:tcBorders>
              <w:top w:val="nil"/>
              <w:left w:val="nil"/>
              <w:bottom w:val="single" w:sz="4" w:space="0" w:color="BFBFBF"/>
              <w:right w:val="single" w:sz="4" w:space="0" w:color="BFBFBF"/>
            </w:tcBorders>
            <w:shd w:val="clear" w:color="auto" w:fill="auto"/>
            <w:noWrap/>
            <w:vAlign w:val="center"/>
          </w:tcPr>
          <w:p w14:paraId="008503F9"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9F619F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14EB62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3AFD074"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ADCA3BF"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4D82934E"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559E4A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4A6129F"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2250E76" w14:textId="741D6F26"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12A8C79F" w14:textId="6A004156"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6FFED0E3"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w:t>
            </w:r>
          </w:p>
        </w:tc>
        <w:tc>
          <w:tcPr>
            <w:tcW w:w="586" w:type="dxa"/>
            <w:tcBorders>
              <w:top w:val="nil"/>
              <w:left w:val="nil"/>
              <w:bottom w:val="single" w:sz="4" w:space="0" w:color="BFBFBF"/>
              <w:right w:val="single" w:sz="4" w:space="0" w:color="BFBFBF"/>
            </w:tcBorders>
            <w:shd w:val="clear" w:color="auto" w:fill="auto"/>
            <w:noWrap/>
            <w:vAlign w:val="center"/>
          </w:tcPr>
          <w:p w14:paraId="1DA0822A"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48</w:t>
            </w:r>
          </w:p>
        </w:tc>
        <w:tc>
          <w:tcPr>
            <w:tcW w:w="808" w:type="dxa"/>
            <w:tcBorders>
              <w:top w:val="nil"/>
              <w:left w:val="nil"/>
              <w:bottom w:val="single" w:sz="4" w:space="0" w:color="BFBFBF"/>
              <w:right w:val="single" w:sz="4" w:space="0" w:color="BFBFBF"/>
            </w:tcBorders>
            <w:shd w:val="clear" w:color="auto" w:fill="auto"/>
            <w:noWrap/>
            <w:vAlign w:val="center"/>
          </w:tcPr>
          <w:p w14:paraId="31AE35B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03505B25"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21E54C2" w14:textId="2FF7CD20"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1,137</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4A5D9BB3" w14:textId="6CF7A173"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6A8992E3" w14:textId="042B0C81"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79EEAF29"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A6026E">
                  <w:rPr>
                    <w:rFonts w:ascii="Arial" w:hAnsi="Arial" w:cs="Arial"/>
                    <w:color w:val="000000"/>
                    <w:sz w:val="16"/>
                    <w:szCs w:val="16"/>
                    <w:lang w:val="en-AU" w:eastAsia="en-AU"/>
                  </w:rPr>
                  <w:t>Murray</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4C2B46D"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4C908F3E"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0D4089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415AD5EF"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4CE116F"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007FA07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B3C10EF"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0A62658A"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BDE0D5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10B3856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2116103" w14:textId="32BB1A5B"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7FC38A73" w14:textId="3F471F9D"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0BA3603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BFBFBF"/>
            </w:tcBorders>
            <w:shd w:val="clear" w:color="auto" w:fill="auto"/>
            <w:noWrap/>
            <w:vAlign w:val="center"/>
          </w:tcPr>
          <w:p w14:paraId="15AF740E"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800</w:t>
            </w:r>
          </w:p>
        </w:tc>
        <w:tc>
          <w:tcPr>
            <w:tcW w:w="808" w:type="dxa"/>
            <w:tcBorders>
              <w:top w:val="nil"/>
              <w:left w:val="nil"/>
              <w:bottom w:val="single" w:sz="4" w:space="0" w:color="BFBFBF"/>
              <w:right w:val="single" w:sz="4" w:space="0" w:color="BFBFBF"/>
            </w:tcBorders>
            <w:shd w:val="clear" w:color="auto" w:fill="auto"/>
            <w:noWrap/>
            <w:vAlign w:val="center"/>
          </w:tcPr>
          <w:p w14:paraId="0703EE8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3CE2F97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7B1D8D3" w14:textId="72F9AD10"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836</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028B689D" w14:textId="6F713B6A"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5EA785A8" w14:textId="393907E8"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3AD4F8F0"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Goulburn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75EED4D"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w:t>
            </w:r>
          </w:p>
        </w:tc>
        <w:tc>
          <w:tcPr>
            <w:tcW w:w="675" w:type="dxa"/>
            <w:tcBorders>
              <w:top w:val="nil"/>
              <w:left w:val="nil"/>
              <w:bottom w:val="single" w:sz="4" w:space="0" w:color="BFBFBF"/>
              <w:right w:val="single" w:sz="4" w:space="0" w:color="BFBFBF"/>
            </w:tcBorders>
            <w:shd w:val="clear" w:color="auto" w:fill="auto"/>
            <w:noWrap/>
            <w:vAlign w:val="center"/>
          </w:tcPr>
          <w:p w14:paraId="2FC25BD8"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4E4A4223"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11D81C4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AC25272"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7BE1BA2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DAF42BC"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679FF4BF"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E7D240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21DC9FF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7F1F58A" w14:textId="3128A57C"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0865800F" w14:textId="55213F37"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38EE7985"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BFBFBF"/>
            </w:tcBorders>
            <w:shd w:val="clear" w:color="auto" w:fill="auto"/>
            <w:noWrap/>
            <w:vAlign w:val="center"/>
          </w:tcPr>
          <w:p w14:paraId="2FB8B464"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808" w:type="dxa"/>
            <w:tcBorders>
              <w:top w:val="nil"/>
              <w:left w:val="nil"/>
              <w:bottom w:val="single" w:sz="4" w:space="0" w:color="BFBFBF"/>
              <w:right w:val="single" w:sz="4" w:space="0" w:color="BFBFBF"/>
            </w:tcBorders>
            <w:shd w:val="clear" w:color="auto" w:fill="auto"/>
            <w:noWrap/>
            <w:vAlign w:val="center"/>
          </w:tcPr>
          <w:p w14:paraId="5BED2855"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34313413"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8B26427" w14:textId="66015468"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860</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BF123F4" w14:textId="5C100035"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612DE6C9" w14:textId="4CFD1BDC"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5BBF662E"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Outer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8BFDEF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53DA2F14"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44D01A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4946743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EE5FDB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843EA44"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07F0BCA"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54F4437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9CCE21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40AF04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2B10F7D" w14:textId="7716995F"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4DAC08A0" w14:textId="54C23593"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5BD3B04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631E5893"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1E38F5D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0A3CFFC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87C2B2D" w14:textId="508505D0"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1,002</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2522A70F" w14:textId="220DB559"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7E3CFD30" w14:textId="3D6F9FA6"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38FB9745"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Inner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6E6FB4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w:t>
            </w:r>
          </w:p>
        </w:tc>
        <w:tc>
          <w:tcPr>
            <w:tcW w:w="675" w:type="dxa"/>
            <w:tcBorders>
              <w:top w:val="nil"/>
              <w:left w:val="nil"/>
              <w:bottom w:val="single" w:sz="4" w:space="0" w:color="BFBFBF"/>
              <w:right w:val="single" w:sz="4" w:space="0" w:color="BFBFBF"/>
            </w:tcBorders>
            <w:shd w:val="clear" w:color="auto" w:fill="auto"/>
            <w:noWrap/>
            <w:vAlign w:val="center"/>
          </w:tcPr>
          <w:p w14:paraId="064271A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80</w:t>
            </w:r>
          </w:p>
        </w:tc>
        <w:tc>
          <w:tcPr>
            <w:tcW w:w="808" w:type="dxa"/>
            <w:tcBorders>
              <w:top w:val="nil"/>
              <w:left w:val="nil"/>
              <w:bottom w:val="single" w:sz="4" w:space="0" w:color="BFBFBF"/>
              <w:right w:val="single" w:sz="4" w:space="0" w:color="BFBFBF"/>
            </w:tcBorders>
            <w:shd w:val="clear" w:color="auto" w:fill="auto"/>
            <w:noWrap/>
            <w:vAlign w:val="center"/>
          </w:tcPr>
          <w:p w14:paraId="3E0F5A4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E082A1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A449B30"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50255A2"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59BEF7D"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w:t>
            </w:r>
          </w:p>
        </w:tc>
        <w:tc>
          <w:tcPr>
            <w:tcW w:w="675" w:type="dxa"/>
            <w:tcBorders>
              <w:top w:val="nil"/>
              <w:left w:val="nil"/>
              <w:bottom w:val="single" w:sz="4" w:space="0" w:color="BFBFBF"/>
              <w:right w:val="single" w:sz="4" w:space="0" w:color="BFBFBF"/>
            </w:tcBorders>
            <w:shd w:val="clear" w:color="auto" w:fill="auto"/>
            <w:noWrap/>
            <w:vAlign w:val="center"/>
          </w:tcPr>
          <w:p w14:paraId="4A3F346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75CA0A6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2FE6AC8"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553789C" w14:textId="1B68A5D9"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7E46DF78" w14:textId="12BC6E48"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7FF806E2"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w:t>
            </w:r>
          </w:p>
        </w:tc>
        <w:tc>
          <w:tcPr>
            <w:tcW w:w="586" w:type="dxa"/>
            <w:tcBorders>
              <w:top w:val="nil"/>
              <w:left w:val="nil"/>
              <w:bottom w:val="single" w:sz="4" w:space="0" w:color="BFBFBF"/>
              <w:right w:val="single" w:sz="4" w:space="0" w:color="BFBFBF"/>
            </w:tcBorders>
            <w:shd w:val="clear" w:color="auto" w:fill="auto"/>
            <w:noWrap/>
            <w:vAlign w:val="center"/>
          </w:tcPr>
          <w:p w14:paraId="692D1BE3"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w:t>
            </w:r>
          </w:p>
        </w:tc>
        <w:tc>
          <w:tcPr>
            <w:tcW w:w="808" w:type="dxa"/>
            <w:tcBorders>
              <w:top w:val="nil"/>
              <w:left w:val="nil"/>
              <w:bottom w:val="single" w:sz="4" w:space="0" w:color="BFBFBF"/>
              <w:right w:val="single" w:sz="4" w:space="0" w:color="BFBFBF"/>
            </w:tcBorders>
            <w:shd w:val="clear" w:color="auto" w:fill="auto"/>
            <w:noWrap/>
            <w:vAlign w:val="center"/>
          </w:tcPr>
          <w:p w14:paraId="0293C330"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79B3B53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72F5962" w14:textId="02F2D7D9"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981</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7E4C7BCB" w14:textId="394F625E"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0F552E74" w14:textId="57360871"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04CA2057"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Western District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9474D7F"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1F74DB34"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10A1A1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5B984AD5"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C7BC316"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32F830E8"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6790F51"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w:t>
            </w:r>
          </w:p>
        </w:tc>
        <w:tc>
          <w:tcPr>
            <w:tcW w:w="675" w:type="dxa"/>
            <w:tcBorders>
              <w:top w:val="nil"/>
              <w:left w:val="nil"/>
              <w:bottom w:val="single" w:sz="4" w:space="0" w:color="BFBFBF"/>
              <w:right w:val="single" w:sz="4" w:space="0" w:color="BFBFBF"/>
            </w:tcBorders>
            <w:shd w:val="clear" w:color="auto" w:fill="auto"/>
            <w:noWrap/>
            <w:vAlign w:val="center"/>
          </w:tcPr>
          <w:p w14:paraId="1D4D8ADE"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w:t>
            </w:r>
          </w:p>
        </w:tc>
        <w:tc>
          <w:tcPr>
            <w:tcW w:w="808" w:type="dxa"/>
            <w:tcBorders>
              <w:top w:val="nil"/>
              <w:left w:val="nil"/>
              <w:bottom w:val="single" w:sz="4" w:space="0" w:color="BFBFBF"/>
              <w:right w:val="single" w:sz="4" w:space="0" w:color="BFBFBF"/>
            </w:tcBorders>
            <w:shd w:val="clear" w:color="auto" w:fill="auto"/>
            <w:noWrap/>
            <w:vAlign w:val="center"/>
          </w:tcPr>
          <w:p w14:paraId="42D5249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5EA7D32"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FD198B2" w14:textId="52E590B9"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76DB9A9C" w14:textId="01C162CD"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61C74A7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586" w:type="dxa"/>
            <w:tcBorders>
              <w:top w:val="nil"/>
              <w:left w:val="nil"/>
              <w:bottom w:val="single" w:sz="4" w:space="0" w:color="BFBFBF"/>
              <w:right w:val="single" w:sz="4" w:space="0" w:color="BFBFBF"/>
            </w:tcBorders>
            <w:shd w:val="clear" w:color="auto" w:fill="auto"/>
            <w:noWrap/>
            <w:vAlign w:val="center"/>
          </w:tcPr>
          <w:p w14:paraId="35813B9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808" w:type="dxa"/>
            <w:tcBorders>
              <w:top w:val="nil"/>
              <w:left w:val="nil"/>
              <w:bottom w:val="single" w:sz="4" w:space="0" w:color="BFBFBF"/>
              <w:right w:val="single" w:sz="4" w:space="0" w:color="BFBFBF"/>
            </w:tcBorders>
            <w:shd w:val="clear" w:color="auto" w:fill="auto"/>
            <w:noWrap/>
            <w:vAlign w:val="center"/>
          </w:tcPr>
          <w:p w14:paraId="39D88AD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43542D28"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759C920" w14:textId="1A3CD774"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1,058</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4EEEADE4" w14:textId="2DD883EE"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2DFD7D02" w14:textId="3591F1AD" w:rsidTr="00A84800">
        <w:trPr>
          <w:trHeight w:val="225"/>
        </w:trPr>
        <w:tc>
          <w:tcPr>
            <w:tcW w:w="1873" w:type="dxa"/>
            <w:tcBorders>
              <w:top w:val="nil"/>
              <w:left w:val="double" w:sz="6" w:space="0" w:color="auto"/>
              <w:bottom w:val="single" w:sz="4" w:space="0" w:color="BFBFBF"/>
              <w:right w:val="nil"/>
            </w:tcBorders>
            <w:shd w:val="clear" w:color="auto" w:fill="auto"/>
            <w:noWrap/>
            <w:vAlign w:val="bottom"/>
          </w:tcPr>
          <w:p w14:paraId="51E3C03A"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Barwon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95251B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675" w:type="dxa"/>
            <w:tcBorders>
              <w:top w:val="nil"/>
              <w:left w:val="nil"/>
              <w:bottom w:val="single" w:sz="4" w:space="0" w:color="BFBFBF"/>
              <w:right w:val="single" w:sz="4" w:space="0" w:color="BFBFBF"/>
            </w:tcBorders>
            <w:shd w:val="clear" w:color="auto" w:fill="auto"/>
            <w:noWrap/>
            <w:vAlign w:val="center"/>
          </w:tcPr>
          <w:p w14:paraId="5616328C"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2C9E06DE"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457A3C9A"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D73C47F"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D463332"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926F721"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675" w:type="dxa"/>
            <w:tcBorders>
              <w:top w:val="nil"/>
              <w:left w:val="nil"/>
              <w:bottom w:val="single" w:sz="4" w:space="0" w:color="BFBFBF"/>
              <w:right w:val="single" w:sz="4" w:space="0" w:color="BFBFBF"/>
            </w:tcBorders>
            <w:shd w:val="clear" w:color="auto" w:fill="auto"/>
            <w:noWrap/>
            <w:vAlign w:val="center"/>
          </w:tcPr>
          <w:p w14:paraId="16E39165"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w:t>
            </w:r>
          </w:p>
        </w:tc>
        <w:tc>
          <w:tcPr>
            <w:tcW w:w="808" w:type="dxa"/>
            <w:tcBorders>
              <w:top w:val="nil"/>
              <w:left w:val="nil"/>
              <w:bottom w:val="single" w:sz="4" w:space="0" w:color="BFBFBF"/>
              <w:right w:val="single" w:sz="4" w:space="0" w:color="BFBFBF"/>
            </w:tcBorders>
            <w:shd w:val="clear" w:color="auto" w:fill="auto"/>
            <w:noWrap/>
            <w:vAlign w:val="center"/>
          </w:tcPr>
          <w:p w14:paraId="334D9274"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41F83FE9"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BB8AA54" w14:textId="2F20376E"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auto"/>
            </w:tcBorders>
            <w:shd w:val="clear" w:color="auto" w:fill="auto"/>
            <w:noWrap/>
            <w:vAlign w:val="center"/>
          </w:tcPr>
          <w:p w14:paraId="266B4CCE" w14:textId="1D414939"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nil"/>
              <w:bottom w:val="single" w:sz="4" w:space="0" w:color="BFBFBF"/>
              <w:right w:val="single" w:sz="4" w:space="0" w:color="BFBFBF"/>
            </w:tcBorders>
            <w:shd w:val="clear" w:color="auto" w:fill="auto"/>
            <w:noWrap/>
            <w:vAlign w:val="center"/>
          </w:tcPr>
          <w:p w14:paraId="7D6E5113"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0C2948B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6D7E71B"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double" w:sz="6" w:space="0" w:color="auto"/>
            </w:tcBorders>
            <w:shd w:val="clear" w:color="auto" w:fill="auto"/>
            <w:noWrap/>
            <w:vAlign w:val="center"/>
          </w:tcPr>
          <w:p w14:paraId="43C9C0FD"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26585E0" w14:textId="664A0532"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980</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3AF13843" w14:textId="40B630CC"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4B2028" w:rsidRPr="00A6026E" w14:paraId="05E77C21" w14:textId="530847F1" w:rsidTr="00A84800">
        <w:trPr>
          <w:trHeight w:val="225"/>
        </w:trPr>
        <w:tc>
          <w:tcPr>
            <w:tcW w:w="1873" w:type="dxa"/>
            <w:tcBorders>
              <w:top w:val="single" w:sz="4" w:space="0" w:color="BFBFBF"/>
              <w:left w:val="double" w:sz="6" w:space="0" w:color="auto"/>
              <w:bottom w:val="double" w:sz="4" w:space="0" w:color="auto"/>
              <w:right w:val="nil"/>
            </w:tcBorders>
            <w:shd w:val="clear" w:color="auto" w:fill="auto"/>
            <w:noWrap/>
            <w:vAlign w:val="bottom"/>
          </w:tcPr>
          <w:p w14:paraId="70B17A0F" w14:textId="77777777" w:rsidR="004B2028" w:rsidRPr="00A6026E" w:rsidRDefault="004B2028"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Central Highlands</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63A4847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w:t>
            </w:r>
          </w:p>
        </w:tc>
        <w:tc>
          <w:tcPr>
            <w:tcW w:w="675" w:type="dxa"/>
            <w:tcBorders>
              <w:top w:val="single" w:sz="4" w:space="0" w:color="BFBFBF"/>
              <w:left w:val="nil"/>
              <w:bottom w:val="double" w:sz="4" w:space="0" w:color="auto"/>
              <w:right w:val="single" w:sz="4" w:space="0" w:color="BFBFBF"/>
            </w:tcBorders>
            <w:shd w:val="clear" w:color="auto" w:fill="auto"/>
            <w:noWrap/>
            <w:vAlign w:val="center"/>
          </w:tcPr>
          <w:p w14:paraId="397A9C2D"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55</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2FC6471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single" w:sz="4" w:space="0" w:color="BFBFBF"/>
              <w:left w:val="nil"/>
              <w:bottom w:val="double" w:sz="4" w:space="0" w:color="auto"/>
              <w:right w:val="single" w:sz="4" w:space="0" w:color="BFBFBF"/>
            </w:tcBorders>
            <w:shd w:val="clear" w:color="auto" w:fill="auto"/>
            <w:noWrap/>
            <w:vAlign w:val="center"/>
          </w:tcPr>
          <w:p w14:paraId="64A2D210"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5561A84C"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single" w:sz="4" w:space="0" w:color="BFBFBF"/>
              <w:left w:val="nil"/>
              <w:bottom w:val="double" w:sz="4" w:space="0" w:color="auto"/>
              <w:right w:val="double" w:sz="6" w:space="0" w:color="auto"/>
            </w:tcBorders>
            <w:shd w:val="clear" w:color="auto" w:fill="auto"/>
            <w:noWrap/>
            <w:vAlign w:val="center"/>
          </w:tcPr>
          <w:p w14:paraId="1E824873"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07221948"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single" w:sz="4" w:space="0" w:color="BFBFBF"/>
              <w:left w:val="nil"/>
              <w:bottom w:val="double" w:sz="4" w:space="0" w:color="auto"/>
              <w:right w:val="single" w:sz="4" w:space="0" w:color="BFBFBF"/>
            </w:tcBorders>
            <w:shd w:val="clear" w:color="auto" w:fill="auto"/>
            <w:noWrap/>
            <w:vAlign w:val="center"/>
          </w:tcPr>
          <w:p w14:paraId="423086C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5AAFF6F5"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single" w:sz="4" w:space="0" w:color="BFBFBF"/>
              <w:left w:val="nil"/>
              <w:bottom w:val="double" w:sz="4" w:space="0" w:color="auto"/>
              <w:right w:val="single" w:sz="4" w:space="0" w:color="BFBFBF"/>
            </w:tcBorders>
            <w:shd w:val="clear" w:color="auto" w:fill="auto"/>
            <w:noWrap/>
            <w:vAlign w:val="center"/>
          </w:tcPr>
          <w:p w14:paraId="2BA1ED59"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7E1B28B9" w14:textId="3BAB04CD"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72F646A7" w14:textId="07BF0927" w:rsidR="004B2028" w:rsidRPr="00A6026E" w:rsidRDefault="004B2028" w:rsidP="00B6186D">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6D0161D6"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w:t>
            </w:r>
          </w:p>
        </w:tc>
        <w:tc>
          <w:tcPr>
            <w:tcW w:w="586" w:type="dxa"/>
            <w:tcBorders>
              <w:top w:val="single" w:sz="4" w:space="0" w:color="BFBFBF"/>
              <w:left w:val="nil"/>
              <w:bottom w:val="double" w:sz="4" w:space="0" w:color="auto"/>
              <w:right w:val="single" w:sz="4" w:space="0" w:color="BFBFBF"/>
            </w:tcBorders>
            <w:shd w:val="clear" w:color="auto" w:fill="auto"/>
            <w:noWrap/>
            <w:vAlign w:val="center"/>
          </w:tcPr>
          <w:p w14:paraId="6913419B" w14:textId="77777777" w:rsidR="004B2028" w:rsidRPr="00A6026E" w:rsidRDefault="004B2028"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208</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22C8C2AF"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single" w:sz="4" w:space="0" w:color="BFBFBF"/>
              <w:left w:val="nil"/>
              <w:bottom w:val="double" w:sz="4" w:space="0" w:color="auto"/>
              <w:right w:val="double" w:sz="6" w:space="0" w:color="auto"/>
            </w:tcBorders>
            <w:shd w:val="clear" w:color="auto" w:fill="auto"/>
            <w:noWrap/>
            <w:vAlign w:val="center"/>
          </w:tcPr>
          <w:p w14:paraId="0AE17238" w14:textId="77777777" w:rsidR="004B2028" w:rsidRPr="00A6026E" w:rsidRDefault="004B2028"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904" w:type="dxa"/>
            <w:tcBorders>
              <w:top w:val="single" w:sz="4" w:space="0" w:color="A6A6A6" w:themeColor="background1" w:themeShade="A6"/>
              <w:left w:val="nil"/>
              <w:bottom w:val="double" w:sz="4" w:space="0" w:color="auto"/>
              <w:right w:val="single" w:sz="4" w:space="0" w:color="A6A6A6" w:themeColor="background1" w:themeShade="A6"/>
            </w:tcBorders>
            <w:vAlign w:val="center"/>
          </w:tcPr>
          <w:p w14:paraId="09455A82" w14:textId="287ACF96"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905</w:t>
            </w:r>
          </w:p>
        </w:tc>
        <w:tc>
          <w:tcPr>
            <w:tcW w:w="878" w:type="dxa"/>
            <w:tcBorders>
              <w:top w:val="single" w:sz="4" w:space="0" w:color="A6A6A6" w:themeColor="background1" w:themeShade="A6"/>
              <w:left w:val="single" w:sz="4" w:space="0" w:color="A6A6A6" w:themeColor="background1" w:themeShade="A6"/>
              <w:bottom w:val="double" w:sz="4" w:space="0" w:color="auto"/>
              <w:right w:val="double" w:sz="6" w:space="0" w:color="auto"/>
            </w:tcBorders>
            <w:vAlign w:val="center"/>
          </w:tcPr>
          <w:p w14:paraId="7FBCCE13" w14:textId="0A7A804B" w:rsidR="004B2028" w:rsidRPr="00A6026E" w:rsidRDefault="004B2028"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EA1177" w:rsidRPr="00A6026E" w14:paraId="2B9B7A19" w14:textId="093AB3D4" w:rsidTr="00A84800">
        <w:trPr>
          <w:trHeight w:val="225"/>
        </w:trPr>
        <w:tc>
          <w:tcPr>
            <w:tcW w:w="2681" w:type="dxa"/>
            <w:gridSpan w:val="2"/>
            <w:tcBorders>
              <w:top w:val="double" w:sz="4" w:space="0" w:color="auto"/>
            </w:tcBorders>
            <w:shd w:val="clear" w:color="auto" w:fill="auto"/>
            <w:noWrap/>
            <w:vAlign w:val="center"/>
          </w:tcPr>
          <w:p w14:paraId="486D909C" w14:textId="77777777" w:rsidR="00EA1177" w:rsidRPr="00A6026E" w:rsidRDefault="00EA1177" w:rsidP="00B6186D">
            <w:pPr>
              <w:spacing w:before="0" w:after="0"/>
              <w:rPr>
                <w:rFonts w:ascii="Arial" w:hAnsi="Arial" w:cs="Arial"/>
                <w:b/>
                <w:bCs/>
                <w:color w:val="000000"/>
                <w:sz w:val="16"/>
                <w:szCs w:val="16"/>
                <w:lang w:val="en-AU" w:eastAsia="en-AU"/>
              </w:rPr>
            </w:pPr>
          </w:p>
          <w:p w14:paraId="2E517FB9" w14:textId="77777777" w:rsidR="00EA1177" w:rsidRPr="00A6026E" w:rsidRDefault="00EA1177" w:rsidP="00B6186D">
            <w:pPr>
              <w:spacing w:before="0" w:after="0"/>
              <w:rPr>
                <w:rFonts w:ascii="Arial" w:hAnsi="Arial" w:cs="Arial"/>
                <w:bCs/>
                <w:color w:val="000000"/>
                <w:sz w:val="16"/>
                <w:szCs w:val="16"/>
                <w:lang w:val="en-AU" w:eastAsia="en-AU"/>
              </w:rPr>
            </w:pPr>
            <w:r w:rsidRPr="00A6026E">
              <w:rPr>
                <w:rFonts w:ascii="Arial" w:hAnsi="Arial" w:cs="Arial"/>
                <w:bCs/>
                <w:color w:val="000000"/>
                <w:sz w:val="16"/>
                <w:szCs w:val="16"/>
                <w:lang w:val="en-AU" w:eastAsia="en-AU"/>
              </w:rPr>
              <w:t>Continued on next page</w:t>
            </w:r>
          </w:p>
          <w:p w14:paraId="079DA7E3" w14:textId="77777777" w:rsidR="00EA1177" w:rsidRDefault="00EA1177" w:rsidP="00B6186D">
            <w:pPr>
              <w:spacing w:before="0" w:after="0"/>
              <w:rPr>
                <w:rFonts w:ascii="Arial" w:hAnsi="Arial" w:cs="Arial"/>
                <w:b/>
                <w:bCs/>
                <w:color w:val="000000"/>
                <w:sz w:val="16"/>
                <w:szCs w:val="16"/>
                <w:lang w:val="en-AU" w:eastAsia="en-AU"/>
              </w:rPr>
            </w:pPr>
          </w:p>
          <w:p w14:paraId="5F07F383" w14:textId="77777777" w:rsidR="00EA1177" w:rsidRPr="00A6026E" w:rsidRDefault="00EA1177" w:rsidP="00B6186D">
            <w:pPr>
              <w:spacing w:before="0" w:after="0"/>
              <w:rPr>
                <w:rFonts w:ascii="Arial" w:hAnsi="Arial" w:cs="Arial"/>
                <w:b/>
                <w:bCs/>
                <w:color w:val="000000"/>
                <w:sz w:val="16"/>
                <w:szCs w:val="16"/>
                <w:lang w:val="en-AU" w:eastAsia="en-AU"/>
              </w:rPr>
            </w:pPr>
          </w:p>
          <w:p w14:paraId="463E7479" w14:textId="77777777" w:rsidR="00EA1177" w:rsidRPr="00A6026E" w:rsidRDefault="00EA1177" w:rsidP="00B6186D">
            <w:pPr>
              <w:spacing w:before="0" w:after="0"/>
              <w:rPr>
                <w:rFonts w:ascii="Arial" w:hAnsi="Arial" w:cs="Arial"/>
                <w:b/>
                <w:bCs/>
                <w:color w:val="000000"/>
                <w:sz w:val="16"/>
                <w:szCs w:val="16"/>
                <w:lang w:val="en-AU" w:eastAsia="en-AU"/>
              </w:rPr>
            </w:pPr>
          </w:p>
          <w:p w14:paraId="65072AF5" w14:textId="77777777" w:rsidR="00EA1177" w:rsidRPr="00A6026E" w:rsidRDefault="00EA1177" w:rsidP="00B6186D">
            <w:pPr>
              <w:spacing w:before="0" w:after="0"/>
              <w:rPr>
                <w:rFonts w:ascii="Arial" w:hAnsi="Arial" w:cs="Arial"/>
                <w:b/>
                <w:bCs/>
                <w:color w:val="000000"/>
                <w:sz w:val="16"/>
                <w:szCs w:val="16"/>
                <w:lang w:val="en-AU" w:eastAsia="en-AU"/>
              </w:rPr>
            </w:pPr>
          </w:p>
          <w:p w14:paraId="2B2734A4"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1A1B547E"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2585223E"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7F7F6E66"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56BB4301"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69065241"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328E8019"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1FD51BEC"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D9CE23C"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169FE5CD"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0F3FA053"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6F64222"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0053CBC0"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586" w:type="dxa"/>
            <w:tcBorders>
              <w:top w:val="double" w:sz="4" w:space="0" w:color="auto"/>
            </w:tcBorders>
            <w:shd w:val="clear" w:color="auto" w:fill="auto"/>
            <w:noWrap/>
            <w:vAlign w:val="center"/>
          </w:tcPr>
          <w:p w14:paraId="29BC3D79"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358F11B1"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586" w:type="dxa"/>
            <w:tcBorders>
              <w:top w:val="double" w:sz="4" w:space="0" w:color="auto"/>
            </w:tcBorders>
            <w:shd w:val="clear" w:color="auto" w:fill="auto"/>
            <w:noWrap/>
            <w:vAlign w:val="center"/>
          </w:tcPr>
          <w:p w14:paraId="4CA68725"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904" w:type="dxa"/>
            <w:tcBorders>
              <w:top w:val="double" w:sz="4" w:space="0" w:color="auto"/>
            </w:tcBorders>
          </w:tcPr>
          <w:p w14:paraId="5EB19E21" w14:textId="77777777" w:rsidR="00EA1177" w:rsidRPr="00A6026E" w:rsidRDefault="00EA1177" w:rsidP="00B6186D">
            <w:pPr>
              <w:spacing w:before="0" w:after="0"/>
              <w:jc w:val="center"/>
              <w:rPr>
                <w:rFonts w:ascii="Arial" w:hAnsi="Arial" w:cs="Arial"/>
                <w:color w:val="000000"/>
                <w:sz w:val="16"/>
                <w:szCs w:val="16"/>
                <w:lang w:val="en-AU" w:eastAsia="en-AU"/>
              </w:rPr>
            </w:pPr>
          </w:p>
        </w:tc>
        <w:tc>
          <w:tcPr>
            <w:tcW w:w="878" w:type="dxa"/>
            <w:tcBorders>
              <w:top w:val="double" w:sz="4" w:space="0" w:color="auto"/>
            </w:tcBorders>
          </w:tcPr>
          <w:p w14:paraId="2C11887C" w14:textId="77777777" w:rsidR="00EA1177" w:rsidRPr="00A6026E" w:rsidRDefault="00EA1177" w:rsidP="00B6186D">
            <w:pPr>
              <w:spacing w:before="0" w:after="0"/>
              <w:jc w:val="center"/>
              <w:rPr>
                <w:rFonts w:ascii="Arial" w:hAnsi="Arial" w:cs="Arial"/>
                <w:color w:val="000000"/>
                <w:sz w:val="16"/>
                <w:szCs w:val="16"/>
                <w:lang w:val="en-AU" w:eastAsia="en-AU"/>
              </w:rPr>
            </w:pPr>
          </w:p>
        </w:tc>
      </w:tr>
      <w:tr w:rsidR="00314185" w:rsidRPr="00A6026E" w14:paraId="0FBCA6CF" w14:textId="37ADC6ED" w:rsidTr="00A84800">
        <w:trPr>
          <w:trHeight w:val="225"/>
        </w:trPr>
        <w:tc>
          <w:tcPr>
            <w:tcW w:w="1873" w:type="dxa"/>
            <w:tcBorders>
              <w:left w:val="double" w:sz="6" w:space="0" w:color="auto"/>
              <w:bottom w:val="single" w:sz="4" w:space="0" w:color="BFBFBF"/>
              <w:right w:val="nil"/>
            </w:tcBorders>
            <w:shd w:val="clear" w:color="auto" w:fill="auto"/>
            <w:noWrap/>
            <w:vAlign w:val="center"/>
          </w:tcPr>
          <w:p w14:paraId="06A7DAE4" w14:textId="77777777" w:rsidR="00314185" w:rsidRPr="00A6026E" w:rsidRDefault="00314185"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lastRenderedPageBreak/>
              <w:t>By Concession Status -</w:t>
            </w:r>
          </w:p>
        </w:tc>
        <w:tc>
          <w:tcPr>
            <w:tcW w:w="808" w:type="dxa"/>
            <w:tcBorders>
              <w:left w:val="single" w:sz="4" w:space="0" w:color="auto"/>
              <w:bottom w:val="single" w:sz="4" w:space="0" w:color="BFBFBF"/>
              <w:right w:val="single" w:sz="4" w:space="0" w:color="BFBFBF"/>
            </w:tcBorders>
            <w:shd w:val="clear" w:color="auto" w:fill="auto"/>
            <w:noWrap/>
            <w:vAlign w:val="center"/>
          </w:tcPr>
          <w:p w14:paraId="70850D14"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left w:val="nil"/>
              <w:bottom w:val="single" w:sz="4" w:space="0" w:color="BFBFBF"/>
              <w:right w:val="single" w:sz="4" w:space="0" w:color="BFBFBF"/>
            </w:tcBorders>
            <w:shd w:val="clear" w:color="auto" w:fill="auto"/>
            <w:noWrap/>
            <w:vAlign w:val="center"/>
          </w:tcPr>
          <w:p w14:paraId="3B53B792"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15B626E5"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left w:val="nil"/>
              <w:bottom w:val="single" w:sz="4" w:space="0" w:color="BFBFBF"/>
              <w:right w:val="single" w:sz="4" w:space="0" w:color="BFBFBF"/>
            </w:tcBorders>
            <w:shd w:val="clear" w:color="auto" w:fill="auto"/>
            <w:noWrap/>
            <w:vAlign w:val="center"/>
          </w:tcPr>
          <w:p w14:paraId="07FEE447"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58883D66"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double" w:sz="6" w:space="0" w:color="auto"/>
            </w:tcBorders>
            <w:shd w:val="clear" w:color="auto" w:fill="auto"/>
            <w:noWrap/>
            <w:vAlign w:val="center"/>
          </w:tcPr>
          <w:p w14:paraId="7DA86870"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single" w:sz="4" w:space="0" w:color="auto"/>
              <w:bottom w:val="single" w:sz="4" w:space="0" w:color="BFBFBF"/>
              <w:right w:val="single" w:sz="4" w:space="0" w:color="BFBFBF"/>
            </w:tcBorders>
            <w:shd w:val="clear" w:color="auto" w:fill="auto"/>
            <w:noWrap/>
            <w:vAlign w:val="center"/>
          </w:tcPr>
          <w:p w14:paraId="40BB9097"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left w:val="nil"/>
              <w:bottom w:val="single" w:sz="4" w:space="0" w:color="BFBFBF"/>
              <w:right w:val="single" w:sz="4" w:space="0" w:color="BFBFBF"/>
            </w:tcBorders>
            <w:shd w:val="clear" w:color="auto" w:fill="auto"/>
            <w:noWrap/>
            <w:vAlign w:val="center"/>
          </w:tcPr>
          <w:p w14:paraId="76A6CD17"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7816DC32"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left w:val="nil"/>
              <w:bottom w:val="single" w:sz="4" w:space="0" w:color="BFBFBF"/>
              <w:right w:val="single" w:sz="4" w:space="0" w:color="BFBFBF"/>
            </w:tcBorders>
            <w:shd w:val="clear" w:color="auto" w:fill="auto"/>
            <w:noWrap/>
            <w:vAlign w:val="center"/>
          </w:tcPr>
          <w:p w14:paraId="200A5949"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48100762"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auto"/>
            </w:tcBorders>
            <w:shd w:val="clear" w:color="auto" w:fill="auto"/>
            <w:noWrap/>
            <w:vAlign w:val="center"/>
          </w:tcPr>
          <w:p w14:paraId="29F8077B"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2B43BB19"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left w:val="nil"/>
              <w:bottom w:val="single" w:sz="4" w:space="0" w:color="BFBFBF"/>
              <w:right w:val="single" w:sz="4" w:space="0" w:color="BFBFBF"/>
            </w:tcBorders>
            <w:shd w:val="clear" w:color="auto" w:fill="auto"/>
            <w:noWrap/>
            <w:vAlign w:val="center"/>
          </w:tcPr>
          <w:p w14:paraId="606D7783"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628EB6BA"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left w:val="nil"/>
              <w:bottom w:val="single" w:sz="4" w:space="0" w:color="BFBFBF"/>
              <w:right w:val="double" w:sz="6" w:space="0" w:color="auto"/>
            </w:tcBorders>
            <w:shd w:val="clear" w:color="auto" w:fill="auto"/>
            <w:noWrap/>
            <w:vAlign w:val="center"/>
          </w:tcPr>
          <w:p w14:paraId="1804EB1E" w14:textId="77777777" w:rsidR="00314185" w:rsidRPr="00A6026E" w:rsidRDefault="0031418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904" w:type="dxa"/>
            <w:tcBorders>
              <w:left w:val="nil"/>
              <w:bottom w:val="single" w:sz="4" w:space="0" w:color="A6A6A6" w:themeColor="background1" w:themeShade="A6"/>
              <w:right w:val="single" w:sz="4" w:space="0" w:color="A6A6A6" w:themeColor="background1" w:themeShade="A6"/>
            </w:tcBorders>
          </w:tcPr>
          <w:p w14:paraId="734A9364" w14:textId="77777777" w:rsidR="00314185" w:rsidRPr="00A6026E" w:rsidRDefault="00314185" w:rsidP="00B6186D">
            <w:pPr>
              <w:spacing w:before="0" w:after="0"/>
              <w:jc w:val="center"/>
              <w:rPr>
                <w:rFonts w:ascii="Arial" w:hAnsi="Arial" w:cs="Arial"/>
                <w:color w:val="000000"/>
                <w:sz w:val="16"/>
                <w:szCs w:val="16"/>
                <w:lang w:val="en-AU" w:eastAsia="en-AU"/>
              </w:rPr>
            </w:pPr>
          </w:p>
        </w:tc>
        <w:tc>
          <w:tcPr>
            <w:tcW w:w="878" w:type="dxa"/>
            <w:tcBorders>
              <w:left w:val="single" w:sz="4" w:space="0" w:color="A6A6A6" w:themeColor="background1" w:themeShade="A6"/>
              <w:bottom w:val="single" w:sz="4" w:space="0" w:color="A6A6A6" w:themeColor="background1" w:themeShade="A6"/>
              <w:right w:val="double" w:sz="6" w:space="0" w:color="auto"/>
            </w:tcBorders>
          </w:tcPr>
          <w:p w14:paraId="20B54FAF" w14:textId="77777777" w:rsidR="00314185" w:rsidRPr="00A6026E" w:rsidRDefault="00314185" w:rsidP="00B6186D">
            <w:pPr>
              <w:spacing w:before="0" w:after="0"/>
              <w:jc w:val="center"/>
              <w:rPr>
                <w:rFonts w:ascii="Arial" w:hAnsi="Arial" w:cs="Arial"/>
                <w:color w:val="000000"/>
                <w:sz w:val="16"/>
                <w:szCs w:val="16"/>
                <w:lang w:val="en-AU" w:eastAsia="en-AU"/>
              </w:rPr>
            </w:pPr>
          </w:p>
        </w:tc>
      </w:tr>
      <w:tr w:rsidR="009A17B5" w:rsidRPr="00A6026E" w14:paraId="0B76BB50" w14:textId="66BEC164"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5357FC8F" w14:textId="624E11D0" w:rsidR="009A17B5" w:rsidRPr="00A6026E" w:rsidRDefault="009A17B5"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Aged Conc</w:t>
            </w:r>
            <w:r>
              <w:rPr>
                <w:rFonts w:ascii="Arial" w:hAnsi="Arial" w:cs="Arial"/>
                <w:color w:val="000000"/>
                <w:sz w:val="16"/>
                <w:szCs w:val="16"/>
                <w:lang w:val="en-AU" w:eastAsia="en-AU"/>
              </w:rPr>
              <w:t>.</w:t>
            </w:r>
            <w:r w:rsidRPr="00A6026E">
              <w:rPr>
                <w:rFonts w:ascii="Arial" w:hAnsi="Arial" w:cs="Arial"/>
                <w:color w:val="000000"/>
                <w:sz w:val="16"/>
                <w:szCs w:val="16"/>
                <w:lang w:val="en-AU" w:eastAsia="en-AU"/>
              </w:rPr>
              <w:t xml:space="preserve">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180DDFA"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675" w:type="dxa"/>
            <w:tcBorders>
              <w:top w:val="nil"/>
              <w:left w:val="nil"/>
              <w:bottom w:val="single" w:sz="4" w:space="0" w:color="BFBFBF"/>
              <w:right w:val="single" w:sz="4" w:space="0" w:color="BFBFBF"/>
            </w:tcBorders>
            <w:shd w:val="clear" w:color="auto" w:fill="auto"/>
            <w:noWrap/>
            <w:vAlign w:val="center"/>
          </w:tcPr>
          <w:p w14:paraId="77D0AC77"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1B7539C2"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55%</w:t>
            </w:r>
          </w:p>
        </w:tc>
        <w:tc>
          <w:tcPr>
            <w:tcW w:w="675" w:type="dxa"/>
            <w:tcBorders>
              <w:top w:val="nil"/>
              <w:left w:val="nil"/>
              <w:bottom w:val="single" w:sz="4" w:space="0" w:color="BFBFBF"/>
              <w:right w:val="single" w:sz="4" w:space="0" w:color="BFBFBF"/>
            </w:tcBorders>
            <w:shd w:val="clear" w:color="auto" w:fill="auto"/>
            <w:noWrap/>
            <w:vAlign w:val="center"/>
          </w:tcPr>
          <w:p w14:paraId="7B3589EF"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59</w:t>
            </w:r>
          </w:p>
        </w:tc>
        <w:tc>
          <w:tcPr>
            <w:tcW w:w="808" w:type="dxa"/>
            <w:tcBorders>
              <w:top w:val="nil"/>
              <w:left w:val="nil"/>
              <w:bottom w:val="single" w:sz="4" w:space="0" w:color="BFBFBF"/>
              <w:right w:val="single" w:sz="4" w:space="0" w:color="BFBFBF"/>
            </w:tcBorders>
            <w:shd w:val="clear" w:color="auto" w:fill="auto"/>
            <w:noWrap/>
            <w:vAlign w:val="center"/>
          </w:tcPr>
          <w:p w14:paraId="4FF99A72"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808" w:type="dxa"/>
            <w:tcBorders>
              <w:top w:val="nil"/>
              <w:left w:val="nil"/>
              <w:bottom w:val="single" w:sz="4" w:space="0" w:color="BFBFBF"/>
              <w:right w:val="double" w:sz="6" w:space="0" w:color="auto"/>
            </w:tcBorders>
            <w:shd w:val="clear" w:color="auto" w:fill="auto"/>
            <w:noWrap/>
            <w:vAlign w:val="center"/>
          </w:tcPr>
          <w:p w14:paraId="35A6F4BC"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107AAA9"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62%</w:t>
            </w:r>
          </w:p>
        </w:tc>
        <w:tc>
          <w:tcPr>
            <w:tcW w:w="675" w:type="dxa"/>
            <w:tcBorders>
              <w:top w:val="nil"/>
              <w:left w:val="nil"/>
              <w:bottom w:val="single" w:sz="4" w:space="0" w:color="BFBFBF"/>
              <w:right w:val="single" w:sz="4" w:space="0" w:color="BFBFBF"/>
            </w:tcBorders>
            <w:shd w:val="clear" w:color="auto" w:fill="auto"/>
            <w:noWrap/>
            <w:vAlign w:val="center"/>
          </w:tcPr>
          <w:p w14:paraId="7E2AF17A"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507EDE97"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w:t>
            </w:r>
          </w:p>
        </w:tc>
        <w:tc>
          <w:tcPr>
            <w:tcW w:w="675" w:type="dxa"/>
            <w:tcBorders>
              <w:top w:val="nil"/>
              <w:left w:val="nil"/>
              <w:bottom w:val="single" w:sz="4" w:space="0" w:color="BFBFBF"/>
              <w:right w:val="single" w:sz="4" w:space="0" w:color="BFBFBF"/>
            </w:tcBorders>
            <w:shd w:val="clear" w:color="auto" w:fill="auto"/>
            <w:noWrap/>
            <w:vAlign w:val="center"/>
          </w:tcPr>
          <w:p w14:paraId="2E2E17B4"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55</w:t>
            </w:r>
          </w:p>
        </w:tc>
        <w:tc>
          <w:tcPr>
            <w:tcW w:w="808" w:type="dxa"/>
            <w:tcBorders>
              <w:top w:val="nil"/>
              <w:left w:val="nil"/>
              <w:bottom w:val="single" w:sz="4" w:space="0" w:color="BFBFBF"/>
              <w:right w:val="single" w:sz="4" w:space="0" w:color="BFBFBF"/>
            </w:tcBorders>
            <w:shd w:val="clear" w:color="auto" w:fill="auto"/>
            <w:noWrap/>
            <w:vAlign w:val="center"/>
          </w:tcPr>
          <w:p w14:paraId="39502DDB"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auto"/>
            </w:tcBorders>
            <w:shd w:val="clear" w:color="auto" w:fill="auto"/>
            <w:noWrap/>
            <w:vAlign w:val="center"/>
          </w:tcPr>
          <w:p w14:paraId="53FBFFC0"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058F56C0"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BFBFBF"/>
            </w:tcBorders>
            <w:shd w:val="clear" w:color="auto" w:fill="auto"/>
            <w:noWrap/>
            <w:vAlign w:val="center"/>
          </w:tcPr>
          <w:p w14:paraId="66FFA9BD"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172</w:t>
            </w:r>
          </w:p>
        </w:tc>
        <w:tc>
          <w:tcPr>
            <w:tcW w:w="808" w:type="dxa"/>
            <w:tcBorders>
              <w:top w:val="nil"/>
              <w:left w:val="nil"/>
              <w:bottom w:val="single" w:sz="4" w:space="0" w:color="BFBFBF"/>
              <w:right w:val="single" w:sz="4" w:space="0" w:color="BFBFBF"/>
            </w:tcBorders>
            <w:shd w:val="clear" w:color="auto" w:fill="auto"/>
            <w:noWrap/>
            <w:vAlign w:val="center"/>
          </w:tcPr>
          <w:p w14:paraId="791F950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w:t>
            </w:r>
          </w:p>
        </w:tc>
        <w:tc>
          <w:tcPr>
            <w:tcW w:w="586" w:type="dxa"/>
            <w:tcBorders>
              <w:top w:val="nil"/>
              <w:left w:val="nil"/>
              <w:bottom w:val="single" w:sz="4" w:space="0" w:color="BFBFBF"/>
              <w:right w:val="double" w:sz="6" w:space="0" w:color="auto"/>
            </w:tcBorders>
            <w:shd w:val="clear" w:color="auto" w:fill="auto"/>
            <w:noWrap/>
            <w:vAlign w:val="center"/>
          </w:tcPr>
          <w:p w14:paraId="4BA4C71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9A34E5D" w14:textId="69208536"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995</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3F0E0AD8" w14:textId="1FA344B5"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528</w:t>
            </w:r>
          </w:p>
        </w:tc>
      </w:tr>
      <w:tr w:rsidR="009A17B5" w:rsidRPr="00A6026E" w14:paraId="6E330E01" w14:textId="18C2E16E"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64FCAC80" w14:textId="71241DD0" w:rsidR="009A17B5" w:rsidRPr="00A6026E" w:rsidRDefault="009A17B5"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Other Conc</w:t>
            </w:r>
            <w:r>
              <w:rPr>
                <w:rFonts w:ascii="Arial" w:hAnsi="Arial" w:cs="Arial"/>
                <w:color w:val="000000"/>
                <w:sz w:val="16"/>
                <w:szCs w:val="16"/>
                <w:lang w:val="en-AU" w:eastAsia="en-AU"/>
              </w:rPr>
              <w:t>.</w:t>
            </w:r>
            <w:r w:rsidRPr="00A6026E">
              <w:rPr>
                <w:rFonts w:ascii="Arial" w:hAnsi="Arial" w:cs="Arial"/>
                <w:color w:val="000000"/>
                <w:sz w:val="16"/>
                <w:szCs w:val="16"/>
                <w:lang w:val="en-AU" w:eastAsia="en-AU"/>
              </w:rPr>
              <w:t xml:space="preserve">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C728C6E"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48%</w:t>
            </w:r>
          </w:p>
        </w:tc>
        <w:tc>
          <w:tcPr>
            <w:tcW w:w="675" w:type="dxa"/>
            <w:tcBorders>
              <w:top w:val="nil"/>
              <w:left w:val="nil"/>
              <w:bottom w:val="single" w:sz="4" w:space="0" w:color="BFBFBF"/>
              <w:right w:val="single" w:sz="4" w:space="0" w:color="BFBFBF"/>
            </w:tcBorders>
            <w:shd w:val="clear" w:color="auto" w:fill="auto"/>
            <w:noWrap/>
            <w:vAlign w:val="center"/>
          </w:tcPr>
          <w:p w14:paraId="6182414F"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808" w:type="dxa"/>
            <w:tcBorders>
              <w:top w:val="nil"/>
              <w:left w:val="nil"/>
              <w:bottom w:val="single" w:sz="4" w:space="0" w:color="BFBFBF"/>
              <w:right w:val="single" w:sz="4" w:space="0" w:color="BFBFBF"/>
            </w:tcBorders>
            <w:shd w:val="clear" w:color="auto" w:fill="auto"/>
            <w:noWrap/>
            <w:vAlign w:val="center"/>
          </w:tcPr>
          <w:p w14:paraId="5D105C5F"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w:t>
            </w:r>
          </w:p>
        </w:tc>
        <w:tc>
          <w:tcPr>
            <w:tcW w:w="675" w:type="dxa"/>
            <w:tcBorders>
              <w:top w:val="nil"/>
              <w:left w:val="nil"/>
              <w:bottom w:val="single" w:sz="4" w:space="0" w:color="BFBFBF"/>
              <w:right w:val="single" w:sz="4" w:space="0" w:color="BFBFBF"/>
            </w:tcBorders>
            <w:shd w:val="clear" w:color="auto" w:fill="auto"/>
            <w:noWrap/>
            <w:vAlign w:val="center"/>
          </w:tcPr>
          <w:p w14:paraId="57B49F32"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56</w:t>
            </w:r>
          </w:p>
        </w:tc>
        <w:tc>
          <w:tcPr>
            <w:tcW w:w="808" w:type="dxa"/>
            <w:tcBorders>
              <w:top w:val="nil"/>
              <w:left w:val="nil"/>
              <w:bottom w:val="single" w:sz="4" w:space="0" w:color="BFBFBF"/>
              <w:right w:val="single" w:sz="4" w:space="0" w:color="BFBFBF"/>
            </w:tcBorders>
            <w:shd w:val="clear" w:color="auto" w:fill="auto"/>
            <w:noWrap/>
            <w:vAlign w:val="center"/>
          </w:tcPr>
          <w:p w14:paraId="474C3694"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808" w:type="dxa"/>
            <w:tcBorders>
              <w:top w:val="nil"/>
              <w:left w:val="nil"/>
              <w:bottom w:val="single" w:sz="4" w:space="0" w:color="BFBFBF"/>
              <w:right w:val="double" w:sz="6" w:space="0" w:color="auto"/>
            </w:tcBorders>
            <w:shd w:val="clear" w:color="auto" w:fill="auto"/>
            <w:noWrap/>
            <w:vAlign w:val="center"/>
          </w:tcPr>
          <w:p w14:paraId="51D69771"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07CB56D"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w:t>
            </w:r>
          </w:p>
        </w:tc>
        <w:tc>
          <w:tcPr>
            <w:tcW w:w="675" w:type="dxa"/>
            <w:tcBorders>
              <w:top w:val="nil"/>
              <w:left w:val="nil"/>
              <w:bottom w:val="single" w:sz="4" w:space="0" w:color="BFBFBF"/>
              <w:right w:val="single" w:sz="4" w:space="0" w:color="BFBFBF"/>
            </w:tcBorders>
            <w:shd w:val="clear" w:color="auto" w:fill="auto"/>
            <w:noWrap/>
            <w:vAlign w:val="center"/>
          </w:tcPr>
          <w:p w14:paraId="3B48D53D"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w:t>
            </w:r>
          </w:p>
        </w:tc>
        <w:tc>
          <w:tcPr>
            <w:tcW w:w="808" w:type="dxa"/>
            <w:tcBorders>
              <w:top w:val="nil"/>
              <w:left w:val="nil"/>
              <w:bottom w:val="single" w:sz="4" w:space="0" w:color="BFBFBF"/>
              <w:right w:val="single" w:sz="4" w:space="0" w:color="BFBFBF"/>
            </w:tcBorders>
            <w:shd w:val="clear" w:color="auto" w:fill="auto"/>
            <w:noWrap/>
            <w:vAlign w:val="center"/>
          </w:tcPr>
          <w:p w14:paraId="7429594D"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38%</w:t>
            </w:r>
          </w:p>
        </w:tc>
        <w:tc>
          <w:tcPr>
            <w:tcW w:w="675" w:type="dxa"/>
            <w:tcBorders>
              <w:top w:val="nil"/>
              <w:left w:val="nil"/>
              <w:bottom w:val="single" w:sz="4" w:space="0" w:color="BFBFBF"/>
              <w:right w:val="single" w:sz="4" w:space="0" w:color="BFBFBF"/>
            </w:tcBorders>
            <w:shd w:val="clear" w:color="auto" w:fill="auto"/>
            <w:noWrap/>
            <w:vAlign w:val="center"/>
          </w:tcPr>
          <w:p w14:paraId="7153DE7F"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63</w:t>
            </w:r>
          </w:p>
        </w:tc>
        <w:tc>
          <w:tcPr>
            <w:tcW w:w="808" w:type="dxa"/>
            <w:tcBorders>
              <w:top w:val="nil"/>
              <w:left w:val="nil"/>
              <w:bottom w:val="single" w:sz="4" w:space="0" w:color="BFBFBF"/>
              <w:right w:val="single" w:sz="4" w:space="0" w:color="BFBFBF"/>
            </w:tcBorders>
            <w:shd w:val="clear" w:color="auto" w:fill="auto"/>
            <w:noWrap/>
            <w:vAlign w:val="center"/>
          </w:tcPr>
          <w:p w14:paraId="398BB456"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w:t>
            </w:r>
          </w:p>
        </w:tc>
        <w:tc>
          <w:tcPr>
            <w:tcW w:w="808" w:type="dxa"/>
            <w:tcBorders>
              <w:top w:val="nil"/>
              <w:left w:val="nil"/>
              <w:bottom w:val="single" w:sz="4" w:space="0" w:color="BFBFBF"/>
              <w:right w:val="single" w:sz="4" w:space="0" w:color="auto"/>
            </w:tcBorders>
            <w:shd w:val="clear" w:color="auto" w:fill="auto"/>
            <w:noWrap/>
            <w:vAlign w:val="center"/>
          </w:tcPr>
          <w:p w14:paraId="3F920702"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BFBFBF"/>
            </w:tcBorders>
            <w:shd w:val="clear" w:color="auto" w:fill="auto"/>
            <w:noWrap/>
            <w:vAlign w:val="center"/>
          </w:tcPr>
          <w:p w14:paraId="6023A14E"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BFBFBF"/>
            </w:tcBorders>
            <w:shd w:val="clear" w:color="auto" w:fill="auto"/>
            <w:noWrap/>
            <w:vAlign w:val="center"/>
          </w:tcPr>
          <w:p w14:paraId="51F01569"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191</w:t>
            </w:r>
          </w:p>
        </w:tc>
        <w:tc>
          <w:tcPr>
            <w:tcW w:w="808" w:type="dxa"/>
            <w:tcBorders>
              <w:top w:val="nil"/>
              <w:left w:val="nil"/>
              <w:bottom w:val="single" w:sz="4" w:space="0" w:color="BFBFBF"/>
              <w:right w:val="single" w:sz="4" w:space="0" w:color="BFBFBF"/>
            </w:tcBorders>
            <w:shd w:val="clear" w:color="auto" w:fill="auto"/>
            <w:noWrap/>
            <w:vAlign w:val="center"/>
          </w:tcPr>
          <w:p w14:paraId="02724274"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w:t>
            </w:r>
          </w:p>
        </w:tc>
        <w:tc>
          <w:tcPr>
            <w:tcW w:w="586" w:type="dxa"/>
            <w:tcBorders>
              <w:top w:val="nil"/>
              <w:left w:val="nil"/>
              <w:bottom w:val="single" w:sz="4" w:space="0" w:color="BFBFBF"/>
              <w:right w:val="double" w:sz="6" w:space="0" w:color="auto"/>
            </w:tcBorders>
            <w:shd w:val="clear" w:color="auto" w:fill="auto"/>
            <w:noWrap/>
            <w:vAlign w:val="center"/>
          </w:tcPr>
          <w:p w14:paraId="746BFF6E"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2F11E60" w14:textId="558F904C"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940</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074EEE17" w14:textId="7F9F8474"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512</w:t>
            </w:r>
          </w:p>
        </w:tc>
      </w:tr>
      <w:tr w:rsidR="009A17B5" w:rsidRPr="00A6026E" w14:paraId="203FDA09" w14:textId="7A109383"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37AD34A0" w14:textId="26AE0FC5" w:rsidR="009A17B5" w:rsidRPr="00A6026E" w:rsidRDefault="009A17B5"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Total Conc</w:t>
            </w:r>
            <w:r>
              <w:rPr>
                <w:rFonts w:ascii="Arial" w:hAnsi="Arial" w:cs="Arial"/>
                <w:color w:val="000000"/>
                <w:sz w:val="16"/>
                <w:szCs w:val="16"/>
                <w:lang w:val="en-AU" w:eastAsia="en-AU"/>
              </w:rPr>
              <w:t>.</w:t>
            </w:r>
            <w:r w:rsidRPr="00A6026E">
              <w:rPr>
                <w:rFonts w:ascii="Arial" w:hAnsi="Arial" w:cs="Arial"/>
                <w:color w:val="000000"/>
                <w:sz w:val="16"/>
                <w:szCs w:val="16"/>
                <w:lang w:val="en-AU" w:eastAsia="en-AU"/>
              </w:rPr>
              <w:t xml:space="preserve">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AC8A622"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56%</w:t>
            </w:r>
          </w:p>
        </w:tc>
        <w:tc>
          <w:tcPr>
            <w:tcW w:w="675" w:type="dxa"/>
            <w:tcBorders>
              <w:top w:val="nil"/>
              <w:left w:val="nil"/>
              <w:bottom w:val="single" w:sz="4" w:space="0" w:color="BFBFBF"/>
              <w:right w:val="single" w:sz="4" w:space="0" w:color="BFBFBF"/>
            </w:tcBorders>
            <w:shd w:val="clear" w:color="auto" w:fill="auto"/>
            <w:noWrap/>
            <w:vAlign w:val="center"/>
          </w:tcPr>
          <w:p w14:paraId="4E9A2F2E"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0C10E6D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47%</w:t>
            </w:r>
          </w:p>
        </w:tc>
        <w:tc>
          <w:tcPr>
            <w:tcW w:w="675" w:type="dxa"/>
            <w:tcBorders>
              <w:top w:val="nil"/>
              <w:left w:val="nil"/>
              <w:bottom w:val="single" w:sz="4" w:space="0" w:color="BFBFBF"/>
              <w:right w:val="single" w:sz="4" w:space="0" w:color="BFBFBF"/>
            </w:tcBorders>
            <w:shd w:val="clear" w:color="auto" w:fill="auto"/>
            <w:noWrap/>
            <w:vAlign w:val="center"/>
          </w:tcPr>
          <w:p w14:paraId="7F743B2A"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58</w:t>
            </w:r>
          </w:p>
        </w:tc>
        <w:tc>
          <w:tcPr>
            <w:tcW w:w="808" w:type="dxa"/>
            <w:tcBorders>
              <w:top w:val="nil"/>
              <w:left w:val="nil"/>
              <w:bottom w:val="single" w:sz="4" w:space="0" w:color="BFBFBF"/>
              <w:right w:val="single" w:sz="4" w:space="0" w:color="BFBFBF"/>
            </w:tcBorders>
            <w:shd w:val="clear" w:color="auto" w:fill="auto"/>
            <w:noWrap/>
            <w:vAlign w:val="center"/>
          </w:tcPr>
          <w:p w14:paraId="290EA68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double" w:sz="6" w:space="0" w:color="auto"/>
            </w:tcBorders>
            <w:shd w:val="clear" w:color="auto" w:fill="auto"/>
            <w:noWrap/>
            <w:vAlign w:val="center"/>
          </w:tcPr>
          <w:p w14:paraId="32177504"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8F0EA7A"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53%</w:t>
            </w:r>
          </w:p>
        </w:tc>
        <w:tc>
          <w:tcPr>
            <w:tcW w:w="675" w:type="dxa"/>
            <w:tcBorders>
              <w:top w:val="nil"/>
              <w:left w:val="nil"/>
              <w:bottom w:val="single" w:sz="4" w:space="0" w:color="BFBFBF"/>
              <w:right w:val="single" w:sz="4" w:space="0" w:color="BFBFBF"/>
            </w:tcBorders>
            <w:shd w:val="clear" w:color="auto" w:fill="auto"/>
            <w:noWrap/>
            <w:vAlign w:val="center"/>
          </w:tcPr>
          <w:p w14:paraId="5D6023DC"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73</w:t>
            </w:r>
          </w:p>
        </w:tc>
        <w:tc>
          <w:tcPr>
            <w:tcW w:w="808" w:type="dxa"/>
            <w:tcBorders>
              <w:top w:val="nil"/>
              <w:left w:val="nil"/>
              <w:bottom w:val="single" w:sz="4" w:space="0" w:color="BFBFBF"/>
              <w:right w:val="single" w:sz="4" w:space="0" w:color="BFBFBF"/>
            </w:tcBorders>
            <w:shd w:val="clear" w:color="auto" w:fill="auto"/>
            <w:noWrap/>
            <w:vAlign w:val="center"/>
          </w:tcPr>
          <w:p w14:paraId="4C4C8B1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48%</w:t>
            </w:r>
          </w:p>
        </w:tc>
        <w:tc>
          <w:tcPr>
            <w:tcW w:w="675" w:type="dxa"/>
            <w:tcBorders>
              <w:top w:val="nil"/>
              <w:left w:val="nil"/>
              <w:bottom w:val="single" w:sz="4" w:space="0" w:color="BFBFBF"/>
              <w:right w:val="single" w:sz="4" w:space="0" w:color="BFBFBF"/>
            </w:tcBorders>
            <w:shd w:val="clear" w:color="auto" w:fill="auto"/>
            <w:noWrap/>
            <w:vAlign w:val="center"/>
          </w:tcPr>
          <w:p w14:paraId="2F808E81"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58</w:t>
            </w:r>
          </w:p>
        </w:tc>
        <w:tc>
          <w:tcPr>
            <w:tcW w:w="808" w:type="dxa"/>
            <w:tcBorders>
              <w:top w:val="nil"/>
              <w:left w:val="nil"/>
              <w:bottom w:val="single" w:sz="4" w:space="0" w:color="BFBFBF"/>
              <w:right w:val="single" w:sz="4" w:space="0" w:color="BFBFBF"/>
            </w:tcBorders>
            <w:shd w:val="clear" w:color="auto" w:fill="auto"/>
            <w:noWrap/>
            <w:vAlign w:val="center"/>
          </w:tcPr>
          <w:p w14:paraId="71E7B796"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42</w:t>
            </w:r>
          </w:p>
        </w:tc>
        <w:tc>
          <w:tcPr>
            <w:tcW w:w="808" w:type="dxa"/>
            <w:tcBorders>
              <w:top w:val="nil"/>
              <w:left w:val="nil"/>
              <w:bottom w:val="single" w:sz="4" w:space="0" w:color="BFBFBF"/>
              <w:right w:val="single" w:sz="4" w:space="0" w:color="auto"/>
            </w:tcBorders>
            <w:shd w:val="clear" w:color="auto" w:fill="auto"/>
            <w:noWrap/>
            <w:vAlign w:val="center"/>
          </w:tcPr>
          <w:p w14:paraId="617AF5B1"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42</w:t>
            </w:r>
          </w:p>
        </w:tc>
        <w:tc>
          <w:tcPr>
            <w:tcW w:w="808" w:type="dxa"/>
            <w:tcBorders>
              <w:top w:val="nil"/>
              <w:left w:val="nil"/>
              <w:bottom w:val="single" w:sz="4" w:space="0" w:color="BFBFBF"/>
              <w:right w:val="single" w:sz="4" w:space="0" w:color="BFBFBF"/>
            </w:tcBorders>
            <w:shd w:val="clear" w:color="auto" w:fill="auto"/>
            <w:noWrap/>
            <w:vAlign w:val="center"/>
          </w:tcPr>
          <w:p w14:paraId="45307F69"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BFBFBF"/>
            </w:tcBorders>
            <w:shd w:val="clear" w:color="auto" w:fill="auto"/>
            <w:noWrap/>
            <w:vAlign w:val="center"/>
          </w:tcPr>
          <w:p w14:paraId="7094BF80"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184</w:t>
            </w:r>
          </w:p>
        </w:tc>
        <w:tc>
          <w:tcPr>
            <w:tcW w:w="808" w:type="dxa"/>
            <w:tcBorders>
              <w:top w:val="nil"/>
              <w:left w:val="nil"/>
              <w:bottom w:val="single" w:sz="4" w:space="0" w:color="BFBFBF"/>
              <w:right w:val="single" w:sz="4" w:space="0" w:color="BFBFBF"/>
            </w:tcBorders>
            <w:shd w:val="clear" w:color="auto" w:fill="auto"/>
            <w:noWrap/>
            <w:vAlign w:val="center"/>
          </w:tcPr>
          <w:p w14:paraId="158381F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w:t>
            </w:r>
          </w:p>
        </w:tc>
        <w:tc>
          <w:tcPr>
            <w:tcW w:w="586" w:type="dxa"/>
            <w:tcBorders>
              <w:top w:val="nil"/>
              <w:left w:val="nil"/>
              <w:bottom w:val="single" w:sz="4" w:space="0" w:color="BFBFBF"/>
              <w:right w:val="double" w:sz="6" w:space="0" w:color="auto"/>
            </w:tcBorders>
            <w:shd w:val="clear" w:color="auto" w:fill="auto"/>
            <w:noWrap/>
            <w:vAlign w:val="center"/>
          </w:tcPr>
          <w:p w14:paraId="711DD34B"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FA8A37A" w14:textId="25A955F8"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969</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68F7FA67" w14:textId="6C53E06F"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520</w:t>
            </w:r>
          </w:p>
        </w:tc>
      </w:tr>
      <w:tr w:rsidR="009A17B5" w:rsidRPr="00A6026E" w14:paraId="610CA61A" w14:textId="0C4E3E54"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4C9C536D" w14:textId="0C132435" w:rsidR="009A17B5" w:rsidRPr="00A6026E" w:rsidRDefault="009A17B5"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Non-Conc</w:t>
            </w:r>
            <w:r>
              <w:rPr>
                <w:rFonts w:ascii="Arial" w:hAnsi="Arial" w:cs="Arial"/>
                <w:color w:val="000000"/>
                <w:sz w:val="16"/>
                <w:szCs w:val="16"/>
                <w:lang w:val="en-AU" w:eastAsia="en-AU"/>
              </w:rPr>
              <w:t>.</w:t>
            </w:r>
            <w:r w:rsidRPr="00A6026E">
              <w:rPr>
                <w:rFonts w:ascii="Arial" w:hAnsi="Arial" w:cs="Arial"/>
                <w:color w:val="000000"/>
                <w:sz w:val="16"/>
                <w:szCs w:val="16"/>
                <w:lang w:val="en-AU" w:eastAsia="en-AU"/>
              </w:rPr>
              <w:t xml:space="preserve">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439535E"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70%</w:t>
            </w:r>
          </w:p>
        </w:tc>
        <w:tc>
          <w:tcPr>
            <w:tcW w:w="675" w:type="dxa"/>
            <w:tcBorders>
              <w:top w:val="nil"/>
              <w:left w:val="nil"/>
              <w:bottom w:val="single" w:sz="4" w:space="0" w:color="BFBFBF"/>
              <w:right w:val="single" w:sz="4" w:space="0" w:color="BFBFBF"/>
            </w:tcBorders>
            <w:shd w:val="clear" w:color="auto" w:fill="auto"/>
            <w:noWrap/>
            <w:vAlign w:val="center"/>
          </w:tcPr>
          <w:p w14:paraId="463FFDA9"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90</w:t>
            </w:r>
          </w:p>
        </w:tc>
        <w:tc>
          <w:tcPr>
            <w:tcW w:w="808" w:type="dxa"/>
            <w:tcBorders>
              <w:top w:val="nil"/>
              <w:left w:val="nil"/>
              <w:bottom w:val="single" w:sz="4" w:space="0" w:color="BFBFBF"/>
              <w:right w:val="single" w:sz="4" w:space="0" w:color="BFBFBF"/>
            </w:tcBorders>
            <w:shd w:val="clear" w:color="auto" w:fill="auto"/>
            <w:noWrap/>
            <w:vAlign w:val="center"/>
          </w:tcPr>
          <w:p w14:paraId="1FF3254C"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61%</w:t>
            </w:r>
          </w:p>
        </w:tc>
        <w:tc>
          <w:tcPr>
            <w:tcW w:w="675" w:type="dxa"/>
            <w:tcBorders>
              <w:top w:val="nil"/>
              <w:left w:val="nil"/>
              <w:bottom w:val="single" w:sz="4" w:space="0" w:color="BFBFBF"/>
              <w:right w:val="single" w:sz="4" w:space="0" w:color="BFBFBF"/>
            </w:tcBorders>
            <w:shd w:val="clear" w:color="auto" w:fill="auto"/>
            <w:noWrap/>
            <w:vAlign w:val="center"/>
          </w:tcPr>
          <w:p w14:paraId="4DEA9379"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66</w:t>
            </w:r>
          </w:p>
        </w:tc>
        <w:tc>
          <w:tcPr>
            <w:tcW w:w="808" w:type="dxa"/>
            <w:tcBorders>
              <w:top w:val="nil"/>
              <w:left w:val="nil"/>
              <w:bottom w:val="single" w:sz="4" w:space="0" w:color="BFBFBF"/>
              <w:right w:val="single" w:sz="4" w:space="0" w:color="BFBFBF"/>
            </w:tcBorders>
            <w:shd w:val="clear" w:color="auto" w:fill="auto"/>
            <w:noWrap/>
            <w:vAlign w:val="center"/>
          </w:tcPr>
          <w:p w14:paraId="3B287202"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49</w:t>
            </w:r>
          </w:p>
        </w:tc>
        <w:tc>
          <w:tcPr>
            <w:tcW w:w="808" w:type="dxa"/>
            <w:tcBorders>
              <w:top w:val="nil"/>
              <w:left w:val="nil"/>
              <w:bottom w:val="single" w:sz="4" w:space="0" w:color="BFBFBF"/>
              <w:right w:val="double" w:sz="6" w:space="0" w:color="auto"/>
            </w:tcBorders>
            <w:shd w:val="clear" w:color="auto" w:fill="auto"/>
            <w:noWrap/>
            <w:vAlign w:val="center"/>
          </w:tcPr>
          <w:p w14:paraId="19AA838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D84B2DA"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67%</w:t>
            </w:r>
          </w:p>
        </w:tc>
        <w:tc>
          <w:tcPr>
            <w:tcW w:w="675" w:type="dxa"/>
            <w:tcBorders>
              <w:top w:val="nil"/>
              <w:left w:val="nil"/>
              <w:bottom w:val="single" w:sz="4" w:space="0" w:color="BFBFBF"/>
              <w:right w:val="single" w:sz="4" w:space="0" w:color="BFBFBF"/>
            </w:tcBorders>
            <w:shd w:val="clear" w:color="auto" w:fill="auto"/>
            <w:noWrap/>
            <w:vAlign w:val="center"/>
          </w:tcPr>
          <w:p w14:paraId="26CE22BF"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70</w:t>
            </w:r>
          </w:p>
        </w:tc>
        <w:tc>
          <w:tcPr>
            <w:tcW w:w="808" w:type="dxa"/>
            <w:tcBorders>
              <w:top w:val="nil"/>
              <w:left w:val="nil"/>
              <w:bottom w:val="single" w:sz="4" w:space="0" w:color="BFBFBF"/>
              <w:right w:val="single" w:sz="4" w:space="0" w:color="BFBFBF"/>
            </w:tcBorders>
            <w:shd w:val="clear" w:color="auto" w:fill="auto"/>
            <w:noWrap/>
            <w:vAlign w:val="center"/>
          </w:tcPr>
          <w:p w14:paraId="4D17D326"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63%</w:t>
            </w:r>
          </w:p>
        </w:tc>
        <w:tc>
          <w:tcPr>
            <w:tcW w:w="675" w:type="dxa"/>
            <w:tcBorders>
              <w:top w:val="nil"/>
              <w:left w:val="nil"/>
              <w:bottom w:val="single" w:sz="4" w:space="0" w:color="BFBFBF"/>
              <w:right w:val="single" w:sz="4" w:space="0" w:color="BFBFBF"/>
            </w:tcBorders>
            <w:shd w:val="clear" w:color="auto" w:fill="auto"/>
            <w:noWrap/>
            <w:vAlign w:val="center"/>
          </w:tcPr>
          <w:p w14:paraId="260C49E0"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59</w:t>
            </w:r>
          </w:p>
        </w:tc>
        <w:tc>
          <w:tcPr>
            <w:tcW w:w="808" w:type="dxa"/>
            <w:tcBorders>
              <w:top w:val="nil"/>
              <w:left w:val="nil"/>
              <w:bottom w:val="single" w:sz="4" w:space="0" w:color="BFBFBF"/>
              <w:right w:val="single" w:sz="4" w:space="0" w:color="BFBFBF"/>
            </w:tcBorders>
            <w:shd w:val="clear" w:color="auto" w:fill="auto"/>
            <w:noWrap/>
            <w:vAlign w:val="center"/>
          </w:tcPr>
          <w:p w14:paraId="407ACD86"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34</w:t>
            </w:r>
          </w:p>
        </w:tc>
        <w:tc>
          <w:tcPr>
            <w:tcW w:w="808" w:type="dxa"/>
            <w:tcBorders>
              <w:top w:val="nil"/>
              <w:left w:val="nil"/>
              <w:bottom w:val="single" w:sz="4" w:space="0" w:color="BFBFBF"/>
              <w:right w:val="single" w:sz="4" w:space="0" w:color="auto"/>
            </w:tcBorders>
            <w:shd w:val="clear" w:color="auto" w:fill="auto"/>
            <w:noWrap/>
            <w:vAlign w:val="center"/>
          </w:tcPr>
          <w:p w14:paraId="422B5B8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14633FAF"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BFBFBF"/>
            </w:tcBorders>
            <w:shd w:val="clear" w:color="auto" w:fill="auto"/>
            <w:noWrap/>
            <w:vAlign w:val="center"/>
          </w:tcPr>
          <w:p w14:paraId="3E8ED6CB"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48</w:t>
            </w:r>
          </w:p>
        </w:tc>
        <w:tc>
          <w:tcPr>
            <w:tcW w:w="808" w:type="dxa"/>
            <w:tcBorders>
              <w:top w:val="nil"/>
              <w:left w:val="nil"/>
              <w:bottom w:val="single" w:sz="4" w:space="0" w:color="BFBFBF"/>
              <w:right w:val="single" w:sz="4" w:space="0" w:color="BFBFBF"/>
            </w:tcBorders>
            <w:shd w:val="clear" w:color="auto" w:fill="auto"/>
            <w:noWrap/>
            <w:vAlign w:val="center"/>
          </w:tcPr>
          <w:p w14:paraId="08D308C2"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586" w:type="dxa"/>
            <w:tcBorders>
              <w:top w:val="nil"/>
              <w:left w:val="nil"/>
              <w:bottom w:val="single" w:sz="4" w:space="0" w:color="BFBFBF"/>
              <w:right w:val="double" w:sz="6" w:space="0" w:color="auto"/>
            </w:tcBorders>
            <w:shd w:val="clear" w:color="auto" w:fill="auto"/>
            <w:noWrap/>
            <w:vAlign w:val="center"/>
          </w:tcPr>
          <w:p w14:paraId="2303BA3E"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D07ED40" w14:textId="7733311E"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1,154</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30B9C820" w14:textId="7487EE3C"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598</w:t>
            </w:r>
          </w:p>
        </w:tc>
      </w:tr>
      <w:tr w:rsidR="009A17B5" w:rsidRPr="00A6026E" w14:paraId="6AD332AD" w14:textId="623F4286"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3D4D1B85" w14:textId="77777777" w:rsidR="009A17B5" w:rsidRPr="00A6026E" w:rsidRDefault="009A17B5"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Household Size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225A29E"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08DC776C"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CDE0C8E"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3D945E6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FF685CF"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2F7841B9"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37E22DC"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090C24CC"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1EC558A"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529A6826"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89A4B8E"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2251409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2275E3C"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top w:val="nil"/>
              <w:left w:val="nil"/>
              <w:bottom w:val="single" w:sz="4" w:space="0" w:color="BFBFBF"/>
              <w:right w:val="single" w:sz="4" w:space="0" w:color="BFBFBF"/>
            </w:tcBorders>
            <w:shd w:val="clear" w:color="auto" w:fill="auto"/>
            <w:noWrap/>
            <w:vAlign w:val="center"/>
          </w:tcPr>
          <w:p w14:paraId="5B56EFEC"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13F1F8E"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top w:val="nil"/>
              <w:left w:val="nil"/>
              <w:bottom w:val="single" w:sz="4" w:space="0" w:color="BFBFBF"/>
              <w:right w:val="double" w:sz="6" w:space="0" w:color="auto"/>
            </w:tcBorders>
            <w:shd w:val="clear" w:color="auto" w:fill="auto"/>
            <w:noWrap/>
            <w:vAlign w:val="center"/>
          </w:tcPr>
          <w:p w14:paraId="5DAA56DD"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BA5EEC4" w14:textId="0F28FCD8" w:rsidR="009A17B5" w:rsidRPr="00A6026E" w:rsidRDefault="009A17B5" w:rsidP="009A17B5">
            <w:pPr>
              <w:spacing w:before="0" w:after="0"/>
              <w:jc w:val="center"/>
              <w:rPr>
                <w:rFonts w:ascii="Arial" w:hAnsi="Arial" w:cs="Arial"/>
                <w:color w:val="000000"/>
                <w:sz w:val="16"/>
                <w:szCs w:val="16"/>
                <w:lang w:val="en-AU" w:eastAsia="en-AU"/>
              </w:rPr>
            </w:pP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2FE7F2C9" w14:textId="3278B0E7" w:rsidR="009A17B5" w:rsidRPr="00A6026E" w:rsidRDefault="009A17B5" w:rsidP="009A17B5">
            <w:pPr>
              <w:spacing w:before="0" w:after="0"/>
              <w:jc w:val="center"/>
              <w:rPr>
                <w:rFonts w:ascii="Arial" w:hAnsi="Arial" w:cs="Arial"/>
                <w:color w:val="000000"/>
                <w:sz w:val="16"/>
                <w:szCs w:val="16"/>
                <w:lang w:val="en-AU" w:eastAsia="en-AU"/>
              </w:rPr>
            </w:pPr>
          </w:p>
        </w:tc>
      </w:tr>
      <w:tr w:rsidR="009A17B5" w:rsidRPr="00A6026E" w14:paraId="10A7DFD3" w14:textId="7059D645"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434C013F" w14:textId="77777777" w:rsidR="009A17B5" w:rsidRPr="00A6026E" w:rsidRDefault="009A17B5"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1 person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5D8A507"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59%</w:t>
            </w:r>
          </w:p>
        </w:tc>
        <w:tc>
          <w:tcPr>
            <w:tcW w:w="675" w:type="dxa"/>
            <w:tcBorders>
              <w:top w:val="nil"/>
              <w:left w:val="nil"/>
              <w:bottom w:val="single" w:sz="4" w:space="0" w:color="BFBFBF"/>
              <w:right w:val="single" w:sz="4" w:space="0" w:color="BFBFBF"/>
            </w:tcBorders>
            <w:shd w:val="clear" w:color="auto" w:fill="auto"/>
            <w:noWrap/>
            <w:vAlign w:val="center"/>
          </w:tcPr>
          <w:p w14:paraId="733FE0E5"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74A3ABD9"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w:t>
            </w:r>
          </w:p>
        </w:tc>
        <w:tc>
          <w:tcPr>
            <w:tcW w:w="675" w:type="dxa"/>
            <w:tcBorders>
              <w:top w:val="nil"/>
              <w:left w:val="nil"/>
              <w:bottom w:val="single" w:sz="4" w:space="0" w:color="BFBFBF"/>
              <w:right w:val="single" w:sz="4" w:space="0" w:color="BFBFBF"/>
            </w:tcBorders>
            <w:shd w:val="clear" w:color="auto" w:fill="auto"/>
            <w:noWrap/>
            <w:vAlign w:val="center"/>
          </w:tcPr>
          <w:p w14:paraId="46048B02"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60</w:t>
            </w:r>
          </w:p>
        </w:tc>
        <w:tc>
          <w:tcPr>
            <w:tcW w:w="808" w:type="dxa"/>
            <w:tcBorders>
              <w:top w:val="nil"/>
              <w:left w:val="nil"/>
              <w:bottom w:val="single" w:sz="4" w:space="0" w:color="BFBFBF"/>
              <w:right w:val="single" w:sz="4" w:space="0" w:color="BFBFBF"/>
            </w:tcBorders>
            <w:shd w:val="clear" w:color="auto" w:fill="auto"/>
            <w:noWrap/>
            <w:vAlign w:val="center"/>
          </w:tcPr>
          <w:p w14:paraId="3755AA36"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61</w:t>
            </w:r>
          </w:p>
        </w:tc>
        <w:tc>
          <w:tcPr>
            <w:tcW w:w="808" w:type="dxa"/>
            <w:tcBorders>
              <w:top w:val="nil"/>
              <w:left w:val="nil"/>
              <w:bottom w:val="single" w:sz="4" w:space="0" w:color="BFBFBF"/>
              <w:right w:val="double" w:sz="6" w:space="0" w:color="auto"/>
            </w:tcBorders>
            <w:shd w:val="clear" w:color="auto" w:fill="auto"/>
            <w:noWrap/>
            <w:vAlign w:val="center"/>
          </w:tcPr>
          <w:p w14:paraId="6C6FB554"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48C3DF2"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54%</w:t>
            </w:r>
          </w:p>
        </w:tc>
        <w:tc>
          <w:tcPr>
            <w:tcW w:w="675" w:type="dxa"/>
            <w:tcBorders>
              <w:top w:val="nil"/>
              <w:left w:val="nil"/>
              <w:bottom w:val="single" w:sz="4" w:space="0" w:color="BFBFBF"/>
              <w:right w:val="single" w:sz="4" w:space="0" w:color="BFBFBF"/>
            </w:tcBorders>
            <w:shd w:val="clear" w:color="auto" w:fill="auto"/>
            <w:noWrap/>
            <w:vAlign w:val="center"/>
          </w:tcPr>
          <w:p w14:paraId="63312C14"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7074D9D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53%</w:t>
            </w:r>
          </w:p>
        </w:tc>
        <w:tc>
          <w:tcPr>
            <w:tcW w:w="675" w:type="dxa"/>
            <w:tcBorders>
              <w:top w:val="nil"/>
              <w:left w:val="nil"/>
              <w:bottom w:val="single" w:sz="4" w:space="0" w:color="BFBFBF"/>
              <w:right w:val="single" w:sz="4" w:space="0" w:color="BFBFBF"/>
            </w:tcBorders>
            <w:shd w:val="clear" w:color="auto" w:fill="auto"/>
            <w:noWrap/>
            <w:vAlign w:val="center"/>
          </w:tcPr>
          <w:p w14:paraId="4DD5565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62</w:t>
            </w:r>
          </w:p>
        </w:tc>
        <w:tc>
          <w:tcPr>
            <w:tcW w:w="808" w:type="dxa"/>
            <w:tcBorders>
              <w:top w:val="nil"/>
              <w:left w:val="nil"/>
              <w:bottom w:val="single" w:sz="4" w:space="0" w:color="BFBFBF"/>
              <w:right w:val="single" w:sz="4" w:space="0" w:color="BFBFBF"/>
            </w:tcBorders>
            <w:shd w:val="clear" w:color="auto" w:fill="auto"/>
            <w:noWrap/>
            <w:vAlign w:val="center"/>
          </w:tcPr>
          <w:p w14:paraId="0C5DDD4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auto"/>
            </w:tcBorders>
            <w:shd w:val="clear" w:color="auto" w:fill="auto"/>
            <w:noWrap/>
            <w:vAlign w:val="center"/>
          </w:tcPr>
          <w:p w14:paraId="07FE19C7"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3A2F90E1"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4DD5DA4F"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808" w:type="dxa"/>
            <w:tcBorders>
              <w:top w:val="nil"/>
              <w:left w:val="nil"/>
              <w:bottom w:val="single" w:sz="4" w:space="0" w:color="BFBFBF"/>
              <w:right w:val="single" w:sz="4" w:space="0" w:color="BFBFBF"/>
            </w:tcBorders>
            <w:shd w:val="clear" w:color="auto" w:fill="auto"/>
            <w:noWrap/>
            <w:vAlign w:val="center"/>
          </w:tcPr>
          <w:p w14:paraId="2024E8FC"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w:t>
            </w:r>
          </w:p>
        </w:tc>
        <w:tc>
          <w:tcPr>
            <w:tcW w:w="586" w:type="dxa"/>
            <w:tcBorders>
              <w:top w:val="nil"/>
              <w:left w:val="nil"/>
              <w:bottom w:val="single" w:sz="4" w:space="0" w:color="BFBFBF"/>
              <w:right w:val="double" w:sz="6" w:space="0" w:color="auto"/>
            </w:tcBorders>
            <w:shd w:val="clear" w:color="auto" w:fill="auto"/>
            <w:noWrap/>
            <w:vAlign w:val="center"/>
          </w:tcPr>
          <w:p w14:paraId="430ACEAF"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4D9362E" w14:textId="1B3F1C08"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806</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417DF952" w14:textId="5F230CD6"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436</w:t>
            </w:r>
          </w:p>
        </w:tc>
      </w:tr>
      <w:tr w:rsidR="009A17B5" w:rsidRPr="00A6026E" w14:paraId="3C78DAD7" w14:textId="18D29A21"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134269BD" w14:textId="77777777" w:rsidR="009A17B5" w:rsidRPr="00A6026E" w:rsidRDefault="009A17B5"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2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5DF2118"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63%</w:t>
            </w:r>
          </w:p>
        </w:tc>
        <w:tc>
          <w:tcPr>
            <w:tcW w:w="675" w:type="dxa"/>
            <w:tcBorders>
              <w:top w:val="nil"/>
              <w:left w:val="nil"/>
              <w:bottom w:val="single" w:sz="4" w:space="0" w:color="BFBFBF"/>
              <w:right w:val="single" w:sz="4" w:space="0" w:color="BFBFBF"/>
            </w:tcBorders>
            <w:shd w:val="clear" w:color="auto" w:fill="auto"/>
            <w:noWrap/>
            <w:vAlign w:val="center"/>
          </w:tcPr>
          <w:p w14:paraId="0C0580B8"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90</w:t>
            </w:r>
          </w:p>
        </w:tc>
        <w:tc>
          <w:tcPr>
            <w:tcW w:w="808" w:type="dxa"/>
            <w:tcBorders>
              <w:top w:val="nil"/>
              <w:left w:val="nil"/>
              <w:bottom w:val="single" w:sz="4" w:space="0" w:color="BFBFBF"/>
              <w:right w:val="single" w:sz="4" w:space="0" w:color="BFBFBF"/>
            </w:tcBorders>
            <w:shd w:val="clear" w:color="auto" w:fill="auto"/>
            <w:noWrap/>
            <w:vAlign w:val="center"/>
          </w:tcPr>
          <w:p w14:paraId="4A27D501"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w:t>
            </w:r>
          </w:p>
        </w:tc>
        <w:tc>
          <w:tcPr>
            <w:tcW w:w="675" w:type="dxa"/>
            <w:tcBorders>
              <w:top w:val="nil"/>
              <w:left w:val="nil"/>
              <w:bottom w:val="single" w:sz="4" w:space="0" w:color="BFBFBF"/>
              <w:right w:val="single" w:sz="4" w:space="0" w:color="BFBFBF"/>
            </w:tcBorders>
            <w:shd w:val="clear" w:color="auto" w:fill="auto"/>
            <w:noWrap/>
            <w:vAlign w:val="center"/>
          </w:tcPr>
          <w:p w14:paraId="7523701C"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BFBFBF"/>
            </w:tcBorders>
            <w:shd w:val="clear" w:color="auto" w:fill="auto"/>
            <w:noWrap/>
            <w:vAlign w:val="center"/>
          </w:tcPr>
          <w:p w14:paraId="6B90DFD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58</w:t>
            </w:r>
          </w:p>
        </w:tc>
        <w:tc>
          <w:tcPr>
            <w:tcW w:w="808" w:type="dxa"/>
            <w:tcBorders>
              <w:top w:val="nil"/>
              <w:left w:val="nil"/>
              <w:bottom w:val="single" w:sz="4" w:space="0" w:color="BFBFBF"/>
              <w:right w:val="double" w:sz="6" w:space="0" w:color="auto"/>
            </w:tcBorders>
            <w:shd w:val="clear" w:color="auto" w:fill="auto"/>
            <w:noWrap/>
            <w:vAlign w:val="center"/>
          </w:tcPr>
          <w:p w14:paraId="2FE7930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1FFF9E9"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60%</w:t>
            </w:r>
          </w:p>
        </w:tc>
        <w:tc>
          <w:tcPr>
            <w:tcW w:w="675" w:type="dxa"/>
            <w:tcBorders>
              <w:top w:val="nil"/>
              <w:left w:val="nil"/>
              <w:bottom w:val="single" w:sz="4" w:space="0" w:color="BFBFBF"/>
              <w:right w:val="single" w:sz="4" w:space="0" w:color="BFBFBF"/>
            </w:tcBorders>
            <w:shd w:val="clear" w:color="auto" w:fill="auto"/>
            <w:noWrap/>
            <w:vAlign w:val="center"/>
          </w:tcPr>
          <w:p w14:paraId="34234A58"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48E7DE9F"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55%</w:t>
            </w:r>
          </w:p>
        </w:tc>
        <w:tc>
          <w:tcPr>
            <w:tcW w:w="675" w:type="dxa"/>
            <w:tcBorders>
              <w:top w:val="nil"/>
              <w:left w:val="nil"/>
              <w:bottom w:val="single" w:sz="4" w:space="0" w:color="BFBFBF"/>
              <w:right w:val="single" w:sz="4" w:space="0" w:color="BFBFBF"/>
            </w:tcBorders>
            <w:shd w:val="clear" w:color="auto" w:fill="auto"/>
            <w:noWrap/>
            <w:vAlign w:val="center"/>
          </w:tcPr>
          <w:p w14:paraId="02544CA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w:t>
            </w:r>
          </w:p>
        </w:tc>
        <w:tc>
          <w:tcPr>
            <w:tcW w:w="808" w:type="dxa"/>
            <w:tcBorders>
              <w:top w:val="nil"/>
              <w:left w:val="nil"/>
              <w:bottom w:val="single" w:sz="4" w:space="0" w:color="BFBFBF"/>
              <w:right w:val="single" w:sz="4" w:space="0" w:color="BFBFBF"/>
            </w:tcBorders>
            <w:shd w:val="clear" w:color="auto" w:fill="auto"/>
            <w:noWrap/>
            <w:vAlign w:val="center"/>
          </w:tcPr>
          <w:p w14:paraId="770CB8A4"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w:t>
            </w:r>
          </w:p>
        </w:tc>
        <w:tc>
          <w:tcPr>
            <w:tcW w:w="808" w:type="dxa"/>
            <w:tcBorders>
              <w:top w:val="nil"/>
              <w:left w:val="nil"/>
              <w:bottom w:val="single" w:sz="4" w:space="0" w:color="BFBFBF"/>
              <w:right w:val="single" w:sz="4" w:space="0" w:color="auto"/>
            </w:tcBorders>
            <w:shd w:val="clear" w:color="auto" w:fill="auto"/>
            <w:noWrap/>
            <w:vAlign w:val="center"/>
          </w:tcPr>
          <w:p w14:paraId="3E146AF6"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42</w:t>
            </w:r>
          </w:p>
        </w:tc>
        <w:tc>
          <w:tcPr>
            <w:tcW w:w="808" w:type="dxa"/>
            <w:tcBorders>
              <w:top w:val="nil"/>
              <w:left w:val="nil"/>
              <w:bottom w:val="single" w:sz="4" w:space="0" w:color="BFBFBF"/>
              <w:right w:val="single" w:sz="4" w:space="0" w:color="BFBFBF"/>
            </w:tcBorders>
            <w:shd w:val="clear" w:color="auto" w:fill="auto"/>
            <w:noWrap/>
            <w:vAlign w:val="center"/>
          </w:tcPr>
          <w:p w14:paraId="305821D4"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BFBFBF"/>
            </w:tcBorders>
            <w:shd w:val="clear" w:color="auto" w:fill="auto"/>
            <w:noWrap/>
            <w:vAlign w:val="center"/>
          </w:tcPr>
          <w:p w14:paraId="4016A047"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246</w:t>
            </w:r>
          </w:p>
        </w:tc>
        <w:tc>
          <w:tcPr>
            <w:tcW w:w="808" w:type="dxa"/>
            <w:tcBorders>
              <w:top w:val="nil"/>
              <w:left w:val="nil"/>
              <w:bottom w:val="single" w:sz="4" w:space="0" w:color="BFBFBF"/>
              <w:right w:val="single" w:sz="4" w:space="0" w:color="BFBFBF"/>
            </w:tcBorders>
            <w:shd w:val="clear" w:color="auto" w:fill="auto"/>
            <w:noWrap/>
            <w:vAlign w:val="center"/>
          </w:tcPr>
          <w:p w14:paraId="3F0F8A9A"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586" w:type="dxa"/>
            <w:tcBorders>
              <w:top w:val="nil"/>
              <w:left w:val="nil"/>
              <w:bottom w:val="single" w:sz="4" w:space="0" w:color="BFBFBF"/>
              <w:right w:val="double" w:sz="6" w:space="0" w:color="auto"/>
            </w:tcBorders>
            <w:shd w:val="clear" w:color="auto" w:fill="auto"/>
            <w:noWrap/>
            <w:vAlign w:val="center"/>
          </w:tcPr>
          <w:p w14:paraId="5245025F"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2535CC6" w14:textId="01F053E6"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1,045</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626FA792" w14:textId="2DB3B9E9"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531</w:t>
            </w:r>
          </w:p>
        </w:tc>
      </w:tr>
      <w:tr w:rsidR="009A17B5" w:rsidRPr="00A6026E" w14:paraId="0AEAAB76" w14:textId="707C8618"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03704C44" w14:textId="77777777" w:rsidR="009A17B5" w:rsidRPr="00A6026E" w:rsidRDefault="009A17B5"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3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62A7E3C"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675" w:type="dxa"/>
            <w:tcBorders>
              <w:top w:val="nil"/>
              <w:left w:val="nil"/>
              <w:bottom w:val="single" w:sz="4" w:space="0" w:color="BFBFBF"/>
              <w:right w:val="single" w:sz="4" w:space="0" w:color="BFBFBF"/>
            </w:tcBorders>
            <w:shd w:val="clear" w:color="auto" w:fill="auto"/>
            <w:noWrap/>
            <w:vAlign w:val="center"/>
          </w:tcPr>
          <w:p w14:paraId="273979BF"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89</w:t>
            </w:r>
          </w:p>
        </w:tc>
        <w:tc>
          <w:tcPr>
            <w:tcW w:w="808" w:type="dxa"/>
            <w:tcBorders>
              <w:top w:val="nil"/>
              <w:left w:val="nil"/>
              <w:bottom w:val="single" w:sz="4" w:space="0" w:color="BFBFBF"/>
              <w:right w:val="single" w:sz="4" w:space="0" w:color="BFBFBF"/>
            </w:tcBorders>
            <w:shd w:val="clear" w:color="auto" w:fill="auto"/>
            <w:noWrap/>
            <w:vAlign w:val="center"/>
          </w:tcPr>
          <w:p w14:paraId="630065D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56%</w:t>
            </w:r>
          </w:p>
        </w:tc>
        <w:tc>
          <w:tcPr>
            <w:tcW w:w="675" w:type="dxa"/>
            <w:tcBorders>
              <w:top w:val="nil"/>
              <w:left w:val="nil"/>
              <w:bottom w:val="single" w:sz="4" w:space="0" w:color="BFBFBF"/>
              <w:right w:val="single" w:sz="4" w:space="0" w:color="BFBFBF"/>
            </w:tcBorders>
            <w:shd w:val="clear" w:color="auto" w:fill="auto"/>
            <w:noWrap/>
            <w:vAlign w:val="center"/>
          </w:tcPr>
          <w:p w14:paraId="214F873B"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BFBFBF"/>
            </w:tcBorders>
            <w:shd w:val="clear" w:color="auto" w:fill="auto"/>
            <w:noWrap/>
            <w:vAlign w:val="center"/>
          </w:tcPr>
          <w:p w14:paraId="030396AA"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w:t>
            </w:r>
          </w:p>
        </w:tc>
        <w:tc>
          <w:tcPr>
            <w:tcW w:w="808" w:type="dxa"/>
            <w:tcBorders>
              <w:top w:val="nil"/>
              <w:left w:val="nil"/>
              <w:bottom w:val="single" w:sz="4" w:space="0" w:color="BFBFBF"/>
              <w:right w:val="double" w:sz="6" w:space="0" w:color="auto"/>
            </w:tcBorders>
            <w:shd w:val="clear" w:color="auto" w:fill="auto"/>
            <w:noWrap/>
            <w:vAlign w:val="center"/>
          </w:tcPr>
          <w:p w14:paraId="3BB79C06"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DE968BA"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60%</w:t>
            </w:r>
          </w:p>
        </w:tc>
        <w:tc>
          <w:tcPr>
            <w:tcW w:w="675" w:type="dxa"/>
            <w:tcBorders>
              <w:top w:val="nil"/>
              <w:left w:val="nil"/>
              <w:bottom w:val="single" w:sz="4" w:space="0" w:color="BFBFBF"/>
              <w:right w:val="single" w:sz="4" w:space="0" w:color="BFBFBF"/>
            </w:tcBorders>
            <w:shd w:val="clear" w:color="auto" w:fill="auto"/>
            <w:noWrap/>
            <w:vAlign w:val="center"/>
          </w:tcPr>
          <w:p w14:paraId="4E636A2E"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56ED52E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58%</w:t>
            </w:r>
          </w:p>
        </w:tc>
        <w:tc>
          <w:tcPr>
            <w:tcW w:w="675" w:type="dxa"/>
            <w:tcBorders>
              <w:top w:val="nil"/>
              <w:left w:val="nil"/>
              <w:bottom w:val="single" w:sz="4" w:space="0" w:color="BFBFBF"/>
              <w:right w:val="single" w:sz="4" w:space="0" w:color="BFBFBF"/>
            </w:tcBorders>
            <w:shd w:val="clear" w:color="auto" w:fill="auto"/>
            <w:noWrap/>
            <w:vAlign w:val="center"/>
          </w:tcPr>
          <w:p w14:paraId="6992733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58</w:t>
            </w:r>
          </w:p>
        </w:tc>
        <w:tc>
          <w:tcPr>
            <w:tcW w:w="808" w:type="dxa"/>
            <w:tcBorders>
              <w:top w:val="nil"/>
              <w:left w:val="nil"/>
              <w:bottom w:val="single" w:sz="4" w:space="0" w:color="BFBFBF"/>
              <w:right w:val="single" w:sz="4" w:space="0" w:color="BFBFBF"/>
            </w:tcBorders>
            <w:shd w:val="clear" w:color="auto" w:fill="auto"/>
            <w:noWrap/>
            <w:vAlign w:val="center"/>
          </w:tcPr>
          <w:p w14:paraId="325AABCB"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35</w:t>
            </w:r>
          </w:p>
        </w:tc>
        <w:tc>
          <w:tcPr>
            <w:tcW w:w="808" w:type="dxa"/>
            <w:tcBorders>
              <w:top w:val="nil"/>
              <w:left w:val="nil"/>
              <w:bottom w:val="single" w:sz="4" w:space="0" w:color="BFBFBF"/>
              <w:right w:val="single" w:sz="4" w:space="0" w:color="auto"/>
            </w:tcBorders>
            <w:shd w:val="clear" w:color="auto" w:fill="auto"/>
            <w:noWrap/>
            <w:vAlign w:val="center"/>
          </w:tcPr>
          <w:p w14:paraId="5B7D680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750CDA36"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BFBFBF"/>
            </w:tcBorders>
            <w:shd w:val="clear" w:color="auto" w:fill="auto"/>
            <w:noWrap/>
            <w:vAlign w:val="center"/>
          </w:tcPr>
          <w:p w14:paraId="091C4B9F"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w:t>
            </w:r>
          </w:p>
        </w:tc>
        <w:tc>
          <w:tcPr>
            <w:tcW w:w="808" w:type="dxa"/>
            <w:tcBorders>
              <w:top w:val="nil"/>
              <w:left w:val="nil"/>
              <w:bottom w:val="single" w:sz="4" w:space="0" w:color="BFBFBF"/>
              <w:right w:val="single" w:sz="4" w:space="0" w:color="BFBFBF"/>
            </w:tcBorders>
            <w:shd w:val="clear" w:color="auto" w:fill="auto"/>
            <w:noWrap/>
            <w:vAlign w:val="center"/>
          </w:tcPr>
          <w:p w14:paraId="1D8DCBEF"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586" w:type="dxa"/>
            <w:tcBorders>
              <w:top w:val="nil"/>
              <w:left w:val="nil"/>
              <w:bottom w:val="single" w:sz="4" w:space="0" w:color="BFBFBF"/>
              <w:right w:val="double" w:sz="6" w:space="0" w:color="auto"/>
            </w:tcBorders>
            <w:shd w:val="clear" w:color="auto" w:fill="auto"/>
            <w:noWrap/>
            <w:vAlign w:val="center"/>
          </w:tcPr>
          <w:p w14:paraId="63D55A00"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4D7D384" w14:textId="7BCF45BD"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1,093</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743142CC" w14:textId="2B1D7D67"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569</w:t>
            </w:r>
          </w:p>
        </w:tc>
      </w:tr>
      <w:tr w:rsidR="009A17B5" w:rsidRPr="00A6026E" w14:paraId="49481F51" w14:textId="20DC8485"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67C09233" w14:textId="77777777" w:rsidR="009A17B5" w:rsidRPr="00A6026E" w:rsidRDefault="009A17B5"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4 or more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1B5A18A"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675" w:type="dxa"/>
            <w:tcBorders>
              <w:top w:val="nil"/>
              <w:left w:val="nil"/>
              <w:bottom w:val="single" w:sz="4" w:space="0" w:color="BFBFBF"/>
              <w:right w:val="single" w:sz="4" w:space="0" w:color="BFBFBF"/>
            </w:tcBorders>
            <w:shd w:val="clear" w:color="auto" w:fill="auto"/>
            <w:noWrap/>
            <w:vAlign w:val="center"/>
          </w:tcPr>
          <w:p w14:paraId="1003245F"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808" w:type="dxa"/>
            <w:tcBorders>
              <w:top w:val="nil"/>
              <w:left w:val="nil"/>
              <w:bottom w:val="single" w:sz="4" w:space="0" w:color="BFBFBF"/>
              <w:right w:val="single" w:sz="4" w:space="0" w:color="BFBFBF"/>
            </w:tcBorders>
            <w:shd w:val="clear" w:color="auto" w:fill="auto"/>
            <w:noWrap/>
            <w:vAlign w:val="center"/>
          </w:tcPr>
          <w:p w14:paraId="6396FFF1"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61%</w:t>
            </w:r>
          </w:p>
        </w:tc>
        <w:tc>
          <w:tcPr>
            <w:tcW w:w="675" w:type="dxa"/>
            <w:tcBorders>
              <w:top w:val="nil"/>
              <w:left w:val="nil"/>
              <w:bottom w:val="single" w:sz="4" w:space="0" w:color="BFBFBF"/>
              <w:right w:val="single" w:sz="4" w:space="0" w:color="BFBFBF"/>
            </w:tcBorders>
            <w:shd w:val="clear" w:color="auto" w:fill="auto"/>
            <w:noWrap/>
            <w:vAlign w:val="center"/>
          </w:tcPr>
          <w:p w14:paraId="32E59991"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65</w:t>
            </w:r>
          </w:p>
        </w:tc>
        <w:tc>
          <w:tcPr>
            <w:tcW w:w="808" w:type="dxa"/>
            <w:tcBorders>
              <w:top w:val="nil"/>
              <w:left w:val="nil"/>
              <w:bottom w:val="single" w:sz="4" w:space="0" w:color="BFBFBF"/>
              <w:right w:val="single" w:sz="4" w:space="0" w:color="BFBFBF"/>
            </w:tcBorders>
            <w:shd w:val="clear" w:color="auto" w:fill="auto"/>
            <w:noWrap/>
            <w:vAlign w:val="center"/>
          </w:tcPr>
          <w:p w14:paraId="2D41216D"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53</w:t>
            </w:r>
          </w:p>
        </w:tc>
        <w:tc>
          <w:tcPr>
            <w:tcW w:w="808" w:type="dxa"/>
            <w:tcBorders>
              <w:top w:val="nil"/>
              <w:left w:val="nil"/>
              <w:bottom w:val="single" w:sz="4" w:space="0" w:color="BFBFBF"/>
              <w:right w:val="double" w:sz="6" w:space="0" w:color="auto"/>
            </w:tcBorders>
            <w:shd w:val="clear" w:color="auto" w:fill="auto"/>
            <w:noWrap/>
            <w:vAlign w:val="center"/>
          </w:tcPr>
          <w:p w14:paraId="36AC0C9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16BED54"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68%</w:t>
            </w:r>
          </w:p>
        </w:tc>
        <w:tc>
          <w:tcPr>
            <w:tcW w:w="675" w:type="dxa"/>
            <w:tcBorders>
              <w:top w:val="nil"/>
              <w:left w:val="nil"/>
              <w:bottom w:val="single" w:sz="4" w:space="0" w:color="BFBFBF"/>
              <w:right w:val="single" w:sz="4" w:space="0" w:color="BFBFBF"/>
            </w:tcBorders>
            <w:shd w:val="clear" w:color="auto" w:fill="auto"/>
            <w:noWrap/>
            <w:vAlign w:val="center"/>
          </w:tcPr>
          <w:p w14:paraId="247C5548"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72</w:t>
            </w:r>
          </w:p>
        </w:tc>
        <w:tc>
          <w:tcPr>
            <w:tcW w:w="808" w:type="dxa"/>
            <w:tcBorders>
              <w:top w:val="nil"/>
              <w:left w:val="nil"/>
              <w:bottom w:val="single" w:sz="4" w:space="0" w:color="BFBFBF"/>
              <w:right w:val="single" w:sz="4" w:space="0" w:color="BFBFBF"/>
            </w:tcBorders>
            <w:shd w:val="clear" w:color="auto" w:fill="auto"/>
            <w:noWrap/>
            <w:vAlign w:val="center"/>
          </w:tcPr>
          <w:p w14:paraId="50E0739D"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62%</w:t>
            </w:r>
          </w:p>
        </w:tc>
        <w:tc>
          <w:tcPr>
            <w:tcW w:w="675" w:type="dxa"/>
            <w:tcBorders>
              <w:top w:val="nil"/>
              <w:left w:val="nil"/>
              <w:bottom w:val="single" w:sz="4" w:space="0" w:color="BFBFBF"/>
              <w:right w:val="single" w:sz="4" w:space="0" w:color="BFBFBF"/>
            </w:tcBorders>
            <w:shd w:val="clear" w:color="auto" w:fill="auto"/>
            <w:noWrap/>
            <w:vAlign w:val="center"/>
          </w:tcPr>
          <w:p w14:paraId="4DC025D0"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60</w:t>
            </w:r>
          </w:p>
        </w:tc>
        <w:tc>
          <w:tcPr>
            <w:tcW w:w="808" w:type="dxa"/>
            <w:tcBorders>
              <w:top w:val="nil"/>
              <w:left w:val="nil"/>
              <w:bottom w:val="single" w:sz="4" w:space="0" w:color="BFBFBF"/>
              <w:right w:val="single" w:sz="4" w:space="0" w:color="BFBFBF"/>
            </w:tcBorders>
            <w:shd w:val="clear" w:color="auto" w:fill="auto"/>
            <w:noWrap/>
            <w:vAlign w:val="center"/>
          </w:tcPr>
          <w:p w14:paraId="5F778190"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34</w:t>
            </w:r>
          </w:p>
        </w:tc>
        <w:tc>
          <w:tcPr>
            <w:tcW w:w="808" w:type="dxa"/>
            <w:tcBorders>
              <w:top w:val="nil"/>
              <w:left w:val="nil"/>
              <w:bottom w:val="single" w:sz="4" w:space="0" w:color="BFBFBF"/>
              <w:right w:val="single" w:sz="4" w:space="0" w:color="auto"/>
            </w:tcBorders>
            <w:shd w:val="clear" w:color="auto" w:fill="auto"/>
            <w:noWrap/>
            <w:vAlign w:val="center"/>
          </w:tcPr>
          <w:p w14:paraId="06B26BD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05DF3075"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BFBFBF"/>
            </w:tcBorders>
            <w:shd w:val="clear" w:color="auto" w:fill="auto"/>
            <w:noWrap/>
            <w:vAlign w:val="center"/>
          </w:tcPr>
          <w:p w14:paraId="5E52B1D3"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257CC3C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586" w:type="dxa"/>
            <w:tcBorders>
              <w:top w:val="nil"/>
              <w:left w:val="nil"/>
              <w:bottom w:val="single" w:sz="4" w:space="0" w:color="BFBFBF"/>
              <w:right w:val="double" w:sz="6" w:space="0" w:color="auto"/>
            </w:tcBorders>
            <w:shd w:val="clear" w:color="auto" w:fill="auto"/>
            <w:noWrap/>
            <w:vAlign w:val="center"/>
          </w:tcPr>
          <w:p w14:paraId="3E6F276C"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1AB4873" w14:textId="59B363CA"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1,322</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46D4B842" w14:textId="0619E864"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695</w:t>
            </w:r>
          </w:p>
        </w:tc>
      </w:tr>
      <w:tr w:rsidR="009A17B5" w:rsidRPr="00A6026E" w14:paraId="22D5B661" w14:textId="69ADA2ED"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6EE65265" w14:textId="77777777" w:rsidR="009A17B5" w:rsidRPr="00A6026E" w:rsidRDefault="009A17B5"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Housing Status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4F3E315"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6B5B4FCD"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9116E00"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1CB5B9AA"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2A06310"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5E05080B"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21286C9"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1BC99002"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EA65F0B"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6F98E9F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8544859"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34687159"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5D13634"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top w:val="nil"/>
              <w:left w:val="nil"/>
              <w:bottom w:val="single" w:sz="4" w:space="0" w:color="BFBFBF"/>
              <w:right w:val="single" w:sz="4" w:space="0" w:color="BFBFBF"/>
            </w:tcBorders>
            <w:shd w:val="clear" w:color="auto" w:fill="auto"/>
            <w:noWrap/>
            <w:vAlign w:val="center"/>
          </w:tcPr>
          <w:p w14:paraId="66193EAE"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1869896"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top w:val="nil"/>
              <w:left w:val="nil"/>
              <w:bottom w:val="single" w:sz="4" w:space="0" w:color="BFBFBF"/>
              <w:right w:val="double" w:sz="6" w:space="0" w:color="auto"/>
            </w:tcBorders>
            <w:shd w:val="clear" w:color="auto" w:fill="auto"/>
            <w:noWrap/>
            <w:vAlign w:val="center"/>
          </w:tcPr>
          <w:p w14:paraId="5398AA9A"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7666CFD" w14:textId="5B275DDD" w:rsidR="009A17B5" w:rsidRPr="00A6026E" w:rsidRDefault="009A17B5" w:rsidP="009A17B5">
            <w:pPr>
              <w:spacing w:before="0" w:after="0"/>
              <w:jc w:val="center"/>
              <w:rPr>
                <w:rFonts w:ascii="Arial" w:hAnsi="Arial" w:cs="Arial"/>
                <w:color w:val="000000"/>
                <w:sz w:val="16"/>
                <w:szCs w:val="16"/>
                <w:lang w:val="en-AU" w:eastAsia="en-AU"/>
              </w:rPr>
            </w:pP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45504DF7" w14:textId="1048E039" w:rsidR="009A17B5" w:rsidRPr="00A6026E" w:rsidRDefault="009A17B5" w:rsidP="009A17B5">
            <w:pPr>
              <w:spacing w:before="0" w:after="0"/>
              <w:jc w:val="center"/>
              <w:rPr>
                <w:rFonts w:ascii="Arial" w:hAnsi="Arial" w:cs="Arial"/>
                <w:color w:val="000000"/>
                <w:sz w:val="16"/>
                <w:szCs w:val="16"/>
                <w:lang w:val="en-AU" w:eastAsia="en-AU"/>
              </w:rPr>
            </w:pPr>
          </w:p>
        </w:tc>
      </w:tr>
      <w:tr w:rsidR="009A17B5" w:rsidRPr="00A6026E" w14:paraId="7097E3B1" w14:textId="34CBDDD7"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7BC2784F" w14:textId="77777777" w:rsidR="009A17B5" w:rsidRPr="00A6026E" w:rsidRDefault="009A17B5"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Owned/paid off</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E8E5D11"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77%</w:t>
            </w:r>
          </w:p>
        </w:tc>
        <w:tc>
          <w:tcPr>
            <w:tcW w:w="675" w:type="dxa"/>
            <w:tcBorders>
              <w:top w:val="nil"/>
              <w:left w:val="nil"/>
              <w:bottom w:val="single" w:sz="4" w:space="0" w:color="BFBFBF"/>
              <w:right w:val="single" w:sz="4" w:space="0" w:color="BFBFBF"/>
            </w:tcBorders>
            <w:shd w:val="clear" w:color="auto" w:fill="auto"/>
            <w:noWrap/>
            <w:vAlign w:val="center"/>
          </w:tcPr>
          <w:p w14:paraId="66954471"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076F9937"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66%</w:t>
            </w:r>
          </w:p>
        </w:tc>
        <w:tc>
          <w:tcPr>
            <w:tcW w:w="675" w:type="dxa"/>
            <w:tcBorders>
              <w:top w:val="nil"/>
              <w:left w:val="nil"/>
              <w:bottom w:val="single" w:sz="4" w:space="0" w:color="BFBFBF"/>
              <w:right w:val="single" w:sz="4" w:space="0" w:color="BFBFBF"/>
            </w:tcBorders>
            <w:shd w:val="clear" w:color="auto" w:fill="auto"/>
            <w:noWrap/>
            <w:vAlign w:val="center"/>
          </w:tcPr>
          <w:p w14:paraId="5F55979D"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65</w:t>
            </w:r>
          </w:p>
        </w:tc>
        <w:tc>
          <w:tcPr>
            <w:tcW w:w="808" w:type="dxa"/>
            <w:tcBorders>
              <w:top w:val="nil"/>
              <w:left w:val="nil"/>
              <w:bottom w:val="single" w:sz="4" w:space="0" w:color="BFBFBF"/>
              <w:right w:val="single" w:sz="4" w:space="0" w:color="BFBFBF"/>
            </w:tcBorders>
            <w:shd w:val="clear" w:color="auto" w:fill="auto"/>
            <w:noWrap/>
            <w:vAlign w:val="center"/>
          </w:tcPr>
          <w:p w14:paraId="71A64A8F"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61</w:t>
            </w:r>
          </w:p>
        </w:tc>
        <w:tc>
          <w:tcPr>
            <w:tcW w:w="808" w:type="dxa"/>
            <w:tcBorders>
              <w:top w:val="nil"/>
              <w:left w:val="nil"/>
              <w:bottom w:val="single" w:sz="4" w:space="0" w:color="BFBFBF"/>
              <w:right w:val="double" w:sz="6" w:space="0" w:color="auto"/>
            </w:tcBorders>
            <w:shd w:val="clear" w:color="auto" w:fill="auto"/>
            <w:noWrap/>
            <w:vAlign w:val="center"/>
          </w:tcPr>
          <w:p w14:paraId="138738B4"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5970278"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w:t>
            </w:r>
          </w:p>
        </w:tc>
        <w:tc>
          <w:tcPr>
            <w:tcW w:w="675" w:type="dxa"/>
            <w:tcBorders>
              <w:top w:val="nil"/>
              <w:left w:val="nil"/>
              <w:bottom w:val="single" w:sz="4" w:space="0" w:color="BFBFBF"/>
              <w:right w:val="single" w:sz="4" w:space="0" w:color="BFBFBF"/>
            </w:tcBorders>
            <w:shd w:val="clear" w:color="auto" w:fill="auto"/>
            <w:noWrap/>
            <w:vAlign w:val="center"/>
          </w:tcPr>
          <w:p w14:paraId="4D468E75"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26D408AE"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68%</w:t>
            </w:r>
          </w:p>
        </w:tc>
        <w:tc>
          <w:tcPr>
            <w:tcW w:w="675" w:type="dxa"/>
            <w:tcBorders>
              <w:top w:val="nil"/>
              <w:left w:val="nil"/>
              <w:bottom w:val="single" w:sz="4" w:space="0" w:color="BFBFBF"/>
              <w:right w:val="single" w:sz="4" w:space="0" w:color="BFBFBF"/>
            </w:tcBorders>
            <w:shd w:val="clear" w:color="auto" w:fill="auto"/>
            <w:noWrap/>
            <w:vAlign w:val="center"/>
          </w:tcPr>
          <w:p w14:paraId="2F5DBD7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56</w:t>
            </w:r>
          </w:p>
        </w:tc>
        <w:tc>
          <w:tcPr>
            <w:tcW w:w="808" w:type="dxa"/>
            <w:tcBorders>
              <w:top w:val="nil"/>
              <w:left w:val="nil"/>
              <w:bottom w:val="single" w:sz="4" w:space="0" w:color="BFBFBF"/>
              <w:right w:val="single" w:sz="4" w:space="0" w:color="BFBFBF"/>
            </w:tcBorders>
            <w:shd w:val="clear" w:color="auto" w:fill="auto"/>
            <w:noWrap/>
            <w:vAlign w:val="center"/>
          </w:tcPr>
          <w:p w14:paraId="3A39AE22"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38</w:t>
            </w:r>
          </w:p>
        </w:tc>
        <w:tc>
          <w:tcPr>
            <w:tcW w:w="808" w:type="dxa"/>
            <w:tcBorders>
              <w:top w:val="nil"/>
              <w:left w:val="nil"/>
              <w:bottom w:val="single" w:sz="4" w:space="0" w:color="BFBFBF"/>
              <w:right w:val="single" w:sz="4" w:space="0" w:color="auto"/>
            </w:tcBorders>
            <w:shd w:val="clear" w:color="auto" w:fill="auto"/>
            <w:noWrap/>
            <w:vAlign w:val="center"/>
          </w:tcPr>
          <w:p w14:paraId="51DA218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3844DCFC"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BFBFBF"/>
            </w:tcBorders>
            <w:shd w:val="clear" w:color="auto" w:fill="auto"/>
            <w:noWrap/>
            <w:vAlign w:val="center"/>
          </w:tcPr>
          <w:p w14:paraId="44DE7814"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107</w:t>
            </w:r>
          </w:p>
        </w:tc>
        <w:tc>
          <w:tcPr>
            <w:tcW w:w="808" w:type="dxa"/>
            <w:tcBorders>
              <w:top w:val="nil"/>
              <w:left w:val="nil"/>
              <w:bottom w:val="single" w:sz="4" w:space="0" w:color="BFBFBF"/>
              <w:right w:val="single" w:sz="4" w:space="0" w:color="BFBFBF"/>
            </w:tcBorders>
            <w:shd w:val="clear" w:color="auto" w:fill="auto"/>
            <w:noWrap/>
            <w:vAlign w:val="center"/>
          </w:tcPr>
          <w:p w14:paraId="25B16A8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586" w:type="dxa"/>
            <w:tcBorders>
              <w:top w:val="nil"/>
              <w:left w:val="nil"/>
              <w:bottom w:val="single" w:sz="4" w:space="0" w:color="BFBFBF"/>
              <w:right w:val="double" w:sz="6" w:space="0" w:color="auto"/>
            </w:tcBorders>
            <w:shd w:val="clear" w:color="auto" w:fill="auto"/>
            <w:noWrap/>
            <w:vAlign w:val="center"/>
          </w:tcPr>
          <w:p w14:paraId="224FF5DD"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15AF7FC" w14:textId="52081E2A"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1,170</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0C0A442B" w14:textId="4FD12094"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602</w:t>
            </w:r>
          </w:p>
        </w:tc>
      </w:tr>
      <w:tr w:rsidR="009A17B5" w:rsidRPr="00A6026E" w14:paraId="4FEC1E75" w14:textId="00E5EEE8"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0E06F74A" w14:textId="77777777" w:rsidR="009A17B5" w:rsidRPr="00A6026E" w:rsidRDefault="009A17B5"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Buying/paying off</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497A45"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675" w:type="dxa"/>
            <w:tcBorders>
              <w:top w:val="nil"/>
              <w:left w:val="nil"/>
              <w:bottom w:val="single" w:sz="4" w:space="0" w:color="BFBFBF"/>
              <w:right w:val="single" w:sz="4" w:space="0" w:color="BFBFBF"/>
            </w:tcBorders>
            <w:shd w:val="clear" w:color="auto" w:fill="auto"/>
            <w:noWrap/>
            <w:vAlign w:val="center"/>
          </w:tcPr>
          <w:p w14:paraId="69E47F3B"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89</w:t>
            </w:r>
          </w:p>
        </w:tc>
        <w:tc>
          <w:tcPr>
            <w:tcW w:w="808" w:type="dxa"/>
            <w:tcBorders>
              <w:top w:val="nil"/>
              <w:left w:val="nil"/>
              <w:bottom w:val="single" w:sz="4" w:space="0" w:color="BFBFBF"/>
              <w:right w:val="single" w:sz="4" w:space="0" w:color="BFBFBF"/>
            </w:tcBorders>
            <w:shd w:val="clear" w:color="auto" w:fill="auto"/>
            <w:noWrap/>
            <w:vAlign w:val="center"/>
          </w:tcPr>
          <w:p w14:paraId="7DF1F649"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675" w:type="dxa"/>
            <w:tcBorders>
              <w:top w:val="nil"/>
              <w:left w:val="nil"/>
              <w:bottom w:val="single" w:sz="4" w:space="0" w:color="BFBFBF"/>
              <w:right w:val="single" w:sz="4" w:space="0" w:color="BFBFBF"/>
            </w:tcBorders>
            <w:shd w:val="clear" w:color="auto" w:fill="auto"/>
            <w:noWrap/>
            <w:vAlign w:val="center"/>
          </w:tcPr>
          <w:p w14:paraId="4682586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63</w:t>
            </w:r>
          </w:p>
        </w:tc>
        <w:tc>
          <w:tcPr>
            <w:tcW w:w="808" w:type="dxa"/>
            <w:tcBorders>
              <w:top w:val="nil"/>
              <w:left w:val="nil"/>
              <w:bottom w:val="single" w:sz="4" w:space="0" w:color="BFBFBF"/>
              <w:right w:val="single" w:sz="4" w:space="0" w:color="BFBFBF"/>
            </w:tcBorders>
            <w:shd w:val="clear" w:color="auto" w:fill="auto"/>
            <w:noWrap/>
            <w:vAlign w:val="center"/>
          </w:tcPr>
          <w:p w14:paraId="1185B03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w:t>
            </w:r>
          </w:p>
        </w:tc>
        <w:tc>
          <w:tcPr>
            <w:tcW w:w="808" w:type="dxa"/>
            <w:tcBorders>
              <w:top w:val="nil"/>
              <w:left w:val="nil"/>
              <w:bottom w:val="single" w:sz="4" w:space="0" w:color="BFBFBF"/>
              <w:right w:val="double" w:sz="6" w:space="0" w:color="auto"/>
            </w:tcBorders>
            <w:shd w:val="clear" w:color="auto" w:fill="auto"/>
            <w:noWrap/>
            <w:vAlign w:val="center"/>
          </w:tcPr>
          <w:p w14:paraId="50C54D06"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28B75F"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68%</w:t>
            </w:r>
          </w:p>
        </w:tc>
        <w:tc>
          <w:tcPr>
            <w:tcW w:w="675" w:type="dxa"/>
            <w:tcBorders>
              <w:top w:val="nil"/>
              <w:left w:val="nil"/>
              <w:bottom w:val="single" w:sz="4" w:space="0" w:color="BFBFBF"/>
              <w:right w:val="single" w:sz="4" w:space="0" w:color="BFBFBF"/>
            </w:tcBorders>
            <w:shd w:val="clear" w:color="auto" w:fill="auto"/>
            <w:noWrap/>
            <w:vAlign w:val="center"/>
          </w:tcPr>
          <w:p w14:paraId="010F8956"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70</w:t>
            </w:r>
          </w:p>
        </w:tc>
        <w:tc>
          <w:tcPr>
            <w:tcW w:w="808" w:type="dxa"/>
            <w:tcBorders>
              <w:top w:val="nil"/>
              <w:left w:val="nil"/>
              <w:bottom w:val="single" w:sz="4" w:space="0" w:color="BFBFBF"/>
              <w:right w:val="single" w:sz="4" w:space="0" w:color="BFBFBF"/>
            </w:tcBorders>
            <w:shd w:val="clear" w:color="auto" w:fill="auto"/>
            <w:noWrap/>
            <w:vAlign w:val="center"/>
          </w:tcPr>
          <w:p w14:paraId="4C146934"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65%</w:t>
            </w:r>
          </w:p>
        </w:tc>
        <w:tc>
          <w:tcPr>
            <w:tcW w:w="675" w:type="dxa"/>
            <w:tcBorders>
              <w:top w:val="nil"/>
              <w:left w:val="nil"/>
              <w:bottom w:val="single" w:sz="4" w:space="0" w:color="BFBFBF"/>
              <w:right w:val="single" w:sz="4" w:space="0" w:color="BFBFBF"/>
            </w:tcBorders>
            <w:shd w:val="clear" w:color="auto" w:fill="auto"/>
            <w:noWrap/>
            <w:vAlign w:val="center"/>
          </w:tcPr>
          <w:p w14:paraId="4614DC3D"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58</w:t>
            </w:r>
          </w:p>
        </w:tc>
        <w:tc>
          <w:tcPr>
            <w:tcW w:w="808" w:type="dxa"/>
            <w:tcBorders>
              <w:top w:val="nil"/>
              <w:left w:val="nil"/>
              <w:bottom w:val="single" w:sz="4" w:space="0" w:color="BFBFBF"/>
              <w:right w:val="single" w:sz="4" w:space="0" w:color="BFBFBF"/>
            </w:tcBorders>
            <w:shd w:val="clear" w:color="auto" w:fill="auto"/>
            <w:noWrap/>
            <w:vAlign w:val="center"/>
          </w:tcPr>
          <w:p w14:paraId="2951E821"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36</w:t>
            </w:r>
          </w:p>
        </w:tc>
        <w:tc>
          <w:tcPr>
            <w:tcW w:w="808" w:type="dxa"/>
            <w:tcBorders>
              <w:top w:val="nil"/>
              <w:left w:val="nil"/>
              <w:bottom w:val="single" w:sz="4" w:space="0" w:color="BFBFBF"/>
              <w:right w:val="single" w:sz="4" w:space="0" w:color="auto"/>
            </w:tcBorders>
            <w:shd w:val="clear" w:color="auto" w:fill="auto"/>
            <w:noWrap/>
            <w:vAlign w:val="center"/>
          </w:tcPr>
          <w:p w14:paraId="4642F6E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1206EF9C"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BFBFBF"/>
            </w:tcBorders>
            <w:shd w:val="clear" w:color="auto" w:fill="auto"/>
            <w:noWrap/>
            <w:vAlign w:val="center"/>
          </w:tcPr>
          <w:p w14:paraId="2F22F888"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30</w:t>
            </w:r>
          </w:p>
        </w:tc>
        <w:tc>
          <w:tcPr>
            <w:tcW w:w="808" w:type="dxa"/>
            <w:tcBorders>
              <w:top w:val="nil"/>
              <w:left w:val="nil"/>
              <w:bottom w:val="single" w:sz="4" w:space="0" w:color="BFBFBF"/>
              <w:right w:val="single" w:sz="4" w:space="0" w:color="BFBFBF"/>
            </w:tcBorders>
            <w:shd w:val="clear" w:color="auto" w:fill="auto"/>
            <w:noWrap/>
            <w:vAlign w:val="center"/>
          </w:tcPr>
          <w:p w14:paraId="6BA5507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586" w:type="dxa"/>
            <w:tcBorders>
              <w:top w:val="nil"/>
              <w:left w:val="nil"/>
              <w:bottom w:val="single" w:sz="4" w:space="0" w:color="BFBFBF"/>
              <w:right w:val="double" w:sz="6" w:space="0" w:color="auto"/>
            </w:tcBorders>
            <w:shd w:val="clear" w:color="auto" w:fill="auto"/>
            <w:noWrap/>
            <w:vAlign w:val="center"/>
          </w:tcPr>
          <w:p w14:paraId="400D0E58"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C8BD993" w14:textId="1C7A0CAC"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1,210</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100AE020" w14:textId="189A43EA"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646</w:t>
            </w:r>
          </w:p>
        </w:tc>
      </w:tr>
      <w:tr w:rsidR="009A17B5" w:rsidRPr="00A6026E" w14:paraId="1999CB95" w14:textId="0C44D4B1"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30595C33" w14:textId="77777777" w:rsidR="009A17B5" w:rsidRPr="00A6026E" w:rsidRDefault="009A17B5"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Renting - Private</w:t>
            </w:r>
            <w:r w:rsidRPr="00A6026E">
              <w:rPr>
                <w:rFonts w:ascii="Arial" w:hAnsi="Arial" w:cs="Arial"/>
                <w:color w:val="000000"/>
                <w:sz w:val="16"/>
                <w:szCs w:val="16"/>
                <w:vertAlign w:val="superscript"/>
                <w:lang w:val="en-AU" w:eastAsia="en-AU"/>
              </w:rPr>
              <w:t>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F32E75E"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675" w:type="dxa"/>
            <w:tcBorders>
              <w:top w:val="nil"/>
              <w:left w:val="nil"/>
              <w:bottom w:val="single" w:sz="4" w:space="0" w:color="BFBFBF"/>
              <w:right w:val="single" w:sz="4" w:space="0" w:color="BFBFBF"/>
            </w:tcBorders>
            <w:shd w:val="clear" w:color="auto" w:fill="auto"/>
            <w:noWrap/>
            <w:vAlign w:val="center"/>
          </w:tcPr>
          <w:p w14:paraId="0EE2EEFF"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808" w:type="dxa"/>
            <w:tcBorders>
              <w:top w:val="nil"/>
              <w:left w:val="nil"/>
              <w:bottom w:val="single" w:sz="4" w:space="0" w:color="BFBFBF"/>
              <w:right w:val="single" w:sz="4" w:space="0" w:color="BFBFBF"/>
            </w:tcBorders>
            <w:shd w:val="clear" w:color="auto" w:fill="auto"/>
            <w:noWrap/>
            <w:vAlign w:val="center"/>
          </w:tcPr>
          <w:p w14:paraId="32F76B34"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w:t>
            </w:r>
          </w:p>
        </w:tc>
        <w:tc>
          <w:tcPr>
            <w:tcW w:w="675" w:type="dxa"/>
            <w:tcBorders>
              <w:top w:val="nil"/>
              <w:left w:val="nil"/>
              <w:bottom w:val="single" w:sz="4" w:space="0" w:color="BFBFBF"/>
              <w:right w:val="single" w:sz="4" w:space="0" w:color="BFBFBF"/>
            </w:tcBorders>
            <w:shd w:val="clear" w:color="auto" w:fill="auto"/>
            <w:noWrap/>
            <w:vAlign w:val="center"/>
          </w:tcPr>
          <w:p w14:paraId="58D87711"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55</w:t>
            </w:r>
          </w:p>
        </w:tc>
        <w:tc>
          <w:tcPr>
            <w:tcW w:w="808" w:type="dxa"/>
            <w:tcBorders>
              <w:top w:val="nil"/>
              <w:left w:val="nil"/>
              <w:bottom w:val="single" w:sz="4" w:space="0" w:color="BFBFBF"/>
              <w:right w:val="single" w:sz="4" w:space="0" w:color="BFBFBF"/>
            </w:tcBorders>
            <w:shd w:val="clear" w:color="auto" w:fill="auto"/>
            <w:noWrap/>
            <w:vAlign w:val="center"/>
          </w:tcPr>
          <w:p w14:paraId="035CA477"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42</w:t>
            </w:r>
          </w:p>
        </w:tc>
        <w:tc>
          <w:tcPr>
            <w:tcW w:w="808" w:type="dxa"/>
            <w:tcBorders>
              <w:top w:val="nil"/>
              <w:left w:val="nil"/>
              <w:bottom w:val="single" w:sz="4" w:space="0" w:color="BFBFBF"/>
              <w:right w:val="double" w:sz="6" w:space="0" w:color="auto"/>
            </w:tcBorders>
            <w:shd w:val="clear" w:color="auto" w:fill="auto"/>
            <w:noWrap/>
            <w:vAlign w:val="center"/>
          </w:tcPr>
          <w:p w14:paraId="141E222E"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311F3FC"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w:t>
            </w:r>
          </w:p>
        </w:tc>
        <w:tc>
          <w:tcPr>
            <w:tcW w:w="675" w:type="dxa"/>
            <w:tcBorders>
              <w:top w:val="nil"/>
              <w:left w:val="nil"/>
              <w:bottom w:val="single" w:sz="4" w:space="0" w:color="BFBFBF"/>
              <w:right w:val="single" w:sz="4" w:space="0" w:color="BFBFBF"/>
            </w:tcBorders>
            <w:shd w:val="clear" w:color="auto" w:fill="auto"/>
            <w:noWrap/>
            <w:vAlign w:val="center"/>
          </w:tcPr>
          <w:p w14:paraId="42C9EA01"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63</w:t>
            </w:r>
          </w:p>
        </w:tc>
        <w:tc>
          <w:tcPr>
            <w:tcW w:w="808" w:type="dxa"/>
            <w:tcBorders>
              <w:top w:val="nil"/>
              <w:left w:val="nil"/>
              <w:bottom w:val="single" w:sz="4" w:space="0" w:color="BFBFBF"/>
              <w:right w:val="single" w:sz="4" w:space="0" w:color="BFBFBF"/>
            </w:tcBorders>
            <w:shd w:val="clear" w:color="auto" w:fill="auto"/>
            <w:noWrap/>
            <w:vAlign w:val="center"/>
          </w:tcPr>
          <w:p w14:paraId="572311F0"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w:t>
            </w:r>
          </w:p>
        </w:tc>
        <w:tc>
          <w:tcPr>
            <w:tcW w:w="675" w:type="dxa"/>
            <w:tcBorders>
              <w:top w:val="nil"/>
              <w:left w:val="nil"/>
              <w:bottom w:val="single" w:sz="4" w:space="0" w:color="BFBFBF"/>
              <w:right w:val="single" w:sz="4" w:space="0" w:color="BFBFBF"/>
            </w:tcBorders>
            <w:shd w:val="clear" w:color="auto" w:fill="auto"/>
            <w:noWrap/>
            <w:vAlign w:val="center"/>
          </w:tcPr>
          <w:p w14:paraId="7773FB67"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141</w:t>
            </w:r>
          </w:p>
        </w:tc>
        <w:tc>
          <w:tcPr>
            <w:tcW w:w="808" w:type="dxa"/>
            <w:tcBorders>
              <w:top w:val="nil"/>
              <w:left w:val="nil"/>
              <w:bottom w:val="single" w:sz="4" w:space="0" w:color="BFBFBF"/>
              <w:right w:val="single" w:sz="4" w:space="0" w:color="BFBFBF"/>
            </w:tcBorders>
            <w:shd w:val="clear" w:color="auto" w:fill="auto"/>
            <w:noWrap/>
            <w:vAlign w:val="center"/>
          </w:tcPr>
          <w:p w14:paraId="378088BE"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28</w:t>
            </w:r>
          </w:p>
        </w:tc>
        <w:tc>
          <w:tcPr>
            <w:tcW w:w="808" w:type="dxa"/>
            <w:tcBorders>
              <w:top w:val="nil"/>
              <w:left w:val="nil"/>
              <w:bottom w:val="single" w:sz="4" w:space="0" w:color="BFBFBF"/>
              <w:right w:val="single" w:sz="4" w:space="0" w:color="auto"/>
            </w:tcBorders>
            <w:shd w:val="clear" w:color="auto" w:fill="auto"/>
            <w:noWrap/>
            <w:vAlign w:val="center"/>
          </w:tcPr>
          <w:p w14:paraId="590AB145"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0A3F9284"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BFBFBF"/>
            </w:tcBorders>
            <w:shd w:val="clear" w:color="auto" w:fill="auto"/>
            <w:noWrap/>
            <w:vAlign w:val="center"/>
          </w:tcPr>
          <w:p w14:paraId="43E47B63"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F5E6FF7"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586" w:type="dxa"/>
            <w:tcBorders>
              <w:top w:val="nil"/>
              <w:left w:val="nil"/>
              <w:bottom w:val="single" w:sz="4" w:space="0" w:color="BFBFBF"/>
              <w:right w:val="double" w:sz="6" w:space="0" w:color="auto"/>
            </w:tcBorders>
            <w:shd w:val="clear" w:color="auto" w:fill="auto"/>
            <w:noWrap/>
            <w:vAlign w:val="center"/>
          </w:tcPr>
          <w:p w14:paraId="54FA18E4"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0</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68A2EF5" w14:textId="712C3781"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500</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47A03798" w14:textId="485A455A"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317</w:t>
            </w:r>
          </w:p>
        </w:tc>
      </w:tr>
      <w:tr w:rsidR="009A17B5" w:rsidRPr="00A6026E" w14:paraId="7E29B707" w14:textId="6881A7A2" w:rsidTr="00A84800">
        <w:trPr>
          <w:trHeight w:val="225"/>
        </w:trPr>
        <w:tc>
          <w:tcPr>
            <w:tcW w:w="1873" w:type="dxa"/>
            <w:tcBorders>
              <w:top w:val="nil"/>
              <w:left w:val="double" w:sz="6" w:space="0" w:color="auto"/>
              <w:bottom w:val="single" w:sz="4" w:space="0" w:color="BFBFBF"/>
              <w:right w:val="nil"/>
            </w:tcBorders>
            <w:shd w:val="clear" w:color="auto" w:fill="auto"/>
            <w:noWrap/>
            <w:vAlign w:val="center"/>
          </w:tcPr>
          <w:p w14:paraId="3C23C40F" w14:textId="77777777" w:rsidR="009A17B5" w:rsidRPr="00A6026E" w:rsidRDefault="009A17B5" w:rsidP="00B6186D">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Renting - Public</w:t>
            </w:r>
            <w:r w:rsidRPr="00A6026E">
              <w:rPr>
                <w:rFonts w:ascii="Arial" w:hAnsi="Arial" w:cs="Arial"/>
                <w:color w:val="000000"/>
                <w:sz w:val="16"/>
                <w:szCs w:val="16"/>
                <w:vertAlign w:val="superscript"/>
                <w:lang w:val="en-AU" w:eastAsia="en-AU"/>
              </w:rPr>
              <w:t>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3253E61"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675" w:type="dxa"/>
            <w:tcBorders>
              <w:top w:val="nil"/>
              <w:left w:val="nil"/>
              <w:bottom w:val="single" w:sz="4" w:space="0" w:color="BFBFBF"/>
              <w:right w:val="single" w:sz="4" w:space="0" w:color="BFBFBF"/>
            </w:tcBorders>
            <w:shd w:val="clear" w:color="auto" w:fill="auto"/>
            <w:noWrap/>
            <w:vAlign w:val="center"/>
          </w:tcPr>
          <w:p w14:paraId="06D6DB4B"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7BA78DBB"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w:t>
            </w:r>
          </w:p>
        </w:tc>
        <w:tc>
          <w:tcPr>
            <w:tcW w:w="675" w:type="dxa"/>
            <w:tcBorders>
              <w:top w:val="nil"/>
              <w:left w:val="nil"/>
              <w:bottom w:val="single" w:sz="4" w:space="0" w:color="BFBFBF"/>
              <w:right w:val="single" w:sz="4" w:space="0" w:color="BFBFBF"/>
            </w:tcBorders>
            <w:shd w:val="clear" w:color="auto" w:fill="auto"/>
            <w:noWrap/>
            <w:vAlign w:val="center"/>
          </w:tcPr>
          <w:p w14:paraId="65F535B1"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48</w:t>
            </w:r>
          </w:p>
        </w:tc>
        <w:tc>
          <w:tcPr>
            <w:tcW w:w="808" w:type="dxa"/>
            <w:tcBorders>
              <w:top w:val="nil"/>
              <w:left w:val="nil"/>
              <w:bottom w:val="single" w:sz="4" w:space="0" w:color="BFBFBF"/>
              <w:right w:val="single" w:sz="4" w:space="0" w:color="BFBFBF"/>
            </w:tcBorders>
            <w:shd w:val="clear" w:color="auto" w:fill="auto"/>
            <w:noWrap/>
            <w:vAlign w:val="center"/>
          </w:tcPr>
          <w:p w14:paraId="0B19C3C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w:t>
            </w:r>
          </w:p>
        </w:tc>
        <w:tc>
          <w:tcPr>
            <w:tcW w:w="808" w:type="dxa"/>
            <w:tcBorders>
              <w:top w:val="nil"/>
              <w:left w:val="nil"/>
              <w:bottom w:val="single" w:sz="4" w:space="0" w:color="BFBFBF"/>
              <w:right w:val="double" w:sz="6" w:space="0" w:color="auto"/>
            </w:tcBorders>
            <w:shd w:val="clear" w:color="auto" w:fill="auto"/>
            <w:noWrap/>
            <w:vAlign w:val="center"/>
          </w:tcPr>
          <w:p w14:paraId="7677B800"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9DABFA0"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w:t>
            </w:r>
          </w:p>
        </w:tc>
        <w:tc>
          <w:tcPr>
            <w:tcW w:w="675" w:type="dxa"/>
            <w:tcBorders>
              <w:top w:val="nil"/>
              <w:left w:val="nil"/>
              <w:bottom w:val="single" w:sz="4" w:space="0" w:color="BFBFBF"/>
              <w:right w:val="single" w:sz="4" w:space="0" w:color="BFBFBF"/>
            </w:tcBorders>
            <w:shd w:val="clear" w:color="auto" w:fill="auto"/>
            <w:noWrap/>
            <w:vAlign w:val="center"/>
          </w:tcPr>
          <w:p w14:paraId="07F63F0F"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156</w:t>
            </w:r>
          </w:p>
        </w:tc>
        <w:tc>
          <w:tcPr>
            <w:tcW w:w="808" w:type="dxa"/>
            <w:tcBorders>
              <w:top w:val="nil"/>
              <w:left w:val="nil"/>
              <w:bottom w:val="single" w:sz="4" w:space="0" w:color="BFBFBF"/>
              <w:right w:val="single" w:sz="4" w:space="0" w:color="BFBFBF"/>
            </w:tcBorders>
            <w:shd w:val="clear" w:color="auto" w:fill="auto"/>
            <w:noWrap/>
            <w:vAlign w:val="center"/>
          </w:tcPr>
          <w:p w14:paraId="0CDDE570"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w:t>
            </w:r>
          </w:p>
        </w:tc>
        <w:tc>
          <w:tcPr>
            <w:tcW w:w="675" w:type="dxa"/>
            <w:tcBorders>
              <w:top w:val="nil"/>
              <w:left w:val="nil"/>
              <w:bottom w:val="single" w:sz="4" w:space="0" w:color="BFBFBF"/>
              <w:right w:val="single" w:sz="4" w:space="0" w:color="BFBFBF"/>
            </w:tcBorders>
            <w:shd w:val="clear" w:color="auto" w:fill="auto"/>
            <w:noWrap/>
            <w:vAlign w:val="center"/>
          </w:tcPr>
          <w:p w14:paraId="37B7BC00"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168</w:t>
            </w:r>
          </w:p>
        </w:tc>
        <w:tc>
          <w:tcPr>
            <w:tcW w:w="808" w:type="dxa"/>
            <w:tcBorders>
              <w:top w:val="nil"/>
              <w:left w:val="nil"/>
              <w:bottom w:val="single" w:sz="4" w:space="0" w:color="BFBFBF"/>
              <w:right w:val="single" w:sz="4" w:space="0" w:color="BFBFBF"/>
            </w:tcBorders>
            <w:shd w:val="clear" w:color="auto" w:fill="auto"/>
            <w:noWrap/>
            <w:vAlign w:val="center"/>
          </w:tcPr>
          <w:p w14:paraId="1EB41C5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w:t>
            </w:r>
          </w:p>
        </w:tc>
        <w:tc>
          <w:tcPr>
            <w:tcW w:w="808" w:type="dxa"/>
            <w:tcBorders>
              <w:top w:val="nil"/>
              <w:left w:val="nil"/>
              <w:bottom w:val="single" w:sz="4" w:space="0" w:color="BFBFBF"/>
              <w:right w:val="single" w:sz="4" w:space="0" w:color="auto"/>
            </w:tcBorders>
            <w:shd w:val="clear" w:color="auto" w:fill="auto"/>
            <w:noWrap/>
            <w:vAlign w:val="center"/>
          </w:tcPr>
          <w:p w14:paraId="7EAF6B33"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39</w:t>
            </w:r>
          </w:p>
        </w:tc>
        <w:tc>
          <w:tcPr>
            <w:tcW w:w="808" w:type="dxa"/>
            <w:tcBorders>
              <w:top w:val="nil"/>
              <w:left w:val="nil"/>
              <w:bottom w:val="single" w:sz="4" w:space="0" w:color="BFBFBF"/>
              <w:right w:val="single" w:sz="4" w:space="0" w:color="BFBFBF"/>
            </w:tcBorders>
            <w:shd w:val="clear" w:color="auto" w:fill="auto"/>
            <w:noWrap/>
            <w:vAlign w:val="center"/>
          </w:tcPr>
          <w:p w14:paraId="2AB07592"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BFBFBF"/>
            </w:tcBorders>
            <w:shd w:val="clear" w:color="auto" w:fill="auto"/>
            <w:noWrap/>
            <w:vAlign w:val="center"/>
          </w:tcPr>
          <w:p w14:paraId="4E9B2733" w14:textId="77777777" w:rsidR="009A17B5" w:rsidRPr="00A6026E" w:rsidRDefault="009A17B5" w:rsidP="00256AC4">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380</w:t>
            </w:r>
          </w:p>
        </w:tc>
        <w:tc>
          <w:tcPr>
            <w:tcW w:w="808" w:type="dxa"/>
            <w:tcBorders>
              <w:top w:val="nil"/>
              <w:left w:val="nil"/>
              <w:bottom w:val="single" w:sz="4" w:space="0" w:color="BFBFBF"/>
              <w:right w:val="single" w:sz="4" w:space="0" w:color="BFBFBF"/>
            </w:tcBorders>
            <w:shd w:val="clear" w:color="auto" w:fill="auto"/>
            <w:noWrap/>
            <w:vAlign w:val="center"/>
          </w:tcPr>
          <w:p w14:paraId="313B9C1B"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double" w:sz="6" w:space="0" w:color="auto"/>
            </w:tcBorders>
            <w:shd w:val="clear" w:color="auto" w:fill="auto"/>
            <w:noWrap/>
            <w:vAlign w:val="center"/>
          </w:tcPr>
          <w:p w14:paraId="56E083B6" w14:textId="77777777" w:rsidR="009A17B5" w:rsidRPr="00A6026E" w:rsidRDefault="009A17B5" w:rsidP="00B6186D">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90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D5F1C88" w14:textId="4A236057"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494</w:t>
            </w:r>
          </w:p>
        </w:tc>
        <w:tc>
          <w:tcPr>
            <w:tcW w:w="87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uto"/>
            </w:tcBorders>
            <w:vAlign w:val="center"/>
          </w:tcPr>
          <w:p w14:paraId="5108D91A" w14:textId="4A33D0DB" w:rsidR="009A17B5" w:rsidRPr="00A6026E" w:rsidRDefault="009A17B5" w:rsidP="009A17B5">
            <w:pPr>
              <w:spacing w:before="0" w:after="0"/>
              <w:jc w:val="center"/>
              <w:rPr>
                <w:rFonts w:ascii="Arial" w:hAnsi="Arial" w:cs="Arial"/>
                <w:color w:val="000000"/>
                <w:sz w:val="16"/>
                <w:szCs w:val="16"/>
                <w:lang w:val="en-AU" w:eastAsia="en-AU"/>
              </w:rPr>
            </w:pPr>
            <w:r>
              <w:rPr>
                <w:rFonts w:ascii="Arial" w:hAnsi="Arial" w:cs="Arial"/>
                <w:color w:val="000000"/>
                <w:sz w:val="16"/>
                <w:szCs w:val="16"/>
              </w:rPr>
              <w:t>319</w:t>
            </w:r>
          </w:p>
        </w:tc>
      </w:tr>
      <w:tr w:rsidR="009A17B5" w:rsidRPr="00A6026E" w14:paraId="6A91D91A" w14:textId="5B7D9FD2" w:rsidTr="00A84800">
        <w:trPr>
          <w:trHeight w:val="240"/>
        </w:trPr>
        <w:tc>
          <w:tcPr>
            <w:tcW w:w="1873" w:type="dxa"/>
            <w:tcBorders>
              <w:top w:val="nil"/>
              <w:left w:val="double" w:sz="6" w:space="0" w:color="auto"/>
              <w:bottom w:val="double" w:sz="6" w:space="0" w:color="auto"/>
              <w:right w:val="nil"/>
            </w:tcBorders>
            <w:shd w:val="clear" w:color="auto" w:fill="auto"/>
            <w:noWrap/>
            <w:vAlign w:val="center"/>
          </w:tcPr>
          <w:p w14:paraId="215F868C" w14:textId="77777777" w:rsidR="009A17B5" w:rsidRPr="00A6026E" w:rsidRDefault="009A17B5" w:rsidP="00B6186D">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Total Households</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68B97E33" w14:textId="77777777" w:rsidR="009A17B5" w:rsidRPr="00A6026E" w:rsidRDefault="009A17B5" w:rsidP="00256AC4">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64%</w:t>
            </w:r>
          </w:p>
        </w:tc>
        <w:tc>
          <w:tcPr>
            <w:tcW w:w="675" w:type="dxa"/>
            <w:tcBorders>
              <w:top w:val="nil"/>
              <w:left w:val="nil"/>
              <w:bottom w:val="double" w:sz="6" w:space="0" w:color="auto"/>
              <w:right w:val="single" w:sz="4" w:space="0" w:color="BFBFBF"/>
            </w:tcBorders>
            <w:shd w:val="clear" w:color="auto" w:fill="auto"/>
            <w:noWrap/>
            <w:vAlign w:val="center"/>
          </w:tcPr>
          <w:p w14:paraId="2F2B6676" w14:textId="77777777" w:rsidR="009A17B5" w:rsidRPr="00A6026E" w:rsidRDefault="009A17B5" w:rsidP="00256AC4">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91</w:t>
            </w:r>
          </w:p>
        </w:tc>
        <w:tc>
          <w:tcPr>
            <w:tcW w:w="808" w:type="dxa"/>
            <w:tcBorders>
              <w:top w:val="nil"/>
              <w:left w:val="nil"/>
              <w:bottom w:val="double" w:sz="6" w:space="0" w:color="auto"/>
              <w:right w:val="single" w:sz="4" w:space="0" w:color="BFBFBF"/>
            </w:tcBorders>
            <w:shd w:val="clear" w:color="auto" w:fill="auto"/>
            <w:noWrap/>
            <w:vAlign w:val="center"/>
          </w:tcPr>
          <w:p w14:paraId="2F0680FA"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55%</w:t>
            </w:r>
          </w:p>
        </w:tc>
        <w:tc>
          <w:tcPr>
            <w:tcW w:w="675" w:type="dxa"/>
            <w:tcBorders>
              <w:top w:val="nil"/>
              <w:left w:val="nil"/>
              <w:bottom w:val="double" w:sz="6" w:space="0" w:color="auto"/>
              <w:right w:val="single" w:sz="4" w:space="0" w:color="BFBFBF"/>
            </w:tcBorders>
            <w:shd w:val="clear" w:color="auto" w:fill="auto"/>
            <w:noWrap/>
            <w:vAlign w:val="center"/>
          </w:tcPr>
          <w:p w14:paraId="278ED4EF"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64</w:t>
            </w:r>
          </w:p>
        </w:tc>
        <w:tc>
          <w:tcPr>
            <w:tcW w:w="808" w:type="dxa"/>
            <w:tcBorders>
              <w:top w:val="nil"/>
              <w:left w:val="nil"/>
              <w:bottom w:val="double" w:sz="6" w:space="0" w:color="auto"/>
              <w:right w:val="single" w:sz="4" w:space="0" w:color="BFBFBF"/>
            </w:tcBorders>
            <w:shd w:val="clear" w:color="auto" w:fill="auto"/>
            <w:noWrap/>
            <w:vAlign w:val="center"/>
          </w:tcPr>
          <w:p w14:paraId="2D8B8DB2"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56</w:t>
            </w:r>
          </w:p>
        </w:tc>
        <w:tc>
          <w:tcPr>
            <w:tcW w:w="808" w:type="dxa"/>
            <w:tcBorders>
              <w:top w:val="nil"/>
              <w:left w:val="nil"/>
              <w:bottom w:val="double" w:sz="6" w:space="0" w:color="auto"/>
              <w:right w:val="double" w:sz="6" w:space="0" w:color="auto"/>
            </w:tcBorders>
            <w:shd w:val="clear" w:color="auto" w:fill="auto"/>
            <w:noWrap/>
            <w:vAlign w:val="center"/>
          </w:tcPr>
          <w:p w14:paraId="5DC7BA55"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59</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52443275" w14:textId="77777777" w:rsidR="009A17B5" w:rsidRPr="00A6026E" w:rsidRDefault="009A17B5" w:rsidP="00256AC4">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61%</w:t>
            </w:r>
          </w:p>
        </w:tc>
        <w:tc>
          <w:tcPr>
            <w:tcW w:w="675" w:type="dxa"/>
            <w:tcBorders>
              <w:top w:val="nil"/>
              <w:left w:val="nil"/>
              <w:bottom w:val="double" w:sz="6" w:space="0" w:color="auto"/>
              <w:right w:val="single" w:sz="4" w:space="0" w:color="BFBFBF"/>
            </w:tcBorders>
            <w:shd w:val="clear" w:color="auto" w:fill="auto"/>
            <w:noWrap/>
            <w:vAlign w:val="center"/>
          </w:tcPr>
          <w:p w14:paraId="1D509BB5" w14:textId="77777777" w:rsidR="009A17B5" w:rsidRPr="00A6026E" w:rsidRDefault="009A17B5" w:rsidP="00256AC4">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71</w:t>
            </w:r>
          </w:p>
        </w:tc>
        <w:tc>
          <w:tcPr>
            <w:tcW w:w="808" w:type="dxa"/>
            <w:tcBorders>
              <w:top w:val="nil"/>
              <w:left w:val="nil"/>
              <w:bottom w:val="double" w:sz="6" w:space="0" w:color="auto"/>
              <w:right w:val="single" w:sz="4" w:space="0" w:color="BFBFBF"/>
            </w:tcBorders>
            <w:shd w:val="clear" w:color="auto" w:fill="auto"/>
            <w:noWrap/>
            <w:vAlign w:val="center"/>
          </w:tcPr>
          <w:p w14:paraId="38722321"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57%</w:t>
            </w:r>
          </w:p>
        </w:tc>
        <w:tc>
          <w:tcPr>
            <w:tcW w:w="675" w:type="dxa"/>
            <w:tcBorders>
              <w:top w:val="nil"/>
              <w:left w:val="nil"/>
              <w:bottom w:val="double" w:sz="6" w:space="0" w:color="auto"/>
              <w:right w:val="single" w:sz="4" w:space="0" w:color="BFBFBF"/>
            </w:tcBorders>
            <w:shd w:val="clear" w:color="auto" w:fill="auto"/>
            <w:noWrap/>
            <w:vAlign w:val="center"/>
          </w:tcPr>
          <w:p w14:paraId="0DBA818F"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59</w:t>
            </w:r>
          </w:p>
        </w:tc>
        <w:tc>
          <w:tcPr>
            <w:tcW w:w="808" w:type="dxa"/>
            <w:tcBorders>
              <w:top w:val="nil"/>
              <w:left w:val="nil"/>
              <w:bottom w:val="double" w:sz="6" w:space="0" w:color="auto"/>
              <w:right w:val="single" w:sz="4" w:space="0" w:color="BFBFBF"/>
            </w:tcBorders>
            <w:shd w:val="clear" w:color="auto" w:fill="auto"/>
            <w:noWrap/>
            <w:vAlign w:val="center"/>
          </w:tcPr>
          <w:p w14:paraId="4708F2E3"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36</w:t>
            </w:r>
          </w:p>
        </w:tc>
        <w:tc>
          <w:tcPr>
            <w:tcW w:w="808" w:type="dxa"/>
            <w:tcBorders>
              <w:top w:val="nil"/>
              <w:left w:val="nil"/>
              <w:bottom w:val="double" w:sz="6" w:space="0" w:color="auto"/>
              <w:right w:val="single" w:sz="4" w:space="0" w:color="auto"/>
            </w:tcBorders>
            <w:shd w:val="clear" w:color="auto" w:fill="auto"/>
            <w:noWrap/>
            <w:vAlign w:val="center"/>
          </w:tcPr>
          <w:p w14:paraId="3D5AC130"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43</w:t>
            </w:r>
          </w:p>
        </w:tc>
        <w:tc>
          <w:tcPr>
            <w:tcW w:w="808" w:type="dxa"/>
            <w:tcBorders>
              <w:top w:val="nil"/>
              <w:left w:val="nil"/>
              <w:bottom w:val="double" w:sz="6" w:space="0" w:color="auto"/>
              <w:right w:val="single" w:sz="4" w:space="0" w:color="BFBFBF"/>
            </w:tcBorders>
            <w:shd w:val="clear" w:color="auto" w:fill="auto"/>
            <w:noWrap/>
            <w:vAlign w:val="center"/>
          </w:tcPr>
          <w:p w14:paraId="5DB2164B" w14:textId="77777777" w:rsidR="009A17B5" w:rsidRPr="00A6026E" w:rsidRDefault="009A17B5" w:rsidP="00256AC4">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1%</w:t>
            </w:r>
          </w:p>
        </w:tc>
        <w:tc>
          <w:tcPr>
            <w:tcW w:w="586" w:type="dxa"/>
            <w:tcBorders>
              <w:top w:val="nil"/>
              <w:left w:val="nil"/>
              <w:bottom w:val="double" w:sz="6" w:space="0" w:color="auto"/>
              <w:right w:val="single" w:sz="4" w:space="0" w:color="BFBFBF"/>
            </w:tcBorders>
            <w:shd w:val="clear" w:color="auto" w:fill="auto"/>
            <w:noWrap/>
            <w:vAlign w:val="center"/>
          </w:tcPr>
          <w:p w14:paraId="140E1C82" w14:textId="77777777" w:rsidR="009A17B5" w:rsidRPr="00A6026E" w:rsidRDefault="009A17B5" w:rsidP="00256AC4">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108</w:t>
            </w:r>
          </w:p>
        </w:tc>
        <w:tc>
          <w:tcPr>
            <w:tcW w:w="808" w:type="dxa"/>
            <w:tcBorders>
              <w:top w:val="nil"/>
              <w:left w:val="nil"/>
              <w:bottom w:val="double" w:sz="6" w:space="0" w:color="auto"/>
              <w:right w:val="single" w:sz="4" w:space="0" w:color="BFBFBF"/>
            </w:tcBorders>
            <w:shd w:val="clear" w:color="auto" w:fill="auto"/>
            <w:noWrap/>
            <w:vAlign w:val="center"/>
          </w:tcPr>
          <w:p w14:paraId="7C6851DB"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3%</w:t>
            </w:r>
          </w:p>
        </w:tc>
        <w:tc>
          <w:tcPr>
            <w:tcW w:w="586" w:type="dxa"/>
            <w:tcBorders>
              <w:top w:val="nil"/>
              <w:left w:val="nil"/>
              <w:bottom w:val="double" w:sz="6" w:space="0" w:color="auto"/>
              <w:right w:val="double" w:sz="6" w:space="0" w:color="auto"/>
            </w:tcBorders>
            <w:shd w:val="clear" w:color="auto" w:fill="auto"/>
            <w:noWrap/>
            <w:vAlign w:val="center"/>
          </w:tcPr>
          <w:p w14:paraId="49194C53" w14:textId="77777777" w:rsidR="009A17B5" w:rsidRPr="00A6026E" w:rsidRDefault="009A17B5" w:rsidP="00B6186D">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-5</w:t>
            </w:r>
          </w:p>
        </w:tc>
        <w:tc>
          <w:tcPr>
            <w:tcW w:w="904" w:type="dxa"/>
            <w:tcBorders>
              <w:top w:val="single" w:sz="4" w:space="0" w:color="A6A6A6" w:themeColor="background1" w:themeShade="A6"/>
              <w:left w:val="nil"/>
              <w:bottom w:val="double" w:sz="6" w:space="0" w:color="auto"/>
              <w:right w:val="single" w:sz="4" w:space="0" w:color="A6A6A6" w:themeColor="background1" w:themeShade="A6"/>
            </w:tcBorders>
            <w:vAlign w:val="center"/>
          </w:tcPr>
          <w:p w14:paraId="5199BE2B" w14:textId="1144ED0B" w:rsidR="009A17B5" w:rsidRPr="00A6026E" w:rsidRDefault="009A17B5" w:rsidP="009A17B5">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1,072</w:t>
            </w:r>
          </w:p>
        </w:tc>
        <w:tc>
          <w:tcPr>
            <w:tcW w:w="878" w:type="dxa"/>
            <w:tcBorders>
              <w:top w:val="single" w:sz="4" w:space="0" w:color="A6A6A6" w:themeColor="background1" w:themeShade="A6"/>
              <w:left w:val="single" w:sz="4" w:space="0" w:color="A6A6A6" w:themeColor="background1" w:themeShade="A6"/>
              <w:bottom w:val="double" w:sz="6" w:space="0" w:color="auto"/>
              <w:right w:val="double" w:sz="6" w:space="0" w:color="auto"/>
            </w:tcBorders>
            <w:vAlign w:val="center"/>
          </w:tcPr>
          <w:p w14:paraId="7D693246" w14:textId="770E35CF" w:rsidR="009A17B5" w:rsidRPr="00A6026E" w:rsidRDefault="009A17B5" w:rsidP="009A17B5">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567</w:t>
            </w:r>
          </w:p>
        </w:tc>
      </w:tr>
    </w:tbl>
    <w:p w14:paraId="7842A930" w14:textId="77777777" w:rsidR="003C28EB" w:rsidRPr="00A6026E" w:rsidRDefault="003C28EB" w:rsidP="00D109F7">
      <w:pPr>
        <w:pStyle w:val="Para"/>
        <w:spacing w:after="60" w:line="240" w:lineRule="atLeast"/>
        <w:rPr>
          <w:b/>
          <w:lang w:val="en-AU"/>
        </w:rPr>
      </w:pPr>
    </w:p>
    <w:p w14:paraId="3061821C" w14:textId="77777777" w:rsidR="003C28EB" w:rsidRPr="00A6026E" w:rsidRDefault="003C28EB" w:rsidP="003C28EB">
      <w:pPr>
        <w:pStyle w:val="Para"/>
        <w:spacing w:line="240" w:lineRule="exact"/>
        <w:rPr>
          <w:sz w:val="20"/>
          <w:lang w:val="en-AU"/>
        </w:rPr>
      </w:pPr>
      <w:r w:rsidRPr="00A6026E">
        <w:rPr>
          <w:sz w:val="20"/>
          <w:lang w:val="en-AU"/>
        </w:rPr>
        <w:t xml:space="preserve">1. Renting households would not be charged drainage service or annual parks charges.  As such, there </w:t>
      </w:r>
      <w:r w:rsidR="00567FF3" w:rsidRPr="00A6026E">
        <w:rPr>
          <w:sz w:val="20"/>
          <w:lang w:val="en-AU"/>
        </w:rPr>
        <w:t>may be</w:t>
      </w:r>
      <w:r w:rsidRPr="00A6026E">
        <w:rPr>
          <w:sz w:val="20"/>
          <w:lang w:val="en-AU"/>
        </w:rPr>
        <w:t xml:space="preserve"> some mis-reporting in the data provided by water suppliers. As respondent survey data was collected for the 2015 year and billing data was collected for the 2014 year, there is some likelihood that respondent and billing data will cause</w:t>
      </w:r>
      <w:r w:rsidR="00567FF3" w:rsidRPr="00A6026E">
        <w:rPr>
          <w:sz w:val="20"/>
          <w:lang w:val="en-AU"/>
        </w:rPr>
        <w:t xml:space="preserve"> </w:t>
      </w:r>
      <w:r w:rsidRPr="00A6026E">
        <w:rPr>
          <w:sz w:val="20"/>
          <w:lang w:val="en-AU"/>
        </w:rPr>
        <w:t>some anomalies in terms of analysis. For example, a household in 2015 may have been renting, but not in 2014 (although such an occurrence should be rare).</w:t>
      </w:r>
    </w:p>
    <w:p w14:paraId="27C946C3" w14:textId="77777777" w:rsidR="003C28EB" w:rsidRPr="00A6026E" w:rsidRDefault="003C28EB" w:rsidP="003C28EB">
      <w:pPr>
        <w:pStyle w:val="Para"/>
        <w:spacing w:line="240" w:lineRule="atLeast"/>
        <w:rPr>
          <w:lang w:val="en-AU"/>
        </w:rPr>
      </w:pPr>
    </w:p>
    <w:p w14:paraId="6FAC7177" w14:textId="77777777" w:rsidR="00D109F7" w:rsidRPr="00A6026E" w:rsidRDefault="00B6186D" w:rsidP="008C257B">
      <w:pPr>
        <w:pStyle w:val="Para"/>
        <w:spacing w:after="60" w:line="240" w:lineRule="atLeast"/>
        <w:jc w:val="center"/>
        <w:rPr>
          <w:b/>
          <w:u w:val="single"/>
          <w:lang w:val="en-AU"/>
        </w:rPr>
      </w:pPr>
      <w:r w:rsidRPr="00A6026E">
        <w:rPr>
          <w:b/>
          <w:lang w:val="en-AU"/>
        </w:rPr>
        <w:br w:type="page"/>
      </w:r>
      <w:r w:rsidR="00D109F7" w:rsidRPr="00A6026E">
        <w:rPr>
          <w:b/>
          <w:lang w:val="en-AU"/>
        </w:rPr>
        <w:lastRenderedPageBreak/>
        <w:t xml:space="preserve">Table </w:t>
      </w:r>
      <w:r w:rsidR="001A2002" w:rsidRPr="00A6026E">
        <w:rPr>
          <w:b/>
          <w:lang w:val="en-AU"/>
        </w:rPr>
        <w:t>5</w:t>
      </w:r>
      <w:r w:rsidR="00D109F7" w:rsidRPr="00A6026E">
        <w:rPr>
          <w:b/>
          <w:lang w:val="en-AU"/>
        </w:rPr>
        <w:t>.2.2.</w:t>
      </w:r>
      <w:r w:rsidRPr="00A6026E">
        <w:rPr>
          <w:b/>
          <w:lang w:val="en-AU"/>
        </w:rPr>
        <w:t>4</w:t>
      </w:r>
      <w:r w:rsidR="00D109F7" w:rsidRPr="00A6026E">
        <w:rPr>
          <w:b/>
          <w:lang w:val="en-AU"/>
        </w:rPr>
        <w:t xml:space="preserve">: </w:t>
      </w:r>
      <w:r w:rsidR="00D109F7" w:rsidRPr="00A6026E">
        <w:rPr>
          <w:b/>
          <w:u w:val="single"/>
          <w:lang w:val="en-AU"/>
        </w:rPr>
        <w:t>Water Bill Concessions and Total Bill Amounts</w:t>
      </w:r>
    </w:p>
    <w:tbl>
      <w:tblPr>
        <w:tblW w:w="15514" w:type="dxa"/>
        <w:tblInd w:w="85" w:type="dxa"/>
        <w:tblLook w:val="04A0" w:firstRow="1" w:lastRow="0" w:firstColumn="1" w:lastColumn="0" w:noHBand="0" w:noVBand="1"/>
      </w:tblPr>
      <w:tblGrid>
        <w:gridCol w:w="1724"/>
        <w:gridCol w:w="808"/>
        <w:gridCol w:w="808"/>
        <w:gridCol w:w="808"/>
        <w:gridCol w:w="808"/>
        <w:gridCol w:w="808"/>
        <w:gridCol w:w="675"/>
        <w:gridCol w:w="675"/>
        <w:gridCol w:w="675"/>
        <w:gridCol w:w="808"/>
        <w:gridCol w:w="808"/>
        <w:gridCol w:w="808"/>
        <w:gridCol w:w="675"/>
        <w:gridCol w:w="808"/>
        <w:gridCol w:w="586"/>
        <w:gridCol w:w="808"/>
        <w:gridCol w:w="808"/>
        <w:gridCol w:w="808"/>
        <w:gridCol w:w="808"/>
      </w:tblGrid>
      <w:tr w:rsidR="003C28EB" w:rsidRPr="00A6026E" w14:paraId="2BCB7141" w14:textId="77777777" w:rsidTr="009360BE">
        <w:trPr>
          <w:trHeight w:val="495"/>
          <w:tblHeader/>
        </w:trPr>
        <w:tc>
          <w:tcPr>
            <w:tcW w:w="1724" w:type="dxa"/>
            <w:tcBorders>
              <w:top w:val="double" w:sz="6" w:space="0" w:color="auto"/>
              <w:left w:val="double" w:sz="6" w:space="0" w:color="auto"/>
              <w:bottom w:val="single" w:sz="4" w:space="0" w:color="BFBFBF"/>
              <w:right w:val="nil"/>
            </w:tcBorders>
            <w:shd w:val="clear" w:color="auto" w:fill="auto"/>
            <w:noWrap/>
            <w:vAlign w:val="center"/>
          </w:tcPr>
          <w:p w14:paraId="4589DF23" w14:textId="77777777" w:rsidR="003C28EB" w:rsidRPr="00A6026E" w:rsidRDefault="003C28EB" w:rsidP="008C257B">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065" w:type="dxa"/>
            <w:gridSpan w:val="8"/>
            <w:tcBorders>
              <w:top w:val="double" w:sz="6" w:space="0" w:color="auto"/>
              <w:left w:val="single" w:sz="4" w:space="0" w:color="auto"/>
              <w:bottom w:val="single" w:sz="4" w:space="0" w:color="BFBFBF"/>
              <w:right w:val="single" w:sz="4" w:space="0" w:color="000000"/>
            </w:tcBorders>
            <w:shd w:val="clear" w:color="auto" w:fill="auto"/>
            <w:vAlign w:val="center"/>
          </w:tcPr>
          <w:p w14:paraId="554213C3"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DHHS Concession (Water &amp; Sewerage Concession)</w:t>
            </w:r>
          </w:p>
        </w:tc>
        <w:tc>
          <w:tcPr>
            <w:tcW w:w="1616" w:type="dxa"/>
            <w:gridSpan w:val="2"/>
            <w:tcBorders>
              <w:top w:val="double" w:sz="6" w:space="0" w:color="auto"/>
              <w:left w:val="nil"/>
              <w:bottom w:val="single" w:sz="4" w:space="0" w:color="BFBFBF"/>
              <w:right w:val="single" w:sz="4" w:space="0" w:color="BFBFBF"/>
            </w:tcBorders>
            <w:shd w:val="clear" w:color="auto" w:fill="auto"/>
            <w:vAlign w:val="bottom"/>
          </w:tcPr>
          <w:p w14:paraId="62FCF5B5"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Fairer Water Bills Saving</w:t>
            </w:r>
          </w:p>
        </w:tc>
        <w:tc>
          <w:tcPr>
            <w:tcW w:w="2877" w:type="dxa"/>
            <w:gridSpan w:val="4"/>
            <w:tcBorders>
              <w:top w:val="double" w:sz="6" w:space="0" w:color="auto"/>
              <w:left w:val="single" w:sz="4" w:space="0" w:color="auto"/>
              <w:bottom w:val="single" w:sz="4" w:space="0" w:color="BFBFBF"/>
              <w:right w:val="single" w:sz="4" w:space="0" w:color="000000"/>
            </w:tcBorders>
            <w:shd w:val="clear" w:color="auto" w:fill="auto"/>
            <w:vAlign w:val="center"/>
          </w:tcPr>
          <w:p w14:paraId="1D6B00BD"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Other Discounts</w:t>
            </w:r>
          </w:p>
        </w:tc>
        <w:tc>
          <w:tcPr>
            <w:tcW w:w="3232" w:type="dxa"/>
            <w:gridSpan w:val="4"/>
            <w:tcBorders>
              <w:top w:val="double" w:sz="6" w:space="0" w:color="auto"/>
              <w:left w:val="nil"/>
              <w:bottom w:val="single" w:sz="4" w:space="0" w:color="BFBFBF"/>
              <w:right w:val="double" w:sz="6" w:space="0" w:color="000000"/>
            </w:tcBorders>
            <w:shd w:val="clear" w:color="auto" w:fill="auto"/>
            <w:vAlign w:val="center"/>
          </w:tcPr>
          <w:p w14:paraId="2D08204A"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Total Water Bill Amount (excl. GST)</w:t>
            </w:r>
          </w:p>
        </w:tc>
      </w:tr>
      <w:tr w:rsidR="003C28EB" w:rsidRPr="00A6026E" w14:paraId="3A265E32" w14:textId="77777777" w:rsidTr="004B2028">
        <w:trPr>
          <w:trHeight w:val="225"/>
          <w:tblHeader/>
        </w:trPr>
        <w:tc>
          <w:tcPr>
            <w:tcW w:w="1724" w:type="dxa"/>
            <w:tcBorders>
              <w:top w:val="nil"/>
              <w:left w:val="double" w:sz="6" w:space="0" w:color="auto"/>
              <w:bottom w:val="single" w:sz="4" w:space="0" w:color="BFBFBF"/>
              <w:right w:val="nil"/>
            </w:tcBorders>
            <w:shd w:val="clear" w:color="auto" w:fill="auto"/>
            <w:noWrap/>
            <w:vAlign w:val="center"/>
          </w:tcPr>
          <w:p w14:paraId="36C49132" w14:textId="77777777" w:rsidR="003C28EB" w:rsidRPr="00A6026E" w:rsidRDefault="003C28EB" w:rsidP="008C257B">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E03090D"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808" w:type="dxa"/>
            <w:tcBorders>
              <w:top w:val="nil"/>
              <w:left w:val="nil"/>
              <w:bottom w:val="single" w:sz="4" w:space="0" w:color="BFBFBF"/>
              <w:right w:val="single" w:sz="4" w:space="0" w:color="BFBFBF"/>
            </w:tcBorders>
            <w:shd w:val="clear" w:color="auto" w:fill="auto"/>
            <w:noWrap/>
            <w:vAlign w:val="center"/>
          </w:tcPr>
          <w:p w14:paraId="457F020D"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BFBFBF"/>
            </w:tcBorders>
            <w:shd w:val="clear" w:color="auto" w:fill="auto"/>
            <w:noWrap/>
            <w:vAlign w:val="center"/>
          </w:tcPr>
          <w:p w14:paraId="347E8DC1"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2001</w:t>
            </w:r>
          </w:p>
        </w:tc>
        <w:tc>
          <w:tcPr>
            <w:tcW w:w="808" w:type="dxa"/>
            <w:tcBorders>
              <w:top w:val="nil"/>
              <w:left w:val="nil"/>
              <w:bottom w:val="single" w:sz="4" w:space="0" w:color="BFBFBF"/>
              <w:right w:val="single" w:sz="4" w:space="0" w:color="BFBFBF"/>
            </w:tcBorders>
            <w:shd w:val="clear" w:color="auto" w:fill="auto"/>
            <w:noWrap/>
            <w:vAlign w:val="center"/>
          </w:tcPr>
          <w:p w14:paraId="76110791"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1996</w:t>
            </w:r>
          </w:p>
        </w:tc>
        <w:tc>
          <w:tcPr>
            <w:tcW w:w="808" w:type="dxa"/>
            <w:tcBorders>
              <w:top w:val="nil"/>
              <w:left w:val="nil"/>
              <w:bottom w:val="single" w:sz="4" w:space="0" w:color="BFBFBF"/>
              <w:right w:val="single" w:sz="4" w:space="0" w:color="BFBFBF"/>
            </w:tcBorders>
            <w:shd w:val="clear" w:color="auto" w:fill="auto"/>
            <w:noWrap/>
            <w:vAlign w:val="center"/>
          </w:tcPr>
          <w:p w14:paraId="065C3972"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675" w:type="dxa"/>
            <w:tcBorders>
              <w:top w:val="nil"/>
              <w:left w:val="nil"/>
              <w:bottom w:val="single" w:sz="4" w:space="0" w:color="BFBFBF"/>
              <w:right w:val="single" w:sz="4" w:space="0" w:color="BFBFBF"/>
            </w:tcBorders>
            <w:shd w:val="clear" w:color="auto" w:fill="auto"/>
            <w:noWrap/>
            <w:vAlign w:val="center"/>
          </w:tcPr>
          <w:p w14:paraId="1B146FF5"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675" w:type="dxa"/>
            <w:tcBorders>
              <w:top w:val="nil"/>
              <w:left w:val="nil"/>
              <w:bottom w:val="single" w:sz="4" w:space="0" w:color="BFBFBF"/>
              <w:right w:val="single" w:sz="4" w:space="0" w:color="BFBFBF"/>
            </w:tcBorders>
            <w:shd w:val="clear" w:color="auto" w:fill="auto"/>
            <w:noWrap/>
            <w:vAlign w:val="center"/>
          </w:tcPr>
          <w:p w14:paraId="7A17BD8D"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2001</w:t>
            </w:r>
          </w:p>
        </w:tc>
        <w:tc>
          <w:tcPr>
            <w:tcW w:w="675" w:type="dxa"/>
            <w:tcBorders>
              <w:top w:val="nil"/>
              <w:left w:val="nil"/>
              <w:bottom w:val="single" w:sz="4" w:space="0" w:color="BFBFBF"/>
              <w:right w:val="single" w:sz="4" w:space="0" w:color="auto"/>
            </w:tcBorders>
            <w:shd w:val="clear" w:color="auto" w:fill="auto"/>
            <w:noWrap/>
            <w:vAlign w:val="center"/>
          </w:tcPr>
          <w:p w14:paraId="7BCFC939"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1996</w:t>
            </w:r>
          </w:p>
        </w:tc>
        <w:tc>
          <w:tcPr>
            <w:tcW w:w="1616" w:type="dxa"/>
            <w:gridSpan w:val="2"/>
            <w:tcBorders>
              <w:top w:val="single" w:sz="4" w:space="0" w:color="BFBFBF"/>
              <w:left w:val="nil"/>
              <w:bottom w:val="single" w:sz="4" w:space="0" w:color="BFBFBF"/>
              <w:right w:val="single" w:sz="4" w:space="0" w:color="BFBFBF"/>
            </w:tcBorders>
            <w:shd w:val="clear" w:color="auto" w:fill="auto"/>
            <w:noWrap/>
            <w:vAlign w:val="center"/>
          </w:tcPr>
          <w:p w14:paraId="6D678B69"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1483" w:type="dxa"/>
            <w:gridSpan w:val="2"/>
            <w:tcBorders>
              <w:top w:val="single" w:sz="4" w:space="0" w:color="BFBFBF"/>
              <w:left w:val="single" w:sz="4" w:space="0" w:color="auto"/>
              <w:bottom w:val="single" w:sz="4" w:space="0" w:color="BFBFBF"/>
              <w:right w:val="single" w:sz="4" w:space="0" w:color="BFBFBF"/>
            </w:tcBorders>
            <w:shd w:val="clear" w:color="auto" w:fill="auto"/>
            <w:noWrap/>
            <w:vAlign w:val="center"/>
          </w:tcPr>
          <w:p w14:paraId="385C3727"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1394" w:type="dxa"/>
            <w:gridSpan w:val="2"/>
            <w:tcBorders>
              <w:top w:val="single" w:sz="4" w:space="0" w:color="BFBFBF"/>
              <w:left w:val="nil"/>
              <w:bottom w:val="single" w:sz="4" w:space="0" w:color="BFBFBF"/>
              <w:right w:val="single" w:sz="4" w:space="0" w:color="000000"/>
            </w:tcBorders>
            <w:shd w:val="clear" w:color="auto" w:fill="auto"/>
            <w:noWrap/>
            <w:vAlign w:val="center"/>
          </w:tcPr>
          <w:p w14:paraId="44BC9E52"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BFBFBF"/>
            </w:tcBorders>
            <w:shd w:val="clear" w:color="auto" w:fill="auto"/>
            <w:noWrap/>
            <w:vAlign w:val="center"/>
          </w:tcPr>
          <w:p w14:paraId="131290C0"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2014</w:t>
            </w:r>
          </w:p>
        </w:tc>
        <w:tc>
          <w:tcPr>
            <w:tcW w:w="808" w:type="dxa"/>
            <w:tcBorders>
              <w:top w:val="nil"/>
              <w:left w:val="nil"/>
              <w:bottom w:val="single" w:sz="4" w:space="0" w:color="BFBFBF"/>
              <w:right w:val="single" w:sz="4" w:space="0" w:color="BFBFBF"/>
            </w:tcBorders>
            <w:shd w:val="clear" w:color="auto" w:fill="auto"/>
            <w:noWrap/>
            <w:vAlign w:val="center"/>
          </w:tcPr>
          <w:p w14:paraId="4A47CAE0"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BFBFBF"/>
            </w:tcBorders>
            <w:shd w:val="clear" w:color="auto" w:fill="auto"/>
            <w:noWrap/>
            <w:vAlign w:val="center"/>
          </w:tcPr>
          <w:p w14:paraId="3F3EC4E6"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2001</w:t>
            </w:r>
          </w:p>
        </w:tc>
        <w:tc>
          <w:tcPr>
            <w:tcW w:w="808" w:type="dxa"/>
            <w:tcBorders>
              <w:top w:val="nil"/>
              <w:left w:val="nil"/>
              <w:bottom w:val="single" w:sz="4" w:space="0" w:color="BFBFBF"/>
              <w:right w:val="double" w:sz="6" w:space="0" w:color="auto"/>
            </w:tcBorders>
            <w:shd w:val="clear" w:color="auto" w:fill="auto"/>
            <w:noWrap/>
            <w:vAlign w:val="center"/>
          </w:tcPr>
          <w:p w14:paraId="66147701" w14:textId="77777777" w:rsidR="003C28EB" w:rsidRPr="00A6026E" w:rsidRDefault="003C28EB" w:rsidP="004B2028">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1996</w:t>
            </w:r>
          </w:p>
        </w:tc>
      </w:tr>
      <w:tr w:rsidR="003C28EB" w:rsidRPr="00A6026E" w14:paraId="293731B5" w14:textId="77777777" w:rsidTr="009360BE">
        <w:trPr>
          <w:trHeight w:val="225"/>
          <w:tblHeader/>
        </w:trPr>
        <w:tc>
          <w:tcPr>
            <w:tcW w:w="1724" w:type="dxa"/>
            <w:tcBorders>
              <w:top w:val="nil"/>
              <w:left w:val="double" w:sz="6" w:space="0" w:color="auto"/>
              <w:bottom w:val="single" w:sz="4" w:space="0" w:color="BFBFBF"/>
              <w:right w:val="nil"/>
            </w:tcBorders>
            <w:shd w:val="clear" w:color="auto" w:fill="auto"/>
            <w:noWrap/>
            <w:vAlign w:val="center"/>
          </w:tcPr>
          <w:p w14:paraId="6CF86F2A" w14:textId="77777777" w:rsidR="003C28EB" w:rsidRPr="00A6026E" w:rsidRDefault="003C28EB" w:rsidP="008C257B">
            <w:pPr>
              <w:spacing w:before="0" w:after="0"/>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1CD97A5"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173F524F"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3457178"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4A1F0174"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2879888"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46F367A2"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02DB7D9C"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396E6F49"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CB02467"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6C716EF0"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6B9E020"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33D81E0B"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05054D7D"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586" w:type="dxa"/>
            <w:tcBorders>
              <w:top w:val="nil"/>
              <w:left w:val="nil"/>
              <w:bottom w:val="single" w:sz="4" w:space="0" w:color="BFBFBF"/>
              <w:right w:val="single" w:sz="4" w:space="0" w:color="auto"/>
            </w:tcBorders>
            <w:shd w:val="clear" w:color="auto" w:fill="auto"/>
            <w:noWrap/>
            <w:vAlign w:val="center"/>
          </w:tcPr>
          <w:p w14:paraId="377A5E72"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bottom"/>
          </w:tcPr>
          <w:p w14:paraId="6C86116E"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6E5796E1"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1442190"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c>
          <w:tcPr>
            <w:tcW w:w="808" w:type="dxa"/>
            <w:tcBorders>
              <w:top w:val="nil"/>
              <w:left w:val="nil"/>
              <w:bottom w:val="single" w:sz="4" w:space="0" w:color="BFBFBF"/>
              <w:right w:val="double" w:sz="6" w:space="0" w:color="auto"/>
            </w:tcBorders>
            <w:shd w:val="clear" w:color="auto" w:fill="auto"/>
            <w:noWrap/>
            <w:vAlign w:val="center"/>
          </w:tcPr>
          <w:p w14:paraId="1DC8537A"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w:t>
            </w:r>
          </w:p>
        </w:tc>
      </w:tr>
      <w:tr w:rsidR="003C28EB" w:rsidRPr="00A6026E" w14:paraId="0EF59CBE" w14:textId="77777777" w:rsidTr="009360BE">
        <w:trPr>
          <w:trHeight w:val="225"/>
          <w:tblHeader/>
        </w:trPr>
        <w:tc>
          <w:tcPr>
            <w:tcW w:w="1724" w:type="dxa"/>
            <w:tcBorders>
              <w:top w:val="nil"/>
              <w:left w:val="double" w:sz="6" w:space="0" w:color="auto"/>
              <w:bottom w:val="single" w:sz="4" w:space="0" w:color="BFBFBF"/>
              <w:right w:val="nil"/>
            </w:tcBorders>
            <w:shd w:val="clear" w:color="auto" w:fill="auto"/>
            <w:noWrap/>
            <w:vAlign w:val="center"/>
          </w:tcPr>
          <w:p w14:paraId="457AC40C" w14:textId="77777777" w:rsidR="003C28EB" w:rsidRPr="00A6026E" w:rsidRDefault="003C28EB" w:rsidP="008C257B">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Sub-group</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1BFCB4A"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n=1,681</w:t>
            </w:r>
          </w:p>
        </w:tc>
        <w:tc>
          <w:tcPr>
            <w:tcW w:w="808" w:type="dxa"/>
            <w:tcBorders>
              <w:top w:val="nil"/>
              <w:left w:val="nil"/>
              <w:bottom w:val="single" w:sz="4" w:space="0" w:color="BFBFBF"/>
              <w:right w:val="single" w:sz="4" w:space="0" w:color="BFBFBF"/>
            </w:tcBorders>
            <w:shd w:val="clear" w:color="auto" w:fill="auto"/>
            <w:noWrap/>
            <w:vAlign w:val="center"/>
          </w:tcPr>
          <w:p w14:paraId="05E6A1F0"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n=1,897</w:t>
            </w:r>
          </w:p>
        </w:tc>
        <w:tc>
          <w:tcPr>
            <w:tcW w:w="808" w:type="dxa"/>
            <w:tcBorders>
              <w:top w:val="nil"/>
              <w:left w:val="nil"/>
              <w:bottom w:val="single" w:sz="4" w:space="0" w:color="BFBFBF"/>
              <w:right w:val="single" w:sz="4" w:space="0" w:color="BFBFBF"/>
            </w:tcBorders>
            <w:shd w:val="clear" w:color="auto" w:fill="auto"/>
            <w:noWrap/>
            <w:vAlign w:val="center"/>
          </w:tcPr>
          <w:p w14:paraId="7BDF35AC"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n=1,817</w:t>
            </w:r>
          </w:p>
        </w:tc>
        <w:tc>
          <w:tcPr>
            <w:tcW w:w="808" w:type="dxa"/>
            <w:tcBorders>
              <w:top w:val="nil"/>
              <w:left w:val="nil"/>
              <w:bottom w:val="single" w:sz="4" w:space="0" w:color="BFBFBF"/>
              <w:right w:val="single" w:sz="4" w:space="0" w:color="BFBFBF"/>
            </w:tcBorders>
            <w:shd w:val="clear" w:color="auto" w:fill="auto"/>
            <w:noWrap/>
            <w:vAlign w:val="center"/>
          </w:tcPr>
          <w:p w14:paraId="3D1AFE3F"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n=1,723</w:t>
            </w:r>
          </w:p>
        </w:tc>
        <w:tc>
          <w:tcPr>
            <w:tcW w:w="808" w:type="dxa"/>
            <w:tcBorders>
              <w:top w:val="nil"/>
              <w:left w:val="nil"/>
              <w:bottom w:val="single" w:sz="4" w:space="0" w:color="BFBFBF"/>
              <w:right w:val="single" w:sz="4" w:space="0" w:color="BFBFBF"/>
            </w:tcBorders>
            <w:shd w:val="clear" w:color="auto" w:fill="auto"/>
            <w:noWrap/>
            <w:vAlign w:val="center"/>
          </w:tcPr>
          <w:p w14:paraId="4F988CFB" w14:textId="77777777" w:rsidR="003C28EB" w:rsidRPr="00A6026E" w:rsidRDefault="00256AC4"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w:t>
            </w:r>
            <w:r w:rsidR="003C28EB" w:rsidRPr="00A6026E">
              <w:rPr>
                <w:rFonts w:ascii="Arial" w:hAnsi="Arial" w:cs="Arial"/>
                <w:b/>
                <w:bCs/>
                <w:color w:val="000000"/>
                <w:sz w:val="16"/>
                <w:szCs w:val="16"/>
                <w:lang w:val="en-AU" w:eastAsia="en-AU"/>
              </w:rPr>
              <w:t>908</w:t>
            </w:r>
          </w:p>
        </w:tc>
        <w:tc>
          <w:tcPr>
            <w:tcW w:w="675" w:type="dxa"/>
            <w:tcBorders>
              <w:top w:val="nil"/>
              <w:left w:val="nil"/>
              <w:bottom w:val="single" w:sz="4" w:space="0" w:color="BFBFBF"/>
              <w:right w:val="single" w:sz="4" w:space="0" w:color="BFBFBF"/>
            </w:tcBorders>
            <w:shd w:val="clear" w:color="auto" w:fill="auto"/>
            <w:noWrap/>
            <w:vAlign w:val="center"/>
          </w:tcPr>
          <w:p w14:paraId="2A6547B6"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n=932</w:t>
            </w:r>
          </w:p>
        </w:tc>
        <w:tc>
          <w:tcPr>
            <w:tcW w:w="675" w:type="dxa"/>
            <w:tcBorders>
              <w:top w:val="nil"/>
              <w:left w:val="nil"/>
              <w:bottom w:val="single" w:sz="4" w:space="0" w:color="BFBFBF"/>
              <w:right w:val="single" w:sz="4" w:space="0" w:color="BFBFBF"/>
            </w:tcBorders>
            <w:shd w:val="clear" w:color="auto" w:fill="auto"/>
            <w:noWrap/>
            <w:vAlign w:val="center"/>
          </w:tcPr>
          <w:p w14:paraId="0A7CD262"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n=782</w:t>
            </w:r>
          </w:p>
        </w:tc>
        <w:tc>
          <w:tcPr>
            <w:tcW w:w="675" w:type="dxa"/>
            <w:tcBorders>
              <w:top w:val="nil"/>
              <w:left w:val="nil"/>
              <w:bottom w:val="single" w:sz="4" w:space="0" w:color="BFBFBF"/>
              <w:right w:val="single" w:sz="4" w:space="0" w:color="auto"/>
            </w:tcBorders>
            <w:shd w:val="clear" w:color="auto" w:fill="auto"/>
            <w:noWrap/>
            <w:vAlign w:val="center"/>
          </w:tcPr>
          <w:p w14:paraId="719FB518"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n=751</w:t>
            </w:r>
          </w:p>
        </w:tc>
        <w:tc>
          <w:tcPr>
            <w:tcW w:w="808" w:type="dxa"/>
            <w:tcBorders>
              <w:top w:val="nil"/>
              <w:left w:val="nil"/>
              <w:bottom w:val="single" w:sz="4" w:space="0" w:color="BFBFBF"/>
              <w:right w:val="single" w:sz="4" w:space="0" w:color="BFBFBF"/>
            </w:tcBorders>
            <w:shd w:val="clear" w:color="auto" w:fill="auto"/>
            <w:noWrap/>
            <w:vAlign w:val="center"/>
          </w:tcPr>
          <w:p w14:paraId="16F33C1A"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n=1,681</w:t>
            </w:r>
          </w:p>
        </w:tc>
        <w:tc>
          <w:tcPr>
            <w:tcW w:w="808" w:type="dxa"/>
            <w:tcBorders>
              <w:top w:val="nil"/>
              <w:left w:val="nil"/>
              <w:bottom w:val="single" w:sz="4" w:space="0" w:color="BFBFBF"/>
              <w:right w:val="nil"/>
            </w:tcBorders>
            <w:shd w:val="clear" w:color="auto" w:fill="auto"/>
            <w:noWrap/>
            <w:vAlign w:val="center"/>
          </w:tcPr>
          <w:p w14:paraId="0C5577F5"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n=1,338</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5E7A28F"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n=1,681</w:t>
            </w:r>
          </w:p>
        </w:tc>
        <w:tc>
          <w:tcPr>
            <w:tcW w:w="675" w:type="dxa"/>
            <w:tcBorders>
              <w:top w:val="nil"/>
              <w:left w:val="nil"/>
              <w:bottom w:val="single" w:sz="4" w:space="0" w:color="BFBFBF"/>
              <w:right w:val="single" w:sz="4" w:space="0" w:color="BFBFBF"/>
            </w:tcBorders>
            <w:shd w:val="clear" w:color="auto" w:fill="auto"/>
            <w:noWrap/>
            <w:vAlign w:val="center"/>
          </w:tcPr>
          <w:p w14:paraId="62541666"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n=300</w:t>
            </w:r>
          </w:p>
        </w:tc>
        <w:tc>
          <w:tcPr>
            <w:tcW w:w="808" w:type="dxa"/>
            <w:tcBorders>
              <w:top w:val="nil"/>
              <w:left w:val="nil"/>
              <w:bottom w:val="single" w:sz="4" w:space="0" w:color="BFBFBF"/>
              <w:right w:val="single" w:sz="4" w:space="0" w:color="BFBFBF"/>
            </w:tcBorders>
            <w:shd w:val="clear" w:color="auto" w:fill="auto"/>
            <w:noWrap/>
            <w:vAlign w:val="center"/>
          </w:tcPr>
          <w:p w14:paraId="4EEC27B6"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n=1,897</w:t>
            </w:r>
          </w:p>
        </w:tc>
        <w:tc>
          <w:tcPr>
            <w:tcW w:w="586" w:type="dxa"/>
            <w:tcBorders>
              <w:top w:val="nil"/>
              <w:left w:val="nil"/>
              <w:bottom w:val="single" w:sz="4" w:space="0" w:color="BFBFBF"/>
              <w:right w:val="single" w:sz="4" w:space="0" w:color="auto"/>
            </w:tcBorders>
            <w:shd w:val="clear" w:color="auto" w:fill="auto"/>
            <w:noWrap/>
            <w:vAlign w:val="center"/>
          </w:tcPr>
          <w:p w14:paraId="54BC5718"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n=32</w:t>
            </w:r>
          </w:p>
        </w:tc>
        <w:tc>
          <w:tcPr>
            <w:tcW w:w="808" w:type="dxa"/>
            <w:tcBorders>
              <w:top w:val="nil"/>
              <w:left w:val="nil"/>
              <w:bottom w:val="single" w:sz="4" w:space="0" w:color="BFBFBF"/>
              <w:right w:val="single" w:sz="4" w:space="0" w:color="BFBFBF"/>
            </w:tcBorders>
            <w:shd w:val="clear" w:color="auto" w:fill="auto"/>
            <w:noWrap/>
            <w:vAlign w:val="center"/>
          </w:tcPr>
          <w:p w14:paraId="586615B9"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n=1,681</w:t>
            </w:r>
          </w:p>
        </w:tc>
        <w:tc>
          <w:tcPr>
            <w:tcW w:w="808" w:type="dxa"/>
            <w:tcBorders>
              <w:top w:val="nil"/>
              <w:left w:val="nil"/>
              <w:bottom w:val="single" w:sz="4" w:space="0" w:color="BFBFBF"/>
              <w:right w:val="single" w:sz="4" w:space="0" w:color="BFBFBF"/>
            </w:tcBorders>
            <w:shd w:val="clear" w:color="auto" w:fill="auto"/>
            <w:noWrap/>
            <w:vAlign w:val="center"/>
          </w:tcPr>
          <w:p w14:paraId="5F5C4A86"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n=1,897</w:t>
            </w:r>
          </w:p>
        </w:tc>
        <w:tc>
          <w:tcPr>
            <w:tcW w:w="808" w:type="dxa"/>
            <w:tcBorders>
              <w:top w:val="nil"/>
              <w:left w:val="nil"/>
              <w:bottom w:val="single" w:sz="4" w:space="0" w:color="BFBFBF"/>
              <w:right w:val="single" w:sz="4" w:space="0" w:color="BFBFBF"/>
            </w:tcBorders>
            <w:shd w:val="clear" w:color="auto" w:fill="auto"/>
            <w:noWrap/>
            <w:vAlign w:val="center"/>
          </w:tcPr>
          <w:p w14:paraId="72A3DB3B"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n=1,815</w:t>
            </w:r>
          </w:p>
        </w:tc>
        <w:tc>
          <w:tcPr>
            <w:tcW w:w="808" w:type="dxa"/>
            <w:tcBorders>
              <w:top w:val="nil"/>
              <w:left w:val="nil"/>
              <w:bottom w:val="single" w:sz="4" w:space="0" w:color="BFBFBF"/>
              <w:right w:val="double" w:sz="6" w:space="0" w:color="auto"/>
            </w:tcBorders>
            <w:shd w:val="clear" w:color="auto" w:fill="auto"/>
            <w:noWrap/>
            <w:vAlign w:val="center"/>
          </w:tcPr>
          <w:p w14:paraId="131E5D7F" w14:textId="77777777" w:rsidR="003C28EB" w:rsidRPr="00A6026E" w:rsidRDefault="003C28EB"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n=1,530</w:t>
            </w:r>
          </w:p>
        </w:tc>
      </w:tr>
      <w:tr w:rsidR="003C28EB" w:rsidRPr="00A6026E" w14:paraId="4DF7A379"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7F8AE30F" w14:textId="77777777" w:rsidR="003C28EB" w:rsidRPr="00A6026E" w:rsidRDefault="003C28EB" w:rsidP="008C257B">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Region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E35C5F1" w14:textId="77777777" w:rsidR="003C28EB" w:rsidRPr="00A6026E" w:rsidRDefault="003C28EB" w:rsidP="008C257B">
            <w:pPr>
              <w:spacing w:before="0" w:after="0"/>
              <w:rPr>
                <w:rFonts w:ascii="Arial" w:hAnsi="Arial" w:cs="Arial"/>
                <w:color w:val="FF0000"/>
                <w:sz w:val="16"/>
                <w:szCs w:val="16"/>
                <w:lang w:val="en-AU" w:eastAsia="en-AU"/>
              </w:rPr>
            </w:pPr>
            <w:r w:rsidRPr="00A6026E">
              <w:rPr>
                <w:rFonts w:ascii="Arial" w:hAnsi="Arial" w:cs="Arial"/>
                <w:color w:val="FF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FF75C08"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F928290"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2A7981F"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72838D83"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3BD8D9E5"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092C07FA"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793AB6DE"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5C865390" w14:textId="77777777" w:rsidR="003C28EB" w:rsidRPr="00A6026E" w:rsidRDefault="003C28EB" w:rsidP="008C257B">
            <w:pPr>
              <w:spacing w:before="0" w:after="0"/>
              <w:rPr>
                <w:rFonts w:ascii="Arial" w:hAnsi="Arial" w:cs="Arial"/>
                <w:color w:val="FF0000"/>
                <w:sz w:val="16"/>
                <w:szCs w:val="16"/>
                <w:lang w:val="en-AU" w:eastAsia="en-AU"/>
              </w:rPr>
            </w:pPr>
            <w:r w:rsidRPr="00A6026E">
              <w:rPr>
                <w:rFonts w:ascii="Arial" w:hAnsi="Arial" w:cs="Arial"/>
                <w:color w:val="FF0000"/>
                <w:sz w:val="16"/>
                <w:szCs w:val="16"/>
                <w:lang w:val="en-AU" w:eastAsia="en-AU"/>
              </w:rPr>
              <w:t> </w:t>
            </w:r>
          </w:p>
        </w:tc>
        <w:tc>
          <w:tcPr>
            <w:tcW w:w="808" w:type="dxa"/>
            <w:tcBorders>
              <w:top w:val="nil"/>
              <w:left w:val="nil"/>
              <w:bottom w:val="single" w:sz="4" w:space="0" w:color="BFBFBF"/>
              <w:right w:val="nil"/>
            </w:tcBorders>
            <w:shd w:val="clear" w:color="auto" w:fill="auto"/>
            <w:noWrap/>
            <w:vAlign w:val="bottom"/>
          </w:tcPr>
          <w:p w14:paraId="2840B154"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4DF9A36" w14:textId="77777777" w:rsidR="003C28EB" w:rsidRPr="00A6026E" w:rsidRDefault="003C28EB" w:rsidP="008C257B">
            <w:pPr>
              <w:spacing w:before="0" w:after="0"/>
              <w:rPr>
                <w:rFonts w:ascii="Arial" w:hAnsi="Arial" w:cs="Arial"/>
                <w:color w:val="FF0000"/>
                <w:sz w:val="16"/>
                <w:szCs w:val="16"/>
                <w:lang w:val="en-AU" w:eastAsia="en-AU"/>
              </w:rPr>
            </w:pPr>
            <w:r w:rsidRPr="00A6026E">
              <w:rPr>
                <w:rFonts w:ascii="Arial" w:hAnsi="Arial" w:cs="Arial"/>
                <w:color w:val="FF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bottom"/>
          </w:tcPr>
          <w:p w14:paraId="212BFA63"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F31699A"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top w:val="nil"/>
              <w:left w:val="nil"/>
              <w:bottom w:val="single" w:sz="4" w:space="0" w:color="BFBFBF"/>
              <w:right w:val="single" w:sz="4" w:space="0" w:color="auto"/>
            </w:tcBorders>
            <w:shd w:val="clear" w:color="auto" w:fill="auto"/>
            <w:noWrap/>
            <w:vAlign w:val="center"/>
          </w:tcPr>
          <w:p w14:paraId="15AD1748"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2C62F2EF"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B0E8321"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6C96DB2"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1881FDF0" w14:textId="77777777" w:rsidR="003C28EB" w:rsidRPr="00A6026E" w:rsidRDefault="003C28EB"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38020F" w:rsidRPr="00A6026E" w14:paraId="6B58DD52"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30473725"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A6026E">
                  <w:rPr>
                    <w:rFonts w:ascii="Arial" w:hAnsi="Arial" w:cs="Arial"/>
                    <w:color w:val="000000"/>
                    <w:sz w:val="16"/>
                    <w:szCs w:val="16"/>
                    <w:lang w:val="en-AU" w:eastAsia="en-AU"/>
                  </w:rPr>
                  <w:t>Melbourne</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71B464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42%</w:t>
            </w:r>
          </w:p>
        </w:tc>
        <w:tc>
          <w:tcPr>
            <w:tcW w:w="808" w:type="dxa"/>
            <w:tcBorders>
              <w:top w:val="nil"/>
              <w:left w:val="nil"/>
              <w:bottom w:val="single" w:sz="4" w:space="0" w:color="BFBFBF"/>
              <w:right w:val="single" w:sz="4" w:space="0" w:color="BFBFBF"/>
            </w:tcBorders>
            <w:shd w:val="clear" w:color="auto" w:fill="auto"/>
            <w:noWrap/>
            <w:vAlign w:val="center"/>
          </w:tcPr>
          <w:p w14:paraId="2C6408B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39%</w:t>
            </w:r>
          </w:p>
        </w:tc>
        <w:tc>
          <w:tcPr>
            <w:tcW w:w="808" w:type="dxa"/>
            <w:tcBorders>
              <w:top w:val="nil"/>
              <w:left w:val="nil"/>
              <w:bottom w:val="single" w:sz="4" w:space="0" w:color="BFBFBF"/>
              <w:right w:val="single" w:sz="4" w:space="0" w:color="BFBFBF"/>
            </w:tcBorders>
            <w:shd w:val="clear" w:color="auto" w:fill="auto"/>
            <w:noWrap/>
            <w:vAlign w:val="center"/>
          </w:tcPr>
          <w:p w14:paraId="14AEC55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29%</w:t>
            </w:r>
          </w:p>
        </w:tc>
        <w:tc>
          <w:tcPr>
            <w:tcW w:w="808" w:type="dxa"/>
            <w:tcBorders>
              <w:top w:val="nil"/>
              <w:left w:val="nil"/>
              <w:bottom w:val="single" w:sz="4" w:space="0" w:color="BFBFBF"/>
              <w:right w:val="single" w:sz="4" w:space="0" w:color="BFBFBF"/>
            </w:tcBorders>
            <w:shd w:val="clear" w:color="auto" w:fill="auto"/>
            <w:noWrap/>
            <w:vAlign w:val="center"/>
          </w:tcPr>
          <w:p w14:paraId="0FD5A6A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35%</w:t>
            </w:r>
          </w:p>
        </w:tc>
        <w:tc>
          <w:tcPr>
            <w:tcW w:w="808" w:type="dxa"/>
            <w:tcBorders>
              <w:top w:val="nil"/>
              <w:left w:val="nil"/>
              <w:bottom w:val="single" w:sz="4" w:space="0" w:color="BFBFBF"/>
              <w:right w:val="single" w:sz="4" w:space="0" w:color="BFBFBF"/>
            </w:tcBorders>
            <w:shd w:val="clear" w:color="auto" w:fill="auto"/>
            <w:noWrap/>
            <w:vAlign w:val="center"/>
          </w:tcPr>
          <w:p w14:paraId="1266F47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263</w:t>
            </w:r>
          </w:p>
        </w:tc>
        <w:tc>
          <w:tcPr>
            <w:tcW w:w="675" w:type="dxa"/>
            <w:tcBorders>
              <w:top w:val="nil"/>
              <w:left w:val="nil"/>
              <w:bottom w:val="single" w:sz="4" w:space="0" w:color="BFBFBF"/>
              <w:right w:val="single" w:sz="4" w:space="0" w:color="BFBFBF"/>
            </w:tcBorders>
            <w:shd w:val="clear" w:color="auto" w:fill="auto"/>
            <w:noWrap/>
            <w:vAlign w:val="center"/>
          </w:tcPr>
          <w:p w14:paraId="12BC472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129</w:t>
            </w:r>
          </w:p>
        </w:tc>
        <w:tc>
          <w:tcPr>
            <w:tcW w:w="675" w:type="dxa"/>
            <w:tcBorders>
              <w:top w:val="nil"/>
              <w:left w:val="nil"/>
              <w:bottom w:val="single" w:sz="4" w:space="0" w:color="BFBFBF"/>
              <w:right w:val="single" w:sz="4" w:space="0" w:color="BFBFBF"/>
            </w:tcBorders>
            <w:shd w:val="clear" w:color="auto" w:fill="auto"/>
            <w:noWrap/>
            <w:vAlign w:val="center"/>
          </w:tcPr>
          <w:p w14:paraId="5C0179A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114</w:t>
            </w:r>
          </w:p>
        </w:tc>
        <w:tc>
          <w:tcPr>
            <w:tcW w:w="675" w:type="dxa"/>
            <w:tcBorders>
              <w:top w:val="nil"/>
              <w:left w:val="nil"/>
              <w:bottom w:val="single" w:sz="4" w:space="0" w:color="BFBFBF"/>
              <w:right w:val="single" w:sz="4" w:space="0" w:color="auto"/>
            </w:tcBorders>
            <w:shd w:val="clear" w:color="auto" w:fill="auto"/>
            <w:noWrap/>
            <w:vAlign w:val="center"/>
          </w:tcPr>
          <w:p w14:paraId="3FA5E6F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142</w:t>
            </w:r>
          </w:p>
        </w:tc>
        <w:tc>
          <w:tcPr>
            <w:tcW w:w="808" w:type="dxa"/>
            <w:tcBorders>
              <w:top w:val="nil"/>
              <w:left w:val="nil"/>
              <w:bottom w:val="single" w:sz="4" w:space="0" w:color="BFBFBF"/>
              <w:right w:val="single" w:sz="4" w:space="0" w:color="BFBFBF"/>
            </w:tcBorders>
            <w:shd w:val="clear" w:color="auto" w:fill="auto"/>
            <w:noWrap/>
            <w:vAlign w:val="center"/>
          </w:tcPr>
          <w:p w14:paraId="5A9B95D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808" w:type="dxa"/>
            <w:tcBorders>
              <w:top w:val="nil"/>
              <w:left w:val="nil"/>
              <w:bottom w:val="single" w:sz="4" w:space="0" w:color="BFBFBF"/>
              <w:right w:val="nil"/>
            </w:tcBorders>
            <w:shd w:val="clear" w:color="auto" w:fill="auto"/>
            <w:noWrap/>
            <w:vAlign w:val="center"/>
          </w:tcPr>
          <w:p w14:paraId="1DD0EED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3687B3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w:t>
            </w:r>
          </w:p>
        </w:tc>
        <w:tc>
          <w:tcPr>
            <w:tcW w:w="675" w:type="dxa"/>
            <w:tcBorders>
              <w:top w:val="nil"/>
              <w:left w:val="nil"/>
              <w:bottom w:val="single" w:sz="4" w:space="0" w:color="BFBFBF"/>
              <w:right w:val="single" w:sz="4" w:space="0" w:color="BFBFBF"/>
            </w:tcBorders>
            <w:shd w:val="clear" w:color="auto" w:fill="auto"/>
            <w:noWrap/>
            <w:vAlign w:val="bottom"/>
          </w:tcPr>
          <w:p w14:paraId="0A4C9CA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w:t>
            </w:r>
          </w:p>
        </w:tc>
        <w:tc>
          <w:tcPr>
            <w:tcW w:w="808" w:type="dxa"/>
            <w:tcBorders>
              <w:top w:val="nil"/>
              <w:left w:val="nil"/>
              <w:bottom w:val="single" w:sz="4" w:space="0" w:color="BFBFBF"/>
              <w:right w:val="single" w:sz="4" w:space="0" w:color="BFBFBF"/>
            </w:tcBorders>
            <w:shd w:val="clear" w:color="auto" w:fill="auto"/>
            <w:noWrap/>
            <w:vAlign w:val="center"/>
          </w:tcPr>
          <w:p w14:paraId="382306F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32CE159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271EBA4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798</w:t>
            </w:r>
          </w:p>
        </w:tc>
        <w:tc>
          <w:tcPr>
            <w:tcW w:w="808" w:type="dxa"/>
            <w:tcBorders>
              <w:top w:val="nil"/>
              <w:left w:val="nil"/>
              <w:bottom w:val="single" w:sz="4" w:space="0" w:color="BFBFBF"/>
              <w:right w:val="single" w:sz="4" w:space="0" w:color="BFBFBF"/>
            </w:tcBorders>
            <w:shd w:val="clear" w:color="auto" w:fill="auto"/>
            <w:noWrap/>
            <w:vAlign w:val="center"/>
          </w:tcPr>
          <w:p w14:paraId="60DD757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521</w:t>
            </w:r>
          </w:p>
        </w:tc>
        <w:tc>
          <w:tcPr>
            <w:tcW w:w="808" w:type="dxa"/>
            <w:tcBorders>
              <w:top w:val="nil"/>
              <w:left w:val="nil"/>
              <w:bottom w:val="single" w:sz="4" w:space="0" w:color="BFBFBF"/>
              <w:right w:val="single" w:sz="4" w:space="0" w:color="BFBFBF"/>
            </w:tcBorders>
            <w:shd w:val="clear" w:color="auto" w:fill="auto"/>
            <w:noWrap/>
            <w:vAlign w:val="center"/>
          </w:tcPr>
          <w:p w14:paraId="2AEFFBC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467</w:t>
            </w:r>
          </w:p>
        </w:tc>
        <w:tc>
          <w:tcPr>
            <w:tcW w:w="808" w:type="dxa"/>
            <w:tcBorders>
              <w:top w:val="nil"/>
              <w:left w:val="nil"/>
              <w:bottom w:val="single" w:sz="4" w:space="0" w:color="BFBFBF"/>
              <w:right w:val="double" w:sz="6" w:space="0" w:color="auto"/>
            </w:tcBorders>
            <w:shd w:val="clear" w:color="auto" w:fill="auto"/>
            <w:noWrap/>
            <w:vAlign w:val="center"/>
          </w:tcPr>
          <w:p w14:paraId="539A8E7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512</w:t>
            </w:r>
          </w:p>
        </w:tc>
      </w:tr>
      <w:tr w:rsidR="0038020F" w:rsidRPr="00A6026E" w14:paraId="44C22AB2"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4B2F8E6C"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Country VIC</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7793F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49%</w:t>
            </w:r>
          </w:p>
        </w:tc>
        <w:tc>
          <w:tcPr>
            <w:tcW w:w="808" w:type="dxa"/>
            <w:tcBorders>
              <w:top w:val="nil"/>
              <w:left w:val="nil"/>
              <w:bottom w:val="single" w:sz="4" w:space="0" w:color="BFBFBF"/>
              <w:right w:val="single" w:sz="4" w:space="0" w:color="BFBFBF"/>
            </w:tcBorders>
            <w:shd w:val="clear" w:color="auto" w:fill="auto"/>
            <w:noWrap/>
            <w:vAlign w:val="center"/>
          </w:tcPr>
          <w:p w14:paraId="587500B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w:t>
            </w:r>
          </w:p>
        </w:tc>
        <w:tc>
          <w:tcPr>
            <w:tcW w:w="808" w:type="dxa"/>
            <w:tcBorders>
              <w:top w:val="nil"/>
              <w:left w:val="nil"/>
              <w:bottom w:val="single" w:sz="4" w:space="0" w:color="BFBFBF"/>
              <w:right w:val="single" w:sz="4" w:space="0" w:color="BFBFBF"/>
            </w:tcBorders>
            <w:shd w:val="clear" w:color="auto" w:fill="auto"/>
            <w:noWrap/>
            <w:vAlign w:val="center"/>
          </w:tcPr>
          <w:p w14:paraId="1BA9422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53%</w:t>
            </w:r>
          </w:p>
        </w:tc>
        <w:tc>
          <w:tcPr>
            <w:tcW w:w="808" w:type="dxa"/>
            <w:tcBorders>
              <w:top w:val="nil"/>
              <w:left w:val="nil"/>
              <w:bottom w:val="single" w:sz="4" w:space="0" w:color="BFBFBF"/>
              <w:right w:val="single" w:sz="4" w:space="0" w:color="BFBFBF"/>
            </w:tcBorders>
            <w:shd w:val="clear" w:color="auto" w:fill="auto"/>
            <w:noWrap/>
            <w:vAlign w:val="center"/>
          </w:tcPr>
          <w:p w14:paraId="475A90B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w:t>
            </w:r>
          </w:p>
        </w:tc>
        <w:tc>
          <w:tcPr>
            <w:tcW w:w="808" w:type="dxa"/>
            <w:tcBorders>
              <w:top w:val="nil"/>
              <w:left w:val="nil"/>
              <w:bottom w:val="single" w:sz="4" w:space="0" w:color="BFBFBF"/>
              <w:right w:val="single" w:sz="4" w:space="0" w:color="BFBFBF"/>
            </w:tcBorders>
            <w:shd w:val="clear" w:color="auto" w:fill="auto"/>
            <w:noWrap/>
            <w:vAlign w:val="center"/>
          </w:tcPr>
          <w:p w14:paraId="786E236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227</w:t>
            </w:r>
          </w:p>
        </w:tc>
        <w:tc>
          <w:tcPr>
            <w:tcW w:w="675" w:type="dxa"/>
            <w:tcBorders>
              <w:top w:val="nil"/>
              <w:left w:val="nil"/>
              <w:bottom w:val="single" w:sz="4" w:space="0" w:color="BFBFBF"/>
              <w:right w:val="single" w:sz="4" w:space="0" w:color="BFBFBF"/>
            </w:tcBorders>
            <w:shd w:val="clear" w:color="auto" w:fill="auto"/>
            <w:noWrap/>
            <w:vAlign w:val="center"/>
          </w:tcPr>
          <w:p w14:paraId="34501FD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136</w:t>
            </w:r>
          </w:p>
        </w:tc>
        <w:tc>
          <w:tcPr>
            <w:tcW w:w="675" w:type="dxa"/>
            <w:tcBorders>
              <w:top w:val="nil"/>
              <w:left w:val="nil"/>
              <w:bottom w:val="single" w:sz="4" w:space="0" w:color="BFBFBF"/>
              <w:right w:val="single" w:sz="4" w:space="0" w:color="BFBFBF"/>
            </w:tcBorders>
            <w:shd w:val="clear" w:color="auto" w:fill="auto"/>
            <w:noWrap/>
            <w:vAlign w:val="center"/>
          </w:tcPr>
          <w:p w14:paraId="00E298F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675" w:type="dxa"/>
            <w:tcBorders>
              <w:top w:val="nil"/>
              <w:left w:val="nil"/>
              <w:bottom w:val="single" w:sz="4" w:space="0" w:color="BFBFBF"/>
              <w:right w:val="single" w:sz="4" w:space="0" w:color="auto"/>
            </w:tcBorders>
            <w:shd w:val="clear" w:color="auto" w:fill="auto"/>
            <w:noWrap/>
            <w:vAlign w:val="center"/>
          </w:tcPr>
          <w:p w14:paraId="1013A42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124</w:t>
            </w:r>
          </w:p>
        </w:tc>
        <w:tc>
          <w:tcPr>
            <w:tcW w:w="808" w:type="dxa"/>
            <w:tcBorders>
              <w:top w:val="nil"/>
              <w:left w:val="nil"/>
              <w:bottom w:val="single" w:sz="4" w:space="0" w:color="BFBFBF"/>
              <w:right w:val="single" w:sz="4" w:space="0" w:color="BFBFBF"/>
            </w:tcBorders>
            <w:shd w:val="clear" w:color="auto" w:fill="auto"/>
            <w:noWrap/>
            <w:vAlign w:val="center"/>
          </w:tcPr>
          <w:p w14:paraId="5C8D7D9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47%</w:t>
            </w:r>
          </w:p>
        </w:tc>
        <w:tc>
          <w:tcPr>
            <w:tcW w:w="808" w:type="dxa"/>
            <w:tcBorders>
              <w:top w:val="nil"/>
              <w:left w:val="nil"/>
              <w:bottom w:val="single" w:sz="4" w:space="0" w:color="BFBFBF"/>
              <w:right w:val="nil"/>
            </w:tcBorders>
            <w:shd w:val="clear" w:color="auto" w:fill="auto"/>
            <w:noWrap/>
            <w:vAlign w:val="center"/>
          </w:tcPr>
          <w:p w14:paraId="3B1877F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4BE256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w:t>
            </w:r>
          </w:p>
        </w:tc>
        <w:tc>
          <w:tcPr>
            <w:tcW w:w="675" w:type="dxa"/>
            <w:tcBorders>
              <w:top w:val="nil"/>
              <w:left w:val="nil"/>
              <w:bottom w:val="single" w:sz="4" w:space="0" w:color="BFBFBF"/>
              <w:right w:val="single" w:sz="4" w:space="0" w:color="BFBFBF"/>
            </w:tcBorders>
            <w:shd w:val="clear" w:color="auto" w:fill="auto"/>
            <w:noWrap/>
            <w:vAlign w:val="bottom"/>
          </w:tcPr>
          <w:p w14:paraId="7DAEAE5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w:t>
            </w:r>
          </w:p>
        </w:tc>
        <w:tc>
          <w:tcPr>
            <w:tcW w:w="808" w:type="dxa"/>
            <w:tcBorders>
              <w:top w:val="nil"/>
              <w:left w:val="nil"/>
              <w:bottom w:val="single" w:sz="4" w:space="0" w:color="BFBFBF"/>
              <w:right w:val="single" w:sz="4" w:space="0" w:color="BFBFBF"/>
            </w:tcBorders>
            <w:shd w:val="clear" w:color="auto" w:fill="auto"/>
            <w:noWrap/>
            <w:vAlign w:val="center"/>
          </w:tcPr>
          <w:p w14:paraId="3164624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731C247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38</w:t>
            </w:r>
          </w:p>
        </w:tc>
        <w:tc>
          <w:tcPr>
            <w:tcW w:w="808" w:type="dxa"/>
            <w:tcBorders>
              <w:top w:val="nil"/>
              <w:left w:val="nil"/>
              <w:bottom w:val="single" w:sz="4" w:space="0" w:color="BFBFBF"/>
              <w:right w:val="single" w:sz="4" w:space="0" w:color="BFBFBF"/>
            </w:tcBorders>
            <w:shd w:val="clear" w:color="auto" w:fill="auto"/>
            <w:noWrap/>
            <w:vAlign w:val="center"/>
          </w:tcPr>
          <w:p w14:paraId="19B0238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811</w:t>
            </w:r>
          </w:p>
        </w:tc>
        <w:tc>
          <w:tcPr>
            <w:tcW w:w="808" w:type="dxa"/>
            <w:tcBorders>
              <w:top w:val="nil"/>
              <w:left w:val="nil"/>
              <w:bottom w:val="single" w:sz="4" w:space="0" w:color="BFBFBF"/>
              <w:right w:val="single" w:sz="4" w:space="0" w:color="BFBFBF"/>
            </w:tcBorders>
            <w:shd w:val="clear" w:color="auto" w:fill="auto"/>
            <w:noWrap/>
            <w:vAlign w:val="center"/>
          </w:tcPr>
          <w:p w14:paraId="154ED4E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506</w:t>
            </w:r>
          </w:p>
        </w:tc>
        <w:tc>
          <w:tcPr>
            <w:tcW w:w="808" w:type="dxa"/>
            <w:tcBorders>
              <w:top w:val="nil"/>
              <w:left w:val="nil"/>
              <w:bottom w:val="single" w:sz="4" w:space="0" w:color="BFBFBF"/>
              <w:right w:val="single" w:sz="4" w:space="0" w:color="BFBFBF"/>
            </w:tcBorders>
            <w:shd w:val="clear" w:color="auto" w:fill="auto"/>
            <w:noWrap/>
            <w:vAlign w:val="center"/>
          </w:tcPr>
          <w:p w14:paraId="0C4B190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377</w:t>
            </w:r>
          </w:p>
        </w:tc>
        <w:tc>
          <w:tcPr>
            <w:tcW w:w="808" w:type="dxa"/>
            <w:tcBorders>
              <w:top w:val="nil"/>
              <w:left w:val="nil"/>
              <w:bottom w:val="single" w:sz="4" w:space="0" w:color="BFBFBF"/>
              <w:right w:val="double" w:sz="6" w:space="0" w:color="auto"/>
            </w:tcBorders>
            <w:shd w:val="clear" w:color="auto" w:fill="auto"/>
            <w:noWrap/>
            <w:vAlign w:val="center"/>
          </w:tcPr>
          <w:p w14:paraId="380C23B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255</w:t>
            </w:r>
          </w:p>
        </w:tc>
      </w:tr>
      <w:tr w:rsidR="0038020F" w:rsidRPr="00A6026E" w14:paraId="09F2813F"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67ECCFFE" w14:textId="310AEC9B" w:rsidR="0038020F" w:rsidRPr="00A6026E" w:rsidRDefault="00BC6314" w:rsidP="008C257B">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38020F" w:rsidRPr="00A6026E">
              <w:rPr>
                <w:rFonts w:ascii="Arial" w:hAnsi="Arial" w:cs="Arial"/>
                <w:color w:val="000000"/>
                <w:sz w:val="16"/>
                <w:szCs w:val="16"/>
                <w:lang w:val="en-AU" w:eastAsia="en-AU"/>
              </w:rPr>
              <w:t>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2F4419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44%</w:t>
            </w:r>
          </w:p>
        </w:tc>
        <w:tc>
          <w:tcPr>
            <w:tcW w:w="808" w:type="dxa"/>
            <w:tcBorders>
              <w:top w:val="nil"/>
              <w:left w:val="nil"/>
              <w:bottom w:val="single" w:sz="4" w:space="0" w:color="BFBFBF"/>
              <w:right w:val="single" w:sz="4" w:space="0" w:color="BFBFBF"/>
            </w:tcBorders>
            <w:shd w:val="clear" w:color="auto" w:fill="auto"/>
            <w:noWrap/>
            <w:vAlign w:val="center"/>
          </w:tcPr>
          <w:p w14:paraId="6F85943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67%</w:t>
            </w:r>
          </w:p>
        </w:tc>
        <w:tc>
          <w:tcPr>
            <w:tcW w:w="808" w:type="dxa"/>
            <w:tcBorders>
              <w:top w:val="nil"/>
              <w:left w:val="nil"/>
              <w:bottom w:val="single" w:sz="4" w:space="0" w:color="BFBFBF"/>
              <w:right w:val="single" w:sz="4" w:space="0" w:color="BFBFBF"/>
            </w:tcBorders>
            <w:shd w:val="clear" w:color="auto" w:fill="auto"/>
            <w:noWrap/>
            <w:vAlign w:val="center"/>
          </w:tcPr>
          <w:p w14:paraId="7294426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CC41EF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AE5CB5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214</w:t>
            </w:r>
          </w:p>
        </w:tc>
        <w:tc>
          <w:tcPr>
            <w:tcW w:w="675" w:type="dxa"/>
            <w:tcBorders>
              <w:top w:val="nil"/>
              <w:left w:val="nil"/>
              <w:bottom w:val="single" w:sz="4" w:space="0" w:color="BFBFBF"/>
              <w:right w:val="single" w:sz="4" w:space="0" w:color="BFBFBF"/>
            </w:tcBorders>
            <w:shd w:val="clear" w:color="auto" w:fill="auto"/>
            <w:noWrap/>
            <w:vAlign w:val="center"/>
          </w:tcPr>
          <w:p w14:paraId="6CB5C27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143</w:t>
            </w:r>
          </w:p>
        </w:tc>
        <w:tc>
          <w:tcPr>
            <w:tcW w:w="675" w:type="dxa"/>
            <w:tcBorders>
              <w:top w:val="nil"/>
              <w:left w:val="nil"/>
              <w:bottom w:val="single" w:sz="4" w:space="0" w:color="BFBFBF"/>
              <w:right w:val="single" w:sz="4" w:space="0" w:color="BFBFBF"/>
            </w:tcBorders>
            <w:shd w:val="clear" w:color="auto" w:fill="auto"/>
            <w:noWrap/>
            <w:vAlign w:val="center"/>
          </w:tcPr>
          <w:p w14:paraId="13F2E3A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6813E74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E9BE9A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63%</w:t>
            </w:r>
          </w:p>
        </w:tc>
        <w:tc>
          <w:tcPr>
            <w:tcW w:w="808" w:type="dxa"/>
            <w:tcBorders>
              <w:top w:val="nil"/>
              <w:left w:val="nil"/>
              <w:bottom w:val="single" w:sz="4" w:space="0" w:color="BFBFBF"/>
              <w:right w:val="nil"/>
            </w:tcBorders>
            <w:shd w:val="clear" w:color="auto" w:fill="auto"/>
            <w:noWrap/>
            <w:vAlign w:val="center"/>
          </w:tcPr>
          <w:p w14:paraId="1E5E9BB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E89316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w:t>
            </w:r>
          </w:p>
        </w:tc>
        <w:tc>
          <w:tcPr>
            <w:tcW w:w="675" w:type="dxa"/>
            <w:tcBorders>
              <w:top w:val="nil"/>
              <w:left w:val="nil"/>
              <w:bottom w:val="single" w:sz="4" w:space="0" w:color="BFBFBF"/>
              <w:right w:val="single" w:sz="4" w:space="0" w:color="BFBFBF"/>
            </w:tcBorders>
            <w:shd w:val="clear" w:color="auto" w:fill="auto"/>
            <w:noWrap/>
            <w:vAlign w:val="bottom"/>
          </w:tcPr>
          <w:p w14:paraId="6038CF1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w:t>
            </w:r>
          </w:p>
        </w:tc>
        <w:tc>
          <w:tcPr>
            <w:tcW w:w="808" w:type="dxa"/>
            <w:tcBorders>
              <w:top w:val="nil"/>
              <w:left w:val="nil"/>
              <w:bottom w:val="single" w:sz="4" w:space="0" w:color="BFBFBF"/>
              <w:right w:val="single" w:sz="4" w:space="0" w:color="BFBFBF"/>
            </w:tcBorders>
            <w:shd w:val="clear" w:color="auto" w:fill="auto"/>
            <w:noWrap/>
            <w:vAlign w:val="center"/>
          </w:tcPr>
          <w:p w14:paraId="7E6CEE8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3406CC9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w:t>
            </w:r>
          </w:p>
        </w:tc>
        <w:tc>
          <w:tcPr>
            <w:tcW w:w="808" w:type="dxa"/>
            <w:tcBorders>
              <w:top w:val="nil"/>
              <w:left w:val="nil"/>
              <w:bottom w:val="single" w:sz="4" w:space="0" w:color="BFBFBF"/>
              <w:right w:val="single" w:sz="4" w:space="0" w:color="BFBFBF"/>
            </w:tcBorders>
            <w:shd w:val="clear" w:color="auto" w:fill="auto"/>
            <w:noWrap/>
            <w:vAlign w:val="center"/>
          </w:tcPr>
          <w:p w14:paraId="03E29A5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705</w:t>
            </w:r>
          </w:p>
        </w:tc>
        <w:tc>
          <w:tcPr>
            <w:tcW w:w="808" w:type="dxa"/>
            <w:tcBorders>
              <w:top w:val="nil"/>
              <w:left w:val="nil"/>
              <w:bottom w:val="single" w:sz="4" w:space="0" w:color="BFBFBF"/>
              <w:right w:val="single" w:sz="4" w:space="0" w:color="BFBFBF"/>
            </w:tcBorders>
            <w:shd w:val="clear" w:color="auto" w:fill="auto"/>
            <w:noWrap/>
            <w:vAlign w:val="center"/>
          </w:tcPr>
          <w:p w14:paraId="2747AFE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500</w:t>
            </w:r>
          </w:p>
        </w:tc>
        <w:tc>
          <w:tcPr>
            <w:tcW w:w="808" w:type="dxa"/>
            <w:tcBorders>
              <w:top w:val="nil"/>
              <w:left w:val="nil"/>
              <w:bottom w:val="single" w:sz="4" w:space="0" w:color="BFBFBF"/>
              <w:right w:val="single" w:sz="4" w:space="0" w:color="BFBFBF"/>
            </w:tcBorders>
            <w:shd w:val="clear" w:color="auto" w:fill="auto"/>
            <w:noWrap/>
            <w:vAlign w:val="center"/>
          </w:tcPr>
          <w:p w14:paraId="043428E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011122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38DAEA42"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3754F2E7" w14:textId="77777777" w:rsidR="0038020F" w:rsidRPr="00A6026E" w:rsidRDefault="0038020F" w:rsidP="008C257B">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DHHS Area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0F7576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BE172F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305734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324786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92C132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2AE7DC8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1C039EE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51F2D8E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C790F5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7B4E06C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B678E8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bottom"/>
          </w:tcPr>
          <w:p w14:paraId="4ED4E4A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855D43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top w:val="nil"/>
              <w:left w:val="nil"/>
              <w:bottom w:val="single" w:sz="4" w:space="0" w:color="BFBFBF"/>
              <w:right w:val="single" w:sz="4" w:space="0" w:color="auto"/>
            </w:tcBorders>
            <w:shd w:val="clear" w:color="auto" w:fill="auto"/>
            <w:noWrap/>
            <w:vAlign w:val="center"/>
          </w:tcPr>
          <w:p w14:paraId="6FBBC04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0CC9D1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4B35CD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FFD63A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76E48BF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38020F" w:rsidRPr="00A6026E" w14:paraId="2EB392E4"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4159CA4E"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Hume Moreland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CB2F47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w:t>
            </w:r>
          </w:p>
        </w:tc>
        <w:tc>
          <w:tcPr>
            <w:tcW w:w="808" w:type="dxa"/>
            <w:tcBorders>
              <w:top w:val="nil"/>
              <w:left w:val="nil"/>
              <w:bottom w:val="single" w:sz="4" w:space="0" w:color="BFBFBF"/>
              <w:right w:val="single" w:sz="4" w:space="0" w:color="BFBFBF"/>
            </w:tcBorders>
            <w:shd w:val="clear" w:color="auto" w:fill="auto"/>
            <w:noWrap/>
            <w:vAlign w:val="center"/>
          </w:tcPr>
          <w:p w14:paraId="685A5DA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DC81F1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15CC6F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F4A9C7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270</w:t>
            </w:r>
          </w:p>
        </w:tc>
        <w:tc>
          <w:tcPr>
            <w:tcW w:w="675" w:type="dxa"/>
            <w:tcBorders>
              <w:top w:val="nil"/>
              <w:left w:val="nil"/>
              <w:bottom w:val="single" w:sz="4" w:space="0" w:color="BFBFBF"/>
              <w:right w:val="single" w:sz="4" w:space="0" w:color="BFBFBF"/>
            </w:tcBorders>
            <w:shd w:val="clear" w:color="auto" w:fill="auto"/>
            <w:noWrap/>
            <w:vAlign w:val="center"/>
          </w:tcPr>
          <w:p w14:paraId="7C61892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44D763A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1617BAD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7679F8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4D5FB43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B91885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w:t>
            </w:r>
          </w:p>
        </w:tc>
        <w:tc>
          <w:tcPr>
            <w:tcW w:w="675" w:type="dxa"/>
            <w:tcBorders>
              <w:top w:val="nil"/>
              <w:left w:val="nil"/>
              <w:bottom w:val="single" w:sz="4" w:space="0" w:color="BFBFBF"/>
              <w:right w:val="single" w:sz="4" w:space="0" w:color="BFBFBF"/>
            </w:tcBorders>
            <w:shd w:val="clear" w:color="auto" w:fill="auto"/>
            <w:noWrap/>
            <w:vAlign w:val="bottom"/>
          </w:tcPr>
          <w:p w14:paraId="4928035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w:t>
            </w:r>
          </w:p>
        </w:tc>
        <w:tc>
          <w:tcPr>
            <w:tcW w:w="808" w:type="dxa"/>
            <w:tcBorders>
              <w:top w:val="nil"/>
              <w:left w:val="nil"/>
              <w:bottom w:val="single" w:sz="4" w:space="0" w:color="BFBFBF"/>
              <w:right w:val="single" w:sz="4" w:space="0" w:color="BFBFBF"/>
            </w:tcBorders>
            <w:shd w:val="clear" w:color="auto" w:fill="auto"/>
            <w:noWrap/>
            <w:vAlign w:val="center"/>
          </w:tcPr>
          <w:p w14:paraId="1F15E29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25A1E87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F5ECBA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671</w:t>
            </w:r>
          </w:p>
        </w:tc>
        <w:tc>
          <w:tcPr>
            <w:tcW w:w="808" w:type="dxa"/>
            <w:tcBorders>
              <w:top w:val="nil"/>
              <w:left w:val="nil"/>
              <w:bottom w:val="single" w:sz="4" w:space="0" w:color="BFBFBF"/>
              <w:right w:val="single" w:sz="4" w:space="0" w:color="BFBFBF"/>
            </w:tcBorders>
            <w:shd w:val="clear" w:color="auto" w:fill="auto"/>
            <w:noWrap/>
            <w:vAlign w:val="center"/>
          </w:tcPr>
          <w:p w14:paraId="02B7C40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EE6F0E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CB534B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5A9F7EF1"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3A1702D4" w14:textId="1EF53E14" w:rsidR="0038020F" w:rsidRPr="00A6026E" w:rsidRDefault="0038020F"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North East Melb</w:t>
            </w:r>
            <w:r w:rsidR="00314185">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FD45C3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44%</w:t>
            </w:r>
          </w:p>
        </w:tc>
        <w:tc>
          <w:tcPr>
            <w:tcW w:w="808" w:type="dxa"/>
            <w:tcBorders>
              <w:top w:val="nil"/>
              <w:left w:val="nil"/>
              <w:bottom w:val="single" w:sz="4" w:space="0" w:color="BFBFBF"/>
              <w:right w:val="single" w:sz="4" w:space="0" w:color="BFBFBF"/>
            </w:tcBorders>
            <w:shd w:val="clear" w:color="auto" w:fill="auto"/>
            <w:noWrap/>
            <w:vAlign w:val="center"/>
          </w:tcPr>
          <w:p w14:paraId="30E2F56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DED9CE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FA9290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796D21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270</w:t>
            </w:r>
          </w:p>
        </w:tc>
        <w:tc>
          <w:tcPr>
            <w:tcW w:w="675" w:type="dxa"/>
            <w:tcBorders>
              <w:top w:val="nil"/>
              <w:left w:val="nil"/>
              <w:bottom w:val="single" w:sz="4" w:space="0" w:color="BFBFBF"/>
              <w:right w:val="single" w:sz="4" w:space="0" w:color="BFBFBF"/>
            </w:tcBorders>
            <w:shd w:val="clear" w:color="auto" w:fill="auto"/>
            <w:noWrap/>
            <w:vAlign w:val="center"/>
          </w:tcPr>
          <w:p w14:paraId="0006CE8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202E6C9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00871E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F06E0B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55E6D97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4318B0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w:t>
            </w:r>
          </w:p>
        </w:tc>
        <w:tc>
          <w:tcPr>
            <w:tcW w:w="675" w:type="dxa"/>
            <w:tcBorders>
              <w:top w:val="nil"/>
              <w:left w:val="nil"/>
              <w:bottom w:val="single" w:sz="4" w:space="0" w:color="BFBFBF"/>
              <w:right w:val="single" w:sz="4" w:space="0" w:color="BFBFBF"/>
            </w:tcBorders>
            <w:shd w:val="clear" w:color="auto" w:fill="auto"/>
            <w:noWrap/>
            <w:vAlign w:val="bottom"/>
          </w:tcPr>
          <w:p w14:paraId="4BAFCC2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w:t>
            </w:r>
          </w:p>
        </w:tc>
        <w:tc>
          <w:tcPr>
            <w:tcW w:w="808" w:type="dxa"/>
            <w:tcBorders>
              <w:top w:val="nil"/>
              <w:left w:val="nil"/>
              <w:bottom w:val="single" w:sz="4" w:space="0" w:color="BFBFBF"/>
              <w:right w:val="single" w:sz="4" w:space="0" w:color="BFBFBF"/>
            </w:tcBorders>
            <w:shd w:val="clear" w:color="auto" w:fill="auto"/>
            <w:noWrap/>
            <w:vAlign w:val="center"/>
          </w:tcPr>
          <w:p w14:paraId="323900D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4FE202C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C929CB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655</w:t>
            </w:r>
          </w:p>
        </w:tc>
        <w:tc>
          <w:tcPr>
            <w:tcW w:w="808" w:type="dxa"/>
            <w:tcBorders>
              <w:top w:val="nil"/>
              <w:left w:val="nil"/>
              <w:bottom w:val="single" w:sz="4" w:space="0" w:color="BFBFBF"/>
              <w:right w:val="single" w:sz="4" w:space="0" w:color="BFBFBF"/>
            </w:tcBorders>
            <w:shd w:val="clear" w:color="auto" w:fill="auto"/>
            <w:noWrap/>
            <w:vAlign w:val="center"/>
          </w:tcPr>
          <w:p w14:paraId="0F92BFF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BDB5C5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797362B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1E1A4D43"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33D5C9AE" w14:textId="12CA2D7B" w:rsidR="0038020F" w:rsidRPr="00A6026E" w:rsidRDefault="0038020F"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Outer East Melb</w:t>
            </w:r>
            <w:r w:rsidR="00314185">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BA6E1C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48%</w:t>
            </w:r>
          </w:p>
        </w:tc>
        <w:tc>
          <w:tcPr>
            <w:tcW w:w="808" w:type="dxa"/>
            <w:tcBorders>
              <w:top w:val="nil"/>
              <w:left w:val="nil"/>
              <w:bottom w:val="single" w:sz="4" w:space="0" w:color="BFBFBF"/>
              <w:right w:val="single" w:sz="4" w:space="0" w:color="BFBFBF"/>
            </w:tcBorders>
            <w:shd w:val="clear" w:color="auto" w:fill="auto"/>
            <w:noWrap/>
            <w:vAlign w:val="center"/>
          </w:tcPr>
          <w:p w14:paraId="3C30EA7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B9F6FC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E9121D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0CC973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267</w:t>
            </w:r>
          </w:p>
        </w:tc>
        <w:tc>
          <w:tcPr>
            <w:tcW w:w="675" w:type="dxa"/>
            <w:tcBorders>
              <w:top w:val="nil"/>
              <w:left w:val="nil"/>
              <w:bottom w:val="single" w:sz="4" w:space="0" w:color="BFBFBF"/>
              <w:right w:val="single" w:sz="4" w:space="0" w:color="BFBFBF"/>
            </w:tcBorders>
            <w:shd w:val="clear" w:color="auto" w:fill="auto"/>
            <w:noWrap/>
            <w:vAlign w:val="center"/>
          </w:tcPr>
          <w:p w14:paraId="53D2E07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5BFB19B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B174AF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7A2CCE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1B9A989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4DCFCA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bottom"/>
          </w:tcPr>
          <w:p w14:paraId="7CD548B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w:t>
            </w:r>
          </w:p>
        </w:tc>
        <w:tc>
          <w:tcPr>
            <w:tcW w:w="808" w:type="dxa"/>
            <w:tcBorders>
              <w:top w:val="nil"/>
              <w:left w:val="nil"/>
              <w:bottom w:val="single" w:sz="4" w:space="0" w:color="BFBFBF"/>
              <w:right w:val="single" w:sz="4" w:space="0" w:color="BFBFBF"/>
            </w:tcBorders>
            <w:shd w:val="clear" w:color="auto" w:fill="auto"/>
            <w:noWrap/>
            <w:vAlign w:val="center"/>
          </w:tcPr>
          <w:p w14:paraId="1D5286B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0207013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1C6293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753</w:t>
            </w:r>
          </w:p>
        </w:tc>
        <w:tc>
          <w:tcPr>
            <w:tcW w:w="808" w:type="dxa"/>
            <w:tcBorders>
              <w:top w:val="nil"/>
              <w:left w:val="nil"/>
              <w:bottom w:val="single" w:sz="4" w:space="0" w:color="BFBFBF"/>
              <w:right w:val="single" w:sz="4" w:space="0" w:color="BFBFBF"/>
            </w:tcBorders>
            <w:shd w:val="clear" w:color="auto" w:fill="auto"/>
            <w:noWrap/>
            <w:vAlign w:val="center"/>
          </w:tcPr>
          <w:p w14:paraId="0A28107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E0C0B1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F11EF6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5FD802D2"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7212CD24" w14:textId="3C3BCD9F" w:rsidR="0038020F" w:rsidRPr="00A6026E" w:rsidRDefault="0038020F"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Inner East Melb</w:t>
            </w:r>
            <w:r w:rsidR="00314185">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654DB0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w:t>
            </w:r>
          </w:p>
        </w:tc>
        <w:tc>
          <w:tcPr>
            <w:tcW w:w="808" w:type="dxa"/>
            <w:tcBorders>
              <w:top w:val="nil"/>
              <w:left w:val="nil"/>
              <w:bottom w:val="single" w:sz="4" w:space="0" w:color="BFBFBF"/>
              <w:right w:val="single" w:sz="4" w:space="0" w:color="BFBFBF"/>
            </w:tcBorders>
            <w:shd w:val="clear" w:color="auto" w:fill="auto"/>
            <w:noWrap/>
            <w:vAlign w:val="center"/>
          </w:tcPr>
          <w:p w14:paraId="1064A76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076721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B045A4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108929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269</w:t>
            </w:r>
          </w:p>
        </w:tc>
        <w:tc>
          <w:tcPr>
            <w:tcW w:w="675" w:type="dxa"/>
            <w:tcBorders>
              <w:top w:val="nil"/>
              <w:left w:val="nil"/>
              <w:bottom w:val="single" w:sz="4" w:space="0" w:color="BFBFBF"/>
              <w:right w:val="single" w:sz="4" w:space="0" w:color="BFBFBF"/>
            </w:tcBorders>
            <w:shd w:val="clear" w:color="auto" w:fill="auto"/>
            <w:noWrap/>
            <w:vAlign w:val="center"/>
          </w:tcPr>
          <w:p w14:paraId="50ED6C2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3F5AC2D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17F1DEE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500A56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99%</w:t>
            </w:r>
          </w:p>
        </w:tc>
        <w:tc>
          <w:tcPr>
            <w:tcW w:w="808" w:type="dxa"/>
            <w:tcBorders>
              <w:top w:val="nil"/>
              <w:left w:val="nil"/>
              <w:bottom w:val="single" w:sz="4" w:space="0" w:color="BFBFBF"/>
              <w:right w:val="nil"/>
            </w:tcBorders>
            <w:shd w:val="clear" w:color="auto" w:fill="auto"/>
            <w:noWrap/>
            <w:vAlign w:val="center"/>
          </w:tcPr>
          <w:p w14:paraId="74D6FCD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6AED7C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w:t>
            </w:r>
          </w:p>
        </w:tc>
        <w:tc>
          <w:tcPr>
            <w:tcW w:w="675" w:type="dxa"/>
            <w:tcBorders>
              <w:top w:val="nil"/>
              <w:left w:val="nil"/>
              <w:bottom w:val="single" w:sz="4" w:space="0" w:color="BFBFBF"/>
              <w:right w:val="single" w:sz="4" w:space="0" w:color="BFBFBF"/>
            </w:tcBorders>
            <w:shd w:val="clear" w:color="auto" w:fill="auto"/>
            <w:noWrap/>
            <w:vAlign w:val="bottom"/>
          </w:tcPr>
          <w:p w14:paraId="2C993AD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32</w:t>
            </w:r>
          </w:p>
        </w:tc>
        <w:tc>
          <w:tcPr>
            <w:tcW w:w="808" w:type="dxa"/>
            <w:tcBorders>
              <w:top w:val="nil"/>
              <w:left w:val="nil"/>
              <w:bottom w:val="single" w:sz="4" w:space="0" w:color="BFBFBF"/>
              <w:right w:val="single" w:sz="4" w:space="0" w:color="BFBFBF"/>
            </w:tcBorders>
            <w:shd w:val="clear" w:color="auto" w:fill="auto"/>
            <w:noWrap/>
            <w:vAlign w:val="center"/>
          </w:tcPr>
          <w:p w14:paraId="0D726D6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79DC879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C4BD23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811</w:t>
            </w:r>
          </w:p>
        </w:tc>
        <w:tc>
          <w:tcPr>
            <w:tcW w:w="808" w:type="dxa"/>
            <w:tcBorders>
              <w:top w:val="nil"/>
              <w:left w:val="nil"/>
              <w:bottom w:val="single" w:sz="4" w:space="0" w:color="BFBFBF"/>
              <w:right w:val="single" w:sz="4" w:space="0" w:color="BFBFBF"/>
            </w:tcBorders>
            <w:shd w:val="clear" w:color="auto" w:fill="auto"/>
            <w:noWrap/>
            <w:vAlign w:val="center"/>
          </w:tcPr>
          <w:p w14:paraId="23CCD17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38C864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4107B5D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0DF81606"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7CF12CF1" w14:textId="3621850C" w:rsidR="0038020F" w:rsidRPr="00A6026E" w:rsidRDefault="0038020F"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Southern Melb</w:t>
            </w:r>
            <w:r w:rsidR="00314185">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B56270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w:t>
            </w:r>
          </w:p>
        </w:tc>
        <w:tc>
          <w:tcPr>
            <w:tcW w:w="808" w:type="dxa"/>
            <w:tcBorders>
              <w:top w:val="nil"/>
              <w:left w:val="nil"/>
              <w:bottom w:val="single" w:sz="4" w:space="0" w:color="BFBFBF"/>
              <w:right w:val="single" w:sz="4" w:space="0" w:color="BFBFBF"/>
            </w:tcBorders>
            <w:shd w:val="clear" w:color="auto" w:fill="auto"/>
            <w:noWrap/>
            <w:vAlign w:val="center"/>
          </w:tcPr>
          <w:p w14:paraId="43239BE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820790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0D0F84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BD0E49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255</w:t>
            </w:r>
          </w:p>
        </w:tc>
        <w:tc>
          <w:tcPr>
            <w:tcW w:w="675" w:type="dxa"/>
            <w:tcBorders>
              <w:top w:val="nil"/>
              <w:left w:val="nil"/>
              <w:bottom w:val="single" w:sz="4" w:space="0" w:color="BFBFBF"/>
              <w:right w:val="single" w:sz="4" w:space="0" w:color="BFBFBF"/>
            </w:tcBorders>
            <w:shd w:val="clear" w:color="auto" w:fill="auto"/>
            <w:noWrap/>
            <w:vAlign w:val="center"/>
          </w:tcPr>
          <w:p w14:paraId="67DDCB1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42C6376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94968A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03FB10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808" w:type="dxa"/>
            <w:tcBorders>
              <w:top w:val="nil"/>
              <w:left w:val="nil"/>
              <w:bottom w:val="single" w:sz="4" w:space="0" w:color="BFBFBF"/>
              <w:right w:val="nil"/>
            </w:tcBorders>
            <w:shd w:val="clear" w:color="auto" w:fill="auto"/>
            <w:noWrap/>
            <w:vAlign w:val="center"/>
          </w:tcPr>
          <w:p w14:paraId="4676E01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97E981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bottom"/>
          </w:tcPr>
          <w:p w14:paraId="689D486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74EF6B0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1FEA2D6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5DBDED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814</w:t>
            </w:r>
          </w:p>
        </w:tc>
        <w:tc>
          <w:tcPr>
            <w:tcW w:w="808" w:type="dxa"/>
            <w:tcBorders>
              <w:top w:val="nil"/>
              <w:left w:val="nil"/>
              <w:bottom w:val="single" w:sz="4" w:space="0" w:color="BFBFBF"/>
              <w:right w:val="single" w:sz="4" w:space="0" w:color="BFBFBF"/>
            </w:tcBorders>
            <w:shd w:val="clear" w:color="auto" w:fill="auto"/>
            <w:noWrap/>
            <w:vAlign w:val="center"/>
          </w:tcPr>
          <w:p w14:paraId="0F00E0E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FC1E9F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3D3AA5D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319A63D7"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0171A885"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Bayside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05A9C9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w:t>
            </w:r>
          </w:p>
        </w:tc>
        <w:tc>
          <w:tcPr>
            <w:tcW w:w="808" w:type="dxa"/>
            <w:tcBorders>
              <w:top w:val="nil"/>
              <w:left w:val="nil"/>
              <w:bottom w:val="single" w:sz="4" w:space="0" w:color="BFBFBF"/>
              <w:right w:val="single" w:sz="4" w:space="0" w:color="BFBFBF"/>
            </w:tcBorders>
            <w:shd w:val="clear" w:color="auto" w:fill="auto"/>
            <w:noWrap/>
            <w:vAlign w:val="center"/>
          </w:tcPr>
          <w:p w14:paraId="2F36B92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16AFB0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02C28E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92A3A6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265</w:t>
            </w:r>
          </w:p>
        </w:tc>
        <w:tc>
          <w:tcPr>
            <w:tcW w:w="675" w:type="dxa"/>
            <w:tcBorders>
              <w:top w:val="nil"/>
              <w:left w:val="nil"/>
              <w:bottom w:val="single" w:sz="4" w:space="0" w:color="BFBFBF"/>
              <w:right w:val="single" w:sz="4" w:space="0" w:color="BFBFBF"/>
            </w:tcBorders>
            <w:shd w:val="clear" w:color="auto" w:fill="auto"/>
            <w:noWrap/>
            <w:vAlign w:val="center"/>
          </w:tcPr>
          <w:p w14:paraId="041041E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7EBC769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1F1E192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0B7E41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808" w:type="dxa"/>
            <w:tcBorders>
              <w:top w:val="nil"/>
              <w:left w:val="nil"/>
              <w:bottom w:val="single" w:sz="4" w:space="0" w:color="BFBFBF"/>
              <w:right w:val="nil"/>
            </w:tcBorders>
            <w:shd w:val="clear" w:color="auto" w:fill="auto"/>
            <w:noWrap/>
            <w:vAlign w:val="center"/>
          </w:tcPr>
          <w:p w14:paraId="09B5B73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B42C50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bottom"/>
          </w:tcPr>
          <w:p w14:paraId="6B8D3D4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2476008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5DFE11A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6F7333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944</w:t>
            </w:r>
          </w:p>
        </w:tc>
        <w:tc>
          <w:tcPr>
            <w:tcW w:w="808" w:type="dxa"/>
            <w:tcBorders>
              <w:top w:val="nil"/>
              <w:left w:val="nil"/>
              <w:bottom w:val="single" w:sz="4" w:space="0" w:color="BFBFBF"/>
              <w:right w:val="single" w:sz="4" w:space="0" w:color="BFBFBF"/>
            </w:tcBorders>
            <w:shd w:val="clear" w:color="auto" w:fill="auto"/>
            <w:noWrap/>
            <w:vAlign w:val="center"/>
          </w:tcPr>
          <w:p w14:paraId="04759EA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F53368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65F505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3906D8B9"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0AF4EC1A" w14:textId="678ED781" w:rsidR="0038020F" w:rsidRPr="00A6026E" w:rsidRDefault="0038020F" w:rsidP="00314185">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Western Melb</w:t>
            </w:r>
            <w:r w:rsidR="00314185">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1124F6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31%</w:t>
            </w:r>
          </w:p>
        </w:tc>
        <w:tc>
          <w:tcPr>
            <w:tcW w:w="808" w:type="dxa"/>
            <w:tcBorders>
              <w:top w:val="nil"/>
              <w:left w:val="nil"/>
              <w:bottom w:val="single" w:sz="4" w:space="0" w:color="BFBFBF"/>
              <w:right w:val="single" w:sz="4" w:space="0" w:color="BFBFBF"/>
            </w:tcBorders>
            <w:shd w:val="clear" w:color="auto" w:fill="auto"/>
            <w:noWrap/>
            <w:vAlign w:val="center"/>
          </w:tcPr>
          <w:p w14:paraId="667BFCF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DA4DA4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856153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978561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241</w:t>
            </w:r>
          </w:p>
        </w:tc>
        <w:tc>
          <w:tcPr>
            <w:tcW w:w="675" w:type="dxa"/>
            <w:tcBorders>
              <w:top w:val="nil"/>
              <w:left w:val="nil"/>
              <w:bottom w:val="single" w:sz="4" w:space="0" w:color="BFBFBF"/>
              <w:right w:val="single" w:sz="4" w:space="0" w:color="BFBFBF"/>
            </w:tcBorders>
            <w:shd w:val="clear" w:color="auto" w:fill="auto"/>
            <w:noWrap/>
            <w:vAlign w:val="center"/>
          </w:tcPr>
          <w:p w14:paraId="388A8C7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363C67B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664665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4B7300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52B9A81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772AC1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675" w:type="dxa"/>
            <w:tcBorders>
              <w:top w:val="nil"/>
              <w:left w:val="nil"/>
              <w:bottom w:val="single" w:sz="4" w:space="0" w:color="BFBFBF"/>
              <w:right w:val="single" w:sz="4" w:space="0" w:color="BFBFBF"/>
            </w:tcBorders>
            <w:shd w:val="clear" w:color="auto" w:fill="auto"/>
            <w:noWrap/>
            <w:vAlign w:val="bottom"/>
          </w:tcPr>
          <w:p w14:paraId="45409C2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w:t>
            </w:r>
          </w:p>
        </w:tc>
        <w:tc>
          <w:tcPr>
            <w:tcW w:w="808" w:type="dxa"/>
            <w:tcBorders>
              <w:top w:val="nil"/>
              <w:left w:val="nil"/>
              <w:bottom w:val="single" w:sz="4" w:space="0" w:color="BFBFBF"/>
              <w:right w:val="single" w:sz="4" w:space="0" w:color="BFBFBF"/>
            </w:tcBorders>
            <w:shd w:val="clear" w:color="auto" w:fill="auto"/>
            <w:noWrap/>
            <w:vAlign w:val="center"/>
          </w:tcPr>
          <w:p w14:paraId="5AB2C3E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17116E6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2C5FD5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811</w:t>
            </w:r>
          </w:p>
        </w:tc>
        <w:tc>
          <w:tcPr>
            <w:tcW w:w="808" w:type="dxa"/>
            <w:tcBorders>
              <w:top w:val="nil"/>
              <w:left w:val="nil"/>
              <w:bottom w:val="single" w:sz="4" w:space="0" w:color="BFBFBF"/>
              <w:right w:val="single" w:sz="4" w:space="0" w:color="BFBFBF"/>
            </w:tcBorders>
            <w:shd w:val="clear" w:color="auto" w:fill="auto"/>
            <w:noWrap/>
            <w:vAlign w:val="center"/>
          </w:tcPr>
          <w:p w14:paraId="5095308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674564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381FDA4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7754002A"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56B50ABF"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Brimbank Melton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6A1D8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46%</w:t>
            </w:r>
          </w:p>
        </w:tc>
        <w:tc>
          <w:tcPr>
            <w:tcW w:w="808" w:type="dxa"/>
            <w:tcBorders>
              <w:top w:val="nil"/>
              <w:left w:val="nil"/>
              <w:bottom w:val="single" w:sz="4" w:space="0" w:color="BFBFBF"/>
              <w:right w:val="single" w:sz="4" w:space="0" w:color="BFBFBF"/>
            </w:tcBorders>
            <w:shd w:val="clear" w:color="auto" w:fill="auto"/>
            <w:noWrap/>
            <w:vAlign w:val="center"/>
          </w:tcPr>
          <w:p w14:paraId="53FC6DB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60A921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E93A9E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1E95D6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266</w:t>
            </w:r>
          </w:p>
        </w:tc>
        <w:tc>
          <w:tcPr>
            <w:tcW w:w="675" w:type="dxa"/>
            <w:tcBorders>
              <w:top w:val="nil"/>
              <w:left w:val="nil"/>
              <w:bottom w:val="single" w:sz="4" w:space="0" w:color="BFBFBF"/>
              <w:right w:val="single" w:sz="4" w:space="0" w:color="BFBFBF"/>
            </w:tcBorders>
            <w:shd w:val="clear" w:color="auto" w:fill="auto"/>
            <w:noWrap/>
            <w:vAlign w:val="center"/>
          </w:tcPr>
          <w:p w14:paraId="20B02C0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2194ED3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695D426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9CA3B9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c>
          <w:tcPr>
            <w:tcW w:w="808" w:type="dxa"/>
            <w:tcBorders>
              <w:top w:val="nil"/>
              <w:left w:val="nil"/>
              <w:bottom w:val="single" w:sz="4" w:space="0" w:color="BFBFBF"/>
              <w:right w:val="nil"/>
            </w:tcBorders>
            <w:shd w:val="clear" w:color="auto" w:fill="auto"/>
            <w:noWrap/>
            <w:vAlign w:val="center"/>
          </w:tcPr>
          <w:p w14:paraId="1E5C201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F46DF5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675" w:type="dxa"/>
            <w:tcBorders>
              <w:top w:val="nil"/>
              <w:left w:val="nil"/>
              <w:bottom w:val="single" w:sz="4" w:space="0" w:color="BFBFBF"/>
              <w:right w:val="single" w:sz="4" w:space="0" w:color="BFBFBF"/>
            </w:tcBorders>
            <w:shd w:val="clear" w:color="auto" w:fill="auto"/>
            <w:noWrap/>
            <w:vAlign w:val="bottom"/>
          </w:tcPr>
          <w:p w14:paraId="6CF35BD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808" w:type="dxa"/>
            <w:tcBorders>
              <w:top w:val="nil"/>
              <w:left w:val="nil"/>
              <w:bottom w:val="single" w:sz="4" w:space="0" w:color="BFBFBF"/>
              <w:right w:val="single" w:sz="4" w:space="0" w:color="BFBFBF"/>
            </w:tcBorders>
            <w:shd w:val="clear" w:color="auto" w:fill="auto"/>
            <w:noWrap/>
            <w:vAlign w:val="center"/>
          </w:tcPr>
          <w:p w14:paraId="4F17CA6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5EBDD12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30C996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757</w:t>
            </w:r>
          </w:p>
        </w:tc>
        <w:tc>
          <w:tcPr>
            <w:tcW w:w="808" w:type="dxa"/>
            <w:tcBorders>
              <w:top w:val="nil"/>
              <w:left w:val="nil"/>
              <w:bottom w:val="single" w:sz="4" w:space="0" w:color="BFBFBF"/>
              <w:right w:val="single" w:sz="4" w:space="0" w:color="BFBFBF"/>
            </w:tcBorders>
            <w:shd w:val="clear" w:color="auto" w:fill="auto"/>
            <w:noWrap/>
            <w:vAlign w:val="center"/>
          </w:tcPr>
          <w:p w14:paraId="056704E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C32DF2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26A732C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16EEE121"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6C973F78"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Mallee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16AD44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46%</w:t>
            </w:r>
          </w:p>
        </w:tc>
        <w:tc>
          <w:tcPr>
            <w:tcW w:w="808" w:type="dxa"/>
            <w:tcBorders>
              <w:top w:val="nil"/>
              <w:left w:val="nil"/>
              <w:bottom w:val="single" w:sz="4" w:space="0" w:color="BFBFBF"/>
              <w:right w:val="single" w:sz="4" w:space="0" w:color="BFBFBF"/>
            </w:tcBorders>
            <w:shd w:val="clear" w:color="auto" w:fill="auto"/>
            <w:noWrap/>
            <w:vAlign w:val="center"/>
          </w:tcPr>
          <w:p w14:paraId="7A5F9BF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0EF0E3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E018EA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CC97BE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180</w:t>
            </w:r>
          </w:p>
        </w:tc>
        <w:tc>
          <w:tcPr>
            <w:tcW w:w="675" w:type="dxa"/>
            <w:tcBorders>
              <w:top w:val="nil"/>
              <w:left w:val="nil"/>
              <w:bottom w:val="single" w:sz="4" w:space="0" w:color="BFBFBF"/>
              <w:right w:val="single" w:sz="4" w:space="0" w:color="BFBFBF"/>
            </w:tcBorders>
            <w:shd w:val="clear" w:color="auto" w:fill="auto"/>
            <w:noWrap/>
            <w:vAlign w:val="center"/>
          </w:tcPr>
          <w:p w14:paraId="28A1FB7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939F6A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6FB925E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CEF438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71FEE97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B4F360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w:t>
            </w:r>
          </w:p>
        </w:tc>
        <w:tc>
          <w:tcPr>
            <w:tcW w:w="675" w:type="dxa"/>
            <w:tcBorders>
              <w:top w:val="nil"/>
              <w:left w:val="nil"/>
              <w:bottom w:val="single" w:sz="4" w:space="0" w:color="BFBFBF"/>
              <w:right w:val="single" w:sz="4" w:space="0" w:color="BFBFBF"/>
            </w:tcBorders>
            <w:shd w:val="clear" w:color="auto" w:fill="auto"/>
            <w:noWrap/>
            <w:vAlign w:val="bottom"/>
          </w:tcPr>
          <w:p w14:paraId="08D85C3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30</w:t>
            </w:r>
          </w:p>
        </w:tc>
        <w:tc>
          <w:tcPr>
            <w:tcW w:w="808" w:type="dxa"/>
            <w:tcBorders>
              <w:top w:val="nil"/>
              <w:left w:val="nil"/>
              <w:bottom w:val="single" w:sz="4" w:space="0" w:color="BFBFBF"/>
              <w:right w:val="single" w:sz="4" w:space="0" w:color="BFBFBF"/>
            </w:tcBorders>
            <w:shd w:val="clear" w:color="auto" w:fill="auto"/>
            <w:noWrap/>
            <w:vAlign w:val="center"/>
          </w:tcPr>
          <w:p w14:paraId="6F56BA9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6D41226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6D274E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638</w:t>
            </w:r>
          </w:p>
        </w:tc>
        <w:tc>
          <w:tcPr>
            <w:tcW w:w="808" w:type="dxa"/>
            <w:tcBorders>
              <w:top w:val="nil"/>
              <w:left w:val="nil"/>
              <w:bottom w:val="single" w:sz="4" w:space="0" w:color="BFBFBF"/>
              <w:right w:val="single" w:sz="4" w:space="0" w:color="BFBFBF"/>
            </w:tcBorders>
            <w:shd w:val="clear" w:color="auto" w:fill="auto"/>
            <w:noWrap/>
            <w:vAlign w:val="center"/>
          </w:tcPr>
          <w:p w14:paraId="02DBC2E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3CFAFB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194DCF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6EA5E5DC"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653F7532"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Loddon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E7FE09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44%</w:t>
            </w:r>
          </w:p>
        </w:tc>
        <w:tc>
          <w:tcPr>
            <w:tcW w:w="808" w:type="dxa"/>
            <w:tcBorders>
              <w:top w:val="nil"/>
              <w:left w:val="nil"/>
              <w:bottom w:val="single" w:sz="4" w:space="0" w:color="BFBFBF"/>
              <w:right w:val="single" w:sz="4" w:space="0" w:color="BFBFBF"/>
            </w:tcBorders>
            <w:shd w:val="clear" w:color="auto" w:fill="auto"/>
            <w:noWrap/>
            <w:vAlign w:val="center"/>
          </w:tcPr>
          <w:p w14:paraId="1AD71FF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9F2729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523E51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D18D7C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257</w:t>
            </w:r>
          </w:p>
        </w:tc>
        <w:tc>
          <w:tcPr>
            <w:tcW w:w="675" w:type="dxa"/>
            <w:tcBorders>
              <w:top w:val="nil"/>
              <w:left w:val="nil"/>
              <w:bottom w:val="single" w:sz="4" w:space="0" w:color="BFBFBF"/>
              <w:right w:val="single" w:sz="4" w:space="0" w:color="BFBFBF"/>
            </w:tcBorders>
            <w:shd w:val="clear" w:color="auto" w:fill="auto"/>
            <w:noWrap/>
            <w:vAlign w:val="center"/>
          </w:tcPr>
          <w:p w14:paraId="3D1AFC7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4F54D90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516629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6D1298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w:t>
            </w:r>
          </w:p>
        </w:tc>
        <w:tc>
          <w:tcPr>
            <w:tcW w:w="808" w:type="dxa"/>
            <w:tcBorders>
              <w:top w:val="nil"/>
              <w:left w:val="nil"/>
              <w:bottom w:val="single" w:sz="4" w:space="0" w:color="BFBFBF"/>
              <w:right w:val="nil"/>
            </w:tcBorders>
            <w:shd w:val="clear" w:color="auto" w:fill="auto"/>
            <w:noWrap/>
            <w:vAlign w:val="center"/>
          </w:tcPr>
          <w:p w14:paraId="6132DE6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78A343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w:t>
            </w:r>
          </w:p>
        </w:tc>
        <w:tc>
          <w:tcPr>
            <w:tcW w:w="675" w:type="dxa"/>
            <w:tcBorders>
              <w:top w:val="nil"/>
              <w:left w:val="nil"/>
              <w:bottom w:val="single" w:sz="4" w:space="0" w:color="BFBFBF"/>
              <w:right w:val="single" w:sz="4" w:space="0" w:color="BFBFBF"/>
            </w:tcBorders>
            <w:shd w:val="clear" w:color="auto" w:fill="auto"/>
            <w:noWrap/>
            <w:vAlign w:val="bottom"/>
          </w:tcPr>
          <w:p w14:paraId="0C02CB7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BFBFBF"/>
            </w:tcBorders>
            <w:shd w:val="clear" w:color="auto" w:fill="auto"/>
            <w:noWrap/>
            <w:vAlign w:val="center"/>
          </w:tcPr>
          <w:p w14:paraId="6243B2B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5A2D3D8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49E2C5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1215</w:t>
            </w:r>
          </w:p>
        </w:tc>
        <w:tc>
          <w:tcPr>
            <w:tcW w:w="808" w:type="dxa"/>
            <w:tcBorders>
              <w:top w:val="nil"/>
              <w:left w:val="nil"/>
              <w:bottom w:val="single" w:sz="4" w:space="0" w:color="BFBFBF"/>
              <w:right w:val="single" w:sz="4" w:space="0" w:color="BFBFBF"/>
            </w:tcBorders>
            <w:shd w:val="clear" w:color="auto" w:fill="auto"/>
            <w:noWrap/>
            <w:vAlign w:val="center"/>
          </w:tcPr>
          <w:p w14:paraId="1318370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30432E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7321B19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6FFC9E3D"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6D700F32"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A6026E">
                  <w:rPr>
                    <w:rFonts w:ascii="Arial" w:hAnsi="Arial" w:cs="Arial"/>
                    <w:color w:val="000000"/>
                    <w:sz w:val="16"/>
                    <w:szCs w:val="16"/>
                    <w:lang w:val="en-AU" w:eastAsia="en-AU"/>
                  </w:rPr>
                  <w:t>Murray</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F03EF1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49%</w:t>
            </w:r>
          </w:p>
        </w:tc>
        <w:tc>
          <w:tcPr>
            <w:tcW w:w="808" w:type="dxa"/>
            <w:tcBorders>
              <w:top w:val="nil"/>
              <w:left w:val="nil"/>
              <w:bottom w:val="single" w:sz="4" w:space="0" w:color="BFBFBF"/>
              <w:right w:val="single" w:sz="4" w:space="0" w:color="BFBFBF"/>
            </w:tcBorders>
            <w:shd w:val="clear" w:color="auto" w:fill="auto"/>
            <w:noWrap/>
            <w:vAlign w:val="center"/>
          </w:tcPr>
          <w:p w14:paraId="54F938C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803ECE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9A4461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E22AB7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220</w:t>
            </w:r>
          </w:p>
        </w:tc>
        <w:tc>
          <w:tcPr>
            <w:tcW w:w="675" w:type="dxa"/>
            <w:tcBorders>
              <w:top w:val="nil"/>
              <w:left w:val="nil"/>
              <w:bottom w:val="single" w:sz="4" w:space="0" w:color="BFBFBF"/>
              <w:right w:val="single" w:sz="4" w:space="0" w:color="BFBFBF"/>
            </w:tcBorders>
            <w:shd w:val="clear" w:color="auto" w:fill="auto"/>
            <w:noWrap/>
            <w:vAlign w:val="center"/>
          </w:tcPr>
          <w:p w14:paraId="5318C16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77C0901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163BB7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A1C5FA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0D8F9C0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961C87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bottom"/>
          </w:tcPr>
          <w:p w14:paraId="1754EDE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0377AE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5B71D9E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9C1A71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540</w:t>
            </w:r>
          </w:p>
        </w:tc>
        <w:tc>
          <w:tcPr>
            <w:tcW w:w="808" w:type="dxa"/>
            <w:tcBorders>
              <w:top w:val="nil"/>
              <w:left w:val="nil"/>
              <w:bottom w:val="single" w:sz="4" w:space="0" w:color="BFBFBF"/>
              <w:right w:val="single" w:sz="4" w:space="0" w:color="BFBFBF"/>
            </w:tcBorders>
            <w:shd w:val="clear" w:color="auto" w:fill="auto"/>
            <w:noWrap/>
            <w:vAlign w:val="center"/>
          </w:tcPr>
          <w:p w14:paraId="5535242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2B9E35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0531FE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3B944EEE"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494F6D84"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Goulburn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729356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w:t>
            </w:r>
          </w:p>
        </w:tc>
        <w:tc>
          <w:tcPr>
            <w:tcW w:w="808" w:type="dxa"/>
            <w:tcBorders>
              <w:top w:val="nil"/>
              <w:left w:val="nil"/>
              <w:bottom w:val="single" w:sz="4" w:space="0" w:color="BFBFBF"/>
              <w:right w:val="single" w:sz="4" w:space="0" w:color="BFBFBF"/>
            </w:tcBorders>
            <w:shd w:val="clear" w:color="auto" w:fill="auto"/>
            <w:noWrap/>
            <w:vAlign w:val="center"/>
          </w:tcPr>
          <w:p w14:paraId="52F258B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642CD2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BC46AF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94868D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230</w:t>
            </w:r>
          </w:p>
        </w:tc>
        <w:tc>
          <w:tcPr>
            <w:tcW w:w="675" w:type="dxa"/>
            <w:tcBorders>
              <w:top w:val="nil"/>
              <w:left w:val="nil"/>
              <w:bottom w:val="single" w:sz="4" w:space="0" w:color="BFBFBF"/>
              <w:right w:val="single" w:sz="4" w:space="0" w:color="BFBFBF"/>
            </w:tcBorders>
            <w:shd w:val="clear" w:color="auto" w:fill="auto"/>
            <w:noWrap/>
            <w:vAlign w:val="center"/>
          </w:tcPr>
          <w:p w14:paraId="69EBA5A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103FAB1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593C25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093386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w:t>
            </w:r>
          </w:p>
        </w:tc>
        <w:tc>
          <w:tcPr>
            <w:tcW w:w="808" w:type="dxa"/>
            <w:tcBorders>
              <w:top w:val="nil"/>
              <w:left w:val="nil"/>
              <w:bottom w:val="single" w:sz="4" w:space="0" w:color="BFBFBF"/>
              <w:right w:val="nil"/>
            </w:tcBorders>
            <w:shd w:val="clear" w:color="auto" w:fill="auto"/>
            <w:noWrap/>
            <w:vAlign w:val="center"/>
          </w:tcPr>
          <w:p w14:paraId="6AE8B00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BB69F4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68%</w:t>
            </w:r>
          </w:p>
        </w:tc>
        <w:tc>
          <w:tcPr>
            <w:tcW w:w="675" w:type="dxa"/>
            <w:tcBorders>
              <w:top w:val="nil"/>
              <w:left w:val="nil"/>
              <w:bottom w:val="single" w:sz="4" w:space="0" w:color="BFBFBF"/>
              <w:right w:val="single" w:sz="4" w:space="0" w:color="BFBFBF"/>
            </w:tcBorders>
            <w:shd w:val="clear" w:color="auto" w:fill="auto"/>
            <w:noWrap/>
            <w:vAlign w:val="bottom"/>
          </w:tcPr>
          <w:p w14:paraId="2808C48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0</w:t>
            </w:r>
          </w:p>
        </w:tc>
        <w:tc>
          <w:tcPr>
            <w:tcW w:w="808" w:type="dxa"/>
            <w:tcBorders>
              <w:top w:val="nil"/>
              <w:left w:val="nil"/>
              <w:bottom w:val="single" w:sz="4" w:space="0" w:color="BFBFBF"/>
              <w:right w:val="single" w:sz="4" w:space="0" w:color="BFBFBF"/>
            </w:tcBorders>
            <w:shd w:val="clear" w:color="auto" w:fill="auto"/>
            <w:noWrap/>
            <w:vAlign w:val="center"/>
          </w:tcPr>
          <w:p w14:paraId="73692EC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2533CB0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EFFA90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701</w:t>
            </w:r>
          </w:p>
        </w:tc>
        <w:tc>
          <w:tcPr>
            <w:tcW w:w="808" w:type="dxa"/>
            <w:tcBorders>
              <w:top w:val="nil"/>
              <w:left w:val="nil"/>
              <w:bottom w:val="single" w:sz="4" w:space="0" w:color="BFBFBF"/>
              <w:right w:val="single" w:sz="4" w:space="0" w:color="BFBFBF"/>
            </w:tcBorders>
            <w:shd w:val="clear" w:color="auto" w:fill="auto"/>
            <w:noWrap/>
            <w:vAlign w:val="center"/>
          </w:tcPr>
          <w:p w14:paraId="410425D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72CA11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662BDB9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55B0E1F7"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43A4CBD7"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Outer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42CC69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64%</w:t>
            </w:r>
          </w:p>
        </w:tc>
        <w:tc>
          <w:tcPr>
            <w:tcW w:w="808" w:type="dxa"/>
            <w:tcBorders>
              <w:top w:val="nil"/>
              <w:left w:val="nil"/>
              <w:bottom w:val="single" w:sz="4" w:space="0" w:color="BFBFBF"/>
              <w:right w:val="single" w:sz="4" w:space="0" w:color="BFBFBF"/>
            </w:tcBorders>
            <w:shd w:val="clear" w:color="auto" w:fill="auto"/>
            <w:noWrap/>
            <w:vAlign w:val="center"/>
          </w:tcPr>
          <w:p w14:paraId="64CBF76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FE02FF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69D245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588297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225</w:t>
            </w:r>
          </w:p>
        </w:tc>
        <w:tc>
          <w:tcPr>
            <w:tcW w:w="675" w:type="dxa"/>
            <w:tcBorders>
              <w:top w:val="nil"/>
              <w:left w:val="nil"/>
              <w:bottom w:val="single" w:sz="4" w:space="0" w:color="BFBFBF"/>
              <w:right w:val="single" w:sz="4" w:space="0" w:color="BFBFBF"/>
            </w:tcBorders>
            <w:shd w:val="clear" w:color="auto" w:fill="auto"/>
            <w:noWrap/>
            <w:vAlign w:val="center"/>
          </w:tcPr>
          <w:p w14:paraId="33ACCBB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70F4E5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13D684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BD62B4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98%</w:t>
            </w:r>
          </w:p>
        </w:tc>
        <w:tc>
          <w:tcPr>
            <w:tcW w:w="808" w:type="dxa"/>
            <w:tcBorders>
              <w:top w:val="nil"/>
              <w:left w:val="nil"/>
              <w:bottom w:val="single" w:sz="4" w:space="0" w:color="BFBFBF"/>
              <w:right w:val="nil"/>
            </w:tcBorders>
            <w:shd w:val="clear" w:color="auto" w:fill="auto"/>
            <w:noWrap/>
            <w:vAlign w:val="center"/>
          </w:tcPr>
          <w:p w14:paraId="4246571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F89196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w:t>
            </w:r>
          </w:p>
        </w:tc>
        <w:tc>
          <w:tcPr>
            <w:tcW w:w="675" w:type="dxa"/>
            <w:tcBorders>
              <w:top w:val="nil"/>
              <w:left w:val="nil"/>
              <w:bottom w:val="single" w:sz="4" w:space="0" w:color="BFBFBF"/>
              <w:right w:val="single" w:sz="4" w:space="0" w:color="BFBFBF"/>
            </w:tcBorders>
            <w:shd w:val="clear" w:color="auto" w:fill="auto"/>
            <w:noWrap/>
            <w:vAlign w:val="bottom"/>
          </w:tcPr>
          <w:p w14:paraId="69A14A4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808" w:type="dxa"/>
            <w:tcBorders>
              <w:top w:val="nil"/>
              <w:left w:val="nil"/>
              <w:bottom w:val="single" w:sz="4" w:space="0" w:color="BFBFBF"/>
              <w:right w:val="single" w:sz="4" w:space="0" w:color="BFBFBF"/>
            </w:tcBorders>
            <w:shd w:val="clear" w:color="auto" w:fill="auto"/>
            <w:noWrap/>
            <w:vAlign w:val="center"/>
          </w:tcPr>
          <w:p w14:paraId="6BAB844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2DFE3C4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D5B81A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681</w:t>
            </w:r>
          </w:p>
        </w:tc>
        <w:tc>
          <w:tcPr>
            <w:tcW w:w="808" w:type="dxa"/>
            <w:tcBorders>
              <w:top w:val="nil"/>
              <w:left w:val="nil"/>
              <w:bottom w:val="single" w:sz="4" w:space="0" w:color="BFBFBF"/>
              <w:right w:val="single" w:sz="4" w:space="0" w:color="BFBFBF"/>
            </w:tcBorders>
            <w:shd w:val="clear" w:color="auto" w:fill="auto"/>
            <w:noWrap/>
            <w:vAlign w:val="center"/>
          </w:tcPr>
          <w:p w14:paraId="0A8ABCC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7795D4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5FC936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5D3D893D"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7DD995FF"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Inner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F5C4C9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44%</w:t>
            </w:r>
          </w:p>
        </w:tc>
        <w:tc>
          <w:tcPr>
            <w:tcW w:w="808" w:type="dxa"/>
            <w:tcBorders>
              <w:top w:val="nil"/>
              <w:left w:val="nil"/>
              <w:bottom w:val="single" w:sz="4" w:space="0" w:color="BFBFBF"/>
              <w:right w:val="single" w:sz="4" w:space="0" w:color="BFBFBF"/>
            </w:tcBorders>
            <w:shd w:val="clear" w:color="auto" w:fill="auto"/>
            <w:noWrap/>
            <w:vAlign w:val="center"/>
          </w:tcPr>
          <w:p w14:paraId="32F3784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15913F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15F564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17DA51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225</w:t>
            </w:r>
          </w:p>
        </w:tc>
        <w:tc>
          <w:tcPr>
            <w:tcW w:w="675" w:type="dxa"/>
            <w:tcBorders>
              <w:top w:val="nil"/>
              <w:left w:val="nil"/>
              <w:bottom w:val="single" w:sz="4" w:space="0" w:color="BFBFBF"/>
              <w:right w:val="single" w:sz="4" w:space="0" w:color="BFBFBF"/>
            </w:tcBorders>
            <w:shd w:val="clear" w:color="auto" w:fill="auto"/>
            <w:noWrap/>
            <w:vAlign w:val="center"/>
          </w:tcPr>
          <w:p w14:paraId="1C32CE7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426F7F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60428B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89B71E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97%</w:t>
            </w:r>
          </w:p>
        </w:tc>
        <w:tc>
          <w:tcPr>
            <w:tcW w:w="808" w:type="dxa"/>
            <w:tcBorders>
              <w:top w:val="nil"/>
              <w:left w:val="nil"/>
              <w:bottom w:val="single" w:sz="4" w:space="0" w:color="BFBFBF"/>
              <w:right w:val="nil"/>
            </w:tcBorders>
            <w:shd w:val="clear" w:color="auto" w:fill="auto"/>
            <w:noWrap/>
            <w:vAlign w:val="center"/>
          </w:tcPr>
          <w:p w14:paraId="6E6CF72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5520C9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bottom"/>
          </w:tcPr>
          <w:p w14:paraId="17B93DD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3886442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11F1B7A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1205F7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843</w:t>
            </w:r>
          </w:p>
        </w:tc>
        <w:tc>
          <w:tcPr>
            <w:tcW w:w="808" w:type="dxa"/>
            <w:tcBorders>
              <w:top w:val="nil"/>
              <w:left w:val="nil"/>
              <w:bottom w:val="single" w:sz="4" w:space="0" w:color="BFBFBF"/>
              <w:right w:val="single" w:sz="4" w:space="0" w:color="BFBFBF"/>
            </w:tcBorders>
            <w:shd w:val="clear" w:color="auto" w:fill="auto"/>
            <w:noWrap/>
            <w:vAlign w:val="center"/>
          </w:tcPr>
          <w:p w14:paraId="51F9FB4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E2946A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088700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7578C705"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1CC6CFD0"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Western District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21F328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63%</w:t>
            </w:r>
          </w:p>
        </w:tc>
        <w:tc>
          <w:tcPr>
            <w:tcW w:w="808" w:type="dxa"/>
            <w:tcBorders>
              <w:top w:val="nil"/>
              <w:left w:val="nil"/>
              <w:bottom w:val="single" w:sz="4" w:space="0" w:color="BFBFBF"/>
              <w:right w:val="single" w:sz="4" w:space="0" w:color="BFBFBF"/>
            </w:tcBorders>
            <w:shd w:val="clear" w:color="auto" w:fill="auto"/>
            <w:noWrap/>
            <w:vAlign w:val="center"/>
          </w:tcPr>
          <w:p w14:paraId="51E3632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B609D4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47E5DC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EE12D0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264</w:t>
            </w:r>
          </w:p>
        </w:tc>
        <w:tc>
          <w:tcPr>
            <w:tcW w:w="675" w:type="dxa"/>
            <w:tcBorders>
              <w:top w:val="nil"/>
              <w:left w:val="nil"/>
              <w:bottom w:val="single" w:sz="4" w:space="0" w:color="BFBFBF"/>
              <w:right w:val="single" w:sz="4" w:space="0" w:color="BFBFBF"/>
            </w:tcBorders>
            <w:shd w:val="clear" w:color="auto" w:fill="auto"/>
            <w:noWrap/>
            <w:vAlign w:val="center"/>
          </w:tcPr>
          <w:p w14:paraId="7F886DA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2FE3AE4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CA0E6E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3C800D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70%</w:t>
            </w:r>
          </w:p>
        </w:tc>
        <w:tc>
          <w:tcPr>
            <w:tcW w:w="808" w:type="dxa"/>
            <w:tcBorders>
              <w:top w:val="nil"/>
              <w:left w:val="nil"/>
              <w:bottom w:val="single" w:sz="4" w:space="0" w:color="BFBFBF"/>
              <w:right w:val="nil"/>
            </w:tcBorders>
            <w:shd w:val="clear" w:color="auto" w:fill="auto"/>
            <w:noWrap/>
            <w:vAlign w:val="center"/>
          </w:tcPr>
          <w:p w14:paraId="3AD523C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DCA63C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675" w:type="dxa"/>
            <w:tcBorders>
              <w:top w:val="nil"/>
              <w:left w:val="nil"/>
              <w:bottom w:val="single" w:sz="4" w:space="0" w:color="BFBFBF"/>
              <w:right w:val="single" w:sz="4" w:space="0" w:color="BFBFBF"/>
            </w:tcBorders>
            <w:shd w:val="clear" w:color="auto" w:fill="auto"/>
            <w:noWrap/>
            <w:vAlign w:val="bottom"/>
          </w:tcPr>
          <w:p w14:paraId="7863BFD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130</w:t>
            </w:r>
          </w:p>
        </w:tc>
        <w:tc>
          <w:tcPr>
            <w:tcW w:w="808" w:type="dxa"/>
            <w:tcBorders>
              <w:top w:val="nil"/>
              <w:left w:val="nil"/>
              <w:bottom w:val="single" w:sz="4" w:space="0" w:color="BFBFBF"/>
              <w:right w:val="single" w:sz="4" w:space="0" w:color="BFBFBF"/>
            </w:tcBorders>
            <w:shd w:val="clear" w:color="auto" w:fill="auto"/>
            <w:noWrap/>
            <w:vAlign w:val="center"/>
          </w:tcPr>
          <w:p w14:paraId="25C4359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73488D3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15F3D8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737</w:t>
            </w:r>
          </w:p>
        </w:tc>
        <w:tc>
          <w:tcPr>
            <w:tcW w:w="808" w:type="dxa"/>
            <w:tcBorders>
              <w:top w:val="nil"/>
              <w:left w:val="nil"/>
              <w:bottom w:val="single" w:sz="4" w:space="0" w:color="BFBFBF"/>
              <w:right w:val="single" w:sz="4" w:space="0" w:color="BFBFBF"/>
            </w:tcBorders>
            <w:shd w:val="clear" w:color="auto" w:fill="auto"/>
            <w:noWrap/>
            <w:vAlign w:val="center"/>
          </w:tcPr>
          <w:p w14:paraId="7DC7E19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825781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07D642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37BA6B54"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3577FF42"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Barwon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78844F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BFBFBF"/>
            </w:tcBorders>
            <w:shd w:val="clear" w:color="auto" w:fill="auto"/>
            <w:noWrap/>
            <w:vAlign w:val="center"/>
          </w:tcPr>
          <w:p w14:paraId="21C9B3B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1FFFEA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4D8DC4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E867B0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228</w:t>
            </w:r>
          </w:p>
        </w:tc>
        <w:tc>
          <w:tcPr>
            <w:tcW w:w="675" w:type="dxa"/>
            <w:tcBorders>
              <w:top w:val="nil"/>
              <w:left w:val="nil"/>
              <w:bottom w:val="single" w:sz="4" w:space="0" w:color="BFBFBF"/>
              <w:right w:val="single" w:sz="4" w:space="0" w:color="BFBFBF"/>
            </w:tcBorders>
            <w:shd w:val="clear" w:color="auto" w:fill="auto"/>
            <w:noWrap/>
            <w:vAlign w:val="center"/>
          </w:tcPr>
          <w:p w14:paraId="382BD94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53C135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6CBF15E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9B7E6D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1F20325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1389BF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w:t>
            </w:r>
          </w:p>
        </w:tc>
        <w:tc>
          <w:tcPr>
            <w:tcW w:w="675" w:type="dxa"/>
            <w:tcBorders>
              <w:top w:val="nil"/>
              <w:left w:val="nil"/>
              <w:bottom w:val="single" w:sz="4" w:space="0" w:color="BFBFBF"/>
              <w:right w:val="single" w:sz="4" w:space="0" w:color="BFBFBF"/>
            </w:tcBorders>
            <w:shd w:val="clear" w:color="auto" w:fill="auto"/>
            <w:noWrap/>
            <w:vAlign w:val="bottom"/>
          </w:tcPr>
          <w:p w14:paraId="63C3EA1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0</w:t>
            </w:r>
          </w:p>
        </w:tc>
        <w:tc>
          <w:tcPr>
            <w:tcW w:w="808" w:type="dxa"/>
            <w:tcBorders>
              <w:top w:val="nil"/>
              <w:left w:val="nil"/>
              <w:bottom w:val="single" w:sz="4" w:space="0" w:color="BFBFBF"/>
              <w:right w:val="single" w:sz="4" w:space="0" w:color="BFBFBF"/>
            </w:tcBorders>
            <w:shd w:val="clear" w:color="auto" w:fill="auto"/>
            <w:noWrap/>
            <w:vAlign w:val="center"/>
          </w:tcPr>
          <w:p w14:paraId="6DF9016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04B8707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2C046C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864</w:t>
            </w:r>
          </w:p>
        </w:tc>
        <w:tc>
          <w:tcPr>
            <w:tcW w:w="808" w:type="dxa"/>
            <w:tcBorders>
              <w:top w:val="nil"/>
              <w:left w:val="nil"/>
              <w:bottom w:val="single" w:sz="4" w:space="0" w:color="BFBFBF"/>
              <w:right w:val="single" w:sz="4" w:space="0" w:color="BFBFBF"/>
            </w:tcBorders>
            <w:shd w:val="clear" w:color="auto" w:fill="auto"/>
            <w:noWrap/>
            <w:vAlign w:val="center"/>
          </w:tcPr>
          <w:p w14:paraId="1566F75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A2B71F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5FBED9E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157EACF1"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bottom"/>
          </w:tcPr>
          <w:p w14:paraId="05B44B63"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Central Highlands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0BCCE9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59%</w:t>
            </w:r>
          </w:p>
        </w:tc>
        <w:tc>
          <w:tcPr>
            <w:tcW w:w="808" w:type="dxa"/>
            <w:tcBorders>
              <w:top w:val="nil"/>
              <w:left w:val="nil"/>
              <w:bottom w:val="single" w:sz="4" w:space="0" w:color="BFBFBF"/>
              <w:right w:val="single" w:sz="4" w:space="0" w:color="BFBFBF"/>
            </w:tcBorders>
            <w:shd w:val="clear" w:color="auto" w:fill="auto"/>
            <w:noWrap/>
            <w:vAlign w:val="center"/>
          </w:tcPr>
          <w:p w14:paraId="164E1E1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DE645A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60A1E7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D3E663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192</w:t>
            </w:r>
          </w:p>
        </w:tc>
        <w:tc>
          <w:tcPr>
            <w:tcW w:w="675" w:type="dxa"/>
            <w:tcBorders>
              <w:top w:val="nil"/>
              <w:left w:val="nil"/>
              <w:bottom w:val="single" w:sz="4" w:space="0" w:color="BFBFBF"/>
              <w:right w:val="single" w:sz="4" w:space="0" w:color="BFBFBF"/>
            </w:tcBorders>
            <w:shd w:val="clear" w:color="auto" w:fill="auto"/>
            <w:noWrap/>
            <w:vAlign w:val="center"/>
          </w:tcPr>
          <w:p w14:paraId="7DE3EFF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2C78F7F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7CCE17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9F1A6C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w:t>
            </w:r>
          </w:p>
        </w:tc>
        <w:tc>
          <w:tcPr>
            <w:tcW w:w="808" w:type="dxa"/>
            <w:tcBorders>
              <w:top w:val="nil"/>
              <w:left w:val="nil"/>
              <w:bottom w:val="single" w:sz="4" w:space="0" w:color="BFBFBF"/>
              <w:right w:val="nil"/>
            </w:tcBorders>
            <w:shd w:val="clear" w:color="auto" w:fill="auto"/>
            <w:noWrap/>
            <w:vAlign w:val="center"/>
          </w:tcPr>
          <w:p w14:paraId="569834B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82B96E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w:t>
            </w:r>
          </w:p>
        </w:tc>
        <w:tc>
          <w:tcPr>
            <w:tcW w:w="675" w:type="dxa"/>
            <w:tcBorders>
              <w:top w:val="nil"/>
              <w:left w:val="nil"/>
              <w:bottom w:val="single" w:sz="4" w:space="0" w:color="BFBFBF"/>
              <w:right w:val="single" w:sz="4" w:space="0" w:color="BFBFBF"/>
            </w:tcBorders>
            <w:shd w:val="clear" w:color="auto" w:fill="auto"/>
            <w:noWrap/>
            <w:vAlign w:val="bottom"/>
          </w:tcPr>
          <w:p w14:paraId="2B48821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w:t>
            </w:r>
          </w:p>
        </w:tc>
        <w:tc>
          <w:tcPr>
            <w:tcW w:w="808" w:type="dxa"/>
            <w:tcBorders>
              <w:top w:val="nil"/>
              <w:left w:val="nil"/>
              <w:bottom w:val="single" w:sz="4" w:space="0" w:color="BFBFBF"/>
              <w:right w:val="single" w:sz="4" w:space="0" w:color="BFBFBF"/>
            </w:tcBorders>
            <w:shd w:val="clear" w:color="auto" w:fill="auto"/>
            <w:noWrap/>
            <w:vAlign w:val="center"/>
          </w:tcPr>
          <w:p w14:paraId="17B2ACD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586" w:type="dxa"/>
            <w:tcBorders>
              <w:top w:val="nil"/>
              <w:left w:val="nil"/>
              <w:bottom w:val="single" w:sz="4" w:space="0" w:color="BFBFBF"/>
              <w:right w:val="single" w:sz="4" w:space="0" w:color="auto"/>
            </w:tcBorders>
            <w:shd w:val="clear" w:color="auto" w:fill="auto"/>
            <w:noWrap/>
            <w:vAlign w:val="center"/>
          </w:tcPr>
          <w:p w14:paraId="3C9D150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13BDF5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688</w:t>
            </w:r>
          </w:p>
        </w:tc>
        <w:tc>
          <w:tcPr>
            <w:tcW w:w="808" w:type="dxa"/>
            <w:tcBorders>
              <w:top w:val="nil"/>
              <w:left w:val="nil"/>
              <w:bottom w:val="single" w:sz="4" w:space="0" w:color="BFBFBF"/>
              <w:right w:val="single" w:sz="4" w:space="0" w:color="BFBFBF"/>
            </w:tcBorders>
            <w:shd w:val="clear" w:color="auto" w:fill="auto"/>
            <w:noWrap/>
            <w:vAlign w:val="center"/>
          </w:tcPr>
          <w:p w14:paraId="20F30E5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77A6A2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c>
          <w:tcPr>
            <w:tcW w:w="808" w:type="dxa"/>
            <w:tcBorders>
              <w:top w:val="nil"/>
              <w:left w:val="nil"/>
              <w:bottom w:val="single" w:sz="4" w:space="0" w:color="BFBFBF"/>
              <w:right w:val="double" w:sz="6" w:space="0" w:color="auto"/>
            </w:tcBorders>
            <w:shd w:val="clear" w:color="auto" w:fill="auto"/>
            <w:noWrap/>
            <w:vAlign w:val="center"/>
          </w:tcPr>
          <w:p w14:paraId="1E46999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n/a</w:t>
            </w:r>
          </w:p>
        </w:tc>
      </w:tr>
      <w:tr w:rsidR="0038020F" w:rsidRPr="00A6026E" w14:paraId="2394B17C"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37BD5BCA" w14:textId="77777777" w:rsidR="0038020F" w:rsidRPr="00A6026E" w:rsidRDefault="0038020F" w:rsidP="008C257B">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Concession Status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6771DB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2BCAED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B8BECD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2097DD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12DB8D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4218BCC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4A0E689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25CE79D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D23F30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67305FC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5D6A97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bottom"/>
          </w:tcPr>
          <w:p w14:paraId="572FE3B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340BBA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top w:val="nil"/>
              <w:left w:val="nil"/>
              <w:bottom w:val="single" w:sz="4" w:space="0" w:color="BFBFBF"/>
              <w:right w:val="single" w:sz="4" w:space="0" w:color="auto"/>
            </w:tcBorders>
            <w:shd w:val="clear" w:color="auto" w:fill="auto"/>
            <w:noWrap/>
            <w:vAlign w:val="center"/>
          </w:tcPr>
          <w:p w14:paraId="456ACD8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D5B9D2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2EA94E6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0312F0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69E57A6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38020F" w:rsidRPr="00A6026E" w14:paraId="53BD6B49"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1A699826" w14:textId="6A57A398" w:rsidR="0038020F" w:rsidRPr="00A6026E" w:rsidRDefault="0038020F" w:rsidP="00EA1177">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Aged Conc</w:t>
            </w:r>
            <w:r w:rsidR="00EA1177">
              <w:rPr>
                <w:rFonts w:ascii="Arial" w:hAnsi="Arial" w:cs="Arial"/>
                <w:color w:val="000000"/>
                <w:sz w:val="16"/>
                <w:szCs w:val="16"/>
                <w:lang w:val="en-AU" w:eastAsia="en-AU"/>
              </w:rPr>
              <w:t>.</w:t>
            </w:r>
            <w:r w:rsidRPr="00A6026E">
              <w:rPr>
                <w:rFonts w:ascii="Arial" w:hAnsi="Arial" w:cs="Arial"/>
                <w:color w:val="000000"/>
                <w:sz w:val="16"/>
                <w:szCs w:val="16"/>
                <w:lang w:val="en-AU" w:eastAsia="en-AU"/>
              </w:rPr>
              <w:t xml:space="preserve">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FFEA2D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808" w:type="dxa"/>
            <w:tcBorders>
              <w:top w:val="nil"/>
              <w:left w:val="nil"/>
              <w:bottom w:val="single" w:sz="4" w:space="0" w:color="BFBFBF"/>
              <w:right w:val="single" w:sz="4" w:space="0" w:color="BFBFBF"/>
            </w:tcBorders>
            <w:shd w:val="clear" w:color="auto" w:fill="auto"/>
            <w:noWrap/>
            <w:vAlign w:val="center"/>
          </w:tcPr>
          <w:p w14:paraId="46B95B4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808" w:type="dxa"/>
            <w:tcBorders>
              <w:top w:val="nil"/>
              <w:left w:val="nil"/>
              <w:bottom w:val="single" w:sz="4" w:space="0" w:color="BFBFBF"/>
              <w:right w:val="single" w:sz="4" w:space="0" w:color="BFBFBF"/>
            </w:tcBorders>
            <w:shd w:val="clear" w:color="auto" w:fill="auto"/>
            <w:noWrap/>
            <w:vAlign w:val="center"/>
          </w:tcPr>
          <w:p w14:paraId="4FEECE5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808" w:type="dxa"/>
            <w:tcBorders>
              <w:top w:val="nil"/>
              <w:left w:val="nil"/>
              <w:bottom w:val="single" w:sz="4" w:space="0" w:color="BFBFBF"/>
              <w:right w:val="single" w:sz="4" w:space="0" w:color="BFBFBF"/>
            </w:tcBorders>
            <w:shd w:val="clear" w:color="auto" w:fill="auto"/>
            <w:noWrap/>
            <w:vAlign w:val="center"/>
          </w:tcPr>
          <w:p w14:paraId="176DBD0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808" w:type="dxa"/>
            <w:tcBorders>
              <w:top w:val="nil"/>
              <w:left w:val="nil"/>
              <w:bottom w:val="single" w:sz="4" w:space="0" w:color="BFBFBF"/>
              <w:right w:val="single" w:sz="4" w:space="0" w:color="BFBFBF"/>
            </w:tcBorders>
            <w:shd w:val="clear" w:color="auto" w:fill="auto"/>
            <w:noWrap/>
            <w:vAlign w:val="center"/>
          </w:tcPr>
          <w:p w14:paraId="67F8EFC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268</w:t>
            </w:r>
          </w:p>
        </w:tc>
        <w:tc>
          <w:tcPr>
            <w:tcW w:w="675" w:type="dxa"/>
            <w:tcBorders>
              <w:top w:val="nil"/>
              <w:left w:val="nil"/>
              <w:bottom w:val="single" w:sz="4" w:space="0" w:color="BFBFBF"/>
              <w:right w:val="single" w:sz="4" w:space="0" w:color="BFBFBF"/>
            </w:tcBorders>
            <w:shd w:val="clear" w:color="auto" w:fill="auto"/>
            <w:noWrap/>
            <w:vAlign w:val="center"/>
          </w:tcPr>
          <w:p w14:paraId="5413C7B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139</w:t>
            </w:r>
          </w:p>
        </w:tc>
        <w:tc>
          <w:tcPr>
            <w:tcW w:w="675" w:type="dxa"/>
            <w:tcBorders>
              <w:top w:val="nil"/>
              <w:left w:val="nil"/>
              <w:bottom w:val="single" w:sz="4" w:space="0" w:color="BFBFBF"/>
              <w:right w:val="single" w:sz="4" w:space="0" w:color="BFBFBF"/>
            </w:tcBorders>
            <w:shd w:val="clear" w:color="auto" w:fill="auto"/>
            <w:noWrap/>
            <w:vAlign w:val="center"/>
          </w:tcPr>
          <w:p w14:paraId="15E26FB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118</w:t>
            </w:r>
          </w:p>
        </w:tc>
        <w:tc>
          <w:tcPr>
            <w:tcW w:w="675" w:type="dxa"/>
            <w:tcBorders>
              <w:top w:val="nil"/>
              <w:left w:val="nil"/>
              <w:bottom w:val="single" w:sz="4" w:space="0" w:color="BFBFBF"/>
              <w:right w:val="single" w:sz="4" w:space="0" w:color="auto"/>
            </w:tcBorders>
            <w:shd w:val="clear" w:color="auto" w:fill="auto"/>
            <w:noWrap/>
            <w:vAlign w:val="center"/>
          </w:tcPr>
          <w:p w14:paraId="2AE448A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172</w:t>
            </w:r>
          </w:p>
        </w:tc>
        <w:tc>
          <w:tcPr>
            <w:tcW w:w="808" w:type="dxa"/>
            <w:tcBorders>
              <w:top w:val="nil"/>
              <w:left w:val="nil"/>
              <w:bottom w:val="single" w:sz="4" w:space="0" w:color="BFBFBF"/>
              <w:right w:val="single" w:sz="4" w:space="0" w:color="BFBFBF"/>
            </w:tcBorders>
            <w:shd w:val="clear" w:color="auto" w:fill="auto"/>
            <w:noWrap/>
            <w:vAlign w:val="center"/>
          </w:tcPr>
          <w:p w14:paraId="12C2DBB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808" w:type="dxa"/>
            <w:tcBorders>
              <w:top w:val="nil"/>
              <w:left w:val="nil"/>
              <w:bottom w:val="single" w:sz="4" w:space="0" w:color="BFBFBF"/>
              <w:right w:val="nil"/>
            </w:tcBorders>
            <w:shd w:val="clear" w:color="auto" w:fill="auto"/>
            <w:noWrap/>
            <w:vAlign w:val="center"/>
          </w:tcPr>
          <w:p w14:paraId="5874FC0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AF4DFD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BFBFBF"/>
            </w:tcBorders>
            <w:shd w:val="clear" w:color="auto" w:fill="auto"/>
            <w:noWrap/>
            <w:vAlign w:val="bottom"/>
          </w:tcPr>
          <w:p w14:paraId="3F3B683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w:t>
            </w:r>
          </w:p>
        </w:tc>
        <w:tc>
          <w:tcPr>
            <w:tcW w:w="808" w:type="dxa"/>
            <w:tcBorders>
              <w:top w:val="nil"/>
              <w:left w:val="nil"/>
              <w:bottom w:val="single" w:sz="4" w:space="0" w:color="BFBFBF"/>
              <w:right w:val="single" w:sz="4" w:space="0" w:color="BFBFBF"/>
            </w:tcBorders>
            <w:shd w:val="clear" w:color="auto" w:fill="auto"/>
            <w:noWrap/>
            <w:vAlign w:val="center"/>
          </w:tcPr>
          <w:p w14:paraId="651AA3A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4A063AE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28</w:t>
            </w:r>
          </w:p>
        </w:tc>
        <w:tc>
          <w:tcPr>
            <w:tcW w:w="808" w:type="dxa"/>
            <w:tcBorders>
              <w:top w:val="nil"/>
              <w:left w:val="nil"/>
              <w:bottom w:val="single" w:sz="4" w:space="0" w:color="BFBFBF"/>
              <w:right w:val="single" w:sz="4" w:space="0" w:color="BFBFBF"/>
            </w:tcBorders>
            <w:shd w:val="clear" w:color="auto" w:fill="auto"/>
            <w:noWrap/>
            <w:vAlign w:val="center"/>
          </w:tcPr>
          <w:p w14:paraId="6C0E90F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575</w:t>
            </w:r>
          </w:p>
        </w:tc>
        <w:tc>
          <w:tcPr>
            <w:tcW w:w="808" w:type="dxa"/>
            <w:tcBorders>
              <w:top w:val="nil"/>
              <w:left w:val="nil"/>
              <w:bottom w:val="single" w:sz="4" w:space="0" w:color="BFBFBF"/>
              <w:right w:val="single" w:sz="4" w:space="0" w:color="BFBFBF"/>
            </w:tcBorders>
            <w:shd w:val="clear" w:color="auto" w:fill="auto"/>
            <w:noWrap/>
            <w:vAlign w:val="center"/>
          </w:tcPr>
          <w:p w14:paraId="05DB9CB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407</w:t>
            </w:r>
          </w:p>
        </w:tc>
        <w:tc>
          <w:tcPr>
            <w:tcW w:w="808" w:type="dxa"/>
            <w:tcBorders>
              <w:top w:val="nil"/>
              <w:left w:val="nil"/>
              <w:bottom w:val="single" w:sz="4" w:space="0" w:color="BFBFBF"/>
              <w:right w:val="single" w:sz="4" w:space="0" w:color="BFBFBF"/>
            </w:tcBorders>
            <w:shd w:val="clear" w:color="auto" w:fill="auto"/>
            <w:noWrap/>
            <w:vAlign w:val="center"/>
          </w:tcPr>
          <w:p w14:paraId="5518A5D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355</w:t>
            </w:r>
          </w:p>
        </w:tc>
        <w:tc>
          <w:tcPr>
            <w:tcW w:w="808" w:type="dxa"/>
            <w:tcBorders>
              <w:top w:val="nil"/>
              <w:left w:val="nil"/>
              <w:bottom w:val="single" w:sz="4" w:space="0" w:color="BFBFBF"/>
              <w:right w:val="double" w:sz="6" w:space="0" w:color="auto"/>
            </w:tcBorders>
            <w:shd w:val="clear" w:color="auto" w:fill="auto"/>
            <w:noWrap/>
            <w:vAlign w:val="center"/>
          </w:tcPr>
          <w:p w14:paraId="2D9F4F9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323</w:t>
            </w:r>
          </w:p>
        </w:tc>
      </w:tr>
      <w:tr w:rsidR="0038020F" w:rsidRPr="00A6026E" w14:paraId="22A23108"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24C9AD08" w14:textId="679FA053" w:rsidR="0038020F" w:rsidRPr="00A6026E" w:rsidRDefault="0038020F" w:rsidP="00EA1177">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Other Conc</w:t>
            </w:r>
            <w:r w:rsidR="00EA1177">
              <w:rPr>
                <w:rFonts w:ascii="Arial" w:hAnsi="Arial" w:cs="Arial"/>
                <w:color w:val="000000"/>
                <w:sz w:val="16"/>
                <w:szCs w:val="16"/>
                <w:lang w:val="en-AU" w:eastAsia="en-AU"/>
              </w:rPr>
              <w:t>.</w:t>
            </w:r>
            <w:r w:rsidRPr="00A6026E">
              <w:rPr>
                <w:rFonts w:ascii="Arial" w:hAnsi="Arial" w:cs="Arial"/>
                <w:color w:val="000000"/>
                <w:sz w:val="16"/>
                <w:szCs w:val="16"/>
                <w:lang w:val="en-AU" w:eastAsia="en-AU"/>
              </w:rPr>
              <w:t xml:space="preserve">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7FFD9C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5D51B6C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71%</w:t>
            </w:r>
          </w:p>
        </w:tc>
        <w:tc>
          <w:tcPr>
            <w:tcW w:w="808" w:type="dxa"/>
            <w:tcBorders>
              <w:top w:val="nil"/>
              <w:left w:val="nil"/>
              <w:bottom w:val="single" w:sz="4" w:space="0" w:color="BFBFBF"/>
              <w:right w:val="single" w:sz="4" w:space="0" w:color="BFBFBF"/>
            </w:tcBorders>
            <w:shd w:val="clear" w:color="auto" w:fill="auto"/>
            <w:noWrap/>
            <w:vAlign w:val="center"/>
          </w:tcPr>
          <w:p w14:paraId="22DCC45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67%</w:t>
            </w:r>
          </w:p>
        </w:tc>
        <w:tc>
          <w:tcPr>
            <w:tcW w:w="808" w:type="dxa"/>
            <w:tcBorders>
              <w:top w:val="nil"/>
              <w:left w:val="nil"/>
              <w:bottom w:val="single" w:sz="4" w:space="0" w:color="BFBFBF"/>
              <w:right w:val="single" w:sz="4" w:space="0" w:color="BFBFBF"/>
            </w:tcBorders>
            <w:shd w:val="clear" w:color="auto" w:fill="auto"/>
            <w:noWrap/>
            <w:vAlign w:val="center"/>
          </w:tcPr>
          <w:p w14:paraId="0A64CFE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70%</w:t>
            </w:r>
          </w:p>
        </w:tc>
        <w:tc>
          <w:tcPr>
            <w:tcW w:w="808" w:type="dxa"/>
            <w:tcBorders>
              <w:top w:val="nil"/>
              <w:left w:val="nil"/>
              <w:bottom w:val="single" w:sz="4" w:space="0" w:color="BFBFBF"/>
              <w:right w:val="single" w:sz="4" w:space="0" w:color="BFBFBF"/>
            </w:tcBorders>
            <w:shd w:val="clear" w:color="auto" w:fill="auto"/>
            <w:noWrap/>
            <w:vAlign w:val="center"/>
          </w:tcPr>
          <w:p w14:paraId="58881D9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240</w:t>
            </w:r>
          </w:p>
        </w:tc>
        <w:tc>
          <w:tcPr>
            <w:tcW w:w="675" w:type="dxa"/>
            <w:tcBorders>
              <w:top w:val="nil"/>
              <w:left w:val="nil"/>
              <w:bottom w:val="single" w:sz="4" w:space="0" w:color="BFBFBF"/>
              <w:right w:val="single" w:sz="4" w:space="0" w:color="BFBFBF"/>
            </w:tcBorders>
            <w:shd w:val="clear" w:color="auto" w:fill="auto"/>
            <w:noWrap/>
            <w:vAlign w:val="center"/>
          </w:tcPr>
          <w:p w14:paraId="78E419C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122</w:t>
            </w:r>
          </w:p>
        </w:tc>
        <w:tc>
          <w:tcPr>
            <w:tcW w:w="675" w:type="dxa"/>
            <w:tcBorders>
              <w:top w:val="nil"/>
              <w:left w:val="nil"/>
              <w:bottom w:val="single" w:sz="4" w:space="0" w:color="BFBFBF"/>
              <w:right w:val="single" w:sz="4" w:space="0" w:color="BFBFBF"/>
            </w:tcBorders>
            <w:shd w:val="clear" w:color="auto" w:fill="auto"/>
            <w:noWrap/>
            <w:vAlign w:val="center"/>
          </w:tcPr>
          <w:p w14:paraId="61BE8F2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104</w:t>
            </w:r>
          </w:p>
        </w:tc>
        <w:tc>
          <w:tcPr>
            <w:tcW w:w="675" w:type="dxa"/>
            <w:tcBorders>
              <w:top w:val="nil"/>
              <w:left w:val="nil"/>
              <w:bottom w:val="single" w:sz="4" w:space="0" w:color="BFBFBF"/>
              <w:right w:val="single" w:sz="4" w:space="0" w:color="auto"/>
            </w:tcBorders>
            <w:shd w:val="clear" w:color="auto" w:fill="auto"/>
            <w:noWrap/>
            <w:vAlign w:val="center"/>
          </w:tcPr>
          <w:p w14:paraId="6687E37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129</w:t>
            </w:r>
          </w:p>
        </w:tc>
        <w:tc>
          <w:tcPr>
            <w:tcW w:w="808" w:type="dxa"/>
            <w:tcBorders>
              <w:top w:val="nil"/>
              <w:left w:val="nil"/>
              <w:bottom w:val="single" w:sz="4" w:space="0" w:color="BFBFBF"/>
              <w:right w:val="single" w:sz="4" w:space="0" w:color="BFBFBF"/>
            </w:tcBorders>
            <w:shd w:val="clear" w:color="auto" w:fill="auto"/>
            <w:noWrap/>
            <w:vAlign w:val="center"/>
          </w:tcPr>
          <w:p w14:paraId="062DA9C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808" w:type="dxa"/>
            <w:tcBorders>
              <w:top w:val="nil"/>
              <w:left w:val="nil"/>
              <w:bottom w:val="single" w:sz="4" w:space="0" w:color="BFBFBF"/>
              <w:right w:val="nil"/>
            </w:tcBorders>
            <w:shd w:val="clear" w:color="auto" w:fill="auto"/>
            <w:noWrap/>
            <w:vAlign w:val="center"/>
          </w:tcPr>
          <w:p w14:paraId="20D688C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149826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24%</w:t>
            </w:r>
          </w:p>
        </w:tc>
        <w:tc>
          <w:tcPr>
            <w:tcW w:w="675" w:type="dxa"/>
            <w:tcBorders>
              <w:top w:val="nil"/>
              <w:left w:val="nil"/>
              <w:bottom w:val="single" w:sz="4" w:space="0" w:color="BFBFBF"/>
              <w:right w:val="single" w:sz="4" w:space="0" w:color="BFBFBF"/>
            </w:tcBorders>
            <w:shd w:val="clear" w:color="auto" w:fill="auto"/>
            <w:noWrap/>
            <w:vAlign w:val="bottom"/>
          </w:tcPr>
          <w:p w14:paraId="5C1C499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w:t>
            </w:r>
          </w:p>
        </w:tc>
        <w:tc>
          <w:tcPr>
            <w:tcW w:w="808" w:type="dxa"/>
            <w:tcBorders>
              <w:top w:val="nil"/>
              <w:left w:val="nil"/>
              <w:bottom w:val="single" w:sz="4" w:space="0" w:color="BFBFBF"/>
              <w:right w:val="single" w:sz="4" w:space="0" w:color="BFBFBF"/>
            </w:tcBorders>
            <w:shd w:val="clear" w:color="auto" w:fill="auto"/>
            <w:noWrap/>
            <w:vAlign w:val="center"/>
          </w:tcPr>
          <w:p w14:paraId="443EF03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3D92D5E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48</w:t>
            </w:r>
          </w:p>
        </w:tc>
        <w:tc>
          <w:tcPr>
            <w:tcW w:w="808" w:type="dxa"/>
            <w:tcBorders>
              <w:top w:val="nil"/>
              <w:left w:val="nil"/>
              <w:bottom w:val="single" w:sz="4" w:space="0" w:color="BFBFBF"/>
              <w:right w:val="single" w:sz="4" w:space="0" w:color="BFBFBF"/>
            </w:tcBorders>
            <w:shd w:val="clear" w:color="auto" w:fill="auto"/>
            <w:noWrap/>
            <w:vAlign w:val="center"/>
          </w:tcPr>
          <w:p w14:paraId="45241FC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579</w:t>
            </w:r>
          </w:p>
        </w:tc>
        <w:tc>
          <w:tcPr>
            <w:tcW w:w="808" w:type="dxa"/>
            <w:tcBorders>
              <w:top w:val="nil"/>
              <w:left w:val="nil"/>
              <w:bottom w:val="single" w:sz="4" w:space="0" w:color="BFBFBF"/>
              <w:right w:val="single" w:sz="4" w:space="0" w:color="BFBFBF"/>
            </w:tcBorders>
            <w:shd w:val="clear" w:color="auto" w:fill="auto"/>
            <w:noWrap/>
            <w:vAlign w:val="center"/>
          </w:tcPr>
          <w:p w14:paraId="15E33B7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457</w:t>
            </w:r>
          </w:p>
        </w:tc>
        <w:tc>
          <w:tcPr>
            <w:tcW w:w="808" w:type="dxa"/>
            <w:tcBorders>
              <w:top w:val="nil"/>
              <w:left w:val="nil"/>
              <w:bottom w:val="single" w:sz="4" w:space="0" w:color="BFBFBF"/>
              <w:right w:val="single" w:sz="4" w:space="0" w:color="BFBFBF"/>
            </w:tcBorders>
            <w:shd w:val="clear" w:color="auto" w:fill="auto"/>
            <w:noWrap/>
            <w:vAlign w:val="center"/>
          </w:tcPr>
          <w:p w14:paraId="496CB32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363</w:t>
            </w:r>
          </w:p>
        </w:tc>
        <w:tc>
          <w:tcPr>
            <w:tcW w:w="808" w:type="dxa"/>
            <w:tcBorders>
              <w:top w:val="nil"/>
              <w:left w:val="nil"/>
              <w:bottom w:val="single" w:sz="4" w:space="0" w:color="BFBFBF"/>
              <w:right w:val="double" w:sz="6" w:space="0" w:color="auto"/>
            </w:tcBorders>
            <w:shd w:val="clear" w:color="auto" w:fill="auto"/>
            <w:noWrap/>
            <w:vAlign w:val="center"/>
          </w:tcPr>
          <w:p w14:paraId="6A2182C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318</w:t>
            </w:r>
          </w:p>
        </w:tc>
      </w:tr>
      <w:tr w:rsidR="0038020F" w:rsidRPr="00A6026E" w14:paraId="360F24E8"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433FD09B" w14:textId="66FBDE35" w:rsidR="0038020F" w:rsidRPr="00A6026E" w:rsidRDefault="0038020F" w:rsidP="00EA1177">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Total Conc</w:t>
            </w:r>
            <w:r w:rsidR="00EA1177">
              <w:rPr>
                <w:rFonts w:ascii="Arial" w:hAnsi="Arial" w:cs="Arial"/>
                <w:color w:val="000000"/>
                <w:sz w:val="16"/>
                <w:szCs w:val="16"/>
                <w:lang w:val="en-AU" w:eastAsia="en-AU"/>
              </w:rPr>
              <w:t>.</w:t>
            </w:r>
            <w:r w:rsidRPr="00A6026E">
              <w:rPr>
                <w:rFonts w:ascii="Arial" w:hAnsi="Arial" w:cs="Arial"/>
                <w:color w:val="000000"/>
                <w:sz w:val="16"/>
                <w:szCs w:val="16"/>
                <w:lang w:val="en-AU" w:eastAsia="en-AU"/>
              </w:rPr>
              <w:t xml:space="preserve">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23295D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69AB102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80%</w:t>
            </w:r>
          </w:p>
        </w:tc>
        <w:tc>
          <w:tcPr>
            <w:tcW w:w="808" w:type="dxa"/>
            <w:tcBorders>
              <w:top w:val="nil"/>
              <w:left w:val="nil"/>
              <w:bottom w:val="single" w:sz="4" w:space="0" w:color="BFBFBF"/>
              <w:right w:val="single" w:sz="4" w:space="0" w:color="BFBFBF"/>
            </w:tcBorders>
            <w:shd w:val="clear" w:color="auto" w:fill="auto"/>
            <w:noWrap/>
            <w:vAlign w:val="center"/>
          </w:tcPr>
          <w:p w14:paraId="62987B9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76%</w:t>
            </w:r>
          </w:p>
        </w:tc>
        <w:tc>
          <w:tcPr>
            <w:tcW w:w="808" w:type="dxa"/>
            <w:tcBorders>
              <w:top w:val="nil"/>
              <w:left w:val="nil"/>
              <w:bottom w:val="single" w:sz="4" w:space="0" w:color="BFBFBF"/>
              <w:right w:val="single" w:sz="4" w:space="0" w:color="BFBFBF"/>
            </w:tcBorders>
            <w:shd w:val="clear" w:color="auto" w:fill="auto"/>
            <w:noWrap/>
            <w:vAlign w:val="center"/>
          </w:tcPr>
          <w:p w14:paraId="0ECA609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808" w:type="dxa"/>
            <w:tcBorders>
              <w:top w:val="nil"/>
              <w:left w:val="nil"/>
              <w:bottom w:val="single" w:sz="4" w:space="0" w:color="BFBFBF"/>
              <w:right w:val="single" w:sz="4" w:space="0" w:color="BFBFBF"/>
            </w:tcBorders>
            <w:shd w:val="clear" w:color="auto" w:fill="auto"/>
            <w:noWrap/>
            <w:vAlign w:val="center"/>
          </w:tcPr>
          <w:p w14:paraId="04E9648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254</w:t>
            </w:r>
          </w:p>
        </w:tc>
        <w:tc>
          <w:tcPr>
            <w:tcW w:w="675" w:type="dxa"/>
            <w:tcBorders>
              <w:top w:val="nil"/>
              <w:left w:val="nil"/>
              <w:bottom w:val="single" w:sz="4" w:space="0" w:color="BFBFBF"/>
              <w:right w:val="single" w:sz="4" w:space="0" w:color="BFBFBF"/>
            </w:tcBorders>
            <w:shd w:val="clear" w:color="auto" w:fill="auto"/>
            <w:noWrap/>
            <w:vAlign w:val="center"/>
          </w:tcPr>
          <w:p w14:paraId="08C2E57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132</w:t>
            </w:r>
          </w:p>
        </w:tc>
        <w:tc>
          <w:tcPr>
            <w:tcW w:w="675" w:type="dxa"/>
            <w:tcBorders>
              <w:top w:val="nil"/>
              <w:left w:val="nil"/>
              <w:bottom w:val="single" w:sz="4" w:space="0" w:color="BFBFBF"/>
              <w:right w:val="single" w:sz="4" w:space="0" w:color="BFBFBF"/>
            </w:tcBorders>
            <w:shd w:val="clear" w:color="auto" w:fill="auto"/>
            <w:noWrap/>
            <w:vAlign w:val="center"/>
          </w:tcPr>
          <w:p w14:paraId="37EAC0B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113</w:t>
            </w:r>
          </w:p>
        </w:tc>
        <w:tc>
          <w:tcPr>
            <w:tcW w:w="675" w:type="dxa"/>
            <w:tcBorders>
              <w:top w:val="nil"/>
              <w:left w:val="nil"/>
              <w:bottom w:val="single" w:sz="4" w:space="0" w:color="BFBFBF"/>
              <w:right w:val="single" w:sz="4" w:space="0" w:color="auto"/>
            </w:tcBorders>
            <w:shd w:val="clear" w:color="auto" w:fill="auto"/>
            <w:noWrap/>
            <w:vAlign w:val="center"/>
          </w:tcPr>
          <w:p w14:paraId="43EFA07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155</w:t>
            </w:r>
          </w:p>
        </w:tc>
        <w:tc>
          <w:tcPr>
            <w:tcW w:w="808" w:type="dxa"/>
            <w:tcBorders>
              <w:top w:val="nil"/>
              <w:left w:val="nil"/>
              <w:bottom w:val="single" w:sz="4" w:space="0" w:color="BFBFBF"/>
              <w:right w:val="single" w:sz="4" w:space="0" w:color="BFBFBF"/>
            </w:tcBorders>
            <w:shd w:val="clear" w:color="auto" w:fill="auto"/>
            <w:noWrap/>
            <w:vAlign w:val="center"/>
          </w:tcPr>
          <w:p w14:paraId="5AECD93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808" w:type="dxa"/>
            <w:tcBorders>
              <w:top w:val="nil"/>
              <w:left w:val="nil"/>
              <w:bottom w:val="single" w:sz="4" w:space="0" w:color="BFBFBF"/>
              <w:right w:val="nil"/>
            </w:tcBorders>
            <w:shd w:val="clear" w:color="auto" w:fill="auto"/>
            <w:noWrap/>
            <w:vAlign w:val="center"/>
          </w:tcPr>
          <w:p w14:paraId="4B55EBD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A45A7A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w:t>
            </w:r>
          </w:p>
        </w:tc>
        <w:tc>
          <w:tcPr>
            <w:tcW w:w="675" w:type="dxa"/>
            <w:tcBorders>
              <w:top w:val="nil"/>
              <w:left w:val="nil"/>
              <w:bottom w:val="single" w:sz="4" w:space="0" w:color="BFBFBF"/>
              <w:right w:val="single" w:sz="4" w:space="0" w:color="BFBFBF"/>
            </w:tcBorders>
            <w:shd w:val="clear" w:color="auto" w:fill="auto"/>
            <w:noWrap/>
            <w:vAlign w:val="bottom"/>
          </w:tcPr>
          <w:p w14:paraId="1D3D272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w:t>
            </w:r>
          </w:p>
        </w:tc>
        <w:tc>
          <w:tcPr>
            <w:tcW w:w="808" w:type="dxa"/>
            <w:tcBorders>
              <w:top w:val="nil"/>
              <w:left w:val="nil"/>
              <w:bottom w:val="single" w:sz="4" w:space="0" w:color="BFBFBF"/>
              <w:right w:val="single" w:sz="4" w:space="0" w:color="BFBFBF"/>
            </w:tcBorders>
            <w:shd w:val="clear" w:color="auto" w:fill="auto"/>
            <w:noWrap/>
            <w:vAlign w:val="center"/>
          </w:tcPr>
          <w:p w14:paraId="4E14D91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10D8345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38</w:t>
            </w:r>
          </w:p>
        </w:tc>
        <w:tc>
          <w:tcPr>
            <w:tcW w:w="808" w:type="dxa"/>
            <w:tcBorders>
              <w:top w:val="nil"/>
              <w:left w:val="nil"/>
              <w:bottom w:val="single" w:sz="4" w:space="0" w:color="BFBFBF"/>
              <w:right w:val="single" w:sz="4" w:space="0" w:color="BFBFBF"/>
            </w:tcBorders>
            <w:shd w:val="clear" w:color="auto" w:fill="auto"/>
            <w:noWrap/>
            <w:vAlign w:val="center"/>
          </w:tcPr>
          <w:p w14:paraId="515D05A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576</w:t>
            </w:r>
          </w:p>
        </w:tc>
        <w:tc>
          <w:tcPr>
            <w:tcW w:w="808" w:type="dxa"/>
            <w:tcBorders>
              <w:top w:val="nil"/>
              <w:left w:val="nil"/>
              <w:bottom w:val="single" w:sz="4" w:space="0" w:color="BFBFBF"/>
              <w:right w:val="single" w:sz="4" w:space="0" w:color="BFBFBF"/>
            </w:tcBorders>
            <w:shd w:val="clear" w:color="auto" w:fill="auto"/>
            <w:noWrap/>
            <w:vAlign w:val="center"/>
          </w:tcPr>
          <w:p w14:paraId="78AE06B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430</w:t>
            </w:r>
          </w:p>
        </w:tc>
        <w:tc>
          <w:tcPr>
            <w:tcW w:w="808" w:type="dxa"/>
            <w:tcBorders>
              <w:top w:val="nil"/>
              <w:left w:val="nil"/>
              <w:bottom w:val="single" w:sz="4" w:space="0" w:color="BFBFBF"/>
              <w:right w:val="single" w:sz="4" w:space="0" w:color="BFBFBF"/>
            </w:tcBorders>
            <w:shd w:val="clear" w:color="auto" w:fill="auto"/>
            <w:noWrap/>
            <w:vAlign w:val="center"/>
          </w:tcPr>
          <w:p w14:paraId="4745A0A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359</w:t>
            </w:r>
          </w:p>
        </w:tc>
        <w:tc>
          <w:tcPr>
            <w:tcW w:w="808" w:type="dxa"/>
            <w:tcBorders>
              <w:top w:val="nil"/>
              <w:left w:val="nil"/>
              <w:bottom w:val="single" w:sz="4" w:space="0" w:color="BFBFBF"/>
              <w:right w:val="double" w:sz="6" w:space="0" w:color="auto"/>
            </w:tcBorders>
            <w:shd w:val="clear" w:color="auto" w:fill="auto"/>
            <w:noWrap/>
            <w:vAlign w:val="center"/>
          </w:tcPr>
          <w:p w14:paraId="5530393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321</w:t>
            </w:r>
          </w:p>
        </w:tc>
      </w:tr>
      <w:tr w:rsidR="0038020F" w:rsidRPr="00A6026E" w14:paraId="6210F349" w14:textId="77777777" w:rsidTr="009360BE">
        <w:trPr>
          <w:trHeight w:val="225"/>
        </w:trPr>
        <w:tc>
          <w:tcPr>
            <w:tcW w:w="1724" w:type="dxa"/>
            <w:tcBorders>
              <w:top w:val="single" w:sz="4" w:space="0" w:color="BFBFBF"/>
              <w:left w:val="double" w:sz="6" w:space="0" w:color="auto"/>
              <w:bottom w:val="double" w:sz="4" w:space="0" w:color="auto"/>
              <w:right w:val="nil"/>
            </w:tcBorders>
            <w:shd w:val="clear" w:color="auto" w:fill="auto"/>
            <w:noWrap/>
            <w:vAlign w:val="center"/>
          </w:tcPr>
          <w:p w14:paraId="7E07A7C7" w14:textId="1B18BB4F" w:rsidR="0038020F" w:rsidRPr="00A6026E" w:rsidRDefault="0038020F" w:rsidP="00EA1177">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Non-Conc</w:t>
            </w:r>
            <w:r w:rsidR="00EA1177">
              <w:rPr>
                <w:rFonts w:ascii="Arial" w:hAnsi="Arial" w:cs="Arial"/>
                <w:color w:val="000000"/>
                <w:sz w:val="16"/>
                <w:szCs w:val="16"/>
                <w:lang w:val="en-AU" w:eastAsia="en-AU"/>
              </w:rPr>
              <w:t>.</w:t>
            </w:r>
            <w:r w:rsidRPr="00A6026E">
              <w:rPr>
                <w:rFonts w:ascii="Arial" w:hAnsi="Arial" w:cs="Arial"/>
                <w:color w:val="000000"/>
                <w:sz w:val="16"/>
                <w:szCs w:val="16"/>
                <w:lang w:val="en-AU" w:eastAsia="en-AU"/>
              </w:rPr>
              <w:t xml:space="preserve"> HHs</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06BC72C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068C354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19%</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4BE5B23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45F31A1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1A3C8E9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240</w:t>
            </w:r>
          </w:p>
        </w:tc>
        <w:tc>
          <w:tcPr>
            <w:tcW w:w="675" w:type="dxa"/>
            <w:tcBorders>
              <w:top w:val="single" w:sz="4" w:space="0" w:color="BFBFBF"/>
              <w:left w:val="nil"/>
              <w:bottom w:val="double" w:sz="4" w:space="0" w:color="auto"/>
              <w:right w:val="single" w:sz="4" w:space="0" w:color="BFBFBF"/>
            </w:tcBorders>
            <w:shd w:val="clear" w:color="auto" w:fill="auto"/>
            <w:noWrap/>
            <w:vAlign w:val="center"/>
          </w:tcPr>
          <w:p w14:paraId="203807F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131</w:t>
            </w:r>
          </w:p>
        </w:tc>
        <w:tc>
          <w:tcPr>
            <w:tcW w:w="675" w:type="dxa"/>
            <w:tcBorders>
              <w:top w:val="single" w:sz="4" w:space="0" w:color="BFBFBF"/>
              <w:left w:val="nil"/>
              <w:bottom w:val="double" w:sz="4" w:space="0" w:color="auto"/>
              <w:right w:val="single" w:sz="4" w:space="0" w:color="BFBFBF"/>
            </w:tcBorders>
            <w:shd w:val="clear" w:color="auto" w:fill="auto"/>
            <w:noWrap/>
            <w:vAlign w:val="center"/>
          </w:tcPr>
          <w:p w14:paraId="2096239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675" w:type="dxa"/>
            <w:tcBorders>
              <w:top w:val="single" w:sz="4" w:space="0" w:color="BFBFBF"/>
              <w:left w:val="nil"/>
              <w:bottom w:val="double" w:sz="4" w:space="0" w:color="auto"/>
              <w:right w:val="single" w:sz="4" w:space="0" w:color="auto"/>
            </w:tcBorders>
            <w:shd w:val="clear" w:color="auto" w:fill="auto"/>
            <w:noWrap/>
            <w:vAlign w:val="center"/>
          </w:tcPr>
          <w:p w14:paraId="3ADF11D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159</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1ABB7C3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808" w:type="dxa"/>
            <w:tcBorders>
              <w:top w:val="single" w:sz="4" w:space="0" w:color="BFBFBF"/>
              <w:left w:val="nil"/>
              <w:bottom w:val="double" w:sz="4" w:space="0" w:color="auto"/>
              <w:right w:val="nil"/>
            </w:tcBorders>
            <w:shd w:val="clear" w:color="auto" w:fill="auto"/>
            <w:noWrap/>
            <w:vAlign w:val="center"/>
          </w:tcPr>
          <w:p w14:paraId="2598CBB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71CB990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w:t>
            </w:r>
          </w:p>
        </w:tc>
        <w:tc>
          <w:tcPr>
            <w:tcW w:w="675" w:type="dxa"/>
            <w:tcBorders>
              <w:top w:val="single" w:sz="4" w:space="0" w:color="BFBFBF"/>
              <w:left w:val="nil"/>
              <w:bottom w:val="double" w:sz="4" w:space="0" w:color="auto"/>
              <w:right w:val="single" w:sz="4" w:space="0" w:color="BFBFBF"/>
            </w:tcBorders>
            <w:shd w:val="clear" w:color="auto" w:fill="auto"/>
            <w:noWrap/>
            <w:vAlign w:val="bottom"/>
          </w:tcPr>
          <w:p w14:paraId="2ABB475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6DAC905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single" w:sz="4" w:space="0" w:color="BFBFBF"/>
              <w:left w:val="nil"/>
              <w:bottom w:val="double" w:sz="4" w:space="0" w:color="auto"/>
              <w:right w:val="single" w:sz="4" w:space="0" w:color="auto"/>
            </w:tcBorders>
            <w:shd w:val="clear" w:color="auto" w:fill="auto"/>
            <w:noWrap/>
            <w:vAlign w:val="center"/>
          </w:tcPr>
          <w:p w14:paraId="1029911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42</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25AF665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977</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54F5C25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573</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732C656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490</w:t>
            </w:r>
          </w:p>
        </w:tc>
        <w:tc>
          <w:tcPr>
            <w:tcW w:w="808" w:type="dxa"/>
            <w:tcBorders>
              <w:top w:val="single" w:sz="4" w:space="0" w:color="BFBFBF"/>
              <w:left w:val="nil"/>
              <w:bottom w:val="double" w:sz="4" w:space="0" w:color="auto"/>
              <w:right w:val="double" w:sz="6" w:space="0" w:color="auto"/>
            </w:tcBorders>
            <w:shd w:val="clear" w:color="auto" w:fill="auto"/>
            <w:noWrap/>
            <w:vAlign w:val="center"/>
          </w:tcPr>
          <w:p w14:paraId="093C1C2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515</w:t>
            </w:r>
          </w:p>
        </w:tc>
      </w:tr>
      <w:tr w:rsidR="009360BE" w:rsidRPr="00A6026E" w14:paraId="5BDB1DE8" w14:textId="77777777" w:rsidTr="00154117">
        <w:trPr>
          <w:trHeight w:val="225"/>
        </w:trPr>
        <w:tc>
          <w:tcPr>
            <w:tcW w:w="2532" w:type="dxa"/>
            <w:gridSpan w:val="2"/>
            <w:tcBorders>
              <w:top w:val="double" w:sz="4" w:space="0" w:color="auto"/>
            </w:tcBorders>
            <w:shd w:val="clear" w:color="auto" w:fill="auto"/>
            <w:noWrap/>
            <w:vAlign w:val="center"/>
          </w:tcPr>
          <w:p w14:paraId="44E6AA58" w14:textId="77777777" w:rsidR="009360BE" w:rsidRPr="00A6026E" w:rsidRDefault="009360BE" w:rsidP="008C257B">
            <w:pPr>
              <w:spacing w:before="0" w:after="0"/>
              <w:rPr>
                <w:rFonts w:ascii="Arial" w:hAnsi="Arial" w:cs="Arial"/>
                <w:bCs/>
                <w:color w:val="000000"/>
                <w:sz w:val="16"/>
                <w:szCs w:val="16"/>
                <w:lang w:val="en-AU" w:eastAsia="en-AU"/>
              </w:rPr>
            </w:pPr>
            <w:r w:rsidRPr="00A6026E">
              <w:rPr>
                <w:rFonts w:ascii="Arial" w:hAnsi="Arial" w:cs="Arial"/>
                <w:bCs/>
                <w:color w:val="000000"/>
                <w:sz w:val="16"/>
                <w:szCs w:val="16"/>
                <w:lang w:val="en-AU" w:eastAsia="en-AU"/>
              </w:rPr>
              <w:t>Continued on next page</w:t>
            </w:r>
          </w:p>
          <w:p w14:paraId="2A421B3A"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51B4920"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42D12E49"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6DE9824E"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3238D7BB"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49B90244"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5998C2AB"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5470FD66"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0DB625BF"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FD2D540"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764BA8F3"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bottom"/>
          </w:tcPr>
          <w:p w14:paraId="4F9D7507"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669F6608"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586" w:type="dxa"/>
            <w:tcBorders>
              <w:top w:val="double" w:sz="4" w:space="0" w:color="auto"/>
            </w:tcBorders>
            <w:shd w:val="clear" w:color="auto" w:fill="auto"/>
            <w:noWrap/>
            <w:vAlign w:val="center"/>
          </w:tcPr>
          <w:p w14:paraId="0C1A2E9B"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637AA0C9"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72772CDD"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6100FF10" w14:textId="77777777" w:rsidR="009360BE" w:rsidRPr="00A6026E" w:rsidRDefault="009360BE" w:rsidP="008C257B">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7E45EE7D" w14:textId="77777777" w:rsidR="009360BE" w:rsidRPr="00A6026E" w:rsidRDefault="009360BE" w:rsidP="008C257B">
            <w:pPr>
              <w:spacing w:before="0" w:after="0"/>
              <w:jc w:val="center"/>
              <w:rPr>
                <w:rFonts w:ascii="Arial" w:hAnsi="Arial" w:cs="Arial"/>
                <w:color w:val="000000"/>
                <w:sz w:val="16"/>
                <w:szCs w:val="16"/>
                <w:lang w:val="en-AU" w:eastAsia="en-AU"/>
              </w:rPr>
            </w:pPr>
          </w:p>
        </w:tc>
      </w:tr>
      <w:tr w:rsidR="0038020F" w:rsidRPr="00A6026E" w14:paraId="443BECFB" w14:textId="77777777" w:rsidTr="009360BE">
        <w:trPr>
          <w:trHeight w:val="225"/>
        </w:trPr>
        <w:tc>
          <w:tcPr>
            <w:tcW w:w="1724" w:type="dxa"/>
            <w:tcBorders>
              <w:left w:val="double" w:sz="6" w:space="0" w:color="auto"/>
              <w:bottom w:val="single" w:sz="4" w:space="0" w:color="BFBFBF"/>
              <w:right w:val="nil"/>
            </w:tcBorders>
            <w:shd w:val="clear" w:color="auto" w:fill="auto"/>
            <w:noWrap/>
            <w:vAlign w:val="center"/>
          </w:tcPr>
          <w:p w14:paraId="001727B9" w14:textId="77777777" w:rsidR="0038020F" w:rsidRPr="00A6026E" w:rsidRDefault="0038020F" w:rsidP="008C257B">
            <w:pPr>
              <w:spacing w:before="0" w:after="0"/>
              <w:rPr>
                <w:rFonts w:ascii="Arial" w:hAnsi="Arial" w:cs="Arial"/>
                <w:b/>
                <w:bCs/>
                <w:color w:val="000000"/>
                <w:sz w:val="16"/>
                <w:szCs w:val="16"/>
                <w:lang w:val="en-AU" w:eastAsia="en-AU"/>
              </w:rPr>
            </w:pPr>
          </w:p>
          <w:p w14:paraId="135BA0E7" w14:textId="77777777" w:rsidR="0038020F" w:rsidRPr="00A6026E" w:rsidRDefault="0038020F" w:rsidP="008C257B">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Household Size -</w:t>
            </w:r>
          </w:p>
        </w:tc>
        <w:tc>
          <w:tcPr>
            <w:tcW w:w="808" w:type="dxa"/>
            <w:tcBorders>
              <w:left w:val="single" w:sz="4" w:space="0" w:color="auto"/>
              <w:bottom w:val="single" w:sz="4" w:space="0" w:color="BFBFBF"/>
              <w:right w:val="single" w:sz="4" w:space="0" w:color="BFBFBF"/>
            </w:tcBorders>
            <w:shd w:val="clear" w:color="auto" w:fill="auto"/>
            <w:noWrap/>
            <w:vAlign w:val="center"/>
          </w:tcPr>
          <w:p w14:paraId="3D38765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3A20C67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166B535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2E6A329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3B2289F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left w:val="nil"/>
              <w:bottom w:val="single" w:sz="4" w:space="0" w:color="BFBFBF"/>
              <w:right w:val="single" w:sz="4" w:space="0" w:color="BFBFBF"/>
            </w:tcBorders>
            <w:shd w:val="clear" w:color="auto" w:fill="auto"/>
            <w:noWrap/>
            <w:vAlign w:val="center"/>
          </w:tcPr>
          <w:p w14:paraId="37149A4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left w:val="nil"/>
              <w:bottom w:val="single" w:sz="4" w:space="0" w:color="BFBFBF"/>
              <w:right w:val="single" w:sz="4" w:space="0" w:color="BFBFBF"/>
            </w:tcBorders>
            <w:shd w:val="clear" w:color="auto" w:fill="auto"/>
            <w:noWrap/>
            <w:vAlign w:val="center"/>
          </w:tcPr>
          <w:p w14:paraId="2C6FA12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left w:val="nil"/>
              <w:bottom w:val="single" w:sz="4" w:space="0" w:color="BFBFBF"/>
              <w:right w:val="single" w:sz="4" w:space="0" w:color="auto"/>
            </w:tcBorders>
            <w:shd w:val="clear" w:color="auto" w:fill="auto"/>
            <w:noWrap/>
            <w:vAlign w:val="center"/>
          </w:tcPr>
          <w:p w14:paraId="5186760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2E6B36C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nil"/>
            </w:tcBorders>
            <w:shd w:val="clear" w:color="auto" w:fill="auto"/>
            <w:noWrap/>
            <w:vAlign w:val="center"/>
          </w:tcPr>
          <w:p w14:paraId="62220FC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single" w:sz="4" w:space="0" w:color="auto"/>
              <w:bottom w:val="single" w:sz="4" w:space="0" w:color="BFBFBF"/>
              <w:right w:val="single" w:sz="4" w:space="0" w:color="BFBFBF"/>
            </w:tcBorders>
            <w:shd w:val="clear" w:color="auto" w:fill="auto"/>
            <w:noWrap/>
            <w:vAlign w:val="center"/>
          </w:tcPr>
          <w:p w14:paraId="4FC4B6D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left w:val="nil"/>
              <w:bottom w:val="single" w:sz="4" w:space="0" w:color="BFBFBF"/>
              <w:right w:val="single" w:sz="4" w:space="0" w:color="BFBFBF"/>
            </w:tcBorders>
            <w:shd w:val="clear" w:color="auto" w:fill="auto"/>
            <w:noWrap/>
            <w:vAlign w:val="bottom"/>
          </w:tcPr>
          <w:p w14:paraId="48A8072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7126B52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left w:val="nil"/>
              <w:bottom w:val="single" w:sz="4" w:space="0" w:color="BFBFBF"/>
              <w:right w:val="single" w:sz="4" w:space="0" w:color="auto"/>
            </w:tcBorders>
            <w:shd w:val="clear" w:color="auto" w:fill="auto"/>
            <w:noWrap/>
            <w:vAlign w:val="center"/>
          </w:tcPr>
          <w:p w14:paraId="7500D1D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3B8001B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38CFDCF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single" w:sz="4" w:space="0" w:color="BFBFBF"/>
            </w:tcBorders>
            <w:shd w:val="clear" w:color="auto" w:fill="auto"/>
            <w:noWrap/>
            <w:vAlign w:val="center"/>
          </w:tcPr>
          <w:p w14:paraId="195CF51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left w:val="nil"/>
              <w:bottom w:val="single" w:sz="4" w:space="0" w:color="BFBFBF"/>
              <w:right w:val="double" w:sz="6" w:space="0" w:color="auto"/>
            </w:tcBorders>
            <w:shd w:val="clear" w:color="auto" w:fill="auto"/>
            <w:noWrap/>
            <w:vAlign w:val="center"/>
          </w:tcPr>
          <w:p w14:paraId="1E33CC9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38020F" w:rsidRPr="00A6026E" w14:paraId="6BA31E7B"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49FF4142"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1 person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077664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58%</w:t>
            </w:r>
          </w:p>
        </w:tc>
        <w:tc>
          <w:tcPr>
            <w:tcW w:w="808" w:type="dxa"/>
            <w:tcBorders>
              <w:top w:val="nil"/>
              <w:left w:val="nil"/>
              <w:bottom w:val="single" w:sz="4" w:space="0" w:color="BFBFBF"/>
              <w:right w:val="single" w:sz="4" w:space="0" w:color="BFBFBF"/>
            </w:tcBorders>
            <w:shd w:val="clear" w:color="auto" w:fill="auto"/>
            <w:noWrap/>
            <w:vAlign w:val="center"/>
          </w:tcPr>
          <w:p w14:paraId="5F9BA1C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56%</w:t>
            </w:r>
          </w:p>
        </w:tc>
        <w:tc>
          <w:tcPr>
            <w:tcW w:w="808" w:type="dxa"/>
            <w:tcBorders>
              <w:top w:val="nil"/>
              <w:left w:val="nil"/>
              <w:bottom w:val="single" w:sz="4" w:space="0" w:color="BFBFBF"/>
              <w:right w:val="single" w:sz="4" w:space="0" w:color="BFBFBF"/>
            </w:tcBorders>
            <w:shd w:val="clear" w:color="auto" w:fill="auto"/>
            <w:noWrap/>
            <w:vAlign w:val="center"/>
          </w:tcPr>
          <w:p w14:paraId="709B713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55%</w:t>
            </w:r>
          </w:p>
        </w:tc>
        <w:tc>
          <w:tcPr>
            <w:tcW w:w="808" w:type="dxa"/>
            <w:tcBorders>
              <w:top w:val="nil"/>
              <w:left w:val="nil"/>
              <w:bottom w:val="single" w:sz="4" w:space="0" w:color="BFBFBF"/>
              <w:right w:val="single" w:sz="4" w:space="0" w:color="BFBFBF"/>
            </w:tcBorders>
            <w:shd w:val="clear" w:color="auto" w:fill="auto"/>
            <w:noWrap/>
            <w:vAlign w:val="center"/>
          </w:tcPr>
          <w:p w14:paraId="165438B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59%</w:t>
            </w:r>
          </w:p>
        </w:tc>
        <w:tc>
          <w:tcPr>
            <w:tcW w:w="808" w:type="dxa"/>
            <w:tcBorders>
              <w:top w:val="nil"/>
              <w:left w:val="nil"/>
              <w:bottom w:val="single" w:sz="4" w:space="0" w:color="BFBFBF"/>
              <w:right w:val="single" w:sz="4" w:space="0" w:color="BFBFBF"/>
            </w:tcBorders>
            <w:shd w:val="clear" w:color="auto" w:fill="auto"/>
            <w:noWrap/>
            <w:vAlign w:val="center"/>
          </w:tcPr>
          <w:p w14:paraId="381041D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237</w:t>
            </w:r>
          </w:p>
        </w:tc>
        <w:tc>
          <w:tcPr>
            <w:tcW w:w="675" w:type="dxa"/>
            <w:tcBorders>
              <w:top w:val="nil"/>
              <w:left w:val="nil"/>
              <w:bottom w:val="single" w:sz="4" w:space="0" w:color="BFBFBF"/>
              <w:right w:val="single" w:sz="4" w:space="0" w:color="BFBFBF"/>
            </w:tcBorders>
            <w:shd w:val="clear" w:color="auto" w:fill="auto"/>
            <w:noWrap/>
            <w:vAlign w:val="center"/>
          </w:tcPr>
          <w:p w14:paraId="62BB610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131</w:t>
            </w:r>
          </w:p>
        </w:tc>
        <w:tc>
          <w:tcPr>
            <w:tcW w:w="675" w:type="dxa"/>
            <w:tcBorders>
              <w:top w:val="nil"/>
              <w:left w:val="nil"/>
              <w:bottom w:val="single" w:sz="4" w:space="0" w:color="BFBFBF"/>
              <w:right w:val="single" w:sz="4" w:space="0" w:color="BFBFBF"/>
            </w:tcBorders>
            <w:shd w:val="clear" w:color="auto" w:fill="auto"/>
            <w:noWrap/>
            <w:vAlign w:val="center"/>
          </w:tcPr>
          <w:p w14:paraId="4986F82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103</w:t>
            </w:r>
          </w:p>
        </w:tc>
        <w:tc>
          <w:tcPr>
            <w:tcW w:w="675" w:type="dxa"/>
            <w:tcBorders>
              <w:top w:val="nil"/>
              <w:left w:val="nil"/>
              <w:bottom w:val="single" w:sz="4" w:space="0" w:color="BFBFBF"/>
              <w:right w:val="single" w:sz="4" w:space="0" w:color="auto"/>
            </w:tcBorders>
            <w:shd w:val="clear" w:color="auto" w:fill="auto"/>
            <w:noWrap/>
            <w:vAlign w:val="center"/>
          </w:tcPr>
          <w:p w14:paraId="59EBC8F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143</w:t>
            </w:r>
          </w:p>
        </w:tc>
        <w:tc>
          <w:tcPr>
            <w:tcW w:w="808" w:type="dxa"/>
            <w:tcBorders>
              <w:top w:val="nil"/>
              <w:left w:val="nil"/>
              <w:bottom w:val="single" w:sz="4" w:space="0" w:color="BFBFBF"/>
              <w:right w:val="single" w:sz="4" w:space="0" w:color="BFBFBF"/>
            </w:tcBorders>
            <w:shd w:val="clear" w:color="auto" w:fill="auto"/>
            <w:noWrap/>
            <w:vAlign w:val="center"/>
          </w:tcPr>
          <w:p w14:paraId="458A684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84%</w:t>
            </w:r>
          </w:p>
        </w:tc>
        <w:tc>
          <w:tcPr>
            <w:tcW w:w="808" w:type="dxa"/>
            <w:tcBorders>
              <w:top w:val="nil"/>
              <w:left w:val="nil"/>
              <w:bottom w:val="single" w:sz="4" w:space="0" w:color="BFBFBF"/>
              <w:right w:val="nil"/>
            </w:tcBorders>
            <w:shd w:val="clear" w:color="auto" w:fill="auto"/>
            <w:noWrap/>
            <w:vAlign w:val="center"/>
          </w:tcPr>
          <w:p w14:paraId="69D03C5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92</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4A8DFA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w:t>
            </w:r>
          </w:p>
        </w:tc>
        <w:tc>
          <w:tcPr>
            <w:tcW w:w="675" w:type="dxa"/>
            <w:tcBorders>
              <w:top w:val="nil"/>
              <w:left w:val="nil"/>
              <w:bottom w:val="single" w:sz="4" w:space="0" w:color="BFBFBF"/>
              <w:right w:val="single" w:sz="4" w:space="0" w:color="BFBFBF"/>
            </w:tcBorders>
            <w:shd w:val="clear" w:color="auto" w:fill="auto"/>
            <w:noWrap/>
            <w:vAlign w:val="bottom"/>
          </w:tcPr>
          <w:p w14:paraId="0D98ED0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w:t>
            </w:r>
          </w:p>
        </w:tc>
        <w:tc>
          <w:tcPr>
            <w:tcW w:w="808" w:type="dxa"/>
            <w:tcBorders>
              <w:top w:val="nil"/>
              <w:left w:val="nil"/>
              <w:bottom w:val="single" w:sz="4" w:space="0" w:color="BFBFBF"/>
              <w:right w:val="single" w:sz="4" w:space="0" w:color="BFBFBF"/>
            </w:tcBorders>
            <w:shd w:val="clear" w:color="auto" w:fill="auto"/>
            <w:noWrap/>
            <w:vAlign w:val="center"/>
          </w:tcPr>
          <w:p w14:paraId="3EC9D3A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5FC86FC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36</w:t>
            </w:r>
          </w:p>
        </w:tc>
        <w:tc>
          <w:tcPr>
            <w:tcW w:w="808" w:type="dxa"/>
            <w:tcBorders>
              <w:top w:val="nil"/>
              <w:left w:val="nil"/>
              <w:bottom w:val="single" w:sz="4" w:space="0" w:color="BFBFBF"/>
              <w:right w:val="single" w:sz="4" w:space="0" w:color="BFBFBF"/>
            </w:tcBorders>
            <w:shd w:val="clear" w:color="auto" w:fill="auto"/>
            <w:noWrap/>
            <w:vAlign w:val="center"/>
          </w:tcPr>
          <w:p w14:paraId="2775DAA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522</w:t>
            </w:r>
          </w:p>
        </w:tc>
        <w:tc>
          <w:tcPr>
            <w:tcW w:w="808" w:type="dxa"/>
            <w:tcBorders>
              <w:top w:val="nil"/>
              <w:left w:val="nil"/>
              <w:bottom w:val="single" w:sz="4" w:space="0" w:color="BFBFBF"/>
              <w:right w:val="single" w:sz="4" w:space="0" w:color="BFBFBF"/>
            </w:tcBorders>
            <w:shd w:val="clear" w:color="auto" w:fill="auto"/>
            <w:noWrap/>
            <w:vAlign w:val="center"/>
          </w:tcPr>
          <w:p w14:paraId="6F52D21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364</w:t>
            </w:r>
          </w:p>
        </w:tc>
        <w:tc>
          <w:tcPr>
            <w:tcW w:w="808" w:type="dxa"/>
            <w:tcBorders>
              <w:top w:val="nil"/>
              <w:left w:val="nil"/>
              <w:bottom w:val="single" w:sz="4" w:space="0" w:color="BFBFBF"/>
              <w:right w:val="single" w:sz="4" w:space="0" w:color="BFBFBF"/>
            </w:tcBorders>
            <w:shd w:val="clear" w:color="auto" w:fill="auto"/>
            <w:noWrap/>
            <w:vAlign w:val="center"/>
          </w:tcPr>
          <w:p w14:paraId="5752EC3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355</w:t>
            </w:r>
          </w:p>
        </w:tc>
        <w:tc>
          <w:tcPr>
            <w:tcW w:w="808" w:type="dxa"/>
            <w:tcBorders>
              <w:top w:val="nil"/>
              <w:left w:val="nil"/>
              <w:bottom w:val="single" w:sz="4" w:space="0" w:color="BFBFBF"/>
              <w:right w:val="double" w:sz="6" w:space="0" w:color="auto"/>
            </w:tcBorders>
            <w:shd w:val="clear" w:color="auto" w:fill="auto"/>
            <w:noWrap/>
            <w:vAlign w:val="center"/>
          </w:tcPr>
          <w:p w14:paraId="233CB97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350</w:t>
            </w:r>
          </w:p>
        </w:tc>
      </w:tr>
      <w:tr w:rsidR="0038020F" w:rsidRPr="00A6026E" w14:paraId="07BC4911"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6BD54D3E"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2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101276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53%</w:t>
            </w:r>
          </w:p>
        </w:tc>
        <w:tc>
          <w:tcPr>
            <w:tcW w:w="808" w:type="dxa"/>
            <w:tcBorders>
              <w:top w:val="nil"/>
              <w:left w:val="nil"/>
              <w:bottom w:val="single" w:sz="4" w:space="0" w:color="BFBFBF"/>
              <w:right w:val="single" w:sz="4" w:space="0" w:color="BFBFBF"/>
            </w:tcBorders>
            <w:shd w:val="clear" w:color="auto" w:fill="auto"/>
            <w:noWrap/>
            <w:vAlign w:val="center"/>
          </w:tcPr>
          <w:p w14:paraId="5451793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48%</w:t>
            </w:r>
          </w:p>
        </w:tc>
        <w:tc>
          <w:tcPr>
            <w:tcW w:w="808" w:type="dxa"/>
            <w:tcBorders>
              <w:top w:val="nil"/>
              <w:left w:val="nil"/>
              <w:bottom w:val="single" w:sz="4" w:space="0" w:color="BFBFBF"/>
              <w:right w:val="single" w:sz="4" w:space="0" w:color="BFBFBF"/>
            </w:tcBorders>
            <w:shd w:val="clear" w:color="auto" w:fill="auto"/>
            <w:noWrap/>
            <w:vAlign w:val="center"/>
          </w:tcPr>
          <w:p w14:paraId="54A3913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BFBFBF"/>
            </w:tcBorders>
            <w:shd w:val="clear" w:color="auto" w:fill="auto"/>
            <w:noWrap/>
            <w:vAlign w:val="center"/>
          </w:tcPr>
          <w:p w14:paraId="2205BB5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BFBFBF"/>
            </w:tcBorders>
            <w:shd w:val="clear" w:color="auto" w:fill="auto"/>
            <w:noWrap/>
            <w:vAlign w:val="center"/>
          </w:tcPr>
          <w:p w14:paraId="50F1282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264</w:t>
            </w:r>
          </w:p>
        </w:tc>
        <w:tc>
          <w:tcPr>
            <w:tcW w:w="675" w:type="dxa"/>
            <w:tcBorders>
              <w:top w:val="nil"/>
              <w:left w:val="nil"/>
              <w:bottom w:val="single" w:sz="4" w:space="0" w:color="BFBFBF"/>
              <w:right w:val="single" w:sz="4" w:space="0" w:color="BFBFBF"/>
            </w:tcBorders>
            <w:shd w:val="clear" w:color="auto" w:fill="auto"/>
            <w:noWrap/>
            <w:vAlign w:val="center"/>
          </w:tcPr>
          <w:p w14:paraId="4E9E9D2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134</w:t>
            </w:r>
          </w:p>
        </w:tc>
        <w:tc>
          <w:tcPr>
            <w:tcW w:w="675" w:type="dxa"/>
            <w:tcBorders>
              <w:top w:val="nil"/>
              <w:left w:val="nil"/>
              <w:bottom w:val="single" w:sz="4" w:space="0" w:color="BFBFBF"/>
              <w:right w:val="single" w:sz="4" w:space="0" w:color="BFBFBF"/>
            </w:tcBorders>
            <w:shd w:val="clear" w:color="auto" w:fill="auto"/>
            <w:noWrap/>
            <w:vAlign w:val="center"/>
          </w:tcPr>
          <w:p w14:paraId="35FF254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113</w:t>
            </w:r>
          </w:p>
        </w:tc>
        <w:tc>
          <w:tcPr>
            <w:tcW w:w="675" w:type="dxa"/>
            <w:tcBorders>
              <w:top w:val="nil"/>
              <w:left w:val="nil"/>
              <w:bottom w:val="single" w:sz="4" w:space="0" w:color="BFBFBF"/>
              <w:right w:val="single" w:sz="4" w:space="0" w:color="auto"/>
            </w:tcBorders>
            <w:shd w:val="clear" w:color="auto" w:fill="auto"/>
            <w:noWrap/>
            <w:vAlign w:val="center"/>
          </w:tcPr>
          <w:p w14:paraId="1846CFC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168</w:t>
            </w:r>
          </w:p>
        </w:tc>
        <w:tc>
          <w:tcPr>
            <w:tcW w:w="808" w:type="dxa"/>
            <w:tcBorders>
              <w:top w:val="nil"/>
              <w:left w:val="nil"/>
              <w:bottom w:val="single" w:sz="4" w:space="0" w:color="BFBFBF"/>
              <w:right w:val="single" w:sz="4" w:space="0" w:color="BFBFBF"/>
            </w:tcBorders>
            <w:shd w:val="clear" w:color="auto" w:fill="auto"/>
            <w:noWrap/>
            <w:vAlign w:val="center"/>
          </w:tcPr>
          <w:p w14:paraId="6F9E69E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w:t>
            </w:r>
          </w:p>
        </w:tc>
        <w:tc>
          <w:tcPr>
            <w:tcW w:w="808" w:type="dxa"/>
            <w:tcBorders>
              <w:top w:val="nil"/>
              <w:left w:val="nil"/>
              <w:bottom w:val="single" w:sz="4" w:space="0" w:color="BFBFBF"/>
              <w:right w:val="nil"/>
            </w:tcBorders>
            <w:shd w:val="clear" w:color="auto" w:fill="auto"/>
            <w:noWrap/>
            <w:vAlign w:val="center"/>
          </w:tcPr>
          <w:p w14:paraId="2B517D8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048E63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w:t>
            </w:r>
          </w:p>
        </w:tc>
        <w:tc>
          <w:tcPr>
            <w:tcW w:w="675" w:type="dxa"/>
            <w:tcBorders>
              <w:top w:val="nil"/>
              <w:left w:val="nil"/>
              <w:bottom w:val="single" w:sz="4" w:space="0" w:color="BFBFBF"/>
              <w:right w:val="single" w:sz="4" w:space="0" w:color="BFBFBF"/>
            </w:tcBorders>
            <w:shd w:val="clear" w:color="auto" w:fill="auto"/>
            <w:noWrap/>
            <w:vAlign w:val="bottom"/>
          </w:tcPr>
          <w:p w14:paraId="37B51E8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w:t>
            </w:r>
          </w:p>
        </w:tc>
        <w:tc>
          <w:tcPr>
            <w:tcW w:w="808" w:type="dxa"/>
            <w:tcBorders>
              <w:top w:val="nil"/>
              <w:left w:val="nil"/>
              <w:bottom w:val="single" w:sz="4" w:space="0" w:color="BFBFBF"/>
              <w:right w:val="single" w:sz="4" w:space="0" w:color="BFBFBF"/>
            </w:tcBorders>
            <w:shd w:val="clear" w:color="auto" w:fill="auto"/>
            <w:noWrap/>
            <w:vAlign w:val="center"/>
          </w:tcPr>
          <w:p w14:paraId="3A610AC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w:t>
            </w:r>
          </w:p>
        </w:tc>
        <w:tc>
          <w:tcPr>
            <w:tcW w:w="586" w:type="dxa"/>
            <w:tcBorders>
              <w:top w:val="nil"/>
              <w:left w:val="nil"/>
              <w:bottom w:val="single" w:sz="4" w:space="0" w:color="BFBFBF"/>
              <w:right w:val="single" w:sz="4" w:space="0" w:color="auto"/>
            </w:tcBorders>
            <w:shd w:val="clear" w:color="auto" w:fill="auto"/>
            <w:noWrap/>
            <w:vAlign w:val="center"/>
          </w:tcPr>
          <w:p w14:paraId="37E6E65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BFBFBF"/>
            </w:tcBorders>
            <w:shd w:val="clear" w:color="auto" w:fill="auto"/>
            <w:noWrap/>
            <w:vAlign w:val="center"/>
          </w:tcPr>
          <w:p w14:paraId="3020132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741</w:t>
            </w:r>
          </w:p>
        </w:tc>
        <w:tc>
          <w:tcPr>
            <w:tcW w:w="808" w:type="dxa"/>
            <w:tcBorders>
              <w:top w:val="nil"/>
              <w:left w:val="nil"/>
              <w:bottom w:val="single" w:sz="4" w:space="0" w:color="BFBFBF"/>
              <w:right w:val="single" w:sz="4" w:space="0" w:color="BFBFBF"/>
            </w:tcBorders>
            <w:shd w:val="clear" w:color="auto" w:fill="auto"/>
            <w:noWrap/>
            <w:vAlign w:val="center"/>
          </w:tcPr>
          <w:p w14:paraId="598B1D0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466</w:t>
            </w:r>
          </w:p>
        </w:tc>
        <w:tc>
          <w:tcPr>
            <w:tcW w:w="808" w:type="dxa"/>
            <w:tcBorders>
              <w:top w:val="nil"/>
              <w:left w:val="nil"/>
              <w:bottom w:val="single" w:sz="4" w:space="0" w:color="BFBFBF"/>
              <w:right w:val="single" w:sz="4" w:space="0" w:color="BFBFBF"/>
            </w:tcBorders>
            <w:shd w:val="clear" w:color="auto" w:fill="auto"/>
            <w:noWrap/>
            <w:vAlign w:val="center"/>
          </w:tcPr>
          <w:p w14:paraId="48E4696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420</w:t>
            </w:r>
          </w:p>
        </w:tc>
        <w:tc>
          <w:tcPr>
            <w:tcW w:w="808" w:type="dxa"/>
            <w:tcBorders>
              <w:top w:val="nil"/>
              <w:left w:val="nil"/>
              <w:bottom w:val="single" w:sz="4" w:space="0" w:color="BFBFBF"/>
              <w:right w:val="double" w:sz="6" w:space="0" w:color="auto"/>
            </w:tcBorders>
            <w:shd w:val="clear" w:color="auto" w:fill="auto"/>
            <w:noWrap/>
            <w:vAlign w:val="center"/>
          </w:tcPr>
          <w:p w14:paraId="7DAD986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397</w:t>
            </w:r>
          </w:p>
        </w:tc>
      </w:tr>
      <w:tr w:rsidR="0038020F" w:rsidRPr="00A6026E" w14:paraId="1E514E3E"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5D4BB3B7"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3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3A699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w:t>
            </w:r>
          </w:p>
        </w:tc>
        <w:tc>
          <w:tcPr>
            <w:tcW w:w="808" w:type="dxa"/>
            <w:tcBorders>
              <w:top w:val="nil"/>
              <w:left w:val="nil"/>
              <w:bottom w:val="single" w:sz="4" w:space="0" w:color="BFBFBF"/>
              <w:right w:val="single" w:sz="4" w:space="0" w:color="BFBFBF"/>
            </w:tcBorders>
            <w:shd w:val="clear" w:color="auto" w:fill="auto"/>
            <w:noWrap/>
            <w:vAlign w:val="center"/>
          </w:tcPr>
          <w:p w14:paraId="27F0C3B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35%</w:t>
            </w:r>
          </w:p>
        </w:tc>
        <w:tc>
          <w:tcPr>
            <w:tcW w:w="808" w:type="dxa"/>
            <w:tcBorders>
              <w:top w:val="nil"/>
              <w:left w:val="nil"/>
              <w:bottom w:val="single" w:sz="4" w:space="0" w:color="BFBFBF"/>
              <w:right w:val="single" w:sz="4" w:space="0" w:color="BFBFBF"/>
            </w:tcBorders>
            <w:shd w:val="clear" w:color="auto" w:fill="auto"/>
            <w:noWrap/>
            <w:vAlign w:val="center"/>
          </w:tcPr>
          <w:p w14:paraId="5A90BD0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32%</w:t>
            </w:r>
          </w:p>
        </w:tc>
        <w:tc>
          <w:tcPr>
            <w:tcW w:w="808" w:type="dxa"/>
            <w:tcBorders>
              <w:top w:val="nil"/>
              <w:left w:val="nil"/>
              <w:bottom w:val="single" w:sz="4" w:space="0" w:color="BFBFBF"/>
              <w:right w:val="single" w:sz="4" w:space="0" w:color="BFBFBF"/>
            </w:tcBorders>
            <w:shd w:val="clear" w:color="auto" w:fill="auto"/>
            <w:noWrap/>
            <w:vAlign w:val="center"/>
          </w:tcPr>
          <w:p w14:paraId="7DB0EAA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31%</w:t>
            </w:r>
          </w:p>
        </w:tc>
        <w:tc>
          <w:tcPr>
            <w:tcW w:w="808" w:type="dxa"/>
            <w:tcBorders>
              <w:top w:val="nil"/>
              <w:left w:val="nil"/>
              <w:bottom w:val="single" w:sz="4" w:space="0" w:color="BFBFBF"/>
              <w:right w:val="single" w:sz="4" w:space="0" w:color="BFBFBF"/>
            </w:tcBorders>
            <w:shd w:val="clear" w:color="auto" w:fill="auto"/>
            <w:noWrap/>
            <w:vAlign w:val="center"/>
          </w:tcPr>
          <w:p w14:paraId="072696C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256</w:t>
            </w:r>
          </w:p>
        </w:tc>
        <w:tc>
          <w:tcPr>
            <w:tcW w:w="675" w:type="dxa"/>
            <w:tcBorders>
              <w:top w:val="nil"/>
              <w:left w:val="nil"/>
              <w:bottom w:val="single" w:sz="4" w:space="0" w:color="BFBFBF"/>
              <w:right w:val="single" w:sz="4" w:space="0" w:color="BFBFBF"/>
            </w:tcBorders>
            <w:shd w:val="clear" w:color="auto" w:fill="auto"/>
            <w:noWrap/>
            <w:vAlign w:val="center"/>
          </w:tcPr>
          <w:p w14:paraId="6E7249A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128</w:t>
            </w:r>
          </w:p>
        </w:tc>
        <w:tc>
          <w:tcPr>
            <w:tcW w:w="675" w:type="dxa"/>
            <w:tcBorders>
              <w:top w:val="nil"/>
              <w:left w:val="nil"/>
              <w:bottom w:val="single" w:sz="4" w:space="0" w:color="BFBFBF"/>
              <w:right w:val="single" w:sz="4" w:space="0" w:color="BFBFBF"/>
            </w:tcBorders>
            <w:shd w:val="clear" w:color="auto" w:fill="auto"/>
            <w:noWrap/>
            <w:vAlign w:val="center"/>
          </w:tcPr>
          <w:p w14:paraId="31802F7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106</w:t>
            </w:r>
          </w:p>
        </w:tc>
        <w:tc>
          <w:tcPr>
            <w:tcW w:w="675" w:type="dxa"/>
            <w:tcBorders>
              <w:top w:val="nil"/>
              <w:left w:val="nil"/>
              <w:bottom w:val="single" w:sz="4" w:space="0" w:color="BFBFBF"/>
              <w:right w:val="single" w:sz="4" w:space="0" w:color="auto"/>
            </w:tcBorders>
            <w:shd w:val="clear" w:color="auto" w:fill="auto"/>
            <w:noWrap/>
            <w:vAlign w:val="center"/>
          </w:tcPr>
          <w:p w14:paraId="1DAA7B4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170</w:t>
            </w:r>
          </w:p>
        </w:tc>
        <w:tc>
          <w:tcPr>
            <w:tcW w:w="808" w:type="dxa"/>
            <w:tcBorders>
              <w:top w:val="nil"/>
              <w:left w:val="nil"/>
              <w:bottom w:val="single" w:sz="4" w:space="0" w:color="BFBFBF"/>
              <w:right w:val="single" w:sz="4" w:space="0" w:color="BFBFBF"/>
            </w:tcBorders>
            <w:shd w:val="clear" w:color="auto" w:fill="auto"/>
            <w:noWrap/>
            <w:vAlign w:val="center"/>
          </w:tcPr>
          <w:p w14:paraId="3048BE8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88%</w:t>
            </w:r>
          </w:p>
        </w:tc>
        <w:tc>
          <w:tcPr>
            <w:tcW w:w="808" w:type="dxa"/>
            <w:tcBorders>
              <w:top w:val="nil"/>
              <w:left w:val="nil"/>
              <w:bottom w:val="single" w:sz="4" w:space="0" w:color="BFBFBF"/>
              <w:right w:val="nil"/>
            </w:tcBorders>
            <w:shd w:val="clear" w:color="auto" w:fill="auto"/>
            <w:noWrap/>
            <w:vAlign w:val="center"/>
          </w:tcPr>
          <w:p w14:paraId="71C1B8B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FD88B3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w:t>
            </w:r>
          </w:p>
        </w:tc>
        <w:tc>
          <w:tcPr>
            <w:tcW w:w="675" w:type="dxa"/>
            <w:tcBorders>
              <w:top w:val="nil"/>
              <w:left w:val="nil"/>
              <w:bottom w:val="single" w:sz="4" w:space="0" w:color="BFBFBF"/>
              <w:right w:val="single" w:sz="4" w:space="0" w:color="BFBFBF"/>
            </w:tcBorders>
            <w:shd w:val="clear" w:color="auto" w:fill="auto"/>
            <w:noWrap/>
            <w:vAlign w:val="bottom"/>
          </w:tcPr>
          <w:p w14:paraId="2160A58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w:t>
            </w:r>
          </w:p>
        </w:tc>
        <w:tc>
          <w:tcPr>
            <w:tcW w:w="808" w:type="dxa"/>
            <w:tcBorders>
              <w:top w:val="nil"/>
              <w:left w:val="nil"/>
              <w:bottom w:val="single" w:sz="4" w:space="0" w:color="BFBFBF"/>
              <w:right w:val="single" w:sz="4" w:space="0" w:color="BFBFBF"/>
            </w:tcBorders>
            <w:shd w:val="clear" w:color="auto" w:fill="auto"/>
            <w:noWrap/>
            <w:vAlign w:val="center"/>
          </w:tcPr>
          <w:p w14:paraId="13BBE86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auto"/>
            </w:tcBorders>
            <w:shd w:val="clear" w:color="auto" w:fill="auto"/>
            <w:noWrap/>
            <w:vAlign w:val="center"/>
          </w:tcPr>
          <w:p w14:paraId="2ACF19D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37</w:t>
            </w:r>
          </w:p>
        </w:tc>
        <w:tc>
          <w:tcPr>
            <w:tcW w:w="808" w:type="dxa"/>
            <w:tcBorders>
              <w:top w:val="nil"/>
              <w:left w:val="nil"/>
              <w:bottom w:val="single" w:sz="4" w:space="0" w:color="BFBFBF"/>
              <w:right w:val="single" w:sz="4" w:space="0" w:color="BFBFBF"/>
            </w:tcBorders>
            <w:shd w:val="clear" w:color="auto" w:fill="auto"/>
            <w:noWrap/>
            <w:vAlign w:val="center"/>
          </w:tcPr>
          <w:p w14:paraId="661E70C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824</w:t>
            </w:r>
          </w:p>
        </w:tc>
        <w:tc>
          <w:tcPr>
            <w:tcW w:w="808" w:type="dxa"/>
            <w:tcBorders>
              <w:top w:val="nil"/>
              <w:left w:val="nil"/>
              <w:bottom w:val="single" w:sz="4" w:space="0" w:color="BFBFBF"/>
              <w:right w:val="single" w:sz="4" w:space="0" w:color="BFBFBF"/>
            </w:tcBorders>
            <w:shd w:val="clear" w:color="auto" w:fill="auto"/>
            <w:noWrap/>
            <w:vAlign w:val="center"/>
          </w:tcPr>
          <w:p w14:paraId="38D9FDF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524</w:t>
            </w:r>
          </w:p>
        </w:tc>
        <w:tc>
          <w:tcPr>
            <w:tcW w:w="808" w:type="dxa"/>
            <w:tcBorders>
              <w:top w:val="nil"/>
              <w:left w:val="nil"/>
              <w:bottom w:val="single" w:sz="4" w:space="0" w:color="BFBFBF"/>
              <w:right w:val="single" w:sz="4" w:space="0" w:color="BFBFBF"/>
            </w:tcBorders>
            <w:shd w:val="clear" w:color="auto" w:fill="auto"/>
            <w:noWrap/>
            <w:vAlign w:val="center"/>
          </w:tcPr>
          <w:p w14:paraId="1DF13EA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456</w:t>
            </w:r>
          </w:p>
        </w:tc>
        <w:tc>
          <w:tcPr>
            <w:tcW w:w="808" w:type="dxa"/>
            <w:tcBorders>
              <w:top w:val="nil"/>
              <w:left w:val="nil"/>
              <w:bottom w:val="single" w:sz="4" w:space="0" w:color="BFBFBF"/>
              <w:right w:val="double" w:sz="6" w:space="0" w:color="auto"/>
            </w:tcBorders>
            <w:shd w:val="clear" w:color="auto" w:fill="auto"/>
            <w:noWrap/>
            <w:vAlign w:val="center"/>
          </w:tcPr>
          <w:p w14:paraId="4AFE716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456</w:t>
            </w:r>
          </w:p>
        </w:tc>
      </w:tr>
      <w:tr w:rsidR="0038020F" w:rsidRPr="00A6026E" w14:paraId="700B81E7"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3033617D"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4 or more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E2FBE6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24%</w:t>
            </w:r>
          </w:p>
        </w:tc>
        <w:tc>
          <w:tcPr>
            <w:tcW w:w="808" w:type="dxa"/>
            <w:tcBorders>
              <w:top w:val="nil"/>
              <w:left w:val="nil"/>
              <w:bottom w:val="single" w:sz="4" w:space="0" w:color="BFBFBF"/>
              <w:right w:val="single" w:sz="4" w:space="0" w:color="BFBFBF"/>
            </w:tcBorders>
            <w:shd w:val="clear" w:color="auto" w:fill="auto"/>
            <w:noWrap/>
            <w:vAlign w:val="center"/>
          </w:tcPr>
          <w:p w14:paraId="48A7F53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33%</w:t>
            </w:r>
          </w:p>
        </w:tc>
        <w:tc>
          <w:tcPr>
            <w:tcW w:w="808" w:type="dxa"/>
            <w:tcBorders>
              <w:top w:val="nil"/>
              <w:left w:val="nil"/>
              <w:bottom w:val="single" w:sz="4" w:space="0" w:color="BFBFBF"/>
              <w:right w:val="single" w:sz="4" w:space="0" w:color="BFBFBF"/>
            </w:tcBorders>
            <w:shd w:val="clear" w:color="auto" w:fill="auto"/>
            <w:noWrap/>
            <w:vAlign w:val="center"/>
          </w:tcPr>
          <w:p w14:paraId="6E76441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20%</w:t>
            </w:r>
          </w:p>
        </w:tc>
        <w:tc>
          <w:tcPr>
            <w:tcW w:w="808" w:type="dxa"/>
            <w:tcBorders>
              <w:top w:val="nil"/>
              <w:left w:val="nil"/>
              <w:bottom w:val="single" w:sz="4" w:space="0" w:color="BFBFBF"/>
              <w:right w:val="single" w:sz="4" w:space="0" w:color="BFBFBF"/>
            </w:tcBorders>
            <w:shd w:val="clear" w:color="auto" w:fill="auto"/>
            <w:noWrap/>
            <w:vAlign w:val="center"/>
          </w:tcPr>
          <w:p w14:paraId="4A1F511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w:t>
            </w:r>
          </w:p>
        </w:tc>
        <w:tc>
          <w:tcPr>
            <w:tcW w:w="808" w:type="dxa"/>
            <w:tcBorders>
              <w:top w:val="nil"/>
              <w:left w:val="nil"/>
              <w:bottom w:val="single" w:sz="4" w:space="0" w:color="BFBFBF"/>
              <w:right w:val="single" w:sz="4" w:space="0" w:color="BFBFBF"/>
            </w:tcBorders>
            <w:shd w:val="clear" w:color="auto" w:fill="auto"/>
            <w:noWrap/>
            <w:vAlign w:val="center"/>
          </w:tcPr>
          <w:p w14:paraId="2E77C43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254</w:t>
            </w:r>
          </w:p>
        </w:tc>
        <w:tc>
          <w:tcPr>
            <w:tcW w:w="675" w:type="dxa"/>
            <w:tcBorders>
              <w:top w:val="nil"/>
              <w:left w:val="nil"/>
              <w:bottom w:val="single" w:sz="4" w:space="0" w:color="BFBFBF"/>
              <w:right w:val="single" w:sz="4" w:space="0" w:color="BFBFBF"/>
            </w:tcBorders>
            <w:shd w:val="clear" w:color="auto" w:fill="auto"/>
            <w:noWrap/>
            <w:vAlign w:val="center"/>
          </w:tcPr>
          <w:p w14:paraId="43B037E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130</w:t>
            </w:r>
          </w:p>
        </w:tc>
        <w:tc>
          <w:tcPr>
            <w:tcW w:w="675" w:type="dxa"/>
            <w:tcBorders>
              <w:top w:val="nil"/>
              <w:left w:val="nil"/>
              <w:bottom w:val="single" w:sz="4" w:space="0" w:color="BFBFBF"/>
              <w:right w:val="single" w:sz="4" w:space="0" w:color="BFBFBF"/>
            </w:tcBorders>
            <w:shd w:val="clear" w:color="auto" w:fill="auto"/>
            <w:noWrap/>
            <w:vAlign w:val="center"/>
          </w:tcPr>
          <w:p w14:paraId="5A5E117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109</w:t>
            </w:r>
          </w:p>
        </w:tc>
        <w:tc>
          <w:tcPr>
            <w:tcW w:w="675" w:type="dxa"/>
            <w:tcBorders>
              <w:top w:val="nil"/>
              <w:left w:val="nil"/>
              <w:bottom w:val="single" w:sz="4" w:space="0" w:color="BFBFBF"/>
              <w:right w:val="single" w:sz="4" w:space="0" w:color="auto"/>
            </w:tcBorders>
            <w:shd w:val="clear" w:color="auto" w:fill="auto"/>
            <w:noWrap/>
            <w:vAlign w:val="center"/>
          </w:tcPr>
          <w:p w14:paraId="65D07C3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144</w:t>
            </w:r>
          </w:p>
        </w:tc>
        <w:tc>
          <w:tcPr>
            <w:tcW w:w="808" w:type="dxa"/>
            <w:tcBorders>
              <w:top w:val="nil"/>
              <w:left w:val="nil"/>
              <w:bottom w:val="single" w:sz="4" w:space="0" w:color="BFBFBF"/>
              <w:right w:val="single" w:sz="4" w:space="0" w:color="BFBFBF"/>
            </w:tcBorders>
            <w:shd w:val="clear" w:color="auto" w:fill="auto"/>
            <w:noWrap/>
            <w:vAlign w:val="center"/>
          </w:tcPr>
          <w:p w14:paraId="0A3AF59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808" w:type="dxa"/>
            <w:tcBorders>
              <w:top w:val="nil"/>
              <w:left w:val="nil"/>
              <w:bottom w:val="single" w:sz="4" w:space="0" w:color="BFBFBF"/>
              <w:right w:val="nil"/>
            </w:tcBorders>
            <w:shd w:val="clear" w:color="auto" w:fill="auto"/>
            <w:noWrap/>
            <w:vAlign w:val="center"/>
          </w:tcPr>
          <w:p w14:paraId="12ED96D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FC0E49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BFBFBF"/>
            </w:tcBorders>
            <w:shd w:val="clear" w:color="auto" w:fill="auto"/>
            <w:noWrap/>
            <w:vAlign w:val="bottom"/>
          </w:tcPr>
          <w:p w14:paraId="660F367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w:t>
            </w:r>
          </w:p>
        </w:tc>
        <w:tc>
          <w:tcPr>
            <w:tcW w:w="808" w:type="dxa"/>
            <w:tcBorders>
              <w:top w:val="nil"/>
              <w:left w:val="nil"/>
              <w:bottom w:val="single" w:sz="4" w:space="0" w:color="BFBFBF"/>
              <w:right w:val="single" w:sz="4" w:space="0" w:color="BFBFBF"/>
            </w:tcBorders>
            <w:shd w:val="clear" w:color="auto" w:fill="auto"/>
            <w:noWrap/>
            <w:vAlign w:val="center"/>
          </w:tcPr>
          <w:p w14:paraId="70A8A45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10B5207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BFBFBF"/>
            </w:tcBorders>
            <w:shd w:val="clear" w:color="auto" w:fill="auto"/>
            <w:noWrap/>
            <w:vAlign w:val="center"/>
          </w:tcPr>
          <w:p w14:paraId="0FAAD86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1101</w:t>
            </w:r>
          </w:p>
        </w:tc>
        <w:tc>
          <w:tcPr>
            <w:tcW w:w="808" w:type="dxa"/>
            <w:tcBorders>
              <w:top w:val="nil"/>
              <w:left w:val="nil"/>
              <w:bottom w:val="single" w:sz="4" w:space="0" w:color="BFBFBF"/>
              <w:right w:val="single" w:sz="4" w:space="0" w:color="BFBFBF"/>
            </w:tcBorders>
            <w:shd w:val="clear" w:color="auto" w:fill="auto"/>
            <w:noWrap/>
            <w:vAlign w:val="center"/>
          </w:tcPr>
          <w:p w14:paraId="283C041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672</w:t>
            </w:r>
          </w:p>
        </w:tc>
        <w:tc>
          <w:tcPr>
            <w:tcW w:w="808" w:type="dxa"/>
            <w:tcBorders>
              <w:top w:val="nil"/>
              <w:left w:val="nil"/>
              <w:bottom w:val="single" w:sz="4" w:space="0" w:color="BFBFBF"/>
              <w:right w:val="single" w:sz="4" w:space="0" w:color="BFBFBF"/>
            </w:tcBorders>
            <w:shd w:val="clear" w:color="auto" w:fill="auto"/>
            <w:noWrap/>
            <w:vAlign w:val="center"/>
          </w:tcPr>
          <w:p w14:paraId="2174B93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509</w:t>
            </w:r>
          </w:p>
        </w:tc>
        <w:tc>
          <w:tcPr>
            <w:tcW w:w="808" w:type="dxa"/>
            <w:tcBorders>
              <w:top w:val="nil"/>
              <w:left w:val="nil"/>
              <w:bottom w:val="single" w:sz="4" w:space="0" w:color="BFBFBF"/>
              <w:right w:val="double" w:sz="6" w:space="0" w:color="auto"/>
            </w:tcBorders>
            <w:shd w:val="clear" w:color="auto" w:fill="auto"/>
            <w:noWrap/>
            <w:vAlign w:val="center"/>
          </w:tcPr>
          <w:p w14:paraId="15F195C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519</w:t>
            </w:r>
          </w:p>
        </w:tc>
      </w:tr>
      <w:tr w:rsidR="0038020F" w:rsidRPr="00A6026E" w14:paraId="2E08E079"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048364DF" w14:textId="77777777" w:rsidR="0038020F" w:rsidRPr="00A6026E" w:rsidRDefault="0038020F" w:rsidP="008C257B">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By Housing Status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FC16C7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A6C016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C7FA2C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67940FE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3632A41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4FCE401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367E0A4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1C5DF22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B20B01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nil"/>
            </w:tcBorders>
            <w:shd w:val="clear" w:color="auto" w:fill="auto"/>
            <w:noWrap/>
            <w:vAlign w:val="center"/>
          </w:tcPr>
          <w:p w14:paraId="10114DD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2E3C38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bottom"/>
          </w:tcPr>
          <w:p w14:paraId="76D152D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57639D1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586" w:type="dxa"/>
            <w:tcBorders>
              <w:top w:val="nil"/>
              <w:left w:val="nil"/>
              <w:bottom w:val="single" w:sz="4" w:space="0" w:color="BFBFBF"/>
              <w:right w:val="single" w:sz="4" w:space="0" w:color="auto"/>
            </w:tcBorders>
            <w:shd w:val="clear" w:color="auto" w:fill="auto"/>
            <w:noWrap/>
            <w:vAlign w:val="center"/>
          </w:tcPr>
          <w:p w14:paraId="238E082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ADC35C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D08238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0C47E52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c>
          <w:tcPr>
            <w:tcW w:w="808" w:type="dxa"/>
            <w:tcBorders>
              <w:top w:val="nil"/>
              <w:left w:val="nil"/>
              <w:bottom w:val="single" w:sz="4" w:space="0" w:color="BFBFBF"/>
              <w:right w:val="double" w:sz="6" w:space="0" w:color="auto"/>
            </w:tcBorders>
            <w:shd w:val="clear" w:color="auto" w:fill="auto"/>
            <w:noWrap/>
            <w:vAlign w:val="center"/>
          </w:tcPr>
          <w:p w14:paraId="3D2E2331"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 </w:t>
            </w:r>
          </w:p>
        </w:tc>
      </w:tr>
      <w:tr w:rsidR="0038020F" w:rsidRPr="00A6026E" w14:paraId="0C924BFB"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25985B59"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Owned/paid off</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0F5338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w:t>
            </w:r>
          </w:p>
        </w:tc>
        <w:tc>
          <w:tcPr>
            <w:tcW w:w="808" w:type="dxa"/>
            <w:tcBorders>
              <w:top w:val="nil"/>
              <w:left w:val="nil"/>
              <w:bottom w:val="single" w:sz="4" w:space="0" w:color="BFBFBF"/>
              <w:right w:val="single" w:sz="4" w:space="0" w:color="BFBFBF"/>
            </w:tcBorders>
            <w:shd w:val="clear" w:color="auto" w:fill="auto"/>
            <w:noWrap/>
            <w:vAlign w:val="center"/>
          </w:tcPr>
          <w:p w14:paraId="39C7C0B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w:t>
            </w:r>
          </w:p>
        </w:tc>
        <w:tc>
          <w:tcPr>
            <w:tcW w:w="808" w:type="dxa"/>
            <w:tcBorders>
              <w:top w:val="nil"/>
              <w:left w:val="nil"/>
              <w:bottom w:val="single" w:sz="4" w:space="0" w:color="BFBFBF"/>
              <w:right w:val="single" w:sz="4" w:space="0" w:color="BFBFBF"/>
            </w:tcBorders>
            <w:shd w:val="clear" w:color="auto" w:fill="auto"/>
            <w:noWrap/>
            <w:vAlign w:val="center"/>
          </w:tcPr>
          <w:p w14:paraId="3F38855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47%</w:t>
            </w:r>
          </w:p>
        </w:tc>
        <w:tc>
          <w:tcPr>
            <w:tcW w:w="808" w:type="dxa"/>
            <w:tcBorders>
              <w:top w:val="nil"/>
              <w:left w:val="nil"/>
              <w:bottom w:val="single" w:sz="4" w:space="0" w:color="BFBFBF"/>
              <w:right w:val="single" w:sz="4" w:space="0" w:color="BFBFBF"/>
            </w:tcBorders>
            <w:shd w:val="clear" w:color="auto" w:fill="auto"/>
            <w:noWrap/>
            <w:vAlign w:val="center"/>
          </w:tcPr>
          <w:p w14:paraId="7661480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48%</w:t>
            </w:r>
          </w:p>
        </w:tc>
        <w:tc>
          <w:tcPr>
            <w:tcW w:w="808" w:type="dxa"/>
            <w:tcBorders>
              <w:top w:val="nil"/>
              <w:left w:val="nil"/>
              <w:bottom w:val="single" w:sz="4" w:space="0" w:color="BFBFBF"/>
              <w:right w:val="single" w:sz="4" w:space="0" w:color="BFBFBF"/>
            </w:tcBorders>
            <w:shd w:val="clear" w:color="auto" w:fill="auto"/>
            <w:noWrap/>
            <w:vAlign w:val="center"/>
          </w:tcPr>
          <w:p w14:paraId="0D152F6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278</w:t>
            </w:r>
          </w:p>
        </w:tc>
        <w:tc>
          <w:tcPr>
            <w:tcW w:w="675" w:type="dxa"/>
            <w:tcBorders>
              <w:top w:val="nil"/>
              <w:left w:val="nil"/>
              <w:bottom w:val="single" w:sz="4" w:space="0" w:color="BFBFBF"/>
              <w:right w:val="single" w:sz="4" w:space="0" w:color="BFBFBF"/>
            </w:tcBorders>
            <w:shd w:val="clear" w:color="auto" w:fill="auto"/>
            <w:noWrap/>
            <w:vAlign w:val="center"/>
          </w:tcPr>
          <w:p w14:paraId="00C93E3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139</w:t>
            </w:r>
          </w:p>
        </w:tc>
        <w:tc>
          <w:tcPr>
            <w:tcW w:w="675" w:type="dxa"/>
            <w:tcBorders>
              <w:top w:val="nil"/>
              <w:left w:val="nil"/>
              <w:bottom w:val="single" w:sz="4" w:space="0" w:color="BFBFBF"/>
              <w:right w:val="single" w:sz="4" w:space="0" w:color="BFBFBF"/>
            </w:tcBorders>
            <w:shd w:val="clear" w:color="auto" w:fill="auto"/>
            <w:noWrap/>
            <w:vAlign w:val="center"/>
          </w:tcPr>
          <w:p w14:paraId="43659B9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114</w:t>
            </w:r>
          </w:p>
        </w:tc>
        <w:tc>
          <w:tcPr>
            <w:tcW w:w="675" w:type="dxa"/>
            <w:tcBorders>
              <w:top w:val="nil"/>
              <w:left w:val="nil"/>
              <w:bottom w:val="single" w:sz="4" w:space="0" w:color="BFBFBF"/>
              <w:right w:val="single" w:sz="4" w:space="0" w:color="auto"/>
            </w:tcBorders>
            <w:shd w:val="clear" w:color="auto" w:fill="auto"/>
            <w:noWrap/>
            <w:vAlign w:val="center"/>
          </w:tcPr>
          <w:p w14:paraId="2C0F3CF0"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178</w:t>
            </w:r>
          </w:p>
        </w:tc>
        <w:tc>
          <w:tcPr>
            <w:tcW w:w="808" w:type="dxa"/>
            <w:tcBorders>
              <w:top w:val="nil"/>
              <w:left w:val="nil"/>
              <w:bottom w:val="single" w:sz="4" w:space="0" w:color="BFBFBF"/>
              <w:right w:val="single" w:sz="4" w:space="0" w:color="BFBFBF"/>
            </w:tcBorders>
            <w:shd w:val="clear" w:color="auto" w:fill="auto"/>
            <w:noWrap/>
            <w:vAlign w:val="center"/>
          </w:tcPr>
          <w:p w14:paraId="5FA187E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87%</w:t>
            </w:r>
          </w:p>
        </w:tc>
        <w:tc>
          <w:tcPr>
            <w:tcW w:w="808" w:type="dxa"/>
            <w:tcBorders>
              <w:top w:val="nil"/>
              <w:left w:val="nil"/>
              <w:bottom w:val="single" w:sz="4" w:space="0" w:color="BFBFBF"/>
              <w:right w:val="nil"/>
            </w:tcBorders>
            <w:shd w:val="clear" w:color="auto" w:fill="auto"/>
            <w:noWrap/>
            <w:vAlign w:val="center"/>
          </w:tcPr>
          <w:p w14:paraId="52E74BA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E4F5D3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w:t>
            </w:r>
          </w:p>
        </w:tc>
        <w:tc>
          <w:tcPr>
            <w:tcW w:w="675" w:type="dxa"/>
            <w:tcBorders>
              <w:top w:val="nil"/>
              <w:left w:val="nil"/>
              <w:bottom w:val="single" w:sz="4" w:space="0" w:color="BFBFBF"/>
              <w:right w:val="single" w:sz="4" w:space="0" w:color="BFBFBF"/>
            </w:tcBorders>
            <w:shd w:val="clear" w:color="auto" w:fill="auto"/>
            <w:noWrap/>
            <w:vAlign w:val="bottom"/>
          </w:tcPr>
          <w:p w14:paraId="15B76B8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w:t>
            </w:r>
          </w:p>
        </w:tc>
        <w:tc>
          <w:tcPr>
            <w:tcW w:w="808" w:type="dxa"/>
            <w:tcBorders>
              <w:top w:val="nil"/>
              <w:left w:val="nil"/>
              <w:bottom w:val="single" w:sz="4" w:space="0" w:color="BFBFBF"/>
              <w:right w:val="single" w:sz="4" w:space="0" w:color="BFBFBF"/>
            </w:tcBorders>
            <w:shd w:val="clear" w:color="auto" w:fill="auto"/>
            <w:noWrap/>
            <w:vAlign w:val="center"/>
          </w:tcPr>
          <w:p w14:paraId="38A6145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5667C4D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w:t>
            </w:r>
          </w:p>
        </w:tc>
        <w:tc>
          <w:tcPr>
            <w:tcW w:w="808" w:type="dxa"/>
            <w:tcBorders>
              <w:top w:val="nil"/>
              <w:left w:val="nil"/>
              <w:bottom w:val="single" w:sz="4" w:space="0" w:color="BFBFBF"/>
              <w:right w:val="single" w:sz="4" w:space="0" w:color="BFBFBF"/>
            </w:tcBorders>
            <w:shd w:val="clear" w:color="auto" w:fill="auto"/>
            <w:noWrap/>
            <w:vAlign w:val="center"/>
          </w:tcPr>
          <w:p w14:paraId="65F8625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864</w:t>
            </w:r>
          </w:p>
        </w:tc>
        <w:tc>
          <w:tcPr>
            <w:tcW w:w="808" w:type="dxa"/>
            <w:tcBorders>
              <w:top w:val="nil"/>
              <w:left w:val="nil"/>
              <w:bottom w:val="single" w:sz="4" w:space="0" w:color="BFBFBF"/>
              <w:right w:val="single" w:sz="4" w:space="0" w:color="BFBFBF"/>
            </w:tcBorders>
            <w:shd w:val="clear" w:color="auto" w:fill="auto"/>
            <w:noWrap/>
            <w:vAlign w:val="center"/>
          </w:tcPr>
          <w:p w14:paraId="04E2BBA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532</w:t>
            </w:r>
          </w:p>
        </w:tc>
        <w:tc>
          <w:tcPr>
            <w:tcW w:w="808" w:type="dxa"/>
            <w:tcBorders>
              <w:top w:val="nil"/>
              <w:left w:val="nil"/>
              <w:bottom w:val="single" w:sz="4" w:space="0" w:color="BFBFBF"/>
              <w:right w:val="single" w:sz="4" w:space="0" w:color="BFBFBF"/>
            </w:tcBorders>
            <w:shd w:val="clear" w:color="auto" w:fill="auto"/>
            <w:noWrap/>
            <w:vAlign w:val="center"/>
          </w:tcPr>
          <w:p w14:paraId="09464AD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444</w:t>
            </w:r>
          </w:p>
        </w:tc>
        <w:tc>
          <w:tcPr>
            <w:tcW w:w="808" w:type="dxa"/>
            <w:tcBorders>
              <w:top w:val="nil"/>
              <w:left w:val="nil"/>
              <w:bottom w:val="single" w:sz="4" w:space="0" w:color="BFBFBF"/>
              <w:right w:val="double" w:sz="6" w:space="0" w:color="auto"/>
            </w:tcBorders>
            <w:shd w:val="clear" w:color="auto" w:fill="auto"/>
            <w:noWrap/>
            <w:vAlign w:val="center"/>
          </w:tcPr>
          <w:p w14:paraId="68B1EB0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450</w:t>
            </w:r>
          </w:p>
        </w:tc>
      </w:tr>
      <w:tr w:rsidR="0038020F" w:rsidRPr="00A6026E" w14:paraId="76AC82D2"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637986E4"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Buying/paying off</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838C73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21%</w:t>
            </w:r>
          </w:p>
        </w:tc>
        <w:tc>
          <w:tcPr>
            <w:tcW w:w="808" w:type="dxa"/>
            <w:tcBorders>
              <w:top w:val="nil"/>
              <w:left w:val="nil"/>
              <w:bottom w:val="single" w:sz="4" w:space="0" w:color="BFBFBF"/>
              <w:right w:val="single" w:sz="4" w:space="0" w:color="BFBFBF"/>
            </w:tcBorders>
            <w:shd w:val="clear" w:color="auto" w:fill="auto"/>
            <w:noWrap/>
            <w:vAlign w:val="center"/>
          </w:tcPr>
          <w:p w14:paraId="453EB85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31%</w:t>
            </w:r>
          </w:p>
        </w:tc>
        <w:tc>
          <w:tcPr>
            <w:tcW w:w="808" w:type="dxa"/>
            <w:tcBorders>
              <w:top w:val="nil"/>
              <w:left w:val="nil"/>
              <w:bottom w:val="single" w:sz="4" w:space="0" w:color="BFBFBF"/>
              <w:right w:val="single" w:sz="4" w:space="0" w:color="BFBFBF"/>
            </w:tcBorders>
            <w:shd w:val="clear" w:color="auto" w:fill="auto"/>
            <w:noWrap/>
            <w:vAlign w:val="center"/>
          </w:tcPr>
          <w:p w14:paraId="12336A2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w:t>
            </w:r>
          </w:p>
        </w:tc>
        <w:tc>
          <w:tcPr>
            <w:tcW w:w="808" w:type="dxa"/>
            <w:tcBorders>
              <w:top w:val="nil"/>
              <w:left w:val="nil"/>
              <w:bottom w:val="single" w:sz="4" w:space="0" w:color="BFBFBF"/>
              <w:right w:val="single" w:sz="4" w:space="0" w:color="BFBFBF"/>
            </w:tcBorders>
            <w:shd w:val="clear" w:color="auto" w:fill="auto"/>
            <w:noWrap/>
            <w:vAlign w:val="center"/>
          </w:tcPr>
          <w:p w14:paraId="597D287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w:t>
            </w:r>
          </w:p>
        </w:tc>
        <w:tc>
          <w:tcPr>
            <w:tcW w:w="808" w:type="dxa"/>
            <w:tcBorders>
              <w:top w:val="nil"/>
              <w:left w:val="nil"/>
              <w:bottom w:val="single" w:sz="4" w:space="0" w:color="BFBFBF"/>
              <w:right w:val="single" w:sz="4" w:space="0" w:color="BFBFBF"/>
            </w:tcBorders>
            <w:shd w:val="clear" w:color="auto" w:fill="auto"/>
            <w:noWrap/>
            <w:vAlign w:val="center"/>
          </w:tcPr>
          <w:p w14:paraId="31877C6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276</w:t>
            </w:r>
          </w:p>
        </w:tc>
        <w:tc>
          <w:tcPr>
            <w:tcW w:w="675" w:type="dxa"/>
            <w:tcBorders>
              <w:top w:val="nil"/>
              <w:left w:val="nil"/>
              <w:bottom w:val="single" w:sz="4" w:space="0" w:color="BFBFBF"/>
              <w:right w:val="single" w:sz="4" w:space="0" w:color="BFBFBF"/>
            </w:tcBorders>
            <w:shd w:val="clear" w:color="auto" w:fill="auto"/>
            <w:noWrap/>
            <w:vAlign w:val="center"/>
          </w:tcPr>
          <w:p w14:paraId="35BC8DA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132</w:t>
            </w:r>
          </w:p>
        </w:tc>
        <w:tc>
          <w:tcPr>
            <w:tcW w:w="675" w:type="dxa"/>
            <w:tcBorders>
              <w:top w:val="nil"/>
              <w:left w:val="nil"/>
              <w:bottom w:val="single" w:sz="4" w:space="0" w:color="BFBFBF"/>
              <w:right w:val="single" w:sz="4" w:space="0" w:color="BFBFBF"/>
            </w:tcBorders>
            <w:shd w:val="clear" w:color="auto" w:fill="auto"/>
            <w:noWrap/>
            <w:vAlign w:val="center"/>
          </w:tcPr>
          <w:p w14:paraId="1D94154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107</w:t>
            </w:r>
          </w:p>
        </w:tc>
        <w:tc>
          <w:tcPr>
            <w:tcW w:w="675" w:type="dxa"/>
            <w:tcBorders>
              <w:top w:val="nil"/>
              <w:left w:val="nil"/>
              <w:bottom w:val="single" w:sz="4" w:space="0" w:color="BFBFBF"/>
              <w:right w:val="single" w:sz="4" w:space="0" w:color="auto"/>
            </w:tcBorders>
            <w:shd w:val="clear" w:color="auto" w:fill="auto"/>
            <w:noWrap/>
            <w:vAlign w:val="center"/>
          </w:tcPr>
          <w:p w14:paraId="5500AF5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158</w:t>
            </w:r>
          </w:p>
        </w:tc>
        <w:tc>
          <w:tcPr>
            <w:tcW w:w="808" w:type="dxa"/>
            <w:tcBorders>
              <w:top w:val="nil"/>
              <w:left w:val="nil"/>
              <w:bottom w:val="single" w:sz="4" w:space="0" w:color="BFBFBF"/>
              <w:right w:val="single" w:sz="4" w:space="0" w:color="BFBFBF"/>
            </w:tcBorders>
            <w:shd w:val="clear" w:color="auto" w:fill="auto"/>
            <w:noWrap/>
            <w:vAlign w:val="center"/>
          </w:tcPr>
          <w:p w14:paraId="16545E9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85%</w:t>
            </w:r>
          </w:p>
        </w:tc>
        <w:tc>
          <w:tcPr>
            <w:tcW w:w="808" w:type="dxa"/>
            <w:tcBorders>
              <w:top w:val="nil"/>
              <w:left w:val="nil"/>
              <w:bottom w:val="single" w:sz="4" w:space="0" w:color="BFBFBF"/>
              <w:right w:val="nil"/>
            </w:tcBorders>
            <w:shd w:val="clear" w:color="auto" w:fill="auto"/>
            <w:noWrap/>
            <w:vAlign w:val="center"/>
          </w:tcPr>
          <w:p w14:paraId="3DBCF46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4FA27A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w:t>
            </w:r>
          </w:p>
        </w:tc>
        <w:tc>
          <w:tcPr>
            <w:tcW w:w="675" w:type="dxa"/>
            <w:tcBorders>
              <w:top w:val="nil"/>
              <w:left w:val="nil"/>
              <w:bottom w:val="single" w:sz="4" w:space="0" w:color="BFBFBF"/>
              <w:right w:val="single" w:sz="4" w:space="0" w:color="BFBFBF"/>
            </w:tcBorders>
            <w:shd w:val="clear" w:color="auto" w:fill="auto"/>
            <w:noWrap/>
            <w:vAlign w:val="bottom"/>
          </w:tcPr>
          <w:p w14:paraId="5BD02FF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7</w:t>
            </w:r>
          </w:p>
        </w:tc>
        <w:tc>
          <w:tcPr>
            <w:tcW w:w="808" w:type="dxa"/>
            <w:tcBorders>
              <w:top w:val="nil"/>
              <w:left w:val="nil"/>
              <w:bottom w:val="single" w:sz="4" w:space="0" w:color="BFBFBF"/>
              <w:right w:val="single" w:sz="4" w:space="0" w:color="BFBFBF"/>
            </w:tcBorders>
            <w:shd w:val="clear" w:color="auto" w:fill="auto"/>
            <w:noWrap/>
            <w:vAlign w:val="center"/>
          </w:tcPr>
          <w:p w14:paraId="5CCE2CE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w:t>
            </w:r>
          </w:p>
        </w:tc>
        <w:tc>
          <w:tcPr>
            <w:tcW w:w="586" w:type="dxa"/>
            <w:tcBorders>
              <w:top w:val="nil"/>
              <w:left w:val="nil"/>
              <w:bottom w:val="single" w:sz="4" w:space="0" w:color="BFBFBF"/>
              <w:right w:val="single" w:sz="4" w:space="0" w:color="auto"/>
            </w:tcBorders>
            <w:shd w:val="clear" w:color="auto" w:fill="auto"/>
            <w:noWrap/>
            <w:vAlign w:val="center"/>
          </w:tcPr>
          <w:p w14:paraId="6C9E00B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w:t>
            </w:r>
          </w:p>
        </w:tc>
        <w:tc>
          <w:tcPr>
            <w:tcW w:w="808" w:type="dxa"/>
            <w:tcBorders>
              <w:top w:val="nil"/>
              <w:left w:val="nil"/>
              <w:bottom w:val="single" w:sz="4" w:space="0" w:color="BFBFBF"/>
              <w:right w:val="single" w:sz="4" w:space="0" w:color="BFBFBF"/>
            </w:tcBorders>
            <w:shd w:val="clear" w:color="auto" w:fill="auto"/>
            <w:noWrap/>
            <w:vAlign w:val="center"/>
          </w:tcPr>
          <w:p w14:paraId="048D97E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960</w:t>
            </w:r>
          </w:p>
        </w:tc>
        <w:tc>
          <w:tcPr>
            <w:tcW w:w="808" w:type="dxa"/>
            <w:tcBorders>
              <w:top w:val="nil"/>
              <w:left w:val="nil"/>
              <w:bottom w:val="single" w:sz="4" w:space="0" w:color="BFBFBF"/>
              <w:right w:val="single" w:sz="4" w:space="0" w:color="BFBFBF"/>
            </w:tcBorders>
            <w:shd w:val="clear" w:color="auto" w:fill="auto"/>
            <w:noWrap/>
            <w:vAlign w:val="center"/>
          </w:tcPr>
          <w:p w14:paraId="4708B69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624</w:t>
            </w:r>
          </w:p>
        </w:tc>
        <w:tc>
          <w:tcPr>
            <w:tcW w:w="808" w:type="dxa"/>
            <w:tcBorders>
              <w:top w:val="nil"/>
              <w:left w:val="nil"/>
              <w:bottom w:val="single" w:sz="4" w:space="0" w:color="BFBFBF"/>
              <w:right w:val="single" w:sz="4" w:space="0" w:color="BFBFBF"/>
            </w:tcBorders>
            <w:shd w:val="clear" w:color="auto" w:fill="auto"/>
            <w:noWrap/>
            <w:vAlign w:val="center"/>
          </w:tcPr>
          <w:p w14:paraId="34523BA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488</w:t>
            </w:r>
          </w:p>
        </w:tc>
        <w:tc>
          <w:tcPr>
            <w:tcW w:w="808" w:type="dxa"/>
            <w:tcBorders>
              <w:top w:val="nil"/>
              <w:left w:val="nil"/>
              <w:bottom w:val="single" w:sz="4" w:space="0" w:color="BFBFBF"/>
              <w:right w:val="double" w:sz="6" w:space="0" w:color="auto"/>
            </w:tcBorders>
            <w:shd w:val="clear" w:color="auto" w:fill="auto"/>
            <w:noWrap/>
            <w:vAlign w:val="center"/>
          </w:tcPr>
          <w:p w14:paraId="51C7BD0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523</w:t>
            </w:r>
          </w:p>
        </w:tc>
      </w:tr>
      <w:tr w:rsidR="0038020F" w:rsidRPr="00A6026E" w14:paraId="5885088A"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5323B018"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Renting - Private</w:t>
            </w:r>
            <w:r w:rsidRPr="00A6026E">
              <w:rPr>
                <w:rFonts w:ascii="Arial" w:hAnsi="Arial" w:cs="Arial"/>
                <w:color w:val="000000"/>
                <w:sz w:val="16"/>
                <w:szCs w:val="16"/>
                <w:vertAlign w:val="superscript"/>
                <w:lang w:val="en-AU" w:eastAsia="en-AU"/>
              </w:rPr>
              <w:t>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B2761A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50%</w:t>
            </w:r>
          </w:p>
        </w:tc>
        <w:tc>
          <w:tcPr>
            <w:tcW w:w="808" w:type="dxa"/>
            <w:tcBorders>
              <w:top w:val="nil"/>
              <w:left w:val="nil"/>
              <w:bottom w:val="single" w:sz="4" w:space="0" w:color="BFBFBF"/>
              <w:right w:val="single" w:sz="4" w:space="0" w:color="BFBFBF"/>
            </w:tcBorders>
            <w:shd w:val="clear" w:color="auto" w:fill="auto"/>
            <w:noWrap/>
            <w:vAlign w:val="center"/>
          </w:tcPr>
          <w:p w14:paraId="50DA5B2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41%</w:t>
            </w:r>
          </w:p>
        </w:tc>
        <w:tc>
          <w:tcPr>
            <w:tcW w:w="808" w:type="dxa"/>
            <w:tcBorders>
              <w:top w:val="nil"/>
              <w:left w:val="nil"/>
              <w:bottom w:val="single" w:sz="4" w:space="0" w:color="BFBFBF"/>
              <w:right w:val="single" w:sz="4" w:space="0" w:color="BFBFBF"/>
            </w:tcBorders>
            <w:shd w:val="clear" w:color="auto" w:fill="auto"/>
            <w:noWrap/>
            <w:vAlign w:val="center"/>
          </w:tcPr>
          <w:p w14:paraId="63E88B7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26%</w:t>
            </w:r>
          </w:p>
        </w:tc>
        <w:tc>
          <w:tcPr>
            <w:tcW w:w="808" w:type="dxa"/>
            <w:tcBorders>
              <w:top w:val="nil"/>
              <w:left w:val="nil"/>
              <w:bottom w:val="single" w:sz="4" w:space="0" w:color="BFBFBF"/>
              <w:right w:val="single" w:sz="4" w:space="0" w:color="BFBFBF"/>
            </w:tcBorders>
            <w:shd w:val="clear" w:color="auto" w:fill="auto"/>
            <w:noWrap/>
            <w:vAlign w:val="center"/>
          </w:tcPr>
          <w:p w14:paraId="6B3B1DF5"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33%</w:t>
            </w:r>
          </w:p>
        </w:tc>
        <w:tc>
          <w:tcPr>
            <w:tcW w:w="808" w:type="dxa"/>
            <w:tcBorders>
              <w:top w:val="nil"/>
              <w:left w:val="nil"/>
              <w:bottom w:val="single" w:sz="4" w:space="0" w:color="BFBFBF"/>
              <w:right w:val="single" w:sz="4" w:space="0" w:color="BFBFBF"/>
            </w:tcBorders>
            <w:shd w:val="clear" w:color="auto" w:fill="auto"/>
            <w:noWrap/>
            <w:vAlign w:val="center"/>
          </w:tcPr>
          <w:p w14:paraId="55F9360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176</w:t>
            </w:r>
          </w:p>
        </w:tc>
        <w:tc>
          <w:tcPr>
            <w:tcW w:w="675" w:type="dxa"/>
            <w:tcBorders>
              <w:top w:val="nil"/>
              <w:left w:val="nil"/>
              <w:bottom w:val="single" w:sz="4" w:space="0" w:color="BFBFBF"/>
              <w:right w:val="single" w:sz="4" w:space="0" w:color="BFBFBF"/>
            </w:tcBorders>
            <w:shd w:val="clear" w:color="auto" w:fill="auto"/>
            <w:noWrap/>
            <w:vAlign w:val="center"/>
          </w:tcPr>
          <w:p w14:paraId="549A1497"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103</w:t>
            </w:r>
          </w:p>
        </w:tc>
        <w:tc>
          <w:tcPr>
            <w:tcW w:w="675" w:type="dxa"/>
            <w:tcBorders>
              <w:top w:val="nil"/>
              <w:left w:val="nil"/>
              <w:bottom w:val="single" w:sz="4" w:space="0" w:color="BFBFBF"/>
              <w:right w:val="single" w:sz="4" w:space="0" w:color="BFBFBF"/>
            </w:tcBorders>
            <w:shd w:val="clear" w:color="auto" w:fill="auto"/>
            <w:noWrap/>
            <w:vAlign w:val="center"/>
          </w:tcPr>
          <w:p w14:paraId="3614B63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88</w:t>
            </w:r>
          </w:p>
        </w:tc>
        <w:tc>
          <w:tcPr>
            <w:tcW w:w="675" w:type="dxa"/>
            <w:tcBorders>
              <w:top w:val="nil"/>
              <w:left w:val="nil"/>
              <w:bottom w:val="single" w:sz="4" w:space="0" w:color="BFBFBF"/>
              <w:right w:val="single" w:sz="4" w:space="0" w:color="auto"/>
            </w:tcBorders>
            <w:shd w:val="clear" w:color="auto" w:fill="auto"/>
            <w:noWrap/>
            <w:vAlign w:val="center"/>
          </w:tcPr>
          <w:p w14:paraId="539FB2F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81</w:t>
            </w:r>
          </w:p>
        </w:tc>
        <w:tc>
          <w:tcPr>
            <w:tcW w:w="808" w:type="dxa"/>
            <w:tcBorders>
              <w:top w:val="nil"/>
              <w:left w:val="nil"/>
              <w:bottom w:val="single" w:sz="4" w:space="0" w:color="BFBFBF"/>
              <w:right w:val="single" w:sz="4" w:space="0" w:color="BFBFBF"/>
            </w:tcBorders>
            <w:shd w:val="clear" w:color="auto" w:fill="auto"/>
            <w:noWrap/>
            <w:vAlign w:val="center"/>
          </w:tcPr>
          <w:p w14:paraId="30A0F2F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86%</w:t>
            </w:r>
          </w:p>
        </w:tc>
        <w:tc>
          <w:tcPr>
            <w:tcW w:w="808" w:type="dxa"/>
            <w:tcBorders>
              <w:top w:val="nil"/>
              <w:left w:val="nil"/>
              <w:bottom w:val="single" w:sz="4" w:space="0" w:color="BFBFBF"/>
              <w:right w:val="nil"/>
            </w:tcBorders>
            <w:shd w:val="clear" w:color="auto" w:fill="auto"/>
            <w:noWrap/>
            <w:vAlign w:val="center"/>
          </w:tcPr>
          <w:p w14:paraId="29969E2A"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95</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23E8B53"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w:t>
            </w:r>
          </w:p>
        </w:tc>
        <w:tc>
          <w:tcPr>
            <w:tcW w:w="675" w:type="dxa"/>
            <w:tcBorders>
              <w:top w:val="nil"/>
              <w:left w:val="nil"/>
              <w:bottom w:val="single" w:sz="4" w:space="0" w:color="BFBFBF"/>
              <w:right w:val="single" w:sz="4" w:space="0" w:color="BFBFBF"/>
            </w:tcBorders>
            <w:shd w:val="clear" w:color="auto" w:fill="auto"/>
            <w:noWrap/>
            <w:vAlign w:val="bottom"/>
          </w:tcPr>
          <w:p w14:paraId="0473AF5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w:t>
            </w:r>
          </w:p>
        </w:tc>
        <w:tc>
          <w:tcPr>
            <w:tcW w:w="808" w:type="dxa"/>
            <w:tcBorders>
              <w:top w:val="nil"/>
              <w:left w:val="nil"/>
              <w:bottom w:val="single" w:sz="4" w:space="0" w:color="BFBFBF"/>
              <w:right w:val="single" w:sz="4" w:space="0" w:color="BFBFBF"/>
            </w:tcBorders>
            <w:shd w:val="clear" w:color="auto" w:fill="auto"/>
            <w:noWrap/>
            <w:vAlign w:val="center"/>
          </w:tcPr>
          <w:p w14:paraId="651B762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69916BB2"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w:t>
            </w:r>
          </w:p>
        </w:tc>
        <w:tc>
          <w:tcPr>
            <w:tcW w:w="808" w:type="dxa"/>
            <w:tcBorders>
              <w:top w:val="nil"/>
              <w:left w:val="nil"/>
              <w:bottom w:val="single" w:sz="4" w:space="0" w:color="BFBFBF"/>
              <w:right w:val="single" w:sz="4" w:space="0" w:color="BFBFBF"/>
            </w:tcBorders>
            <w:shd w:val="clear" w:color="auto" w:fill="auto"/>
            <w:noWrap/>
            <w:vAlign w:val="center"/>
          </w:tcPr>
          <w:p w14:paraId="0ADD733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351</w:t>
            </w:r>
          </w:p>
        </w:tc>
        <w:tc>
          <w:tcPr>
            <w:tcW w:w="808" w:type="dxa"/>
            <w:tcBorders>
              <w:top w:val="nil"/>
              <w:left w:val="nil"/>
              <w:bottom w:val="single" w:sz="4" w:space="0" w:color="BFBFBF"/>
              <w:right w:val="single" w:sz="4" w:space="0" w:color="BFBFBF"/>
            </w:tcBorders>
            <w:shd w:val="clear" w:color="auto" w:fill="auto"/>
            <w:noWrap/>
            <w:vAlign w:val="center"/>
          </w:tcPr>
          <w:p w14:paraId="6C99DFD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274</w:t>
            </w:r>
          </w:p>
        </w:tc>
        <w:tc>
          <w:tcPr>
            <w:tcW w:w="808" w:type="dxa"/>
            <w:tcBorders>
              <w:top w:val="nil"/>
              <w:left w:val="nil"/>
              <w:bottom w:val="single" w:sz="4" w:space="0" w:color="BFBFBF"/>
              <w:right w:val="single" w:sz="4" w:space="0" w:color="BFBFBF"/>
            </w:tcBorders>
            <w:shd w:val="clear" w:color="auto" w:fill="auto"/>
            <w:noWrap/>
            <w:vAlign w:val="center"/>
          </w:tcPr>
          <w:p w14:paraId="662E2E2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347</w:t>
            </w:r>
          </w:p>
        </w:tc>
        <w:tc>
          <w:tcPr>
            <w:tcW w:w="808" w:type="dxa"/>
            <w:tcBorders>
              <w:top w:val="nil"/>
              <w:left w:val="nil"/>
              <w:bottom w:val="single" w:sz="4" w:space="0" w:color="BFBFBF"/>
              <w:right w:val="double" w:sz="6" w:space="0" w:color="auto"/>
            </w:tcBorders>
            <w:shd w:val="clear" w:color="auto" w:fill="auto"/>
            <w:noWrap/>
            <w:vAlign w:val="center"/>
          </w:tcPr>
          <w:p w14:paraId="14AD543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274</w:t>
            </w:r>
          </w:p>
        </w:tc>
      </w:tr>
      <w:tr w:rsidR="0038020F" w:rsidRPr="00A6026E" w14:paraId="78B447E4" w14:textId="77777777" w:rsidTr="009360BE">
        <w:trPr>
          <w:trHeight w:val="225"/>
        </w:trPr>
        <w:tc>
          <w:tcPr>
            <w:tcW w:w="1724" w:type="dxa"/>
            <w:tcBorders>
              <w:top w:val="nil"/>
              <w:left w:val="double" w:sz="6" w:space="0" w:color="auto"/>
              <w:bottom w:val="single" w:sz="4" w:space="0" w:color="BFBFBF"/>
              <w:right w:val="nil"/>
            </w:tcBorders>
            <w:shd w:val="clear" w:color="auto" w:fill="auto"/>
            <w:noWrap/>
            <w:vAlign w:val="center"/>
          </w:tcPr>
          <w:p w14:paraId="02A57D50" w14:textId="77777777" w:rsidR="0038020F" w:rsidRPr="00A6026E" w:rsidRDefault="0038020F" w:rsidP="008C257B">
            <w:pPr>
              <w:spacing w:before="0" w:after="0"/>
              <w:ind w:firstLineChars="100" w:firstLine="160"/>
              <w:rPr>
                <w:rFonts w:ascii="Arial" w:hAnsi="Arial" w:cs="Arial"/>
                <w:color w:val="000000"/>
                <w:sz w:val="16"/>
                <w:szCs w:val="16"/>
                <w:lang w:val="en-AU" w:eastAsia="en-AU"/>
              </w:rPr>
            </w:pPr>
            <w:r w:rsidRPr="00A6026E">
              <w:rPr>
                <w:rFonts w:ascii="Arial" w:hAnsi="Arial" w:cs="Arial"/>
                <w:color w:val="000000"/>
                <w:sz w:val="16"/>
                <w:szCs w:val="16"/>
                <w:lang w:val="en-AU" w:eastAsia="en-AU"/>
              </w:rPr>
              <w:t>Renting - Public</w:t>
            </w:r>
            <w:r w:rsidRPr="00A6026E">
              <w:rPr>
                <w:rFonts w:ascii="Arial" w:hAnsi="Arial" w:cs="Arial"/>
                <w:color w:val="000000"/>
                <w:sz w:val="16"/>
                <w:szCs w:val="16"/>
                <w:vertAlign w:val="superscript"/>
                <w:lang w:val="en-AU" w:eastAsia="en-AU"/>
              </w:rPr>
              <w:t>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1C51E1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808" w:type="dxa"/>
            <w:tcBorders>
              <w:top w:val="nil"/>
              <w:left w:val="nil"/>
              <w:bottom w:val="single" w:sz="4" w:space="0" w:color="BFBFBF"/>
              <w:right w:val="single" w:sz="4" w:space="0" w:color="BFBFBF"/>
            </w:tcBorders>
            <w:shd w:val="clear" w:color="auto" w:fill="auto"/>
            <w:noWrap/>
            <w:vAlign w:val="center"/>
          </w:tcPr>
          <w:p w14:paraId="2220ECE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57%</w:t>
            </w:r>
          </w:p>
        </w:tc>
        <w:tc>
          <w:tcPr>
            <w:tcW w:w="808" w:type="dxa"/>
            <w:tcBorders>
              <w:top w:val="nil"/>
              <w:left w:val="nil"/>
              <w:bottom w:val="single" w:sz="4" w:space="0" w:color="BFBFBF"/>
              <w:right w:val="single" w:sz="4" w:space="0" w:color="BFBFBF"/>
            </w:tcBorders>
            <w:shd w:val="clear" w:color="auto" w:fill="auto"/>
            <w:noWrap/>
            <w:vAlign w:val="center"/>
          </w:tcPr>
          <w:p w14:paraId="642DCE8F"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61%</w:t>
            </w:r>
          </w:p>
        </w:tc>
        <w:tc>
          <w:tcPr>
            <w:tcW w:w="808" w:type="dxa"/>
            <w:tcBorders>
              <w:top w:val="nil"/>
              <w:left w:val="nil"/>
              <w:bottom w:val="single" w:sz="4" w:space="0" w:color="BFBFBF"/>
              <w:right w:val="single" w:sz="4" w:space="0" w:color="BFBFBF"/>
            </w:tcBorders>
            <w:shd w:val="clear" w:color="auto" w:fill="auto"/>
            <w:noWrap/>
            <w:vAlign w:val="center"/>
          </w:tcPr>
          <w:p w14:paraId="4C5A1FF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54%</w:t>
            </w:r>
          </w:p>
        </w:tc>
        <w:tc>
          <w:tcPr>
            <w:tcW w:w="808" w:type="dxa"/>
            <w:tcBorders>
              <w:top w:val="nil"/>
              <w:left w:val="nil"/>
              <w:bottom w:val="single" w:sz="4" w:space="0" w:color="BFBFBF"/>
              <w:right w:val="single" w:sz="4" w:space="0" w:color="BFBFBF"/>
            </w:tcBorders>
            <w:shd w:val="clear" w:color="auto" w:fill="auto"/>
            <w:noWrap/>
            <w:vAlign w:val="center"/>
          </w:tcPr>
          <w:p w14:paraId="3888FC4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166</w:t>
            </w:r>
          </w:p>
        </w:tc>
        <w:tc>
          <w:tcPr>
            <w:tcW w:w="675" w:type="dxa"/>
            <w:tcBorders>
              <w:top w:val="nil"/>
              <w:left w:val="nil"/>
              <w:bottom w:val="single" w:sz="4" w:space="0" w:color="BFBFBF"/>
              <w:right w:val="single" w:sz="4" w:space="0" w:color="BFBFBF"/>
            </w:tcBorders>
            <w:shd w:val="clear" w:color="auto" w:fill="auto"/>
            <w:noWrap/>
            <w:vAlign w:val="center"/>
          </w:tcPr>
          <w:p w14:paraId="7A44114D"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107</w:t>
            </w:r>
          </w:p>
        </w:tc>
        <w:tc>
          <w:tcPr>
            <w:tcW w:w="675" w:type="dxa"/>
            <w:tcBorders>
              <w:top w:val="nil"/>
              <w:left w:val="nil"/>
              <w:bottom w:val="single" w:sz="4" w:space="0" w:color="BFBFBF"/>
              <w:right w:val="single" w:sz="4" w:space="0" w:color="BFBFBF"/>
            </w:tcBorders>
            <w:shd w:val="clear" w:color="auto" w:fill="auto"/>
            <w:noWrap/>
            <w:vAlign w:val="center"/>
          </w:tcPr>
          <w:p w14:paraId="2058B66E"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65</w:t>
            </w:r>
          </w:p>
        </w:tc>
        <w:tc>
          <w:tcPr>
            <w:tcW w:w="675" w:type="dxa"/>
            <w:tcBorders>
              <w:top w:val="nil"/>
              <w:left w:val="nil"/>
              <w:bottom w:val="single" w:sz="4" w:space="0" w:color="BFBFBF"/>
              <w:right w:val="single" w:sz="4" w:space="0" w:color="auto"/>
            </w:tcBorders>
            <w:shd w:val="clear" w:color="auto" w:fill="auto"/>
            <w:noWrap/>
            <w:vAlign w:val="center"/>
          </w:tcPr>
          <w:p w14:paraId="065B4C6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83</w:t>
            </w:r>
          </w:p>
        </w:tc>
        <w:tc>
          <w:tcPr>
            <w:tcW w:w="808" w:type="dxa"/>
            <w:tcBorders>
              <w:top w:val="nil"/>
              <w:left w:val="nil"/>
              <w:bottom w:val="single" w:sz="4" w:space="0" w:color="BFBFBF"/>
              <w:right w:val="single" w:sz="4" w:space="0" w:color="BFBFBF"/>
            </w:tcBorders>
            <w:shd w:val="clear" w:color="auto" w:fill="auto"/>
            <w:noWrap/>
            <w:vAlign w:val="center"/>
          </w:tcPr>
          <w:p w14:paraId="778E552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80%</w:t>
            </w:r>
          </w:p>
        </w:tc>
        <w:tc>
          <w:tcPr>
            <w:tcW w:w="808" w:type="dxa"/>
            <w:tcBorders>
              <w:top w:val="nil"/>
              <w:left w:val="nil"/>
              <w:bottom w:val="single" w:sz="4" w:space="0" w:color="BFBFBF"/>
              <w:right w:val="nil"/>
            </w:tcBorders>
            <w:shd w:val="clear" w:color="auto" w:fill="auto"/>
            <w:noWrap/>
            <w:vAlign w:val="center"/>
          </w:tcPr>
          <w:p w14:paraId="2A663F5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89</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F98DC06"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w:t>
            </w:r>
          </w:p>
        </w:tc>
        <w:tc>
          <w:tcPr>
            <w:tcW w:w="675" w:type="dxa"/>
            <w:tcBorders>
              <w:top w:val="nil"/>
              <w:left w:val="nil"/>
              <w:bottom w:val="single" w:sz="4" w:space="0" w:color="BFBFBF"/>
              <w:right w:val="single" w:sz="4" w:space="0" w:color="BFBFBF"/>
            </w:tcBorders>
            <w:shd w:val="clear" w:color="auto" w:fill="auto"/>
            <w:noWrap/>
            <w:vAlign w:val="bottom"/>
          </w:tcPr>
          <w:p w14:paraId="163DAFD8"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18</w:t>
            </w:r>
          </w:p>
        </w:tc>
        <w:tc>
          <w:tcPr>
            <w:tcW w:w="808" w:type="dxa"/>
            <w:tcBorders>
              <w:top w:val="nil"/>
              <w:left w:val="nil"/>
              <w:bottom w:val="single" w:sz="4" w:space="0" w:color="BFBFBF"/>
              <w:right w:val="single" w:sz="4" w:space="0" w:color="BFBFBF"/>
            </w:tcBorders>
            <w:shd w:val="clear" w:color="auto" w:fill="auto"/>
            <w:noWrap/>
            <w:vAlign w:val="center"/>
          </w:tcPr>
          <w:p w14:paraId="578FA6E4"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w:t>
            </w:r>
          </w:p>
        </w:tc>
        <w:tc>
          <w:tcPr>
            <w:tcW w:w="586" w:type="dxa"/>
            <w:tcBorders>
              <w:top w:val="nil"/>
              <w:left w:val="nil"/>
              <w:bottom w:val="single" w:sz="4" w:space="0" w:color="BFBFBF"/>
              <w:right w:val="single" w:sz="4" w:space="0" w:color="auto"/>
            </w:tcBorders>
            <w:shd w:val="clear" w:color="auto" w:fill="auto"/>
            <w:noWrap/>
            <w:vAlign w:val="center"/>
          </w:tcPr>
          <w:p w14:paraId="3D02663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15</w:t>
            </w:r>
          </w:p>
        </w:tc>
        <w:tc>
          <w:tcPr>
            <w:tcW w:w="808" w:type="dxa"/>
            <w:tcBorders>
              <w:top w:val="nil"/>
              <w:left w:val="nil"/>
              <w:bottom w:val="single" w:sz="4" w:space="0" w:color="BFBFBF"/>
              <w:right w:val="single" w:sz="4" w:space="0" w:color="BFBFBF"/>
            </w:tcBorders>
            <w:shd w:val="clear" w:color="auto" w:fill="auto"/>
            <w:noWrap/>
            <w:vAlign w:val="center"/>
          </w:tcPr>
          <w:p w14:paraId="20187A0B"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173</w:t>
            </w:r>
          </w:p>
        </w:tc>
        <w:tc>
          <w:tcPr>
            <w:tcW w:w="808" w:type="dxa"/>
            <w:tcBorders>
              <w:top w:val="nil"/>
              <w:left w:val="nil"/>
              <w:bottom w:val="single" w:sz="4" w:space="0" w:color="BFBFBF"/>
              <w:right w:val="single" w:sz="4" w:space="0" w:color="BFBFBF"/>
            </w:tcBorders>
            <w:shd w:val="clear" w:color="auto" w:fill="auto"/>
            <w:noWrap/>
            <w:vAlign w:val="center"/>
          </w:tcPr>
          <w:p w14:paraId="660EA999"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258</w:t>
            </w:r>
          </w:p>
        </w:tc>
        <w:tc>
          <w:tcPr>
            <w:tcW w:w="808" w:type="dxa"/>
            <w:tcBorders>
              <w:top w:val="nil"/>
              <w:left w:val="nil"/>
              <w:bottom w:val="single" w:sz="4" w:space="0" w:color="BFBFBF"/>
              <w:right w:val="single" w:sz="4" w:space="0" w:color="BFBFBF"/>
            </w:tcBorders>
            <w:shd w:val="clear" w:color="auto" w:fill="auto"/>
            <w:noWrap/>
            <w:vAlign w:val="center"/>
          </w:tcPr>
          <w:p w14:paraId="5B8D35D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223</w:t>
            </w:r>
          </w:p>
        </w:tc>
        <w:tc>
          <w:tcPr>
            <w:tcW w:w="808" w:type="dxa"/>
            <w:tcBorders>
              <w:top w:val="nil"/>
              <w:left w:val="nil"/>
              <w:bottom w:val="single" w:sz="4" w:space="0" w:color="BFBFBF"/>
              <w:right w:val="double" w:sz="6" w:space="0" w:color="auto"/>
            </w:tcBorders>
            <w:shd w:val="clear" w:color="auto" w:fill="auto"/>
            <w:noWrap/>
            <w:vAlign w:val="center"/>
          </w:tcPr>
          <w:p w14:paraId="53582C9C" w14:textId="77777777" w:rsidR="0038020F" w:rsidRPr="00A6026E" w:rsidRDefault="0038020F" w:rsidP="008C257B">
            <w:pPr>
              <w:spacing w:before="0" w:after="0"/>
              <w:jc w:val="center"/>
              <w:rPr>
                <w:rFonts w:ascii="Arial" w:hAnsi="Arial" w:cs="Arial"/>
                <w:color w:val="000000"/>
                <w:sz w:val="16"/>
                <w:szCs w:val="16"/>
                <w:lang w:val="en-AU" w:eastAsia="en-AU"/>
              </w:rPr>
            </w:pPr>
            <w:r w:rsidRPr="00A6026E">
              <w:rPr>
                <w:rFonts w:ascii="Arial" w:hAnsi="Arial" w:cs="Arial"/>
                <w:color w:val="000000"/>
                <w:sz w:val="16"/>
                <w:szCs w:val="16"/>
                <w:lang w:val="en-AU" w:eastAsia="en-AU"/>
              </w:rPr>
              <w:t>234</w:t>
            </w:r>
          </w:p>
        </w:tc>
      </w:tr>
      <w:tr w:rsidR="0038020F" w:rsidRPr="00A6026E" w14:paraId="2F23E497" w14:textId="77777777" w:rsidTr="009360BE">
        <w:trPr>
          <w:trHeight w:val="240"/>
        </w:trPr>
        <w:tc>
          <w:tcPr>
            <w:tcW w:w="1724" w:type="dxa"/>
            <w:tcBorders>
              <w:top w:val="nil"/>
              <w:left w:val="double" w:sz="6" w:space="0" w:color="auto"/>
              <w:bottom w:val="double" w:sz="6" w:space="0" w:color="auto"/>
              <w:right w:val="nil"/>
            </w:tcBorders>
            <w:shd w:val="clear" w:color="auto" w:fill="auto"/>
            <w:noWrap/>
            <w:vAlign w:val="center"/>
          </w:tcPr>
          <w:p w14:paraId="3736F342" w14:textId="77777777" w:rsidR="0038020F" w:rsidRPr="00A6026E" w:rsidRDefault="0038020F" w:rsidP="008C257B">
            <w:pPr>
              <w:spacing w:before="0" w:after="0"/>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Total Households</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521F0783" w14:textId="77777777" w:rsidR="0038020F" w:rsidRPr="00A6026E" w:rsidRDefault="0038020F" w:rsidP="008C257B">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44%</w:t>
            </w:r>
          </w:p>
        </w:tc>
        <w:tc>
          <w:tcPr>
            <w:tcW w:w="808" w:type="dxa"/>
            <w:tcBorders>
              <w:top w:val="nil"/>
              <w:left w:val="nil"/>
              <w:bottom w:val="double" w:sz="6" w:space="0" w:color="auto"/>
              <w:right w:val="single" w:sz="4" w:space="0" w:color="BFBFBF"/>
            </w:tcBorders>
            <w:shd w:val="clear" w:color="auto" w:fill="auto"/>
            <w:noWrap/>
            <w:vAlign w:val="center"/>
          </w:tcPr>
          <w:p w14:paraId="0B7012F2" w14:textId="77777777" w:rsidR="0038020F" w:rsidRPr="00A6026E" w:rsidRDefault="0038020F"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43%</w:t>
            </w:r>
          </w:p>
        </w:tc>
        <w:tc>
          <w:tcPr>
            <w:tcW w:w="808" w:type="dxa"/>
            <w:tcBorders>
              <w:top w:val="nil"/>
              <w:left w:val="nil"/>
              <w:bottom w:val="double" w:sz="6" w:space="0" w:color="auto"/>
              <w:right w:val="single" w:sz="4" w:space="0" w:color="BFBFBF"/>
            </w:tcBorders>
            <w:shd w:val="clear" w:color="auto" w:fill="auto"/>
            <w:noWrap/>
            <w:vAlign w:val="center"/>
          </w:tcPr>
          <w:p w14:paraId="65938609" w14:textId="77777777" w:rsidR="0038020F" w:rsidRPr="00A6026E" w:rsidRDefault="0038020F"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35%</w:t>
            </w:r>
          </w:p>
        </w:tc>
        <w:tc>
          <w:tcPr>
            <w:tcW w:w="808" w:type="dxa"/>
            <w:tcBorders>
              <w:top w:val="nil"/>
              <w:left w:val="nil"/>
              <w:bottom w:val="double" w:sz="6" w:space="0" w:color="auto"/>
              <w:right w:val="single" w:sz="4" w:space="0" w:color="BFBFBF"/>
            </w:tcBorders>
            <w:shd w:val="clear" w:color="auto" w:fill="auto"/>
            <w:noWrap/>
            <w:vAlign w:val="center"/>
          </w:tcPr>
          <w:p w14:paraId="6789E2FB" w14:textId="77777777" w:rsidR="0038020F" w:rsidRPr="00A6026E" w:rsidRDefault="0038020F"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37%</w:t>
            </w:r>
          </w:p>
        </w:tc>
        <w:tc>
          <w:tcPr>
            <w:tcW w:w="808" w:type="dxa"/>
            <w:tcBorders>
              <w:top w:val="nil"/>
              <w:left w:val="nil"/>
              <w:bottom w:val="double" w:sz="6" w:space="0" w:color="auto"/>
              <w:right w:val="single" w:sz="4" w:space="0" w:color="BFBFBF"/>
            </w:tcBorders>
            <w:shd w:val="clear" w:color="auto" w:fill="auto"/>
            <w:noWrap/>
            <w:vAlign w:val="center"/>
          </w:tcPr>
          <w:p w14:paraId="2FD59D9D" w14:textId="77777777" w:rsidR="0038020F" w:rsidRPr="00A6026E" w:rsidRDefault="0038020F" w:rsidP="008C257B">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253</w:t>
            </w:r>
          </w:p>
        </w:tc>
        <w:tc>
          <w:tcPr>
            <w:tcW w:w="675" w:type="dxa"/>
            <w:tcBorders>
              <w:top w:val="nil"/>
              <w:left w:val="nil"/>
              <w:bottom w:val="double" w:sz="6" w:space="0" w:color="auto"/>
              <w:right w:val="single" w:sz="4" w:space="0" w:color="BFBFBF"/>
            </w:tcBorders>
            <w:shd w:val="clear" w:color="auto" w:fill="auto"/>
            <w:noWrap/>
            <w:vAlign w:val="center"/>
          </w:tcPr>
          <w:p w14:paraId="310C4F20" w14:textId="77777777" w:rsidR="0038020F" w:rsidRPr="00A6026E" w:rsidRDefault="0038020F"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132</w:t>
            </w:r>
          </w:p>
        </w:tc>
        <w:tc>
          <w:tcPr>
            <w:tcW w:w="675" w:type="dxa"/>
            <w:tcBorders>
              <w:top w:val="nil"/>
              <w:left w:val="nil"/>
              <w:bottom w:val="double" w:sz="6" w:space="0" w:color="auto"/>
              <w:right w:val="single" w:sz="4" w:space="0" w:color="BFBFBF"/>
            </w:tcBorders>
            <w:shd w:val="clear" w:color="auto" w:fill="auto"/>
            <w:noWrap/>
            <w:vAlign w:val="center"/>
          </w:tcPr>
          <w:p w14:paraId="40445637" w14:textId="77777777" w:rsidR="0038020F" w:rsidRPr="00A6026E" w:rsidRDefault="0038020F"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108</w:t>
            </w:r>
          </w:p>
        </w:tc>
        <w:tc>
          <w:tcPr>
            <w:tcW w:w="675" w:type="dxa"/>
            <w:tcBorders>
              <w:top w:val="nil"/>
              <w:left w:val="nil"/>
              <w:bottom w:val="double" w:sz="6" w:space="0" w:color="auto"/>
              <w:right w:val="single" w:sz="4" w:space="0" w:color="auto"/>
            </w:tcBorders>
            <w:shd w:val="clear" w:color="auto" w:fill="auto"/>
            <w:noWrap/>
            <w:vAlign w:val="center"/>
          </w:tcPr>
          <w:p w14:paraId="18AC62C9" w14:textId="77777777" w:rsidR="0038020F" w:rsidRPr="00A6026E" w:rsidRDefault="0038020F"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155</w:t>
            </w:r>
          </w:p>
        </w:tc>
        <w:tc>
          <w:tcPr>
            <w:tcW w:w="808" w:type="dxa"/>
            <w:tcBorders>
              <w:top w:val="nil"/>
              <w:left w:val="nil"/>
              <w:bottom w:val="double" w:sz="6" w:space="0" w:color="auto"/>
              <w:right w:val="single" w:sz="4" w:space="0" w:color="BFBFBF"/>
            </w:tcBorders>
            <w:shd w:val="clear" w:color="auto" w:fill="auto"/>
            <w:noWrap/>
            <w:vAlign w:val="center"/>
          </w:tcPr>
          <w:p w14:paraId="28567497" w14:textId="77777777" w:rsidR="0038020F" w:rsidRPr="00A6026E" w:rsidRDefault="0038020F" w:rsidP="008C257B">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86%</w:t>
            </w:r>
          </w:p>
        </w:tc>
        <w:tc>
          <w:tcPr>
            <w:tcW w:w="808" w:type="dxa"/>
            <w:tcBorders>
              <w:top w:val="nil"/>
              <w:left w:val="nil"/>
              <w:bottom w:val="double" w:sz="6" w:space="0" w:color="auto"/>
              <w:right w:val="nil"/>
            </w:tcBorders>
            <w:shd w:val="clear" w:color="auto" w:fill="auto"/>
            <w:noWrap/>
            <w:vAlign w:val="center"/>
          </w:tcPr>
          <w:p w14:paraId="17C387D8" w14:textId="77777777" w:rsidR="0038020F" w:rsidRPr="00A6026E" w:rsidRDefault="0038020F" w:rsidP="008C257B">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94</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433F2BC8" w14:textId="77777777" w:rsidR="0038020F" w:rsidRPr="00A6026E" w:rsidRDefault="0038020F" w:rsidP="008C257B">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20%</w:t>
            </w:r>
          </w:p>
        </w:tc>
        <w:tc>
          <w:tcPr>
            <w:tcW w:w="675" w:type="dxa"/>
            <w:tcBorders>
              <w:top w:val="nil"/>
              <w:left w:val="nil"/>
              <w:bottom w:val="double" w:sz="6" w:space="0" w:color="auto"/>
              <w:right w:val="single" w:sz="4" w:space="0" w:color="BFBFBF"/>
            </w:tcBorders>
            <w:shd w:val="clear" w:color="auto" w:fill="auto"/>
            <w:noWrap/>
            <w:vAlign w:val="center"/>
          </w:tcPr>
          <w:p w14:paraId="697F67FA" w14:textId="77777777" w:rsidR="0038020F" w:rsidRPr="00A6026E" w:rsidRDefault="0038020F" w:rsidP="008C257B">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8</w:t>
            </w:r>
          </w:p>
        </w:tc>
        <w:tc>
          <w:tcPr>
            <w:tcW w:w="808" w:type="dxa"/>
            <w:tcBorders>
              <w:top w:val="nil"/>
              <w:left w:val="nil"/>
              <w:bottom w:val="double" w:sz="6" w:space="0" w:color="auto"/>
              <w:right w:val="single" w:sz="4" w:space="0" w:color="BFBFBF"/>
            </w:tcBorders>
            <w:shd w:val="clear" w:color="auto" w:fill="auto"/>
            <w:noWrap/>
            <w:vAlign w:val="center"/>
          </w:tcPr>
          <w:p w14:paraId="57C4D73B" w14:textId="77777777" w:rsidR="0038020F" w:rsidRPr="00A6026E" w:rsidRDefault="0038020F"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1%</w:t>
            </w:r>
          </w:p>
        </w:tc>
        <w:tc>
          <w:tcPr>
            <w:tcW w:w="586" w:type="dxa"/>
            <w:tcBorders>
              <w:top w:val="nil"/>
              <w:left w:val="nil"/>
              <w:bottom w:val="double" w:sz="6" w:space="0" w:color="auto"/>
              <w:right w:val="single" w:sz="4" w:space="0" w:color="auto"/>
            </w:tcBorders>
            <w:shd w:val="clear" w:color="auto" w:fill="auto"/>
            <w:noWrap/>
            <w:vAlign w:val="center"/>
          </w:tcPr>
          <w:p w14:paraId="3581E47A" w14:textId="77777777" w:rsidR="0038020F" w:rsidRPr="00A6026E" w:rsidRDefault="0038020F"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40</w:t>
            </w:r>
          </w:p>
        </w:tc>
        <w:tc>
          <w:tcPr>
            <w:tcW w:w="808" w:type="dxa"/>
            <w:tcBorders>
              <w:top w:val="nil"/>
              <w:left w:val="nil"/>
              <w:bottom w:val="double" w:sz="6" w:space="0" w:color="auto"/>
              <w:right w:val="single" w:sz="4" w:space="0" w:color="BFBFBF"/>
            </w:tcBorders>
            <w:shd w:val="clear" w:color="auto" w:fill="auto"/>
            <w:noWrap/>
            <w:vAlign w:val="center"/>
          </w:tcPr>
          <w:p w14:paraId="5326E154" w14:textId="77777777" w:rsidR="0038020F" w:rsidRPr="00A6026E" w:rsidRDefault="0038020F" w:rsidP="008C257B">
            <w:pPr>
              <w:spacing w:before="0" w:after="0"/>
              <w:jc w:val="center"/>
              <w:rPr>
                <w:rFonts w:ascii="Arial" w:hAnsi="Arial" w:cs="Arial"/>
                <w:b/>
                <w:color w:val="000000"/>
                <w:sz w:val="16"/>
                <w:szCs w:val="16"/>
                <w:lang w:val="en-AU" w:eastAsia="en-AU"/>
              </w:rPr>
            </w:pPr>
            <w:r w:rsidRPr="00A6026E">
              <w:rPr>
                <w:rFonts w:ascii="Arial" w:hAnsi="Arial" w:cs="Arial"/>
                <w:b/>
                <w:color w:val="000000"/>
                <w:sz w:val="16"/>
                <w:szCs w:val="16"/>
                <w:lang w:val="en-AU" w:eastAsia="en-AU"/>
              </w:rPr>
              <w:t>801</w:t>
            </w:r>
          </w:p>
        </w:tc>
        <w:tc>
          <w:tcPr>
            <w:tcW w:w="808" w:type="dxa"/>
            <w:tcBorders>
              <w:top w:val="nil"/>
              <w:left w:val="nil"/>
              <w:bottom w:val="double" w:sz="6" w:space="0" w:color="auto"/>
              <w:right w:val="single" w:sz="4" w:space="0" w:color="BFBFBF"/>
            </w:tcBorders>
            <w:shd w:val="clear" w:color="auto" w:fill="auto"/>
            <w:noWrap/>
            <w:vAlign w:val="center"/>
          </w:tcPr>
          <w:p w14:paraId="159F3886" w14:textId="77777777" w:rsidR="0038020F" w:rsidRPr="00A6026E" w:rsidRDefault="0038020F"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516</w:t>
            </w:r>
          </w:p>
        </w:tc>
        <w:tc>
          <w:tcPr>
            <w:tcW w:w="808" w:type="dxa"/>
            <w:tcBorders>
              <w:top w:val="nil"/>
              <w:left w:val="nil"/>
              <w:bottom w:val="double" w:sz="6" w:space="0" w:color="auto"/>
              <w:right w:val="single" w:sz="4" w:space="0" w:color="BFBFBF"/>
            </w:tcBorders>
            <w:shd w:val="clear" w:color="auto" w:fill="auto"/>
            <w:noWrap/>
            <w:vAlign w:val="center"/>
          </w:tcPr>
          <w:p w14:paraId="18481A77" w14:textId="77777777" w:rsidR="0038020F" w:rsidRPr="00A6026E" w:rsidRDefault="0038020F"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442</w:t>
            </w:r>
          </w:p>
        </w:tc>
        <w:tc>
          <w:tcPr>
            <w:tcW w:w="808" w:type="dxa"/>
            <w:tcBorders>
              <w:top w:val="nil"/>
              <w:left w:val="nil"/>
              <w:bottom w:val="double" w:sz="6" w:space="0" w:color="auto"/>
              <w:right w:val="double" w:sz="6" w:space="0" w:color="auto"/>
            </w:tcBorders>
            <w:shd w:val="clear" w:color="auto" w:fill="auto"/>
            <w:noWrap/>
            <w:vAlign w:val="center"/>
          </w:tcPr>
          <w:p w14:paraId="212BFA09" w14:textId="77777777" w:rsidR="0038020F" w:rsidRPr="00A6026E" w:rsidRDefault="0038020F" w:rsidP="008C257B">
            <w:pPr>
              <w:spacing w:before="0" w:after="0"/>
              <w:jc w:val="center"/>
              <w:rPr>
                <w:rFonts w:ascii="Arial" w:hAnsi="Arial" w:cs="Arial"/>
                <w:b/>
                <w:bCs/>
                <w:color w:val="000000"/>
                <w:sz w:val="16"/>
                <w:szCs w:val="16"/>
                <w:lang w:val="en-AU" w:eastAsia="en-AU"/>
              </w:rPr>
            </w:pPr>
            <w:r w:rsidRPr="00A6026E">
              <w:rPr>
                <w:rFonts w:ascii="Arial" w:hAnsi="Arial" w:cs="Arial"/>
                <w:b/>
                <w:bCs/>
                <w:color w:val="000000"/>
                <w:sz w:val="16"/>
                <w:szCs w:val="16"/>
                <w:lang w:val="en-AU" w:eastAsia="en-AU"/>
              </w:rPr>
              <w:t>444</w:t>
            </w:r>
          </w:p>
        </w:tc>
      </w:tr>
    </w:tbl>
    <w:p w14:paraId="0F054CF9" w14:textId="77777777" w:rsidR="003C28EB" w:rsidRPr="00A6026E" w:rsidRDefault="003C28EB" w:rsidP="00D109F7">
      <w:pPr>
        <w:pStyle w:val="Para"/>
        <w:spacing w:after="60" w:line="240" w:lineRule="atLeast"/>
        <w:rPr>
          <w:b/>
          <w:u w:val="single"/>
          <w:lang w:val="en-AU"/>
        </w:rPr>
      </w:pPr>
    </w:p>
    <w:p w14:paraId="5966B74F" w14:textId="6C259EE6" w:rsidR="00E02C75" w:rsidRPr="00A6026E" w:rsidRDefault="006C0C05" w:rsidP="00814E35">
      <w:pPr>
        <w:spacing w:after="0" w:line="160" w:lineRule="atLeast"/>
        <w:ind w:left="567"/>
        <w:jc w:val="both"/>
        <w:rPr>
          <w:sz w:val="20"/>
          <w:lang w:val="en-AU"/>
        </w:rPr>
      </w:pPr>
      <w:r w:rsidRPr="00A6026E">
        <w:rPr>
          <w:sz w:val="20"/>
          <w:lang w:val="en-AU"/>
        </w:rPr>
        <w:t>1.  Whi</w:t>
      </w:r>
      <w:r w:rsidR="008C257B">
        <w:rPr>
          <w:sz w:val="20"/>
          <w:lang w:val="en-AU"/>
        </w:rPr>
        <w:t>l</w:t>
      </w:r>
      <w:r w:rsidRPr="00A6026E">
        <w:rPr>
          <w:sz w:val="20"/>
          <w:lang w:val="en-AU"/>
        </w:rPr>
        <w:t xml:space="preserve">st the person who pays the bills for the household may not hold a concession card, another person in the household may do so.  </w:t>
      </w:r>
    </w:p>
    <w:p w14:paraId="54933D25" w14:textId="77777777" w:rsidR="00D109F7" w:rsidRPr="00A6026E" w:rsidRDefault="00817AD3" w:rsidP="00D109F7">
      <w:pPr>
        <w:pStyle w:val="Heading1"/>
        <w:rPr>
          <w:lang w:val="en-AU"/>
        </w:rPr>
      </w:pPr>
      <w:r w:rsidRPr="00A6026E">
        <w:rPr>
          <w:lang w:val="en-AU"/>
        </w:rPr>
        <w:br w:type="page"/>
      </w:r>
      <w:bookmarkStart w:id="199" w:name="_Toc439198327"/>
      <w:bookmarkStart w:id="200" w:name="_Toc445571704"/>
      <w:r w:rsidR="00D109F7" w:rsidRPr="00A6026E">
        <w:rPr>
          <w:lang w:val="en-AU"/>
        </w:rPr>
        <w:lastRenderedPageBreak/>
        <w:t>COUNCIL RATES AND EXPENDITURE</w:t>
      </w:r>
      <w:bookmarkEnd w:id="199"/>
      <w:bookmarkEnd w:id="200"/>
    </w:p>
    <w:p w14:paraId="2F9DA06A" w14:textId="77777777" w:rsidR="009E7785" w:rsidRPr="00A6026E" w:rsidRDefault="009E7785" w:rsidP="009748AD">
      <w:pPr>
        <w:pStyle w:val="Para"/>
        <w:spacing w:before="240"/>
        <w:rPr>
          <w:lang w:val="en-AU"/>
        </w:rPr>
      </w:pPr>
      <w:r w:rsidRPr="00A6026E">
        <w:rPr>
          <w:lang w:val="en-AU"/>
        </w:rPr>
        <w:t xml:space="preserve">NB. This section is based on billing data supplied by </w:t>
      </w:r>
      <w:r w:rsidR="009B4A3D" w:rsidRPr="00A6026E">
        <w:rPr>
          <w:lang w:val="en-AU"/>
        </w:rPr>
        <w:t>councils</w:t>
      </w:r>
      <w:r w:rsidRPr="00A6026E">
        <w:rPr>
          <w:lang w:val="en-AU"/>
        </w:rPr>
        <w:t xml:space="preserve"> and linked to respondent survey data.</w:t>
      </w:r>
    </w:p>
    <w:p w14:paraId="4D1FD288" w14:textId="77777777" w:rsidR="00D109F7" w:rsidRPr="00A6026E" w:rsidRDefault="00D109F7" w:rsidP="009748AD">
      <w:pPr>
        <w:pStyle w:val="Heading2"/>
        <w:spacing w:before="360"/>
        <w:ind w:left="578" w:hanging="578"/>
        <w:rPr>
          <w:lang w:val="en-AU"/>
        </w:rPr>
      </w:pPr>
      <w:bookmarkStart w:id="201" w:name="_Toc439198328"/>
      <w:bookmarkStart w:id="202" w:name="_Toc445571705"/>
      <w:r w:rsidRPr="00A6026E">
        <w:rPr>
          <w:lang w:val="en-AU"/>
        </w:rPr>
        <w:t>BILLING FOR COUNCIL RATES AND ASSOCIATED CONCESSIONS</w:t>
      </w:r>
      <w:bookmarkEnd w:id="201"/>
      <w:bookmarkEnd w:id="202"/>
    </w:p>
    <w:p w14:paraId="58DC84F2" w14:textId="77777777" w:rsidR="003920D8" w:rsidRPr="00A6026E" w:rsidRDefault="00D109F7" w:rsidP="009748AD">
      <w:pPr>
        <w:pStyle w:val="Heading3"/>
        <w:tabs>
          <w:tab w:val="clear" w:pos="8517"/>
          <w:tab w:val="num" w:pos="851"/>
        </w:tabs>
        <w:spacing w:before="360"/>
        <w:ind w:left="8516" w:hanging="8516"/>
        <w:rPr>
          <w:lang w:val="en-AU"/>
        </w:rPr>
      </w:pPr>
      <w:bookmarkStart w:id="203" w:name="_Toc439198329"/>
      <w:bookmarkStart w:id="204" w:name="_Toc445571706"/>
      <w:r w:rsidRPr="00A6026E">
        <w:rPr>
          <w:lang w:val="en-AU"/>
        </w:rPr>
        <w:t>Incidence of Being Billed for Council Rates</w:t>
      </w:r>
      <w:bookmarkEnd w:id="203"/>
      <w:bookmarkEnd w:id="204"/>
    </w:p>
    <w:p w14:paraId="554006C6" w14:textId="77777777" w:rsidR="00D109F7" w:rsidRPr="00382235" w:rsidRDefault="00D109F7" w:rsidP="00D109F7">
      <w:pPr>
        <w:spacing w:before="0" w:after="0" w:line="340" w:lineRule="exact"/>
        <w:jc w:val="both"/>
        <w:rPr>
          <w:b/>
          <w:lang w:val="en-AU"/>
        </w:rPr>
      </w:pPr>
      <w:r w:rsidRPr="00382235">
        <w:rPr>
          <w:lang w:val="en-AU"/>
        </w:rPr>
        <w:t>In 20</w:t>
      </w:r>
      <w:r w:rsidR="008167F6" w:rsidRPr="00382235">
        <w:rPr>
          <w:lang w:val="en-AU"/>
        </w:rPr>
        <w:t>14</w:t>
      </w:r>
      <w:r w:rsidRPr="00382235">
        <w:rPr>
          <w:lang w:val="en-AU"/>
        </w:rPr>
        <w:t xml:space="preserve">, </w:t>
      </w:r>
      <w:r w:rsidR="00391212" w:rsidRPr="00382235">
        <w:rPr>
          <w:lang w:val="en-AU"/>
        </w:rPr>
        <w:t>80</w:t>
      </w:r>
      <w:r w:rsidRPr="00382235">
        <w:rPr>
          <w:lang w:val="en-AU"/>
        </w:rPr>
        <w:t>% of all households received Council rate</w:t>
      </w:r>
      <w:r w:rsidR="00060E74" w:rsidRPr="00382235">
        <w:rPr>
          <w:lang w:val="en-AU"/>
        </w:rPr>
        <w:t>s</w:t>
      </w:r>
      <w:r w:rsidRPr="00382235">
        <w:rPr>
          <w:lang w:val="en-AU"/>
        </w:rPr>
        <w:t xml:space="preserve"> bills, a proportion similar to that observed in </w:t>
      </w:r>
      <w:r w:rsidR="008167F6" w:rsidRPr="00382235">
        <w:rPr>
          <w:lang w:val="en-AU"/>
        </w:rPr>
        <w:t xml:space="preserve">2007 (77%) and </w:t>
      </w:r>
      <w:r w:rsidR="00691EAE" w:rsidRPr="00382235">
        <w:rPr>
          <w:lang w:val="en-AU"/>
        </w:rPr>
        <w:t>2001</w:t>
      </w:r>
      <w:r w:rsidRPr="00382235">
        <w:rPr>
          <w:lang w:val="en-AU"/>
        </w:rPr>
        <w:t xml:space="preserve"> (80%).  Data for Council rates </w:t>
      </w:r>
      <w:r w:rsidR="009B4A3D" w:rsidRPr="00382235">
        <w:rPr>
          <w:lang w:val="en-AU"/>
        </w:rPr>
        <w:t xml:space="preserve">was </w:t>
      </w:r>
      <w:r w:rsidRPr="00382235">
        <w:rPr>
          <w:lang w:val="en-AU"/>
        </w:rPr>
        <w:t>not collected in the 1996 survey</w:t>
      </w:r>
      <w:r w:rsidR="00C7213F" w:rsidRPr="00382235">
        <w:rPr>
          <w:lang w:val="en-AU"/>
        </w:rPr>
        <w:t>.</w:t>
      </w:r>
      <w:r w:rsidRPr="00382235">
        <w:rPr>
          <w:lang w:val="en-AU"/>
        </w:rPr>
        <w:t xml:space="preserve">  The proportion of households paying Council </w:t>
      </w:r>
      <w:r w:rsidR="00083C37" w:rsidRPr="00382235">
        <w:rPr>
          <w:lang w:val="en-AU"/>
        </w:rPr>
        <w:t xml:space="preserve">rates </w:t>
      </w:r>
      <w:r w:rsidRPr="00382235">
        <w:rPr>
          <w:lang w:val="en-AU"/>
        </w:rPr>
        <w:t xml:space="preserve">bills in </w:t>
      </w:r>
      <w:r w:rsidR="009B4A3D" w:rsidRPr="00382235">
        <w:rPr>
          <w:lang w:val="en-AU"/>
        </w:rPr>
        <w:t xml:space="preserve">2014 </w:t>
      </w:r>
      <w:r w:rsidRPr="00382235">
        <w:rPr>
          <w:lang w:val="en-AU"/>
        </w:rPr>
        <w:t xml:space="preserve">was virtually identical in </w:t>
      </w:r>
      <w:r w:rsidR="008167F6" w:rsidRPr="00382235">
        <w:rPr>
          <w:lang w:val="en-AU"/>
        </w:rPr>
        <w:t xml:space="preserve">Melbourne </w:t>
      </w:r>
      <w:r w:rsidRPr="00382235">
        <w:rPr>
          <w:lang w:val="en-AU"/>
        </w:rPr>
        <w:t xml:space="preserve">and </w:t>
      </w:r>
      <w:r w:rsidR="008167F6" w:rsidRPr="00382235">
        <w:rPr>
          <w:lang w:val="en-AU"/>
        </w:rPr>
        <w:t>country Victoria (80</w:t>
      </w:r>
      <w:r w:rsidR="00382235" w:rsidRPr="00382235">
        <w:rPr>
          <w:lang w:val="en-AU"/>
        </w:rPr>
        <w:t>.0</w:t>
      </w:r>
      <w:r w:rsidR="008167F6" w:rsidRPr="00382235">
        <w:rPr>
          <w:lang w:val="en-AU"/>
        </w:rPr>
        <w:t>% compared with 79</w:t>
      </w:r>
      <w:r w:rsidR="00382235" w:rsidRPr="00382235">
        <w:rPr>
          <w:lang w:val="en-AU"/>
        </w:rPr>
        <w:t>.5</w:t>
      </w:r>
      <w:r w:rsidR="008167F6" w:rsidRPr="00382235">
        <w:rPr>
          <w:lang w:val="en-AU"/>
        </w:rPr>
        <w:t>%), which is consistent with the findings of the 2007 and 2001 surveys.</w:t>
      </w:r>
    </w:p>
    <w:p w14:paraId="1450CD06" w14:textId="77777777" w:rsidR="00D109F7" w:rsidRPr="003835AE" w:rsidRDefault="00D109F7" w:rsidP="00D109F7">
      <w:pPr>
        <w:pStyle w:val="Para"/>
        <w:rPr>
          <w:highlight w:val="yellow"/>
          <w:lang w:val="en-AU"/>
        </w:rPr>
      </w:pPr>
    </w:p>
    <w:p w14:paraId="7AD612A7" w14:textId="77777777" w:rsidR="00D109F7" w:rsidRPr="003835AE" w:rsidRDefault="00D109F7" w:rsidP="00D109F7">
      <w:pPr>
        <w:pStyle w:val="Para"/>
        <w:rPr>
          <w:highlight w:val="yellow"/>
          <w:lang w:val="en-AU"/>
        </w:rPr>
      </w:pPr>
      <w:r w:rsidRPr="00382235">
        <w:rPr>
          <w:lang w:val="en-AU"/>
        </w:rPr>
        <w:t xml:space="preserve">A greater proportion of non-concession households paid Council rates than concession households in </w:t>
      </w:r>
      <w:r w:rsidR="00691EAE" w:rsidRPr="00382235">
        <w:rPr>
          <w:lang w:val="en-AU"/>
        </w:rPr>
        <w:t>20</w:t>
      </w:r>
      <w:r w:rsidR="00C7213F" w:rsidRPr="00382235">
        <w:rPr>
          <w:lang w:val="en-AU"/>
        </w:rPr>
        <w:t>14</w:t>
      </w:r>
      <w:r w:rsidR="00DD755E" w:rsidRPr="00382235">
        <w:rPr>
          <w:lang w:val="en-AU"/>
        </w:rPr>
        <w:t xml:space="preserve"> (87% compared with 71%), as was the case in 2007 and </w:t>
      </w:r>
      <w:r w:rsidR="00691EAE" w:rsidRPr="00382235">
        <w:rPr>
          <w:lang w:val="en-AU"/>
        </w:rPr>
        <w:t>2001</w:t>
      </w:r>
      <w:r w:rsidRPr="00382235">
        <w:rPr>
          <w:lang w:val="en-AU"/>
        </w:rPr>
        <w:t xml:space="preserve">.  </w:t>
      </w:r>
      <w:r w:rsidR="00C7213F" w:rsidRPr="00382235">
        <w:rPr>
          <w:lang w:val="en-AU"/>
        </w:rPr>
        <w:t xml:space="preserve">Aged </w:t>
      </w:r>
      <w:r w:rsidR="00CC47B2" w:rsidRPr="00382235">
        <w:rPr>
          <w:lang w:val="en-AU"/>
        </w:rPr>
        <w:t>concession</w:t>
      </w:r>
      <w:r w:rsidRPr="00382235">
        <w:rPr>
          <w:lang w:val="en-AU"/>
        </w:rPr>
        <w:t xml:space="preserve"> households, being predominantly home owners, had </w:t>
      </w:r>
      <w:r w:rsidR="00DD755E" w:rsidRPr="00382235">
        <w:rPr>
          <w:lang w:val="en-AU"/>
        </w:rPr>
        <w:t xml:space="preserve">a </w:t>
      </w:r>
      <w:r w:rsidRPr="00382235">
        <w:rPr>
          <w:lang w:val="en-AU"/>
        </w:rPr>
        <w:t>high proportion</w:t>
      </w:r>
      <w:r w:rsidR="00DD755E" w:rsidRPr="00382235">
        <w:rPr>
          <w:lang w:val="en-AU"/>
        </w:rPr>
        <w:t xml:space="preserve"> </w:t>
      </w:r>
      <w:r w:rsidRPr="00382235">
        <w:rPr>
          <w:lang w:val="en-AU"/>
        </w:rPr>
        <w:t xml:space="preserve">paying Council bills </w:t>
      </w:r>
      <w:r w:rsidR="00DD755E" w:rsidRPr="00382235">
        <w:rPr>
          <w:lang w:val="en-AU"/>
        </w:rPr>
        <w:t>(85%), while the high proportion of renters among other concession households meant that only 5</w:t>
      </w:r>
      <w:r w:rsidR="00382235" w:rsidRPr="00382235">
        <w:rPr>
          <w:lang w:val="en-AU"/>
        </w:rPr>
        <w:t>7</w:t>
      </w:r>
      <w:r w:rsidR="00DD755E" w:rsidRPr="00382235">
        <w:rPr>
          <w:lang w:val="en-AU"/>
        </w:rPr>
        <w:t>% o</w:t>
      </w:r>
      <w:r w:rsidR="00382235" w:rsidRPr="00382235">
        <w:rPr>
          <w:lang w:val="en-AU"/>
        </w:rPr>
        <w:t>f</w:t>
      </w:r>
      <w:r w:rsidR="00DD755E" w:rsidRPr="00382235">
        <w:rPr>
          <w:lang w:val="en-AU"/>
        </w:rPr>
        <w:t xml:space="preserve"> that group received a council bill.</w:t>
      </w:r>
    </w:p>
    <w:p w14:paraId="019688B5" w14:textId="77777777" w:rsidR="003D4329" w:rsidRPr="003835AE" w:rsidRDefault="003D4329" w:rsidP="00D109F7">
      <w:pPr>
        <w:pStyle w:val="Para"/>
        <w:rPr>
          <w:highlight w:val="yellow"/>
          <w:lang w:val="en-AU"/>
        </w:rPr>
      </w:pPr>
    </w:p>
    <w:p w14:paraId="07073AEF" w14:textId="77777777" w:rsidR="00D109F7" w:rsidRPr="00382235" w:rsidRDefault="002A01AE" w:rsidP="00D109F7">
      <w:pPr>
        <w:pStyle w:val="Para"/>
        <w:rPr>
          <w:lang w:val="en-AU"/>
        </w:rPr>
      </w:pPr>
      <w:r w:rsidRPr="00382235">
        <w:rPr>
          <w:lang w:val="en-AU"/>
        </w:rPr>
        <w:t>It should be noted that a very small number of respondents both indicated that they rented and that they paid Council rates, possibly indicating either a misunderstanding of the question and/or a change in circumstances during the year.  The percentages showing for renters in the council rates tables are based to this very small group of respondents, not to renters overall.  They should be interpreted with care.</w:t>
      </w:r>
    </w:p>
    <w:p w14:paraId="3B6C98A0" w14:textId="77777777" w:rsidR="003D4329" w:rsidRPr="003835AE" w:rsidRDefault="003D4329" w:rsidP="00736859">
      <w:pPr>
        <w:pStyle w:val="Para"/>
        <w:rPr>
          <w:highlight w:val="yellow"/>
          <w:lang w:val="en-AU"/>
        </w:rPr>
      </w:pPr>
    </w:p>
    <w:p w14:paraId="50280123" w14:textId="4BECD3C3" w:rsidR="00D109F7" w:rsidRPr="00164551" w:rsidRDefault="00164551" w:rsidP="00736859">
      <w:pPr>
        <w:pStyle w:val="Para"/>
        <w:rPr>
          <w:lang w:val="en-AU"/>
        </w:rPr>
      </w:pPr>
      <w:r>
        <w:rPr>
          <w:lang w:val="en-AU"/>
        </w:rPr>
        <w:t xml:space="preserve">In 2014, 96% of all households paid their annual rates bill in full.  Households in Melbourne (97%) were more likely than those in country Victoria (94%) to have paid their rates bill in full.   </w:t>
      </w:r>
      <w:r w:rsidR="00D109F7" w:rsidRPr="00164551">
        <w:rPr>
          <w:lang w:val="en-AU"/>
        </w:rPr>
        <w:t xml:space="preserve">The incidence of paying Council rate by </w:t>
      </w:r>
      <w:r w:rsidR="00736859" w:rsidRPr="00164551">
        <w:rPr>
          <w:lang w:val="en-AU"/>
        </w:rPr>
        <w:t xml:space="preserve">compulsory </w:t>
      </w:r>
      <w:r w:rsidR="00D109F7" w:rsidRPr="00164551">
        <w:rPr>
          <w:lang w:val="en-AU"/>
        </w:rPr>
        <w:t>instalment was</w:t>
      </w:r>
      <w:r w:rsidR="00D242F5" w:rsidRPr="00164551">
        <w:rPr>
          <w:lang w:val="en-AU"/>
        </w:rPr>
        <w:t xml:space="preserve"> only </w:t>
      </w:r>
      <w:r w:rsidR="00D109F7" w:rsidRPr="00164551">
        <w:rPr>
          <w:lang w:val="en-AU"/>
        </w:rPr>
        <w:t xml:space="preserve">1%.  </w:t>
      </w:r>
    </w:p>
    <w:p w14:paraId="29C07721" w14:textId="77777777" w:rsidR="00736859" w:rsidRPr="003835AE" w:rsidRDefault="00736859" w:rsidP="00736859">
      <w:pPr>
        <w:pStyle w:val="Para"/>
        <w:rPr>
          <w:highlight w:val="yellow"/>
          <w:lang w:val="en-AU"/>
        </w:rPr>
      </w:pPr>
    </w:p>
    <w:p w14:paraId="57A6F78A" w14:textId="77777777" w:rsidR="00C76F63" w:rsidRDefault="00C76F63" w:rsidP="00C76F63">
      <w:pPr>
        <w:pStyle w:val="Para"/>
        <w:rPr>
          <w:lang w:val="en-AU"/>
        </w:rPr>
      </w:pPr>
      <w:r w:rsidRPr="00382235">
        <w:rPr>
          <w:lang w:val="en-AU"/>
        </w:rPr>
        <w:t>Seven respondents were recorded as being on a hardship programme for their Council rate payments, representing</w:t>
      </w:r>
      <w:r w:rsidR="003D4329" w:rsidRPr="00382235">
        <w:rPr>
          <w:lang w:val="en-AU"/>
        </w:rPr>
        <w:t xml:space="preserve"> approximately 0.37% of</w:t>
      </w:r>
      <w:r w:rsidRPr="00382235">
        <w:rPr>
          <w:lang w:val="en-AU"/>
        </w:rPr>
        <w:t xml:space="preserve"> Victorian households.</w:t>
      </w:r>
    </w:p>
    <w:p w14:paraId="66C96305" w14:textId="77777777" w:rsidR="008E492D" w:rsidRPr="00382235" w:rsidRDefault="008E492D" w:rsidP="00C76F63">
      <w:pPr>
        <w:pStyle w:val="Para"/>
        <w:rPr>
          <w:lang w:val="en-AU"/>
        </w:rPr>
      </w:pPr>
    </w:p>
    <w:p w14:paraId="54130BA1" w14:textId="77777777" w:rsidR="00736859" w:rsidRPr="00164551" w:rsidRDefault="00D109F7" w:rsidP="00A64568">
      <w:pPr>
        <w:tabs>
          <w:tab w:val="left" w:pos="7088"/>
        </w:tabs>
        <w:spacing w:before="0" w:after="120"/>
        <w:jc w:val="center"/>
        <w:outlineLvl w:val="0"/>
        <w:rPr>
          <w:b/>
          <w:sz w:val="22"/>
          <w:szCs w:val="22"/>
          <w:lang w:val="en-AU"/>
        </w:rPr>
      </w:pPr>
      <w:r w:rsidRPr="00164551">
        <w:rPr>
          <w:b/>
          <w:sz w:val="22"/>
          <w:szCs w:val="22"/>
          <w:lang w:val="en-AU"/>
        </w:rPr>
        <w:t xml:space="preserve">Table </w:t>
      </w:r>
      <w:r w:rsidR="001A2002" w:rsidRPr="00164551">
        <w:rPr>
          <w:b/>
          <w:sz w:val="22"/>
          <w:szCs w:val="22"/>
          <w:lang w:val="en-AU"/>
        </w:rPr>
        <w:t>6</w:t>
      </w:r>
      <w:r w:rsidRPr="00164551">
        <w:rPr>
          <w:b/>
          <w:sz w:val="22"/>
          <w:szCs w:val="22"/>
          <w:lang w:val="en-AU"/>
        </w:rPr>
        <w:t xml:space="preserve">.1.1: </w:t>
      </w:r>
      <w:r w:rsidRPr="00164551">
        <w:rPr>
          <w:b/>
          <w:sz w:val="22"/>
          <w:szCs w:val="22"/>
          <w:u w:val="single"/>
          <w:lang w:val="en-AU"/>
        </w:rPr>
        <w:t>Council Rate Bill Paid</w:t>
      </w:r>
      <w:r w:rsidR="007D696F" w:rsidRPr="00164551">
        <w:rPr>
          <w:b/>
          <w:sz w:val="22"/>
          <w:szCs w:val="22"/>
          <w:u w:val="single"/>
          <w:lang w:val="en-AU"/>
        </w:rPr>
        <w:t xml:space="preserve"> in Full</w:t>
      </w:r>
      <w:r w:rsidR="00736859" w:rsidRPr="00164551">
        <w:rPr>
          <w:b/>
          <w:sz w:val="22"/>
          <w:szCs w:val="22"/>
          <w:u w:val="single"/>
          <w:lang w:val="en-AU"/>
        </w:rPr>
        <w:t xml:space="preserve"> o</w:t>
      </w:r>
      <w:r w:rsidR="003D4329" w:rsidRPr="00164551">
        <w:rPr>
          <w:b/>
          <w:sz w:val="22"/>
          <w:szCs w:val="22"/>
          <w:u w:val="single"/>
          <w:lang w:val="en-AU"/>
        </w:rPr>
        <w:t>r</w:t>
      </w:r>
      <w:r w:rsidR="00736859" w:rsidRPr="00164551">
        <w:rPr>
          <w:b/>
          <w:sz w:val="22"/>
          <w:szCs w:val="22"/>
          <w:u w:val="single"/>
          <w:lang w:val="en-AU"/>
        </w:rPr>
        <w:t xml:space="preserve"> by Compulsory Instalment</w:t>
      </w:r>
    </w:p>
    <w:tbl>
      <w:tblPr>
        <w:tblW w:w="6620" w:type="dxa"/>
        <w:jc w:val="center"/>
        <w:tblLook w:val="04A0" w:firstRow="1" w:lastRow="0" w:firstColumn="1" w:lastColumn="0" w:noHBand="0" w:noVBand="1"/>
      </w:tblPr>
      <w:tblGrid>
        <w:gridCol w:w="2780"/>
        <w:gridCol w:w="1023"/>
        <w:gridCol w:w="897"/>
        <w:gridCol w:w="960"/>
        <w:gridCol w:w="960"/>
      </w:tblGrid>
      <w:tr w:rsidR="00736859" w:rsidRPr="00164551" w14:paraId="584CB34F" w14:textId="77777777" w:rsidTr="00A64568">
        <w:trPr>
          <w:trHeight w:val="240"/>
          <w:tblHeader/>
          <w:jc w:val="center"/>
        </w:trPr>
        <w:tc>
          <w:tcPr>
            <w:tcW w:w="2780" w:type="dxa"/>
            <w:vMerge w:val="restart"/>
            <w:tcBorders>
              <w:top w:val="double" w:sz="6" w:space="0" w:color="auto"/>
              <w:left w:val="double" w:sz="6" w:space="0" w:color="auto"/>
              <w:bottom w:val="single" w:sz="4" w:space="0" w:color="BFBFBF"/>
              <w:right w:val="nil"/>
            </w:tcBorders>
            <w:shd w:val="clear" w:color="auto" w:fill="auto"/>
            <w:vAlign w:val="center"/>
          </w:tcPr>
          <w:p w14:paraId="79B21460" w14:textId="77777777" w:rsidR="00736859" w:rsidRPr="00164551" w:rsidRDefault="00736859" w:rsidP="00736859">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 xml:space="preserve">How Council Rate Bill Paid </w:t>
            </w:r>
            <w:r w:rsidRPr="00164551">
              <w:rPr>
                <w:rFonts w:ascii="Arial" w:hAnsi="Arial" w:cs="Arial"/>
                <w:b/>
                <w:bCs/>
                <w:color w:val="000000"/>
                <w:sz w:val="16"/>
                <w:szCs w:val="16"/>
                <w:lang w:val="en-AU" w:eastAsia="en-AU"/>
              </w:rPr>
              <w:br/>
              <w:t xml:space="preserve">(of those paying </w:t>
            </w:r>
            <w:r w:rsidR="003D4329" w:rsidRPr="00164551">
              <w:rPr>
                <w:rFonts w:ascii="Arial" w:hAnsi="Arial" w:cs="Arial"/>
                <w:b/>
                <w:bCs/>
                <w:color w:val="000000"/>
                <w:sz w:val="16"/>
                <w:szCs w:val="16"/>
                <w:lang w:val="en-AU" w:eastAsia="en-AU"/>
              </w:rPr>
              <w:t>C</w:t>
            </w:r>
            <w:r w:rsidRPr="00164551">
              <w:rPr>
                <w:rFonts w:ascii="Arial" w:hAnsi="Arial" w:cs="Arial"/>
                <w:b/>
                <w:bCs/>
                <w:color w:val="000000"/>
                <w:sz w:val="16"/>
                <w:szCs w:val="16"/>
                <w:lang w:val="en-AU" w:eastAsia="en-AU"/>
              </w:rPr>
              <w:t>ouncil Rates)</w:t>
            </w:r>
          </w:p>
        </w:tc>
        <w:tc>
          <w:tcPr>
            <w:tcW w:w="1920" w:type="dxa"/>
            <w:gridSpan w:val="2"/>
            <w:tcBorders>
              <w:top w:val="double" w:sz="6" w:space="0" w:color="auto"/>
              <w:left w:val="single" w:sz="4" w:space="0" w:color="auto"/>
              <w:bottom w:val="single" w:sz="4" w:space="0" w:color="BFBFBF"/>
              <w:right w:val="single" w:sz="4" w:space="0" w:color="000000"/>
            </w:tcBorders>
            <w:shd w:val="clear" w:color="auto" w:fill="auto"/>
            <w:noWrap/>
            <w:vAlign w:val="center"/>
          </w:tcPr>
          <w:p w14:paraId="3FC48E80" w14:textId="77777777" w:rsidR="00736859" w:rsidRPr="00164551" w:rsidRDefault="00736859" w:rsidP="00736859">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In Full</w:t>
            </w:r>
          </w:p>
        </w:tc>
        <w:tc>
          <w:tcPr>
            <w:tcW w:w="1920" w:type="dxa"/>
            <w:gridSpan w:val="2"/>
            <w:tcBorders>
              <w:top w:val="double" w:sz="6" w:space="0" w:color="auto"/>
              <w:left w:val="nil"/>
              <w:bottom w:val="single" w:sz="4" w:space="0" w:color="BFBFBF"/>
              <w:right w:val="double" w:sz="6" w:space="0" w:color="000000"/>
            </w:tcBorders>
            <w:shd w:val="clear" w:color="auto" w:fill="auto"/>
            <w:vAlign w:val="center"/>
          </w:tcPr>
          <w:p w14:paraId="729BA66E" w14:textId="733C9445" w:rsidR="00736859" w:rsidRPr="00164551" w:rsidRDefault="00736859" w:rsidP="00164551">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Compulsory Instalment</w:t>
            </w:r>
            <w:r w:rsidR="00164551">
              <w:rPr>
                <w:rFonts w:ascii="Arial" w:hAnsi="Arial" w:cs="Arial"/>
                <w:color w:val="000000"/>
                <w:sz w:val="16"/>
                <w:szCs w:val="16"/>
                <w:vertAlign w:val="superscript"/>
                <w:lang w:val="en-AU" w:eastAsia="en-AU"/>
              </w:rPr>
              <w:t>2</w:t>
            </w:r>
          </w:p>
        </w:tc>
      </w:tr>
      <w:tr w:rsidR="00736859" w:rsidRPr="00164551" w14:paraId="1C7A7D0E" w14:textId="77777777" w:rsidTr="006E497E">
        <w:trPr>
          <w:trHeight w:val="225"/>
          <w:tblHeader/>
          <w:jc w:val="center"/>
        </w:trPr>
        <w:tc>
          <w:tcPr>
            <w:tcW w:w="2780" w:type="dxa"/>
            <w:vMerge/>
            <w:tcBorders>
              <w:top w:val="double" w:sz="6" w:space="0" w:color="auto"/>
              <w:left w:val="double" w:sz="6" w:space="0" w:color="auto"/>
              <w:bottom w:val="single" w:sz="4" w:space="0" w:color="BFBFBF"/>
              <w:right w:val="nil"/>
            </w:tcBorders>
            <w:vAlign w:val="center"/>
          </w:tcPr>
          <w:p w14:paraId="1187C687" w14:textId="77777777" w:rsidR="00736859" w:rsidRPr="00164551" w:rsidRDefault="00736859" w:rsidP="00736859">
            <w:pPr>
              <w:spacing w:before="0" w:after="0"/>
              <w:rPr>
                <w:rFonts w:ascii="Arial" w:hAnsi="Arial" w:cs="Arial"/>
                <w:b/>
                <w:bCs/>
                <w:color w:val="000000"/>
                <w:sz w:val="16"/>
                <w:szCs w:val="16"/>
                <w:lang w:val="en-AU" w:eastAsia="en-AU"/>
              </w:rPr>
            </w:pPr>
          </w:p>
        </w:tc>
        <w:tc>
          <w:tcPr>
            <w:tcW w:w="1023" w:type="dxa"/>
            <w:tcBorders>
              <w:top w:val="nil"/>
              <w:left w:val="single" w:sz="4" w:space="0" w:color="auto"/>
              <w:bottom w:val="nil"/>
              <w:right w:val="single" w:sz="4" w:space="0" w:color="BFBFBF"/>
            </w:tcBorders>
            <w:shd w:val="clear" w:color="auto" w:fill="auto"/>
            <w:noWrap/>
            <w:vAlign w:val="center"/>
          </w:tcPr>
          <w:p w14:paraId="20D7E0F1" w14:textId="77777777" w:rsidR="00736859" w:rsidRPr="00164551" w:rsidRDefault="00736859" w:rsidP="006E497E">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2014</w:t>
            </w:r>
          </w:p>
        </w:tc>
        <w:tc>
          <w:tcPr>
            <w:tcW w:w="897" w:type="dxa"/>
            <w:tcBorders>
              <w:top w:val="nil"/>
              <w:left w:val="nil"/>
              <w:bottom w:val="nil"/>
              <w:right w:val="single" w:sz="4" w:space="0" w:color="auto"/>
            </w:tcBorders>
            <w:shd w:val="clear" w:color="auto" w:fill="auto"/>
            <w:noWrap/>
            <w:vAlign w:val="center"/>
          </w:tcPr>
          <w:p w14:paraId="14DD445C" w14:textId="77777777" w:rsidR="00736859" w:rsidRPr="00164551" w:rsidRDefault="00736859" w:rsidP="006E497E">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2007</w:t>
            </w:r>
          </w:p>
        </w:tc>
        <w:tc>
          <w:tcPr>
            <w:tcW w:w="960" w:type="dxa"/>
            <w:tcBorders>
              <w:top w:val="nil"/>
              <w:left w:val="nil"/>
              <w:bottom w:val="nil"/>
              <w:right w:val="single" w:sz="4" w:space="0" w:color="BFBFBF"/>
            </w:tcBorders>
            <w:shd w:val="clear" w:color="auto" w:fill="auto"/>
            <w:noWrap/>
            <w:vAlign w:val="center"/>
          </w:tcPr>
          <w:p w14:paraId="079449DA" w14:textId="77777777" w:rsidR="00736859" w:rsidRPr="00164551" w:rsidRDefault="00736859" w:rsidP="006E497E">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2014</w:t>
            </w:r>
          </w:p>
        </w:tc>
        <w:tc>
          <w:tcPr>
            <w:tcW w:w="960" w:type="dxa"/>
            <w:tcBorders>
              <w:top w:val="nil"/>
              <w:left w:val="nil"/>
              <w:bottom w:val="nil"/>
              <w:right w:val="double" w:sz="6" w:space="0" w:color="auto"/>
            </w:tcBorders>
            <w:shd w:val="clear" w:color="auto" w:fill="auto"/>
            <w:noWrap/>
            <w:vAlign w:val="center"/>
          </w:tcPr>
          <w:p w14:paraId="5EE1EE29" w14:textId="77777777" w:rsidR="00736859" w:rsidRPr="00164551" w:rsidRDefault="00736859" w:rsidP="006E497E">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2007</w:t>
            </w:r>
          </w:p>
        </w:tc>
      </w:tr>
      <w:tr w:rsidR="00736859" w:rsidRPr="00164551" w14:paraId="464C7FC0" w14:textId="77777777" w:rsidTr="006E497E">
        <w:trPr>
          <w:trHeight w:val="225"/>
          <w:jc w:val="center"/>
        </w:trPr>
        <w:tc>
          <w:tcPr>
            <w:tcW w:w="2780" w:type="dxa"/>
            <w:tcBorders>
              <w:top w:val="single" w:sz="4" w:space="0" w:color="auto"/>
              <w:left w:val="double" w:sz="6" w:space="0" w:color="auto"/>
              <w:bottom w:val="single" w:sz="4" w:space="0" w:color="BFBFBF"/>
              <w:right w:val="nil"/>
            </w:tcBorders>
            <w:shd w:val="clear" w:color="auto" w:fill="auto"/>
            <w:noWrap/>
            <w:vAlign w:val="center"/>
          </w:tcPr>
          <w:p w14:paraId="221C339E" w14:textId="77777777" w:rsidR="00736859" w:rsidRPr="00164551" w:rsidRDefault="00736859" w:rsidP="00736859">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Region -</w:t>
            </w:r>
          </w:p>
        </w:tc>
        <w:tc>
          <w:tcPr>
            <w:tcW w:w="1023" w:type="dxa"/>
            <w:tcBorders>
              <w:top w:val="single" w:sz="4" w:space="0" w:color="auto"/>
              <w:left w:val="single" w:sz="4" w:space="0" w:color="auto"/>
              <w:bottom w:val="single" w:sz="4" w:space="0" w:color="BFBFBF"/>
              <w:right w:val="single" w:sz="4" w:space="0" w:color="BFBFBF"/>
            </w:tcBorders>
            <w:shd w:val="clear" w:color="auto" w:fill="auto"/>
            <w:noWrap/>
            <w:vAlign w:val="center"/>
          </w:tcPr>
          <w:p w14:paraId="2EF4EA59" w14:textId="77777777" w:rsidR="00736859" w:rsidRPr="00164551" w:rsidRDefault="00736859" w:rsidP="006E497E">
            <w:pPr>
              <w:spacing w:before="0" w:after="0"/>
              <w:jc w:val="center"/>
              <w:rPr>
                <w:rFonts w:ascii="Arial" w:hAnsi="Arial" w:cs="Arial"/>
                <w:color w:val="000000"/>
                <w:sz w:val="16"/>
                <w:szCs w:val="16"/>
                <w:lang w:val="en-AU" w:eastAsia="en-AU"/>
              </w:rPr>
            </w:pPr>
          </w:p>
        </w:tc>
        <w:tc>
          <w:tcPr>
            <w:tcW w:w="897" w:type="dxa"/>
            <w:tcBorders>
              <w:top w:val="single" w:sz="4" w:space="0" w:color="auto"/>
              <w:left w:val="nil"/>
              <w:bottom w:val="single" w:sz="4" w:space="0" w:color="BFBFBF"/>
              <w:right w:val="single" w:sz="4" w:space="0" w:color="auto"/>
            </w:tcBorders>
            <w:shd w:val="clear" w:color="auto" w:fill="auto"/>
            <w:noWrap/>
            <w:vAlign w:val="center"/>
          </w:tcPr>
          <w:p w14:paraId="04CF29C8" w14:textId="77777777" w:rsidR="00736859" w:rsidRPr="00164551" w:rsidRDefault="00736859" w:rsidP="006E497E">
            <w:pPr>
              <w:spacing w:before="0" w:after="0"/>
              <w:jc w:val="center"/>
              <w:rPr>
                <w:rFonts w:ascii="Arial" w:hAnsi="Arial" w:cs="Arial"/>
                <w:color w:val="000000"/>
                <w:sz w:val="16"/>
                <w:szCs w:val="16"/>
                <w:lang w:val="en-AU" w:eastAsia="en-AU"/>
              </w:rPr>
            </w:pPr>
          </w:p>
        </w:tc>
        <w:tc>
          <w:tcPr>
            <w:tcW w:w="960" w:type="dxa"/>
            <w:tcBorders>
              <w:top w:val="single" w:sz="4" w:space="0" w:color="auto"/>
              <w:left w:val="nil"/>
              <w:bottom w:val="single" w:sz="4" w:space="0" w:color="BFBFBF"/>
              <w:right w:val="single" w:sz="4" w:space="0" w:color="BFBFBF"/>
            </w:tcBorders>
            <w:shd w:val="clear" w:color="auto" w:fill="auto"/>
            <w:noWrap/>
            <w:vAlign w:val="center"/>
          </w:tcPr>
          <w:p w14:paraId="1A82A225" w14:textId="77777777" w:rsidR="00736859" w:rsidRPr="00164551" w:rsidRDefault="00736859" w:rsidP="006E497E">
            <w:pPr>
              <w:spacing w:before="0" w:after="0"/>
              <w:jc w:val="center"/>
              <w:rPr>
                <w:rFonts w:ascii="Arial" w:hAnsi="Arial" w:cs="Arial"/>
                <w:color w:val="000000"/>
                <w:sz w:val="16"/>
                <w:szCs w:val="16"/>
                <w:lang w:val="en-AU" w:eastAsia="en-AU"/>
              </w:rPr>
            </w:pPr>
          </w:p>
        </w:tc>
        <w:tc>
          <w:tcPr>
            <w:tcW w:w="960" w:type="dxa"/>
            <w:tcBorders>
              <w:top w:val="single" w:sz="4" w:space="0" w:color="auto"/>
              <w:left w:val="nil"/>
              <w:bottom w:val="single" w:sz="4" w:space="0" w:color="BFBFBF"/>
              <w:right w:val="double" w:sz="6" w:space="0" w:color="auto"/>
            </w:tcBorders>
            <w:shd w:val="clear" w:color="auto" w:fill="auto"/>
            <w:noWrap/>
            <w:vAlign w:val="center"/>
          </w:tcPr>
          <w:p w14:paraId="209319AB" w14:textId="77777777" w:rsidR="00736859" w:rsidRPr="00164551" w:rsidRDefault="00736859" w:rsidP="006E497E">
            <w:pPr>
              <w:spacing w:before="0" w:after="0"/>
              <w:jc w:val="center"/>
              <w:rPr>
                <w:rFonts w:ascii="Arial" w:hAnsi="Arial" w:cs="Arial"/>
                <w:color w:val="000000"/>
                <w:sz w:val="16"/>
                <w:szCs w:val="16"/>
                <w:lang w:val="en-AU" w:eastAsia="en-AU"/>
              </w:rPr>
            </w:pPr>
          </w:p>
        </w:tc>
      </w:tr>
      <w:tr w:rsidR="00164551" w:rsidRPr="00164551" w14:paraId="78671F64"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7FCDBF4A"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164551">
                  <w:rPr>
                    <w:rFonts w:ascii="Arial" w:hAnsi="Arial" w:cs="Arial"/>
                    <w:color w:val="000000"/>
                    <w:sz w:val="16"/>
                    <w:szCs w:val="16"/>
                    <w:lang w:val="en-AU" w:eastAsia="en-AU"/>
                  </w:rPr>
                  <w:t>Melbourne</w:t>
                </w:r>
              </w:smartTag>
            </w:smartTag>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13307239" w14:textId="5407B2DF"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97%</w:t>
            </w:r>
          </w:p>
        </w:tc>
        <w:tc>
          <w:tcPr>
            <w:tcW w:w="897" w:type="dxa"/>
            <w:tcBorders>
              <w:top w:val="nil"/>
              <w:left w:val="nil"/>
              <w:bottom w:val="single" w:sz="4" w:space="0" w:color="BFBFBF"/>
              <w:right w:val="single" w:sz="4" w:space="0" w:color="auto"/>
            </w:tcBorders>
            <w:shd w:val="clear" w:color="auto" w:fill="auto"/>
            <w:noWrap/>
            <w:vAlign w:val="center"/>
          </w:tcPr>
          <w:p w14:paraId="449A9D65"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96%</w:t>
            </w:r>
          </w:p>
        </w:tc>
        <w:tc>
          <w:tcPr>
            <w:tcW w:w="960" w:type="dxa"/>
            <w:tcBorders>
              <w:top w:val="nil"/>
              <w:left w:val="nil"/>
              <w:bottom w:val="single" w:sz="4" w:space="0" w:color="BFBFBF"/>
              <w:right w:val="single" w:sz="4" w:space="0" w:color="BFBFBF"/>
            </w:tcBorders>
            <w:shd w:val="clear" w:color="auto" w:fill="auto"/>
            <w:noWrap/>
            <w:vAlign w:val="center"/>
          </w:tcPr>
          <w:p w14:paraId="7A94F75E" w14:textId="61B5D5EB"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3FE2BC85"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56%</w:t>
            </w:r>
          </w:p>
        </w:tc>
      </w:tr>
      <w:tr w:rsidR="00164551" w:rsidRPr="00164551" w14:paraId="25351753"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272C40CE"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Country VIC</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67BEF3E1" w14:textId="510A2189"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94%</w:t>
            </w:r>
          </w:p>
        </w:tc>
        <w:tc>
          <w:tcPr>
            <w:tcW w:w="897" w:type="dxa"/>
            <w:tcBorders>
              <w:top w:val="nil"/>
              <w:left w:val="nil"/>
              <w:bottom w:val="single" w:sz="4" w:space="0" w:color="BFBFBF"/>
              <w:right w:val="single" w:sz="4" w:space="0" w:color="auto"/>
            </w:tcBorders>
            <w:shd w:val="clear" w:color="auto" w:fill="auto"/>
            <w:noWrap/>
            <w:vAlign w:val="center"/>
          </w:tcPr>
          <w:p w14:paraId="239EDECC"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97%</w:t>
            </w:r>
          </w:p>
        </w:tc>
        <w:tc>
          <w:tcPr>
            <w:tcW w:w="960" w:type="dxa"/>
            <w:tcBorders>
              <w:top w:val="nil"/>
              <w:left w:val="nil"/>
              <w:bottom w:val="single" w:sz="4" w:space="0" w:color="BFBFBF"/>
              <w:right w:val="single" w:sz="4" w:space="0" w:color="BFBFBF"/>
            </w:tcBorders>
            <w:shd w:val="clear" w:color="auto" w:fill="auto"/>
            <w:noWrap/>
            <w:vAlign w:val="center"/>
          </w:tcPr>
          <w:p w14:paraId="20D60CB5" w14:textId="02550DEB"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960" w:type="dxa"/>
            <w:tcBorders>
              <w:top w:val="nil"/>
              <w:left w:val="nil"/>
              <w:bottom w:val="single" w:sz="4" w:space="0" w:color="BFBFBF"/>
              <w:right w:val="double" w:sz="6" w:space="0" w:color="auto"/>
            </w:tcBorders>
            <w:shd w:val="clear" w:color="auto" w:fill="auto"/>
            <w:noWrap/>
            <w:vAlign w:val="center"/>
          </w:tcPr>
          <w:p w14:paraId="4EB23200"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70%</w:t>
            </w:r>
          </w:p>
        </w:tc>
      </w:tr>
      <w:tr w:rsidR="00164551" w:rsidRPr="00164551" w14:paraId="1CFA89AD"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00CC7F28" w14:textId="76C18150" w:rsidR="00164551" w:rsidRPr="00164551" w:rsidRDefault="00BC6314" w:rsidP="00736859">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164551" w:rsidRPr="00164551">
              <w:rPr>
                <w:rFonts w:ascii="Arial" w:hAnsi="Arial" w:cs="Arial"/>
                <w:color w:val="000000"/>
                <w:sz w:val="16"/>
                <w:szCs w:val="16"/>
                <w:lang w:val="en-AU" w:eastAsia="en-AU"/>
              </w:rPr>
              <w:t>s</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4036D741" w14:textId="28653108"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98%</w:t>
            </w:r>
          </w:p>
        </w:tc>
        <w:tc>
          <w:tcPr>
            <w:tcW w:w="897" w:type="dxa"/>
            <w:tcBorders>
              <w:top w:val="nil"/>
              <w:left w:val="nil"/>
              <w:bottom w:val="single" w:sz="4" w:space="0" w:color="BFBFBF"/>
              <w:right w:val="single" w:sz="4" w:space="0" w:color="auto"/>
            </w:tcBorders>
            <w:shd w:val="clear" w:color="auto" w:fill="auto"/>
            <w:noWrap/>
            <w:vAlign w:val="center"/>
          </w:tcPr>
          <w:p w14:paraId="12ECBB86"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98%</w:t>
            </w:r>
          </w:p>
        </w:tc>
        <w:tc>
          <w:tcPr>
            <w:tcW w:w="960" w:type="dxa"/>
            <w:tcBorders>
              <w:top w:val="nil"/>
              <w:left w:val="nil"/>
              <w:bottom w:val="single" w:sz="4" w:space="0" w:color="BFBFBF"/>
              <w:right w:val="single" w:sz="4" w:space="0" w:color="BFBFBF"/>
            </w:tcBorders>
            <w:shd w:val="clear" w:color="auto" w:fill="auto"/>
            <w:noWrap/>
            <w:vAlign w:val="center"/>
          </w:tcPr>
          <w:p w14:paraId="1EE2B9A1" w14:textId="6A5E3141"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960" w:type="dxa"/>
            <w:tcBorders>
              <w:top w:val="nil"/>
              <w:left w:val="nil"/>
              <w:bottom w:val="single" w:sz="4" w:space="0" w:color="BFBFBF"/>
              <w:right w:val="double" w:sz="6" w:space="0" w:color="auto"/>
            </w:tcBorders>
            <w:shd w:val="clear" w:color="auto" w:fill="auto"/>
            <w:noWrap/>
            <w:vAlign w:val="center"/>
          </w:tcPr>
          <w:p w14:paraId="7AF826EF"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61%</w:t>
            </w:r>
          </w:p>
        </w:tc>
      </w:tr>
      <w:tr w:rsidR="00164551" w:rsidRPr="00164551" w14:paraId="5ED7D9B8"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52806639" w14:textId="77777777" w:rsidR="00164551" w:rsidRPr="00164551" w:rsidRDefault="00164551" w:rsidP="00736859">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DHHS Area -</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22DE7146" w14:textId="4EF7AD05" w:rsidR="00164551" w:rsidRPr="00164551" w:rsidRDefault="00164551">
            <w:pPr>
              <w:spacing w:before="0" w:after="0"/>
              <w:jc w:val="center"/>
              <w:rPr>
                <w:rFonts w:ascii="Arial" w:hAnsi="Arial" w:cs="Arial"/>
                <w:color w:val="000000"/>
                <w:sz w:val="16"/>
                <w:szCs w:val="16"/>
                <w:lang w:val="en-AU" w:eastAsia="en-AU"/>
              </w:rPr>
            </w:pPr>
          </w:p>
        </w:tc>
        <w:tc>
          <w:tcPr>
            <w:tcW w:w="897" w:type="dxa"/>
            <w:tcBorders>
              <w:top w:val="nil"/>
              <w:left w:val="nil"/>
              <w:bottom w:val="single" w:sz="4" w:space="0" w:color="BFBFBF"/>
              <w:right w:val="single" w:sz="4" w:space="0" w:color="auto"/>
            </w:tcBorders>
            <w:shd w:val="clear" w:color="auto" w:fill="auto"/>
            <w:noWrap/>
            <w:vAlign w:val="center"/>
          </w:tcPr>
          <w:p w14:paraId="4AAC58BB" w14:textId="77777777" w:rsidR="00164551" w:rsidRPr="00164551" w:rsidRDefault="00164551">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single" w:sz="4" w:space="0" w:color="BFBFBF"/>
            </w:tcBorders>
            <w:shd w:val="clear" w:color="auto" w:fill="auto"/>
            <w:noWrap/>
            <w:vAlign w:val="center"/>
          </w:tcPr>
          <w:p w14:paraId="50D4D0A7" w14:textId="0EB5743B" w:rsidR="00164551" w:rsidRPr="00164551" w:rsidRDefault="00164551">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double" w:sz="6" w:space="0" w:color="auto"/>
            </w:tcBorders>
            <w:shd w:val="clear" w:color="auto" w:fill="auto"/>
            <w:noWrap/>
            <w:vAlign w:val="center"/>
          </w:tcPr>
          <w:p w14:paraId="0F5584E4" w14:textId="77777777" w:rsidR="00164551" w:rsidRPr="00164551" w:rsidRDefault="00164551">
            <w:pPr>
              <w:spacing w:before="0" w:after="0"/>
              <w:jc w:val="center"/>
              <w:rPr>
                <w:rFonts w:ascii="Arial" w:hAnsi="Arial" w:cs="Arial"/>
                <w:color w:val="000000"/>
                <w:sz w:val="16"/>
                <w:szCs w:val="16"/>
                <w:lang w:val="en-AU" w:eastAsia="en-AU"/>
              </w:rPr>
            </w:pPr>
          </w:p>
        </w:tc>
      </w:tr>
      <w:tr w:rsidR="00164551" w:rsidRPr="00164551" w14:paraId="4D524127"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19C85F35"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Hume Moreland</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36F9354B" w14:textId="19F7103C"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897" w:type="dxa"/>
            <w:tcBorders>
              <w:top w:val="nil"/>
              <w:left w:val="nil"/>
              <w:bottom w:val="single" w:sz="4" w:space="0" w:color="BFBFBF"/>
              <w:right w:val="single" w:sz="4" w:space="0" w:color="auto"/>
            </w:tcBorders>
            <w:shd w:val="clear" w:color="auto" w:fill="auto"/>
            <w:noWrap/>
            <w:vAlign w:val="center"/>
          </w:tcPr>
          <w:p w14:paraId="117E4B33"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3517ABE9" w14:textId="2C11F898"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960" w:type="dxa"/>
            <w:tcBorders>
              <w:top w:val="nil"/>
              <w:left w:val="nil"/>
              <w:bottom w:val="single" w:sz="4" w:space="0" w:color="BFBFBF"/>
              <w:right w:val="double" w:sz="6" w:space="0" w:color="auto"/>
            </w:tcBorders>
            <w:shd w:val="clear" w:color="auto" w:fill="auto"/>
            <w:noWrap/>
            <w:vAlign w:val="center"/>
          </w:tcPr>
          <w:p w14:paraId="682ACEF3"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64E105A5"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679A5F30"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North Eastern Melbourne</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2842B577" w14:textId="661B144E"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94%</w:t>
            </w:r>
          </w:p>
        </w:tc>
        <w:tc>
          <w:tcPr>
            <w:tcW w:w="897" w:type="dxa"/>
            <w:tcBorders>
              <w:top w:val="nil"/>
              <w:left w:val="nil"/>
              <w:bottom w:val="single" w:sz="4" w:space="0" w:color="BFBFBF"/>
              <w:right w:val="single" w:sz="4" w:space="0" w:color="auto"/>
            </w:tcBorders>
            <w:shd w:val="clear" w:color="auto" w:fill="auto"/>
            <w:noWrap/>
            <w:vAlign w:val="center"/>
          </w:tcPr>
          <w:p w14:paraId="223867D4"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68F4026F" w14:textId="2296BA1D"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960" w:type="dxa"/>
            <w:tcBorders>
              <w:top w:val="nil"/>
              <w:left w:val="nil"/>
              <w:bottom w:val="single" w:sz="4" w:space="0" w:color="BFBFBF"/>
              <w:right w:val="double" w:sz="6" w:space="0" w:color="auto"/>
            </w:tcBorders>
            <w:shd w:val="clear" w:color="auto" w:fill="auto"/>
            <w:noWrap/>
            <w:vAlign w:val="center"/>
          </w:tcPr>
          <w:p w14:paraId="740E5508"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6ED866FB"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27A280F5"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 xml:space="preserve">Outer </w:t>
            </w:r>
            <w:smartTag w:uri="urn:schemas-microsoft-com:office:smarttags" w:element="place">
              <w:r w:rsidRPr="00164551">
                <w:rPr>
                  <w:rFonts w:ascii="Arial" w:hAnsi="Arial" w:cs="Arial"/>
                  <w:color w:val="000000"/>
                  <w:sz w:val="16"/>
                  <w:szCs w:val="16"/>
                  <w:lang w:val="en-AU" w:eastAsia="en-AU"/>
                </w:rPr>
                <w:t>Eastern Melbourne</w:t>
              </w:r>
            </w:smartTag>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2039EDB4" w14:textId="2DC8174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96%</w:t>
            </w:r>
          </w:p>
        </w:tc>
        <w:tc>
          <w:tcPr>
            <w:tcW w:w="897" w:type="dxa"/>
            <w:tcBorders>
              <w:top w:val="nil"/>
              <w:left w:val="nil"/>
              <w:bottom w:val="single" w:sz="4" w:space="0" w:color="BFBFBF"/>
              <w:right w:val="single" w:sz="4" w:space="0" w:color="auto"/>
            </w:tcBorders>
            <w:shd w:val="clear" w:color="auto" w:fill="auto"/>
            <w:noWrap/>
            <w:vAlign w:val="center"/>
          </w:tcPr>
          <w:p w14:paraId="6960DCCB"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44033FBF" w14:textId="2EAD9F62"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960" w:type="dxa"/>
            <w:tcBorders>
              <w:top w:val="nil"/>
              <w:left w:val="nil"/>
              <w:bottom w:val="single" w:sz="4" w:space="0" w:color="BFBFBF"/>
              <w:right w:val="double" w:sz="6" w:space="0" w:color="auto"/>
            </w:tcBorders>
            <w:shd w:val="clear" w:color="auto" w:fill="auto"/>
            <w:noWrap/>
            <w:vAlign w:val="center"/>
          </w:tcPr>
          <w:p w14:paraId="4BB160B9"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538C5332"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7EF399D9"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 xml:space="preserve">Inner </w:t>
            </w:r>
            <w:smartTag w:uri="urn:schemas-microsoft-com:office:smarttags" w:element="place">
              <w:r w:rsidRPr="00164551">
                <w:rPr>
                  <w:rFonts w:ascii="Arial" w:hAnsi="Arial" w:cs="Arial"/>
                  <w:color w:val="000000"/>
                  <w:sz w:val="16"/>
                  <w:szCs w:val="16"/>
                  <w:lang w:val="en-AU" w:eastAsia="en-AU"/>
                </w:rPr>
                <w:t>Eastern Melbourne</w:t>
              </w:r>
            </w:smartTag>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626224F9" w14:textId="41D52198"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97%</w:t>
            </w:r>
          </w:p>
        </w:tc>
        <w:tc>
          <w:tcPr>
            <w:tcW w:w="897" w:type="dxa"/>
            <w:tcBorders>
              <w:top w:val="nil"/>
              <w:left w:val="nil"/>
              <w:bottom w:val="single" w:sz="4" w:space="0" w:color="BFBFBF"/>
              <w:right w:val="single" w:sz="4" w:space="0" w:color="auto"/>
            </w:tcBorders>
            <w:shd w:val="clear" w:color="auto" w:fill="auto"/>
            <w:noWrap/>
            <w:vAlign w:val="center"/>
          </w:tcPr>
          <w:p w14:paraId="6A314A22"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7FF5E6D8" w14:textId="7D7D3B80"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17A5ED46"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342AB300"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49608AEB"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smartTag w:uri="urn:schemas-microsoft-com:office:smarttags" w:element="place">
              <w:r w:rsidRPr="00164551">
                <w:rPr>
                  <w:rFonts w:ascii="Arial" w:hAnsi="Arial" w:cs="Arial"/>
                  <w:color w:val="000000"/>
                  <w:sz w:val="16"/>
                  <w:szCs w:val="16"/>
                  <w:lang w:val="en-AU" w:eastAsia="en-AU"/>
                </w:rPr>
                <w:t>Southern Melbourne</w:t>
              </w:r>
            </w:smartTag>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17BE267A" w14:textId="6A976BBD"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97%</w:t>
            </w:r>
          </w:p>
        </w:tc>
        <w:tc>
          <w:tcPr>
            <w:tcW w:w="897" w:type="dxa"/>
            <w:tcBorders>
              <w:top w:val="nil"/>
              <w:left w:val="nil"/>
              <w:bottom w:val="single" w:sz="4" w:space="0" w:color="BFBFBF"/>
              <w:right w:val="single" w:sz="4" w:space="0" w:color="auto"/>
            </w:tcBorders>
            <w:shd w:val="clear" w:color="auto" w:fill="auto"/>
            <w:noWrap/>
            <w:vAlign w:val="center"/>
          </w:tcPr>
          <w:p w14:paraId="74D6C646"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6E814EDB" w14:textId="3AFF71A0"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2%</w:t>
            </w:r>
          </w:p>
        </w:tc>
        <w:tc>
          <w:tcPr>
            <w:tcW w:w="960" w:type="dxa"/>
            <w:tcBorders>
              <w:top w:val="nil"/>
              <w:left w:val="nil"/>
              <w:bottom w:val="single" w:sz="4" w:space="0" w:color="BFBFBF"/>
              <w:right w:val="double" w:sz="6" w:space="0" w:color="auto"/>
            </w:tcBorders>
            <w:shd w:val="clear" w:color="auto" w:fill="auto"/>
            <w:noWrap/>
            <w:vAlign w:val="center"/>
          </w:tcPr>
          <w:p w14:paraId="71BB2942"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2CC422ED"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6521E1BC"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Bayside</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5FDDE839" w14:textId="68929BBC"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98%</w:t>
            </w:r>
          </w:p>
        </w:tc>
        <w:tc>
          <w:tcPr>
            <w:tcW w:w="897" w:type="dxa"/>
            <w:tcBorders>
              <w:top w:val="nil"/>
              <w:left w:val="nil"/>
              <w:bottom w:val="single" w:sz="4" w:space="0" w:color="BFBFBF"/>
              <w:right w:val="single" w:sz="4" w:space="0" w:color="auto"/>
            </w:tcBorders>
            <w:shd w:val="clear" w:color="auto" w:fill="auto"/>
            <w:noWrap/>
            <w:vAlign w:val="center"/>
          </w:tcPr>
          <w:p w14:paraId="5F22C75E"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54475A3B" w14:textId="24EFEBC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505D77A7"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4B2CF0FE"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7B7CAF18"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smartTag w:uri="urn:schemas-microsoft-com:office:smarttags" w:element="place">
              <w:r w:rsidRPr="00164551">
                <w:rPr>
                  <w:rFonts w:ascii="Arial" w:hAnsi="Arial" w:cs="Arial"/>
                  <w:color w:val="000000"/>
                  <w:sz w:val="16"/>
                  <w:szCs w:val="16"/>
                  <w:lang w:val="en-AU" w:eastAsia="en-AU"/>
                </w:rPr>
                <w:t>Western Melbourne</w:t>
              </w:r>
            </w:smartTag>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7956131E" w14:textId="0F984CA9"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98%</w:t>
            </w:r>
          </w:p>
        </w:tc>
        <w:tc>
          <w:tcPr>
            <w:tcW w:w="897" w:type="dxa"/>
            <w:tcBorders>
              <w:top w:val="nil"/>
              <w:left w:val="nil"/>
              <w:bottom w:val="single" w:sz="4" w:space="0" w:color="BFBFBF"/>
              <w:right w:val="single" w:sz="4" w:space="0" w:color="auto"/>
            </w:tcBorders>
            <w:shd w:val="clear" w:color="auto" w:fill="auto"/>
            <w:noWrap/>
            <w:vAlign w:val="center"/>
          </w:tcPr>
          <w:p w14:paraId="76285936"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04F35B71" w14:textId="4286453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0707A40B"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68D4D052"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1626268E"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Brimbank Melton</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50A1C6BD" w14:textId="025536E0"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95%</w:t>
            </w:r>
          </w:p>
        </w:tc>
        <w:tc>
          <w:tcPr>
            <w:tcW w:w="897" w:type="dxa"/>
            <w:tcBorders>
              <w:top w:val="nil"/>
              <w:left w:val="nil"/>
              <w:bottom w:val="single" w:sz="4" w:space="0" w:color="BFBFBF"/>
              <w:right w:val="single" w:sz="4" w:space="0" w:color="auto"/>
            </w:tcBorders>
            <w:shd w:val="clear" w:color="auto" w:fill="auto"/>
            <w:noWrap/>
            <w:vAlign w:val="center"/>
          </w:tcPr>
          <w:p w14:paraId="6952207E"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0EB567D4" w14:textId="6CF2B70F"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605CF2A0"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13212B36"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4748BEB8"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Mallee</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4CC96605" w14:textId="5E55B3D6"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897" w:type="dxa"/>
            <w:tcBorders>
              <w:top w:val="nil"/>
              <w:left w:val="nil"/>
              <w:bottom w:val="single" w:sz="4" w:space="0" w:color="BFBFBF"/>
              <w:right w:val="single" w:sz="4" w:space="0" w:color="auto"/>
            </w:tcBorders>
            <w:shd w:val="clear" w:color="auto" w:fill="auto"/>
            <w:noWrap/>
            <w:vAlign w:val="center"/>
          </w:tcPr>
          <w:p w14:paraId="655BAB1A"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08BFE3C2" w14:textId="75AB41F3"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44913EC0"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6321AF93"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7A8379D3"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Loddon</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20E5913C" w14:textId="0C8444BD"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99%</w:t>
            </w:r>
          </w:p>
        </w:tc>
        <w:tc>
          <w:tcPr>
            <w:tcW w:w="897" w:type="dxa"/>
            <w:tcBorders>
              <w:top w:val="nil"/>
              <w:left w:val="nil"/>
              <w:bottom w:val="single" w:sz="4" w:space="0" w:color="BFBFBF"/>
              <w:right w:val="single" w:sz="4" w:space="0" w:color="auto"/>
            </w:tcBorders>
            <w:shd w:val="clear" w:color="auto" w:fill="auto"/>
            <w:noWrap/>
            <w:vAlign w:val="center"/>
          </w:tcPr>
          <w:p w14:paraId="22016EC2"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2C02D8A7" w14:textId="21A6BDDA"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960" w:type="dxa"/>
            <w:tcBorders>
              <w:top w:val="nil"/>
              <w:left w:val="nil"/>
              <w:bottom w:val="single" w:sz="4" w:space="0" w:color="BFBFBF"/>
              <w:right w:val="double" w:sz="6" w:space="0" w:color="auto"/>
            </w:tcBorders>
            <w:shd w:val="clear" w:color="auto" w:fill="auto"/>
            <w:noWrap/>
            <w:vAlign w:val="center"/>
          </w:tcPr>
          <w:p w14:paraId="043E3FC9"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2F6F0F56"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1E598507"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164551">
                  <w:rPr>
                    <w:rFonts w:ascii="Arial" w:hAnsi="Arial" w:cs="Arial"/>
                    <w:color w:val="000000"/>
                    <w:sz w:val="16"/>
                    <w:szCs w:val="16"/>
                    <w:lang w:val="en-AU" w:eastAsia="en-AU"/>
                  </w:rPr>
                  <w:t>Murray</w:t>
                </w:r>
              </w:smartTag>
            </w:smartTag>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6B512339" w14:textId="4729B408"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88%</w:t>
            </w:r>
          </w:p>
        </w:tc>
        <w:tc>
          <w:tcPr>
            <w:tcW w:w="897" w:type="dxa"/>
            <w:tcBorders>
              <w:top w:val="nil"/>
              <w:left w:val="nil"/>
              <w:bottom w:val="single" w:sz="4" w:space="0" w:color="BFBFBF"/>
              <w:right w:val="single" w:sz="4" w:space="0" w:color="auto"/>
            </w:tcBorders>
            <w:shd w:val="clear" w:color="auto" w:fill="auto"/>
            <w:noWrap/>
            <w:vAlign w:val="center"/>
          </w:tcPr>
          <w:p w14:paraId="22C13F10"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6A9D1E4E" w14:textId="410BAC02"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2%</w:t>
            </w:r>
          </w:p>
        </w:tc>
        <w:tc>
          <w:tcPr>
            <w:tcW w:w="960" w:type="dxa"/>
            <w:tcBorders>
              <w:top w:val="nil"/>
              <w:left w:val="nil"/>
              <w:bottom w:val="single" w:sz="4" w:space="0" w:color="BFBFBF"/>
              <w:right w:val="double" w:sz="6" w:space="0" w:color="auto"/>
            </w:tcBorders>
            <w:shd w:val="clear" w:color="auto" w:fill="auto"/>
            <w:noWrap/>
            <w:vAlign w:val="center"/>
          </w:tcPr>
          <w:p w14:paraId="28A079D8"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501D6754"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52AC351A"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Goulburn</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337DFEA3" w14:textId="7B0CFCCA"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94%</w:t>
            </w:r>
          </w:p>
        </w:tc>
        <w:tc>
          <w:tcPr>
            <w:tcW w:w="897" w:type="dxa"/>
            <w:tcBorders>
              <w:top w:val="nil"/>
              <w:left w:val="nil"/>
              <w:bottom w:val="single" w:sz="4" w:space="0" w:color="BFBFBF"/>
              <w:right w:val="single" w:sz="4" w:space="0" w:color="auto"/>
            </w:tcBorders>
            <w:shd w:val="clear" w:color="auto" w:fill="auto"/>
            <w:noWrap/>
            <w:vAlign w:val="center"/>
          </w:tcPr>
          <w:p w14:paraId="039E850A"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73629198" w14:textId="6551D641"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27786091"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07AE8DF5"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1311D464"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Outer Gippsland</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2E0DAFC2" w14:textId="1A23FE2D"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93%</w:t>
            </w:r>
          </w:p>
        </w:tc>
        <w:tc>
          <w:tcPr>
            <w:tcW w:w="897" w:type="dxa"/>
            <w:tcBorders>
              <w:top w:val="nil"/>
              <w:left w:val="nil"/>
              <w:bottom w:val="single" w:sz="4" w:space="0" w:color="BFBFBF"/>
              <w:right w:val="single" w:sz="4" w:space="0" w:color="auto"/>
            </w:tcBorders>
            <w:shd w:val="clear" w:color="auto" w:fill="auto"/>
            <w:noWrap/>
            <w:vAlign w:val="center"/>
          </w:tcPr>
          <w:p w14:paraId="5E1C7E7D"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062D7986" w14:textId="7027075C"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2%</w:t>
            </w:r>
          </w:p>
        </w:tc>
        <w:tc>
          <w:tcPr>
            <w:tcW w:w="960" w:type="dxa"/>
            <w:tcBorders>
              <w:top w:val="nil"/>
              <w:left w:val="nil"/>
              <w:bottom w:val="single" w:sz="4" w:space="0" w:color="BFBFBF"/>
              <w:right w:val="double" w:sz="6" w:space="0" w:color="auto"/>
            </w:tcBorders>
            <w:shd w:val="clear" w:color="auto" w:fill="auto"/>
            <w:noWrap/>
            <w:vAlign w:val="center"/>
          </w:tcPr>
          <w:p w14:paraId="199BC3AD"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016CADDF"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4E8895C4"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Inner Gippsland</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68E66F05" w14:textId="6E9A0D85"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91%</w:t>
            </w:r>
          </w:p>
        </w:tc>
        <w:tc>
          <w:tcPr>
            <w:tcW w:w="897" w:type="dxa"/>
            <w:tcBorders>
              <w:top w:val="nil"/>
              <w:left w:val="nil"/>
              <w:bottom w:val="single" w:sz="4" w:space="0" w:color="BFBFBF"/>
              <w:right w:val="single" w:sz="4" w:space="0" w:color="auto"/>
            </w:tcBorders>
            <w:shd w:val="clear" w:color="auto" w:fill="auto"/>
            <w:noWrap/>
            <w:vAlign w:val="center"/>
          </w:tcPr>
          <w:p w14:paraId="6B3E0574"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45642FE5" w14:textId="04771C08"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2F8E4EAA"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01F67FE4"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4156FCE2"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Western District</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41303EC6" w14:textId="1DEA3739"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897" w:type="dxa"/>
            <w:tcBorders>
              <w:top w:val="nil"/>
              <w:left w:val="nil"/>
              <w:bottom w:val="single" w:sz="4" w:space="0" w:color="BFBFBF"/>
              <w:right w:val="single" w:sz="4" w:space="0" w:color="auto"/>
            </w:tcBorders>
            <w:shd w:val="clear" w:color="auto" w:fill="auto"/>
            <w:noWrap/>
            <w:vAlign w:val="center"/>
          </w:tcPr>
          <w:p w14:paraId="72E4FA9B"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556F13DA" w14:textId="5606D98E"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215982AA"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251EFE2C"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6894EFEB"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Barwon</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34C4FD04" w14:textId="0B096008"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87%</w:t>
            </w:r>
          </w:p>
        </w:tc>
        <w:tc>
          <w:tcPr>
            <w:tcW w:w="897" w:type="dxa"/>
            <w:tcBorders>
              <w:top w:val="nil"/>
              <w:left w:val="nil"/>
              <w:bottom w:val="single" w:sz="4" w:space="0" w:color="BFBFBF"/>
              <w:right w:val="single" w:sz="4" w:space="0" w:color="auto"/>
            </w:tcBorders>
            <w:shd w:val="clear" w:color="auto" w:fill="auto"/>
            <w:noWrap/>
            <w:vAlign w:val="center"/>
          </w:tcPr>
          <w:p w14:paraId="042B497D"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0BAEFB62" w14:textId="098E134C"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960" w:type="dxa"/>
            <w:tcBorders>
              <w:top w:val="nil"/>
              <w:left w:val="nil"/>
              <w:bottom w:val="single" w:sz="4" w:space="0" w:color="BFBFBF"/>
              <w:right w:val="double" w:sz="6" w:space="0" w:color="auto"/>
            </w:tcBorders>
            <w:shd w:val="clear" w:color="auto" w:fill="auto"/>
            <w:noWrap/>
            <w:vAlign w:val="center"/>
          </w:tcPr>
          <w:p w14:paraId="52EE9034"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300E71F8"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bottom"/>
          </w:tcPr>
          <w:p w14:paraId="3109AB50"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Central Highlands</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5AFDE0EC" w14:textId="3717FD4C"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99%</w:t>
            </w:r>
          </w:p>
        </w:tc>
        <w:tc>
          <w:tcPr>
            <w:tcW w:w="897" w:type="dxa"/>
            <w:tcBorders>
              <w:top w:val="nil"/>
              <w:left w:val="nil"/>
              <w:bottom w:val="single" w:sz="4" w:space="0" w:color="BFBFBF"/>
              <w:right w:val="single" w:sz="4" w:space="0" w:color="auto"/>
            </w:tcBorders>
            <w:shd w:val="clear" w:color="auto" w:fill="auto"/>
            <w:noWrap/>
            <w:vAlign w:val="center"/>
          </w:tcPr>
          <w:p w14:paraId="58AA94CD"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c>
          <w:tcPr>
            <w:tcW w:w="960" w:type="dxa"/>
            <w:tcBorders>
              <w:top w:val="nil"/>
              <w:left w:val="nil"/>
              <w:bottom w:val="single" w:sz="4" w:space="0" w:color="BFBFBF"/>
              <w:right w:val="single" w:sz="4" w:space="0" w:color="BFBFBF"/>
            </w:tcBorders>
            <w:shd w:val="clear" w:color="auto" w:fill="auto"/>
            <w:noWrap/>
            <w:vAlign w:val="center"/>
          </w:tcPr>
          <w:p w14:paraId="231B58DD" w14:textId="1821BFEB"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2%</w:t>
            </w:r>
          </w:p>
        </w:tc>
        <w:tc>
          <w:tcPr>
            <w:tcW w:w="960" w:type="dxa"/>
            <w:tcBorders>
              <w:top w:val="nil"/>
              <w:left w:val="nil"/>
              <w:bottom w:val="single" w:sz="4" w:space="0" w:color="BFBFBF"/>
              <w:right w:val="double" w:sz="6" w:space="0" w:color="auto"/>
            </w:tcBorders>
            <w:shd w:val="clear" w:color="auto" w:fill="auto"/>
            <w:noWrap/>
            <w:vAlign w:val="center"/>
          </w:tcPr>
          <w:p w14:paraId="6B2CC856"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n/a</w:t>
            </w:r>
          </w:p>
        </w:tc>
      </w:tr>
      <w:tr w:rsidR="00164551" w:rsidRPr="00164551" w14:paraId="499C54C5"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35371222" w14:textId="77777777" w:rsidR="00164551" w:rsidRPr="00164551" w:rsidRDefault="00164551" w:rsidP="00736859">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Concession Status -</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1CBF706E" w14:textId="6238C5FC" w:rsidR="00164551" w:rsidRPr="00164551" w:rsidRDefault="00164551">
            <w:pPr>
              <w:spacing w:before="0" w:after="0"/>
              <w:jc w:val="center"/>
              <w:rPr>
                <w:rFonts w:ascii="Arial" w:hAnsi="Arial" w:cs="Arial"/>
                <w:color w:val="000000"/>
                <w:sz w:val="16"/>
                <w:szCs w:val="16"/>
                <w:lang w:val="en-AU" w:eastAsia="en-AU"/>
              </w:rPr>
            </w:pPr>
          </w:p>
        </w:tc>
        <w:tc>
          <w:tcPr>
            <w:tcW w:w="897" w:type="dxa"/>
            <w:tcBorders>
              <w:top w:val="nil"/>
              <w:left w:val="nil"/>
              <w:bottom w:val="single" w:sz="4" w:space="0" w:color="BFBFBF"/>
              <w:right w:val="single" w:sz="4" w:space="0" w:color="auto"/>
            </w:tcBorders>
            <w:shd w:val="clear" w:color="auto" w:fill="auto"/>
            <w:noWrap/>
            <w:vAlign w:val="center"/>
          </w:tcPr>
          <w:p w14:paraId="7748E9C6" w14:textId="77777777" w:rsidR="00164551" w:rsidRPr="00164551" w:rsidRDefault="00164551">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single" w:sz="4" w:space="0" w:color="BFBFBF"/>
            </w:tcBorders>
            <w:shd w:val="clear" w:color="auto" w:fill="auto"/>
            <w:noWrap/>
            <w:vAlign w:val="center"/>
          </w:tcPr>
          <w:p w14:paraId="433D4B83" w14:textId="37104A7C" w:rsidR="00164551" w:rsidRPr="00164551" w:rsidRDefault="00164551">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double" w:sz="6" w:space="0" w:color="auto"/>
            </w:tcBorders>
            <w:shd w:val="clear" w:color="auto" w:fill="auto"/>
            <w:noWrap/>
            <w:vAlign w:val="center"/>
          </w:tcPr>
          <w:p w14:paraId="2186C0BA" w14:textId="77777777" w:rsidR="00164551" w:rsidRPr="00164551" w:rsidRDefault="00164551">
            <w:pPr>
              <w:spacing w:before="0" w:after="0"/>
              <w:jc w:val="center"/>
              <w:rPr>
                <w:rFonts w:ascii="Arial" w:hAnsi="Arial" w:cs="Arial"/>
                <w:color w:val="000000"/>
                <w:sz w:val="16"/>
                <w:szCs w:val="16"/>
                <w:lang w:val="en-AU" w:eastAsia="en-AU"/>
              </w:rPr>
            </w:pPr>
          </w:p>
        </w:tc>
      </w:tr>
      <w:tr w:rsidR="00164551" w:rsidRPr="00164551" w14:paraId="23AA27F9"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0D6CE20F"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Aged Concession HHs</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252920C8" w14:textId="72941B4A"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96%</w:t>
            </w:r>
          </w:p>
        </w:tc>
        <w:tc>
          <w:tcPr>
            <w:tcW w:w="897" w:type="dxa"/>
            <w:tcBorders>
              <w:top w:val="nil"/>
              <w:left w:val="nil"/>
              <w:bottom w:val="single" w:sz="4" w:space="0" w:color="BFBFBF"/>
              <w:right w:val="single" w:sz="4" w:space="0" w:color="auto"/>
            </w:tcBorders>
            <w:shd w:val="clear" w:color="auto" w:fill="auto"/>
            <w:noWrap/>
            <w:vAlign w:val="center"/>
          </w:tcPr>
          <w:p w14:paraId="35DB6F80"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98%</w:t>
            </w:r>
          </w:p>
        </w:tc>
        <w:tc>
          <w:tcPr>
            <w:tcW w:w="960" w:type="dxa"/>
            <w:tcBorders>
              <w:top w:val="nil"/>
              <w:left w:val="nil"/>
              <w:bottom w:val="single" w:sz="4" w:space="0" w:color="BFBFBF"/>
              <w:right w:val="single" w:sz="4" w:space="0" w:color="BFBFBF"/>
            </w:tcBorders>
            <w:shd w:val="clear" w:color="auto" w:fill="auto"/>
            <w:noWrap/>
            <w:vAlign w:val="center"/>
          </w:tcPr>
          <w:p w14:paraId="3E5148FB" w14:textId="46BCFE5C"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4F69A9F6"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60%</w:t>
            </w:r>
          </w:p>
        </w:tc>
      </w:tr>
      <w:tr w:rsidR="00164551" w:rsidRPr="00164551" w14:paraId="3D9DB1AC"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51CC3A9F"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Other Concession HHs</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22F1C453" w14:textId="79758B88"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95%</w:t>
            </w:r>
          </w:p>
        </w:tc>
        <w:tc>
          <w:tcPr>
            <w:tcW w:w="897" w:type="dxa"/>
            <w:tcBorders>
              <w:top w:val="nil"/>
              <w:left w:val="nil"/>
              <w:bottom w:val="single" w:sz="4" w:space="0" w:color="BFBFBF"/>
              <w:right w:val="single" w:sz="4" w:space="0" w:color="auto"/>
            </w:tcBorders>
            <w:shd w:val="clear" w:color="auto" w:fill="auto"/>
            <w:noWrap/>
            <w:vAlign w:val="center"/>
          </w:tcPr>
          <w:p w14:paraId="30056079"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95%</w:t>
            </w:r>
          </w:p>
        </w:tc>
        <w:tc>
          <w:tcPr>
            <w:tcW w:w="960" w:type="dxa"/>
            <w:tcBorders>
              <w:top w:val="nil"/>
              <w:left w:val="nil"/>
              <w:bottom w:val="single" w:sz="4" w:space="0" w:color="BFBFBF"/>
              <w:right w:val="single" w:sz="4" w:space="0" w:color="BFBFBF"/>
            </w:tcBorders>
            <w:shd w:val="clear" w:color="auto" w:fill="auto"/>
            <w:noWrap/>
            <w:vAlign w:val="center"/>
          </w:tcPr>
          <w:p w14:paraId="5952BDE6" w14:textId="7C3B7CDF"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2%</w:t>
            </w:r>
          </w:p>
        </w:tc>
        <w:tc>
          <w:tcPr>
            <w:tcW w:w="960" w:type="dxa"/>
            <w:tcBorders>
              <w:top w:val="nil"/>
              <w:left w:val="nil"/>
              <w:bottom w:val="single" w:sz="4" w:space="0" w:color="BFBFBF"/>
              <w:right w:val="double" w:sz="6" w:space="0" w:color="auto"/>
            </w:tcBorders>
            <w:shd w:val="clear" w:color="auto" w:fill="auto"/>
            <w:noWrap/>
            <w:vAlign w:val="center"/>
          </w:tcPr>
          <w:p w14:paraId="564C0662"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61%</w:t>
            </w:r>
          </w:p>
        </w:tc>
      </w:tr>
      <w:tr w:rsidR="00164551" w:rsidRPr="00164551" w14:paraId="29BCF664"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65B5E5AE"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Total Concession HHs</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0E392805" w14:textId="43E43A62"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95%</w:t>
            </w:r>
          </w:p>
        </w:tc>
        <w:tc>
          <w:tcPr>
            <w:tcW w:w="897" w:type="dxa"/>
            <w:tcBorders>
              <w:top w:val="nil"/>
              <w:left w:val="nil"/>
              <w:bottom w:val="single" w:sz="4" w:space="0" w:color="BFBFBF"/>
              <w:right w:val="single" w:sz="4" w:space="0" w:color="auto"/>
            </w:tcBorders>
            <w:shd w:val="clear" w:color="auto" w:fill="auto"/>
            <w:noWrap/>
            <w:vAlign w:val="center"/>
          </w:tcPr>
          <w:p w14:paraId="41C0F932"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97%</w:t>
            </w:r>
          </w:p>
        </w:tc>
        <w:tc>
          <w:tcPr>
            <w:tcW w:w="960" w:type="dxa"/>
            <w:tcBorders>
              <w:top w:val="nil"/>
              <w:left w:val="nil"/>
              <w:bottom w:val="single" w:sz="4" w:space="0" w:color="BFBFBF"/>
              <w:right w:val="single" w:sz="4" w:space="0" w:color="BFBFBF"/>
            </w:tcBorders>
            <w:shd w:val="clear" w:color="auto" w:fill="auto"/>
            <w:noWrap/>
            <w:vAlign w:val="center"/>
          </w:tcPr>
          <w:p w14:paraId="2324C18B" w14:textId="557F2879"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960" w:type="dxa"/>
            <w:tcBorders>
              <w:top w:val="nil"/>
              <w:left w:val="nil"/>
              <w:bottom w:val="single" w:sz="4" w:space="0" w:color="BFBFBF"/>
              <w:right w:val="double" w:sz="6" w:space="0" w:color="auto"/>
            </w:tcBorders>
            <w:shd w:val="clear" w:color="auto" w:fill="auto"/>
            <w:noWrap/>
            <w:vAlign w:val="center"/>
          </w:tcPr>
          <w:p w14:paraId="5421A4D2"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61%</w:t>
            </w:r>
          </w:p>
        </w:tc>
      </w:tr>
      <w:tr w:rsidR="00164551" w:rsidRPr="00164551" w14:paraId="69FC32FC" w14:textId="77777777" w:rsidTr="009748AD">
        <w:trPr>
          <w:trHeight w:val="225"/>
          <w:jc w:val="center"/>
        </w:trPr>
        <w:tc>
          <w:tcPr>
            <w:tcW w:w="2780" w:type="dxa"/>
            <w:tcBorders>
              <w:top w:val="single" w:sz="4" w:space="0" w:color="BFBFBF"/>
              <w:left w:val="double" w:sz="6" w:space="0" w:color="auto"/>
              <w:bottom w:val="double" w:sz="4" w:space="0" w:color="auto"/>
              <w:right w:val="nil"/>
            </w:tcBorders>
            <w:shd w:val="clear" w:color="auto" w:fill="auto"/>
            <w:noWrap/>
            <w:vAlign w:val="center"/>
          </w:tcPr>
          <w:p w14:paraId="51451598"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Non-Concession HHs</w:t>
            </w:r>
          </w:p>
        </w:tc>
        <w:tc>
          <w:tcPr>
            <w:tcW w:w="1023"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625A5C0E" w14:textId="1CEB3610"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97%</w:t>
            </w:r>
          </w:p>
        </w:tc>
        <w:tc>
          <w:tcPr>
            <w:tcW w:w="897" w:type="dxa"/>
            <w:tcBorders>
              <w:top w:val="single" w:sz="4" w:space="0" w:color="BFBFBF"/>
              <w:left w:val="nil"/>
              <w:bottom w:val="double" w:sz="4" w:space="0" w:color="auto"/>
              <w:right w:val="single" w:sz="4" w:space="0" w:color="auto"/>
            </w:tcBorders>
            <w:shd w:val="clear" w:color="auto" w:fill="auto"/>
            <w:noWrap/>
            <w:vAlign w:val="center"/>
          </w:tcPr>
          <w:p w14:paraId="3F8A7E3F"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96%</w:t>
            </w:r>
          </w:p>
        </w:tc>
        <w:tc>
          <w:tcPr>
            <w:tcW w:w="960" w:type="dxa"/>
            <w:tcBorders>
              <w:top w:val="single" w:sz="4" w:space="0" w:color="BFBFBF"/>
              <w:left w:val="nil"/>
              <w:bottom w:val="double" w:sz="4" w:space="0" w:color="auto"/>
              <w:right w:val="single" w:sz="4" w:space="0" w:color="BFBFBF"/>
            </w:tcBorders>
            <w:shd w:val="clear" w:color="auto" w:fill="auto"/>
            <w:noWrap/>
            <w:vAlign w:val="center"/>
          </w:tcPr>
          <w:p w14:paraId="3F1A05B6" w14:textId="6757E2ED"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single" w:sz="4" w:space="0" w:color="BFBFBF"/>
              <w:left w:val="nil"/>
              <w:bottom w:val="double" w:sz="4" w:space="0" w:color="auto"/>
              <w:right w:val="double" w:sz="6" w:space="0" w:color="auto"/>
            </w:tcBorders>
            <w:shd w:val="clear" w:color="auto" w:fill="auto"/>
            <w:noWrap/>
            <w:vAlign w:val="center"/>
          </w:tcPr>
          <w:p w14:paraId="6459F440"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61%</w:t>
            </w:r>
          </w:p>
        </w:tc>
      </w:tr>
      <w:tr w:rsidR="00164551" w:rsidRPr="00164551" w14:paraId="2BCF6F6D" w14:textId="77777777" w:rsidTr="006E497E">
        <w:trPr>
          <w:trHeight w:val="225"/>
          <w:jc w:val="center"/>
        </w:trPr>
        <w:tc>
          <w:tcPr>
            <w:tcW w:w="2780" w:type="dxa"/>
            <w:tcBorders>
              <w:top w:val="double" w:sz="4" w:space="0" w:color="auto"/>
            </w:tcBorders>
            <w:shd w:val="clear" w:color="auto" w:fill="auto"/>
            <w:noWrap/>
            <w:vAlign w:val="center"/>
          </w:tcPr>
          <w:p w14:paraId="0B3CD16E" w14:textId="77777777" w:rsidR="00164551" w:rsidRPr="00164551" w:rsidRDefault="00164551" w:rsidP="00736859">
            <w:pPr>
              <w:spacing w:before="0" w:after="0"/>
              <w:rPr>
                <w:rFonts w:ascii="Arial" w:hAnsi="Arial" w:cs="Arial"/>
                <w:b/>
                <w:bCs/>
                <w:color w:val="000000"/>
                <w:sz w:val="16"/>
                <w:szCs w:val="16"/>
                <w:lang w:val="en-AU" w:eastAsia="en-AU"/>
              </w:rPr>
            </w:pPr>
          </w:p>
          <w:p w14:paraId="373B214F" w14:textId="77777777" w:rsidR="00164551" w:rsidRPr="00164551" w:rsidRDefault="00164551" w:rsidP="00736859">
            <w:pPr>
              <w:spacing w:before="0" w:after="0"/>
              <w:rPr>
                <w:rFonts w:ascii="Arial" w:hAnsi="Arial" w:cs="Arial"/>
                <w:bCs/>
                <w:color w:val="000000"/>
                <w:sz w:val="16"/>
                <w:szCs w:val="16"/>
                <w:lang w:val="en-AU" w:eastAsia="en-AU"/>
              </w:rPr>
            </w:pPr>
            <w:r w:rsidRPr="00164551">
              <w:rPr>
                <w:rFonts w:ascii="Arial" w:hAnsi="Arial" w:cs="Arial"/>
                <w:bCs/>
                <w:color w:val="000000"/>
                <w:sz w:val="16"/>
                <w:szCs w:val="16"/>
                <w:lang w:val="en-AU" w:eastAsia="en-AU"/>
              </w:rPr>
              <w:t>Continued on next page</w:t>
            </w:r>
          </w:p>
          <w:p w14:paraId="1F3CA71F" w14:textId="77777777" w:rsidR="00164551" w:rsidRPr="00164551" w:rsidRDefault="00164551" w:rsidP="00736859">
            <w:pPr>
              <w:spacing w:before="0" w:after="0"/>
              <w:rPr>
                <w:rFonts w:ascii="Arial" w:hAnsi="Arial" w:cs="Arial"/>
                <w:b/>
                <w:bCs/>
                <w:color w:val="000000"/>
                <w:sz w:val="16"/>
                <w:szCs w:val="16"/>
                <w:lang w:val="en-AU" w:eastAsia="en-AU"/>
              </w:rPr>
            </w:pPr>
          </w:p>
        </w:tc>
        <w:tc>
          <w:tcPr>
            <w:tcW w:w="1023" w:type="dxa"/>
            <w:tcBorders>
              <w:top w:val="double" w:sz="4" w:space="0" w:color="auto"/>
            </w:tcBorders>
            <w:shd w:val="clear" w:color="auto" w:fill="auto"/>
            <w:noWrap/>
            <w:vAlign w:val="center"/>
          </w:tcPr>
          <w:p w14:paraId="74E404DC" w14:textId="77777777" w:rsidR="00164551" w:rsidRPr="00164551" w:rsidRDefault="00164551" w:rsidP="006E497E">
            <w:pPr>
              <w:spacing w:before="0" w:after="0"/>
              <w:jc w:val="center"/>
              <w:rPr>
                <w:rFonts w:ascii="Arial" w:hAnsi="Arial" w:cs="Arial"/>
                <w:b/>
                <w:bCs/>
                <w:color w:val="000000"/>
                <w:sz w:val="16"/>
                <w:szCs w:val="16"/>
                <w:lang w:val="en-AU" w:eastAsia="en-AU"/>
              </w:rPr>
            </w:pPr>
          </w:p>
        </w:tc>
        <w:tc>
          <w:tcPr>
            <w:tcW w:w="897" w:type="dxa"/>
            <w:tcBorders>
              <w:top w:val="double" w:sz="4" w:space="0" w:color="auto"/>
            </w:tcBorders>
            <w:shd w:val="clear" w:color="auto" w:fill="auto"/>
            <w:noWrap/>
            <w:vAlign w:val="center"/>
          </w:tcPr>
          <w:p w14:paraId="6A9B5964" w14:textId="77777777" w:rsidR="00164551" w:rsidRPr="00164551" w:rsidRDefault="00164551" w:rsidP="006E497E">
            <w:pPr>
              <w:spacing w:before="0" w:after="0"/>
              <w:jc w:val="center"/>
              <w:rPr>
                <w:rFonts w:ascii="Arial" w:hAnsi="Arial" w:cs="Arial"/>
                <w:color w:val="000000"/>
                <w:sz w:val="16"/>
                <w:szCs w:val="16"/>
                <w:lang w:val="en-AU" w:eastAsia="en-AU"/>
              </w:rPr>
            </w:pPr>
          </w:p>
        </w:tc>
        <w:tc>
          <w:tcPr>
            <w:tcW w:w="960" w:type="dxa"/>
            <w:tcBorders>
              <w:top w:val="double" w:sz="4" w:space="0" w:color="auto"/>
            </w:tcBorders>
            <w:shd w:val="clear" w:color="auto" w:fill="auto"/>
            <w:noWrap/>
            <w:vAlign w:val="center"/>
          </w:tcPr>
          <w:p w14:paraId="64C139B4" w14:textId="77777777" w:rsidR="00164551" w:rsidRPr="00164551" w:rsidRDefault="00164551" w:rsidP="006E497E">
            <w:pPr>
              <w:spacing w:before="0" w:after="0"/>
              <w:jc w:val="center"/>
              <w:rPr>
                <w:rFonts w:ascii="Arial" w:hAnsi="Arial" w:cs="Arial"/>
                <w:color w:val="000000"/>
                <w:sz w:val="16"/>
                <w:szCs w:val="16"/>
                <w:lang w:val="en-AU" w:eastAsia="en-AU"/>
              </w:rPr>
            </w:pPr>
          </w:p>
        </w:tc>
        <w:tc>
          <w:tcPr>
            <w:tcW w:w="960" w:type="dxa"/>
            <w:tcBorders>
              <w:top w:val="double" w:sz="4" w:space="0" w:color="auto"/>
            </w:tcBorders>
            <w:shd w:val="clear" w:color="auto" w:fill="auto"/>
            <w:noWrap/>
            <w:vAlign w:val="center"/>
          </w:tcPr>
          <w:p w14:paraId="63CF8934" w14:textId="77777777" w:rsidR="00164551" w:rsidRPr="00164551" w:rsidRDefault="00164551" w:rsidP="006E497E">
            <w:pPr>
              <w:spacing w:before="0" w:after="0"/>
              <w:jc w:val="center"/>
              <w:rPr>
                <w:rFonts w:ascii="Arial" w:hAnsi="Arial" w:cs="Arial"/>
                <w:color w:val="000000"/>
                <w:sz w:val="16"/>
                <w:szCs w:val="16"/>
                <w:lang w:val="en-AU" w:eastAsia="en-AU"/>
              </w:rPr>
            </w:pPr>
          </w:p>
        </w:tc>
      </w:tr>
      <w:tr w:rsidR="00164551" w:rsidRPr="00164551" w14:paraId="754C5765" w14:textId="77777777" w:rsidTr="006E497E">
        <w:trPr>
          <w:trHeight w:val="225"/>
          <w:jc w:val="center"/>
        </w:trPr>
        <w:tc>
          <w:tcPr>
            <w:tcW w:w="2780" w:type="dxa"/>
            <w:tcBorders>
              <w:left w:val="double" w:sz="6" w:space="0" w:color="auto"/>
              <w:bottom w:val="single" w:sz="4" w:space="0" w:color="BFBFBF"/>
              <w:right w:val="nil"/>
            </w:tcBorders>
            <w:shd w:val="clear" w:color="auto" w:fill="auto"/>
            <w:noWrap/>
            <w:vAlign w:val="center"/>
          </w:tcPr>
          <w:p w14:paraId="4B7D4C01" w14:textId="77777777" w:rsidR="00154117" w:rsidRDefault="00154117" w:rsidP="00736859">
            <w:pPr>
              <w:spacing w:before="0" w:after="0"/>
              <w:rPr>
                <w:rFonts w:ascii="Arial" w:hAnsi="Arial" w:cs="Arial"/>
                <w:b/>
                <w:bCs/>
                <w:color w:val="000000"/>
                <w:sz w:val="16"/>
                <w:szCs w:val="16"/>
                <w:lang w:val="en-AU" w:eastAsia="en-AU"/>
              </w:rPr>
            </w:pPr>
          </w:p>
          <w:p w14:paraId="4FF272C7" w14:textId="77777777" w:rsidR="00164551" w:rsidRPr="00164551" w:rsidRDefault="00164551" w:rsidP="00736859">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Household Size -</w:t>
            </w:r>
          </w:p>
        </w:tc>
        <w:tc>
          <w:tcPr>
            <w:tcW w:w="1023" w:type="dxa"/>
            <w:tcBorders>
              <w:left w:val="single" w:sz="4" w:space="0" w:color="auto"/>
              <w:bottom w:val="single" w:sz="4" w:space="0" w:color="BFBFBF"/>
              <w:right w:val="single" w:sz="4" w:space="0" w:color="BFBFBF"/>
            </w:tcBorders>
            <w:shd w:val="clear" w:color="auto" w:fill="auto"/>
            <w:noWrap/>
            <w:vAlign w:val="center"/>
          </w:tcPr>
          <w:p w14:paraId="232A0F64" w14:textId="77777777" w:rsidR="00164551" w:rsidRPr="00164551" w:rsidRDefault="00164551" w:rsidP="006E497E">
            <w:pPr>
              <w:spacing w:before="0" w:after="0"/>
              <w:jc w:val="center"/>
              <w:rPr>
                <w:rFonts w:ascii="Arial" w:hAnsi="Arial" w:cs="Arial"/>
                <w:b/>
                <w:bCs/>
                <w:color w:val="000000"/>
                <w:sz w:val="16"/>
                <w:szCs w:val="16"/>
                <w:lang w:val="en-AU" w:eastAsia="en-AU"/>
              </w:rPr>
            </w:pPr>
          </w:p>
        </w:tc>
        <w:tc>
          <w:tcPr>
            <w:tcW w:w="897" w:type="dxa"/>
            <w:tcBorders>
              <w:left w:val="nil"/>
              <w:bottom w:val="single" w:sz="4" w:space="0" w:color="BFBFBF"/>
              <w:right w:val="single" w:sz="4" w:space="0" w:color="auto"/>
            </w:tcBorders>
            <w:shd w:val="clear" w:color="auto" w:fill="auto"/>
            <w:noWrap/>
            <w:vAlign w:val="center"/>
          </w:tcPr>
          <w:p w14:paraId="1F9D33AA" w14:textId="77777777" w:rsidR="00164551" w:rsidRPr="00164551" w:rsidRDefault="00164551" w:rsidP="006E497E">
            <w:pPr>
              <w:spacing w:before="0" w:after="0"/>
              <w:jc w:val="center"/>
              <w:rPr>
                <w:rFonts w:ascii="Arial" w:hAnsi="Arial" w:cs="Arial"/>
                <w:color w:val="000000"/>
                <w:sz w:val="16"/>
                <w:szCs w:val="16"/>
                <w:lang w:val="en-AU" w:eastAsia="en-AU"/>
              </w:rPr>
            </w:pPr>
          </w:p>
        </w:tc>
        <w:tc>
          <w:tcPr>
            <w:tcW w:w="960" w:type="dxa"/>
            <w:tcBorders>
              <w:left w:val="nil"/>
              <w:bottom w:val="single" w:sz="4" w:space="0" w:color="BFBFBF"/>
              <w:right w:val="single" w:sz="4" w:space="0" w:color="BFBFBF"/>
            </w:tcBorders>
            <w:shd w:val="clear" w:color="auto" w:fill="auto"/>
            <w:noWrap/>
            <w:vAlign w:val="center"/>
          </w:tcPr>
          <w:p w14:paraId="6CD3CD68" w14:textId="77777777" w:rsidR="00164551" w:rsidRPr="00164551" w:rsidRDefault="00164551" w:rsidP="006E497E">
            <w:pPr>
              <w:spacing w:before="0" w:after="0"/>
              <w:jc w:val="center"/>
              <w:rPr>
                <w:rFonts w:ascii="Arial" w:hAnsi="Arial" w:cs="Arial"/>
                <w:color w:val="000000"/>
                <w:sz w:val="16"/>
                <w:szCs w:val="16"/>
                <w:lang w:val="en-AU" w:eastAsia="en-AU"/>
              </w:rPr>
            </w:pPr>
          </w:p>
        </w:tc>
        <w:tc>
          <w:tcPr>
            <w:tcW w:w="960" w:type="dxa"/>
            <w:tcBorders>
              <w:left w:val="nil"/>
              <w:bottom w:val="single" w:sz="4" w:space="0" w:color="BFBFBF"/>
              <w:right w:val="double" w:sz="6" w:space="0" w:color="auto"/>
            </w:tcBorders>
            <w:shd w:val="clear" w:color="auto" w:fill="auto"/>
            <w:noWrap/>
            <w:vAlign w:val="center"/>
          </w:tcPr>
          <w:p w14:paraId="147C0805" w14:textId="77777777" w:rsidR="00164551" w:rsidRPr="00164551" w:rsidRDefault="00164551" w:rsidP="006E497E">
            <w:pPr>
              <w:spacing w:before="0" w:after="0"/>
              <w:jc w:val="center"/>
              <w:rPr>
                <w:rFonts w:ascii="Arial" w:hAnsi="Arial" w:cs="Arial"/>
                <w:color w:val="000000"/>
                <w:sz w:val="16"/>
                <w:szCs w:val="16"/>
                <w:lang w:val="en-AU" w:eastAsia="en-AU"/>
              </w:rPr>
            </w:pPr>
          </w:p>
        </w:tc>
      </w:tr>
      <w:tr w:rsidR="00164551" w:rsidRPr="00164551" w14:paraId="46035D0F"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0CC1A4A5"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1 person</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7BD61798" w14:textId="4C212E14"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95%</w:t>
            </w:r>
          </w:p>
        </w:tc>
        <w:tc>
          <w:tcPr>
            <w:tcW w:w="897" w:type="dxa"/>
            <w:tcBorders>
              <w:top w:val="nil"/>
              <w:left w:val="nil"/>
              <w:bottom w:val="single" w:sz="4" w:space="0" w:color="BFBFBF"/>
              <w:right w:val="single" w:sz="4" w:space="0" w:color="auto"/>
            </w:tcBorders>
            <w:shd w:val="clear" w:color="auto" w:fill="auto"/>
            <w:noWrap/>
            <w:vAlign w:val="center"/>
          </w:tcPr>
          <w:p w14:paraId="5F541143"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98%</w:t>
            </w:r>
          </w:p>
        </w:tc>
        <w:tc>
          <w:tcPr>
            <w:tcW w:w="960" w:type="dxa"/>
            <w:tcBorders>
              <w:top w:val="nil"/>
              <w:left w:val="nil"/>
              <w:bottom w:val="single" w:sz="4" w:space="0" w:color="BFBFBF"/>
              <w:right w:val="single" w:sz="4" w:space="0" w:color="BFBFBF"/>
            </w:tcBorders>
            <w:shd w:val="clear" w:color="auto" w:fill="auto"/>
            <w:noWrap/>
            <w:vAlign w:val="center"/>
          </w:tcPr>
          <w:p w14:paraId="372718AC" w14:textId="7993C240"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71EA5673"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60%</w:t>
            </w:r>
          </w:p>
        </w:tc>
      </w:tr>
      <w:tr w:rsidR="00164551" w:rsidRPr="00164551" w14:paraId="6F3BE156"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0A15D5DB"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2 persons</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02B9D807" w14:textId="611D0FB4"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97%</w:t>
            </w:r>
          </w:p>
        </w:tc>
        <w:tc>
          <w:tcPr>
            <w:tcW w:w="897" w:type="dxa"/>
            <w:tcBorders>
              <w:top w:val="nil"/>
              <w:left w:val="nil"/>
              <w:bottom w:val="single" w:sz="4" w:space="0" w:color="BFBFBF"/>
              <w:right w:val="single" w:sz="4" w:space="0" w:color="auto"/>
            </w:tcBorders>
            <w:shd w:val="clear" w:color="auto" w:fill="auto"/>
            <w:noWrap/>
            <w:vAlign w:val="center"/>
          </w:tcPr>
          <w:p w14:paraId="2EA13120"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98%</w:t>
            </w:r>
          </w:p>
        </w:tc>
        <w:tc>
          <w:tcPr>
            <w:tcW w:w="960" w:type="dxa"/>
            <w:tcBorders>
              <w:top w:val="nil"/>
              <w:left w:val="nil"/>
              <w:bottom w:val="single" w:sz="4" w:space="0" w:color="BFBFBF"/>
              <w:right w:val="single" w:sz="4" w:space="0" w:color="BFBFBF"/>
            </w:tcBorders>
            <w:shd w:val="clear" w:color="auto" w:fill="auto"/>
            <w:noWrap/>
            <w:vAlign w:val="center"/>
          </w:tcPr>
          <w:p w14:paraId="78E67563" w14:textId="14315561"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960" w:type="dxa"/>
            <w:tcBorders>
              <w:top w:val="nil"/>
              <w:left w:val="nil"/>
              <w:bottom w:val="single" w:sz="4" w:space="0" w:color="BFBFBF"/>
              <w:right w:val="double" w:sz="6" w:space="0" w:color="auto"/>
            </w:tcBorders>
            <w:shd w:val="clear" w:color="auto" w:fill="auto"/>
            <w:noWrap/>
            <w:vAlign w:val="center"/>
          </w:tcPr>
          <w:p w14:paraId="3C3242DD"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58%</w:t>
            </w:r>
          </w:p>
        </w:tc>
      </w:tr>
      <w:tr w:rsidR="00164551" w:rsidRPr="00164551" w14:paraId="63213982"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6740A444"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3 persons</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35EAA0A4" w14:textId="48BD0058"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96%</w:t>
            </w:r>
          </w:p>
        </w:tc>
        <w:tc>
          <w:tcPr>
            <w:tcW w:w="897" w:type="dxa"/>
            <w:tcBorders>
              <w:top w:val="nil"/>
              <w:left w:val="nil"/>
              <w:bottom w:val="single" w:sz="4" w:space="0" w:color="BFBFBF"/>
              <w:right w:val="single" w:sz="4" w:space="0" w:color="auto"/>
            </w:tcBorders>
            <w:shd w:val="clear" w:color="auto" w:fill="auto"/>
            <w:noWrap/>
            <w:vAlign w:val="center"/>
          </w:tcPr>
          <w:p w14:paraId="0521888D"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98%</w:t>
            </w:r>
          </w:p>
        </w:tc>
        <w:tc>
          <w:tcPr>
            <w:tcW w:w="960" w:type="dxa"/>
            <w:tcBorders>
              <w:top w:val="nil"/>
              <w:left w:val="nil"/>
              <w:bottom w:val="single" w:sz="4" w:space="0" w:color="BFBFBF"/>
              <w:right w:val="single" w:sz="4" w:space="0" w:color="BFBFBF"/>
            </w:tcBorders>
            <w:shd w:val="clear" w:color="auto" w:fill="auto"/>
            <w:noWrap/>
            <w:vAlign w:val="center"/>
          </w:tcPr>
          <w:p w14:paraId="72803BF2" w14:textId="30D662A1"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960" w:type="dxa"/>
            <w:tcBorders>
              <w:top w:val="nil"/>
              <w:left w:val="nil"/>
              <w:bottom w:val="single" w:sz="4" w:space="0" w:color="BFBFBF"/>
              <w:right w:val="double" w:sz="6" w:space="0" w:color="auto"/>
            </w:tcBorders>
            <w:shd w:val="clear" w:color="auto" w:fill="auto"/>
            <w:noWrap/>
            <w:vAlign w:val="center"/>
          </w:tcPr>
          <w:p w14:paraId="3C88B1FE"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57%</w:t>
            </w:r>
          </w:p>
        </w:tc>
      </w:tr>
      <w:tr w:rsidR="00164551" w:rsidRPr="00164551" w14:paraId="7784DEE3"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0CA82112"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4 or more persons</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29097825" w14:textId="76D4D670"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96%</w:t>
            </w:r>
          </w:p>
        </w:tc>
        <w:tc>
          <w:tcPr>
            <w:tcW w:w="897" w:type="dxa"/>
            <w:tcBorders>
              <w:top w:val="nil"/>
              <w:left w:val="nil"/>
              <w:bottom w:val="single" w:sz="4" w:space="0" w:color="BFBFBF"/>
              <w:right w:val="single" w:sz="4" w:space="0" w:color="auto"/>
            </w:tcBorders>
            <w:shd w:val="clear" w:color="auto" w:fill="auto"/>
            <w:noWrap/>
            <w:vAlign w:val="center"/>
          </w:tcPr>
          <w:p w14:paraId="6B52FDA7"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92%</w:t>
            </w:r>
          </w:p>
        </w:tc>
        <w:tc>
          <w:tcPr>
            <w:tcW w:w="960" w:type="dxa"/>
            <w:tcBorders>
              <w:top w:val="nil"/>
              <w:left w:val="nil"/>
              <w:bottom w:val="single" w:sz="4" w:space="0" w:color="BFBFBF"/>
              <w:right w:val="single" w:sz="4" w:space="0" w:color="BFBFBF"/>
            </w:tcBorders>
            <w:shd w:val="clear" w:color="auto" w:fill="auto"/>
            <w:noWrap/>
            <w:vAlign w:val="center"/>
          </w:tcPr>
          <w:p w14:paraId="69D9E42E" w14:textId="2CE1BF46"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6713A3EE"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66%</w:t>
            </w:r>
          </w:p>
        </w:tc>
      </w:tr>
      <w:tr w:rsidR="00164551" w:rsidRPr="00164551" w14:paraId="411D235F"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3F67AD37" w14:textId="77777777" w:rsidR="00164551" w:rsidRPr="00164551" w:rsidRDefault="00164551" w:rsidP="00736859">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By Housing Status -</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076CEF79" w14:textId="07064D25" w:rsidR="00164551" w:rsidRPr="00164551" w:rsidRDefault="00164551">
            <w:pPr>
              <w:spacing w:before="0" w:after="0"/>
              <w:jc w:val="center"/>
              <w:rPr>
                <w:rFonts w:ascii="Arial" w:hAnsi="Arial" w:cs="Arial"/>
                <w:b/>
                <w:bCs/>
                <w:color w:val="000000"/>
                <w:sz w:val="16"/>
                <w:szCs w:val="16"/>
                <w:lang w:val="en-AU" w:eastAsia="en-AU"/>
              </w:rPr>
            </w:pPr>
          </w:p>
        </w:tc>
        <w:tc>
          <w:tcPr>
            <w:tcW w:w="897" w:type="dxa"/>
            <w:tcBorders>
              <w:top w:val="nil"/>
              <w:left w:val="nil"/>
              <w:bottom w:val="single" w:sz="4" w:space="0" w:color="BFBFBF"/>
              <w:right w:val="single" w:sz="4" w:space="0" w:color="auto"/>
            </w:tcBorders>
            <w:shd w:val="clear" w:color="auto" w:fill="auto"/>
            <w:noWrap/>
            <w:vAlign w:val="center"/>
          </w:tcPr>
          <w:p w14:paraId="792BBC49" w14:textId="77777777" w:rsidR="00164551" w:rsidRPr="00164551" w:rsidRDefault="00164551">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single" w:sz="4" w:space="0" w:color="BFBFBF"/>
            </w:tcBorders>
            <w:shd w:val="clear" w:color="auto" w:fill="auto"/>
            <w:noWrap/>
            <w:vAlign w:val="center"/>
          </w:tcPr>
          <w:p w14:paraId="1DE339BA" w14:textId="17CA2C9B" w:rsidR="00164551" w:rsidRPr="00164551" w:rsidRDefault="00164551">
            <w:pPr>
              <w:spacing w:before="0" w:after="0"/>
              <w:jc w:val="center"/>
              <w:rPr>
                <w:rFonts w:ascii="Arial" w:hAnsi="Arial" w:cs="Arial"/>
                <w:color w:val="000000"/>
                <w:sz w:val="16"/>
                <w:szCs w:val="16"/>
                <w:lang w:val="en-AU" w:eastAsia="en-AU"/>
              </w:rPr>
            </w:pPr>
          </w:p>
        </w:tc>
        <w:tc>
          <w:tcPr>
            <w:tcW w:w="960" w:type="dxa"/>
            <w:tcBorders>
              <w:top w:val="nil"/>
              <w:left w:val="nil"/>
              <w:bottom w:val="single" w:sz="4" w:space="0" w:color="BFBFBF"/>
              <w:right w:val="double" w:sz="6" w:space="0" w:color="auto"/>
            </w:tcBorders>
            <w:shd w:val="clear" w:color="auto" w:fill="auto"/>
            <w:noWrap/>
            <w:vAlign w:val="center"/>
          </w:tcPr>
          <w:p w14:paraId="312A5C21" w14:textId="77777777" w:rsidR="00164551" w:rsidRPr="00164551" w:rsidRDefault="00164551">
            <w:pPr>
              <w:spacing w:before="0" w:after="0"/>
              <w:jc w:val="center"/>
              <w:rPr>
                <w:rFonts w:ascii="Arial" w:hAnsi="Arial" w:cs="Arial"/>
                <w:color w:val="000000"/>
                <w:sz w:val="16"/>
                <w:szCs w:val="16"/>
                <w:lang w:val="en-AU" w:eastAsia="en-AU"/>
              </w:rPr>
            </w:pPr>
          </w:p>
        </w:tc>
      </w:tr>
      <w:tr w:rsidR="00164551" w:rsidRPr="00164551" w14:paraId="750CD1C7"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15E2D4FF"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Owned/paid off</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3A11FA2D" w14:textId="7D47CF0F"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97%</w:t>
            </w:r>
          </w:p>
        </w:tc>
        <w:tc>
          <w:tcPr>
            <w:tcW w:w="897" w:type="dxa"/>
            <w:tcBorders>
              <w:top w:val="nil"/>
              <w:left w:val="nil"/>
              <w:bottom w:val="single" w:sz="4" w:space="0" w:color="BFBFBF"/>
              <w:right w:val="single" w:sz="4" w:space="0" w:color="auto"/>
            </w:tcBorders>
            <w:shd w:val="clear" w:color="auto" w:fill="auto"/>
            <w:noWrap/>
            <w:vAlign w:val="center"/>
          </w:tcPr>
          <w:p w14:paraId="5EB76B62"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98%</w:t>
            </w:r>
          </w:p>
        </w:tc>
        <w:tc>
          <w:tcPr>
            <w:tcW w:w="960" w:type="dxa"/>
            <w:tcBorders>
              <w:top w:val="nil"/>
              <w:left w:val="nil"/>
              <w:bottom w:val="single" w:sz="4" w:space="0" w:color="BFBFBF"/>
              <w:right w:val="single" w:sz="4" w:space="0" w:color="BFBFBF"/>
            </w:tcBorders>
            <w:shd w:val="clear" w:color="auto" w:fill="auto"/>
            <w:noWrap/>
            <w:vAlign w:val="center"/>
          </w:tcPr>
          <w:p w14:paraId="3D9F830A" w14:textId="0700E49A"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2B72FAD0"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58%</w:t>
            </w:r>
          </w:p>
        </w:tc>
      </w:tr>
      <w:tr w:rsidR="00164551" w:rsidRPr="00164551" w14:paraId="7D274D16"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07D8C5CB"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Buying/paying off</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2228B206" w14:textId="051BC3F8"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95%</w:t>
            </w:r>
          </w:p>
        </w:tc>
        <w:tc>
          <w:tcPr>
            <w:tcW w:w="897" w:type="dxa"/>
            <w:tcBorders>
              <w:top w:val="nil"/>
              <w:left w:val="nil"/>
              <w:bottom w:val="single" w:sz="4" w:space="0" w:color="BFBFBF"/>
              <w:right w:val="single" w:sz="4" w:space="0" w:color="auto"/>
            </w:tcBorders>
            <w:shd w:val="clear" w:color="auto" w:fill="auto"/>
            <w:noWrap/>
            <w:vAlign w:val="center"/>
          </w:tcPr>
          <w:p w14:paraId="0E424947"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94%</w:t>
            </w:r>
          </w:p>
        </w:tc>
        <w:tc>
          <w:tcPr>
            <w:tcW w:w="960" w:type="dxa"/>
            <w:tcBorders>
              <w:top w:val="nil"/>
              <w:left w:val="nil"/>
              <w:bottom w:val="single" w:sz="4" w:space="0" w:color="BFBFBF"/>
              <w:right w:val="single" w:sz="4" w:space="0" w:color="BFBFBF"/>
            </w:tcBorders>
            <w:shd w:val="clear" w:color="auto" w:fill="auto"/>
            <w:noWrap/>
            <w:vAlign w:val="center"/>
          </w:tcPr>
          <w:p w14:paraId="2001EC02" w14:textId="0A8DB155"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w:t>
            </w:r>
          </w:p>
        </w:tc>
        <w:tc>
          <w:tcPr>
            <w:tcW w:w="960" w:type="dxa"/>
            <w:tcBorders>
              <w:top w:val="nil"/>
              <w:left w:val="nil"/>
              <w:bottom w:val="single" w:sz="4" w:space="0" w:color="BFBFBF"/>
              <w:right w:val="double" w:sz="6" w:space="0" w:color="auto"/>
            </w:tcBorders>
            <w:shd w:val="clear" w:color="auto" w:fill="auto"/>
            <w:noWrap/>
            <w:vAlign w:val="center"/>
          </w:tcPr>
          <w:p w14:paraId="04C7B995"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66%</w:t>
            </w:r>
          </w:p>
        </w:tc>
      </w:tr>
      <w:tr w:rsidR="00164551" w:rsidRPr="00164551" w14:paraId="198693F9"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67C53B87"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Renting – Private</w:t>
            </w:r>
            <w:r w:rsidRPr="00164551">
              <w:rPr>
                <w:rFonts w:ascii="Arial" w:hAnsi="Arial" w:cs="Arial"/>
                <w:color w:val="000000"/>
                <w:sz w:val="16"/>
                <w:szCs w:val="16"/>
                <w:vertAlign w:val="superscript"/>
                <w:lang w:val="en-AU" w:eastAsia="en-AU"/>
              </w:rPr>
              <w:t>1</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148991AC" w14:textId="64749851"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63%</w:t>
            </w:r>
          </w:p>
        </w:tc>
        <w:tc>
          <w:tcPr>
            <w:tcW w:w="897" w:type="dxa"/>
            <w:tcBorders>
              <w:top w:val="nil"/>
              <w:left w:val="nil"/>
              <w:bottom w:val="single" w:sz="4" w:space="0" w:color="BFBFBF"/>
              <w:right w:val="single" w:sz="4" w:space="0" w:color="auto"/>
            </w:tcBorders>
            <w:shd w:val="clear" w:color="auto" w:fill="auto"/>
            <w:noWrap/>
            <w:vAlign w:val="center"/>
          </w:tcPr>
          <w:p w14:paraId="7CA62EF9"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65%</w:t>
            </w:r>
          </w:p>
        </w:tc>
        <w:tc>
          <w:tcPr>
            <w:tcW w:w="960" w:type="dxa"/>
            <w:tcBorders>
              <w:top w:val="nil"/>
              <w:left w:val="nil"/>
              <w:bottom w:val="single" w:sz="4" w:space="0" w:color="BFBFBF"/>
              <w:right w:val="single" w:sz="4" w:space="0" w:color="BFBFBF"/>
            </w:tcBorders>
            <w:shd w:val="clear" w:color="auto" w:fill="auto"/>
            <w:noWrap/>
            <w:vAlign w:val="center"/>
          </w:tcPr>
          <w:p w14:paraId="0E650F34" w14:textId="2EDF327B"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56050466"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55%</w:t>
            </w:r>
          </w:p>
        </w:tc>
      </w:tr>
      <w:tr w:rsidR="00164551" w:rsidRPr="00164551" w14:paraId="13A7F87B" w14:textId="77777777" w:rsidTr="009748AD">
        <w:trPr>
          <w:trHeight w:val="225"/>
          <w:jc w:val="center"/>
        </w:trPr>
        <w:tc>
          <w:tcPr>
            <w:tcW w:w="2780" w:type="dxa"/>
            <w:tcBorders>
              <w:top w:val="nil"/>
              <w:left w:val="double" w:sz="6" w:space="0" w:color="auto"/>
              <w:bottom w:val="single" w:sz="4" w:space="0" w:color="BFBFBF"/>
              <w:right w:val="nil"/>
            </w:tcBorders>
            <w:shd w:val="clear" w:color="auto" w:fill="auto"/>
            <w:noWrap/>
            <w:vAlign w:val="center"/>
          </w:tcPr>
          <w:p w14:paraId="5AE785E8" w14:textId="77777777" w:rsidR="00164551" w:rsidRPr="00164551" w:rsidRDefault="00164551" w:rsidP="00736859">
            <w:pPr>
              <w:spacing w:before="0" w:after="0"/>
              <w:ind w:firstLineChars="100" w:firstLine="160"/>
              <w:rPr>
                <w:rFonts w:ascii="Arial" w:hAnsi="Arial" w:cs="Arial"/>
                <w:color w:val="000000"/>
                <w:sz w:val="16"/>
                <w:szCs w:val="16"/>
                <w:lang w:val="en-AU" w:eastAsia="en-AU"/>
              </w:rPr>
            </w:pPr>
            <w:r w:rsidRPr="00164551">
              <w:rPr>
                <w:rFonts w:ascii="Arial" w:hAnsi="Arial" w:cs="Arial"/>
                <w:color w:val="000000"/>
                <w:sz w:val="16"/>
                <w:szCs w:val="16"/>
                <w:lang w:val="en-AU" w:eastAsia="en-AU"/>
              </w:rPr>
              <w:t>Renting – Public</w:t>
            </w:r>
            <w:r w:rsidRPr="00164551">
              <w:rPr>
                <w:rFonts w:ascii="Arial" w:hAnsi="Arial" w:cs="Arial"/>
                <w:color w:val="000000"/>
                <w:sz w:val="16"/>
                <w:szCs w:val="16"/>
                <w:vertAlign w:val="superscript"/>
                <w:lang w:val="en-AU" w:eastAsia="en-AU"/>
              </w:rPr>
              <w:t>1</w:t>
            </w:r>
          </w:p>
        </w:tc>
        <w:tc>
          <w:tcPr>
            <w:tcW w:w="1023" w:type="dxa"/>
            <w:tcBorders>
              <w:top w:val="nil"/>
              <w:left w:val="single" w:sz="4" w:space="0" w:color="auto"/>
              <w:bottom w:val="single" w:sz="4" w:space="0" w:color="BFBFBF"/>
              <w:right w:val="single" w:sz="4" w:space="0" w:color="BFBFBF"/>
            </w:tcBorders>
            <w:shd w:val="clear" w:color="auto" w:fill="auto"/>
            <w:noWrap/>
            <w:vAlign w:val="center"/>
          </w:tcPr>
          <w:p w14:paraId="7F08F5EF" w14:textId="08C3721B"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100%</w:t>
            </w:r>
          </w:p>
        </w:tc>
        <w:tc>
          <w:tcPr>
            <w:tcW w:w="897" w:type="dxa"/>
            <w:tcBorders>
              <w:top w:val="nil"/>
              <w:left w:val="nil"/>
              <w:bottom w:val="single" w:sz="4" w:space="0" w:color="BFBFBF"/>
              <w:right w:val="single" w:sz="4" w:space="0" w:color="auto"/>
            </w:tcBorders>
            <w:shd w:val="clear" w:color="auto" w:fill="auto"/>
            <w:noWrap/>
            <w:vAlign w:val="center"/>
          </w:tcPr>
          <w:p w14:paraId="15CFDE2B"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57%</w:t>
            </w:r>
          </w:p>
        </w:tc>
        <w:tc>
          <w:tcPr>
            <w:tcW w:w="960" w:type="dxa"/>
            <w:tcBorders>
              <w:top w:val="nil"/>
              <w:left w:val="nil"/>
              <w:bottom w:val="single" w:sz="4" w:space="0" w:color="BFBFBF"/>
              <w:right w:val="single" w:sz="4" w:space="0" w:color="BFBFBF"/>
            </w:tcBorders>
            <w:shd w:val="clear" w:color="auto" w:fill="auto"/>
            <w:noWrap/>
            <w:vAlign w:val="center"/>
          </w:tcPr>
          <w:p w14:paraId="628AD356" w14:textId="7B4B27E3"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rPr>
              <w:t>-</w:t>
            </w:r>
          </w:p>
        </w:tc>
        <w:tc>
          <w:tcPr>
            <w:tcW w:w="960" w:type="dxa"/>
            <w:tcBorders>
              <w:top w:val="nil"/>
              <w:left w:val="nil"/>
              <w:bottom w:val="single" w:sz="4" w:space="0" w:color="BFBFBF"/>
              <w:right w:val="double" w:sz="6" w:space="0" w:color="auto"/>
            </w:tcBorders>
            <w:shd w:val="clear" w:color="auto" w:fill="auto"/>
            <w:noWrap/>
            <w:vAlign w:val="center"/>
          </w:tcPr>
          <w:p w14:paraId="02DA8188" w14:textId="77777777" w:rsidR="00164551" w:rsidRPr="00164551" w:rsidRDefault="00164551">
            <w:pPr>
              <w:spacing w:before="0" w:after="0"/>
              <w:jc w:val="center"/>
              <w:rPr>
                <w:rFonts w:ascii="Arial" w:hAnsi="Arial" w:cs="Arial"/>
                <w:color w:val="000000"/>
                <w:sz w:val="16"/>
                <w:szCs w:val="16"/>
                <w:lang w:val="en-AU" w:eastAsia="en-AU"/>
              </w:rPr>
            </w:pPr>
            <w:r w:rsidRPr="00164551">
              <w:rPr>
                <w:rFonts w:ascii="Arial" w:hAnsi="Arial" w:cs="Arial"/>
                <w:color w:val="000000"/>
                <w:sz w:val="16"/>
                <w:szCs w:val="16"/>
                <w:lang w:val="en-AU" w:eastAsia="en-AU"/>
              </w:rPr>
              <w:t>57%</w:t>
            </w:r>
          </w:p>
        </w:tc>
      </w:tr>
      <w:tr w:rsidR="00164551" w:rsidRPr="003835AE" w14:paraId="102F9B31" w14:textId="77777777" w:rsidTr="009748AD">
        <w:trPr>
          <w:trHeight w:val="240"/>
          <w:jc w:val="center"/>
        </w:trPr>
        <w:tc>
          <w:tcPr>
            <w:tcW w:w="2780" w:type="dxa"/>
            <w:tcBorders>
              <w:top w:val="nil"/>
              <w:left w:val="double" w:sz="6" w:space="0" w:color="auto"/>
              <w:bottom w:val="double" w:sz="6" w:space="0" w:color="auto"/>
              <w:right w:val="nil"/>
            </w:tcBorders>
            <w:shd w:val="clear" w:color="auto" w:fill="auto"/>
            <w:noWrap/>
            <w:vAlign w:val="center"/>
          </w:tcPr>
          <w:p w14:paraId="2DF43166" w14:textId="77777777" w:rsidR="00164551" w:rsidRPr="00164551" w:rsidRDefault="00164551" w:rsidP="00736859">
            <w:pPr>
              <w:spacing w:before="0" w:after="0"/>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Total Households</w:t>
            </w:r>
          </w:p>
        </w:tc>
        <w:tc>
          <w:tcPr>
            <w:tcW w:w="1023" w:type="dxa"/>
            <w:tcBorders>
              <w:top w:val="nil"/>
              <w:left w:val="single" w:sz="4" w:space="0" w:color="auto"/>
              <w:bottom w:val="double" w:sz="6" w:space="0" w:color="auto"/>
              <w:right w:val="single" w:sz="4" w:space="0" w:color="BFBFBF"/>
            </w:tcBorders>
            <w:shd w:val="clear" w:color="auto" w:fill="auto"/>
            <w:noWrap/>
            <w:vAlign w:val="center"/>
          </w:tcPr>
          <w:p w14:paraId="0C17CEB4" w14:textId="277EC32F" w:rsidR="00164551" w:rsidRPr="00164551" w:rsidRDefault="00164551">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rPr>
              <w:t>96%</w:t>
            </w:r>
          </w:p>
        </w:tc>
        <w:tc>
          <w:tcPr>
            <w:tcW w:w="897" w:type="dxa"/>
            <w:tcBorders>
              <w:top w:val="nil"/>
              <w:left w:val="nil"/>
              <w:bottom w:val="double" w:sz="6" w:space="0" w:color="auto"/>
              <w:right w:val="single" w:sz="4" w:space="0" w:color="auto"/>
            </w:tcBorders>
            <w:shd w:val="clear" w:color="auto" w:fill="auto"/>
            <w:noWrap/>
            <w:vAlign w:val="center"/>
          </w:tcPr>
          <w:p w14:paraId="08618F29" w14:textId="77777777" w:rsidR="00164551" w:rsidRPr="00164551" w:rsidRDefault="00164551">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96%</w:t>
            </w:r>
          </w:p>
        </w:tc>
        <w:tc>
          <w:tcPr>
            <w:tcW w:w="960" w:type="dxa"/>
            <w:tcBorders>
              <w:top w:val="nil"/>
              <w:left w:val="nil"/>
              <w:bottom w:val="double" w:sz="6" w:space="0" w:color="auto"/>
              <w:right w:val="single" w:sz="4" w:space="0" w:color="BFBFBF"/>
            </w:tcBorders>
            <w:shd w:val="clear" w:color="auto" w:fill="auto"/>
            <w:noWrap/>
            <w:vAlign w:val="center"/>
          </w:tcPr>
          <w:p w14:paraId="21BDBB1D" w14:textId="55F92363" w:rsidR="00164551" w:rsidRPr="00164551" w:rsidRDefault="00164551">
            <w:pPr>
              <w:spacing w:before="0" w:after="0"/>
              <w:jc w:val="center"/>
              <w:rPr>
                <w:rFonts w:ascii="Arial" w:hAnsi="Arial" w:cs="Arial"/>
                <w:b/>
                <w:color w:val="000000"/>
                <w:sz w:val="16"/>
                <w:szCs w:val="16"/>
                <w:lang w:val="en-AU" w:eastAsia="en-AU"/>
              </w:rPr>
            </w:pPr>
            <w:r w:rsidRPr="00164551">
              <w:rPr>
                <w:rFonts w:ascii="Arial" w:hAnsi="Arial" w:cs="Arial"/>
                <w:b/>
                <w:color w:val="000000"/>
                <w:sz w:val="16"/>
                <w:szCs w:val="16"/>
              </w:rPr>
              <w:t>1%</w:t>
            </w:r>
          </w:p>
        </w:tc>
        <w:tc>
          <w:tcPr>
            <w:tcW w:w="960" w:type="dxa"/>
            <w:tcBorders>
              <w:top w:val="nil"/>
              <w:left w:val="nil"/>
              <w:bottom w:val="double" w:sz="6" w:space="0" w:color="auto"/>
              <w:right w:val="double" w:sz="6" w:space="0" w:color="auto"/>
            </w:tcBorders>
            <w:shd w:val="clear" w:color="auto" w:fill="auto"/>
            <w:noWrap/>
            <w:vAlign w:val="center"/>
          </w:tcPr>
          <w:p w14:paraId="06C00940" w14:textId="77777777" w:rsidR="00164551" w:rsidRPr="00164551" w:rsidRDefault="00164551">
            <w:pPr>
              <w:spacing w:before="0" w:after="0"/>
              <w:jc w:val="center"/>
              <w:rPr>
                <w:rFonts w:ascii="Arial" w:hAnsi="Arial" w:cs="Arial"/>
                <w:b/>
                <w:bCs/>
                <w:color w:val="000000"/>
                <w:sz w:val="16"/>
                <w:szCs w:val="16"/>
                <w:lang w:val="en-AU" w:eastAsia="en-AU"/>
              </w:rPr>
            </w:pPr>
            <w:r w:rsidRPr="00164551">
              <w:rPr>
                <w:rFonts w:ascii="Arial" w:hAnsi="Arial" w:cs="Arial"/>
                <w:b/>
                <w:bCs/>
                <w:color w:val="000000"/>
                <w:sz w:val="16"/>
                <w:szCs w:val="16"/>
                <w:lang w:val="en-AU" w:eastAsia="en-AU"/>
              </w:rPr>
              <w:t>61%</w:t>
            </w:r>
          </w:p>
        </w:tc>
      </w:tr>
    </w:tbl>
    <w:p w14:paraId="70D5BCFC" w14:textId="47B81E8C" w:rsidR="002A4B33" w:rsidRPr="002A4B33" w:rsidRDefault="002A4B33" w:rsidP="009748AD">
      <w:pPr>
        <w:ind w:left="2268" w:right="679"/>
      </w:pPr>
      <w:r w:rsidRPr="002A4B33">
        <w:rPr>
          <w:sz w:val="20"/>
        </w:rPr>
        <w:t xml:space="preserve">Notes: </w:t>
      </w:r>
    </w:p>
    <w:p w14:paraId="52C0137F" w14:textId="6B9248D6" w:rsidR="002A4B33" w:rsidRPr="002A4B33" w:rsidRDefault="002A4B33" w:rsidP="009748AD">
      <w:pPr>
        <w:ind w:left="2268" w:right="679"/>
      </w:pPr>
      <w:r w:rsidRPr="002A4B33">
        <w:rPr>
          <w:sz w:val="20"/>
        </w:rPr>
        <w:t xml:space="preserve">The percentages for “Paid in Full” and for “By Compulsory Instalment” in the table above for 2014 are based to households paying </w:t>
      </w:r>
      <w:r w:rsidRPr="009748AD">
        <w:rPr>
          <w:sz w:val="20"/>
        </w:rPr>
        <w:t>council rates</w:t>
      </w:r>
      <w:r w:rsidRPr="002A4B33">
        <w:rPr>
          <w:sz w:val="20"/>
        </w:rPr>
        <w:t xml:space="preserve"> bills where </w:t>
      </w:r>
      <w:r w:rsidRPr="009748AD">
        <w:rPr>
          <w:sz w:val="20"/>
        </w:rPr>
        <w:t>councils</w:t>
      </w:r>
      <w:r w:rsidRPr="002A4B33">
        <w:rPr>
          <w:sz w:val="20"/>
        </w:rPr>
        <w:t xml:space="preserve"> provided this information (n=1,</w:t>
      </w:r>
      <w:r w:rsidRPr="009748AD">
        <w:rPr>
          <w:sz w:val="20"/>
        </w:rPr>
        <w:t>535)</w:t>
      </w:r>
      <w:r w:rsidRPr="002A4B33">
        <w:rPr>
          <w:sz w:val="20"/>
        </w:rPr>
        <w:t xml:space="preserve">. </w:t>
      </w:r>
    </w:p>
    <w:p w14:paraId="2DB8C408" w14:textId="77777777" w:rsidR="002A4B33" w:rsidRPr="002A4B33" w:rsidRDefault="002A4B33" w:rsidP="009748AD">
      <w:pPr>
        <w:ind w:left="2268" w:right="679"/>
      </w:pPr>
      <w:r w:rsidRPr="002A4B33">
        <w:rPr>
          <w:sz w:val="20"/>
        </w:rPr>
        <w:t xml:space="preserve">Please note, there is no expectation that the two items in the table should add to 100% as households can appear in both columns. </w:t>
      </w:r>
    </w:p>
    <w:p w14:paraId="24453908" w14:textId="54B1D1C5" w:rsidR="002A4B33" w:rsidRPr="002A4B33" w:rsidRDefault="002A4B33" w:rsidP="009748AD">
      <w:pPr>
        <w:ind w:left="2268" w:right="679"/>
      </w:pPr>
      <w:r w:rsidRPr="002A4B33">
        <w:rPr>
          <w:sz w:val="20"/>
        </w:rPr>
        <w:t xml:space="preserve">Please also note that the “Instalment” data provided by </w:t>
      </w:r>
      <w:r w:rsidRPr="009748AD">
        <w:rPr>
          <w:sz w:val="20"/>
        </w:rPr>
        <w:t>councils</w:t>
      </w:r>
      <w:r w:rsidRPr="002A4B33">
        <w:rPr>
          <w:sz w:val="20"/>
        </w:rPr>
        <w:t xml:space="preserve"> in 2007 was in response to a slightly different data request. The 2007 “Instalment” data is therefore not directly comparable with 2014.</w:t>
      </w:r>
    </w:p>
    <w:p w14:paraId="345D3315" w14:textId="77777777" w:rsidR="00D109F7" w:rsidRPr="003835AE" w:rsidRDefault="00D109F7" w:rsidP="00D109F7">
      <w:pPr>
        <w:pStyle w:val="Para"/>
        <w:rPr>
          <w:highlight w:val="yellow"/>
          <w:lang w:val="en-AU"/>
        </w:rPr>
      </w:pPr>
    </w:p>
    <w:p w14:paraId="767D78D4" w14:textId="77777777" w:rsidR="003920D8" w:rsidRPr="00DB6DAB" w:rsidRDefault="009E7785">
      <w:pPr>
        <w:pStyle w:val="Heading3"/>
        <w:tabs>
          <w:tab w:val="clear" w:pos="8517"/>
          <w:tab w:val="num" w:pos="851"/>
        </w:tabs>
        <w:ind w:hanging="8517"/>
        <w:rPr>
          <w:lang w:val="en-AU"/>
        </w:rPr>
      </w:pPr>
      <w:r w:rsidRPr="003835AE">
        <w:rPr>
          <w:highlight w:val="yellow"/>
          <w:lang w:val="en-AU"/>
        </w:rPr>
        <w:br w:type="page"/>
      </w:r>
      <w:bookmarkStart w:id="205" w:name="_Toc439198330"/>
      <w:bookmarkStart w:id="206" w:name="_Toc445571707"/>
      <w:r w:rsidR="00D109F7" w:rsidRPr="00A32FA3">
        <w:rPr>
          <w:lang w:val="en-AU"/>
        </w:rPr>
        <w:lastRenderedPageBreak/>
        <w:t>Incidence of Receiving a D</w:t>
      </w:r>
      <w:r w:rsidR="001B78A5" w:rsidRPr="00A32FA3">
        <w:rPr>
          <w:lang w:val="en-AU"/>
        </w:rPr>
        <w:t>H</w:t>
      </w:r>
      <w:r w:rsidR="00D109F7" w:rsidRPr="00A32FA3">
        <w:rPr>
          <w:lang w:val="en-AU"/>
        </w:rPr>
        <w:t xml:space="preserve">HS </w:t>
      </w:r>
      <w:r w:rsidRPr="00A32FA3">
        <w:rPr>
          <w:lang w:val="en-AU"/>
        </w:rPr>
        <w:t>Concession on</w:t>
      </w:r>
      <w:r w:rsidR="00D109F7" w:rsidRPr="00A32FA3">
        <w:rPr>
          <w:lang w:val="en-AU"/>
        </w:rPr>
        <w:t xml:space="preserve"> Council Rates</w:t>
      </w:r>
      <w:bookmarkEnd w:id="205"/>
      <w:bookmarkEnd w:id="206"/>
    </w:p>
    <w:p w14:paraId="469152CE" w14:textId="1AA24215" w:rsidR="00D109F7" w:rsidRPr="00DB6DAB" w:rsidRDefault="00D109F7" w:rsidP="00D109F7">
      <w:pPr>
        <w:pStyle w:val="Para"/>
        <w:rPr>
          <w:lang w:val="en-AU"/>
        </w:rPr>
      </w:pPr>
      <w:r w:rsidRPr="00DB6DAB">
        <w:rPr>
          <w:lang w:val="en-AU"/>
        </w:rPr>
        <w:t xml:space="preserve">Of those paying Council rates bills in </w:t>
      </w:r>
      <w:r w:rsidR="00691EAE" w:rsidRPr="00DB6DAB">
        <w:rPr>
          <w:lang w:val="en-AU"/>
        </w:rPr>
        <w:t>20</w:t>
      </w:r>
      <w:r w:rsidR="00032C5B" w:rsidRPr="00DB6DAB">
        <w:rPr>
          <w:lang w:val="en-AU"/>
        </w:rPr>
        <w:t>14, 3</w:t>
      </w:r>
      <w:r w:rsidR="000573C0">
        <w:rPr>
          <w:lang w:val="en-AU"/>
        </w:rPr>
        <w:t>8</w:t>
      </w:r>
      <w:r w:rsidR="00032C5B" w:rsidRPr="00DB6DAB">
        <w:rPr>
          <w:lang w:val="en-AU"/>
        </w:rPr>
        <w:t>% r</w:t>
      </w:r>
      <w:r w:rsidRPr="00DB6DAB">
        <w:rPr>
          <w:lang w:val="en-AU"/>
        </w:rPr>
        <w:t xml:space="preserve">eceived a </w:t>
      </w:r>
      <w:r w:rsidR="009E7785" w:rsidRPr="00DB6DAB">
        <w:rPr>
          <w:lang w:val="en-AU"/>
        </w:rPr>
        <w:t>DH</w:t>
      </w:r>
      <w:r w:rsidR="00032C5B" w:rsidRPr="00DB6DAB">
        <w:rPr>
          <w:lang w:val="en-AU"/>
        </w:rPr>
        <w:t>H</w:t>
      </w:r>
      <w:r w:rsidR="009E7785" w:rsidRPr="00DB6DAB">
        <w:rPr>
          <w:lang w:val="en-AU"/>
        </w:rPr>
        <w:t xml:space="preserve">S </w:t>
      </w:r>
      <w:r w:rsidRPr="00DB6DAB">
        <w:rPr>
          <w:lang w:val="en-AU"/>
        </w:rPr>
        <w:t>concession on their rates bill</w:t>
      </w:r>
      <w:r w:rsidR="00032C5B" w:rsidRPr="00DB6DAB">
        <w:rPr>
          <w:lang w:val="en-AU"/>
        </w:rPr>
        <w:t xml:space="preserve">, up from 31% in 2007 and </w:t>
      </w:r>
      <w:r w:rsidRPr="00DB6DAB">
        <w:rPr>
          <w:lang w:val="en-AU"/>
        </w:rPr>
        <w:t xml:space="preserve">29% in </w:t>
      </w:r>
      <w:r w:rsidR="00691EAE" w:rsidRPr="00DB6DAB">
        <w:rPr>
          <w:lang w:val="en-AU"/>
        </w:rPr>
        <w:t>2001</w:t>
      </w:r>
      <w:r w:rsidR="00032C5B" w:rsidRPr="00DB6DAB">
        <w:rPr>
          <w:lang w:val="en-AU"/>
        </w:rPr>
        <w:t>.</w:t>
      </w:r>
      <w:r w:rsidRPr="00DB6DAB">
        <w:rPr>
          <w:b/>
          <w:lang w:val="en-AU"/>
        </w:rPr>
        <w:t xml:space="preserve"> </w:t>
      </w:r>
      <w:r w:rsidRPr="00DB6DAB">
        <w:rPr>
          <w:lang w:val="en-AU"/>
        </w:rPr>
        <w:t>(</w:t>
      </w:r>
      <w:r w:rsidR="009915F4" w:rsidRPr="00DB6DAB">
        <w:rPr>
          <w:b/>
          <w:lang w:val="en-AU"/>
        </w:rPr>
        <w:t>see T</w:t>
      </w:r>
      <w:r w:rsidRPr="00DB6DAB">
        <w:rPr>
          <w:b/>
          <w:lang w:val="en-AU"/>
        </w:rPr>
        <w:t xml:space="preserve">able </w:t>
      </w:r>
      <w:r w:rsidR="001A2002" w:rsidRPr="00DB6DAB">
        <w:rPr>
          <w:b/>
          <w:lang w:val="en-AU"/>
        </w:rPr>
        <w:t>6</w:t>
      </w:r>
      <w:r w:rsidRPr="00DB6DAB">
        <w:rPr>
          <w:b/>
          <w:lang w:val="en-AU"/>
        </w:rPr>
        <w:t>.</w:t>
      </w:r>
      <w:r w:rsidR="009915F4" w:rsidRPr="00DB6DAB">
        <w:rPr>
          <w:b/>
          <w:lang w:val="en-AU"/>
        </w:rPr>
        <w:t>2</w:t>
      </w:r>
      <w:r w:rsidRPr="00DB6DAB">
        <w:rPr>
          <w:b/>
          <w:lang w:val="en-AU"/>
        </w:rPr>
        <w:t>.2</w:t>
      </w:r>
      <w:r w:rsidRPr="00DB6DAB">
        <w:rPr>
          <w:lang w:val="en-AU"/>
        </w:rPr>
        <w:t xml:space="preserve">).  </w:t>
      </w:r>
      <w:r w:rsidR="00032C5B" w:rsidRPr="00DB6DAB">
        <w:rPr>
          <w:lang w:val="en-AU"/>
        </w:rPr>
        <w:t xml:space="preserve"> Households in Melbourne (3</w:t>
      </w:r>
      <w:r w:rsidR="000573C0">
        <w:rPr>
          <w:lang w:val="en-AU"/>
        </w:rPr>
        <w:t>6</w:t>
      </w:r>
      <w:r w:rsidR="00032C5B" w:rsidRPr="00DB6DAB">
        <w:rPr>
          <w:lang w:val="en-AU"/>
        </w:rPr>
        <w:t>%) were less likely than those in country Victoria (4</w:t>
      </w:r>
      <w:r w:rsidR="00DB6DAB" w:rsidRPr="00DB6DAB">
        <w:rPr>
          <w:lang w:val="en-AU"/>
        </w:rPr>
        <w:t>2</w:t>
      </w:r>
      <w:r w:rsidR="00032C5B" w:rsidRPr="00DB6DAB">
        <w:rPr>
          <w:lang w:val="en-AU"/>
        </w:rPr>
        <w:t>%) to receive a DHHS concession on the rates bill.</w:t>
      </w:r>
    </w:p>
    <w:p w14:paraId="502270FE" w14:textId="77777777" w:rsidR="00D109F7" w:rsidRPr="003835AE" w:rsidRDefault="00D109F7" w:rsidP="00D109F7">
      <w:pPr>
        <w:pStyle w:val="Para"/>
        <w:rPr>
          <w:highlight w:val="yellow"/>
          <w:lang w:val="en-AU"/>
        </w:rPr>
      </w:pPr>
    </w:p>
    <w:p w14:paraId="5455970A" w14:textId="656D54DF" w:rsidR="00D109F7" w:rsidRPr="00E7170A" w:rsidRDefault="00032C5B" w:rsidP="00D109F7">
      <w:pPr>
        <w:pStyle w:val="Para"/>
        <w:rPr>
          <w:lang w:val="en-AU"/>
        </w:rPr>
      </w:pPr>
      <w:r w:rsidRPr="00E7170A">
        <w:rPr>
          <w:lang w:val="en-AU"/>
        </w:rPr>
        <w:t xml:space="preserve">The proportion of </w:t>
      </w:r>
      <w:r w:rsidR="00D109F7" w:rsidRPr="00E7170A">
        <w:rPr>
          <w:lang w:val="en-AU"/>
        </w:rPr>
        <w:t xml:space="preserve">concession </w:t>
      </w:r>
      <w:r w:rsidR="00AA470F" w:rsidRPr="00E7170A">
        <w:rPr>
          <w:lang w:val="en-AU"/>
        </w:rPr>
        <w:t>households</w:t>
      </w:r>
      <w:r w:rsidR="00D109F7" w:rsidRPr="00E7170A">
        <w:rPr>
          <w:lang w:val="en-AU"/>
        </w:rPr>
        <w:t xml:space="preserve"> paying Council rates </w:t>
      </w:r>
      <w:r w:rsidRPr="00E7170A">
        <w:rPr>
          <w:lang w:val="en-AU"/>
        </w:rPr>
        <w:t xml:space="preserve">and receiving a DHHS concession was </w:t>
      </w:r>
      <w:r w:rsidR="000573C0" w:rsidRPr="00E7170A">
        <w:rPr>
          <w:lang w:val="en-AU"/>
        </w:rPr>
        <w:t>8</w:t>
      </w:r>
      <w:r w:rsidR="000573C0">
        <w:rPr>
          <w:lang w:val="en-AU"/>
        </w:rPr>
        <w:t>6</w:t>
      </w:r>
      <w:r w:rsidRPr="00E7170A">
        <w:rPr>
          <w:lang w:val="en-AU"/>
        </w:rPr>
        <w:t>%, up from 77% and 75% in 2007 and 2001 respectively.  Aged concession households (</w:t>
      </w:r>
      <w:r w:rsidR="000573C0">
        <w:rPr>
          <w:lang w:val="en-AU"/>
        </w:rPr>
        <w:t>91</w:t>
      </w:r>
      <w:r w:rsidRPr="00E7170A">
        <w:rPr>
          <w:lang w:val="en-AU"/>
        </w:rPr>
        <w:t>%) were more likely than other concession households (</w:t>
      </w:r>
      <w:r w:rsidR="000573C0" w:rsidRPr="00E7170A">
        <w:rPr>
          <w:lang w:val="en-AU"/>
        </w:rPr>
        <w:t>7</w:t>
      </w:r>
      <w:r w:rsidR="000573C0">
        <w:rPr>
          <w:lang w:val="en-AU"/>
        </w:rPr>
        <w:t>8</w:t>
      </w:r>
      <w:r w:rsidRPr="00E7170A">
        <w:rPr>
          <w:lang w:val="en-AU"/>
        </w:rPr>
        <w:t xml:space="preserve">%) to receive a DHHS </w:t>
      </w:r>
      <w:r w:rsidR="00E7170A" w:rsidRPr="00E7170A">
        <w:rPr>
          <w:lang w:val="en-AU"/>
        </w:rPr>
        <w:t xml:space="preserve">concession </w:t>
      </w:r>
      <w:r w:rsidRPr="00E7170A">
        <w:rPr>
          <w:lang w:val="en-AU"/>
        </w:rPr>
        <w:t xml:space="preserve">on their council rates.  </w:t>
      </w:r>
    </w:p>
    <w:p w14:paraId="72904182" w14:textId="77777777" w:rsidR="00D109F7" w:rsidRPr="00E7170A" w:rsidRDefault="00D109F7" w:rsidP="00D109F7">
      <w:pPr>
        <w:pStyle w:val="Para"/>
        <w:rPr>
          <w:lang w:val="en-AU"/>
        </w:rPr>
      </w:pPr>
    </w:p>
    <w:p w14:paraId="232E0121" w14:textId="5FF4B919" w:rsidR="00A8003B" w:rsidRPr="00E7170A" w:rsidRDefault="00D109F7" w:rsidP="00D109F7">
      <w:pPr>
        <w:pStyle w:val="Para"/>
        <w:rPr>
          <w:lang w:val="en-AU"/>
        </w:rPr>
      </w:pPr>
      <w:r w:rsidRPr="00E7170A">
        <w:rPr>
          <w:lang w:val="en-AU"/>
        </w:rPr>
        <w:t xml:space="preserve">As </w:t>
      </w:r>
      <w:r w:rsidR="00032C5B" w:rsidRPr="00E7170A">
        <w:rPr>
          <w:lang w:val="en-AU"/>
        </w:rPr>
        <w:t xml:space="preserve">in previous surveys, the </w:t>
      </w:r>
      <w:r w:rsidRPr="00E7170A">
        <w:rPr>
          <w:lang w:val="en-AU"/>
        </w:rPr>
        <w:t>incidence of receiving concessions on Council rates bills decreased with household size</w:t>
      </w:r>
      <w:r w:rsidR="00032C5B" w:rsidRPr="00E7170A">
        <w:rPr>
          <w:lang w:val="en-AU"/>
        </w:rPr>
        <w:t xml:space="preserve">.  In 2014, </w:t>
      </w:r>
      <w:r w:rsidR="00A8003B" w:rsidRPr="00E7170A">
        <w:rPr>
          <w:lang w:val="en-AU"/>
        </w:rPr>
        <w:t xml:space="preserve">only 17% of households of four or more persons paying council rates received a DHHS concession on the bill, compared with </w:t>
      </w:r>
      <w:r w:rsidR="000573C0" w:rsidRPr="00E7170A">
        <w:rPr>
          <w:lang w:val="en-AU"/>
        </w:rPr>
        <w:t>4</w:t>
      </w:r>
      <w:r w:rsidR="000573C0">
        <w:rPr>
          <w:lang w:val="en-AU"/>
        </w:rPr>
        <w:t>9</w:t>
      </w:r>
      <w:r w:rsidR="00A8003B" w:rsidRPr="00E7170A">
        <w:rPr>
          <w:lang w:val="en-AU"/>
        </w:rPr>
        <w:t xml:space="preserve">% of </w:t>
      </w:r>
      <w:r w:rsidR="00E7170A" w:rsidRPr="00E7170A">
        <w:rPr>
          <w:lang w:val="en-AU"/>
        </w:rPr>
        <w:t xml:space="preserve">single person </w:t>
      </w:r>
      <w:r w:rsidR="00A8003B" w:rsidRPr="00E7170A">
        <w:rPr>
          <w:lang w:val="en-AU"/>
        </w:rPr>
        <w:t xml:space="preserve">households </w:t>
      </w:r>
      <w:r w:rsidR="00E7170A" w:rsidRPr="00E7170A">
        <w:rPr>
          <w:lang w:val="en-AU"/>
        </w:rPr>
        <w:t xml:space="preserve">and </w:t>
      </w:r>
      <w:r w:rsidR="000573C0">
        <w:rPr>
          <w:lang w:val="en-AU"/>
        </w:rPr>
        <w:t>50</w:t>
      </w:r>
      <w:r w:rsidR="00E7170A" w:rsidRPr="00E7170A">
        <w:rPr>
          <w:lang w:val="en-AU"/>
        </w:rPr>
        <w:t>% of two person households.</w:t>
      </w:r>
      <w:r w:rsidR="00A8003B" w:rsidRPr="00E7170A">
        <w:rPr>
          <w:lang w:val="en-AU"/>
        </w:rPr>
        <w:t xml:space="preserve">  </w:t>
      </w:r>
    </w:p>
    <w:p w14:paraId="36EE0DDB" w14:textId="77777777" w:rsidR="00A8003B" w:rsidRPr="003835AE" w:rsidRDefault="00A8003B" w:rsidP="00D109F7">
      <w:pPr>
        <w:pStyle w:val="Para"/>
        <w:rPr>
          <w:highlight w:val="yellow"/>
          <w:lang w:val="en-AU"/>
        </w:rPr>
      </w:pPr>
    </w:p>
    <w:p w14:paraId="65964D3E" w14:textId="77777777" w:rsidR="00D109F7" w:rsidRPr="003835AE" w:rsidRDefault="00D109F7" w:rsidP="00D109F7">
      <w:pPr>
        <w:pStyle w:val="Para"/>
        <w:rPr>
          <w:highlight w:val="yellow"/>
          <w:lang w:val="en-AU"/>
        </w:rPr>
      </w:pPr>
    </w:p>
    <w:p w14:paraId="521E36B0" w14:textId="77777777" w:rsidR="00D109F7" w:rsidRPr="00E7170A" w:rsidRDefault="00095E0F" w:rsidP="00D109F7">
      <w:pPr>
        <w:pStyle w:val="Heading2"/>
        <w:rPr>
          <w:lang w:val="en-AU"/>
        </w:rPr>
      </w:pPr>
      <w:r w:rsidRPr="00E7170A">
        <w:rPr>
          <w:lang w:val="en-AU"/>
        </w:rPr>
        <w:br w:type="page"/>
      </w:r>
      <w:bookmarkStart w:id="207" w:name="_Toc439198331"/>
      <w:bookmarkStart w:id="208" w:name="_Toc445571708"/>
      <w:r w:rsidR="00D109F7" w:rsidRPr="00E7170A">
        <w:rPr>
          <w:lang w:val="en-AU"/>
        </w:rPr>
        <w:lastRenderedPageBreak/>
        <w:t>COUNCIL RATE</w:t>
      </w:r>
      <w:r w:rsidR="001B78A5" w:rsidRPr="00E7170A">
        <w:rPr>
          <w:lang w:val="en-AU"/>
        </w:rPr>
        <w:t>S</w:t>
      </w:r>
      <w:r w:rsidR="00D109F7" w:rsidRPr="00E7170A">
        <w:rPr>
          <w:lang w:val="en-AU"/>
        </w:rPr>
        <w:t xml:space="preserve"> CHARGES</w:t>
      </w:r>
      <w:bookmarkEnd w:id="207"/>
      <w:bookmarkEnd w:id="208"/>
    </w:p>
    <w:p w14:paraId="6C24DEBE" w14:textId="5C071F8C" w:rsidR="00CC4909" w:rsidRPr="00E7170A" w:rsidRDefault="00CC4909" w:rsidP="00CC4909">
      <w:pPr>
        <w:pStyle w:val="Para"/>
        <w:rPr>
          <w:lang w:val="en-AU"/>
        </w:rPr>
      </w:pPr>
      <w:r w:rsidRPr="00E7170A">
        <w:rPr>
          <w:lang w:val="en-AU"/>
        </w:rPr>
        <w:t xml:space="preserve">Annual average council rate charges, discounts and expenditure for 2014, 2007, 2001 and 1996 </w:t>
      </w:r>
      <w:r w:rsidR="00B16FCD">
        <w:rPr>
          <w:lang w:val="en-AU"/>
        </w:rPr>
        <w:t>are</w:t>
      </w:r>
      <w:r w:rsidRPr="00E7170A">
        <w:rPr>
          <w:lang w:val="en-AU"/>
        </w:rPr>
        <w:t xml:space="preserve"> shown in Tables 6.2.1, 6.2.2 and 6.2.3 on the following pages.  </w:t>
      </w:r>
    </w:p>
    <w:p w14:paraId="5D8212F0" w14:textId="77777777" w:rsidR="00CC4909" w:rsidRPr="00E7170A" w:rsidRDefault="00CC4909" w:rsidP="00D109F7">
      <w:pPr>
        <w:pStyle w:val="Para"/>
        <w:rPr>
          <w:b/>
          <w:lang w:val="en-AU"/>
        </w:rPr>
      </w:pPr>
    </w:p>
    <w:p w14:paraId="621D5B06" w14:textId="4A6DD617" w:rsidR="00D109F7" w:rsidRPr="00E7170A" w:rsidRDefault="00D109F7" w:rsidP="00D109F7">
      <w:pPr>
        <w:pStyle w:val="Para"/>
        <w:rPr>
          <w:lang w:val="en-AU"/>
        </w:rPr>
      </w:pPr>
      <w:r w:rsidRPr="00E7170A">
        <w:rPr>
          <w:lang w:val="en-AU"/>
        </w:rPr>
        <w:t xml:space="preserve">Council rates averaged </w:t>
      </w:r>
      <w:r w:rsidR="00DB2B89" w:rsidRPr="00E7170A">
        <w:rPr>
          <w:lang w:val="en-AU"/>
        </w:rPr>
        <w:t>$1,</w:t>
      </w:r>
      <w:r w:rsidR="000573C0">
        <w:rPr>
          <w:lang w:val="en-AU"/>
        </w:rPr>
        <w:t>593</w:t>
      </w:r>
      <w:r w:rsidR="009B34EF" w:rsidRPr="00E7170A">
        <w:rPr>
          <w:rStyle w:val="FootnoteReference"/>
          <w:lang w:val="en-AU"/>
        </w:rPr>
        <w:footnoteReference w:id="14"/>
      </w:r>
      <w:r w:rsidR="009B34EF" w:rsidRPr="00E7170A">
        <w:rPr>
          <w:lang w:val="en-AU"/>
        </w:rPr>
        <w:t xml:space="preserve"> </w:t>
      </w:r>
      <w:r w:rsidR="00DB2B89" w:rsidRPr="00E7170A">
        <w:rPr>
          <w:lang w:val="en-AU"/>
        </w:rPr>
        <w:t>in 2014, an increase of 68.4% from 2007 (</w:t>
      </w:r>
      <w:r w:rsidRPr="00E7170A">
        <w:rPr>
          <w:lang w:val="en-AU"/>
        </w:rPr>
        <w:t>$948</w:t>
      </w:r>
      <w:r w:rsidR="00DB2B89" w:rsidRPr="00E7170A">
        <w:rPr>
          <w:lang w:val="en-AU"/>
        </w:rPr>
        <w:t>)</w:t>
      </w:r>
      <w:r w:rsidRPr="00E7170A">
        <w:rPr>
          <w:lang w:val="en-AU"/>
        </w:rPr>
        <w:t xml:space="preserve">.  This </w:t>
      </w:r>
      <w:r w:rsidR="00DB2B89" w:rsidRPr="00E7170A">
        <w:rPr>
          <w:lang w:val="en-AU"/>
        </w:rPr>
        <w:t xml:space="preserve">was well above the inflation rate over the corresponding period (20.4%), </w:t>
      </w:r>
      <w:r w:rsidR="00A61F32" w:rsidRPr="00E7170A">
        <w:rPr>
          <w:lang w:val="en-AU"/>
        </w:rPr>
        <w:t>and is also somewhat above the increase in property prices over the same period (approximately 40%).</w:t>
      </w:r>
    </w:p>
    <w:p w14:paraId="1B39ED38" w14:textId="77777777" w:rsidR="00D109F7" w:rsidRPr="003835AE" w:rsidRDefault="00D109F7" w:rsidP="00D109F7">
      <w:pPr>
        <w:pStyle w:val="Para"/>
        <w:rPr>
          <w:highlight w:val="yellow"/>
          <w:lang w:val="en-AU"/>
        </w:rPr>
      </w:pPr>
    </w:p>
    <w:p w14:paraId="184E305F" w14:textId="7E3EC39E" w:rsidR="00D109F7" w:rsidRPr="003835AE" w:rsidRDefault="00C20911" w:rsidP="00D109F7">
      <w:pPr>
        <w:pStyle w:val="Para"/>
        <w:rPr>
          <w:highlight w:val="yellow"/>
          <w:lang w:val="en-AU"/>
        </w:rPr>
      </w:pPr>
      <w:r w:rsidRPr="00E7170A">
        <w:rPr>
          <w:lang w:val="en-AU"/>
        </w:rPr>
        <w:t>Interestingly, the rate of increase in the total rates paid was higher among households in country Victoria (89%) than in Melbourne (</w:t>
      </w:r>
      <w:r w:rsidR="000573C0" w:rsidRPr="00E7170A">
        <w:rPr>
          <w:lang w:val="en-AU"/>
        </w:rPr>
        <w:t>6</w:t>
      </w:r>
      <w:r w:rsidR="000573C0">
        <w:rPr>
          <w:lang w:val="en-AU"/>
        </w:rPr>
        <w:t>0</w:t>
      </w:r>
      <w:r w:rsidRPr="00E7170A">
        <w:rPr>
          <w:lang w:val="en-AU"/>
        </w:rPr>
        <w:t>%), despite house price rises being greater in the capital city.</w:t>
      </w:r>
      <w:r w:rsidR="006105AE" w:rsidRPr="00E7170A">
        <w:rPr>
          <w:lang w:val="en-AU"/>
        </w:rPr>
        <w:t xml:space="preserve"> </w:t>
      </w:r>
      <w:r w:rsidRPr="00567365">
        <w:rPr>
          <w:lang w:val="en-AU"/>
        </w:rPr>
        <w:t xml:space="preserve">Total council </w:t>
      </w:r>
      <w:r w:rsidR="00D109F7" w:rsidRPr="00567365">
        <w:rPr>
          <w:lang w:val="en-AU"/>
        </w:rPr>
        <w:t xml:space="preserve">rate bill amounts had also increased markedly for </w:t>
      </w:r>
      <w:r w:rsidR="00CC47B2" w:rsidRPr="00567365">
        <w:rPr>
          <w:lang w:val="en-AU"/>
        </w:rPr>
        <w:t>aged concession</w:t>
      </w:r>
      <w:r w:rsidR="00D109F7" w:rsidRPr="00567365">
        <w:rPr>
          <w:lang w:val="en-AU"/>
        </w:rPr>
        <w:t xml:space="preserve"> households (</w:t>
      </w:r>
      <w:r w:rsidR="000573C0" w:rsidRPr="00567365">
        <w:rPr>
          <w:lang w:val="en-AU"/>
        </w:rPr>
        <w:t>8</w:t>
      </w:r>
      <w:r w:rsidR="000573C0">
        <w:rPr>
          <w:lang w:val="en-AU"/>
        </w:rPr>
        <w:t>2</w:t>
      </w:r>
      <w:r w:rsidR="00D109F7" w:rsidRPr="00567365">
        <w:rPr>
          <w:lang w:val="en-AU"/>
        </w:rPr>
        <w:t>% - from $752</w:t>
      </w:r>
      <w:r w:rsidRPr="00567365">
        <w:rPr>
          <w:lang w:val="en-AU"/>
        </w:rPr>
        <w:t xml:space="preserve"> to $1,</w:t>
      </w:r>
      <w:r w:rsidR="000573C0" w:rsidRPr="00567365">
        <w:rPr>
          <w:lang w:val="en-AU"/>
        </w:rPr>
        <w:t>3</w:t>
      </w:r>
      <w:r w:rsidR="000573C0">
        <w:rPr>
          <w:lang w:val="en-AU"/>
        </w:rPr>
        <w:t>6</w:t>
      </w:r>
      <w:r w:rsidR="000573C0" w:rsidRPr="00567365">
        <w:rPr>
          <w:lang w:val="en-AU"/>
        </w:rPr>
        <w:t>8</w:t>
      </w:r>
      <w:r w:rsidR="00D109F7" w:rsidRPr="00567365">
        <w:rPr>
          <w:lang w:val="en-AU"/>
        </w:rPr>
        <w:t xml:space="preserve">), </w:t>
      </w:r>
      <w:r w:rsidRPr="00567365">
        <w:rPr>
          <w:lang w:val="en-AU"/>
        </w:rPr>
        <w:t xml:space="preserve">compared with </w:t>
      </w:r>
      <w:r w:rsidR="000573C0" w:rsidRPr="00567365">
        <w:rPr>
          <w:lang w:val="en-AU"/>
        </w:rPr>
        <w:t>7</w:t>
      </w:r>
      <w:r w:rsidR="000573C0">
        <w:rPr>
          <w:lang w:val="en-AU"/>
        </w:rPr>
        <w:t>0</w:t>
      </w:r>
      <w:r w:rsidRPr="00567365">
        <w:rPr>
          <w:lang w:val="en-AU"/>
        </w:rPr>
        <w:t xml:space="preserve">% for other concession households and </w:t>
      </w:r>
      <w:r w:rsidR="006105AE" w:rsidRPr="00567365">
        <w:rPr>
          <w:lang w:val="en-AU"/>
        </w:rPr>
        <w:t>67% for non-concession households.</w:t>
      </w:r>
    </w:p>
    <w:p w14:paraId="0AA27ABE" w14:textId="77777777" w:rsidR="00D109F7" w:rsidRPr="00567365" w:rsidRDefault="00D109F7" w:rsidP="00D109F7">
      <w:pPr>
        <w:pStyle w:val="Para"/>
        <w:rPr>
          <w:lang w:val="en-AU"/>
        </w:rPr>
      </w:pPr>
    </w:p>
    <w:p w14:paraId="164B706A" w14:textId="2944644B" w:rsidR="00D109F7" w:rsidRPr="00567365" w:rsidRDefault="00567365" w:rsidP="00D109F7">
      <w:pPr>
        <w:pStyle w:val="Para"/>
        <w:rPr>
          <w:lang w:val="en-AU"/>
        </w:rPr>
      </w:pPr>
      <w:r w:rsidRPr="00567365">
        <w:rPr>
          <w:lang w:val="en-AU"/>
        </w:rPr>
        <w:t xml:space="preserve">Fewer than one in ten </w:t>
      </w:r>
      <w:r w:rsidR="00D109F7" w:rsidRPr="00567365">
        <w:rPr>
          <w:lang w:val="en-AU"/>
        </w:rPr>
        <w:t xml:space="preserve">households </w:t>
      </w:r>
      <w:r w:rsidR="0038746C" w:rsidRPr="00567365">
        <w:rPr>
          <w:lang w:val="en-AU"/>
        </w:rPr>
        <w:t>(</w:t>
      </w:r>
      <w:r w:rsidRPr="00567365">
        <w:rPr>
          <w:lang w:val="en-AU"/>
        </w:rPr>
        <w:t>7</w:t>
      </w:r>
      <w:r w:rsidR="0038746C" w:rsidRPr="00567365">
        <w:rPr>
          <w:lang w:val="en-AU"/>
        </w:rPr>
        <w:t xml:space="preserve">%) </w:t>
      </w:r>
      <w:r w:rsidR="00D109F7" w:rsidRPr="00567365">
        <w:rPr>
          <w:lang w:val="en-AU"/>
        </w:rPr>
        <w:t>ha</w:t>
      </w:r>
      <w:r w:rsidR="0038746C" w:rsidRPr="00567365">
        <w:rPr>
          <w:lang w:val="en-AU"/>
        </w:rPr>
        <w:t>d</w:t>
      </w:r>
      <w:r w:rsidR="00D109F7" w:rsidRPr="00567365">
        <w:rPr>
          <w:lang w:val="en-AU"/>
        </w:rPr>
        <w:t xml:space="preserve"> their annual municipal rates charge calculated using the Net Asset Value (NAV) of the property</w:t>
      </w:r>
      <w:r w:rsidR="0038746C" w:rsidRPr="00567365">
        <w:rPr>
          <w:lang w:val="en-AU"/>
        </w:rPr>
        <w:t xml:space="preserve">, </w:t>
      </w:r>
      <w:r w:rsidR="00FC4F06" w:rsidRPr="00567365">
        <w:rPr>
          <w:lang w:val="en-AU"/>
        </w:rPr>
        <w:t>with all of these households being in Melbourne</w:t>
      </w:r>
      <w:r w:rsidR="009B34EF" w:rsidRPr="00567365">
        <w:rPr>
          <w:lang w:val="en-AU"/>
        </w:rPr>
        <w:t>.</w:t>
      </w:r>
      <w:r w:rsidRPr="00567365">
        <w:rPr>
          <w:lang w:val="en-AU"/>
        </w:rPr>
        <w:t xml:space="preserve"> Ninety-three </w:t>
      </w:r>
      <w:r w:rsidR="00B942AA">
        <w:rPr>
          <w:lang w:val="en-AU"/>
        </w:rPr>
        <w:t>per cent</w:t>
      </w:r>
      <w:r w:rsidR="00FC4F06" w:rsidRPr="00567365">
        <w:rPr>
          <w:lang w:val="en-AU"/>
        </w:rPr>
        <w:t xml:space="preserve"> </w:t>
      </w:r>
      <w:r w:rsidR="0038746C" w:rsidRPr="00567365">
        <w:rPr>
          <w:lang w:val="en-AU"/>
        </w:rPr>
        <w:t xml:space="preserve">used the Capital Improved Value (CIV) method (9% and 91% respectively in 2007).  </w:t>
      </w:r>
      <w:r w:rsidR="00D109F7" w:rsidRPr="00567365">
        <w:rPr>
          <w:lang w:val="en-AU"/>
        </w:rPr>
        <w:t xml:space="preserve">The average NAV estimate of a property in Victoria in </w:t>
      </w:r>
      <w:r w:rsidR="0038746C" w:rsidRPr="00567365">
        <w:rPr>
          <w:lang w:val="en-AU"/>
        </w:rPr>
        <w:t>2014 was $</w:t>
      </w:r>
      <w:r w:rsidRPr="00567365">
        <w:rPr>
          <w:lang w:val="en-AU"/>
        </w:rPr>
        <w:t>29,</w:t>
      </w:r>
      <w:r w:rsidR="00D73959">
        <w:rPr>
          <w:lang w:val="en-AU"/>
        </w:rPr>
        <w:t>406</w:t>
      </w:r>
      <w:r w:rsidR="0038746C" w:rsidRPr="00567365">
        <w:rPr>
          <w:lang w:val="en-AU"/>
        </w:rPr>
        <w:t xml:space="preserve"> ($25,628 in 2007), </w:t>
      </w:r>
      <w:r w:rsidR="00D109F7" w:rsidRPr="00567365">
        <w:rPr>
          <w:lang w:val="en-AU"/>
        </w:rPr>
        <w:t xml:space="preserve">while the average CIV estimate was </w:t>
      </w:r>
      <w:r w:rsidR="0038746C" w:rsidRPr="00567365">
        <w:rPr>
          <w:lang w:val="en-AU"/>
        </w:rPr>
        <w:t>$4</w:t>
      </w:r>
      <w:r w:rsidR="00D73959">
        <w:rPr>
          <w:lang w:val="en-AU"/>
        </w:rPr>
        <w:t>87</w:t>
      </w:r>
      <w:r w:rsidR="0038746C" w:rsidRPr="00567365">
        <w:rPr>
          <w:lang w:val="en-AU"/>
        </w:rPr>
        <w:t>,</w:t>
      </w:r>
      <w:r w:rsidR="00D73959">
        <w:rPr>
          <w:lang w:val="en-AU"/>
        </w:rPr>
        <w:t>237</w:t>
      </w:r>
      <w:r w:rsidR="0038746C" w:rsidRPr="00567365">
        <w:rPr>
          <w:lang w:val="en-AU"/>
        </w:rPr>
        <w:t xml:space="preserve"> (</w:t>
      </w:r>
      <w:r w:rsidR="00D109F7" w:rsidRPr="00567365">
        <w:rPr>
          <w:lang w:val="en-AU"/>
        </w:rPr>
        <w:t>$327,110</w:t>
      </w:r>
      <w:r w:rsidR="0038746C" w:rsidRPr="00567365">
        <w:rPr>
          <w:lang w:val="en-AU"/>
        </w:rPr>
        <w:t xml:space="preserve"> in 2007)</w:t>
      </w:r>
      <w:r w:rsidR="00D109F7" w:rsidRPr="00567365">
        <w:rPr>
          <w:lang w:val="en-AU"/>
        </w:rPr>
        <w:t xml:space="preserve">.  Both NAV and CIV values tended to be lower for </w:t>
      </w:r>
      <w:r w:rsidR="0055008C" w:rsidRPr="00567365">
        <w:rPr>
          <w:lang w:val="en-AU"/>
        </w:rPr>
        <w:t>other concession</w:t>
      </w:r>
      <w:r w:rsidR="00D109F7" w:rsidRPr="00567365">
        <w:rPr>
          <w:lang w:val="en-AU"/>
        </w:rPr>
        <w:t xml:space="preserve"> households ($</w:t>
      </w:r>
      <w:r w:rsidRPr="00567365">
        <w:rPr>
          <w:lang w:val="en-AU"/>
        </w:rPr>
        <w:t>20,950</w:t>
      </w:r>
      <w:r w:rsidR="00D109F7" w:rsidRPr="00567365">
        <w:rPr>
          <w:lang w:val="en-AU"/>
        </w:rPr>
        <w:t xml:space="preserve"> and $</w:t>
      </w:r>
      <w:r w:rsidR="00FC4F06" w:rsidRPr="00567365">
        <w:rPr>
          <w:lang w:val="en-AU"/>
        </w:rPr>
        <w:t>3</w:t>
      </w:r>
      <w:r w:rsidR="00D73959">
        <w:rPr>
          <w:lang w:val="en-AU"/>
        </w:rPr>
        <w:t>75</w:t>
      </w:r>
      <w:r w:rsidR="00FC4F06" w:rsidRPr="00567365">
        <w:rPr>
          <w:lang w:val="en-AU"/>
        </w:rPr>
        <w:t>,</w:t>
      </w:r>
      <w:r w:rsidR="00D73959">
        <w:rPr>
          <w:lang w:val="en-AU"/>
        </w:rPr>
        <w:t>115</w:t>
      </w:r>
      <w:r w:rsidR="00D109F7" w:rsidRPr="00567365">
        <w:rPr>
          <w:lang w:val="en-AU"/>
        </w:rPr>
        <w:t xml:space="preserve"> respectively)</w:t>
      </w:r>
      <w:r w:rsidR="00FC4F06" w:rsidRPr="00567365">
        <w:rPr>
          <w:lang w:val="en-AU"/>
        </w:rPr>
        <w:t xml:space="preserve"> than for </w:t>
      </w:r>
      <w:r w:rsidR="003F7E44" w:rsidRPr="00567365">
        <w:rPr>
          <w:lang w:val="en-AU"/>
        </w:rPr>
        <w:t>aged concession ($</w:t>
      </w:r>
      <w:r w:rsidRPr="00567365">
        <w:rPr>
          <w:lang w:val="en-AU"/>
        </w:rPr>
        <w:t>25,554</w:t>
      </w:r>
      <w:r w:rsidR="003F7E44" w:rsidRPr="00567365">
        <w:rPr>
          <w:lang w:val="en-AU"/>
        </w:rPr>
        <w:t xml:space="preserve"> and $4</w:t>
      </w:r>
      <w:r w:rsidR="00D73959">
        <w:rPr>
          <w:lang w:val="en-AU"/>
        </w:rPr>
        <w:t>77</w:t>
      </w:r>
      <w:r w:rsidR="003F7E44" w:rsidRPr="00567365">
        <w:rPr>
          <w:lang w:val="en-AU"/>
        </w:rPr>
        <w:t>,</w:t>
      </w:r>
      <w:r w:rsidR="00D73959">
        <w:rPr>
          <w:lang w:val="en-AU"/>
        </w:rPr>
        <w:t>633</w:t>
      </w:r>
      <w:r w:rsidR="003F7E44" w:rsidRPr="00567365">
        <w:rPr>
          <w:lang w:val="en-AU"/>
        </w:rPr>
        <w:t xml:space="preserve"> respectively) or non-concession households ($</w:t>
      </w:r>
      <w:r w:rsidRPr="00567365">
        <w:rPr>
          <w:lang w:val="en-AU"/>
        </w:rPr>
        <w:t>31,</w:t>
      </w:r>
      <w:r w:rsidR="00D73959">
        <w:rPr>
          <w:lang w:val="en-AU"/>
        </w:rPr>
        <w:t>867</w:t>
      </w:r>
      <w:r w:rsidR="003F7E44" w:rsidRPr="00567365">
        <w:rPr>
          <w:lang w:val="en-AU"/>
        </w:rPr>
        <w:t xml:space="preserve"> and $</w:t>
      </w:r>
      <w:r w:rsidR="00D73959">
        <w:rPr>
          <w:lang w:val="en-AU"/>
        </w:rPr>
        <w:t>524,349</w:t>
      </w:r>
      <w:r w:rsidR="003F7E44" w:rsidRPr="00567365">
        <w:rPr>
          <w:lang w:val="en-AU"/>
        </w:rPr>
        <w:t xml:space="preserve"> respectively).</w:t>
      </w:r>
    </w:p>
    <w:p w14:paraId="67245E7C" w14:textId="77777777" w:rsidR="00D109F7" w:rsidRPr="003835AE" w:rsidRDefault="00D109F7" w:rsidP="00D109F7">
      <w:pPr>
        <w:pStyle w:val="Para"/>
        <w:rPr>
          <w:highlight w:val="yellow"/>
          <w:lang w:val="en-AU"/>
        </w:rPr>
      </w:pPr>
    </w:p>
    <w:p w14:paraId="79499BED" w14:textId="1A7AA003" w:rsidR="00D109F7" w:rsidRPr="000561BD" w:rsidRDefault="00D109F7" w:rsidP="00D109F7">
      <w:pPr>
        <w:pStyle w:val="Para"/>
        <w:rPr>
          <w:lang w:val="en-AU"/>
        </w:rPr>
      </w:pPr>
      <w:r w:rsidRPr="000561BD">
        <w:rPr>
          <w:lang w:val="en-AU"/>
        </w:rPr>
        <w:t xml:space="preserve">The average annual municipal rates charge allocated to properties in </w:t>
      </w:r>
      <w:r w:rsidR="00FC4F06" w:rsidRPr="000561BD">
        <w:rPr>
          <w:lang w:val="en-AU"/>
        </w:rPr>
        <w:t>2014 was $1,</w:t>
      </w:r>
      <w:r w:rsidR="00D3243D" w:rsidRPr="000561BD">
        <w:rPr>
          <w:lang w:val="en-AU"/>
        </w:rPr>
        <w:t>3</w:t>
      </w:r>
      <w:r w:rsidR="00D3243D">
        <w:rPr>
          <w:lang w:val="en-AU"/>
        </w:rPr>
        <w:t>25</w:t>
      </w:r>
      <w:r w:rsidR="00FC4F06" w:rsidRPr="000561BD">
        <w:rPr>
          <w:lang w:val="en-AU"/>
        </w:rPr>
        <w:t xml:space="preserve">, compared with </w:t>
      </w:r>
      <w:r w:rsidRPr="000561BD">
        <w:rPr>
          <w:lang w:val="en-AU"/>
        </w:rPr>
        <w:t>$863</w:t>
      </w:r>
      <w:r w:rsidR="00FC4F06" w:rsidRPr="000561BD">
        <w:rPr>
          <w:lang w:val="en-AU"/>
        </w:rPr>
        <w:t xml:space="preserve"> in 2007, </w:t>
      </w:r>
      <w:r w:rsidRPr="000561BD">
        <w:rPr>
          <w:lang w:val="en-AU"/>
        </w:rPr>
        <w:t xml:space="preserve">an increase of </w:t>
      </w:r>
      <w:r w:rsidR="00FC4F06" w:rsidRPr="000561BD">
        <w:rPr>
          <w:lang w:val="en-AU"/>
        </w:rPr>
        <w:t>54</w:t>
      </w:r>
      <w:r w:rsidR="000561BD" w:rsidRPr="000561BD">
        <w:rPr>
          <w:lang w:val="en-AU"/>
        </w:rPr>
        <w:t>%</w:t>
      </w:r>
      <w:r w:rsidRPr="000561BD">
        <w:rPr>
          <w:lang w:val="en-AU"/>
        </w:rPr>
        <w:t xml:space="preserve">  The proportional increase in the average annual municipal rate charge was highe</w:t>
      </w:r>
      <w:r w:rsidR="00FC4F06" w:rsidRPr="000561BD">
        <w:rPr>
          <w:lang w:val="en-AU"/>
        </w:rPr>
        <w:t>r in country Victoria (7</w:t>
      </w:r>
      <w:r w:rsidR="000561BD" w:rsidRPr="000561BD">
        <w:rPr>
          <w:lang w:val="en-AU"/>
        </w:rPr>
        <w:t>3</w:t>
      </w:r>
      <w:r w:rsidR="00FC4F06" w:rsidRPr="000561BD">
        <w:rPr>
          <w:lang w:val="en-AU"/>
        </w:rPr>
        <w:t>%, to an average of $1,295) than in Melbourne (</w:t>
      </w:r>
      <w:r w:rsidR="00D3243D" w:rsidRPr="000561BD">
        <w:rPr>
          <w:lang w:val="en-AU"/>
        </w:rPr>
        <w:t>4</w:t>
      </w:r>
      <w:r w:rsidR="00D3243D">
        <w:rPr>
          <w:lang w:val="en-AU"/>
        </w:rPr>
        <w:t>6</w:t>
      </w:r>
      <w:r w:rsidR="00FC4F06" w:rsidRPr="000561BD">
        <w:rPr>
          <w:lang w:val="en-AU"/>
        </w:rPr>
        <w:t>%, to an average of $1,</w:t>
      </w:r>
      <w:r w:rsidR="00D3243D" w:rsidRPr="000561BD">
        <w:rPr>
          <w:lang w:val="en-AU"/>
        </w:rPr>
        <w:t>3</w:t>
      </w:r>
      <w:r w:rsidR="00D3243D">
        <w:rPr>
          <w:lang w:val="en-AU"/>
        </w:rPr>
        <w:t>36</w:t>
      </w:r>
      <w:r w:rsidR="00FC4F06" w:rsidRPr="000561BD">
        <w:rPr>
          <w:lang w:val="en-AU"/>
        </w:rPr>
        <w:t>)</w:t>
      </w:r>
      <w:r w:rsidRPr="000561BD">
        <w:rPr>
          <w:lang w:val="en-AU"/>
        </w:rPr>
        <w:t>.</w:t>
      </w:r>
      <w:r w:rsidR="003A12B1" w:rsidRPr="000561BD">
        <w:rPr>
          <w:lang w:val="en-AU"/>
        </w:rPr>
        <w:t xml:space="preserve">  The proportional increase was higher among aged (</w:t>
      </w:r>
      <w:r w:rsidR="00D3243D" w:rsidRPr="000561BD">
        <w:rPr>
          <w:lang w:val="en-AU"/>
        </w:rPr>
        <w:t>6</w:t>
      </w:r>
      <w:r w:rsidR="00D3243D">
        <w:rPr>
          <w:lang w:val="en-AU"/>
        </w:rPr>
        <w:t>3</w:t>
      </w:r>
      <w:r w:rsidR="003A12B1" w:rsidRPr="000561BD">
        <w:rPr>
          <w:lang w:val="en-AU"/>
        </w:rPr>
        <w:t>%) and other concession (</w:t>
      </w:r>
      <w:r w:rsidR="00D3243D" w:rsidRPr="000561BD">
        <w:rPr>
          <w:lang w:val="en-AU"/>
        </w:rPr>
        <w:t>6</w:t>
      </w:r>
      <w:r w:rsidR="00D3243D">
        <w:rPr>
          <w:lang w:val="en-AU"/>
        </w:rPr>
        <w:t>0</w:t>
      </w:r>
      <w:r w:rsidR="003A12B1" w:rsidRPr="000561BD">
        <w:rPr>
          <w:lang w:val="en-AU"/>
        </w:rPr>
        <w:t xml:space="preserve">%) households than among non-concession households (52%).  </w:t>
      </w:r>
    </w:p>
    <w:p w14:paraId="17EFCDFC" w14:textId="77777777" w:rsidR="00C40166" w:rsidRPr="000561BD" w:rsidRDefault="00C40166" w:rsidP="00C40166">
      <w:pPr>
        <w:pStyle w:val="Para"/>
        <w:rPr>
          <w:lang w:val="en-AU"/>
        </w:rPr>
      </w:pPr>
    </w:p>
    <w:p w14:paraId="65BDEBD3" w14:textId="6D59437E" w:rsidR="00C40166" w:rsidRPr="000561BD" w:rsidRDefault="00C40166" w:rsidP="00C40166">
      <w:pPr>
        <w:pStyle w:val="Para"/>
        <w:rPr>
          <w:lang w:val="en-AU"/>
        </w:rPr>
      </w:pPr>
      <w:r w:rsidRPr="000561BD">
        <w:rPr>
          <w:lang w:val="en-AU"/>
        </w:rPr>
        <w:lastRenderedPageBreak/>
        <w:t xml:space="preserve">The Fire Services Property Levy (introduced in 2012) was reported </w:t>
      </w:r>
      <w:r w:rsidR="00140665" w:rsidRPr="000561BD">
        <w:rPr>
          <w:lang w:val="en-AU"/>
        </w:rPr>
        <w:t xml:space="preserve">by councils </w:t>
      </w:r>
      <w:r w:rsidRPr="000561BD">
        <w:rPr>
          <w:lang w:val="en-AU"/>
        </w:rPr>
        <w:t xml:space="preserve">as being charged to </w:t>
      </w:r>
      <w:r w:rsidR="00D3243D" w:rsidRPr="000561BD">
        <w:rPr>
          <w:lang w:val="en-AU"/>
        </w:rPr>
        <w:t>9</w:t>
      </w:r>
      <w:r w:rsidR="00D3243D">
        <w:rPr>
          <w:lang w:val="en-AU"/>
        </w:rPr>
        <w:t>9</w:t>
      </w:r>
      <w:r w:rsidRPr="000561BD">
        <w:rPr>
          <w:lang w:val="en-AU"/>
        </w:rPr>
        <w:t>% of all rate paying households, at an average of $147.</w:t>
      </w:r>
    </w:p>
    <w:p w14:paraId="420CEF18" w14:textId="77777777" w:rsidR="00C76F63" w:rsidRPr="003835AE" w:rsidRDefault="00C76F63" w:rsidP="00D109F7">
      <w:pPr>
        <w:pStyle w:val="Para"/>
        <w:rPr>
          <w:highlight w:val="yellow"/>
          <w:lang w:val="en-AU"/>
        </w:rPr>
      </w:pPr>
    </w:p>
    <w:p w14:paraId="053D45B6" w14:textId="62BF2DD6" w:rsidR="00D109F7" w:rsidRPr="003835AE" w:rsidRDefault="003A12B1" w:rsidP="009B34EF">
      <w:pPr>
        <w:pStyle w:val="Para"/>
        <w:rPr>
          <w:highlight w:val="yellow"/>
          <w:lang w:val="en-AU"/>
        </w:rPr>
      </w:pPr>
      <w:r w:rsidRPr="000561BD">
        <w:rPr>
          <w:lang w:val="en-AU"/>
        </w:rPr>
        <w:t xml:space="preserve">The proportion of </w:t>
      </w:r>
      <w:r w:rsidR="00D109F7" w:rsidRPr="000561BD">
        <w:rPr>
          <w:lang w:val="en-AU"/>
        </w:rPr>
        <w:t xml:space="preserve">rate paying households levied a waste management charge </w:t>
      </w:r>
      <w:r w:rsidRPr="000561BD">
        <w:rPr>
          <w:lang w:val="en-AU"/>
        </w:rPr>
        <w:t xml:space="preserve">was </w:t>
      </w:r>
      <w:r w:rsidR="00D3243D" w:rsidRPr="000561BD">
        <w:rPr>
          <w:lang w:val="en-AU"/>
        </w:rPr>
        <w:t>7</w:t>
      </w:r>
      <w:r w:rsidR="00D3243D">
        <w:rPr>
          <w:lang w:val="en-AU"/>
        </w:rPr>
        <w:t>7</w:t>
      </w:r>
      <w:r w:rsidRPr="000561BD">
        <w:rPr>
          <w:lang w:val="en-AU"/>
        </w:rPr>
        <w:t>% in 2014, down from 80% in 2007.</w:t>
      </w:r>
      <w:r w:rsidR="00D109F7" w:rsidRPr="000561BD">
        <w:rPr>
          <w:lang w:val="en-AU"/>
        </w:rPr>
        <w:t xml:space="preserve">  Virtually all households in country Victoria</w:t>
      </w:r>
      <w:r w:rsidRPr="000561BD">
        <w:rPr>
          <w:lang w:val="en-AU"/>
        </w:rPr>
        <w:t xml:space="preserve"> (94%)</w:t>
      </w:r>
      <w:r w:rsidR="00D109F7" w:rsidRPr="000561BD">
        <w:rPr>
          <w:lang w:val="en-AU"/>
        </w:rPr>
        <w:t xml:space="preserve"> had this charge imposed, but only </w:t>
      </w:r>
      <w:r w:rsidR="00D3243D">
        <w:rPr>
          <w:lang w:val="en-AU"/>
        </w:rPr>
        <w:t>71</w:t>
      </w:r>
      <w:r w:rsidR="00D109F7" w:rsidRPr="000561BD">
        <w:rPr>
          <w:lang w:val="en-AU"/>
        </w:rPr>
        <w:t xml:space="preserve">% of Melbourne households did so.  The average amount levied for waste management was </w:t>
      </w:r>
      <w:r w:rsidRPr="000561BD">
        <w:rPr>
          <w:lang w:val="en-AU"/>
        </w:rPr>
        <w:t xml:space="preserve">$241, up 66.3% from </w:t>
      </w:r>
      <w:r w:rsidR="00D109F7" w:rsidRPr="000561BD">
        <w:rPr>
          <w:lang w:val="en-AU"/>
        </w:rPr>
        <w:t>$145</w:t>
      </w:r>
      <w:r w:rsidRPr="000561BD">
        <w:rPr>
          <w:lang w:val="en-AU"/>
        </w:rPr>
        <w:t xml:space="preserve"> in 2007.</w:t>
      </w:r>
      <w:r w:rsidR="00D109F7" w:rsidRPr="000561BD">
        <w:rPr>
          <w:lang w:val="en-AU"/>
        </w:rPr>
        <w:t xml:space="preserve"> The </w:t>
      </w:r>
      <w:r w:rsidR="00C40166" w:rsidRPr="000561BD">
        <w:rPr>
          <w:lang w:val="en-AU"/>
        </w:rPr>
        <w:t>average</w:t>
      </w:r>
      <w:r w:rsidR="00D109F7" w:rsidRPr="000561BD">
        <w:rPr>
          <w:lang w:val="en-AU"/>
        </w:rPr>
        <w:t xml:space="preserve"> increase in this levy w</w:t>
      </w:r>
      <w:r w:rsidRPr="000561BD">
        <w:rPr>
          <w:lang w:val="en-AU"/>
        </w:rPr>
        <w:t>as higher in Melbourne (</w:t>
      </w:r>
      <w:r w:rsidR="00D3243D" w:rsidRPr="000561BD">
        <w:rPr>
          <w:lang w:val="en-AU"/>
        </w:rPr>
        <w:t>7</w:t>
      </w:r>
      <w:r w:rsidR="00D3243D">
        <w:rPr>
          <w:lang w:val="en-AU"/>
        </w:rPr>
        <w:t>6</w:t>
      </w:r>
      <w:r w:rsidRPr="000561BD">
        <w:rPr>
          <w:lang w:val="en-AU"/>
        </w:rPr>
        <w:t>%) than in country Victoria (6</w:t>
      </w:r>
      <w:r w:rsidR="000561BD" w:rsidRPr="000561BD">
        <w:rPr>
          <w:lang w:val="en-AU"/>
        </w:rPr>
        <w:t>1</w:t>
      </w:r>
      <w:r w:rsidRPr="000561BD">
        <w:rPr>
          <w:lang w:val="en-AU"/>
        </w:rPr>
        <w:t>%)</w:t>
      </w:r>
      <w:r w:rsidR="00D109F7" w:rsidRPr="000561BD">
        <w:rPr>
          <w:lang w:val="en-AU"/>
        </w:rPr>
        <w:t>.</w:t>
      </w:r>
    </w:p>
    <w:p w14:paraId="1AA8105D" w14:textId="77777777" w:rsidR="00D109F7" w:rsidRPr="003835AE" w:rsidRDefault="00D109F7" w:rsidP="00D109F7">
      <w:pPr>
        <w:pStyle w:val="Para"/>
        <w:rPr>
          <w:highlight w:val="yellow"/>
          <w:lang w:val="en-AU"/>
        </w:rPr>
      </w:pPr>
    </w:p>
    <w:p w14:paraId="3C8890EF" w14:textId="56B7205D" w:rsidR="00D109F7" w:rsidRPr="003835AE" w:rsidRDefault="003A12B1" w:rsidP="00D109F7">
      <w:pPr>
        <w:pStyle w:val="Para"/>
        <w:rPr>
          <w:highlight w:val="yellow"/>
          <w:lang w:val="en-AU"/>
        </w:rPr>
      </w:pPr>
      <w:r w:rsidRPr="000561BD">
        <w:rPr>
          <w:lang w:val="en-AU"/>
        </w:rPr>
        <w:t xml:space="preserve">Only 9% of rate paying households </w:t>
      </w:r>
      <w:r w:rsidR="00D109F7" w:rsidRPr="000561BD">
        <w:rPr>
          <w:lang w:val="en-AU"/>
        </w:rPr>
        <w:t>had a special product charge imposed</w:t>
      </w:r>
      <w:r w:rsidRPr="000561BD">
        <w:rPr>
          <w:lang w:val="en-AU"/>
        </w:rPr>
        <w:t xml:space="preserve">, down from 25% in 2007, although the average amount of this charge was </w:t>
      </w:r>
      <w:r w:rsidR="003B2F7D" w:rsidRPr="000561BD">
        <w:rPr>
          <w:lang w:val="en-AU"/>
        </w:rPr>
        <w:t>17</w:t>
      </w:r>
      <w:r w:rsidR="003B2F7D">
        <w:rPr>
          <w:lang w:val="en-AU"/>
        </w:rPr>
        <w:t>3</w:t>
      </w:r>
      <w:r w:rsidR="00312EF3" w:rsidRPr="000561BD">
        <w:rPr>
          <w:lang w:val="en-AU"/>
        </w:rPr>
        <w:t xml:space="preserve">% </w:t>
      </w:r>
      <w:r w:rsidRPr="000561BD">
        <w:rPr>
          <w:lang w:val="en-AU"/>
        </w:rPr>
        <w:t>higher in 2014 than 2007 ($</w:t>
      </w:r>
      <w:r w:rsidR="00D3243D" w:rsidRPr="000561BD">
        <w:rPr>
          <w:lang w:val="en-AU"/>
        </w:rPr>
        <w:t>18</w:t>
      </w:r>
      <w:r w:rsidR="00D3243D">
        <w:rPr>
          <w:lang w:val="en-AU"/>
        </w:rPr>
        <w:t>6</w:t>
      </w:r>
      <w:r w:rsidR="00312EF3" w:rsidRPr="000561BD">
        <w:rPr>
          <w:lang w:val="en-AU"/>
        </w:rPr>
        <w:t>, compared with $68)</w:t>
      </w:r>
      <w:r w:rsidR="00D109F7" w:rsidRPr="000561BD">
        <w:rPr>
          <w:lang w:val="en-AU"/>
        </w:rPr>
        <w:t xml:space="preserve">.  </w:t>
      </w:r>
      <w:r w:rsidR="00312EF3" w:rsidRPr="000561BD">
        <w:rPr>
          <w:lang w:val="en-AU"/>
        </w:rPr>
        <w:t xml:space="preserve">  The special product charge was applied to </w:t>
      </w:r>
      <w:r w:rsidR="000561BD" w:rsidRPr="000561BD">
        <w:rPr>
          <w:lang w:val="en-AU"/>
        </w:rPr>
        <w:t>9</w:t>
      </w:r>
      <w:r w:rsidR="00312EF3" w:rsidRPr="000561BD">
        <w:rPr>
          <w:lang w:val="en-AU"/>
        </w:rPr>
        <w:t>% of rate paying households in Melbourne, at an average of $</w:t>
      </w:r>
      <w:r w:rsidR="00DE04C6" w:rsidRPr="000561BD">
        <w:rPr>
          <w:lang w:val="en-AU"/>
        </w:rPr>
        <w:t>5</w:t>
      </w:r>
      <w:r w:rsidR="00DE04C6">
        <w:rPr>
          <w:lang w:val="en-AU"/>
        </w:rPr>
        <w:t>9</w:t>
      </w:r>
      <w:r w:rsidR="00DE04C6" w:rsidRPr="000561BD">
        <w:rPr>
          <w:lang w:val="en-AU"/>
        </w:rPr>
        <w:t xml:space="preserve"> </w:t>
      </w:r>
      <w:r w:rsidR="00312EF3" w:rsidRPr="000561BD">
        <w:rPr>
          <w:lang w:val="en-AU"/>
        </w:rPr>
        <w:t xml:space="preserve">(19% at $56 in 2007).   In country Victoria, a smaller proportion of households incurred the charge than in 2007 (9%, compared with 37%), but the average amount of the charge increased more than 5 times to </w:t>
      </w:r>
      <w:r w:rsidR="00312EF3" w:rsidRPr="00A7775B">
        <w:rPr>
          <w:lang w:val="en-AU"/>
        </w:rPr>
        <w:t>$52</w:t>
      </w:r>
      <w:r w:rsidR="000561BD" w:rsidRPr="00A7775B">
        <w:rPr>
          <w:lang w:val="en-AU"/>
        </w:rPr>
        <w:t>7</w:t>
      </w:r>
      <w:r w:rsidR="00312EF3" w:rsidRPr="00A7775B">
        <w:rPr>
          <w:lang w:val="en-AU"/>
        </w:rPr>
        <w:t xml:space="preserve"> from $82.  The proportional increase was also much higher among non-concession households (</w:t>
      </w:r>
      <w:r w:rsidR="00DE04C6" w:rsidRPr="00A7775B">
        <w:rPr>
          <w:lang w:val="en-AU"/>
        </w:rPr>
        <w:t>2</w:t>
      </w:r>
      <w:r w:rsidR="00DE04C6">
        <w:rPr>
          <w:lang w:val="en-AU"/>
        </w:rPr>
        <w:t>21</w:t>
      </w:r>
      <w:r w:rsidR="00312EF3" w:rsidRPr="00A7775B">
        <w:rPr>
          <w:lang w:val="en-AU"/>
        </w:rPr>
        <w:t>%) than in concession households (</w:t>
      </w:r>
      <w:r w:rsidR="000561BD" w:rsidRPr="00A7775B">
        <w:rPr>
          <w:lang w:val="en-AU"/>
        </w:rPr>
        <w:t>106</w:t>
      </w:r>
      <w:r w:rsidR="00312EF3" w:rsidRPr="00A7775B">
        <w:rPr>
          <w:lang w:val="en-AU"/>
        </w:rPr>
        <w:t>%).</w:t>
      </w:r>
    </w:p>
    <w:p w14:paraId="5E2CEFCC" w14:textId="77777777" w:rsidR="00312EF3" w:rsidRPr="003835AE" w:rsidRDefault="00312EF3" w:rsidP="00D109F7">
      <w:pPr>
        <w:pStyle w:val="Para"/>
        <w:rPr>
          <w:highlight w:val="yellow"/>
          <w:lang w:val="en-AU"/>
        </w:rPr>
      </w:pPr>
    </w:p>
    <w:p w14:paraId="7CF8502E" w14:textId="77777777" w:rsidR="001F3E33" w:rsidRDefault="00572C4C" w:rsidP="001F3E33">
      <w:pPr>
        <w:pStyle w:val="Para"/>
        <w:rPr>
          <w:lang w:val="en-AU"/>
        </w:rPr>
      </w:pPr>
      <w:r w:rsidRPr="00A7775B">
        <w:rPr>
          <w:lang w:val="en-AU"/>
        </w:rPr>
        <w:t xml:space="preserve">Approximately one in ten </w:t>
      </w:r>
      <w:r w:rsidR="00D109F7" w:rsidRPr="00A7775B">
        <w:rPr>
          <w:lang w:val="en-AU"/>
        </w:rPr>
        <w:t>rate paying households were levied other charges</w:t>
      </w:r>
      <w:r w:rsidRPr="00A7775B">
        <w:rPr>
          <w:lang w:val="en-AU"/>
        </w:rPr>
        <w:t xml:space="preserve"> in 2014</w:t>
      </w:r>
      <w:r w:rsidR="00D109F7" w:rsidRPr="00A7775B">
        <w:rPr>
          <w:lang w:val="en-AU"/>
        </w:rPr>
        <w:t xml:space="preserve"> (1</w:t>
      </w:r>
      <w:r w:rsidRPr="00A7775B">
        <w:rPr>
          <w:lang w:val="en-AU"/>
        </w:rPr>
        <w:t>2</w:t>
      </w:r>
      <w:r w:rsidR="00D109F7" w:rsidRPr="00A7775B">
        <w:rPr>
          <w:lang w:val="en-AU"/>
        </w:rPr>
        <w:t>%</w:t>
      </w:r>
      <w:r w:rsidRPr="00A7775B">
        <w:rPr>
          <w:lang w:val="en-AU"/>
        </w:rPr>
        <w:t>, down from 14% in 2007</w:t>
      </w:r>
      <w:r w:rsidR="00D109F7" w:rsidRPr="00A7775B">
        <w:rPr>
          <w:lang w:val="en-AU"/>
        </w:rPr>
        <w:t>)</w:t>
      </w:r>
      <w:r w:rsidRPr="00A7775B">
        <w:rPr>
          <w:lang w:val="en-AU"/>
        </w:rPr>
        <w:t>, with the average amount increasing 14% from the 2007 level to $90.  These charges were more likely to be levied on households in country Victoria (25%) than in Melbourne (8%),</w:t>
      </w:r>
      <w:r w:rsidR="00C40166" w:rsidRPr="00A7775B">
        <w:rPr>
          <w:lang w:val="en-AU"/>
        </w:rPr>
        <w:t xml:space="preserve"> </w:t>
      </w:r>
      <w:r w:rsidRPr="00A7775B">
        <w:rPr>
          <w:lang w:val="en-AU"/>
        </w:rPr>
        <w:t>and tended to be at a higher rate (average of $10</w:t>
      </w:r>
      <w:r w:rsidR="00A7775B" w:rsidRPr="00A7775B">
        <w:rPr>
          <w:lang w:val="en-AU"/>
        </w:rPr>
        <w:t>3</w:t>
      </w:r>
      <w:r w:rsidRPr="00A7775B">
        <w:rPr>
          <w:lang w:val="en-AU"/>
        </w:rPr>
        <w:t xml:space="preserve"> in country Victoria, compared with $7</w:t>
      </w:r>
      <w:r w:rsidR="00A7775B" w:rsidRPr="00A7775B">
        <w:rPr>
          <w:lang w:val="en-AU"/>
        </w:rPr>
        <w:t>6</w:t>
      </w:r>
      <w:r w:rsidRPr="00A7775B">
        <w:rPr>
          <w:lang w:val="en-AU"/>
        </w:rPr>
        <w:t xml:space="preserve"> in Melbourne).  This did, however, represent a substantial decrease in the average amount payable for country Victorians compared with 2007 (down 6</w:t>
      </w:r>
      <w:r w:rsidR="00A7775B" w:rsidRPr="00A7775B">
        <w:rPr>
          <w:lang w:val="en-AU"/>
        </w:rPr>
        <w:t>6</w:t>
      </w:r>
      <w:r w:rsidRPr="00A7775B">
        <w:rPr>
          <w:lang w:val="en-AU"/>
        </w:rPr>
        <w:t xml:space="preserve">%). </w:t>
      </w:r>
      <w:r w:rsidR="001F3E33" w:rsidRPr="00A7775B">
        <w:rPr>
          <w:lang w:val="en-AU"/>
        </w:rPr>
        <w:t xml:space="preserve">  Only a minority of councils provided explanatory notes on the nature of these other charges.  To the extent this information was provided, the charges were usually </w:t>
      </w:r>
      <w:r w:rsidR="005347E2" w:rsidRPr="00A7775B">
        <w:rPr>
          <w:lang w:val="en-AU"/>
        </w:rPr>
        <w:t>related to additional/larger bins (e.g. green waste) or for a flat rate municipal charge on top of the property rates.</w:t>
      </w:r>
    </w:p>
    <w:p w14:paraId="08E7DA79" w14:textId="77777777" w:rsidR="007E6B9E" w:rsidRDefault="007E6B9E" w:rsidP="001F3E33">
      <w:pPr>
        <w:pStyle w:val="Para"/>
        <w:rPr>
          <w:lang w:val="en-AU"/>
        </w:rPr>
      </w:pPr>
    </w:p>
    <w:p w14:paraId="5BB0FF0D" w14:textId="77777777" w:rsidR="007E6B9E" w:rsidRPr="007E6B9E" w:rsidRDefault="007E6B9E" w:rsidP="007E6B9E">
      <w:pPr>
        <w:pStyle w:val="Para"/>
        <w:rPr>
          <w:lang w:val="en-AU"/>
        </w:rPr>
      </w:pPr>
      <w:r w:rsidRPr="007E6B9E">
        <w:rPr>
          <w:lang w:val="en-AU"/>
        </w:rPr>
        <w:t>The average total council rates charge applicable (</w:t>
      </w:r>
      <w:r w:rsidRPr="00C641F8">
        <w:rPr>
          <w:lang w:val="en-AU"/>
        </w:rPr>
        <w:t>i.e. the amount that could be charged if concessions and discounts were not applied) in 2014 was $</w:t>
      </w:r>
      <w:r w:rsidRPr="007E6B9E">
        <w:rPr>
          <w:lang w:val="en-AU"/>
        </w:rPr>
        <w:t>1,685</w:t>
      </w:r>
      <w:r w:rsidRPr="00C641F8">
        <w:rPr>
          <w:lang w:val="en-AU"/>
        </w:rPr>
        <w:t xml:space="preserve">, up </w:t>
      </w:r>
      <w:r w:rsidRPr="007E6B9E">
        <w:rPr>
          <w:lang w:val="en-AU"/>
        </w:rPr>
        <w:t>67</w:t>
      </w:r>
      <w:r w:rsidRPr="00C641F8">
        <w:rPr>
          <w:lang w:val="en-AU"/>
        </w:rPr>
        <w:t>% from $</w:t>
      </w:r>
      <w:r w:rsidRPr="007E6B9E">
        <w:rPr>
          <w:lang w:val="en-AU"/>
        </w:rPr>
        <w:t>1,006</w:t>
      </w:r>
      <w:r w:rsidRPr="00C641F8">
        <w:rPr>
          <w:lang w:val="en-AU"/>
        </w:rPr>
        <w:t xml:space="preserve"> in 2007.  </w:t>
      </w:r>
    </w:p>
    <w:p w14:paraId="41B519F1" w14:textId="77777777" w:rsidR="007E6B9E" w:rsidRPr="00A7775B" w:rsidRDefault="007E6B9E" w:rsidP="001F3E33">
      <w:pPr>
        <w:pStyle w:val="Para"/>
        <w:rPr>
          <w:lang w:val="en-AU"/>
        </w:rPr>
      </w:pPr>
    </w:p>
    <w:p w14:paraId="50824201" w14:textId="77777777" w:rsidR="00A32FA3" w:rsidRDefault="00A32FA3">
      <w:pPr>
        <w:spacing w:before="0" w:after="0"/>
        <w:rPr>
          <w:lang w:val="en-AU"/>
        </w:rPr>
      </w:pPr>
      <w:r>
        <w:rPr>
          <w:lang w:val="en-AU"/>
        </w:rPr>
        <w:br w:type="page"/>
      </w:r>
    </w:p>
    <w:p w14:paraId="1CB4F6F5" w14:textId="25A78E94" w:rsidR="00D109F7" w:rsidRPr="00A7775B" w:rsidRDefault="00D109F7" w:rsidP="00D109F7">
      <w:pPr>
        <w:pStyle w:val="Para"/>
        <w:rPr>
          <w:lang w:val="en-AU"/>
        </w:rPr>
      </w:pPr>
      <w:r w:rsidRPr="00A7775B">
        <w:rPr>
          <w:lang w:val="en-AU"/>
        </w:rPr>
        <w:lastRenderedPageBreak/>
        <w:t>The average DH</w:t>
      </w:r>
      <w:r w:rsidR="00A97B0F" w:rsidRPr="00A7775B">
        <w:rPr>
          <w:lang w:val="en-AU"/>
        </w:rPr>
        <w:t>H</w:t>
      </w:r>
      <w:r w:rsidRPr="00A7775B">
        <w:rPr>
          <w:lang w:val="en-AU"/>
        </w:rPr>
        <w:t xml:space="preserve">S concession amount received by eligible households in </w:t>
      </w:r>
      <w:r w:rsidR="00572C4C" w:rsidRPr="00A7775B">
        <w:rPr>
          <w:lang w:val="en-AU"/>
        </w:rPr>
        <w:t>2014 was $203, an increase of 2</w:t>
      </w:r>
      <w:r w:rsidR="00A7775B" w:rsidRPr="00A7775B">
        <w:rPr>
          <w:lang w:val="en-AU"/>
        </w:rPr>
        <w:t>1</w:t>
      </w:r>
      <w:r w:rsidR="00572C4C" w:rsidRPr="00A7775B">
        <w:rPr>
          <w:lang w:val="en-AU"/>
        </w:rPr>
        <w:t xml:space="preserve">% from the $168 recorded in the 2007 survey.  </w:t>
      </w:r>
      <w:r w:rsidR="00A97B0F" w:rsidRPr="00A7775B">
        <w:rPr>
          <w:lang w:val="en-AU"/>
        </w:rPr>
        <w:t xml:space="preserve"> Thirty-</w:t>
      </w:r>
      <w:r w:rsidR="00DE04C6">
        <w:rPr>
          <w:lang w:val="en-AU"/>
        </w:rPr>
        <w:t>eight</w:t>
      </w:r>
      <w:r w:rsidR="00B942AA">
        <w:rPr>
          <w:lang w:val="en-AU"/>
        </w:rPr>
        <w:t>per cent</w:t>
      </w:r>
      <w:r w:rsidR="00A97B0F" w:rsidRPr="00A7775B">
        <w:rPr>
          <w:lang w:val="en-AU"/>
        </w:rPr>
        <w:t xml:space="preserve"> of all rates paying households received the DHHS concession, with the proportion higher in country Victoria (4</w:t>
      </w:r>
      <w:r w:rsidR="00A7775B" w:rsidRPr="00A7775B">
        <w:rPr>
          <w:lang w:val="en-AU"/>
        </w:rPr>
        <w:t>2</w:t>
      </w:r>
      <w:r w:rsidR="00A97B0F" w:rsidRPr="00A7775B">
        <w:rPr>
          <w:lang w:val="en-AU"/>
        </w:rPr>
        <w:t>%) than in Melbourne (</w:t>
      </w:r>
      <w:r w:rsidR="00DE04C6" w:rsidRPr="00A7775B">
        <w:rPr>
          <w:lang w:val="en-AU"/>
        </w:rPr>
        <w:t>3</w:t>
      </w:r>
      <w:r w:rsidR="00DE04C6">
        <w:rPr>
          <w:lang w:val="en-AU"/>
        </w:rPr>
        <w:t>6</w:t>
      </w:r>
      <w:r w:rsidR="00A97B0F" w:rsidRPr="00A7775B">
        <w:rPr>
          <w:lang w:val="en-AU"/>
        </w:rPr>
        <w:t xml:space="preserve">%).  </w:t>
      </w:r>
      <w:r w:rsidR="008567B5">
        <w:rPr>
          <w:lang w:val="en-AU"/>
        </w:rPr>
        <w:t xml:space="preserve">The DHHS (Municipal Rates) concession was received by </w:t>
      </w:r>
      <w:r w:rsidR="00DE04C6">
        <w:rPr>
          <w:lang w:val="en-AU"/>
        </w:rPr>
        <w:t>86</w:t>
      </w:r>
      <w:r w:rsidR="008567B5">
        <w:rPr>
          <w:lang w:val="en-AU"/>
        </w:rPr>
        <w:t xml:space="preserve">% of concession households and by 5% of non-concession households (compared with 77% and 5% respectively in 2007).  </w:t>
      </w:r>
      <w:r w:rsidR="00A97B0F" w:rsidRPr="00A7775B">
        <w:rPr>
          <w:lang w:val="en-AU"/>
        </w:rPr>
        <w:t xml:space="preserve">There was very little difference between the various sub-groups in terms of percentage increase in the amount of the DHHS municipal rates concession. </w:t>
      </w:r>
    </w:p>
    <w:p w14:paraId="6572CC86" w14:textId="77777777" w:rsidR="00A97B0F" w:rsidRDefault="00A97B0F" w:rsidP="00D109F7">
      <w:pPr>
        <w:pStyle w:val="Para"/>
        <w:rPr>
          <w:lang w:val="en-AU"/>
        </w:rPr>
      </w:pPr>
    </w:p>
    <w:p w14:paraId="02F9E5E2" w14:textId="77777777" w:rsidR="008567B5" w:rsidRPr="008567B5" w:rsidRDefault="008567B5" w:rsidP="008567B5">
      <w:pPr>
        <w:pStyle w:val="Para"/>
        <w:rPr>
          <w:lang w:val="en-AU"/>
        </w:rPr>
      </w:pPr>
      <w:r w:rsidRPr="008567B5">
        <w:rPr>
          <w:lang w:val="en-AU"/>
        </w:rPr>
        <w:t>The survey does not indicate the concession status of each person whose name is on each bill, but defines the concession status of the household according to the concession status of the respondent, who is the main bill-payer. In addition, the eligibility criteria for the rates concession are more restricted than the general criteria for counting as a ‘concession household’.  Therefore it is not possible to calculate a precise estimate of the proportion of eligible households that actually received the council rates concession.  One approximation is the proportion of ‘concession households’ that received the concession.  Another approximation could be calculated using as a base those households where the main respondent held a PCC or Gold Card.</w:t>
      </w:r>
    </w:p>
    <w:p w14:paraId="3FE44887" w14:textId="77777777" w:rsidR="00A56952" w:rsidRPr="00A7775B" w:rsidRDefault="00A56952" w:rsidP="00D109F7">
      <w:pPr>
        <w:pStyle w:val="Para"/>
        <w:rPr>
          <w:lang w:val="en-AU"/>
        </w:rPr>
      </w:pPr>
    </w:p>
    <w:p w14:paraId="001D2160" w14:textId="583E8A38" w:rsidR="001F3E33" w:rsidRPr="00A7775B" w:rsidRDefault="00955AAD" w:rsidP="001F3E33">
      <w:pPr>
        <w:pStyle w:val="Para"/>
        <w:rPr>
          <w:lang w:val="en-AU"/>
        </w:rPr>
      </w:pPr>
      <w:r w:rsidRPr="00A7775B">
        <w:rPr>
          <w:lang w:val="en-AU"/>
        </w:rPr>
        <w:t xml:space="preserve">Just over one </w:t>
      </w:r>
      <w:r w:rsidR="00D109F7" w:rsidRPr="00A7775B">
        <w:rPr>
          <w:lang w:val="en-AU"/>
        </w:rPr>
        <w:t xml:space="preserve">in ten households paying Council rates also received other discounts off their </w:t>
      </w:r>
      <w:r w:rsidR="00691EAE" w:rsidRPr="00A7775B">
        <w:rPr>
          <w:lang w:val="en-AU"/>
        </w:rPr>
        <w:t>20</w:t>
      </w:r>
      <w:r w:rsidRPr="00A7775B">
        <w:rPr>
          <w:lang w:val="en-AU"/>
        </w:rPr>
        <w:t>14</w:t>
      </w:r>
      <w:r w:rsidR="00D109F7" w:rsidRPr="00A7775B">
        <w:rPr>
          <w:lang w:val="en-AU"/>
        </w:rPr>
        <w:t xml:space="preserve"> rates bill (</w:t>
      </w:r>
      <w:r w:rsidRPr="00A7775B">
        <w:rPr>
          <w:lang w:val="en-AU"/>
        </w:rPr>
        <w:t xml:space="preserve">13%, compared with </w:t>
      </w:r>
      <w:r w:rsidR="00D109F7" w:rsidRPr="00A7775B">
        <w:rPr>
          <w:lang w:val="en-AU"/>
        </w:rPr>
        <w:t>9%</w:t>
      </w:r>
      <w:r w:rsidRPr="00A7775B">
        <w:rPr>
          <w:lang w:val="en-AU"/>
        </w:rPr>
        <w:t xml:space="preserve"> in 2007</w:t>
      </w:r>
      <w:r w:rsidR="00D109F7" w:rsidRPr="00A7775B">
        <w:rPr>
          <w:lang w:val="en-AU"/>
        </w:rPr>
        <w:t>)</w:t>
      </w:r>
      <w:r w:rsidRPr="00A7775B">
        <w:rPr>
          <w:lang w:val="en-AU"/>
        </w:rPr>
        <w:t>. The average discount applicable in 2014 was $6</w:t>
      </w:r>
      <w:r w:rsidR="00A7775B" w:rsidRPr="00A7775B">
        <w:rPr>
          <w:lang w:val="en-AU"/>
        </w:rPr>
        <w:t>7</w:t>
      </w:r>
      <w:r w:rsidRPr="00A7775B">
        <w:rPr>
          <w:lang w:val="en-AU"/>
        </w:rPr>
        <w:t>, compared with $61 in 2007</w:t>
      </w:r>
      <w:r w:rsidR="00143675">
        <w:rPr>
          <w:lang w:val="en-AU"/>
        </w:rPr>
        <w:t>.</w:t>
      </w:r>
      <w:r w:rsidR="001F3E33" w:rsidRPr="00A7775B">
        <w:rPr>
          <w:lang w:val="en-AU"/>
        </w:rPr>
        <w:t xml:space="preserve"> Only a minority of councils provided explanatory notes on the nature of these other discounts.  To the extent this information was provided, the discounts were usually said to be council-funded rates rebates offered to pensioners.</w:t>
      </w:r>
    </w:p>
    <w:p w14:paraId="78961A8A" w14:textId="77777777" w:rsidR="00D109F7" w:rsidRPr="00A7775B" w:rsidRDefault="00D109F7" w:rsidP="00D109F7">
      <w:pPr>
        <w:pStyle w:val="Para"/>
        <w:rPr>
          <w:lang w:val="en-AU"/>
        </w:rPr>
      </w:pPr>
    </w:p>
    <w:p w14:paraId="318528F4" w14:textId="77777777" w:rsidR="00D109F7" w:rsidRPr="00DB6DAB" w:rsidRDefault="00D109F7" w:rsidP="002514E7">
      <w:pPr>
        <w:spacing w:before="0" w:after="120"/>
        <w:ind w:left="1134" w:hanging="1134"/>
        <w:jc w:val="center"/>
        <w:outlineLvl w:val="0"/>
        <w:rPr>
          <w:b/>
          <w:u w:val="single"/>
          <w:lang w:val="en-AU"/>
        </w:rPr>
      </w:pPr>
      <w:r w:rsidRPr="003835AE">
        <w:rPr>
          <w:b/>
          <w:sz w:val="22"/>
          <w:highlight w:val="yellow"/>
          <w:lang w:val="en-AU"/>
        </w:rPr>
        <w:br w:type="page"/>
      </w:r>
      <w:r w:rsidRPr="00DB6DAB">
        <w:rPr>
          <w:b/>
          <w:lang w:val="en-AU"/>
        </w:rPr>
        <w:lastRenderedPageBreak/>
        <w:t xml:space="preserve">Table </w:t>
      </w:r>
      <w:r w:rsidR="001A2002" w:rsidRPr="00DB6DAB">
        <w:rPr>
          <w:b/>
          <w:lang w:val="en-AU"/>
        </w:rPr>
        <w:t>6</w:t>
      </w:r>
      <w:r w:rsidRPr="00DB6DAB">
        <w:rPr>
          <w:b/>
          <w:lang w:val="en-AU"/>
        </w:rPr>
        <w:t xml:space="preserve">.2.1: </w:t>
      </w:r>
      <w:r w:rsidRPr="00DB6DAB">
        <w:rPr>
          <w:b/>
          <w:u w:val="single"/>
          <w:lang w:val="en-AU"/>
        </w:rPr>
        <w:t xml:space="preserve">Council Rate Charges </w:t>
      </w:r>
      <w:r w:rsidR="001E0693" w:rsidRPr="00DB6DAB">
        <w:rPr>
          <w:b/>
          <w:u w:val="single"/>
          <w:lang w:val="en-AU"/>
        </w:rPr>
        <w:t>– Part 1</w:t>
      </w:r>
    </w:p>
    <w:tbl>
      <w:tblPr>
        <w:tblW w:w="12889" w:type="dxa"/>
        <w:jc w:val="center"/>
        <w:tblLook w:val="04A0" w:firstRow="1" w:lastRow="0" w:firstColumn="1" w:lastColumn="0" w:noHBand="0" w:noVBand="1"/>
      </w:tblPr>
      <w:tblGrid>
        <w:gridCol w:w="2575"/>
        <w:gridCol w:w="734"/>
        <w:gridCol w:w="734"/>
        <w:gridCol w:w="734"/>
        <w:gridCol w:w="617"/>
        <w:gridCol w:w="734"/>
        <w:gridCol w:w="734"/>
        <w:gridCol w:w="734"/>
        <w:gridCol w:w="795"/>
        <w:gridCol w:w="795"/>
        <w:gridCol w:w="706"/>
        <w:gridCol w:w="795"/>
        <w:gridCol w:w="734"/>
        <w:gridCol w:w="734"/>
        <w:gridCol w:w="734"/>
      </w:tblGrid>
      <w:tr w:rsidR="00E337BE" w:rsidRPr="00DB6DAB" w14:paraId="17CB9072" w14:textId="77777777" w:rsidTr="002514E7">
        <w:trPr>
          <w:trHeight w:val="330"/>
          <w:tblHeader/>
          <w:jc w:val="center"/>
        </w:trPr>
        <w:tc>
          <w:tcPr>
            <w:tcW w:w="2575" w:type="dxa"/>
            <w:tcBorders>
              <w:top w:val="double" w:sz="6" w:space="0" w:color="auto"/>
              <w:left w:val="double" w:sz="6" w:space="0" w:color="auto"/>
              <w:bottom w:val="single" w:sz="4" w:space="0" w:color="BFBFBF"/>
              <w:right w:val="nil"/>
            </w:tcBorders>
            <w:shd w:val="clear" w:color="auto" w:fill="auto"/>
            <w:noWrap/>
            <w:vAlign w:val="center"/>
          </w:tcPr>
          <w:p w14:paraId="5C80F46D"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 </w:t>
            </w:r>
          </w:p>
        </w:tc>
        <w:tc>
          <w:tcPr>
            <w:tcW w:w="2202" w:type="dxa"/>
            <w:gridSpan w:val="3"/>
            <w:vMerge w:val="restart"/>
            <w:tcBorders>
              <w:top w:val="double" w:sz="6" w:space="0" w:color="auto"/>
              <w:left w:val="single" w:sz="4" w:space="0" w:color="auto"/>
              <w:bottom w:val="single" w:sz="4" w:space="0" w:color="BFBFBF"/>
              <w:right w:val="single" w:sz="4" w:space="0" w:color="auto"/>
            </w:tcBorders>
            <w:shd w:val="clear" w:color="auto" w:fill="auto"/>
            <w:noWrap/>
            <w:vAlign w:val="center"/>
          </w:tcPr>
          <w:p w14:paraId="5A2DE6FE"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 Paying Council Rates</w:t>
            </w:r>
          </w:p>
        </w:tc>
        <w:tc>
          <w:tcPr>
            <w:tcW w:w="2819" w:type="dxa"/>
            <w:gridSpan w:val="4"/>
            <w:tcBorders>
              <w:top w:val="double" w:sz="6" w:space="0" w:color="auto"/>
              <w:left w:val="single" w:sz="4" w:space="0" w:color="auto"/>
              <w:bottom w:val="single" w:sz="4" w:space="0" w:color="BFBFBF"/>
              <w:right w:val="single" w:sz="4" w:space="0" w:color="BFBFBF"/>
            </w:tcBorders>
            <w:shd w:val="clear" w:color="auto" w:fill="auto"/>
            <w:noWrap/>
            <w:vAlign w:val="center"/>
          </w:tcPr>
          <w:p w14:paraId="2E037F9B"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Valuation Method Used</w:t>
            </w:r>
          </w:p>
        </w:tc>
        <w:tc>
          <w:tcPr>
            <w:tcW w:w="3091" w:type="dxa"/>
            <w:gridSpan w:val="4"/>
            <w:tcBorders>
              <w:top w:val="double" w:sz="6" w:space="0" w:color="auto"/>
              <w:left w:val="single" w:sz="4" w:space="0" w:color="auto"/>
              <w:bottom w:val="single" w:sz="4" w:space="0" w:color="BFBFBF"/>
              <w:right w:val="single" w:sz="4" w:space="0" w:color="000000"/>
            </w:tcBorders>
            <w:shd w:val="clear" w:color="auto" w:fill="auto"/>
            <w:noWrap/>
            <w:vAlign w:val="center"/>
          </w:tcPr>
          <w:p w14:paraId="57433546"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Valuation Amount ($)</w:t>
            </w:r>
          </w:p>
        </w:tc>
        <w:tc>
          <w:tcPr>
            <w:tcW w:w="2202" w:type="dxa"/>
            <w:gridSpan w:val="3"/>
            <w:vMerge w:val="restart"/>
            <w:tcBorders>
              <w:top w:val="double" w:sz="6" w:space="0" w:color="auto"/>
              <w:left w:val="nil"/>
              <w:bottom w:val="single" w:sz="4" w:space="0" w:color="BFBFBF"/>
              <w:right w:val="double" w:sz="6" w:space="0" w:color="000000"/>
            </w:tcBorders>
            <w:shd w:val="clear" w:color="auto" w:fill="auto"/>
            <w:vAlign w:val="center"/>
          </w:tcPr>
          <w:p w14:paraId="485FA1B6"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 xml:space="preserve">Annual Municipal Rates </w:t>
            </w:r>
            <w:r w:rsidRPr="00DB6DAB">
              <w:rPr>
                <w:rFonts w:ascii="Arial" w:hAnsi="Arial" w:cs="Arial"/>
                <w:b/>
                <w:bCs/>
                <w:color w:val="000000"/>
                <w:sz w:val="16"/>
                <w:szCs w:val="16"/>
                <w:lang w:val="en-AU" w:eastAsia="en-AU"/>
              </w:rPr>
              <w:br/>
              <w:t>Charge ($)</w:t>
            </w:r>
          </w:p>
        </w:tc>
      </w:tr>
      <w:tr w:rsidR="00E337BE" w:rsidRPr="00DB6DAB" w14:paraId="19E6D029" w14:textId="77777777" w:rsidTr="004B2028">
        <w:trPr>
          <w:trHeight w:val="315"/>
          <w:tblHeader/>
          <w:jc w:val="center"/>
        </w:trPr>
        <w:tc>
          <w:tcPr>
            <w:tcW w:w="2575" w:type="dxa"/>
            <w:tcBorders>
              <w:top w:val="single" w:sz="4" w:space="0" w:color="BFBFBF"/>
              <w:left w:val="double" w:sz="6" w:space="0" w:color="auto"/>
              <w:bottom w:val="single" w:sz="4" w:space="0" w:color="BFBFBF"/>
              <w:right w:val="single" w:sz="4" w:space="0" w:color="auto"/>
            </w:tcBorders>
            <w:shd w:val="clear" w:color="auto" w:fill="auto"/>
            <w:noWrap/>
            <w:vAlign w:val="center"/>
          </w:tcPr>
          <w:p w14:paraId="77712A45"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 </w:t>
            </w:r>
          </w:p>
        </w:tc>
        <w:tc>
          <w:tcPr>
            <w:tcW w:w="2202" w:type="dxa"/>
            <w:gridSpan w:val="3"/>
            <w:vMerge/>
            <w:tcBorders>
              <w:top w:val="single" w:sz="4" w:space="0" w:color="BFBFBF"/>
              <w:left w:val="single" w:sz="4" w:space="0" w:color="auto"/>
              <w:bottom w:val="single" w:sz="4" w:space="0" w:color="BFBFBF"/>
              <w:right w:val="single" w:sz="4" w:space="0" w:color="auto"/>
            </w:tcBorders>
            <w:vAlign w:val="center"/>
          </w:tcPr>
          <w:p w14:paraId="4B6F967F" w14:textId="77777777" w:rsidR="00E337BE" w:rsidRPr="00DB6DAB" w:rsidRDefault="00E337BE" w:rsidP="00E337BE">
            <w:pPr>
              <w:spacing w:before="0" w:after="0"/>
              <w:rPr>
                <w:rFonts w:ascii="Arial" w:hAnsi="Arial" w:cs="Arial"/>
                <w:b/>
                <w:bCs/>
                <w:color w:val="000000"/>
                <w:sz w:val="16"/>
                <w:szCs w:val="16"/>
                <w:lang w:val="en-AU" w:eastAsia="en-AU"/>
              </w:rPr>
            </w:pPr>
          </w:p>
        </w:tc>
        <w:tc>
          <w:tcPr>
            <w:tcW w:w="1351" w:type="dxa"/>
            <w:gridSpan w:val="2"/>
            <w:tcBorders>
              <w:top w:val="single" w:sz="4" w:space="0" w:color="BFBFBF"/>
              <w:left w:val="single" w:sz="4" w:space="0" w:color="auto"/>
              <w:bottom w:val="single" w:sz="4" w:space="0" w:color="BFBFBF"/>
              <w:right w:val="single" w:sz="4" w:space="0" w:color="BFBFBF"/>
            </w:tcBorders>
            <w:shd w:val="clear" w:color="auto" w:fill="auto"/>
            <w:noWrap/>
            <w:vAlign w:val="center"/>
          </w:tcPr>
          <w:p w14:paraId="12ED62AD" w14:textId="77777777" w:rsidR="00E337BE" w:rsidRPr="00DB6DAB" w:rsidRDefault="00E337BE" w:rsidP="004B2028">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2014</w:t>
            </w:r>
          </w:p>
        </w:tc>
        <w:tc>
          <w:tcPr>
            <w:tcW w:w="1468" w:type="dxa"/>
            <w:gridSpan w:val="2"/>
            <w:tcBorders>
              <w:top w:val="single" w:sz="4" w:space="0" w:color="BFBFBF"/>
              <w:left w:val="nil"/>
              <w:bottom w:val="single" w:sz="4" w:space="0" w:color="BFBFBF"/>
              <w:right w:val="single" w:sz="4" w:space="0" w:color="BFBFBF"/>
            </w:tcBorders>
            <w:shd w:val="clear" w:color="auto" w:fill="auto"/>
            <w:noWrap/>
            <w:vAlign w:val="center"/>
          </w:tcPr>
          <w:p w14:paraId="37EF46D6" w14:textId="77777777" w:rsidR="00E337BE" w:rsidRPr="00DB6DAB" w:rsidRDefault="00E337BE" w:rsidP="004B2028">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2007</w:t>
            </w:r>
          </w:p>
        </w:tc>
        <w:tc>
          <w:tcPr>
            <w:tcW w:w="1590" w:type="dxa"/>
            <w:gridSpan w:val="2"/>
            <w:tcBorders>
              <w:top w:val="single" w:sz="4" w:space="0" w:color="BFBFBF"/>
              <w:left w:val="single" w:sz="4" w:space="0" w:color="auto"/>
              <w:bottom w:val="single" w:sz="4" w:space="0" w:color="BFBFBF"/>
              <w:right w:val="single" w:sz="4" w:space="0" w:color="BFBFBF"/>
            </w:tcBorders>
            <w:shd w:val="clear" w:color="auto" w:fill="auto"/>
            <w:noWrap/>
            <w:vAlign w:val="center"/>
          </w:tcPr>
          <w:p w14:paraId="717D5E39" w14:textId="77777777" w:rsidR="00E337BE" w:rsidRPr="004B2028" w:rsidRDefault="00E337BE" w:rsidP="004B2028">
            <w:pPr>
              <w:spacing w:before="0" w:after="0"/>
              <w:jc w:val="center"/>
              <w:rPr>
                <w:rFonts w:ascii="Arial" w:hAnsi="Arial" w:cs="Arial"/>
                <w:b/>
                <w:color w:val="000000"/>
                <w:sz w:val="16"/>
                <w:szCs w:val="16"/>
                <w:lang w:val="en-AU" w:eastAsia="en-AU"/>
              </w:rPr>
            </w:pPr>
            <w:r w:rsidRPr="004B2028">
              <w:rPr>
                <w:rFonts w:ascii="Arial" w:hAnsi="Arial" w:cs="Arial"/>
                <w:b/>
                <w:color w:val="000000"/>
                <w:sz w:val="16"/>
                <w:szCs w:val="16"/>
                <w:lang w:val="en-AU" w:eastAsia="en-AU"/>
              </w:rPr>
              <w:t>2014</w:t>
            </w:r>
          </w:p>
        </w:tc>
        <w:tc>
          <w:tcPr>
            <w:tcW w:w="1501" w:type="dxa"/>
            <w:gridSpan w:val="2"/>
            <w:tcBorders>
              <w:top w:val="single" w:sz="4" w:space="0" w:color="BFBFBF"/>
              <w:left w:val="nil"/>
              <w:bottom w:val="single" w:sz="4" w:space="0" w:color="BFBFBF"/>
              <w:right w:val="single" w:sz="4" w:space="0" w:color="000000"/>
            </w:tcBorders>
            <w:shd w:val="clear" w:color="auto" w:fill="auto"/>
            <w:noWrap/>
            <w:vAlign w:val="center"/>
          </w:tcPr>
          <w:p w14:paraId="7194B2C8" w14:textId="77777777" w:rsidR="00E337BE" w:rsidRPr="00DB6DAB" w:rsidRDefault="00E337BE" w:rsidP="004B2028">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2007</w:t>
            </w:r>
          </w:p>
        </w:tc>
        <w:tc>
          <w:tcPr>
            <w:tcW w:w="2202" w:type="dxa"/>
            <w:gridSpan w:val="3"/>
            <w:vMerge/>
            <w:tcBorders>
              <w:top w:val="double" w:sz="6" w:space="0" w:color="auto"/>
              <w:left w:val="nil"/>
              <w:bottom w:val="single" w:sz="4" w:space="0" w:color="BFBFBF"/>
              <w:right w:val="double" w:sz="6" w:space="0" w:color="000000"/>
            </w:tcBorders>
            <w:vAlign w:val="center"/>
          </w:tcPr>
          <w:p w14:paraId="709B8915" w14:textId="77777777" w:rsidR="00E337BE" w:rsidRPr="00DB6DAB" w:rsidRDefault="00E337BE" w:rsidP="00E337BE">
            <w:pPr>
              <w:spacing w:before="0" w:after="0"/>
              <w:rPr>
                <w:rFonts w:ascii="Arial" w:hAnsi="Arial" w:cs="Arial"/>
                <w:b/>
                <w:bCs/>
                <w:color w:val="000000"/>
                <w:sz w:val="16"/>
                <w:szCs w:val="16"/>
                <w:lang w:val="en-AU" w:eastAsia="en-AU"/>
              </w:rPr>
            </w:pPr>
          </w:p>
        </w:tc>
      </w:tr>
      <w:tr w:rsidR="00E337BE" w:rsidRPr="00DB6DAB" w14:paraId="09126309" w14:textId="77777777" w:rsidTr="002514E7">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46CC6D2A"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 </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2B84CDE9"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2014</w:t>
            </w:r>
          </w:p>
        </w:tc>
        <w:tc>
          <w:tcPr>
            <w:tcW w:w="734" w:type="dxa"/>
            <w:tcBorders>
              <w:top w:val="nil"/>
              <w:left w:val="nil"/>
              <w:bottom w:val="single" w:sz="4" w:space="0" w:color="BFBFBF"/>
              <w:right w:val="single" w:sz="4" w:space="0" w:color="BFBFBF"/>
            </w:tcBorders>
            <w:shd w:val="clear" w:color="auto" w:fill="auto"/>
            <w:noWrap/>
            <w:vAlign w:val="center"/>
          </w:tcPr>
          <w:p w14:paraId="20DC1B78"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2007</w:t>
            </w:r>
          </w:p>
        </w:tc>
        <w:tc>
          <w:tcPr>
            <w:tcW w:w="734" w:type="dxa"/>
            <w:tcBorders>
              <w:top w:val="nil"/>
              <w:left w:val="nil"/>
              <w:bottom w:val="single" w:sz="4" w:space="0" w:color="BFBFBF"/>
              <w:right w:val="single" w:sz="4" w:space="0" w:color="auto"/>
            </w:tcBorders>
            <w:shd w:val="clear" w:color="auto" w:fill="auto"/>
            <w:noWrap/>
            <w:vAlign w:val="center"/>
          </w:tcPr>
          <w:p w14:paraId="37168A6F"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2001</w:t>
            </w:r>
          </w:p>
        </w:tc>
        <w:tc>
          <w:tcPr>
            <w:tcW w:w="617" w:type="dxa"/>
            <w:tcBorders>
              <w:top w:val="nil"/>
              <w:left w:val="nil"/>
              <w:bottom w:val="single" w:sz="4" w:space="0" w:color="BFBFBF"/>
              <w:right w:val="single" w:sz="4" w:space="0" w:color="BFBFBF"/>
            </w:tcBorders>
            <w:shd w:val="clear" w:color="auto" w:fill="auto"/>
            <w:noWrap/>
            <w:vAlign w:val="center"/>
          </w:tcPr>
          <w:p w14:paraId="76C994DE"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NAV</w:t>
            </w:r>
          </w:p>
        </w:tc>
        <w:tc>
          <w:tcPr>
            <w:tcW w:w="734" w:type="dxa"/>
            <w:tcBorders>
              <w:top w:val="nil"/>
              <w:left w:val="nil"/>
              <w:bottom w:val="single" w:sz="4" w:space="0" w:color="BFBFBF"/>
              <w:right w:val="single" w:sz="4" w:space="0" w:color="BFBFBF"/>
            </w:tcBorders>
            <w:shd w:val="clear" w:color="auto" w:fill="auto"/>
            <w:noWrap/>
            <w:vAlign w:val="center"/>
          </w:tcPr>
          <w:p w14:paraId="2E6112F8"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CIV</w:t>
            </w:r>
          </w:p>
        </w:tc>
        <w:tc>
          <w:tcPr>
            <w:tcW w:w="734" w:type="dxa"/>
            <w:tcBorders>
              <w:top w:val="nil"/>
              <w:left w:val="nil"/>
              <w:bottom w:val="single" w:sz="4" w:space="0" w:color="BFBFBF"/>
              <w:right w:val="single" w:sz="4" w:space="0" w:color="BFBFBF"/>
            </w:tcBorders>
            <w:shd w:val="clear" w:color="auto" w:fill="auto"/>
            <w:noWrap/>
            <w:vAlign w:val="center"/>
          </w:tcPr>
          <w:p w14:paraId="5D21738E"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NAV</w:t>
            </w:r>
          </w:p>
        </w:tc>
        <w:tc>
          <w:tcPr>
            <w:tcW w:w="734" w:type="dxa"/>
            <w:tcBorders>
              <w:top w:val="nil"/>
              <w:left w:val="nil"/>
              <w:bottom w:val="single" w:sz="4" w:space="0" w:color="BFBFBF"/>
              <w:right w:val="nil"/>
            </w:tcBorders>
            <w:shd w:val="clear" w:color="auto" w:fill="auto"/>
            <w:noWrap/>
            <w:vAlign w:val="center"/>
          </w:tcPr>
          <w:p w14:paraId="675B0904"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CIV</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2A75D704"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NAV</w:t>
            </w:r>
          </w:p>
        </w:tc>
        <w:tc>
          <w:tcPr>
            <w:tcW w:w="795" w:type="dxa"/>
            <w:tcBorders>
              <w:top w:val="nil"/>
              <w:left w:val="nil"/>
              <w:bottom w:val="single" w:sz="4" w:space="0" w:color="BFBFBF"/>
              <w:right w:val="single" w:sz="4" w:space="0" w:color="BFBFBF"/>
            </w:tcBorders>
            <w:shd w:val="clear" w:color="auto" w:fill="auto"/>
            <w:noWrap/>
            <w:vAlign w:val="center"/>
          </w:tcPr>
          <w:p w14:paraId="05C671E6"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CIV</w:t>
            </w:r>
          </w:p>
        </w:tc>
        <w:tc>
          <w:tcPr>
            <w:tcW w:w="706" w:type="dxa"/>
            <w:tcBorders>
              <w:top w:val="nil"/>
              <w:left w:val="nil"/>
              <w:bottom w:val="single" w:sz="4" w:space="0" w:color="BFBFBF"/>
              <w:right w:val="single" w:sz="4" w:space="0" w:color="BFBFBF"/>
            </w:tcBorders>
            <w:shd w:val="clear" w:color="auto" w:fill="auto"/>
            <w:noWrap/>
            <w:vAlign w:val="center"/>
          </w:tcPr>
          <w:p w14:paraId="290C35EF"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NAV</w:t>
            </w:r>
          </w:p>
        </w:tc>
        <w:tc>
          <w:tcPr>
            <w:tcW w:w="795" w:type="dxa"/>
            <w:tcBorders>
              <w:top w:val="nil"/>
              <w:left w:val="nil"/>
              <w:bottom w:val="single" w:sz="4" w:space="0" w:color="BFBFBF"/>
              <w:right w:val="single" w:sz="4" w:space="0" w:color="auto"/>
            </w:tcBorders>
            <w:shd w:val="clear" w:color="auto" w:fill="auto"/>
            <w:noWrap/>
            <w:vAlign w:val="center"/>
          </w:tcPr>
          <w:p w14:paraId="547DE033"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CIV</w:t>
            </w:r>
          </w:p>
        </w:tc>
        <w:tc>
          <w:tcPr>
            <w:tcW w:w="734" w:type="dxa"/>
            <w:tcBorders>
              <w:top w:val="nil"/>
              <w:left w:val="nil"/>
              <w:bottom w:val="single" w:sz="4" w:space="0" w:color="BFBFBF"/>
              <w:right w:val="single" w:sz="4" w:space="0" w:color="BFBFBF"/>
            </w:tcBorders>
            <w:shd w:val="clear" w:color="auto" w:fill="auto"/>
            <w:noWrap/>
            <w:vAlign w:val="bottom"/>
          </w:tcPr>
          <w:p w14:paraId="7C0EDE37"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2014</w:t>
            </w:r>
          </w:p>
        </w:tc>
        <w:tc>
          <w:tcPr>
            <w:tcW w:w="734" w:type="dxa"/>
            <w:tcBorders>
              <w:top w:val="nil"/>
              <w:left w:val="nil"/>
              <w:bottom w:val="single" w:sz="4" w:space="0" w:color="BFBFBF"/>
              <w:right w:val="single" w:sz="4" w:space="0" w:color="BFBFBF"/>
            </w:tcBorders>
            <w:shd w:val="clear" w:color="auto" w:fill="auto"/>
            <w:noWrap/>
            <w:vAlign w:val="center"/>
          </w:tcPr>
          <w:p w14:paraId="616FCE14"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2007</w:t>
            </w:r>
          </w:p>
        </w:tc>
        <w:tc>
          <w:tcPr>
            <w:tcW w:w="734" w:type="dxa"/>
            <w:tcBorders>
              <w:top w:val="nil"/>
              <w:left w:val="nil"/>
              <w:bottom w:val="single" w:sz="4" w:space="0" w:color="BFBFBF"/>
              <w:right w:val="double" w:sz="6" w:space="0" w:color="auto"/>
            </w:tcBorders>
            <w:shd w:val="clear" w:color="auto" w:fill="auto"/>
            <w:noWrap/>
            <w:vAlign w:val="center"/>
          </w:tcPr>
          <w:p w14:paraId="1941B6E6" w14:textId="77777777" w:rsidR="00E337BE" w:rsidRPr="00DB6DAB" w:rsidRDefault="00E337BE"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2001</w:t>
            </w:r>
          </w:p>
        </w:tc>
      </w:tr>
      <w:tr w:rsidR="00E337BE" w:rsidRPr="00DB6DAB" w14:paraId="67FCD08C" w14:textId="77777777" w:rsidTr="002514E7">
        <w:trPr>
          <w:trHeight w:val="225"/>
          <w:tblHeader/>
          <w:jc w:val="center"/>
        </w:trPr>
        <w:tc>
          <w:tcPr>
            <w:tcW w:w="2575" w:type="dxa"/>
            <w:tcBorders>
              <w:top w:val="nil"/>
              <w:left w:val="double" w:sz="6" w:space="0" w:color="auto"/>
              <w:bottom w:val="single" w:sz="4" w:space="0" w:color="BFBFBF"/>
              <w:right w:val="nil"/>
            </w:tcBorders>
            <w:shd w:val="clear" w:color="auto" w:fill="auto"/>
            <w:noWrap/>
            <w:vAlign w:val="center"/>
          </w:tcPr>
          <w:p w14:paraId="216DFCB4" w14:textId="77777777" w:rsidR="00E337BE" w:rsidRPr="00DB6DAB" w:rsidRDefault="00E337BE"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Sub-group</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3845438" w14:textId="77777777" w:rsidR="00E337BE" w:rsidRPr="00DB6DAB" w:rsidRDefault="00E337BE" w:rsidP="00E337BE">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n=1,861</w:t>
            </w:r>
          </w:p>
        </w:tc>
        <w:tc>
          <w:tcPr>
            <w:tcW w:w="734" w:type="dxa"/>
            <w:tcBorders>
              <w:top w:val="nil"/>
              <w:left w:val="nil"/>
              <w:bottom w:val="single" w:sz="4" w:space="0" w:color="BFBFBF"/>
              <w:right w:val="single" w:sz="4" w:space="0" w:color="BFBFBF"/>
            </w:tcBorders>
            <w:shd w:val="clear" w:color="auto" w:fill="auto"/>
            <w:noWrap/>
            <w:vAlign w:val="center"/>
          </w:tcPr>
          <w:p w14:paraId="569F9F1E" w14:textId="77777777" w:rsidR="00E337BE" w:rsidRPr="00DB6DAB" w:rsidRDefault="00E337BE" w:rsidP="00E337BE">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n=2,061</w:t>
            </w:r>
          </w:p>
        </w:tc>
        <w:tc>
          <w:tcPr>
            <w:tcW w:w="734" w:type="dxa"/>
            <w:tcBorders>
              <w:top w:val="nil"/>
              <w:left w:val="nil"/>
              <w:bottom w:val="single" w:sz="4" w:space="0" w:color="BFBFBF"/>
              <w:right w:val="single" w:sz="4" w:space="0" w:color="auto"/>
            </w:tcBorders>
            <w:shd w:val="clear" w:color="auto" w:fill="auto"/>
            <w:noWrap/>
            <w:vAlign w:val="center"/>
          </w:tcPr>
          <w:p w14:paraId="44A81345" w14:textId="77777777" w:rsidR="00E337BE" w:rsidRPr="00DB6DAB" w:rsidRDefault="00E337BE" w:rsidP="00E337BE">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n=2,006</w:t>
            </w:r>
          </w:p>
        </w:tc>
        <w:tc>
          <w:tcPr>
            <w:tcW w:w="617" w:type="dxa"/>
            <w:tcBorders>
              <w:top w:val="nil"/>
              <w:left w:val="nil"/>
              <w:bottom w:val="single" w:sz="4" w:space="0" w:color="BFBFBF"/>
              <w:right w:val="single" w:sz="4" w:space="0" w:color="BFBFBF"/>
            </w:tcBorders>
            <w:shd w:val="clear" w:color="auto" w:fill="auto"/>
            <w:noWrap/>
            <w:vAlign w:val="center"/>
          </w:tcPr>
          <w:p w14:paraId="7EF821F1" w14:textId="77777777" w:rsidR="00E337BE" w:rsidRPr="00DB6DAB" w:rsidRDefault="00E337BE" w:rsidP="00382235">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w:t>
            </w:r>
            <w:r w:rsidR="00382235" w:rsidRPr="00DB6DAB">
              <w:rPr>
                <w:rFonts w:ascii="Arial" w:hAnsi="Arial" w:cs="Arial"/>
                <w:b/>
                <w:bCs/>
                <w:color w:val="000000"/>
                <w:sz w:val="14"/>
                <w:szCs w:val="14"/>
                <w:lang w:val="en-AU" w:eastAsia="en-AU"/>
              </w:rPr>
              <w:t>90</w:t>
            </w:r>
          </w:p>
        </w:tc>
        <w:tc>
          <w:tcPr>
            <w:tcW w:w="734" w:type="dxa"/>
            <w:tcBorders>
              <w:top w:val="nil"/>
              <w:left w:val="nil"/>
              <w:bottom w:val="single" w:sz="4" w:space="0" w:color="BFBFBF"/>
              <w:right w:val="single" w:sz="4" w:space="0" w:color="BFBFBF"/>
            </w:tcBorders>
            <w:shd w:val="clear" w:color="auto" w:fill="auto"/>
            <w:noWrap/>
            <w:vAlign w:val="center"/>
          </w:tcPr>
          <w:p w14:paraId="103B1FA0" w14:textId="77777777" w:rsidR="00E337BE" w:rsidRPr="00DB6DAB" w:rsidRDefault="00E337BE" w:rsidP="00382235">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n=1,4</w:t>
            </w:r>
            <w:r w:rsidR="00382235" w:rsidRPr="00DB6DAB">
              <w:rPr>
                <w:rFonts w:ascii="Arial" w:hAnsi="Arial" w:cs="Arial"/>
                <w:b/>
                <w:bCs/>
                <w:color w:val="000000"/>
                <w:sz w:val="14"/>
                <w:szCs w:val="14"/>
                <w:lang w:val="en-AU" w:eastAsia="en-AU"/>
              </w:rPr>
              <w:t>57</w:t>
            </w:r>
          </w:p>
        </w:tc>
        <w:tc>
          <w:tcPr>
            <w:tcW w:w="734" w:type="dxa"/>
            <w:tcBorders>
              <w:top w:val="nil"/>
              <w:left w:val="nil"/>
              <w:bottom w:val="single" w:sz="4" w:space="0" w:color="BFBFBF"/>
              <w:right w:val="single" w:sz="4" w:space="0" w:color="BFBFBF"/>
            </w:tcBorders>
            <w:shd w:val="clear" w:color="auto" w:fill="auto"/>
            <w:noWrap/>
            <w:vAlign w:val="center"/>
          </w:tcPr>
          <w:p w14:paraId="47390761" w14:textId="77777777" w:rsidR="00E337BE" w:rsidRPr="00DB6DAB" w:rsidRDefault="00E337BE" w:rsidP="00E337BE">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n=1,579</w:t>
            </w:r>
          </w:p>
        </w:tc>
        <w:tc>
          <w:tcPr>
            <w:tcW w:w="734" w:type="dxa"/>
            <w:tcBorders>
              <w:top w:val="nil"/>
              <w:left w:val="nil"/>
              <w:bottom w:val="single" w:sz="4" w:space="0" w:color="BFBFBF"/>
              <w:right w:val="nil"/>
            </w:tcBorders>
            <w:shd w:val="clear" w:color="auto" w:fill="auto"/>
            <w:noWrap/>
            <w:vAlign w:val="center"/>
          </w:tcPr>
          <w:p w14:paraId="71DCEE4D" w14:textId="77777777" w:rsidR="00E337BE" w:rsidRPr="00DB6DAB" w:rsidRDefault="00E337BE" w:rsidP="00E337BE">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n=1,579</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43AEE68D" w14:textId="05336A3F" w:rsidR="00E337BE" w:rsidRPr="00DB6DAB" w:rsidRDefault="00E337BE" w:rsidP="00485DCA">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w:t>
            </w:r>
            <w:r w:rsidR="00485DCA">
              <w:rPr>
                <w:rFonts w:ascii="Arial" w:hAnsi="Arial" w:cs="Arial"/>
                <w:b/>
                <w:bCs/>
                <w:color w:val="000000"/>
                <w:sz w:val="14"/>
                <w:szCs w:val="14"/>
                <w:lang w:val="en-AU" w:eastAsia="en-AU"/>
              </w:rPr>
              <w:t>89</w:t>
            </w:r>
          </w:p>
        </w:tc>
        <w:tc>
          <w:tcPr>
            <w:tcW w:w="795" w:type="dxa"/>
            <w:tcBorders>
              <w:top w:val="nil"/>
              <w:left w:val="nil"/>
              <w:bottom w:val="single" w:sz="4" w:space="0" w:color="BFBFBF"/>
              <w:right w:val="single" w:sz="4" w:space="0" w:color="BFBFBF"/>
            </w:tcBorders>
            <w:shd w:val="clear" w:color="auto" w:fill="auto"/>
            <w:noWrap/>
            <w:vAlign w:val="center"/>
          </w:tcPr>
          <w:p w14:paraId="27CF7C53" w14:textId="59694EA0" w:rsidR="00E337BE" w:rsidRPr="00DB6DAB" w:rsidRDefault="00C40166" w:rsidP="00485DCA">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w:t>
            </w:r>
            <w:r w:rsidR="00E337BE" w:rsidRPr="00DB6DAB">
              <w:rPr>
                <w:rFonts w:ascii="Arial" w:hAnsi="Arial" w:cs="Arial"/>
                <w:b/>
                <w:bCs/>
                <w:color w:val="000000"/>
                <w:sz w:val="14"/>
                <w:szCs w:val="14"/>
                <w:lang w:val="en-AU" w:eastAsia="en-AU"/>
              </w:rPr>
              <w:t>=1,</w:t>
            </w:r>
            <w:r w:rsidR="00485DCA">
              <w:rPr>
                <w:rFonts w:ascii="Arial" w:hAnsi="Arial" w:cs="Arial"/>
                <w:b/>
                <w:bCs/>
                <w:color w:val="000000"/>
                <w:sz w:val="14"/>
                <w:szCs w:val="14"/>
                <w:lang w:val="en-AU" w:eastAsia="en-AU"/>
              </w:rPr>
              <w:t>373</w:t>
            </w:r>
          </w:p>
        </w:tc>
        <w:tc>
          <w:tcPr>
            <w:tcW w:w="706" w:type="dxa"/>
            <w:tcBorders>
              <w:top w:val="nil"/>
              <w:left w:val="nil"/>
              <w:bottom w:val="single" w:sz="4" w:space="0" w:color="BFBFBF"/>
              <w:right w:val="single" w:sz="4" w:space="0" w:color="BFBFBF"/>
            </w:tcBorders>
            <w:shd w:val="clear" w:color="auto" w:fill="auto"/>
            <w:noWrap/>
            <w:vAlign w:val="center"/>
          </w:tcPr>
          <w:p w14:paraId="5DE15278" w14:textId="77777777" w:rsidR="00E337BE" w:rsidRPr="00DB6DAB" w:rsidRDefault="00E337BE" w:rsidP="00E337BE">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n=138</w:t>
            </w:r>
          </w:p>
        </w:tc>
        <w:tc>
          <w:tcPr>
            <w:tcW w:w="795" w:type="dxa"/>
            <w:tcBorders>
              <w:top w:val="nil"/>
              <w:left w:val="nil"/>
              <w:bottom w:val="single" w:sz="4" w:space="0" w:color="BFBFBF"/>
              <w:right w:val="single" w:sz="4" w:space="0" w:color="auto"/>
            </w:tcBorders>
            <w:shd w:val="clear" w:color="auto" w:fill="auto"/>
            <w:noWrap/>
            <w:vAlign w:val="center"/>
          </w:tcPr>
          <w:p w14:paraId="2825A906" w14:textId="77777777" w:rsidR="00E337BE" w:rsidRPr="00DB6DAB" w:rsidRDefault="00E337BE" w:rsidP="00E337BE">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n=1,436</w:t>
            </w:r>
          </w:p>
        </w:tc>
        <w:tc>
          <w:tcPr>
            <w:tcW w:w="734" w:type="dxa"/>
            <w:tcBorders>
              <w:top w:val="nil"/>
              <w:left w:val="nil"/>
              <w:bottom w:val="single" w:sz="4" w:space="0" w:color="BFBFBF"/>
              <w:right w:val="single" w:sz="4" w:space="0" w:color="BFBFBF"/>
            </w:tcBorders>
            <w:shd w:val="clear" w:color="auto" w:fill="auto"/>
            <w:noWrap/>
            <w:vAlign w:val="center"/>
          </w:tcPr>
          <w:p w14:paraId="47D22671" w14:textId="668EAC4E" w:rsidR="00E337BE" w:rsidRPr="00DB6DAB" w:rsidRDefault="00E337BE" w:rsidP="00DE04C6">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n=1,5</w:t>
            </w:r>
            <w:r w:rsidR="00DE04C6">
              <w:rPr>
                <w:rFonts w:ascii="Arial" w:hAnsi="Arial" w:cs="Arial"/>
                <w:b/>
                <w:bCs/>
                <w:color w:val="000000"/>
                <w:sz w:val="14"/>
                <w:szCs w:val="14"/>
                <w:lang w:val="en-AU" w:eastAsia="en-AU"/>
              </w:rPr>
              <w:t>45</w:t>
            </w:r>
          </w:p>
        </w:tc>
        <w:tc>
          <w:tcPr>
            <w:tcW w:w="734" w:type="dxa"/>
            <w:tcBorders>
              <w:top w:val="nil"/>
              <w:left w:val="nil"/>
              <w:bottom w:val="single" w:sz="4" w:space="0" w:color="BFBFBF"/>
              <w:right w:val="single" w:sz="4" w:space="0" w:color="BFBFBF"/>
            </w:tcBorders>
            <w:shd w:val="clear" w:color="auto" w:fill="auto"/>
            <w:noWrap/>
            <w:vAlign w:val="center"/>
          </w:tcPr>
          <w:p w14:paraId="6419A007" w14:textId="77777777" w:rsidR="00E337BE" w:rsidRPr="00DB6DAB" w:rsidRDefault="00E337BE" w:rsidP="00E337BE">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n=1,574</w:t>
            </w:r>
          </w:p>
        </w:tc>
        <w:tc>
          <w:tcPr>
            <w:tcW w:w="734" w:type="dxa"/>
            <w:tcBorders>
              <w:top w:val="nil"/>
              <w:left w:val="nil"/>
              <w:bottom w:val="single" w:sz="4" w:space="0" w:color="BFBFBF"/>
              <w:right w:val="double" w:sz="6" w:space="0" w:color="auto"/>
            </w:tcBorders>
            <w:shd w:val="clear" w:color="auto" w:fill="auto"/>
            <w:noWrap/>
            <w:vAlign w:val="center"/>
          </w:tcPr>
          <w:p w14:paraId="461D2AB9" w14:textId="77777777" w:rsidR="00E337BE" w:rsidRPr="00DB6DAB" w:rsidRDefault="00E337BE" w:rsidP="00E337BE">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n=1,545</w:t>
            </w:r>
          </w:p>
        </w:tc>
      </w:tr>
      <w:tr w:rsidR="00E337BE" w:rsidRPr="00DB6DAB" w14:paraId="64056F73" w14:textId="77777777" w:rsidTr="002514E7">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8D986CA" w14:textId="77777777" w:rsidR="00E337BE" w:rsidRPr="00DB6DAB" w:rsidRDefault="00E337BE"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By Region -</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7C14DDDA" w14:textId="77777777" w:rsidR="00E337BE" w:rsidRPr="00DB6DAB" w:rsidRDefault="00E337BE" w:rsidP="00E337BE">
            <w:pPr>
              <w:spacing w:before="0" w:after="0"/>
              <w:rPr>
                <w:rFonts w:ascii="Arial" w:hAnsi="Arial" w:cs="Arial"/>
                <w:color w:val="FF0000"/>
                <w:sz w:val="16"/>
                <w:szCs w:val="16"/>
                <w:lang w:val="en-AU" w:eastAsia="en-AU"/>
              </w:rPr>
            </w:pPr>
            <w:r w:rsidRPr="00DB6DAB">
              <w:rPr>
                <w:rFonts w:ascii="Arial" w:hAnsi="Arial" w:cs="Arial"/>
                <w:color w:val="FF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78FF8AB"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7943975A"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bottom"/>
          </w:tcPr>
          <w:p w14:paraId="311252BB"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26FC8D4D"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1C593BF"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nil"/>
            </w:tcBorders>
            <w:shd w:val="clear" w:color="auto" w:fill="auto"/>
            <w:noWrap/>
            <w:vAlign w:val="center"/>
          </w:tcPr>
          <w:p w14:paraId="53C1D8E2"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single" w:sz="4" w:space="0" w:color="auto"/>
              <w:bottom w:val="single" w:sz="4" w:space="0" w:color="BFBFBF"/>
              <w:right w:val="single" w:sz="4" w:space="0" w:color="BFBFBF"/>
            </w:tcBorders>
            <w:shd w:val="clear" w:color="auto" w:fill="auto"/>
            <w:noWrap/>
            <w:vAlign w:val="bottom"/>
          </w:tcPr>
          <w:p w14:paraId="4EAA2F6A"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nil"/>
              <w:bottom w:val="single" w:sz="4" w:space="0" w:color="BFBFBF"/>
              <w:right w:val="single" w:sz="4" w:space="0" w:color="BFBFBF"/>
            </w:tcBorders>
            <w:shd w:val="clear" w:color="auto" w:fill="auto"/>
            <w:noWrap/>
            <w:vAlign w:val="bottom"/>
          </w:tcPr>
          <w:p w14:paraId="71E9E320"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06" w:type="dxa"/>
            <w:tcBorders>
              <w:top w:val="nil"/>
              <w:left w:val="nil"/>
              <w:bottom w:val="single" w:sz="4" w:space="0" w:color="BFBFBF"/>
              <w:right w:val="single" w:sz="4" w:space="0" w:color="BFBFBF"/>
            </w:tcBorders>
            <w:shd w:val="clear" w:color="auto" w:fill="auto"/>
            <w:noWrap/>
            <w:vAlign w:val="center"/>
          </w:tcPr>
          <w:p w14:paraId="34BB38DD"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nil"/>
              <w:bottom w:val="single" w:sz="4" w:space="0" w:color="BFBFBF"/>
              <w:right w:val="single" w:sz="4" w:space="0" w:color="auto"/>
            </w:tcBorders>
            <w:shd w:val="clear" w:color="auto" w:fill="auto"/>
            <w:noWrap/>
            <w:vAlign w:val="center"/>
          </w:tcPr>
          <w:p w14:paraId="0D81420B"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bottom"/>
          </w:tcPr>
          <w:p w14:paraId="32CF459C"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4AE528E"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3EA1E61B" w14:textId="77777777" w:rsidR="00E337BE" w:rsidRPr="00DB6DAB" w:rsidRDefault="00E337BE"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r>
      <w:tr w:rsidR="00485DCA" w:rsidRPr="00DB6DAB" w14:paraId="64C69A03"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F918038"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DB6DAB">
                  <w:rPr>
                    <w:rFonts w:ascii="Arial" w:hAnsi="Arial" w:cs="Arial"/>
                    <w:color w:val="000000"/>
                    <w:sz w:val="16"/>
                    <w:szCs w:val="16"/>
                    <w:lang w:val="en-AU" w:eastAsia="en-AU"/>
                  </w:rPr>
                  <w:t>Melbourne</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BF0BE55"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80%</w:t>
            </w:r>
          </w:p>
        </w:tc>
        <w:tc>
          <w:tcPr>
            <w:tcW w:w="734" w:type="dxa"/>
            <w:tcBorders>
              <w:top w:val="nil"/>
              <w:left w:val="nil"/>
              <w:bottom w:val="single" w:sz="4" w:space="0" w:color="BFBFBF"/>
              <w:right w:val="single" w:sz="4" w:space="0" w:color="BFBFBF"/>
            </w:tcBorders>
            <w:shd w:val="clear" w:color="auto" w:fill="auto"/>
            <w:noWrap/>
            <w:vAlign w:val="center"/>
          </w:tcPr>
          <w:p w14:paraId="6DC2A27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78%</w:t>
            </w:r>
          </w:p>
        </w:tc>
        <w:tc>
          <w:tcPr>
            <w:tcW w:w="734" w:type="dxa"/>
            <w:tcBorders>
              <w:top w:val="nil"/>
              <w:left w:val="nil"/>
              <w:bottom w:val="single" w:sz="4" w:space="0" w:color="BFBFBF"/>
              <w:right w:val="single" w:sz="4" w:space="0" w:color="auto"/>
            </w:tcBorders>
            <w:shd w:val="clear" w:color="auto" w:fill="auto"/>
            <w:noWrap/>
            <w:vAlign w:val="center"/>
          </w:tcPr>
          <w:p w14:paraId="5EE0668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80%</w:t>
            </w:r>
          </w:p>
        </w:tc>
        <w:tc>
          <w:tcPr>
            <w:tcW w:w="617" w:type="dxa"/>
            <w:tcBorders>
              <w:top w:val="nil"/>
              <w:left w:val="nil"/>
              <w:bottom w:val="single" w:sz="4" w:space="0" w:color="BFBFBF"/>
              <w:right w:val="single" w:sz="4" w:space="0" w:color="BFBFBF"/>
            </w:tcBorders>
            <w:shd w:val="clear" w:color="auto" w:fill="auto"/>
            <w:noWrap/>
            <w:vAlign w:val="center"/>
          </w:tcPr>
          <w:p w14:paraId="61CB4AF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w:t>
            </w:r>
          </w:p>
        </w:tc>
        <w:tc>
          <w:tcPr>
            <w:tcW w:w="734" w:type="dxa"/>
            <w:tcBorders>
              <w:top w:val="nil"/>
              <w:left w:val="nil"/>
              <w:bottom w:val="single" w:sz="4" w:space="0" w:color="BFBFBF"/>
              <w:right w:val="single" w:sz="4" w:space="0" w:color="BFBFBF"/>
            </w:tcBorders>
            <w:shd w:val="clear" w:color="auto" w:fill="auto"/>
            <w:noWrap/>
            <w:vAlign w:val="center"/>
          </w:tcPr>
          <w:p w14:paraId="4F090AA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90%</w:t>
            </w:r>
          </w:p>
        </w:tc>
        <w:tc>
          <w:tcPr>
            <w:tcW w:w="734" w:type="dxa"/>
            <w:tcBorders>
              <w:top w:val="nil"/>
              <w:left w:val="nil"/>
              <w:bottom w:val="single" w:sz="4" w:space="0" w:color="BFBFBF"/>
              <w:right w:val="single" w:sz="4" w:space="0" w:color="BFBFBF"/>
            </w:tcBorders>
            <w:shd w:val="clear" w:color="auto" w:fill="auto"/>
            <w:noWrap/>
            <w:vAlign w:val="center"/>
          </w:tcPr>
          <w:p w14:paraId="28EB7A3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13%</w:t>
            </w:r>
          </w:p>
        </w:tc>
        <w:tc>
          <w:tcPr>
            <w:tcW w:w="734" w:type="dxa"/>
            <w:tcBorders>
              <w:top w:val="nil"/>
              <w:left w:val="nil"/>
              <w:bottom w:val="single" w:sz="4" w:space="0" w:color="BFBFBF"/>
              <w:right w:val="nil"/>
            </w:tcBorders>
            <w:shd w:val="clear" w:color="auto" w:fill="auto"/>
            <w:noWrap/>
            <w:vAlign w:val="center"/>
          </w:tcPr>
          <w:p w14:paraId="6CBC9B5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87%</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1AA0797B" w14:textId="5343FA77" w:rsidR="00485DCA" w:rsidRPr="00DB6DAB" w:rsidRDefault="00485DCA" w:rsidP="00485DCA">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29,</w:t>
            </w:r>
            <w:r>
              <w:rPr>
                <w:rFonts w:ascii="Arial" w:hAnsi="Arial" w:cs="Arial"/>
                <w:color w:val="000000"/>
                <w:sz w:val="16"/>
                <w:szCs w:val="16"/>
                <w:lang w:val="en-AU" w:eastAsia="en-AU"/>
              </w:rPr>
              <w:t>406</w:t>
            </w:r>
          </w:p>
        </w:tc>
        <w:tc>
          <w:tcPr>
            <w:tcW w:w="795" w:type="dxa"/>
            <w:tcBorders>
              <w:top w:val="nil"/>
              <w:left w:val="nil"/>
              <w:bottom w:val="single" w:sz="4" w:space="0" w:color="BFBFBF"/>
              <w:right w:val="single" w:sz="4" w:space="0" w:color="BFBFBF"/>
            </w:tcBorders>
            <w:shd w:val="clear" w:color="auto" w:fill="auto"/>
            <w:noWrap/>
            <w:vAlign w:val="bottom"/>
          </w:tcPr>
          <w:p w14:paraId="19611690" w14:textId="0B69BD28"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547,792</w:t>
            </w:r>
          </w:p>
        </w:tc>
        <w:tc>
          <w:tcPr>
            <w:tcW w:w="706" w:type="dxa"/>
            <w:tcBorders>
              <w:top w:val="nil"/>
              <w:left w:val="nil"/>
              <w:bottom w:val="single" w:sz="4" w:space="0" w:color="BFBFBF"/>
              <w:right w:val="single" w:sz="4" w:space="0" w:color="BFBFBF"/>
            </w:tcBorders>
            <w:shd w:val="clear" w:color="auto" w:fill="auto"/>
            <w:noWrap/>
            <w:vAlign w:val="center"/>
          </w:tcPr>
          <w:p w14:paraId="3CAB529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25,628</w:t>
            </w:r>
          </w:p>
        </w:tc>
        <w:tc>
          <w:tcPr>
            <w:tcW w:w="795" w:type="dxa"/>
            <w:tcBorders>
              <w:top w:val="nil"/>
              <w:left w:val="nil"/>
              <w:bottom w:val="single" w:sz="4" w:space="0" w:color="BFBFBF"/>
              <w:right w:val="single" w:sz="4" w:space="0" w:color="auto"/>
            </w:tcBorders>
            <w:shd w:val="clear" w:color="auto" w:fill="auto"/>
            <w:noWrap/>
            <w:vAlign w:val="center"/>
          </w:tcPr>
          <w:p w14:paraId="138CB1F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373,080</w:t>
            </w:r>
          </w:p>
        </w:tc>
        <w:tc>
          <w:tcPr>
            <w:tcW w:w="734" w:type="dxa"/>
            <w:tcBorders>
              <w:top w:val="nil"/>
              <w:left w:val="nil"/>
              <w:bottom w:val="single" w:sz="4" w:space="0" w:color="BFBFBF"/>
              <w:right w:val="single" w:sz="4" w:space="0" w:color="BFBFBF"/>
            </w:tcBorders>
            <w:shd w:val="clear" w:color="auto" w:fill="auto"/>
            <w:noWrap/>
            <w:vAlign w:val="center"/>
          </w:tcPr>
          <w:p w14:paraId="179335C8" w14:textId="33C529A8"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1,336</w:t>
            </w:r>
          </w:p>
        </w:tc>
        <w:tc>
          <w:tcPr>
            <w:tcW w:w="734" w:type="dxa"/>
            <w:tcBorders>
              <w:top w:val="nil"/>
              <w:left w:val="nil"/>
              <w:bottom w:val="single" w:sz="4" w:space="0" w:color="BFBFBF"/>
              <w:right w:val="single" w:sz="4" w:space="0" w:color="BFBFBF"/>
            </w:tcBorders>
            <w:shd w:val="clear" w:color="auto" w:fill="auto"/>
            <w:noWrap/>
            <w:vAlign w:val="center"/>
          </w:tcPr>
          <w:p w14:paraId="0582FB3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915</w:t>
            </w:r>
          </w:p>
        </w:tc>
        <w:tc>
          <w:tcPr>
            <w:tcW w:w="734" w:type="dxa"/>
            <w:tcBorders>
              <w:top w:val="nil"/>
              <w:left w:val="nil"/>
              <w:bottom w:val="single" w:sz="4" w:space="0" w:color="BFBFBF"/>
              <w:right w:val="double" w:sz="6" w:space="0" w:color="auto"/>
            </w:tcBorders>
            <w:shd w:val="clear" w:color="auto" w:fill="auto"/>
            <w:noWrap/>
            <w:vAlign w:val="center"/>
          </w:tcPr>
          <w:p w14:paraId="0CEC6AB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631</w:t>
            </w:r>
          </w:p>
        </w:tc>
      </w:tr>
      <w:tr w:rsidR="00485DCA" w:rsidRPr="00DB6DAB" w14:paraId="19E5BE45"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20F5363"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Country VIC</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0FEBED4"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80%</w:t>
            </w:r>
          </w:p>
        </w:tc>
        <w:tc>
          <w:tcPr>
            <w:tcW w:w="734" w:type="dxa"/>
            <w:tcBorders>
              <w:top w:val="nil"/>
              <w:left w:val="nil"/>
              <w:bottom w:val="single" w:sz="4" w:space="0" w:color="BFBFBF"/>
              <w:right w:val="single" w:sz="4" w:space="0" w:color="BFBFBF"/>
            </w:tcBorders>
            <w:shd w:val="clear" w:color="auto" w:fill="auto"/>
            <w:noWrap/>
            <w:vAlign w:val="center"/>
          </w:tcPr>
          <w:p w14:paraId="17EB97E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77%</w:t>
            </w:r>
          </w:p>
        </w:tc>
        <w:tc>
          <w:tcPr>
            <w:tcW w:w="734" w:type="dxa"/>
            <w:tcBorders>
              <w:top w:val="nil"/>
              <w:left w:val="nil"/>
              <w:bottom w:val="single" w:sz="4" w:space="0" w:color="BFBFBF"/>
              <w:right w:val="single" w:sz="4" w:space="0" w:color="auto"/>
            </w:tcBorders>
            <w:shd w:val="clear" w:color="auto" w:fill="auto"/>
            <w:noWrap/>
            <w:vAlign w:val="center"/>
          </w:tcPr>
          <w:p w14:paraId="442EED9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81%</w:t>
            </w:r>
          </w:p>
        </w:tc>
        <w:tc>
          <w:tcPr>
            <w:tcW w:w="617" w:type="dxa"/>
            <w:tcBorders>
              <w:top w:val="nil"/>
              <w:left w:val="nil"/>
              <w:bottom w:val="single" w:sz="4" w:space="0" w:color="BFBFBF"/>
              <w:right w:val="single" w:sz="4" w:space="0" w:color="BFBFBF"/>
            </w:tcBorders>
            <w:shd w:val="clear" w:color="auto" w:fill="auto"/>
            <w:noWrap/>
            <w:vAlign w:val="center"/>
          </w:tcPr>
          <w:p w14:paraId="575E1CB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508158CC"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0D3877A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nil"/>
            </w:tcBorders>
            <w:shd w:val="clear" w:color="auto" w:fill="auto"/>
            <w:noWrap/>
            <w:vAlign w:val="center"/>
          </w:tcPr>
          <w:p w14:paraId="4A5330F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748936E9"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4F0C6CAC" w14:textId="42C656E5"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343,328</w:t>
            </w:r>
          </w:p>
        </w:tc>
        <w:tc>
          <w:tcPr>
            <w:tcW w:w="706" w:type="dxa"/>
            <w:tcBorders>
              <w:top w:val="nil"/>
              <w:left w:val="nil"/>
              <w:bottom w:val="single" w:sz="4" w:space="0" w:color="BFBFBF"/>
              <w:right w:val="single" w:sz="4" w:space="0" w:color="BFBFBF"/>
            </w:tcBorders>
            <w:shd w:val="clear" w:color="auto" w:fill="auto"/>
            <w:noWrap/>
            <w:vAlign w:val="center"/>
          </w:tcPr>
          <w:p w14:paraId="2AB1EF3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auto"/>
            </w:tcBorders>
            <w:shd w:val="clear" w:color="auto" w:fill="auto"/>
            <w:noWrap/>
            <w:vAlign w:val="center"/>
          </w:tcPr>
          <w:p w14:paraId="07328D3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241,500</w:t>
            </w:r>
          </w:p>
        </w:tc>
        <w:tc>
          <w:tcPr>
            <w:tcW w:w="734" w:type="dxa"/>
            <w:tcBorders>
              <w:top w:val="nil"/>
              <w:left w:val="nil"/>
              <w:bottom w:val="single" w:sz="4" w:space="0" w:color="BFBFBF"/>
              <w:right w:val="single" w:sz="4" w:space="0" w:color="BFBFBF"/>
            </w:tcBorders>
            <w:shd w:val="clear" w:color="auto" w:fill="auto"/>
            <w:noWrap/>
            <w:vAlign w:val="center"/>
          </w:tcPr>
          <w:p w14:paraId="39610D7D" w14:textId="68C69DC0"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1,295</w:t>
            </w:r>
          </w:p>
        </w:tc>
        <w:tc>
          <w:tcPr>
            <w:tcW w:w="734" w:type="dxa"/>
            <w:tcBorders>
              <w:top w:val="nil"/>
              <w:left w:val="nil"/>
              <w:bottom w:val="single" w:sz="4" w:space="0" w:color="BFBFBF"/>
              <w:right w:val="single" w:sz="4" w:space="0" w:color="BFBFBF"/>
            </w:tcBorders>
            <w:shd w:val="clear" w:color="auto" w:fill="auto"/>
            <w:noWrap/>
            <w:vAlign w:val="center"/>
          </w:tcPr>
          <w:p w14:paraId="5B4F545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750</w:t>
            </w:r>
          </w:p>
        </w:tc>
        <w:tc>
          <w:tcPr>
            <w:tcW w:w="734" w:type="dxa"/>
            <w:tcBorders>
              <w:top w:val="nil"/>
              <w:left w:val="nil"/>
              <w:bottom w:val="single" w:sz="4" w:space="0" w:color="BFBFBF"/>
              <w:right w:val="double" w:sz="6" w:space="0" w:color="auto"/>
            </w:tcBorders>
            <w:shd w:val="clear" w:color="auto" w:fill="auto"/>
            <w:noWrap/>
            <w:vAlign w:val="center"/>
          </w:tcPr>
          <w:p w14:paraId="0D62947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520</w:t>
            </w:r>
          </w:p>
        </w:tc>
      </w:tr>
      <w:tr w:rsidR="00485DCA" w:rsidRPr="00DB6DAB" w14:paraId="31A10E2A"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1DC12347" w14:textId="7EEA76CB" w:rsidR="00485DCA" w:rsidRPr="00DB6DAB" w:rsidRDefault="00485DCA" w:rsidP="00E337BE">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Pr="00DB6DAB">
              <w:rPr>
                <w:rFonts w:ascii="Arial" w:hAnsi="Arial" w:cs="Arial"/>
                <w:color w:val="000000"/>
                <w:sz w:val="16"/>
                <w:szCs w:val="16"/>
                <w:lang w:val="en-AU" w:eastAsia="en-AU"/>
              </w:rPr>
              <w:t>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57315D7"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7B1991A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90%</w:t>
            </w:r>
          </w:p>
        </w:tc>
        <w:tc>
          <w:tcPr>
            <w:tcW w:w="734" w:type="dxa"/>
            <w:tcBorders>
              <w:top w:val="nil"/>
              <w:left w:val="nil"/>
              <w:bottom w:val="single" w:sz="4" w:space="0" w:color="BFBFBF"/>
              <w:right w:val="single" w:sz="4" w:space="0" w:color="auto"/>
            </w:tcBorders>
            <w:shd w:val="clear" w:color="auto" w:fill="auto"/>
            <w:noWrap/>
            <w:vAlign w:val="center"/>
          </w:tcPr>
          <w:p w14:paraId="1EF6790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708D0F93"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6E9B700A"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C26105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nil"/>
            </w:tcBorders>
            <w:shd w:val="clear" w:color="auto" w:fill="auto"/>
            <w:noWrap/>
            <w:vAlign w:val="center"/>
          </w:tcPr>
          <w:p w14:paraId="3B4EACC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54483FB0"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72C02F81" w14:textId="027F15ED"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435,638</w:t>
            </w:r>
          </w:p>
        </w:tc>
        <w:tc>
          <w:tcPr>
            <w:tcW w:w="706" w:type="dxa"/>
            <w:tcBorders>
              <w:top w:val="nil"/>
              <w:left w:val="nil"/>
              <w:bottom w:val="single" w:sz="4" w:space="0" w:color="BFBFBF"/>
              <w:right w:val="single" w:sz="4" w:space="0" w:color="BFBFBF"/>
            </w:tcBorders>
            <w:shd w:val="clear" w:color="auto" w:fill="auto"/>
            <w:noWrap/>
            <w:vAlign w:val="center"/>
          </w:tcPr>
          <w:p w14:paraId="51EB6FA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auto"/>
            </w:tcBorders>
            <w:shd w:val="clear" w:color="auto" w:fill="auto"/>
            <w:noWrap/>
            <w:vAlign w:val="center"/>
          </w:tcPr>
          <w:p w14:paraId="502678C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207,400</w:t>
            </w:r>
          </w:p>
        </w:tc>
        <w:tc>
          <w:tcPr>
            <w:tcW w:w="734" w:type="dxa"/>
            <w:tcBorders>
              <w:top w:val="nil"/>
              <w:left w:val="nil"/>
              <w:bottom w:val="single" w:sz="4" w:space="0" w:color="BFBFBF"/>
              <w:right w:val="single" w:sz="4" w:space="0" w:color="BFBFBF"/>
            </w:tcBorders>
            <w:shd w:val="clear" w:color="auto" w:fill="auto"/>
            <w:noWrap/>
            <w:vAlign w:val="center"/>
          </w:tcPr>
          <w:p w14:paraId="6EF4962D" w14:textId="33C70BB6"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1,668</w:t>
            </w:r>
          </w:p>
        </w:tc>
        <w:tc>
          <w:tcPr>
            <w:tcW w:w="734" w:type="dxa"/>
            <w:tcBorders>
              <w:top w:val="nil"/>
              <w:left w:val="nil"/>
              <w:bottom w:val="single" w:sz="4" w:space="0" w:color="BFBFBF"/>
              <w:right w:val="single" w:sz="4" w:space="0" w:color="BFBFBF"/>
            </w:tcBorders>
            <w:shd w:val="clear" w:color="auto" w:fill="auto"/>
            <w:noWrap/>
            <w:vAlign w:val="center"/>
          </w:tcPr>
          <w:p w14:paraId="3832306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701</w:t>
            </w:r>
          </w:p>
        </w:tc>
        <w:tc>
          <w:tcPr>
            <w:tcW w:w="734" w:type="dxa"/>
            <w:tcBorders>
              <w:top w:val="nil"/>
              <w:left w:val="nil"/>
              <w:bottom w:val="single" w:sz="4" w:space="0" w:color="BFBFBF"/>
              <w:right w:val="double" w:sz="6" w:space="0" w:color="auto"/>
            </w:tcBorders>
            <w:shd w:val="clear" w:color="auto" w:fill="auto"/>
            <w:noWrap/>
            <w:vAlign w:val="center"/>
          </w:tcPr>
          <w:p w14:paraId="787813E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2140F419"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AA93B66" w14:textId="77777777" w:rsidR="00485DCA" w:rsidRPr="00DB6DAB" w:rsidRDefault="00485DCA"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By DHHS Area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9587F3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316101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30732BE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center"/>
          </w:tcPr>
          <w:p w14:paraId="4D67FA95"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90512C7"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2AE1E4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nil"/>
            </w:tcBorders>
            <w:shd w:val="clear" w:color="auto" w:fill="auto"/>
            <w:noWrap/>
            <w:vAlign w:val="center"/>
          </w:tcPr>
          <w:p w14:paraId="2CCD712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607A9E56"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nil"/>
              <w:bottom w:val="single" w:sz="4" w:space="0" w:color="BFBFBF"/>
              <w:right w:val="single" w:sz="4" w:space="0" w:color="BFBFBF"/>
            </w:tcBorders>
            <w:shd w:val="clear" w:color="auto" w:fill="auto"/>
            <w:noWrap/>
            <w:vAlign w:val="bottom"/>
          </w:tcPr>
          <w:p w14:paraId="5B1939C8" w14:textId="15252795"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 </w:t>
            </w:r>
          </w:p>
        </w:tc>
        <w:tc>
          <w:tcPr>
            <w:tcW w:w="706" w:type="dxa"/>
            <w:tcBorders>
              <w:top w:val="nil"/>
              <w:left w:val="nil"/>
              <w:bottom w:val="single" w:sz="4" w:space="0" w:color="BFBFBF"/>
              <w:right w:val="single" w:sz="4" w:space="0" w:color="BFBFBF"/>
            </w:tcBorders>
            <w:shd w:val="clear" w:color="auto" w:fill="auto"/>
            <w:noWrap/>
            <w:vAlign w:val="center"/>
          </w:tcPr>
          <w:p w14:paraId="71CAA71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nil"/>
              <w:bottom w:val="single" w:sz="4" w:space="0" w:color="BFBFBF"/>
              <w:right w:val="single" w:sz="4" w:space="0" w:color="auto"/>
            </w:tcBorders>
            <w:shd w:val="clear" w:color="auto" w:fill="auto"/>
            <w:noWrap/>
            <w:vAlign w:val="center"/>
          </w:tcPr>
          <w:p w14:paraId="0679EE3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0EB54074" w14:textId="3D5AE7F4"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734" w:type="dxa"/>
            <w:tcBorders>
              <w:top w:val="nil"/>
              <w:left w:val="nil"/>
              <w:bottom w:val="single" w:sz="4" w:space="0" w:color="BFBFBF"/>
              <w:right w:val="single" w:sz="4" w:space="0" w:color="BFBFBF"/>
            </w:tcBorders>
            <w:shd w:val="clear" w:color="auto" w:fill="auto"/>
            <w:noWrap/>
            <w:vAlign w:val="center"/>
          </w:tcPr>
          <w:p w14:paraId="5A764EA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07B40C1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r>
      <w:tr w:rsidR="00485DCA" w:rsidRPr="00DB6DAB" w14:paraId="1214CCFE"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53E134D4"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Hume Moreland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1B4896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BFBFBF"/>
            </w:tcBorders>
            <w:shd w:val="clear" w:color="auto" w:fill="auto"/>
            <w:noWrap/>
            <w:vAlign w:val="center"/>
          </w:tcPr>
          <w:p w14:paraId="0606F1F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537DF65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225F3A84"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A548DE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8D3C5D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4F5A499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55C5CFF7"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20C813B8" w14:textId="4C79437D"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441,091</w:t>
            </w:r>
          </w:p>
        </w:tc>
        <w:tc>
          <w:tcPr>
            <w:tcW w:w="706" w:type="dxa"/>
            <w:tcBorders>
              <w:top w:val="nil"/>
              <w:left w:val="nil"/>
              <w:bottom w:val="single" w:sz="4" w:space="0" w:color="BFBFBF"/>
              <w:right w:val="single" w:sz="4" w:space="0" w:color="BFBFBF"/>
            </w:tcBorders>
            <w:shd w:val="clear" w:color="auto" w:fill="auto"/>
            <w:noWrap/>
            <w:vAlign w:val="center"/>
          </w:tcPr>
          <w:p w14:paraId="36A93D4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15A0B8E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1E2C6F8" w14:textId="704F48AB"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1,512</w:t>
            </w:r>
          </w:p>
        </w:tc>
        <w:tc>
          <w:tcPr>
            <w:tcW w:w="734" w:type="dxa"/>
            <w:tcBorders>
              <w:top w:val="nil"/>
              <w:left w:val="nil"/>
              <w:bottom w:val="single" w:sz="4" w:space="0" w:color="BFBFBF"/>
              <w:right w:val="single" w:sz="4" w:space="0" w:color="BFBFBF"/>
            </w:tcBorders>
            <w:shd w:val="clear" w:color="auto" w:fill="auto"/>
            <w:noWrap/>
            <w:vAlign w:val="center"/>
          </w:tcPr>
          <w:p w14:paraId="03F7E96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58C17E3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0D1C73F5"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4308F627"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North Eastern 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9D813C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71%</w:t>
            </w:r>
          </w:p>
        </w:tc>
        <w:tc>
          <w:tcPr>
            <w:tcW w:w="734" w:type="dxa"/>
            <w:tcBorders>
              <w:top w:val="nil"/>
              <w:left w:val="nil"/>
              <w:bottom w:val="single" w:sz="4" w:space="0" w:color="BFBFBF"/>
              <w:right w:val="single" w:sz="4" w:space="0" w:color="BFBFBF"/>
            </w:tcBorders>
            <w:shd w:val="clear" w:color="auto" w:fill="auto"/>
            <w:noWrap/>
            <w:vAlign w:val="center"/>
          </w:tcPr>
          <w:p w14:paraId="017AA7F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598946F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0274C5C8"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34%</w:t>
            </w:r>
          </w:p>
        </w:tc>
        <w:tc>
          <w:tcPr>
            <w:tcW w:w="734" w:type="dxa"/>
            <w:tcBorders>
              <w:top w:val="nil"/>
              <w:left w:val="nil"/>
              <w:bottom w:val="single" w:sz="4" w:space="0" w:color="BFBFBF"/>
              <w:right w:val="single" w:sz="4" w:space="0" w:color="BFBFBF"/>
            </w:tcBorders>
            <w:shd w:val="clear" w:color="auto" w:fill="auto"/>
            <w:noWrap/>
            <w:vAlign w:val="center"/>
          </w:tcPr>
          <w:p w14:paraId="54D44A3E"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66%</w:t>
            </w:r>
          </w:p>
        </w:tc>
        <w:tc>
          <w:tcPr>
            <w:tcW w:w="734" w:type="dxa"/>
            <w:tcBorders>
              <w:top w:val="nil"/>
              <w:left w:val="nil"/>
              <w:bottom w:val="single" w:sz="4" w:space="0" w:color="BFBFBF"/>
              <w:right w:val="single" w:sz="4" w:space="0" w:color="BFBFBF"/>
            </w:tcBorders>
            <w:shd w:val="clear" w:color="auto" w:fill="auto"/>
            <w:noWrap/>
            <w:vAlign w:val="center"/>
          </w:tcPr>
          <w:p w14:paraId="6F311C6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4A1B207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0DB84920" w14:textId="17473263" w:rsidR="00485DCA" w:rsidRPr="00DB6DAB" w:rsidRDefault="00485DCA" w:rsidP="00485DCA">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w:t>
            </w:r>
            <w:r>
              <w:rPr>
                <w:rFonts w:ascii="Arial" w:hAnsi="Arial" w:cs="Arial"/>
                <w:color w:val="000000"/>
                <w:sz w:val="16"/>
                <w:szCs w:val="16"/>
                <w:lang w:val="en-AU" w:eastAsia="en-AU"/>
              </w:rPr>
              <w:t>5</w:t>
            </w:r>
            <w:r w:rsidRPr="00DB6DAB">
              <w:rPr>
                <w:rFonts w:ascii="Arial" w:hAnsi="Arial" w:cs="Arial"/>
                <w:color w:val="000000"/>
                <w:sz w:val="16"/>
                <w:szCs w:val="16"/>
                <w:lang w:val="en-AU" w:eastAsia="en-AU"/>
              </w:rPr>
              <w:t>,</w:t>
            </w:r>
            <w:r>
              <w:rPr>
                <w:rFonts w:ascii="Arial" w:hAnsi="Arial" w:cs="Arial"/>
                <w:color w:val="000000"/>
                <w:sz w:val="16"/>
                <w:szCs w:val="16"/>
                <w:lang w:val="en-AU" w:eastAsia="en-AU"/>
              </w:rPr>
              <w:t>354</w:t>
            </w:r>
          </w:p>
        </w:tc>
        <w:tc>
          <w:tcPr>
            <w:tcW w:w="795" w:type="dxa"/>
            <w:tcBorders>
              <w:top w:val="nil"/>
              <w:left w:val="nil"/>
              <w:bottom w:val="single" w:sz="4" w:space="0" w:color="BFBFBF"/>
              <w:right w:val="single" w:sz="4" w:space="0" w:color="BFBFBF"/>
            </w:tcBorders>
            <w:shd w:val="clear" w:color="auto" w:fill="auto"/>
            <w:noWrap/>
            <w:vAlign w:val="bottom"/>
          </w:tcPr>
          <w:p w14:paraId="71D9FB55" w14:textId="32351DA0"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685,414</w:t>
            </w:r>
          </w:p>
        </w:tc>
        <w:tc>
          <w:tcPr>
            <w:tcW w:w="706" w:type="dxa"/>
            <w:tcBorders>
              <w:top w:val="nil"/>
              <w:left w:val="nil"/>
              <w:bottom w:val="single" w:sz="4" w:space="0" w:color="BFBFBF"/>
              <w:right w:val="single" w:sz="4" w:space="0" w:color="BFBFBF"/>
            </w:tcBorders>
            <w:shd w:val="clear" w:color="auto" w:fill="auto"/>
            <w:noWrap/>
            <w:vAlign w:val="center"/>
          </w:tcPr>
          <w:p w14:paraId="528BDA3F"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5A40922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A33D840" w14:textId="203DC170"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1,504</w:t>
            </w:r>
          </w:p>
        </w:tc>
        <w:tc>
          <w:tcPr>
            <w:tcW w:w="734" w:type="dxa"/>
            <w:tcBorders>
              <w:top w:val="nil"/>
              <w:left w:val="nil"/>
              <w:bottom w:val="single" w:sz="4" w:space="0" w:color="BFBFBF"/>
              <w:right w:val="single" w:sz="4" w:space="0" w:color="BFBFBF"/>
            </w:tcBorders>
            <w:shd w:val="clear" w:color="auto" w:fill="auto"/>
            <w:noWrap/>
            <w:vAlign w:val="center"/>
          </w:tcPr>
          <w:p w14:paraId="31FC19A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2F70954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5F412BB8"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17992E56"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 xml:space="preserve">Outer </w:t>
            </w:r>
            <w:smartTag w:uri="urn:schemas-microsoft-com:office:smarttags" w:element="place">
              <w:r w:rsidRPr="00DB6DAB">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A9352C9"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80%</w:t>
            </w:r>
          </w:p>
        </w:tc>
        <w:tc>
          <w:tcPr>
            <w:tcW w:w="734" w:type="dxa"/>
            <w:tcBorders>
              <w:top w:val="nil"/>
              <w:left w:val="nil"/>
              <w:bottom w:val="single" w:sz="4" w:space="0" w:color="BFBFBF"/>
              <w:right w:val="single" w:sz="4" w:space="0" w:color="BFBFBF"/>
            </w:tcBorders>
            <w:shd w:val="clear" w:color="auto" w:fill="auto"/>
            <w:noWrap/>
            <w:vAlign w:val="center"/>
          </w:tcPr>
          <w:p w14:paraId="30DBD60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CAF227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65CADB9E"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2581DE2"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797F26A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1DFA3C9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23F4478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6D69B101" w14:textId="312A021F"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465,670</w:t>
            </w:r>
          </w:p>
        </w:tc>
        <w:tc>
          <w:tcPr>
            <w:tcW w:w="706" w:type="dxa"/>
            <w:tcBorders>
              <w:top w:val="nil"/>
              <w:left w:val="nil"/>
              <w:bottom w:val="single" w:sz="4" w:space="0" w:color="BFBFBF"/>
              <w:right w:val="single" w:sz="4" w:space="0" w:color="BFBFBF"/>
            </w:tcBorders>
            <w:shd w:val="clear" w:color="auto" w:fill="auto"/>
            <w:noWrap/>
            <w:vAlign w:val="center"/>
          </w:tcPr>
          <w:p w14:paraId="0AB869D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5FC0A43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C6970CD" w14:textId="404F6235"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1,257</w:t>
            </w:r>
          </w:p>
        </w:tc>
        <w:tc>
          <w:tcPr>
            <w:tcW w:w="734" w:type="dxa"/>
            <w:tcBorders>
              <w:top w:val="nil"/>
              <w:left w:val="nil"/>
              <w:bottom w:val="single" w:sz="4" w:space="0" w:color="BFBFBF"/>
              <w:right w:val="single" w:sz="4" w:space="0" w:color="BFBFBF"/>
            </w:tcBorders>
            <w:shd w:val="clear" w:color="auto" w:fill="auto"/>
            <w:noWrap/>
            <w:vAlign w:val="center"/>
          </w:tcPr>
          <w:p w14:paraId="741974F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0FA8F16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0E724F3C"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23719FE"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 xml:space="preserve">Inner </w:t>
            </w:r>
            <w:smartTag w:uri="urn:schemas-microsoft-com:office:smarttags" w:element="place">
              <w:r w:rsidRPr="00DB6DAB">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6ED118B"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7FC6ED6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D8E04C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1C58F120"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1B271505"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455E23B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478D784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194C103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1617C2D6" w14:textId="25AFC120"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732,918</w:t>
            </w:r>
          </w:p>
        </w:tc>
        <w:tc>
          <w:tcPr>
            <w:tcW w:w="706" w:type="dxa"/>
            <w:tcBorders>
              <w:top w:val="nil"/>
              <w:left w:val="nil"/>
              <w:bottom w:val="single" w:sz="4" w:space="0" w:color="BFBFBF"/>
              <w:right w:val="single" w:sz="4" w:space="0" w:color="BFBFBF"/>
            </w:tcBorders>
            <w:shd w:val="clear" w:color="auto" w:fill="auto"/>
            <w:noWrap/>
            <w:vAlign w:val="center"/>
          </w:tcPr>
          <w:p w14:paraId="289A5AF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449FA92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C299363" w14:textId="4173841D"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1,413</w:t>
            </w:r>
          </w:p>
        </w:tc>
        <w:tc>
          <w:tcPr>
            <w:tcW w:w="734" w:type="dxa"/>
            <w:tcBorders>
              <w:top w:val="nil"/>
              <w:left w:val="nil"/>
              <w:bottom w:val="single" w:sz="4" w:space="0" w:color="BFBFBF"/>
              <w:right w:val="single" w:sz="4" w:space="0" w:color="BFBFBF"/>
            </w:tcBorders>
            <w:shd w:val="clear" w:color="auto" w:fill="auto"/>
            <w:noWrap/>
            <w:vAlign w:val="center"/>
          </w:tcPr>
          <w:p w14:paraId="220822B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2D28B9F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35074974"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52566DDD"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smartTag w:uri="urn:schemas-microsoft-com:office:smarttags" w:element="place">
              <w:r w:rsidRPr="00DB6DAB">
                <w:rPr>
                  <w:rFonts w:ascii="Arial" w:hAnsi="Arial" w:cs="Arial"/>
                  <w:color w:val="000000"/>
                  <w:sz w:val="16"/>
                  <w:szCs w:val="16"/>
                  <w:lang w:val="en-AU" w:eastAsia="en-AU"/>
                </w:rPr>
                <w:t>Southern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8C1928C"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151FE7D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40DFAE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27600514"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29AFA5D6"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279C6D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24CE774F"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1FC3CA92"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353F17B6" w14:textId="65AF4A57"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390,532</w:t>
            </w:r>
          </w:p>
        </w:tc>
        <w:tc>
          <w:tcPr>
            <w:tcW w:w="706" w:type="dxa"/>
            <w:tcBorders>
              <w:top w:val="nil"/>
              <w:left w:val="nil"/>
              <w:bottom w:val="single" w:sz="4" w:space="0" w:color="BFBFBF"/>
              <w:right w:val="single" w:sz="4" w:space="0" w:color="BFBFBF"/>
            </w:tcBorders>
            <w:shd w:val="clear" w:color="auto" w:fill="auto"/>
            <w:noWrap/>
            <w:vAlign w:val="center"/>
          </w:tcPr>
          <w:p w14:paraId="507D5E5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7498CC1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4D9F601" w14:textId="23ED5992"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1,159</w:t>
            </w:r>
          </w:p>
        </w:tc>
        <w:tc>
          <w:tcPr>
            <w:tcW w:w="734" w:type="dxa"/>
            <w:tcBorders>
              <w:top w:val="nil"/>
              <w:left w:val="nil"/>
              <w:bottom w:val="single" w:sz="4" w:space="0" w:color="BFBFBF"/>
              <w:right w:val="single" w:sz="4" w:space="0" w:color="BFBFBF"/>
            </w:tcBorders>
            <w:shd w:val="clear" w:color="auto" w:fill="auto"/>
            <w:noWrap/>
            <w:vAlign w:val="center"/>
          </w:tcPr>
          <w:p w14:paraId="58BF5D0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405FC4A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4264A7E6"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399AF5E"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Bayside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9E9AD3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BFBFBF"/>
            </w:tcBorders>
            <w:shd w:val="clear" w:color="auto" w:fill="auto"/>
            <w:noWrap/>
            <w:vAlign w:val="center"/>
          </w:tcPr>
          <w:p w14:paraId="44A82CB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2C858B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5B008ECB"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13%</w:t>
            </w:r>
          </w:p>
        </w:tc>
        <w:tc>
          <w:tcPr>
            <w:tcW w:w="734" w:type="dxa"/>
            <w:tcBorders>
              <w:top w:val="nil"/>
              <w:left w:val="nil"/>
              <w:bottom w:val="single" w:sz="4" w:space="0" w:color="BFBFBF"/>
              <w:right w:val="single" w:sz="4" w:space="0" w:color="BFBFBF"/>
            </w:tcBorders>
            <w:shd w:val="clear" w:color="auto" w:fill="auto"/>
            <w:noWrap/>
            <w:vAlign w:val="center"/>
          </w:tcPr>
          <w:p w14:paraId="3F72D69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87%</w:t>
            </w:r>
          </w:p>
        </w:tc>
        <w:tc>
          <w:tcPr>
            <w:tcW w:w="734" w:type="dxa"/>
            <w:tcBorders>
              <w:top w:val="nil"/>
              <w:left w:val="nil"/>
              <w:bottom w:val="single" w:sz="4" w:space="0" w:color="BFBFBF"/>
              <w:right w:val="single" w:sz="4" w:space="0" w:color="BFBFBF"/>
            </w:tcBorders>
            <w:shd w:val="clear" w:color="auto" w:fill="auto"/>
            <w:noWrap/>
            <w:vAlign w:val="center"/>
          </w:tcPr>
          <w:p w14:paraId="339E5AD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5D0F754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3512B46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37,810</w:t>
            </w:r>
          </w:p>
        </w:tc>
        <w:tc>
          <w:tcPr>
            <w:tcW w:w="795" w:type="dxa"/>
            <w:tcBorders>
              <w:top w:val="nil"/>
              <w:left w:val="nil"/>
              <w:bottom w:val="single" w:sz="4" w:space="0" w:color="BFBFBF"/>
              <w:right w:val="single" w:sz="4" w:space="0" w:color="BFBFBF"/>
            </w:tcBorders>
            <w:shd w:val="clear" w:color="auto" w:fill="auto"/>
            <w:noWrap/>
            <w:vAlign w:val="bottom"/>
          </w:tcPr>
          <w:p w14:paraId="299EBEB0" w14:textId="4640211F"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676,811</w:t>
            </w:r>
          </w:p>
        </w:tc>
        <w:tc>
          <w:tcPr>
            <w:tcW w:w="706" w:type="dxa"/>
            <w:tcBorders>
              <w:top w:val="nil"/>
              <w:left w:val="nil"/>
              <w:bottom w:val="single" w:sz="4" w:space="0" w:color="BFBFBF"/>
              <w:right w:val="single" w:sz="4" w:space="0" w:color="BFBFBF"/>
            </w:tcBorders>
            <w:shd w:val="clear" w:color="auto" w:fill="auto"/>
            <w:noWrap/>
            <w:vAlign w:val="center"/>
          </w:tcPr>
          <w:p w14:paraId="4A062A6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69964BD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5E7A848" w14:textId="70593761"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1,261</w:t>
            </w:r>
          </w:p>
        </w:tc>
        <w:tc>
          <w:tcPr>
            <w:tcW w:w="734" w:type="dxa"/>
            <w:tcBorders>
              <w:top w:val="nil"/>
              <w:left w:val="nil"/>
              <w:bottom w:val="single" w:sz="4" w:space="0" w:color="BFBFBF"/>
              <w:right w:val="single" w:sz="4" w:space="0" w:color="BFBFBF"/>
            </w:tcBorders>
            <w:shd w:val="clear" w:color="auto" w:fill="auto"/>
            <w:noWrap/>
            <w:vAlign w:val="center"/>
          </w:tcPr>
          <w:p w14:paraId="632FA8B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3667AD0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44C9806E"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2A8A06A9"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smartTag w:uri="urn:schemas-microsoft-com:office:smarttags" w:element="place">
              <w:r w:rsidRPr="00DB6DAB">
                <w:rPr>
                  <w:rFonts w:ascii="Arial" w:hAnsi="Arial" w:cs="Arial"/>
                  <w:color w:val="000000"/>
                  <w:sz w:val="16"/>
                  <w:szCs w:val="16"/>
                  <w:lang w:val="en-AU" w:eastAsia="en-AU"/>
                </w:rPr>
                <w:t>Western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C2E4EA6"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678BF43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F23FD5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22BB41B6"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21%</w:t>
            </w:r>
          </w:p>
        </w:tc>
        <w:tc>
          <w:tcPr>
            <w:tcW w:w="734" w:type="dxa"/>
            <w:tcBorders>
              <w:top w:val="nil"/>
              <w:left w:val="nil"/>
              <w:bottom w:val="single" w:sz="4" w:space="0" w:color="BFBFBF"/>
              <w:right w:val="single" w:sz="4" w:space="0" w:color="BFBFBF"/>
            </w:tcBorders>
            <w:shd w:val="clear" w:color="auto" w:fill="auto"/>
            <w:noWrap/>
            <w:vAlign w:val="center"/>
          </w:tcPr>
          <w:p w14:paraId="04D498B2"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BFBFBF"/>
            </w:tcBorders>
            <w:shd w:val="clear" w:color="auto" w:fill="auto"/>
            <w:noWrap/>
            <w:vAlign w:val="center"/>
          </w:tcPr>
          <w:p w14:paraId="6AF2934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7708972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1F9BB253"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27,312</w:t>
            </w:r>
          </w:p>
        </w:tc>
        <w:tc>
          <w:tcPr>
            <w:tcW w:w="795" w:type="dxa"/>
            <w:tcBorders>
              <w:top w:val="nil"/>
              <w:left w:val="nil"/>
              <w:bottom w:val="single" w:sz="4" w:space="0" w:color="BFBFBF"/>
              <w:right w:val="single" w:sz="4" w:space="0" w:color="BFBFBF"/>
            </w:tcBorders>
            <w:shd w:val="clear" w:color="auto" w:fill="auto"/>
            <w:noWrap/>
            <w:vAlign w:val="bottom"/>
          </w:tcPr>
          <w:p w14:paraId="3314D712" w14:textId="2AE84D01"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484,431</w:t>
            </w:r>
          </w:p>
        </w:tc>
        <w:tc>
          <w:tcPr>
            <w:tcW w:w="706" w:type="dxa"/>
            <w:tcBorders>
              <w:top w:val="nil"/>
              <w:left w:val="nil"/>
              <w:bottom w:val="single" w:sz="4" w:space="0" w:color="BFBFBF"/>
              <w:right w:val="single" w:sz="4" w:space="0" w:color="BFBFBF"/>
            </w:tcBorders>
            <w:shd w:val="clear" w:color="auto" w:fill="auto"/>
            <w:noWrap/>
            <w:vAlign w:val="center"/>
          </w:tcPr>
          <w:p w14:paraId="418B9AD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23C0FB8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D7D814B" w14:textId="26F3769C"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1,460</w:t>
            </w:r>
          </w:p>
        </w:tc>
        <w:tc>
          <w:tcPr>
            <w:tcW w:w="734" w:type="dxa"/>
            <w:tcBorders>
              <w:top w:val="nil"/>
              <w:left w:val="nil"/>
              <w:bottom w:val="single" w:sz="4" w:space="0" w:color="BFBFBF"/>
              <w:right w:val="single" w:sz="4" w:space="0" w:color="BFBFBF"/>
            </w:tcBorders>
            <w:shd w:val="clear" w:color="auto" w:fill="auto"/>
            <w:noWrap/>
            <w:vAlign w:val="center"/>
          </w:tcPr>
          <w:p w14:paraId="12D5F6A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35637D4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663BC69D"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0150D6EE"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Brimbank Melton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5520935"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0737F83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9394F2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769E30BE"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2DC0D99B"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A68D2D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026C8F0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19B7664B"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2BDC1CEC" w14:textId="7EDA8AC7"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333,911</w:t>
            </w:r>
          </w:p>
        </w:tc>
        <w:tc>
          <w:tcPr>
            <w:tcW w:w="706" w:type="dxa"/>
            <w:tcBorders>
              <w:top w:val="nil"/>
              <w:left w:val="nil"/>
              <w:bottom w:val="single" w:sz="4" w:space="0" w:color="BFBFBF"/>
              <w:right w:val="single" w:sz="4" w:space="0" w:color="BFBFBF"/>
            </w:tcBorders>
            <w:shd w:val="clear" w:color="auto" w:fill="auto"/>
            <w:noWrap/>
            <w:vAlign w:val="center"/>
          </w:tcPr>
          <w:p w14:paraId="364E53C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75F04B5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E87FB5D" w14:textId="334B20DC"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1,055</w:t>
            </w:r>
          </w:p>
        </w:tc>
        <w:tc>
          <w:tcPr>
            <w:tcW w:w="734" w:type="dxa"/>
            <w:tcBorders>
              <w:top w:val="nil"/>
              <w:left w:val="nil"/>
              <w:bottom w:val="single" w:sz="4" w:space="0" w:color="BFBFBF"/>
              <w:right w:val="single" w:sz="4" w:space="0" w:color="BFBFBF"/>
            </w:tcBorders>
            <w:shd w:val="clear" w:color="auto" w:fill="auto"/>
            <w:noWrap/>
            <w:vAlign w:val="center"/>
          </w:tcPr>
          <w:p w14:paraId="61C2EAD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0DB7FB9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7410F519"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1E3F716B"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Mallee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2EEDD6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72%</w:t>
            </w:r>
          </w:p>
        </w:tc>
        <w:tc>
          <w:tcPr>
            <w:tcW w:w="734" w:type="dxa"/>
            <w:tcBorders>
              <w:top w:val="nil"/>
              <w:left w:val="nil"/>
              <w:bottom w:val="single" w:sz="4" w:space="0" w:color="BFBFBF"/>
              <w:right w:val="single" w:sz="4" w:space="0" w:color="BFBFBF"/>
            </w:tcBorders>
            <w:shd w:val="clear" w:color="auto" w:fill="auto"/>
            <w:noWrap/>
            <w:vAlign w:val="center"/>
          </w:tcPr>
          <w:p w14:paraId="20B18A5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5615337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0663BFB0"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BBD6E8C"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6D46BFC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4E37599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3C74766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5AEE4B7E" w14:textId="3BF3A23A"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215,115</w:t>
            </w:r>
          </w:p>
        </w:tc>
        <w:tc>
          <w:tcPr>
            <w:tcW w:w="706" w:type="dxa"/>
            <w:tcBorders>
              <w:top w:val="nil"/>
              <w:left w:val="nil"/>
              <w:bottom w:val="single" w:sz="4" w:space="0" w:color="BFBFBF"/>
              <w:right w:val="single" w:sz="4" w:space="0" w:color="BFBFBF"/>
            </w:tcBorders>
            <w:shd w:val="clear" w:color="auto" w:fill="auto"/>
            <w:noWrap/>
            <w:vAlign w:val="center"/>
          </w:tcPr>
          <w:p w14:paraId="02D2FBF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7318E86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D97AD2E" w14:textId="6406BC4B"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1,490</w:t>
            </w:r>
          </w:p>
        </w:tc>
        <w:tc>
          <w:tcPr>
            <w:tcW w:w="734" w:type="dxa"/>
            <w:tcBorders>
              <w:top w:val="nil"/>
              <w:left w:val="nil"/>
              <w:bottom w:val="single" w:sz="4" w:space="0" w:color="BFBFBF"/>
              <w:right w:val="single" w:sz="4" w:space="0" w:color="BFBFBF"/>
            </w:tcBorders>
            <w:shd w:val="clear" w:color="auto" w:fill="auto"/>
            <w:noWrap/>
            <w:vAlign w:val="center"/>
          </w:tcPr>
          <w:p w14:paraId="5EDB835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2649B0D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3B010A30"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4997C29B"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Loddon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E119E55"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64F3FD8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F528F1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1D485E24"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7C505D6C"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21CE9F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1A48EB7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7A7E37A7"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5729F26F" w14:textId="72CAB72B"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339,645</w:t>
            </w:r>
          </w:p>
        </w:tc>
        <w:tc>
          <w:tcPr>
            <w:tcW w:w="706" w:type="dxa"/>
            <w:tcBorders>
              <w:top w:val="nil"/>
              <w:left w:val="nil"/>
              <w:bottom w:val="single" w:sz="4" w:space="0" w:color="BFBFBF"/>
              <w:right w:val="single" w:sz="4" w:space="0" w:color="BFBFBF"/>
            </w:tcBorders>
            <w:shd w:val="clear" w:color="auto" w:fill="auto"/>
            <w:noWrap/>
            <w:vAlign w:val="center"/>
          </w:tcPr>
          <w:p w14:paraId="7F46746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4CEC525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1205D14" w14:textId="51D934E8"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1,319</w:t>
            </w:r>
          </w:p>
        </w:tc>
        <w:tc>
          <w:tcPr>
            <w:tcW w:w="734" w:type="dxa"/>
            <w:tcBorders>
              <w:top w:val="nil"/>
              <w:left w:val="nil"/>
              <w:bottom w:val="single" w:sz="4" w:space="0" w:color="BFBFBF"/>
              <w:right w:val="single" w:sz="4" w:space="0" w:color="BFBFBF"/>
            </w:tcBorders>
            <w:shd w:val="clear" w:color="auto" w:fill="auto"/>
            <w:noWrap/>
            <w:vAlign w:val="center"/>
          </w:tcPr>
          <w:p w14:paraId="719F90F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1188751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2A304B1F"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31F09F91"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DB6DAB">
                  <w:rPr>
                    <w:rFonts w:ascii="Arial" w:hAnsi="Arial" w:cs="Arial"/>
                    <w:color w:val="000000"/>
                    <w:sz w:val="16"/>
                    <w:szCs w:val="16"/>
                    <w:lang w:val="en-AU" w:eastAsia="en-AU"/>
                  </w:rPr>
                  <w:t>Murray</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726462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76%</w:t>
            </w:r>
          </w:p>
        </w:tc>
        <w:tc>
          <w:tcPr>
            <w:tcW w:w="734" w:type="dxa"/>
            <w:tcBorders>
              <w:top w:val="nil"/>
              <w:left w:val="nil"/>
              <w:bottom w:val="single" w:sz="4" w:space="0" w:color="BFBFBF"/>
              <w:right w:val="single" w:sz="4" w:space="0" w:color="BFBFBF"/>
            </w:tcBorders>
            <w:shd w:val="clear" w:color="auto" w:fill="auto"/>
            <w:noWrap/>
            <w:vAlign w:val="center"/>
          </w:tcPr>
          <w:p w14:paraId="125D52A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137C10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72F521E0"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412183A3"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DC3E86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1FB73EE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53F550C7"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0528BDDC" w14:textId="2572A168"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286,663</w:t>
            </w:r>
          </w:p>
        </w:tc>
        <w:tc>
          <w:tcPr>
            <w:tcW w:w="706" w:type="dxa"/>
            <w:tcBorders>
              <w:top w:val="nil"/>
              <w:left w:val="nil"/>
              <w:bottom w:val="single" w:sz="4" w:space="0" w:color="BFBFBF"/>
              <w:right w:val="single" w:sz="4" w:space="0" w:color="BFBFBF"/>
            </w:tcBorders>
            <w:shd w:val="clear" w:color="auto" w:fill="auto"/>
            <w:noWrap/>
            <w:vAlign w:val="center"/>
          </w:tcPr>
          <w:p w14:paraId="0708530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6566E10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6D4ACEE" w14:textId="77EDAEDC"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1,414</w:t>
            </w:r>
          </w:p>
        </w:tc>
        <w:tc>
          <w:tcPr>
            <w:tcW w:w="734" w:type="dxa"/>
            <w:tcBorders>
              <w:top w:val="nil"/>
              <w:left w:val="nil"/>
              <w:bottom w:val="single" w:sz="4" w:space="0" w:color="BFBFBF"/>
              <w:right w:val="single" w:sz="4" w:space="0" w:color="BFBFBF"/>
            </w:tcBorders>
            <w:shd w:val="clear" w:color="auto" w:fill="auto"/>
            <w:noWrap/>
            <w:vAlign w:val="center"/>
          </w:tcPr>
          <w:p w14:paraId="17FAEDF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10871B5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61F46D32"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19BEA36E"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Goulburn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1906B28"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5C6BC03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CB9B9E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6C1E788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6804006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7C8F81F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287912A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47CD86AE"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32B49E46" w14:textId="50EDA2AB"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330,208</w:t>
            </w:r>
          </w:p>
        </w:tc>
        <w:tc>
          <w:tcPr>
            <w:tcW w:w="706" w:type="dxa"/>
            <w:tcBorders>
              <w:top w:val="nil"/>
              <w:left w:val="nil"/>
              <w:bottom w:val="single" w:sz="4" w:space="0" w:color="BFBFBF"/>
              <w:right w:val="single" w:sz="4" w:space="0" w:color="BFBFBF"/>
            </w:tcBorders>
            <w:shd w:val="clear" w:color="auto" w:fill="auto"/>
            <w:noWrap/>
            <w:vAlign w:val="center"/>
          </w:tcPr>
          <w:p w14:paraId="5628ADD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71A1AC6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625EE392" w14:textId="44350186"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1,543</w:t>
            </w:r>
          </w:p>
        </w:tc>
        <w:tc>
          <w:tcPr>
            <w:tcW w:w="734" w:type="dxa"/>
            <w:tcBorders>
              <w:top w:val="nil"/>
              <w:left w:val="nil"/>
              <w:bottom w:val="single" w:sz="4" w:space="0" w:color="BFBFBF"/>
              <w:right w:val="single" w:sz="4" w:space="0" w:color="BFBFBF"/>
            </w:tcBorders>
            <w:shd w:val="clear" w:color="auto" w:fill="auto"/>
            <w:noWrap/>
            <w:vAlign w:val="center"/>
          </w:tcPr>
          <w:p w14:paraId="6D4D4C4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497328E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7453DF57"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90E041B"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Outer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9C0840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5996FDD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0957C3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51CA687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5D17C446"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73D1A01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4BF7C3C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7B1ED4A7"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68D0F451" w14:textId="0ABC8E99"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314,809</w:t>
            </w:r>
          </w:p>
        </w:tc>
        <w:tc>
          <w:tcPr>
            <w:tcW w:w="706" w:type="dxa"/>
            <w:tcBorders>
              <w:top w:val="nil"/>
              <w:left w:val="nil"/>
              <w:bottom w:val="single" w:sz="4" w:space="0" w:color="BFBFBF"/>
              <w:right w:val="single" w:sz="4" w:space="0" w:color="BFBFBF"/>
            </w:tcBorders>
            <w:shd w:val="clear" w:color="auto" w:fill="auto"/>
            <w:noWrap/>
            <w:vAlign w:val="center"/>
          </w:tcPr>
          <w:p w14:paraId="3339A5C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4598F79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86030B5" w14:textId="49C5A7F8"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1,384</w:t>
            </w:r>
          </w:p>
        </w:tc>
        <w:tc>
          <w:tcPr>
            <w:tcW w:w="734" w:type="dxa"/>
            <w:tcBorders>
              <w:top w:val="nil"/>
              <w:left w:val="nil"/>
              <w:bottom w:val="single" w:sz="4" w:space="0" w:color="BFBFBF"/>
              <w:right w:val="single" w:sz="4" w:space="0" w:color="BFBFBF"/>
            </w:tcBorders>
            <w:shd w:val="clear" w:color="auto" w:fill="auto"/>
            <w:noWrap/>
            <w:vAlign w:val="center"/>
          </w:tcPr>
          <w:p w14:paraId="3D394E1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5A75CD5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2A5DAB3F"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50AC1127"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Inner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41AEB7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47C74BE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3B8C94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230F284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1789D496"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1DAD445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1B23091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2A2037C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3109B71F" w14:textId="57129D3F"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358,057</w:t>
            </w:r>
          </w:p>
        </w:tc>
        <w:tc>
          <w:tcPr>
            <w:tcW w:w="706" w:type="dxa"/>
            <w:tcBorders>
              <w:top w:val="nil"/>
              <w:left w:val="nil"/>
              <w:bottom w:val="single" w:sz="4" w:space="0" w:color="BFBFBF"/>
              <w:right w:val="single" w:sz="4" w:space="0" w:color="BFBFBF"/>
            </w:tcBorders>
            <w:shd w:val="clear" w:color="auto" w:fill="auto"/>
            <w:noWrap/>
            <w:vAlign w:val="center"/>
          </w:tcPr>
          <w:p w14:paraId="5CC2FF9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3FD35FA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2B0A4F4F" w14:textId="5985614A"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1,292</w:t>
            </w:r>
          </w:p>
        </w:tc>
        <w:tc>
          <w:tcPr>
            <w:tcW w:w="734" w:type="dxa"/>
            <w:tcBorders>
              <w:top w:val="nil"/>
              <w:left w:val="nil"/>
              <w:bottom w:val="single" w:sz="4" w:space="0" w:color="BFBFBF"/>
              <w:right w:val="single" w:sz="4" w:space="0" w:color="BFBFBF"/>
            </w:tcBorders>
            <w:shd w:val="clear" w:color="auto" w:fill="auto"/>
            <w:noWrap/>
            <w:vAlign w:val="center"/>
          </w:tcPr>
          <w:p w14:paraId="45914CE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72405DD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14221636"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67F6022"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Western District</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F97E6CC"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71%</w:t>
            </w:r>
          </w:p>
        </w:tc>
        <w:tc>
          <w:tcPr>
            <w:tcW w:w="734" w:type="dxa"/>
            <w:tcBorders>
              <w:top w:val="nil"/>
              <w:left w:val="nil"/>
              <w:bottom w:val="single" w:sz="4" w:space="0" w:color="BFBFBF"/>
              <w:right w:val="single" w:sz="4" w:space="0" w:color="BFBFBF"/>
            </w:tcBorders>
            <w:shd w:val="clear" w:color="auto" w:fill="auto"/>
            <w:noWrap/>
            <w:vAlign w:val="center"/>
          </w:tcPr>
          <w:p w14:paraId="417DEFE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769824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45B7C65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63FFA2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4F6D67A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332DC98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7E984C46"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33B327A5" w14:textId="036CEE16"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287,698</w:t>
            </w:r>
          </w:p>
        </w:tc>
        <w:tc>
          <w:tcPr>
            <w:tcW w:w="706" w:type="dxa"/>
            <w:tcBorders>
              <w:top w:val="nil"/>
              <w:left w:val="nil"/>
              <w:bottom w:val="single" w:sz="4" w:space="0" w:color="BFBFBF"/>
              <w:right w:val="single" w:sz="4" w:space="0" w:color="BFBFBF"/>
            </w:tcBorders>
            <w:shd w:val="clear" w:color="auto" w:fill="auto"/>
            <w:noWrap/>
            <w:vAlign w:val="center"/>
          </w:tcPr>
          <w:p w14:paraId="7B04B57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7EB3605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284B59D" w14:textId="2380107B"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819</w:t>
            </w:r>
          </w:p>
        </w:tc>
        <w:tc>
          <w:tcPr>
            <w:tcW w:w="734" w:type="dxa"/>
            <w:tcBorders>
              <w:top w:val="nil"/>
              <w:left w:val="nil"/>
              <w:bottom w:val="single" w:sz="4" w:space="0" w:color="BFBFBF"/>
              <w:right w:val="single" w:sz="4" w:space="0" w:color="BFBFBF"/>
            </w:tcBorders>
            <w:shd w:val="clear" w:color="auto" w:fill="auto"/>
            <w:noWrap/>
            <w:vAlign w:val="center"/>
          </w:tcPr>
          <w:p w14:paraId="78381C2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1B9DE9E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4449F3E3"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7ABAD54E"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Barwon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C95FA4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84%</w:t>
            </w:r>
          </w:p>
        </w:tc>
        <w:tc>
          <w:tcPr>
            <w:tcW w:w="734" w:type="dxa"/>
            <w:tcBorders>
              <w:top w:val="nil"/>
              <w:left w:val="nil"/>
              <w:bottom w:val="single" w:sz="4" w:space="0" w:color="BFBFBF"/>
              <w:right w:val="single" w:sz="4" w:space="0" w:color="BFBFBF"/>
            </w:tcBorders>
            <w:shd w:val="clear" w:color="auto" w:fill="auto"/>
            <w:noWrap/>
            <w:vAlign w:val="center"/>
          </w:tcPr>
          <w:p w14:paraId="50B094F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14FDA1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0F6D8E34"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78F51410"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6D0FAC5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0D53494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4F2E907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4868179E" w14:textId="7DD75EB4"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452,585</w:t>
            </w:r>
          </w:p>
        </w:tc>
        <w:tc>
          <w:tcPr>
            <w:tcW w:w="706" w:type="dxa"/>
            <w:tcBorders>
              <w:top w:val="nil"/>
              <w:left w:val="nil"/>
              <w:bottom w:val="single" w:sz="4" w:space="0" w:color="BFBFBF"/>
              <w:right w:val="single" w:sz="4" w:space="0" w:color="BFBFBF"/>
            </w:tcBorders>
            <w:shd w:val="clear" w:color="auto" w:fill="auto"/>
            <w:noWrap/>
            <w:vAlign w:val="center"/>
          </w:tcPr>
          <w:p w14:paraId="5C5ED6B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3D5F63C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F82849C" w14:textId="74D2A6A0"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1,250</w:t>
            </w:r>
          </w:p>
        </w:tc>
        <w:tc>
          <w:tcPr>
            <w:tcW w:w="734" w:type="dxa"/>
            <w:tcBorders>
              <w:top w:val="nil"/>
              <w:left w:val="nil"/>
              <w:bottom w:val="single" w:sz="4" w:space="0" w:color="BFBFBF"/>
              <w:right w:val="single" w:sz="4" w:space="0" w:color="BFBFBF"/>
            </w:tcBorders>
            <w:shd w:val="clear" w:color="auto" w:fill="auto"/>
            <w:noWrap/>
            <w:vAlign w:val="center"/>
          </w:tcPr>
          <w:p w14:paraId="1D260F9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582FFEA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774C27F8"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bottom"/>
          </w:tcPr>
          <w:p w14:paraId="641E186A"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Central Highlands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19B8940"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73%</w:t>
            </w:r>
          </w:p>
        </w:tc>
        <w:tc>
          <w:tcPr>
            <w:tcW w:w="734" w:type="dxa"/>
            <w:tcBorders>
              <w:top w:val="nil"/>
              <w:left w:val="nil"/>
              <w:bottom w:val="single" w:sz="4" w:space="0" w:color="BFBFBF"/>
              <w:right w:val="single" w:sz="4" w:space="0" w:color="BFBFBF"/>
            </w:tcBorders>
            <w:shd w:val="clear" w:color="auto" w:fill="auto"/>
            <w:noWrap/>
            <w:vAlign w:val="center"/>
          </w:tcPr>
          <w:p w14:paraId="76ED47E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7ED035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single" w:sz="4" w:space="0" w:color="BFBFBF"/>
            </w:tcBorders>
            <w:shd w:val="clear" w:color="auto" w:fill="auto"/>
            <w:noWrap/>
            <w:vAlign w:val="center"/>
          </w:tcPr>
          <w:p w14:paraId="2AA551DC"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23421C12"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A3BAC6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nil"/>
            </w:tcBorders>
            <w:shd w:val="clear" w:color="auto" w:fill="auto"/>
            <w:noWrap/>
            <w:vAlign w:val="center"/>
          </w:tcPr>
          <w:p w14:paraId="1E51479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2F34BF87"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15A47D0E" w14:textId="58087AE7"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317,019</w:t>
            </w:r>
          </w:p>
        </w:tc>
        <w:tc>
          <w:tcPr>
            <w:tcW w:w="706" w:type="dxa"/>
            <w:tcBorders>
              <w:top w:val="nil"/>
              <w:left w:val="nil"/>
              <w:bottom w:val="single" w:sz="4" w:space="0" w:color="BFBFBF"/>
              <w:right w:val="single" w:sz="4" w:space="0" w:color="BFBFBF"/>
            </w:tcBorders>
            <w:shd w:val="clear" w:color="auto" w:fill="auto"/>
            <w:noWrap/>
            <w:vAlign w:val="center"/>
          </w:tcPr>
          <w:p w14:paraId="625E41D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95" w:type="dxa"/>
            <w:tcBorders>
              <w:top w:val="nil"/>
              <w:left w:val="nil"/>
              <w:bottom w:val="single" w:sz="4" w:space="0" w:color="BFBFBF"/>
              <w:right w:val="single" w:sz="4" w:space="0" w:color="auto"/>
            </w:tcBorders>
            <w:shd w:val="clear" w:color="auto" w:fill="auto"/>
            <w:noWrap/>
            <w:vAlign w:val="center"/>
          </w:tcPr>
          <w:p w14:paraId="551111C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AE3C102" w14:textId="0BCD703F"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1,272</w:t>
            </w:r>
          </w:p>
        </w:tc>
        <w:tc>
          <w:tcPr>
            <w:tcW w:w="734" w:type="dxa"/>
            <w:tcBorders>
              <w:top w:val="nil"/>
              <w:left w:val="nil"/>
              <w:bottom w:val="single" w:sz="4" w:space="0" w:color="BFBFBF"/>
              <w:right w:val="single" w:sz="4" w:space="0" w:color="BFBFBF"/>
            </w:tcBorders>
            <w:shd w:val="clear" w:color="auto" w:fill="auto"/>
            <w:noWrap/>
            <w:vAlign w:val="center"/>
          </w:tcPr>
          <w:p w14:paraId="5E7028A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double" w:sz="6" w:space="0" w:color="auto"/>
            </w:tcBorders>
            <w:shd w:val="clear" w:color="auto" w:fill="auto"/>
            <w:noWrap/>
            <w:vAlign w:val="center"/>
          </w:tcPr>
          <w:p w14:paraId="0FD4F1C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r>
      <w:tr w:rsidR="00485DCA" w:rsidRPr="00DB6DAB" w14:paraId="0DA40B50"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3FA65CA4" w14:textId="77777777" w:rsidR="00485DCA" w:rsidRPr="00DB6DAB" w:rsidRDefault="00485DCA"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By Concession Status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C3CC9AE"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3120AB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163163D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center"/>
          </w:tcPr>
          <w:p w14:paraId="7FD0482E"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746E106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3D7958C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nil"/>
            </w:tcBorders>
            <w:shd w:val="clear" w:color="auto" w:fill="auto"/>
            <w:noWrap/>
            <w:vAlign w:val="center"/>
          </w:tcPr>
          <w:p w14:paraId="734EA34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2ADAB95B"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nil"/>
              <w:bottom w:val="single" w:sz="4" w:space="0" w:color="BFBFBF"/>
              <w:right w:val="single" w:sz="4" w:space="0" w:color="BFBFBF"/>
            </w:tcBorders>
            <w:shd w:val="clear" w:color="auto" w:fill="auto"/>
            <w:noWrap/>
            <w:vAlign w:val="bottom"/>
          </w:tcPr>
          <w:p w14:paraId="24059487" w14:textId="702A6DDC"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 </w:t>
            </w:r>
          </w:p>
        </w:tc>
        <w:tc>
          <w:tcPr>
            <w:tcW w:w="706" w:type="dxa"/>
            <w:tcBorders>
              <w:top w:val="nil"/>
              <w:left w:val="nil"/>
              <w:bottom w:val="single" w:sz="4" w:space="0" w:color="BFBFBF"/>
              <w:right w:val="single" w:sz="4" w:space="0" w:color="BFBFBF"/>
            </w:tcBorders>
            <w:shd w:val="clear" w:color="auto" w:fill="auto"/>
            <w:noWrap/>
            <w:vAlign w:val="center"/>
          </w:tcPr>
          <w:p w14:paraId="051FC8E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nil"/>
              <w:bottom w:val="single" w:sz="4" w:space="0" w:color="BFBFBF"/>
              <w:right w:val="single" w:sz="4" w:space="0" w:color="auto"/>
            </w:tcBorders>
            <w:shd w:val="clear" w:color="auto" w:fill="auto"/>
            <w:noWrap/>
            <w:vAlign w:val="center"/>
          </w:tcPr>
          <w:p w14:paraId="2F6BE35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58FC959B" w14:textId="3D0A537B"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734" w:type="dxa"/>
            <w:tcBorders>
              <w:top w:val="nil"/>
              <w:left w:val="nil"/>
              <w:bottom w:val="single" w:sz="4" w:space="0" w:color="BFBFBF"/>
              <w:right w:val="single" w:sz="4" w:space="0" w:color="BFBFBF"/>
            </w:tcBorders>
            <w:shd w:val="clear" w:color="auto" w:fill="auto"/>
            <w:noWrap/>
            <w:vAlign w:val="center"/>
          </w:tcPr>
          <w:p w14:paraId="6D044CD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59041B9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r>
      <w:tr w:rsidR="00485DCA" w:rsidRPr="00DB6DAB" w14:paraId="2F8579A8"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952B528"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Aged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4FCA91B"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0BF0480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auto"/>
            </w:tcBorders>
            <w:shd w:val="clear" w:color="auto" w:fill="auto"/>
            <w:noWrap/>
            <w:vAlign w:val="center"/>
          </w:tcPr>
          <w:p w14:paraId="1C07F88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88%</w:t>
            </w:r>
          </w:p>
        </w:tc>
        <w:tc>
          <w:tcPr>
            <w:tcW w:w="617" w:type="dxa"/>
            <w:tcBorders>
              <w:top w:val="nil"/>
              <w:left w:val="nil"/>
              <w:bottom w:val="single" w:sz="4" w:space="0" w:color="BFBFBF"/>
              <w:right w:val="single" w:sz="4" w:space="0" w:color="BFBFBF"/>
            </w:tcBorders>
            <w:shd w:val="clear" w:color="auto" w:fill="auto"/>
            <w:noWrap/>
            <w:vAlign w:val="center"/>
          </w:tcPr>
          <w:p w14:paraId="78D53D09"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w:t>
            </w:r>
          </w:p>
        </w:tc>
        <w:tc>
          <w:tcPr>
            <w:tcW w:w="734" w:type="dxa"/>
            <w:tcBorders>
              <w:top w:val="nil"/>
              <w:left w:val="nil"/>
              <w:bottom w:val="single" w:sz="4" w:space="0" w:color="BFBFBF"/>
              <w:right w:val="single" w:sz="4" w:space="0" w:color="BFBFBF"/>
            </w:tcBorders>
            <w:shd w:val="clear" w:color="auto" w:fill="auto"/>
            <w:noWrap/>
            <w:vAlign w:val="center"/>
          </w:tcPr>
          <w:p w14:paraId="279369B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5D4C986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w:t>
            </w:r>
          </w:p>
        </w:tc>
        <w:tc>
          <w:tcPr>
            <w:tcW w:w="734" w:type="dxa"/>
            <w:tcBorders>
              <w:top w:val="nil"/>
              <w:left w:val="nil"/>
              <w:bottom w:val="single" w:sz="4" w:space="0" w:color="BFBFBF"/>
              <w:right w:val="nil"/>
            </w:tcBorders>
            <w:shd w:val="clear" w:color="auto" w:fill="auto"/>
            <w:noWrap/>
            <w:vAlign w:val="center"/>
          </w:tcPr>
          <w:p w14:paraId="5E7EB2D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92%</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3D9F56F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25,554</w:t>
            </w:r>
          </w:p>
        </w:tc>
        <w:tc>
          <w:tcPr>
            <w:tcW w:w="795" w:type="dxa"/>
            <w:tcBorders>
              <w:top w:val="nil"/>
              <w:left w:val="nil"/>
              <w:bottom w:val="single" w:sz="4" w:space="0" w:color="BFBFBF"/>
              <w:right w:val="single" w:sz="4" w:space="0" w:color="BFBFBF"/>
            </w:tcBorders>
            <w:shd w:val="clear" w:color="auto" w:fill="auto"/>
            <w:noWrap/>
            <w:vAlign w:val="bottom"/>
          </w:tcPr>
          <w:p w14:paraId="24D732EB" w14:textId="0077D72D"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477,633</w:t>
            </w:r>
          </w:p>
        </w:tc>
        <w:tc>
          <w:tcPr>
            <w:tcW w:w="706" w:type="dxa"/>
            <w:tcBorders>
              <w:top w:val="nil"/>
              <w:left w:val="nil"/>
              <w:bottom w:val="single" w:sz="4" w:space="0" w:color="BFBFBF"/>
              <w:right w:val="single" w:sz="4" w:space="0" w:color="BFBFBF"/>
            </w:tcBorders>
            <w:shd w:val="clear" w:color="auto" w:fill="auto"/>
            <w:noWrap/>
            <w:vAlign w:val="center"/>
          </w:tcPr>
          <w:p w14:paraId="6EC9334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19,351</w:t>
            </w:r>
          </w:p>
        </w:tc>
        <w:tc>
          <w:tcPr>
            <w:tcW w:w="795" w:type="dxa"/>
            <w:tcBorders>
              <w:top w:val="nil"/>
              <w:left w:val="nil"/>
              <w:bottom w:val="single" w:sz="4" w:space="0" w:color="BFBFBF"/>
              <w:right w:val="single" w:sz="4" w:space="0" w:color="auto"/>
            </w:tcBorders>
            <w:shd w:val="clear" w:color="auto" w:fill="auto"/>
            <w:noWrap/>
            <w:vAlign w:val="center"/>
          </w:tcPr>
          <w:p w14:paraId="37C0A60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284,640</w:t>
            </w:r>
          </w:p>
        </w:tc>
        <w:tc>
          <w:tcPr>
            <w:tcW w:w="734" w:type="dxa"/>
            <w:tcBorders>
              <w:top w:val="nil"/>
              <w:left w:val="nil"/>
              <w:bottom w:val="single" w:sz="4" w:space="0" w:color="BFBFBF"/>
              <w:right w:val="single" w:sz="4" w:space="0" w:color="BFBFBF"/>
            </w:tcBorders>
            <w:shd w:val="clear" w:color="auto" w:fill="auto"/>
            <w:noWrap/>
            <w:vAlign w:val="center"/>
          </w:tcPr>
          <w:p w14:paraId="74AD0FDC" w14:textId="13E3959B"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1,257</w:t>
            </w:r>
          </w:p>
        </w:tc>
        <w:tc>
          <w:tcPr>
            <w:tcW w:w="734" w:type="dxa"/>
            <w:tcBorders>
              <w:top w:val="nil"/>
              <w:left w:val="nil"/>
              <w:bottom w:val="single" w:sz="4" w:space="0" w:color="BFBFBF"/>
              <w:right w:val="single" w:sz="4" w:space="0" w:color="BFBFBF"/>
            </w:tcBorders>
            <w:shd w:val="clear" w:color="auto" w:fill="auto"/>
            <w:noWrap/>
            <w:vAlign w:val="center"/>
          </w:tcPr>
          <w:p w14:paraId="2E465E2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773</w:t>
            </w:r>
          </w:p>
        </w:tc>
        <w:tc>
          <w:tcPr>
            <w:tcW w:w="734" w:type="dxa"/>
            <w:tcBorders>
              <w:top w:val="nil"/>
              <w:left w:val="nil"/>
              <w:bottom w:val="single" w:sz="4" w:space="0" w:color="BFBFBF"/>
              <w:right w:val="double" w:sz="6" w:space="0" w:color="auto"/>
            </w:tcBorders>
            <w:shd w:val="clear" w:color="auto" w:fill="auto"/>
            <w:noWrap/>
            <w:vAlign w:val="center"/>
          </w:tcPr>
          <w:p w14:paraId="5C9732D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520</w:t>
            </w:r>
          </w:p>
        </w:tc>
      </w:tr>
      <w:tr w:rsidR="00485DCA" w:rsidRPr="00DB6DAB" w14:paraId="3E3A8B16"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2E98F3EE"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Other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CD2B965"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57%</w:t>
            </w:r>
          </w:p>
        </w:tc>
        <w:tc>
          <w:tcPr>
            <w:tcW w:w="734" w:type="dxa"/>
            <w:tcBorders>
              <w:top w:val="nil"/>
              <w:left w:val="nil"/>
              <w:bottom w:val="single" w:sz="4" w:space="0" w:color="BFBFBF"/>
              <w:right w:val="single" w:sz="4" w:space="0" w:color="BFBFBF"/>
            </w:tcBorders>
            <w:shd w:val="clear" w:color="auto" w:fill="auto"/>
            <w:noWrap/>
            <w:vAlign w:val="center"/>
          </w:tcPr>
          <w:p w14:paraId="7B1F198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52%</w:t>
            </w:r>
          </w:p>
        </w:tc>
        <w:tc>
          <w:tcPr>
            <w:tcW w:w="734" w:type="dxa"/>
            <w:tcBorders>
              <w:top w:val="nil"/>
              <w:left w:val="nil"/>
              <w:bottom w:val="single" w:sz="4" w:space="0" w:color="BFBFBF"/>
              <w:right w:val="single" w:sz="4" w:space="0" w:color="auto"/>
            </w:tcBorders>
            <w:shd w:val="clear" w:color="auto" w:fill="auto"/>
            <w:noWrap/>
            <w:vAlign w:val="center"/>
          </w:tcPr>
          <w:p w14:paraId="7324297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58%</w:t>
            </w:r>
          </w:p>
        </w:tc>
        <w:tc>
          <w:tcPr>
            <w:tcW w:w="617" w:type="dxa"/>
            <w:tcBorders>
              <w:top w:val="nil"/>
              <w:left w:val="nil"/>
              <w:bottom w:val="single" w:sz="4" w:space="0" w:color="BFBFBF"/>
              <w:right w:val="single" w:sz="4" w:space="0" w:color="BFBFBF"/>
            </w:tcBorders>
            <w:shd w:val="clear" w:color="auto" w:fill="auto"/>
            <w:noWrap/>
            <w:vAlign w:val="center"/>
          </w:tcPr>
          <w:p w14:paraId="4D577BCB"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w:t>
            </w:r>
          </w:p>
        </w:tc>
        <w:tc>
          <w:tcPr>
            <w:tcW w:w="734" w:type="dxa"/>
            <w:tcBorders>
              <w:top w:val="nil"/>
              <w:left w:val="nil"/>
              <w:bottom w:val="single" w:sz="4" w:space="0" w:color="BFBFBF"/>
              <w:right w:val="single" w:sz="4" w:space="0" w:color="BFBFBF"/>
            </w:tcBorders>
            <w:shd w:val="clear" w:color="auto" w:fill="auto"/>
            <w:noWrap/>
            <w:vAlign w:val="center"/>
          </w:tcPr>
          <w:p w14:paraId="3034F230"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BFBFBF"/>
            </w:tcBorders>
            <w:shd w:val="clear" w:color="auto" w:fill="auto"/>
            <w:noWrap/>
            <w:vAlign w:val="center"/>
          </w:tcPr>
          <w:p w14:paraId="7A3BF44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w:t>
            </w:r>
          </w:p>
        </w:tc>
        <w:tc>
          <w:tcPr>
            <w:tcW w:w="734" w:type="dxa"/>
            <w:tcBorders>
              <w:top w:val="nil"/>
              <w:left w:val="nil"/>
              <w:bottom w:val="single" w:sz="4" w:space="0" w:color="BFBFBF"/>
              <w:right w:val="nil"/>
            </w:tcBorders>
            <w:shd w:val="clear" w:color="auto" w:fill="auto"/>
            <w:noWrap/>
            <w:vAlign w:val="center"/>
          </w:tcPr>
          <w:p w14:paraId="6918182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90%</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5C632C1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20,950</w:t>
            </w:r>
          </w:p>
        </w:tc>
        <w:tc>
          <w:tcPr>
            <w:tcW w:w="795" w:type="dxa"/>
            <w:tcBorders>
              <w:top w:val="nil"/>
              <w:left w:val="nil"/>
              <w:bottom w:val="single" w:sz="4" w:space="0" w:color="BFBFBF"/>
              <w:right w:val="single" w:sz="4" w:space="0" w:color="BFBFBF"/>
            </w:tcBorders>
            <w:shd w:val="clear" w:color="auto" w:fill="auto"/>
            <w:noWrap/>
            <w:vAlign w:val="bottom"/>
          </w:tcPr>
          <w:p w14:paraId="63A04B38" w14:textId="16595ADF"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375,115</w:t>
            </w:r>
          </w:p>
        </w:tc>
        <w:tc>
          <w:tcPr>
            <w:tcW w:w="706" w:type="dxa"/>
            <w:tcBorders>
              <w:top w:val="nil"/>
              <w:left w:val="nil"/>
              <w:bottom w:val="single" w:sz="4" w:space="0" w:color="BFBFBF"/>
              <w:right w:val="single" w:sz="4" w:space="0" w:color="BFBFBF"/>
            </w:tcBorders>
            <w:shd w:val="clear" w:color="auto" w:fill="auto"/>
            <w:noWrap/>
            <w:vAlign w:val="center"/>
          </w:tcPr>
          <w:p w14:paraId="177298C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13,931</w:t>
            </w:r>
          </w:p>
        </w:tc>
        <w:tc>
          <w:tcPr>
            <w:tcW w:w="795" w:type="dxa"/>
            <w:tcBorders>
              <w:top w:val="nil"/>
              <w:left w:val="nil"/>
              <w:bottom w:val="single" w:sz="4" w:space="0" w:color="BFBFBF"/>
              <w:right w:val="single" w:sz="4" w:space="0" w:color="auto"/>
            </w:tcBorders>
            <w:shd w:val="clear" w:color="auto" w:fill="auto"/>
            <w:noWrap/>
            <w:vAlign w:val="center"/>
          </w:tcPr>
          <w:p w14:paraId="225B162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261,160</w:t>
            </w:r>
          </w:p>
        </w:tc>
        <w:tc>
          <w:tcPr>
            <w:tcW w:w="734" w:type="dxa"/>
            <w:tcBorders>
              <w:top w:val="nil"/>
              <w:left w:val="nil"/>
              <w:bottom w:val="single" w:sz="4" w:space="0" w:color="BFBFBF"/>
              <w:right w:val="single" w:sz="4" w:space="0" w:color="BFBFBF"/>
            </w:tcBorders>
            <w:shd w:val="clear" w:color="auto" w:fill="auto"/>
            <w:noWrap/>
            <w:vAlign w:val="center"/>
          </w:tcPr>
          <w:p w14:paraId="1B6DC18B" w14:textId="195C2F1A"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1,135</w:t>
            </w:r>
          </w:p>
        </w:tc>
        <w:tc>
          <w:tcPr>
            <w:tcW w:w="734" w:type="dxa"/>
            <w:tcBorders>
              <w:top w:val="nil"/>
              <w:left w:val="nil"/>
              <w:bottom w:val="single" w:sz="4" w:space="0" w:color="BFBFBF"/>
              <w:right w:val="single" w:sz="4" w:space="0" w:color="BFBFBF"/>
            </w:tcBorders>
            <w:shd w:val="clear" w:color="auto" w:fill="auto"/>
            <w:noWrap/>
            <w:vAlign w:val="center"/>
          </w:tcPr>
          <w:p w14:paraId="5CA6B02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711</w:t>
            </w:r>
          </w:p>
        </w:tc>
        <w:tc>
          <w:tcPr>
            <w:tcW w:w="734" w:type="dxa"/>
            <w:tcBorders>
              <w:top w:val="nil"/>
              <w:left w:val="nil"/>
              <w:bottom w:val="single" w:sz="4" w:space="0" w:color="BFBFBF"/>
              <w:right w:val="double" w:sz="6" w:space="0" w:color="auto"/>
            </w:tcBorders>
            <w:shd w:val="clear" w:color="auto" w:fill="auto"/>
            <w:noWrap/>
            <w:vAlign w:val="center"/>
          </w:tcPr>
          <w:p w14:paraId="01C002D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552</w:t>
            </w:r>
          </w:p>
        </w:tc>
      </w:tr>
      <w:tr w:rsidR="00485DCA" w:rsidRPr="00DB6DAB" w14:paraId="3EDB7A5E" w14:textId="77777777" w:rsidTr="00004C2B">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66F6AAAD"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Total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FFE9DF8"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71%</w:t>
            </w:r>
          </w:p>
        </w:tc>
        <w:tc>
          <w:tcPr>
            <w:tcW w:w="734" w:type="dxa"/>
            <w:tcBorders>
              <w:top w:val="nil"/>
              <w:left w:val="nil"/>
              <w:bottom w:val="single" w:sz="4" w:space="0" w:color="BFBFBF"/>
              <w:right w:val="single" w:sz="4" w:space="0" w:color="BFBFBF"/>
            </w:tcBorders>
            <w:shd w:val="clear" w:color="auto" w:fill="auto"/>
            <w:noWrap/>
            <w:vAlign w:val="center"/>
          </w:tcPr>
          <w:p w14:paraId="05FEF4E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70%</w:t>
            </w:r>
          </w:p>
        </w:tc>
        <w:tc>
          <w:tcPr>
            <w:tcW w:w="734" w:type="dxa"/>
            <w:tcBorders>
              <w:top w:val="nil"/>
              <w:left w:val="nil"/>
              <w:bottom w:val="single" w:sz="4" w:space="0" w:color="BFBFBF"/>
              <w:right w:val="single" w:sz="4" w:space="0" w:color="auto"/>
            </w:tcBorders>
            <w:shd w:val="clear" w:color="auto" w:fill="auto"/>
            <w:noWrap/>
            <w:vAlign w:val="center"/>
          </w:tcPr>
          <w:p w14:paraId="2105480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73%</w:t>
            </w:r>
          </w:p>
        </w:tc>
        <w:tc>
          <w:tcPr>
            <w:tcW w:w="617" w:type="dxa"/>
            <w:tcBorders>
              <w:top w:val="nil"/>
              <w:left w:val="nil"/>
              <w:bottom w:val="single" w:sz="4" w:space="0" w:color="BFBFBF"/>
              <w:right w:val="single" w:sz="4" w:space="0" w:color="BFBFBF"/>
            </w:tcBorders>
            <w:shd w:val="clear" w:color="auto" w:fill="auto"/>
            <w:noWrap/>
            <w:vAlign w:val="center"/>
          </w:tcPr>
          <w:p w14:paraId="62A8609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w:t>
            </w:r>
          </w:p>
        </w:tc>
        <w:tc>
          <w:tcPr>
            <w:tcW w:w="734" w:type="dxa"/>
            <w:tcBorders>
              <w:top w:val="nil"/>
              <w:left w:val="nil"/>
              <w:bottom w:val="single" w:sz="4" w:space="0" w:color="BFBFBF"/>
              <w:right w:val="single" w:sz="4" w:space="0" w:color="BFBFBF"/>
            </w:tcBorders>
            <w:shd w:val="clear" w:color="auto" w:fill="auto"/>
            <w:noWrap/>
            <w:vAlign w:val="center"/>
          </w:tcPr>
          <w:p w14:paraId="708FA32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5173F95F"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w:t>
            </w:r>
          </w:p>
        </w:tc>
        <w:tc>
          <w:tcPr>
            <w:tcW w:w="734" w:type="dxa"/>
            <w:tcBorders>
              <w:top w:val="nil"/>
              <w:left w:val="nil"/>
              <w:bottom w:val="single" w:sz="4" w:space="0" w:color="BFBFBF"/>
              <w:right w:val="nil"/>
            </w:tcBorders>
            <w:shd w:val="clear" w:color="auto" w:fill="auto"/>
            <w:noWrap/>
            <w:vAlign w:val="center"/>
          </w:tcPr>
          <w:p w14:paraId="69328D7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91%</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536949B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23,563</w:t>
            </w:r>
          </w:p>
        </w:tc>
        <w:tc>
          <w:tcPr>
            <w:tcW w:w="795" w:type="dxa"/>
            <w:tcBorders>
              <w:top w:val="nil"/>
              <w:left w:val="nil"/>
              <w:bottom w:val="single" w:sz="4" w:space="0" w:color="BFBFBF"/>
              <w:right w:val="single" w:sz="4" w:space="0" w:color="BFBFBF"/>
            </w:tcBorders>
            <w:shd w:val="clear" w:color="auto" w:fill="auto"/>
            <w:noWrap/>
            <w:vAlign w:val="bottom"/>
          </w:tcPr>
          <w:p w14:paraId="093EFD7B" w14:textId="7BB35B3D"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436,221</w:t>
            </w:r>
          </w:p>
        </w:tc>
        <w:tc>
          <w:tcPr>
            <w:tcW w:w="706" w:type="dxa"/>
            <w:tcBorders>
              <w:top w:val="nil"/>
              <w:left w:val="nil"/>
              <w:bottom w:val="single" w:sz="4" w:space="0" w:color="BFBFBF"/>
              <w:right w:val="single" w:sz="4" w:space="0" w:color="BFBFBF"/>
            </w:tcBorders>
            <w:shd w:val="clear" w:color="auto" w:fill="auto"/>
            <w:noWrap/>
            <w:vAlign w:val="center"/>
          </w:tcPr>
          <w:p w14:paraId="508F0A0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17,237</w:t>
            </w:r>
          </w:p>
        </w:tc>
        <w:tc>
          <w:tcPr>
            <w:tcW w:w="795" w:type="dxa"/>
            <w:tcBorders>
              <w:top w:val="nil"/>
              <w:left w:val="nil"/>
              <w:bottom w:val="single" w:sz="4" w:space="0" w:color="BFBFBF"/>
              <w:right w:val="single" w:sz="4" w:space="0" w:color="auto"/>
            </w:tcBorders>
            <w:shd w:val="clear" w:color="auto" w:fill="auto"/>
            <w:noWrap/>
            <w:vAlign w:val="center"/>
          </w:tcPr>
          <w:p w14:paraId="1A80D78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276,390</w:t>
            </w:r>
          </w:p>
        </w:tc>
        <w:tc>
          <w:tcPr>
            <w:tcW w:w="734" w:type="dxa"/>
            <w:tcBorders>
              <w:top w:val="nil"/>
              <w:left w:val="nil"/>
              <w:bottom w:val="single" w:sz="4" w:space="0" w:color="BFBFBF"/>
              <w:right w:val="single" w:sz="4" w:space="0" w:color="BFBFBF"/>
            </w:tcBorders>
            <w:shd w:val="clear" w:color="auto" w:fill="auto"/>
            <w:noWrap/>
            <w:vAlign w:val="center"/>
          </w:tcPr>
          <w:p w14:paraId="5BD860B4" w14:textId="6FB03058"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1,209</w:t>
            </w:r>
          </w:p>
        </w:tc>
        <w:tc>
          <w:tcPr>
            <w:tcW w:w="734" w:type="dxa"/>
            <w:tcBorders>
              <w:top w:val="nil"/>
              <w:left w:val="nil"/>
              <w:bottom w:val="single" w:sz="4" w:space="0" w:color="BFBFBF"/>
              <w:right w:val="single" w:sz="4" w:space="0" w:color="BFBFBF"/>
            </w:tcBorders>
            <w:shd w:val="clear" w:color="auto" w:fill="auto"/>
            <w:noWrap/>
            <w:vAlign w:val="center"/>
          </w:tcPr>
          <w:p w14:paraId="1702C85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751</w:t>
            </w:r>
          </w:p>
        </w:tc>
        <w:tc>
          <w:tcPr>
            <w:tcW w:w="734" w:type="dxa"/>
            <w:tcBorders>
              <w:top w:val="nil"/>
              <w:left w:val="nil"/>
              <w:bottom w:val="single" w:sz="4" w:space="0" w:color="BFBFBF"/>
              <w:right w:val="double" w:sz="6" w:space="0" w:color="auto"/>
            </w:tcBorders>
            <w:shd w:val="clear" w:color="auto" w:fill="auto"/>
            <w:noWrap/>
            <w:vAlign w:val="center"/>
          </w:tcPr>
          <w:p w14:paraId="60CD4BA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532</w:t>
            </w:r>
          </w:p>
        </w:tc>
      </w:tr>
      <w:tr w:rsidR="00485DCA" w:rsidRPr="00DB6DAB" w14:paraId="12696879" w14:textId="77777777" w:rsidTr="00004C2B">
        <w:trPr>
          <w:trHeight w:val="225"/>
          <w:jc w:val="center"/>
        </w:trPr>
        <w:tc>
          <w:tcPr>
            <w:tcW w:w="2575" w:type="dxa"/>
            <w:tcBorders>
              <w:top w:val="single" w:sz="4" w:space="0" w:color="BFBFBF"/>
              <w:left w:val="double" w:sz="6" w:space="0" w:color="auto"/>
              <w:bottom w:val="double" w:sz="4" w:space="0" w:color="auto"/>
              <w:right w:val="nil"/>
            </w:tcBorders>
            <w:shd w:val="clear" w:color="auto" w:fill="auto"/>
            <w:noWrap/>
            <w:vAlign w:val="center"/>
          </w:tcPr>
          <w:p w14:paraId="04F22CF0"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Non-Concession HHs</w:t>
            </w:r>
          </w:p>
        </w:tc>
        <w:tc>
          <w:tcPr>
            <w:tcW w:w="734"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59B29CEC"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87%</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343AEA3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83%</w:t>
            </w:r>
          </w:p>
        </w:tc>
        <w:tc>
          <w:tcPr>
            <w:tcW w:w="734" w:type="dxa"/>
            <w:tcBorders>
              <w:top w:val="single" w:sz="4" w:space="0" w:color="BFBFBF"/>
              <w:left w:val="nil"/>
              <w:bottom w:val="double" w:sz="4" w:space="0" w:color="auto"/>
              <w:right w:val="single" w:sz="4" w:space="0" w:color="auto"/>
            </w:tcBorders>
            <w:shd w:val="clear" w:color="auto" w:fill="auto"/>
            <w:noWrap/>
            <w:vAlign w:val="center"/>
          </w:tcPr>
          <w:p w14:paraId="5339249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84%</w:t>
            </w:r>
          </w:p>
        </w:tc>
        <w:tc>
          <w:tcPr>
            <w:tcW w:w="617" w:type="dxa"/>
            <w:tcBorders>
              <w:top w:val="single" w:sz="4" w:space="0" w:color="BFBFBF"/>
              <w:left w:val="nil"/>
              <w:bottom w:val="double" w:sz="4" w:space="0" w:color="auto"/>
              <w:right w:val="single" w:sz="4" w:space="0" w:color="BFBFBF"/>
            </w:tcBorders>
            <w:shd w:val="clear" w:color="auto" w:fill="auto"/>
            <w:noWrap/>
            <w:vAlign w:val="center"/>
          </w:tcPr>
          <w:p w14:paraId="523C928F"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78CF6784"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91%</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47C31E8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w:t>
            </w:r>
          </w:p>
        </w:tc>
        <w:tc>
          <w:tcPr>
            <w:tcW w:w="734" w:type="dxa"/>
            <w:tcBorders>
              <w:top w:val="single" w:sz="4" w:space="0" w:color="BFBFBF"/>
              <w:left w:val="nil"/>
              <w:bottom w:val="double" w:sz="4" w:space="0" w:color="auto"/>
              <w:right w:val="nil"/>
            </w:tcBorders>
            <w:shd w:val="clear" w:color="auto" w:fill="auto"/>
            <w:noWrap/>
            <w:vAlign w:val="center"/>
          </w:tcPr>
          <w:p w14:paraId="2377DAC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91%</w:t>
            </w:r>
          </w:p>
        </w:tc>
        <w:tc>
          <w:tcPr>
            <w:tcW w:w="795"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48107F59" w14:textId="22700821" w:rsidR="00485DCA" w:rsidRPr="00DB6DAB" w:rsidRDefault="00485DCA" w:rsidP="00485DCA">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31,</w:t>
            </w:r>
            <w:r>
              <w:rPr>
                <w:rFonts w:ascii="Arial" w:hAnsi="Arial" w:cs="Arial"/>
                <w:color w:val="000000"/>
                <w:sz w:val="16"/>
                <w:szCs w:val="16"/>
                <w:lang w:val="en-AU" w:eastAsia="en-AU"/>
              </w:rPr>
              <w:t>867</w:t>
            </w:r>
          </w:p>
        </w:tc>
        <w:tc>
          <w:tcPr>
            <w:tcW w:w="795" w:type="dxa"/>
            <w:tcBorders>
              <w:top w:val="single" w:sz="4" w:space="0" w:color="BFBFBF"/>
              <w:left w:val="nil"/>
              <w:bottom w:val="double" w:sz="4" w:space="0" w:color="auto"/>
              <w:right w:val="single" w:sz="4" w:space="0" w:color="BFBFBF"/>
            </w:tcBorders>
            <w:shd w:val="clear" w:color="auto" w:fill="auto"/>
            <w:noWrap/>
            <w:vAlign w:val="bottom"/>
          </w:tcPr>
          <w:p w14:paraId="3BF2539F" w14:textId="2BF4F7B9"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524,349</w:t>
            </w:r>
          </w:p>
        </w:tc>
        <w:tc>
          <w:tcPr>
            <w:tcW w:w="706" w:type="dxa"/>
            <w:tcBorders>
              <w:top w:val="single" w:sz="4" w:space="0" w:color="BFBFBF"/>
              <w:left w:val="nil"/>
              <w:bottom w:val="double" w:sz="4" w:space="0" w:color="auto"/>
              <w:right w:val="single" w:sz="4" w:space="0" w:color="BFBFBF"/>
            </w:tcBorders>
            <w:shd w:val="clear" w:color="auto" w:fill="auto"/>
            <w:noWrap/>
            <w:vAlign w:val="center"/>
          </w:tcPr>
          <w:p w14:paraId="5A7ECFE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30,483</w:t>
            </w:r>
          </w:p>
        </w:tc>
        <w:tc>
          <w:tcPr>
            <w:tcW w:w="795" w:type="dxa"/>
            <w:tcBorders>
              <w:top w:val="single" w:sz="4" w:space="0" w:color="BFBFBF"/>
              <w:left w:val="nil"/>
              <w:bottom w:val="double" w:sz="4" w:space="0" w:color="auto"/>
              <w:right w:val="single" w:sz="4" w:space="0" w:color="auto"/>
            </w:tcBorders>
            <w:shd w:val="clear" w:color="auto" w:fill="auto"/>
            <w:noWrap/>
            <w:vAlign w:val="center"/>
          </w:tcPr>
          <w:p w14:paraId="4DF9D1C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356,420</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03F11CAE" w14:textId="692F4FB4"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1,405</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53E5F5D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927</w:t>
            </w:r>
          </w:p>
        </w:tc>
        <w:tc>
          <w:tcPr>
            <w:tcW w:w="734" w:type="dxa"/>
            <w:tcBorders>
              <w:top w:val="single" w:sz="4" w:space="0" w:color="BFBFBF"/>
              <w:left w:val="nil"/>
              <w:bottom w:val="double" w:sz="4" w:space="0" w:color="auto"/>
              <w:right w:val="double" w:sz="6" w:space="0" w:color="auto"/>
            </w:tcBorders>
            <w:shd w:val="clear" w:color="auto" w:fill="auto"/>
            <w:noWrap/>
            <w:vAlign w:val="center"/>
          </w:tcPr>
          <w:p w14:paraId="3814D62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636</w:t>
            </w:r>
          </w:p>
        </w:tc>
      </w:tr>
      <w:tr w:rsidR="00485DCA" w:rsidRPr="00DB6DAB" w14:paraId="00F0E7FB" w14:textId="77777777" w:rsidTr="006364BB">
        <w:trPr>
          <w:trHeight w:val="225"/>
          <w:jc w:val="center"/>
        </w:trPr>
        <w:tc>
          <w:tcPr>
            <w:tcW w:w="2575" w:type="dxa"/>
            <w:tcBorders>
              <w:top w:val="double" w:sz="4" w:space="0" w:color="auto"/>
            </w:tcBorders>
            <w:shd w:val="clear" w:color="auto" w:fill="auto"/>
            <w:noWrap/>
            <w:vAlign w:val="center"/>
          </w:tcPr>
          <w:p w14:paraId="70D9A18D" w14:textId="77777777" w:rsidR="00485DCA" w:rsidRPr="00DB6DAB" w:rsidRDefault="00485DCA" w:rsidP="00E337BE">
            <w:pPr>
              <w:spacing w:before="0" w:after="0"/>
              <w:rPr>
                <w:rFonts w:ascii="Arial" w:hAnsi="Arial" w:cs="Arial"/>
                <w:bCs/>
                <w:color w:val="000000"/>
                <w:sz w:val="16"/>
                <w:szCs w:val="16"/>
                <w:lang w:val="en-AU" w:eastAsia="en-AU"/>
              </w:rPr>
            </w:pPr>
            <w:r w:rsidRPr="00DB6DAB">
              <w:rPr>
                <w:rFonts w:ascii="Arial" w:hAnsi="Arial" w:cs="Arial"/>
                <w:bCs/>
                <w:color w:val="000000"/>
                <w:sz w:val="16"/>
                <w:szCs w:val="16"/>
                <w:lang w:val="en-AU" w:eastAsia="en-AU"/>
              </w:rPr>
              <w:t>Continued on next page</w:t>
            </w:r>
          </w:p>
          <w:p w14:paraId="681795E2" w14:textId="77777777" w:rsidR="00485DCA" w:rsidRPr="00DB6DAB" w:rsidRDefault="00485DCA" w:rsidP="00E337BE">
            <w:pPr>
              <w:spacing w:before="0" w:after="0"/>
              <w:rPr>
                <w:rFonts w:ascii="Arial" w:hAnsi="Arial" w:cs="Arial"/>
                <w:b/>
                <w:bCs/>
                <w:color w:val="000000"/>
                <w:sz w:val="16"/>
                <w:szCs w:val="16"/>
                <w:lang w:val="en-AU" w:eastAsia="en-AU"/>
              </w:rPr>
            </w:pPr>
          </w:p>
        </w:tc>
        <w:tc>
          <w:tcPr>
            <w:tcW w:w="734" w:type="dxa"/>
            <w:tcBorders>
              <w:top w:val="double" w:sz="4" w:space="0" w:color="auto"/>
            </w:tcBorders>
            <w:shd w:val="clear" w:color="auto" w:fill="auto"/>
            <w:noWrap/>
            <w:vAlign w:val="center"/>
          </w:tcPr>
          <w:p w14:paraId="6BDDDC16"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95121CB"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788A2E80"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617" w:type="dxa"/>
            <w:tcBorders>
              <w:top w:val="double" w:sz="4" w:space="0" w:color="auto"/>
            </w:tcBorders>
            <w:shd w:val="clear" w:color="auto" w:fill="auto"/>
            <w:noWrap/>
            <w:vAlign w:val="center"/>
          </w:tcPr>
          <w:p w14:paraId="6826E8D2"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7BEB81A"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2AA981EE"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43EA620D"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95" w:type="dxa"/>
            <w:tcBorders>
              <w:top w:val="double" w:sz="4" w:space="0" w:color="auto"/>
            </w:tcBorders>
            <w:shd w:val="clear" w:color="auto" w:fill="auto"/>
            <w:noWrap/>
            <w:vAlign w:val="center"/>
          </w:tcPr>
          <w:p w14:paraId="11C0575B"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95" w:type="dxa"/>
            <w:tcBorders>
              <w:top w:val="double" w:sz="4" w:space="0" w:color="auto"/>
            </w:tcBorders>
            <w:shd w:val="clear" w:color="auto" w:fill="auto"/>
            <w:noWrap/>
            <w:vAlign w:val="center"/>
          </w:tcPr>
          <w:p w14:paraId="1AE3EE3D"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06" w:type="dxa"/>
            <w:tcBorders>
              <w:top w:val="double" w:sz="4" w:space="0" w:color="auto"/>
            </w:tcBorders>
            <w:shd w:val="clear" w:color="auto" w:fill="auto"/>
            <w:noWrap/>
            <w:vAlign w:val="center"/>
          </w:tcPr>
          <w:p w14:paraId="35376C22"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95" w:type="dxa"/>
            <w:tcBorders>
              <w:top w:val="double" w:sz="4" w:space="0" w:color="auto"/>
            </w:tcBorders>
            <w:shd w:val="clear" w:color="auto" w:fill="auto"/>
            <w:noWrap/>
            <w:vAlign w:val="center"/>
          </w:tcPr>
          <w:p w14:paraId="2A3C2341"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6021325A"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74959A4F" w14:textId="77777777" w:rsidR="00485DCA" w:rsidRPr="00DB6DAB" w:rsidRDefault="00485DCA" w:rsidP="00E337BE">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2A4DACF4" w14:textId="77777777" w:rsidR="00485DCA" w:rsidRPr="00DB6DAB" w:rsidRDefault="00485DCA" w:rsidP="00E337BE">
            <w:pPr>
              <w:spacing w:before="0" w:after="0"/>
              <w:jc w:val="center"/>
              <w:rPr>
                <w:rFonts w:ascii="Arial" w:hAnsi="Arial" w:cs="Arial"/>
                <w:color w:val="000000"/>
                <w:sz w:val="16"/>
                <w:szCs w:val="16"/>
                <w:lang w:val="en-AU" w:eastAsia="en-AU"/>
              </w:rPr>
            </w:pPr>
          </w:p>
        </w:tc>
      </w:tr>
      <w:tr w:rsidR="00485DCA" w:rsidRPr="00DB6DAB" w14:paraId="37C7C231" w14:textId="77777777" w:rsidTr="006364BB">
        <w:trPr>
          <w:trHeight w:val="225"/>
          <w:jc w:val="center"/>
        </w:trPr>
        <w:tc>
          <w:tcPr>
            <w:tcW w:w="2575" w:type="dxa"/>
            <w:tcBorders>
              <w:left w:val="double" w:sz="6" w:space="0" w:color="auto"/>
              <w:bottom w:val="single" w:sz="4" w:space="0" w:color="BFBFBF"/>
              <w:right w:val="nil"/>
            </w:tcBorders>
            <w:shd w:val="clear" w:color="auto" w:fill="auto"/>
            <w:noWrap/>
            <w:vAlign w:val="center"/>
          </w:tcPr>
          <w:p w14:paraId="35004BC5" w14:textId="77777777" w:rsidR="00485DCA" w:rsidRPr="00DB6DAB" w:rsidRDefault="00485DCA"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lastRenderedPageBreak/>
              <w:t>By Household Size -</w:t>
            </w:r>
          </w:p>
        </w:tc>
        <w:tc>
          <w:tcPr>
            <w:tcW w:w="734" w:type="dxa"/>
            <w:tcBorders>
              <w:left w:val="single" w:sz="4" w:space="0" w:color="auto"/>
              <w:bottom w:val="single" w:sz="4" w:space="0" w:color="BFBFBF"/>
              <w:right w:val="single" w:sz="4" w:space="0" w:color="BFBFBF"/>
            </w:tcBorders>
            <w:shd w:val="clear" w:color="auto" w:fill="auto"/>
            <w:noWrap/>
            <w:vAlign w:val="center"/>
          </w:tcPr>
          <w:p w14:paraId="6767984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0C49239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left w:val="nil"/>
              <w:bottom w:val="single" w:sz="4" w:space="0" w:color="BFBFBF"/>
              <w:right w:val="single" w:sz="4" w:space="0" w:color="auto"/>
            </w:tcBorders>
            <w:shd w:val="clear" w:color="auto" w:fill="auto"/>
            <w:noWrap/>
            <w:vAlign w:val="center"/>
          </w:tcPr>
          <w:p w14:paraId="6CE6059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617" w:type="dxa"/>
            <w:tcBorders>
              <w:left w:val="nil"/>
              <w:bottom w:val="single" w:sz="4" w:space="0" w:color="BFBFBF"/>
              <w:right w:val="single" w:sz="4" w:space="0" w:color="BFBFBF"/>
            </w:tcBorders>
            <w:shd w:val="clear" w:color="auto" w:fill="auto"/>
            <w:noWrap/>
            <w:vAlign w:val="center"/>
          </w:tcPr>
          <w:p w14:paraId="4F71F14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61425F9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4A5A67D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left w:val="nil"/>
              <w:bottom w:val="single" w:sz="4" w:space="0" w:color="BFBFBF"/>
              <w:right w:val="nil"/>
            </w:tcBorders>
            <w:shd w:val="clear" w:color="auto" w:fill="auto"/>
            <w:noWrap/>
            <w:vAlign w:val="center"/>
          </w:tcPr>
          <w:p w14:paraId="094F901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left w:val="single" w:sz="4" w:space="0" w:color="auto"/>
              <w:bottom w:val="single" w:sz="4" w:space="0" w:color="BFBFBF"/>
              <w:right w:val="single" w:sz="4" w:space="0" w:color="BFBFBF"/>
            </w:tcBorders>
            <w:shd w:val="clear" w:color="auto" w:fill="auto"/>
            <w:noWrap/>
            <w:vAlign w:val="center"/>
          </w:tcPr>
          <w:p w14:paraId="4C5746B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left w:val="nil"/>
              <w:bottom w:val="single" w:sz="4" w:space="0" w:color="BFBFBF"/>
              <w:right w:val="single" w:sz="4" w:space="0" w:color="BFBFBF"/>
            </w:tcBorders>
            <w:shd w:val="clear" w:color="auto" w:fill="auto"/>
            <w:noWrap/>
            <w:vAlign w:val="center"/>
          </w:tcPr>
          <w:p w14:paraId="4B402F6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06" w:type="dxa"/>
            <w:tcBorders>
              <w:left w:val="nil"/>
              <w:bottom w:val="single" w:sz="4" w:space="0" w:color="BFBFBF"/>
              <w:right w:val="single" w:sz="4" w:space="0" w:color="BFBFBF"/>
            </w:tcBorders>
            <w:shd w:val="clear" w:color="auto" w:fill="auto"/>
            <w:noWrap/>
            <w:vAlign w:val="center"/>
          </w:tcPr>
          <w:p w14:paraId="786724E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left w:val="nil"/>
              <w:bottom w:val="single" w:sz="4" w:space="0" w:color="BFBFBF"/>
              <w:right w:val="single" w:sz="4" w:space="0" w:color="auto"/>
            </w:tcBorders>
            <w:shd w:val="clear" w:color="auto" w:fill="auto"/>
            <w:noWrap/>
            <w:vAlign w:val="center"/>
          </w:tcPr>
          <w:p w14:paraId="27FEE13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7813099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left w:val="nil"/>
              <w:bottom w:val="single" w:sz="4" w:space="0" w:color="BFBFBF"/>
              <w:right w:val="single" w:sz="4" w:space="0" w:color="BFBFBF"/>
            </w:tcBorders>
            <w:shd w:val="clear" w:color="auto" w:fill="auto"/>
            <w:noWrap/>
            <w:vAlign w:val="center"/>
          </w:tcPr>
          <w:p w14:paraId="0D62F2E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left w:val="nil"/>
              <w:bottom w:val="single" w:sz="4" w:space="0" w:color="BFBFBF"/>
              <w:right w:val="double" w:sz="6" w:space="0" w:color="auto"/>
            </w:tcBorders>
            <w:shd w:val="clear" w:color="auto" w:fill="auto"/>
            <w:noWrap/>
            <w:vAlign w:val="center"/>
          </w:tcPr>
          <w:p w14:paraId="280DE2EF"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r>
      <w:tr w:rsidR="00485DCA" w:rsidRPr="00DB6DAB" w14:paraId="35887FD4" w14:textId="77777777" w:rsidTr="0074645D">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571A3B4"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1 person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3A1D1F5"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71%</w:t>
            </w:r>
          </w:p>
        </w:tc>
        <w:tc>
          <w:tcPr>
            <w:tcW w:w="734" w:type="dxa"/>
            <w:tcBorders>
              <w:top w:val="nil"/>
              <w:left w:val="nil"/>
              <w:bottom w:val="single" w:sz="4" w:space="0" w:color="BFBFBF"/>
              <w:right w:val="single" w:sz="4" w:space="0" w:color="BFBFBF"/>
            </w:tcBorders>
            <w:shd w:val="clear" w:color="auto" w:fill="auto"/>
            <w:noWrap/>
            <w:vAlign w:val="center"/>
          </w:tcPr>
          <w:p w14:paraId="22008C3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67%</w:t>
            </w:r>
          </w:p>
        </w:tc>
        <w:tc>
          <w:tcPr>
            <w:tcW w:w="734" w:type="dxa"/>
            <w:tcBorders>
              <w:top w:val="nil"/>
              <w:left w:val="nil"/>
              <w:bottom w:val="single" w:sz="4" w:space="0" w:color="BFBFBF"/>
              <w:right w:val="single" w:sz="4" w:space="0" w:color="auto"/>
            </w:tcBorders>
            <w:shd w:val="clear" w:color="auto" w:fill="auto"/>
            <w:noWrap/>
            <w:vAlign w:val="center"/>
          </w:tcPr>
          <w:p w14:paraId="0A10806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74%</w:t>
            </w:r>
          </w:p>
        </w:tc>
        <w:tc>
          <w:tcPr>
            <w:tcW w:w="617" w:type="dxa"/>
            <w:tcBorders>
              <w:top w:val="nil"/>
              <w:left w:val="nil"/>
              <w:bottom w:val="single" w:sz="4" w:space="0" w:color="BFBFBF"/>
              <w:right w:val="single" w:sz="4" w:space="0" w:color="BFBFBF"/>
            </w:tcBorders>
            <w:shd w:val="clear" w:color="auto" w:fill="auto"/>
            <w:noWrap/>
            <w:vAlign w:val="center"/>
          </w:tcPr>
          <w:p w14:paraId="361A1E59"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w:t>
            </w:r>
          </w:p>
        </w:tc>
        <w:tc>
          <w:tcPr>
            <w:tcW w:w="734" w:type="dxa"/>
            <w:tcBorders>
              <w:top w:val="nil"/>
              <w:left w:val="nil"/>
              <w:bottom w:val="single" w:sz="4" w:space="0" w:color="BFBFBF"/>
              <w:right w:val="single" w:sz="4" w:space="0" w:color="BFBFBF"/>
            </w:tcBorders>
            <w:shd w:val="clear" w:color="auto" w:fill="auto"/>
            <w:noWrap/>
            <w:vAlign w:val="center"/>
          </w:tcPr>
          <w:p w14:paraId="230B01A5"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BFBFBF"/>
            </w:tcBorders>
            <w:shd w:val="clear" w:color="auto" w:fill="auto"/>
            <w:noWrap/>
            <w:vAlign w:val="center"/>
          </w:tcPr>
          <w:p w14:paraId="784ACB1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11%</w:t>
            </w:r>
          </w:p>
        </w:tc>
        <w:tc>
          <w:tcPr>
            <w:tcW w:w="734" w:type="dxa"/>
            <w:tcBorders>
              <w:top w:val="nil"/>
              <w:left w:val="nil"/>
              <w:bottom w:val="single" w:sz="4" w:space="0" w:color="BFBFBF"/>
              <w:right w:val="nil"/>
            </w:tcBorders>
            <w:shd w:val="clear" w:color="auto" w:fill="auto"/>
            <w:noWrap/>
            <w:vAlign w:val="center"/>
          </w:tcPr>
          <w:p w14:paraId="685E1B6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89%</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7D4D32F9"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26,612</w:t>
            </w:r>
          </w:p>
        </w:tc>
        <w:tc>
          <w:tcPr>
            <w:tcW w:w="795" w:type="dxa"/>
            <w:tcBorders>
              <w:top w:val="nil"/>
              <w:left w:val="nil"/>
              <w:bottom w:val="single" w:sz="4" w:space="0" w:color="BFBFBF"/>
              <w:right w:val="single" w:sz="4" w:space="0" w:color="BFBFBF"/>
            </w:tcBorders>
            <w:shd w:val="clear" w:color="auto" w:fill="auto"/>
            <w:noWrap/>
            <w:vAlign w:val="bottom"/>
          </w:tcPr>
          <w:p w14:paraId="15A97963" w14:textId="16633F8A"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417,234</w:t>
            </w:r>
          </w:p>
        </w:tc>
        <w:tc>
          <w:tcPr>
            <w:tcW w:w="706" w:type="dxa"/>
            <w:tcBorders>
              <w:top w:val="nil"/>
              <w:left w:val="nil"/>
              <w:bottom w:val="single" w:sz="4" w:space="0" w:color="BFBFBF"/>
              <w:right w:val="single" w:sz="4" w:space="0" w:color="BFBFBF"/>
            </w:tcBorders>
            <w:shd w:val="clear" w:color="auto" w:fill="auto"/>
            <w:noWrap/>
            <w:vAlign w:val="center"/>
          </w:tcPr>
          <w:p w14:paraId="21A2996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19,605</w:t>
            </w:r>
          </w:p>
        </w:tc>
        <w:tc>
          <w:tcPr>
            <w:tcW w:w="795" w:type="dxa"/>
            <w:tcBorders>
              <w:top w:val="nil"/>
              <w:left w:val="nil"/>
              <w:bottom w:val="single" w:sz="4" w:space="0" w:color="BFBFBF"/>
              <w:right w:val="single" w:sz="4" w:space="0" w:color="auto"/>
            </w:tcBorders>
            <w:shd w:val="clear" w:color="auto" w:fill="auto"/>
            <w:noWrap/>
            <w:vAlign w:val="center"/>
          </w:tcPr>
          <w:p w14:paraId="75E4582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282,740</w:t>
            </w:r>
          </w:p>
        </w:tc>
        <w:tc>
          <w:tcPr>
            <w:tcW w:w="734" w:type="dxa"/>
            <w:tcBorders>
              <w:top w:val="nil"/>
              <w:left w:val="nil"/>
              <w:bottom w:val="single" w:sz="4" w:space="0" w:color="BFBFBF"/>
              <w:right w:val="single" w:sz="4" w:space="0" w:color="BFBFBF"/>
            </w:tcBorders>
            <w:shd w:val="clear" w:color="auto" w:fill="auto"/>
            <w:noWrap/>
            <w:vAlign w:val="center"/>
          </w:tcPr>
          <w:p w14:paraId="5417293C" w14:textId="38345EBA"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1,142</w:t>
            </w:r>
          </w:p>
        </w:tc>
        <w:tc>
          <w:tcPr>
            <w:tcW w:w="734" w:type="dxa"/>
            <w:tcBorders>
              <w:top w:val="nil"/>
              <w:left w:val="nil"/>
              <w:bottom w:val="single" w:sz="4" w:space="0" w:color="BFBFBF"/>
              <w:right w:val="single" w:sz="4" w:space="0" w:color="BFBFBF"/>
            </w:tcBorders>
            <w:shd w:val="clear" w:color="auto" w:fill="auto"/>
            <w:noWrap/>
            <w:vAlign w:val="center"/>
          </w:tcPr>
          <w:p w14:paraId="1795C4E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748</w:t>
            </w:r>
          </w:p>
        </w:tc>
        <w:tc>
          <w:tcPr>
            <w:tcW w:w="734" w:type="dxa"/>
            <w:tcBorders>
              <w:top w:val="nil"/>
              <w:left w:val="nil"/>
              <w:bottom w:val="single" w:sz="4" w:space="0" w:color="BFBFBF"/>
              <w:right w:val="double" w:sz="6" w:space="0" w:color="auto"/>
            </w:tcBorders>
            <w:shd w:val="clear" w:color="auto" w:fill="auto"/>
            <w:noWrap/>
            <w:vAlign w:val="center"/>
          </w:tcPr>
          <w:p w14:paraId="67AEBCA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500</w:t>
            </w:r>
          </w:p>
        </w:tc>
      </w:tr>
      <w:tr w:rsidR="00485DCA" w:rsidRPr="00DB6DAB" w14:paraId="60D7B42E" w14:textId="77777777" w:rsidTr="0074645D">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09CB916"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2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7756F5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BFBFBF"/>
            </w:tcBorders>
            <w:shd w:val="clear" w:color="auto" w:fill="auto"/>
            <w:noWrap/>
            <w:vAlign w:val="center"/>
          </w:tcPr>
          <w:p w14:paraId="5F3E0B9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auto"/>
            </w:tcBorders>
            <w:shd w:val="clear" w:color="auto" w:fill="auto"/>
            <w:noWrap/>
            <w:vAlign w:val="center"/>
          </w:tcPr>
          <w:p w14:paraId="6A50752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81%</w:t>
            </w:r>
          </w:p>
        </w:tc>
        <w:tc>
          <w:tcPr>
            <w:tcW w:w="617" w:type="dxa"/>
            <w:tcBorders>
              <w:top w:val="nil"/>
              <w:left w:val="nil"/>
              <w:bottom w:val="single" w:sz="4" w:space="0" w:color="BFBFBF"/>
              <w:right w:val="single" w:sz="4" w:space="0" w:color="BFBFBF"/>
            </w:tcBorders>
            <w:shd w:val="clear" w:color="auto" w:fill="auto"/>
            <w:noWrap/>
            <w:vAlign w:val="center"/>
          </w:tcPr>
          <w:p w14:paraId="2BAB4152"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w:t>
            </w:r>
          </w:p>
        </w:tc>
        <w:tc>
          <w:tcPr>
            <w:tcW w:w="734" w:type="dxa"/>
            <w:tcBorders>
              <w:top w:val="nil"/>
              <w:left w:val="nil"/>
              <w:bottom w:val="single" w:sz="4" w:space="0" w:color="BFBFBF"/>
              <w:right w:val="single" w:sz="4" w:space="0" w:color="BFBFBF"/>
            </w:tcBorders>
            <w:shd w:val="clear" w:color="auto" w:fill="auto"/>
            <w:noWrap/>
            <w:vAlign w:val="center"/>
          </w:tcPr>
          <w:p w14:paraId="63F5ACB2"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62EF148F"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w:t>
            </w:r>
          </w:p>
        </w:tc>
        <w:tc>
          <w:tcPr>
            <w:tcW w:w="734" w:type="dxa"/>
            <w:tcBorders>
              <w:top w:val="nil"/>
              <w:left w:val="nil"/>
              <w:bottom w:val="single" w:sz="4" w:space="0" w:color="BFBFBF"/>
              <w:right w:val="nil"/>
            </w:tcBorders>
            <w:shd w:val="clear" w:color="auto" w:fill="auto"/>
            <w:noWrap/>
            <w:vAlign w:val="center"/>
          </w:tcPr>
          <w:p w14:paraId="08F4A15F"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91%</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2BDF70CF" w14:textId="7F180494" w:rsidR="00485DCA" w:rsidRPr="00DB6DAB" w:rsidRDefault="00485DCA" w:rsidP="00485DCA">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w:t>
            </w:r>
            <w:r>
              <w:rPr>
                <w:rFonts w:ascii="Arial" w:hAnsi="Arial" w:cs="Arial"/>
                <w:color w:val="000000"/>
                <w:sz w:val="16"/>
                <w:szCs w:val="16"/>
                <w:lang w:val="en-AU" w:eastAsia="en-AU"/>
              </w:rPr>
              <w:t>9,319</w:t>
            </w:r>
          </w:p>
        </w:tc>
        <w:tc>
          <w:tcPr>
            <w:tcW w:w="795" w:type="dxa"/>
            <w:tcBorders>
              <w:top w:val="nil"/>
              <w:left w:val="nil"/>
              <w:bottom w:val="single" w:sz="4" w:space="0" w:color="BFBFBF"/>
              <w:right w:val="single" w:sz="4" w:space="0" w:color="BFBFBF"/>
            </w:tcBorders>
            <w:shd w:val="clear" w:color="auto" w:fill="auto"/>
            <w:noWrap/>
            <w:vAlign w:val="bottom"/>
          </w:tcPr>
          <w:p w14:paraId="35F790FD" w14:textId="44846D12"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505,261</w:t>
            </w:r>
          </w:p>
        </w:tc>
        <w:tc>
          <w:tcPr>
            <w:tcW w:w="706" w:type="dxa"/>
            <w:tcBorders>
              <w:top w:val="nil"/>
              <w:left w:val="nil"/>
              <w:bottom w:val="single" w:sz="4" w:space="0" w:color="BFBFBF"/>
              <w:right w:val="single" w:sz="4" w:space="0" w:color="BFBFBF"/>
            </w:tcBorders>
            <w:shd w:val="clear" w:color="auto" w:fill="auto"/>
            <w:noWrap/>
            <w:vAlign w:val="center"/>
          </w:tcPr>
          <w:p w14:paraId="758200F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34,024</w:t>
            </w:r>
          </w:p>
        </w:tc>
        <w:tc>
          <w:tcPr>
            <w:tcW w:w="795" w:type="dxa"/>
            <w:tcBorders>
              <w:top w:val="nil"/>
              <w:left w:val="nil"/>
              <w:bottom w:val="single" w:sz="4" w:space="0" w:color="BFBFBF"/>
              <w:right w:val="single" w:sz="4" w:space="0" w:color="auto"/>
            </w:tcBorders>
            <w:shd w:val="clear" w:color="auto" w:fill="auto"/>
            <w:noWrap/>
            <w:vAlign w:val="center"/>
          </w:tcPr>
          <w:p w14:paraId="176AFEE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328,840</w:t>
            </w:r>
          </w:p>
        </w:tc>
        <w:tc>
          <w:tcPr>
            <w:tcW w:w="734" w:type="dxa"/>
            <w:tcBorders>
              <w:top w:val="nil"/>
              <w:left w:val="nil"/>
              <w:bottom w:val="single" w:sz="4" w:space="0" w:color="BFBFBF"/>
              <w:right w:val="single" w:sz="4" w:space="0" w:color="BFBFBF"/>
            </w:tcBorders>
            <w:shd w:val="clear" w:color="auto" w:fill="auto"/>
            <w:noWrap/>
            <w:vAlign w:val="center"/>
          </w:tcPr>
          <w:p w14:paraId="7EC0FC24" w14:textId="7037F872"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1,352</w:t>
            </w:r>
          </w:p>
        </w:tc>
        <w:tc>
          <w:tcPr>
            <w:tcW w:w="734" w:type="dxa"/>
            <w:tcBorders>
              <w:top w:val="nil"/>
              <w:left w:val="nil"/>
              <w:bottom w:val="single" w:sz="4" w:space="0" w:color="BFBFBF"/>
              <w:right w:val="single" w:sz="4" w:space="0" w:color="BFBFBF"/>
            </w:tcBorders>
            <w:shd w:val="clear" w:color="auto" w:fill="auto"/>
            <w:noWrap/>
            <w:vAlign w:val="center"/>
          </w:tcPr>
          <w:p w14:paraId="4C95DB5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849</w:t>
            </w:r>
          </w:p>
        </w:tc>
        <w:tc>
          <w:tcPr>
            <w:tcW w:w="734" w:type="dxa"/>
            <w:tcBorders>
              <w:top w:val="nil"/>
              <w:left w:val="nil"/>
              <w:bottom w:val="single" w:sz="4" w:space="0" w:color="BFBFBF"/>
              <w:right w:val="double" w:sz="6" w:space="0" w:color="auto"/>
            </w:tcBorders>
            <w:shd w:val="clear" w:color="auto" w:fill="auto"/>
            <w:noWrap/>
            <w:vAlign w:val="center"/>
          </w:tcPr>
          <w:p w14:paraId="2C0BEEDF"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612</w:t>
            </w:r>
          </w:p>
        </w:tc>
      </w:tr>
      <w:tr w:rsidR="00485DCA" w:rsidRPr="00DB6DAB" w14:paraId="4AADA2D2" w14:textId="77777777" w:rsidTr="0074645D">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4E283A60"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3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85463C4"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77%</w:t>
            </w:r>
          </w:p>
        </w:tc>
        <w:tc>
          <w:tcPr>
            <w:tcW w:w="734" w:type="dxa"/>
            <w:tcBorders>
              <w:top w:val="nil"/>
              <w:left w:val="nil"/>
              <w:bottom w:val="single" w:sz="4" w:space="0" w:color="BFBFBF"/>
              <w:right w:val="single" w:sz="4" w:space="0" w:color="BFBFBF"/>
            </w:tcBorders>
            <w:shd w:val="clear" w:color="auto" w:fill="auto"/>
            <w:noWrap/>
            <w:vAlign w:val="center"/>
          </w:tcPr>
          <w:p w14:paraId="58844FD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76%</w:t>
            </w:r>
          </w:p>
        </w:tc>
        <w:tc>
          <w:tcPr>
            <w:tcW w:w="734" w:type="dxa"/>
            <w:tcBorders>
              <w:top w:val="nil"/>
              <w:left w:val="nil"/>
              <w:bottom w:val="single" w:sz="4" w:space="0" w:color="BFBFBF"/>
              <w:right w:val="single" w:sz="4" w:space="0" w:color="auto"/>
            </w:tcBorders>
            <w:shd w:val="clear" w:color="auto" w:fill="auto"/>
            <w:noWrap/>
            <w:vAlign w:val="center"/>
          </w:tcPr>
          <w:p w14:paraId="66F6B0E8"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77%</w:t>
            </w:r>
          </w:p>
        </w:tc>
        <w:tc>
          <w:tcPr>
            <w:tcW w:w="617" w:type="dxa"/>
            <w:tcBorders>
              <w:top w:val="nil"/>
              <w:left w:val="nil"/>
              <w:bottom w:val="single" w:sz="4" w:space="0" w:color="BFBFBF"/>
              <w:right w:val="single" w:sz="4" w:space="0" w:color="BFBFBF"/>
            </w:tcBorders>
            <w:shd w:val="clear" w:color="auto" w:fill="auto"/>
            <w:noWrap/>
            <w:vAlign w:val="center"/>
          </w:tcPr>
          <w:p w14:paraId="20EDA606"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w:t>
            </w:r>
          </w:p>
        </w:tc>
        <w:tc>
          <w:tcPr>
            <w:tcW w:w="734" w:type="dxa"/>
            <w:tcBorders>
              <w:top w:val="nil"/>
              <w:left w:val="nil"/>
              <w:bottom w:val="single" w:sz="4" w:space="0" w:color="BFBFBF"/>
              <w:right w:val="single" w:sz="4" w:space="0" w:color="BFBFBF"/>
            </w:tcBorders>
            <w:shd w:val="clear" w:color="auto" w:fill="auto"/>
            <w:noWrap/>
            <w:vAlign w:val="center"/>
          </w:tcPr>
          <w:p w14:paraId="580703A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91%</w:t>
            </w:r>
          </w:p>
        </w:tc>
        <w:tc>
          <w:tcPr>
            <w:tcW w:w="734" w:type="dxa"/>
            <w:tcBorders>
              <w:top w:val="nil"/>
              <w:left w:val="nil"/>
              <w:bottom w:val="single" w:sz="4" w:space="0" w:color="BFBFBF"/>
              <w:right w:val="single" w:sz="4" w:space="0" w:color="BFBFBF"/>
            </w:tcBorders>
            <w:shd w:val="clear" w:color="auto" w:fill="auto"/>
            <w:noWrap/>
            <w:vAlign w:val="center"/>
          </w:tcPr>
          <w:p w14:paraId="2024F95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w:t>
            </w:r>
          </w:p>
        </w:tc>
        <w:tc>
          <w:tcPr>
            <w:tcW w:w="734" w:type="dxa"/>
            <w:tcBorders>
              <w:top w:val="nil"/>
              <w:left w:val="nil"/>
              <w:bottom w:val="single" w:sz="4" w:space="0" w:color="BFBFBF"/>
              <w:right w:val="nil"/>
            </w:tcBorders>
            <w:shd w:val="clear" w:color="auto" w:fill="auto"/>
            <w:noWrap/>
            <w:vAlign w:val="center"/>
          </w:tcPr>
          <w:p w14:paraId="457E2AE3"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91%</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14402DB8"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31,600</w:t>
            </w:r>
          </w:p>
        </w:tc>
        <w:tc>
          <w:tcPr>
            <w:tcW w:w="795" w:type="dxa"/>
            <w:tcBorders>
              <w:top w:val="nil"/>
              <w:left w:val="nil"/>
              <w:bottom w:val="single" w:sz="4" w:space="0" w:color="BFBFBF"/>
              <w:right w:val="single" w:sz="4" w:space="0" w:color="BFBFBF"/>
            </w:tcBorders>
            <w:shd w:val="clear" w:color="auto" w:fill="auto"/>
            <w:noWrap/>
            <w:vAlign w:val="bottom"/>
          </w:tcPr>
          <w:p w14:paraId="7D26AADB" w14:textId="1F8EE7D9"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492,529</w:t>
            </w:r>
          </w:p>
        </w:tc>
        <w:tc>
          <w:tcPr>
            <w:tcW w:w="706" w:type="dxa"/>
            <w:tcBorders>
              <w:top w:val="nil"/>
              <w:left w:val="nil"/>
              <w:bottom w:val="single" w:sz="4" w:space="0" w:color="BFBFBF"/>
              <w:right w:val="single" w:sz="4" w:space="0" w:color="BFBFBF"/>
            </w:tcBorders>
            <w:shd w:val="clear" w:color="auto" w:fill="auto"/>
            <w:noWrap/>
            <w:vAlign w:val="center"/>
          </w:tcPr>
          <w:p w14:paraId="4F758A8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20,606</w:t>
            </w:r>
          </w:p>
        </w:tc>
        <w:tc>
          <w:tcPr>
            <w:tcW w:w="795" w:type="dxa"/>
            <w:tcBorders>
              <w:top w:val="nil"/>
              <w:left w:val="nil"/>
              <w:bottom w:val="single" w:sz="4" w:space="0" w:color="BFBFBF"/>
              <w:right w:val="single" w:sz="4" w:space="0" w:color="auto"/>
            </w:tcBorders>
            <w:shd w:val="clear" w:color="auto" w:fill="auto"/>
            <w:noWrap/>
            <w:vAlign w:val="center"/>
          </w:tcPr>
          <w:p w14:paraId="6B50E16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337,020</w:t>
            </w:r>
          </w:p>
        </w:tc>
        <w:tc>
          <w:tcPr>
            <w:tcW w:w="734" w:type="dxa"/>
            <w:tcBorders>
              <w:top w:val="nil"/>
              <w:left w:val="nil"/>
              <w:bottom w:val="single" w:sz="4" w:space="0" w:color="BFBFBF"/>
              <w:right w:val="single" w:sz="4" w:space="0" w:color="BFBFBF"/>
            </w:tcBorders>
            <w:shd w:val="clear" w:color="auto" w:fill="auto"/>
            <w:noWrap/>
            <w:vAlign w:val="center"/>
          </w:tcPr>
          <w:p w14:paraId="18E4A76E" w14:textId="5E5A24D6"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1,340</w:t>
            </w:r>
          </w:p>
        </w:tc>
        <w:tc>
          <w:tcPr>
            <w:tcW w:w="734" w:type="dxa"/>
            <w:tcBorders>
              <w:top w:val="nil"/>
              <w:left w:val="nil"/>
              <w:bottom w:val="single" w:sz="4" w:space="0" w:color="BFBFBF"/>
              <w:right w:val="single" w:sz="4" w:space="0" w:color="BFBFBF"/>
            </w:tcBorders>
            <w:shd w:val="clear" w:color="auto" w:fill="auto"/>
            <w:noWrap/>
            <w:vAlign w:val="center"/>
          </w:tcPr>
          <w:p w14:paraId="16F7ED9F"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885</w:t>
            </w:r>
          </w:p>
        </w:tc>
        <w:tc>
          <w:tcPr>
            <w:tcW w:w="734" w:type="dxa"/>
            <w:tcBorders>
              <w:top w:val="nil"/>
              <w:left w:val="nil"/>
              <w:bottom w:val="single" w:sz="4" w:space="0" w:color="BFBFBF"/>
              <w:right w:val="double" w:sz="6" w:space="0" w:color="auto"/>
            </w:tcBorders>
            <w:shd w:val="clear" w:color="auto" w:fill="auto"/>
            <w:noWrap/>
            <w:vAlign w:val="center"/>
          </w:tcPr>
          <w:p w14:paraId="4063AB4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596</w:t>
            </w:r>
          </w:p>
        </w:tc>
      </w:tr>
      <w:tr w:rsidR="00485DCA" w:rsidRPr="00DB6DAB" w14:paraId="4FBB02E1" w14:textId="77777777" w:rsidTr="0074645D">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24C33B3"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4 or more persons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0681299"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85%</w:t>
            </w:r>
          </w:p>
        </w:tc>
        <w:tc>
          <w:tcPr>
            <w:tcW w:w="734" w:type="dxa"/>
            <w:tcBorders>
              <w:top w:val="nil"/>
              <w:left w:val="nil"/>
              <w:bottom w:val="single" w:sz="4" w:space="0" w:color="BFBFBF"/>
              <w:right w:val="single" w:sz="4" w:space="0" w:color="BFBFBF"/>
            </w:tcBorders>
            <w:shd w:val="clear" w:color="auto" w:fill="auto"/>
            <w:noWrap/>
            <w:vAlign w:val="center"/>
          </w:tcPr>
          <w:p w14:paraId="739E56B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83%</w:t>
            </w:r>
          </w:p>
        </w:tc>
        <w:tc>
          <w:tcPr>
            <w:tcW w:w="734" w:type="dxa"/>
            <w:tcBorders>
              <w:top w:val="nil"/>
              <w:left w:val="nil"/>
              <w:bottom w:val="single" w:sz="4" w:space="0" w:color="BFBFBF"/>
              <w:right w:val="single" w:sz="4" w:space="0" w:color="auto"/>
            </w:tcBorders>
            <w:shd w:val="clear" w:color="auto" w:fill="auto"/>
            <w:noWrap/>
            <w:vAlign w:val="center"/>
          </w:tcPr>
          <w:p w14:paraId="1C729BBB"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84%</w:t>
            </w:r>
          </w:p>
        </w:tc>
        <w:tc>
          <w:tcPr>
            <w:tcW w:w="617" w:type="dxa"/>
            <w:tcBorders>
              <w:top w:val="nil"/>
              <w:left w:val="nil"/>
              <w:bottom w:val="single" w:sz="4" w:space="0" w:color="BFBFBF"/>
              <w:right w:val="single" w:sz="4" w:space="0" w:color="BFBFBF"/>
            </w:tcBorders>
            <w:shd w:val="clear" w:color="auto" w:fill="auto"/>
            <w:noWrap/>
            <w:vAlign w:val="center"/>
          </w:tcPr>
          <w:p w14:paraId="73CD0D34"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w:t>
            </w:r>
          </w:p>
        </w:tc>
        <w:tc>
          <w:tcPr>
            <w:tcW w:w="734" w:type="dxa"/>
            <w:tcBorders>
              <w:top w:val="nil"/>
              <w:left w:val="nil"/>
              <w:bottom w:val="single" w:sz="4" w:space="0" w:color="BFBFBF"/>
              <w:right w:val="single" w:sz="4" w:space="0" w:color="BFBFBF"/>
            </w:tcBorders>
            <w:shd w:val="clear" w:color="auto" w:fill="auto"/>
            <w:noWrap/>
            <w:vAlign w:val="center"/>
          </w:tcPr>
          <w:p w14:paraId="1C806D8B"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05F7257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w:t>
            </w:r>
          </w:p>
        </w:tc>
        <w:tc>
          <w:tcPr>
            <w:tcW w:w="734" w:type="dxa"/>
            <w:tcBorders>
              <w:top w:val="nil"/>
              <w:left w:val="nil"/>
              <w:bottom w:val="single" w:sz="4" w:space="0" w:color="BFBFBF"/>
              <w:right w:val="nil"/>
            </w:tcBorders>
            <w:shd w:val="clear" w:color="auto" w:fill="auto"/>
            <w:noWrap/>
            <w:vAlign w:val="center"/>
          </w:tcPr>
          <w:p w14:paraId="75653A5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93%</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477D16D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30,546</w:t>
            </w:r>
          </w:p>
        </w:tc>
        <w:tc>
          <w:tcPr>
            <w:tcW w:w="795" w:type="dxa"/>
            <w:tcBorders>
              <w:top w:val="nil"/>
              <w:left w:val="nil"/>
              <w:bottom w:val="single" w:sz="4" w:space="0" w:color="BFBFBF"/>
              <w:right w:val="single" w:sz="4" w:space="0" w:color="BFBFBF"/>
            </w:tcBorders>
            <w:shd w:val="clear" w:color="auto" w:fill="auto"/>
            <w:noWrap/>
            <w:vAlign w:val="bottom"/>
          </w:tcPr>
          <w:p w14:paraId="24E134B5" w14:textId="52AE12B2"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514,655</w:t>
            </w:r>
          </w:p>
        </w:tc>
        <w:tc>
          <w:tcPr>
            <w:tcW w:w="706" w:type="dxa"/>
            <w:tcBorders>
              <w:top w:val="nil"/>
              <w:left w:val="nil"/>
              <w:bottom w:val="single" w:sz="4" w:space="0" w:color="BFBFBF"/>
              <w:right w:val="single" w:sz="4" w:space="0" w:color="BFBFBF"/>
            </w:tcBorders>
            <w:shd w:val="clear" w:color="auto" w:fill="auto"/>
            <w:noWrap/>
            <w:vAlign w:val="center"/>
          </w:tcPr>
          <w:p w14:paraId="6EAFC2F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21,626</w:t>
            </w:r>
          </w:p>
        </w:tc>
        <w:tc>
          <w:tcPr>
            <w:tcW w:w="795" w:type="dxa"/>
            <w:tcBorders>
              <w:top w:val="nil"/>
              <w:left w:val="nil"/>
              <w:bottom w:val="single" w:sz="4" w:space="0" w:color="BFBFBF"/>
              <w:right w:val="single" w:sz="4" w:space="0" w:color="auto"/>
            </w:tcBorders>
            <w:shd w:val="clear" w:color="auto" w:fill="auto"/>
            <w:noWrap/>
            <w:vAlign w:val="center"/>
          </w:tcPr>
          <w:p w14:paraId="67D86FC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345,070</w:t>
            </w:r>
          </w:p>
        </w:tc>
        <w:tc>
          <w:tcPr>
            <w:tcW w:w="734" w:type="dxa"/>
            <w:tcBorders>
              <w:top w:val="nil"/>
              <w:left w:val="nil"/>
              <w:bottom w:val="single" w:sz="4" w:space="0" w:color="BFBFBF"/>
              <w:right w:val="single" w:sz="4" w:space="0" w:color="BFBFBF"/>
            </w:tcBorders>
            <w:shd w:val="clear" w:color="auto" w:fill="auto"/>
            <w:noWrap/>
            <w:vAlign w:val="center"/>
          </w:tcPr>
          <w:p w14:paraId="7545EA1B" w14:textId="250F4D84"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1,426</w:t>
            </w:r>
          </w:p>
        </w:tc>
        <w:tc>
          <w:tcPr>
            <w:tcW w:w="734" w:type="dxa"/>
            <w:tcBorders>
              <w:top w:val="nil"/>
              <w:left w:val="nil"/>
              <w:bottom w:val="single" w:sz="4" w:space="0" w:color="BFBFBF"/>
              <w:right w:val="single" w:sz="4" w:space="0" w:color="BFBFBF"/>
            </w:tcBorders>
            <w:shd w:val="clear" w:color="auto" w:fill="auto"/>
            <w:noWrap/>
            <w:vAlign w:val="center"/>
          </w:tcPr>
          <w:p w14:paraId="1632F77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935</w:t>
            </w:r>
          </w:p>
        </w:tc>
        <w:tc>
          <w:tcPr>
            <w:tcW w:w="734" w:type="dxa"/>
            <w:tcBorders>
              <w:top w:val="nil"/>
              <w:left w:val="nil"/>
              <w:bottom w:val="single" w:sz="4" w:space="0" w:color="BFBFBF"/>
              <w:right w:val="double" w:sz="6" w:space="0" w:color="auto"/>
            </w:tcBorders>
            <w:shd w:val="clear" w:color="auto" w:fill="auto"/>
            <w:noWrap/>
            <w:vAlign w:val="center"/>
          </w:tcPr>
          <w:p w14:paraId="3C4C21D7"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647</w:t>
            </w:r>
          </w:p>
        </w:tc>
      </w:tr>
      <w:tr w:rsidR="00485DCA" w:rsidRPr="00DB6DAB" w14:paraId="71B97702" w14:textId="77777777" w:rsidTr="0074645D">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46A6068" w14:textId="77777777" w:rsidR="00485DCA" w:rsidRPr="00DB6DAB" w:rsidRDefault="00485DCA"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By Housing Status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0015A7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1EF925AF"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auto"/>
            </w:tcBorders>
            <w:shd w:val="clear" w:color="auto" w:fill="auto"/>
            <w:noWrap/>
            <w:vAlign w:val="center"/>
          </w:tcPr>
          <w:p w14:paraId="57276DD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center"/>
          </w:tcPr>
          <w:p w14:paraId="1EAE6F1C"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4E94503"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40954A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nil"/>
            </w:tcBorders>
            <w:shd w:val="clear" w:color="auto" w:fill="auto"/>
            <w:noWrap/>
            <w:vAlign w:val="center"/>
          </w:tcPr>
          <w:p w14:paraId="1500D52C"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5BFEB84C"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nil"/>
              <w:bottom w:val="single" w:sz="4" w:space="0" w:color="BFBFBF"/>
              <w:right w:val="single" w:sz="4" w:space="0" w:color="BFBFBF"/>
            </w:tcBorders>
            <w:shd w:val="clear" w:color="auto" w:fill="auto"/>
            <w:noWrap/>
            <w:vAlign w:val="bottom"/>
          </w:tcPr>
          <w:p w14:paraId="55F1281B" w14:textId="34FC5804"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 </w:t>
            </w:r>
          </w:p>
        </w:tc>
        <w:tc>
          <w:tcPr>
            <w:tcW w:w="706" w:type="dxa"/>
            <w:tcBorders>
              <w:top w:val="nil"/>
              <w:left w:val="nil"/>
              <w:bottom w:val="single" w:sz="4" w:space="0" w:color="BFBFBF"/>
              <w:right w:val="single" w:sz="4" w:space="0" w:color="BFBFBF"/>
            </w:tcBorders>
            <w:shd w:val="clear" w:color="auto" w:fill="auto"/>
            <w:noWrap/>
            <w:vAlign w:val="center"/>
          </w:tcPr>
          <w:p w14:paraId="1F9C6E4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95" w:type="dxa"/>
            <w:tcBorders>
              <w:top w:val="nil"/>
              <w:left w:val="nil"/>
              <w:bottom w:val="single" w:sz="4" w:space="0" w:color="BFBFBF"/>
              <w:right w:val="single" w:sz="4" w:space="0" w:color="auto"/>
            </w:tcBorders>
            <w:shd w:val="clear" w:color="auto" w:fill="auto"/>
            <w:noWrap/>
            <w:vAlign w:val="center"/>
          </w:tcPr>
          <w:p w14:paraId="4F3E49F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23A78156" w14:textId="21E2BC4C"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734" w:type="dxa"/>
            <w:tcBorders>
              <w:top w:val="nil"/>
              <w:left w:val="nil"/>
              <w:bottom w:val="single" w:sz="4" w:space="0" w:color="BFBFBF"/>
              <w:right w:val="single" w:sz="4" w:space="0" w:color="BFBFBF"/>
            </w:tcBorders>
            <w:shd w:val="clear" w:color="auto" w:fill="auto"/>
            <w:noWrap/>
            <w:vAlign w:val="center"/>
          </w:tcPr>
          <w:p w14:paraId="6C19917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double" w:sz="6" w:space="0" w:color="auto"/>
            </w:tcBorders>
            <w:shd w:val="clear" w:color="auto" w:fill="auto"/>
            <w:noWrap/>
            <w:vAlign w:val="center"/>
          </w:tcPr>
          <w:p w14:paraId="2BEE582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r>
      <w:tr w:rsidR="00485DCA" w:rsidRPr="00DB6DAB" w14:paraId="29FC096D" w14:textId="77777777" w:rsidTr="0074645D">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73177E8F"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Owned/paid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75F3772"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BFBFBF"/>
            </w:tcBorders>
            <w:shd w:val="clear" w:color="auto" w:fill="auto"/>
            <w:noWrap/>
            <w:vAlign w:val="center"/>
          </w:tcPr>
          <w:p w14:paraId="4ADF083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auto"/>
            </w:tcBorders>
            <w:shd w:val="clear" w:color="auto" w:fill="auto"/>
            <w:noWrap/>
            <w:vAlign w:val="center"/>
          </w:tcPr>
          <w:p w14:paraId="694B5D8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617" w:type="dxa"/>
            <w:tcBorders>
              <w:top w:val="nil"/>
              <w:left w:val="nil"/>
              <w:bottom w:val="single" w:sz="4" w:space="0" w:color="BFBFBF"/>
              <w:right w:val="single" w:sz="4" w:space="0" w:color="BFBFBF"/>
            </w:tcBorders>
            <w:shd w:val="clear" w:color="auto" w:fill="auto"/>
            <w:noWrap/>
            <w:vAlign w:val="center"/>
          </w:tcPr>
          <w:p w14:paraId="0B50EB2E"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w:t>
            </w:r>
          </w:p>
        </w:tc>
        <w:tc>
          <w:tcPr>
            <w:tcW w:w="734" w:type="dxa"/>
            <w:tcBorders>
              <w:top w:val="nil"/>
              <w:left w:val="nil"/>
              <w:bottom w:val="single" w:sz="4" w:space="0" w:color="BFBFBF"/>
              <w:right w:val="single" w:sz="4" w:space="0" w:color="BFBFBF"/>
            </w:tcBorders>
            <w:shd w:val="clear" w:color="auto" w:fill="auto"/>
            <w:noWrap/>
            <w:vAlign w:val="center"/>
          </w:tcPr>
          <w:p w14:paraId="3A5AE7FA"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BFBFBF"/>
            </w:tcBorders>
            <w:shd w:val="clear" w:color="auto" w:fill="auto"/>
            <w:noWrap/>
            <w:vAlign w:val="center"/>
          </w:tcPr>
          <w:p w14:paraId="4C82385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w:t>
            </w:r>
          </w:p>
        </w:tc>
        <w:tc>
          <w:tcPr>
            <w:tcW w:w="734" w:type="dxa"/>
            <w:tcBorders>
              <w:top w:val="nil"/>
              <w:left w:val="nil"/>
              <w:bottom w:val="single" w:sz="4" w:space="0" w:color="BFBFBF"/>
              <w:right w:val="nil"/>
            </w:tcBorders>
            <w:shd w:val="clear" w:color="auto" w:fill="auto"/>
            <w:noWrap/>
            <w:vAlign w:val="center"/>
          </w:tcPr>
          <w:p w14:paraId="3AB919C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91%</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6A1DF660" w14:textId="06CC6A3F" w:rsidR="00485DCA" w:rsidRPr="00DB6DAB" w:rsidRDefault="00485DCA" w:rsidP="00485DCA">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w:t>
            </w:r>
            <w:r>
              <w:rPr>
                <w:rFonts w:ascii="Arial" w:hAnsi="Arial" w:cs="Arial"/>
                <w:color w:val="000000"/>
                <w:sz w:val="16"/>
                <w:szCs w:val="16"/>
                <w:lang w:val="en-AU" w:eastAsia="en-AU"/>
              </w:rPr>
              <w:t>1,063</w:t>
            </w:r>
          </w:p>
        </w:tc>
        <w:tc>
          <w:tcPr>
            <w:tcW w:w="795" w:type="dxa"/>
            <w:tcBorders>
              <w:top w:val="nil"/>
              <w:left w:val="nil"/>
              <w:bottom w:val="single" w:sz="4" w:space="0" w:color="BFBFBF"/>
              <w:right w:val="single" w:sz="4" w:space="0" w:color="BFBFBF"/>
            </w:tcBorders>
            <w:shd w:val="clear" w:color="auto" w:fill="auto"/>
            <w:noWrap/>
            <w:vAlign w:val="bottom"/>
          </w:tcPr>
          <w:p w14:paraId="1A81A4FB" w14:textId="7B1505B6"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513,086</w:t>
            </w:r>
          </w:p>
        </w:tc>
        <w:tc>
          <w:tcPr>
            <w:tcW w:w="706" w:type="dxa"/>
            <w:tcBorders>
              <w:top w:val="nil"/>
              <w:left w:val="nil"/>
              <w:bottom w:val="single" w:sz="4" w:space="0" w:color="BFBFBF"/>
              <w:right w:val="single" w:sz="4" w:space="0" w:color="BFBFBF"/>
            </w:tcBorders>
            <w:shd w:val="clear" w:color="auto" w:fill="auto"/>
            <w:noWrap/>
            <w:vAlign w:val="center"/>
          </w:tcPr>
          <w:p w14:paraId="7AA2FE6E"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20,956</w:t>
            </w:r>
          </w:p>
        </w:tc>
        <w:tc>
          <w:tcPr>
            <w:tcW w:w="795" w:type="dxa"/>
            <w:tcBorders>
              <w:top w:val="nil"/>
              <w:left w:val="nil"/>
              <w:bottom w:val="single" w:sz="4" w:space="0" w:color="BFBFBF"/>
              <w:right w:val="single" w:sz="4" w:space="0" w:color="auto"/>
            </w:tcBorders>
            <w:shd w:val="clear" w:color="auto" w:fill="auto"/>
            <w:noWrap/>
            <w:vAlign w:val="center"/>
          </w:tcPr>
          <w:p w14:paraId="5A07CC9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333,370</w:t>
            </w:r>
          </w:p>
        </w:tc>
        <w:tc>
          <w:tcPr>
            <w:tcW w:w="734" w:type="dxa"/>
            <w:tcBorders>
              <w:top w:val="nil"/>
              <w:left w:val="nil"/>
              <w:bottom w:val="single" w:sz="4" w:space="0" w:color="BFBFBF"/>
              <w:right w:val="single" w:sz="4" w:space="0" w:color="BFBFBF"/>
            </w:tcBorders>
            <w:shd w:val="clear" w:color="auto" w:fill="auto"/>
            <w:noWrap/>
            <w:vAlign w:val="center"/>
          </w:tcPr>
          <w:p w14:paraId="7840251A" w14:textId="4B902334"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1,362</w:t>
            </w:r>
          </w:p>
        </w:tc>
        <w:tc>
          <w:tcPr>
            <w:tcW w:w="734" w:type="dxa"/>
            <w:tcBorders>
              <w:top w:val="nil"/>
              <w:left w:val="nil"/>
              <w:bottom w:val="single" w:sz="4" w:space="0" w:color="BFBFBF"/>
              <w:right w:val="single" w:sz="4" w:space="0" w:color="BFBFBF"/>
            </w:tcBorders>
            <w:shd w:val="clear" w:color="auto" w:fill="auto"/>
            <w:noWrap/>
            <w:vAlign w:val="center"/>
          </w:tcPr>
          <w:p w14:paraId="4FDC406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873</w:t>
            </w:r>
          </w:p>
        </w:tc>
        <w:tc>
          <w:tcPr>
            <w:tcW w:w="734" w:type="dxa"/>
            <w:tcBorders>
              <w:top w:val="nil"/>
              <w:left w:val="nil"/>
              <w:bottom w:val="single" w:sz="4" w:space="0" w:color="BFBFBF"/>
              <w:right w:val="double" w:sz="6" w:space="0" w:color="auto"/>
            </w:tcBorders>
            <w:shd w:val="clear" w:color="auto" w:fill="auto"/>
            <w:noWrap/>
            <w:vAlign w:val="center"/>
          </w:tcPr>
          <w:p w14:paraId="4F9F368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601</w:t>
            </w:r>
          </w:p>
        </w:tc>
      </w:tr>
      <w:tr w:rsidR="00485DCA" w:rsidRPr="00DB6DAB" w14:paraId="2ECF265B" w14:textId="77777777" w:rsidTr="0074645D">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45026467"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Buying/paying off</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7D29A0A"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56C243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99%</w:t>
            </w:r>
          </w:p>
        </w:tc>
        <w:tc>
          <w:tcPr>
            <w:tcW w:w="734" w:type="dxa"/>
            <w:tcBorders>
              <w:top w:val="nil"/>
              <w:left w:val="nil"/>
              <w:bottom w:val="single" w:sz="4" w:space="0" w:color="BFBFBF"/>
              <w:right w:val="single" w:sz="4" w:space="0" w:color="auto"/>
            </w:tcBorders>
            <w:shd w:val="clear" w:color="auto" w:fill="auto"/>
            <w:noWrap/>
            <w:vAlign w:val="center"/>
          </w:tcPr>
          <w:p w14:paraId="10B5F66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617" w:type="dxa"/>
            <w:tcBorders>
              <w:top w:val="nil"/>
              <w:left w:val="nil"/>
              <w:bottom w:val="single" w:sz="4" w:space="0" w:color="BFBFBF"/>
              <w:right w:val="single" w:sz="4" w:space="0" w:color="BFBFBF"/>
            </w:tcBorders>
            <w:shd w:val="clear" w:color="auto" w:fill="auto"/>
            <w:noWrap/>
            <w:vAlign w:val="center"/>
          </w:tcPr>
          <w:p w14:paraId="2FBA652C"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w:t>
            </w:r>
          </w:p>
        </w:tc>
        <w:tc>
          <w:tcPr>
            <w:tcW w:w="734" w:type="dxa"/>
            <w:tcBorders>
              <w:top w:val="nil"/>
              <w:left w:val="nil"/>
              <w:bottom w:val="single" w:sz="4" w:space="0" w:color="BFBFBF"/>
              <w:right w:val="single" w:sz="4" w:space="0" w:color="BFBFBF"/>
            </w:tcBorders>
            <w:shd w:val="clear" w:color="auto" w:fill="auto"/>
            <w:noWrap/>
            <w:vAlign w:val="center"/>
          </w:tcPr>
          <w:p w14:paraId="1CC812B7"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92%</w:t>
            </w:r>
          </w:p>
        </w:tc>
        <w:tc>
          <w:tcPr>
            <w:tcW w:w="734" w:type="dxa"/>
            <w:tcBorders>
              <w:top w:val="nil"/>
              <w:left w:val="nil"/>
              <w:bottom w:val="single" w:sz="4" w:space="0" w:color="BFBFBF"/>
              <w:right w:val="single" w:sz="4" w:space="0" w:color="BFBFBF"/>
            </w:tcBorders>
            <w:shd w:val="clear" w:color="auto" w:fill="auto"/>
            <w:noWrap/>
            <w:vAlign w:val="center"/>
          </w:tcPr>
          <w:p w14:paraId="4282C62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w:t>
            </w:r>
          </w:p>
        </w:tc>
        <w:tc>
          <w:tcPr>
            <w:tcW w:w="734" w:type="dxa"/>
            <w:tcBorders>
              <w:top w:val="nil"/>
              <w:left w:val="nil"/>
              <w:bottom w:val="single" w:sz="4" w:space="0" w:color="BFBFBF"/>
              <w:right w:val="nil"/>
            </w:tcBorders>
            <w:shd w:val="clear" w:color="auto" w:fill="auto"/>
            <w:noWrap/>
            <w:vAlign w:val="center"/>
          </w:tcPr>
          <w:p w14:paraId="2DF7BD0D"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91%</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141C662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27,483</w:t>
            </w:r>
          </w:p>
        </w:tc>
        <w:tc>
          <w:tcPr>
            <w:tcW w:w="795" w:type="dxa"/>
            <w:tcBorders>
              <w:top w:val="nil"/>
              <w:left w:val="nil"/>
              <w:bottom w:val="single" w:sz="4" w:space="0" w:color="BFBFBF"/>
              <w:right w:val="single" w:sz="4" w:space="0" w:color="BFBFBF"/>
            </w:tcBorders>
            <w:shd w:val="clear" w:color="auto" w:fill="auto"/>
            <w:noWrap/>
            <w:vAlign w:val="bottom"/>
          </w:tcPr>
          <w:p w14:paraId="2086C1A1" w14:textId="54E646D4"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444,561</w:t>
            </w:r>
          </w:p>
        </w:tc>
        <w:tc>
          <w:tcPr>
            <w:tcW w:w="706" w:type="dxa"/>
            <w:tcBorders>
              <w:top w:val="nil"/>
              <w:left w:val="nil"/>
              <w:bottom w:val="single" w:sz="4" w:space="0" w:color="BFBFBF"/>
              <w:right w:val="single" w:sz="4" w:space="0" w:color="BFBFBF"/>
            </w:tcBorders>
            <w:shd w:val="clear" w:color="auto" w:fill="auto"/>
            <w:noWrap/>
            <w:vAlign w:val="center"/>
          </w:tcPr>
          <w:p w14:paraId="6CBEF57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34,616</w:t>
            </w:r>
          </w:p>
        </w:tc>
        <w:tc>
          <w:tcPr>
            <w:tcW w:w="795" w:type="dxa"/>
            <w:tcBorders>
              <w:top w:val="nil"/>
              <w:left w:val="nil"/>
              <w:bottom w:val="single" w:sz="4" w:space="0" w:color="BFBFBF"/>
              <w:right w:val="single" w:sz="4" w:space="0" w:color="auto"/>
            </w:tcBorders>
            <w:shd w:val="clear" w:color="auto" w:fill="auto"/>
            <w:noWrap/>
            <w:vAlign w:val="center"/>
          </w:tcPr>
          <w:p w14:paraId="74DB7DA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318,750</w:t>
            </w:r>
          </w:p>
        </w:tc>
        <w:tc>
          <w:tcPr>
            <w:tcW w:w="734" w:type="dxa"/>
            <w:tcBorders>
              <w:top w:val="nil"/>
              <w:left w:val="nil"/>
              <w:bottom w:val="single" w:sz="4" w:space="0" w:color="BFBFBF"/>
              <w:right w:val="single" w:sz="4" w:space="0" w:color="BFBFBF"/>
            </w:tcBorders>
            <w:shd w:val="clear" w:color="auto" w:fill="auto"/>
            <w:noWrap/>
            <w:vAlign w:val="center"/>
          </w:tcPr>
          <w:p w14:paraId="236FEB66" w14:textId="5FCEA667"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1,268</w:t>
            </w:r>
          </w:p>
        </w:tc>
        <w:tc>
          <w:tcPr>
            <w:tcW w:w="734" w:type="dxa"/>
            <w:tcBorders>
              <w:top w:val="nil"/>
              <w:left w:val="nil"/>
              <w:bottom w:val="single" w:sz="4" w:space="0" w:color="BFBFBF"/>
              <w:right w:val="single" w:sz="4" w:space="0" w:color="BFBFBF"/>
            </w:tcBorders>
            <w:shd w:val="clear" w:color="auto" w:fill="auto"/>
            <w:noWrap/>
            <w:vAlign w:val="center"/>
          </w:tcPr>
          <w:p w14:paraId="17A6746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850</w:t>
            </w:r>
          </w:p>
        </w:tc>
        <w:tc>
          <w:tcPr>
            <w:tcW w:w="734" w:type="dxa"/>
            <w:tcBorders>
              <w:top w:val="nil"/>
              <w:left w:val="nil"/>
              <w:bottom w:val="single" w:sz="4" w:space="0" w:color="BFBFBF"/>
              <w:right w:val="double" w:sz="6" w:space="0" w:color="auto"/>
            </w:tcBorders>
            <w:shd w:val="clear" w:color="auto" w:fill="auto"/>
            <w:noWrap/>
            <w:vAlign w:val="center"/>
          </w:tcPr>
          <w:p w14:paraId="67CC972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601</w:t>
            </w:r>
          </w:p>
        </w:tc>
      </w:tr>
      <w:tr w:rsidR="00485DCA" w:rsidRPr="00DB6DAB" w14:paraId="33884B2E" w14:textId="77777777" w:rsidTr="0074645D">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5BFF4893"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Renting – Private</w:t>
            </w:r>
            <w:r w:rsidRPr="00DB6DAB">
              <w:rPr>
                <w:rFonts w:ascii="Arial" w:hAnsi="Arial" w:cs="Arial"/>
                <w:color w:val="000000"/>
                <w:sz w:val="16"/>
                <w:szCs w:val="16"/>
                <w:vertAlign w:val="superscript"/>
                <w:lang w:val="en-AU" w:eastAsia="en-AU"/>
              </w:rPr>
              <w:t>1</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B900F3C"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w:t>
            </w:r>
          </w:p>
        </w:tc>
        <w:tc>
          <w:tcPr>
            <w:tcW w:w="734" w:type="dxa"/>
            <w:tcBorders>
              <w:top w:val="nil"/>
              <w:left w:val="nil"/>
              <w:bottom w:val="single" w:sz="4" w:space="0" w:color="BFBFBF"/>
              <w:right w:val="single" w:sz="4" w:space="0" w:color="BFBFBF"/>
            </w:tcBorders>
            <w:shd w:val="clear" w:color="auto" w:fill="auto"/>
            <w:noWrap/>
            <w:vAlign w:val="center"/>
          </w:tcPr>
          <w:p w14:paraId="10A556DA"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w:t>
            </w:r>
          </w:p>
        </w:tc>
        <w:tc>
          <w:tcPr>
            <w:tcW w:w="734" w:type="dxa"/>
            <w:tcBorders>
              <w:top w:val="nil"/>
              <w:left w:val="nil"/>
              <w:bottom w:val="single" w:sz="4" w:space="0" w:color="BFBFBF"/>
              <w:right w:val="single" w:sz="4" w:space="0" w:color="auto"/>
            </w:tcBorders>
            <w:shd w:val="clear" w:color="auto" w:fill="auto"/>
            <w:noWrap/>
            <w:vAlign w:val="center"/>
          </w:tcPr>
          <w:p w14:paraId="3201ABF5"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w:t>
            </w:r>
          </w:p>
        </w:tc>
        <w:tc>
          <w:tcPr>
            <w:tcW w:w="617" w:type="dxa"/>
            <w:tcBorders>
              <w:top w:val="nil"/>
              <w:left w:val="nil"/>
              <w:bottom w:val="single" w:sz="4" w:space="0" w:color="BFBFBF"/>
              <w:right w:val="single" w:sz="4" w:space="0" w:color="BFBFBF"/>
            </w:tcBorders>
            <w:shd w:val="clear" w:color="auto" w:fill="auto"/>
            <w:noWrap/>
            <w:vAlign w:val="center"/>
          </w:tcPr>
          <w:p w14:paraId="052EA9C7"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6A33ED9D"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652F945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19%</w:t>
            </w:r>
          </w:p>
        </w:tc>
        <w:tc>
          <w:tcPr>
            <w:tcW w:w="734" w:type="dxa"/>
            <w:tcBorders>
              <w:top w:val="nil"/>
              <w:left w:val="nil"/>
              <w:bottom w:val="single" w:sz="4" w:space="0" w:color="BFBFBF"/>
              <w:right w:val="nil"/>
            </w:tcBorders>
            <w:shd w:val="clear" w:color="auto" w:fill="auto"/>
            <w:noWrap/>
            <w:vAlign w:val="center"/>
          </w:tcPr>
          <w:p w14:paraId="6D5A0A6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56%</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324DA127"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672C34B3" w14:textId="0262906B"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317,454</w:t>
            </w:r>
          </w:p>
        </w:tc>
        <w:tc>
          <w:tcPr>
            <w:tcW w:w="706" w:type="dxa"/>
            <w:tcBorders>
              <w:top w:val="nil"/>
              <w:left w:val="nil"/>
              <w:bottom w:val="single" w:sz="4" w:space="0" w:color="BFBFBF"/>
              <w:right w:val="single" w:sz="4" w:space="0" w:color="BFBFBF"/>
            </w:tcBorders>
            <w:shd w:val="clear" w:color="auto" w:fill="auto"/>
            <w:noWrap/>
            <w:vAlign w:val="center"/>
          </w:tcPr>
          <w:p w14:paraId="25EEA79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16,050</w:t>
            </w:r>
          </w:p>
        </w:tc>
        <w:tc>
          <w:tcPr>
            <w:tcW w:w="795" w:type="dxa"/>
            <w:tcBorders>
              <w:top w:val="nil"/>
              <w:left w:val="nil"/>
              <w:bottom w:val="single" w:sz="4" w:space="0" w:color="BFBFBF"/>
              <w:right w:val="single" w:sz="4" w:space="0" w:color="auto"/>
            </w:tcBorders>
            <w:shd w:val="clear" w:color="auto" w:fill="auto"/>
            <w:noWrap/>
            <w:vAlign w:val="center"/>
          </w:tcPr>
          <w:p w14:paraId="4F9F5F22"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150,290</w:t>
            </w:r>
          </w:p>
        </w:tc>
        <w:tc>
          <w:tcPr>
            <w:tcW w:w="734" w:type="dxa"/>
            <w:tcBorders>
              <w:top w:val="nil"/>
              <w:left w:val="nil"/>
              <w:bottom w:val="single" w:sz="4" w:space="0" w:color="BFBFBF"/>
              <w:right w:val="single" w:sz="4" w:space="0" w:color="BFBFBF"/>
            </w:tcBorders>
            <w:shd w:val="clear" w:color="auto" w:fill="auto"/>
            <w:noWrap/>
            <w:vAlign w:val="center"/>
          </w:tcPr>
          <w:p w14:paraId="3011860D" w14:textId="4C66009D"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984</w:t>
            </w:r>
          </w:p>
        </w:tc>
        <w:tc>
          <w:tcPr>
            <w:tcW w:w="734" w:type="dxa"/>
            <w:tcBorders>
              <w:top w:val="nil"/>
              <w:left w:val="nil"/>
              <w:bottom w:val="single" w:sz="4" w:space="0" w:color="BFBFBF"/>
              <w:right w:val="single" w:sz="4" w:space="0" w:color="BFBFBF"/>
            </w:tcBorders>
            <w:shd w:val="clear" w:color="auto" w:fill="auto"/>
            <w:noWrap/>
            <w:vAlign w:val="center"/>
          </w:tcPr>
          <w:p w14:paraId="2B506D6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577</w:t>
            </w:r>
          </w:p>
        </w:tc>
        <w:tc>
          <w:tcPr>
            <w:tcW w:w="734" w:type="dxa"/>
            <w:tcBorders>
              <w:top w:val="nil"/>
              <w:left w:val="nil"/>
              <w:bottom w:val="single" w:sz="4" w:space="0" w:color="BFBFBF"/>
              <w:right w:val="double" w:sz="6" w:space="0" w:color="auto"/>
            </w:tcBorders>
            <w:shd w:val="clear" w:color="auto" w:fill="auto"/>
            <w:noWrap/>
            <w:vAlign w:val="center"/>
          </w:tcPr>
          <w:p w14:paraId="4780CEBF"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450</w:t>
            </w:r>
          </w:p>
        </w:tc>
      </w:tr>
      <w:tr w:rsidR="00485DCA" w:rsidRPr="00DB6DAB" w14:paraId="42DD22F7" w14:textId="77777777" w:rsidTr="0074645D">
        <w:trPr>
          <w:trHeight w:val="225"/>
          <w:jc w:val="center"/>
        </w:trPr>
        <w:tc>
          <w:tcPr>
            <w:tcW w:w="2575" w:type="dxa"/>
            <w:tcBorders>
              <w:top w:val="nil"/>
              <w:left w:val="double" w:sz="6" w:space="0" w:color="auto"/>
              <w:bottom w:val="single" w:sz="4" w:space="0" w:color="BFBFBF"/>
              <w:right w:val="nil"/>
            </w:tcBorders>
            <w:shd w:val="clear" w:color="auto" w:fill="auto"/>
            <w:noWrap/>
            <w:vAlign w:val="center"/>
          </w:tcPr>
          <w:p w14:paraId="0EB8FCBB" w14:textId="77777777" w:rsidR="00485DCA" w:rsidRPr="00DB6DAB" w:rsidRDefault="00485DCA"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Renting – Public</w:t>
            </w:r>
            <w:r w:rsidRPr="00DB6DAB">
              <w:rPr>
                <w:rFonts w:ascii="Arial" w:hAnsi="Arial" w:cs="Arial"/>
                <w:color w:val="000000"/>
                <w:sz w:val="16"/>
                <w:szCs w:val="16"/>
                <w:vertAlign w:val="superscript"/>
                <w:lang w:val="en-AU" w:eastAsia="en-AU"/>
              </w:rPr>
              <w:t>1</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9C43D5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w:t>
            </w:r>
          </w:p>
        </w:tc>
        <w:tc>
          <w:tcPr>
            <w:tcW w:w="734" w:type="dxa"/>
            <w:tcBorders>
              <w:top w:val="nil"/>
              <w:left w:val="nil"/>
              <w:bottom w:val="single" w:sz="4" w:space="0" w:color="BFBFBF"/>
              <w:right w:val="single" w:sz="4" w:space="0" w:color="BFBFBF"/>
            </w:tcBorders>
            <w:shd w:val="clear" w:color="auto" w:fill="auto"/>
            <w:noWrap/>
            <w:vAlign w:val="center"/>
          </w:tcPr>
          <w:p w14:paraId="28712CC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w:t>
            </w:r>
          </w:p>
        </w:tc>
        <w:tc>
          <w:tcPr>
            <w:tcW w:w="734" w:type="dxa"/>
            <w:tcBorders>
              <w:top w:val="nil"/>
              <w:left w:val="nil"/>
              <w:bottom w:val="single" w:sz="4" w:space="0" w:color="BFBFBF"/>
              <w:right w:val="single" w:sz="4" w:space="0" w:color="auto"/>
            </w:tcBorders>
            <w:shd w:val="clear" w:color="auto" w:fill="auto"/>
            <w:noWrap/>
            <w:vAlign w:val="center"/>
          </w:tcPr>
          <w:p w14:paraId="18CFE52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BFBFBF"/>
            </w:tcBorders>
            <w:shd w:val="clear" w:color="auto" w:fill="auto"/>
            <w:noWrap/>
            <w:vAlign w:val="center"/>
          </w:tcPr>
          <w:p w14:paraId="7A95C8C0"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5F435C91"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3643196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nil"/>
            </w:tcBorders>
            <w:shd w:val="clear" w:color="auto" w:fill="auto"/>
            <w:noWrap/>
            <w:vAlign w:val="center"/>
          </w:tcPr>
          <w:p w14:paraId="4731EEB0"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57%</w:t>
            </w:r>
          </w:p>
        </w:tc>
        <w:tc>
          <w:tcPr>
            <w:tcW w:w="795" w:type="dxa"/>
            <w:tcBorders>
              <w:top w:val="nil"/>
              <w:left w:val="single" w:sz="4" w:space="0" w:color="auto"/>
              <w:bottom w:val="single" w:sz="4" w:space="0" w:color="BFBFBF"/>
              <w:right w:val="single" w:sz="4" w:space="0" w:color="BFBFBF"/>
            </w:tcBorders>
            <w:shd w:val="clear" w:color="auto" w:fill="auto"/>
            <w:noWrap/>
            <w:vAlign w:val="center"/>
          </w:tcPr>
          <w:p w14:paraId="619EBC37" w14:textId="77777777" w:rsidR="00485DCA" w:rsidRPr="00DB6DAB" w:rsidRDefault="00485DCA" w:rsidP="00382235">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BFBFBF"/>
            </w:tcBorders>
            <w:shd w:val="clear" w:color="auto" w:fill="auto"/>
            <w:noWrap/>
            <w:vAlign w:val="bottom"/>
          </w:tcPr>
          <w:p w14:paraId="21A76180" w14:textId="4CBAFD48" w:rsidR="00485DCA" w:rsidRPr="00485DCA" w:rsidRDefault="00485DCA" w:rsidP="00382235">
            <w:pPr>
              <w:spacing w:before="0" w:after="0"/>
              <w:jc w:val="center"/>
              <w:rPr>
                <w:rFonts w:ascii="Arial" w:hAnsi="Arial" w:cs="Arial"/>
                <w:color w:val="000000"/>
                <w:sz w:val="16"/>
                <w:szCs w:val="16"/>
                <w:lang w:val="en-AU" w:eastAsia="en-AU"/>
              </w:rPr>
            </w:pPr>
            <w:r w:rsidRPr="00485DCA">
              <w:rPr>
                <w:rFonts w:ascii="Arial" w:hAnsi="Arial" w:cs="Arial"/>
                <w:color w:val="000000"/>
                <w:sz w:val="16"/>
                <w:szCs w:val="16"/>
              </w:rPr>
              <w:t>336,911</w:t>
            </w:r>
          </w:p>
        </w:tc>
        <w:tc>
          <w:tcPr>
            <w:tcW w:w="706" w:type="dxa"/>
            <w:tcBorders>
              <w:top w:val="nil"/>
              <w:left w:val="nil"/>
              <w:bottom w:val="single" w:sz="4" w:space="0" w:color="BFBFBF"/>
              <w:right w:val="single" w:sz="4" w:space="0" w:color="BFBFBF"/>
            </w:tcBorders>
            <w:shd w:val="clear" w:color="auto" w:fill="auto"/>
            <w:noWrap/>
            <w:vAlign w:val="center"/>
          </w:tcPr>
          <w:p w14:paraId="2D5424F9"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95" w:type="dxa"/>
            <w:tcBorders>
              <w:top w:val="nil"/>
              <w:left w:val="nil"/>
              <w:bottom w:val="single" w:sz="4" w:space="0" w:color="BFBFBF"/>
              <w:right w:val="single" w:sz="4" w:space="0" w:color="auto"/>
            </w:tcBorders>
            <w:shd w:val="clear" w:color="auto" w:fill="auto"/>
            <w:noWrap/>
            <w:vAlign w:val="center"/>
          </w:tcPr>
          <w:p w14:paraId="101B2426"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200,000</w:t>
            </w:r>
          </w:p>
        </w:tc>
        <w:tc>
          <w:tcPr>
            <w:tcW w:w="734" w:type="dxa"/>
            <w:tcBorders>
              <w:top w:val="nil"/>
              <w:left w:val="nil"/>
              <w:bottom w:val="single" w:sz="4" w:space="0" w:color="BFBFBF"/>
              <w:right w:val="single" w:sz="4" w:space="0" w:color="BFBFBF"/>
            </w:tcBorders>
            <w:shd w:val="clear" w:color="auto" w:fill="auto"/>
            <w:noWrap/>
            <w:vAlign w:val="center"/>
          </w:tcPr>
          <w:p w14:paraId="7C46886A" w14:textId="25D29909" w:rsidR="00485DCA" w:rsidRPr="00F135DF" w:rsidRDefault="00485DCA" w:rsidP="00F135DF">
            <w:pPr>
              <w:spacing w:before="0" w:after="0"/>
              <w:jc w:val="center"/>
              <w:rPr>
                <w:rFonts w:ascii="Arial" w:hAnsi="Arial" w:cs="Arial"/>
                <w:color w:val="000000"/>
                <w:sz w:val="16"/>
                <w:szCs w:val="16"/>
                <w:lang w:val="en-AU" w:eastAsia="en-AU"/>
              </w:rPr>
            </w:pPr>
            <w:r>
              <w:rPr>
                <w:rFonts w:ascii="Arial" w:hAnsi="Arial" w:cs="Arial"/>
                <w:color w:val="000000"/>
                <w:sz w:val="16"/>
                <w:szCs w:val="16"/>
              </w:rPr>
              <w:t>936</w:t>
            </w:r>
          </w:p>
        </w:tc>
        <w:tc>
          <w:tcPr>
            <w:tcW w:w="734" w:type="dxa"/>
            <w:tcBorders>
              <w:top w:val="nil"/>
              <w:left w:val="nil"/>
              <w:bottom w:val="single" w:sz="4" w:space="0" w:color="BFBFBF"/>
              <w:right w:val="single" w:sz="4" w:space="0" w:color="BFBFBF"/>
            </w:tcBorders>
            <w:shd w:val="clear" w:color="auto" w:fill="auto"/>
            <w:noWrap/>
            <w:vAlign w:val="center"/>
          </w:tcPr>
          <w:p w14:paraId="38EC36B4"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732</w:t>
            </w:r>
          </w:p>
        </w:tc>
        <w:tc>
          <w:tcPr>
            <w:tcW w:w="734" w:type="dxa"/>
            <w:tcBorders>
              <w:top w:val="nil"/>
              <w:left w:val="nil"/>
              <w:bottom w:val="single" w:sz="4" w:space="0" w:color="BFBFBF"/>
              <w:right w:val="double" w:sz="6" w:space="0" w:color="auto"/>
            </w:tcBorders>
            <w:shd w:val="clear" w:color="auto" w:fill="auto"/>
            <w:noWrap/>
            <w:vAlign w:val="center"/>
          </w:tcPr>
          <w:p w14:paraId="58FB7C51" w14:textId="77777777" w:rsidR="00485DCA" w:rsidRPr="00DB6DAB" w:rsidRDefault="00485DCA" w:rsidP="00E337BE">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391</w:t>
            </w:r>
          </w:p>
        </w:tc>
      </w:tr>
      <w:tr w:rsidR="00485DCA" w:rsidRPr="00DB6DAB" w14:paraId="48C4BD4B" w14:textId="77777777" w:rsidTr="0058365E">
        <w:trPr>
          <w:trHeight w:val="240"/>
          <w:jc w:val="center"/>
        </w:trPr>
        <w:tc>
          <w:tcPr>
            <w:tcW w:w="2575" w:type="dxa"/>
            <w:tcBorders>
              <w:top w:val="nil"/>
              <w:left w:val="double" w:sz="6" w:space="0" w:color="auto"/>
              <w:bottom w:val="double" w:sz="6" w:space="0" w:color="auto"/>
              <w:right w:val="nil"/>
            </w:tcBorders>
            <w:shd w:val="clear" w:color="auto" w:fill="auto"/>
            <w:noWrap/>
            <w:vAlign w:val="center"/>
          </w:tcPr>
          <w:p w14:paraId="38933B04" w14:textId="77777777" w:rsidR="00485DCA" w:rsidRPr="00DB6DAB" w:rsidRDefault="00485DCA"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Total Households</w:t>
            </w:r>
          </w:p>
        </w:tc>
        <w:tc>
          <w:tcPr>
            <w:tcW w:w="734" w:type="dxa"/>
            <w:tcBorders>
              <w:top w:val="nil"/>
              <w:left w:val="single" w:sz="4" w:space="0" w:color="auto"/>
              <w:bottom w:val="double" w:sz="6" w:space="0" w:color="auto"/>
              <w:right w:val="single" w:sz="4" w:space="0" w:color="BFBFBF"/>
            </w:tcBorders>
            <w:shd w:val="clear" w:color="auto" w:fill="auto"/>
            <w:noWrap/>
            <w:vAlign w:val="center"/>
          </w:tcPr>
          <w:p w14:paraId="034BE7C4" w14:textId="77777777" w:rsidR="00485DCA" w:rsidRPr="00DB6DAB" w:rsidRDefault="00485DCA" w:rsidP="00382235">
            <w:pPr>
              <w:spacing w:before="0" w:after="0"/>
              <w:jc w:val="center"/>
              <w:rPr>
                <w:rFonts w:ascii="Arial" w:hAnsi="Arial" w:cs="Arial"/>
                <w:b/>
                <w:color w:val="000000"/>
                <w:sz w:val="16"/>
                <w:szCs w:val="16"/>
                <w:lang w:val="en-AU" w:eastAsia="en-AU"/>
              </w:rPr>
            </w:pPr>
            <w:r w:rsidRPr="00DB6DAB">
              <w:rPr>
                <w:rFonts w:ascii="Arial" w:hAnsi="Arial" w:cs="Arial"/>
                <w:b/>
                <w:color w:val="000000"/>
                <w:sz w:val="16"/>
                <w:szCs w:val="16"/>
                <w:lang w:val="en-AU" w:eastAsia="en-AU"/>
              </w:rPr>
              <w:t>80%</w:t>
            </w:r>
          </w:p>
        </w:tc>
        <w:tc>
          <w:tcPr>
            <w:tcW w:w="734" w:type="dxa"/>
            <w:tcBorders>
              <w:top w:val="nil"/>
              <w:left w:val="nil"/>
              <w:bottom w:val="double" w:sz="6" w:space="0" w:color="auto"/>
              <w:right w:val="single" w:sz="4" w:space="0" w:color="BFBFBF"/>
            </w:tcBorders>
            <w:shd w:val="clear" w:color="auto" w:fill="auto"/>
            <w:noWrap/>
            <w:vAlign w:val="center"/>
          </w:tcPr>
          <w:p w14:paraId="1206FF7B" w14:textId="77777777" w:rsidR="00485DCA" w:rsidRPr="00DB6DAB" w:rsidRDefault="00485DCA"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77%</w:t>
            </w:r>
          </w:p>
        </w:tc>
        <w:tc>
          <w:tcPr>
            <w:tcW w:w="734" w:type="dxa"/>
            <w:tcBorders>
              <w:top w:val="nil"/>
              <w:left w:val="nil"/>
              <w:bottom w:val="double" w:sz="6" w:space="0" w:color="auto"/>
              <w:right w:val="single" w:sz="4" w:space="0" w:color="auto"/>
            </w:tcBorders>
            <w:shd w:val="clear" w:color="auto" w:fill="auto"/>
            <w:noWrap/>
            <w:vAlign w:val="center"/>
          </w:tcPr>
          <w:p w14:paraId="3183CAC8" w14:textId="77777777" w:rsidR="00485DCA" w:rsidRPr="00DB6DAB" w:rsidRDefault="00485DCA"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80%</w:t>
            </w:r>
          </w:p>
        </w:tc>
        <w:tc>
          <w:tcPr>
            <w:tcW w:w="617" w:type="dxa"/>
            <w:tcBorders>
              <w:top w:val="nil"/>
              <w:left w:val="nil"/>
              <w:bottom w:val="double" w:sz="6" w:space="0" w:color="auto"/>
              <w:right w:val="single" w:sz="4" w:space="0" w:color="BFBFBF"/>
            </w:tcBorders>
            <w:shd w:val="clear" w:color="auto" w:fill="auto"/>
            <w:noWrap/>
            <w:vAlign w:val="center"/>
          </w:tcPr>
          <w:p w14:paraId="280734DF" w14:textId="77777777" w:rsidR="00485DCA" w:rsidRPr="00DB6DAB" w:rsidRDefault="00485DCA" w:rsidP="00382235">
            <w:pPr>
              <w:spacing w:before="0" w:after="0"/>
              <w:jc w:val="center"/>
              <w:rPr>
                <w:rFonts w:ascii="Arial" w:hAnsi="Arial" w:cs="Arial"/>
                <w:b/>
                <w:color w:val="000000"/>
                <w:sz w:val="16"/>
                <w:szCs w:val="16"/>
                <w:lang w:val="en-AU" w:eastAsia="en-AU"/>
              </w:rPr>
            </w:pPr>
            <w:r w:rsidRPr="00DB6DAB">
              <w:rPr>
                <w:rFonts w:ascii="Arial" w:hAnsi="Arial" w:cs="Arial"/>
                <w:b/>
                <w:color w:val="000000"/>
                <w:sz w:val="16"/>
                <w:szCs w:val="16"/>
                <w:lang w:val="en-AU" w:eastAsia="en-AU"/>
              </w:rPr>
              <w:t>7%</w:t>
            </w:r>
          </w:p>
        </w:tc>
        <w:tc>
          <w:tcPr>
            <w:tcW w:w="734" w:type="dxa"/>
            <w:tcBorders>
              <w:top w:val="nil"/>
              <w:left w:val="nil"/>
              <w:bottom w:val="double" w:sz="6" w:space="0" w:color="auto"/>
              <w:right w:val="single" w:sz="4" w:space="0" w:color="BFBFBF"/>
            </w:tcBorders>
            <w:shd w:val="clear" w:color="auto" w:fill="auto"/>
            <w:noWrap/>
            <w:vAlign w:val="center"/>
          </w:tcPr>
          <w:p w14:paraId="37841D2A" w14:textId="77777777" w:rsidR="00485DCA" w:rsidRPr="00DB6DAB" w:rsidRDefault="00485DCA" w:rsidP="00382235">
            <w:pPr>
              <w:spacing w:before="0" w:after="0"/>
              <w:jc w:val="center"/>
              <w:rPr>
                <w:rFonts w:ascii="Arial" w:hAnsi="Arial" w:cs="Arial"/>
                <w:b/>
                <w:color w:val="000000"/>
                <w:sz w:val="16"/>
                <w:szCs w:val="16"/>
                <w:lang w:val="en-AU" w:eastAsia="en-AU"/>
              </w:rPr>
            </w:pPr>
            <w:r w:rsidRPr="00DB6DAB">
              <w:rPr>
                <w:rFonts w:ascii="Arial" w:hAnsi="Arial" w:cs="Arial"/>
                <w:b/>
                <w:color w:val="000000"/>
                <w:sz w:val="16"/>
                <w:szCs w:val="16"/>
                <w:lang w:val="en-AU" w:eastAsia="en-AU"/>
              </w:rPr>
              <w:t>93%</w:t>
            </w:r>
          </w:p>
        </w:tc>
        <w:tc>
          <w:tcPr>
            <w:tcW w:w="734" w:type="dxa"/>
            <w:tcBorders>
              <w:top w:val="nil"/>
              <w:left w:val="nil"/>
              <w:bottom w:val="double" w:sz="6" w:space="0" w:color="auto"/>
              <w:right w:val="single" w:sz="4" w:space="0" w:color="BFBFBF"/>
            </w:tcBorders>
            <w:shd w:val="clear" w:color="auto" w:fill="auto"/>
            <w:noWrap/>
            <w:vAlign w:val="center"/>
          </w:tcPr>
          <w:p w14:paraId="625F990A" w14:textId="77777777" w:rsidR="00485DCA" w:rsidRPr="00DB6DAB" w:rsidRDefault="00485DCA"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9%</w:t>
            </w:r>
          </w:p>
        </w:tc>
        <w:tc>
          <w:tcPr>
            <w:tcW w:w="734" w:type="dxa"/>
            <w:tcBorders>
              <w:top w:val="nil"/>
              <w:left w:val="nil"/>
              <w:bottom w:val="double" w:sz="6" w:space="0" w:color="auto"/>
              <w:right w:val="nil"/>
            </w:tcBorders>
            <w:shd w:val="clear" w:color="auto" w:fill="auto"/>
            <w:noWrap/>
            <w:vAlign w:val="center"/>
          </w:tcPr>
          <w:p w14:paraId="087F0B19" w14:textId="77777777" w:rsidR="00485DCA" w:rsidRPr="00DB6DAB" w:rsidRDefault="00485DCA"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91%</w:t>
            </w:r>
          </w:p>
        </w:tc>
        <w:tc>
          <w:tcPr>
            <w:tcW w:w="795" w:type="dxa"/>
            <w:tcBorders>
              <w:top w:val="nil"/>
              <w:left w:val="single" w:sz="4" w:space="0" w:color="auto"/>
              <w:bottom w:val="double" w:sz="6" w:space="0" w:color="auto"/>
              <w:right w:val="single" w:sz="4" w:space="0" w:color="BFBFBF"/>
            </w:tcBorders>
            <w:shd w:val="clear" w:color="auto" w:fill="auto"/>
            <w:noWrap/>
            <w:vAlign w:val="center"/>
          </w:tcPr>
          <w:p w14:paraId="0CD9783B" w14:textId="7258412A" w:rsidR="00485DCA" w:rsidRPr="00DB6DAB" w:rsidRDefault="00485DCA" w:rsidP="00485DCA">
            <w:pPr>
              <w:spacing w:before="0" w:after="0"/>
              <w:jc w:val="center"/>
              <w:rPr>
                <w:rFonts w:ascii="Arial" w:hAnsi="Arial" w:cs="Arial"/>
                <w:b/>
                <w:color w:val="000000"/>
                <w:sz w:val="16"/>
                <w:szCs w:val="16"/>
                <w:lang w:val="en-AU" w:eastAsia="en-AU"/>
              </w:rPr>
            </w:pPr>
            <w:r w:rsidRPr="00DB6DAB">
              <w:rPr>
                <w:rFonts w:ascii="Arial" w:hAnsi="Arial" w:cs="Arial"/>
                <w:b/>
                <w:color w:val="000000"/>
                <w:sz w:val="16"/>
                <w:szCs w:val="16"/>
                <w:lang w:val="en-AU" w:eastAsia="en-AU"/>
              </w:rPr>
              <w:t>29,</w:t>
            </w:r>
            <w:r>
              <w:rPr>
                <w:rFonts w:ascii="Arial" w:hAnsi="Arial" w:cs="Arial"/>
                <w:b/>
                <w:color w:val="000000"/>
                <w:sz w:val="16"/>
                <w:szCs w:val="16"/>
                <w:lang w:val="en-AU" w:eastAsia="en-AU"/>
              </w:rPr>
              <w:t>406</w:t>
            </w:r>
          </w:p>
        </w:tc>
        <w:tc>
          <w:tcPr>
            <w:tcW w:w="795" w:type="dxa"/>
            <w:tcBorders>
              <w:top w:val="nil"/>
              <w:left w:val="nil"/>
              <w:bottom w:val="double" w:sz="6" w:space="0" w:color="auto"/>
              <w:right w:val="single" w:sz="4" w:space="0" w:color="BFBFBF"/>
            </w:tcBorders>
            <w:shd w:val="clear" w:color="auto" w:fill="auto"/>
            <w:noWrap/>
            <w:vAlign w:val="center"/>
          </w:tcPr>
          <w:p w14:paraId="0DE6211D" w14:textId="0397C42F" w:rsidR="00485DCA" w:rsidRPr="00485DCA" w:rsidRDefault="00485DCA" w:rsidP="0058365E">
            <w:pPr>
              <w:spacing w:before="0" w:after="0"/>
              <w:jc w:val="center"/>
              <w:rPr>
                <w:rFonts w:ascii="Arial" w:hAnsi="Arial" w:cs="Arial"/>
                <w:b/>
                <w:color w:val="000000"/>
                <w:sz w:val="16"/>
                <w:szCs w:val="16"/>
                <w:lang w:val="en-AU" w:eastAsia="en-AU"/>
              </w:rPr>
            </w:pPr>
            <w:r w:rsidRPr="00485DCA">
              <w:rPr>
                <w:rFonts w:ascii="Arial" w:hAnsi="Arial" w:cs="Arial"/>
                <w:b/>
                <w:color w:val="000000"/>
                <w:sz w:val="16"/>
                <w:szCs w:val="16"/>
              </w:rPr>
              <w:t>487,237</w:t>
            </w:r>
          </w:p>
        </w:tc>
        <w:tc>
          <w:tcPr>
            <w:tcW w:w="706" w:type="dxa"/>
            <w:tcBorders>
              <w:top w:val="nil"/>
              <w:left w:val="nil"/>
              <w:bottom w:val="double" w:sz="6" w:space="0" w:color="auto"/>
              <w:right w:val="single" w:sz="4" w:space="0" w:color="BFBFBF"/>
            </w:tcBorders>
            <w:shd w:val="clear" w:color="auto" w:fill="auto"/>
            <w:noWrap/>
            <w:vAlign w:val="center"/>
          </w:tcPr>
          <w:p w14:paraId="5091196B" w14:textId="77777777" w:rsidR="00485DCA" w:rsidRPr="00DB6DAB" w:rsidRDefault="00485DCA"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25,628</w:t>
            </w:r>
          </w:p>
        </w:tc>
        <w:tc>
          <w:tcPr>
            <w:tcW w:w="795" w:type="dxa"/>
            <w:tcBorders>
              <w:top w:val="nil"/>
              <w:left w:val="nil"/>
              <w:bottom w:val="double" w:sz="6" w:space="0" w:color="auto"/>
              <w:right w:val="single" w:sz="4" w:space="0" w:color="auto"/>
            </w:tcBorders>
            <w:shd w:val="clear" w:color="auto" w:fill="auto"/>
            <w:noWrap/>
            <w:vAlign w:val="center"/>
          </w:tcPr>
          <w:p w14:paraId="69890D70" w14:textId="77777777" w:rsidR="00485DCA" w:rsidRPr="00DB6DAB" w:rsidRDefault="00485DCA"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327,110</w:t>
            </w:r>
          </w:p>
        </w:tc>
        <w:tc>
          <w:tcPr>
            <w:tcW w:w="734" w:type="dxa"/>
            <w:tcBorders>
              <w:top w:val="nil"/>
              <w:left w:val="nil"/>
              <w:bottom w:val="double" w:sz="6" w:space="0" w:color="auto"/>
              <w:right w:val="single" w:sz="4" w:space="0" w:color="BFBFBF"/>
            </w:tcBorders>
            <w:shd w:val="clear" w:color="auto" w:fill="auto"/>
            <w:noWrap/>
            <w:vAlign w:val="center"/>
          </w:tcPr>
          <w:p w14:paraId="49D56D49" w14:textId="5ACAEBE4" w:rsidR="00485DCA" w:rsidRPr="00F135DF" w:rsidRDefault="00485DCA" w:rsidP="00F135DF">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1,325</w:t>
            </w:r>
          </w:p>
        </w:tc>
        <w:tc>
          <w:tcPr>
            <w:tcW w:w="734" w:type="dxa"/>
            <w:tcBorders>
              <w:top w:val="nil"/>
              <w:left w:val="nil"/>
              <w:bottom w:val="double" w:sz="6" w:space="0" w:color="auto"/>
              <w:right w:val="single" w:sz="4" w:space="0" w:color="BFBFBF"/>
            </w:tcBorders>
            <w:shd w:val="clear" w:color="auto" w:fill="auto"/>
            <w:noWrap/>
            <w:vAlign w:val="center"/>
          </w:tcPr>
          <w:p w14:paraId="1BCE5D11" w14:textId="77777777" w:rsidR="00485DCA" w:rsidRPr="00DB6DAB" w:rsidRDefault="00485DCA"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863</w:t>
            </w:r>
          </w:p>
        </w:tc>
        <w:tc>
          <w:tcPr>
            <w:tcW w:w="734" w:type="dxa"/>
            <w:tcBorders>
              <w:top w:val="nil"/>
              <w:left w:val="nil"/>
              <w:bottom w:val="double" w:sz="6" w:space="0" w:color="auto"/>
              <w:right w:val="double" w:sz="6" w:space="0" w:color="auto"/>
            </w:tcBorders>
            <w:shd w:val="clear" w:color="auto" w:fill="auto"/>
            <w:noWrap/>
            <w:vAlign w:val="center"/>
          </w:tcPr>
          <w:p w14:paraId="56D51CF5" w14:textId="77777777" w:rsidR="00485DCA" w:rsidRPr="00DB6DAB" w:rsidRDefault="00485DCA"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600</w:t>
            </w:r>
          </w:p>
        </w:tc>
      </w:tr>
    </w:tbl>
    <w:p w14:paraId="3E9EBB5D" w14:textId="77777777" w:rsidR="00C76F63" w:rsidRPr="00DB6DAB" w:rsidRDefault="00C76F63" w:rsidP="00F135DF">
      <w:pPr>
        <w:spacing w:before="0" w:after="0"/>
        <w:jc w:val="center"/>
        <w:rPr>
          <w:b/>
          <w:lang w:val="en-AU"/>
        </w:rPr>
      </w:pPr>
    </w:p>
    <w:p w14:paraId="6A86C5CF" w14:textId="77777777" w:rsidR="00E337BE" w:rsidRPr="00DB6DAB" w:rsidRDefault="00B5775E" w:rsidP="006364BB">
      <w:pPr>
        <w:ind w:left="720"/>
        <w:rPr>
          <w:sz w:val="16"/>
          <w:szCs w:val="16"/>
        </w:rPr>
      </w:pPr>
      <w:r w:rsidRPr="00DB6DAB">
        <w:rPr>
          <w:sz w:val="20"/>
        </w:rPr>
        <w:t>1.</w:t>
      </w:r>
      <w:r w:rsidRPr="00DB6DAB">
        <w:rPr>
          <w:b/>
          <w:lang w:val="en-AU"/>
        </w:rPr>
        <w:t xml:space="preserve"> </w:t>
      </w:r>
      <w:r w:rsidRPr="00DB6DAB">
        <w:rPr>
          <w:sz w:val="20"/>
          <w:lang w:val="en-AU"/>
        </w:rPr>
        <w:t xml:space="preserve">Very small sample size. The percentages showing for renters in the council rates tables are based to a tiny group of respondents who indicated they both rented and paid council rates.  </w:t>
      </w:r>
      <w:r w:rsidR="00C40166" w:rsidRPr="00DB6DAB">
        <w:rPr>
          <w:sz w:val="20"/>
          <w:lang w:val="en-AU"/>
        </w:rPr>
        <w:t>This may indicate misunderstanding of the question, or changed circumstances, and should be interpreted with care.</w:t>
      </w:r>
    </w:p>
    <w:p w14:paraId="4F5F8D09" w14:textId="77777777" w:rsidR="0039042D" w:rsidRPr="00DB6DAB" w:rsidRDefault="00AF3ACB" w:rsidP="006364BB">
      <w:pPr>
        <w:spacing w:before="0" w:after="120"/>
        <w:ind w:left="142" w:hanging="142"/>
        <w:jc w:val="center"/>
        <w:outlineLvl w:val="0"/>
        <w:rPr>
          <w:b/>
          <w:u w:val="single"/>
          <w:lang w:val="en-AU"/>
        </w:rPr>
      </w:pPr>
      <w:r w:rsidRPr="00DB6DAB">
        <w:rPr>
          <w:noProof/>
          <w:lang w:val="en-AU" w:eastAsia="en-AU"/>
        </w:rPr>
        <mc:AlternateContent>
          <mc:Choice Requires="wps">
            <w:drawing>
              <wp:anchor distT="0" distB="0" distL="114300" distR="114300" simplePos="0" relativeHeight="251658240" behindDoc="0" locked="0" layoutInCell="1" allowOverlap="1" wp14:anchorId="493512DB" wp14:editId="14213F11">
                <wp:simplePos x="0" y="0"/>
                <wp:positionH relativeFrom="column">
                  <wp:posOffset>985520</wp:posOffset>
                </wp:positionH>
                <wp:positionV relativeFrom="paragraph">
                  <wp:posOffset>4552315</wp:posOffset>
                </wp:positionV>
                <wp:extent cx="1969770" cy="428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C55F8" w14:textId="77777777" w:rsidR="00665605" w:rsidRDefault="006656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512DB" id="_x0000_t202" coordsize="21600,21600" o:spt="202" path="m,l,21600r21600,l21600,xe">
                <v:stroke joinstyle="miter"/>
                <v:path gradientshapeok="t" o:connecttype="rect"/>
              </v:shapetype>
              <v:shape id="Text Box 2" o:spid="_x0000_s1026" type="#_x0000_t202" style="position:absolute;left:0;text-align:left;margin-left:77.6pt;margin-top:358.45pt;width:155.1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" stroked="f">
                <v:textbox>
                  <w:txbxContent>
                    <w:p w14:paraId="443C55F8" w14:textId="77777777" w:rsidR="00665605" w:rsidRDefault="00665605"/>
                  </w:txbxContent>
                </v:textbox>
              </v:shape>
            </w:pict>
          </mc:Fallback>
        </mc:AlternateContent>
      </w:r>
      <w:r w:rsidR="00E337BE" w:rsidRPr="00DB6DAB">
        <w:rPr>
          <w:b/>
          <w:lang w:val="en-AU"/>
        </w:rPr>
        <w:br w:type="page"/>
      </w:r>
      <w:r w:rsidR="0039042D" w:rsidRPr="00DB6DAB">
        <w:rPr>
          <w:b/>
          <w:lang w:val="en-AU"/>
        </w:rPr>
        <w:lastRenderedPageBreak/>
        <w:t xml:space="preserve">Table </w:t>
      </w:r>
      <w:r w:rsidR="001A2002" w:rsidRPr="00DB6DAB">
        <w:rPr>
          <w:b/>
          <w:lang w:val="en-AU"/>
        </w:rPr>
        <w:t>6</w:t>
      </w:r>
      <w:r w:rsidR="0039042D" w:rsidRPr="00DB6DAB">
        <w:rPr>
          <w:b/>
          <w:lang w:val="en-AU"/>
        </w:rPr>
        <w:t xml:space="preserve">.2.2: </w:t>
      </w:r>
      <w:r w:rsidR="0039042D" w:rsidRPr="00DB6DAB">
        <w:rPr>
          <w:b/>
          <w:u w:val="single"/>
          <w:lang w:val="en-AU"/>
        </w:rPr>
        <w:t>Council Rate Charges – Part 2</w:t>
      </w:r>
    </w:p>
    <w:tbl>
      <w:tblPr>
        <w:tblW w:w="15609" w:type="dxa"/>
        <w:tblLook w:val="04A0" w:firstRow="1" w:lastRow="0" w:firstColumn="1" w:lastColumn="0" w:noHBand="0" w:noVBand="1"/>
      </w:tblPr>
      <w:tblGrid>
        <w:gridCol w:w="2273"/>
        <w:gridCol w:w="734"/>
        <w:gridCol w:w="695"/>
        <w:gridCol w:w="734"/>
        <w:gridCol w:w="734"/>
        <w:gridCol w:w="734"/>
        <w:gridCol w:w="817"/>
        <w:gridCol w:w="642"/>
        <w:gridCol w:w="817"/>
        <w:gridCol w:w="642"/>
        <w:gridCol w:w="808"/>
        <w:gridCol w:w="808"/>
        <w:gridCol w:w="734"/>
        <w:gridCol w:w="734"/>
        <w:gridCol w:w="617"/>
        <w:gridCol w:w="734"/>
        <w:gridCol w:w="617"/>
        <w:gridCol w:w="884"/>
        <w:gridCol w:w="851"/>
      </w:tblGrid>
      <w:tr w:rsidR="00154117" w:rsidRPr="00DB6DAB" w14:paraId="34BD94FF" w14:textId="262F70FD" w:rsidTr="00D92C64">
        <w:trPr>
          <w:trHeight w:val="300"/>
          <w:tblHeader/>
        </w:trPr>
        <w:tc>
          <w:tcPr>
            <w:tcW w:w="2273" w:type="dxa"/>
            <w:tcBorders>
              <w:top w:val="double" w:sz="6" w:space="0" w:color="auto"/>
              <w:left w:val="double" w:sz="6" w:space="0" w:color="auto"/>
              <w:bottom w:val="single" w:sz="4" w:space="0" w:color="BFBFBF"/>
              <w:right w:val="nil"/>
            </w:tcBorders>
            <w:shd w:val="clear" w:color="auto" w:fill="auto"/>
            <w:noWrap/>
            <w:vAlign w:val="center"/>
          </w:tcPr>
          <w:p w14:paraId="1FB26F42"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 </w:t>
            </w:r>
          </w:p>
        </w:tc>
        <w:tc>
          <w:tcPr>
            <w:tcW w:w="3631" w:type="dxa"/>
            <w:gridSpan w:val="5"/>
            <w:tcBorders>
              <w:top w:val="double" w:sz="6" w:space="0" w:color="auto"/>
              <w:left w:val="single" w:sz="4" w:space="0" w:color="auto"/>
              <w:bottom w:val="single" w:sz="4" w:space="0" w:color="BFBFBF"/>
              <w:right w:val="single" w:sz="4" w:space="0" w:color="000000"/>
            </w:tcBorders>
            <w:shd w:val="clear" w:color="auto" w:fill="auto"/>
            <w:noWrap/>
            <w:vAlign w:val="center"/>
          </w:tcPr>
          <w:p w14:paraId="1B62FA6A"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Waste Management Charges</w:t>
            </w:r>
          </w:p>
        </w:tc>
        <w:tc>
          <w:tcPr>
            <w:tcW w:w="3726" w:type="dxa"/>
            <w:gridSpan w:val="5"/>
            <w:tcBorders>
              <w:top w:val="double" w:sz="6" w:space="0" w:color="auto"/>
              <w:left w:val="nil"/>
              <w:bottom w:val="single" w:sz="4" w:space="0" w:color="BFBFBF"/>
              <w:right w:val="single" w:sz="4" w:space="0" w:color="BFBFBF"/>
            </w:tcBorders>
            <w:shd w:val="clear" w:color="auto" w:fill="auto"/>
            <w:noWrap/>
            <w:vAlign w:val="center"/>
          </w:tcPr>
          <w:p w14:paraId="3F2D7A44"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Special Product/Service/Rates Charges</w:t>
            </w:r>
          </w:p>
        </w:tc>
        <w:tc>
          <w:tcPr>
            <w:tcW w:w="1542" w:type="dxa"/>
            <w:gridSpan w:val="2"/>
            <w:vMerge w:val="restart"/>
            <w:tcBorders>
              <w:top w:val="double" w:sz="6" w:space="0" w:color="auto"/>
              <w:left w:val="single" w:sz="4" w:space="0" w:color="auto"/>
              <w:bottom w:val="single" w:sz="4" w:space="0" w:color="BFBFBF"/>
              <w:right w:val="single" w:sz="4" w:space="0" w:color="auto"/>
            </w:tcBorders>
            <w:shd w:val="clear" w:color="auto" w:fill="auto"/>
            <w:vAlign w:val="bottom"/>
          </w:tcPr>
          <w:p w14:paraId="4EB860AA"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Fire Services Property Levy 2014</w:t>
            </w:r>
          </w:p>
        </w:tc>
        <w:tc>
          <w:tcPr>
            <w:tcW w:w="2702" w:type="dxa"/>
            <w:gridSpan w:val="4"/>
            <w:tcBorders>
              <w:top w:val="double" w:sz="6" w:space="0" w:color="auto"/>
              <w:left w:val="single" w:sz="4" w:space="0" w:color="auto"/>
              <w:bottom w:val="single" w:sz="4" w:space="0" w:color="BFBFBF"/>
              <w:right w:val="double" w:sz="6" w:space="0" w:color="000000"/>
            </w:tcBorders>
            <w:shd w:val="clear" w:color="auto" w:fill="auto"/>
            <w:vAlign w:val="bottom"/>
          </w:tcPr>
          <w:p w14:paraId="12612B0F"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Other Charges</w:t>
            </w:r>
          </w:p>
        </w:tc>
        <w:tc>
          <w:tcPr>
            <w:tcW w:w="1735" w:type="dxa"/>
            <w:gridSpan w:val="2"/>
            <w:tcBorders>
              <w:top w:val="double" w:sz="6" w:space="0" w:color="auto"/>
              <w:left w:val="single" w:sz="4" w:space="0" w:color="auto"/>
              <w:bottom w:val="single" w:sz="4" w:space="0" w:color="BFBFBF"/>
              <w:right w:val="double" w:sz="6" w:space="0" w:color="000000"/>
            </w:tcBorders>
          </w:tcPr>
          <w:p w14:paraId="050E5C9A" w14:textId="34406AF0" w:rsidR="00154117" w:rsidRPr="00DB6DAB" w:rsidRDefault="00154117" w:rsidP="00E337BE">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Total All Charges</w:t>
            </w:r>
          </w:p>
        </w:tc>
      </w:tr>
      <w:tr w:rsidR="00154117" w:rsidRPr="00DB6DAB" w14:paraId="64433A84" w14:textId="13032663" w:rsidTr="00D92C64">
        <w:trPr>
          <w:trHeight w:val="405"/>
          <w:tblHeader/>
        </w:trPr>
        <w:tc>
          <w:tcPr>
            <w:tcW w:w="2273" w:type="dxa"/>
            <w:tcBorders>
              <w:top w:val="nil"/>
              <w:left w:val="double" w:sz="6" w:space="0" w:color="auto"/>
              <w:bottom w:val="single" w:sz="4" w:space="0" w:color="BFBFBF"/>
              <w:right w:val="nil"/>
            </w:tcBorders>
            <w:shd w:val="clear" w:color="auto" w:fill="auto"/>
            <w:noWrap/>
            <w:vAlign w:val="center"/>
          </w:tcPr>
          <w:p w14:paraId="6809DD77"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 </w:t>
            </w:r>
          </w:p>
        </w:tc>
        <w:tc>
          <w:tcPr>
            <w:tcW w:w="1429" w:type="dxa"/>
            <w:gridSpan w:val="2"/>
            <w:tcBorders>
              <w:top w:val="single" w:sz="4" w:space="0" w:color="BFBFBF"/>
              <w:left w:val="single" w:sz="4" w:space="0" w:color="auto"/>
              <w:bottom w:val="single" w:sz="4" w:space="0" w:color="BFBFBF"/>
              <w:right w:val="single" w:sz="4" w:space="0" w:color="BFBFBF"/>
            </w:tcBorders>
            <w:shd w:val="clear" w:color="auto" w:fill="auto"/>
            <w:noWrap/>
            <w:vAlign w:val="center"/>
          </w:tcPr>
          <w:p w14:paraId="5D820E79"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2014</w:t>
            </w:r>
          </w:p>
        </w:tc>
        <w:tc>
          <w:tcPr>
            <w:tcW w:w="1468" w:type="dxa"/>
            <w:gridSpan w:val="2"/>
            <w:tcBorders>
              <w:top w:val="single" w:sz="4" w:space="0" w:color="BFBFBF"/>
              <w:left w:val="nil"/>
              <w:bottom w:val="single" w:sz="4" w:space="0" w:color="BFBFBF"/>
              <w:right w:val="single" w:sz="4" w:space="0" w:color="BFBFBF"/>
            </w:tcBorders>
            <w:shd w:val="clear" w:color="auto" w:fill="auto"/>
            <w:noWrap/>
            <w:vAlign w:val="center"/>
          </w:tcPr>
          <w:p w14:paraId="6172158A"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2007</w:t>
            </w:r>
          </w:p>
        </w:tc>
        <w:tc>
          <w:tcPr>
            <w:tcW w:w="734" w:type="dxa"/>
            <w:tcBorders>
              <w:top w:val="nil"/>
              <w:left w:val="nil"/>
              <w:bottom w:val="single" w:sz="4" w:space="0" w:color="BFBFBF"/>
              <w:right w:val="single" w:sz="4" w:space="0" w:color="auto"/>
            </w:tcBorders>
            <w:shd w:val="clear" w:color="auto" w:fill="auto"/>
            <w:noWrap/>
            <w:vAlign w:val="center"/>
          </w:tcPr>
          <w:p w14:paraId="70B14A50"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2001</w:t>
            </w:r>
          </w:p>
        </w:tc>
        <w:tc>
          <w:tcPr>
            <w:tcW w:w="1459" w:type="dxa"/>
            <w:gridSpan w:val="2"/>
            <w:tcBorders>
              <w:top w:val="single" w:sz="4" w:space="0" w:color="BFBFBF"/>
              <w:left w:val="nil"/>
              <w:bottom w:val="single" w:sz="4" w:space="0" w:color="BFBFBF"/>
              <w:right w:val="single" w:sz="4" w:space="0" w:color="BFBFBF"/>
            </w:tcBorders>
            <w:shd w:val="clear" w:color="auto" w:fill="auto"/>
            <w:noWrap/>
            <w:vAlign w:val="center"/>
          </w:tcPr>
          <w:p w14:paraId="5C7CD094"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2014</w:t>
            </w:r>
          </w:p>
        </w:tc>
        <w:tc>
          <w:tcPr>
            <w:tcW w:w="1459" w:type="dxa"/>
            <w:gridSpan w:val="2"/>
            <w:tcBorders>
              <w:top w:val="single" w:sz="4" w:space="0" w:color="BFBFBF"/>
              <w:left w:val="nil"/>
              <w:bottom w:val="single" w:sz="4" w:space="0" w:color="BFBFBF"/>
              <w:right w:val="single" w:sz="4" w:space="0" w:color="BFBFBF"/>
            </w:tcBorders>
            <w:shd w:val="clear" w:color="auto" w:fill="auto"/>
            <w:noWrap/>
            <w:vAlign w:val="center"/>
          </w:tcPr>
          <w:p w14:paraId="3B5A9ECC"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auto"/>
            </w:tcBorders>
            <w:shd w:val="clear" w:color="auto" w:fill="auto"/>
            <w:noWrap/>
            <w:vAlign w:val="center"/>
          </w:tcPr>
          <w:p w14:paraId="1E8ADA91"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2001</w:t>
            </w:r>
          </w:p>
        </w:tc>
        <w:tc>
          <w:tcPr>
            <w:tcW w:w="1542" w:type="dxa"/>
            <w:gridSpan w:val="2"/>
            <w:vMerge/>
            <w:tcBorders>
              <w:top w:val="nil"/>
              <w:left w:val="single" w:sz="4" w:space="0" w:color="auto"/>
              <w:bottom w:val="single" w:sz="4" w:space="0" w:color="BFBFBF"/>
              <w:right w:val="single" w:sz="4" w:space="0" w:color="auto"/>
            </w:tcBorders>
            <w:vAlign w:val="center"/>
          </w:tcPr>
          <w:p w14:paraId="4FEFBA13" w14:textId="77777777" w:rsidR="00154117" w:rsidRPr="00DB6DAB" w:rsidRDefault="00154117" w:rsidP="00E337BE">
            <w:pPr>
              <w:spacing w:before="0" w:after="0"/>
              <w:rPr>
                <w:rFonts w:ascii="Arial" w:hAnsi="Arial" w:cs="Arial"/>
                <w:b/>
                <w:bCs/>
                <w:color w:val="000000"/>
                <w:sz w:val="16"/>
                <w:szCs w:val="16"/>
                <w:lang w:val="en-AU" w:eastAsia="en-AU"/>
              </w:rPr>
            </w:pPr>
          </w:p>
        </w:tc>
        <w:tc>
          <w:tcPr>
            <w:tcW w:w="1351" w:type="dxa"/>
            <w:gridSpan w:val="2"/>
            <w:tcBorders>
              <w:top w:val="single" w:sz="4" w:space="0" w:color="BFBFBF"/>
              <w:left w:val="single" w:sz="4" w:space="0" w:color="auto"/>
              <w:bottom w:val="single" w:sz="4" w:space="0" w:color="BFBFBF"/>
              <w:right w:val="single" w:sz="4" w:space="0" w:color="BFBFBF"/>
            </w:tcBorders>
            <w:shd w:val="clear" w:color="auto" w:fill="auto"/>
            <w:vAlign w:val="center"/>
          </w:tcPr>
          <w:p w14:paraId="3AC25D18" w14:textId="77777777" w:rsidR="00154117" w:rsidRPr="00154117" w:rsidRDefault="00154117" w:rsidP="00223CAF">
            <w:pPr>
              <w:spacing w:before="0" w:after="0"/>
              <w:jc w:val="center"/>
              <w:rPr>
                <w:rFonts w:ascii="Arial" w:hAnsi="Arial" w:cs="Arial"/>
                <w:b/>
                <w:color w:val="000000"/>
                <w:sz w:val="16"/>
                <w:szCs w:val="16"/>
                <w:lang w:val="en-AU" w:eastAsia="en-AU"/>
              </w:rPr>
            </w:pPr>
            <w:r w:rsidRPr="00154117">
              <w:rPr>
                <w:rFonts w:ascii="Arial" w:hAnsi="Arial" w:cs="Arial"/>
                <w:b/>
                <w:color w:val="000000"/>
                <w:sz w:val="16"/>
                <w:szCs w:val="16"/>
                <w:lang w:val="en-AU" w:eastAsia="en-AU"/>
              </w:rPr>
              <w:t>2014</w:t>
            </w:r>
          </w:p>
        </w:tc>
        <w:tc>
          <w:tcPr>
            <w:tcW w:w="1351" w:type="dxa"/>
            <w:gridSpan w:val="2"/>
            <w:tcBorders>
              <w:top w:val="single" w:sz="4" w:space="0" w:color="BFBFBF"/>
              <w:left w:val="nil"/>
              <w:bottom w:val="single" w:sz="4" w:space="0" w:color="BFBFBF"/>
              <w:right w:val="double" w:sz="6" w:space="0" w:color="000000"/>
            </w:tcBorders>
            <w:shd w:val="clear" w:color="auto" w:fill="auto"/>
            <w:vAlign w:val="center"/>
          </w:tcPr>
          <w:p w14:paraId="4D7A34AA" w14:textId="77777777" w:rsidR="00154117" w:rsidRPr="00DB6DAB" w:rsidRDefault="00154117" w:rsidP="00223CAF">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2007</w:t>
            </w:r>
          </w:p>
        </w:tc>
        <w:tc>
          <w:tcPr>
            <w:tcW w:w="884" w:type="dxa"/>
            <w:tcBorders>
              <w:top w:val="single" w:sz="4" w:space="0" w:color="BFBFBF"/>
              <w:left w:val="nil"/>
              <w:bottom w:val="single" w:sz="4" w:space="0" w:color="BFBFBF"/>
              <w:right w:val="single" w:sz="4" w:space="0" w:color="BFBFBF" w:themeColor="background1" w:themeShade="BF"/>
            </w:tcBorders>
            <w:vAlign w:val="center"/>
          </w:tcPr>
          <w:p w14:paraId="31861F37" w14:textId="52AEB4F2" w:rsidR="00154117" w:rsidRPr="00DB6DAB" w:rsidRDefault="00154117" w:rsidP="00223CAF">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2014</w:t>
            </w:r>
          </w:p>
        </w:tc>
        <w:tc>
          <w:tcPr>
            <w:tcW w:w="851" w:type="dxa"/>
            <w:tcBorders>
              <w:top w:val="single" w:sz="4" w:space="0" w:color="BFBFBF"/>
              <w:left w:val="single" w:sz="4" w:space="0" w:color="BFBFBF" w:themeColor="background1" w:themeShade="BF"/>
              <w:bottom w:val="single" w:sz="4" w:space="0" w:color="BFBFBF"/>
              <w:right w:val="double" w:sz="6" w:space="0" w:color="000000"/>
            </w:tcBorders>
            <w:vAlign w:val="center"/>
          </w:tcPr>
          <w:p w14:paraId="7AE45E68" w14:textId="136097A3" w:rsidR="00154117" w:rsidRPr="00DB6DAB" w:rsidRDefault="00154117" w:rsidP="00223CAF">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2007</w:t>
            </w:r>
          </w:p>
        </w:tc>
      </w:tr>
      <w:tr w:rsidR="00154117" w:rsidRPr="00DB6DAB" w14:paraId="7079E8BE" w14:textId="2606AFB2" w:rsidTr="00D92C64">
        <w:trPr>
          <w:trHeight w:val="225"/>
          <w:tblHeader/>
        </w:trPr>
        <w:tc>
          <w:tcPr>
            <w:tcW w:w="2273" w:type="dxa"/>
            <w:tcBorders>
              <w:top w:val="nil"/>
              <w:left w:val="double" w:sz="6" w:space="0" w:color="auto"/>
              <w:bottom w:val="single" w:sz="4" w:space="0" w:color="BFBFBF"/>
              <w:right w:val="nil"/>
            </w:tcBorders>
            <w:shd w:val="clear" w:color="auto" w:fill="auto"/>
            <w:noWrap/>
            <w:vAlign w:val="center"/>
          </w:tcPr>
          <w:p w14:paraId="0228D537"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3884ABC"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695" w:type="dxa"/>
            <w:tcBorders>
              <w:top w:val="nil"/>
              <w:left w:val="nil"/>
              <w:bottom w:val="single" w:sz="4" w:space="0" w:color="BFBFBF"/>
              <w:right w:val="single" w:sz="4" w:space="0" w:color="BFBFBF"/>
            </w:tcBorders>
            <w:shd w:val="clear" w:color="auto" w:fill="auto"/>
            <w:noWrap/>
            <w:vAlign w:val="center"/>
          </w:tcPr>
          <w:p w14:paraId="4EA81180"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20B42801"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3A6F734C"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auto"/>
            </w:tcBorders>
            <w:shd w:val="clear" w:color="auto" w:fill="auto"/>
            <w:noWrap/>
            <w:vAlign w:val="center"/>
          </w:tcPr>
          <w:p w14:paraId="60A708A5"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817" w:type="dxa"/>
            <w:tcBorders>
              <w:top w:val="nil"/>
              <w:left w:val="nil"/>
              <w:bottom w:val="single" w:sz="4" w:space="0" w:color="BFBFBF"/>
              <w:right w:val="single" w:sz="4" w:space="0" w:color="BFBFBF"/>
            </w:tcBorders>
            <w:shd w:val="clear" w:color="auto" w:fill="auto"/>
            <w:noWrap/>
            <w:vAlign w:val="center"/>
          </w:tcPr>
          <w:p w14:paraId="03037A36"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642" w:type="dxa"/>
            <w:tcBorders>
              <w:top w:val="nil"/>
              <w:left w:val="nil"/>
              <w:bottom w:val="single" w:sz="4" w:space="0" w:color="BFBFBF"/>
              <w:right w:val="single" w:sz="4" w:space="0" w:color="BFBFBF"/>
            </w:tcBorders>
            <w:shd w:val="clear" w:color="auto" w:fill="auto"/>
            <w:noWrap/>
            <w:vAlign w:val="center"/>
          </w:tcPr>
          <w:p w14:paraId="37741C0B"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817" w:type="dxa"/>
            <w:tcBorders>
              <w:top w:val="nil"/>
              <w:left w:val="nil"/>
              <w:bottom w:val="single" w:sz="4" w:space="0" w:color="BFBFBF"/>
              <w:right w:val="single" w:sz="4" w:space="0" w:color="BFBFBF"/>
            </w:tcBorders>
            <w:shd w:val="clear" w:color="auto" w:fill="auto"/>
            <w:noWrap/>
            <w:vAlign w:val="center"/>
          </w:tcPr>
          <w:p w14:paraId="7C64B533"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642" w:type="dxa"/>
            <w:tcBorders>
              <w:top w:val="nil"/>
              <w:left w:val="nil"/>
              <w:bottom w:val="single" w:sz="4" w:space="0" w:color="BFBFBF"/>
              <w:right w:val="single" w:sz="4" w:space="0" w:color="BFBFBF"/>
            </w:tcBorders>
            <w:shd w:val="clear" w:color="auto" w:fill="auto"/>
            <w:noWrap/>
            <w:vAlign w:val="center"/>
          </w:tcPr>
          <w:p w14:paraId="3E886940" w14:textId="77777777" w:rsidR="00154117" w:rsidRPr="00DB6DAB" w:rsidRDefault="00154117" w:rsidP="00154117">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123AA2AE" w14:textId="28B5B27C" w:rsidR="00154117" w:rsidRPr="00DB6DAB" w:rsidRDefault="00154117" w:rsidP="00154117">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E7FAC4C" w14:textId="202584C0" w:rsidR="00154117" w:rsidRPr="00DB6DAB" w:rsidRDefault="00223CAF" w:rsidP="00223CAF">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w:t>
            </w:r>
          </w:p>
        </w:tc>
        <w:tc>
          <w:tcPr>
            <w:tcW w:w="734" w:type="dxa"/>
            <w:tcBorders>
              <w:top w:val="nil"/>
              <w:left w:val="nil"/>
              <w:bottom w:val="single" w:sz="4" w:space="0" w:color="BFBFBF"/>
              <w:right w:val="single" w:sz="4" w:space="0" w:color="auto"/>
            </w:tcBorders>
            <w:shd w:val="clear" w:color="auto" w:fill="auto"/>
            <w:noWrap/>
            <w:vAlign w:val="center"/>
          </w:tcPr>
          <w:p w14:paraId="3301DD91"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699DC430"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617" w:type="dxa"/>
            <w:tcBorders>
              <w:top w:val="nil"/>
              <w:left w:val="nil"/>
              <w:bottom w:val="single" w:sz="4" w:space="0" w:color="BFBFBF"/>
              <w:right w:val="single" w:sz="4" w:space="0" w:color="BFBFBF"/>
            </w:tcBorders>
            <w:shd w:val="clear" w:color="auto" w:fill="auto"/>
            <w:noWrap/>
            <w:vAlign w:val="center"/>
          </w:tcPr>
          <w:p w14:paraId="647C4E56"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0FD61E79"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617" w:type="dxa"/>
            <w:tcBorders>
              <w:top w:val="nil"/>
              <w:left w:val="nil"/>
              <w:bottom w:val="single" w:sz="4" w:space="0" w:color="BFBFBF"/>
              <w:right w:val="double" w:sz="6" w:space="0" w:color="auto"/>
            </w:tcBorders>
            <w:shd w:val="clear" w:color="auto" w:fill="auto"/>
            <w:noWrap/>
            <w:vAlign w:val="center"/>
          </w:tcPr>
          <w:p w14:paraId="245BCAA5" w14:textId="77777777" w:rsidR="00154117" w:rsidRPr="00DB6DAB" w:rsidRDefault="00154117" w:rsidP="00E337BE">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w:t>
            </w:r>
          </w:p>
        </w:tc>
        <w:tc>
          <w:tcPr>
            <w:tcW w:w="884" w:type="dxa"/>
            <w:tcBorders>
              <w:top w:val="nil"/>
              <w:left w:val="nil"/>
              <w:bottom w:val="single" w:sz="4" w:space="0" w:color="BFBFBF"/>
              <w:right w:val="single" w:sz="4" w:space="0" w:color="BFBFBF" w:themeColor="background1" w:themeShade="BF"/>
            </w:tcBorders>
            <w:vAlign w:val="center"/>
          </w:tcPr>
          <w:p w14:paraId="18F5B88B" w14:textId="4542EFD2" w:rsidR="00154117" w:rsidRPr="00DB6DAB" w:rsidRDefault="00223CAF" w:rsidP="00223CAF">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698F1980" w14:textId="33F71CAA" w:rsidR="00154117" w:rsidRPr="00DB6DAB" w:rsidRDefault="00223CAF" w:rsidP="00223CAF">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lang w:val="en-AU" w:eastAsia="en-AU"/>
              </w:rPr>
              <w:t>$</w:t>
            </w:r>
          </w:p>
        </w:tc>
      </w:tr>
      <w:tr w:rsidR="00223CAF" w:rsidRPr="00DB6DAB" w14:paraId="0F09DB87" w14:textId="31D23B89" w:rsidTr="00D92C64">
        <w:trPr>
          <w:trHeight w:val="225"/>
          <w:tblHeader/>
        </w:trPr>
        <w:tc>
          <w:tcPr>
            <w:tcW w:w="2273" w:type="dxa"/>
            <w:tcBorders>
              <w:top w:val="nil"/>
              <w:left w:val="double" w:sz="6" w:space="0" w:color="auto"/>
              <w:bottom w:val="single" w:sz="4" w:space="0" w:color="BFBFBF"/>
              <w:right w:val="nil"/>
            </w:tcBorders>
            <w:shd w:val="clear" w:color="auto" w:fill="auto"/>
            <w:noWrap/>
            <w:vAlign w:val="center"/>
          </w:tcPr>
          <w:p w14:paraId="0FE2A1D6" w14:textId="77777777" w:rsidR="00223CAF" w:rsidRPr="00DB6DAB" w:rsidRDefault="00223CAF"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Sub-group</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46735EF" w14:textId="77777777"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n=1,547</w:t>
            </w:r>
          </w:p>
        </w:tc>
        <w:tc>
          <w:tcPr>
            <w:tcW w:w="695" w:type="dxa"/>
            <w:tcBorders>
              <w:top w:val="nil"/>
              <w:left w:val="nil"/>
              <w:bottom w:val="single" w:sz="4" w:space="0" w:color="BFBFBF"/>
              <w:right w:val="single" w:sz="4" w:space="0" w:color="BFBFBF"/>
            </w:tcBorders>
            <w:shd w:val="clear" w:color="auto" w:fill="auto"/>
            <w:noWrap/>
            <w:vAlign w:val="center"/>
          </w:tcPr>
          <w:p w14:paraId="068CC53B" w14:textId="5A2FF1B3"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n=12</w:t>
            </w:r>
            <w:r>
              <w:rPr>
                <w:rFonts w:ascii="Arial" w:hAnsi="Arial" w:cs="Arial"/>
                <w:b/>
                <w:bCs/>
                <w:color w:val="000000"/>
                <w:sz w:val="14"/>
                <w:szCs w:val="14"/>
                <w:lang w:val="en-AU" w:eastAsia="en-AU"/>
              </w:rPr>
              <w:t>44</w:t>
            </w:r>
          </w:p>
        </w:tc>
        <w:tc>
          <w:tcPr>
            <w:tcW w:w="734" w:type="dxa"/>
            <w:tcBorders>
              <w:top w:val="nil"/>
              <w:left w:val="nil"/>
              <w:bottom w:val="single" w:sz="4" w:space="0" w:color="BFBFBF"/>
              <w:right w:val="single" w:sz="4" w:space="0" w:color="BFBFBF"/>
            </w:tcBorders>
            <w:shd w:val="clear" w:color="auto" w:fill="auto"/>
            <w:noWrap/>
            <w:vAlign w:val="center"/>
          </w:tcPr>
          <w:p w14:paraId="61770CC6" w14:textId="77777777"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n=1,579</w:t>
            </w:r>
          </w:p>
        </w:tc>
        <w:tc>
          <w:tcPr>
            <w:tcW w:w="734" w:type="dxa"/>
            <w:tcBorders>
              <w:top w:val="nil"/>
              <w:left w:val="nil"/>
              <w:bottom w:val="single" w:sz="4" w:space="0" w:color="BFBFBF"/>
              <w:right w:val="single" w:sz="4" w:space="0" w:color="BFBFBF"/>
            </w:tcBorders>
            <w:shd w:val="clear" w:color="auto" w:fill="auto"/>
            <w:noWrap/>
            <w:vAlign w:val="center"/>
          </w:tcPr>
          <w:p w14:paraId="2F31E571" w14:textId="77777777"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n=1,266</w:t>
            </w:r>
          </w:p>
        </w:tc>
        <w:tc>
          <w:tcPr>
            <w:tcW w:w="734" w:type="dxa"/>
            <w:tcBorders>
              <w:top w:val="nil"/>
              <w:left w:val="nil"/>
              <w:bottom w:val="single" w:sz="4" w:space="0" w:color="BFBFBF"/>
              <w:right w:val="single" w:sz="4" w:space="0" w:color="auto"/>
            </w:tcBorders>
            <w:shd w:val="clear" w:color="auto" w:fill="auto"/>
            <w:noWrap/>
            <w:vAlign w:val="center"/>
          </w:tcPr>
          <w:p w14:paraId="283BEDE7" w14:textId="77777777"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n=1,019</w:t>
            </w:r>
          </w:p>
        </w:tc>
        <w:tc>
          <w:tcPr>
            <w:tcW w:w="817" w:type="dxa"/>
            <w:tcBorders>
              <w:top w:val="nil"/>
              <w:left w:val="nil"/>
              <w:bottom w:val="single" w:sz="4" w:space="0" w:color="BFBFBF"/>
              <w:right w:val="single" w:sz="4" w:space="0" w:color="BFBFBF"/>
            </w:tcBorders>
            <w:shd w:val="clear" w:color="auto" w:fill="auto"/>
            <w:noWrap/>
            <w:vAlign w:val="center"/>
          </w:tcPr>
          <w:p w14:paraId="1E228632" w14:textId="77777777"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n=1,547</w:t>
            </w:r>
          </w:p>
        </w:tc>
        <w:tc>
          <w:tcPr>
            <w:tcW w:w="642" w:type="dxa"/>
            <w:tcBorders>
              <w:top w:val="nil"/>
              <w:left w:val="nil"/>
              <w:bottom w:val="single" w:sz="4" w:space="0" w:color="BFBFBF"/>
              <w:right w:val="single" w:sz="4" w:space="0" w:color="BFBFBF"/>
            </w:tcBorders>
            <w:shd w:val="clear" w:color="auto" w:fill="auto"/>
            <w:noWrap/>
            <w:vAlign w:val="center"/>
          </w:tcPr>
          <w:p w14:paraId="2D82E663" w14:textId="1F159494"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n=13</w:t>
            </w:r>
            <w:r>
              <w:rPr>
                <w:rFonts w:ascii="Arial" w:hAnsi="Arial" w:cs="Arial"/>
                <w:b/>
                <w:bCs/>
                <w:color w:val="000000"/>
                <w:sz w:val="14"/>
                <w:szCs w:val="14"/>
                <w:lang w:val="en-AU" w:eastAsia="en-AU"/>
              </w:rPr>
              <w:t>1</w:t>
            </w:r>
          </w:p>
        </w:tc>
        <w:tc>
          <w:tcPr>
            <w:tcW w:w="817" w:type="dxa"/>
            <w:tcBorders>
              <w:top w:val="nil"/>
              <w:left w:val="nil"/>
              <w:bottom w:val="single" w:sz="4" w:space="0" w:color="BFBFBF"/>
              <w:right w:val="single" w:sz="4" w:space="0" w:color="BFBFBF"/>
            </w:tcBorders>
            <w:shd w:val="clear" w:color="auto" w:fill="auto"/>
            <w:noWrap/>
            <w:vAlign w:val="center"/>
          </w:tcPr>
          <w:p w14:paraId="11CD1C9D" w14:textId="77777777"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n=1,579</w:t>
            </w:r>
          </w:p>
        </w:tc>
        <w:tc>
          <w:tcPr>
            <w:tcW w:w="642" w:type="dxa"/>
            <w:tcBorders>
              <w:top w:val="nil"/>
              <w:left w:val="nil"/>
              <w:bottom w:val="single" w:sz="4" w:space="0" w:color="BFBFBF"/>
              <w:right w:val="single" w:sz="4" w:space="0" w:color="BFBFBF"/>
            </w:tcBorders>
            <w:shd w:val="clear" w:color="auto" w:fill="auto"/>
            <w:noWrap/>
            <w:vAlign w:val="center"/>
          </w:tcPr>
          <w:p w14:paraId="04CF72CE" w14:textId="77777777"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N=320</w:t>
            </w:r>
          </w:p>
        </w:tc>
        <w:tc>
          <w:tcPr>
            <w:tcW w:w="808" w:type="dxa"/>
            <w:tcBorders>
              <w:top w:val="nil"/>
              <w:left w:val="nil"/>
              <w:bottom w:val="single" w:sz="4" w:space="0" w:color="BFBFBF"/>
              <w:right w:val="nil"/>
            </w:tcBorders>
            <w:shd w:val="clear" w:color="auto" w:fill="auto"/>
            <w:noWrap/>
            <w:vAlign w:val="center"/>
          </w:tcPr>
          <w:p w14:paraId="2573EC0E" w14:textId="5DEC4811" w:rsidR="00223CAF" w:rsidRPr="00DB6DAB" w:rsidRDefault="00223CAF" w:rsidP="00223CAF">
            <w:pPr>
              <w:spacing w:before="0" w:after="0"/>
              <w:jc w:val="center"/>
              <w:rPr>
                <w:rFonts w:ascii="Arial" w:hAnsi="Arial" w:cs="Arial"/>
                <w:b/>
                <w:bCs/>
                <w:color w:val="000000"/>
                <w:sz w:val="14"/>
                <w:szCs w:val="14"/>
                <w:lang w:val="en-AU" w:eastAsia="en-AU"/>
              </w:rPr>
            </w:pPr>
            <w:r>
              <w:rPr>
                <w:rFonts w:ascii="Arial" w:hAnsi="Arial" w:cs="Arial"/>
                <w:b/>
                <w:bCs/>
                <w:color w:val="000000"/>
                <w:sz w:val="16"/>
                <w:szCs w:val="16"/>
              </w:rPr>
              <w:t>n=687</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B3396CC" w14:textId="37A40D54" w:rsidR="00223CAF" w:rsidRPr="00DB6DAB" w:rsidRDefault="00223CAF" w:rsidP="00223CAF">
            <w:pPr>
              <w:spacing w:before="0" w:after="0"/>
              <w:jc w:val="center"/>
              <w:rPr>
                <w:rFonts w:ascii="Arial" w:hAnsi="Arial" w:cs="Arial"/>
                <w:b/>
                <w:bCs/>
                <w:color w:val="000000"/>
                <w:sz w:val="14"/>
                <w:szCs w:val="14"/>
                <w:lang w:val="en-AU" w:eastAsia="en-AU"/>
              </w:rPr>
            </w:pPr>
            <w:r>
              <w:rPr>
                <w:rFonts w:ascii="Arial" w:hAnsi="Arial" w:cs="Arial"/>
                <w:b/>
                <w:bCs/>
                <w:color w:val="000000"/>
                <w:sz w:val="16"/>
                <w:szCs w:val="16"/>
              </w:rPr>
              <w:t>n=1,547</w:t>
            </w:r>
          </w:p>
        </w:tc>
        <w:tc>
          <w:tcPr>
            <w:tcW w:w="734" w:type="dxa"/>
            <w:tcBorders>
              <w:top w:val="nil"/>
              <w:left w:val="nil"/>
              <w:bottom w:val="single" w:sz="4" w:space="0" w:color="BFBFBF"/>
              <w:right w:val="single" w:sz="4" w:space="0" w:color="auto"/>
            </w:tcBorders>
            <w:shd w:val="clear" w:color="auto" w:fill="auto"/>
            <w:noWrap/>
            <w:vAlign w:val="center"/>
          </w:tcPr>
          <w:p w14:paraId="352CF56A" w14:textId="4CA278B4"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w:t>
            </w:r>
            <w:r>
              <w:rPr>
                <w:rFonts w:ascii="Arial" w:hAnsi="Arial" w:cs="Arial"/>
                <w:b/>
                <w:bCs/>
                <w:color w:val="000000"/>
                <w:sz w:val="14"/>
                <w:szCs w:val="14"/>
                <w:lang w:val="en-AU" w:eastAsia="en-AU"/>
              </w:rPr>
              <w:t>,</w:t>
            </w:r>
            <w:r w:rsidRPr="00DB6DAB">
              <w:rPr>
                <w:rFonts w:ascii="Arial" w:hAnsi="Arial" w:cs="Arial"/>
                <w:b/>
                <w:bCs/>
                <w:color w:val="000000"/>
                <w:sz w:val="14"/>
                <w:szCs w:val="14"/>
                <w:lang w:val="en-AU" w:eastAsia="en-AU"/>
              </w:rPr>
              <w:t>5</w:t>
            </w:r>
            <w:r>
              <w:rPr>
                <w:rFonts w:ascii="Arial" w:hAnsi="Arial" w:cs="Arial"/>
                <w:b/>
                <w:bCs/>
                <w:color w:val="000000"/>
                <w:sz w:val="14"/>
                <w:szCs w:val="14"/>
                <w:lang w:val="en-AU" w:eastAsia="en-AU"/>
              </w:rPr>
              <w:t>32</w:t>
            </w:r>
          </w:p>
        </w:tc>
        <w:tc>
          <w:tcPr>
            <w:tcW w:w="734" w:type="dxa"/>
            <w:tcBorders>
              <w:top w:val="nil"/>
              <w:left w:val="nil"/>
              <w:bottom w:val="single" w:sz="4" w:space="0" w:color="BFBFBF"/>
              <w:right w:val="single" w:sz="4" w:space="0" w:color="BFBFBF"/>
            </w:tcBorders>
            <w:shd w:val="clear" w:color="auto" w:fill="auto"/>
            <w:noWrap/>
            <w:vAlign w:val="center"/>
          </w:tcPr>
          <w:p w14:paraId="18CFAD2A" w14:textId="77777777"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n=1,547</w:t>
            </w:r>
          </w:p>
        </w:tc>
        <w:tc>
          <w:tcPr>
            <w:tcW w:w="617" w:type="dxa"/>
            <w:tcBorders>
              <w:top w:val="nil"/>
              <w:left w:val="nil"/>
              <w:bottom w:val="single" w:sz="4" w:space="0" w:color="BFBFBF"/>
              <w:right w:val="single" w:sz="4" w:space="0" w:color="BFBFBF"/>
            </w:tcBorders>
            <w:shd w:val="clear" w:color="auto" w:fill="auto"/>
            <w:noWrap/>
            <w:vAlign w:val="center"/>
          </w:tcPr>
          <w:p w14:paraId="7232ECEF" w14:textId="77777777"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n=184</w:t>
            </w:r>
          </w:p>
        </w:tc>
        <w:tc>
          <w:tcPr>
            <w:tcW w:w="734" w:type="dxa"/>
            <w:tcBorders>
              <w:top w:val="nil"/>
              <w:left w:val="nil"/>
              <w:bottom w:val="single" w:sz="4" w:space="0" w:color="BFBFBF"/>
              <w:right w:val="single" w:sz="4" w:space="0" w:color="BFBFBF"/>
            </w:tcBorders>
            <w:shd w:val="clear" w:color="auto" w:fill="auto"/>
            <w:noWrap/>
            <w:vAlign w:val="center"/>
          </w:tcPr>
          <w:p w14:paraId="26B8945F" w14:textId="77777777"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n=1,579</w:t>
            </w:r>
          </w:p>
        </w:tc>
        <w:tc>
          <w:tcPr>
            <w:tcW w:w="617" w:type="dxa"/>
            <w:tcBorders>
              <w:top w:val="nil"/>
              <w:left w:val="nil"/>
              <w:bottom w:val="single" w:sz="4" w:space="0" w:color="BFBFBF"/>
              <w:right w:val="double" w:sz="6" w:space="0" w:color="auto"/>
            </w:tcBorders>
            <w:shd w:val="clear" w:color="auto" w:fill="auto"/>
            <w:noWrap/>
            <w:vAlign w:val="center"/>
          </w:tcPr>
          <w:p w14:paraId="1220CA9E" w14:textId="77777777" w:rsidR="00223CAF" w:rsidRPr="00DB6DAB" w:rsidRDefault="00223CAF" w:rsidP="00154117">
            <w:pPr>
              <w:spacing w:before="0" w:after="0"/>
              <w:jc w:val="center"/>
              <w:rPr>
                <w:rFonts w:ascii="Arial" w:hAnsi="Arial" w:cs="Arial"/>
                <w:b/>
                <w:bCs/>
                <w:color w:val="000000"/>
                <w:sz w:val="14"/>
                <w:szCs w:val="14"/>
                <w:lang w:val="en-AU" w:eastAsia="en-AU"/>
              </w:rPr>
            </w:pPr>
            <w:r w:rsidRPr="00DB6DAB">
              <w:rPr>
                <w:rFonts w:ascii="Arial" w:hAnsi="Arial" w:cs="Arial"/>
                <w:b/>
                <w:bCs/>
                <w:color w:val="000000"/>
                <w:sz w:val="14"/>
                <w:szCs w:val="14"/>
                <w:lang w:val="en-AU" w:eastAsia="en-AU"/>
              </w:rPr>
              <w:t>n=185</w:t>
            </w:r>
          </w:p>
        </w:tc>
        <w:tc>
          <w:tcPr>
            <w:tcW w:w="884" w:type="dxa"/>
            <w:tcBorders>
              <w:top w:val="nil"/>
              <w:left w:val="nil"/>
              <w:bottom w:val="single" w:sz="4" w:space="0" w:color="BFBFBF"/>
              <w:right w:val="single" w:sz="4" w:space="0" w:color="BFBFBF" w:themeColor="background1" w:themeShade="BF"/>
            </w:tcBorders>
            <w:vAlign w:val="center"/>
          </w:tcPr>
          <w:p w14:paraId="3E5FE064" w14:textId="6D50D7F1" w:rsidR="00223CAF" w:rsidRPr="00DB6DAB" w:rsidRDefault="00223CAF" w:rsidP="00223CAF">
            <w:pPr>
              <w:spacing w:before="0" w:after="0"/>
              <w:jc w:val="center"/>
              <w:rPr>
                <w:rFonts w:ascii="Arial" w:hAnsi="Arial" w:cs="Arial"/>
                <w:b/>
                <w:bCs/>
                <w:color w:val="000000"/>
                <w:sz w:val="14"/>
                <w:szCs w:val="14"/>
                <w:lang w:val="en-AU" w:eastAsia="en-AU"/>
              </w:rPr>
            </w:pPr>
            <w:r>
              <w:rPr>
                <w:rFonts w:ascii="Arial" w:hAnsi="Arial" w:cs="Arial"/>
                <w:b/>
                <w:bCs/>
                <w:color w:val="000000"/>
                <w:sz w:val="16"/>
                <w:szCs w:val="16"/>
              </w:rPr>
              <w:t>n=1,545</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6942D028" w14:textId="51793D53" w:rsidR="00223CAF" w:rsidRPr="00DB6DAB" w:rsidRDefault="00223CAF" w:rsidP="00223CAF">
            <w:pPr>
              <w:spacing w:before="0" w:after="0"/>
              <w:jc w:val="center"/>
              <w:rPr>
                <w:rFonts w:ascii="Arial" w:hAnsi="Arial" w:cs="Arial"/>
                <w:b/>
                <w:bCs/>
                <w:color w:val="000000"/>
                <w:sz w:val="14"/>
                <w:szCs w:val="14"/>
                <w:lang w:val="en-AU" w:eastAsia="en-AU"/>
              </w:rPr>
            </w:pPr>
            <w:r>
              <w:rPr>
                <w:rFonts w:ascii="Arial" w:hAnsi="Arial" w:cs="Arial"/>
                <w:b/>
                <w:bCs/>
                <w:color w:val="000000"/>
                <w:sz w:val="16"/>
                <w:szCs w:val="16"/>
              </w:rPr>
              <w:t>n=1,574</w:t>
            </w:r>
          </w:p>
        </w:tc>
      </w:tr>
      <w:tr w:rsidR="00154117" w:rsidRPr="00DB6DAB" w14:paraId="2B1AB826" w14:textId="4338831F"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08379281" w14:textId="77777777" w:rsidR="00154117" w:rsidRPr="00DB6DAB" w:rsidRDefault="00154117"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By Region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6FC04C7" w14:textId="11F817F2" w:rsidR="00154117" w:rsidRPr="00DB6DAB" w:rsidRDefault="00154117" w:rsidP="00154117">
            <w:pPr>
              <w:spacing w:before="0" w:after="0"/>
              <w:jc w:val="center"/>
              <w:rPr>
                <w:rFonts w:ascii="Arial" w:hAnsi="Arial" w:cs="Arial"/>
                <w:color w:val="FF0000"/>
                <w:sz w:val="16"/>
                <w:szCs w:val="16"/>
                <w:lang w:val="en-AU" w:eastAsia="en-AU"/>
              </w:rPr>
            </w:pPr>
          </w:p>
        </w:tc>
        <w:tc>
          <w:tcPr>
            <w:tcW w:w="695" w:type="dxa"/>
            <w:tcBorders>
              <w:top w:val="nil"/>
              <w:left w:val="nil"/>
              <w:bottom w:val="single" w:sz="4" w:space="0" w:color="BFBFBF"/>
              <w:right w:val="single" w:sz="4" w:space="0" w:color="BFBFBF"/>
            </w:tcBorders>
            <w:shd w:val="clear" w:color="auto" w:fill="auto"/>
            <w:noWrap/>
            <w:vAlign w:val="center"/>
          </w:tcPr>
          <w:p w14:paraId="1D501CB0" w14:textId="75BB5E86" w:rsidR="00154117" w:rsidRPr="00DB6DAB" w:rsidRDefault="00154117"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25694FF9" w14:textId="3026430D" w:rsidR="00154117" w:rsidRPr="00DB6DAB" w:rsidRDefault="00154117"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542DDA99" w14:textId="46E713AD" w:rsidR="00154117" w:rsidRPr="00DB6DAB" w:rsidRDefault="00154117"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auto"/>
            </w:tcBorders>
            <w:shd w:val="clear" w:color="auto" w:fill="auto"/>
            <w:noWrap/>
            <w:vAlign w:val="center"/>
          </w:tcPr>
          <w:p w14:paraId="7E2802EF" w14:textId="29EAB867" w:rsidR="00154117" w:rsidRPr="00DB6DAB" w:rsidRDefault="00154117" w:rsidP="00154117">
            <w:pPr>
              <w:spacing w:before="0" w:after="0"/>
              <w:jc w:val="center"/>
              <w:rPr>
                <w:rFonts w:ascii="Arial" w:hAnsi="Arial" w:cs="Arial"/>
                <w:color w:val="000000"/>
                <w:sz w:val="16"/>
                <w:szCs w:val="16"/>
                <w:lang w:val="en-AU" w:eastAsia="en-AU"/>
              </w:rPr>
            </w:pPr>
          </w:p>
        </w:tc>
        <w:tc>
          <w:tcPr>
            <w:tcW w:w="817" w:type="dxa"/>
            <w:tcBorders>
              <w:top w:val="nil"/>
              <w:left w:val="nil"/>
              <w:bottom w:val="single" w:sz="4" w:space="0" w:color="BFBFBF"/>
              <w:right w:val="single" w:sz="4" w:space="0" w:color="BFBFBF"/>
            </w:tcBorders>
            <w:shd w:val="clear" w:color="auto" w:fill="auto"/>
            <w:noWrap/>
            <w:vAlign w:val="center"/>
          </w:tcPr>
          <w:p w14:paraId="6005857B" w14:textId="49C1F525" w:rsidR="00154117" w:rsidRPr="00DB6DAB" w:rsidRDefault="00154117" w:rsidP="00154117">
            <w:pPr>
              <w:spacing w:before="0" w:after="0"/>
              <w:jc w:val="center"/>
              <w:rPr>
                <w:rFonts w:ascii="Arial" w:hAnsi="Arial" w:cs="Arial"/>
                <w:color w:val="FF0000"/>
                <w:sz w:val="16"/>
                <w:szCs w:val="16"/>
                <w:lang w:val="en-AU" w:eastAsia="en-AU"/>
              </w:rPr>
            </w:pPr>
          </w:p>
        </w:tc>
        <w:tc>
          <w:tcPr>
            <w:tcW w:w="642" w:type="dxa"/>
            <w:tcBorders>
              <w:top w:val="nil"/>
              <w:left w:val="nil"/>
              <w:bottom w:val="single" w:sz="4" w:space="0" w:color="BFBFBF"/>
              <w:right w:val="single" w:sz="4" w:space="0" w:color="BFBFBF"/>
            </w:tcBorders>
            <w:shd w:val="clear" w:color="auto" w:fill="auto"/>
            <w:noWrap/>
            <w:vAlign w:val="center"/>
          </w:tcPr>
          <w:p w14:paraId="4EDEA6DC" w14:textId="30E668FB" w:rsidR="00154117" w:rsidRPr="00DB6DAB" w:rsidRDefault="00154117" w:rsidP="00154117">
            <w:pPr>
              <w:spacing w:before="0" w:after="0"/>
              <w:jc w:val="center"/>
              <w:rPr>
                <w:rFonts w:ascii="Arial" w:hAnsi="Arial" w:cs="Arial"/>
                <w:color w:val="000000"/>
                <w:sz w:val="16"/>
                <w:szCs w:val="16"/>
                <w:lang w:val="en-AU" w:eastAsia="en-AU"/>
              </w:rPr>
            </w:pPr>
          </w:p>
        </w:tc>
        <w:tc>
          <w:tcPr>
            <w:tcW w:w="817" w:type="dxa"/>
            <w:tcBorders>
              <w:top w:val="nil"/>
              <w:left w:val="nil"/>
              <w:bottom w:val="single" w:sz="4" w:space="0" w:color="BFBFBF"/>
              <w:right w:val="single" w:sz="4" w:space="0" w:color="BFBFBF"/>
            </w:tcBorders>
            <w:shd w:val="clear" w:color="auto" w:fill="auto"/>
            <w:noWrap/>
            <w:vAlign w:val="center"/>
          </w:tcPr>
          <w:p w14:paraId="4EB42455" w14:textId="1256252D" w:rsidR="00154117" w:rsidRPr="00DB6DAB" w:rsidRDefault="00154117" w:rsidP="00154117">
            <w:pPr>
              <w:spacing w:before="0" w:after="0"/>
              <w:jc w:val="center"/>
              <w:rPr>
                <w:rFonts w:ascii="Arial" w:hAnsi="Arial" w:cs="Arial"/>
                <w:color w:val="000000"/>
                <w:sz w:val="16"/>
                <w:szCs w:val="16"/>
                <w:lang w:val="en-AU" w:eastAsia="en-AU"/>
              </w:rPr>
            </w:pPr>
          </w:p>
        </w:tc>
        <w:tc>
          <w:tcPr>
            <w:tcW w:w="642" w:type="dxa"/>
            <w:tcBorders>
              <w:top w:val="nil"/>
              <w:left w:val="nil"/>
              <w:bottom w:val="single" w:sz="4" w:space="0" w:color="BFBFBF"/>
              <w:right w:val="single" w:sz="4" w:space="0" w:color="BFBFBF"/>
            </w:tcBorders>
            <w:shd w:val="clear" w:color="auto" w:fill="auto"/>
            <w:noWrap/>
            <w:vAlign w:val="center"/>
          </w:tcPr>
          <w:p w14:paraId="6FE2A59F" w14:textId="0DDCE779" w:rsidR="00154117" w:rsidRPr="00DB6DAB" w:rsidRDefault="00154117" w:rsidP="00154117">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nil"/>
            </w:tcBorders>
            <w:shd w:val="clear" w:color="auto" w:fill="auto"/>
            <w:noWrap/>
            <w:vAlign w:val="bottom"/>
          </w:tcPr>
          <w:p w14:paraId="64F8AF4F" w14:textId="301D42E4" w:rsidR="00154117" w:rsidRPr="00DB6DAB" w:rsidRDefault="00154117"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0</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36A4EEE" w14:textId="6D9BE8B6" w:rsidR="00154117" w:rsidRPr="00DB6DAB" w:rsidRDefault="00154117" w:rsidP="00154117">
            <w:pPr>
              <w:spacing w:before="0" w:after="0"/>
              <w:jc w:val="center"/>
              <w:rPr>
                <w:rFonts w:ascii="Arial" w:hAnsi="Arial" w:cs="Arial"/>
                <w:color w:val="FF0000"/>
                <w:sz w:val="16"/>
                <w:szCs w:val="16"/>
                <w:lang w:val="en-AU" w:eastAsia="en-AU"/>
              </w:rPr>
            </w:pPr>
            <w:r>
              <w:rPr>
                <w:rFonts w:ascii="Arial" w:hAnsi="Arial" w:cs="Arial"/>
                <w:color w:val="000000"/>
                <w:sz w:val="16"/>
                <w:szCs w:val="16"/>
              </w:rPr>
              <w:t> </w:t>
            </w:r>
          </w:p>
        </w:tc>
        <w:tc>
          <w:tcPr>
            <w:tcW w:w="734" w:type="dxa"/>
            <w:tcBorders>
              <w:top w:val="nil"/>
              <w:left w:val="nil"/>
              <w:bottom w:val="single" w:sz="4" w:space="0" w:color="BFBFBF"/>
              <w:right w:val="single" w:sz="4" w:space="0" w:color="auto"/>
            </w:tcBorders>
            <w:shd w:val="clear" w:color="auto" w:fill="auto"/>
            <w:noWrap/>
            <w:vAlign w:val="center"/>
          </w:tcPr>
          <w:p w14:paraId="1062C326" w14:textId="0ADEC764" w:rsidR="00154117" w:rsidRPr="00DB6DAB" w:rsidRDefault="00154117"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37E5559B" w14:textId="7FDB5815" w:rsidR="00154117" w:rsidRPr="00DB6DAB" w:rsidRDefault="00154117" w:rsidP="00154117">
            <w:pPr>
              <w:spacing w:before="0" w:after="0"/>
              <w:jc w:val="center"/>
              <w:rPr>
                <w:rFonts w:ascii="Arial" w:hAnsi="Arial" w:cs="Arial"/>
                <w:color w:val="FF0000"/>
                <w:sz w:val="16"/>
                <w:szCs w:val="16"/>
                <w:lang w:val="en-AU" w:eastAsia="en-AU"/>
              </w:rPr>
            </w:pPr>
          </w:p>
        </w:tc>
        <w:tc>
          <w:tcPr>
            <w:tcW w:w="617" w:type="dxa"/>
            <w:tcBorders>
              <w:top w:val="nil"/>
              <w:left w:val="nil"/>
              <w:bottom w:val="single" w:sz="4" w:space="0" w:color="BFBFBF"/>
              <w:right w:val="single" w:sz="4" w:space="0" w:color="BFBFBF"/>
            </w:tcBorders>
            <w:shd w:val="clear" w:color="auto" w:fill="auto"/>
            <w:noWrap/>
            <w:vAlign w:val="center"/>
          </w:tcPr>
          <w:p w14:paraId="7411FC1D" w14:textId="1CCF13CB" w:rsidR="00154117" w:rsidRPr="00DB6DAB" w:rsidRDefault="00154117"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7101D872" w14:textId="4F371774" w:rsidR="00154117" w:rsidRPr="00DB6DAB" w:rsidRDefault="00154117" w:rsidP="00154117">
            <w:pPr>
              <w:spacing w:before="0" w:after="0"/>
              <w:jc w:val="center"/>
              <w:rPr>
                <w:rFonts w:ascii="Arial" w:hAnsi="Arial" w:cs="Arial"/>
                <w:color w:val="000000"/>
                <w:sz w:val="16"/>
                <w:szCs w:val="16"/>
                <w:lang w:val="en-AU" w:eastAsia="en-AU"/>
              </w:rPr>
            </w:pPr>
          </w:p>
        </w:tc>
        <w:tc>
          <w:tcPr>
            <w:tcW w:w="617" w:type="dxa"/>
            <w:tcBorders>
              <w:top w:val="nil"/>
              <w:left w:val="nil"/>
              <w:bottom w:val="single" w:sz="4" w:space="0" w:color="BFBFBF"/>
              <w:right w:val="double" w:sz="6" w:space="0" w:color="auto"/>
            </w:tcBorders>
            <w:shd w:val="clear" w:color="auto" w:fill="auto"/>
            <w:noWrap/>
            <w:vAlign w:val="center"/>
          </w:tcPr>
          <w:p w14:paraId="6ED98D9D" w14:textId="0F8BACA3" w:rsidR="00154117" w:rsidRPr="00DB6DAB" w:rsidRDefault="00154117" w:rsidP="00154117">
            <w:pPr>
              <w:spacing w:before="0" w:after="0"/>
              <w:jc w:val="center"/>
              <w:rPr>
                <w:rFonts w:ascii="Arial" w:hAnsi="Arial" w:cs="Arial"/>
                <w:color w:val="000000"/>
                <w:sz w:val="16"/>
                <w:szCs w:val="16"/>
                <w:lang w:val="en-AU" w:eastAsia="en-AU"/>
              </w:rPr>
            </w:pPr>
          </w:p>
        </w:tc>
        <w:tc>
          <w:tcPr>
            <w:tcW w:w="884" w:type="dxa"/>
            <w:tcBorders>
              <w:top w:val="nil"/>
              <w:left w:val="nil"/>
              <w:bottom w:val="single" w:sz="4" w:space="0" w:color="BFBFBF"/>
              <w:right w:val="single" w:sz="4" w:space="0" w:color="BFBFBF" w:themeColor="background1" w:themeShade="BF"/>
            </w:tcBorders>
            <w:vAlign w:val="center"/>
          </w:tcPr>
          <w:p w14:paraId="7956FD45" w14:textId="77777777" w:rsidR="00154117" w:rsidRPr="00DB6DAB" w:rsidRDefault="00154117" w:rsidP="00223CAF">
            <w:pPr>
              <w:spacing w:before="0" w:after="0"/>
              <w:jc w:val="center"/>
              <w:rPr>
                <w:rFonts w:ascii="Arial" w:hAnsi="Arial" w:cs="Arial"/>
                <w:color w:val="000000"/>
                <w:sz w:val="16"/>
                <w:szCs w:val="16"/>
                <w:lang w:val="en-AU" w:eastAsia="en-AU"/>
              </w:rPr>
            </w:pPr>
          </w:p>
        </w:tc>
        <w:tc>
          <w:tcPr>
            <w:tcW w:w="851" w:type="dxa"/>
            <w:tcBorders>
              <w:top w:val="nil"/>
              <w:left w:val="single" w:sz="4" w:space="0" w:color="BFBFBF" w:themeColor="background1" w:themeShade="BF"/>
              <w:bottom w:val="single" w:sz="4" w:space="0" w:color="BFBFBF"/>
              <w:right w:val="double" w:sz="6" w:space="0" w:color="auto"/>
            </w:tcBorders>
            <w:vAlign w:val="center"/>
          </w:tcPr>
          <w:p w14:paraId="6A0B0803" w14:textId="77777777" w:rsidR="00154117" w:rsidRPr="00DB6DAB" w:rsidRDefault="00154117" w:rsidP="00223CAF">
            <w:pPr>
              <w:spacing w:before="0" w:after="0"/>
              <w:jc w:val="center"/>
              <w:rPr>
                <w:rFonts w:ascii="Arial" w:hAnsi="Arial" w:cs="Arial"/>
                <w:color w:val="000000"/>
                <w:sz w:val="16"/>
                <w:szCs w:val="16"/>
                <w:lang w:val="en-AU" w:eastAsia="en-AU"/>
              </w:rPr>
            </w:pPr>
          </w:p>
        </w:tc>
      </w:tr>
      <w:tr w:rsidR="00223CAF" w:rsidRPr="00DB6DAB" w14:paraId="0A6B6AF3" w14:textId="443F4D6E"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3B1743E0"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693B974" w14:textId="2D41D3A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71%</w:t>
            </w:r>
          </w:p>
        </w:tc>
        <w:tc>
          <w:tcPr>
            <w:tcW w:w="695" w:type="dxa"/>
            <w:tcBorders>
              <w:top w:val="nil"/>
              <w:left w:val="nil"/>
              <w:bottom w:val="single" w:sz="4" w:space="0" w:color="BFBFBF"/>
              <w:right w:val="single" w:sz="4" w:space="0" w:color="BFBFBF"/>
            </w:tcBorders>
            <w:shd w:val="clear" w:color="auto" w:fill="auto"/>
            <w:noWrap/>
            <w:vAlign w:val="center"/>
          </w:tcPr>
          <w:p w14:paraId="6C3E38C8" w14:textId="23E92B4D" w:rsidR="00223CAF" w:rsidRPr="00DB6DAB" w:rsidRDefault="00223CAF" w:rsidP="00154117">
            <w:pPr>
              <w:jc w:val="center"/>
              <w:rPr>
                <w:rFonts w:ascii="Arial" w:hAnsi="Arial" w:cs="Arial"/>
                <w:color w:val="000000"/>
                <w:sz w:val="16"/>
                <w:szCs w:val="16"/>
                <w:lang w:val="en-AU" w:eastAsia="en-AU"/>
              </w:rPr>
            </w:pPr>
            <w:r>
              <w:rPr>
                <w:rFonts w:ascii="Arial" w:hAnsi="Arial" w:cs="Arial"/>
                <w:color w:val="000000"/>
                <w:sz w:val="16"/>
                <w:szCs w:val="16"/>
              </w:rPr>
              <w:t>227</w:t>
            </w:r>
          </w:p>
        </w:tc>
        <w:tc>
          <w:tcPr>
            <w:tcW w:w="734" w:type="dxa"/>
            <w:tcBorders>
              <w:top w:val="nil"/>
              <w:left w:val="nil"/>
              <w:bottom w:val="single" w:sz="4" w:space="0" w:color="BFBFBF"/>
              <w:right w:val="single" w:sz="4" w:space="0" w:color="BFBFBF"/>
            </w:tcBorders>
            <w:shd w:val="clear" w:color="auto" w:fill="auto"/>
            <w:noWrap/>
            <w:vAlign w:val="center"/>
          </w:tcPr>
          <w:p w14:paraId="2A153FDA"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70%</w:t>
            </w:r>
          </w:p>
        </w:tc>
        <w:tc>
          <w:tcPr>
            <w:tcW w:w="734" w:type="dxa"/>
            <w:tcBorders>
              <w:top w:val="nil"/>
              <w:left w:val="nil"/>
              <w:bottom w:val="single" w:sz="4" w:space="0" w:color="BFBFBF"/>
              <w:right w:val="single" w:sz="4" w:space="0" w:color="BFBFBF"/>
            </w:tcBorders>
            <w:shd w:val="clear" w:color="auto" w:fill="auto"/>
            <w:noWrap/>
            <w:vAlign w:val="center"/>
          </w:tcPr>
          <w:p w14:paraId="0C3F56F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129</w:t>
            </w:r>
          </w:p>
        </w:tc>
        <w:tc>
          <w:tcPr>
            <w:tcW w:w="734" w:type="dxa"/>
            <w:tcBorders>
              <w:top w:val="nil"/>
              <w:left w:val="nil"/>
              <w:bottom w:val="single" w:sz="4" w:space="0" w:color="BFBFBF"/>
              <w:right w:val="single" w:sz="4" w:space="0" w:color="auto"/>
            </w:tcBorders>
            <w:shd w:val="clear" w:color="auto" w:fill="auto"/>
            <w:noWrap/>
            <w:vAlign w:val="center"/>
          </w:tcPr>
          <w:p w14:paraId="74F7906D"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98</w:t>
            </w:r>
          </w:p>
        </w:tc>
        <w:tc>
          <w:tcPr>
            <w:tcW w:w="817" w:type="dxa"/>
            <w:tcBorders>
              <w:top w:val="nil"/>
              <w:left w:val="nil"/>
              <w:bottom w:val="single" w:sz="4" w:space="0" w:color="BFBFBF"/>
              <w:right w:val="single" w:sz="4" w:space="0" w:color="BFBFBF"/>
            </w:tcBorders>
            <w:shd w:val="clear" w:color="auto" w:fill="auto"/>
            <w:noWrap/>
            <w:vAlign w:val="center"/>
          </w:tcPr>
          <w:p w14:paraId="586C91DE" w14:textId="59E6B72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w:t>
            </w:r>
          </w:p>
        </w:tc>
        <w:tc>
          <w:tcPr>
            <w:tcW w:w="642" w:type="dxa"/>
            <w:tcBorders>
              <w:top w:val="nil"/>
              <w:left w:val="nil"/>
              <w:bottom w:val="single" w:sz="4" w:space="0" w:color="BFBFBF"/>
              <w:right w:val="single" w:sz="4" w:space="0" w:color="BFBFBF"/>
            </w:tcBorders>
            <w:shd w:val="clear" w:color="auto" w:fill="auto"/>
            <w:noWrap/>
            <w:vAlign w:val="center"/>
          </w:tcPr>
          <w:p w14:paraId="5824DD9E" w14:textId="2EB7B28B"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59</w:t>
            </w:r>
          </w:p>
        </w:tc>
        <w:tc>
          <w:tcPr>
            <w:tcW w:w="817" w:type="dxa"/>
            <w:tcBorders>
              <w:top w:val="nil"/>
              <w:left w:val="nil"/>
              <w:bottom w:val="single" w:sz="4" w:space="0" w:color="BFBFBF"/>
              <w:right w:val="single" w:sz="4" w:space="0" w:color="BFBFBF"/>
            </w:tcBorders>
            <w:shd w:val="clear" w:color="auto" w:fill="auto"/>
            <w:noWrap/>
            <w:vAlign w:val="center"/>
          </w:tcPr>
          <w:p w14:paraId="1956ECCA"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19%</w:t>
            </w:r>
          </w:p>
        </w:tc>
        <w:tc>
          <w:tcPr>
            <w:tcW w:w="642" w:type="dxa"/>
            <w:tcBorders>
              <w:top w:val="nil"/>
              <w:left w:val="nil"/>
              <w:bottom w:val="single" w:sz="4" w:space="0" w:color="BFBFBF"/>
              <w:right w:val="single" w:sz="4" w:space="0" w:color="BFBFBF"/>
            </w:tcBorders>
            <w:shd w:val="clear" w:color="auto" w:fill="auto"/>
            <w:noWrap/>
            <w:vAlign w:val="center"/>
          </w:tcPr>
          <w:p w14:paraId="36C6B48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56</w:t>
            </w:r>
          </w:p>
        </w:tc>
        <w:tc>
          <w:tcPr>
            <w:tcW w:w="808" w:type="dxa"/>
            <w:tcBorders>
              <w:top w:val="nil"/>
              <w:left w:val="nil"/>
              <w:bottom w:val="single" w:sz="4" w:space="0" w:color="BFBFBF"/>
              <w:right w:val="nil"/>
            </w:tcBorders>
            <w:shd w:val="clear" w:color="auto" w:fill="auto"/>
            <w:noWrap/>
            <w:vAlign w:val="center"/>
          </w:tcPr>
          <w:p w14:paraId="0009AE1E" w14:textId="139CFF3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61</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E69520D" w14:textId="64007C5D"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797D6316" w14:textId="64F7742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147</w:t>
            </w:r>
          </w:p>
        </w:tc>
        <w:tc>
          <w:tcPr>
            <w:tcW w:w="734" w:type="dxa"/>
            <w:tcBorders>
              <w:top w:val="nil"/>
              <w:left w:val="nil"/>
              <w:bottom w:val="single" w:sz="4" w:space="0" w:color="BFBFBF"/>
              <w:right w:val="single" w:sz="4" w:space="0" w:color="BFBFBF"/>
            </w:tcBorders>
            <w:shd w:val="clear" w:color="auto" w:fill="auto"/>
            <w:noWrap/>
            <w:vAlign w:val="center"/>
          </w:tcPr>
          <w:p w14:paraId="5A4F2A7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w:t>
            </w:r>
          </w:p>
        </w:tc>
        <w:tc>
          <w:tcPr>
            <w:tcW w:w="617" w:type="dxa"/>
            <w:tcBorders>
              <w:top w:val="nil"/>
              <w:left w:val="nil"/>
              <w:bottom w:val="single" w:sz="4" w:space="0" w:color="BFBFBF"/>
              <w:right w:val="single" w:sz="4" w:space="0" w:color="BFBFBF"/>
            </w:tcBorders>
            <w:shd w:val="clear" w:color="auto" w:fill="auto"/>
            <w:noWrap/>
            <w:vAlign w:val="center"/>
          </w:tcPr>
          <w:p w14:paraId="2A1DC99D"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76</w:t>
            </w:r>
          </w:p>
        </w:tc>
        <w:tc>
          <w:tcPr>
            <w:tcW w:w="734" w:type="dxa"/>
            <w:tcBorders>
              <w:top w:val="nil"/>
              <w:left w:val="nil"/>
              <w:bottom w:val="single" w:sz="4" w:space="0" w:color="BFBFBF"/>
              <w:right w:val="single" w:sz="4" w:space="0" w:color="BFBFBF"/>
            </w:tcBorders>
            <w:shd w:val="clear" w:color="auto" w:fill="auto"/>
            <w:noWrap/>
            <w:vAlign w:val="center"/>
          </w:tcPr>
          <w:p w14:paraId="53CC5B7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18%</w:t>
            </w:r>
          </w:p>
        </w:tc>
        <w:tc>
          <w:tcPr>
            <w:tcW w:w="617" w:type="dxa"/>
            <w:tcBorders>
              <w:top w:val="nil"/>
              <w:left w:val="nil"/>
              <w:bottom w:val="single" w:sz="4" w:space="0" w:color="BFBFBF"/>
              <w:right w:val="double" w:sz="6" w:space="0" w:color="auto"/>
            </w:tcBorders>
            <w:shd w:val="clear" w:color="auto" w:fill="auto"/>
            <w:noWrap/>
            <w:vAlign w:val="center"/>
          </w:tcPr>
          <w:p w14:paraId="61DD860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53</w:t>
            </w:r>
          </w:p>
        </w:tc>
        <w:tc>
          <w:tcPr>
            <w:tcW w:w="884" w:type="dxa"/>
            <w:tcBorders>
              <w:top w:val="nil"/>
              <w:left w:val="nil"/>
              <w:bottom w:val="single" w:sz="4" w:space="0" w:color="BFBFBF"/>
              <w:right w:val="single" w:sz="4" w:space="0" w:color="BFBFBF" w:themeColor="background1" w:themeShade="BF"/>
            </w:tcBorders>
            <w:vAlign w:val="center"/>
          </w:tcPr>
          <w:p w14:paraId="2C51D4A4" w14:textId="657AD97A"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1,655</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4B8A55D8" w14:textId="6995B91C"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1,026</w:t>
            </w:r>
          </w:p>
        </w:tc>
      </w:tr>
      <w:tr w:rsidR="00223CAF" w:rsidRPr="00DB6DAB" w14:paraId="635227EE" w14:textId="150C13FE"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55F2ACCA"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Country VIC</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59DBAA48" w14:textId="786172B9"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94%</w:t>
            </w:r>
          </w:p>
        </w:tc>
        <w:tc>
          <w:tcPr>
            <w:tcW w:w="695" w:type="dxa"/>
            <w:tcBorders>
              <w:top w:val="nil"/>
              <w:left w:val="nil"/>
              <w:bottom w:val="single" w:sz="4" w:space="0" w:color="BFBFBF"/>
              <w:right w:val="single" w:sz="4" w:space="0" w:color="BFBFBF"/>
            </w:tcBorders>
            <w:shd w:val="clear" w:color="auto" w:fill="auto"/>
            <w:noWrap/>
            <w:vAlign w:val="center"/>
          </w:tcPr>
          <w:p w14:paraId="5B207162" w14:textId="049AAC78"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273</w:t>
            </w:r>
          </w:p>
        </w:tc>
        <w:tc>
          <w:tcPr>
            <w:tcW w:w="734" w:type="dxa"/>
            <w:tcBorders>
              <w:top w:val="nil"/>
              <w:left w:val="nil"/>
              <w:bottom w:val="single" w:sz="4" w:space="0" w:color="BFBFBF"/>
              <w:right w:val="single" w:sz="4" w:space="0" w:color="BFBFBF"/>
            </w:tcBorders>
            <w:shd w:val="clear" w:color="auto" w:fill="auto"/>
            <w:noWrap/>
            <w:vAlign w:val="center"/>
          </w:tcPr>
          <w:p w14:paraId="06AAA5A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5BA1C47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170</w:t>
            </w:r>
          </w:p>
        </w:tc>
        <w:tc>
          <w:tcPr>
            <w:tcW w:w="734" w:type="dxa"/>
            <w:tcBorders>
              <w:top w:val="nil"/>
              <w:left w:val="nil"/>
              <w:bottom w:val="single" w:sz="4" w:space="0" w:color="BFBFBF"/>
              <w:right w:val="single" w:sz="4" w:space="0" w:color="auto"/>
            </w:tcBorders>
            <w:shd w:val="clear" w:color="auto" w:fill="auto"/>
            <w:noWrap/>
            <w:vAlign w:val="center"/>
          </w:tcPr>
          <w:p w14:paraId="67FB106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94</w:t>
            </w:r>
          </w:p>
        </w:tc>
        <w:tc>
          <w:tcPr>
            <w:tcW w:w="817" w:type="dxa"/>
            <w:tcBorders>
              <w:top w:val="nil"/>
              <w:left w:val="nil"/>
              <w:bottom w:val="single" w:sz="4" w:space="0" w:color="BFBFBF"/>
              <w:right w:val="single" w:sz="4" w:space="0" w:color="BFBFBF"/>
            </w:tcBorders>
            <w:shd w:val="clear" w:color="auto" w:fill="auto"/>
            <w:noWrap/>
            <w:vAlign w:val="center"/>
          </w:tcPr>
          <w:p w14:paraId="25B10CF8" w14:textId="0D340D6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w:t>
            </w:r>
          </w:p>
        </w:tc>
        <w:tc>
          <w:tcPr>
            <w:tcW w:w="642" w:type="dxa"/>
            <w:tcBorders>
              <w:top w:val="nil"/>
              <w:left w:val="nil"/>
              <w:bottom w:val="single" w:sz="4" w:space="0" w:color="BFBFBF"/>
              <w:right w:val="single" w:sz="4" w:space="0" w:color="BFBFBF"/>
            </w:tcBorders>
            <w:shd w:val="clear" w:color="auto" w:fill="auto"/>
            <w:noWrap/>
            <w:vAlign w:val="center"/>
          </w:tcPr>
          <w:p w14:paraId="144B5FDC" w14:textId="4F4190A0"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527</w:t>
            </w:r>
          </w:p>
        </w:tc>
        <w:tc>
          <w:tcPr>
            <w:tcW w:w="817" w:type="dxa"/>
            <w:tcBorders>
              <w:top w:val="nil"/>
              <w:left w:val="nil"/>
              <w:bottom w:val="single" w:sz="4" w:space="0" w:color="BFBFBF"/>
              <w:right w:val="single" w:sz="4" w:space="0" w:color="BFBFBF"/>
            </w:tcBorders>
            <w:shd w:val="clear" w:color="auto" w:fill="auto"/>
            <w:noWrap/>
            <w:vAlign w:val="center"/>
          </w:tcPr>
          <w:p w14:paraId="2AA945A1"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37%</w:t>
            </w:r>
          </w:p>
        </w:tc>
        <w:tc>
          <w:tcPr>
            <w:tcW w:w="642" w:type="dxa"/>
            <w:tcBorders>
              <w:top w:val="nil"/>
              <w:left w:val="nil"/>
              <w:bottom w:val="single" w:sz="4" w:space="0" w:color="BFBFBF"/>
              <w:right w:val="single" w:sz="4" w:space="0" w:color="BFBFBF"/>
            </w:tcBorders>
            <w:shd w:val="clear" w:color="auto" w:fill="auto"/>
            <w:noWrap/>
            <w:vAlign w:val="center"/>
          </w:tcPr>
          <w:p w14:paraId="3AE0E8A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82</w:t>
            </w:r>
          </w:p>
        </w:tc>
        <w:tc>
          <w:tcPr>
            <w:tcW w:w="808" w:type="dxa"/>
            <w:tcBorders>
              <w:top w:val="nil"/>
              <w:left w:val="nil"/>
              <w:bottom w:val="single" w:sz="4" w:space="0" w:color="BFBFBF"/>
              <w:right w:val="nil"/>
            </w:tcBorders>
            <w:shd w:val="clear" w:color="auto" w:fill="auto"/>
            <w:noWrap/>
            <w:vAlign w:val="center"/>
          </w:tcPr>
          <w:p w14:paraId="61498310" w14:textId="06B1BF69"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53</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C35F273" w14:textId="51E829B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97%</w:t>
            </w:r>
          </w:p>
        </w:tc>
        <w:tc>
          <w:tcPr>
            <w:tcW w:w="734" w:type="dxa"/>
            <w:tcBorders>
              <w:top w:val="nil"/>
              <w:left w:val="nil"/>
              <w:bottom w:val="single" w:sz="4" w:space="0" w:color="BFBFBF"/>
              <w:right w:val="single" w:sz="4" w:space="0" w:color="auto"/>
            </w:tcBorders>
            <w:shd w:val="clear" w:color="auto" w:fill="auto"/>
            <w:noWrap/>
            <w:vAlign w:val="center"/>
          </w:tcPr>
          <w:p w14:paraId="1CA3065D" w14:textId="1A5A599B"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147</w:t>
            </w:r>
          </w:p>
        </w:tc>
        <w:tc>
          <w:tcPr>
            <w:tcW w:w="734" w:type="dxa"/>
            <w:tcBorders>
              <w:top w:val="nil"/>
              <w:left w:val="nil"/>
              <w:bottom w:val="single" w:sz="4" w:space="0" w:color="BFBFBF"/>
              <w:right w:val="single" w:sz="4" w:space="0" w:color="BFBFBF"/>
            </w:tcBorders>
            <w:shd w:val="clear" w:color="auto" w:fill="auto"/>
            <w:noWrap/>
            <w:vAlign w:val="center"/>
          </w:tcPr>
          <w:p w14:paraId="3537D66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25%</w:t>
            </w:r>
          </w:p>
        </w:tc>
        <w:tc>
          <w:tcPr>
            <w:tcW w:w="617" w:type="dxa"/>
            <w:tcBorders>
              <w:top w:val="nil"/>
              <w:left w:val="nil"/>
              <w:bottom w:val="single" w:sz="4" w:space="0" w:color="BFBFBF"/>
              <w:right w:val="single" w:sz="4" w:space="0" w:color="BFBFBF"/>
            </w:tcBorders>
            <w:shd w:val="clear" w:color="auto" w:fill="auto"/>
            <w:noWrap/>
            <w:vAlign w:val="center"/>
          </w:tcPr>
          <w:p w14:paraId="3A2A201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103</w:t>
            </w:r>
          </w:p>
        </w:tc>
        <w:tc>
          <w:tcPr>
            <w:tcW w:w="734" w:type="dxa"/>
            <w:tcBorders>
              <w:top w:val="nil"/>
              <w:left w:val="nil"/>
              <w:bottom w:val="single" w:sz="4" w:space="0" w:color="BFBFBF"/>
              <w:right w:val="single" w:sz="4" w:space="0" w:color="BFBFBF"/>
            </w:tcBorders>
            <w:shd w:val="clear" w:color="auto" w:fill="auto"/>
            <w:noWrap/>
            <w:vAlign w:val="center"/>
          </w:tcPr>
          <w:p w14:paraId="7D1DDBE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4%</w:t>
            </w:r>
          </w:p>
        </w:tc>
        <w:tc>
          <w:tcPr>
            <w:tcW w:w="617" w:type="dxa"/>
            <w:tcBorders>
              <w:top w:val="nil"/>
              <w:left w:val="nil"/>
              <w:bottom w:val="single" w:sz="4" w:space="0" w:color="BFBFBF"/>
              <w:right w:val="double" w:sz="6" w:space="0" w:color="auto"/>
            </w:tcBorders>
            <w:shd w:val="clear" w:color="auto" w:fill="auto"/>
            <w:noWrap/>
            <w:vAlign w:val="center"/>
          </w:tcPr>
          <w:p w14:paraId="7D8B47E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298</w:t>
            </w:r>
          </w:p>
        </w:tc>
        <w:tc>
          <w:tcPr>
            <w:tcW w:w="884" w:type="dxa"/>
            <w:tcBorders>
              <w:top w:val="nil"/>
              <w:left w:val="nil"/>
              <w:bottom w:val="single" w:sz="4" w:space="0" w:color="BFBFBF"/>
              <w:right w:val="single" w:sz="4" w:space="0" w:color="BFBFBF" w:themeColor="background1" w:themeShade="BF"/>
            </w:tcBorders>
            <w:vAlign w:val="center"/>
          </w:tcPr>
          <w:p w14:paraId="6445AE78" w14:textId="34F60A31"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1,767</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0B67A68F" w14:textId="36BCCB94"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964</w:t>
            </w:r>
          </w:p>
        </w:tc>
      </w:tr>
      <w:tr w:rsidR="00223CAF" w:rsidRPr="00DB6DAB" w14:paraId="1314D27D" w14:textId="226D60AB"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61D2CC85" w14:textId="34054CEC" w:rsidR="00223CAF" w:rsidRPr="00DB6DAB" w:rsidRDefault="00223CAF" w:rsidP="00E337BE">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Pr="00DB6DAB">
              <w:rPr>
                <w:rFonts w:ascii="Arial" w:hAnsi="Arial" w:cs="Arial"/>
                <w:color w:val="000000"/>
                <w:sz w:val="16"/>
                <w:szCs w:val="16"/>
                <w:lang w:val="en-AU" w:eastAsia="en-AU"/>
              </w:rPr>
              <w:t>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EFCFC34" w14:textId="25D8807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85%</w:t>
            </w:r>
          </w:p>
        </w:tc>
        <w:tc>
          <w:tcPr>
            <w:tcW w:w="695" w:type="dxa"/>
            <w:tcBorders>
              <w:top w:val="nil"/>
              <w:left w:val="nil"/>
              <w:bottom w:val="single" w:sz="4" w:space="0" w:color="BFBFBF"/>
              <w:right w:val="single" w:sz="4" w:space="0" w:color="BFBFBF"/>
            </w:tcBorders>
            <w:shd w:val="clear" w:color="auto" w:fill="auto"/>
            <w:noWrap/>
            <w:vAlign w:val="center"/>
          </w:tcPr>
          <w:p w14:paraId="7A645AB0" w14:textId="3D1FB736"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261</w:t>
            </w:r>
          </w:p>
        </w:tc>
        <w:tc>
          <w:tcPr>
            <w:tcW w:w="734" w:type="dxa"/>
            <w:tcBorders>
              <w:top w:val="nil"/>
              <w:left w:val="nil"/>
              <w:bottom w:val="single" w:sz="4" w:space="0" w:color="BFBFBF"/>
              <w:right w:val="single" w:sz="4" w:space="0" w:color="BFBFBF"/>
            </w:tcBorders>
            <w:shd w:val="clear" w:color="auto" w:fill="auto"/>
            <w:noWrap/>
            <w:vAlign w:val="center"/>
          </w:tcPr>
          <w:p w14:paraId="76F7FF41"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2308616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212</w:t>
            </w:r>
          </w:p>
        </w:tc>
        <w:tc>
          <w:tcPr>
            <w:tcW w:w="734" w:type="dxa"/>
            <w:tcBorders>
              <w:top w:val="nil"/>
              <w:left w:val="nil"/>
              <w:bottom w:val="single" w:sz="4" w:space="0" w:color="BFBFBF"/>
              <w:right w:val="single" w:sz="4" w:space="0" w:color="auto"/>
            </w:tcBorders>
            <w:shd w:val="clear" w:color="auto" w:fill="auto"/>
            <w:noWrap/>
            <w:vAlign w:val="center"/>
          </w:tcPr>
          <w:p w14:paraId="138E02A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4A080CF8" w14:textId="013E45F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12%</w:t>
            </w:r>
          </w:p>
        </w:tc>
        <w:tc>
          <w:tcPr>
            <w:tcW w:w="642" w:type="dxa"/>
            <w:tcBorders>
              <w:top w:val="nil"/>
              <w:left w:val="nil"/>
              <w:bottom w:val="single" w:sz="4" w:space="0" w:color="BFBFBF"/>
              <w:right w:val="single" w:sz="4" w:space="0" w:color="BFBFBF"/>
            </w:tcBorders>
            <w:shd w:val="clear" w:color="auto" w:fill="auto"/>
            <w:noWrap/>
            <w:vAlign w:val="center"/>
          </w:tcPr>
          <w:p w14:paraId="31E65332" w14:textId="2671919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164</w:t>
            </w:r>
          </w:p>
        </w:tc>
        <w:tc>
          <w:tcPr>
            <w:tcW w:w="817" w:type="dxa"/>
            <w:tcBorders>
              <w:top w:val="nil"/>
              <w:left w:val="nil"/>
              <w:bottom w:val="single" w:sz="4" w:space="0" w:color="BFBFBF"/>
              <w:right w:val="single" w:sz="4" w:space="0" w:color="BFBFBF"/>
            </w:tcBorders>
            <w:shd w:val="clear" w:color="auto" w:fill="auto"/>
            <w:noWrap/>
            <w:vAlign w:val="center"/>
          </w:tcPr>
          <w:p w14:paraId="6C127B7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23%</w:t>
            </w:r>
          </w:p>
        </w:tc>
        <w:tc>
          <w:tcPr>
            <w:tcW w:w="642" w:type="dxa"/>
            <w:tcBorders>
              <w:top w:val="nil"/>
              <w:left w:val="nil"/>
              <w:bottom w:val="single" w:sz="4" w:space="0" w:color="BFBFBF"/>
              <w:right w:val="single" w:sz="4" w:space="0" w:color="BFBFBF"/>
            </w:tcBorders>
            <w:shd w:val="clear" w:color="auto" w:fill="auto"/>
            <w:noWrap/>
            <w:vAlign w:val="center"/>
          </w:tcPr>
          <w:p w14:paraId="1C18011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166</w:t>
            </w:r>
          </w:p>
        </w:tc>
        <w:tc>
          <w:tcPr>
            <w:tcW w:w="808" w:type="dxa"/>
            <w:tcBorders>
              <w:top w:val="nil"/>
              <w:left w:val="nil"/>
              <w:bottom w:val="single" w:sz="4" w:space="0" w:color="BFBFBF"/>
              <w:right w:val="nil"/>
            </w:tcBorders>
            <w:shd w:val="clear" w:color="auto" w:fill="auto"/>
            <w:noWrap/>
            <w:vAlign w:val="center"/>
          </w:tcPr>
          <w:p w14:paraId="5FEF90DF" w14:textId="27826696"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495A4F7" w14:textId="1F890399"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94%</w:t>
            </w:r>
          </w:p>
        </w:tc>
        <w:tc>
          <w:tcPr>
            <w:tcW w:w="734" w:type="dxa"/>
            <w:tcBorders>
              <w:top w:val="nil"/>
              <w:left w:val="nil"/>
              <w:bottom w:val="single" w:sz="4" w:space="0" w:color="BFBFBF"/>
              <w:right w:val="single" w:sz="4" w:space="0" w:color="auto"/>
            </w:tcBorders>
            <w:shd w:val="clear" w:color="auto" w:fill="auto"/>
            <w:noWrap/>
            <w:vAlign w:val="center"/>
          </w:tcPr>
          <w:p w14:paraId="7BE6450F" w14:textId="76874239"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193</w:t>
            </w:r>
          </w:p>
        </w:tc>
        <w:tc>
          <w:tcPr>
            <w:tcW w:w="734" w:type="dxa"/>
            <w:tcBorders>
              <w:top w:val="nil"/>
              <w:left w:val="nil"/>
              <w:bottom w:val="single" w:sz="4" w:space="0" w:color="BFBFBF"/>
              <w:right w:val="single" w:sz="4" w:space="0" w:color="BFBFBF"/>
            </w:tcBorders>
            <w:shd w:val="clear" w:color="auto" w:fill="auto"/>
            <w:noWrap/>
            <w:vAlign w:val="center"/>
          </w:tcPr>
          <w:p w14:paraId="4BF44C8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w:t>
            </w:r>
          </w:p>
        </w:tc>
        <w:tc>
          <w:tcPr>
            <w:tcW w:w="617" w:type="dxa"/>
            <w:tcBorders>
              <w:top w:val="nil"/>
              <w:left w:val="nil"/>
              <w:bottom w:val="single" w:sz="4" w:space="0" w:color="BFBFBF"/>
              <w:right w:val="single" w:sz="4" w:space="0" w:color="BFBFBF"/>
            </w:tcBorders>
            <w:shd w:val="clear" w:color="auto" w:fill="auto"/>
            <w:noWrap/>
            <w:vAlign w:val="center"/>
          </w:tcPr>
          <w:p w14:paraId="7628CF7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60</w:t>
            </w:r>
          </w:p>
        </w:tc>
        <w:tc>
          <w:tcPr>
            <w:tcW w:w="734" w:type="dxa"/>
            <w:tcBorders>
              <w:top w:val="nil"/>
              <w:left w:val="nil"/>
              <w:bottom w:val="single" w:sz="4" w:space="0" w:color="BFBFBF"/>
              <w:right w:val="single" w:sz="4" w:space="0" w:color="BFBFBF"/>
            </w:tcBorders>
            <w:shd w:val="clear" w:color="auto" w:fill="auto"/>
            <w:noWrap/>
            <w:vAlign w:val="center"/>
          </w:tcPr>
          <w:p w14:paraId="16AB6B0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w:t>
            </w:r>
          </w:p>
        </w:tc>
        <w:tc>
          <w:tcPr>
            <w:tcW w:w="617" w:type="dxa"/>
            <w:tcBorders>
              <w:top w:val="nil"/>
              <w:left w:val="nil"/>
              <w:bottom w:val="single" w:sz="4" w:space="0" w:color="BFBFBF"/>
              <w:right w:val="double" w:sz="6" w:space="0" w:color="auto"/>
            </w:tcBorders>
            <w:shd w:val="clear" w:color="auto" w:fill="auto"/>
            <w:noWrap/>
            <w:vAlign w:val="center"/>
          </w:tcPr>
          <w:p w14:paraId="49350BD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512</w:t>
            </w:r>
          </w:p>
        </w:tc>
        <w:tc>
          <w:tcPr>
            <w:tcW w:w="884" w:type="dxa"/>
            <w:tcBorders>
              <w:top w:val="nil"/>
              <w:left w:val="nil"/>
              <w:bottom w:val="single" w:sz="4" w:space="0" w:color="BFBFBF"/>
              <w:right w:val="single" w:sz="4" w:space="0" w:color="BFBFBF" w:themeColor="background1" w:themeShade="BF"/>
            </w:tcBorders>
            <w:vAlign w:val="center"/>
          </w:tcPr>
          <w:p w14:paraId="08F4BDA9" w14:textId="5DF1D0B7"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2,098</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592233BF" w14:textId="77812254"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989</w:t>
            </w:r>
          </w:p>
        </w:tc>
      </w:tr>
      <w:tr w:rsidR="00223CAF" w:rsidRPr="00DB6DAB" w14:paraId="6672E059" w14:textId="10280600"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20DBB78A" w14:textId="77777777" w:rsidR="00223CAF" w:rsidRPr="00DB6DAB" w:rsidRDefault="00223CAF"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By DHHS Area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81CF077" w14:textId="2CB1181E" w:rsidR="00223CAF" w:rsidRPr="00DB6DAB" w:rsidRDefault="00223CAF" w:rsidP="00154117">
            <w:pPr>
              <w:spacing w:before="0" w:after="0"/>
              <w:jc w:val="center"/>
              <w:rPr>
                <w:rFonts w:ascii="Arial" w:hAnsi="Arial" w:cs="Arial"/>
                <w:color w:val="000000"/>
                <w:sz w:val="16"/>
                <w:szCs w:val="16"/>
                <w:lang w:val="en-AU" w:eastAsia="en-AU"/>
              </w:rPr>
            </w:pPr>
          </w:p>
        </w:tc>
        <w:tc>
          <w:tcPr>
            <w:tcW w:w="695" w:type="dxa"/>
            <w:tcBorders>
              <w:top w:val="nil"/>
              <w:left w:val="nil"/>
              <w:bottom w:val="single" w:sz="4" w:space="0" w:color="BFBFBF"/>
              <w:right w:val="single" w:sz="4" w:space="0" w:color="BFBFBF"/>
            </w:tcBorders>
            <w:shd w:val="clear" w:color="auto" w:fill="auto"/>
            <w:noWrap/>
            <w:vAlign w:val="center"/>
          </w:tcPr>
          <w:p w14:paraId="7941DC12" w14:textId="20F7026E" w:rsidR="00223CAF" w:rsidRPr="00DB6DAB" w:rsidRDefault="00223CAF"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6EA48C62"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39AA7088"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auto"/>
            </w:tcBorders>
            <w:shd w:val="clear" w:color="auto" w:fill="auto"/>
            <w:noWrap/>
            <w:vAlign w:val="center"/>
          </w:tcPr>
          <w:p w14:paraId="5AABDEA8"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817" w:type="dxa"/>
            <w:tcBorders>
              <w:top w:val="nil"/>
              <w:left w:val="nil"/>
              <w:bottom w:val="single" w:sz="4" w:space="0" w:color="BFBFBF"/>
              <w:right w:val="single" w:sz="4" w:space="0" w:color="BFBFBF"/>
            </w:tcBorders>
            <w:shd w:val="clear" w:color="auto" w:fill="auto"/>
            <w:noWrap/>
            <w:vAlign w:val="center"/>
          </w:tcPr>
          <w:p w14:paraId="0E89B74A" w14:textId="5B3310C3" w:rsidR="00223CAF" w:rsidRPr="00DB6DAB" w:rsidRDefault="00223CAF" w:rsidP="00154117">
            <w:pPr>
              <w:spacing w:before="0" w:after="0"/>
              <w:jc w:val="center"/>
              <w:rPr>
                <w:rFonts w:ascii="Arial" w:hAnsi="Arial" w:cs="Arial"/>
                <w:color w:val="000000"/>
                <w:sz w:val="16"/>
                <w:szCs w:val="16"/>
                <w:lang w:val="en-AU" w:eastAsia="en-AU"/>
              </w:rPr>
            </w:pPr>
          </w:p>
        </w:tc>
        <w:tc>
          <w:tcPr>
            <w:tcW w:w="642" w:type="dxa"/>
            <w:tcBorders>
              <w:top w:val="nil"/>
              <w:left w:val="nil"/>
              <w:bottom w:val="single" w:sz="4" w:space="0" w:color="BFBFBF"/>
              <w:right w:val="single" w:sz="4" w:space="0" w:color="BFBFBF"/>
            </w:tcBorders>
            <w:shd w:val="clear" w:color="auto" w:fill="auto"/>
            <w:noWrap/>
            <w:vAlign w:val="center"/>
          </w:tcPr>
          <w:p w14:paraId="544946B5" w14:textId="5116EE5E" w:rsidR="00223CAF" w:rsidRPr="00DB6DAB" w:rsidRDefault="00223CAF" w:rsidP="00154117">
            <w:pPr>
              <w:spacing w:before="0" w:after="0"/>
              <w:jc w:val="center"/>
              <w:rPr>
                <w:rFonts w:ascii="Arial" w:hAnsi="Arial" w:cs="Arial"/>
                <w:color w:val="000000"/>
                <w:sz w:val="16"/>
                <w:szCs w:val="16"/>
                <w:lang w:val="en-AU" w:eastAsia="en-AU"/>
              </w:rPr>
            </w:pPr>
          </w:p>
        </w:tc>
        <w:tc>
          <w:tcPr>
            <w:tcW w:w="817" w:type="dxa"/>
            <w:tcBorders>
              <w:top w:val="nil"/>
              <w:left w:val="nil"/>
              <w:bottom w:val="single" w:sz="4" w:space="0" w:color="BFBFBF"/>
              <w:right w:val="single" w:sz="4" w:space="0" w:color="BFBFBF"/>
            </w:tcBorders>
            <w:shd w:val="clear" w:color="auto" w:fill="auto"/>
            <w:noWrap/>
            <w:vAlign w:val="center"/>
          </w:tcPr>
          <w:p w14:paraId="1A2A69C5"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642" w:type="dxa"/>
            <w:tcBorders>
              <w:top w:val="nil"/>
              <w:left w:val="nil"/>
              <w:bottom w:val="single" w:sz="4" w:space="0" w:color="BFBFBF"/>
              <w:right w:val="single" w:sz="4" w:space="0" w:color="BFBFBF"/>
            </w:tcBorders>
            <w:shd w:val="clear" w:color="auto" w:fill="auto"/>
            <w:noWrap/>
            <w:vAlign w:val="center"/>
          </w:tcPr>
          <w:p w14:paraId="68286023"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nil"/>
            </w:tcBorders>
            <w:shd w:val="clear" w:color="auto" w:fill="auto"/>
            <w:noWrap/>
            <w:vAlign w:val="center"/>
          </w:tcPr>
          <w:p w14:paraId="6FFD1A0B" w14:textId="2970A814"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BDD1773" w14:textId="68CD7C5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734" w:type="dxa"/>
            <w:tcBorders>
              <w:top w:val="nil"/>
              <w:left w:val="nil"/>
              <w:bottom w:val="single" w:sz="4" w:space="0" w:color="BFBFBF"/>
              <w:right w:val="single" w:sz="4" w:space="0" w:color="auto"/>
            </w:tcBorders>
            <w:shd w:val="clear" w:color="auto" w:fill="auto"/>
            <w:noWrap/>
            <w:vAlign w:val="center"/>
          </w:tcPr>
          <w:p w14:paraId="4BD96F91" w14:textId="09F2AF0E" w:rsidR="00223CAF" w:rsidRPr="00DB6DAB" w:rsidRDefault="00223CAF"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6F99F0E1" w14:textId="7C6AA77A" w:rsidR="00223CAF" w:rsidRPr="00DB6DAB" w:rsidRDefault="00223CAF" w:rsidP="00154117">
            <w:pPr>
              <w:spacing w:before="0" w:after="0"/>
              <w:jc w:val="center"/>
              <w:rPr>
                <w:rFonts w:ascii="Arial" w:hAnsi="Arial" w:cs="Arial"/>
                <w:color w:val="000000"/>
                <w:sz w:val="16"/>
                <w:szCs w:val="16"/>
                <w:lang w:val="en-AU" w:eastAsia="en-AU"/>
              </w:rPr>
            </w:pPr>
          </w:p>
        </w:tc>
        <w:tc>
          <w:tcPr>
            <w:tcW w:w="617" w:type="dxa"/>
            <w:tcBorders>
              <w:top w:val="nil"/>
              <w:left w:val="nil"/>
              <w:bottom w:val="single" w:sz="4" w:space="0" w:color="BFBFBF"/>
              <w:right w:val="single" w:sz="4" w:space="0" w:color="BFBFBF"/>
            </w:tcBorders>
            <w:shd w:val="clear" w:color="auto" w:fill="auto"/>
            <w:noWrap/>
            <w:vAlign w:val="center"/>
          </w:tcPr>
          <w:p w14:paraId="7FBAD475" w14:textId="22A7F15A" w:rsidR="00223CAF" w:rsidRPr="00DB6DAB" w:rsidRDefault="00223CAF"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3D757BEC"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617" w:type="dxa"/>
            <w:tcBorders>
              <w:top w:val="nil"/>
              <w:left w:val="nil"/>
              <w:bottom w:val="single" w:sz="4" w:space="0" w:color="BFBFBF"/>
              <w:right w:val="double" w:sz="6" w:space="0" w:color="auto"/>
            </w:tcBorders>
            <w:shd w:val="clear" w:color="auto" w:fill="auto"/>
            <w:noWrap/>
            <w:vAlign w:val="center"/>
          </w:tcPr>
          <w:p w14:paraId="5F1FEA78"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884" w:type="dxa"/>
            <w:tcBorders>
              <w:top w:val="nil"/>
              <w:left w:val="nil"/>
              <w:bottom w:val="single" w:sz="4" w:space="0" w:color="BFBFBF"/>
              <w:right w:val="single" w:sz="4" w:space="0" w:color="BFBFBF" w:themeColor="background1" w:themeShade="BF"/>
            </w:tcBorders>
            <w:vAlign w:val="center"/>
          </w:tcPr>
          <w:p w14:paraId="5917DE39" w14:textId="3BFA05BE" w:rsidR="00223CAF" w:rsidRPr="00DB6DAB" w:rsidRDefault="00223CAF" w:rsidP="00223CAF">
            <w:pPr>
              <w:spacing w:before="0" w:after="0"/>
              <w:jc w:val="center"/>
              <w:rPr>
                <w:rFonts w:ascii="Arial" w:hAnsi="Arial" w:cs="Arial"/>
                <w:color w:val="000000"/>
                <w:sz w:val="16"/>
                <w:szCs w:val="16"/>
                <w:lang w:val="en-AU" w:eastAsia="en-AU"/>
              </w:rPr>
            </w:pPr>
          </w:p>
        </w:tc>
        <w:tc>
          <w:tcPr>
            <w:tcW w:w="851" w:type="dxa"/>
            <w:tcBorders>
              <w:top w:val="nil"/>
              <w:left w:val="single" w:sz="4" w:space="0" w:color="BFBFBF" w:themeColor="background1" w:themeShade="BF"/>
              <w:bottom w:val="single" w:sz="4" w:space="0" w:color="BFBFBF"/>
              <w:right w:val="double" w:sz="6" w:space="0" w:color="auto"/>
            </w:tcBorders>
            <w:vAlign w:val="center"/>
          </w:tcPr>
          <w:p w14:paraId="6A7AD8C8" w14:textId="01BB1EFF" w:rsidR="00223CAF" w:rsidRPr="00DB6DAB" w:rsidRDefault="00223CAF" w:rsidP="00223CAF">
            <w:pPr>
              <w:spacing w:before="0" w:after="0"/>
              <w:jc w:val="center"/>
              <w:rPr>
                <w:rFonts w:ascii="Arial" w:hAnsi="Arial" w:cs="Arial"/>
                <w:color w:val="000000"/>
                <w:sz w:val="16"/>
                <w:szCs w:val="16"/>
                <w:lang w:val="en-AU" w:eastAsia="en-AU"/>
              </w:rPr>
            </w:pPr>
          </w:p>
        </w:tc>
      </w:tr>
      <w:tr w:rsidR="00223CAF" w:rsidRPr="00DB6DAB" w14:paraId="1E37F418" w14:textId="05DB65FF"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60159F9B"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Hume Moreland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898DF04" w14:textId="75BB7F3E"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45%</w:t>
            </w:r>
          </w:p>
        </w:tc>
        <w:tc>
          <w:tcPr>
            <w:tcW w:w="695" w:type="dxa"/>
            <w:tcBorders>
              <w:top w:val="nil"/>
              <w:left w:val="nil"/>
              <w:bottom w:val="single" w:sz="4" w:space="0" w:color="BFBFBF"/>
              <w:right w:val="single" w:sz="4" w:space="0" w:color="BFBFBF"/>
            </w:tcBorders>
            <w:shd w:val="clear" w:color="auto" w:fill="auto"/>
            <w:noWrap/>
            <w:vAlign w:val="center"/>
          </w:tcPr>
          <w:p w14:paraId="5BB070E5" w14:textId="5E7992D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103</w:t>
            </w:r>
          </w:p>
        </w:tc>
        <w:tc>
          <w:tcPr>
            <w:tcW w:w="734" w:type="dxa"/>
            <w:tcBorders>
              <w:top w:val="nil"/>
              <w:left w:val="nil"/>
              <w:bottom w:val="single" w:sz="4" w:space="0" w:color="BFBFBF"/>
              <w:right w:val="single" w:sz="4" w:space="0" w:color="BFBFBF"/>
            </w:tcBorders>
            <w:shd w:val="clear" w:color="auto" w:fill="auto"/>
            <w:noWrap/>
            <w:vAlign w:val="center"/>
          </w:tcPr>
          <w:p w14:paraId="1AE7F63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FDE04A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364947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14A07C5D" w14:textId="67BDC8F0"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6BCFBB2C" w14:textId="0722E90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1B4C7A7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6002642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56C9B005" w14:textId="5808DF35"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27286F6" w14:textId="2CA38FF8"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4EB0485C" w14:textId="3EF781D4"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134</w:t>
            </w:r>
          </w:p>
        </w:tc>
        <w:tc>
          <w:tcPr>
            <w:tcW w:w="734" w:type="dxa"/>
            <w:tcBorders>
              <w:top w:val="nil"/>
              <w:left w:val="nil"/>
              <w:bottom w:val="single" w:sz="4" w:space="0" w:color="BFBFBF"/>
              <w:right w:val="single" w:sz="4" w:space="0" w:color="BFBFBF"/>
            </w:tcBorders>
            <w:shd w:val="clear" w:color="auto" w:fill="auto"/>
            <w:noWrap/>
            <w:vAlign w:val="center"/>
          </w:tcPr>
          <w:p w14:paraId="5BD4C5B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BFBFBF"/>
            </w:tcBorders>
            <w:shd w:val="clear" w:color="auto" w:fill="auto"/>
            <w:noWrap/>
            <w:vAlign w:val="center"/>
          </w:tcPr>
          <w:p w14:paraId="0CB1E49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1F9AFF9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184B5CE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562E2E54" w14:textId="20E0F14C"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1,693</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4CE4AC58" w14:textId="22BE8596"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0DE06E99" w14:textId="7BB49B75"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639BFEF4"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North Eastern 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290C65B" w14:textId="1A116CBE"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56%</w:t>
            </w:r>
          </w:p>
        </w:tc>
        <w:tc>
          <w:tcPr>
            <w:tcW w:w="695" w:type="dxa"/>
            <w:tcBorders>
              <w:top w:val="nil"/>
              <w:left w:val="nil"/>
              <w:bottom w:val="single" w:sz="4" w:space="0" w:color="BFBFBF"/>
              <w:right w:val="single" w:sz="4" w:space="0" w:color="BFBFBF"/>
            </w:tcBorders>
            <w:shd w:val="clear" w:color="auto" w:fill="auto"/>
            <w:noWrap/>
            <w:vAlign w:val="center"/>
          </w:tcPr>
          <w:p w14:paraId="37168A98" w14:textId="0211999E"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161</w:t>
            </w:r>
          </w:p>
        </w:tc>
        <w:tc>
          <w:tcPr>
            <w:tcW w:w="734" w:type="dxa"/>
            <w:tcBorders>
              <w:top w:val="nil"/>
              <w:left w:val="nil"/>
              <w:bottom w:val="single" w:sz="4" w:space="0" w:color="BFBFBF"/>
              <w:right w:val="single" w:sz="4" w:space="0" w:color="BFBFBF"/>
            </w:tcBorders>
            <w:shd w:val="clear" w:color="auto" w:fill="auto"/>
            <w:noWrap/>
            <w:vAlign w:val="center"/>
          </w:tcPr>
          <w:p w14:paraId="76CFB4A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95300F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0585BC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78C65BB3" w14:textId="5ECA32D6"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6CB8E3E0" w14:textId="2B1257FD"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0C0B005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1D18B5B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5800ECF9" w14:textId="178D7B89"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68FFA14" w14:textId="642E3EA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4C79A124" w14:textId="1178CF1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150</w:t>
            </w:r>
          </w:p>
        </w:tc>
        <w:tc>
          <w:tcPr>
            <w:tcW w:w="734" w:type="dxa"/>
            <w:tcBorders>
              <w:top w:val="nil"/>
              <w:left w:val="nil"/>
              <w:bottom w:val="single" w:sz="4" w:space="0" w:color="BFBFBF"/>
              <w:right w:val="single" w:sz="4" w:space="0" w:color="BFBFBF"/>
            </w:tcBorders>
            <w:shd w:val="clear" w:color="auto" w:fill="auto"/>
            <w:noWrap/>
            <w:vAlign w:val="center"/>
          </w:tcPr>
          <w:p w14:paraId="7127ADA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28%</w:t>
            </w:r>
          </w:p>
        </w:tc>
        <w:tc>
          <w:tcPr>
            <w:tcW w:w="617" w:type="dxa"/>
            <w:tcBorders>
              <w:top w:val="nil"/>
              <w:left w:val="nil"/>
              <w:bottom w:val="single" w:sz="4" w:space="0" w:color="BFBFBF"/>
              <w:right w:val="single" w:sz="4" w:space="0" w:color="BFBFBF"/>
            </w:tcBorders>
            <w:shd w:val="clear" w:color="auto" w:fill="auto"/>
            <w:noWrap/>
            <w:vAlign w:val="center"/>
          </w:tcPr>
          <w:p w14:paraId="1A3ED09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95</w:t>
            </w:r>
          </w:p>
        </w:tc>
        <w:tc>
          <w:tcPr>
            <w:tcW w:w="734" w:type="dxa"/>
            <w:tcBorders>
              <w:top w:val="nil"/>
              <w:left w:val="nil"/>
              <w:bottom w:val="single" w:sz="4" w:space="0" w:color="BFBFBF"/>
              <w:right w:val="single" w:sz="4" w:space="0" w:color="BFBFBF"/>
            </w:tcBorders>
            <w:shd w:val="clear" w:color="auto" w:fill="auto"/>
            <w:noWrap/>
            <w:vAlign w:val="center"/>
          </w:tcPr>
          <w:p w14:paraId="76D6002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0AD0F8A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4F91D2D3" w14:textId="7095AAE7"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1,770</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5ABCE27F" w14:textId="5A32647B"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190A9410" w14:textId="1B49F9E1"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75FF9914"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 xml:space="preserve">Outer </w:t>
            </w:r>
            <w:smartTag w:uri="urn:schemas-microsoft-com:office:smarttags" w:element="place">
              <w:r w:rsidRPr="00DB6DAB">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9A088A1" w14:textId="243D0F1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96%</w:t>
            </w:r>
          </w:p>
        </w:tc>
        <w:tc>
          <w:tcPr>
            <w:tcW w:w="695" w:type="dxa"/>
            <w:tcBorders>
              <w:top w:val="nil"/>
              <w:left w:val="nil"/>
              <w:bottom w:val="single" w:sz="4" w:space="0" w:color="BFBFBF"/>
              <w:right w:val="single" w:sz="4" w:space="0" w:color="BFBFBF"/>
            </w:tcBorders>
            <w:shd w:val="clear" w:color="auto" w:fill="auto"/>
            <w:noWrap/>
            <w:vAlign w:val="center"/>
          </w:tcPr>
          <w:p w14:paraId="4EA665C6" w14:textId="20DF21FE"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182</w:t>
            </w:r>
          </w:p>
        </w:tc>
        <w:tc>
          <w:tcPr>
            <w:tcW w:w="734" w:type="dxa"/>
            <w:tcBorders>
              <w:top w:val="nil"/>
              <w:left w:val="nil"/>
              <w:bottom w:val="single" w:sz="4" w:space="0" w:color="BFBFBF"/>
              <w:right w:val="single" w:sz="4" w:space="0" w:color="BFBFBF"/>
            </w:tcBorders>
            <w:shd w:val="clear" w:color="auto" w:fill="auto"/>
            <w:noWrap/>
            <w:vAlign w:val="center"/>
          </w:tcPr>
          <w:p w14:paraId="609B3C3D"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E62CBC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F313091"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4D211440" w14:textId="450378E9"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41%</w:t>
            </w:r>
          </w:p>
        </w:tc>
        <w:tc>
          <w:tcPr>
            <w:tcW w:w="642" w:type="dxa"/>
            <w:tcBorders>
              <w:top w:val="nil"/>
              <w:left w:val="nil"/>
              <w:bottom w:val="single" w:sz="4" w:space="0" w:color="BFBFBF"/>
              <w:right w:val="single" w:sz="4" w:space="0" w:color="BFBFBF"/>
            </w:tcBorders>
            <w:shd w:val="clear" w:color="auto" w:fill="auto"/>
            <w:noWrap/>
            <w:vAlign w:val="center"/>
          </w:tcPr>
          <w:p w14:paraId="0912B28C" w14:textId="5C38B7D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32</w:t>
            </w:r>
          </w:p>
        </w:tc>
        <w:tc>
          <w:tcPr>
            <w:tcW w:w="817" w:type="dxa"/>
            <w:tcBorders>
              <w:top w:val="nil"/>
              <w:left w:val="nil"/>
              <w:bottom w:val="single" w:sz="4" w:space="0" w:color="BFBFBF"/>
              <w:right w:val="single" w:sz="4" w:space="0" w:color="BFBFBF"/>
            </w:tcBorders>
            <w:shd w:val="clear" w:color="auto" w:fill="auto"/>
            <w:noWrap/>
            <w:vAlign w:val="center"/>
          </w:tcPr>
          <w:p w14:paraId="2D58496D"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2F05A6A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06D71629" w14:textId="1DF44BDC"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479CCEF" w14:textId="02D2C70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4FB79C7A" w14:textId="1684F539"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150</w:t>
            </w:r>
          </w:p>
        </w:tc>
        <w:tc>
          <w:tcPr>
            <w:tcW w:w="734" w:type="dxa"/>
            <w:tcBorders>
              <w:top w:val="nil"/>
              <w:left w:val="nil"/>
              <w:bottom w:val="single" w:sz="4" w:space="0" w:color="BFBFBF"/>
              <w:right w:val="single" w:sz="4" w:space="0" w:color="BFBFBF"/>
            </w:tcBorders>
            <w:shd w:val="clear" w:color="auto" w:fill="auto"/>
            <w:noWrap/>
            <w:vAlign w:val="center"/>
          </w:tcPr>
          <w:p w14:paraId="51FAE23D"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4%</w:t>
            </w:r>
          </w:p>
        </w:tc>
        <w:tc>
          <w:tcPr>
            <w:tcW w:w="617" w:type="dxa"/>
            <w:tcBorders>
              <w:top w:val="nil"/>
              <w:left w:val="nil"/>
              <w:bottom w:val="single" w:sz="4" w:space="0" w:color="BFBFBF"/>
              <w:right w:val="single" w:sz="4" w:space="0" w:color="BFBFBF"/>
            </w:tcBorders>
            <w:shd w:val="clear" w:color="auto" w:fill="auto"/>
            <w:noWrap/>
            <w:vAlign w:val="center"/>
          </w:tcPr>
          <w:p w14:paraId="20C629E9"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6D428AC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2CD240B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62549C51" w14:textId="38CA45E5"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1,596</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0003FB1E" w14:textId="3CF9F930"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47B568D9" w14:textId="33C5613A"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45DEF7E3"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 xml:space="preserve">Inner </w:t>
            </w:r>
            <w:smartTag w:uri="urn:schemas-microsoft-com:office:smarttags" w:element="place">
              <w:r w:rsidRPr="00DB6DAB">
                <w:rPr>
                  <w:rFonts w:ascii="Arial" w:hAnsi="Arial" w:cs="Arial"/>
                  <w:color w:val="000000"/>
                  <w:sz w:val="16"/>
                  <w:szCs w:val="16"/>
                  <w:lang w:val="en-AU" w:eastAsia="en-AU"/>
                </w:rPr>
                <w:t>Eastern Melbourne</w:t>
              </w:r>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5D8A3A6" w14:textId="32FCEAAD"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41%</w:t>
            </w:r>
          </w:p>
        </w:tc>
        <w:tc>
          <w:tcPr>
            <w:tcW w:w="695" w:type="dxa"/>
            <w:tcBorders>
              <w:top w:val="nil"/>
              <w:left w:val="nil"/>
              <w:bottom w:val="single" w:sz="4" w:space="0" w:color="BFBFBF"/>
              <w:right w:val="single" w:sz="4" w:space="0" w:color="BFBFBF"/>
            </w:tcBorders>
            <w:shd w:val="clear" w:color="auto" w:fill="auto"/>
            <w:noWrap/>
            <w:vAlign w:val="center"/>
          </w:tcPr>
          <w:p w14:paraId="330AC529" w14:textId="0FEE658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246</w:t>
            </w:r>
          </w:p>
        </w:tc>
        <w:tc>
          <w:tcPr>
            <w:tcW w:w="734" w:type="dxa"/>
            <w:tcBorders>
              <w:top w:val="nil"/>
              <w:left w:val="nil"/>
              <w:bottom w:val="single" w:sz="4" w:space="0" w:color="BFBFBF"/>
              <w:right w:val="single" w:sz="4" w:space="0" w:color="BFBFBF"/>
            </w:tcBorders>
            <w:shd w:val="clear" w:color="auto" w:fill="auto"/>
            <w:noWrap/>
            <w:vAlign w:val="center"/>
          </w:tcPr>
          <w:p w14:paraId="3F3A960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59A661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F4BF24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2F9B3B4E" w14:textId="5CEF1432"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713EF62D" w14:textId="5F15005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17770A3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4CCEDEB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3743791C" w14:textId="19F7DD90"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28A0475" w14:textId="47152F1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73D9DBCF" w14:textId="3B2FB46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153</w:t>
            </w:r>
          </w:p>
        </w:tc>
        <w:tc>
          <w:tcPr>
            <w:tcW w:w="734" w:type="dxa"/>
            <w:tcBorders>
              <w:top w:val="nil"/>
              <w:left w:val="nil"/>
              <w:bottom w:val="single" w:sz="4" w:space="0" w:color="BFBFBF"/>
              <w:right w:val="single" w:sz="4" w:space="0" w:color="BFBFBF"/>
            </w:tcBorders>
            <w:shd w:val="clear" w:color="auto" w:fill="auto"/>
            <w:noWrap/>
            <w:vAlign w:val="center"/>
          </w:tcPr>
          <w:p w14:paraId="07D2963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w:t>
            </w:r>
          </w:p>
        </w:tc>
        <w:tc>
          <w:tcPr>
            <w:tcW w:w="617" w:type="dxa"/>
            <w:tcBorders>
              <w:top w:val="nil"/>
              <w:left w:val="nil"/>
              <w:bottom w:val="single" w:sz="4" w:space="0" w:color="BFBFBF"/>
              <w:right w:val="single" w:sz="4" w:space="0" w:color="BFBFBF"/>
            </w:tcBorders>
            <w:shd w:val="clear" w:color="auto" w:fill="auto"/>
            <w:noWrap/>
            <w:vAlign w:val="center"/>
          </w:tcPr>
          <w:p w14:paraId="34D90210"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w:t>
            </w:r>
          </w:p>
        </w:tc>
        <w:tc>
          <w:tcPr>
            <w:tcW w:w="734" w:type="dxa"/>
            <w:tcBorders>
              <w:top w:val="nil"/>
              <w:left w:val="nil"/>
              <w:bottom w:val="single" w:sz="4" w:space="0" w:color="BFBFBF"/>
              <w:right w:val="single" w:sz="4" w:space="0" w:color="BFBFBF"/>
            </w:tcBorders>
            <w:shd w:val="clear" w:color="auto" w:fill="auto"/>
            <w:noWrap/>
            <w:vAlign w:val="center"/>
          </w:tcPr>
          <w:p w14:paraId="0430E9F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638D885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3A4A70BE" w14:textId="42E84446"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1,666</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362FB1CF" w14:textId="20F82000"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5D346590" w14:textId="5EC51B4A"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1584197D"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Southern 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7D27CEC" w14:textId="1F6CD46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99%</w:t>
            </w:r>
          </w:p>
        </w:tc>
        <w:tc>
          <w:tcPr>
            <w:tcW w:w="695" w:type="dxa"/>
            <w:tcBorders>
              <w:top w:val="nil"/>
              <w:left w:val="nil"/>
              <w:bottom w:val="single" w:sz="4" w:space="0" w:color="BFBFBF"/>
              <w:right w:val="single" w:sz="4" w:space="0" w:color="BFBFBF"/>
            </w:tcBorders>
            <w:shd w:val="clear" w:color="auto" w:fill="auto"/>
            <w:noWrap/>
            <w:vAlign w:val="center"/>
          </w:tcPr>
          <w:p w14:paraId="310F192A" w14:textId="3BDDF48D"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286</w:t>
            </w:r>
          </w:p>
        </w:tc>
        <w:tc>
          <w:tcPr>
            <w:tcW w:w="734" w:type="dxa"/>
            <w:tcBorders>
              <w:top w:val="nil"/>
              <w:left w:val="nil"/>
              <w:bottom w:val="single" w:sz="4" w:space="0" w:color="BFBFBF"/>
              <w:right w:val="single" w:sz="4" w:space="0" w:color="BFBFBF"/>
            </w:tcBorders>
            <w:shd w:val="clear" w:color="auto" w:fill="auto"/>
            <w:noWrap/>
            <w:vAlign w:val="center"/>
          </w:tcPr>
          <w:p w14:paraId="2B45394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9B3042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3B412B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2E3E73DC" w14:textId="75A88795"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13%</w:t>
            </w:r>
          </w:p>
        </w:tc>
        <w:tc>
          <w:tcPr>
            <w:tcW w:w="642" w:type="dxa"/>
            <w:tcBorders>
              <w:top w:val="nil"/>
              <w:left w:val="nil"/>
              <w:bottom w:val="single" w:sz="4" w:space="0" w:color="BFBFBF"/>
              <w:right w:val="single" w:sz="4" w:space="0" w:color="BFBFBF"/>
            </w:tcBorders>
            <w:shd w:val="clear" w:color="auto" w:fill="auto"/>
            <w:noWrap/>
            <w:vAlign w:val="center"/>
          </w:tcPr>
          <w:p w14:paraId="2CEF8B0D" w14:textId="3759402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142</w:t>
            </w:r>
          </w:p>
        </w:tc>
        <w:tc>
          <w:tcPr>
            <w:tcW w:w="817" w:type="dxa"/>
            <w:tcBorders>
              <w:top w:val="nil"/>
              <w:left w:val="nil"/>
              <w:bottom w:val="single" w:sz="4" w:space="0" w:color="BFBFBF"/>
              <w:right w:val="single" w:sz="4" w:space="0" w:color="BFBFBF"/>
            </w:tcBorders>
            <w:shd w:val="clear" w:color="auto" w:fill="auto"/>
            <w:noWrap/>
            <w:vAlign w:val="center"/>
          </w:tcPr>
          <w:p w14:paraId="7CB63A2D"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75E2C2F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175F3A75" w14:textId="52810075"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B524630" w14:textId="3F74453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99%</w:t>
            </w:r>
          </w:p>
        </w:tc>
        <w:tc>
          <w:tcPr>
            <w:tcW w:w="734" w:type="dxa"/>
            <w:tcBorders>
              <w:top w:val="nil"/>
              <w:left w:val="nil"/>
              <w:bottom w:val="single" w:sz="4" w:space="0" w:color="BFBFBF"/>
              <w:right w:val="single" w:sz="4" w:space="0" w:color="auto"/>
            </w:tcBorders>
            <w:shd w:val="clear" w:color="auto" w:fill="auto"/>
            <w:noWrap/>
            <w:vAlign w:val="center"/>
          </w:tcPr>
          <w:p w14:paraId="5E5B754E" w14:textId="4E2D136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145</w:t>
            </w:r>
          </w:p>
        </w:tc>
        <w:tc>
          <w:tcPr>
            <w:tcW w:w="734" w:type="dxa"/>
            <w:tcBorders>
              <w:top w:val="nil"/>
              <w:left w:val="nil"/>
              <w:bottom w:val="single" w:sz="4" w:space="0" w:color="BFBFBF"/>
              <w:right w:val="single" w:sz="4" w:space="0" w:color="BFBFBF"/>
            </w:tcBorders>
            <w:shd w:val="clear" w:color="auto" w:fill="auto"/>
            <w:noWrap/>
            <w:vAlign w:val="center"/>
          </w:tcPr>
          <w:p w14:paraId="75B01151"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w:t>
            </w:r>
          </w:p>
        </w:tc>
        <w:tc>
          <w:tcPr>
            <w:tcW w:w="617" w:type="dxa"/>
            <w:tcBorders>
              <w:top w:val="nil"/>
              <w:left w:val="nil"/>
              <w:bottom w:val="single" w:sz="4" w:space="0" w:color="BFBFBF"/>
              <w:right w:val="single" w:sz="4" w:space="0" w:color="BFBFBF"/>
            </w:tcBorders>
            <w:shd w:val="clear" w:color="auto" w:fill="auto"/>
            <w:noWrap/>
            <w:vAlign w:val="center"/>
          </w:tcPr>
          <w:p w14:paraId="7E954469"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57</w:t>
            </w:r>
          </w:p>
        </w:tc>
        <w:tc>
          <w:tcPr>
            <w:tcW w:w="734" w:type="dxa"/>
            <w:tcBorders>
              <w:top w:val="nil"/>
              <w:left w:val="nil"/>
              <w:bottom w:val="single" w:sz="4" w:space="0" w:color="BFBFBF"/>
              <w:right w:val="single" w:sz="4" w:space="0" w:color="BFBFBF"/>
            </w:tcBorders>
            <w:shd w:val="clear" w:color="auto" w:fill="auto"/>
            <w:noWrap/>
            <w:vAlign w:val="center"/>
          </w:tcPr>
          <w:p w14:paraId="3F6E773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0BE14C2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65957D69" w14:textId="6390025A"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1,610</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4AB4DA2C" w14:textId="44A536A5"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016642D8" w14:textId="1722A03B"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3E2931E2"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Bayside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D6B8C82" w14:textId="6A4BCEE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75%</w:t>
            </w:r>
          </w:p>
        </w:tc>
        <w:tc>
          <w:tcPr>
            <w:tcW w:w="695" w:type="dxa"/>
            <w:tcBorders>
              <w:top w:val="nil"/>
              <w:left w:val="nil"/>
              <w:bottom w:val="single" w:sz="4" w:space="0" w:color="BFBFBF"/>
              <w:right w:val="single" w:sz="4" w:space="0" w:color="BFBFBF"/>
            </w:tcBorders>
            <w:shd w:val="clear" w:color="auto" w:fill="auto"/>
            <w:noWrap/>
            <w:vAlign w:val="center"/>
          </w:tcPr>
          <w:p w14:paraId="31FA3629" w14:textId="3C7256E0"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221</w:t>
            </w:r>
          </w:p>
        </w:tc>
        <w:tc>
          <w:tcPr>
            <w:tcW w:w="734" w:type="dxa"/>
            <w:tcBorders>
              <w:top w:val="nil"/>
              <w:left w:val="nil"/>
              <w:bottom w:val="single" w:sz="4" w:space="0" w:color="BFBFBF"/>
              <w:right w:val="single" w:sz="4" w:space="0" w:color="BFBFBF"/>
            </w:tcBorders>
            <w:shd w:val="clear" w:color="auto" w:fill="auto"/>
            <w:noWrap/>
            <w:vAlign w:val="center"/>
          </w:tcPr>
          <w:p w14:paraId="66FCA20D"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04E1C0CA"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3ADC6B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1CAD69AC" w14:textId="7DAC212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43BBA362" w14:textId="1AC043B2"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1077AD69"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5A44619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0C60025F" w14:textId="7EE6D9E2"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A47B24E" w14:textId="46AEE2DB"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0B90323B" w14:textId="727521C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153</w:t>
            </w:r>
          </w:p>
        </w:tc>
        <w:tc>
          <w:tcPr>
            <w:tcW w:w="734" w:type="dxa"/>
            <w:tcBorders>
              <w:top w:val="nil"/>
              <w:left w:val="nil"/>
              <w:bottom w:val="single" w:sz="4" w:space="0" w:color="BFBFBF"/>
              <w:right w:val="single" w:sz="4" w:space="0" w:color="BFBFBF"/>
            </w:tcBorders>
            <w:shd w:val="clear" w:color="auto" w:fill="auto"/>
            <w:noWrap/>
            <w:vAlign w:val="center"/>
          </w:tcPr>
          <w:p w14:paraId="35E3B76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w:t>
            </w:r>
          </w:p>
        </w:tc>
        <w:tc>
          <w:tcPr>
            <w:tcW w:w="617" w:type="dxa"/>
            <w:tcBorders>
              <w:top w:val="nil"/>
              <w:left w:val="nil"/>
              <w:bottom w:val="single" w:sz="4" w:space="0" w:color="BFBFBF"/>
              <w:right w:val="single" w:sz="4" w:space="0" w:color="BFBFBF"/>
            </w:tcBorders>
            <w:shd w:val="clear" w:color="auto" w:fill="auto"/>
            <w:noWrap/>
            <w:vAlign w:val="center"/>
          </w:tcPr>
          <w:p w14:paraId="7BFEFC0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134</w:t>
            </w:r>
          </w:p>
        </w:tc>
        <w:tc>
          <w:tcPr>
            <w:tcW w:w="734" w:type="dxa"/>
            <w:tcBorders>
              <w:top w:val="nil"/>
              <w:left w:val="nil"/>
              <w:bottom w:val="single" w:sz="4" w:space="0" w:color="BFBFBF"/>
              <w:right w:val="single" w:sz="4" w:space="0" w:color="BFBFBF"/>
            </w:tcBorders>
            <w:shd w:val="clear" w:color="auto" w:fill="auto"/>
            <w:noWrap/>
            <w:vAlign w:val="center"/>
          </w:tcPr>
          <w:p w14:paraId="0018433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3DD722F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189F5596" w14:textId="26B71721"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1,588</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2669AD89" w14:textId="367D3D35"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57F986E0" w14:textId="3F3319CA"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4B1F0E0B"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Western Melbourne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16A90F8" w14:textId="68E66B5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72%</w:t>
            </w:r>
          </w:p>
        </w:tc>
        <w:tc>
          <w:tcPr>
            <w:tcW w:w="695" w:type="dxa"/>
            <w:tcBorders>
              <w:top w:val="nil"/>
              <w:left w:val="nil"/>
              <w:bottom w:val="single" w:sz="4" w:space="0" w:color="BFBFBF"/>
              <w:right w:val="single" w:sz="4" w:space="0" w:color="BFBFBF"/>
            </w:tcBorders>
            <w:shd w:val="clear" w:color="auto" w:fill="auto"/>
            <w:noWrap/>
            <w:vAlign w:val="center"/>
          </w:tcPr>
          <w:p w14:paraId="70483848" w14:textId="1B96104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250</w:t>
            </w:r>
          </w:p>
        </w:tc>
        <w:tc>
          <w:tcPr>
            <w:tcW w:w="734" w:type="dxa"/>
            <w:tcBorders>
              <w:top w:val="nil"/>
              <w:left w:val="nil"/>
              <w:bottom w:val="single" w:sz="4" w:space="0" w:color="BFBFBF"/>
              <w:right w:val="single" w:sz="4" w:space="0" w:color="BFBFBF"/>
            </w:tcBorders>
            <w:shd w:val="clear" w:color="auto" w:fill="auto"/>
            <w:noWrap/>
            <w:vAlign w:val="center"/>
          </w:tcPr>
          <w:p w14:paraId="1DA41939"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B68507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2BE4886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7951ABB6" w14:textId="40DD884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22%</w:t>
            </w:r>
          </w:p>
        </w:tc>
        <w:tc>
          <w:tcPr>
            <w:tcW w:w="642" w:type="dxa"/>
            <w:tcBorders>
              <w:top w:val="nil"/>
              <w:left w:val="nil"/>
              <w:bottom w:val="single" w:sz="4" w:space="0" w:color="BFBFBF"/>
              <w:right w:val="single" w:sz="4" w:space="0" w:color="BFBFBF"/>
            </w:tcBorders>
            <w:shd w:val="clear" w:color="auto" w:fill="auto"/>
            <w:noWrap/>
            <w:vAlign w:val="center"/>
          </w:tcPr>
          <w:p w14:paraId="4D354C38" w14:textId="1168CE1C"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51</w:t>
            </w:r>
          </w:p>
        </w:tc>
        <w:tc>
          <w:tcPr>
            <w:tcW w:w="817" w:type="dxa"/>
            <w:tcBorders>
              <w:top w:val="nil"/>
              <w:left w:val="nil"/>
              <w:bottom w:val="single" w:sz="4" w:space="0" w:color="BFBFBF"/>
              <w:right w:val="single" w:sz="4" w:space="0" w:color="BFBFBF"/>
            </w:tcBorders>
            <w:shd w:val="clear" w:color="auto" w:fill="auto"/>
            <w:noWrap/>
            <w:vAlign w:val="center"/>
          </w:tcPr>
          <w:p w14:paraId="10B9D7CA"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449812E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19195247" w14:textId="6840AC63"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7B763007" w14:textId="79984A3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001D6C44" w14:textId="4849C35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142</w:t>
            </w:r>
          </w:p>
        </w:tc>
        <w:tc>
          <w:tcPr>
            <w:tcW w:w="734" w:type="dxa"/>
            <w:tcBorders>
              <w:top w:val="nil"/>
              <w:left w:val="nil"/>
              <w:bottom w:val="single" w:sz="4" w:space="0" w:color="BFBFBF"/>
              <w:right w:val="single" w:sz="4" w:space="0" w:color="BFBFBF"/>
            </w:tcBorders>
            <w:shd w:val="clear" w:color="auto" w:fill="auto"/>
            <w:noWrap/>
            <w:vAlign w:val="center"/>
          </w:tcPr>
          <w:p w14:paraId="03CF199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4%</w:t>
            </w:r>
          </w:p>
        </w:tc>
        <w:tc>
          <w:tcPr>
            <w:tcW w:w="617" w:type="dxa"/>
            <w:tcBorders>
              <w:top w:val="nil"/>
              <w:left w:val="nil"/>
              <w:bottom w:val="single" w:sz="4" w:space="0" w:color="BFBFBF"/>
              <w:right w:val="single" w:sz="4" w:space="0" w:color="BFBFBF"/>
            </w:tcBorders>
            <w:shd w:val="clear" w:color="auto" w:fill="auto"/>
            <w:noWrap/>
            <w:vAlign w:val="center"/>
          </w:tcPr>
          <w:p w14:paraId="3B1561C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w:t>
            </w:r>
          </w:p>
        </w:tc>
        <w:tc>
          <w:tcPr>
            <w:tcW w:w="734" w:type="dxa"/>
            <w:tcBorders>
              <w:top w:val="nil"/>
              <w:left w:val="nil"/>
              <w:bottom w:val="single" w:sz="4" w:space="0" w:color="BFBFBF"/>
              <w:right w:val="single" w:sz="4" w:space="0" w:color="BFBFBF"/>
            </w:tcBorders>
            <w:shd w:val="clear" w:color="auto" w:fill="auto"/>
            <w:noWrap/>
            <w:vAlign w:val="center"/>
          </w:tcPr>
          <w:p w14:paraId="3E546EF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483297E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15B24188" w14:textId="58FF1E0F"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1,794</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26713CFE" w14:textId="4507BD77"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4D43B72B" w14:textId="613D913F"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1AB82E0C"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Brimbank Melton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6CB40B4" w14:textId="4C40D230"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695" w:type="dxa"/>
            <w:tcBorders>
              <w:top w:val="nil"/>
              <w:left w:val="nil"/>
              <w:bottom w:val="single" w:sz="4" w:space="0" w:color="BFBFBF"/>
              <w:right w:val="single" w:sz="4" w:space="0" w:color="BFBFBF"/>
            </w:tcBorders>
            <w:shd w:val="clear" w:color="auto" w:fill="auto"/>
            <w:noWrap/>
            <w:vAlign w:val="center"/>
          </w:tcPr>
          <w:p w14:paraId="5E7DF1A9" w14:textId="5135AA6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273</w:t>
            </w:r>
          </w:p>
        </w:tc>
        <w:tc>
          <w:tcPr>
            <w:tcW w:w="734" w:type="dxa"/>
            <w:tcBorders>
              <w:top w:val="nil"/>
              <w:left w:val="nil"/>
              <w:bottom w:val="single" w:sz="4" w:space="0" w:color="BFBFBF"/>
              <w:right w:val="single" w:sz="4" w:space="0" w:color="BFBFBF"/>
            </w:tcBorders>
            <w:shd w:val="clear" w:color="auto" w:fill="auto"/>
            <w:noWrap/>
            <w:vAlign w:val="center"/>
          </w:tcPr>
          <w:p w14:paraId="20ACCA0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FCFE62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05BE58E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7265D98E" w14:textId="2F42058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4858008A" w14:textId="4EC37E9E"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731993F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374E1870"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4A0C5309" w14:textId="03F08AB6"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5DA4BA5" w14:textId="6065D6D0"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3294EECE" w14:textId="7AE4B1A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129</w:t>
            </w:r>
          </w:p>
        </w:tc>
        <w:tc>
          <w:tcPr>
            <w:tcW w:w="734" w:type="dxa"/>
            <w:tcBorders>
              <w:top w:val="nil"/>
              <w:left w:val="nil"/>
              <w:bottom w:val="single" w:sz="4" w:space="0" w:color="BFBFBF"/>
              <w:right w:val="single" w:sz="4" w:space="0" w:color="BFBFBF"/>
            </w:tcBorders>
            <w:shd w:val="clear" w:color="auto" w:fill="auto"/>
            <w:noWrap/>
            <w:vAlign w:val="center"/>
          </w:tcPr>
          <w:p w14:paraId="169A23F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25%</w:t>
            </w:r>
          </w:p>
        </w:tc>
        <w:tc>
          <w:tcPr>
            <w:tcW w:w="617" w:type="dxa"/>
            <w:tcBorders>
              <w:top w:val="nil"/>
              <w:left w:val="nil"/>
              <w:bottom w:val="single" w:sz="4" w:space="0" w:color="BFBFBF"/>
              <w:right w:val="single" w:sz="4" w:space="0" w:color="BFBFBF"/>
            </w:tcBorders>
            <w:shd w:val="clear" w:color="auto" w:fill="auto"/>
            <w:noWrap/>
            <w:vAlign w:val="center"/>
          </w:tcPr>
          <w:p w14:paraId="3262670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39</w:t>
            </w:r>
          </w:p>
        </w:tc>
        <w:tc>
          <w:tcPr>
            <w:tcW w:w="734" w:type="dxa"/>
            <w:tcBorders>
              <w:top w:val="nil"/>
              <w:left w:val="nil"/>
              <w:bottom w:val="single" w:sz="4" w:space="0" w:color="BFBFBF"/>
              <w:right w:val="single" w:sz="4" w:space="0" w:color="BFBFBF"/>
            </w:tcBorders>
            <w:shd w:val="clear" w:color="auto" w:fill="auto"/>
            <w:noWrap/>
            <w:vAlign w:val="center"/>
          </w:tcPr>
          <w:p w14:paraId="0416C55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789D7FF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00A72214" w14:textId="4E3113D1"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1,468</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11FA07D7" w14:textId="70557600"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4FE07012" w14:textId="400B7070"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39D6D78B"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Mallee</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0217D10F" w14:textId="3F671EC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99%</w:t>
            </w:r>
          </w:p>
        </w:tc>
        <w:tc>
          <w:tcPr>
            <w:tcW w:w="695" w:type="dxa"/>
            <w:tcBorders>
              <w:top w:val="nil"/>
              <w:left w:val="nil"/>
              <w:bottom w:val="single" w:sz="4" w:space="0" w:color="BFBFBF"/>
              <w:right w:val="single" w:sz="4" w:space="0" w:color="BFBFBF"/>
            </w:tcBorders>
            <w:shd w:val="clear" w:color="auto" w:fill="auto"/>
            <w:noWrap/>
            <w:vAlign w:val="center"/>
          </w:tcPr>
          <w:p w14:paraId="66BBCC97" w14:textId="01E4CC26"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288</w:t>
            </w:r>
          </w:p>
        </w:tc>
        <w:tc>
          <w:tcPr>
            <w:tcW w:w="734" w:type="dxa"/>
            <w:tcBorders>
              <w:top w:val="nil"/>
              <w:left w:val="nil"/>
              <w:bottom w:val="single" w:sz="4" w:space="0" w:color="BFBFBF"/>
              <w:right w:val="single" w:sz="4" w:space="0" w:color="BFBFBF"/>
            </w:tcBorders>
            <w:shd w:val="clear" w:color="auto" w:fill="auto"/>
            <w:noWrap/>
            <w:vAlign w:val="center"/>
          </w:tcPr>
          <w:p w14:paraId="4DA4BA2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385B62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BAA673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5346696B" w14:textId="0F67C02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4F470FCD" w14:textId="362C6A9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743614D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59C9A4F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7CA6821" w14:textId="0A71B280"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B099002" w14:textId="0E8B5869"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58E66448" w14:textId="76E85E4C"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129</w:t>
            </w:r>
          </w:p>
        </w:tc>
        <w:tc>
          <w:tcPr>
            <w:tcW w:w="734" w:type="dxa"/>
            <w:tcBorders>
              <w:top w:val="nil"/>
              <w:left w:val="nil"/>
              <w:bottom w:val="single" w:sz="4" w:space="0" w:color="BFBFBF"/>
              <w:right w:val="single" w:sz="4" w:space="0" w:color="BFBFBF"/>
            </w:tcBorders>
            <w:shd w:val="clear" w:color="auto" w:fill="auto"/>
            <w:noWrap/>
            <w:vAlign w:val="center"/>
          </w:tcPr>
          <w:p w14:paraId="19A209E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14%</w:t>
            </w:r>
          </w:p>
        </w:tc>
        <w:tc>
          <w:tcPr>
            <w:tcW w:w="617" w:type="dxa"/>
            <w:tcBorders>
              <w:top w:val="nil"/>
              <w:left w:val="nil"/>
              <w:bottom w:val="single" w:sz="4" w:space="0" w:color="BFBFBF"/>
              <w:right w:val="single" w:sz="4" w:space="0" w:color="BFBFBF"/>
            </w:tcBorders>
            <w:shd w:val="clear" w:color="auto" w:fill="auto"/>
            <w:noWrap/>
            <w:vAlign w:val="center"/>
          </w:tcPr>
          <w:p w14:paraId="7862C46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w:t>
            </w:r>
          </w:p>
        </w:tc>
        <w:tc>
          <w:tcPr>
            <w:tcW w:w="734" w:type="dxa"/>
            <w:tcBorders>
              <w:top w:val="nil"/>
              <w:left w:val="nil"/>
              <w:bottom w:val="single" w:sz="4" w:space="0" w:color="BFBFBF"/>
              <w:right w:val="single" w:sz="4" w:space="0" w:color="BFBFBF"/>
            </w:tcBorders>
            <w:shd w:val="clear" w:color="auto" w:fill="auto"/>
            <w:noWrap/>
            <w:vAlign w:val="center"/>
          </w:tcPr>
          <w:p w14:paraId="001562F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4F822C0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0BE14C93" w14:textId="4BD2281E"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1,905</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11E54E69" w14:textId="310E0DC3"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75F38B68" w14:textId="24FDBDD4"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7038545A"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Loddon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C08FD87" w14:textId="45160F1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97%</w:t>
            </w:r>
          </w:p>
        </w:tc>
        <w:tc>
          <w:tcPr>
            <w:tcW w:w="695" w:type="dxa"/>
            <w:tcBorders>
              <w:top w:val="nil"/>
              <w:left w:val="nil"/>
              <w:bottom w:val="single" w:sz="4" w:space="0" w:color="BFBFBF"/>
              <w:right w:val="single" w:sz="4" w:space="0" w:color="BFBFBF"/>
            </w:tcBorders>
            <w:shd w:val="clear" w:color="auto" w:fill="auto"/>
            <w:noWrap/>
            <w:vAlign w:val="center"/>
          </w:tcPr>
          <w:p w14:paraId="3FF2EF32" w14:textId="7D0C976D"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270</w:t>
            </w:r>
          </w:p>
        </w:tc>
        <w:tc>
          <w:tcPr>
            <w:tcW w:w="734" w:type="dxa"/>
            <w:tcBorders>
              <w:top w:val="nil"/>
              <w:left w:val="nil"/>
              <w:bottom w:val="single" w:sz="4" w:space="0" w:color="BFBFBF"/>
              <w:right w:val="single" w:sz="4" w:space="0" w:color="BFBFBF"/>
            </w:tcBorders>
            <w:shd w:val="clear" w:color="auto" w:fill="auto"/>
            <w:noWrap/>
            <w:vAlign w:val="center"/>
          </w:tcPr>
          <w:p w14:paraId="65CF321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58C2AAB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3F1D594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63F69DE1" w14:textId="51E43D0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18%</w:t>
            </w:r>
          </w:p>
        </w:tc>
        <w:tc>
          <w:tcPr>
            <w:tcW w:w="642" w:type="dxa"/>
            <w:tcBorders>
              <w:top w:val="nil"/>
              <w:left w:val="nil"/>
              <w:bottom w:val="single" w:sz="4" w:space="0" w:color="BFBFBF"/>
              <w:right w:val="single" w:sz="4" w:space="0" w:color="BFBFBF"/>
            </w:tcBorders>
            <w:shd w:val="clear" w:color="auto" w:fill="auto"/>
            <w:noWrap/>
            <w:vAlign w:val="center"/>
          </w:tcPr>
          <w:p w14:paraId="0713BD93" w14:textId="3C38D2B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133</w:t>
            </w:r>
          </w:p>
        </w:tc>
        <w:tc>
          <w:tcPr>
            <w:tcW w:w="817" w:type="dxa"/>
            <w:tcBorders>
              <w:top w:val="nil"/>
              <w:left w:val="nil"/>
              <w:bottom w:val="single" w:sz="4" w:space="0" w:color="BFBFBF"/>
              <w:right w:val="single" w:sz="4" w:space="0" w:color="BFBFBF"/>
            </w:tcBorders>
            <w:shd w:val="clear" w:color="auto" w:fill="auto"/>
            <w:noWrap/>
            <w:vAlign w:val="center"/>
          </w:tcPr>
          <w:p w14:paraId="1B5C550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40375A0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26852F2F" w14:textId="21B0D4F2"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E6FEED8" w14:textId="1E6D464B"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072ACD55" w14:textId="64961B0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148</w:t>
            </w:r>
          </w:p>
        </w:tc>
        <w:tc>
          <w:tcPr>
            <w:tcW w:w="734" w:type="dxa"/>
            <w:tcBorders>
              <w:top w:val="nil"/>
              <w:left w:val="nil"/>
              <w:bottom w:val="single" w:sz="4" w:space="0" w:color="BFBFBF"/>
              <w:right w:val="single" w:sz="4" w:space="0" w:color="BFBFBF"/>
            </w:tcBorders>
            <w:shd w:val="clear" w:color="auto" w:fill="auto"/>
            <w:noWrap/>
            <w:vAlign w:val="center"/>
          </w:tcPr>
          <w:p w14:paraId="1013E8D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13%</w:t>
            </w:r>
          </w:p>
        </w:tc>
        <w:tc>
          <w:tcPr>
            <w:tcW w:w="617" w:type="dxa"/>
            <w:tcBorders>
              <w:top w:val="nil"/>
              <w:left w:val="nil"/>
              <w:bottom w:val="single" w:sz="4" w:space="0" w:color="BFBFBF"/>
              <w:right w:val="single" w:sz="4" w:space="0" w:color="BFBFBF"/>
            </w:tcBorders>
            <w:shd w:val="clear" w:color="auto" w:fill="auto"/>
            <w:noWrap/>
            <w:vAlign w:val="center"/>
          </w:tcPr>
          <w:p w14:paraId="66D7FAA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40</w:t>
            </w:r>
          </w:p>
        </w:tc>
        <w:tc>
          <w:tcPr>
            <w:tcW w:w="734" w:type="dxa"/>
            <w:tcBorders>
              <w:top w:val="nil"/>
              <w:left w:val="nil"/>
              <w:bottom w:val="single" w:sz="4" w:space="0" w:color="BFBFBF"/>
              <w:right w:val="single" w:sz="4" w:space="0" w:color="BFBFBF"/>
            </w:tcBorders>
            <w:shd w:val="clear" w:color="auto" w:fill="auto"/>
            <w:noWrap/>
            <w:vAlign w:val="center"/>
          </w:tcPr>
          <w:p w14:paraId="06B70F1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37CAB0F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7ECB706A" w14:textId="5859F604"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1,758</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356843E2" w14:textId="4B55AB11"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0EBEE564" w14:textId="7C011515"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1B37FDE9"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DB6DAB">
                  <w:rPr>
                    <w:rFonts w:ascii="Arial" w:hAnsi="Arial" w:cs="Arial"/>
                    <w:color w:val="000000"/>
                    <w:sz w:val="16"/>
                    <w:szCs w:val="16"/>
                    <w:lang w:val="en-AU" w:eastAsia="en-AU"/>
                  </w:rPr>
                  <w:t>Murray</w:t>
                </w:r>
              </w:smartTag>
            </w:smartTag>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E148120" w14:textId="6F9E9EF2"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695" w:type="dxa"/>
            <w:tcBorders>
              <w:top w:val="nil"/>
              <w:left w:val="nil"/>
              <w:bottom w:val="single" w:sz="4" w:space="0" w:color="BFBFBF"/>
              <w:right w:val="single" w:sz="4" w:space="0" w:color="BFBFBF"/>
            </w:tcBorders>
            <w:shd w:val="clear" w:color="auto" w:fill="auto"/>
            <w:noWrap/>
            <w:vAlign w:val="center"/>
          </w:tcPr>
          <w:p w14:paraId="03AA8C49" w14:textId="6A64C80E"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375</w:t>
            </w:r>
          </w:p>
        </w:tc>
        <w:tc>
          <w:tcPr>
            <w:tcW w:w="734" w:type="dxa"/>
            <w:tcBorders>
              <w:top w:val="nil"/>
              <w:left w:val="nil"/>
              <w:bottom w:val="single" w:sz="4" w:space="0" w:color="BFBFBF"/>
              <w:right w:val="single" w:sz="4" w:space="0" w:color="BFBFBF"/>
            </w:tcBorders>
            <w:shd w:val="clear" w:color="auto" w:fill="auto"/>
            <w:noWrap/>
            <w:vAlign w:val="center"/>
          </w:tcPr>
          <w:p w14:paraId="40D46FF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0D806F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A90CA7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4FB4E830" w14:textId="5B5B3BC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6A3C5DEA" w14:textId="49CEA3A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28EBCA1A"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78B5171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5643D0C7" w14:textId="6DD5B265"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02AD5337" w14:textId="4BC68770"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4E5E0E31" w14:textId="291AA910"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133</w:t>
            </w:r>
          </w:p>
        </w:tc>
        <w:tc>
          <w:tcPr>
            <w:tcW w:w="734" w:type="dxa"/>
            <w:tcBorders>
              <w:top w:val="nil"/>
              <w:left w:val="nil"/>
              <w:bottom w:val="single" w:sz="4" w:space="0" w:color="BFBFBF"/>
              <w:right w:val="single" w:sz="4" w:space="0" w:color="BFBFBF"/>
            </w:tcBorders>
            <w:shd w:val="clear" w:color="auto" w:fill="auto"/>
            <w:noWrap/>
            <w:vAlign w:val="center"/>
          </w:tcPr>
          <w:p w14:paraId="095343E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13%</w:t>
            </w:r>
          </w:p>
        </w:tc>
        <w:tc>
          <w:tcPr>
            <w:tcW w:w="617" w:type="dxa"/>
            <w:tcBorders>
              <w:top w:val="nil"/>
              <w:left w:val="nil"/>
              <w:bottom w:val="single" w:sz="4" w:space="0" w:color="BFBFBF"/>
              <w:right w:val="single" w:sz="4" w:space="0" w:color="BFBFBF"/>
            </w:tcBorders>
            <w:shd w:val="clear" w:color="auto" w:fill="auto"/>
            <w:noWrap/>
            <w:vAlign w:val="center"/>
          </w:tcPr>
          <w:p w14:paraId="5A608DB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30</w:t>
            </w:r>
          </w:p>
        </w:tc>
        <w:tc>
          <w:tcPr>
            <w:tcW w:w="734" w:type="dxa"/>
            <w:tcBorders>
              <w:top w:val="nil"/>
              <w:left w:val="nil"/>
              <w:bottom w:val="single" w:sz="4" w:space="0" w:color="BFBFBF"/>
              <w:right w:val="single" w:sz="4" w:space="0" w:color="BFBFBF"/>
            </w:tcBorders>
            <w:shd w:val="clear" w:color="auto" w:fill="auto"/>
            <w:noWrap/>
            <w:vAlign w:val="center"/>
          </w:tcPr>
          <w:p w14:paraId="4529AA6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6A7B1419"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0E2FBB59" w14:textId="0E3FDF9B"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1,927</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5092BA9E" w14:textId="36624F90"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14A72C54" w14:textId="280E2022"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4C72ECCB"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Goulburn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FF2FBD0" w14:textId="5683208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98%</w:t>
            </w:r>
          </w:p>
        </w:tc>
        <w:tc>
          <w:tcPr>
            <w:tcW w:w="695" w:type="dxa"/>
            <w:tcBorders>
              <w:top w:val="nil"/>
              <w:left w:val="nil"/>
              <w:bottom w:val="single" w:sz="4" w:space="0" w:color="BFBFBF"/>
              <w:right w:val="single" w:sz="4" w:space="0" w:color="BFBFBF"/>
            </w:tcBorders>
            <w:shd w:val="clear" w:color="auto" w:fill="auto"/>
            <w:noWrap/>
            <w:vAlign w:val="center"/>
          </w:tcPr>
          <w:p w14:paraId="57B3531F" w14:textId="629809F4"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299</w:t>
            </w:r>
          </w:p>
        </w:tc>
        <w:tc>
          <w:tcPr>
            <w:tcW w:w="734" w:type="dxa"/>
            <w:tcBorders>
              <w:top w:val="nil"/>
              <w:left w:val="nil"/>
              <w:bottom w:val="single" w:sz="4" w:space="0" w:color="BFBFBF"/>
              <w:right w:val="single" w:sz="4" w:space="0" w:color="BFBFBF"/>
            </w:tcBorders>
            <w:shd w:val="clear" w:color="auto" w:fill="auto"/>
            <w:noWrap/>
            <w:vAlign w:val="center"/>
          </w:tcPr>
          <w:p w14:paraId="1588B02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7DA33CA"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490196A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5CFCC547" w14:textId="36DCDAB5"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68291B5E" w14:textId="2E2635D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0C0BD88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3D7EF57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4A9C573C" w14:textId="6BEEF541"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ACB73AF" w14:textId="25537C04"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1A21E714" w14:textId="798C737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144</w:t>
            </w:r>
          </w:p>
        </w:tc>
        <w:tc>
          <w:tcPr>
            <w:tcW w:w="734" w:type="dxa"/>
            <w:tcBorders>
              <w:top w:val="nil"/>
              <w:left w:val="nil"/>
              <w:bottom w:val="single" w:sz="4" w:space="0" w:color="BFBFBF"/>
              <w:right w:val="single" w:sz="4" w:space="0" w:color="BFBFBF"/>
            </w:tcBorders>
            <w:shd w:val="clear" w:color="auto" w:fill="auto"/>
            <w:noWrap/>
            <w:vAlign w:val="center"/>
          </w:tcPr>
          <w:p w14:paraId="21AAB05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w:t>
            </w:r>
          </w:p>
        </w:tc>
        <w:tc>
          <w:tcPr>
            <w:tcW w:w="617" w:type="dxa"/>
            <w:tcBorders>
              <w:top w:val="nil"/>
              <w:left w:val="nil"/>
              <w:bottom w:val="single" w:sz="4" w:space="0" w:color="BFBFBF"/>
              <w:right w:val="single" w:sz="4" w:space="0" w:color="BFBFBF"/>
            </w:tcBorders>
            <w:shd w:val="clear" w:color="auto" w:fill="auto"/>
            <w:noWrap/>
            <w:vAlign w:val="center"/>
          </w:tcPr>
          <w:p w14:paraId="2C3B33A0"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w:t>
            </w:r>
          </w:p>
        </w:tc>
        <w:tc>
          <w:tcPr>
            <w:tcW w:w="734" w:type="dxa"/>
            <w:tcBorders>
              <w:top w:val="nil"/>
              <w:left w:val="nil"/>
              <w:bottom w:val="single" w:sz="4" w:space="0" w:color="BFBFBF"/>
              <w:right w:val="single" w:sz="4" w:space="0" w:color="BFBFBF"/>
            </w:tcBorders>
            <w:shd w:val="clear" w:color="auto" w:fill="auto"/>
            <w:noWrap/>
            <w:vAlign w:val="center"/>
          </w:tcPr>
          <w:p w14:paraId="763841E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6746729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35C51747" w14:textId="43720338"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1,981</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40F37EEF" w14:textId="4CA218DF"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54B8E19D" w14:textId="585974B5"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6C5C56B3"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Outer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D76F61B" w14:textId="31234FBC"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83%</w:t>
            </w:r>
          </w:p>
        </w:tc>
        <w:tc>
          <w:tcPr>
            <w:tcW w:w="695" w:type="dxa"/>
            <w:tcBorders>
              <w:top w:val="nil"/>
              <w:left w:val="nil"/>
              <w:bottom w:val="single" w:sz="4" w:space="0" w:color="BFBFBF"/>
              <w:right w:val="single" w:sz="4" w:space="0" w:color="BFBFBF"/>
            </w:tcBorders>
            <w:shd w:val="clear" w:color="auto" w:fill="auto"/>
            <w:noWrap/>
            <w:vAlign w:val="center"/>
          </w:tcPr>
          <w:p w14:paraId="47CC44FF" w14:textId="26D2466C"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221</w:t>
            </w:r>
          </w:p>
        </w:tc>
        <w:tc>
          <w:tcPr>
            <w:tcW w:w="734" w:type="dxa"/>
            <w:tcBorders>
              <w:top w:val="nil"/>
              <w:left w:val="nil"/>
              <w:bottom w:val="single" w:sz="4" w:space="0" w:color="BFBFBF"/>
              <w:right w:val="single" w:sz="4" w:space="0" w:color="BFBFBF"/>
            </w:tcBorders>
            <w:shd w:val="clear" w:color="auto" w:fill="auto"/>
            <w:noWrap/>
            <w:vAlign w:val="center"/>
          </w:tcPr>
          <w:p w14:paraId="027FC6A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7AF4AA3D"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733E17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3C5E8EF1" w14:textId="0C04D8D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6%</w:t>
            </w:r>
          </w:p>
        </w:tc>
        <w:tc>
          <w:tcPr>
            <w:tcW w:w="642" w:type="dxa"/>
            <w:tcBorders>
              <w:top w:val="nil"/>
              <w:left w:val="nil"/>
              <w:bottom w:val="single" w:sz="4" w:space="0" w:color="BFBFBF"/>
              <w:right w:val="single" w:sz="4" w:space="0" w:color="BFBFBF"/>
            </w:tcBorders>
            <w:shd w:val="clear" w:color="auto" w:fill="auto"/>
            <w:noWrap/>
            <w:vAlign w:val="center"/>
          </w:tcPr>
          <w:p w14:paraId="129E8A2C" w14:textId="2F0F1F3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234</w:t>
            </w:r>
          </w:p>
        </w:tc>
        <w:tc>
          <w:tcPr>
            <w:tcW w:w="817" w:type="dxa"/>
            <w:tcBorders>
              <w:top w:val="nil"/>
              <w:left w:val="nil"/>
              <w:bottom w:val="single" w:sz="4" w:space="0" w:color="BFBFBF"/>
              <w:right w:val="single" w:sz="4" w:space="0" w:color="BFBFBF"/>
            </w:tcBorders>
            <w:shd w:val="clear" w:color="auto" w:fill="auto"/>
            <w:noWrap/>
            <w:vAlign w:val="center"/>
          </w:tcPr>
          <w:p w14:paraId="67276C8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6E7C9B1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3D56A5D6" w14:textId="42E2F8F4"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4024CC8C" w14:textId="62C0967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5EC7ED7A" w14:textId="311C6CB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159</w:t>
            </w:r>
          </w:p>
        </w:tc>
        <w:tc>
          <w:tcPr>
            <w:tcW w:w="734" w:type="dxa"/>
            <w:tcBorders>
              <w:top w:val="nil"/>
              <w:left w:val="nil"/>
              <w:bottom w:val="single" w:sz="4" w:space="0" w:color="BFBFBF"/>
              <w:right w:val="single" w:sz="4" w:space="0" w:color="BFBFBF"/>
            </w:tcBorders>
            <w:shd w:val="clear" w:color="auto" w:fill="auto"/>
            <w:noWrap/>
            <w:vAlign w:val="center"/>
          </w:tcPr>
          <w:p w14:paraId="36EE3A4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w:t>
            </w:r>
          </w:p>
        </w:tc>
        <w:tc>
          <w:tcPr>
            <w:tcW w:w="617" w:type="dxa"/>
            <w:tcBorders>
              <w:top w:val="nil"/>
              <w:left w:val="nil"/>
              <w:bottom w:val="single" w:sz="4" w:space="0" w:color="BFBFBF"/>
              <w:right w:val="single" w:sz="4" w:space="0" w:color="BFBFBF"/>
            </w:tcBorders>
            <w:shd w:val="clear" w:color="auto" w:fill="auto"/>
            <w:noWrap/>
            <w:vAlign w:val="center"/>
          </w:tcPr>
          <w:p w14:paraId="6C3DE71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42</w:t>
            </w:r>
          </w:p>
        </w:tc>
        <w:tc>
          <w:tcPr>
            <w:tcW w:w="734" w:type="dxa"/>
            <w:tcBorders>
              <w:top w:val="nil"/>
              <w:left w:val="nil"/>
              <w:bottom w:val="single" w:sz="4" w:space="0" w:color="BFBFBF"/>
              <w:right w:val="single" w:sz="4" w:space="0" w:color="BFBFBF"/>
            </w:tcBorders>
            <w:shd w:val="clear" w:color="auto" w:fill="auto"/>
            <w:noWrap/>
            <w:vAlign w:val="center"/>
          </w:tcPr>
          <w:p w14:paraId="1DD84E61"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0E43A90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51CA7276" w14:textId="07F240E2"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1,742</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7ADF3471" w14:textId="1A4FEF01"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1964E63A" w14:textId="5FEBDA72"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53B41CF9"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Inner Gippsland</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FC86D99" w14:textId="35D8AFA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76%</w:t>
            </w:r>
          </w:p>
        </w:tc>
        <w:tc>
          <w:tcPr>
            <w:tcW w:w="695" w:type="dxa"/>
            <w:tcBorders>
              <w:top w:val="nil"/>
              <w:left w:val="nil"/>
              <w:bottom w:val="single" w:sz="4" w:space="0" w:color="BFBFBF"/>
              <w:right w:val="single" w:sz="4" w:space="0" w:color="BFBFBF"/>
            </w:tcBorders>
            <w:shd w:val="clear" w:color="auto" w:fill="auto"/>
            <w:noWrap/>
            <w:vAlign w:val="center"/>
          </w:tcPr>
          <w:p w14:paraId="07216B11" w14:textId="7612F72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307</w:t>
            </w:r>
          </w:p>
        </w:tc>
        <w:tc>
          <w:tcPr>
            <w:tcW w:w="734" w:type="dxa"/>
            <w:tcBorders>
              <w:top w:val="nil"/>
              <w:left w:val="nil"/>
              <w:bottom w:val="single" w:sz="4" w:space="0" w:color="BFBFBF"/>
              <w:right w:val="single" w:sz="4" w:space="0" w:color="BFBFBF"/>
            </w:tcBorders>
            <w:shd w:val="clear" w:color="auto" w:fill="auto"/>
            <w:noWrap/>
            <w:vAlign w:val="center"/>
          </w:tcPr>
          <w:p w14:paraId="28150E8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4ADBBA2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6A80FA80"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7116F144" w14:textId="620D77A4"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1832A5B5" w14:textId="419DA580"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6A0BC8B9"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6120555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3076FFA4" w14:textId="6C94B774"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039F4EB" w14:textId="06F158F9"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80%</w:t>
            </w:r>
          </w:p>
        </w:tc>
        <w:tc>
          <w:tcPr>
            <w:tcW w:w="734" w:type="dxa"/>
            <w:tcBorders>
              <w:top w:val="nil"/>
              <w:left w:val="nil"/>
              <w:bottom w:val="single" w:sz="4" w:space="0" w:color="BFBFBF"/>
              <w:right w:val="single" w:sz="4" w:space="0" w:color="auto"/>
            </w:tcBorders>
            <w:shd w:val="clear" w:color="auto" w:fill="auto"/>
            <w:noWrap/>
            <w:vAlign w:val="center"/>
          </w:tcPr>
          <w:p w14:paraId="2A75BA02" w14:textId="6FA4874B"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141</w:t>
            </w:r>
          </w:p>
        </w:tc>
        <w:tc>
          <w:tcPr>
            <w:tcW w:w="734" w:type="dxa"/>
            <w:tcBorders>
              <w:top w:val="nil"/>
              <w:left w:val="nil"/>
              <w:bottom w:val="single" w:sz="4" w:space="0" w:color="BFBFBF"/>
              <w:right w:val="single" w:sz="4" w:space="0" w:color="BFBFBF"/>
            </w:tcBorders>
            <w:shd w:val="clear" w:color="auto" w:fill="auto"/>
            <w:noWrap/>
            <w:vAlign w:val="center"/>
          </w:tcPr>
          <w:p w14:paraId="016DA20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w:t>
            </w:r>
          </w:p>
        </w:tc>
        <w:tc>
          <w:tcPr>
            <w:tcW w:w="617" w:type="dxa"/>
            <w:tcBorders>
              <w:top w:val="nil"/>
              <w:left w:val="nil"/>
              <w:bottom w:val="single" w:sz="4" w:space="0" w:color="BFBFBF"/>
              <w:right w:val="single" w:sz="4" w:space="0" w:color="BFBFBF"/>
            </w:tcBorders>
            <w:shd w:val="clear" w:color="auto" w:fill="auto"/>
            <w:noWrap/>
            <w:vAlign w:val="center"/>
          </w:tcPr>
          <w:p w14:paraId="65ED2B4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w:t>
            </w:r>
          </w:p>
        </w:tc>
        <w:tc>
          <w:tcPr>
            <w:tcW w:w="734" w:type="dxa"/>
            <w:tcBorders>
              <w:top w:val="nil"/>
              <w:left w:val="nil"/>
              <w:bottom w:val="single" w:sz="4" w:space="0" w:color="BFBFBF"/>
              <w:right w:val="single" w:sz="4" w:space="0" w:color="BFBFBF"/>
            </w:tcBorders>
            <w:shd w:val="clear" w:color="auto" w:fill="auto"/>
            <w:noWrap/>
            <w:vAlign w:val="center"/>
          </w:tcPr>
          <w:p w14:paraId="56A202A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204BDCD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3CFF53B9" w14:textId="73AFC0CA"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1,638</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762829F1" w14:textId="57292FE9"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4D9C66FA" w14:textId="7DDDFD48"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4EE0EDAD"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Western District</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260ADEF0" w14:textId="3A11C2F8"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97%</w:t>
            </w:r>
          </w:p>
        </w:tc>
        <w:tc>
          <w:tcPr>
            <w:tcW w:w="695" w:type="dxa"/>
            <w:tcBorders>
              <w:top w:val="nil"/>
              <w:left w:val="nil"/>
              <w:bottom w:val="single" w:sz="4" w:space="0" w:color="BFBFBF"/>
              <w:right w:val="single" w:sz="4" w:space="0" w:color="BFBFBF"/>
            </w:tcBorders>
            <w:shd w:val="clear" w:color="auto" w:fill="auto"/>
            <w:noWrap/>
            <w:vAlign w:val="center"/>
          </w:tcPr>
          <w:p w14:paraId="0A1775E8" w14:textId="586C88D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250</w:t>
            </w:r>
          </w:p>
        </w:tc>
        <w:tc>
          <w:tcPr>
            <w:tcW w:w="734" w:type="dxa"/>
            <w:tcBorders>
              <w:top w:val="nil"/>
              <w:left w:val="nil"/>
              <w:bottom w:val="single" w:sz="4" w:space="0" w:color="BFBFBF"/>
              <w:right w:val="single" w:sz="4" w:space="0" w:color="BFBFBF"/>
            </w:tcBorders>
            <w:shd w:val="clear" w:color="auto" w:fill="auto"/>
            <w:noWrap/>
            <w:vAlign w:val="center"/>
          </w:tcPr>
          <w:p w14:paraId="4112FB2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039F80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AEC53B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7753ADE0" w14:textId="3B27FD65"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29%</w:t>
            </w:r>
          </w:p>
        </w:tc>
        <w:tc>
          <w:tcPr>
            <w:tcW w:w="642" w:type="dxa"/>
            <w:tcBorders>
              <w:top w:val="nil"/>
              <w:left w:val="nil"/>
              <w:bottom w:val="single" w:sz="4" w:space="0" w:color="BFBFBF"/>
              <w:right w:val="single" w:sz="4" w:space="0" w:color="BFBFBF"/>
            </w:tcBorders>
            <w:shd w:val="clear" w:color="auto" w:fill="auto"/>
            <w:noWrap/>
            <w:vAlign w:val="center"/>
          </w:tcPr>
          <w:p w14:paraId="60425EE3" w14:textId="58A2CFE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1390</w:t>
            </w:r>
          </w:p>
        </w:tc>
        <w:tc>
          <w:tcPr>
            <w:tcW w:w="817" w:type="dxa"/>
            <w:tcBorders>
              <w:top w:val="nil"/>
              <w:left w:val="nil"/>
              <w:bottom w:val="single" w:sz="4" w:space="0" w:color="BFBFBF"/>
              <w:right w:val="single" w:sz="4" w:space="0" w:color="BFBFBF"/>
            </w:tcBorders>
            <w:shd w:val="clear" w:color="auto" w:fill="auto"/>
            <w:noWrap/>
            <w:vAlign w:val="center"/>
          </w:tcPr>
          <w:p w14:paraId="6D3F15A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282FD80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4E7E7AE6" w14:textId="07B76262"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53DAFE8" w14:textId="3160BBB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0A9235C5" w14:textId="65D421CB"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133</w:t>
            </w:r>
          </w:p>
        </w:tc>
        <w:tc>
          <w:tcPr>
            <w:tcW w:w="734" w:type="dxa"/>
            <w:tcBorders>
              <w:top w:val="nil"/>
              <w:left w:val="nil"/>
              <w:bottom w:val="single" w:sz="4" w:space="0" w:color="BFBFBF"/>
              <w:right w:val="single" w:sz="4" w:space="0" w:color="BFBFBF"/>
            </w:tcBorders>
            <w:shd w:val="clear" w:color="auto" w:fill="auto"/>
            <w:noWrap/>
            <w:vAlign w:val="center"/>
          </w:tcPr>
          <w:p w14:paraId="26257BE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54%</w:t>
            </w:r>
          </w:p>
        </w:tc>
        <w:tc>
          <w:tcPr>
            <w:tcW w:w="617" w:type="dxa"/>
            <w:tcBorders>
              <w:top w:val="nil"/>
              <w:left w:val="nil"/>
              <w:bottom w:val="single" w:sz="4" w:space="0" w:color="BFBFBF"/>
              <w:right w:val="single" w:sz="4" w:space="0" w:color="BFBFBF"/>
            </w:tcBorders>
            <w:shd w:val="clear" w:color="auto" w:fill="auto"/>
            <w:noWrap/>
            <w:vAlign w:val="center"/>
          </w:tcPr>
          <w:p w14:paraId="070FA670"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220</w:t>
            </w:r>
          </w:p>
        </w:tc>
        <w:tc>
          <w:tcPr>
            <w:tcW w:w="734" w:type="dxa"/>
            <w:tcBorders>
              <w:top w:val="nil"/>
              <w:left w:val="nil"/>
              <w:bottom w:val="single" w:sz="4" w:space="0" w:color="BFBFBF"/>
              <w:right w:val="single" w:sz="4" w:space="0" w:color="BFBFBF"/>
            </w:tcBorders>
            <w:shd w:val="clear" w:color="auto" w:fill="auto"/>
            <w:noWrap/>
            <w:vAlign w:val="center"/>
          </w:tcPr>
          <w:p w14:paraId="7E70D5C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49C60AE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506B8F62" w14:textId="38840968"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1,712</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484AA160" w14:textId="7E5EE65D"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425FA0DE" w14:textId="721DC134"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04276DB9"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Barwon</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77A91112" w14:textId="44194B3D"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94%</w:t>
            </w:r>
          </w:p>
        </w:tc>
        <w:tc>
          <w:tcPr>
            <w:tcW w:w="695" w:type="dxa"/>
            <w:tcBorders>
              <w:top w:val="nil"/>
              <w:left w:val="nil"/>
              <w:bottom w:val="single" w:sz="4" w:space="0" w:color="BFBFBF"/>
              <w:right w:val="single" w:sz="4" w:space="0" w:color="BFBFBF"/>
            </w:tcBorders>
            <w:shd w:val="clear" w:color="auto" w:fill="auto"/>
            <w:noWrap/>
            <w:vAlign w:val="center"/>
          </w:tcPr>
          <w:p w14:paraId="2C00C897" w14:textId="51ADBB8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244</w:t>
            </w:r>
          </w:p>
        </w:tc>
        <w:tc>
          <w:tcPr>
            <w:tcW w:w="734" w:type="dxa"/>
            <w:tcBorders>
              <w:top w:val="nil"/>
              <w:left w:val="nil"/>
              <w:bottom w:val="single" w:sz="4" w:space="0" w:color="BFBFBF"/>
              <w:right w:val="single" w:sz="4" w:space="0" w:color="BFBFBF"/>
            </w:tcBorders>
            <w:shd w:val="clear" w:color="auto" w:fill="auto"/>
            <w:noWrap/>
            <w:vAlign w:val="center"/>
          </w:tcPr>
          <w:p w14:paraId="351C15C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117D6E9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14080F71"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14451634" w14:textId="440CD6E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15%</w:t>
            </w:r>
          </w:p>
        </w:tc>
        <w:tc>
          <w:tcPr>
            <w:tcW w:w="642" w:type="dxa"/>
            <w:tcBorders>
              <w:top w:val="nil"/>
              <w:left w:val="nil"/>
              <w:bottom w:val="single" w:sz="4" w:space="0" w:color="BFBFBF"/>
              <w:right w:val="single" w:sz="4" w:space="0" w:color="BFBFBF"/>
            </w:tcBorders>
            <w:shd w:val="clear" w:color="auto" w:fill="auto"/>
            <w:noWrap/>
            <w:vAlign w:val="center"/>
          </w:tcPr>
          <w:p w14:paraId="39718C8D" w14:textId="03F11952"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184</w:t>
            </w:r>
          </w:p>
        </w:tc>
        <w:tc>
          <w:tcPr>
            <w:tcW w:w="817" w:type="dxa"/>
            <w:tcBorders>
              <w:top w:val="nil"/>
              <w:left w:val="nil"/>
              <w:bottom w:val="single" w:sz="4" w:space="0" w:color="BFBFBF"/>
              <w:right w:val="single" w:sz="4" w:space="0" w:color="BFBFBF"/>
            </w:tcBorders>
            <w:shd w:val="clear" w:color="auto" w:fill="auto"/>
            <w:noWrap/>
            <w:vAlign w:val="center"/>
          </w:tcPr>
          <w:p w14:paraId="5429D7E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644BF10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506BC53C" w14:textId="16B146EE"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17A6124" w14:textId="241DFF1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5EED93D1" w14:textId="1A9D5F6D"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167</w:t>
            </w:r>
          </w:p>
        </w:tc>
        <w:tc>
          <w:tcPr>
            <w:tcW w:w="734" w:type="dxa"/>
            <w:tcBorders>
              <w:top w:val="nil"/>
              <w:left w:val="nil"/>
              <w:bottom w:val="single" w:sz="4" w:space="0" w:color="BFBFBF"/>
              <w:right w:val="single" w:sz="4" w:space="0" w:color="BFBFBF"/>
            </w:tcBorders>
            <w:shd w:val="clear" w:color="auto" w:fill="auto"/>
            <w:noWrap/>
            <w:vAlign w:val="center"/>
          </w:tcPr>
          <w:p w14:paraId="5B4CAEC9"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75%</w:t>
            </w:r>
          </w:p>
        </w:tc>
        <w:tc>
          <w:tcPr>
            <w:tcW w:w="617" w:type="dxa"/>
            <w:tcBorders>
              <w:top w:val="nil"/>
              <w:left w:val="nil"/>
              <w:bottom w:val="single" w:sz="4" w:space="0" w:color="BFBFBF"/>
              <w:right w:val="single" w:sz="4" w:space="0" w:color="BFBFBF"/>
            </w:tcBorders>
            <w:shd w:val="clear" w:color="auto" w:fill="auto"/>
            <w:noWrap/>
            <w:vAlign w:val="center"/>
          </w:tcPr>
          <w:p w14:paraId="27DA4A8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90</w:t>
            </w:r>
          </w:p>
        </w:tc>
        <w:tc>
          <w:tcPr>
            <w:tcW w:w="734" w:type="dxa"/>
            <w:tcBorders>
              <w:top w:val="nil"/>
              <w:left w:val="nil"/>
              <w:bottom w:val="single" w:sz="4" w:space="0" w:color="BFBFBF"/>
              <w:right w:val="single" w:sz="4" w:space="0" w:color="BFBFBF"/>
            </w:tcBorders>
            <w:shd w:val="clear" w:color="auto" w:fill="auto"/>
            <w:noWrap/>
            <w:vAlign w:val="center"/>
          </w:tcPr>
          <w:p w14:paraId="7C692FD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6A5E654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4B12CED9" w14:textId="3C69B6B8"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1,741</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7A89E637" w14:textId="55FFA212"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7CF4D91A" w14:textId="1751D5C7" w:rsidTr="00D92C64">
        <w:trPr>
          <w:trHeight w:val="225"/>
        </w:trPr>
        <w:tc>
          <w:tcPr>
            <w:tcW w:w="2273" w:type="dxa"/>
            <w:tcBorders>
              <w:top w:val="nil"/>
              <w:left w:val="double" w:sz="6" w:space="0" w:color="auto"/>
              <w:bottom w:val="single" w:sz="4" w:space="0" w:color="BFBFBF"/>
              <w:right w:val="nil"/>
            </w:tcBorders>
            <w:shd w:val="clear" w:color="auto" w:fill="auto"/>
            <w:noWrap/>
            <w:vAlign w:val="bottom"/>
          </w:tcPr>
          <w:p w14:paraId="69AB4335"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Central Highlands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6A3E2AEF" w14:textId="26B5ED78"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695" w:type="dxa"/>
            <w:tcBorders>
              <w:top w:val="nil"/>
              <w:left w:val="nil"/>
              <w:bottom w:val="single" w:sz="4" w:space="0" w:color="BFBFBF"/>
              <w:right w:val="single" w:sz="4" w:space="0" w:color="BFBFBF"/>
            </w:tcBorders>
            <w:shd w:val="clear" w:color="auto" w:fill="auto"/>
            <w:noWrap/>
            <w:vAlign w:val="center"/>
          </w:tcPr>
          <w:p w14:paraId="6E01F521" w14:textId="0DED6A76"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234</w:t>
            </w:r>
          </w:p>
        </w:tc>
        <w:tc>
          <w:tcPr>
            <w:tcW w:w="734" w:type="dxa"/>
            <w:tcBorders>
              <w:top w:val="nil"/>
              <w:left w:val="nil"/>
              <w:bottom w:val="single" w:sz="4" w:space="0" w:color="BFBFBF"/>
              <w:right w:val="single" w:sz="4" w:space="0" w:color="BFBFBF"/>
            </w:tcBorders>
            <w:shd w:val="clear" w:color="auto" w:fill="auto"/>
            <w:noWrap/>
            <w:vAlign w:val="center"/>
          </w:tcPr>
          <w:p w14:paraId="5C25D8D0"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BFBFBF"/>
            </w:tcBorders>
            <w:shd w:val="clear" w:color="auto" w:fill="auto"/>
            <w:noWrap/>
            <w:vAlign w:val="center"/>
          </w:tcPr>
          <w:p w14:paraId="32FB9E1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734" w:type="dxa"/>
            <w:tcBorders>
              <w:top w:val="nil"/>
              <w:left w:val="nil"/>
              <w:bottom w:val="single" w:sz="4" w:space="0" w:color="BFBFBF"/>
              <w:right w:val="single" w:sz="4" w:space="0" w:color="auto"/>
            </w:tcBorders>
            <w:shd w:val="clear" w:color="auto" w:fill="auto"/>
            <w:noWrap/>
            <w:vAlign w:val="center"/>
          </w:tcPr>
          <w:p w14:paraId="79EBF1B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17" w:type="dxa"/>
            <w:tcBorders>
              <w:top w:val="nil"/>
              <w:left w:val="nil"/>
              <w:bottom w:val="single" w:sz="4" w:space="0" w:color="BFBFBF"/>
              <w:right w:val="single" w:sz="4" w:space="0" w:color="BFBFBF"/>
            </w:tcBorders>
            <w:shd w:val="clear" w:color="auto" w:fill="auto"/>
            <w:noWrap/>
            <w:vAlign w:val="center"/>
          </w:tcPr>
          <w:p w14:paraId="6BA46612" w14:textId="66555990"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1CECBF18" w14:textId="5B0FC23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416BCD9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42" w:type="dxa"/>
            <w:tcBorders>
              <w:top w:val="nil"/>
              <w:left w:val="nil"/>
              <w:bottom w:val="single" w:sz="4" w:space="0" w:color="BFBFBF"/>
              <w:right w:val="single" w:sz="4" w:space="0" w:color="BFBFBF"/>
            </w:tcBorders>
            <w:shd w:val="clear" w:color="auto" w:fill="auto"/>
            <w:noWrap/>
            <w:vAlign w:val="center"/>
          </w:tcPr>
          <w:p w14:paraId="5FBBEE5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nil"/>
              <w:bottom w:val="single" w:sz="4" w:space="0" w:color="BFBFBF"/>
              <w:right w:val="nil"/>
            </w:tcBorders>
            <w:shd w:val="clear" w:color="auto" w:fill="auto"/>
            <w:noWrap/>
            <w:vAlign w:val="center"/>
          </w:tcPr>
          <w:p w14:paraId="47B2F4BE" w14:textId="1690DACD"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763E9E7" w14:textId="49CE5FDC"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0F110455" w14:textId="374BE519"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144</w:t>
            </w:r>
          </w:p>
        </w:tc>
        <w:tc>
          <w:tcPr>
            <w:tcW w:w="734" w:type="dxa"/>
            <w:tcBorders>
              <w:top w:val="nil"/>
              <w:left w:val="nil"/>
              <w:bottom w:val="single" w:sz="4" w:space="0" w:color="BFBFBF"/>
              <w:right w:val="single" w:sz="4" w:space="0" w:color="BFBFBF"/>
            </w:tcBorders>
            <w:shd w:val="clear" w:color="auto" w:fill="auto"/>
            <w:noWrap/>
            <w:vAlign w:val="center"/>
          </w:tcPr>
          <w:p w14:paraId="1ADFFA50"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w:t>
            </w:r>
          </w:p>
        </w:tc>
        <w:tc>
          <w:tcPr>
            <w:tcW w:w="617" w:type="dxa"/>
            <w:tcBorders>
              <w:top w:val="nil"/>
              <w:left w:val="nil"/>
              <w:bottom w:val="single" w:sz="4" w:space="0" w:color="BFBFBF"/>
              <w:right w:val="single" w:sz="4" w:space="0" w:color="BFBFBF"/>
            </w:tcBorders>
            <w:shd w:val="clear" w:color="auto" w:fill="auto"/>
            <w:noWrap/>
            <w:vAlign w:val="center"/>
          </w:tcPr>
          <w:p w14:paraId="1D9282D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52</w:t>
            </w:r>
          </w:p>
        </w:tc>
        <w:tc>
          <w:tcPr>
            <w:tcW w:w="734" w:type="dxa"/>
            <w:tcBorders>
              <w:top w:val="nil"/>
              <w:left w:val="nil"/>
              <w:bottom w:val="single" w:sz="4" w:space="0" w:color="BFBFBF"/>
              <w:right w:val="single" w:sz="4" w:space="0" w:color="BFBFBF"/>
            </w:tcBorders>
            <w:shd w:val="clear" w:color="auto" w:fill="auto"/>
            <w:noWrap/>
            <w:vAlign w:val="center"/>
          </w:tcPr>
          <w:p w14:paraId="18B2394A"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617" w:type="dxa"/>
            <w:tcBorders>
              <w:top w:val="nil"/>
              <w:left w:val="nil"/>
              <w:bottom w:val="single" w:sz="4" w:space="0" w:color="BFBFBF"/>
              <w:right w:val="double" w:sz="6" w:space="0" w:color="auto"/>
            </w:tcBorders>
            <w:shd w:val="clear" w:color="auto" w:fill="auto"/>
            <w:noWrap/>
            <w:vAlign w:val="center"/>
          </w:tcPr>
          <w:p w14:paraId="084C94C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n/a</w:t>
            </w:r>
          </w:p>
        </w:tc>
        <w:tc>
          <w:tcPr>
            <w:tcW w:w="884" w:type="dxa"/>
            <w:tcBorders>
              <w:top w:val="nil"/>
              <w:left w:val="nil"/>
              <w:bottom w:val="single" w:sz="4" w:space="0" w:color="BFBFBF"/>
              <w:right w:val="single" w:sz="4" w:space="0" w:color="BFBFBF" w:themeColor="background1" w:themeShade="BF"/>
            </w:tcBorders>
            <w:vAlign w:val="center"/>
          </w:tcPr>
          <w:p w14:paraId="3D6F50A6" w14:textId="3E9385D0"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1,653</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3982E845" w14:textId="5CF9077C"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r>
      <w:tr w:rsidR="00223CAF" w:rsidRPr="00DB6DAB" w14:paraId="22255C82" w14:textId="6E1562A6"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5839C4D6" w14:textId="77777777" w:rsidR="00223CAF" w:rsidRPr="00DB6DAB" w:rsidRDefault="00223CAF"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By Concession Status -</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B413277" w14:textId="3F24ED09" w:rsidR="00223CAF" w:rsidRPr="00DB6DAB" w:rsidRDefault="00223CAF" w:rsidP="00154117">
            <w:pPr>
              <w:spacing w:before="0" w:after="0"/>
              <w:jc w:val="center"/>
              <w:rPr>
                <w:rFonts w:ascii="Arial" w:hAnsi="Arial" w:cs="Arial"/>
                <w:color w:val="000000"/>
                <w:sz w:val="16"/>
                <w:szCs w:val="16"/>
                <w:lang w:val="en-AU" w:eastAsia="en-AU"/>
              </w:rPr>
            </w:pPr>
          </w:p>
        </w:tc>
        <w:tc>
          <w:tcPr>
            <w:tcW w:w="695" w:type="dxa"/>
            <w:tcBorders>
              <w:top w:val="nil"/>
              <w:left w:val="nil"/>
              <w:bottom w:val="single" w:sz="4" w:space="0" w:color="BFBFBF"/>
              <w:right w:val="single" w:sz="4" w:space="0" w:color="BFBFBF"/>
            </w:tcBorders>
            <w:shd w:val="clear" w:color="auto" w:fill="auto"/>
            <w:noWrap/>
            <w:vAlign w:val="center"/>
          </w:tcPr>
          <w:p w14:paraId="4F39C836" w14:textId="06A63928" w:rsidR="00223CAF" w:rsidRPr="00DB6DAB" w:rsidRDefault="00223CAF"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76C2964E"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220D349C"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auto"/>
            </w:tcBorders>
            <w:shd w:val="clear" w:color="auto" w:fill="auto"/>
            <w:noWrap/>
            <w:vAlign w:val="center"/>
          </w:tcPr>
          <w:p w14:paraId="6FA80B54"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817" w:type="dxa"/>
            <w:tcBorders>
              <w:top w:val="nil"/>
              <w:left w:val="nil"/>
              <w:bottom w:val="single" w:sz="4" w:space="0" w:color="BFBFBF"/>
              <w:right w:val="single" w:sz="4" w:space="0" w:color="BFBFBF"/>
            </w:tcBorders>
            <w:shd w:val="clear" w:color="auto" w:fill="auto"/>
            <w:noWrap/>
            <w:vAlign w:val="center"/>
          </w:tcPr>
          <w:p w14:paraId="1CC77A5F" w14:textId="77C36AB4" w:rsidR="00223CAF" w:rsidRPr="00DB6DAB" w:rsidRDefault="00223CAF" w:rsidP="00154117">
            <w:pPr>
              <w:spacing w:before="0" w:after="0"/>
              <w:jc w:val="center"/>
              <w:rPr>
                <w:rFonts w:ascii="Arial" w:hAnsi="Arial" w:cs="Arial"/>
                <w:color w:val="000000"/>
                <w:sz w:val="16"/>
                <w:szCs w:val="16"/>
                <w:lang w:val="en-AU" w:eastAsia="en-AU"/>
              </w:rPr>
            </w:pPr>
          </w:p>
        </w:tc>
        <w:tc>
          <w:tcPr>
            <w:tcW w:w="642" w:type="dxa"/>
            <w:tcBorders>
              <w:top w:val="nil"/>
              <w:left w:val="nil"/>
              <w:bottom w:val="single" w:sz="4" w:space="0" w:color="BFBFBF"/>
              <w:right w:val="single" w:sz="4" w:space="0" w:color="BFBFBF"/>
            </w:tcBorders>
            <w:shd w:val="clear" w:color="auto" w:fill="auto"/>
            <w:noWrap/>
            <w:vAlign w:val="center"/>
          </w:tcPr>
          <w:p w14:paraId="2BAE54DF" w14:textId="1EE18470" w:rsidR="00223CAF" w:rsidRPr="00DB6DAB" w:rsidRDefault="00223CAF" w:rsidP="00154117">
            <w:pPr>
              <w:spacing w:before="0" w:after="0"/>
              <w:jc w:val="center"/>
              <w:rPr>
                <w:rFonts w:ascii="Arial" w:hAnsi="Arial" w:cs="Arial"/>
                <w:color w:val="000000"/>
                <w:sz w:val="16"/>
                <w:szCs w:val="16"/>
                <w:lang w:val="en-AU" w:eastAsia="en-AU"/>
              </w:rPr>
            </w:pPr>
          </w:p>
        </w:tc>
        <w:tc>
          <w:tcPr>
            <w:tcW w:w="817" w:type="dxa"/>
            <w:tcBorders>
              <w:top w:val="nil"/>
              <w:left w:val="nil"/>
              <w:bottom w:val="single" w:sz="4" w:space="0" w:color="BFBFBF"/>
              <w:right w:val="single" w:sz="4" w:space="0" w:color="BFBFBF"/>
            </w:tcBorders>
            <w:shd w:val="clear" w:color="auto" w:fill="auto"/>
            <w:noWrap/>
            <w:vAlign w:val="center"/>
          </w:tcPr>
          <w:p w14:paraId="59FAB7FE"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642" w:type="dxa"/>
            <w:tcBorders>
              <w:top w:val="nil"/>
              <w:left w:val="nil"/>
              <w:bottom w:val="single" w:sz="4" w:space="0" w:color="BFBFBF"/>
              <w:right w:val="single" w:sz="4" w:space="0" w:color="BFBFBF"/>
            </w:tcBorders>
            <w:shd w:val="clear" w:color="auto" w:fill="auto"/>
            <w:noWrap/>
            <w:vAlign w:val="center"/>
          </w:tcPr>
          <w:p w14:paraId="027161F8"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nil"/>
            </w:tcBorders>
            <w:shd w:val="clear" w:color="auto" w:fill="auto"/>
            <w:noWrap/>
            <w:vAlign w:val="center"/>
          </w:tcPr>
          <w:p w14:paraId="52C820A3"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298FA3C" w14:textId="3E326F39" w:rsidR="00223CAF" w:rsidRPr="00DB6DAB" w:rsidRDefault="00223CAF"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auto"/>
            </w:tcBorders>
            <w:shd w:val="clear" w:color="auto" w:fill="auto"/>
            <w:noWrap/>
            <w:vAlign w:val="center"/>
          </w:tcPr>
          <w:p w14:paraId="21C4CBA8" w14:textId="2FE1ADF5" w:rsidR="00223CAF" w:rsidRPr="00DB6DAB" w:rsidRDefault="00223CAF"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15C5A92D" w14:textId="1FE2D141" w:rsidR="00223CAF" w:rsidRPr="00DB6DAB" w:rsidRDefault="00223CAF" w:rsidP="00154117">
            <w:pPr>
              <w:spacing w:before="0" w:after="0"/>
              <w:jc w:val="center"/>
              <w:rPr>
                <w:rFonts w:ascii="Arial" w:hAnsi="Arial" w:cs="Arial"/>
                <w:color w:val="000000"/>
                <w:sz w:val="16"/>
                <w:szCs w:val="16"/>
                <w:lang w:val="en-AU" w:eastAsia="en-AU"/>
              </w:rPr>
            </w:pPr>
          </w:p>
        </w:tc>
        <w:tc>
          <w:tcPr>
            <w:tcW w:w="617" w:type="dxa"/>
            <w:tcBorders>
              <w:top w:val="nil"/>
              <w:left w:val="nil"/>
              <w:bottom w:val="single" w:sz="4" w:space="0" w:color="BFBFBF"/>
              <w:right w:val="single" w:sz="4" w:space="0" w:color="BFBFBF"/>
            </w:tcBorders>
            <w:shd w:val="clear" w:color="auto" w:fill="auto"/>
            <w:noWrap/>
            <w:vAlign w:val="center"/>
          </w:tcPr>
          <w:p w14:paraId="5AF7DF37" w14:textId="5B826FFF" w:rsidR="00223CAF" w:rsidRPr="00DB6DAB" w:rsidRDefault="00223CAF" w:rsidP="00154117">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723B1FD6"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617" w:type="dxa"/>
            <w:tcBorders>
              <w:top w:val="nil"/>
              <w:left w:val="nil"/>
              <w:bottom w:val="single" w:sz="4" w:space="0" w:color="BFBFBF"/>
              <w:right w:val="double" w:sz="6" w:space="0" w:color="auto"/>
            </w:tcBorders>
            <w:shd w:val="clear" w:color="auto" w:fill="auto"/>
            <w:noWrap/>
            <w:vAlign w:val="center"/>
          </w:tcPr>
          <w:p w14:paraId="6141534B" w14:textId="77777777" w:rsidR="00223CAF" w:rsidRPr="00DB6DAB" w:rsidRDefault="00223CAF" w:rsidP="00154117">
            <w:pPr>
              <w:spacing w:before="0" w:after="0"/>
              <w:jc w:val="center"/>
              <w:rPr>
                <w:rFonts w:ascii="Arial" w:hAnsi="Arial" w:cs="Arial"/>
                <w:color w:val="000000"/>
                <w:sz w:val="16"/>
                <w:szCs w:val="16"/>
                <w:lang w:val="en-AU" w:eastAsia="en-AU"/>
              </w:rPr>
            </w:pPr>
          </w:p>
        </w:tc>
        <w:tc>
          <w:tcPr>
            <w:tcW w:w="884" w:type="dxa"/>
            <w:tcBorders>
              <w:top w:val="nil"/>
              <w:left w:val="nil"/>
              <w:bottom w:val="single" w:sz="4" w:space="0" w:color="BFBFBF"/>
              <w:right w:val="single" w:sz="4" w:space="0" w:color="BFBFBF" w:themeColor="background1" w:themeShade="BF"/>
            </w:tcBorders>
            <w:vAlign w:val="center"/>
          </w:tcPr>
          <w:p w14:paraId="288E8502" w14:textId="02A0CF5E" w:rsidR="00223CAF" w:rsidRPr="00DB6DAB" w:rsidRDefault="00223CAF" w:rsidP="00223CAF">
            <w:pPr>
              <w:spacing w:before="0" w:after="0"/>
              <w:jc w:val="center"/>
              <w:rPr>
                <w:rFonts w:ascii="Arial" w:hAnsi="Arial" w:cs="Arial"/>
                <w:color w:val="000000"/>
                <w:sz w:val="16"/>
                <w:szCs w:val="16"/>
                <w:lang w:val="en-AU" w:eastAsia="en-AU"/>
              </w:rPr>
            </w:pPr>
          </w:p>
        </w:tc>
        <w:tc>
          <w:tcPr>
            <w:tcW w:w="851" w:type="dxa"/>
            <w:tcBorders>
              <w:top w:val="nil"/>
              <w:left w:val="single" w:sz="4" w:space="0" w:color="BFBFBF" w:themeColor="background1" w:themeShade="BF"/>
              <w:bottom w:val="single" w:sz="4" w:space="0" w:color="BFBFBF"/>
              <w:right w:val="double" w:sz="6" w:space="0" w:color="auto"/>
            </w:tcBorders>
            <w:vAlign w:val="center"/>
          </w:tcPr>
          <w:p w14:paraId="4576745D" w14:textId="6E3FFB80" w:rsidR="00223CAF" w:rsidRPr="00DB6DAB" w:rsidRDefault="00223CAF" w:rsidP="00223CAF">
            <w:pPr>
              <w:spacing w:before="0" w:after="0"/>
              <w:jc w:val="center"/>
              <w:rPr>
                <w:rFonts w:ascii="Arial" w:hAnsi="Arial" w:cs="Arial"/>
                <w:color w:val="000000"/>
                <w:sz w:val="16"/>
                <w:szCs w:val="16"/>
                <w:lang w:val="en-AU" w:eastAsia="en-AU"/>
              </w:rPr>
            </w:pPr>
          </w:p>
        </w:tc>
      </w:tr>
      <w:tr w:rsidR="00223CAF" w:rsidRPr="00DB6DAB" w14:paraId="4AF5B6D0" w14:textId="6C5AE993"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0E5AAF29"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Aged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47FE79C2" w14:textId="3AD87D51"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76%</w:t>
            </w:r>
          </w:p>
        </w:tc>
        <w:tc>
          <w:tcPr>
            <w:tcW w:w="695" w:type="dxa"/>
            <w:tcBorders>
              <w:top w:val="nil"/>
              <w:left w:val="nil"/>
              <w:bottom w:val="single" w:sz="4" w:space="0" w:color="BFBFBF"/>
              <w:right w:val="single" w:sz="4" w:space="0" w:color="BFBFBF"/>
            </w:tcBorders>
            <w:shd w:val="clear" w:color="auto" w:fill="auto"/>
            <w:noWrap/>
            <w:vAlign w:val="center"/>
          </w:tcPr>
          <w:p w14:paraId="0891D45B" w14:textId="70391BB2"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240</w:t>
            </w:r>
          </w:p>
        </w:tc>
        <w:tc>
          <w:tcPr>
            <w:tcW w:w="734" w:type="dxa"/>
            <w:tcBorders>
              <w:top w:val="nil"/>
              <w:left w:val="nil"/>
              <w:bottom w:val="single" w:sz="4" w:space="0" w:color="BFBFBF"/>
              <w:right w:val="single" w:sz="4" w:space="0" w:color="BFBFBF"/>
            </w:tcBorders>
            <w:shd w:val="clear" w:color="auto" w:fill="auto"/>
            <w:noWrap/>
            <w:vAlign w:val="center"/>
          </w:tcPr>
          <w:p w14:paraId="5D8C687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78%</w:t>
            </w:r>
          </w:p>
        </w:tc>
        <w:tc>
          <w:tcPr>
            <w:tcW w:w="734" w:type="dxa"/>
            <w:tcBorders>
              <w:top w:val="nil"/>
              <w:left w:val="nil"/>
              <w:bottom w:val="single" w:sz="4" w:space="0" w:color="BFBFBF"/>
              <w:right w:val="single" w:sz="4" w:space="0" w:color="BFBFBF"/>
            </w:tcBorders>
            <w:shd w:val="clear" w:color="auto" w:fill="auto"/>
            <w:noWrap/>
            <w:vAlign w:val="center"/>
          </w:tcPr>
          <w:p w14:paraId="6E90B36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150</w:t>
            </w:r>
          </w:p>
        </w:tc>
        <w:tc>
          <w:tcPr>
            <w:tcW w:w="734" w:type="dxa"/>
            <w:tcBorders>
              <w:top w:val="nil"/>
              <w:left w:val="nil"/>
              <w:bottom w:val="single" w:sz="4" w:space="0" w:color="BFBFBF"/>
              <w:right w:val="single" w:sz="4" w:space="0" w:color="auto"/>
            </w:tcBorders>
            <w:shd w:val="clear" w:color="auto" w:fill="auto"/>
            <w:noWrap/>
            <w:vAlign w:val="center"/>
          </w:tcPr>
          <w:p w14:paraId="403EB71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94</w:t>
            </w:r>
          </w:p>
        </w:tc>
        <w:tc>
          <w:tcPr>
            <w:tcW w:w="817" w:type="dxa"/>
            <w:tcBorders>
              <w:top w:val="nil"/>
              <w:left w:val="nil"/>
              <w:bottom w:val="single" w:sz="4" w:space="0" w:color="BFBFBF"/>
              <w:right w:val="single" w:sz="4" w:space="0" w:color="BFBFBF"/>
            </w:tcBorders>
            <w:shd w:val="clear" w:color="auto" w:fill="auto"/>
            <w:noWrap/>
            <w:vAlign w:val="center"/>
          </w:tcPr>
          <w:p w14:paraId="41034E11" w14:textId="5075AD3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8%</w:t>
            </w:r>
          </w:p>
        </w:tc>
        <w:tc>
          <w:tcPr>
            <w:tcW w:w="642" w:type="dxa"/>
            <w:tcBorders>
              <w:top w:val="nil"/>
              <w:left w:val="nil"/>
              <w:bottom w:val="single" w:sz="4" w:space="0" w:color="BFBFBF"/>
              <w:right w:val="single" w:sz="4" w:space="0" w:color="BFBFBF"/>
            </w:tcBorders>
            <w:shd w:val="clear" w:color="auto" w:fill="auto"/>
            <w:noWrap/>
            <w:vAlign w:val="center"/>
          </w:tcPr>
          <w:p w14:paraId="36D6B20D" w14:textId="1D6CB6AB"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136</w:t>
            </w:r>
          </w:p>
        </w:tc>
        <w:tc>
          <w:tcPr>
            <w:tcW w:w="817" w:type="dxa"/>
            <w:tcBorders>
              <w:top w:val="nil"/>
              <w:left w:val="nil"/>
              <w:bottom w:val="single" w:sz="4" w:space="0" w:color="BFBFBF"/>
              <w:right w:val="single" w:sz="4" w:space="0" w:color="BFBFBF"/>
            </w:tcBorders>
            <w:shd w:val="clear" w:color="auto" w:fill="auto"/>
            <w:noWrap/>
            <w:vAlign w:val="center"/>
          </w:tcPr>
          <w:p w14:paraId="6579685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27%</w:t>
            </w:r>
          </w:p>
        </w:tc>
        <w:tc>
          <w:tcPr>
            <w:tcW w:w="642" w:type="dxa"/>
            <w:tcBorders>
              <w:top w:val="nil"/>
              <w:left w:val="nil"/>
              <w:bottom w:val="single" w:sz="4" w:space="0" w:color="BFBFBF"/>
              <w:right w:val="single" w:sz="4" w:space="0" w:color="BFBFBF"/>
            </w:tcBorders>
            <w:shd w:val="clear" w:color="auto" w:fill="auto"/>
            <w:noWrap/>
            <w:vAlign w:val="center"/>
          </w:tcPr>
          <w:p w14:paraId="7DA41C8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67</w:t>
            </w:r>
          </w:p>
        </w:tc>
        <w:tc>
          <w:tcPr>
            <w:tcW w:w="808" w:type="dxa"/>
            <w:tcBorders>
              <w:top w:val="nil"/>
              <w:left w:val="nil"/>
              <w:bottom w:val="single" w:sz="4" w:space="0" w:color="BFBFBF"/>
              <w:right w:val="nil"/>
            </w:tcBorders>
            <w:shd w:val="clear" w:color="auto" w:fill="auto"/>
            <w:noWrap/>
            <w:vAlign w:val="center"/>
          </w:tcPr>
          <w:p w14:paraId="1BE85CB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C3985F6" w14:textId="72C9E3AC"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99%</w:t>
            </w:r>
          </w:p>
        </w:tc>
        <w:tc>
          <w:tcPr>
            <w:tcW w:w="734" w:type="dxa"/>
            <w:tcBorders>
              <w:top w:val="nil"/>
              <w:left w:val="nil"/>
              <w:bottom w:val="single" w:sz="4" w:space="0" w:color="BFBFBF"/>
              <w:right w:val="single" w:sz="4" w:space="0" w:color="auto"/>
            </w:tcBorders>
            <w:shd w:val="clear" w:color="auto" w:fill="auto"/>
            <w:noWrap/>
            <w:vAlign w:val="center"/>
          </w:tcPr>
          <w:p w14:paraId="05D51207" w14:textId="413497DC"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142</w:t>
            </w:r>
          </w:p>
        </w:tc>
        <w:tc>
          <w:tcPr>
            <w:tcW w:w="734" w:type="dxa"/>
            <w:tcBorders>
              <w:top w:val="nil"/>
              <w:left w:val="nil"/>
              <w:bottom w:val="single" w:sz="4" w:space="0" w:color="BFBFBF"/>
              <w:right w:val="single" w:sz="4" w:space="0" w:color="BFBFBF"/>
            </w:tcBorders>
            <w:shd w:val="clear" w:color="auto" w:fill="auto"/>
            <w:noWrap/>
            <w:vAlign w:val="center"/>
          </w:tcPr>
          <w:p w14:paraId="5A2139F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11%</w:t>
            </w:r>
          </w:p>
        </w:tc>
        <w:tc>
          <w:tcPr>
            <w:tcW w:w="617" w:type="dxa"/>
            <w:tcBorders>
              <w:top w:val="nil"/>
              <w:left w:val="nil"/>
              <w:bottom w:val="single" w:sz="4" w:space="0" w:color="BFBFBF"/>
              <w:right w:val="single" w:sz="4" w:space="0" w:color="BFBFBF"/>
            </w:tcBorders>
            <w:shd w:val="clear" w:color="auto" w:fill="auto"/>
            <w:noWrap/>
            <w:vAlign w:val="center"/>
          </w:tcPr>
          <w:p w14:paraId="47BA4F2A"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71</w:t>
            </w:r>
          </w:p>
        </w:tc>
        <w:tc>
          <w:tcPr>
            <w:tcW w:w="734" w:type="dxa"/>
            <w:tcBorders>
              <w:top w:val="nil"/>
              <w:left w:val="nil"/>
              <w:bottom w:val="single" w:sz="4" w:space="0" w:color="BFBFBF"/>
              <w:right w:val="single" w:sz="4" w:space="0" w:color="BFBFBF"/>
            </w:tcBorders>
            <w:shd w:val="clear" w:color="auto" w:fill="auto"/>
            <w:noWrap/>
            <w:vAlign w:val="center"/>
          </w:tcPr>
          <w:p w14:paraId="517BD73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14%</w:t>
            </w:r>
          </w:p>
        </w:tc>
        <w:tc>
          <w:tcPr>
            <w:tcW w:w="617" w:type="dxa"/>
            <w:tcBorders>
              <w:top w:val="nil"/>
              <w:left w:val="nil"/>
              <w:bottom w:val="single" w:sz="4" w:space="0" w:color="BFBFBF"/>
              <w:right w:val="double" w:sz="6" w:space="0" w:color="auto"/>
            </w:tcBorders>
            <w:shd w:val="clear" w:color="auto" w:fill="auto"/>
            <w:noWrap/>
            <w:vAlign w:val="center"/>
          </w:tcPr>
          <w:p w14:paraId="16FB8A4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48</w:t>
            </w:r>
          </w:p>
        </w:tc>
        <w:tc>
          <w:tcPr>
            <w:tcW w:w="884" w:type="dxa"/>
            <w:tcBorders>
              <w:top w:val="nil"/>
              <w:left w:val="nil"/>
              <w:bottom w:val="single" w:sz="4" w:space="0" w:color="BFBFBF"/>
              <w:right w:val="single" w:sz="4" w:space="0" w:color="BFBFBF" w:themeColor="background1" w:themeShade="BF"/>
            </w:tcBorders>
            <w:vAlign w:val="center"/>
          </w:tcPr>
          <w:p w14:paraId="2A912AC9" w14:textId="3C8155A7"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1,602</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76BFABC7" w14:textId="40C1D8C7"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914</w:t>
            </w:r>
          </w:p>
        </w:tc>
      </w:tr>
      <w:tr w:rsidR="00223CAF" w:rsidRPr="00DB6DAB" w14:paraId="525D3569" w14:textId="322DE967"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4F7339A8"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Other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1277B1AF" w14:textId="46BF6727"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83%</w:t>
            </w:r>
          </w:p>
        </w:tc>
        <w:tc>
          <w:tcPr>
            <w:tcW w:w="695" w:type="dxa"/>
            <w:tcBorders>
              <w:top w:val="nil"/>
              <w:left w:val="nil"/>
              <w:bottom w:val="single" w:sz="4" w:space="0" w:color="BFBFBF"/>
              <w:right w:val="single" w:sz="4" w:space="0" w:color="BFBFBF"/>
            </w:tcBorders>
            <w:shd w:val="clear" w:color="auto" w:fill="auto"/>
            <w:noWrap/>
            <w:vAlign w:val="center"/>
          </w:tcPr>
          <w:p w14:paraId="14E83D46" w14:textId="6A23D814"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237</w:t>
            </w:r>
          </w:p>
        </w:tc>
        <w:tc>
          <w:tcPr>
            <w:tcW w:w="734" w:type="dxa"/>
            <w:tcBorders>
              <w:top w:val="nil"/>
              <w:left w:val="nil"/>
              <w:bottom w:val="single" w:sz="4" w:space="0" w:color="BFBFBF"/>
              <w:right w:val="single" w:sz="4" w:space="0" w:color="BFBFBF"/>
            </w:tcBorders>
            <w:shd w:val="clear" w:color="auto" w:fill="auto"/>
            <w:noWrap/>
            <w:vAlign w:val="center"/>
          </w:tcPr>
          <w:p w14:paraId="2C8370D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80%</w:t>
            </w:r>
          </w:p>
        </w:tc>
        <w:tc>
          <w:tcPr>
            <w:tcW w:w="734" w:type="dxa"/>
            <w:tcBorders>
              <w:top w:val="nil"/>
              <w:left w:val="nil"/>
              <w:bottom w:val="single" w:sz="4" w:space="0" w:color="BFBFBF"/>
              <w:right w:val="single" w:sz="4" w:space="0" w:color="BFBFBF"/>
            </w:tcBorders>
            <w:shd w:val="clear" w:color="auto" w:fill="auto"/>
            <w:noWrap/>
            <w:vAlign w:val="center"/>
          </w:tcPr>
          <w:p w14:paraId="498C8361"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147</w:t>
            </w:r>
          </w:p>
        </w:tc>
        <w:tc>
          <w:tcPr>
            <w:tcW w:w="734" w:type="dxa"/>
            <w:tcBorders>
              <w:top w:val="nil"/>
              <w:left w:val="nil"/>
              <w:bottom w:val="single" w:sz="4" w:space="0" w:color="BFBFBF"/>
              <w:right w:val="single" w:sz="4" w:space="0" w:color="auto"/>
            </w:tcBorders>
            <w:shd w:val="clear" w:color="auto" w:fill="auto"/>
            <w:noWrap/>
            <w:vAlign w:val="center"/>
          </w:tcPr>
          <w:p w14:paraId="2E98FE9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99</w:t>
            </w:r>
          </w:p>
        </w:tc>
        <w:tc>
          <w:tcPr>
            <w:tcW w:w="817" w:type="dxa"/>
            <w:tcBorders>
              <w:top w:val="nil"/>
              <w:left w:val="nil"/>
              <w:bottom w:val="single" w:sz="4" w:space="0" w:color="BFBFBF"/>
              <w:right w:val="single" w:sz="4" w:space="0" w:color="BFBFBF"/>
            </w:tcBorders>
            <w:shd w:val="clear" w:color="auto" w:fill="auto"/>
            <w:noWrap/>
            <w:vAlign w:val="center"/>
          </w:tcPr>
          <w:p w14:paraId="3E6B1B2E" w14:textId="4E79D37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11%</w:t>
            </w:r>
          </w:p>
        </w:tc>
        <w:tc>
          <w:tcPr>
            <w:tcW w:w="642" w:type="dxa"/>
            <w:tcBorders>
              <w:top w:val="nil"/>
              <w:left w:val="nil"/>
              <w:bottom w:val="single" w:sz="4" w:space="0" w:color="BFBFBF"/>
              <w:right w:val="single" w:sz="4" w:space="0" w:color="BFBFBF"/>
            </w:tcBorders>
            <w:shd w:val="clear" w:color="auto" w:fill="auto"/>
            <w:noWrap/>
            <w:vAlign w:val="center"/>
          </w:tcPr>
          <w:p w14:paraId="2DFE7C05" w14:textId="2CA62FF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149</w:t>
            </w:r>
          </w:p>
        </w:tc>
        <w:tc>
          <w:tcPr>
            <w:tcW w:w="817" w:type="dxa"/>
            <w:tcBorders>
              <w:top w:val="nil"/>
              <w:left w:val="nil"/>
              <w:bottom w:val="single" w:sz="4" w:space="0" w:color="BFBFBF"/>
              <w:right w:val="single" w:sz="4" w:space="0" w:color="BFBFBF"/>
            </w:tcBorders>
            <w:shd w:val="clear" w:color="auto" w:fill="auto"/>
            <w:noWrap/>
            <w:vAlign w:val="center"/>
          </w:tcPr>
          <w:p w14:paraId="16E88A29"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28%</w:t>
            </w:r>
          </w:p>
        </w:tc>
        <w:tc>
          <w:tcPr>
            <w:tcW w:w="642" w:type="dxa"/>
            <w:tcBorders>
              <w:top w:val="nil"/>
              <w:left w:val="nil"/>
              <w:bottom w:val="single" w:sz="4" w:space="0" w:color="BFBFBF"/>
              <w:right w:val="single" w:sz="4" w:space="0" w:color="BFBFBF"/>
            </w:tcBorders>
            <w:shd w:val="clear" w:color="auto" w:fill="auto"/>
            <w:noWrap/>
            <w:vAlign w:val="center"/>
          </w:tcPr>
          <w:p w14:paraId="7208FF2A"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73</w:t>
            </w:r>
          </w:p>
        </w:tc>
        <w:tc>
          <w:tcPr>
            <w:tcW w:w="808" w:type="dxa"/>
            <w:tcBorders>
              <w:top w:val="nil"/>
              <w:left w:val="nil"/>
              <w:bottom w:val="single" w:sz="4" w:space="0" w:color="BFBFBF"/>
              <w:right w:val="nil"/>
            </w:tcBorders>
            <w:shd w:val="clear" w:color="auto" w:fill="auto"/>
            <w:noWrap/>
            <w:vAlign w:val="center"/>
          </w:tcPr>
          <w:p w14:paraId="5E31D7E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53</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934BD9E" w14:textId="73DA4632"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375B242D" w14:textId="4E5331BB"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136</w:t>
            </w:r>
          </w:p>
        </w:tc>
        <w:tc>
          <w:tcPr>
            <w:tcW w:w="734" w:type="dxa"/>
            <w:tcBorders>
              <w:top w:val="nil"/>
              <w:left w:val="nil"/>
              <w:bottom w:val="single" w:sz="4" w:space="0" w:color="BFBFBF"/>
              <w:right w:val="single" w:sz="4" w:space="0" w:color="BFBFBF"/>
            </w:tcBorders>
            <w:shd w:val="clear" w:color="auto" w:fill="auto"/>
            <w:noWrap/>
            <w:vAlign w:val="center"/>
          </w:tcPr>
          <w:p w14:paraId="3E879AA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13%</w:t>
            </w:r>
          </w:p>
        </w:tc>
        <w:tc>
          <w:tcPr>
            <w:tcW w:w="617" w:type="dxa"/>
            <w:tcBorders>
              <w:top w:val="nil"/>
              <w:left w:val="nil"/>
              <w:bottom w:val="single" w:sz="4" w:space="0" w:color="BFBFBF"/>
              <w:right w:val="single" w:sz="4" w:space="0" w:color="BFBFBF"/>
            </w:tcBorders>
            <w:shd w:val="clear" w:color="auto" w:fill="auto"/>
            <w:noWrap/>
            <w:vAlign w:val="center"/>
          </w:tcPr>
          <w:p w14:paraId="7344DD5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33ED642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18%</w:t>
            </w:r>
          </w:p>
        </w:tc>
        <w:tc>
          <w:tcPr>
            <w:tcW w:w="617" w:type="dxa"/>
            <w:tcBorders>
              <w:top w:val="nil"/>
              <w:left w:val="nil"/>
              <w:bottom w:val="single" w:sz="4" w:space="0" w:color="BFBFBF"/>
              <w:right w:val="double" w:sz="6" w:space="0" w:color="auto"/>
            </w:tcBorders>
            <w:shd w:val="clear" w:color="auto" w:fill="auto"/>
            <w:noWrap/>
            <w:vAlign w:val="center"/>
          </w:tcPr>
          <w:p w14:paraId="3527C92B"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112</w:t>
            </w:r>
          </w:p>
        </w:tc>
        <w:tc>
          <w:tcPr>
            <w:tcW w:w="884" w:type="dxa"/>
            <w:tcBorders>
              <w:top w:val="nil"/>
              <w:left w:val="nil"/>
              <w:bottom w:val="single" w:sz="4" w:space="0" w:color="BFBFBF"/>
              <w:right w:val="single" w:sz="4" w:space="0" w:color="BFBFBF" w:themeColor="background1" w:themeShade="BF"/>
            </w:tcBorders>
            <w:vAlign w:val="center"/>
          </w:tcPr>
          <w:p w14:paraId="454301E0" w14:textId="48BFC062"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1,494</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265FF4DA" w14:textId="6A29F084"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870</w:t>
            </w:r>
          </w:p>
        </w:tc>
      </w:tr>
      <w:tr w:rsidR="00223CAF" w:rsidRPr="00DB6DAB" w14:paraId="7EB0344D" w14:textId="4A412044"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5CD6DF39"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Total Concession HHs</w:t>
            </w:r>
          </w:p>
        </w:tc>
        <w:tc>
          <w:tcPr>
            <w:tcW w:w="734" w:type="dxa"/>
            <w:tcBorders>
              <w:top w:val="nil"/>
              <w:left w:val="single" w:sz="4" w:space="0" w:color="auto"/>
              <w:bottom w:val="single" w:sz="4" w:space="0" w:color="BFBFBF"/>
              <w:right w:val="single" w:sz="4" w:space="0" w:color="BFBFBF"/>
            </w:tcBorders>
            <w:shd w:val="clear" w:color="auto" w:fill="auto"/>
            <w:noWrap/>
            <w:vAlign w:val="center"/>
          </w:tcPr>
          <w:p w14:paraId="3A3E84FE" w14:textId="4381F27C"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79%</w:t>
            </w:r>
          </w:p>
        </w:tc>
        <w:tc>
          <w:tcPr>
            <w:tcW w:w="695" w:type="dxa"/>
            <w:tcBorders>
              <w:top w:val="nil"/>
              <w:left w:val="nil"/>
              <w:bottom w:val="single" w:sz="4" w:space="0" w:color="BFBFBF"/>
              <w:right w:val="single" w:sz="4" w:space="0" w:color="BFBFBF"/>
            </w:tcBorders>
            <w:shd w:val="clear" w:color="auto" w:fill="auto"/>
            <w:noWrap/>
            <w:vAlign w:val="center"/>
          </w:tcPr>
          <w:p w14:paraId="0B80E4B6" w14:textId="1B9C70CC"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239</w:t>
            </w:r>
          </w:p>
        </w:tc>
        <w:tc>
          <w:tcPr>
            <w:tcW w:w="734" w:type="dxa"/>
            <w:tcBorders>
              <w:top w:val="nil"/>
              <w:left w:val="nil"/>
              <w:bottom w:val="single" w:sz="4" w:space="0" w:color="BFBFBF"/>
              <w:right w:val="single" w:sz="4" w:space="0" w:color="BFBFBF"/>
            </w:tcBorders>
            <w:shd w:val="clear" w:color="auto" w:fill="auto"/>
            <w:noWrap/>
            <w:vAlign w:val="center"/>
          </w:tcPr>
          <w:p w14:paraId="6AD2C4D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BFBFBF"/>
            </w:tcBorders>
            <w:shd w:val="clear" w:color="auto" w:fill="auto"/>
            <w:noWrap/>
            <w:vAlign w:val="center"/>
          </w:tcPr>
          <w:p w14:paraId="32D5C10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149</w:t>
            </w:r>
          </w:p>
        </w:tc>
        <w:tc>
          <w:tcPr>
            <w:tcW w:w="734" w:type="dxa"/>
            <w:tcBorders>
              <w:top w:val="nil"/>
              <w:left w:val="nil"/>
              <w:bottom w:val="single" w:sz="4" w:space="0" w:color="BFBFBF"/>
              <w:right w:val="single" w:sz="4" w:space="0" w:color="auto"/>
            </w:tcBorders>
            <w:shd w:val="clear" w:color="auto" w:fill="auto"/>
            <w:noWrap/>
            <w:vAlign w:val="center"/>
          </w:tcPr>
          <w:p w14:paraId="4D5ACC16"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96</w:t>
            </w:r>
          </w:p>
        </w:tc>
        <w:tc>
          <w:tcPr>
            <w:tcW w:w="817" w:type="dxa"/>
            <w:tcBorders>
              <w:top w:val="nil"/>
              <w:left w:val="nil"/>
              <w:bottom w:val="single" w:sz="4" w:space="0" w:color="BFBFBF"/>
              <w:right w:val="single" w:sz="4" w:space="0" w:color="BFBFBF"/>
            </w:tcBorders>
            <w:shd w:val="clear" w:color="auto" w:fill="auto"/>
            <w:noWrap/>
            <w:vAlign w:val="center"/>
          </w:tcPr>
          <w:p w14:paraId="2F5437B8" w14:textId="41F1794B"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w:t>
            </w:r>
          </w:p>
        </w:tc>
        <w:tc>
          <w:tcPr>
            <w:tcW w:w="642" w:type="dxa"/>
            <w:tcBorders>
              <w:top w:val="nil"/>
              <w:left w:val="nil"/>
              <w:bottom w:val="single" w:sz="4" w:space="0" w:color="BFBFBF"/>
              <w:right w:val="single" w:sz="4" w:space="0" w:color="BFBFBF"/>
            </w:tcBorders>
            <w:shd w:val="clear" w:color="auto" w:fill="auto"/>
            <w:noWrap/>
            <w:vAlign w:val="center"/>
          </w:tcPr>
          <w:p w14:paraId="4CEA4B82" w14:textId="5BAE681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142</w:t>
            </w:r>
          </w:p>
        </w:tc>
        <w:tc>
          <w:tcPr>
            <w:tcW w:w="817" w:type="dxa"/>
            <w:tcBorders>
              <w:top w:val="nil"/>
              <w:left w:val="nil"/>
              <w:bottom w:val="single" w:sz="4" w:space="0" w:color="BFBFBF"/>
              <w:right w:val="single" w:sz="4" w:space="0" w:color="BFBFBF"/>
            </w:tcBorders>
            <w:shd w:val="clear" w:color="auto" w:fill="auto"/>
            <w:noWrap/>
            <w:vAlign w:val="center"/>
          </w:tcPr>
          <w:p w14:paraId="535FA6D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27%</w:t>
            </w:r>
          </w:p>
        </w:tc>
        <w:tc>
          <w:tcPr>
            <w:tcW w:w="642" w:type="dxa"/>
            <w:tcBorders>
              <w:top w:val="nil"/>
              <w:left w:val="nil"/>
              <w:bottom w:val="single" w:sz="4" w:space="0" w:color="BFBFBF"/>
              <w:right w:val="single" w:sz="4" w:space="0" w:color="BFBFBF"/>
            </w:tcBorders>
            <w:shd w:val="clear" w:color="auto" w:fill="auto"/>
            <w:noWrap/>
            <w:vAlign w:val="center"/>
          </w:tcPr>
          <w:p w14:paraId="1791A16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69</w:t>
            </w:r>
          </w:p>
        </w:tc>
        <w:tc>
          <w:tcPr>
            <w:tcW w:w="808" w:type="dxa"/>
            <w:tcBorders>
              <w:top w:val="nil"/>
              <w:left w:val="nil"/>
              <w:bottom w:val="single" w:sz="4" w:space="0" w:color="BFBFBF"/>
              <w:right w:val="nil"/>
            </w:tcBorders>
            <w:shd w:val="clear" w:color="auto" w:fill="auto"/>
            <w:noWrap/>
            <w:vAlign w:val="center"/>
          </w:tcPr>
          <w:p w14:paraId="48E92DC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54</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48E0AD4" w14:textId="04511175"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48423132" w14:textId="5F68083D"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140</w:t>
            </w:r>
          </w:p>
        </w:tc>
        <w:tc>
          <w:tcPr>
            <w:tcW w:w="734" w:type="dxa"/>
            <w:tcBorders>
              <w:top w:val="nil"/>
              <w:left w:val="nil"/>
              <w:bottom w:val="single" w:sz="4" w:space="0" w:color="BFBFBF"/>
              <w:right w:val="single" w:sz="4" w:space="0" w:color="BFBFBF"/>
            </w:tcBorders>
            <w:shd w:val="clear" w:color="auto" w:fill="auto"/>
            <w:noWrap/>
            <w:vAlign w:val="center"/>
          </w:tcPr>
          <w:p w14:paraId="2E661E43"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12%</w:t>
            </w:r>
          </w:p>
        </w:tc>
        <w:tc>
          <w:tcPr>
            <w:tcW w:w="617" w:type="dxa"/>
            <w:tcBorders>
              <w:top w:val="nil"/>
              <w:left w:val="nil"/>
              <w:bottom w:val="single" w:sz="4" w:space="0" w:color="BFBFBF"/>
              <w:right w:val="single" w:sz="4" w:space="0" w:color="BFBFBF"/>
            </w:tcBorders>
            <w:shd w:val="clear" w:color="auto" w:fill="auto"/>
            <w:noWrap/>
            <w:vAlign w:val="center"/>
          </w:tcPr>
          <w:p w14:paraId="1EA3B4AD"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76</w:t>
            </w:r>
          </w:p>
        </w:tc>
        <w:tc>
          <w:tcPr>
            <w:tcW w:w="734" w:type="dxa"/>
            <w:tcBorders>
              <w:top w:val="nil"/>
              <w:left w:val="nil"/>
              <w:bottom w:val="single" w:sz="4" w:space="0" w:color="BFBFBF"/>
              <w:right w:val="single" w:sz="4" w:space="0" w:color="BFBFBF"/>
            </w:tcBorders>
            <w:shd w:val="clear" w:color="auto" w:fill="auto"/>
            <w:noWrap/>
            <w:vAlign w:val="center"/>
          </w:tcPr>
          <w:p w14:paraId="09571D81"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15%</w:t>
            </w:r>
          </w:p>
        </w:tc>
        <w:tc>
          <w:tcPr>
            <w:tcW w:w="617" w:type="dxa"/>
            <w:tcBorders>
              <w:top w:val="nil"/>
              <w:left w:val="nil"/>
              <w:bottom w:val="single" w:sz="4" w:space="0" w:color="BFBFBF"/>
              <w:right w:val="double" w:sz="6" w:space="0" w:color="auto"/>
            </w:tcBorders>
            <w:shd w:val="clear" w:color="auto" w:fill="auto"/>
            <w:noWrap/>
            <w:vAlign w:val="center"/>
          </w:tcPr>
          <w:p w14:paraId="6E138A5E"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75</w:t>
            </w:r>
          </w:p>
        </w:tc>
        <w:tc>
          <w:tcPr>
            <w:tcW w:w="884" w:type="dxa"/>
            <w:tcBorders>
              <w:top w:val="nil"/>
              <w:left w:val="nil"/>
              <w:bottom w:val="single" w:sz="4" w:space="0" w:color="BFBFBF"/>
              <w:right w:val="single" w:sz="4" w:space="0" w:color="BFBFBF" w:themeColor="background1" w:themeShade="BF"/>
            </w:tcBorders>
            <w:vAlign w:val="center"/>
          </w:tcPr>
          <w:p w14:paraId="75F085E0" w14:textId="7F444BD6"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1,559</w:t>
            </w:r>
          </w:p>
        </w:tc>
        <w:tc>
          <w:tcPr>
            <w:tcW w:w="851" w:type="dxa"/>
            <w:tcBorders>
              <w:top w:val="nil"/>
              <w:left w:val="single" w:sz="4" w:space="0" w:color="BFBFBF" w:themeColor="background1" w:themeShade="BF"/>
              <w:bottom w:val="single" w:sz="4" w:space="0" w:color="BFBFBF"/>
              <w:right w:val="double" w:sz="6" w:space="0" w:color="auto"/>
            </w:tcBorders>
            <w:vAlign w:val="center"/>
          </w:tcPr>
          <w:p w14:paraId="3F7FBF13" w14:textId="310BB345"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898</w:t>
            </w:r>
          </w:p>
        </w:tc>
      </w:tr>
      <w:tr w:rsidR="00223CAF" w:rsidRPr="00DB6DAB" w14:paraId="6F4F57E8" w14:textId="22D204BC" w:rsidTr="00D92C64">
        <w:trPr>
          <w:trHeight w:val="225"/>
        </w:trPr>
        <w:tc>
          <w:tcPr>
            <w:tcW w:w="2273" w:type="dxa"/>
            <w:tcBorders>
              <w:top w:val="single" w:sz="4" w:space="0" w:color="BFBFBF"/>
              <w:left w:val="double" w:sz="6" w:space="0" w:color="auto"/>
              <w:bottom w:val="double" w:sz="4" w:space="0" w:color="auto"/>
              <w:right w:val="nil"/>
            </w:tcBorders>
            <w:shd w:val="clear" w:color="auto" w:fill="auto"/>
            <w:noWrap/>
            <w:vAlign w:val="center"/>
          </w:tcPr>
          <w:p w14:paraId="48D36D6D"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Non-Concession HHs</w:t>
            </w:r>
          </w:p>
        </w:tc>
        <w:tc>
          <w:tcPr>
            <w:tcW w:w="734"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7219C763" w14:textId="271B196F"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76%</w:t>
            </w:r>
          </w:p>
        </w:tc>
        <w:tc>
          <w:tcPr>
            <w:tcW w:w="695" w:type="dxa"/>
            <w:tcBorders>
              <w:top w:val="single" w:sz="4" w:space="0" w:color="BFBFBF"/>
              <w:left w:val="nil"/>
              <w:bottom w:val="double" w:sz="4" w:space="0" w:color="auto"/>
              <w:right w:val="single" w:sz="4" w:space="0" w:color="BFBFBF"/>
            </w:tcBorders>
            <w:shd w:val="clear" w:color="auto" w:fill="auto"/>
            <w:noWrap/>
            <w:vAlign w:val="center"/>
          </w:tcPr>
          <w:p w14:paraId="6203042B" w14:textId="320988A3"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243</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28C3D258"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80%</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7B6942F2"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143</w:t>
            </w:r>
          </w:p>
        </w:tc>
        <w:tc>
          <w:tcPr>
            <w:tcW w:w="734" w:type="dxa"/>
            <w:tcBorders>
              <w:top w:val="single" w:sz="4" w:space="0" w:color="BFBFBF"/>
              <w:left w:val="nil"/>
              <w:bottom w:val="double" w:sz="4" w:space="0" w:color="auto"/>
              <w:right w:val="single" w:sz="4" w:space="0" w:color="auto"/>
            </w:tcBorders>
            <w:shd w:val="clear" w:color="auto" w:fill="auto"/>
            <w:noWrap/>
            <w:vAlign w:val="center"/>
          </w:tcPr>
          <w:p w14:paraId="103A3AF9"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97</w:t>
            </w:r>
          </w:p>
        </w:tc>
        <w:tc>
          <w:tcPr>
            <w:tcW w:w="817" w:type="dxa"/>
            <w:tcBorders>
              <w:top w:val="single" w:sz="4" w:space="0" w:color="BFBFBF"/>
              <w:left w:val="nil"/>
              <w:bottom w:val="double" w:sz="4" w:space="0" w:color="auto"/>
              <w:right w:val="single" w:sz="4" w:space="0" w:color="BFBFBF"/>
            </w:tcBorders>
            <w:shd w:val="clear" w:color="auto" w:fill="auto"/>
            <w:noWrap/>
            <w:vAlign w:val="center"/>
          </w:tcPr>
          <w:p w14:paraId="24F51C14" w14:textId="1D2E439C"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8%</w:t>
            </w:r>
          </w:p>
        </w:tc>
        <w:tc>
          <w:tcPr>
            <w:tcW w:w="642" w:type="dxa"/>
            <w:tcBorders>
              <w:top w:val="single" w:sz="4" w:space="0" w:color="BFBFBF"/>
              <w:left w:val="nil"/>
              <w:bottom w:val="double" w:sz="4" w:space="0" w:color="auto"/>
              <w:right w:val="single" w:sz="4" w:space="0" w:color="BFBFBF"/>
            </w:tcBorders>
            <w:shd w:val="clear" w:color="auto" w:fill="auto"/>
            <w:noWrap/>
            <w:vAlign w:val="center"/>
          </w:tcPr>
          <w:p w14:paraId="6A42F8E4" w14:textId="60C9D8A5"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219</w:t>
            </w:r>
          </w:p>
        </w:tc>
        <w:tc>
          <w:tcPr>
            <w:tcW w:w="817" w:type="dxa"/>
            <w:tcBorders>
              <w:top w:val="single" w:sz="4" w:space="0" w:color="BFBFBF"/>
              <w:left w:val="nil"/>
              <w:bottom w:val="double" w:sz="4" w:space="0" w:color="auto"/>
              <w:right w:val="single" w:sz="4" w:space="0" w:color="BFBFBF"/>
            </w:tcBorders>
            <w:shd w:val="clear" w:color="auto" w:fill="auto"/>
            <w:noWrap/>
            <w:vAlign w:val="center"/>
          </w:tcPr>
          <w:p w14:paraId="26532390"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23%</w:t>
            </w:r>
          </w:p>
        </w:tc>
        <w:tc>
          <w:tcPr>
            <w:tcW w:w="642" w:type="dxa"/>
            <w:tcBorders>
              <w:top w:val="single" w:sz="4" w:space="0" w:color="BFBFBF"/>
              <w:left w:val="nil"/>
              <w:bottom w:val="double" w:sz="4" w:space="0" w:color="auto"/>
              <w:right w:val="single" w:sz="4" w:space="0" w:color="BFBFBF"/>
            </w:tcBorders>
            <w:shd w:val="clear" w:color="auto" w:fill="auto"/>
            <w:noWrap/>
            <w:vAlign w:val="center"/>
          </w:tcPr>
          <w:p w14:paraId="5E8811E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68</w:t>
            </w:r>
          </w:p>
        </w:tc>
        <w:tc>
          <w:tcPr>
            <w:tcW w:w="808" w:type="dxa"/>
            <w:tcBorders>
              <w:top w:val="single" w:sz="4" w:space="0" w:color="BFBFBF"/>
              <w:left w:val="nil"/>
              <w:bottom w:val="double" w:sz="4" w:space="0" w:color="auto"/>
              <w:right w:val="nil"/>
            </w:tcBorders>
            <w:shd w:val="clear" w:color="auto" w:fill="auto"/>
            <w:noWrap/>
            <w:vAlign w:val="center"/>
          </w:tcPr>
          <w:p w14:paraId="25235C14"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59</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58903598" w14:textId="6936C76A"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99%</w:t>
            </w:r>
          </w:p>
        </w:tc>
        <w:tc>
          <w:tcPr>
            <w:tcW w:w="734" w:type="dxa"/>
            <w:tcBorders>
              <w:top w:val="single" w:sz="4" w:space="0" w:color="BFBFBF"/>
              <w:left w:val="nil"/>
              <w:bottom w:val="double" w:sz="4" w:space="0" w:color="auto"/>
              <w:right w:val="single" w:sz="4" w:space="0" w:color="auto"/>
            </w:tcBorders>
            <w:shd w:val="clear" w:color="auto" w:fill="auto"/>
            <w:noWrap/>
            <w:vAlign w:val="center"/>
          </w:tcPr>
          <w:p w14:paraId="2F64E941" w14:textId="3FDE01CE" w:rsidR="00223CAF" w:rsidRPr="00DB6DAB" w:rsidRDefault="00223CAF" w:rsidP="00154117">
            <w:pPr>
              <w:spacing w:before="0" w:after="0"/>
              <w:jc w:val="center"/>
              <w:rPr>
                <w:rFonts w:ascii="Arial" w:hAnsi="Arial" w:cs="Arial"/>
                <w:color w:val="000000"/>
                <w:sz w:val="16"/>
                <w:szCs w:val="16"/>
                <w:lang w:val="en-AU" w:eastAsia="en-AU"/>
              </w:rPr>
            </w:pPr>
            <w:r>
              <w:rPr>
                <w:rFonts w:ascii="Arial" w:hAnsi="Arial" w:cs="Arial"/>
                <w:color w:val="000000"/>
                <w:sz w:val="16"/>
                <w:szCs w:val="16"/>
              </w:rPr>
              <w:t>151</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4D551EB5"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13%</w:t>
            </w:r>
          </w:p>
        </w:tc>
        <w:tc>
          <w:tcPr>
            <w:tcW w:w="617" w:type="dxa"/>
            <w:tcBorders>
              <w:top w:val="single" w:sz="4" w:space="0" w:color="BFBFBF"/>
              <w:left w:val="nil"/>
              <w:bottom w:val="double" w:sz="4" w:space="0" w:color="auto"/>
              <w:right w:val="single" w:sz="4" w:space="0" w:color="BFBFBF"/>
            </w:tcBorders>
            <w:shd w:val="clear" w:color="auto" w:fill="auto"/>
            <w:noWrap/>
            <w:vAlign w:val="center"/>
          </w:tcPr>
          <w:p w14:paraId="5587D327"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single" w:sz="4" w:space="0" w:color="BFBFBF"/>
              <w:left w:val="nil"/>
              <w:bottom w:val="double" w:sz="4" w:space="0" w:color="auto"/>
              <w:right w:val="single" w:sz="4" w:space="0" w:color="BFBFBF"/>
            </w:tcBorders>
            <w:shd w:val="clear" w:color="auto" w:fill="auto"/>
            <w:noWrap/>
            <w:vAlign w:val="center"/>
          </w:tcPr>
          <w:p w14:paraId="56BC715C"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13%</w:t>
            </w:r>
          </w:p>
        </w:tc>
        <w:tc>
          <w:tcPr>
            <w:tcW w:w="617" w:type="dxa"/>
            <w:tcBorders>
              <w:top w:val="single" w:sz="4" w:space="0" w:color="BFBFBF"/>
              <w:left w:val="nil"/>
              <w:bottom w:val="double" w:sz="4" w:space="0" w:color="auto"/>
              <w:right w:val="double" w:sz="6" w:space="0" w:color="auto"/>
            </w:tcBorders>
            <w:shd w:val="clear" w:color="auto" w:fill="auto"/>
            <w:noWrap/>
            <w:vAlign w:val="center"/>
          </w:tcPr>
          <w:p w14:paraId="1655A95F" w14:textId="77777777" w:rsidR="00223CAF" w:rsidRPr="00DB6DAB" w:rsidRDefault="00223CAF" w:rsidP="00154117">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81</w:t>
            </w:r>
          </w:p>
        </w:tc>
        <w:tc>
          <w:tcPr>
            <w:tcW w:w="884" w:type="dxa"/>
            <w:tcBorders>
              <w:top w:val="single" w:sz="4" w:space="0" w:color="BFBFBF"/>
              <w:left w:val="nil"/>
              <w:bottom w:val="double" w:sz="4" w:space="0" w:color="auto"/>
              <w:right w:val="single" w:sz="4" w:space="0" w:color="BFBFBF" w:themeColor="background1" w:themeShade="BF"/>
            </w:tcBorders>
            <w:vAlign w:val="center"/>
          </w:tcPr>
          <w:p w14:paraId="4A7DA672" w14:textId="7A1E4195"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1,770</w:t>
            </w:r>
          </w:p>
        </w:tc>
        <w:tc>
          <w:tcPr>
            <w:tcW w:w="851" w:type="dxa"/>
            <w:tcBorders>
              <w:top w:val="single" w:sz="4" w:space="0" w:color="BFBFBF"/>
              <w:left w:val="single" w:sz="4" w:space="0" w:color="BFBFBF" w:themeColor="background1" w:themeShade="BF"/>
              <w:bottom w:val="double" w:sz="4" w:space="0" w:color="auto"/>
              <w:right w:val="double" w:sz="6" w:space="0" w:color="auto"/>
            </w:tcBorders>
            <w:vAlign w:val="center"/>
          </w:tcPr>
          <w:p w14:paraId="6E0C690D" w14:textId="75C6E03F" w:rsidR="00223CAF" w:rsidRPr="00DB6DAB" w:rsidRDefault="00223CAF" w:rsidP="00223CAF">
            <w:pPr>
              <w:spacing w:before="0" w:after="0"/>
              <w:jc w:val="center"/>
              <w:rPr>
                <w:rFonts w:ascii="Arial" w:hAnsi="Arial" w:cs="Arial"/>
                <w:color w:val="000000"/>
                <w:sz w:val="16"/>
                <w:szCs w:val="16"/>
                <w:lang w:val="en-AU" w:eastAsia="en-AU"/>
              </w:rPr>
            </w:pPr>
            <w:r>
              <w:rPr>
                <w:rFonts w:ascii="Arial" w:hAnsi="Arial" w:cs="Arial"/>
                <w:color w:val="000000"/>
                <w:sz w:val="16"/>
                <w:szCs w:val="16"/>
              </w:rPr>
              <w:t>1,069</w:t>
            </w:r>
          </w:p>
        </w:tc>
      </w:tr>
      <w:tr w:rsidR="00154117" w:rsidRPr="00DB6DAB" w14:paraId="1F140724" w14:textId="6D26FFDF" w:rsidTr="00D92C64">
        <w:trPr>
          <w:trHeight w:val="225"/>
        </w:trPr>
        <w:tc>
          <w:tcPr>
            <w:tcW w:w="2273" w:type="dxa"/>
            <w:tcBorders>
              <w:top w:val="double" w:sz="4" w:space="0" w:color="auto"/>
            </w:tcBorders>
            <w:shd w:val="clear" w:color="auto" w:fill="auto"/>
            <w:noWrap/>
            <w:vAlign w:val="center"/>
          </w:tcPr>
          <w:p w14:paraId="51EC5A8A" w14:textId="77777777" w:rsidR="00154117" w:rsidRPr="00DB6DAB" w:rsidRDefault="00154117" w:rsidP="00E337BE">
            <w:pPr>
              <w:spacing w:before="0" w:after="0"/>
              <w:rPr>
                <w:rFonts w:ascii="Arial" w:hAnsi="Arial" w:cs="Arial"/>
                <w:b/>
                <w:bCs/>
                <w:color w:val="000000"/>
                <w:sz w:val="16"/>
                <w:szCs w:val="16"/>
                <w:lang w:val="en-AU" w:eastAsia="en-AU"/>
              </w:rPr>
            </w:pPr>
          </w:p>
          <w:p w14:paraId="735A3254" w14:textId="77777777" w:rsidR="00154117" w:rsidRPr="00DB6DAB" w:rsidRDefault="00154117" w:rsidP="00E337BE">
            <w:pPr>
              <w:spacing w:before="0" w:after="0"/>
              <w:rPr>
                <w:rFonts w:ascii="Arial" w:hAnsi="Arial" w:cs="Arial"/>
                <w:bCs/>
                <w:color w:val="000000"/>
                <w:sz w:val="16"/>
                <w:szCs w:val="16"/>
                <w:lang w:val="en-AU" w:eastAsia="en-AU"/>
              </w:rPr>
            </w:pPr>
            <w:r w:rsidRPr="00DB6DAB">
              <w:rPr>
                <w:rFonts w:ascii="Arial" w:hAnsi="Arial" w:cs="Arial"/>
                <w:bCs/>
                <w:color w:val="000000"/>
                <w:sz w:val="16"/>
                <w:szCs w:val="16"/>
                <w:lang w:val="en-AU" w:eastAsia="en-AU"/>
              </w:rPr>
              <w:t>Continued on next page</w:t>
            </w:r>
          </w:p>
        </w:tc>
        <w:tc>
          <w:tcPr>
            <w:tcW w:w="734" w:type="dxa"/>
            <w:tcBorders>
              <w:top w:val="double" w:sz="4" w:space="0" w:color="auto"/>
            </w:tcBorders>
            <w:shd w:val="clear" w:color="auto" w:fill="auto"/>
            <w:noWrap/>
            <w:vAlign w:val="center"/>
          </w:tcPr>
          <w:p w14:paraId="6649A451"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695" w:type="dxa"/>
            <w:tcBorders>
              <w:top w:val="double" w:sz="4" w:space="0" w:color="auto"/>
            </w:tcBorders>
            <w:shd w:val="clear" w:color="auto" w:fill="auto"/>
            <w:noWrap/>
            <w:vAlign w:val="center"/>
          </w:tcPr>
          <w:p w14:paraId="3231B588"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80DF0C8"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09DB0259"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31F5D412"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17" w:type="dxa"/>
            <w:tcBorders>
              <w:top w:val="double" w:sz="4" w:space="0" w:color="auto"/>
            </w:tcBorders>
            <w:shd w:val="clear" w:color="auto" w:fill="auto"/>
            <w:noWrap/>
            <w:vAlign w:val="center"/>
          </w:tcPr>
          <w:p w14:paraId="3ED571CF"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642" w:type="dxa"/>
            <w:tcBorders>
              <w:top w:val="double" w:sz="4" w:space="0" w:color="auto"/>
            </w:tcBorders>
            <w:shd w:val="clear" w:color="auto" w:fill="auto"/>
            <w:noWrap/>
            <w:vAlign w:val="center"/>
          </w:tcPr>
          <w:p w14:paraId="1D7BDFAD"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17" w:type="dxa"/>
            <w:tcBorders>
              <w:top w:val="double" w:sz="4" w:space="0" w:color="auto"/>
            </w:tcBorders>
            <w:shd w:val="clear" w:color="auto" w:fill="auto"/>
            <w:noWrap/>
            <w:vAlign w:val="center"/>
          </w:tcPr>
          <w:p w14:paraId="3440C2A5"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642" w:type="dxa"/>
            <w:tcBorders>
              <w:top w:val="double" w:sz="4" w:space="0" w:color="auto"/>
            </w:tcBorders>
            <w:shd w:val="clear" w:color="auto" w:fill="auto"/>
            <w:noWrap/>
            <w:vAlign w:val="center"/>
          </w:tcPr>
          <w:p w14:paraId="337802C4"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E0EF657"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3F0D38FA"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794FB2B2"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01875BBE"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617" w:type="dxa"/>
            <w:tcBorders>
              <w:top w:val="double" w:sz="4" w:space="0" w:color="auto"/>
            </w:tcBorders>
            <w:shd w:val="clear" w:color="auto" w:fill="auto"/>
            <w:noWrap/>
            <w:vAlign w:val="center"/>
          </w:tcPr>
          <w:p w14:paraId="40D72BEA"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top w:val="double" w:sz="4" w:space="0" w:color="auto"/>
            </w:tcBorders>
            <w:shd w:val="clear" w:color="auto" w:fill="auto"/>
            <w:noWrap/>
            <w:vAlign w:val="center"/>
          </w:tcPr>
          <w:p w14:paraId="19BC8A13"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617" w:type="dxa"/>
            <w:tcBorders>
              <w:top w:val="double" w:sz="4" w:space="0" w:color="auto"/>
            </w:tcBorders>
            <w:shd w:val="clear" w:color="auto" w:fill="auto"/>
            <w:noWrap/>
            <w:vAlign w:val="center"/>
          </w:tcPr>
          <w:p w14:paraId="7109C694"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84" w:type="dxa"/>
            <w:tcBorders>
              <w:top w:val="double" w:sz="4" w:space="0" w:color="auto"/>
            </w:tcBorders>
          </w:tcPr>
          <w:p w14:paraId="00245E1C"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51" w:type="dxa"/>
            <w:tcBorders>
              <w:top w:val="double" w:sz="4" w:space="0" w:color="auto"/>
            </w:tcBorders>
          </w:tcPr>
          <w:p w14:paraId="0C32FA70" w14:textId="77777777" w:rsidR="00154117" w:rsidRPr="00DB6DAB" w:rsidRDefault="00154117" w:rsidP="00C33CEC">
            <w:pPr>
              <w:spacing w:before="0" w:after="0"/>
              <w:jc w:val="center"/>
              <w:rPr>
                <w:rFonts w:ascii="Arial" w:hAnsi="Arial" w:cs="Arial"/>
                <w:color w:val="000000"/>
                <w:sz w:val="16"/>
                <w:szCs w:val="16"/>
                <w:lang w:val="en-AU" w:eastAsia="en-AU"/>
              </w:rPr>
            </w:pPr>
          </w:p>
        </w:tc>
      </w:tr>
      <w:tr w:rsidR="00154117" w:rsidRPr="00DB6DAB" w14:paraId="24F51314" w14:textId="1ABE47DF" w:rsidTr="00D92C64">
        <w:trPr>
          <w:trHeight w:val="225"/>
        </w:trPr>
        <w:tc>
          <w:tcPr>
            <w:tcW w:w="2273" w:type="dxa"/>
            <w:tcBorders>
              <w:left w:val="double" w:sz="6" w:space="0" w:color="auto"/>
              <w:bottom w:val="single" w:sz="4" w:space="0" w:color="BFBFBF"/>
              <w:right w:val="nil"/>
            </w:tcBorders>
            <w:shd w:val="clear" w:color="auto" w:fill="auto"/>
            <w:noWrap/>
            <w:vAlign w:val="center"/>
          </w:tcPr>
          <w:p w14:paraId="5E62AECB" w14:textId="77777777" w:rsidR="00154117" w:rsidRPr="00DB6DAB" w:rsidRDefault="00154117" w:rsidP="00E337BE">
            <w:pPr>
              <w:spacing w:before="0" w:after="0"/>
              <w:rPr>
                <w:rFonts w:ascii="Arial" w:hAnsi="Arial" w:cs="Arial"/>
                <w:b/>
                <w:bCs/>
                <w:color w:val="000000"/>
                <w:sz w:val="16"/>
                <w:szCs w:val="16"/>
                <w:lang w:val="en-AU" w:eastAsia="en-AU"/>
              </w:rPr>
            </w:pPr>
          </w:p>
          <w:p w14:paraId="0AD87CDD" w14:textId="77777777" w:rsidR="00154117" w:rsidRPr="00DB6DAB" w:rsidRDefault="00154117"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By Household Size -</w:t>
            </w:r>
          </w:p>
        </w:tc>
        <w:tc>
          <w:tcPr>
            <w:tcW w:w="734" w:type="dxa"/>
            <w:tcBorders>
              <w:left w:val="single" w:sz="4" w:space="0" w:color="auto"/>
              <w:bottom w:val="single" w:sz="4" w:space="0" w:color="BFBFBF"/>
              <w:right w:val="single" w:sz="4" w:space="0" w:color="BFBFBF"/>
            </w:tcBorders>
            <w:shd w:val="clear" w:color="auto" w:fill="auto"/>
            <w:noWrap/>
            <w:vAlign w:val="center"/>
          </w:tcPr>
          <w:p w14:paraId="2E3AD8F8"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695" w:type="dxa"/>
            <w:tcBorders>
              <w:left w:val="nil"/>
              <w:bottom w:val="single" w:sz="4" w:space="0" w:color="BFBFBF"/>
              <w:right w:val="single" w:sz="4" w:space="0" w:color="BFBFBF"/>
            </w:tcBorders>
            <w:shd w:val="clear" w:color="auto" w:fill="auto"/>
            <w:noWrap/>
            <w:vAlign w:val="center"/>
          </w:tcPr>
          <w:p w14:paraId="22A25BCA"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left w:val="nil"/>
              <w:bottom w:val="single" w:sz="4" w:space="0" w:color="BFBFBF"/>
              <w:right w:val="single" w:sz="4" w:space="0" w:color="BFBFBF"/>
            </w:tcBorders>
            <w:shd w:val="clear" w:color="auto" w:fill="auto"/>
            <w:noWrap/>
            <w:vAlign w:val="center"/>
          </w:tcPr>
          <w:p w14:paraId="49A828FA"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left w:val="nil"/>
              <w:bottom w:val="single" w:sz="4" w:space="0" w:color="BFBFBF"/>
              <w:right w:val="single" w:sz="4" w:space="0" w:color="BFBFBF"/>
            </w:tcBorders>
            <w:shd w:val="clear" w:color="auto" w:fill="auto"/>
            <w:noWrap/>
            <w:vAlign w:val="center"/>
          </w:tcPr>
          <w:p w14:paraId="5338DB6E"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left w:val="nil"/>
              <w:bottom w:val="single" w:sz="4" w:space="0" w:color="BFBFBF"/>
              <w:right w:val="single" w:sz="4" w:space="0" w:color="auto"/>
            </w:tcBorders>
            <w:shd w:val="clear" w:color="auto" w:fill="auto"/>
            <w:noWrap/>
            <w:vAlign w:val="center"/>
          </w:tcPr>
          <w:p w14:paraId="4746F848"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17" w:type="dxa"/>
            <w:tcBorders>
              <w:left w:val="nil"/>
              <w:bottom w:val="single" w:sz="4" w:space="0" w:color="BFBFBF"/>
              <w:right w:val="single" w:sz="4" w:space="0" w:color="BFBFBF"/>
            </w:tcBorders>
            <w:shd w:val="clear" w:color="auto" w:fill="auto"/>
            <w:noWrap/>
            <w:vAlign w:val="center"/>
          </w:tcPr>
          <w:p w14:paraId="08AFBC86"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642" w:type="dxa"/>
            <w:tcBorders>
              <w:left w:val="nil"/>
              <w:bottom w:val="single" w:sz="4" w:space="0" w:color="BFBFBF"/>
              <w:right w:val="single" w:sz="4" w:space="0" w:color="BFBFBF"/>
            </w:tcBorders>
            <w:shd w:val="clear" w:color="auto" w:fill="auto"/>
            <w:noWrap/>
            <w:vAlign w:val="center"/>
          </w:tcPr>
          <w:p w14:paraId="58E01667"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17" w:type="dxa"/>
            <w:tcBorders>
              <w:left w:val="nil"/>
              <w:bottom w:val="single" w:sz="4" w:space="0" w:color="BFBFBF"/>
              <w:right w:val="single" w:sz="4" w:space="0" w:color="BFBFBF"/>
            </w:tcBorders>
            <w:shd w:val="clear" w:color="auto" w:fill="auto"/>
            <w:noWrap/>
            <w:vAlign w:val="center"/>
          </w:tcPr>
          <w:p w14:paraId="27C85053"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642" w:type="dxa"/>
            <w:tcBorders>
              <w:left w:val="nil"/>
              <w:bottom w:val="single" w:sz="4" w:space="0" w:color="BFBFBF"/>
              <w:right w:val="single" w:sz="4" w:space="0" w:color="BFBFBF"/>
            </w:tcBorders>
            <w:shd w:val="clear" w:color="auto" w:fill="auto"/>
            <w:noWrap/>
            <w:vAlign w:val="center"/>
          </w:tcPr>
          <w:p w14:paraId="4ABE5100"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08" w:type="dxa"/>
            <w:tcBorders>
              <w:left w:val="nil"/>
              <w:bottom w:val="single" w:sz="4" w:space="0" w:color="BFBFBF"/>
              <w:right w:val="nil"/>
            </w:tcBorders>
            <w:shd w:val="clear" w:color="auto" w:fill="auto"/>
            <w:noWrap/>
            <w:vAlign w:val="center"/>
          </w:tcPr>
          <w:p w14:paraId="02364678"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08" w:type="dxa"/>
            <w:tcBorders>
              <w:left w:val="single" w:sz="4" w:space="0" w:color="auto"/>
              <w:bottom w:val="single" w:sz="4" w:space="0" w:color="BFBFBF"/>
              <w:right w:val="single" w:sz="4" w:space="0" w:color="BFBFBF"/>
            </w:tcBorders>
            <w:shd w:val="clear" w:color="auto" w:fill="auto"/>
            <w:noWrap/>
            <w:vAlign w:val="center"/>
          </w:tcPr>
          <w:p w14:paraId="773A186C"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left w:val="nil"/>
              <w:bottom w:val="single" w:sz="4" w:space="0" w:color="BFBFBF"/>
              <w:right w:val="single" w:sz="4" w:space="0" w:color="auto"/>
            </w:tcBorders>
            <w:shd w:val="clear" w:color="auto" w:fill="auto"/>
            <w:noWrap/>
            <w:vAlign w:val="center"/>
          </w:tcPr>
          <w:p w14:paraId="0AC7D53C"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left w:val="nil"/>
              <w:bottom w:val="single" w:sz="4" w:space="0" w:color="BFBFBF"/>
              <w:right w:val="single" w:sz="4" w:space="0" w:color="BFBFBF"/>
            </w:tcBorders>
            <w:shd w:val="clear" w:color="auto" w:fill="auto"/>
            <w:noWrap/>
            <w:vAlign w:val="center"/>
          </w:tcPr>
          <w:p w14:paraId="2F4C1BDD"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617" w:type="dxa"/>
            <w:tcBorders>
              <w:left w:val="nil"/>
              <w:bottom w:val="single" w:sz="4" w:space="0" w:color="BFBFBF"/>
              <w:right w:val="single" w:sz="4" w:space="0" w:color="BFBFBF"/>
            </w:tcBorders>
            <w:shd w:val="clear" w:color="auto" w:fill="auto"/>
            <w:noWrap/>
            <w:vAlign w:val="center"/>
          </w:tcPr>
          <w:p w14:paraId="15D5C88D"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734" w:type="dxa"/>
            <w:tcBorders>
              <w:left w:val="nil"/>
              <w:bottom w:val="single" w:sz="4" w:space="0" w:color="BFBFBF"/>
              <w:right w:val="single" w:sz="4" w:space="0" w:color="BFBFBF"/>
            </w:tcBorders>
            <w:shd w:val="clear" w:color="auto" w:fill="auto"/>
            <w:noWrap/>
            <w:vAlign w:val="center"/>
          </w:tcPr>
          <w:p w14:paraId="457B85D7"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617" w:type="dxa"/>
            <w:tcBorders>
              <w:left w:val="nil"/>
              <w:bottom w:val="single" w:sz="4" w:space="0" w:color="BFBFBF"/>
              <w:right w:val="double" w:sz="6" w:space="0" w:color="auto"/>
            </w:tcBorders>
            <w:shd w:val="clear" w:color="auto" w:fill="auto"/>
            <w:noWrap/>
            <w:vAlign w:val="center"/>
          </w:tcPr>
          <w:p w14:paraId="2ECA60EC"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84" w:type="dxa"/>
            <w:tcBorders>
              <w:left w:val="nil"/>
              <w:bottom w:val="single" w:sz="4" w:space="0" w:color="BFBFBF"/>
              <w:right w:val="single" w:sz="4" w:space="0" w:color="BFBFBF" w:themeColor="background1" w:themeShade="BF"/>
            </w:tcBorders>
          </w:tcPr>
          <w:p w14:paraId="09351CC0" w14:textId="77777777" w:rsidR="00154117" w:rsidRPr="00DB6DAB" w:rsidRDefault="00154117" w:rsidP="00C33CEC">
            <w:pPr>
              <w:spacing w:before="0" w:after="0"/>
              <w:jc w:val="center"/>
              <w:rPr>
                <w:rFonts w:ascii="Arial" w:hAnsi="Arial" w:cs="Arial"/>
                <w:color w:val="000000"/>
                <w:sz w:val="16"/>
                <w:szCs w:val="16"/>
                <w:lang w:val="en-AU" w:eastAsia="en-AU"/>
              </w:rPr>
            </w:pPr>
          </w:p>
        </w:tc>
        <w:tc>
          <w:tcPr>
            <w:tcW w:w="851" w:type="dxa"/>
            <w:tcBorders>
              <w:left w:val="single" w:sz="4" w:space="0" w:color="BFBFBF" w:themeColor="background1" w:themeShade="BF"/>
              <w:bottom w:val="single" w:sz="4" w:space="0" w:color="BFBFBF"/>
              <w:right w:val="double" w:sz="6" w:space="0" w:color="auto"/>
            </w:tcBorders>
          </w:tcPr>
          <w:p w14:paraId="10D7FDCC" w14:textId="77777777" w:rsidR="00154117" w:rsidRPr="00DB6DAB" w:rsidRDefault="00154117" w:rsidP="00C33CEC">
            <w:pPr>
              <w:spacing w:before="0" w:after="0"/>
              <w:jc w:val="center"/>
              <w:rPr>
                <w:rFonts w:ascii="Arial" w:hAnsi="Arial" w:cs="Arial"/>
                <w:color w:val="000000"/>
                <w:sz w:val="16"/>
                <w:szCs w:val="16"/>
                <w:lang w:val="en-AU" w:eastAsia="en-AU"/>
              </w:rPr>
            </w:pPr>
          </w:p>
        </w:tc>
      </w:tr>
      <w:tr w:rsidR="00223CAF" w:rsidRPr="00DB6DAB" w14:paraId="42FE7940" w14:textId="49302F09"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68E9BBD5"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1 person</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69D7C4DA" w14:textId="081D9D06"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74%</w:t>
            </w:r>
          </w:p>
        </w:tc>
        <w:tc>
          <w:tcPr>
            <w:tcW w:w="695" w:type="dxa"/>
            <w:tcBorders>
              <w:top w:val="nil"/>
              <w:left w:val="nil"/>
              <w:bottom w:val="single" w:sz="4" w:space="0" w:color="BFBFBF"/>
              <w:right w:val="single" w:sz="4" w:space="0" w:color="BFBFBF"/>
            </w:tcBorders>
            <w:shd w:val="clear" w:color="auto" w:fill="auto"/>
            <w:noWrap/>
            <w:vAlign w:val="center"/>
          </w:tcPr>
          <w:p w14:paraId="15A7BD4F" w14:textId="515DAB11"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239</w:t>
            </w:r>
          </w:p>
        </w:tc>
        <w:tc>
          <w:tcPr>
            <w:tcW w:w="734" w:type="dxa"/>
            <w:tcBorders>
              <w:top w:val="nil"/>
              <w:left w:val="nil"/>
              <w:bottom w:val="single" w:sz="4" w:space="0" w:color="BFBFBF"/>
              <w:right w:val="single" w:sz="4" w:space="0" w:color="BFBFBF"/>
            </w:tcBorders>
            <w:shd w:val="clear" w:color="auto" w:fill="auto"/>
            <w:noWrap/>
            <w:vAlign w:val="center"/>
          </w:tcPr>
          <w:p w14:paraId="5F163891"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BFBFBF"/>
            </w:tcBorders>
            <w:shd w:val="clear" w:color="auto" w:fill="auto"/>
            <w:noWrap/>
            <w:vAlign w:val="center"/>
          </w:tcPr>
          <w:p w14:paraId="72850DB5"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146</w:t>
            </w:r>
          </w:p>
        </w:tc>
        <w:tc>
          <w:tcPr>
            <w:tcW w:w="734" w:type="dxa"/>
            <w:tcBorders>
              <w:top w:val="nil"/>
              <w:left w:val="nil"/>
              <w:bottom w:val="single" w:sz="4" w:space="0" w:color="BFBFBF"/>
              <w:right w:val="single" w:sz="4" w:space="0" w:color="auto"/>
            </w:tcBorders>
            <w:shd w:val="clear" w:color="auto" w:fill="auto"/>
            <w:noWrap/>
            <w:vAlign w:val="center"/>
          </w:tcPr>
          <w:p w14:paraId="756BBC55"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99</w:t>
            </w:r>
          </w:p>
        </w:tc>
        <w:tc>
          <w:tcPr>
            <w:tcW w:w="817" w:type="dxa"/>
            <w:tcBorders>
              <w:top w:val="nil"/>
              <w:left w:val="nil"/>
              <w:bottom w:val="single" w:sz="4" w:space="0" w:color="BFBFBF"/>
              <w:right w:val="single" w:sz="4" w:space="0" w:color="BFBFBF"/>
            </w:tcBorders>
            <w:shd w:val="clear" w:color="auto" w:fill="auto"/>
            <w:noWrap/>
            <w:vAlign w:val="center"/>
          </w:tcPr>
          <w:p w14:paraId="4124F227" w14:textId="09945626"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8%</w:t>
            </w:r>
          </w:p>
        </w:tc>
        <w:tc>
          <w:tcPr>
            <w:tcW w:w="642" w:type="dxa"/>
            <w:tcBorders>
              <w:top w:val="nil"/>
              <w:left w:val="nil"/>
              <w:bottom w:val="single" w:sz="4" w:space="0" w:color="BFBFBF"/>
              <w:right w:val="single" w:sz="4" w:space="0" w:color="BFBFBF"/>
            </w:tcBorders>
            <w:shd w:val="clear" w:color="auto" w:fill="auto"/>
            <w:noWrap/>
            <w:vAlign w:val="center"/>
          </w:tcPr>
          <w:p w14:paraId="416AA3F3" w14:textId="6160344E"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140</w:t>
            </w:r>
          </w:p>
        </w:tc>
        <w:tc>
          <w:tcPr>
            <w:tcW w:w="817" w:type="dxa"/>
            <w:tcBorders>
              <w:top w:val="nil"/>
              <w:left w:val="nil"/>
              <w:bottom w:val="single" w:sz="4" w:space="0" w:color="BFBFBF"/>
              <w:right w:val="single" w:sz="4" w:space="0" w:color="BFBFBF"/>
            </w:tcBorders>
            <w:shd w:val="clear" w:color="auto" w:fill="auto"/>
            <w:noWrap/>
            <w:vAlign w:val="center"/>
          </w:tcPr>
          <w:p w14:paraId="33207CB1"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28%</w:t>
            </w:r>
          </w:p>
        </w:tc>
        <w:tc>
          <w:tcPr>
            <w:tcW w:w="642" w:type="dxa"/>
            <w:tcBorders>
              <w:top w:val="nil"/>
              <w:left w:val="nil"/>
              <w:bottom w:val="single" w:sz="4" w:space="0" w:color="BFBFBF"/>
              <w:right w:val="single" w:sz="4" w:space="0" w:color="BFBFBF"/>
            </w:tcBorders>
            <w:shd w:val="clear" w:color="auto" w:fill="auto"/>
            <w:noWrap/>
            <w:vAlign w:val="center"/>
          </w:tcPr>
          <w:p w14:paraId="005C5CDC"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69</w:t>
            </w:r>
          </w:p>
        </w:tc>
        <w:tc>
          <w:tcPr>
            <w:tcW w:w="808" w:type="dxa"/>
            <w:tcBorders>
              <w:top w:val="nil"/>
              <w:left w:val="nil"/>
              <w:bottom w:val="single" w:sz="4" w:space="0" w:color="BFBFBF"/>
              <w:right w:val="nil"/>
            </w:tcBorders>
            <w:shd w:val="clear" w:color="auto" w:fill="auto"/>
            <w:noWrap/>
            <w:vAlign w:val="center"/>
          </w:tcPr>
          <w:p w14:paraId="72630D21"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54</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CFBA772" w14:textId="7B50FBDA"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99%</w:t>
            </w:r>
          </w:p>
        </w:tc>
        <w:tc>
          <w:tcPr>
            <w:tcW w:w="734" w:type="dxa"/>
            <w:tcBorders>
              <w:top w:val="nil"/>
              <w:left w:val="nil"/>
              <w:bottom w:val="single" w:sz="4" w:space="0" w:color="BFBFBF"/>
              <w:right w:val="single" w:sz="4" w:space="0" w:color="auto"/>
            </w:tcBorders>
            <w:shd w:val="clear" w:color="auto" w:fill="auto"/>
            <w:noWrap/>
            <w:vAlign w:val="center"/>
          </w:tcPr>
          <w:p w14:paraId="3D539D67" w14:textId="21CE5A41"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139</w:t>
            </w:r>
          </w:p>
        </w:tc>
        <w:tc>
          <w:tcPr>
            <w:tcW w:w="734" w:type="dxa"/>
            <w:tcBorders>
              <w:top w:val="nil"/>
              <w:left w:val="nil"/>
              <w:bottom w:val="single" w:sz="4" w:space="0" w:color="BFBFBF"/>
              <w:right w:val="single" w:sz="4" w:space="0" w:color="BFBFBF"/>
            </w:tcBorders>
            <w:shd w:val="clear" w:color="auto" w:fill="auto"/>
            <w:noWrap/>
            <w:vAlign w:val="bottom"/>
          </w:tcPr>
          <w:p w14:paraId="4BCA3BDA"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15%</w:t>
            </w:r>
          </w:p>
        </w:tc>
        <w:tc>
          <w:tcPr>
            <w:tcW w:w="617" w:type="dxa"/>
            <w:tcBorders>
              <w:top w:val="nil"/>
              <w:left w:val="nil"/>
              <w:bottom w:val="single" w:sz="4" w:space="0" w:color="BFBFBF"/>
              <w:right w:val="single" w:sz="4" w:space="0" w:color="BFBFBF"/>
            </w:tcBorders>
            <w:shd w:val="clear" w:color="auto" w:fill="auto"/>
            <w:noWrap/>
            <w:vAlign w:val="center"/>
          </w:tcPr>
          <w:p w14:paraId="28670652"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89</w:t>
            </w:r>
          </w:p>
        </w:tc>
        <w:tc>
          <w:tcPr>
            <w:tcW w:w="734" w:type="dxa"/>
            <w:tcBorders>
              <w:top w:val="nil"/>
              <w:left w:val="nil"/>
              <w:bottom w:val="single" w:sz="4" w:space="0" w:color="BFBFBF"/>
              <w:right w:val="single" w:sz="4" w:space="0" w:color="BFBFBF"/>
            </w:tcBorders>
            <w:shd w:val="clear" w:color="auto" w:fill="auto"/>
            <w:noWrap/>
            <w:vAlign w:val="center"/>
          </w:tcPr>
          <w:p w14:paraId="136A2F64"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12%</w:t>
            </w:r>
          </w:p>
        </w:tc>
        <w:tc>
          <w:tcPr>
            <w:tcW w:w="617" w:type="dxa"/>
            <w:tcBorders>
              <w:top w:val="nil"/>
              <w:left w:val="nil"/>
              <w:bottom w:val="single" w:sz="4" w:space="0" w:color="BFBFBF"/>
              <w:right w:val="double" w:sz="6" w:space="0" w:color="auto"/>
            </w:tcBorders>
            <w:shd w:val="clear" w:color="auto" w:fill="auto"/>
            <w:noWrap/>
            <w:vAlign w:val="center"/>
          </w:tcPr>
          <w:p w14:paraId="6BA8BA42"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45</w:t>
            </w:r>
          </w:p>
        </w:tc>
        <w:tc>
          <w:tcPr>
            <w:tcW w:w="884" w:type="dxa"/>
            <w:tcBorders>
              <w:top w:val="single" w:sz="4" w:space="0" w:color="BFBFBF"/>
              <w:left w:val="nil"/>
              <w:bottom w:val="single" w:sz="4" w:space="0" w:color="BFBFBF"/>
              <w:right w:val="single" w:sz="4" w:space="0" w:color="BFBFBF" w:themeColor="background1" w:themeShade="BF"/>
            </w:tcBorders>
            <w:vAlign w:val="center"/>
          </w:tcPr>
          <w:p w14:paraId="7646D297" w14:textId="04B6FB5B"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1,482</w:t>
            </w:r>
          </w:p>
        </w:tc>
        <w:tc>
          <w:tcPr>
            <w:tcW w:w="851" w:type="dxa"/>
            <w:tcBorders>
              <w:top w:val="single" w:sz="4" w:space="0" w:color="BFBFBF"/>
              <w:left w:val="single" w:sz="4" w:space="0" w:color="BFBFBF" w:themeColor="background1" w:themeShade="BF"/>
              <w:bottom w:val="single" w:sz="4" w:space="0" w:color="BFBFBF"/>
              <w:right w:val="double" w:sz="6" w:space="0" w:color="auto"/>
            </w:tcBorders>
            <w:vAlign w:val="center"/>
          </w:tcPr>
          <w:p w14:paraId="58894163" w14:textId="7924E4CF"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889</w:t>
            </w:r>
          </w:p>
        </w:tc>
      </w:tr>
      <w:tr w:rsidR="00223CAF" w:rsidRPr="00DB6DAB" w14:paraId="10993F3F" w14:textId="249E59FE"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377E6F15"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2 persons</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08784283" w14:textId="58F82C16"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76%</w:t>
            </w:r>
          </w:p>
        </w:tc>
        <w:tc>
          <w:tcPr>
            <w:tcW w:w="695" w:type="dxa"/>
            <w:tcBorders>
              <w:top w:val="nil"/>
              <w:left w:val="nil"/>
              <w:bottom w:val="single" w:sz="4" w:space="0" w:color="BFBFBF"/>
              <w:right w:val="single" w:sz="4" w:space="0" w:color="BFBFBF"/>
            </w:tcBorders>
            <w:shd w:val="clear" w:color="auto" w:fill="auto"/>
            <w:noWrap/>
            <w:vAlign w:val="center"/>
          </w:tcPr>
          <w:p w14:paraId="089C52D1" w14:textId="40B5CDD2"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243</w:t>
            </w:r>
          </w:p>
        </w:tc>
        <w:tc>
          <w:tcPr>
            <w:tcW w:w="734" w:type="dxa"/>
            <w:tcBorders>
              <w:top w:val="nil"/>
              <w:left w:val="nil"/>
              <w:bottom w:val="single" w:sz="4" w:space="0" w:color="BFBFBF"/>
              <w:right w:val="single" w:sz="4" w:space="0" w:color="BFBFBF"/>
            </w:tcBorders>
            <w:shd w:val="clear" w:color="auto" w:fill="auto"/>
            <w:noWrap/>
            <w:vAlign w:val="center"/>
          </w:tcPr>
          <w:p w14:paraId="7021CA61"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80%</w:t>
            </w:r>
          </w:p>
        </w:tc>
        <w:tc>
          <w:tcPr>
            <w:tcW w:w="734" w:type="dxa"/>
            <w:tcBorders>
              <w:top w:val="nil"/>
              <w:left w:val="nil"/>
              <w:bottom w:val="single" w:sz="4" w:space="0" w:color="BFBFBF"/>
              <w:right w:val="single" w:sz="4" w:space="0" w:color="BFBFBF"/>
            </w:tcBorders>
            <w:shd w:val="clear" w:color="auto" w:fill="auto"/>
            <w:noWrap/>
            <w:vAlign w:val="center"/>
          </w:tcPr>
          <w:p w14:paraId="5B5DDCC1"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145</w:t>
            </w:r>
          </w:p>
        </w:tc>
        <w:tc>
          <w:tcPr>
            <w:tcW w:w="734" w:type="dxa"/>
            <w:tcBorders>
              <w:top w:val="nil"/>
              <w:left w:val="nil"/>
              <w:bottom w:val="single" w:sz="4" w:space="0" w:color="BFBFBF"/>
              <w:right w:val="single" w:sz="4" w:space="0" w:color="auto"/>
            </w:tcBorders>
            <w:shd w:val="clear" w:color="auto" w:fill="auto"/>
            <w:noWrap/>
            <w:vAlign w:val="center"/>
          </w:tcPr>
          <w:p w14:paraId="3AEAB925"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96</w:t>
            </w:r>
          </w:p>
        </w:tc>
        <w:tc>
          <w:tcPr>
            <w:tcW w:w="817" w:type="dxa"/>
            <w:tcBorders>
              <w:top w:val="nil"/>
              <w:left w:val="nil"/>
              <w:bottom w:val="single" w:sz="4" w:space="0" w:color="BFBFBF"/>
              <w:right w:val="single" w:sz="4" w:space="0" w:color="BFBFBF"/>
            </w:tcBorders>
            <w:shd w:val="clear" w:color="auto" w:fill="auto"/>
            <w:noWrap/>
            <w:vAlign w:val="center"/>
          </w:tcPr>
          <w:p w14:paraId="59CDA2E5" w14:textId="620F9BDC"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8%</w:t>
            </w:r>
          </w:p>
        </w:tc>
        <w:tc>
          <w:tcPr>
            <w:tcW w:w="642" w:type="dxa"/>
            <w:tcBorders>
              <w:top w:val="nil"/>
              <w:left w:val="nil"/>
              <w:bottom w:val="single" w:sz="4" w:space="0" w:color="BFBFBF"/>
              <w:right w:val="single" w:sz="4" w:space="0" w:color="BFBFBF"/>
            </w:tcBorders>
            <w:shd w:val="clear" w:color="auto" w:fill="auto"/>
            <w:noWrap/>
            <w:vAlign w:val="center"/>
          </w:tcPr>
          <w:p w14:paraId="40EF1EF5" w14:textId="7056AC94"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146</w:t>
            </w:r>
          </w:p>
        </w:tc>
        <w:tc>
          <w:tcPr>
            <w:tcW w:w="817" w:type="dxa"/>
            <w:tcBorders>
              <w:top w:val="nil"/>
              <w:left w:val="nil"/>
              <w:bottom w:val="single" w:sz="4" w:space="0" w:color="BFBFBF"/>
              <w:right w:val="single" w:sz="4" w:space="0" w:color="BFBFBF"/>
            </w:tcBorders>
            <w:shd w:val="clear" w:color="auto" w:fill="auto"/>
            <w:noWrap/>
            <w:vAlign w:val="center"/>
          </w:tcPr>
          <w:p w14:paraId="308368D5"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24%</w:t>
            </w:r>
          </w:p>
        </w:tc>
        <w:tc>
          <w:tcPr>
            <w:tcW w:w="642" w:type="dxa"/>
            <w:tcBorders>
              <w:top w:val="nil"/>
              <w:left w:val="nil"/>
              <w:bottom w:val="single" w:sz="4" w:space="0" w:color="BFBFBF"/>
              <w:right w:val="single" w:sz="4" w:space="0" w:color="BFBFBF"/>
            </w:tcBorders>
            <w:shd w:val="clear" w:color="auto" w:fill="auto"/>
            <w:noWrap/>
            <w:vAlign w:val="center"/>
          </w:tcPr>
          <w:p w14:paraId="3C598653"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71</w:t>
            </w:r>
          </w:p>
        </w:tc>
        <w:tc>
          <w:tcPr>
            <w:tcW w:w="808" w:type="dxa"/>
            <w:tcBorders>
              <w:top w:val="nil"/>
              <w:left w:val="nil"/>
              <w:bottom w:val="single" w:sz="4" w:space="0" w:color="BFBFBF"/>
              <w:right w:val="nil"/>
            </w:tcBorders>
            <w:shd w:val="clear" w:color="auto" w:fill="auto"/>
            <w:noWrap/>
            <w:vAlign w:val="center"/>
          </w:tcPr>
          <w:p w14:paraId="5182FAEA"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54</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8E0B7E7" w14:textId="526DE444"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99%</w:t>
            </w:r>
          </w:p>
        </w:tc>
        <w:tc>
          <w:tcPr>
            <w:tcW w:w="734" w:type="dxa"/>
            <w:tcBorders>
              <w:top w:val="nil"/>
              <w:left w:val="nil"/>
              <w:bottom w:val="single" w:sz="4" w:space="0" w:color="BFBFBF"/>
              <w:right w:val="single" w:sz="4" w:space="0" w:color="auto"/>
            </w:tcBorders>
            <w:shd w:val="clear" w:color="auto" w:fill="auto"/>
            <w:noWrap/>
            <w:vAlign w:val="center"/>
          </w:tcPr>
          <w:p w14:paraId="4FFBEB0A" w14:textId="541106BC"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146</w:t>
            </w:r>
          </w:p>
        </w:tc>
        <w:tc>
          <w:tcPr>
            <w:tcW w:w="734" w:type="dxa"/>
            <w:tcBorders>
              <w:top w:val="nil"/>
              <w:left w:val="nil"/>
              <w:bottom w:val="single" w:sz="4" w:space="0" w:color="BFBFBF"/>
              <w:right w:val="single" w:sz="4" w:space="0" w:color="BFBFBF"/>
            </w:tcBorders>
            <w:shd w:val="clear" w:color="auto" w:fill="auto"/>
            <w:noWrap/>
            <w:vAlign w:val="bottom"/>
          </w:tcPr>
          <w:p w14:paraId="0E74BB79"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11%</w:t>
            </w:r>
          </w:p>
        </w:tc>
        <w:tc>
          <w:tcPr>
            <w:tcW w:w="617" w:type="dxa"/>
            <w:tcBorders>
              <w:top w:val="nil"/>
              <w:left w:val="nil"/>
              <w:bottom w:val="single" w:sz="4" w:space="0" w:color="BFBFBF"/>
              <w:right w:val="single" w:sz="4" w:space="0" w:color="BFBFBF"/>
            </w:tcBorders>
            <w:shd w:val="clear" w:color="auto" w:fill="auto"/>
            <w:noWrap/>
            <w:vAlign w:val="center"/>
          </w:tcPr>
          <w:p w14:paraId="2F48C675"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734" w:type="dxa"/>
            <w:tcBorders>
              <w:top w:val="nil"/>
              <w:left w:val="nil"/>
              <w:bottom w:val="single" w:sz="4" w:space="0" w:color="BFBFBF"/>
              <w:right w:val="single" w:sz="4" w:space="0" w:color="BFBFBF"/>
            </w:tcBorders>
            <w:shd w:val="clear" w:color="auto" w:fill="auto"/>
            <w:noWrap/>
            <w:vAlign w:val="center"/>
          </w:tcPr>
          <w:p w14:paraId="15F24482"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11%</w:t>
            </w:r>
          </w:p>
        </w:tc>
        <w:tc>
          <w:tcPr>
            <w:tcW w:w="617" w:type="dxa"/>
            <w:tcBorders>
              <w:top w:val="nil"/>
              <w:left w:val="nil"/>
              <w:bottom w:val="single" w:sz="4" w:space="0" w:color="BFBFBF"/>
              <w:right w:val="double" w:sz="6" w:space="0" w:color="auto"/>
            </w:tcBorders>
            <w:shd w:val="clear" w:color="auto" w:fill="auto"/>
            <w:noWrap/>
            <w:vAlign w:val="center"/>
          </w:tcPr>
          <w:p w14:paraId="0A3AE614"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61</w:t>
            </w:r>
          </w:p>
        </w:tc>
        <w:tc>
          <w:tcPr>
            <w:tcW w:w="884" w:type="dxa"/>
            <w:tcBorders>
              <w:top w:val="single" w:sz="4" w:space="0" w:color="BFBFBF"/>
              <w:left w:val="nil"/>
              <w:bottom w:val="single" w:sz="4" w:space="0" w:color="BFBFBF"/>
              <w:right w:val="single" w:sz="4" w:space="0" w:color="BFBFBF" w:themeColor="background1" w:themeShade="BF"/>
            </w:tcBorders>
            <w:vAlign w:val="center"/>
          </w:tcPr>
          <w:p w14:paraId="1377A833" w14:textId="7AD57F63"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1,703</w:t>
            </w:r>
          </w:p>
        </w:tc>
        <w:tc>
          <w:tcPr>
            <w:tcW w:w="851" w:type="dxa"/>
            <w:tcBorders>
              <w:top w:val="single" w:sz="4" w:space="0" w:color="BFBFBF"/>
              <w:left w:val="single" w:sz="4" w:space="0" w:color="BFBFBF" w:themeColor="background1" w:themeShade="BF"/>
              <w:bottom w:val="single" w:sz="4" w:space="0" w:color="BFBFBF"/>
              <w:right w:val="double" w:sz="6" w:space="0" w:color="auto"/>
            </w:tcBorders>
            <w:vAlign w:val="center"/>
          </w:tcPr>
          <w:p w14:paraId="69EF35BF" w14:textId="7776C982"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989</w:t>
            </w:r>
          </w:p>
        </w:tc>
      </w:tr>
      <w:tr w:rsidR="00223CAF" w:rsidRPr="00DB6DAB" w14:paraId="4773CFE6" w14:textId="18EDBD60"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621C0D48"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3 persons</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6936623D" w14:textId="09DE721C"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77%</w:t>
            </w:r>
          </w:p>
        </w:tc>
        <w:tc>
          <w:tcPr>
            <w:tcW w:w="695" w:type="dxa"/>
            <w:tcBorders>
              <w:top w:val="nil"/>
              <w:left w:val="nil"/>
              <w:bottom w:val="single" w:sz="4" w:space="0" w:color="BFBFBF"/>
              <w:right w:val="single" w:sz="4" w:space="0" w:color="BFBFBF"/>
            </w:tcBorders>
            <w:shd w:val="clear" w:color="auto" w:fill="auto"/>
            <w:noWrap/>
            <w:vAlign w:val="center"/>
          </w:tcPr>
          <w:p w14:paraId="6663AB41" w14:textId="7B771532"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236</w:t>
            </w:r>
          </w:p>
        </w:tc>
        <w:tc>
          <w:tcPr>
            <w:tcW w:w="734" w:type="dxa"/>
            <w:tcBorders>
              <w:top w:val="nil"/>
              <w:left w:val="nil"/>
              <w:bottom w:val="single" w:sz="4" w:space="0" w:color="BFBFBF"/>
              <w:right w:val="single" w:sz="4" w:space="0" w:color="BFBFBF"/>
            </w:tcBorders>
            <w:shd w:val="clear" w:color="auto" w:fill="auto"/>
            <w:noWrap/>
            <w:vAlign w:val="center"/>
          </w:tcPr>
          <w:p w14:paraId="18ADC870"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81%</w:t>
            </w:r>
          </w:p>
        </w:tc>
        <w:tc>
          <w:tcPr>
            <w:tcW w:w="734" w:type="dxa"/>
            <w:tcBorders>
              <w:top w:val="nil"/>
              <w:left w:val="nil"/>
              <w:bottom w:val="single" w:sz="4" w:space="0" w:color="BFBFBF"/>
              <w:right w:val="single" w:sz="4" w:space="0" w:color="BFBFBF"/>
            </w:tcBorders>
            <w:shd w:val="clear" w:color="auto" w:fill="auto"/>
            <w:noWrap/>
            <w:vAlign w:val="center"/>
          </w:tcPr>
          <w:p w14:paraId="5DEF32C6"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153</w:t>
            </w:r>
          </w:p>
        </w:tc>
        <w:tc>
          <w:tcPr>
            <w:tcW w:w="734" w:type="dxa"/>
            <w:tcBorders>
              <w:top w:val="nil"/>
              <w:left w:val="nil"/>
              <w:bottom w:val="single" w:sz="4" w:space="0" w:color="BFBFBF"/>
              <w:right w:val="single" w:sz="4" w:space="0" w:color="auto"/>
            </w:tcBorders>
            <w:shd w:val="clear" w:color="auto" w:fill="auto"/>
            <w:noWrap/>
            <w:vAlign w:val="center"/>
          </w:tcPr>
          <w:p w14:paraId="3C7BB7B6"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97</w:t>
            </w:r>
          </w:p>
        </w:tc>
        <w:tc>
          <w:tcPr>
            <w:tcW w:w="817" w:type="dxa"/>
            <w:tcBorders>
              <w:top w:val="nil"/>
              <w:left w:val="nil"/>
              <w:bottom w:val="single" w:sz="4" w:space="0" w:color="BFBFBF"/>
              <w:right w:val="single" w:sz="4" w:space="0" w:color="BFBFBF"/>
            </w:tcBorders>
            <w:shd w:val="clear" w:color="auto" w:fill="auto"/>
            <w:noWrap/>
            <w:vAlign w:val="center"/>
          </w:tcPr>
          <w:p w14:paraId="71439C87" w14:textId="3301343E"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9%</w:t>
            </w:r>
          </w:p>
        </w:tc>
        <w:tc>
          <w:tcPr>
            <w:tcW w:w="642" w:type="dxa"/>
            <w:tcBorders>
              <w:top w:val="nil"/>
              <w:left w:val="nil"/>
              <w:bottom w:val="single" w:sz="4" w:space="0" w:color="BFBFBF"/>
              <w:right w:val="single" w:sz="4" w:space="0" w:color="BFBFBF"/>
            </w:tcBorders>
            <w:shd w:val="clear" w:color="auto" w:fill="auto"/>
            <w:noWrap/>
            <w:vAlign w:val="center"/>
          </w:tcPr>
          <w:p w14:paraId="49D8D7F6" w14:textId="72B4B8EB"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345</w:t>
            </w:r>
          </w:p>
        </w:tc>
        <w:tc>
          <w:tcPr>
            <w:tcW w:w="817" w:type="dxa"/>
            <w:tcBorders>
              <w:top w:val="nil"/>
              <w:left w:val="nil"/>
              <w:bottom w:val="single" w:sz="4" w:space="0" w:color="BFBFBF"/>
              <w:right w:val="single" w:sz="4" w:space="0" w:color="BFBFBF"/>
            </w:tcBorders>
            <w:shd w:val="clear" w:color="auto" w:fill="auto"/>
            <w:noWrap/>
            <w:vAlign w:val="center"/>
          </w:tcPr>
          <w:p w14:paraId="1EE1C805"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21%</w:t>
            </w:r>
          </w:p>
        </w:tc>
        <w:tc>
          <w:tcPr>
            <w:tcW w:w="642" w:type="dxa"/>
            <w:tcBorders>
              <w:top w:val="nil"/>
              <w:left w:val="nil"/>
              <w:bottom w:val="single" w:sz="4" w:space="0" w:color="BFBFBF"/>
              <w:right w:val="single" w:sz="4" w:space="0" w:color="BFBFBF"/>
            </w:tcBorders>
            <w:shd w:val="clear" w:color="auto" w:fill="auto"/>
            <w:noWrap/>
            <w:vAlign w:val="center"/>
          </w:tcPr>
          <w:p w14:paraId="56C31E83"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71</w:t>
            </w:r>
          </w:p>
        </w:tc>
        <w:tc>
          <w:tcPr>
            <w:tcW w:w="808" w:type="dxa"/>
            <w:tcBorders>
              <w:top w:val="nil"/>
              <w:left w:val="nil"/>
              <w:bottom w:val="single" w:sz="4" w:space="0" w:color="BFBFBF"/>
              <w:right w:val="nil"/>
            </w:tcBorders>
            <w:shd w:val="clear" w:color="auto" w:fill="auto"/>
            <w:noWrap/>
            <w:vAlign w:val="center"/>
          </w:tcPr>
          <w:p w14:paraId="1676785C"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59</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59F4230F" w14:textId="1F6654D5"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05F1D4CA" w14:textId="7DAB09C1"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149</w:t>
            </w:r>
          </w:p>
        </w:tc>
        <w:tc>
          <w:tcPr>
            <w:tcW w:w="734" w:type="dxa"/>
            <w:tcBorders>
              <w:top w:val="nil"/>
              <w:left w:val="nil"/>
              <w:bottom w:val="single" w:sz="4" w:space="0" w:color="BFBFBF"/>
              <w:right w:val="single" w:sz="4" w:space="0" w:color="BFBFBF"/>
            </w:tcBorders>
            <w:shd w:val="clear" w:color="auto" w:fill="auto"/>
            <w:noWrap/>
            <w:vAlign w:val="bottom"/>
          </w:tcPr>
          <w:p w14:paraId="297CF0CC"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15%</w:t>
            </w:r>
          </w:p>
        </w:tc>
        <w:tc>
          <w:tcPr>
            <w:tcW w:w="617" w:type="dxa"/>
            <w:tcBorders>
              <w:top w:val="nil"/>
              <w:left w:val="nil"/>
              <w:bottom w:val="single" w:sz="4" w:space="0" w:color="BFBFBF"/>
              <w:right w:val="single" w:sz="4" w:space="0" w:color="BFBFBF"/>
            </w:tcBorders>
            <w:shd w:val="clear" w:color="auto" w:fill="auto"/>
            <w:noWrap/>
            <w:vAlign w:val="center"/>
          </w:tcPr>
          <w:p w14:paraId="392E8A6A"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74</w:t>
            </w:r>
          </w:p>
        </w:tc>
        <w:tc>
          <w:tcPr>
            <w:tcW w:w="734" w:type="dxa"/>
            <w:tcBorders>
              <w:top w:val="nil"/>
              <w:left w:val="nil"/>
              <w:bottom w:val="single" w:sz="4" w:space="0" w:color="BFBFBF"/>
              <w:right w:val="single" w:sz="4" w:space="0" w:color="BFBFBF"/>
            </w:tcBorders>
            <w:shd w:val="clear" w:color="auto" w:fill="auto"/>
            <w:noWrap/>
            <w:vAlign w:val="center"/>
          </w:tcPr>
          <w:p w14:paraId="4980E936"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13%</w:t>
            </w:r>
          </w:p>
        </w:tc>
        <w:tc>
          <w:tcPr>
            <w:tcW w:w="617" w:type="dxa"/>
            <w:tcBorders>
              <w:top w:val="nil"/>
              <w:left w:val="nil"/>
              <w:bottom w:val="single" w:sz="4" w:space="0" w:color="BFBFBF"/>
              <w:right w:val="double" w:sz="6" w:space="0" w:color="auto"/>
            </w:tcBorders>
            <w:shd w:val="clear" w:color="auto" w:fill="auto"/>
            <w:noWrap/>
            <w:vAlign w:val="center"/>
          </w:tcPr>
          <w:p w14:paraId="717F9B40"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146</w:t>
            </w:r>
          </w:p>
        </w:tc>
        <w:tc>
          <w:tcPr>
            <w:tcW w:w="884" w:type="dxa"/>
            <w:tcBorders>
              <w:top w:val="single" w:sz="4" w:space="0" w:color="BFBFBF"/>
              <w:left w:val="nil"/>
              <w:bottom w:val="single" w:sz="4" w:space="0" w:color="BFBFBF"/>
              <w:right w:val="single" w:sz="4" w:space="0" w:color="BFBFBF" w:themeColor="background1" w:themeShade="BF"/>
            </w:tcBorders>
            <w:vAlign w:val="center"/>
          </w:tcPr>
          <w:p w14:paraId="6FC66929" w14:textId="6B84F50B"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1,712</w:t>
            </w:r>
          </w:p>
        </w:tc>
        <w:tc>
          <w:tcPr>
            <w:tcW w:w="851" w:type="dxa"/>
            <w:tcBorders>
              <w:top w:val="single" w:sz="4" w:space="0" w:color="BFBFBF"/>
              <w:left w:val="single" w:sz="4" w:space="0" w:color="BFBFBF" w:themeColor="background1" w:themeShade="BF"/>
              <w:bottom w:val="single" w:sz="4" w:space="0" w:color="BFBFBF"/>
              <w:right w:val="double" w:sz="6" w:space="0" w:color="auto"/>
            </w:tcBorders>
            <w:vAlign w:val="center"/>
          </w:tcPr>
          <w:p w14:paraId="7386CF4F" w14:textId="4A24095D"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1,042</w:t>
            </w:r>
          </w:p>
        </w:tc>
      </w:tr>
      <w:tr w:rsidR="00223CAF" w:rsidRPr="00DB6DAB" w14:paraId="785C897E" w14:textId="15CBF5D3"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40FB88E4"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4 or more persons</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0CBF609B" w14:textId="0194B2A9"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81%</w:t>
            </w:r>
          </w:p>
        </w:tc>
        <w:tc>
          <w:tcPr>
            <w:tcW w:w="695" w:type="dxa"/>
            <w:tcBorders>
              <w:top w:val="nil"/>
              <w:left w:val="nil"/>
              <w:bottom w:val="single" w:sz="4" w:space="0" w:color="BFBFBF"/>
              <w:right w:val="single" w:sz="4" w:space="0" w:color="BFBFBF"/>
            </w:tcBorders>
            <w:shd w:val="clear" w:color="auto" w:fill="auto"/>
            <w:noWrap/>
            <w:vAlign w:val="center"/>
          </w:tcPr>
          <w:p w14:paraId="24E9E29E" w14:textId="6DD5E629"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244</w:t>
            </w:r>
          </w:p>
        </w:tc>
        <w:tc>
          <w:tcPr>
            <w:tcW w:w="734" w:type="dxa"/>
            <w:tcBorders>
              <w:top w:val="nil"/>
              <w:left w:val="nil"/>
              <w:bottom w:val="single" w:sz="4" w:space="0" w:color="BFBFBF"/>
              <w:right w:val="single" w:sz="4" w:space="0" w:color="BFBFBF"/>
            </w:tcBorders>
            <w:shd w:val="clear" w:color="auto" w:fill="auto"/>
            <w:noWrap/>
            <w:vAlign w:val="center"/>
          </w:tcPr>
          <w:p w14:paraId="3BA785BD"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80%</w:t>
            </w:r>
          </w:p>
        </w:tc>
        <w:tc>
          <w:tcPr>
            <w:tcW w:w="734" w:type="dxa"/>
            <w:tcBorders>
              <w:top w:val="nil"/>
              <w:left w:val="nil"/>
              <w:bottom w:val="single" w:sz="4" w:space="0" w:color="BFBFBF"/>
              <w:right w:val="single" w:sz="4" w:space="0" w:color="BFBFBF"/>
            </w:tcBorders>
            <w:shd w:val="clear" w:color="auto" w:fill="auto"/>
            <w:noWrap/>
            <w:vAlign w:val="center"/>
          </w:tcPr>
          <w:p w14:paraId="24C2824C"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141</w:t>
            </w:r>
          </w:p>
        </w:tc>
        <w:tc>
          <w:tcPr>
            <w:tcW w:w="734" w:type="dxa"/>
            <w:tcBorders>
              <w:top w:val="nil"/>
              <w:left w:val="nil"/>
              <w:bottom w:val="single" w:sz="4" w:space="0" w:color="BFBFBF"/>
              <w:right w:val="single" w:sz="4" w:space="0" w:color="auto"/>
            </w:tcBorders>
            <w:shd w:val="clear" w:color="auto" w:fill="auto"/>
            <w:noWrap/>
            <w:vAlign w:val="center"/>
          </w:tcPr>
          <w:p w14:paraId="550D60E5"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95</w:t>
            </w:r>
          </w:p>
        </w:tc>
        <w:tc>
          <w:tcPr>
            <w:tcW w:w="817" w:type="dxa"/>
            <w:tcBorders>
              <w:top w:val="nil"/>
              <w:left w:val="nil"/>
              <w:bottom w:val="single" w:sz="4" w:space="0" w:color="BFBFBF"/>
              <w:right w:val="single" w:sz="4" w:space="0" w:color="BFBFBF"/>
            </w:tcBorders>
            <w:shd w:val="clear" w:color="auto" w:fill="auto"/>
            <w:noWrap/>
            <w:vAlign w:val="center"/>
          </w:tcPr>
          <w:p w14:paraId="7D4B0F5F" w14:textId="642C1326"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11%</w:t>
            </w:r>
          </w:p>
        </w:tc>
        <w:tc>
          <w:tcPr>
            <w:tcW w:w="642" w:type="dxa"/>
            <w:tcBorders>
              <w:top w:val="nil"/>
              <w:left w:val="nil"/>
              <w:bottom w:val="single" w:sz="4" w:space="0" w:color="BFBFBF"/>
              <w:right w:val="single" w:sz="4" w:space="0" w:color="BFBFBF"/>
            </w:tcBorders>
            <w:shd w:val="clear" w:color="auto" w:fill="auto"/>
            <w:noWrap/>
            <w:vAlign w:val="center"/>
          </w:tcPr>
          <w:p w14:paraId="4399BC14" w14:textId="1316E839"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173</w:t>
            </w:r>
          </w:p>
        </w:tc>
        <w:tc>
          <w:tcPr>
            <w:tcW w:w="817" w:type="dxa"/>
            <w:tcBorders>
              <w:top w:val="nil"/>
              <w:left w:val="nil"/>
              <w:bottom w:val="single" w:sz="4" w:space="0" w:color="BFBFBF"/>
              <w:right w:val="single" w:sz="4" w:space="0" w:color="BFBFBF"/>
            </w:tcBorders>
            <w:shd w:val="clear" w:color="auto" w:fill="auto"/>
            <w:noWrap/>
            <w:vAlign w:val="center"/>
          </w:tcPr>
          <w:p w14:paraId="7BD11BCF"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27%</w:t>
            </w:r>
          </w:p>
        </w:tc>
        <w:tc>
          <w:tcPr>
            <w:tcW w:w="642" w:type="dxa"/>
            <w:tcBorders>
              <w:top w:val="nil"/>
              <w:left w:val="nil"/>
              <w:bottom w:val="single" w:sz="4" w:space="0" w:color="BFBFBF"/>
              <w:right w:val="single" w:sz="4" w:space="0" w:color="BFBFBF"/>
            </w:tcBorders>
            <w:shd w:val="clear" w:color="auto" w:fill="auto"/>
            <w:noWrap/>
            <w:vAlign w:val="center"/>
          </w:tcPr>
          <w:p w14:paraId="2024DE85"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64</w:t>
            </w:r>
          </w:p>
        </w:tc>
        <w:tc>
          <w:tcPr>
            <w:tcW w:w="808" w:type="dxa"/>
            <w:tcBorders>
              <w:top w:val="nil"/>
              <w:left w:val="nil"/>
              <w:bottom w:val="single" w:sz="4" w:space="0" w:color="BFBFBF"/>
              <w:right w:val="nil"/>
            </w:tcBorders>
            <w:shd w:val="clear" w:color="auto" w:fill="auto"/>
            <w:noWrap/>
            <w:vAlign w:val="center"/>
          </w:tcPr>
          <w:p w14:paraId="417953C8"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61</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68FF3B9" w14:textId="5BA3B2A7"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99%</w:t>
            </w:r>
          </w:p>
        </w:tc>
        <w:tc>
          <w:tcPr>
            <w:tcW w:w="734" w:type="dxa"/>
            <w:tcBorders>
              <w:top w:val="nil"/>
              <w:left w:val="nil"/>
              <w:bottom w:val="single" w:sz="4" w:space="0" w:color="BFBFBF"/>
              <w:right w:val="single" w:sz="4" w:space="0" w:color="auto"/>
            </w:tcBorders>
            <w:shd w:val="clear" w:color="auto" w:fill="auto"/>
            <w:noWrap/>
            <w:vAlign w:val="center"/>
          </w:tcPr>
          <w:p w14:paraId="3B85F8C4" w14:textId="34AE7C68"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153</w:t>
            </w:r>
          </w:p>
        </w:tc>
        <w:tc>
          <w:tcPr>
            <w:tcW w:w="734" w:type="dxa"/>
            <w:tcBorders>
              <w:top w:val="nil"/>
              <w:left w:val="nil"/>
              <w:bottom w:val="single" w:sz="4" w:space="0" w:color="BFBFBF"/>
              <w:right w:val="single" w:sz="4" w:space="0" w:color="BFBFBF"/>
            </w:tcBorders>
            <w:shd w:val="clear" w:color="auto" w:fill="auto"/>
            <w:noWrap/>
            <w:vAlign w:val="bottom"/>
          </w:tcPr>
          <w:p w14:paraId="1DA55B03"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w:t>
            </w:r>
          </w:p>
        </w:tc>
        <w:tc>
          <w:tcPr>
            <w:tcW w:w="617" w:type="dxa"/>
            <w:tcBorders>
              <w:top w:val="nil"/>
              <w:left w:val="nil"/>
              <w:bottom w:val="single" w:sz="4" w:space="0" w:color="BFBFBF"/>
              <w:right w:val="single" w:sz="4" w:space="0" w:color="BFBFBF"/>
            </w:tcBorders>
            <w:shd w:val="clear" w:color="auto" w:fill="auto"/>
            <w:noWrap/>
            <w:vAlign w:val="center"/>
          </w:tcPr>
          <w:p w14:paraId="6BA13377"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93</w:t>
            </w:r>
          </w:p>
        </w:tc>
        <w:tc>
          <w:tcPr>
            <w:tcW w:w="734" w:type="dxa"/>
            <w:tcBorders>
              <w:top w:val="nil"/>
              <w:left w:val="nil"/>
              <w:bottom w:val="single" w:sz="4" w:space="0" w:color="BFBFBF"/>
              <w:right w:val="single" w:sz="4" w:space="0" w:color="BFBFBF"/>
            </w:tcBorders>
            <w:shd w:val="clear" w:color="auto" w:fill="auto"/>
            <w:noWrap/>
            <w:vAlign w:val="center"/>
          </w:tcPr>
          <w:p w14:paraId="224050F9"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17%</w:t>
            </w:r>
          </w:p>
        </w:tc>
        <w:tc>
          <w:tcPr>
            <w:tcW w:w="617" w:type="dxa"/>
            <w:tcBorders>
              <w:top w:val="nil"/>
              <w:left w:val="nil"/>
              <w:bottom w:val="single" w:sz="4" w:space="0" w:color="BFBFBF"/>
              <w:right w:val="double" w:sz="6" w:space="0" w:color="auto"/>
            </w:tcBorders>
            <w:shd w:val="clear" w:color="auto" w:fill="auto"/>
            <w:noWrap/>
            <w:vAlign w:val="center"/>
          </w:tcPr>
          <w:p w14:paraId="186F13EF"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81</w:t>
            </w:r>
          </w:p>
        </w:tc>
        <w:tc>
          <w:tcPr>
            <w:tcW w:w="884" w:type="dxa"/>
            <w:tcBorders>
              <w:top w:val="single" w:sz="4" w:space="0" w:color="BFBFBF"/>
              <w:left w:val="nil"/>
              <w:bottom w:val="single" w:sz="4" w:space="0" w:color="BFBFBF"/>
              <w:right w:val="single" w:sz="4" w:space="0" w:color="BFBFBF" w:themeColor="background1" w:themeShade="BF"/>
            </w:tcBorders>
            <w:vAlign w:val="center"/>
          </w:tcPr>
          <w:p w14:paraId="5BB9CAE2" w14:textId="66B99F67"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1,804</w:t>
            </w:r>
          </w:p>
        </w:tc>
        <w:tc>
          <w:tcPr>
            <w:tcW w:w="851" w:type="dxa"/>
            <w:tcBorders>
              <w:top w:val="single" w:sz="4" w:space="0" w:color="BFBFBF"/>
              <w:left w:val="single" w:sz="4" w:space="0" w:color="BFBFBF" w:themeColor="background1" w:themeShade="BF"/>
              <w:bottom w:val="single" w:sz="4" w:space="0" w:color="BFBFBF"/>
              <w:right w:val="double" w:sz="6" w:space="0" w:color="auto"/>
            </w:tcBorders>
            <w:vAlign w:val="center"/>
          </w:tcPr>
          <w:p w14:paraId="4CA25753" w14:textId="638820AE"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1,079</w:t>
            </w:r>
          </w:p>
        </w:tc>
      </w:tr>
      <w:tr w:rsidR="00223CAF" w:rsidRPr="00DB6DAB" w14:paraId="69E303AF" w14:textId="0AFCE36C"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1113A688" w14:textId="77777777" w:rsidR="00223CAF" w:rsidRPr="00DB6DAB" w:rsidRDefault="00223CAF"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By Housing Status -</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39E85758" w14:textId="0717FC4D"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695" w:type="dxa"/>
            <w:tcBorders>
              <w:top w:val="nil"/>
              <w:left w:val="nil"/>
              <w:bottom w:val="single" w:sz="4" w:space="0" w:color="BFBFBF"/>
              <w:right w:val="single" w:sz="4" w:space="0" w:color="BFBFBF"/>
            </w:tcBorders>
            <w:shd w:val="clear" w:color="auto" w:fill="auto"/>
            <w:noWrap/>
            <w:vAlign w:val="center"/>
          </w:tcPr>
          <w:p w14:paraId="216B9DB1" w14:textId="598453CC"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734" w:type="dxa"/>
            <w:tcBorders>
              <w:top w:val="nil"/>
              <w:left w:val="nil"/>
              <w:bottom w:val="single" w:sz="4" w:space="0" w:color="BFBFBF"/>
              <w:right w:val="single" w:sz="4" w:space="0" w:color="BFBFBF"/>
            </w:tcBorders>
            <w:shd w:val="clear" w:color="auto" w:fill="auto"/>
            <w:noWrap/>
            <w:vAlign w:val="center"/>
          </w:tcPr>
          <w:p w14:paraId="388D5728" w14:textId="77777777" w:rsidR="00223CAF" w:rsidRPr="00DB6DAB" w:rsidRDefault="00223CAF" w:rsidP="00C33CEC">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BFBFBF"/>
            </w:tcBorders>
            <w:shd w:val="clear" w:color="auto" w:fill="auto"/>
            <w:noWrap/>
            <w:vAlign w:val="center"/>
          </w:tcPr>
          <w:p w14:paraId="21557ACA" w14:textId="77777777" w:rsidR="00223CAF" w:rsidRPr="00DB6DAB" w:rsidRDefault="00223CAF" w:rsidP="00C33CEC">
            <w:pPr>
              <w:spacing w:before="0" w:after="0"/>
              <w:jc w:val="center"/>
              <w:rPr>
                <w:rFonts w:ascii="Arial" w:hAnsi="Arial" w:cs="Arial"/>
                <w:color w:val="000000"/>
                <w:sz w:val="16"/>
                <w:szCs w:val="16"/>
                <w:lang w:val="en-AU" w:eastAsia="en-AU"/>
              </w:rPr>
            </w:pPr>
          </w:p>
        </w:tc>
        <w:tc>
          <w:tcPr>
            <w:tcW w:w="734" w:type="dxa"/>
            <w:tcBorders>
              <w:top w:val="nil"/>
              <w:left w:val="nil"/>
              <w:bottom w:val="single" w:sz="4" w:space="0" w:color="BFBFBF"/>
              <w:right w:val="single" w:sz="4" w:space="0" w:color="auto"/>
            </w:tcBorders>
            <w:shd w:val="clear" w:color="auto" w:fill="auto"/>
            <w:noWrap/>
            <w:vAlign w:val="center"/>
          </w:tcPr>
          <w:p w14:paraId="67546861" w14:textId="77777777" w:rsidR="00223CAF" w:rsidRPr="00DB6DAB" w:rsidRDefault="00223CAF" w:rsidP="00C33CEC">
            <w:pPr>
              <w:spacing w:before="0" w:after="0"/>
              <w:jc w:val="center"/>
              <w:rPr>
                <w:rFonts w:ascii="Arial" w:hAnsi="Arial" w:cs="Arial"/>
                <w:color w:val="000000"/>
                <w:sz w:val="16"/>
                <w:szCs w:val="16"/>
                <w:lang w:val="en-AU" w:eastAsia="en-AU"/>
              </w:rPr>
            </w:pPr>
          </w:p>
        </w:tc>
        <w:tc>
          <w:tcPr>
            <w:tcW w:w="817" w:type="dxa"/>
            <w:tcBorders>
              <w:top w:val="nil"/>
              <w:left w:val="nil"/>
              <w:bottom w:val="single" w:sz="4" w:space="0" w:color="BFBFBF"/>
              <w:right w:val="single" w:sz="4" w:space="0" w:color="BFBFBF"/>
            </w:tcBorders>
            <w:shd w:val="clear" w:color="auto" w:fill="auto"/>
            <w:noWrap/>
            <w:vAlign w:val="center"/>
          </w:tcPr>
          <w:p w14:paraId="2C3538A4" w14:textId="18E457FF"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642" w:type="dxa"/>
            <w:tcBorders>
              <w:top w:val="nil"/>
              <w:left w:val="nil"/>
              <w:bottom w:val="single" w:sz="4" w:space="0" w:color="BFBFBF"/>
              <w:right w:val="single" w:sz="4" w:space="0" w:color="BFBFBF"/>
            </w:tcBorders>
            <w:shd w:val="clear" w:color="auto" w:fill="auto"/>
            <w:noWrap/>
            <w:vAlign w:val="center"/>
          </w:tcPr>
          <w:p w14:paraId="10CAB888" w14:textId="1630DFCB"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17" w:type="dxa"/>
            <w:tcBorders>
              <w:top w:val="nil"/>
              <w:left w:val="nil"/>
              <w:bottom w:val="single" w:sz="4" w:space="0" w:color="BFBFBF"/>
              <w:right w:val="single" w:sz="4" w:space="0" w:color="BFBFBF"/>
            </w:tcBorders>
            <w:shd w:val="clear" w:color="auto" w:fill="auto"/>
            <w:noWrap/>
            <w:vAlign w:val="center"/>
          </w:tcPr>
          <w:p w14:paraId="4C1601C9" w14:textId="77777777" w:rsidR="00223CAF" w:rsidRPr="00DB6DAB" w:rsidRDefault="00223CAF" w:rsidP="00C33CEC">
            <w:pPr>
              <w:spacing w:before="0" w:after="0"/>
              <w:jc w:val="center"/>
              <w:rPr>
                <w:rFonts w:ascii="Arial" w:hAnsi="Arial" w:cs="Arial"/>
                <w:color w:val="000000"/>
                <w:sz w:val="16"/>
                <w:szCs w:val="16"/>
                <w:lang w:val="en-AU" w:eastAsia="en-AU"/>
              </w:rPr>
            </w:pPr>
          </w:p>
        </w:tc>
        <w:tc>
          <w:tcPr>
            <w:tcW w:w="642" w:type="dxa"/>
            <w:tcBorders>
              <w:top w:val="nil"/>
              <w:left w:val="nil"/>
              <w:bottom w:val="single" w:sz="4" w:space="0" w:color="BFBFBF"/>
              <w:right w:val="single" w:sz="4" w:space="0" w:color="BFBFBF"/>
            </w:tcBorders>
            <w:shd w:val="clear" w:color="auto" w:fill="auto"/>
            <w:noWrap/>
            <w:vAlign w:val="center"/>
          </w:tcPr>
          <w:p w14:paraId="034F67B2" w14:textId="77777777" w:rsidR="00223CAF" w:rsidRPr="00DB6DAB" w:rsidRDefault="00223CAF" w:rsidP="00C33CEC">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nil"/>
            </w:tcBorders>
            <w:shd w:val="clear" w:color="auto" w:fill="auto"/>
            <w:noWrap/>
            <w:vAlign w:val="center"/>
          </w:tcPr>
          <w:p w14:paraId="1849CBD1" w14:textId="77777777" w:rsidR="00223CAF" w:rsidRPr="00DB6DAB" w:rsidRDefault="00223CAF" w:rsidP="00C33CEC">
            <w:pPr>
              <w:spacing w:before="0" w:after="0"/>
              <w:jc w:val="center"/>
              <w:rPr>
                <w:rFonts w:ascii="Arial" w:hAnsi="Arial" w:cs="Arial"/>
                <w:color w:val="000000"/>
                <w:sz w:val="16"/>
                <w:szCs w:val="16"/>
                <w:lang w:val="en-AU" w:eastAsia="en-AU"/>
              </w:rPr>
            </w:pP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621CD496" w14:textId="5D594D22"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734" w:type="dxa"/>
            <w:tcBorders>
              <w:top w:val="nil"/>
              <w:left w:val="nil"/>
              <w:bottom w:val="single" w:sz="4" w:space="0" w:color="BFBFBF"/>
              <w:right w:val="single" w:sz="4" w:space="0" w:color="auto"/>
            </w:tcBorders>
            <w:shd w:val="clear" w:color="auto" w:fill="auto"/>
            <w:noWrap/>
            <w:vAlign w:val="center"/>
          </w:tcPr>
          <w:p w14:paraId="0714702A" w14:textId="496406FA"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734" w:type="dxa"/>
            <w:tcBorders>
              <w:top w:val="nil"/>
              <w:left w:val="nil"/>
              <w:bottom w:val="single" w:sz="4" w:space="0" w:color="BFBFBF"/>
              <w:right w:val="single" w:sz="4" w:space="0" w:color="BFBFBF"/>
            </w:tcBorders>
            <w:shd w:val="clear" w:color="auto" w:fill="auto"/>
            <w:noWrap/>
            <w:vAlign w:val="bottom"/>
          </w:tcPr>
          <w:p w14:paraId="361F9D6D"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617" w:type="dxa"/>
            <w:tcBorders>
              <w:top w:val="nil"/>
              <w:left w:val="nil"/>
              <w:bottom w:val="single" w:sz="4" w:space="0" w:color="BFBFBF"/>
              <w:right w:val="single" w:sz="4" w:space="0" w:color="BFBFBF"/>
            </w:tcBorders>
            <w:shd w:val="clear" w:color="auto" w:fill="auto"/>
            <w:noWrap/>
            <w:vAlign w:val="center"/>
          </w:tcPr>
          <w:p w14:paraId="75E731D7"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 </w:t>
            </w:r>
          </w:p>
        </w:tc>
        <w:tc>
          <w:tcPr>
            <w:tcW w:w="734" w:type="dxa"/>
            <w:tcBorders>
              <w:top w:val="nil"/>
              <w:left w:val="nil"/>
              <w:bottom w:val="single" w:sz="4" w:space="0" w:color="BFBFBF"/>
              <w:right w:val="single" w:sz="4" w:space="0" w:color="BFBFBF"/>
            </w:tcBorders>
            <w:shd w:val="clear" w:color="auto" w:fill="auto"/>
            <w:noWrap/>
            <w:vAlign w:val="center"/>
          </w:tcPr>
          <w:p w14:paraId="416FFDBE" w14:textId="77777777" w:rsidR="00223CAF" w:rsidRPr="00DB6DAB" w:rsidRDefault="00223CAF" w:rsidP="00C33CEC">
            <w:pPr>
              <w:spacing w:before="0" w:after="0"/>
              <w:jc w:val="center"/>
              <w:rPr>
                <w:rFonts w:ascii="Arial" w:hAnsi="Arial" w:cs="Arial"/>
                <w:color w:val="000000"/>
                <w:sz w:val="16"/>
                <w:szCs w:val="16"/>
                <w:lang w:val="en-AU" w:eastAsia="en-AU"/>
              </w:rPr>
            </w:pPr>
          </w:p>
        </w:tc>
        <w:tc>
          <w:tcPr>
            <w:tcW w:w="617" w:type="dxa"/>
            <w:tcBorders>
              <w:top w:val="nil"/>
              <w:left w:val="nil"/>
              <w:bottom w:val="single" w:sz="4" w:space="0" w:color="BFBFBF"/>
              <w:right w:val="double" w:sz="6" w:space="0" w:color="auto"/>
            </w:tcBorders>
            <w:shd w:val="clear" w:color="auto" w:fill="auto"/>
            <w:noWrap/>
            <w:vAlign w:val="center"/>
          </w:tcPr>
          <w:p w14:paraId="00662696" w14:textId="77777777" w:rsidR="00223CAF" w:rsidRPr="00DB6DAB" w:rsidRDefault="00223CAF" w:rsidP="00C33CEC">
            <w:pPr>
              <w:spacing w:before="0" w:after="0"/>
              <w:jc w:val="center"/>
              <w:rPr>
                <w:rFonts w:ascii="Arial" w:hAnsi="Arial" w:cs="Arial"/>
                <w:color w:val="000000"/>
                <w:sz w:val="16"/>
                <w:szCs w:val="16"/>
                <w:lang w:val="en-AU" w:eastAsia="en-AU"/>
              </w:rPr>
            </w:pPr>
          </w:p>
        </w:tc>
        <w:tc>
          <w:tcPr>
            <w:tcW w:w="884" w:type="dxa"/>
            <w:tcBorders>
              <w:top w:val="single" w:sz="4" w:space="0" w:color="BFBFBF"/>
              <w:left w:val="nil"/>
              <w:bottom w:val="single" w:sz="4" w:space="0" w:color="BFBFBF"/>
              <w:right w:val="single" w:sz="4" w:space="0" w:color="BFBFBF" w:themeColor="background1" w:themeShade="BF"/>
            </w:tcBorders>
            <w:vAlign w:val="center"/>
          </w:tcPr>
          <w:p w14:paraId="50325A44" w14:textId="40BA4295"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c>
          <w:tcPr>
            <w:tcW w:w="851" w:type="dxa"/>
            <w:tcBorders>
              <w:top w:val="single" w:sz="4" w:space="0" w:color="BFBFBF"/>
              <w:left w:val="single" w:sz="4" w:space="0" w:color="BFBFBF" w:themeColor="background1" w:themeShade="BF"/>
              <w:bottom w:val="single" w:sz="4" w:space="0" w:color="BFBFBF"/>
              <w:right w:val="double" w:sz="6" w:space="0" w:color="auto"/>
            </w:tcBorders>
            <w:vAlign w:val="center"/>
          </w:tcPr>
          <w:p w14:paraId="22AD58AA" w14:textId="4499353B"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 </w:t>
            </w:r>
          </w:p>
        </w:tc>
      </w:tr>
      <w:tr w:rsidR="00223CAF" w:rsidRPr="00DB6DAB" w14:paraId="22BE8790" w14:textId="6F2F2E99"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45113D72"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Owned/paid off</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416F23B8" w14:textId="561042E7"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75%</w:t>
            </w:r>
          </w:p>
        </w:tc>
        <w:tc>
          <w:tcPr>
            <w:tcW w:w="695" w:type="dxa"/>
            <w:tcBorders>
              <w:top w:val="nil"/>
              <w:left w:val="nil"/>
              <w:bottom w:val="single" w:sz="4" w:space="0" w:color="BFBFBF"/>
              <w:right w:val="single" w:sz="4" w:space="0" w:color="BFBFBF"/>
            </w:tcBorders>
            <w:shd w:val="clear" w:color="auto" w:fill="auto"/>
            <w:noWrap/>
            <w:vAlign w:val="center"/>
          </w:tcPr>
          <w:p w14:paraId="5FBA137F" w14:textId="57DAD94B"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241</w:t>
            </w:r>
          </w:p>
        </w:tc>
        <w:tc>
          <w:tcPr>
            <w:tcW w:w="734" w:type="dxa"/>
            <w:tcBorders>
              <w:top w:val="nil"/>
              <w:left w:val="nil"/>
              <w:bottom w:val="single" w:sz="4" w:space="0" w:color="BFBFBF"/>
              <w:right w:val="single" w:sz="4" w:space="0" w:color="BFBFBF"/>
            </w:tcBorders>
            <w:shd w:val="clear" w:color="auto" w:fill="auto"/>
            <w:noWrap/>
            <w:vAlign w:val="center"/>
          </w:tcPr>
          <w:p w14:paraId="008ADE2F"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79%</w:t>
            </w:r>
          </w:p>
        </w:tc>
        <w:tc>
          <w:tcPr>
            <w:tcW w:w="734" w:type="dxa"/>
            <w:tcBorders>
              <w:top w:val="nil"/>
              <w:left w:val="nil"/>
              <w:bottom w:val="single" w:sz="4" w:space="0" w:color="BFBFBF"/>
              <w:right w:val="single" w:sz="4" w:space="0" w:color="BFBFBF"/>
            </w:tcBorders>
            <w:shd w:val="clear" w:color="auto" w:fill="auto"/>
            <w:noWrap/>
            <w:vAlign w:val="center"/>
          </w:tcPr>
          <w:p w14:paraId="6A7A6BE4"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150</w:t>
            </w:r>
          </w:p>
        </w:tc>
        <w:tc>
          <w:tcPr>
            <w:tcW w:w="734" w:type="dxa"/>
            <w:tcBorders>
              <w:top w:val="nil"/>
              <w:left w:val="nil"/>
              <w:bottom w:val="single" w:sz="4" w:space="0" w:color="BFBFBF"/>
              <w:right w:val="single" w:sz="4" w:space="0" w:color="auto"/>
            </w:tcBorders>
            <w:shd w:val="clear" w:color="auto" w:fill="auto"/>
            <w:noWrap/>
            <w:vAlign w:val="center"/>
          </w:tcPr>
          <w:p w14:paraId="7589FA38"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98</w:t>
            </w:r>
          </w:p>
        </w:tc>
        <w:tc>
          <w:tcPr>
            <w:tcW w:w="817" w:type="dxa"/>
            <w:tcBorders>
              <w:top w:val="nil"/>
              <w:left w:val="nil"/>
              <w:bottom w:val="single" w:sz="4" w:space="0" w:color="BFBFBF"/>
              <w:right w:val="single" w:sz="4" w:space="0" w:color="BFBFBF"/>
            </w:tcBorders>
            <w:shd w:val="clear" w:color="auto" w:fill="auto"/>
            <w:noWrap/>
            <w:vAlign w:val="center"/>
          </w:tcPr>
          <w:p w14:paraId="49512D54" w14:textId="4397E827"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8%</w:t>
            </w:r>
          </w:p>
        </w:tc>
        <w:tc>
          <w:tcPr>
            <w:tcW w:w="642" w:type="dxa"/>
            <w:tcBorders>
              <w:top w:val="nil"/>
              <w:left w:val="nil"/>
              <w:bottom w:val="single" w:sz="4" w:space="0" w:color="BFBFBF"/>
              <w:right w:val="single" w:sz="4" w:space="0" w:color="BFBFBF"/>
            </w:tcBorders>
            <w:shd w:val="clear" w:color="auto" w:fill="auto"/>
            <w:noWrap/>
            <w:vAlign w:val="center"/>
          </w:tcPr>
          <w:p w14:paraId="4A44DA70" w14:textId="08CDE505"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122</w:t>
            </w:r>
          </w:p>
        </w:tc>
        <w:tc>
          <w:tcPr>
            <w:tcW w:w="817" w:type="dxa"/>
            <w:tcBorders>
              <w:top w:val="nil"/>
              <w:left w:val="nil"/>
              <w:bottom w:val="single" w:sz="4" w:space="0" w:color="BFBFBF"/>
              <w:right w:val="single" w:sz="4" w:space="0" w:color="BFBFBF"/>
            </w:tcBorders>
            <w:shd w:val="clear" w:color="auto" w:fill="auto"/>
            <w:noWrap/>
            <w:vAlign w:val="center"/>
          </w:tcPr>
          <w:p w14:paraId="4E7CDC3E"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24%</w:t>
            </w:r>
          </w:p>
        </w:tc>
        <w:tc>
          <w:tcPr>
            <w:tcW w:w="642" w:type="dxa"/>
            <w:tcBorders>
              <w:top w:val="nil"/>
              <w:left w:val="nil"/>
              <w:bottom w:val="single" w:sz="4" w:space="0" w:color="BFBFBF"/>
              <w:right w:val="single" w:sz="4" w:space="0" w:color="BFBFBF"/>
            </w:tcBorders>
            <w:shd w:val="clear" w:color="auto" w:fill="auto"/>
            <w:noWrap/>
            <w:vAlign w:val="center"/>
          </w:tcPr>
          <w:p w14:paraId="271A2365"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67</w:t>
            </w:r>
          </w:p>
        </w:tc>
        <w:tc>
          <w:tcPr>
            <w:tcW w:w="808" w:type="dxa"/>
            <w:tcBorders>
              <w:top w:val="nil"/>
              <w:left w:val="nil"/>
              <w:bottom w:val="single" w:sz="4" w:space="0" w:color="BFBFBF"/>
              <w:right w:val="nil"/>
            </w:tcBorders>
            <w:shd w:val="clear" w:color="auto" w:fill="auto"/>
            <w:noWrap/>
            <w:vAlign w:val="center"/>
          </w:tcPr>
          <w:p w14:paraId="30CCB09C"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55</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7A01F1F" w14:textId="67384012"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14D6C8EC" w14:textId="15E15E24"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149</w:t>
            </w:r>
          </w:p>
        </w:tc>
        <w:tc>
          <w:tcPr>
            <w:tcW w:w="734" w:type="dxa"/>
            <w:tcBorders>
              <w:top w:val="nil"/>
              <w:left w:val="nil"/>
              <w:bottom w:val="single" w:sz="4" w:space="0" w:color="BFBFBF"/>
              <w:right w:val="single" w:sz="4" w:space="0" w:color="BFBFBF"/>
            </w:tcBorders>
            <w:shd w:val="clear" w:color="auto" w:fill="auto"/>
            <w:noWrap/>
            <w:vAlign w:val="bottom"/>
          </w:tcPr>
          <w:p w14:paraId="0EE6C55A"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11%</w:t>
            </w:r>
          </w:p>
        </w:tc>
        <w:tc>
          <w:tcPr>
            <w:tcW w:w="617" w:type="dxa"/>
            <w:tcBorders>
              <w:top w:val="nil"/>
              <w:left w:val="nil"/>
              <w:bottom w:val="single" w:sz="4" w:space="0" w:color="BFBFBF"/>
              <w:right w:val="single" w:sz="4" w:space="0" w:color="BFBFBF"/>
            </w:tcBorders>
            <w:shd w:val="clear" w:color="auto" w:fill="auto"/>
            <w:noWrap/>
            <w:vAlign w:val="center"/>
          </w:tcPr>
          <w:p w14:paraId="462DC957"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88</w:t>
            </w:r>
          </w:p>
        </w:tc>
        <w:tc>
          <w:tcPr>
            <w:tcW w:w="734" w:type="dxa"/>
            <w:tcBorders>
              <w:top w:val="nil"/>
              <w:left w:val="nil"/>
              <w:bottom w:val="single" w:sz="4" w:space="0" w:color="BFBFBF"/>
              <w:right w:val="single" w:sz="4" w:space="0" w:color="BFBFBF"/>
            </w:tcBorders>
            <w:shd w:val="clear" w:color="auto" w:fill="auto"/>
            <w:noWrap/>
            <w:vAlign w:val="center"/>
          </w:tcPr>
          <w:p w14:paraId="6591D88F"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15%</w:t>
            </w:r>
          </w:p>
        </w:tc>
        <w:tc>
          <w:tcPr>
            <w:tcW w:w="617" w:type="dxa"/>
            <w:tcBorders>
              <w:top w:val="nil"/>
              <w:left w:val="nil"/>
              <w:bottom w:val="single" w:sz="4" w:space="0" w:color="BFBFBF"/>
              <w:right w:val="double" w:sz="6" w:space="0" w:color="auto"/>
            </w:tcBorders>
            <w:shd w:val="clear" w:color="auto" w:fill="auto"/>
            <w:noWrap/>
            <w:vAlign w:val="center"/>
          </w:tcPr>
          <w:p w14:paraId="272DCA81"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57</w:t>
            </w:r>
          </w:p>
        </w:tc>
        <w:tc>
          <w:tcPr>
            <w:tcW w:w="884" w:type="dxa"/>
            <w:tcBorders>
              <w:top w:val="single" w:sz="4" w:space="0" w:color="BFBFBF"/>
              <w:left w:val="nil"/>
              <w:bottom w:val="single" w:sz="4" w:space="0" w:color="BFBFBF"/>
              <w:right w:val="single" w:sz="4" w:space="0" w:color="BFBFBF" w:themeColor="background1" w:themeShade="BF"/>
            </w:tcBorders>
            <w:vAlign w:val="center"/>
          </w:tcPr>
          <w:p w14:paraId="26563063" w14:textId="7A252EB9"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1,711</w:t>
            </w:r>
          </w:p>
        </w:tc>
        <w:tc>
          <w:tcPr>
            <w:tcW w:w="851" w:type="dxa"/>
            <w:tcBorders>
              <w:top w:val="single" w:sz="4" w:space="0" w:color="BFBFBF"/>
              <w:left w:val="single" w:sz="4" w:space="0" w:color="BFBFBF" w:themeColor="background1" w:themeShade="BF"/>
              <w:bottom w:val="single" w:sz="4" w:space="0" w:color="BFBFBF"/>
              <w:right w:val="double" w:sz="6" w:space="0" w:color="auto"/>
            </w:tcBorders>
            <w:vAlign w:val="center"/>
          </w:tcPr>
          <w:p w14:paraId="001B904F" w14:textId="785AA2A0"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1,016</w:t>
            </w:r>
          </w:p>
        </w:tc>
      </w:tr>
      <w:tr w:rsidR="00223CAF" w:rsidRPr="00DB6DAB" w14:paraId="1CF0D469" w14:textId="3C7BC964"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02636AD8"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Buying/paying off</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3B06978B" w14:textId="7E9C479D"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80%</w:t>
            </w:r>
          </w:p>
        </w:tc>
        <w:tc>
          <w:tcPr>
            <w:tcW w:w="695" w:type="dxa"/>
            <w:tcBorders>
              <w:top w:val="nil"/>
              <w:left w:val="nil"/>
              <w:bottom w:val="single" w:sz="4" w:space="0" w:color="BFBFBF"/>
              <w:right w:val="single" w:sz="4" w:space="0" w:color="BFBFBF"/>
            </w:tcBorders>
            <w:shd w:val="clear" w:color="auto" w:fill="auto"/>
            <w:noWrap/>
            <w:vAlign w:val="center"/>
          </w:tcPr>
          <w:p w14:paraId="06F07662" w14:textId="22285D95"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242</w:t>
            </w:r>
          </w:p>
        </w:tc>
        <w:tc>
          <w:tcPr>
            <w:tcW w:w="734" w:type="dxa"/>
            <w:tcBorders>
              <w:top w:val="nil"/>
              <w:left w:val="nil"/>
              <w:bottom w:val="single" w:sz="4" w:space="0" w:color="BFBFBF"/>
              <w:right w:val="single" w:sz="4" w:space="0" w:color="BFBFBF"/>
            </w:tcBorders>
            <w:shd w:val="clear" w:color="auto" w:fill="auto"/>
            <w:noWrap/>
            <w:vAlign w:val="center"/>
          </w:tcPr>
          <w:p w14:paraId="51FA51A3"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82%</w:t>
            </w:r>
          </w:p>
        </w:tc>
        <w:tc>
          <w:tcPr>
            <w:tcW w:w="734" w:type="dxa"/>
            <w:tcBorders>
              <w:top w:val="nil"/>
              <w:left w:val="nil"/>
              <w:bottom w:val="single" w:sz="4" w:space="0" w:color="BFBFBF"/>
              <w:right w:val="single" w:sz="4" w:space="0" w:color="BFBFBF"/>
            </w:tcBorders>
            <w:shd w:val="clear" w:color="auto" w:fill="auto"/>
            <w:noWrap/>
            <w:vAlign w:val="center"/>
          </w:tcPr>
          <w:p w14:paraId="0B1AB15C"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138</w:t>
            </w:r>
          </w:p>
        </w:tc>
        <w:tc>
          <w:tcPr>
            <w:tcW w:w="734" w:type="dxa"/>
            <w:tcBorders>
              <w:top w:val="nil"/>
              <w:left w:val="nil"/>
              <w:bottom w:val="single" w:sz="4" w:space="0" w:color="BFBFBF"/>
              <w:right w:val="single" w:sz="4" w:space="0" w:color="auto"/>
            </w:tcBorders>
            <w:shd w:val="clear" w:color="auto" w:fill="auto"/>
            <w:noWrap/>
            <w:vAlign w:val="center"/>
          </w:tcPr>
          <w:p w14:paraId="1A12D36B"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93</w:t>
            </w:r>
          </w:p>
        </w:tc>
        <w:tc>
          <w:tcPr>
            <w:tcW w:w="817" w:type="dxa"/>
            <w:tcBorders>
              <w:top w:val="nil"/>
              <w:left w:val="nil"/>
              <w:bottom w:val="single" w:sz="4" w:space="0" w:color="BFBFBF"/>
              <w:right w:val="single" w:sz="4" w:space="0" w:color="BFBFBF"/>
            </w:tcBorders>
            <w:shd w:val="clear" w:color="auto" w:fill="auto"/>
            <w:noWrap/>
            <w:vAlign w:val="center"/>
          </w:tcPr>
          <w:p w14:paraId="5F455DCD" w14:textId="37DA3F7C"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11%</w:t>
            </w:r>
          </w:p>
        </w:tc>
        <w:tc>
          <w:tcPr>
            <w:tcW w:w="642" w:type="dxa"/>
            <w:tcBorders>
              <w:top w:val="nil"/>
              <w:left w:val="nil"/>
              <w:bottom w:val="single" w:sz="4" w:space="0" w:color="BFBFBF"/>
              <w:right w:val="single" w:sz="4" w:space="0" w:color="BFBFBF"/>
            </w:tcBorders>
            <w:shd w:val="clear" w:color="auto" w:fill="auto"/>
            <w:noWrap/>
            <w:vAlign w:val="center"/>
          </w:tcPr>
          <w:p w14:paraId="032C6894" w14:textId="193CE0A0"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268</w:t>
            </w:r>
          </w:p>
        </w:tc>
        <w:tc>
          <w:tcPr>
            <w:tcW w:w="817" w:type="dxa"/>
            <w:tcBorders>
              <w:top w:val="nil"/>
              <w:left w:val="nil"/>
              <w:bottom w:val="single" w:sz="4" w:space="0" w:color="BFBFBF"/>
              <w:right w:val="single" w:sz="4" w:space="0" w:color="BFBFBF"/>
            </w:tcBorders>
            <w:shd w:val="clear" w:color="auto" w:fill="auto"/>
            <w:noWrap/>
            <w:vAlign w:val="center"/>
          </w:tcPr>
          <w:p w14:paraId="59B4A6D8"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26%</w:t>
            </w:r>
          </w:p>
        </w:tc>
        <w:tc>
          <w:tcPr>
            <w:tcW w:w="642" w:type="dxa"/>
            <w:tcBorders>
              <w:top w:val="nil"/>
              <w:left w:val="nil"/>
              <w:bottom w:val="single" w:sz="4" w:space="0" w:color="BFBFBF"/>
              <w:right w:val="single" w:sz="4" w:space="0" w:color="BFBFBF"/>
            </w:tcBorders>
            <w:shd w:val="clear" w:color="auto" w:fill="auto"/>
            <w:noWrap/>
            <w:vAlign w:val="center"/>
          </w:tcPr>
          <w:p w14:paraId="02718557"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70</w:t>
            </w:r>
          </w:p>
        </w:tc>
        <w:tc>
          <w:tcPr>
            <w:tcW w:w="808" w:type="dxa"/>
            <w:tcBorders>
              <w:top w:val="nil"/>
              <w:left w:val="nil"/>
              <w:bottom w:val="single" w:sz="4" w:space="0" w:color="BFBFBF"/>
              <w:right w:val="nil"/>
            </w:tcBorders>
            <w:shd w:val="clear" w:color="auto" w:fill="auto"/>
            <w:noWrap/>
            <w:vAlign w:val="center"/>
          </w:tcPr>
          <w:p w14:paraId="58150F0E"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60</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AEF6B9F" w14:textId="51A66A61"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99%</w:t>
            </w:r>
          </w:p>
        </w:tc>
        <w:tc>
          <w:tcPr>
            <w:tcW w:w="734" w:type="dxa"/>
            <w:tcBorders>
              <w:top w:val="nil"/>
              <w:left w:val="nil"/>
              <w:bottom w:val="single" w:sz="4" w:space="0" w:color="BFBFBF"/>
              <w:right w:val="single" w:sz="4" w:space="0" w:color="auto"/>
            </w:tcBorders>
            <w:shd w:val="clear" w:color="auto" w:fill="auto"/>
            <w:noWrap/>
            <w:vAlign w:val="center"/>
          </w:tcPr>
          <w:p w14:paraId="0E0093F2" w14:textId="13ED89F1"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143</w:t>
            </w:r>
          </w:p>
        </w:tc>
        <w:tc>
          <w:tcPr>
            <w:tcW w:w="734" w:type="dxa"/>
            <w:tcBorders>
              <w:top w:val="nil"/>
              <w:left w:val="nil"/>
              <w:bottom w:val="single" w:sz="4" w:space="0" w:color="BFBFBF"/>
              <w:right w:val="single" w:sz="4" w:space="0" w:color="BFBFBF"/>
            </w:tcBorders>
            <w:shd w:val="clear" w:color="auto" w:fill="auto"/>
            <w:noWrap/>
            <w:vAlign w:val="bottom"/>
          </w:tcPr>
          <w:p w14:paraId="473874F1"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15%</w:t>
            </w:r>
          </w:p>
        </w:tc>
        <w:tc>
          <w:tcPr>
            <w:tcW w:w="617" w:type="dxa"/>
            <w:tcBorders>
              <w:top w:val="nil"/>
              <w:left w:val="nil"/>
              <w:bottom w:val="single" w:sz="4" w:space="0" w:color="BFBFBF"/>
              <w:right w:val="single" w:sz="4" w:space="0" w:color="BFBFBF"/>
            </w:tcBorders>
            <w:shd w:val="clear" w:color="auto" w:fill="auto"/>
            <w:noWrap/>
            <w:vAlign w:val="center"/>
          </w:tcPr>
          <w:p w14:paraId="5BEB2D12"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94</w:t>
            </w:r>
          </w:p>
        </w:tc>
        <w:tc>
          <w:tcPr>
            <w:tcW w:w="734" w:type="dxa"/>
            <w:tcBorders>
              <w:top w:val="nil"/>
              <w:left w:val="nil"/>
              <w:bottom w:val="single" w:sz="4" w:space="0" w:color="BFBFBF"/>
              <w:right w:val="single" w:sz="4" w:space="0" w:color="BFBFBF"/>
            </w:tcBorders>
            <w:shd w:val="clear" w:color="auto" w:fill="auto"/>
            <w:noWrap/>
            <w:vAlign w:val="center"/>
          </w:tcPr>
          <w:p w14:paraId="682CFE7A"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12%</w:t>
            </w:r>
          </w:p>
        </w:tc>
        <w:tc>
          <w:tcPr>
            <w:tcW w:w="617" w:type="dxa"/>
            <w:tcBorders>
              <w:top w:val="nil"/>
              <w:left w:val="nil"/>
              <w:bottom w:val="single" w:sz="4" w:space="0" w:color="BFBFBF"/>
              <w:right w:val="double" w:sz="6" w:space="0" w:color="auto"/>
            </w:tcBorders>
            <w:shd w:val="clear" w:color="auto" w:fill="auto"/>
            <w:noWrap/>
            <w:vAlign w:val="center"/>
          </w:tcPr>
          <w:p w14:paraId="212B8097"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122</w:t>
            </w:r>
          </w:p>
        </w:tc>
        <w:tc>
          <w:tcPr>
            <w:tcW w:w="884" w:type="dxa"/>
            <w:tcBorders>
              <w:top w:val="single" w:sz="4" w:space="0" w:color="BFBFBF"/>
              <w:left w:val="nil"/>
              <w:bottom w:val="single" w:sz="4" w:space="0" w:color="BFBFBF"/>
              <w:right w:val="single" w:sz="4" w:space="0" w:color="BFBFBF" w:themeColor="background1" w:themeShade="BF"/>
            </w:tcBorders>
            <w:vAlign w:val="center"/>
          </w:tcPr>
          <w:p w14:paraId="179B5E30" w14:textId="7F7E5628"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1,646</w:t>
            </w:r>
          </w:p>
        </w:tc>
        <w:tc>
          <w:tcPr>
            <w:tcW w:w="851" w:type="dxa"/>
            <w:tcBorders>
              <w:top w:val="single" w:sz="4" w:space="0" w:color="BFBFBF"/>
              <w:left w:val="single" w:sz="4" w:space="0" w:color="BFBFBF" w:themeColor="background1" w:themeShade="BF"/>
              <w:bottom w:val="single" w:sz="4" w:space="0" w:color="BFBFBF"/>
              <w:right w:val="double" w:sz="6" w:space="0" w:color="auto"/>
            </w:tcBorders>
            <w:vAlign w:val="center"/>
          </w:tcPr>
          <w:p w14:paraId="73E9DEFD" w14:textId="10A7A07B"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996</w:t>
            </w:r>
          </w:p>
        </w:tc>
      </w:tr>
      <w:tr w:rsidR="00223CAF" w:rsidRPr="00DB6DAB" w14:paraId="4C47ACDE" w14:textId="6E1C7A15"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5E11726B"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Renting – Private</w:t>
            </w:r>
            <w:r w:rsidRPr="00DB6DAB">
              <w:rPr>
                <w:rFonts w:ascii="Arial" w:hAnsi="Arial" w:cs="Arial"/>
                <w:color w:val="000000"/>
                <w:sz w:val="16"/>
                <w:szCs w:val="16"/>
                <w:vertAlign w:val="superscript"/>
                <w:lang w:val="en-AU" w:eastAsia="en-AU"/>
              </w:rPr>
              <w:t>1</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5E5F6E80" w14:textId="2B8F387D"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695" w:type="dxa"/>
            <w:tcBorders>
              <w:top w:val="nil"/>
              <w:left w:val="nil"/>
              <w:bottom w:val="single" w:sz="4" w:space="0" w:color="BFBFBF"/>
              <w:right w:val="single" w:sz="4" w:space="0" w:color="BFBFBF"/>
            </w:tcBorders>
            <w:shd w:val="clear" w:color="auto" w:fill="auto"/>
            <w:noWrap/>
            <w:vAlign w:val="center"/>
          </w:tcPr>
          <w:p w14:paraId="0E1F1977" w14:textId="5DF9E79A"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248</w:t>
            </w:r>
          </w:p>
        </w:tc>
        <w:tc>
          <w:tcPr>
            <w:tcW w:w="734" w:type="dxa"/>
            <w:tcBorders>
              <w:top w:val="nil"/>
              <w:left w:val="nil"/>
              <w:bottom w:val="single" w:sz="4" w:space="0" w:color="BFBFBF"/>
              <w:right w:val="single" w:sz="4" w:space="0" w:color="BFBFBF"/>
            </w:tcBorders>
            <w:shd w:val="clear" w:color="auto" w:fill="auto"/>
            <w:noWrap/>
            <w:vAlign w:val="center"/>
          </w:tcPr>
          <w:p w14:paraId="5A20B276"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56%</w:t>
            </w:r>
          </w:p>
        </w:tc>
        <w:tc>
          <w:tcPr>
            <w:tcW w:w="734" w:type="dxa"/>
            <w:tcBorders>
              <w:top w:val="nil"/>
              <w:left w:val="nil"/>
              <w:bottom w:val="single" w:sz="4" w:space="0" w:color="BFBFBF"/>
              <w:right w:val="single" w:sz="4" w:space="0" w:color="BFBFBF"/>
            </w:tcBorders>
            <w:shd w:val="clear" w:color="auto" w:fill="auto"/>
            <w:noWrap/>
            <w:vAlign w:val="center"/>
          </w:tcPr>
          <w:p w14:paraId="336B369B"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167</w:t>
            </w:r>
          </w:p>
        </w:tc>
        <w:tc>
          <w:tcPr>
            <w:tcW w:w="734" w:type="dxa"/>
            <w:tcBorders>
              <w:top w:val="nil"/>
              <w:left w:val="nil"/>
              <w:bottom w:val="single" w:sz="4" w:space="0" w:color="BFBFBF"/>
              <w:right w:val="single" w:sz="4" w:space="0" w:color="auto"/>
            </w:tcBorders>
            <w:shd w:val="clear" w:color="auto" w:fill="auto"/>
            <w:noWrap/>
            <w:vAlign w:val="center"/>
          </w:tcPr>
          <w:p w14:paraId="331A94B4"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97</w:t>
            </w:r>
          </w:p>
        </w:tc>
        <w:tc>
          <w:tcPr>
            <w:tcW w:w="817" w:type="dxa"/>
            <w:tcBorders>
              <w:top w:val="nil"/>
              <w:left w:val="nil"/>
              <w:bottom w:val="single" w:sz="4" w:space="0" w:color="BFBFBF"/>
              <w:right w:val="single" w:sz="4" w:space="0" w:color="BFBFBF"/>
            </w:tcBorders>
            <w:shd w:val="clear" w:color="auto" w:fill="auto"/>
            <w:noWrap/>
            <w:vAlign w:val="center"/>
          </w:tcPr>
          <w:p w14:paraId="1DC7804E" w14:textId="4E13BECD"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0991EBAF" w14:textId="179AE17E"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3E0B46A8"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29%</w:t>
            </w:r>
          </w:p>
        </w:tc>
        <w:tc>
          <w:tcPr>
            <w:tcW w:w="642" w:type="dxa"/>
            <w:tcBorders>
              <w:top w:val="nil"/>
              <w:left w:val="nil"/>
              <w:bottom w:val="single" w:sz="4" w:space="0" w:color="BFBFBF"/>
              <w:right w:val="single" w:sz="4" w:space="0" w:color="BFBFBF"/>
            </w:tcBorders>
            <w:shd w:val="clear" w:color="auto" w:fill="auto"/>
            <w:noWrap/>
            <w:vAlign w:val="center"/>
          </w:tcPr>
          <w:p w14:paraId="51A269B5"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100</w:t>
            </w:r>
          </w:p>
        </w:tc>
        <w:tc>
          <w:tcPr>
            <w:tcW w:w="808" w:type="dxa"/>
            <w:tcBorders>
              <w:top w:val="nil"/>
              <w:left w:val="nil"/>
              <w:bottom w:val="single" w:sz="4" w:space="0" w:color="BFBFBF"/>
              <w:right w:val="nil"/>
            </w:tcBorders>
            <w:shd w:val="clear" w:color="auto" w:fill="auto"/>
            <w:noWrap/>
            <w:vAlign w:val="center"/>
          </w:tcPr>
          <w:p w14:paraId="5EBE13F4"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52</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D105141" w14:textId="772488D0"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360A0DBF" w14:textId="03F6A03B"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135</w:t>
            </w:r>
          </w:p>
        </w:tc>
        <w:tc>
          <w:tcPr>
            <w:tcW w:w="734" w:type="dxa"/>
            <w:tcBorders>
              <w:top w:val="nil"/>
              <w:left w:val="nil"/>
              <w:bottom w:val="single" w:sz="4" w:space="0" w:color="BFBFBF"/>
              <w:right w:val="single" w:sz="4" w:space="0" w:color="BFBFBF"/>
            </w:tcBorders>
            <w:shd w:val="clear" w:color="auto" w:fill="auto"/>
            <w:noWrap/>
            <w:vAlign w:val="center"/>
          </w:tcPr>
          <w:p w14:paraId="3ABE17C7"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617" w:type="dxa"/>
            <w:tcBorders>
              <w:top w:val="nil"/>
              <w:left w:val="nil"/>
              <w:bottom w:val="single" w:sz="4" w:space="0" w:color="BFBFBF"/>
              <w:right w:val="single" w:sz="4" w:space="0" w:color="BFBFBF"/>
            </w:tcBorders>
            <w:shd w:val="clear" w:color="auto" w:fill="auto"/>
            <w:noWrap/>
            <w:vAlign w:val="center"/>
          </w:tcPr>
          <w:p w14:paraId="29A2FA65"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734" w:type="dxa"/>
            <w:tcBorders>
              <w:top w:val="nil"/>
              <w:left w:val="nil"/>
              <w:bottom w:val="single" w:sz="4" w:space="0" w:color="BFBFBF"/>
              <w:right w:val="single" w:sz="4" w:space="0" w:color="BFBFBF"/>
            </w:tcBorders>
            <w:shd w:val="clear" w:color="auto" w:fill="auto"/>
            <w:noWrap/>
            <w:vAlign w:val="center"/>
          </w:tcPr>
          <w:p w14:paraId="6C6CCB02"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617" w:type="dxa"/>
            <w:tcBorders>
              <w:top w:val="nil"/>
              <w:left w:val="nil"/>
              <w:bottom w:val="single" w:sz="4" w:space="0" w:color="BFBFBF"/>
              <w:right w:val="double" w:sz="6" w:space="0" w:color="auto"/>
            </w:tcBorders>
            <w:shd w:val="clear" w:color="auto" w:fill="auto"/>
            <w:noWrap/>
            <w:vAlign w:val="center"/>
          </w:tcPr>
          <w:p w14:paraId="24B4EF29"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884" w:type="dxa"/>
            <w:tcBorders>
              <w:top w:val="single" w:sz="4" w:space="0" w:color="BFBFBF"/>
              <w:left w:val="nil"/>
              <w:bottom w:val="single" w:sz="4" w:space="0" w:color="BFBFBF"/>
              <w:right w:val="single" w:sz="4" w:space="0" w:color="BFBFBF" w:themeColor="background1" w:themeShade="BF"/>
            </w:tcBorders>
            <w:vAlign w:val="center"/>
          </w:tcPr>
          <w:p w14:paraId="472867B6" w14:textId="2CBC2C8D"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1,367</w:t>
            </w:r>
          </w:p>
        </w:tc>
        <w:tc>
          <w:tcPr>
            <w:tcW w:w="851" w:type="dxa"/>
            <w:tcBorders>
              <w:top w:val="single" w:sz="4" w:space="0" w:color="BFBFBF"/>
              <w:left w:val="single" w:sz="4" w:space="0" w:color="BFBFBF" w:themeColor="background1" w:themeShade="BF"/>
              <w:bottom w:val="single" w:sz="4" w:space="0" w:color="BFBFBF"/>
              <w:right w:val="double" w:sz="6" w:space="0" w:color="auto"/>
            </w:tcBorders>
            <w:vAlign w:val="center"/>
          </w:tcPr>
          <w:p w14:paraId="5584604E" w14:textId="4C724ACE"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741</w:t>
            </w:r>
          </w:p>
        </w:tc>
      </w:tr>
      <w:tr w:rsidR="00223CAF" w:rsidRPr="00DB6DAB" w14:paraId="69E9C18E" w14:textId="526F60BC" w:rsidTr="00D92C64">
        <w:trPr>
          <w:trHeight w:val="225"/>
        </w:trPr>
        <w:tc>
          <w:tcPr>
            <w:tcW w:w="2273" w:type="dxa"/>
            <w:tcBorders>
              <w:top w:val="nil"/>
              <w:left w:val="double" w:sz="6" w:space="0" w:color="auto"/>
              <w:bottom w:val="single" w:sz="4" w:space="0" w:color="BFBFBF"/>
              <w:right w:val="nil"/>
            </w:tcBorders>
            <w:shd w:val="clear" w:color="auto" w:fill="auto"/>
            <w:noWrap/>
            <w:vAlign w:val="center"/>
          </w:tcPr>
          <w:p w14:paraId="74BFAA98" w14:textId="77777777" w:rsidR="00223CAF" w:rsidRPr="00DB6DAB" w:rsidRDefault="00223CAF" w:rsidP="00E337BE">
            <w:pPr>
              <w:spacing w:before="0" w:after="0"/>
              <w:ind w:firstLineChars="100" w:firstLine="160"/>
              <w:rPr>
                <w:rFonts w:ascii="Arial" w:hAnsi="Arial" w:cs="Arial"/>
                <w:color w:val="000000"/>
                <w:sz w:val="16"/>
                <w:szCs w:val="16"/>
                <w:lang w:val="en-AU" w:eastAsia="en-AU"/>
              </w:rPr>
            </w:pPr>
            <w:r w:rsidRPr="00DB6DAB">
              <w:rPr>
                <w:rFonts w:ascii="Arial" w:hAnsi="Arial" w:cs="Arial"/>
                <w:color w:val="000000"/>
                <w:sz w:val="16"/>
                <w:szCs w:val="16"/>
                <w:lang w:val="en-AU" w:eastAsia="en-AU"/>
              </w:rPr>
              <w:t>Renting – Public</w:t>
            </w:r>
            <w:r w:rsidRPr="00DB6DAB">
              <w:rPr>
                <w:rFonts w:ascii="Arial" w:hAnsi="Arial" w:cs="Arial"/>
                <w:color w:val="000000"/>
                <w:sz w:val="16"/>
                <w:szCs w:val="16"/>
                <w:vertAlign w:val="superscript"/>
                <w:lang w:val="en-AU" w:eastAsia="en-AU"/>
              </w:rPr>
              <w:t>1</w:t>
            </w:r>
          </w:p>
        </w:tc>
        <w:tc>
          <w:tcPr>
            <w:tcW w:w="734" w:type="dxa"/>
            <w:tcBorders>
              <w:top w:val="nil"/>
              <w:left w:val="single" w:sz="4" w:space="0" w:color="auto"/>
              <w:bottom w:val="single" w:sz="4" w:space="0" w:color="BFBFBF"/>
              <w:right w:val="single" w:sz="4" w:space="0" w:color="BFBFBF"/>
            </w:tcBorders>
            <w:shd w:val="clear" w:color="auto" w:fill="auto"/>
            <w:noWrap/>
            <w:vAlign w:val="bottom"/>
          </w:tcPr>
          <w:p w14:paraId="78008346" w14:textId="713C7527"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695" w:type="dxa"/>
            <w:tcBorders>
              <w:top w:val="nil"/>
              <w:left w:val="nil"/>
              <w:bottom w:val="single" w:sz="4" w:space="0" w:color="BFBFBF"/>
              <w:right w:val="single" w:sz="4" w:space="0" w:color="BFBFBF"/>
            </w:tcBorders>
            <w:shd w:val="clear" w:color="auto" w:fill="auto"/>
            <w:noWrap/>
            <w:vAlign w:val="center"/>
          </w:tcPr>
          <w:p w14:paraId="46B91096" w14:textId="0F784A51"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244</w:t>
            </w:r>
          </w:p>
        </w:tc>
        <w:tc>
          <w:tcPr>
            <w:tcW w:w="734" w:type="dxa"/>
            <w:tcBorders>
              <w:top w:val="nil"/>
              <w:left w:val="nil"/>
              <w:bottom w:val="single" w:sz="4" w:space="0" w:color="BFBFBF"/>
              <w:right w:val="single" w:sz="4" w:space="0" w:color="BFBFBF"/>
            </w:tcBorders>
            <w:shd w:val="clear" w:color="auto" w:fill="auto"/>
            <w:noWrap/>
            <w:vAlign w:val="center"/>
          </w:tcPr>
          <w:p w14:paraId="44BE2395"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57%</w:t>
            </w:r>
          </w:p>
        </w:tc>
        <w:tc>
          <w:tcPr>
            <w:tcW w:w="734" w:type="dxa"/>
            <w:tcBorders>
              <w:top w:val="nil"/>
              <w:left w:val="nil"/>
              <w:bottom w:val="single" w:sz="4" w:space="0" w:color="BFBFBF"/>
              <w:right w:val="single" w:sz="4" w:space="0" w:color="BFBFBF"/>
            </w:tcBorders>
            <w:shd w:val="clear" w:color="auto" w:fill="auto"/>
            <w:noWrap/>
            <w:vAlign w:val="center"/>
          </w:tcPr>
          <w:p w14:paraId="4D67E3D8"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145</w:t>
            </w:r>
          </w:p>
        </w:tc>
        <w:tc>
          <w:tcPr>
            <w:tcW w:w="734" w:type="dxa"/>
            <w:tcBorders>
              <w:top w:val="nil"/>
              <w:left w:val="nil"/>
              <w:bottom w:val="single" w:sz="4" w:space="0" w:color="BFBFBF"/>
              <w:right w:val="single" w:sz="4" w:space="0" w:color="auto"/>
            </w:tcBorders>
            <w:shd w:val="clear" w:color="auto" w:fill="auto"/>
            <w:noWrap/>
            <w:vAlign w:val="center"/>
          </w:tcPr>
          <w:p w14:paraId="259CB1B5"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105</w:t>
            </w:r>
          </w:p>
        </w:tc>
        <w:tc>
          <w:tcPr>
            <w:tcW w:w="817" w:type="dxa"/>
            <w:tcBorders>
              <w:top w:val="nil"/>
              <w:left w:val="nil"/>
              <w:bottom w:val="single" w:sz="4" w:space="0" w:color="BFBFBF"/>
              <w:right w:val="single" w:sz="4" w:space="0" w:color="BFBFBF"/>
            </w:tcBorders>
            <w:shd w:val="clear" w:color="auto" w:fill="auto"/>
            <w:noWrap/>
            <w:vAlign w:val="center"/>
          </w:tcPr>
          <w:p w14:paraId="075A373D" w14:textId="65AFEF8F"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642" w:type="dxa"/>
            <w:tcBorders>
              <w:top w:val="nil"/>
              <w:left w:val="nil"/>
              <w:bottom w:val="single" w:sz="4" w:space="0" w:color="BFBFBF"/>
              <w:right w:val="single" w:sz="4" w:space="0" w:color="BFBFBF"/>
            </w:tcBorders>
            <w:shd w:val="clear" w:color="auto" w:fill="auto"/>
            <w:noWrap/>
            <w:vAlign w:val="center"/>
          </w:tcPr>
          <w:p w14:paraId="2B05C167" w14:textId="19DDFC20"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w:t>
            </w:r>
          </w:p>
        </w:tc>
        <w:tc>
          <w:tcPr>
            <w:tcW w:w="817" w:type="dxa"/>
            <w:tcBorders>
              <w:top w:val="nil"/>
              <w:left w:val="nil"/>
              <w:bottom w:val="single" w:sz="4" w:space="0" w:color="BFBFBF"/>
              <w:right w:val="single" w:sz="4" w:space="0" w:color="BFBFBF"/>
            </w:tcBorders>
            <w:shd w:val="clear" w:color="auto" w:fill="auto"/>
            <w:noWrap/>
            <w:vAlign w:val="center"/>
          </w:tcPr>
          <w:p w14:paraId="16D966A2"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642" w:type="dxa"/>
            <w:tcBorders>
              <w:top w:val="nil"/>
              <w:left w:val="nil"/>
              <w:bottom w:val="single" w:sz="4" w:space="0" w:color="BFBFBF"/>
              <w:right w:val="single" w:sz="4" w:space="0" w:color="BFBFBF"/>
            </w:tcBorders>
            <w:shd w:val="clear" w:color="auto" w:fill="auto"/>
            <w:noWrap/>
            <w:vAlign w:val="center"/>
          </w:tcPr>
          <w:p w14:paraId="2D432301"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808" w:type="dxa"/>
            <w:tcBorders>
              <w:top w:val="nil"/>
              <w:left w:val="nil"/>
              <w:bottom w:val="single" w:sz="4" w:space="0" w:color="BFBFBF"/>
              <w:right w:val="nil"/>
            </w:tcBorders>
            <w:shd w:val="clear" w:color="auto" w:fill="auto"/>
            <w:noWrap/>
            <w:vAlign w:val="center"/>
          </w:tcPr>
          <w:p w14:paraId="03A2A227"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11335BE8" w14:textId="35849B58"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734" w:type="dxa"/>
            <w:tcBorders>
              <w:top w:val="nil"/>
              <w:left w:val="nil"/>
              <w:bottom w:val="single" w:sz="4" w:space="0" w:color="BFBFBF"/>
              <w:right w:val="single" w:sz="4" w:space="0" w:color="auto"/>
            </w:tcBorders>
            <w:shd w:val="clear" w:color="auto" w:fill="auto"/>
            <w:noWrap/>
            <w:vAlign w:val="center"/>
          </w:tcPr>
          <w:p w14:paraId="7A598D6C" w14:textId="5EBDCED0" w:rsidR="00223CAF" w:rsidRPr="00DB6DAB" w:rsidRDefault="00223CAF" w:rsidP="00697C86">
            <w:pPr>
              <w:spacing w:before="0" w:after="0"/>
              <w:jc w:val="center"/>
              <w:rPr>
                <w:rFonts w:ascii="Arial" w:hAnsi="Arial" w:cs="Arial"/>
                <w:color w:val="000000"/>
                <w:sz w:val="16"/>
                <w:szCs w:val="16"/>
                <w:lang w:val="en-AU" w:eastAsia="en-AU"/>
              </w:rPr>
            </w:pPr>
            <w:r>
              <w:rPr>
                <w:rFonts w:ascii="Arial" w:hAnsi="Arial" w:cs="Arial"/>
                <w:color w:val="000000"/>
                <w:sz w:val="16"/>
                <w:szCs w:val="16"/>
              </w:rPr>
              <w:t>136</w:t>
            </w:r>
          </w:p>
        </w:tc>
        <w:tc>
          <w:tcPr>
            <w:tcW w:w="734" w:type="dxa"/>
            <w:tcBorders>
              <w:top w:val="nil"/>
              <w:left w:val="nil"/>
              <w:bottom w:val="single" w:sz="4" w:space="0" w:color="BFBFBF"/>
              <w:right w:val="single" w:sz="4" w:space="0" w:color="BFBFBF"/>
            </w:tcBorders>
            <w:shd w:val="clear" w:color="auto" w:fill="auto"/>
            <w:noWrap/>
            <w:vAlign w:val="bottom"/>
          </w:tcPr>
          <w:p w14:paraId="589366A3"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46%</w:t>
            </w:r>
          </w:p>
        </w:tc>
        <w:tc>
          <w:tcPr>
            <w:tcW w:w="617" w:type="dxa"/>
            <w:tcBorders>
              <w:top w:val="nil"/>
              <w:left w:val="nil"/>
              <w:bottom w:val="single" w:sz="4" w:space="0" w:color="BFBFBF"/>
              <w:right w:val="single" w:sz="4" w:space="0" w:color="BFBFBF"/>
            </w:tcBorders>
            <w:shd w:val="clear" w:color="auto" w:fill="auto"/>
            <w:noWrap/>
            <w:vAlign w:val="center"/>
          </w:tcPr>
          <w:p w14:paraId="29D5658A" w14:textId="77777777" w:rsidR="00223CAF" w:rsidRPr="00DB6DAB" w:rsidRDefault="00223CAF" w:rsidP="00697C86">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89</w:t>
            </w:r>
          </w:p>
        </w:tc>
        <w:tc>
          <w:tcPr>
            <w:tcW w:w="734" w:type="dxa"/>
            <w:tcBorders>
              <w:top w:val="nil"/>
              <w:left w:val="nil"/>
              <w:bottom w:val="single" w:sz="4" w:space="0" w:color="BFBFBF"/>
              <w:right w:val="single" w:sz="4" w:space="0" w:color="BFBFBF"/>
            </w:tcBorders>
            <w:shd w:val="clear" w:color="auto" w:fill="auto"/>
            <w:noWrap/>
            <w:vAlign w:val="center"/>
          </w:tcPr>
          <w:p w14:paraId="7AA52F4E"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617" w:type="dxa"/>
            <w:tcBorders>
              <w:top w:val="nil"/>
              <w:left w:val="nil"/>
              <w:bottom w:val="single" w:sz="4" w:space="0" w:color="BFBFBF"/>
              <w:right w:val="double" w:sz="6" w:space="0" w:color="auto"/>
            </w:tcBorders>
            <w:shd w:val="clear" w:color="auto" w:fill="auto"/>
            <w:noWrap/>
            <w:vAlign w:val="center"/>
          </w:tcPr>
          <w:p w14:paraId="2E14AAD0" w14:textId="77777777" w:rsidR="00223CAF" w:rsidRPr="00DB6DAB" w:rsidRDefault="00223CAF" w:rsidP="00C33CEC">
            <w:pPr>
              <w:spacing w:before="0" w:after="0"/>
              <w:jc w:val="center"/>
              <w:rPr>
                <w:rFonts w:ascii="Arial" w:hAnsi="Arial" w:cs="Arial"/>
                <w:color w:val="000000"/>
                <w:sz w:val="16"/>
                <w:szCs w:val="16"/>
                <w:lang w:val="en-AU" w:eastAsia="en-AU"/>
              </w:rPr>
            </w:pPr>
            <w:r w:rsidRPr="00DB6DAB">
              <w:rPr>
                <w:rFonts w:ascii="Arial" w:hAnsi="Arial" w:cs="Arial"/>
                <w:color w:val="000000"/>
                <w:sz w:val="16"/>
                <w:szCs w:val="16"/>
                <w:lang w:val="en-AU" w:eastAsia="en-AU"/>
              </w:rPr>
              <w:t>-</w:t>
            </w:r>
          </w:p>
        </w:tc>
        <w:tc>
          <w:tcPr>
            <w:tcW w:w="884" w:type="dxa"/>
            <w:tcBorders>
              <w:top w:val="single" w:sz="4" w:space="0" w:color="BFBFBF"/>
              <w:left w:val="nil"/>
              <w:bottom w:val="single" w:sz="4" w:space="0" w:color="BFBFBF"/>
              <w:right w:val="single" w:sz="4" w:space="0" w:color="BFBFBF" w:themeColor="background1" w:themeShade="BF"/>
            </w:tcBorders>
            <w:vAlign w:val="center"/>
          </w:tcPr>
          <w:p w14:paraId="78B56F96" w14:textId="4A05E5FA"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1,357</w:t>
            </w:r>
          </w:p>
        </w:tc>
        <w:tc>
          <w:tcPr>
            <w:tcW w:w="851" w:type="dxa"/>
            <w:tcBorders>
              <w:top w:val="single" w:sz="4" w:space="0" w:color="BFBFBF"/>
              <w:left w:val="single" w:sz="4" w:space="0" w:color="BFBFBF" w:themeColor="background1" w:themeShade="BF"/>
              <w:bottom w:val="single" w:sz="4" w:space="0" w:color="BFBFBF"/>
              <w:right w:val="double" w:sz="6" w:space="0" w:color="auto"/>
            </w:tcBorders>
            <w:vAlign w:val="center"/>
          </w:tcPr>
          <w:p w14:paraId="15DEE251" w14:textId="1189099D" w:rsidR="00223CAF" w:rsidRPr="00DB6DAB" w:rsidRDefault="00223CAF" w:rsidP="00C33CEC">
            <w:pPr>
              <w:spacing w:before="0" w:after="0"/>
              <w:jc w:val="center"/>
              <w:rPr>
                <w:rFonts w:ascii="Arial" w:hAnsi="Arial" w:cs="Arial"/>
                <w:color w:val="000000"/>
                <w:sz w:val="16"/>
                <w:szCs w:val="16"/>
                <w:lang w:val="en-AU" w:eastAsia="en-AU"/>
              </w:rPr>
            </w:pPr>
            <w:r>
              <w:rPr>
                <w:rFonts w:ascii="Arial" w:hAnsi="Arial" w:cs="Arial"/>
                <w:color w:val="000000"/>
                <w:sz w:val="16"/>
                <w:szCs w:val="16"/>
              </w:rPr>
              <w:t>877</w:t>
            </w:r>
          </w:p>
        </w:tc>
      </w:tr>
      <w:tr w:rsidR="00223CAF" w:rsidRPr="00DB6DAB" w14:paraId="3F59EA9B" w14:textId="229D04FC" w:rsidTr="00D92C64">
        <w:trPr>
          <w:trHeight w:val="240"/>
        </w:trPr>
        <w:tc>
          <w:tcPr>
            <w:tcW w:w="2273" w:type="dxa"/>
            <w:tcBorders>
              <w:top w:val="nil"/>
              <w:left w:val="double" w:sz="6" w:space="0" w:color="auto"/>
              <w:bottom w:val="double" w:sz="6" w:space="0" w:color="auto"/>
              <w:right w:val="nil"/>
            </w:tcBorders>
            <w:shd w:val="clear" w:color="auto" w:fill="auto"/>
            <w:noWrap/>
            <w:vAlign w:val="center"/>
          </w:tcPr>
          <w:p w14:paraId="47B3562D" w14:textId="77777777" w:rsidR="00223CAF" w:rsidRPr="00DB6DAB" w:rsidRDefault="00223CAF" w:rsidP="00E337BE">
            <w:pPr>
              <w:spacing w:before="0" w:after="0"/>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Total Households</w:t>
            </w:r>
          </w:p>
        </w:tc>
        <w:tc>
          <w:tcPr>
            <w:tcW w:w="734" w:type="dxa"/>
            <w:tcBorders>
              <w:top w:val="nil"/>
              <w:left w:val="single" w:sz="4" w:space="0" w:color="auto"/>
              <w:bottom w:val="double" w:sz="6" w:space="0" w:color="auto"/>
              <w:right w:val="single" w:sz="4" w:space="0" w:color="BFBFBF"/>
            </w:tcBorders>
            <w:shd w:val="clear" w:color="auto" w:fill="auto"/>
            <w:noWrap/>
            <w:vAlign w:val="center"/>
          </w:tcPr>
          <w:p w14:paraId="45FDE446" w14:textId="5090FF1C" w:rsidR="00223CAF" w:rsidRPr="00DB6DAB" w:rsidRDefault="00223CAF" w:rsidP="00697C86">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77%</w:t>
            </w:r>
          </w:p>
        </w:tc>
        <w:tc>
          <w:tcPr>
            <w:tcW w:w="695" w:type="dxa"/>
            <w:tcBorders>
              <w:top w:val="nil"/>
              <w:left w:val="nil"/>
              <w:bottom w:val="double" w:sz="6" w:space="0" w:color="auto"/>
              <w:right w:val="single" w:sz="4" w:space="0" w:color="BFBFBF"/>
            </w:tcBorders>
            <w:shd w:val="clear" w:color="auto" w:fill="auto"/>
            <w:noWrap/>
            <w:vAlign w:val="center"/>
          </w:tcPr>
          <w:p w14:paraId="382B28CC" w14:textId="093B5F95" w:rsidR="00223CAF" w:rsidRPr="00DB6DAB" w:rsidRDefault="00223CAF" w:rsidP="00697C86">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241</w:t>
            </w:r>
          </w:p>
        </w:tc>
        <w:tc>
          <w:tcPr>
            <w:tcW w:w="734" w:type="dxa"/>
            <w:tcBorders>
              <w:top w:val="nil"/>
              <w:left w:val="nil"/>
              <w:bottom w:val="double" w:sz="6" w:space="0" w:color="auto"/>
              <w:right w:val="single" w:sz="4" w:space="0" w:color="BFBFBF"/>
            </w:tcBorders>
            <w:shd w:val="clear" w:color="auto" w:fill="auto"/>
            <w:noWrap/>
            <w:vAlign w:val="center"/>
          </w:tcPr>
          <w:p w14:paraId="6AC8EC01" w14:textId="77777777" w:rsidR="00223CAF" w:rsidRPr="00DB6DAB" w:rsidRDefault="00223CAF" w:rsidP="00C33CEC">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80%</w:t>
            </w:r>
          </w:p>
        </w:tc>
        <w:tc>
          <w:tcPr>
            <w:tcW w:w="734" w:type="dxa"/>
            <w:tcBorders>
              <w:top w:val="nil"/>
              <w:left w:val="nil"/>
              <w:bottom w:val="double" w:sz="6" w:space="0" w:color="auto"/>
              <w:right w:val="single" w:sz="4" w:space="0" w:color="BFBFBF"/>
            </w:tcBorders>
            <w:shd w:val="clear" w:color="auto" w:fill="auto"/>
            <w:noWrap/>
            <w:vAlign w:val="center"/>
          </w:tcPr>
          <w:p w14:paraId="3912D0A9" w14:textId="77777777" w:rsidR="00223CAF" w:rsidRPr="00DB6DAB" w:rsidRDefault="00223CAF" w:rsidP="00C33CEC">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145</w:t>
            </w:r>
          </w:p>
        </w:tc>
        <w:tc>
          <w:tcPr>
            <w:tcW w:w="734" w:type="dxa"/>
            <w:tcBorders>
              <w:top w:val="nil"/>
              <w:left w:val="nil"/>
              <w:bottom w:val="double" w:sz="6" w:space="0" w:color="auto"/>
              <w:right w:val="single" w:sz="4" w:space="0" w:color="auto"/>
            </w:tcBorders>
            <w:shd w:val="clear" w:color="auto" w:fill="auto"/>
            <w:noWrap/>
            <w:vAlign w:val="center"/>
          </w:tcPr>
          <w:p w14:paraId="21DBA542" w14:textId="77777777" w:rsidR="00223CAF" w:rsidRPr="00DB6DAB" w:rsidRDefault="00223CAF" w:rsidP="00C33CEC">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96</w:t>
            </w:r>
          </w:p>
        </w:tc>
        <w:tc>
          <w:tcPr>
            <w:tcW w:w="817" w:type="dxa"/>
            <w:tcBorders>
              <w:top w:val="nil"/>
              <w:left w:val="nil"/>
              <w:bottom w:val="double" w:sz="6" w:space="0" w:color="auto"/>
              <w:right w:val="single" w:sz="4" w:space="0" w:color="BFBFBF"/>
            </w:tcBorders>
            <w:shd w:val="clear" w:color="auto" w:fill="auto"/>
            <w:noWrap/>
            <w:vAlign w:val="center"/>
          </w:tcPr>
          <w:p w14:paraId="025FA1DB" w14:textId="4106E5D3" w:rsidR="00223CAF" w:rsidRPr="00DB6DAB" w:rsidRDefault="00223CAF" w:rsidP="00697C86">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9%</w:t>
            </w:r>
          </w:p>
        </w:tc>
        <w:tc>
          <w:tcPr>
            <w:tcW w:w="642" w:type="dxa"/>
            <w:tcBorders>
              <w:top w:val="nil"/>
              <w:left w:val="nil"/>
              <w:bottom w:val="double" w:sz="6" w:space="0" w:color="auto"/>
              <w:right w:val="single" w:sz="4" w:space="0" w:color="BFBFBF"/>
            </w:tcBorders>
            <w:shd w:val="clear" w:color="auto" w:fill="auto"/>
            <w:noWrap/>
            <w:vAlign w:val="center"/>
          </w:tcPr>
          <w:p w14:paraId="29D10FF9" w14:textId="116D3CA9" w:rsidR="00223CAF" w:rsidRPr="00DB6DAB" w:rsidRDefault="00223CAF" w:rsidP="00697C86">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186</w:t>
            </w:r>
          </w:p>
        </w:tc>
        <w:tc>
          <w:tcPr>
            <w:tcW w:w="817" w:type="dxa"/>
            <w:tcBorders>
              <w:top w:val="nil"/>
              <w:left w:val="nil"/>
              <w:bottom w:val="double" w:sz="6" w:space="0" w:color="auto"/>
              <w:right w:val="single" w:sz="4" w:space="0" w:color="BFBFBF"/>
            </w:tcBorders>
            <w:shd w:val="clear" w:color="auto" w:fill="auto"/>
            <w:noWrap/>
            <w:vAlign w:val="center"/>
          </w:tcPr>
          <w:p w14:paraId="545E8CE3" w14:textId="77777777" w:rsidR="00223CAF" w:rsidRPr="00DB6DAB" w:rsidRDefault="00223CAF" w:rsidP="00C33CEC">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25%</w:t>
            </w:r>
          </w:p>
        </w:tc>
        <w:tc>
          <w:tcPr>
            <w:tcW w:w="642" w:type="dxa"/>
            <w:tcBorders>
              <w:top w:val="nil"/>
              <w:left w:val="nil"/>
              <w:bottom w:val="double" w:sz="6" w:space="0" w:color="auto"/>
              <w:right w:val="single" w:sz="4" w:space="0" w:color="BFBFBF"/>
            </w:tcBorders>
            <w:shd w:val="clear" w:color="auto" w:fill="auto"/>
            <w:noWrap/>
            <w:vAlign w:val="center"/>
          </w:tcPr>
          <w:p w14:paraId="4A4FD19B" w14:textId="77777777" w:rsidR="00223CAF" w:rsidRPr="00DB6DAB" w:rsidRDefault="00223CAF" w:rsidP="00C33CEC">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68</w:t>
            </w:r>
          </w:p>
        </w:tc>
        <w:tc>
          <w:tcPr>
            <w:tcW w:w="808" w:type="dxa"/>
            <w:tcBorders>
              <w:top w:val="nil"/>
              <w:left w:val="nil"/>
              <w:bottom w:val="double" w:sz="6" w:space="0" w:color="auto"/>
              <w:right w:val="nil"/>
            </w:tcBorders>
            <w:shd w:val="clear" w:color="auto" w:fill="auto"/>
            <w:noWrap/>
            <w:vAlign w:val="center"/>
          </w:tcPr>
          <w:p w14:paraId="73290BC9" w14:textId="77777777" w:rsidR="00223CAF" w:rsidRPr="00DB6DAB" w:rsidRDefault="00223CAF" w:rsidP="00C33CEC">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57</w:t>
            </w:r>
          </w:p>
        </w:tc>
        <w:tc>
          <w:tcPr>
            <w:tcW w:w="808" w:type="dxa"/>
            <w:tcBorders>
              <w:top w:val="nil"/>
              <w:left w:val="single" w:sz="4" w:space="0" w:color="auto"/>
              <w:bottom w:val="double" w:sz="6" w:space="0" w:color="auto"/>
              <w:right w:val="single" w:sz="4" w:space="0" w:color="BFBFBF"/>
            </w:tcBorders>
            <w:shd w:val="clear" w:color="auto" w:fill="auto"/>
            <w:noWrap/>
            <w:vAlign w:val="bottom"/>
          </w:tcPr>
          <w:p w14:paraId="08B60E1E" w14:textId="3BF44D8F" w:rsidR="00223CAF" w:rsidRPr="00DB6DAB" w:rsidRDefault="00223CAF" w:rsidP="00697C86">
            <w:pPr>
              <w:spacing w:before="0" w:after="0"/>
              <w:jc w:val="center"/>
              <w:rPr>
                <w:rFonts w:ascii="Arial" w:hAnsi="Arial" w:cs="Arial"/>
                <w:b/>
                <w:color w:val="000000"/>
                <w:sz w:val="16"/>
                <w:szCs w:val="16"/>
                <w:lang w:val="en-AU" w:eastAsia="en-AU"/>
              </w:rPr>
            </w:pPr>
            <w:r>
              <w:rPr>
                <w:rFonts w:ascii="Arial" w:hAnsi="Arial" w:cs="Arial"/>
                <w:color w:val="000000"/>
                <w:sz w:val="16"/>
                <w:szCs w:val="16"/>
              </w:rPr>
              <w:t>99%</w:t>
            </w:r>
          </w:p>
        </w:tc>
        <w:tc>
          <w:tcPr>
            <w:tcW w:w="734" w:type="dxa"/>
            <w:tcBorders>
              <w:top w:val="nil"/>
              <w:left w:val="nil"/>
              <w:bottom w:val="double" w:sz="6" w:space="0" w:color="auto"/>
              <w:right w:val="single" w:sz="4" w:space="0" w:color="auto"/>
            </w:tcBorders>
            <w:shd w:val="clear" w:color="auto" w:fill="auto"/>
            <w:noWrap/>
            <w:vAlign w:val="center"/>
          </w:tcPr>
          <w:p w14:paraId="4B483E2F" w14:textId="7195A2BF" w:rsidR="00223CAF" w:rsidRPr="00DB6DAB" w:rsidRDefault="00223CAF" w:rsidP="00697C86">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147</w:t>
            </w:r>
          </w:p>
        </w:tc>
        <w:tc>
          <w:tcPr>
            <w:tcW w:w="734" w:type="dxa"/>
            <w:tcBorders>
              <w:top w:val="nil"/>
              <w:left w:val="nil"/>
              <w:bottom w:val="double" w:sz="6" w:space="0" w:color="auto"/>
              <w:right w:val="single" w:sz="4" w:space="0" w:color="BFBFBF"/>
            </w:tcBorders>
            <w:shd w:val="clear" w:color="auto" w:fill="auto"/>
            <w:noWrap/>
            <w:vAlign w:val="center"/>
          </w:tcPr>
          <w:p w14:paraId="2D866E23" w14:textId="77777777" w:rsidR="00223CAF" w:rsidRPr="00DB6DAB" w:rsidRDefault="00223CAF" w:rsidP="00697C86">
            <w:pPr>
              <w:spacing w:before="0" w:after="0"/>
              <w:jc w:val="center"/>
              <w:rPr>
                <w:rFonts w:ascii="Arial" w:hAnsi="Arial" w:cs="Arial"/>
                <w:b/>
                <w:color w:val="000000"/>
                <w:sz w:val="16"/>
                <w:szCs w:val="16"/>
                <w:lang w:val="en-AU" w:eastAsia="en-AU"/>
              </w:rPr>
            </w:pPr>
            <w:r w:rsidRPr="00DB6DAB">
              <w:rPr>
                <w:rFonts w:ascii="Arial" w:hAnsi="Arial" w:cs="Arial"/>
                <w:b/>
                <w:color w:val="000000"/>
                <w:sz w:val="16"/>
                <w:szCs w:val="16"/>
                <w:lang w:val="en-AU" w:eastAsia="en-AU"/>
              </w:rPr>
              <w:t>12%</w:t>
            </w:r>
          </w:p>
        </w:tc>
        <w:tc>
          <w:tcPr>
            <w:tcW w:w="617" w:type="dxa"/>
            <w:tcBorders>
              <w:top w:val="nil"/>
              <w:left w:val="nil"/>
              <w:bottom w:val="double" w:sz="6" w:space="0" w:color="auto"/>
              <w:right w:val="single" w:sz="4" w:space="0" w:color="BFBFBF"/>
            </w:tcBorders>
            <w:shd w:val="clear" w:color="auto" w:fill="auto"/>
            <w:noWrap/>
            <w:vAlign w:val="center"/>
          </w:tcPr>
          <w:p w14:paraId="193BFF1F" w14:textId="77777777" w:rsidR="00223CAF" w:rsidRPr="00DB6DAB" w:rsidRDefault="00223CAF" w:rsidP="00697C86">
            <w:pPr>
              <w:spacing w:before="0" w:after="0"/>
              <w:jc w:val="center"/>
              <w:rPr>
                <w:rFonts w:ascii="Arial" w:hAnsi="Arial" w:cs="Arial"/>
                <w:b/>
                <w:color w:val="000000"/>
                <w:sz w:val="16"/>
                <w:szCs w:val="16"/>
                <w:lang w:val="en-AU" w:eastAsia="en-AU"/>
              </w:rPr>
            </w:pPr>
            <w:r w:rsidRPr="00DB6DAB">
              <w:rPr>
                <w:rFonts w:ascii="Arial" w:hAnsi="Arial" w:cs="Arial"/>
                <w:b/>
                <w:color w:val="000000"/>
                <w:sz w:val="16"/>
                <w:szCs w:val="16"/>
                <w:lang w:val="en-AU" w:eastAsia="en-AU"/>
              </w:rPr>
              <w:t>90</w:t>
            </w:r>
          </w:p>
        </w:tc>
        <w:tc>
          <w:tcPr>
            <w:tcW w:w="734" w:type="dxa"/>
            <w:tcBorders>
              <w:top w:val="nil"/>
              <w:left w:val="nil"/>
              <w:bottom w:val="double" w:sz="6" w:space="0" w:color="auto"/>
              <w:right w:val="single" w:sz="4" w:space="0" w:color="BFBFBF"/>
            </w:tcBorders>
            <w:shd w:val="clear" w:color="auto" w:fill="auto"/>
            <w:noWrap/>
            <w:vAlign w:val="center"/>
          </w:tcPr>
          <w:p w14:paraId="2DB709E6" w14:textId="77777777" w:rsidR="00223CAF" w:rsidRPr="00DB6DAB" w:rsidRDefault="00223CAF" w:rsidP="00C33CEC">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14%</w:t>
            </w:r>
          </w:p>
        </w:tc>
        <w:tc>
          <w:tcPr>
            <w:tcW w:w="617" w:type="dxa"/>
            <w:tcBorders>
              <w:top w:val="nil"/>
              <w:left w:val="nil"/>
              <w:bottom w:val="double" w:sz="6" w:space="0" w:color="auto"/>
              <w:right w:val="double" w:sz="6" w:space="0" w:color="auto"/>
            </w:tcBorders>
            <w:shd w:val="clear" w:color="auto" w:fill="auto"/>
            <w:noWrap/>
            <w:vAlign w:val="center"/>
          </w:tcPr>
          <w:p w14:paraId="62039AE3" w14:textId="77777777" w:rsidR="00223CAF" w:rsidRPr="00DB6DAB" w:rsidRDefault="00223CAF" w:rsidP="00C33CEC">
            <w:pPr>
              <w:spacing w:before="0" w:after="0"/>
              <w:jc w:val="center"/>
              <w:rPr>
                <w:rFonts w:ascii="Arial" w:hAnsi="Arial" w:cs="Arial"/>
                <w:b/>
                <w:bCs/>
                <w:color w:val="000000"/>
                <w:sz w:val="16"/>
                <w:szCs w:val="16"/>
                <w:lang w:val="en-AU" w:eastAsia="en-AU"/>
              </w:rPr>
            </w:pPr>
            <w:r w:rsidRPr="00DB6DAB">
              <w:rPr>
                <w:rFonts w:ascii="Arial" w:hAnsi="Arial" w:cs="Arial"/>
                <w:b/>
                <w:bCs/>
                <w:color w:val="000000"/>
                <w:sz w:val="16"/>
                <w:szCs w:val="16"/>
                <w:lang w:val="en-AU" w:eastAsia="en-AU"/>
              </w:rPr>
              <w:t>79</w:t>
            </w:r>
          </w:p>
        </w:tc>
        <w:tc>
          <w:tcPr>
            <w:tcW w:w="884" w:type="dxa"/>
            <w:tcBorders>
              <w:top w:val="single" w:sz="4" w:space="0" w:color="BFBFBF"/>
              <w:left w:val="nil"/>
              <w:bottom w:val="double" w:sz="6" w:space="0" w:color="auto"/>
              <w:right w:val="single" w:sz="4" w:space="0" w:color="BFBFBF" w:themeColor="background1" w:themeShade="BF"/>
            </w:tcBorders>
            <w:vAlign w:val="center"/>
          </w:tcPr>
          <w:p w14:paraId="45F572C1" w14:textId="5F548FF8" w:rsidR="00223CAF" w:rsidRPr="00DB6DAB" w:rsidRDefault="00223CAF" w:rsidP="00C33CEC">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1,685</w:t>
            </w:r>
          </w:p>
        </w:tc>
        <w:tc>
          <w:tcPr>
            <w:tcW w:w="851" w:type="dxa"/>
            <w:tcBorders>
              <w:top w:val="single" w:sz="4" w:space="0" w:color="BFBFBF"/>
              <w:left w:val="single" w:sz="4" w:space="0" w:color="BFBFBF" w:themeColor="background1" w:themeShade="BF"/>
              <w:bottom w:val="double" w:sz="6" w:space="0" w:color="auto"/>
              <w:right w:val="double" w:sz="6" w:space="0" w:color="auto"/>
            </w:tcBorders>
            <w:vAlign w:val="center"/>
          </w:tcPr>
          <w:p w14:paraId="7CD4FCED" w14:textId="481DD826" w:rsidR="00223CAF" w:rsidRPr="00DB6DAB" w:rsidRDefault="00223CAF" w:rsidP="00C33CEC">
            <w:pPr>
              <w:spacing w:before="0" w:after="0"/>
              <w:jc w:val="center"/>
              <w:rPr>
                <w:rFonts w:ascii="Arial" w:hAnsi="Arial" w:cs="Arial"/>
                <w:b/>
                <w:bCs/>
                <w:color w:val="000000"/>
                <w:sz w:val="16"/>
                <w:szCs w:val="16"/>
                <w:lang w:val="en-AU" w:eastAsia="en-AU"/>
              </w:rPr>
            </w:pPr>
            <w:r>
              <w:rPr>
                <w:rFonts w:ascii="Arial" w:hAnsi="Arial" w:cs="Arial"/>
                <w:b/>
                <w:bCs/>
                <w:color w:val="000000"/>
                <w:sz w:val="16"/>
                <w:szCs w:val="16"/>
              </w:rPr>
              <w:t>1,006</w:t>
            </w:r>
          </w:p>
        </w:tc>
      </w:tr>
    </w:tbl>
    <w:p w14:paraId="778A049D" w14:textId="77777777" w:rsidR="00040261" w:rsidRPr="00697C86" w:rsidRDefault="00040261" w:rsidP="009748AD">
      <w:pPr>
        <w:spacing w:before="120"/>
        <w:ind w:left="425"/>
        <w:rPr>
          <w:sz w:val="16"/>
          <w:szCs w:val="16"/>
        </w:rPr>
      </w:pPr>
      <w:r w:rsidRPr="00DB6DAB">
        <w:rPr>
          <w:sz w:val="20"/>
        </w:rPr>
        <w:t>1.</w:t>
      </w:r>
      <w:r w:rsidRPr="00DB6DAB">
        <w:rPr>
          <w:b/>
          <w:lang w:val="en-AU"/>
        </w:rPr>
        <w:t xml:space="preserve"> </w:t>
      </w:r>
      <w:r w:rsidRPr="00DB6DAB">
        <w:rPr>
          <w:sz w:val="20"/>
          <w:lang w:val="en-AU"/>
        </w:rPr>
        <w:t>Very small sample size</w:t>
      </w:r>
      <w:r w:rsidR="006364BB" w:rsidRPr="00DB6DAB">
        <w:rPr>
          <w:sz w:val="20"/>
          <w:lang w:val="en-AU"/>
        </w:rPr>
        <w:t xml:space="preserve">. </w:t>
      </w:r>
      <w:r w:rsidRPr="00DB6DAB">
        <w:rPr>
          <w:sz w:val="20"/>
          <w:lang w:val="en-AU"/>
        </w:rPr>
        <w:t xml:space="preserve"> The percentages showing for renters in the council rates tables are based to a tiny group of respondents who indicated they both rented and paid council rates.  This may indicate misunderstanding of the question, or changed circumstances, and should be interpreted with care.</w:t>
      </w:r>
    </w:p>
    <w:p w14:paraId="04DFDFBE" w14:textId="77777777" w:rsidR="00D12409" w:rsidRPr="003835AE" w:rsidRDefault="00D12409" w:rsidP="0039042D">
      <w:pPr>
        <w:spacing w:before="0" w:after="120"/>
        <w:jc w:val="both"/>
        <w:outlineLvl w:val="0"/>
        <w:rPr>
          <w:b/>
          <w:highlight w:val="yellow"/>
          <w:lang w:val="en-AU"/>
        </w:rPr>
      </w:pPr>
    </w:p>
    <w:p w14:paraId="1B97344C" w14:textId="77777777" w:rsidR="00D109F7" w:rsidRPr="00A7775B" w:rsidRDefault="00E337BE" w:rsidP="006364BB">
      <w:pPr>
        <w:spacing w:before="0" w:after="120"/>
        <w:jc w:val="center"/>
        <w:outlineLvl w:val="0"/>
        <w:rPr>
          <w:b/>
          <w:u w:val="single"/>
          <w:lang w:val="en-AU"/>
        </w:rPr>
      </w:pPr>
      <w:r w:rsidRPr="00A7775B">
        <w:rPr>
          <w:b/>
          <w:lang w:val="en-AU"/>
        </w:rPr>
        <w:br w:type="page"/>
      </w:r>
      <w:r w:rsidR="00D109F7" w:rsidRPr="00A7775B">
        <w:rPr>
          <w:b/>
          <w:lang w:val="en-AU"/>
        </w:rPr>
        <w:lastRenderedPageBreak/>
        <w:t xml:space="preserve">Table </w:t>
      </w:r>
      <w:r w:rsidR="001A2002" w:rsidRPr="00A7775B">
        <w:rPr>
          <w:b/>
          <w:lang w:val="en-AU"/>
        </w:rPr>
        <w:t>6</w:t>
      </w:r>
      <w:r w:rsidR="00D109F7" w:rsidRPr="00A7775B">
        <w:rPr>
          <w:b/>
          <w:lang w:val="en-AU"/>
        </w:rPr>
        <w:t>.2.</w:t>
      </w:r>
      <w:r w:rsidR="0039042D" w:rsidRPr="00A7775B">
        <w:rPr>
          <w:b/>
          <w:lang w:val="en-AU"/>
        </w:rPr>
        <w:t>3</w:t>
      </w:r>
      <w:r w:rsidR="00D109F7" w:rsidRPr="00A7775B">
        <w:rPr>
          <w:b/>
          <w:lang w:val="en-AU"/>
        </w:rPr>
        <w:t xml:space="preserve">: </w:t>
      </w:r>
      <w:r w:rsidR="00D109F7" w:rsidRPr="00A7775B">
        <w:rPr>
          <w:b/>
          <w:u w:val="single"/>
          <w:lang w:val="en-AU"/>
        </w:rPr>
        <w:t>Council Rate Concessions</w:t>
      </w:r>
      <w:r w:rsidR="00095E0F" w:rsidRPr="00A7775B">
        <w:rPr>
          <w:b/>
          <w:u w:val="single"/>
          <w:lang w:val="en-AU"/>
        </w:rPr>
        <w:t xml:space="preserve">, </w:t>
      </w:r>
      <w:r w:rsidR="00F847D9" w:rsidRPr="00A7775B">
        <w:rPr>
          <w:b/>
          <w:u w:val="single"/>
          <w:lang w:val="en-AU"/>
        </w:rPr>
        <w:t xml:space="preserve">Fire Service Concession, </w:t>
      </w:r>
      <w:r w:rsidR="00095E0F" w:rsidRPr="00A7775B">
        <w:rPr>
          <w:b/>
          <w:u w:val="single"/>
          <w:lang w:val="en-AU"/>
        </w:rPr>
        <w:t>Other Discounts</w:t>
      </w:r>
      <w:r w:rsidR="00D109F7" w:rsidRPr="00A7775B">
        <w:rPr>
          <w:b/>
          <w:u w:val="single"/>
          <w:lang w:val="en-AU"/>
        </w:rPr>
        <w:t xml:space="preserve"> and Annual Bill Amount</w:t>
      </w:r>
    </w:p>
    <w:tbl>
      <w:tblPr>
        <w:tblW w:w="15224" w:type="dxa"/>
        <w:jc w:val="center"/>
        <w:tblLook w:val="04A0" w:firstRow="1" w:lastRow="0" w:firstColumn="1" w:lastColumn="0" w:noHBand="0" w:noVBand="1"/>
      </w:tblPr>
      <w:tblGrid>
        <w:gridCol w:w="2291"/>
        <w:gridCol w:w="808"/>
        <w:gridCol w:w="808"/>
        <w:gridCol w:w="808"/>
        <w:gridCol w:w="675"/>
        <w:gridCol w:w="675"/>
        <w:gridCol w:w="675"/>
        <w:gridCol w:w="808"/>
        <w:gridCol w:w="675"/>
        <w:gridCol w:w="871"/>
        <w:gridCol w:w="684"/>
        <w:gridCol w:w="839"/>
        <w:gridCol w:w="675"/>
        <w:gridCol w:w="764"/>
        <w:gridCol w:w="808"/>
        <w:gridCol w:w="808"/>
        <w:gridCol w:w="776"/>
        <w:gridCol w:w="776"/>
      </w:tblGrid>
      <w:tr w:rsidR="00E337BE" w:rsidRPr="00A7775B" w14:paraId="7639672F" w14:textId="77777777" w:rsidTr="006364BB">
        <w:trPr>
          <w:trHeight w:val="315"/>
          <w:tblHeader/>
          <w:jc w:val="center"/>
        </w:trPr>
        <w:tc>
          <w:tcPr>
            <w:tcW w:w="2291" w:type="dxa"/>
            <w:tcBorders>
              <w:top w:val="double" w:sz="6" w:space="0" w:color="auto"/>
              <w:left w:val="double" w:sz="6" w:space="0" w:color="auto"/>
              <w:bottom w:val="single" w:sz="4" w:space="0" w:color="BFBFBF"/>
              <w:right w:val="nil"/>
            </w:tcBorders>
            <w:shd w:val="clear" w:color="auto" w:fill="auto"/>
            <w:noWrap/>
            <w:vAlign w:val="center"/>
          </w:tcPr>
          <w:p w14:paraId="12BE0AE6"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4449" w:type="dxa"/>
            <w:gridSpan w:val="6"/>
            <w:tcBorders>
              <w:top w:val="double" w:sz="6" w:space="0" w:color="auto"/>
              <w:left w:val="single" w:sz="4" w:space="0" w:color="auto"/>
              <w:bottom w:val="single" w:sz="4" w:space="0" w:color="BFBFBF"/>
              <w:right w:val="single" w:sz="4" w:space="0" w:color="000000"/>
            </w:tcBorders>
            <w:shd w:val="clear" w:color="auto" w:fill="auto"/>
            <w:noWrap/>
            <w:vAlign w:val="center"/>
          </w:tcPr>
          <w:p w14:paraId="1FB4D161"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DHHS (Municipal Rates) Concession</w:t>
            </w:r>
          </w:p>
        </w:tc>
        <w:tc>
          <w:tcPr>
            <w:tcW w:w="1483" w:type="dxa"/>
            <w:gridSpan w:val="2"/>
            <w:vMerge w:val="restart"/>
            <w:tcBorders>
              <w:top w:val="double" w:sz="6" w:space="0" w:color="auto"/>
              <w:left w:val="nil"/>
              <w:bottom w:val="single" w:sz="4" w:space="0" w:color="BFBFBF"/>
              <w:right w:val="single" w:sz="4" w:space="0" w:color="BFBFBF"/>
            </w:tcBorders>
            <w:shd w:val="clear" w:color="auto" w:fill="auto"/>
            <w:vAlign w:val="bottom"/>
          </w:tcPr>
          <w:p w14:paraId="76D13613" w14:textId="77777777" w:rsidR="00E337BE" w:rsidRPr="00A7775B" w:rsidRDefault="00E337BE" w:rsidP="00303FCA">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Fire Services Property Levy</w:t>
            </w:r>
            <w:r w:rsidR="00303FCA" w:rsidRPr="00A7775B">
              <w:rPr>
                <w:rFonts w:ascii="Arial" w:hAnsi="Arial" w:cs="Arial"/>
                <w:b/>
                <w:bCs/>
                <w:color w:val="000000"/>
                <w:sz w:val="16"/>
                <w:szCs w:val="16"/>
                <w:lang w:val="en-AU" w:eastAsia="en-AU"/>
              </w:rPr>
              <w:t xml:space="preserve"> Concession</w:t>
            </w:r>
            <w:r w:rsidRPr="00A7775B">
              <w:rPr>
                <w:rFonts w:ascii="Arial" w:hAnsi="Arial" w:cs="Arial"/>
                <w:b/>
                <w:bCs/>
                <w:color w:val="000000"/>
                <w:sz w:val="16"/>
                <w:szCs w:val="16"/>
                <w:lang w:val="en-AU" w:eastAsia="en-AU"/>
              </w:rPr>
              <w:t xml:space="preserve"> 2014</w:t>
            </w:r>
          </w:p>
        </w:tc>
        <w:tc>
          <w:tcPr>
            <w:tcW w:w="3069" w:type="dxa"/>
            <w:gridSpan w:val="4"/>
            <w:tcBorders>
              <w:top w:val="double" w:sz="6" w:space="0" w:color="auto"/>
              <w:left w:val="single" w:sz="4" w:space="0" w:color="auto"/>
              <w:bottom w:val="single" w:sz="4" w:space="0" w:color="BFBFBF"/>
              <w:right w:val="single" w:sz="4" w:space="0" w:color="000000"/>
            </w:tcBorders>
            <w:shd w:val="clear" w:color="auto" w:fill="auto"/>
            <w:vAlign w:val="bottom"/>
          </w:tcPr>
          <w:p w14:paraId="53146DD0"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Other Discounts</w:t>
            </w:r>
          </w:p>
        </w:tc>
        <w:tc>
          <w:tcPr>
            <w:tcW w:w="2380" w:type="dxa"/>
            <w:gridSpan w:val="3"/>
            <w:vMerge w:val="restart"/>
            <w:tcBorders>
              <w:top w:val="double" w:sz="6" w:space="0" w:color="auto"/>
              <w:left w:val="single" w:sz="4" w:space="0" w:color="auto"/>
              <w:bottom w:val="single" w:sz="4" w:space="0" w:color="BFBFBF"/>
              <w:right w:val="single" w:sz="4" w:space="0" w:color="000000"/>
            </w:tcBorders>
            <w:shd w:val="clear" w:color="auto" w:fill="auto"/>
            <w:vAlign w:val="center"/>
          </w:tcPr>
          <w:p w14:paraId="51C5A897"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Total Rates Amount</w:t>
            </w:r>
            <w:r w:rsidRPr="00A7775B">
              <w:rPr>
                <w:rFonts w:ascii="Arial" w:hAnsi="Arial" w:cs="Arial"/>
                <w:b/>
                <w:bCs/>
                <w:color w:val="000000"/>
                <w:sz w:val="16"/>
                <w:szCs w:val="16"/>
                <w:lang w:val="en-AU" w:eastAsia="en-AU"/>
              </w:rPr>
              <w:br/>
              <w:t>(excl. GST) ($)</w:t>
            </w:r>
          </w:p>
        </w:tc>
        <w:tc>
          <w:tcPr>
            <w:tcW w:w="776" w:type="dxa"/>
            <w:tcBorders>
              <w:top w:val="double" w:sz="6" w:space="0" w:color="auto"/>
              <w:left w:val="nil"/>
              <w:bottom w:val="single" w:sz="4" w:space="0" w:color="BFBFBF"/>
              <w:right w:val="single" w:sz="4" w:space="0" w:color="BFBFBF"/>
            </w:tcBorders>
            <w:shd w:val="clear" w:color="auto" w:fill="auto"/>
            <w:noWrap/>
            <w:vAlign w:val="center"/>
          </w:tcPr>
          <w:p w14:paraId="26E19581"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w:t>
            </w:r>
          </w:p>
        </w:tc>
        <w:tc>
          <w:tcPr>
            <w:tcW w:w="776" w:type="dxa"/>
            <w:tcBorders>
              <w:top w:val="double" w:sz="6" w:space="0" w:color="auto"/>
              <w:left w:val="nil"/>
              <w:bottom w:val="single" w:sz="4" w:space="0" w:color="BFBFBF"/>
              <w:right w:val="double" w:sz="6" w:space="0" w:color="auto"/>
            </w:tcBorders>
            <w:shd w:val="clear" w:color="auto" w:fill="auto"/>
            <w:noWrap/>
            <w:vAlign w:val="center"/>
          </w:tcPr>
          <w:p w14:paraId="373137E0"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w:t>
            </w:r>
          </w:p>
        </w:tc>
      </w:tr>
      <w:tr w:rsidR="00E337BE" w:rsidRPr="00A7775B" w14:paraId="1AAB0462" w14:textId="77777777" w:rsidTr="006364BB">
        <w:trPr>
          <w:trHeight w:val="360"/>
          <w:tblHeader/>
          <w:jc w:val="center"/>
        </w:trPr>
        <w:tc>
          <w:tcPr>
            <w:tcW w:w="2291" w:type="dxa"/>
            <w:tcBorders>
              <w:top w:val="nil"/>
              <w:left w:val="double" w:sz="6" w:space="0" w:color="auto"/>
              <w:bottom w:val="single" w:sz="4" w:space="0" w:color="BFBFBF"/>
              <w:right w:val="nil"/>
            </w:tcBorders>
            <w:shd w:val="clear" w:color="auto" w:fill="auto"/>
            <w:noWrap/>
            <w:vAlign w:val="center"/>
          </w:tcPr>
          <w:p w14:paraId="13387BF9"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2424" w:type="dxa"/>
            <w:gridSpan w:val="3"/>
            <w:tcBorders>
              <w:top w:val="single" w:sz="4" w:space="0" w:color="BFBFBF"/>
              <w:left w:val="single" w:sz="4" w:space="0" w:color="auto"/>
              <w:bottom w:val="single" w:sz="4" w:space="0" w:color="BFBFBF"/>
              <w:right w:val="single" w:sz="4" w:space="0" w:color="BFBFBF"/>
            </w:tcBorders>
            <w:shd w:val="clear" w:color="auto" w:fill="auto"/>
            <w:noWrap/>
            <w:vAlign w:val="center"/>
          </w:tcPr>
          <w:p w14:paraId="78F8C9B5"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w:t>
            </w:r>
          </w:p>
        </w:tc>
        <w:tc>
          <w:tcPr>
            <w:tcW w:w="2025" w:type="dxa"/>
            <w:gridSpan w:val="3"/>
            <w:tcBorders>
              <w:top w:val="single" w:sz="4" w:space="0" w:color="BFBFBF"/>
              <w:left w:val="nil"/>
              <w:bottom w:val="single" w:sz="4" w:space="0" w:color="BFBFBF"/>
              <w:right w:val="single" w:sz="4" w:space="0" w:color="000000"/>
            </w:tcBorders>
            <w:shd w:val="clear" w:color="auto" w:fill="auto"/>
            <w:noWrap/>
            <w:vAlign w:val="center"/>
          </w:tcPr>
          <w:p w14:paraId="7B5F252D"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w:t>
            </w:r>
          </w:p>
        </w:tc>
        <w:tc>
          <w:tcPr>
            <w:tcW w:w="1483" w:type="dxa"/>
            <w:gridSpan w:val="2"/>
            <w:vMerge/>
            <w:tcBorders>
              <w:top w:val="double" w:sz="6" w:space="0" w:color="auto"/>
              <w:left w:val="nil"/>
              <w:bottom w:val="single" w:sz="4" w:space="0" w:color="BFBFBF"/>
              <w:right w:val="single" w:sz="4" w:space="0" w:color="BFBFBF"/>
            </w:tcBorders>
            <w:vAlign w:val="center"/>
          </w:tcPr>
          <w:p w14:paraId="0C223C71" w14:textId="77777777" w:rsidR="00E337BE" w:rsidRPr="00A7775B" w:rsidRDefault="00E337BE" w:rsidP="00E337BE">
            <w:pPr>
              <w:spacing w:before="0" w:after="0"/>
              <w:rPr>
                <w:rFonts w:ascii="Arial" w:hAnsi="Arial" w:cs="Arial"/>
                <w:b/>
                <w:bCs/>
                <w:color w:val="000000"/>
                <w:sz w:val="16"/>
                <w:szCs w:val="16"/>
                <w:lang w:val="en-AU" w:eastAsia="en-AU"/>
              </w:rPr>
            </w:pPr>
          </w:p>
        </w:tc>
        <w:tc>
          <w:tcPr>
            <w:tcW w:w="1555" w:type="dxa"/>
            <w:gridSpan w:val="2"/>
            <w:tcBorders>
              <w:top w:val="single" w:sz="4" w:space="0" w:color="BFBFBF"/>
              <w:left w:val="single" w:sz="4" w:space="0" w:color="auto"/>
              <w:bottom w:val="single" w:sz="4" w:space="0" w:color="BFBFBF"/>
              <w:right w:val="single" w:sz="4" w:space="0" w:color="BFBFBF"/>
            </w:tcBorders>
            <w:shd w:val="clear" w:color="auto" w:fill="auto"/>
            <w:vAlign w:val="center"/>
          </w:tcPr>
          <w:p w14:paraId="18756FBA" w14:textId="77777777" w:rsidR="00E337BE" w:rsidRPr="00A7775B" w:rsidRDefault="00E337BE" w:rsidP="006364BB">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2014</w:t>
            </w:r>
          </w:p>
        </w:tc>
        <w:tc>
          <w:tcPr>
            <w:tcW w:w="1514" w:type="dxa"/>
            <w:gridSpan w:val="2"/>
            <w:tcBorders>
              <w:top w:val="single" w:sz="4" w:space="0" w:color="BFBFBF"/>
              <w:left w:val="nil"/>
              <w:bottom w:val="single" w:sz="4" w:space="0" w:color="BFBFBF"/>
              <w:right w:val="single" w:sz="4" w:space="0" w:color="000000"/>
            </w:tcBorders>
            <w:shd w:val="clear" w:color="auto" w:fill="auto"/>
            <w:noWrap/>
            <w:vAlign w:val="center"/>
          </w:tcPr>
          <w:p w14:paraId="6C4C00A5"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2007</w:t>
            </w:r>
          </w:p>
        </w:tc>
        <w:tc>
          <w:tcPr>
            <w:tcW w:w="2380" w:type="dxa"/>
            <w:gridSpan w:val="3"/>
            <w:vMerge/>
            <w:tcBorders>
              <w:top w:val="double" w:sz="6" w:space="0" w:color="auto"/>
              <w:left w:val="single" w:sz="4" w:space="0" w:color="auto"/>
              <w:bottom w:val="single" w:sz="4" w:space="0" w:color="BFBFBF"/>
              <w:right w:val="single" w:sz="4" w:space="0" w:color="000000"/>
            </w:tcBorders>
            <w:vAlign w:val="center"/>
          </w:tcPr>
          <w:p w14:paraId="3AC19E1F" w14:textId="77777777" w:rsidR="00E337BE" w:rsidRPr="00A7775B" w:rsidRDefault="00E337BE" w:rsidP="00E337BE">
            <w:pPr>
              <w:spacing w:before="0" w:after="0"/>
              <w:rPr>
                <w:rFonts w:ascii="Arial" w:hAnsi="Arial" w:cs="Arial"/>
                <w:b/>
                <w:bCs/>
                <w:color w:val="000000"/>
                <w:sz w:val="16"/>
                <w:szCs w:val="16"/>
                <w:lang w:val="en-AU" w:eastAsia="en-AU"/>
              </w:rPr>
            </w:pPr>
          </w:p>
        </w:tc>
        <w:tc>
          <w:tcPr>
            <w:tcW w:w="776" w:type="dxa"/>
            <w:tcBorders>
              <w:top w:val="nil"/>
              <w:left w:val="nil"/>
              <w:bottom w:val="single" w:sz="4" w:space="0" w:color="BFBFBF"/>
              <w:right w:val="single" w:sz="4" w:space="0" w:color="BFBFBF"/>
            </w:tcBorders>
            <w:shd w:val="clear" w:color="auto" w:fill="auto"/>
            <w:noWrap/>
            <w:vAlign w:val="center"/>
          </w:tcPr>
          <w:p w14:paraId="30DBDF8F"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Growth</w:t>
            </w:r>
          </w:p>
        </w:tc>
        <w:tc>
          <w:tcPr>
            <w:tcW w:w="776" w:type="dxa"/>
            <w:tcBorders>
              <w:top w:val="nil"/>
              <w:left w:val="nil"/>
              <w:bottom w:val="single" w:sz="4" w:space="0" w:color="BFBFBF"/>
              <w:right w:val="double" w:sz="6" w:space="0" w:color="auto"/>
            </w:tcBorders>
            <w:shd w:val="clear" w:color="auto" w:fill="auto"/>
            <w:noWrap/>
            <w:vAlign w:val="center"/>
          </w:tcPr>
          <w:p w14:paraId="7E1C31AF"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Growth</w:t>
            </w:r>
          </w:p>
        </w:tc>
      </w:tr>
      <w:tr w:rsidR="00E337BE" w:rsidRPr="00A7775B" w14:paraId="03B956BD" w14:textId="77777777" w:rsidTr="006364BB">
        <w:trPr>
          <w:trHeight w:val="225"/>
          <w:tblHeader/>
          <w:jc w:val="center"/>
        </w:trPr>
        <w:tc>
          <w:tcPr>
            <w:tcW w:w="2291" w:type="dxa"/>
            <w:tcBorders>
              <w:top w:val="nil"/>
              <w:left w:val="double" w:sz="6" w:space="0" w:color="auto"/>
              <w:bottom w:val="single" w:sz="4" w:space="0" w:color="BFBFBF"/>
              <w:right w:val="nil"/>
            </w:tcBorders>
            <w:shd w:val="clear" w:color="auto" w:fill="auto"/>
            <w:noWrap/>
            <w:vAlign w:val="center"/>
          </w:tcPr>
          <w:p w14:paraId="2DD3D62E"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32CC6D7E"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2014</w:t>
            </w:r>
          </w:p>
        </w:tc>
        <w:tc>
          <w:tcPr>
            <w:tcW w:w="808" w:type="dxa"/>
            <w:tcBorders>
              <w:top w:val="nil"/>
              <w:left w:val="nil"/>
              <w:bottom w:val="single" w:sz="4" w:space="0" w:color="BFBFBF"/>
              <w:right w:val="single" w:sz="4" w:space="0" w:color="BFBFBF"/>
            </w:tcBorders>
            <w:shd w:val="clear" w:color="auto" w:fill="auto"/>
            <w:noWrap/>
            <w:vAlign w:val="center"/>
          </w:tcPr>
          <w:p w14:paraId="679138E3"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BFBFBF"/>
            </w:tcBorders>
            <w:shd w:val="clear" w:color="auto" w:fill="auto"/>
            <w:noWrap/>
            <w:vAlign w:val="center"/>
          </w:tcPr>
          <w:p w14:paraId="49404C8F"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2001</w:t>
            </w:r>
          </w:p>
        </w:tc>
        <w:tc>
          <w:tcPr>
            <w:tcW w:w="675" w:type="dxa"/>
            <w:tcBorders>
              <w:top w:val="nil"/>
              <w:left w:val="nil"/>
              <w:bottom w:val="single" w:sz="4" w:space="0" w:color="BFBFBF"/>
              <w:right w:val="single" w:sz="4" w:space="0" w:color="BFBFBF"/>
            </w:tcBorders>
            <w:shd w:val="clear" w:color="auto" w:fill="auto"/>
            <w:noWrap/>
            <w:vAlign w:val="bottom"/>
          </w:tcPr>
          <w:p w14:paraId="42C5D999"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2014</w:t>
            </w:r>
          </w:p>
        </w:tc>
        <w:tc>
          <w:tcPr>
            <w:tcW w:w="675" w:type="dxa"/>
            <w:tcBorders>
              <w:top w:val="nil"/>
              <w:left w:val="nil"/>
              <w:bottom w:val="single" w:sz="4" w:space="0" w:color="BFBFBF"/>
              <w:right w:val="single" w:sz="4" w:space="0" w:color="BFBFBF"/>
            </w:tcBorders>
            <w:shd w:val="clear" w:color="auto" w:fill="auto"/>
            <w:noWrap/>
            <w:vAlign w:val="center"/>
          </w:tcPr>
          <w:p w14:paraId="3B399FA5"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2007</w:t>
            </w:r>
          </w:p>
        </w:tc>
        <w:tc>
          <w:tcPr>
            <w:tcW w:w="675" w:type="dxa"/>
            <w:tcBorders>
              <w:top w:val="nil"/>
              <w:left w:val="nil"/>
              <w:bottom w:val="single" w:sz="4" w:space="0" w:color="BFBFBF"/>
              <w:right w:val="single" w:sz="4" w:space="0" w:color="auto"/>
            </w:tcBorders>
            <w:shd w:val="clear" w:color="auto" w:fill="auto"/>
            <w:noWrap/>
            <w:vAlign w:val="center"/>
          </w:tcPr>
          <w:p w14:paraId="2CAE4759"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2001</w:t>
            </w:r>
          </w:p>
        </w:tc>
        <w:tc>
          <w:tcPr>
            <w:tcW w:w="808" w:type="dxa"/>
            <w:tcBorders>
              <w:top w:val="nil"/>
              <w:left w:val="nil"/>
              <w:bottom w:val="single" w:sz="4" w:space="0" w:color="BFBFBF"/>
              <w:right w:val="single" w:sz="4" w:space="0" w:color="BFBFBF"/>
            </w:tcBorders>
            <w:shd w:val="clear" w:color="auto" w:fill="auto"/>
            <w:noWrap/>
            <w:vAlign w:val="center"/>
          </w:tcPr>
          <w:p w14:paraId="34F3E2F8"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w:t>
            </w:r>
          </w:p>
        </w:tc>
        <w:tc>
          <w:tcPr>
            <w:tcW w:w="675" w:type="dxa"/>
            <w:tcBorders>
              <w:top w:val="nil"/>
              <w:left w:val="nil"/>
              <w:bottom w:val="single" w:sz="4" w:space="0" w:color="BFBFBF"/>
              <w:right w:val="nil"/>
            </w:tcBorders>
            <w:shd w:val="clear" w:color="auto" w:fill="auto"/>
            <w:noWrap/>
            <w:vAlign w:val="center"/>
          </w:tcPr>
          <w:p w14:paraId="0B57226F"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28D0A3BD"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w:t>
            </w:r>
          </w:p>
        </w:tc>
        <w:tc>
          <w:tcPr>
            <w:tcW w:w="684" w:type="dxa"/>
            <w:tcBorders>
              <w:top w:val="nil"/>
              <w:left w:val="nil"/>
              <w:bottom w:val="single" w:sz="4" w:space="0" w:color="BFBFBF"/>
              <w:right w:val="single" w:sz="4" w:space="0" w:color="BFBFBF"/>
            </w:tcBorders>
            <w:shd w:val="clear" w:color="auto" w:fill="auto"/>
            <w:noWrap/>
            <w:vAlign w:val="center"/>
          </w:tcPr>
          <w:p w14:paraId="672651F7"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w:t>
            </w:r>
          </w:p>
        </w:tc>
        <w:tc>
          <w:tcPr>
            <w:tcW w:w="839" w:type="dxa"/>
            <w:tcBorders>
              <w:top w:val="nil"/>
              <w:left w:val="nil"/>
              <w:bottom w:val="single" w:sz="4" w:space="0" w:color="BFBFBF"/>
              <w:right w:val="single" w:sz="4" w:space="0" w:color="BFBFBF"/>
            </w:tcBorders>
            <w:shd w:val="clear" w:color="auto" w:fill="auto"/>
            <w:noWrap/>
            <w:vAlign w:val="center"/>
          </w:tcPr>
          <w:p w14:paraId="4423556F"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1A9161F6"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w:t>
            </w:r>
          </w:p>
        </w:tc>
        <w:tc>
          <w:tcPr>
            <w:tcW w:w="764" w:type="dxa"/>
            <w:tcBorders>
              <w:top w:val="nil"/>
              <w:left w:val="nil"/>
              <w:bottom w:val="single" w:sz="4" w:space="0" w:color="BFBFBF"/>
              <w:right w:val="single" w:sz="4" w:space="0" w:color="BFBFBF"/>
            </w:tcBorders>
            <w:shd w:val="clear" w:color="auto" w:fill="auto"/>
            <w:noWrap/>
            <w:vAlign w:val="bottom"/>
          </w:tcPr>
          <w:p w14:paraId="5667DDA7"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2014</w:t>
            </w:r>
          </w:p>
        </w:tc>
        <w:tc>
          <w:tcPr>
            <w:tcW w:w="808" w:type="dxa"/>
            <w:tcBorders>
              <w:top w:val="nil"/>
              <w:left w:val="nil"/>
              <w:bottom w:val="single" w:sz="4" w:space="0" w:color="BFBFBF"/>
              <w:right w:val="single" w:sz="4" w:space="0" w:color="BFBFBF"/>
            </w:tcBorders>
            <w:shd w:val="clear" w:color="auto" w:fill="auto"/>
            <w:noWrap/>
            <w:vAlign w:val="center"/>
          </w:tcPr>
          <w:p w14:paraId="69AF2DDA"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2007</w:t>
            </w:r>
          </w:p>
        </w:tc>
        <w:tc>
          <w:tcPr>
            <w:tcW w:w="808" w:type="dxa"/>
            <w:tcBorders>
              <w:top w:val="nil"/>
              <w:left w:val="nil"/>
              <w:bottom w:val="single" w:sz="4" w:space="0" w:color="BFBFBF"/>
              <w:right w:val="single" w:sz="4" w:space="0" w:color="auto"/>
            </w:tcBorders>
            <w:shd w:val="clear" w:color="auto" w:fill="auto"/>
            <w:noWrap/>
            <w:vAlign w:val="center"/>
          </w:tcPr>
          <w:p w14:paraId="007EEA67"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2001</w:t>
            </w:r>
          </w:p>
        </w:tc>
        <w:tc>
          <w:tcPr>
            <w:tcW w:w="776" w:type="dxa"/>
            <w:tcBorders>
              <w:top w:val="nil"/>
              <w:left w:val="nil"/>
              <w:bottom w:val="single" w:sz="4" w:space="0" w:color="BFBFBF"/>
              <w:right w:val="single" w:sz="4" w:space="0" w:color="BFBFBF"/>
            </w:tcBorders>
            <w:shd w:val="clear" w:color="auto" w:fill="auto"/>
            <w:noWrap/>
            <w:vAlign w:val="center"/>
          </w:tcPr>
          <w:p w14:paraId="1FF31B9B"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Since</w:t>
            </w:r>
          </w:p>
        </w:tc>
        <w:tc>
          <w:tcPr>
            <w:tcW w:w="776" w:type="dxa"/>
            <w:tcBorders>
              <w:top w:val="nil"/>
              <w:left w:val="nil"/>
              <w:bottom w:val="single" w:sz="4" w:space="0" w:color="BFBFBF"/>
              <w:right w:val="double" w:sz="6" w:space="0" w:color="auto"/>
            </w:tcBorders>
            <w:shd w:val="clear" w:color="auto" w:fill="auto"/>
            <w:noWrap/>
            <w:vAlign w:val="center"/>
          </w:tcPr>
          <w:p w14:paraId="4C76C6E6" w14:textId="77777777" w:rsidR="00E337BE" w:rsidRPr="00A7775B" w:rsidRDefault="006364BB" w:rsidP="006364BB">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2001-</w:t>
            </w:r>
          </w:p>
        </w:tc>
      </w:tr>
      <w:tr w:rsidR="00E337BE" w:rsidRPr="00A7775B" w14:paraId="282D24A0" w14:textId="77777777" w:rsidTr="006364BB">
        <w:trPr>
          <w:trHeight w:val="225"/>
          <w:tblHeader/>
          <w:jc w:val="center"/>
        </w:trPr>
        <w:tc>
          <w:tcPr>
            <w:tcW w:w="2291" w:type="dxa"/>
            <w:tcBorders>
              <w:top w:val="nil"/>
              <w:left w:val="double" w:sz="6" w:space="0" w:color="auto"/>
              <w:bottom w:val="single" w:sz="4" w:space="0" w:color="BFBFBF"/>
              <w:right w:val="nil"/>
            </w:tcBorders>
            <w:shd w:val="clear" w:color="auto" w:fill="auto"/>
            <w:noWrap/>
            <w:vAlign w:val="center"/>
          </w:tcPr>
          <w:p w14:paraId="78413F1D" w14:textId="77777777" w:rsidR="00E337BE" w:rsidRPr="00A7775B" w:rsidRDefault="00E337BE" w:rsidP="00E337BE">
            <w:pPr>
              <w:spacing w:before="0" w:after="0"/>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Sub-group</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A1F2D0C"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n=1,547</w:t>
            </w:r>
          </w:p>
        </w:tc>
        <w:tc>
          <w:tcPr>
            <w:tcW w:w="808" w:type="dxa"/>
            <w:tcBorders>
              <w:top w:val="nil"/>
              <w:left w:val="nil"/>
              <w:bottom w:val="single" w:sz="4" w:space="0" w:color="BFBFBF"/>
              <w:right w:val="single" w:sz="4" w:space="0" w:color="BFBFBF"/>
            </w:tcBorders>
            <w:shd w:val="clear" w:color="auto" w:fill="auto"/>
            <w:noWrap/>
            <w:vAlign w:val="center"/>
          </w:tcPr>
          <w:p w14:paraId="19102CC2"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n=1,579</w:t>
            </w:r>
          </w:p>
        </w:tc>
        <w:tc>
          <w:tcPr>
            <w:tcW w:w="808" w:type="dxa"/>
            <w:tcBorders>
              <w:top w:val="nil"/>
              <w:left w:val="nil"/>
              <w:bottom w:val="single" w:sz="4" w:space="0" w:color="BFBFBF"/>
              <w:right w:val="single" w:sz="4" w:space="0" w:color="BFBFBF"/>
            </w:tcBorders>
            <w:shd w:val="clear" w:color="auto" w:fill="auto"/>
            <w:noWrap/>
            <w:vAlign w:val="center"/>
          </w:tcPr>
          <w:p w14:paraId="1C91CAA5"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n=1,545</w:t>
            </w:r>
          </w:p>
        </w:tc>
        <w:tc>
          <w:tcPr>
            <w:tcW w:w="675" w:type="dxa"/>
            <w:tcBorders>
              <w:top w:val="nil"/>
              <w:left w:val="nil"/>
              <w:bottom w:val="single" w:sz="4" w:space="0" w:color="BFBFBF"/>
              <w:right w:val="single" w:sz="4" w:space="0" w:color="BFBFBF"/>
            </w:tcBorders>
            <w:shd w:val="clear" w:color="auto" w:fill="auto"/>
            <w:noWrap/>
            <w:vAlign w:val="center"/>
          </w:tcPr>
          <w:p w14:paraId="2017F050" w14:textId="584DA3D1" w:rsidR="00E337BE" w:rsidRPr="00A7775B" w:rsidRDefault="00E337BE" w:rsidP="00C7644A">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n=7</w:t>
            </w:r>
            <w:r w:rsidR="00C7644A">
              <w:rPr>
                <w:rFonts w:ascii="Arial" w:hAnsi="Arial" w:cs="Arial"/>
                <w:b/>
                <w:bCs/>
                <w:color w:val="000000"/>
                <w:sz w:val="16"/>
                <w:szCs w:val="16"/>
                <w:lang w:val="en-AU" w:eastAsia="en-AU"/>
              </w:rPr>
              <w:t>52</w:t>
            </w:r>
          </w:p>
        </w:tc>
        <w:tc>
          <w:tcPr>
            <w:tcW w:w="675" w:type="dxa"/>
            <w:tcBorders>
              <w:top w:val="nil"/>
              <w:left w:val="nil"/>
              <w:bottom w:val="single" w:sz="4" w:space="0" w:color="BFBFBF"/>
              <w:right w:val="single" w:sz="4" w:space="0" w:color="BFBFBF"/>
            </w:tcBorders>
            <w:shd w:val="clear" w:color="auto" w:fill="auto"/>
            <w:noWrap/>
            <w:vAlign w:val="center"/>
          </w:tcPr>
          <w:p w14:paraId="516AF4C5"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n=627</w:t>
            </w:r>
          </w:p>
        </w:tc>
        <w:tc>
          <w:tcPr>
            <w:tcW w:w="675" w:type="dxa"/>
            <w:tcBorders>
              <w:top w:val="nil"/>
              <w:left w:val="nil"/>
              <w:bottom w:val="single" w:sz="4" w:space="0" w:color="BFBFBF"/>
              <w:right w:val="single" w:sz="4" w:space="0" w:color="auto"/>
            </w:tcBorders>
            <w:shd w:val="clear" w:color="auto" w:fill="auto"/>
            <w:noWrap/>
            <w:vAlign w:val="center"/>
          </w:tcPr>
          <w:p w14:paraId="0F3CFCE4"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n=576</w:t>
            </w:r>
          </w:p>
        </w:tc>
        <w:tc>
          <w:tcPr>
            <w:tcW w:w="808" w:type="dxa"/>
            <w:tcBorders>
              <w:top w:val="nil"/>
              <w:left w:val="nil"/>
              <w:bottom w:val="single" w:sz="4" w:space="0" w:color="BFBFBF"/>
              <w:right w:val="single" w:sz="4" w:space="0" w:color="BFBFBF"/>
            </w:tcBorders>
            <w:shd w:val="clear" w:color="auto" w:fill="auto"/>
            <w:noWrap/>
            <w:vAlign w:val="center"/>
          </w:tcPr>
          <w:p w14:paraId="31BE69B5"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n=1,547</w:t>
            </w:r>
          </w:p>
        </w:tc>
        <w:tc>
          <w:tcPr>
            <w:tcW w:w="675" w:type="dxa"/>
            <w:tcBorders>
              <w:top w:val="nil"/>
              <w:left w:val="nil"/>
              <w:bottom w:val="single" w:sz="4" w:space="0" w:color="BFBFBF"/>
              <w:right w:val="nil"/>
            </w:tcBorders>
            <w:shd w:val="clear" w:color="auto" w:fill="auto"/>
            <w:noWrap/>
            <w:vAlign w:val="center"/>
          </w:tcPr>
          <w:p w14:paraId="70EA050A" w14:textId="29CAAE87" w:rsidR="00E337BE" w:rsidRPr="00A7775B" w:rsidRDefault="00E337BE" w:rsidP="00C7644A">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n=7</w:t>
            </w:r>
            <w:r w:rsidR="00C7644A">
              <w:rPr>
                <w:rFonts w:ascii="Arial" w:hAnsi="Arial" w:cs="Arial"/>
                <w:b/>
                <w:bCs/>
                <w:color w:val="000000"/>
                <w:sz w:val="16"/>
                <w:szCs w:val="16"/>
                <w:lang w:val="en-AU" w:eastAsia="en-AU"/>
              </w:rPr>
              <w:t>52</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5CD04AFD"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n=1,547</w:t>
            </w:r>
          </w:p>
        </w:tc>
        <w:tc>
          <w:tcPr>
            <w:tcW w:w="684" w:type="dxa"/>
            <w:tcBorders>
              <w:top w:val="nil"/>
              <w:left w:val="nil"/>
              <w:bottom w:val="single" w:sz="4" w:space="0" w:color="BFBFBF"/>
              <w:right w:val="single" w:sz="4" w:space="0" w:color="BFBFBF"/>
            </w:tcBorders>
            <w:shd w:val="clear" w:color="auto" w:fill="auto"/>
            <w:noWrap/>
            <w:vAlign w:val="center"/>
          </w:tcPr>
          <w:p w14:paraId="3DD9BD94"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n=235</w:t>
            </w:r>
          </w:p>
        </w:tc>
        <w:tc>
          <w:tcPr>
            <w:tcW w:w="839" w:type="dxa"/>
            <w:tcBorders>
              <w:top w:val="nil"/>
              <w:left w:val="nil"/>
              <w:bottom w:val="single" w:sz="4" w:space="0" w:color="BFBFBF"/>
              <w:right w:val="single" w:sz="4" w:space="0" w:color="BFBFBF"/>
            </w:tcBorders>
            <w:shd w:val="clear" w:color="auto" w:fill="auto"/>
            <w:noWrap/>
            <w:vAlign w:val="center"/>
          </w:tcPr>
          <w:p w14:paraId="654A9F4B"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n=1,579</w:t>
            </w:r>
          </w:p>
        </w:tc>
        <w:tc>
          <w:tcPr>
            <w:tcW w:w="675" w:type="dxa"/>
            <w:tcBorders>
              <w:top w:val="nil"/>
              <w:left w:val="nil"/>
              <w:bottom w:val="single" w:sz="4" w:space="0" w:color="BFBFBF"/>
              <w:right w:val="single" w:sz="4" w:space="0" w:color="auto"/>
            </w:tcBorders>
            <w:shd w:val="clear" w:color="auto" w:fill="auto"/>
            <w:noWrap/>
            <w:vAlign w:val="center"/>
          </w:tcPr>
          <w:p w14:paraId="7ACDF9DA"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n=178</w:t>
            </w:r>
          </w:p>
        </w:tc>
        <w:tc>
          <w:tcPr>
            <w:tcW w:w="764" w:type="dxa"/>
            <w:tcBorders>
              <w:top w:val="nil"/>
              <w:left w:val="nil"/>
              <w:bottom w:val="single" w:sz="4" w:space="0" w:color="BFBFBF"/>
              <w:right w:val="single" w:sz="4" w:space="0" w:color="BFBFBF"/>
            </w:tcBorders>
            <w:shd w:val="clear" w:color="auto" w:fill="auto"/>
            <w:noWrap/>
            <w:vAlign w:val="center"/>
          </w:tcPr>
          <w:p w14:paraId="4AF718D4" w14:textId="06D653BD" w:rsidR="00E337BE" w:rsidRPr="00A7775B" w:rsidRDefault="00E337BE" w:rsidP="006935F2">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n=15</w:t>
            </w:r>
            <w:r w:rsidR="006935F2">
              <w:rPr>
                <w:rFonts w:ascii="Arial" w:hAnsi="Arial" w:cs="Arial"/>
                <w:b/>
                <w:bCs/>
                <w:color w:val="000000"/>
                <w:sz w:val="16"/>
                <w:szCs w:val="16"/>
                <w:lang w:val="en-AU" w:eastAsia="en-AU"/>
              </w:rPr>
              <w:t>45</w:t>
            </w:r>
          </w:p>
        </w:tc>
        <w:tc>
          <w:tcPr>
            <w:tcW w:w="808" w:type="dxa"/>
            <w:tcBorders>
              <w:top w:val="nil"/>
              <w:left w:val="nil"/>
              <w:bottom w:val="single" w:sz="4" w:space="0" w:color="BFBFBF"/>
              <w:right w:val="single" w:sz="4" w:space="0" w:color="BFBFBF"/>
            </w:tcBorders>
            <w:shd w:val="clear" w:color="auto" w:fill="auto"/>
            <w:noWrap/>
            <w:vAlign w:val="center"/>
          </w:tcPr>
          <w:p w14:paraId="048067F1"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n=1,574</w:t>
            </w:r>
          </w:p>
        </w:tc>
        <w:tc>
          <w:tcPr>
            <w:tcW w:w="808" w:type="dxa"/>
            <w:tcBorders>
              <w:top w:val="nil"/>
              <w:left w:val="nil"/>
              <w:bottom w:val="single" w:sz="4" w:space="0" w:color="BFBFBF"/>
              <w:right w:val="single" w:sz="4" w:space="0" w:color="auto"/>
            </w:tcBorders>
            <w:shd w:val="clear" w:color="auto" w:fill="auto"/>
            <w:noWrap/>
            <w:vAlign w:val="center"/>
          </w:tcPr>
          <w:p w14:paraId="4D2043BE"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n=1,545</w:t>
            </w:r>
          </w:p>
        </w:tc>
        <w:tc>
          <w:tcPr>
            <w:tcW w:w="776" w:type="dxa"/>
            <w:tcBorders>
              <w:top w:val="nil"/>
              <w:left w:val="nil"/>
              <w:bottom w:val="single" w:sz="4" w:space="0" w:color="BFBFBF"/>
              <w:right w:val="single" w:sz="4" w:space="0" w:color="BFBFBF"/>
            </w:tcBorders>
            <w:shd w:val="clear" w:color="auto" w:fill="auto"/>
            <w:noWrap/>
            <w:vAlign w:val="center"/>
          </w:tcPr>
          <w:p w14:paraId="69D3BCE4" w14:textId="77777777" w:rsidR="00E337BE" w:rsidRPr="00A7775B" w:rsidRDefault="00E337BE" w:rsidP="00E337BE">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2007</w:t>
            </w:r>
          </w:p>
        </w:tc>
        <w:tc>
          <w:tcPr>
            <w:tcW w:w="776" w:type="dxa"/>
            <w:tcBorders>
              <w:top w:val="nil"/>
              <w:left w:val="nil"/>
              <w:bottom w:val="single" w:sz="4" w:space="0" w:color="BFBFBF"/>
              <w:right w:val="double" w:sz="6" w:space="0" w:color="auto"/>
            </w:tcBorders>
            <w:shd w:val="clear" w:color="auto" w:fill="auto"/>
            <w:noWrap/>
            <w:vAlign w:val="center"/>
          </w:tcPr>
          <w:p w14:paraId="7B02741B" w14:textId="77777777" w:rsidR="00E337BE" w:rsidRPr="00A7775B" w:rsidRDefault="00E337BE" w:rsidP="006364BB">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200</w:t>
            </w:r>
            <w:r w:rsidR="006364BB" w:rsidRPr="00A7775B">
              <w:rPr>
                <w:rFonts w:ascii="Arial" w:hAnsi="Arial" w:cs="Arial"/>
                <w:b/>
                <w:bCs/>
                <w:color w:val="000000"/>
                <w:sz w:val="16"/>
                <w:szCs w:val="16"/>
                <w:lang w:val="en-AU" w:eastAsia="en-AU"/>
              </w:rPr>
              <w:t>7</w:t>
            </w:r>
          </w:p>
        </w:tc>
      </w:tr>
      <w:tr w:rsidR="00E337BE" w:rsidRPr="00A7775B" w14:paraId="3B706613" w14:textId="77777777" w:rsidTr="006364B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66E2C87E" w14:textId="77777777" w:rsidR="00E337BE" w:rsidRPr="00A7775B" w:rsidRDefault="00E337BE" w:rsidP="00E337BE">
            <w:pPr>
              <w:spacing w:before="0" w:after="0"/>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By Region -</w:t>
            </w:r>
          </w:p>
        </w:tc>
        <w:tc>
          <w:tcPr>
            <w:tcW w:w="808" w:type="dxa"/>
            <w:tcBorders>
              <w:top w:val="nil"/>
              <w:left w:val="single" w:sz="4" w:space="0" w:color="auto"/>
              <w:bottom w:val="single" w:sz="4" w:space="0" w:color="BFBFBF"/>
              <w:right w:val="single" w:sz="4" w:space="0" w:color="BFBFBF"/>
            </w:tcBorders>
            <w:shd w:val="clear" w:color="auto" w:fill="auto"/>
            <w:noWrap/>
            <w:vAlign w:val="bottom"/>
          </w:tcPr>
          <w:p w14:paraId="253276B9" w14:textId="77777777" w:rsidR="00E337BE" w:rsidRPr="00A7775B" w:rsidRDefault="00E337BE" w:rsidP="00E337BE">
            <w:pPr>
              <w:spacing w:before="0" w:after="0"/>
              <w:rPr>
                <w:rFonts w:ascii="Arial" w:hAnsi="Arial" w:cs="Arial"/>
                <w:color w:val="FF0000"/>
                <w:sz w:val="16"/>
                <w:szCs w:val="16"/>
                <w:lang w:val="en-AU" w:eastAsia="en-AU"/>
              </w:rPr>
            </w:pPr>
            <w:r w:rsidRPr="00A7775B">
              <w:rPr>
                <w:rFonts w:ascii="Arial" w:hAnsi="Arial" w:cs="Arial"/>
                <w:color w:val="FF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1C014EBB"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9362642"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bottom"/>
          </w:tcPr>
          <w:p w14:paraId="2D66B960"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BFBFBF"/>
            </w:tcBorders>
            <w:shd w:val="clear" w:color="auto" w:fill="auto"/>
            <w:noWrap/>
            <w:vAlign w:val="center"/>
          </w:tcPr>
          <w:p w14:paraId="58E2540B"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7DBEFE5D"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bottom"/>
          </w:tcPr>
          <w:p w14:paraId="233123DB" w14:textId="77777777" w:rsidR="00E337BE" w:rsidRPr="00A7775B" w:rsidRDefault="00E337BE" w:rsidP="00E337BE">
            <w:pPr>
              <w:spacing w:before="0" w:after="0"/>
              <w:rPr>
                <w:rFonts w:ascii="Arial" w:hAnsi="Arial" w:cs="Arial"/>
                <w:color w:val="FF0000"/>
                <w:sz w:val="16"/>
                <w:szCs w:val="16"/>
                <w:lang w:val="en-AU" w:eastAsia="en-AU"/>
              </w:rPr>
            </w:pPr>
            <w:r w:rsidRPr="00A7775B">
              <w:rPr>
                <w:rFonts w:ascii="Arial" w:hAnsi="Arial" w:cs="Arial"/>
                <w:color w:val="FF0000"/>
                <w:sz w:val="16"/>
                <w:szCs w:val="16"/>
                <w:lang w:val="en-AU" w:eastAsia="en-AU"/>
              </w:rPr>
              <w:t> </w:t>
            </w:r>
          </w:p>
        </w:tc>
        <w:tc>
          <w:tcPr>
            <w:tcW w:w="675" w:type="dxa"/>
            <w:tcBorders>
              <w:top w:val="nil"/>
              <w:left w:val="nil"/>
              <w:bottom w:val="single" w:sz="4" w:space="0" w:color="BFBFBF"/>
              <w:right w:val="nil"/>
            </w:tcBorders>
            <w:shd w:val="clear" w:color="auto" w:fill="auto"/>
            <w:noWrap/>
            <w:vAlign w:val="bottom"/>
          </w:tcPr>
          <w:p w14:paraId="2F395BF5"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871" w:type="dxa"/>
            <w:tcBorders>
              <w:top w:val="nil"/>
              <w:left w:val="single" w:sz="4" w:space="0" w:color="auto"/>
              <w:bottom w:val="single" w:sz="4" w:space="0" w:color="BFBFBF"/>
              <w:right w:val="single" w:sz="4" w:space="0" w:color="BFBFBF"/>
            </w:tcBorders>
            <w:shd w:val="clear" w:color="auto" w:fill="auto"/>
            <w:noWrap/>
            <w:vAlign w:val="bottom"/>
          </w:tcPr>
          <w:p w14:paraId="46897FD9"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684" w:type="dxa"/>
            <w:tcBorders>
              <w:top w:val="nil"/>
              <w:left w:val="nil"/>
              <w:bottom w:val="single" w:sz="4" w:space="0" w:color="BFBFBF"/>
              <w:right w:val="single" w:sz="4" w:space="0" w:color="BFBFBF"/>
            </w:tcBorders>
            <w:shd w:val="clear" w:color="auto" w:fill="auto"/>
            <w:noWrap/>
            <w:vAlign w:val="bottom"/>
          </w:tcPr>
          <w:p w14:paraId="23FA8A5D"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839" w:type="dxa"/>
            <w:tcBorders>
              <w:top w:val="nil"/>
              <w:left w:val="nil"/>
              <w:bottom w:val="single" w:sz="4" w:space="0" w:color="BFBFBF"/>
              <w:right w:val="single" w:sz="4" w:space="0" w:color="BFBFBF"/>
            </w:tcBorders>
            <w:shd w:val="clear" w:color="auto" w:fill="auto"/>
            <w:noWrap/>
            <w:vAlign w:val="bottom"/>
          </w:tcPr>
          <w:p w14:paraId="5D9AE627" w14:textId="77777777" w:rsidR="00E337BE" w:rsidRPr="00A7775B" w:rsidRDefault="00E337BE" w:rsidP="00E337BE">
            <w:pPr>
              <w:spacing w:before="0" w:after="0"/>
              <w:rPr>
                <w:rFonts w:ascii="Arial" w:hAnsi="Arial" w:cs="Arial"/>
                <w:color w:val="FF0000"/>
                <w:sz w:val="16"/>
                <w:szCs w:val="16"/>
                <w:lang w:val="en-AU" w:eastAsia="en-AU"/>
              </w:rPr>
            </w:pPr>
            <w:r w:rsidRPr="00A7775B">
              <w:rPr>
                <w:rFonts w:ascii="Arial" w:hAnsi="Arial" w:cs="Arial"/>
                <w:color w:val="FF0000"/>
                <w:sz w:val="16"/>
                <w:szCs w:val="16"/>
                <w:lang w:val="en-AU" w:eastAsia="en-AU"/>
              </w:rPr>
              <w:t> </w:t>
            </w:r>
          </w:p>
        </w:tc>
        <w:tc>
          <w:tcPr>
            <w:tcW w:w="675" w:type="dxa"/>
            <w:tcBorders>
              <w:top w:val="nil"/>
              <w:left w:val="nil"/>
              <w:bottom w:val="single" w:sz="4" w:space="0" w:color="BFBFBF"/>
              <w:right w:val="single" w:sz="4" w:space="0" w:color="auto"/>
            </w:tcBorders>
            <w:shd w:val="clear" w:color="auto" w:fill="auto"/>
            <w:noWrap/>
            <w:vAlign w:val="center"/>
          </w:tcPr>
          <w:p w14:paraId="1A7C543E"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764" w:type="dxa"/>
            <w:tcBorders>
              <w:top w:val="nil"/>
              <w:left w:val="nil"/>
              <w:bottom w:val="single" w:sz="4" w:space="0" w:color="BFBFBF"/>
              <w:right w:val="single" w:sz="4" w:space="0" w:color="BFBFBF"/>
            </w:tcBorders>
            <w:shd w:val="clear" w:color="auto" w:fill="auto"/>
            <w:noWrap/>
            <w:vAlign w:val="bottom"/>
          </w:tcPr>
          <w:p w14:paraId="2EB87B7B"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BFBFBF"/>
            </w:tcBorders>
            <w:shd w:val="clear" w:color="auto" w:fill="auto"/>
            <w:noWrap/>
            <w:vAlign w:val="center"/>
          </w:tcPr>
          <w:p w14:paraId="7665F6EC"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808" w:type="dxa"/>
            <w:tcBorders>
              <w:top w:val="nil"/>
              <w:left w:val="nil"/>
              <w:bottom w:val="single" w:sz="4" w:space="0" w:color="BFBFBF"/>
              <w:right w:val="single" w:sz="4" w:space="0" w:color="auto"/>
            </w:tcBorders>
            <w:shd w:val="clear" w:color="auto" w:fill="auto"/>
            <w:noWrap/>
            <w:vAlign w:val="center"/>
          </w:tcPr>
          <w:p w14:paraId="40BEA263"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776" w:type="dxa"/>
            <w:tcBorders>
              <w:top w:val="nil"/>
              <w:left w:val="nil"/>
              <w:bottom w:val="single" w:sz="4" w:space="0" w:color="BFBFBF"/>
              <w:right w:val="single" w:sz="4" w:space="0" w:color="BFBFBF"/>
            </w:tcBorders>
            <w:shd w:val="clear" w:color="auto" w:fill="auto"/>
            <w:noWrap/>
            <w:vAlign w:val="bottom"/>
          </w:tcPr>
          <w:p w14:paraId="6C68841B"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c>
          <w:tcPr>
            <w:tcW w:w="776" w:type="dxa"/>
            <w:tcBorders>
              <w:top w:val="nil"/>
              <w:left w:val="nil"/>
              <w:bottom w:val="single" w:sz="4" w:space="0" w:color="BFBFBF"/>
              <w:right w:val="double" w:sz="6" w:space="0" w:color="auto"/>
            </w:tcBorders>
            <w:shd w:val="clear" w:color="auto" w:fill="auto"/>
            <w:noWrap/>
            <w:vAlign w:val="center"/>
          </w:tcPr>
          <w:p w14:paraId="00A0FF57" w14:textId="77777777" w:rsidR="00E337BE" w:rsidRPr="00A7775B" w:rsidRDefault="00E337BE" w:rsidP="00E337BE">
            <w:pPr>
              <w:spacing w:before="0" w:after="0"/>
              <w:rPr>
                <w:rFonts w:ascii="Arial" w:hAnsi="Arial" w:cs="Arial"/>
                <w:color w:val="000000"/>
                <w:sz w:val="16"/>
                <w:szCs w:val="16"/>
                <w:lang w:val="en-AU" w:eastAsia="en-AU"/>
              </w:rPr>
            </w:pPr>
            <w:r w:rsidRPr="00A7775B">
              <w:rPr>
                <w:rFonts w:ascii="Arial" w:hAnsi="Arial" w:cs="Arial"/>
                <w:color w:val="000000"/>
                <w:sz w:val="16"/>
                <w:szCs w:val="16"/>
                <w:lang w:val="en-AU" w:eastAsia="en-AU"/>
              </w:rPr>
              <w:t> </w:t>
            </w:r>
          </w:p>
        </w:tc>
      </w:tr>
      <w:tr w:rsidR="00F44114" w:rsidRPr="00A7775B" w14:paraId="50D46AA0"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6208CCF4"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A7775B">
                  <w:rPr>
                    <w:rFonts w:ascii="Arial" w:hAnsi="Arial" w:cs="Arial"/>
                    <w:color w:val="000000"/>
                    <w:sz w:val="16"/>
                    <w:szCs w:val="16"/>
                    <w:lang w:val="en-AU" w:eastAsia="en-AU"/>
                  </w:rPr>
                  <w:t>Melbourne</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6ABA115" w14:textId="73F08E5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36%</w:t>
            </w:r>
          </w:p>
        </w:tc>
        <w:tc>
          <w:tcPr>
            <w:tcW w:w="808" w:type="dxa"/>
            <w:tcBorders>
              <w:top w:val="nil"/>
              <w:left w:val="nil"/>
              <w:bottom w:val="single" w:sz="4" w:space="0" w:color="BFBFBF"/>
              <w:right w:val="single" w:sz="4" w:space="0" w:color="BFBFBF"/>
            </w:tcBorders>
            <w:shd w:val="clear" w:color="auto" w:fill="auto"/>
            <w:noWrap/>
            <w:vAlign w:val="center"/>
          </w:tcPr>
          <w:p w14:paraId="014F607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28%</w:t>
            </w:r>
          </w:p>
        </w:tc>
        <w:tc>
          <w:tcPr>
            <w:tcW w:w="808" w:type="dxa"/>
            <w:tcBorders>
              <w:top w:val="nil"/>
              <w:left w:val="nil"/>
              <w:bottom w:val="single" w:sz="4" w:space="0" w:color="BFBFBF"/>
              <w:right w:val="single" w:sz="4" w:space="0" w:color="BFBFBF"/>
            </w:tcBorders>
            <w:shd w:val="clear" w:color="auto" w:fill="auto"/>
            <w:noWrap/>
            <w:vAlign w:val="center"/>
          </w:tcPr>
          <w:p w14:paraId="5D33C9A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24%</w:t>
            </w:r>
          </w:p>
        </w:tc>
        <w:tc>
          <w:tcPr>
            <w:tcW w:w="675" w:type="dxa"/>
            <w:tcBorders>
              <w:top w:val="nil"/>
              <w:left w:val="nil"/>
              <w:bottom w:val="single" w:sz="4" w:space="0" w:color="BFBFBF"/>
              <w:right w:val="single" w:sz="4" w:space="0" w:color="BFBFBF"/>
            </w:tcBorders>
            <w:shd w:val="clear" w:color="auto" w:fill="auto"/>
            <w:noWrap/>
            <w:vAlign w:val="center"/>
          </w:tcPr>
          <w:p w14:paraId="26CB2BFD" w14:textId="737BA18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204</w:t>
            </w:r>
          </w:p>
        </w:tc>
        <w:tc>
          <w:tcPr>
            <w:tcW w:w="675" w:type="dxa"/>
            <w:tcBorders>
              <w:top w:val="nil"/>
              <w:left w:val="nil"/>
              <w:bottom w:val="single" w:sz="4" w:space="0" w:color="BFBFBF"/>
              <w:right w:val="single" w:sz="4" w:space="0" w:color="BFBFBF"/>
            </w:tcBorders>
            <w:shd w:val="clear" w:color="auto" w:fill="auto"/>
            <w:noWrap/>
            <w:vAlign w:val="center"/>
          </w:tcPr>
          <w:p w14:paraId="5B63499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0B0A5CE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136</w:t>
            </w:r>
          </w:p>
        </w:tc>
        <w:tc>
          <w:tcPr>
            <w:tcW w:w="808" w:type="dxa"/>
            <w:tcBorders>
              <w:top w:val="nil"/>
              <w:left w:val="nil"/>
              <w:bottom w:val="single" w:sz="4" w:space="0" w:color="BFBFBF"/>
              <w:right w:val="single" w:sz="4" w:space="0" w:color="BFBFBF"/>
            </w:tcBorders>
            <w:shd w:val="clear" w:color="auto" w:fill="auto"/>
            <w:noWrap/>
            <w:vAlign w:val="center"/>
          </w:tcPr>
          <w:p w14:paraId="2799DA5D" w14:textId="08866D9A"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36%</w:t>
            </w:r>
          </w:p>
        </w:tc>
        <w:tc>
          <w:tcPr>
            <w:tcW w:w="675" w:type="dxa"/>
            <w:tcBorders>
              <w:top w:val="nil"/>
              <w:left w:val="nil"/>
              <w:bottom w:val="single" w:sz="4" w:space="0" w:color="BFBFBF"/>
              <w:right w:val="nil"/>
            </w:tcBorders>
            <w:shd w:val="clear" w:color="auto" w:fill="auto"/>
            <w:noWrap/>
            <w:vAlign w:val="center"/>
          </w:tcPr>
          <w:p w14:paraId="545AE538" w14:textId="0A125C4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3E18817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15%</w:t>
            </w:r>
          </w:p>
        </w:tc>
        <w:tc>
          <w:tcPr>
            <w:tcW w:w="684" w:type="dxa"/>
            <w:tcBorders>
              <w:top w:val="nil"/>
              <w:left w:val="nil"/>
              <w:bottom w:val="single" w:sz="4" w:space="0" w:color="BFBFBF"/>
              <w:right w:val="single" w:sz="4" w:space="0" w:color="BFBFBF"/>
            </w:tcBorders>
            <w:shd w:val="clear" w:color="auto" w:fill="auto"/>
            <w:noWrap/>
            <w:vAlign w:val="center"/>
          </w:tcPr>
          <w:p w14:paraId="4D2B903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67</w:t>
            </w:r>
          </w:p>
        </w:tc>
        <w:tc>
          <w:tcPr>
            <w:tcW w:w="839" w:type="dxa"/>
            <w:tcBorders>
              <w:top w:val="nil"/>
              <w:left w:val="nil"/>
              <w:bottom w:val="single" w:sz="4" w:space="0" w:color="BFBFBF"/>
              <w:right w:val="single" w:sz="4" w:space="0" w:color="BFBFBF"/>
            </w:tcBorders>
            <w:shd w:val="clear" w:color="auto" w:fill="auto"/>
            <w:noWrap/>
            <w:vAlign w:val="center"/>
          </w:tcPr>
          <w:p w14:paraId="1B47791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10%</w:t>
            </w:r>
          </w:p>
        </w:tc>
        <w:tc>
          <w:tcPr>
            <w:tcW w:w="675" w:type="dxa"/>
            <w:tcBorders>
              <w:top w:val="nil"/>
              <w:left w:val="nil"/>
              <w:bottom w:val="single" w:sz="4" w:space="0" w:color="BFBFBF"/>
              <w:right w:val="single" w:sz="4" w:space="0" w:color="auto"/>
            </w:tcBorders>
            <w:shd w:val="clear" w:color="auto" w:fill="auto"/>
            <w:noWrap/>
            <w:vAlign w:val="center"/>
          </w:tcPr>
          <w:p w14:paraId="1FFD90F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50</w:t>
            </w:r>
          </w:p>
        </w:tc>
        <w:tc>
          <w:tcPr>
            <w:tcW w:w="764" w:type="dxa"/>
            <w:tcBorders>
              <w:top w:val="nil"/>
              <w:left w:val="nil"/>
              <w:bottom w:val="single" w:sz="4" w:space="0" w:color="BFBFBF"/>
              <w:right w:val="single" w:sz="4" w:space="0" w:color="BFBFBF"/>
            </w:tcBorders>
            <w:shd w:val="clear" w:color="auto" w:fill="auto"/>
            <w:noWrap/>
            <w:vAlign w:val="center"/>
          </w:tcPr>
          <w:p w14:paraId="5DB0431A" w14:textId="316C6F4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1,558</w:t>
            </w:r>
          </w:p>
        </w:tc>
        <w:tc>
          <w:tcPr>
            <w:tcW w:w="808" w:type="dxa"/>
            <w:tcBorders>
              <w:top w:val="nil"/>
              <w:left w:val="nil"/>
              <w:bottom w:val="single" w:sz="4" w:space="0" w:color="BFBFBF"/>
              <w:right w:val="single" w:sz="4" w:space="0" w:color="BFBFBF"/>
            </w:tcBorders>
            <w:shd w:val="clear" w:color="auto" w:fill="auto"/>
            <w:noWrap/>
            <w:vAlign w:val="center"/>
          </w:tcPr>
          <w:p w14:paraId="4E0B2CB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973</w:t>
            </w:r>
          </w:p>
        </w:tc>
        <w:tc>
          <w:tcPr>
            <w:tcW w:w="808" w:type="dxa"/>
            <w:tcBorders>
              <w:top w:val="nil"/>
              <w:left w:val="nil"/>
              <w:bottom w:val="single" w:sz="4" w:space="0" w:color="BFBFBF"/>
              <w:right w:val="single" w:sz="4" w:space="0" w:color="auto"/>
            </w:tcBorders>
            <w:shd w:val="clear" w:color="auto" w:fill="auto"/>
            <w:noWrap/>
            <w:vAlign w:val="center"/>
          </w:tcPr>
          <w:p w14:paraId="1DBE398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681</w:t>
            </w:r>
          </w:p>
        </w:tc>
        <w:tc>
          <w:tcPr>
            <w:tcW w:w="776" w:type="dxa"/>
            <w:tcBorders>
              <w:top w:val="nil"/>
              <w:left w:val="nil"/>
              <w:bottom w:val="single" w:sz="4" w:space="0" w:color="BFBFBF"/>
              <w:right w:val="single" w:sz="4" w:space="0" w:color="BFBFBF"/>
            </w:tcBorders>
            <w:shd w:val="clear" w:color="auto" w:fill="auto"/>
            <w:noWrap/>
            <w:vAlign w:val="center"/>
          </w:tcPr>
          <w:p w14:paraId="25B19E80" w14:textId="5175A02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60.1%</w:t>
            </w:r>
          </w:p>
        </w:tc>
        <w:tc>
          <w:tcPr>
            <w:tcW w:w="776" w:type="dxa"/>
            <w:tcBorders>
              <w:top w:val="nil"/>
              <w:left w:val="nil"/>
              <w:bottom w:val="single" w:sz="4" w:space="0" w:color="BFBFBF"/>
              <w:right w:val="double" w:sz="6" w:space="0" w:color="auto"/>
            </w:tcBorders>
            <w:shd w:val="clear" w:color="auto" w:fill="auto"/>
            <w:noWrap/>
            <w:vAlign w:val="center"/>
          </w:tcPr>
          <w:p w14:paraId="2A1A5FA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42.9%</w:t>
            </w:r>
          </w:p>
        </w:tc>
      </w:tr>
      <w:tr w:rsidR="00F44114" w:rsidRPr="00A7775B" w14:paraId="21B5F294"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000B579E"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Country VIC</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E2CF38E" w14:textId="3DAD4F9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42%</w:t>
            </w:r>
          </w:p>
        </w:tc>
        <w:tc>
          <w:tcPr>
            <w:tcW w:w="808" w:type="dxa"/>
            <w:tcBorders>
              <w:top w:val="nil"/>
              <w:left w:val="nil"/>
              <w:bottom w:val="single" w:sz="4" w:space="0" w:color="BFBFBF"/>
              <w:right w:val="single" w:sz="4" w:space="0" w:color="BFBFBF"/>
            </w:tcBorders>
            <w:shd w:val="clear" w:color="auto" w:fill="auto"/>
            <w:noWrap/>
            <w:vAlign w:val="center"/>
          </w:tcPr>
          <w:p w14:paraId="2D88806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38%</w:t>
            </w:r>
          </w:p>
        </w:tc>
        <w:tc>
          <w:tcPr>
            <w:tcW w:w="808" w:type="dxa"/>
            <w:tcBorders>
              <w:top w:val="nil"/>
              <w:left w:val="nil"/>
              <w:bottom w:val="single" w:sz="4" w:space="0" w:color="BFBFBF"/>
              <w:right w:val="single" w:sz="4" w:space="0" w:color="BFBFBF"/>
            </w:tcBorders>
            <w:shd w:val="clear" w:color="auto" w:fill="auto"/>
            <w:noWrap/>
            <w:vAlign w:val="center"/>
          </w:tcPr>
          <w:p w14:paraId="68B2D38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40%</w:t>
            </w:r>
          </w:p>
        </w:tc>
        <w:tc>
          <w:tcPr>
            <w:tcW w:w="675" w:type="dxa"/>
            <w:tcBorders>
              <w:top w:val="nil"/>
              <w:left w:val="nil"/>
              <w:bottom w:val="single" w:sz="4" w:space="0" w:color="BFBFBF"/>
              <w:right w:val="single" w:sz="4" w:space="0" w:color="BFBFBF"/>
            </w:tcBorders>
            <w:shd w:val="clear" w:color="auto" w:fill="auto"/>
            <w:noWrap/>
            <w:vAlign w:val="center"/>
          </w:tcPr>
          <w:p w14:paraId="2F6988EF" w14:textId="7078388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200</w:t>
            </w:r>
          </w:p>
        </w:tc>
        <w:tc>
          <w:tcPr>
            <w:tcW w:w="675" w:type="dxa"/>
            <w:tcBorders>
              <w:top w:val="nil"/>
              <w:left w:val="nil"/>
              <w:bottom w:val="single" w:sz="4" w:space="0" w:color="BFBFBF"/>
              <w:right w:val="single" w:sz="4" w:space="0" w:color="BFBFBF"/>
            </w:tcBorders>
            <w:shd w:val="clear" w:color="auto" w:fill="auto"/>
            <w:noWrap/>
            <w:vAlign w:val="center"/>
          </w:tcPr>
          <w:p w14:paraId="7EB6F6B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4C23A5A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135</w:t>
            </w:r>
          </w:p>
        </w:tc>
        <w:tc>
          <w:tcPr>
            <w:tcW w:w="808" w:type="dxa"/>
            <w:tcBorders>
              <w:top w:val="nil"/>
              <w:left w:val="nil"/>
              <w:bottom w:val="single" w:sz="4" w:space="0" w:color="BFBFBF"/>
              <w:right w:val="single" w:sz="4" w:space="0" w:color="BFBFBF"/>
            </w:tcBorders>
            <w:shd w:val="clear" w:color="auto" w:fill="auto"/>
            <w:noWrap/>
            <w:vAlign w:val="center"/>
          </w:tcPr>
          <w:p w14:paraId="0E976D36" w14:textId="6205C502"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42%</w:t>
            </w:r>
          </w:p>
        </w:tc>
        <w:tc>
          <w:tcPr>
            <w:tcW w:w="675" w:type="dxa"/>
            <w:tcBorders>
              <w:top w:val="nil"/>
              <w:left w:val="nil"/>
              <w:bottom w:val="single" w:sz="4" w:space="0" w:color="BFBFBF"/>
              <w:right w:val="nil"/>
            </w:tcBorders>
            <w:shd w:val="clear" w:color="auto" w:fill="auto"/>
            <w:noWrap/>
            <w:vAlign w:val="center"/>
          </w:tcPr>
          <w:p w14:paraId="62456D28" w14:textId="1868F1A0"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49</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1C798EB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8%</w:t>
            </w:r>
          </w:p>
        </w:tc>
        <w:tc>
          <w:tcPr>
            <w:tcW w:w="684" w:type="dxa"/>
            <w:tcBorders>
              <w:top w:val="nil"/>
              <w:left w:val="nil"/>
              <w:bottom w:val="single" w:sz="4" w:space="0" w:color="BFBFBF"/>
              <w:right w:val="single" w:sz="4" w:space="0" w:color="BFBFBF"/>
            </w:tcBorders>
            <w:shd w:val="clear" w:color="auto" w:fill="auto"/>
            <w:noWrap/>
            <w:vAlign w:val="center"/>
          </w:tcPr>
          <w:p w14:paraId="7E65E87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69</w:t>
            </w:r>
          </w:p>
        </w:tc>
        <w:tc>
          <w:tcPr>
            <w:tcW w:w="839" w:type="dxa"/>
            <w:tcBorders>
              <w:top w:val="nil"/>
              <w:left w:val="nil"/>
              <w:bottom w:val="single" w:sz="4" w:space="0" w:color="BFBFBF"/>
              <w:right w:val="single" w:sz="4" w:space="0" w:color="BFBFBF"/>
            </w:tcBorders>
            <w:shd w:val="clear" w:color="auto" w:fill="auto"/>
            <w:noWrap/>
            <w:vAlign w:val="center"/>
          </w:tcPr>
          <w:p w14:paraId="2694D89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8%</w:t>
            </w:r>
          </w:p>
        </w:tc>
        <w:tc>
          <w:tcPr>
            <w:tcW w:w="675" w:type="dxa"/>
            <w:tcBorders>
              <w:top w:val="nil"/>
              <w:left w:val="nil"/>
              <w:bottom w:val="single" w:sz="4" w:space="0" w:color="BFBFBF"/>
              <w:right w:val="single" w:sz="4" w:space="0" w:color="auto"/>
            </w:tcBorders>
            <w:shd w:val="clear" w:color="auto" w:fill="auto"/>
            <w:noWrap/>
            <w:vAlign w:val="center"/>
          </w:tcPr>
          <w:p w14:paraId="37467A0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90</w:t>
            </w:r>
          </w:p>
        </w:tc>
        <w:tc>
          <w:tcPr>
            <w:tcW w:w="764" w:type="dxa"/>
            <w:tcBorders>
              <w:top w:val="nil"/>
              <w:left w:val="nil"/>
              <w:bottom w:val="single" w:sz="4" w:space="0" w:color="BFBFBF"/>
              <w:right w:val="single" w:sz="4" w:space="0" w:color="BFBFBF"/>
            </w:tcBorders>
            <w:shd w:val="clear" w:color="auto" w:fill="auto"/>
            <w:noWrap/>
            <w:vAlign w:val="center"/>
          </w:tcPr>
          <w:p w14:paraId="25C3BEC6" w14:textId="4A441752"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1,691</w:t>
            </w:r>
          </w:p>
        </w:tc>
        <w:tc>
          <w:tcPr>
            <w:tcW w:w="808" w:type="dxa"/>
            <w:tcBorders>
              <w:top w:val="nil"/>
              <w:left w:val="nil"/>
              <w:bottom w:val="single" w:sz="4" w:space="0" w:color="BFBFBF"/>
              <w:right w:val="single" w:sz="4" w:space="0" w:color="BFBFBF"/>
            </w:tcBorders>
            <w:shd w:val="clear" w:color="auto" w:fill="auto"/>
            <w:noWrap/>
            <w:vAlign w:val="center"/>
          </w:tcPr>
          <w:p w14:paraId="617A8B2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893</w:t>
            </w:r>
          </w:p>
        </w:tc>
        <w:tc>
          <w:tcPr>
            <w:tcW w:w="808" w:type="dxa"/>
            <w:tcBorders>
              <w:top w:val="nil"/>
              <w:left w:val="nil"/>
              <w:bottom w:val="single" w:sz="4" w:space="0" w:color="BFBFBF"/>
              <w:right w:val="single" w:sz="4" w:space="0" w:color="auto"/>
            </w:tcBorders>
            <w:shd w:val="clear" w:color="auto" w:fill="auto"/>
            <w:noWrap/>
            <w:vAlign w:val="center"/>
          </w:tcPr>
          <w:p w14:paraId="3539D74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581</w:t>
            </w:r>
          </w:p>
        </w:tc>
        <w:tc>
          <w:tcPr>
            <w:tcW w:w="776" w:type="dxa"/>
            <w:tcBorders>
              <w:top w:val="nil"/>
              <w:left w:val="nil"/>
              <w:bottom w:val="single" w:sz="4" w:space="0" w:color="BFBFBF"/>
              <w:right w:val="single" w:sz="4" w:space="0" w:color="BFBFBF"/>
            </w:tcBorders>
            <w:shd w:val="clear" w:color="auto" w:fill="auto"/>
            <w:noWrap/>
            <w:vAlign w:val="center"/>
          </w:tcPr>
          <w:p w14:paraId="07046C6E" w14:textId="035CFC39"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89.4%</w:t>
            </w:r>
          </w:p>
        </w:tc>
        <w:tc>
          <w:tcPr>
            <w:tcW w:w="776" w:type="dxa"/>
            <w:tcBorders>
              <w:top w:val="nil"/>
              <w:left w:val="nil"/>
              <w:bottom w:val="single" w:sz="4" w:space="0" w:color="BFBFBF"/>
              <w:right w:val="double" w:sz="6" w:space="0" w:color="auto"/>
            </w:tcBorders>
            <w:shd w:val="clear" w:color="auto" w:fill="auto"/>
            <w:noWrap/>
            <w:vAlign w:val="center"/>
          </w:tcPr>
          <w:p w14:paraId="4FC05CD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53.7%</w:t>
            </w:r>
          </w:p>
        </w:tc>
      </w:tr>
      <w:tr w:rsidR="00F44114" w:rsidRPr="00A7775B" w14:paraId="29A370E0"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C27EF21" w14:textId="19631C96" w:rsidR="006935F2" w:rsidRPr="00A7775B" w:rsidRDefault="006935F2" w:rsidP="00E337BE">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Pr="00A7775B">
              <w:rPr>
                <w:rFonts w:ascii="Arial" w:hAnsi="Arial" w:cs="Arial"/>
                <w:color w:val="000000"/>
                <w:sz w:val="16"/>
                <w:szCs w:val="16"/>
                <w:lang w:val="en-AU" w:eastAsia="en-AU"/>
              </w:rPr>
              <w:t>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30DBD41" w14:textId="05012E3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46%</w:t>
            </w:r>
          </w:p>
        </w:tc>
        <w:tc>
          <w:tcPr>
            <w:tcW w:w="808" w:type="dxa"/>
            <w:tcBorders>
              <w:top w:val="nil"/>
              <w:left w:val="nil"/>
              <w:bottom w:val="single" w:sz="4" w:space="0" w:color="BFBFBF"/>
              <w:right w:val="single" w:sz="4" w:space="0" w:color="BFBFBF"/>
            </w:tcBorders>
            <w:shd w:val="clear" w:color="auto" w:fill="auto"/>
            <w:noWrap/>
            <w:vAlign w:val="center"/>
          </w:tcPr>
          <w:p w14:paraId="4122082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55%</w:t>
            </w:r>
          </w:p>
        </w:tc>
        <w:tc>
          <w:tcPr>
            <w:tcW w:w="808" w:type="dxa"/>
            <w:tcBorders>
              <w:top w:val="nil"/>
              <w:left w:val="nil"/>
              <w:bottom w:val="single" w:sz="4" w:space="0" w:color="BFBFBF"/>
              <w:right w:val="single" w:sz="4" w:space="0" w:color="BFBFBF"/>
            </w:tcBorders>
            <w:shd w:val="clear" w:color="auto" w:fill="auto"/>
            <w:noWrap/>
            <w:vAlign w:val="center"/>
          </w:tcPr>
          <w:p w14:paraId="51A0B4F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1D4A3F12" w14:textId="16F4FBD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193</w:t>
            </w:r>
          </w:p>
        </w:tc>
        <w:tc>
          <w:tcPr>
            <w:tcW w:w="675" w:type="dxa"/>
            <w:tcBorders>
              <w:top w:val="nil"/>
              <w:left w:val="nil"/>
              <w:bottom w:val="single" w:sz="4" w:space="0" w:color="BFBFBF"/>
              <w:right w:val="single" w:sz="4" w:space="0" w:color="BFBFBF"/>
            </w:tcBorders>
            <w:shd w:val="clear" w:color="auto" w:fill="auto"/>
            <w:noWrap/>
            <w:vAlign w:val="center"/>
          </w:tcPr>
          <w:p w14:paraId="44624DE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0A52C7B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4C4B7E9" w14:textId="5C20BB7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46%</w:t>
            </w:r>
          </w:p>
        </w:tc>
        <w:tc>
          <w:tcPr>
            <w:tcW w:w="675" w:type="dxa"/>
            <w:tcBorders>
              <w:top w:val="nil"/>
              <w:left w:val="nil"/>
              <w:bottom w:val="single" w:sz="4" w:space="0" w:color="BFBFBF"/>
              <w:right w:val="nil"/>
            </w:tcBorders>
            <w:shd w:val="clear" w:color="auto" w:fill="auto"/>
            <w:noWrap/>
            <w:vAlign w:val="center"/>
          </w:tcPr>
          <w:p w14:paraId="29D025DC" w14:textId="37254A8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48</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314935F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11%</w:t>
            </w:r>
          </w:p>
        </w:tc>
        <w:tc>
          <w:tcPr>
            <w:tcW w:w="684" w:type="dxa"/>
            <w:tcBorders>
              <w:top w:val="nil"/>
              <w:left w:val="nil"/>
              <w:bottom w:val="single" w:sz="4" w:space="0" w:color="BFBFBF"/>
              <w:right w:val="single" w:sz="4" w:space="0" w:color="BFBFBF"/>
            </w:tcBorders>
            <w:shd w:val="clear" w:color="auto" w:fill="auto"/>
            <w:noWrap/>
            <w:vAlign w:val="center"/>
          </w:tcPr>
          <w:p w14:paraId="60A77AA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159</w:t>
            </w:r>
          </w:p>
        </w:tc>
        <w:tc>
          <w:tcPr>
            <w:tcW w:w="839" w:type="dxa"/>
            <w:tcBorders>
              <w:top w:val="nil"/>
              <w:left w:val="nil"/>
              <w:bottom w:val="single" w:sz="4" w:space="0" w:color="BFBFBF"/>
              <w:right w:val="single" w:sz="4" w:space="0" w:color="BFBFBF"/>
            </w:tcBorders>
            <w:shd w:val="clear" w:color="auto" w:fill="auto"/>
            <w:noWrap/>
            <w:vAlign w:val="center"/>
          </w:tcPr>
          <w:p w14:paraId="141833A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21%</w:t>
            </w:r>
          </w:p>
        </w:tc>
        <w:tc>
          <w:tcPr>
            <w:tcW w:w="675" w:type="dxa"/>
            <w:tcBorders>
              <w:top w:val="nil"/>
              <w:left w:val="nil"/>
              <w:bottom w:val="single" w:sz="4" w:space="0" w:color="BFBFBF"/>
              <w:right w:val="single" w:sz="4" w:space="0" w:color="auto"/>
            </w:tcBorders>
            <w:shd w:val="clear" w:color="auto" w:fill="auto"/>
            <w:noWrap/>
            <w:vAlign w:val="center"/>
          </w:tcPr>
          <w:p w14:paraId="7F834EB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43</w:t>
            </w:r>
          </w:p>
        </w:tc>
        <w:tc>
          <w:tcPr>
            <w:tcW w:w="764" w:type="dxa"/>
            <w:tcBorders>
              <w:top w:val="nil"/>
              <w:left w:val="nil"/>
              <w:bottom w:val="single" w:sz="4" w:space="0" w:color="BFBFBF"/>
              <w:right w:val="single" w:sz="4" w:space="0" w:color="BFBFBF"/>
            </w:tcBorders>
            <w:shd w:val="clear" w:color="auto" w:fill="auto"/>
            <w:noWrap/>
            <w:vAlign w:val="center"/>
          </w:tcPr>
          <w:p w14:paraId="6B7068CC" w14:textId="6E50DC7B"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1,997</w:t>
            </w:r>
          </w:p>
        </w:tc>
        <w:tc>
          <w:tcPr>
            <w:tcW w:w="808" w:type="dxa"/>
            <w:tcBorders>
              <w:top w:val="nil"/>
              <w:left w:val="nil"/>
              <w:bottom w:val="single" w:sz="4" w:space="0" w:color="BFBFBF"/>
              <w:right w:val="single" w:sz="4" w:space="0" w:color="BFBFBF"/>
            </w:tcBorders>
            <w:shd w:val="clear" w:color="auto" w:fill="auto"/>
            <w:noWrap/>
            <w:vAlign w:val="center"/>
          </w:tcPr>
          <w:p w14:paraId="5271468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887</w:t>
            </w:r>
          </w:p>
        </w:tc>
        <w:tc>
          <w:tcPr>
            <w:tcW w:w="808" w:type="dxa"/>
            <w:tcBorders>
              <w:top w:val="nil"/>
              <w:left w:val="nil"/>
              <w:bottom w:val="single" w:sz="4" w:space="0" w:color="BFBFBF"/>
              <w:right w:val="single" w:sz="4" w:space="0" w:color="auto"/>
            </w:tcBorders>
            <w:shd w:val="clear" w:color="auto" w:fill="auto"/>
            <w:noWrap/>
            <w:vAlign w:val="center"/>
          </w:tcPr>
          <w:p w14:paraId="5EABA2F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7997326B" w14:textId="641C20A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125.2%</w:t>
            </w:r>
          </w:p>
        </w:tc>
        <w:tc>
          <w:tcPr>
            <w:tcW w:w="776" w:type="dxa"/>
            <w:tcBorders>
              <w:top w:val="nil"/>
              <w:left w:val="nil"/>
              <w:bottom w:val="single" w:sz="4" w:space="0" w:color="BFBFBF"/>
              <w:right w:val="double" w:sz="6" w:space="0" w:color="auto"/>
            </w:tcBorders>
            <w:shd w:val="clear" w:color="auto" w:fill="auto"/>
            <w:noWrap/>
            <w:vAlign w:val="center"/>
          </w:tcPr>
          <w:p w14:paraId="3876338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2386B178"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7E2E0901" w14:textId="77777777" w:rsidR="006935F2" w:rsidRPr="00A7775B" w:rsidRDefault="006935F2" w:rsidP="00E337BE">
            <w:pPr>
              <w:spacing w:before="0" w:after="0"/>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By DHHS Area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71C5E14" w14:textId="421DF792"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265202B4" w14:textId="77777777"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333E7A46" w14:textId="77777777"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BFBFBF"/>
            </w:tcBorders>
            <w:shd w:val="clear" w:color="auto" w:fill="auto"/>
            <w:noWrap/>
            <w:vAlign w:val="center"/>
          </w:tcPr>
          <w:p w14:paraId="7EE5A2D2" w14:textId="12AF7DE6"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BFBFBF"/>
            </w:tcBorders>
            <w:shd w:val="clear" w:color="auto" w:fill="auto"/>
            <w:noWrap/>
            <w:vAlign w:val="center"/>
          </w:tcPr>
          <w:p w14:paraId="4AA458DC" w14:textId="77777777"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1DF1D274" w14:textId="77777777"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61238082" w14:textId="717D9C92"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nil"/>
            </w:tcBorders>
            <w:shd w:val="clear" w:color="auto" w:fill="auto"/>
            <w:noWrap/>
            <w:vAlign w:val="center"/>
          </w:tcPr>
          <w:p w14:paraId="2A05E94C" w14:textId="7AEC79D5" w:rsidR="006935F2" w:rsidRPr="00A7775B" w:rsidRDefault="006935F2">
            <w:pPr>
              <w:spacing w:before="0" w:after="0"/>
              <w:jc w:val="center"/>
              <w:rPr>
                <w:rFonts w:ascii="Arial" w:hAnsi="Arial" w:cs="Arial"/>
                <w:color w:val="000000"/>
                <w:sz w:val="16"/>
                <w:szCs w:val="16"/>
                <w:lang w:val="en-AU" w:eastAsia="en-AU"/>
              </w:rPr>
            </w:pP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3FD3DBEE" w14:textId="5D0AD6B0" w:rsidR="006935F2" w:rsidRPr="00A7775B" w:rsidRDefault="006935F2">
            <w:pPr>
              <w:spacing w:before="0" w:after="0"/>
              <w:jc w:val="center"/>
              <w:rPr>
                <w:rFonts w:ascii="Arial" w:hAnsi="Arial" w:cs="Arial"/>
                <w:color w:val="000000"/>
                <w:sz w:val="16"/>
                <w:szCs w:val="16"/>
                <w:lang w:val="en-AU" w:eastAsia="en-AU"/>
              </w:rPr>
            </w:pPr>
          </w:p>
        </w:tc>
        <w:tc>
          <w:tcPr>
            <w:tcW w:w="684" w:type="dxa"/>
            <w:tcBorders>
              <w:top w:val="nil"/>
              <w:left w:val="nil"/>
              <w:bottom w:val="single" w:sz="4" w:space="0" w:color="BFBFBF"/>
              <w:right w:val="single" w:sz="4" w:space="0" w:color="BFBFBF"/>
            </w:tcBorders>
            <w:shd w:val="clear" w:color="auto" w:fill="auto"/>
            <w:noWrap/>
            <w:vAlign w:val="center"/>
          </w:tcPr>
          <w:p w14:paraId="3DA912B3" w14:textId="03DB16F3" w:rsidR="006935F2" w:rsidRPr="00A7775B" w:rsidRDefault="006935F2">
            <w:pPr>
              <w:spacing w:before="0" w:after="0"/>
              <w:jc w:val="center"/>
              <w:rPr>
                <w:rFonts w:ascii="Arial" w:hAnsi="Arial" w:cs="Arial"/>
                <w:color w:val="000000"/>
                <w:sz w:val="16"/>
                <w:szCs w:val="16"/>
                <w:lang w:val="en-AU" w:eastAsia="en-AU"/>
              </w:rPr>
            </w:pPr>
          </w:p>
        </w:tc>
        <w:tc>
          <w:tcPr>
            <w:tcW w:w="839" w:type="dxa"/>
            <w:tcBorders>
              <w:top w:val="nil"/>
              <w:left w:val="nil"/>
              <w:bottom w:val="single" w:sz="4" w:space="0" w:color="BFBFBF"/>
              <w:right w:val="single" w:sz="4" w:space="0" w:color="BFBFBF"/>
            </w:tcBorders>
            <w:shd w:val="clear" w:color="auto" w:fill="auto"/>
            <w:noWrap/>
            <w:vAlign w:val="center"/>
          </w:tcPr>
          <w:p w14:paraId="1A3F43AF" w14:textId="77777777"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08143E36" w14:textId="77777777" w:rsidR="006935F2" w:rsidRPr="00A7775B" w:rsidRDefault="006935F2">
            <w:pPr>
              <w:spacing w:before="0" w:after="0"/>
              <w:jc w:val="center"/>
              <w:rPr>
                <w:rFonts w:ascii="Arial" w:hAnsi="Arial" w:cs="Arial"/>
                <w:color w:val="000000"/>
                <w:sz w:val="16"/>
                <w:szCs w:val="16"/>
                <w:lang w:val="en-AU" w:eastAsia="en-AU"/>
              </w:rPr>
            </w:pPr>
          </w:p>
        </w:tc>
        <w:tc>
          <w:tcPr>
            <w:tcW w:w="764" w:type="dxa"/>
            <w:tcBorders>
              <w:top w:val="nil"/>
              <w:left w:val="nil"/>
              <w:bottom w:val="single" w:sz="4" w:space="0" w:color="BFBFBF"/>
              <w:right w:val="single" w:sz="4" w:space="0" w:color="BFBFBF"/>
            </w:tcBorders>
            <w:shd w:val="clear" w:color="auto" w:fill="auto"/>
            <w:noWrap/>
            <w:vAlign w:val="center"/>
          </w:tcPr>
          <w:p w14:paraId="0BA3427C" w14:textId="070C292B"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113A509D" w14:textId="77777777"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auto"/>
            </w:tcBorders>
            <w:shd w:val="clear" w:color="auto" w:fill="auto"/>
            <w:noWrap/>
            <w:vAlign w:val="center"/>
          </w:tcPr>
          <w:p w14:paraId="0533480B" w14:textId="77777777" w:rsidR="006935F2" w:rsidRPr="00A7775B" w:rsidRDefault="006935F2">
            <w:pPr>
              <w:spacing w:before="0" w:after="0"/>
              <w:jc w:val="center"/>
              <w:rPr>
                <w:rFonts w:ascii="Arial" w:hAnsi="Arial" w:cs="Arial"/>
                <w:color w:val="000000"/>
                <w:sz w:val="16"/>
                <w:szCs w:val="16"/>
                <w:lang w:val="en-AU" w:eastAsia="en-AU"/>
              </w:rPr>
            </w:pPr>
          </w:p>
        </w:tc>
        <w:tc>
          <w:tcPr>
            <w:tcW w:w="776" w:type="dxa"/>
            <w:tcBorders>
              <w:top w:val="nil"/>
              <w:left w:val="nil"/>
              <w:bottom w:val="single" w:sz="4" w:space="0" w:color="BFBFBF"/>
              <w:right w:val="single" w:sz="4" w:space="0" w:color="BFBFBF"/>
            </w:tcBorders>
            <w:shd w:val="clear" w:color="auto" w:fill="auto"/>
            <w:noWrap/>
            <w:vAlign w:val="center"/>
          </w:tcPr>
          <w:p w14:paraId="1B5F7988" w14:textId="789415A2" w:rsidR="006935F2" w:rsidRPr="00A7775B" w:rsidRDefault="006935F2">
            <w:pPr>
              <w:spacing w:before="0" w:after="0"/>
              <w:jc w:val="center"/>
              <w:rPr>
                <w:rFonts w:ascii="Arial" w:hAnsi="Arial" w:cs="Arial"/>
                <w:color w:val="000000"/>
                <w:sz w:val="16"/>
                <w:szCs w:val="16"/>
                <w:lang w:val="en-AU" w:eastAsia="en-AU"/>
              </w:rPr>
            </w:pPr>
          </w:p>
        </w:tc>
        <w:tc>
          <w:tcPr>
            <w:tcW w:w="776" w:type="dxa"/>
            <w:tcBorders>
              <w:top w:val="nil"/>
              <w:left w:val="nil"/>
              <w:bottom w:val="single" w:sz="4" w:space="0" w:color="BFBFBF"/>
              <w:right w:val="double" w:sz="6" w:space="0" w:color="auto"/>
            </w:tcBorders>
            <w:shd w:val="clear" w:color="auto" w:fill="auto"/>
            <w:noWrap/>
            <w:vAlign w:val="center"/>
          </w:tcPr>
          <w:p w14:paraId="38C61E57" w14:textId="77777777" w:rsidR="006935F2" w:rsidRPr="00A7775B" w:rsidRDefault="006935F2">
            <w:pPr>
              <w:spacing w:before="0" w:after="0"/>
              <w:jc w:val="center"/>
              <w:rPr>
                <w:rFonts w:ascii="Arial" w:hAnsi="Arial" w:cs="Arial"/>
                <w:color w:val="000000"/>
                <w:sz w:val="16"/>
                <w:szCs w:val="16"/>
                <w:lang w:val="en-AU" w:eastAsia="en-AU"/>
              </w:rPr>
            </w:pPr>
          </w:p>
        </w:tc>
      </w:tr>
      <w:tr w:rsidR="00F44114" w:rsidRPr="00A7775B" w14:paraId="0E1A5E07"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01531579"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Hume Moreland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B6B845E" w14:textId="76F859AA"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53%</w:t>
            </w:r>
          </w:p>
        </w:tc>
        <w:tc>
          <w:tcPr>
            <w:tcW w:w="808" w:type="dxa"/>
            <w:tcBorders>
              <w:top w:val="nil"/>
              <w:left w:val="nil"/>
              <w:bottom w:val="single" w:sz="4" w:space="0" w:color="BFBFBF"/>
              <w:right w:val="single" w:sz="4" w:space="0" w:color="BFBFBF"/>
            </w:tcBorders>
            <w:shd w:val="clear" w:color="auto" w:fill="auto"/>
            <w:noWrap/>
            <w:vAlign w:val="center"/>
          </w:tcPr>
          <w:p w14:paraId="16C1F9F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A9E783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1C773592" w14:textId="0FF7DC2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244ED61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F78F99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F0BF4A3" w14:textId="3E10F16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53%</w:t>
            </w:r>
          </w:p>
        </w:tc>
        <w:tc>
          <w:tcPr>
            <w:tcW w:w="675" w:type="dxa"/>
            <w:tcBorders>
              <w:top w:val="nil"/>
              <w:left w:val="nil"/>
              <w:bottom w:val="single" w:sz="4" w:space="0" w:color="BFBFBF"/>
              <w:right w:val="nil"/>
            </w:tcBorders>
            <w:shd w:val="clear" w:color="auto" w:fill="auto"/>
            <w:noWrap/>
            <w:vAlign w:val="center"/>
          </w:tcPr>
          <w:p w14:paraId="68B508E0" w14:textId="4FE72BAD"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0422564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31%</w:t>
            </w:r>
          </w:p>
        </w:tc>
        <w:tc>
          <w:tcPr>
            <w:tcW w:w="684" w:type="dxa"/>
            <w:tcBorders>
              <w:top w:val="nil"/>
              <w:left w:val="nil"/>
              <w:bottom w:val="single" w:sz="4" w:space="0" w:color="BFBFBF"/>
              <w:right w:val="single" w:sz="4" w:space="0" w:color="BFBFBF"/>
            </w:tcBorders>
            <w:shd w:val="clear" w:color="auto" w:fill="auto"/>
            <w:noWrap/>
            <w:vAlign w:val="center"/>
          </w:tcPr>
          <w:p w14:paraId="3455115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30</w:t>
            </w:r>
          </w:p>
        </w:tc>
        <w:tc>
          <w:tcPr>
            <w:tcW w:w="839" w:type="dxa"/>
            <w:tcBorders>
              <w:top w:val="nil"/>
              <w:left w:val="nil"/>
              <w:bottom w:val="single" w:sz="4" w:space="0" w:color="BFBFBF"/>
              <w:right w:val="single" w:sz="4" w:space="0" w:color="BFBFBF"/>
            </w:tcBorders>
            <w:shd w:val="clear" w:color="auto" w:fill="auto"/>
            <w:noWrap/>
            <w:vAlign w:val="center"/>
          </w:tcPr>
          <w:p w14:paraId="3E87739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6D69ABF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09F7DDBC" w14:textId="7C52C3E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1,549</w:t>
            </w:r>
          </w:p>
        </w:tc>
        <w:tc>
          <w:tcPr>
            <w:tcW w:w="808" w:type="dxa"/>
            <w:tcBorders>
              <w:top w:val="nil"/>
              <w:left w:val="nil"/>
              <w:bottom w:val="single" w:sz="4" w:space="0" w:color="BFBFBF"/>
              <w:right w:val="single" w:sz="4" w:space="0" w:color="BFBFBF"/>
            </w:tcBorders>
            <w:shd w:val="clear" w:color="auto" w:fill="auto"/>
            <w:noWrap/>
            <w:vAlign w:val="center"/>
          </w:tcPr>
          <w:p w14:paraId="05021A1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CAF9EF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3871ABC4" w14:textId="70CF2D0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7BD74FB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75748917"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2495E2B9"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North Eastern Melbourne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527A52E" w14:textId="5436EEC2"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31%</w:t>
            </w:r>
          </w:p>
        </w:tc>
        <w:tc>
          <w:tcPr>
            <w:tcW w:w="808" w:type="dxa"/>
            <w:tcBorders>
              <w:top w:val="nil"/>
              <w:left w:val="nil"/>
              <w:bottom w:val="single" w:sz="4" w:space="0" w:color="BFBFBF"/>
              <w:right w:val="single" w:sz="4" w:space="0" w:color="BFBFBF"/>
            </w:tcBorders>
            <w:shd w:val="clear" w:color="auto" w:fill="auto"/>
            <w:noWrap/>
            <w:vAlign w:val="center"/>
          </w:tcPr>
          <w:p w14:paraId="7CF8A49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9CFD8C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5BC178B" w14:textId="57E89C0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7BE013B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5E6287F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505DE47" w14:textId="39227D1B"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31%</w:t>
            </w:r>
          </w:p>
        </w:tc>
        <w:tc>
          <w:tcPr>
            <w:tcW w:w="675" w:type="dxa"/>
            <w:tcBorders>
              <w:top w:val="nil"/>
              <w:left w:val="nil"/>
              <w:bottom w:val="single" w:sz="4" w:space="0" w:color="BFBFBF"/>
              <w:right w:val="nil"/>
            </w:tcBorders>
            <w:shd w:val="clear" w:color="auto" w:fill="auto"/>
            <w:noWrap/>
            <w:vAlign w:val="center"/>
          </w:tcPr>
          <w:p w14:paraId="4D2D0656" w14:textId="06B292D8"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5358E21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w:t>
            </w:r>
          </w:p>
        </w:tc>
        <w:tc>
          <w:tcPr>
            <w:tcW w:w="684" w:type="dxa"/>
            <w:tcBorders>
              <w:top w:val="nil"/>
              <w:left w:val="nil"/>
              <w:bottom w:val="single" w:sz="4" w:space="0" w:color="BFBFBF"/>
              <w:right w:val="single" w:sz="4" w:space="0" w:color="BFBFBF"/>
            </w:tcBorders>
            <w:shd w:val="clear" w:color="auto" w:fill="auto"/>
            <w:noWrap/>
            <w:vAlign w:val="center"/>
          </w:tcPr>
          <w:p w14:paraId="13E665D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134</w:t>
            </w:r>
          </w:p>
        </w:tc>
        <w:tc>
          <w:tcPr>
            <w:tcW w:w="839" w:type="dxa"/>
            <w:tcBorders>
              <w:top w:val="nil"/>
              <w:left w:val="nil"/>
              <w:bottom w:val="single" w:sz="4" w:space="0" w:color="BFBFBF"/>
              <w:right w:val="single" w:sz="4" w:space="0" w:color="BFBFBF"/>
            </w:tcBorders>
            <w:shd w:val="clear" w:color="auto" w:fill="auto"/>
            <w:noWrap/>
            <w:vAlign w:val="center"/>
          </w:tcPr>
          <w:p w14:paraId="08DCFE7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11BA2A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3C3CB990" w14:textId="5B74A48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1,710</w:t>
            </w:r>
          </w:p>
        </w:tc>
        <w:tc>
          <w:tcPr>
            <w:tcW w:w="808" w:type="dxa"/>
            <w:tcBorders>
              <w:top w:val="nil"/>
              <w:left w:val="nil"/>
              <w:bottom w:val="single" w:sz="4" w:space="0" w:color="BFBFBF"/>
              <w:right w:val="single" w:sz="4" w:space="0" w:color="BFBFBF"/>
            </w:tcBorders>
            <w:shd w:val="clear" w:color="auto" w:fill="auto"/>
            <w:noWrap/>
            <w:vAlign w:val="center"/>
          </w:tcPr>
          <w:p w14:paraId="00A7A6A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AB1FAC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58EDE25B" w14:textId="1B6E4A7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3911A85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34920481"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12BC35FD"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 xml:space="preserve">Outer </w:t>
            </w:r>
            <w:smartTag w:uri="urn:schemas-microsoft-com:office:smarttags" w:element="place">
              <w:r w:rsidRPr="00A7775B">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96FDD7C" w14:textId="6FD0FF0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49%</w:t>
            </w:r>
          </w:p>
        </w:tc>
        <w:tc>
          <w:tcPr>
            <w:tcW w:w="808" w:type="dxa"/>
            <w:tcBorders>
              <w:top w:val="nil"/>
              <w:left w:val="nil"/>
              <w:bottom w:val="single" w:sz="4" w:space="0" w:color="BFBFBF"/>
              <w:right w:val="single" w:sz="4" w:space="0" w:color="BFBFBF"/>
            </w:tcBorders>
            <w:shd w:val="clear" w:color="auto" w:fill="auto"/>
            <w:noWrap/>
            <w:vAlign w:val="center"/>
          </w:tcPr>
          <w:p w14:paraId="3390CF3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56948E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431F291A" w14:textId="2063161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204</w:t>
            </w:r>
          </w:p>
        </w:tc>
        <w:tc>
          <w:tcPr>
            <w:tcW w:w="675" w:type="dxa"/>
            <w:tcBorders>
              <w:top w:val="nil"/>
              <w:left w:val="nil"/>
              <w:bottom w:val="single" w:sz="4" w:space="0" w:color="BFBFBF"/>
              <w:right w:val="single" w:sz="4" w:space="0" w:color="BFBFBF"/>
            </w:tcBorders>
            <w:shd w:val="clear" w:color="auto" w:fill="auto"/>
            <w:noWrap/>
            <w:vAlign w:val="center"/>
          </w:tcPr>
          <w:p w14:paraId="1D789A1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6BC67C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4E62E0F" w14:textId="312BE38D"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49%</w:t>
            </w:r>
          </w:p>
        </w:tc>
        <w:tc>
          <w:tcPr>
            <w:tcW w:w="675" w:type="dxa"/>
            <w:tcBorders>
              <w:top w:val="nil"/>
              <w:left w:val="nil"/>
              <w:bottom w:val="single" w:sz="4" w:space="0" w:color="BFBFBF"/>
              <w:right w:val="nil"/>
            </w:tcBorders>
            <w:shd w:val="clear" w:color="auto" w:fill="auto"/>
            <w:noWrap/>
            <w:vAlign w:val="center"/>
          </w:tcPr>
          <w:p w14:paraId="3D81DD73" w14:textId="617358F2"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3A19631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21%</w:t>
            </w:r>
          </w:p>
        </w:tc>
        <w:tc>
          <w:tcPr>
            <w:tcW w:w="684" w:type="dxa"/>
            <w:tcBorders>
              <w:top w:val="nil"/>
              <w:left w:val="nil"/>
              <w:bottom w:val="single" w:sz="4" w:space="0" w:color="BFBFBF"/>
              <w:right w:val="single" w:sz="4" w:space="0" w:color="BFBFBF"/>
            </w:tcBorders>
            <w:shd w:val="clear" w:color="auto" w:fill="auto"/>
            <w:noWrap/>
            <w:vAlign w:val="center"/>
          </w:tcPr>
          <w:p w14:paraId="7AFC1D4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103</w:t>
            </w:r>
          </w:p>
        </w:tc>
        <w:tc>
          <w:tcPr>
            <w:tcW w:w="839" w:type="dxa"/>
            <w:tcBorders>
              <w:top w:val="nil"/>
              <w:left w:val="nil"/>
              <w:bottom w:val="single" w:sz="4" w:space="0" w:color="BFBFBF"/>
              <w:right w:val="single" w:sz="4" w:space="0" w:color="BFBFBF"/>
            </w:tcBorders>
            <w:shd w:val="clear" w:color="auto" w:fill="auto"/>
            <w:noWrap/>
            <w:vAlign w:val="center"/>
          </w:tcPr>
          <w:p w14:paraId="34FD4E5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4B450E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449179B3" w14:textId="24CB6F2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1,435</w:t>
            </w:r>
          </w:p>
        </w:tc>
        <w:tc>
          <w:tcPr>
            <w:tcW w:w="808" w:type="dxa"/>
            <w:tcBorders>
              <w:top w:val="nil"/>
              <w:left w:val="nil"/>
              <w:bottom w:val="single" w:sz="4" w:space="0" w:color="BFBFBF"/>
              <w:right w:val="single" w:sz="4" w:space="0" w:color="BFBFBF"/>
            </w:tcBorders>
            <w:shd w:val="clear" w:color="auto" w:fill="auto"/>
            <w:noWrap/>
            <w:vAlign w:val="center"/>
          </w:tcPr>
          <w:p w14:paraId="1BF6AD8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16CFF2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2D851120" w14:textId="4A591AF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64EEB49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0C455A81"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60C39CEE"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 xml:space="preserve">Inner </w:t>
            </w:r>
            <w:smartTag w:uri="urn:schemas-microsoft-com:office:smarttags" w:element="place">
              <w:r w:rsidRPr="00A7775B">
                <w:rPr>
                  <w:rFonts w:ascii="Arial" w:hAnsi="Arial" w:cs="Arial"/>
                  <w:color w:val="000000"/>
                  <w:sz w:val="16"/>
                  <w:szCs w:val="16"/>
                  <w:lang w:val="en-AU" w:eastAsia="en-AU"/>
                </w:rPr>
                <w:t>Eastern Melbourne</w:t>
              </w:r>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B684F05" w14:textId="3650E66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33%</w:t>
            </w:r>
          </w:p>
        </w:tc>
        <w:tc>
          <w:tcPr>
            <w:tcW w:w="808" w:type="dxa"/>
            <w:tcBorders>
              <w:top w:val="nil"/>
              <w:left w:val="nil"/>
              <w:bottom w:val="single" w:sz="4" w:space="0" w:color="BFBFBF"/>
              <w:right w:val="single" w:sz="4" w:space="0" w:color="BFBFBF"/>
            </w:tcBorders>
            <w:shd w:val="clear" w:color="auto" w:fill="auto"/>
            <w:noWrap/>
            <w:vAlign w:val="center"/>
          </w:tcPr>
          <w:p w14:paraId="7BAC569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D83E98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8A1C850" w14:textId="4C34F46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197</w:t>
            </w:r>
          </w:p>
        </w:tc>
        <w:tc>
          <w:tcPr>
            <w:tcW w:w="675" w:type="dxa"/>
            <w:tcBorders>
              <w:top w:val="nil"/>
              <w:left w:val="nil"/>
              <w:bottom w:val="single" w:sz="4" w:space="0" w:color="BFBFBF"/>
              <w:right w:val="single" w:sz="4" w:space="0" w:color="BFBFBF"/>
            </w:tcBorders>
            <w:shd w:val="clear" w:color="auto" w:fill="auto"/>
            <w:noWrap/>
            <w:vAlign w:val="center"/>
          </w:tcPr>
          <w:p w14:paraId="218E85B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3ACC9D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6C75F4C" w14:textId="1F01A34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33%</w:t>
            </w:r>
          </w:p>
        </w:tc>
        <w:tc>
          <w:tcPr>
            <w:tcW w:w="675" w:type="dxa"/>
            <w:tcBorders>
              <w:top w:val="nil"/>
              <w:left w:val="nil"/>
              <w:bottom w:val="single" w:sz="4" w:space="0" w:color="BFBFBF"/>
              <w:right w:val="nil"/>
            </w:tcBorders>
            <w:shd w:val="clear" w:color="auto" w:fill="auto"/>
            <w:noWrap/>
            <w:vAlign w:val="center"/>
          </w:tcPr>
          <w:p w14:paraId="699FB090" w14:textId="34278DA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49</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2E4568D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w:t>
            </w:r>
          </w:p>
        </w:tc>
        <w:tc>
          <w:tcPr>
            <w:tcW w:w="684" w:type="dxa"/>
            <w:tcBorders>
              <w:top w:val="nil"/>
              <w:left w:val="nil"/>
              <w:bottom w:val="single" w:sz="4" w:space="0" w:color="BFBFBF"/>
              <w:right w:val="single" w:sz="4" w:space="0" w:color="BFBFBF"/>
            </w:tcBorders>
            <w:shd w:val="clear" w:color="auto" w:fill="auto"/>
            <w:noWrap/>
            <w:vAlign w:val="center"/>
          </w:tcPr>
          <w:p w14:paraId="37D4DD5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41</w:t>
            </w:r>
          </w:p>
        </w:tc>
        <w:tc>
          <w:tcPr>
            <w:tcW w:w="839" w:type="dxa"/>
            <w:tcBorders>
              <w:top w:val="nil"/>
              <w:left w:val="nil"/>
              <w:bottom w:val="single" w:sz="4" w:space="0" w:color="BFBFBF"/>
              <w:right w:val="single" w:sz="4" w:space="0" w:color="BFBFBF"/>
            </w:tcBorders>
            <w:shd w:val="clear" w:color="auto" w:fill="auto"/>
            <w:noWrap/>
            <w:vAlign w:val="center"/>
          </w:tcPr>
          <w:p w14:paraId="7C3C6AD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4DC575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04102B62" w14:textId="47AA6350"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1,583</w:t>
            </w:r>
          </w:p>
        </w:tc>
        <w:tc>
          <w:tcPr>
            <w:tcW w:w="808" w:type="dxa"/>
            <w:tcBorders>
              <w:top w:val="nil"/>
              <w:left w:val="nil"/>
              <w:bottom w:val="single" w:sz="4" w:space="0" w:color="BFBFBF"/>
              <w:right w:val="single" w:sz="4" w:space="0" w:color="BFBFBF"/>
            </w:tcBorders>
            <w:shd w:val="clear" w:color="auto" w:fill="auto"/>
            <w:noWrap/>
            <w:vAlign w:val="center"/>
          </w:tcPr>
          <w:p w14:paraId="7B5D029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3A39AA0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513CD7E3" w14:textId="67599742"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2632F74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4F2E85A2"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5BADB611"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Southern Melbourne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22E94A6" w14:textId="10ED2449"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41%</w:t>
            </w:r>
          </w:p>
        </w:tc>
        <w:tc>
          <w:tcPr>
            <w:tcW w:w="808" w:type="dxa"/>
            <w:tcBorders>
              <w:top w:val="nil"/>
              <w:left w:val="nil"/>
              <w:bottom w:val="single" w:sz="4" w:space="0" w:color="BFBFBF"/>
              <w:right w:val="single" w:sz="4" w:space="0" w:color="BFBFBF"/>
            </w:tcBorders>
            <w:shd w:val="clear" w:color="auto" w:fill="auto"/>
            <w:noWrap/>
            <w:vAlign w:val="center"/>
          </w:tcPr>
          <w:p w14:paraId="4009826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7DCFBB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3B27CB2" w14:textId="1B44EFB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716675E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2C521F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FB3CEED" w14:textId="61600DA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41%</w:t>
            </w:r>
          </w:p>
        </w:tc>
        <w:tc>
          <w:tcPr>
            <w:tcW w:w="675" w:type="dxa"/>
            <w:tcBorders>
              <w:top w:val="nil"/>
              <w:left w:val="nil"/>
              <w:bottom w:val="single" w:sz="4" w:space="0" w:color="BFBFBF"/>
              <w:right w:val="nil"/>
            </w:tcBorders>
            <w:shd w:val="clear" w:color="auto" w:fill="auto"/>
            <w:noWrap/>
            <w:vAlign w:val="center"/>
          </w:tcPr>
          <w:p w14:paraId="101632AB" w14:textId="1AA0FD9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3EA2891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684" w:type="dxa"/>
            <w:tcBorders>
              <w:top w:val="nil"/>
              <w:left w:val="nil"/>
              <w:bottom w:val="single" w:sz="4" w:space="0" w:color="BFBFBF"/>
              <w:right w:val="single" w:sz="4" w:space="0" w:color="BFBFBF"/>
            </w:tcBorders>
            <w:shd w:val="clear" w:color="auto" w:fill="auto"/>
            <w:noWrap/>
            <w:vAlign w:val="center"/>
          </w:tcPr>
          <w:p w14:paraId="7C70F47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100</w:t>
            </w:r>
          </w:p>
        </w:tc>
        <w:tc>
          <w:tcPr>
            <w:tcW w:w="839" w:type="dxa"/>
            <w:tcBorders>
              <w:top w:val="nil"/>
              <w:left w:val="nil"/>
              <w:bottom w:val="single" w:sz="4" w:space="0" w:color="BFBFBF"/>
              <w:right w:val="single" w:sz="4" w:space="0" w:color="BFBFBF"/>
            </w:tcBorders>
            <w:shd w:val="clear" w:color="auto" w:fill="auto"/>
            <w:noWrap/>
            <w:vAlign w:val="center"/>
          </w:tcPr>
          <w:p w14:paraId="145F684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B3026C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714BDECE" w14:textId="1144F82B"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1,530</w:t>
            </w:r>
          </w:p>
        </w:tc>
        <w:tc>
          <w:tcPr>
            <w:tcW w:w="808" w:type="dxa"/>
            <w:tcBorders>
              <w:top w:val="nil"/>
              <w:left w:val="nil"/>
              <w:bottom w:val="single" w:sz="4" w:space="0" w:color="BFBFBF"/>
              <w:right w:val="single" w:sz="4" w:space="0" w:color="BFBFBF"/>
            </w:tcBorders>
            <w:shd w:val="clear" w:color="auto" w:fill="auto"/>
            <w:noWrap/>
            <w:vAlign w:val="center"/>
          </w:tcPr>
          <w:p w14:paraId="06AF681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23A144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592999CD" w14:textId="470FC76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2BFE206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1FDC83AC"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46C96CBF"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Bayside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85DAD82" w14:textId="2FE2D63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36%</w:t>
            </w:r>
          </w:p>
        </w:tc>
        <w:tc>
          <w:tcPr>
            <w:tcW w:w="808" w:type="dxa"/>
            <w:tcBorders>
              <w:top w:val="nil"/>
              <w:left w:val="nil"/>
              <w:bottom w:val="single" w:sz="4" w:space="0" w:color="BFBFBF"/>
              <w:right w:val="single" w:sz="4" w:space="0" w:color="BFBFBF"/>
            </w:tcBorders>
            <w:shd w:val="clear" w:color="auto" w:fill="auto"/>
            <w:noWrap/>
            <w:vAlign w:val="center"/>
          </w:tcPr>
          <w:p w14:paraId="7CD6310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0250EA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8B0D0FF" w14:textId="7AD1D7E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201</w:t>
            </w:r>
          </w:p>
        </w:tc>
        <w:tc>
          <w:tcPr>
            <w:tcW w:w="675" w:type="dxa"/>
            <w:tcBorders>
              <w:top w:val="nil"/>
              <w:left w:val="nil"/>
              <w:bottom w:val="single" w:sz="4" w:space="0" w:color="BFBFBF"/>
              <w:right w:val="single" w:sz="4" w:space="0" w:color="BFBFBF"/>
            </w:tcBorders>
            <w:shd w:val="clear" w:color="auto" w:fill="auto"/>
            <w:noWrap/>
            <w:vAlign w:val="center"/>
          </w:tcPr>
          <w:p w14:paraId="624EB1C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0073C1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09A2B68" w14:textId="5A329702"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36%</w:t>
            </w:r>
          </w:p>
        </w:tc>
        <w:tc>
          <w:tcPr>
            <w:tcW w:w="675" w:type="dxa"/>
            <w:tcBorders>
              <w:top w:val="nil"/>
              <w:left w:val="nil"/>
              <w:bottom w:val="single" w:sz="4" w:space="0" w:color="BFBFBF"/>
              <w:right w:val="nil"/>
            </w:tcBorders>
            <w:shd w:val="clear" w:color="auto" w:fill="auto"/>
            <w:noWrap/>
            <w:vAlign w:val="center"/>
          </w:tcPr>
          <w:p w14:paraId="25800CD3" w14:textId="37A6DF0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3C78CC2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w:t>
            </w:r>
          </w:p>
        </w:tc>
        <w:tc>
          <w:tcPr>
            <w:tcW w:w="684" w:type="dxa"/>
            <w:tcBorders>
              <w:top w:val="nil"/>
              <w:left w:val="nil"/>
              <w:bottom w:val="single" w:sz="4" w:space="0" w:color="BFBFBF"/>
              <w:right w:val="single" w:sz="4" w:space="0" w:color="BFBFBF"/>
            </w:tcBorders>
            <w:shd w:val="clear" w:color="auto" w:fill="auto"/>
            <w:noWrap/>
            <w:vAlign w:val="center"/>
          </w:tcPr>
          <w:p w14:paraId="013DA5C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92</w:t>
            </w:r>
          </w:p>
        </w:tc>
        <w:tc>
          <w:tcPr>
            <w:tcW w:w="839" w:type="dxa"/>
            <w:tcBorders>
              <w:top w:val="nil"/>
              <w:left w:val="nil"/>
              <w:bottom w:val="single" w:sz="4" w:space="0" w:color="BFBFBF"/>
              <w:right w:val="single" w:sz="4" w:space="0" w:color="BFBFBF"/>
            </w:tcBorders>
            <w:shd w:val="clear" w:color="auto" w:fill="auto"/>
            <w:noWrap/>
            <w:vAlign w:val="center"/>
          </w:tcPr>
          <w:p w14:paraId="350E7FF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84F0B8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5B7B251B" w14:textId="4CC162B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1,488</w:t>
            </w:r>
          </w:p>
        </w:tc>
        <w:tc>
          <w:tcPr>
            <w:tcW w:w="808" w:type="dxa"/>
            <w:tcBorders>
              <w:top w:val="nil"/>
              <w:left w:val="nil"/>
              <w:bottom w:val="single" w:sz="4" w:space="0" w:color="BFBFBF"/>
              <w:right w:val="single" w:sz="4" w:space="0" w:color="BFBFBF"/>
            </w:tcBorders>
            <w:shd w:val="clear" w:color="auto" w:fill="auto"/>
            <w:noWrap/>
            <w:vAlign w:val="center"/>
          </w:tcPr>
          <w:p w14:paraId="1E4B6F3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EF555A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34E40A57" w14:textId="2F991F0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2B6D6C3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7FC94C22"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69B4183A"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Western Melbourne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D12527F" w14:textId="7D248FED"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26%</w:t>
            </w:r>
          </w:p>
        </w:tc>
        <w:tc>
          <w:tcPr>
            <w:tcW w:w="808" w:type="dxa"/>
            <w:tcBorders>
              <w:top w:val="nil"/>
              <w:left w:val="nil"/>
              <w:bottom w:val="single" w:sz="4" w:space="0" w:color="BFBFBF"/>
              <w:right w:val="single" w:sz="4" w:space="0" w:color="BFBFBF"/>
            </w:tcBorders>
            <w:shd w:val="clear" w:color="auto" w:fill="auto"/>
            <w:noWrap/>
            <w:vAlign w:val="center"/>
          </w:tcPr>
          <w:p w14:paraId="02F39B6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69E241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BDABC55" w14:textId="43B29D2B"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219</w:t>
            </w:r>
          </w:p>
        </w:tc>
        <w:tc>
          <w:tcPr>
            <w:tcW w:w="675" w:type="dxa"/>
            <w:tcBorders>
              <w:top w:val="nil"/>
              <w:left w:val="nil"/>
              <w:bottom w:val="single" w:sz="4" w:space="0" w:color="BFBFBF"/>
              <w:right w:val="single" w:sz="4" w:space="0" w:color="BFBFBF"/>
            </w:tcBorders>
            <w:shd w:val="clear" w:color="auto" w:fill="auto"/>
            <w:noWrap/>
            <w:vAlign w:val="center"/>
          </w:tcPr>
          <w:p w14:paraId="6177C1A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A4DD78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752FD90" w14:textId="1EFA9BA8"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26%</w:t>
            </w:r>
          </w:p>
        </w:tc>
        <w:tc>
          <w:tcPr>
            <w:tcW w:w="675" w:type="dxa"/>
            <w:tcBorders>
              <w:top w:val="nil"/>
              <w:left w:val="nil"/>
              <w:bottom w:val="single" w:sz="4" w:space="0" w:color="BFBFBF"/>
              <w:right w:val="nil"/>
            </w:tcBorders>
            <w:shd w:val="clear" w:color="auto" w:fill="auto"/>
            <w:noWrap/>
            <w:vAlign w:val="center"/>
          </w:tcPr>
          <w:p w14:paraId="35D63FC6" w14:textId="14FECCC3"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54</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77596D3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17%</w:t>
            </w:r>
          </w:p>
        </w:tc>
        <w:tc>
          <w:tcPr>
            <w:tcW w:w="684" w:type="dxa"/>
            <w:tcBorders>
              <w:top w:val="nil"/>
              <w:left w:val="nil"/>
              <w:bottom w:val="single" w:sz="4" w:space="0" w:color="BFBFBF"/>
              <w:right w:val="single" w:sz="4" w:space="0" w:color="BFBFBF"/>
            </w:tcBorders>
            <w:shd w:val="clear" w:color="auto" w:fill="auto"/>
            <w:noWrap/>
            <w:vAlign w:val="center"/>
          </w:tcPr>
          <w:p w14:paraId="3CBEB79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64</w:t>
            </w:r>
          </w:p>
        </w:tc>
        <w:tc>
          <w:tcPr>
            <w:tcW w:w="839" w:type="dxa"/>
            <w:tcBorders>
              <w:top w:val="nil"/>
              <w:left w:val="nil"/>
              <w:bottom w:val="single" w:sz="4" w:space="0" w:color="BFBFBF"/>
              <w:right w:val="single" w:sz="4" w:space="0" w:color="BFBFBF"/>
            </w:tcBorders>
            <w:shd w:val="clear" w:color="auto" w:fill="auto"/>
            <w:noWrap/>
            <w:vAlign w:val="center"/>
          </w:tcPr>
          <w:p w14:paraId="7B96A82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5DBE8B4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71F22730" w14:textId="3649B92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1,723</w:t>
            </w:r>
          </w:p>
        </w:tc>
        <w:tc>
          <w:tcPr>
            <w:tcW w:w="808" w:type="dxa"/>
            <w:tcBorders>
              <w:top w:val="nil"/>
              <w:left w:val="nil"/>
              <w:bottom w:val="single" w:sz="4" w:space="0" w:color="BFBFBF"/>
              <w:right w:val="single" w:sz="4" w:space="0" w:color="BFBFBF"/>
            </w:tcBorders>
            <w:shd w:val="clear" w:color="auto" w:fill="auto"/>
            <w:noWrap/>
            <w:vAlign w:val="center"/>
          </w:tcPr>
          <w:p w14:paraId="71D65B1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770741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40236DC1" w14:textId="3436504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2A364A3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3BD4F937"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687AAABC"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Brimbank Melton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4F4EE33" w14:textId="210D45E9"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37%</w:t>
            </w:r>
          </w:p>
        </w:tc>
        <w:tc>
          <w:tcPr>
            <w:tcW w:w="808" w:type="dxa"/>
            <w:tcBorders>
              <w:top w:val="nil"/>
              <w:left w:val="nil"/>
              <w:bottom w:val="single" w:sz="4" w:space="0" w:color="BFBFBF"/>
              <w:right w:val="single" w:sz="4" w:space="0" w:color="BFBFBF"/>
            </w:tcBorders>
            <w:shd w:val="clear" w:color="auto" w:fill="auto"/>
            <w:noWrap/>
            <w:vAlign w:val="center"/>
          </w:tcPr>
          <w:p w14:paraId="0362F6B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069EA7D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F98A34B" w14:textId="743E3D7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205</w:t>
            </w:r>
          </w:p>
        </w:tc>
        <w:tc>
          <w:tcPr>
            <w:tcW w:w="675" w:type="dxa"/>
            <w:tcBorders>
              <w:top w:val="nil"/>
              <w:left w:val="nil"/>
              <w:bottom w:val="single" w:sz="4" w:space="0" w:color="BFBFBF"/>
              <w:right w:val="single" w:sz="4" w:space="0" w:color="BFBFBF"/>
            </w:tcBorders>
            <w:shd w:val="clear" w:color="auto" w:fill="auto"/>
            <w:noWrap/>
            <w:vAlign w:val="center"/>
          </w:tcPr>
          <w:p w14:paraId="6DBD27B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CA9B5E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5B35247" w14:textId="7F8A172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37%</w:t>
            </w:r>
          </w:p>
        </w:tc>
        <w:tc>
          <w:tcPr>
            <w:tcW w:w="675" w:type="dxa"/>
            <w:tcBorders>
              <w:top w:val="nil"/>
              <w:left w:val="nil"/>
              <w:bottom w:val="single" w:sz="4" w:space="0" w:color="BFBFBF"/>
              <w:right w:val="nil"/>
            </w:tcBorders>
            <w:shd w:val="clear" w:color="auto" w:fill="auto"/>
            <w:noWrap/>
            <w:vAlign w:val="center"/>
          </w:tcPr>
          <w:p w14:paraId="2B6849F5" w14:textId="7130169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5AE9FF8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36%</w:t>
            </w:r>
          </w:p>
        </w:tc>
        <w:tc>
          <w:tcPr>
            <w:tcW w:w="684" w:type="dxa"/>
            <w:tcBorders>
              <w:top w:val="nil"/>
              <w:left w:val="nil"/>
              <w:bottom w:val="single" w:sz="4" w:space="0" w:color="BFBFBF"/>
              <w:right w:val="single" w:sz="4" w:space="0" w:color="BFBFBF"/>
            </w:tcBorders>
            <w:shd w:val="clear" w:color="auto" w:fill="auto"/>
            <w:noWrap/>
            <w:vAlign w:val="center"/>
          </w:tcPr>
          <w:p w14:paraId="5DFC37A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31</w:t>
            </w:r>
          </w:p>
        </w:tc>
        <w:tc>
          <w:tcPr>
            <w:tcW w:w="839" w:type="dxa"/>
            <w:tcBorders>
              <w:top w:val="nil"/>
              <w:left w:val="nil"/>
              <w:bottom w:val="single" w:sz="4" w:space="0" w:color="BFBFBF"/>
              <w:right w:val="single" w:sz="4" w:space="0" w:color="BFBFBF"/>
            </w:tcBorders>
            <w:shd w:val="clear" w:color="auto" w:fill="auto"/>
            <w:noWrap/>
            <w:vAlign w:val="center"/>
          </w:tcPr>
          <w:p w14:paraId="2FF0E80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8030C6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37FF5815" w14:textId="75A8667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1,339</w:t>
            </w:r>
          </w:p>
        </w:tc>
        <w:tc>
          <w:tcPr>
            <w:tcW w:w="808" w:type="dxa"/>
            <w:tcBorders>
              <w:top w:val="nil"/>
              <w:left w:val="nil"/>
              <w:bottom w:val="single" w:sz="4" w:space="0" w:color="BFBFBF"/>
              <w:right w:val="single" w:sz="4" w:space="0" w:color="BFBFBF"/>
            </w:tcBorders>
            <w:shd w:val="clear" w:color="auto" w:fill="auto"/>
            <w:noWrap/>
            <w:vAlign w:val="center"/>
          </w:tcPr>
          <w:p w14:paraId="59E2EBD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17EFC4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2FA2550B" w14:textId="5CFB1B5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01A541A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422E9CC0"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74698061"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Mallee</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E6F06E5" w14:textId="485EBC3A"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32%</w:t>
            </w:r>
          </w:p>
        </w:tc>
        <w:tc>
          <w:tcPr>
            <w:tcW w:w="808" w:type="dxa"/>
            <w:tcBorders>
              <w:top w:val="nil"/>
              <w:left w:val="nil"/>
              <w:bottom w:val="single" w:sz="4" w:space="0" w:color="BFBFBF"/>
              <w:right w:val="single" w:sz="4" w:space="0" w:color="BFBFBF"/>
            </w:tcBorders>
            <w:shd w:val="clear" w:color="auto" w:fill="auto"/>
            <w:noWrap/>
            <w:vAlign w:val="center"/>
          </w:tcPr>
          <w:p w14:paraId="54684A3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FF3332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FFF75CD" w14:textId="70389AC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3657309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9F0A35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FB641AE" w14:textId="7C10738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32%</w:t>
            </w:r>
          </w:p>
        </w:tc>
        <w:tc>
          <w:tcPr>
            <w:tcW w:w="675" w:type="dxa"/>
            <w:tcBorders>
              <w:top w:val="nil"/>
              <w:left w:val="nil"/>
              <w:bottom w:val="single" w:sz="4" w:space="0" w:color="BFBFBF"/>
              <w:right w:val="nil"/>
            </w:tcBorders>
            <w:shd w:val="clear" w:color="auto" w:fill="auto"/>
            <w:noWrap/>
            <w:vAlign w:val="center"/>
          </w:tcPr>
          <w:p w14:paraId="7E026F39" w14:textId="37307F20"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3E71D4B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w:t>
            </w:r>
          </w:p>
        </w:tc>
        <w:tc>
          <w:tcPr>
            <w:tcW w:w="684" w:type="dxa"/>
            <w:tcBorders>
              <w:top w:val="nil"/>
              <w:left w:val="nil"/>
              <w:bottom w:val="single" w:sz="4" w:space="0" w:color="BFBFBF"/>
              <w:right w:val="single" w:sz="4" w:space="0" w:color="BFBFBF"/>
            </w:tcBorders>
            <w:shd w:val="clear" w:color="auto" w:fill="auto"/>
            <w:noWrap/>
            <w:vAlign w:val="center"/>
          </w:tcPr>
          <w:p w14:paraId="2FF9753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32</w:t>
            </w:r>
          </w:p>
        </w:tc>
        <w:tc>
          <w:tcPr>
            <w:tcW w:w="839" w:type="dxa"/>
            <w:tcBorders>
              <w:top w:val="nil"/>
              <w:left w:val="nil"/>
              <w:bottom w:val="single" w:sz="4" w:space="0" w:color="BFBFBF"/>
              <w:right w:val="single" w:sz="4" w:space="0" w:color="BFBFBF"/>
            </w:tcBorders>
            <w:shd w:val="clear" w:color="auto" w:fill="auto"/>
            <w:noWrap/>
            <w:vAlign w:val="center"/>
          </w:tcPr>
          <w:p w14:paraId="1012ED4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4125103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45EBBE89" w14:textId="7EFB23D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1,818</w:t>
            </w:r>
          </w:p>
        </w:tc>
        <w:tc>
          <w:tcPr>
            <w:tcW w:w="808" w:type="dxa"/>
            <w:tcBorders>
              <w:top w:val="nil"/>
              <w:left w:val="nil"/>
              <w:bottom w:val="single" w:sz="4" w:space="0" w:color="BFBFBF"/>
              <w:right w:val="single" w:sz="4" w:space="0" w:color="BFBFBF"/>
            </w:tcBorders>
            <w:shd w:val="clear" w:color="auto" w:fill="auto"/>
            <w:noWrap/>
            <w:vAlign w:val="center"/>
          </w:tcPr>
          <w:p w14:paraId="7FF95C3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C53B10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51BA3320" w14:textId="7CCBFEB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6F48429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389828AB"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11405722"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Loddon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C5B5D9C" w14:textId="296214B3"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48%</w:t>
            </w:r>
          </w:p>
        </w:tc>
        <w:tc>
          <w:tcPr>
            <w:tcW w:w="808" w:type="dxa"/>
            <w:tcBorders>
              <w:top w:val="nil"/>
              <w:left w:val="nil"/>
              <w:bottom w:val="single" w:sz="4" w:space="0" w:color="BFBFBF"/>
              <w:right w:val="single" w:sz="4" w:space="0" w:color="BFBFBF"/>
            </w:tcBorders>
            <w:shd w:val="clear" w:color="auto" w:fill="auto"/>
            <w:noWrap/>
            <w:vAlign w:val="center"/>
          </w:tcPr>
          <w:p w14:paraId="0823149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4D9ECD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776034AB" w14:textId="11C05D7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188</w:t>
            </w:r>
          </w:p>
        </w:tc>
        <w:tc>
          <w:tcPr>
            <w:tcW w:w="675" w:type="dxa"/>
            <w:tcBorders>
              <w:top w:val="nil"/>
              <w:left w:val="nil"/>
              <w:bottom w:val="single" w:sz="4" w:space="0" w:color="BFBFBF"/>
              <w:right w:val="single" w:sz="4" w:space="0" w:color="BFBFBF"/>
            </w:tcBorders>
            <w:shd w:val="clear" w:color="auto" w:fill="auto"/>
            <w:noWrap/>
            <w:vAlign w:val="center"/>
          </w:tcPr>
          <w:p w14:paraId="40D17D4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FC0020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41BB731" w14:textId="736EE84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48%</w:t>
            </w:r>
          </w:p>
        </w:tc>
        <w:tc>
          <w:tcPr>
            <w:tcW w:w="675" w:type="dxa"/>
            <w:tcBorders>
              <w:top w:val="nil"/>
              <w:left w:val="nil"/>
              <w:bottom w:val="single" w:sz="4" w:space="0" w:color="BFBFBF"/>
              <w:right w:val="nil"/>
            </w:tcBorders>
            <w:shd w:val="clear" w:color="auto" w:fill="auto"/>
            <w:noWrap/>
            <w:vAlign w:val="center"/>
          </w:tcPr>
          <w:p w14:paraId="764FA00D" w14:textId="35C4184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47</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67BBF6F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w:t>
            </w:r>
          </w:p>
        </w:tc>
        <w:tc>
          <w:tcPr>
            <w:tcW w:w="684" w:type="dxa"/>
            <w:tcBorders>
              <w:top w:val="nil"/>
              <w:left w:val="nil"/>
              <w:bottom w:val="single" w:sz="4" w:space="0" w:color="BFBFBF"/>
              <w:right w:val="single" w:sz="4" w:space="0" w:color="BFBFBF"/>
            </w:tcBorders>
            <w:shd w:val="clear" w:color="auto" w:fill="auto"/>
            <w:noWrap/>
            <w:vAlign w:val="center"/>
          </w:tcPr>
          <w:p w14:paraId="30FEB02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45</w:t>
            </w:r>
          </w:p>
        </w:tc>
        <w:tc>
          <w:tcPr>
            <w:tcW w:w="839" w:type="dxa"/>
            <w:tcBorders>
              <w:top w:val="nil"/>
              <w:left w:val="nil"/>
              <w:bottom w:val="single" w:sz="4" w:space="0" w:color="BFBFBF"/>
              <w:right w:val="single" w:sz="4" w:space="0" w:color="BFBFBF"/>
            </w:tcBorders>
            <w:shd w:val="clear" w:color="auto" w:fill="auto"/>
            <w:noWrap/>
            <w:vAlign w:val="center"/>
          </w:tcPr>
          <w:p w14:paraId="35B8D87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F55BA6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66DBF0F4" w14:textId="6A1D988B"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1,637</w:t>
            </w:r>
          </w:p>
        </w:tc>
        <w:tc>
          <w:tcPr>
            <w:tcW w:w="808" w:type="dxa"/>
            <w:tcBorders>
              <w:top w:val="nil"/>
              <w:left w:val="nil"/>
              <w:bottom w:val="single" w:sz="4" w:space="0" w:color="BFBFBF"/>
              <w:right w:val="single" w:sz="4" w:space="0" w:color="BFBFBF"/>
            </w:tcBorders>
            <w:shd w:val="clear" w:color="auto" w:fill="auto"/>
            <w:noWrap/>
            <w:vAlign w:val="center"/>
          </w:tcPr>
          <w:p w14:paraId="1EB7B90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0942FD9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6A0769D6" w14:textId="2C25831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39742AB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012B42DE"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405CEEB4"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A7775B">
                  <w:rPr>
                    <w:rFonts w:ascii="Arial" w:hAnsi="Arial" w:cs="Arial"/>
                    <w:color w:val="000000"/>
                    <w:sz w:val="16"/>
                    <w:szCs w:val="16"/>
                    <w:lang w:val="en-AU" w:eastAsia="en-AU"/>
                  </w:rPr>
                  <w:t>Murray</w:t>
                </w:r>
              </w:smartTag>
            </w:smartTag>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83E4D47" w14:textId="2E5B4C88"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37%</w:t>
            </w:r>
          </w:p>
        </w:tc>
        <w:tc>
          <w:tcPr>
            <w:tcW w:w="808" w:type="dxa"/>
            <w:tcBorders>
              <w:top w:val="nil"/>
              <w:left w:val="nil"/>
              <w:bottom w:val="single" w:sz="4" w:space="0" w:color="BFBFBF"/>
              <w:right w:val="single" w:sz="4" w:space="0" w:color="BFBFBF"/>
            </w:tcBorders>
            <w:shd w:val="clear" w:color="auto" w:fill="auto"/>
            <w:noWrap/>
            <w:vAlign w:val="center"/>
          </w:tcPr>
          <w:p w14:paraId="1927672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7ABF14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3A54ACB4" w14:textId="4A56FAB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199</w:t>
            </w:r>
          </w:p>
        </w:tc>
        <w:tc>
          <w:tcPr>
            <w:tcW w:w="675" w:type="dxa"/>
            <w:tcBorders>
              <w:top w:val="nil"/>
              <w:left w:val="nil"/>
              <w:bottom w:val="single" w:sz="4" w:space="0" w:color="BFBFBF"/>
              <w:right w:val="single" w:sz="4" w:space="0" w:color="BFBFBF"/>
            </w:tcBorders>
            <w:shd w:val="clear" w:color="auto" w:fill="auto"/>
            <w:noWrap/>
            <w:vAlign w:val="center"/>
          </w:tcPr>
          <w:p w14:paraId="5D7242C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379319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B6FA759" w14:textId="42634ED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37%</w:t>
            </w:r>
          </w:p>
        </w:tc>
        <w:tc>
          <w:tcPr>
            <w:tcW w:w="675" w:type="dxa"/>
            <w:tcBorders>
              <w:top w:val="nil"/>
              <w:left w:val="nil"/>
              <w:bottom w:val="single" w:sz="4" w:space="0" w:color="BFBFBF"/>
              <w:right w:val="nil"/>
            </w:tcBorders>
            <w:shd w:val="clear" w:color="auto" w:fill="auto"/>
            <w:noWrap/>
            <w:vAlign w:val="center"/>
          </w:tcPr>
          <w:p w14:paraId="6573DE17" w14:textId="72CF148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291C139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684" w:type="dxa"/>
            <w:tcBorders>
              <w:top w:val="nil"/>
              <w:left w:val="nil"/>
              <w:bottom w:val="single" w:sz="4" w:space="0" w:color="BFBFBF"/>
              <w:right w:val="single" w:sz="4" w:space="0" w:color="BFBFBF"/>
            </w:tcBorders>
            <w:shd w:val="clear" w:color="auto" w:fill="auto"/>
            <w:noWrap/>
            <w:vAlign w:val="center"/>
          </w:tcPr>
          <w:p w14:paraId="3529402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839" w:type="dxa"/>
            <w:tcBorders>
              <w:top w:val="nil"/>
              <w:left w:val="nil"/>
              <w:bottom w:val="single" w:sz="4" w:space="0" w:color="BFBFBF"/>
              <w:right w:val="single" w:sz="4" w:space="0" w:color="BFBFBF"/>
            </w:tcBorders>
            <w:shd w:val="clear" w:color="auto" w:fill="auto"/>
            <w:noWrap/>
            <w:vAlign w:val="center"/>
          </w:tcPr>
          <w:p w14:paraId="0A8F1B5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F19C10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0A0E5E18" w14:textId="0DAEA89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2,162</w:t>
            </w:r>
          </w:p>
        </w:tc>
        <w:tc>
          <w:tcPr>
            <w:tcW w:w="808" w:type="dxa"/>
            <w:tcBorders>
              <w:top w:val="nil"/>
              <w:left w:val="nil"/>
              <w:bottom w:val="single" w:sz="4" w:space="0" w:color="BFBFBF"/>
              <w:right w:val="single" w:sz="4" w:space="0" w:color="BFBFBF"/>
            </w:tcBorders>
            <w:shd w:val="clear" w:color="auto" w:fill="auto"/>
            <w:noWrap/>
            <w:vAlign w:val="center"/>
          </w:tcPr>
          <w:p w14:paraId="643C759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E77140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3947BD36" w14:textId="6105BB0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10329FD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726B65F7"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73B0FBDD"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Goulburn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7BB367C" w14:textId="60CA563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37%</w:t>
            </w:r>
          </w:p>
        </w:tc>
        <w:tc>
          <w:tcPr>
            <w:tcW w:w="808" w:type="dxa"/>
            <w:tcBorders>
              <w:top w:val="nil"/>
              <w:left w:val="nil"/>
              <w:bottom w:val="single" w:sz="4" w:space="0" w:color="BFBFBF"/>
              <w:right w:val="single" w:sz="4" w:space="0" w:color="BFBFBF"/>
            </w:tcBorders>
            <w:shd w:val="clear" w:color="auto" w:fill="auto"/>
            <w:noWrap/>
            <w:vAlign w:val="center"/>
          </w:tcPr>
          <w:p w14:paraId="1426195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4A65CA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4D3DEBF4" w14:textId="03C02948"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5B91D5B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4BFD04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DA5F9A0" w14:textId="42B3528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37%</w:t>
            </w:r>
          </w:p>
        </w:tc>
        <w:tc>
          <w:tcPr>
            <w:tcW w:w="675" w:type="dxa"/>
            <w:tcBorders>
              <w:top w:val="nil"/>
              <w:left w:val="nil"/>
              <w:bottom w:val="single" w:sz="4" w:space="0" w:color="BFBFBF"/>
              <w:right w:val="nil"/>
            </w:tcBorders>
            <w:shd w:val="clear" w:color="auto" w:fill="auto"/>
            <w:noWrap/>
            <w:vAlign w:val="center"/>
          </w:tcPr>
          <w:p w14:paraId="7366540D" w14:textId="7D4D6640"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37B36A4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w:t>
            </w:r>
          </w:p>
        </w:tc>
        <w:tc>
          <w:tcPr>
            <w:tcW w:w="684" w:type="dxa"/>
            <w:tcBorders>
              <w:top w:val="nil"/>
              <w:left w:val="nil"/>
              <w:bottom w:val="single" w:sz="4" w:space="0" w:color="BFBFBF"/>
              <w:right w:val="single" w:sz="4" w:space="0" w:color="BFBFBF"/>
            </w:tcBorders>
            <w:shd w:val="clear" w:color="auto" w:fill="auto"/>
            <w:noWrap/>
            <w:vAlign w:val="center"/>
          </w:tcPr>
          <w:p w14:paraId="790069C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140</w:t>
            </w:r>
          </w:p>
        </w:tc>
        <w:tc>
          <w:tcPr>
            <w:tcW w:w="839" w:type="dxa"/>
            <w:tcBorders>
              <w:top w:val="nil"/>
              <w:left w:val="nil"/>
              <w:bottom w:val="single" w:sz="4" w:space="0" w:color="BFBFBF"/>
              <w:right w:val="single" w:sz="4" w:space="0" w:color="BFBFBF"/>
            </w:tcBorders>
            <w:shd w:val="clear" w:color="auto" w:fill="auto"/>
            <w:noWrap/>
            <w:vAlign w:val="center"/>
          </w:tcPr>
          <w:p w14:paraId="1FE6BE2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21A97E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0141F3FA" w14:textId="40AD36BA"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1,913</w:t>
            </w:r>
          </w:p>
        </w:tc>
        <w:tc>
          <w:tcPr>
            <w:tcW w:w="808" w:type="dxa"/>
            <w:tcBorders>
              <w:top w:val="nil"/>
              <w:left w:val="nil"/>
              <w:bottom w:val="single" w:sz="4" w:space="0" w:color="BFBFBF"/>
              <w:right w:val="single" w:sz="4" w:space="0" w:color="BFBFBF"/>
            </w:tcBorders>
            <w:shd w:val="clear" w:color="auto" w:fill="auto"/>
            <w:noWrap/>
            <w:vAlign w:val="center"/>
          </w:tcPr>
          <w:p w14:paraId="5A3971E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8D3413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0B7AF823" w14:textId="1C629ED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078E1FE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10202D03"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1D33AEA4"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Outer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2BF916F" w14:textId="0C956F0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47%</w:t>
            </w:r>
          </w:p>
        </w:tc>
        <w:tc>
          <w:tcPr>
            <w:tcW w:w="808" w:type="dxa"/>
            <w:tcBorders>
              <w:top w:val="nil"/>
              <w:left w:val="nil"/>
              <w:bottom w:val="single" w:sz="4" w:space="0" w:color="BFBFBF"/>
              <w:right w:val="single" w:sz="4" w:space="0" w:color="BFBFBF"/>
            </w:tcBorders>
            <w:shd w:val="clear" w:color="auto" w:fill="auto"/>
            <w:noWrap/>
            <w:vAlign w:val="center"/>
          </w:tcPr>
          <w:p w14:paraId="6A3B309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BC3952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193CD407" w14:textId="55835C7B"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211</w:t>
            </w:r>
          </w:p>
        </w:tc>
        <w:tc>
          <w:tcPr>
            <w:tcW w:w="675" w:type="dxa"/>
            <w:tcBorders>
              <w:top w:val="nil"/>
              <w:left w:val="nil"/>
              <w:bottom w:val="single" w:sz="4" w:space="0" w:color="BFBFBF"/>
              <w:right w:val="single" w:sz="4" w:space="0" w:color="BFBFBF"/>
            </w:tcBorders>
            <w:shd w:val="clear" w:color="auto" w:fill="auto"/>
            <w:noWrap/>
            <w:vAlign w:val="center"/>
          </w:tcPr>
          <w:p w14:paraId="4D9EDD7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62A4198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C73C8A0" w14:textId="6BC1F10B"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47%</w:t>
            </w:r>
          </w:p>
        </w:tc>
        <w:tc>
          <w:tcPr>
            <w:tcW w:w="675" w:type="dxa"/>
            <w:tcBorders>
              <w:top w:val="nil"/>
              <w:left w:val="nil"/>
              <w:bottom w:val="single" w:sz="4" w:space="0" w:color="BFBFBF"/>
              <w:right w:val="nil"/>
            </w:tcBorders>
            <w:shd w:val="clear" w:color="auto" w:fill="auto"/>
            <w:noWrap/>
            <w:vAlign w:val="center"/>
          </w:tcPr>
          <w:p w14:paraId="10E47CA4" w14:textId="31080DB3"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288E633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28%</w:t>
            </w:r>
          </w:p>
        </w:tc>
        <w:tc>
          <w:tcPr>
            <w:tcW w:w="684" w:type="dxa"/>
            <w:tcBorders>
              <w:top w:val="nil"/>
              <w:left w:val="nil"/>
              <w:bottom w:val="single" w:sz="4" w:space="0" w:color="BFBFBF"/>
              <w:right w:val="single" w:sz="4" w:space="0" w:color="BFBFBF"/>
            </w:tcBorders>
            <w:shd w:val="clear" w:color="auto" w:fill="auto"/>
            <w:noWrap/>
            <w:vAlign w:val="center"/>
          </w:tcPr>
          <w:p w14:paraId="7981F5D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50</w:t>
            </w:r>
          </w:p>
        </w:tc>
        <w:tc>
          <w:tcPr>
            <w:tcW w:w="839" w:type="dxa"/>
            <w:tcBorders>
              <w:top w:val="nil"/>
              <w:left w:val="nil"/>
              <w:bottom w:val="single" w:sz="4" w:space="0" w:color="BFBFBF"/>
              <w:right w:val="single" w:sz="4" w:space="0" w:color="BFBFBF"/>
            </w:tcBorders>
            <w:shd w:val="clear" w:color="auto" w:fill="auto"/>
            <w:noWrap/>
            <w:vAlign w:val="center"/>
          </w:tcPr>
          <w:p w14:paraId="09C0714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6C576B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506956B3" w14:textId="789144E3"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1,639</w:t>
            </w:r>
          </w:p>
        </w:tc>
        <w:tc>
          <w:tcPr>
            <w:tcW w:w="808" w:type="dxa"/>
            <w:tcBorders>
              <w:top w:val="nil"/>
              <w:left w:val="nil"/>
              <w:bottom w:val="single" w:sz="4" w:space="0" w:color="BFBFBF"/>
              <w:right w:val="single" w:sz="4" w:space="0" w:color="BFBFBF"/>
            </w:tcBorders>
            <w:shd w:val="clear" w:color="auto" w:fill="auto"/>
            <w:noWrap/>
            <w:vAlign w:val="center"/>
          </w:tcPr>
          <w:p w14:paraId="742FFEA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7048F62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3A190E77" w14:textId="20FA20D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6E4CB74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3165F69B"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3D6B7646"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Inner Gippsland</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5EA53F62" w14:textId="7828054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34%</w:t>
            </w:r>
          </w:p>
        </w:tc>
        <w:tc>
          <w:tcPr>
            <w:tcW w:w="808" w:type="dxa"/>
            <w:tcBorders>
              <w:top w:val="nil"/>
              <w:left w:val="nil"/>
              <w:bottom w:val="single" w:sz="4" w:space="0" w:color="BFBFBF"/>
              <w:right w:val="single" w:sz="4" w:space="0" w:color="BFBFBF"/>
            </w:tcBorders>
            <w:shd w:val="clear" w:color="auto" w:fill="auto"/>
            <w:noWrap/>
            <w:vAlign w:val="center"/>
          </w:tcPr>
          <w:p w14:paraId="047D784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5C7C284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22227953" w14:textId="5EBE790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1F9521D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37403A4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3607A0D6" w14:textId="7BDA978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34%</w:t>
            </w:r>
          </w:p>
        </w:tc>
        <w:tc>
          <w:tcPr>
            <w:tcW w:w="675" w:type="dxa"/>
            <w:tcBorders>
              <w:top w:val="nil"/>
              <w:left w:val="nil"/>
              <w:bottom w:val="single" w:sz="4" w:space="0" w:color="BFBFBF"/>
              <w:right w:val="nil"/>
            </w:tcBorders>
            <w:shd w:val="clear" w:color="auto" w:fill="auto"/>
            <w:noWrap/>
            <w:vAlign w:val="center"/>
          </w:tcPr>
          <w:p w14:paraId="5DB207AF" w14:textId="5697CD4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11DDAB8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10%</w:t>
            </w:r>
          </w:p>
        </w:tc>
        <w:tc>
          <w:tcPr>
            <w:tcW w:w="684" w:type="dxa"/>
            <w:tcBorders>
              <w:top w:val="nil"/>
              <w:left w:val="nil"/>
              <w:bottom w:val="single" w:sz="4" w:space="0" w:color="BFBFBF"/>
              <w:right w:val="single" w:sz="4" w:space="0" w:color="BFBFBF"/>
            </w:tcBorders>
            <w:shd w:val="clear" w:color="auto" w:fill="auto"/>
            <w:noWrap/>
            <w:vAlign w:val="center"/>
          </w:tcPr>
          <w:p w14:paraId="000A238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98</w:t>
            </w:r>
          </w:p>
        </w:tc>
        <w:tc>
          <w:tcPr>
            <w:tcW w:w="839" w:type="dxa"/>
            <w:tcBorders>
              <w:top w:val="nil"/>
              <w:left w:val="nil"/>
              <w:bottom w:val="single" w:sz="4" w:space="0" w:color="BFBFBF"/>
              <w:right w:val="single" w:sz="4" w:space="0" w:color="BFBFBF"/>
            </w:tcBorders>
            <w:shd w:val="clear" w:color="auto" w:fill="auto"/>
            <w:noWrap/>
            <w:vAlign w:val="center"/>
          </w:tcPr>
          <w:p w14:paraId="200292F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1DCCF72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5B329072" w14:textId="1B0F8A2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1,508</w:t>
            </w:r>
          </w:p>
        </w:tc>
        <w:tc>
          <w:tcPr>
            <w:tcW w:w="808" w:type="dxa"/>
            <w:tcBorders>
              <w:top w:val="nil"/>
              <w:left w:val="nil"/>
              <w:bottom w:val="single" w:sz="4" w:space="0" w:color="BFBFBF"/>
              <w:right w:val="single" w:sz="4" w:space="0" w:color="BFBFBF"/>
            </w:tcBorders>
            <w:shd w:val="clear" w:color="auto" w:fill="auto"/>
            <w:noWrap/>
            <w:vAlign w:val="center"/>
          </w:tcPr>
          <w:p w14:paraId="3DDC5A3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497E43B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0BF91C8D" w14:textId="026DC7B3"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6EC908D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42097030"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2FB25693"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Western District</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7B01D11" w14:textId="3A2B6A5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78%</w:t>
            </w:r>
          </w:p>
        </w:tc>
        <w:tc>
          <w:tcPr>
            <w:tcW w:w="808" w:type="dxa"/>
            <w:tcBorders>
              <w:top w:val="nil"/>
              <w:left w:val="nil"/>
              <w:bottom w:val="single" w:sz="4" w:space="0" w:color="BFBFBF"/>
              <w:right w:val="single" w:sz="4" w:space="0" w:color="BFBFBF"/>
            </w:tcBorders>
            <w:shd w:val="clear" w:color="auto" w:fill="auto"/>
            <w:noWrap/>
            <w:vAlign w:val="center"/>
          </w:tcPr>
          <w:p w14:paraId="6A5802F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4D75DBB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3D7B31EE" w14:textId="41186D63"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3A375C9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8E8D51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744B0D3" w14:textId="1947CF6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78%</w:t>
            </w:r>
          </w:p>
        </w:tc>
        <w:tc>
          <w:tcPr>
            <w:tcW w:w="675" w:type="dxa"/>
            <w:tcBorders>
              <w:top w:val="nil"/>
              <w:left w:val="nil"/>
              <w:bottom w:val="single" w:sz="4" w:space="0" w:color="BFBFBF"/>
              <w:right w:val="nil"/>
            </w:tcBorders>
            <w:shd w:val="clear" w:color="auto" w:fill="auto"/>
            <w:noWrap/>
            <w:vAlign w:val="center"/>
          </w:tcPr>
          <w:p w14:paraId="414048B9" w14:textId="17BB164D"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5A32B24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3%</w:t>
            </w:r>
          </w:p>
        </w:tc>
        <w:tc>
          <w:tcPr>
            <w:tcW w:w="684" w:type="dxa"/>
            <w:tcBorders>
              <w:top w:val="nil"/>
              <w:left w:val="nil"/>
              <w:bottom w:val="single" w:sz="4" w:space="0" w:color="BFBFBF"/>
              <w:right w:val="single" w:sz="4" w:space="0" w:color="BFBFBF"/>
            </w:tcBorders>
            <w:shd w:val="clear" w:color="auto" w:fill="auto"/>
            <w:noWrap/>
            <w:vAlign w:val="center"/>
          </w:tcPr>
          <w:p w14:paraId="65EE3C2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198</w:t>
            </w:r>
          </w:p>
        </w:tc>
        <w:tc>
          <w:tcPr>
            <w:tcW w:w="839" w:type="dxa"/>
            <w:tcBorders>
              <w:top w:val="nil"/>
              <w:left w:val="nil"/>
              <w:bottom w:val="single" w:sz="4" w:space="0" w:color="BFBFBF"/>
              <w:right w:val="single" w:sz="4" w:space="0" w:color="BFBFBF"/>
            </w:tcBorders>
            <w:shd w:val="clear" w:color="auto" w:fill="auto"/>
            <w:noWrap/>
            <w:vAlign w:val="center"/>
          </w:tcPr>
          <w:p w14:paraId="7F86E01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744F9B1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2CFE6966" w14:textId="3F54184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1,507</w:t>
            </w:r>
          </w:p>
        </w:tc>
        <w:tc>
          <w:tcPr>
            <w:tcW w:w="808" w:type="dxa"/>
            <w:tcBorders>
              <w:top w:val="nil"/>
              <w:left w:val="nil"/>
              <w:bottom w:val="single" w:sz="4" w:space="0" w:color="BFBFBF"/>
              <w:right w:val="single" w:sz="4" w:space="0" w:color="BFBFBF"/>
            </w:tcBorders>
            <w:shd w:val="clear" w:color="auto" w:fill="auto"/>
            <w:noWrap/>
            <w:vAlign w:val="center"/>
          </w:tcPr>
          <w:p w14:paraId="371E3B0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1DCA841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7D3AEB7A" w14:textId="42C13BF2"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5868A83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0B1C3DB1"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7F21BC19"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Barwon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C3A030B" w14:textId="0B47681A"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32%</w:t>
            </w:r>
          </w:p>
        </w:tc>
        <w:tc>
          <w:tcPr>
            <w:tcW w:w="808" w:type="dxa"/>
            <w:tcBorders>
              <w:top w:val="nil"/>
              <w:left w:val="nil"/>
              <w:bottom w:val="single" w:sz="4" w:space="0" w:color="BFBFBF"/>
              <w:right w:val="single" w:sz="4" w:space="0" w:color="BFBFBF"/>
            </w:tcBorders>
            <w:shd w:val="clear" w:color="auto" w:fill="auto"/>
            <w:noWrap/>
            <w:vAlign w:val="center"/>
          </w:tcPr>
          <w:p w14:paraId="68938F7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7FF4AE1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68C76F9C" w14:textId="09C3828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4611A9F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EB2FB1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23588E2F" w14:textId="3A91D49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32%</w:t>
            </w:r>
          </w:p>
        </w:tc>
        <w:tc>
          <w:tcPr>
            <w:tcW w:w="675" w:type="dxa"/>
            <w:tcBorders>
              <w:top w:val="nil"/>
              <w:left w:val="nil"/>
              <w:bottom w:val="single" w:sz="4" w:space="0" w:color="BFBFBF"/>
              <w:right w:val="nil"/>
            </w:tcBorders>
            <w:shd w:val="clear" w:color="auto" w:fill="auto"/>
            <w:noWrap/>
            <w:vAlign w:val="center"/>
          </w:tcPr>
          <w:p w14:paraId="17536436" w14:textId="34DE7B0A"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75383BD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w:t>
            </w:r>
          </w:p>
        </w:tc>
        <w:tc>
          <w:tcPr>
            <w:tcW w:w="684" w:type="dxa"/>
            <w:tcBorders>
              <w:top w:val="nil"/>
              <w:left w:val="nil"/>
              <w:bottom w:val="single" w:sz="4" w:space="0" w:color="BFBFBF"/>
              <w:right w:val="single" w:sz="4" w:space="0" w:color="BFBFBF"/>
            </w:tcBorders>
            <w:shd w:val="clear" w:color="auto" w:fill="auto"/>
            <w:noWrap/>
            <w:vAlign w:val="center"/>
          </w:tcPr>
          <w:p w14:paraId="095D7BB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198</w:t>
            </w:r>
          </w:p>
        </w:tc>
        <w:tc>
          <w:tcPr>
            <w:tcW w:w="839" w:type="dxa"/>
            <w:tcBorders>
              <w:top w:val="nil"/>
              <w:left w:val="nil"/>
              <w:bottom w:val="single" w:sz="4" w:space="0" w:color="BFBFBF"/>
              <w:right w:val="single" w:sz="4" w:space="0" w:color="BFBFBF"/>
            </w:tcBorders>
            <w:shd w:val="clear" w:color="auto" w:fill="auto"/>
            <w:noWrap/>
            <w:vAlign w:val="center"/>
          </w:tcPr>
          <w:p w14:paraId="626084E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2BD6A4A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64783AC4" w14:textId="411B2113"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1,695</w:t>
            </w:r>
          </w:p>
        </w:tc>
        <w:tc>
          <w:tcPr>
            <w:tcW w:w="808" w:type="dxa"/>
            <w:tcBorders>
              <w:top w:val="nil"/>
              <w:left w:val="nil"/>
              <w:bottom w:val="single" w:sz="4" w:space="0" w:color="BFBFBF"/>
              <w:right w:val="single" w:sz="4" w:space="0" w:color="BFBFBF"/>
            </w:tcBorders>
            <w:shd w:val="clear" w:color="auto" w:fill="auto"/>
            <w:noWrap/>
            <w:vAlign w:val="center"/>
          </w:tcPr>
          <w:p w14:paraId="73735AB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2B6B7BA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55730ABC" w14:textId="5B1D363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396FA51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2415008A"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bottom"/>
          </w:tcPr>
          <w:p w14:paraId="557771D6"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Central Highlands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25703F8" w14:textId="12B6E2DD"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39%</w:t>
            </w:r>
          </w:p>
        </w:tc>
        <w:tc>
          <w:tcPr>
            <w:tcW w:w="808" w:type="dxa"/>
            <w:tcBorders>
              <w:top w:val="nil"/>
              <w:left w:val="nil"/>
              <w:bottom w:val="single" w:sz="4" w:space="0" w:color="BFBFBF"/>
              <w:right w:val="single" w:sz="4" w:space="0" w:color="BFBFBF"/>
            </w:tcBorders>
            <w:shd w:val="clear" w:color="auto" w:fill="auto"/>
            <w:noWrap/>
            <w:vAlign w:val="center"/>
          </w:tcPr>
          <w:p w14:paraId="3F402A2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1B9D9A3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BFBFBF"/>
            </w:tcBorders>
            <w:shd w:val="clear" w:color="auto" w:fill="auto"/>
            <w:noWrap/>
            <w:vAlign w:val="center"/>
          </w:tcPr>
          <w:p w14:paraId="08331D56" w14:textId="5753DA18"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2BF9136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D6B3CB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BFBFBF"/>
            </w:tcBorders>
            <w:shd w:val="clear" w:color="auto" w:fill="auto"/>
            <w:noWrap/>
            <w:vAlign w:val="center"/>
          </w:tcPr>
          <w:p w14:paraId="66057646" w14:textId="19DD9210"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39%</w:t>
            </w:r>
          </w:p>
        </w:tc>
        <w:tc>
          <w:tcPr>
            <w:tcW w:w="675" w:type="dxa"/>
            <w:tcBorders>
              <w:top w:val="nil"/>
              <w:left w:val="nil"/>
              <w:bottom w:val="single" w:sz="4" w:space="0" w:color="BFBFBF"/>
              <w:right w:val="nil"/>
            </w:tcBorders>
            <w:shd w:val="clear" w:color="auto" w:fill="auto"/>
            <w:noWrap/>
            <w:vAlign w:val="center"/>
          </w:tcPr>
          <w:p w14:paraId="7A9738F0" w14:textId="7F451CF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1670436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w:t>
            </w:r>
          </w:p>
        </w:tc>
        <w:tc>
          <w:tcPr>
            <w:tcW w:w="684" w:type="dxa"/>
            <w:tcBorders>
              <w:top w:val="nil"/>
              <w:left w:val="nil"/>
              <w:bottom w:val="single" w:sz="4" w:space="0" w:color="BFBFBF"/>
              <w:right w:val="single" w:sz="4" w:space="0" w:color="BFBFBF"/>
            </w:tcBorders>
            <w:shd w:val="clear" w:color="auto" w:fill="auto"/>
            <w:noWrap/>
            <w:vAlign w:val="center"/>
          </w:tcPr>
          <w:p w14:paraId="6BD695C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75</w:t>
            </w:r>
          </w:p>
        </w:tc>
        <w:tc>
          <w:tcPr>
            <w:tcW w:w="839" w:type="dxa"/>
            <w:tcBorders>
              <w:top w:val="nil"/>
              <w:left w:val="nil"/>
              <w:bottom w:val="single" w:sz="4" w:space="0" w:color="BFBFBF"/>
              <w:right w:val="single" w:sz="4" w:space="0" w:color="BFBFBF"/>
            </w:tcBorders>
            <w:shd w:val="clear" w:color="auto" w:fill="auto"/>
            <w:noWrap/>
            <w:vAlign w:val="center"/>
          </w:tcPr>
          <w:p w14:paraId="223C67C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675" w:type="dxa"/>
            <w:tcBorders>
              <w:top w:val="nil"/>
              <w:left w:val="nil"/>
              <w:bottom w:val="single" w:sz="4" w:space="0" w:color="BFBFBF"/>
              <w:right w:val="single" w:sz="4" w:space="0" w:color="auto"/>
            </w:tcBorders>
            <w:shd w:val="clear" w:color="auto" w:fill="auto"/>
            <w:noWrap/>
            <w:vAlign w:val="center"/>
          </w:tcPr>
          <w:p w14:paraId="0265322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64" w:type="dxa"/>
            <w:tcBorders>
              <w:top w:val="nil"/>
              <w:left w:val="nil"/>
              <w:bottom w:val="single" w:sz="4" w:space="0" w:color="BFBFBF"/>
              <w:right w:val="single" w:sz="4" w:space="0" w:color="BFBFBF"/>
            </w:tcBorders>
            <w:shd w:val="clear" w:color="auto" w:fill="auto"/>
            <w:noWrap/>
            <w:vAlign w:val="center"/>
          </w:tcPr>
          <w:p w14:paraId="7F41D03D" w14:textId="05D3C1A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1,545</w:t>
            </w:r>
          </w:p>
        </w:tc>
        <w:tc>
          <w:tcPr>
            <w:tcW w:w="808" w:type="dxa"/>
            <w:tcBorders>
              <w:top w:val="nil"/>
              <w:left w:val="nil"/>
              <w:bottom w:val="single" w:sz="4" w:space="0" w:color="BFBFBF"/>
              <w:right w:val="single" w:sz="4" w:space="0" w:color="BFBFBF"/>
            </w:tcBorders>
            <w:shd w:val="clear" w:color="auto" w:fill="auto"/>
            <w:noWrap/>
            <w:vAlign w:val="center"/>
          </w:tcPr>
          <w:p w14:paraId="1ADEBEB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808" w:type="dxa"/>
            <w:tcBorders>
              <w:top w:val="nil"/>
              <w:left w:val="nil"/>
              <w:bottom w:val="single" w:sz="4" w:space="0" w:color="BFBFBF"/>
              <w:right w:val="single" w:sz="4" w:space="0" w:color="auto"/>
            </w:tcBorders>
            <w:shd w:val="clear" w:color="auto" w:fill="auto"/>
            <w:noWrap/>
            <w:vAlign w:val="center"/>
          </w:tcPr>
          <w:p w14:paraId="6E46EA9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c>
          <w:tcPr>
            <w:tcW w:w="776" w:type="dxa"/>
            <w:tcBorders>
              <w:top w:val="nil"/>
              <w:left w:val="nil"/>
              <w:bottom w:val="single" w:sz="4" w:space="0" w:color="BFBFBF"/>
              <w:right w:val="single" w:sz="4" w:space="0" w:color="BFBFBF"/>
            </w:tcBorders>
            <w:shd w:val="clear" w:color="auto" w:fill="auto"/>
            <w:noWrap/>
            <w:vAlign w:val="center"/>
          </w:tcPr>
          <w:p w14:paraId="31A3601A" w14:textId="185DD6C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n/a</w:t>
            </w:r>
          </w:p>
        </w:tc>
        <w:tc>
          <w:tcPr>
            <w:tcW w:w="776" w:type="dxa"/>
            <w:tcBorders>
              <w:top w:val="nil"/>
              <w:left w:val="nil"/>
              <w:bottom w:val="single" w:sz="4" w:space="0" w:color="BFBFBF"/>
              <w:right w:val="double" w:sz="6" w:space="0" w:color="auto"/>
            </w:tcBorders>
            <w:shd w:val="clear" w:color="auto" w:fill="auto"/>
            <w:noWrap/>
            <w:vAlign w:val="center"/>
          </w:tcPr>
          <w:p w14:paraId="63AAA1F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n/a</w:t>
            </w:r>
          </w:p>
        </w:tc>
      </w:tr>
      <w:tr w:rsidR="00F44114" w:rsidRPr="00A7775B" w14:paraId="56B6AC40"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4C26641" w14:textId="77777777" w:rsidR="006935F2" w:rsidRPr="00A7775B" w:rsidRDefault="006935F2" w:rsidP="00E337BE">
            <w:pPr>
              <w:spacing w:before="0" w:after="0"/>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By Concession Status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0D9A753" w14:textId="640EDED6"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78F50193" w14:textId="77777777"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6A4A7037" w14:textId="77777777"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BFBFBF"/>
            </w:tcBorders>
            <w:shd w:val="clear" w:color="auto" w:fill="auto"/>
            <w:noWrap/>
            <w:vAlign w:val="center"/>
          </w:tcPr>
          <w:p w14:paraId="44BFEC16" w14:textId="2987A2AB"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BFBFBF"/>
            </w:tcBorders>
            <w:shd w:val="clear" w:color="auto" w:fill="auto"/>
            <w:noWrap/>
            <w:vAlign w:val="center"/>
          </w:tcPr>
          <w:p w14:paraId="11D0D65F" w14:textId="77777777"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13BCADD7" w14:textId="77777777"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4865D4D7" w14:textId="53783550"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nil"/>
            </w:tcBorders>
            <w:shd w:val="clear" w:color="auto" w:fill="auto"/>
            <w:noWrap/>
            <w:vAlign w:val="center"/>
          </w:tcPr>
          <w:p w14:paraId="05A31DBE" w14:textId="45A22AEF" w:rsidR="006935F2" w:rsidRPr="00A7775B" w:rsidRDefault="006935F2">
            <w:pPr>
              <w:spacing w:before="0" w:after="0"/>
              <w:jc w:val="center"/>
              <w:rPr>
                <w:rFonts w:ascii="Arial" w:hAnsi="Arial" w:cs="Arial"/>
                <w:color w:val="000000"/>
                <w:sz w:val="16"/>
                <w:szCs w:val="16"/>
                <w:lang w:val="en-AU" w:eastAsia="en-AU"/>
              </w:rPr>
            </w:pP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5DB8A922" w14:textId="7955E9BD" w:rsidR="006935F2" w:rsidRPr="00A7775B" w:rsidRDefault="006935F2">
            <w:pPr>
              <w:spacing w:before="0" w:after="0"/>
              <w:jc w:val="center"/>
              <w:rPr>
                <w:rFonts w:ascii="Arial" w:hAnsi="Arial" w:cs="Arial"/>
                <w:color w:val="000000"/>
                <w:sz w:val="16"/>
                <w:szCs w:val="16"/>
                <w:lang w:val="en-AU" w:eastAsia="en-AU"/>
              </w:rPr>
            </w:pPr>
          </w:p>
        </w:tc>
        <w:tc>
          <w:tcPr>
            <w:tcW w:w="684" w:type="dxa"/>
            <w:tcBorders>
              <w:top w:val="nil"/>
              <w:left w:val="nil"/>
              <w:bottom w:val="single" w:sz="4" w:space="0" w:color="BFBFBF"/>
              <w:right w:val="single" w:sz="4" w:space="0" w:color="BFBFBF"/>
            </w:tcBorders>
            <w:shd w:val="clear" w:color="auto" w:fill="auto"/>
            <w:noWrap/>
            <w:vAlign w:val="center"/>
          </w:tcPr>
          <w:p w14:paraId="103D7684" w14:textId="6FF4EC79" w:rsidR="006935F2" w:rsidRPr="00A7775B" w:rsidRDefault="006935F2">
            <w:pPr>
              <w:spacing w:before="0" w:after="0"/>
              <w:jc w:val="center"/>
              <w:rPr>
                <w:rFonts w:ascii="Arial" w:hAnsi="Arial" w:cs="Arial"/>
                <w:color w:val="000000"/>
                <w:sz w:val="16"/>
                <w:szCs w:val="16"/>
                <w:lang w:val="en-AU" w:eastAsia="en-AU"/>
              </w:rPr>
            </w:pPr>
          </w:p>
        </w:tc>
        <w:tc>
          <w:tcPr>
            <w:tcW w:w="839" w:type="dxa"/>
            <w:tcBorders>
              <w:top w:val="nil"/>
              <w:left w:val="nil"/>
              <w:bottom w:val="single" w:sz="4" w:space="0" w:color="BFBFBF"/>
              <w:right w:val="single" w:sz="4" w:space="0" w:color="BFBFBF"/>
            </w:tcBorders>
            <w:shd w:val="clear" w:color="auto" w:fill="auto"/>
            <w:noWrap/>
            <w:vAlign w:val="center"/>
          </w:tcPr>
          <w:p w14:paraId="20F84E6B" w14:textId="77777777"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70E515A4" w14:textId="77777777" w:rsidR="006935F2" w:rsidRPr="00A7775B" w:rsidRDefault="006935F2">
            <w:pPr>
              <w:spacing w:before="0" w:after="0"/>
              <w:jc w:val="center"/>
              <w:rPr>
                <w:rFonts w:ascii="Arial" w:hAnsi="Arial" w:cs="Arial"/>
                <w:color w:val="000000"/>
                <w:sz w:val="16"/>
                <w:szCs w:val="16"/>
                <w:lang w:val="en-AU" w:eastAsia="en-AU"/>
              </w:rPr>
            </w:pPr>
          </w:p>
        </w:tc>
        <w:tc>
          <w:tcPr>
            <w:tcW w:w="764" w:type="dxa"/>
            <w:tcBorders>
              <w:top w:val="nil"/>
              <w:left w:val="nil"/>
              <w:bottom w:val="single" w:sz="4" w:space="0" w:color="BFBFBF"/>
              <w:right w:val="single" w:sz="4" w:space="0" w:color="BFBFBF"/>
            </w:tcBorders>
            <w:shd w:val="clear" w:color="auto" w:fill="auto"/>
            <w:noWrap/>
            <w:vAlign w:val="center"/>
          </w:tcPr>
          <w:p w14:paraId="1F7C2C51" w14:textId="2220BEB1"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79BCDD17" w14:textId="77777777"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auto"/>
            </w:tcBorders>
            <w:shd w:val="clear" w:color="auto" w:fill="auto"/>
            <w:noWrap/>
            <w:vAlign w:val="center"/>
          </w:tcPr>
          <w:p w14:paraId="5D7AA800" w14:textId="77777777" w:rsidR="006935F2" w:rsidRPr="00A7775B" w:rsidRDefault="006935F2">
            <w:pPr>
              <w:spacing w:before="0" w:after="0"/>
              <w:jc w:val="center"/>
              <w:rPr>
                <w:rFonts w:ascii="Arial" w:hAnsi="Arial" w:cs="Arial"/>
                <w:color w:val="000000"/>
                <w:sz w:val="16"/>
                <w:szCs w:val="16"/>
                <w:lang w:val="en-AU" w:eastAsia="en-AU"/>
              </w:rPr>
            </w:pPr>
          </w:p>
        </w:tc>
        <w:tc>
          <w:tcPr>
            <w:tcW w:w="776" w:type="dxa"/>
            <w:tcBorders>
              <w:top w:val="nil"/>
              <w:left w:val="nil"/>
              <w:bottom w:val="single" w:sz="4" w:space="0" w:color="BFBFBF"/>
              <w:right w:val="single" w:sz="4" w:space="0" w:color="BFBFBF"/>
            </w:tcBorders>
            <w:shd w:val="clear" w:color="auto" w:fill="auto"/>
            <w:noWrap/>
            <w:vAlign w:val="center"/>
          </w:tcPr>
          <w:p w14:paraId="458BF086" w14:textId="5D4052F5" w:rsidR="006935F2" w:rsidRPr="00A7775B" w:rsidRDefault="006935F2">
            <w:pPr>
              <w:spacing w:before="0" w:after="0"/>
              <w:jc w:val="center"/>
              <w:rPr>
                <w:rFonts w:ascii="Arial" w:hAnsi="Arial" w:cs="Arial"/>
                <w:color w:val="000000"/>
                <w:sz w:val="16"/>
                <w:szCs w:val="16"/>
                <w:lang w:val="en-AU" w:eastAsia="en-AU"/>
              </w:rPr>
            </w:pPr>
          </w:p>
        </w:tc>
        <w:tc>
          <w:tcPr>
            <w:tcW w:w="776" w:type="dxa"/>
            <w:tcBorders>
              <w:top w:val="nil"/>
              <w:left w:val="nil"/>
              <w:bottom w:val="single" w:sz="4" w:space="0" w:color="BFBFBF"/>
              <w:right w:val="double" w:sz="6" w:space="0" w:color="auto"/>
            </w:tcBorders>
            <w:shd w:val="clear" w:color="auto" w:fill="auto"/>
            <w:noWrap/>
            <w:vAlign w:val="center"/>
          </w:tcPr>
          <w:p w14:paraId="24972D6E" w14:textId="77777777" w:rsidR="006935F2" w:rsidRPr="00A7775B" w:rsidRDefault="006935F2">
            <w:pPr>
              <w:spacing w:before="0" w:after="0"/>
              <w:jc w:val="center"/>
              <w:rPr>
                <w:rFonts w:ascii="Arial" w:hAnsi="Arial" w:cs="Arial"/>
                <w:color w:val="000000"/>
                <w:sz w:val="16"/>
                <w:szCs w:val="16"/>
                <w:lang w:val="en-AU" w:eastAsia="en-AU"/>
              </w:rPr>
            </w:pPr>
          </w:p>
        </w:tc>
      </w:tr>
      <w:tr w:rsidR="00F44114" w:rsidRPr="00A7775B" w14:paraId="763EA049"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38FB048B"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Aged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0EA148D" w14:textId="0DA7596B"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91%</w:t>
            </w:r>
          </w:p>
        </w:tc>
        <w:tc>
          <w:tcPr>
            <w:tcW w:w="808" w:type="dxa"/>
            <w:tcBorders>
              <w:top w:val="nil"/>
              <w:left w:val="nil"/>
              <w:bottom w:val="single" w:sz="4" w:space="0" w:color="BFBFBF"/>
              <w:right w:val="single" w:sz="4" w:space="0" w:color="BFBFBF"/>
            </w:tcBorders>
            <w:shd w:val="clear" w:color="auto" w:fill="auto"/>
            <w:noWrap/>
            <w:vAlign w:val="center"/>
          </w:tcPr>
          <w:p w14:paraId="7F2326B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91%</w:t>
            </w:r>
          </w:p>
        </w:tc>
        <w:tc>
          <w:tcPr>
            <w:tcW w:w="808" w:type="dxa"/>
            <w:tcBorders>
              <w:top w:val="nil"/>
              <w:left w:val="nil"/>
              <w:bottom w:val="single" w:sz="4" w:space="0" w:color="BFBFBF"/>
              <w:right w:val="single" w:sz="4" w:space="0" w:color="BFBFBF"/>
            </w:tcBorders>
            <w:shd w:val="clear" w:color="auto" w:fill="auto"/>
            <w:noWrap/>
            <w:vAlign w:val="center"/>
          </w:tcPr>
          <w:p w14:paraId="0290E48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89%</w:t>
            </w:r>
          </w:p>
        </w:tc>
        <w:tc>
          <w:tcPr>
            <w:tcW w:w="675" w:type="dxa"/>
            <w:tcBorders>
              <w:top w:val="nil"/>
              <w:left w:val="nil"/>
              <w:bottom w:val="single" w:sz="4" w:space="0" w:color="BFBFBF"/>
              <w:right w:val="single" w:sz="4" w:space="0" w:color="BFBFBF"/>
            </w:tcBorders>
            <w:shd w:val="clear" w:color="auto" w:fill="auto"/>
            <w:noWrap/>
            <w:vAlign w:val="center"/>
          </w:tcPr>
          <w:p w14:paraId="0B9B720D" w14:textId="4D338D4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657304E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088F50B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136</w:t>
            </w:r>
          </w:p>
        </w:tc>
        <w:tc>
          <w:tcPr>
            <w:tcW w:w="808" w:type="dxa"/>
            <w:tcBorders>
              <w:top w:val="nil"/>
              <w:left w:val="nil"/>
              <w:bottom w:val="single" w:sz="4" w:space="0" w:color="BFBFBF"/>
              <w:right w:val="single" w:sz="4" w:space="0" w:color="BFBFBF"/>
            </w:tcBorders>
            <w:shd w:val="clear" w:color="auto" w:fill="auto"/>
            <w:noWrap/>
            <w:vAlign w:val="center"/>
          </w:tcPr>
          <w:p w14:paraId="7D1892B5" w14:textId="1761224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91%</w:t>
            </w:r>
          </w:p>
        </w:tc>
        <w:tc>
          <w:tcPr>
            <w:tcW w:w="675" w:type="dxa"/>
            <w:tcBorders>
              <w:top w:val="nil"/>
              <w:left w:val="nil"/>
              <w:bottom w:val="single" w:sz="4" w:space="0" w:color="BFBFBF"/>
              <w:right w:val="nil"/>
            </w:tcBorders>
            <w:shd w:val="clear" w:color="auto" w:fill="auto"/>
            <w:noWrap/>
            <w:vAlign w:val="center"/>
          </w:tcPr>
          <w:p w14:paraId="32C1313A" w14:textId="3A79F39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388A412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24%</w:t>
            </w:r>
          </w:p>
        </w:tc>
        <w:tc>
          <w:tcPr>
            <w:tcW w:w="684" w:type="dxa"/>
            <w:tcBorders>
              <w:top w:val="nil"/>
              <w:left w:val="nil"/>
              <w:bottom w:val="single" w:sz="4" w:space="0" w:color="BFBFBF"/>
              <w:right w:val="single" w:sz="4" w:space="0" w:color="BFBFBF"/>
            </w:tcBorders>
            <w:shd w:val="clear" w:color="auto" w:fill="auto"/>
            <w:noWrap/>
            <w:vAlign w:val="center"/>
          </w:tcPr>
          <w:p w14:paraId="2AF17EA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69</w:t>
            </w:r>
          </w:p>
        </w:tc>
        <w:tc>
          <w:tcPr>
            <w:tcW w:w="839" w:type="dxa"/>
            <w:tcBorders>
              <w:top w:val="nil"/>
              <w:left w:val="nil"/>
              <w:bottom w:val="single" w:sz="4" w:space="0" w:color="BFBFBF"/>
              <w:right w:val="single" w:sz="4" w:space="0" w:color="BFBFBF"/>
            </w:tcBorders>
            <w:shd w:val="clear" w:color="auto" w:fill="auto"/>
            <w:noWrap/>
            <w:vAlign w:val="center"/>
          </w:tcPr>
          <w:p w14:paraId="0D93D90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20%</w:t>
            </w:r>
          </w:p>
        </w:tc>
        <w:tc>
          <w:tcPr>
            <w:tcW w:w="675" w:type="dxa"/>
            <w:tcBorders>
              <w:top w:val="nil"/>
              <w:left w:val="nil"/>
              <w:bottom w:val="single" w:sz="4" w:space="0" w:color="BFBFBF"/>
              <w:right w:val="single" w:sz="4" w:space="0" w:color="auto"/>
            </w:tcBorders>
            <w:shd w:val="clear" w:color="auto" w:fill="auto"/>
            <w:noWrap/>
            <w:vAlign w:val="center"/>
          </w:tcPr>
          <w:p w14:paraId="7BFABD8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45</w:t>
            </w:r>
          </w:p>
        </w:tc>
        <w:tc>
          <w:tcPr>
            <w:tcW w:w="764" w:type="dxa"/>
            <w:tcBorders>
              <w:top w:val="nil"/>
              <w:left w:val="nil"/>
              <w:bottom w:val="single" w:sz="4" w:space="0" w:color="BFBFBF"/>
              <w:right w:val="single" w:sz="4" w:space="0" w:color="BFBFBF"/>
            </w:tcBorders>
            <w:shd w:val="clear" w:color="auto" w:fill="auto"/>
            <w:noWrap/>
            <w:vAlign w:val="center"/>
          </w:tcPr>
          <w:p w14:paraId="5D4512BF" w14:textId="19B587FD"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1,368</w:t>
            </w:r>
          </w:p>
        </w:tc>
        <w:tc>
          <w:tcPr>
            <w:tcW w:w="808" w:type="dxa"/>
            <w:tcBorders>
              <w:top w:val="nil"/>
              <w:left w:val="nil"/>
              <w:bottom w:val="single" w:sz="4" w:space="0" w:color="BFBFBF"/>
              <w:right w:val="single" w:sz="4" w:space="0" w:color="BFBFBF"/>
            </w:tcBorders>
            <w:shd w:val="clear" w:color="auto" w:fill="auto"/>
            <w:noWrap/>
            <w:vAlign w:val="center"/>
          </w:tcPr>
          <w:p w14:paraId="3DED003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752</w:t>
            </w:r>
          </w:p>
        </w:tc>
        <w:tc>
          <w:tcPr>
            <w:tcW w:w="808" w:type="dxa"/>
            <w:tcBorders>
              <w:top w:val="nil"/>
              <w:left w:val="nil"/>
              <w:bottom w:val="single" w:sz="4" w:space="0" w:color="BFBFBF"/>
              <w:right w:val="single" w:sz="4" w:space="0" w:color="auto"/>
            </w:tcBorders>
            <w:shd w:val="clear" w:color="auto" w:fill="auto"/>
            <w:noWrap/>
            <w:vAlign w:val="center"/>
          </w:tcPr>
          <w:p w14:paraId="482E9EE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486</w:t>
            </w:r>
          </w:p>
        </w:tc>
        <w:tc>
          <w:tcPr>
            <w:tcW w:w="776" w:type="dxa"/>
            <w:tcBorders>
              <w:top w:val="nil"/>
              <w:left w:val="nil"/>
              <w:bottom w:val="single" w:sz="4" w:space="0" w:color="BFBFBF"/>
              <w:right w:val="single" w:sz="4" w:space="0" w:color="BFBFBF"/>
            </w:tcBorders>
            <w:shd w:val="clear" w:color="auto" w:fill="auto"/>
            <w:noWrap/>
            <w:vAlign w:val="center"/>
          </w:tcPr>
          <w:p w14:paraId="3F935BC9" w14:textId="0D7BAD29"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82.0%</w:t>
            </w:r>
          </w:p>
        </w:tc>
        <w:tc>
          <w:tcPr>
            <w:tcW w:w="776" w:type="dxa"/>
            <w:tcBorders>
              <w:top w:val="nil"/>
              <w:left w:val="nil"/>
              <w:bottom w:val="single" w:sz="4" w:space="0" w:color="BFBFBF"/>
              <w:right w:val="double" w:sz="6" w:space="0" w:color="auto"/>
            </w:tcBorders>
            <w:shd w:val="clear" w:color="auto" w:fill="auto"/>
            <w:noWrap/>
            <w:vAlign w:val="center"/>
          </w:tcPr>
          <w:p w14:paraId="133513A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54.7%</w:t>
            </w:r>
          </w:p>
        </w:tc>
      </w:tr>
      <w:tr w:rsidR="00F44114" w:rsidRPr="00A7775B" w14:paraId="29590350"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B981571"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Other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47B72E1" w14:textId="64167A4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78%</w:t>
            </w:r>
          </w:p>
        </w:tc>
        <w:tc>
          <w:tcPr>
            <w:tcW w:w="808" w:type="dxa"/>
            <w:tcBorders>
              <w:top w:val="nil"/>
              <w:left w:val="nil"/>
              <w:bottom w:val="single" w:sz="4" w:space="0" w:color="BFBFBF"/>
              <w:right w:val="single" w:sz="4" w:space="0" w:color="BFBFBF"/>
            </w:tcBorders>
            <w:shd w:val="clear" w:color="auto" w:fill="auto"/>
            <w:noWrap/>
            <w:vAlign w:val="center"/>
          </w:tcPr>
          <w:p w14:paraId="3EF311F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51%</w:t>
            </w:r>
          </w:p>
        </w:tc>
        <w:tc>
          <w:tcPr>
            <w:tcW w:w="808" w:type="dxa"/>
            <w:tcBorders>
              <w:top w:val="nil"/>
              <w:left w:val="nil"/>
              <w:bottom w:val="single" w:sz="4" w:space="0" w:color="BFBFBF"/>
              <w:right w:val="single" w:sz="4" w:space="0" w:color="BFBFBF"/>
            </w:tcBorders>
            <w:shd w:val="clear" w:color="auto" w:fill="auto"/>
            <w:noWrap/>
            <w:vAlign w:val="center"/>
          </w:tcPr>
          <w:p w14:paraId="0E05A7E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53%</w:t>
            </w:r>
          </w:p>
        </w:tc>
        <w:tc>
          <w:tcPr>
            <w:tcW w:w="675" w:type="dxa"/>
            <w:tcBorders>
              <w:top w:val="nil"/>
              <w:left w:val="nil"/>
              <w:bottom w:val="single" w:sz="4" w:space="0" w:color="BFBFBF"/>
              <w:right w:val="single" w:sz="4" w:space="0" w:color="BFBFBF"/>
            </w:tcBorders>
            <w:shd w:val="clear" w:color="auto" w:fill="auto"/>
            <w:noWrap/>
            <w:vAlign w:val="center"/>
          </w:tcPr>
          <w:p w14:paraId="0A07C521" w14:textId="7A1A43D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202</w:t>
            </w:r>
          </w:p>
        </w:tc>
        <w:tc>
          <w:tcPr>
            <w:tcW w:w="675" w:type="dxa"/>
            <w:tcBorders>
              <w:top w:val="nil"/>
              <w:left w:val="nil"/>
              <w:bottom w:val="single" w:sz="4" w:space="0" w:color="BFBFBF"/>
              <w:right w:val="single" w:sz="4" w:space="0" w:color="BFBFBF"/>
            </w:tcBorders>
            <w:shd w:val="clear" w:color="auto" w:fill="auto"/>
            <w:noWrap/>
            <w:vAlign w:val="center"/>
          </w:tcPr>
          <w:p w14:paraId="672245E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28E06A4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135</w:t>
            </w:r>
          </w:p>
        </w:tc>
        <w:tc>
          <w:tcPr>
            <w:tcW w:w="808" w:type="dxa"/>
            <w:tcBorders>
              <w:top w:val="nil"/>
              <w:left w:val="nil"/>
              <w:bottom w:val="single" w:sz="4" w:space="0" w:color="BFBFBF"/>
              <w:right w:val="single" w:sz="4" w:space="0" w:color="BFBFBF"/>
            </w:tcBorders>
            <w:shd w:val="clear" w:color="auto" w:fill="auto"/>
            <w:noWrap/>
            <w:vAlign w:val="center"/>
          </w:tcPr>
          <w:p w14:paraId="445960C9" w14:textId="554E257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78%</w:t>
            </w:r>
          </w:p>
        </w:tc>
        <w:tc>
          <w:tcPr>
            <w:tcW w:w="675" w:type="dxa"/>
            <w:tcBorders>
              <w:top w:val="nil"/>
              <w:left w:val="nil"/>
              <w:bottom w:val="single" w:sz="4" w:space="0" w:color="BFBFBF"/>
              <w:right w:val="nil"/>
            </w:tcBorders>
            <w:shd w:val="clear" w:color="auto" w:fill="auto"/>
            <w:noWrap/>
            <w:vAlign w:val="center"/>
          </w:tcPr>
          <w:p w14:paraId="33E2CDB2" w14:textId="498AA7D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1EF9F4D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29%</w:t>
            </w:r>
          </w:p>
        </w:tc>
        <w:tc>
          <w:tcPr>
            <w:tcW w:w="684" w:type="dxa"/>
            <w:tcBorders>
              <w:top w:val="nil"/>
              <w:left w:val="nil"/>
              <w:bottom w:val="single" w:sz="4" w:space="0" w:color="BFBFBF"/>
              <w:right w:val="single" w:sz="4" w:space="0" w:color="BFBFBF"/>
            </w:tcBorders>
            <w:shd w:val="clear" w:color="auto" w:fill="auto"/>
            <w:noWrap/>
            <w:vAlign w:val="center"/>
          </w:tcPr>
          <w:p w14:paraId="76339BE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62</w:t>
            </w:r>
          </w:p>
        </w:tc>
        <w:tc>
          <w:tcPr>
            <w:tcW w:w="839" w:type="dxa"/>
            <w:tcBorders>
              <w:top w:val="nil"/>
              <w:left w:val="nil"/>
              <w:bottom w:val="single" w:sz="4" w:space="0" w:color="BFBFBF"/>
              <w:right w:val="single" w:sz="4" w:space="0" w:color="BFBFBF"/>
            </w:tcBorders>
            <w:shd w:val="clear" w:color="auto" w:fill="auto"/>
            <w:noWrap/>
            <w:vAlign w:val="center"/>
          </w:tcPr>
          <w:p w14:paraId="34F0A9B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11%</w:t>
            </w:r>
          </w:p>
        </w:tc>
        <w:tc>
          <w:tcPr>
            <w:tcW w:w="675" w:type="dxa"/>
            <w:tcBorders>
              <w:top w:val="nil"/>
              <w:left w:val="nil"/>
              <w:bottom w:val="single" w:sz="4" w:space="0" w:color="BFBFBF"/>
              <w:right w:val="single" w:sz="4" w:space="0" w:color="auto"/>
            </w:tcBorders>
            <w:shd w:val="clear" w:color="auto" w:fill="auto"/>
            <w:noWrap/>
            <w:vAlign w:val="center"/>
          </w:tcPr>
          <w:p w14:paraId="0FAA846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96</w:t>
            </w:r>
          </w:p>
        </w:tc>
        <w:tc>
          <w:tcPr>
            <w:tcW w:w="764" w:type="dxa"/>
            <w:tcBorders>
              <w:top w:val="nil"/>
              <w:left w:val="nil"/>
              <w:bottom w:val="single" w:sz="4" w:space="0" w:color="BFBFBF"/>
              <w:right w:val="single" w:sz="4" w:space="0" w:color="BFBFBF"/>
            </w:tcBorders>
            <w:shd w:val="clear" w:color="auto" w:fill="auto"/>
            <w:noWrap/>
            <w:vAlign w:val="center"/>
          </w:tcPr>
          <w:p w14:paraId="1BA6377D" w14:textId="718DBB2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1,314</w:t>
            </w:r>
          </w:p>
        </w:tc>
        <w:tc>
          <w:tcPr>
            <w:tcW w:w="808" w:type="dxa"/>
            <w:tcBorders>
              <w:top w:val="nil"/>
              <w:left w:val="nil"/>
              <w:bottom w:val="single" w:sz="4" w:space="0" w:color="BFBFBF"/>
              <w:right w:val="single" w:sz="4" w:space="0" w:color="BFBFBF"/>
            </w:tcBorders>
            <w:shd w:val="clear" w:color="auto" w:fill="auto"/>
            <w:noWrap/>
            <w:vAlign w:val="center"/>
          </w:tcPr>
          <w:p w14:paraId="52AB889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772</w:t>
            </w:r>
          </w:p>
        </w:tc>
        <w:tc>
          <w:tcPr>
            <w:tcW w:w="808" w:type="dxa"/>
            <w:tcBorders>
              <w:top w:val="nil"/>
              <w:left w:val="nil"/>
              <w:bottom w:val="single" w:sz="4" w:space="0" w:color="BFBFBF"/>
              <w:right w:val="single" w:sz="4" w:space="0" w:color="auto"/>
            </w:tcBorders>
            <w:shd w:val="clear" w:color="auto" w:fill="auto"/>
            <w:noWrap/>
            <w:vAlign w:val="center"/>
          </w:tcPr>
          <w:p w14:paraId="19A4861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572</w:t>
            </w:r>
          </w:p>
        </w:tc>
        <w:tc>
          <w:tcPr>
            <w:tcW w:w="776" w:type="dxa"/>
            <w:tcBorders>
              <w:top w:val="nil"/>
              <w:left w:val="nil"/>
              <w:bottom w:val="single" w:sz="4" w:space="0" w:color="BFBFBF"/>
              <w:right w:val="single" w:sz="4" w:space="0" w:color="BFBFBF"/>
            </w:tcBorders>
            <w:shd w:val="clear" w:color="auto" w:fill="auto"/>
            <w:noWrap/>
            <w:vAlign w:val="center"/>
          </w:tcPr>
          <w:p w14:paraId="57B9DE46" w14:textId="332DEE53"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70.2%</w:t>
            </w:r>
          </w:p>
        </w:tc>
        <w:tc>
          <w:tcPr>
            <w:tcW w:w="776" w:type="dxa"/>
            <w:tcBorders>
              <w:top w:val="nil"/>
              <w:left w:val="nil"/>
              <w:bottom w:val="single" w:sz="4" w:space="0" w:color="BFBFBF"/>
              <w:right w:val="double" w:sz="6" w:space="0" w:color="auto"/>
            </w:tcBorders>
            <w:shd w:val="clear" w:color="auto" w:fill="auto"/>
            <w:noWrap/>
            <w:vAlign w:val="center"/>
          </w:tcPr>
          <w:p w14:paraId="1091182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35.0%</w:t>
            </w:r>
          </w:p>
        </w:tc>
      </w:tr>
      <w:tr w:rsidR="00F44114" w:rsidRPr="00A7775B" w14:paraId="20BFA5AA"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6E0D7CC"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Total Concession HHs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AC38EBF" w14:textId="4D73420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86%</w:t>
            </w:r>
          </w:p>
        </w:tc>
        <w:tc>
          <w:tcPr>
            <w:tcW w:w="808" w:type="dxa"/>
            <w:tcBorders>
              <w:top w:val="nil"/>
              <w:left w:val="nil"/>
              <w:bottom w:val="single" w:sz="4" w:space="0" w:color="BFBFBF"/>
              <w:right w:val="single" w:sz="4" w:space="0" w:color="BFBFBF"/>
            </w:tcBorders>
            <w:shd w:val="clear" w:color="auto" w:fill="auto"/>
            <w:noWrap/>
            <w:vAlign w:val="center"/>
          </w:tcPr>
          <w:p w14:paraId="0B47DC8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77%</w:t>
            </w:r>
          </w:p>
        </w:tc>
        <w:tc>
          <w:tcPr>
            <w:tcW w:w="808" w:type="dxa"/>
            <w:tcBorders>
              <w:top w:val="nil"/>
              <w:left w:val="nil"/>
              <w:bottom w:val="single" w:sz="4" w:space="0" w:color="BFBFBF"/>
              <w:right w:val="single" w:sz="4" w:space="0" w:color="BFBFBF"/>
            </w:tcBorders>
            <w:shd w:val="clear" w:color="auto" w:fill="auto"/>
            <w:noWrap/>
            <w:vAlign w:val="center"/>
          </w:tcPr>
          <w:p w14:paraId="5EE2ED4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75%</w:t>
            </w:r>
          </w:p>
        </w:tc>
        <w:tc>
          <w:tcPr>
            <w:tcW w:w="675" w:type="dxa"/>
            <w:tcBorders>
              <w:top w:val="nil"/>
              <w:left w:val="nil"/>
              <w:bottom w:val="single" w:sz="4" w:space="0" w:color="BFBFBF"/>
              <w:right w:val="single" w:sz="4" w:space="0" w:color="BFBFBF"/>
            </w:tcBorders>
            <w:shd w:val="clear" w:color="auto" w:fill="auto"/>
            <w:noWrap/>
            <w:vAlign w:val="center"/>
          </w:tcPr>
          <w:p w14:paraId="42B64B6F" w14:textId="6E986AB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6678BE7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412F863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136</w:t>
            </w:r>
          </w:p>
        </w:tc>
        <w:tc>
          <w:tcPr>
            <w:tcW w:w="808" w:type="dxa"/>
            <w:tcBorders>
              <w:top w:val="nil"/>
              <w:left w:val="nil"/>
              <w:bottom w:val="single" w:sz="4" w:space="0" w:color="BFBFBF"/>
              <w:right w:val="single" w:sz="4" w:space="0" w:color="BFBFBF"/>
            </w:tcBorders>
            <w:shd w:val="clear" w:color="auto" w:fill="auto"/>
            <w:noWrap/>
            <w:vAlign w:val="center"/>
          </w:tcPr>
          <w:p w14:paraId="573DB60A" w14:textId="53B9264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86%</w:t>
            </w:r>
          </w:p>
        </w:tc>
        <w:tc>
          <w:tcPr>
            <w:tcW w:w="675" w:type="dxa"/>
            <w:tcBorders>
              <w:top w:val="nil"/>
              <w:left w:val="nil"/>
              <w:bottom w:val="single" w:sz="4" w:space="0" w:color="BFBFBF"/>
              <w:right w:val="nil"/>
            </w:tcBorders>
            <w:shd w:val="clear" w:color="auto" w:fill="auto"/>
            <w:noWrap/>
            <w:vAlign w:val="center"/>
          </w:tcPr>
          <w:p w14:paraId="757D7C57" w14:textId="32138C4A"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6A18063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26%</w:t>
            </w:r>
          </w:p>
        </w:tc>
        <w:tc>
          <w:tcPr>
            <w:tcW w:w="684" w:type="dxa"/>
            <w:tcBorders>
              <w:top w:val="nil"/>
              <w:left w:val="nil"/>
              <w:bottom w:val="single" w:sz="4" w:space="0" w:color="BFBFBF"/>
              <w:right w:val="single" w:sz="4" w:space="0" w:color="BFBFBF"/>
            </w:tcBorders>
            <w:shd w:val="clear" w:color="auto" w:fill="auto"/>
            <w:noWrap/>
            <w:vAlign w:val="center"/>
          </w:tcPr>
          <w:p w14:paraId="36B392D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66</w:t>
            </w:r>
          </w:p>
        </w:tc>
        <w:tc>
          <w:tcPr>
            <w:tcW w:w="839" w:type="dxa"/>
            <w:tcBorders>
              <w:top w:val="nil"/>
              <w:left w:val="nil"/>
              <w:bottom w:val="single" w:sz="4" w:space="0" w:color="BFBFBF"/>
              <w:right w:val="single" w:sz="4" w:space="0" w:color="BFBFBF"/>
            </w:tcBorders>
            <w:shd w:val="clear" w:color="auto" w:fill="auto"/>
            <w:noWrap/>
            <w:vAlign w:val="center"/>
          </w:tcPr>
          <w:p w14:paraId="2215560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17%</w:t>
            </w:r>
          </w:p>
        </w:tc>
        <w:tc>
          <w:tcPr>
            <w:tcW w:w="675" w:type="dxa"/>
            <w:tcBorders>
              <w:top w:val="nil"/>
              <w:left w:val="nil"/>
              <w:bottom w:val="single" w:sz="4" w:space="0" w:color="BFBFBF"/>
              <w:right w:val="single" w:sz="4" w:space="0" w:color="auto"/>
            </w:tcBorders>
            <w:shd w:val="clear" w:color="auto" w:fill="auto"/>
            <w:noWrap/>
            <w:vAlign w:val="center"/>
          </w:tcPr>
          <w:p w14:paraId="2791A05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57</w:t>
            </w:r>
          </w:p>
        </w:tc>
        <w:tc>
          <w:tcPr>
            <w:tcW w:w="764" w:type="dxa"/>
            <w:tcBorders>
              <w:top w:val="nil"/>
              <w:left w:val="nil"/>
              <w:bottom w:val="single" w:sz="4" w:space="0" w:color="BFBFBF"/>
              <w:right w:val="single" w:sz="4" w:space="0" w:color="BFBFBF"/>
            </w:tcBorders>
            <w:shd w:val="clear" w:color="auto" w:fill="auto"/>
            <w:noWrap/>
            <w:vAlign w:val="center"/>
          </w:tcPr>
          <w:p w14:paraId="18C1B926" w14:textId="67440FE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1,347</w:t>
            </w:r>
          </w:p>
        </w:tc>
        <w:tc>
          <w:tcPr>
            <w:tcW w:w="808" w:type="dxa"/>
            <w:tcBorders>
              <w:top w:val="nil"/>
              <w:left w:val="nil"/>
              <w:bottom w:val="single" w:sz="4" w:space="0" w:color="BFBFBF"/>
              <w:right w:val="single" w:sz="4" w:space="0" w:color="BFBFBF"/>
            </w:tcBorders>
            <w:shd w:val="clear" w:color="auto" w:fill="auto"/>
            <w:noWrap/>
            <w:vAlign w:val="center"/>
          </w:tcPr>
          <w:p w14:paraId="5AE8A47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759</w:t>
            </w:r>
          </w:p>
        </w:tc>
        <w:tc>
          <w:tcPr>
            <w:tcW w:w="808" w:type="dxa"/>
            <w:tcBorders>
              <w:top w:val="nil"/>
              <w:left w:val="nil"/>
              <w:bottom w:val="single" w:sz="4" w:space="0" w:color="BFBFBF"/>
              <w:right w:val="single" w:sz="4" w:space="0" w:color="auto"/>
            </w:tcBorders>
            <w:shd w:val="clear" w:color="auto" w:fill="auto"/>
            <w:noWrap/>
            <w:vAlign w:val="center"/>
          </w:tcPr>
          <w:p w14:paraId="29FA7C3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519</w:t>
            </w:r>
          </w:p>
        </w:tc>
        <w:tc>
          <w:tcPr>
            <w:tcW w:w="776" w:type="dxa"/>
            <w:tcBorders>
              <w:top w:val="nil"/>
              <w:left w:val="nil"/>
              <w:bottom w:val="single" w:sz="4" w:space="0" w:color="BFBFBF"/>
              <w:right w:val="single" w:sz="4" w:space="0" w:color="BFBFBF"/>
            </w:tcBorders>
            <w:shd w:val="clear" w:color="auto" w:fill="auto"/>
            <w:noWrap/>
            <w:vAlign w:val="center"/>
          </w:tcPr>
          <w:p w14:paraId="097D188A" w14:textId="5D578C72"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77.5%</w:t>
            </w:r>
          </w:p>
        </w:tc>
        <w:tc>
          <w:tcPr>
            <w:tcW w:w="776" w:type="dxa"/>
            <w:tcBorders>
              <w:top w:val="nil"/>
              <w:left w:val="nil"/>
              <w:bottom w:val="single" w:sz="4" w:space="0" w:color="BFBFBF"/>
              <w:right w:val="double" w:sz="6" w:space="0" w:color="auto"/>
            </w:tcBorders>
            <w:shd w:val="clear" w:color="auto" w:fill="auto"/>
            <w:noWrap/>
            <w:vAlign w:val="center"/>
          </w:tcPr>
          <w:p w14:paraId="1F231A9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46.2%</w:t>
            </w:r>
          </w:p>
        </w:tc>
      </w:tr>
      <w:tr w:rsidR="006935F2" w:rsidRPr="00A7775B" w14:paraId="0E646267" w14:textId="77777777" w:rsidTr="009748AD">
        <w:trPr>
          <w:trHeight w:val="225"/>
          <w:jc w:val="center"/>
        </w:trPr>
        <w:tc>
          <w:tcPr>
            <w:tcW w:w="2291" w:type="dxa"/>
            <w:tcBorders>
              <w:top w:val="single" w:sz="4" w:space="0" w:color="BFBFBF"/>
              <w:left w:val="double" w:sz="6" w:space="0" w:color="auto"/>
              <w:bottom w:val="double" w:sz="4" w:space="0" w:color="auto"/>
              <w:right w:val="nil"/>
            </w:tcBorders>
            <w:shd w:val="clear" w:color="auto" w:fill="auto"/>
            <w:noWrap/>
            <w:vAlign w:val="center"/>
          </w:tcPr>
          <w:p w14:paraId="734334EF"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Non-Concession HHs</w:t>
            </w:r>
            <w:r w:rsidRPr="00A7775B">
              <w:rPr>
                <w:rFonts w:ascii="Arial" w:hAnsi="Arial" w:cs="Arial"/>
                <w:color w:val="000000"/>
                <w:sz w:val="16"/>
                <w:szCs w:val="16"/>
                <w:vertAlign w:val="superscript"/>
                <w:lang w:val="en-AU" w:eastAsia="en-AU"/>
              </w:rPr>
              <w:t>2</w:t>
            </w:r>
          </w:p>
        </w:tc>
        <w:tc>
          <w:tcPr>
            <w:tcW w:w="808"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7452AE48" w14:textId="210CA93D"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22F4EAE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28E5802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w:t>
            </w:r>
          </w:p>
        </w:tc>
        <w:tc>
          <w:tcPr>
            <w:tcW w:w="675" w:type="dxa"/>
            <w:tcBorders>
              <w:top w:val="single" w:sz="4" w:space="0" w:color="BFBFBF"/>
              <w:left w:val="nil"/>
              <w:bottom w:val="double" w:sz="4" w:space="0" w:color="auto"/>
              <w:right w:val="single" w:sz="4" w:space="0" w:color="BFBFBF"/>
            </w:tcBorders>
            <w:shd w:val="clear" w:color="auto" w:fill="auto"/>
            <w:noWrap/>
            <w:vAlign w:val="center"/>
          </w:tcPr>
          <w:p w14:paraId="07725441" w14:textId="58A9321B"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205</w:t>
            </w:r>
          </w:p>
        </w:tc>
        <w:tc>
          <w:tcPr>
            <w:tcW w:w="675" w:type="dxa"/>
            <w:tcBorders>
              <w:top w:val="single" w:sz="4" w:space="0" w:color="BFBFBF"/>
              <w:left w:val="nil"/>
              <w:bottom w:val="double" w:sz="4" w:space="0" w:color="auto"/>
              <w:right w:val="single" w:sz="4" w:space="0" w:color="BFBFBF"/>
            </w:tcBorders>
            <w:shd w:val="clear" w:color="auto" w:fill="auto"/>
            <w:noWrap/>
            <w:vAlign w:val="center"/>
          </w:tcPr>
          <w:p w14:paraId="4816ED4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167</w:t>
            </w:r>
          </w:p>
        </w:tc>
        <w:tc>
          <w:tcPr>
            <w:tcW w:w="675" w:type="dxa"/>
            <w:tcBorders>
              <w:top w:val="single" w:sz="4" w:space="0" w:color="BFBFBF"/>
              <w:left w:val="nil"/>
              <w:bottom w:val="double" w:sz="4" w:space="0" w:color="auto"/>
              <w:right w:val="single" w:sz="4" w:space="0" w:color="auto"/>
            </w:tcBorders>
            <w:shd w:val="clear" w:color="auto" w:fill="auto"/>
            <w:noWrap/>
            <w:vAlign w:val="center"/>
          </w:tcPr>
          <w:p w14:paraId="329A527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129</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655AF24D" w14:textId="33217E8A"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w:t>
            </w:r>
          </w:p>
        </w:tc>
        <w:tc>
          <w:tcPr>
            <w:tcW w:w="675" w:type="dxa"/>
            <w:tcBorders>
              <w:top w:val="single" w:sz="4" w:space="0" w:color="BFBFBF"/>
              <w:left w:val="nil"/>
              <w:bottom w:val="double" w:sz="4" w:space="0" w:color="auto"/>
              <w:right w:val="nil"/>
            </w:tcBorders>
            <w:shd w:val="clear" w:color="auto" w:fill="auto"/>
            <w:noWrap/>
            <w:vAlign w:val="center"/>
          </w:tcPr>
          <w:p w14:paraId="6D0E67F6" w14:textId="4EACCE5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single" w:sz="4" w:space="0" w:color="BFBFBF"/>
              <w:left w:val="single" w:sz="4" w:space="0" w:color="auto"/>
              <w:bottom w:val="double" w:sz="4" w:space="0" w:color="auto"/>
              <w:right w:val="single" w:sz="4" w:space="0" w:color="BFBFBF"/>
            </w:tcBorders>
            <w:shd w:val="clear" w:color="auto" w:fill="auto"/>
            <w:noWrap/>
            <w:vAlign w:val="center"/>
          </w:tcPr>
          <w:p w14:paraId="5CB7291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w:t>
            </w:r>
          </w:p>
        </w:tc>
        <w:tc>
          <w:tcPr>
            <w:tcW w:w="684" w:type="dxa"/>
            <w:tcBorders>
              <w:top w:val="single" w:sz="4" w:space="0" w:color="BFBFBF"/>
              <w:left w:val="nil"/>
              <w:bottom w:val="double" w:sz="4" w:space="0" w:color="auto"/>
              <w:right w:val="single" w:sz="4" w:space="0" w:color="BFBFBF"/>
            </w:tcBorders>
            <w:shd w:val="clear" w:color="auto" w:fill="auto"/>
            <w:noWrap/>
            <w:vAlign w:val="center"/>
          </w:tcPr>
          <w:p w14:paraId="79B0911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73</w:t>
            </w:r>
          </w:p>
        </w:tc>
        <w:tc>
          <w:tcPr>
            <w:tcW w:w="839" w:type="dxa"/>
            <w:tcBorders>
              <w:top w:val="single" w:sz="4" w:space="0" w:color="BFBFBF"/>
              <w:left w:val="nil"/>
              <w:bottom w:val="double" w:sz="4" w:space="0" w:color="auto"/>
              <w:right w:val="single" w:sz="4" w:space="0" w:color="BFBFBF"/>
            </w:tcBorders>
            <w:shd w:val="clear" w:color="auto" w:fill="auto"/>
            <w:noWrap/>
            <w:vAlign w:val="center"/>
          </w:tcPr>
          <w:p w14:paraId="05BB774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w:t>
            </w:r>
          </w:p>
        </w:tc>
        <w:tc>
          <w:tcPr>
            <w:tcW w:w="675" w:type="dxa"/>
            <w:tcBorders>
              <w:top w:val="single" w:sz="4" w:space="0" w:color="BFBFBF"/>
              <w:left w:val="nil"/>
              <w:bottom w:val="double" w:sz="4" w:space="0" w:color="auto"/>
              <w:right w:val="single" w:sz="4" w:space="0" w:color="auto"/>
            </w:tcBorders>
            <w:shd w:val="clear" w:color="auto" w:fill="auto"/>
            <w:noWrap/>
            <w:vAlign w:val="center"/>
          </w:tcPr>
          <w:p w14:paraId="03DC8B5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68</w:t>
            </w:r>
          </w:p>
        </w:tc>
        <w:tc>
          <w:tcPr>
            <w:tcW w:w="764" w:type="dxa"/>
            <w:tcBorders>
              <w:top w:val="single" w:sz="4" w:space="0" w:color="BFBFBF"/>
              <w:left w:val="nil"/>
              <w:bottom w:val="double" w:sz="4" w:space="0" w:color="auto"/>
              <w:right w:val="single" w:sz="4" w:space="0" w:color="BFBFBF"/>
            </w:tcBorders>
            <w:shd w:val="clear" w:color="auto" w:fill="auto"/>
            <w:noWrap/>
            <w:vAlign w:val="center"/>
          </w:tcPr>
          <w:p w14:paraId="3EDA04DC" w14:textId="36F51290"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1,761</w:t>
            </w:r>
          </w:p>
        </w:tc>
        <w:tc>
          <w:tcPr>
            <w:tcW w:w="808" w:type="dxa"/>
            <w:tcBorders>
              <w:top w:val="single" w:sz="4" w:space="0" w:color="BFBFBF"/>
              <w:left w:val="nil"/>
              <w:bottom w:val="double" w:sz="4" w:space="0" w:color="auto"/>
              <w:right w:val="single" w:sz="4" w:space="0" w:color="BFBFBF"/>
            </w:tcBorders>
            <w:shd w:val="clear" w:color="auto" w:fill="auto"/>
            <w:noWrap/>
            <w:vAlign w:val="center"/>
          </w:tcPr>
          <w:p w14:paraId="4CF9429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1,057</w:t>
            </w:r>
          </w:p>
        </w:tc>
        <w:tc>
          <w:tcPr>
            <w:tcW w:w="808" w:type="dxa"/>
            <w:tcBorders>
              <w:top w:val="single" w:sz="4" w:space="0" w:color="BFBFBF"/>
              <w:left w:val="nil"/>
              <w:bottom w:val="double" w:sz="4" w:space="0" w:color="auto"/>
              <w:right w:val="single" w:sz="4" w:space="0" w:color="auto"/>
            </w:tcBorders>
            <w:shd w:val="clear" w:color="auto" w:fill="auto"/>
            <w:noWrap/>
            <w:vAlign w:val="center"/>
          </w:tcPr>
          <w:p w14:paraId="117D60F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724</w:t>
            </w:r>
          </w:p>
        </w:tc>
        <w:tc>
          <w:tcPr>
            <w:tcW w:w="776" w:type="dxa"/>
            <w:tcBorders>
              <w:top w:val="single" w:sz="4" w:space="0" w:color="BFBFBF"/>
              <w:left w:val="nil"/>
              <w:bottom w:val="double" w:sz="4" w:space="0" w:color="auto"/>
              <w:right w:val="single" w:sz="4" w:space="0" w:color="BFBFBF"/>
            </w:tcBorders>
            <w:shd w:val="clear" w:color="auto" w:fill="auto"/>
            <w:noWrap/>
            <w:vAlign w:val="center"/>
          </w:tcPr>
          <w:p w14:paraId="11FCEA93" w14:textId="47CB3FCD"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66.6%</w:t>
            </w:r>
          </w:p>
        </w:tc>
        <w:tc>
          <w:tcPr>
            <w:tcW w:w="776" w:type="dxa"/>
            <w:tcBorders>
              <w:top w:val="single" w:sz="4" w:space="0" w:color="BFBFBF"/>
              <w:left w:val="nil"/>
              <w:bottom w:val="double" w:sz="4" w:space="0" w:color="auto"/>
              <w:right w:val="double" w:sz="6" w:space="0" w:color="auto"/>
            </w:tcBorders>
            <w:shd w:val="clear" w:color="auto" w:fill="auto"/>
            <w:noWrap/>
            <w:vAlign w:val="center"/>
          </w:tcPr>
          <w:p w14:paraId="2EBFC7E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46.0%</w:t>
            </w:r>
          </w:p>
        </w:tc>
      </w:tr>
      <w:tr w:rsidR="006935F2" w:rsidRPr="00A7775B" w14:paraId="596DD0D6" w14:textId="77777777" w:rsidTr="00C33CEC">
        <w:trPr>
          <w:trHeight w:val="225"/>
          <w:jc w:val="center"/>
        </w:trPr>
        <w:tc>
          <w:tcPr>
            <w:tcW w:w="2291" w:type="dxa"/>
            <w:tcBorders>
              <w:top w:val="double" w:sz="4" w:space="0" w:color="auto"/>
            </w:tcBorders>
            <w:shd w:val="clear" w:color="auto" w:fill="auto"/>
            <w:noWrap/>
            <w:vAlign w:val="center"/>
          </w:tcPr>
          <w:p w14:paraId="3C1FC476" w14:textId="77777777" w:rsidR="006935F2" w:rsidRPr="00A7775B" w:rsidRDefault="006935F2" w:rsidP="00E337BE">
            <w:pPr>
              <w:spacing w:before="0" w:after="0"/>
              <w:rPr>
                <w:rFonts w:ascii="Arial" w:hAnsi="Arial" w:cs="Arial"/>
                <w:bCs/>
                <w:color w:val="000000"/>
                <w:sz w:val="16"/>
                <w:szCs w:val="16"/>
                <w:lang w:val="en-AU" w:eastAsia="en-AU"/>
              </w:rPr>
            </w:pPr>
            <w:r w:rsidRPr="00A7775B">
              <w:rPr>
                <w:rFonts w:ascii="Arial" w:hAnsi="Arial" w:cs="Arial"/>
                <w:bCs/>
                <w:color w:val="000000"/>
                <w:sz w:val="16"/>
                <w:szCs w:val="16"/>
                <w:lang w:val="en-AU" w:eastAsia="en-AU"/>
              </w:rPr>
              <w:t>Continued on next page</w:t>
            </w:r>
          </w:p>
          <w:p w14:paraId="29C0C1CE" w14:textId="77777777" w:rsidR="006935F2" w:rsidRPr="00A7775B" w:rsidRDefault="006935F2" w:rsidP="00E337BE">
            <w:pPr>
              <w:spacing w:before="0" w:after="0"/>
              <w:rPr>
                <w:rFonts w:ascii="Arial" w:hAnsi="Arial" w:cs="Arial"/>
                <w:b/>
                <w:bCs/>
                <w:color w:val="000000"/>
                <w:sz w:val="16"/>
                <w:szCs w:val="16"/>
                <w:lang w:val="en-AU" w:eastAsia="en-AU"/>
              </w:rPr>
            </w:pPr>
          </w:p>
        </w:tc>
        <w:tc>
          <w:tcPr>
            <w:tcW w:w="808" w:type="dxa"/>
            <w:tcBorders>
              <w:top w:val="double" w:sz="4" w:space="0" w:color="auto"/>
            </w:tcBorders>
            <w:shd w:val="clear" w:color="auto" w:fill="auto"/>
            <w:noWrap/>
            <w:vAlign w:val="center"/>
          </w:tcPr>
          <w:p w14:paraId="62D7B4A1"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0839788E"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FD2A0ED"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6E74668E"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028F5A37"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50849093"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08AB31C6"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2AA11F4B"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71" w:type="dxa"/>
            <w:tcBorders>
              <w:top w:val="double" w:sz="4" w:space="0" w:color="auto"/>
            </w:tcBorders>
            <w:shd w:val="clear" w:color="auto" w:fill="auto"/>
            <w:noWrap/>
            <w:vAlign w:val="center"/>
          </w:tcPr>
          <w:p w14:paraId="023A5A17"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84" w:type="dxa"/>
            <w:tcBorders>
              <w:top w:val="double" w:sz="4" w:space="0" w:color="auto"/>
            </w:tcBorders>
            <w:shd w:val="clear" w:color="auto" w:fill="auto"/>
            <w:noWrap/>
            <w:vAlign w:val="center"/>
          </w:tcPr>
          <w:p w14:paraId="139ECFAB"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39" w:type="dxa"/>
            <w:tcBorders>
              <w:top w:val="double" w:sz="4" w:space="0" w:color="auto"/>
            </w:tcBorders>
            <w:shd w:val="clear" w:color="auto" w:fill="auto"/>
            <w:noWrap/>
            <w:vAlign w:val="center"/>
          </w:tcPr>
          <w:p w14:paraId="4E918626"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75" w:type="dxa"/>
            <w:tcBorders>
              <w:top w:val="double" w:sz="4" w:space="0" w:color="auto"/>
            </w:tcBorders>
            <w:shd w:val="clear" w:color="auto" w:fill="auto"/>
            <w:noWrap/>
            <w:vAlign w:val="center"/>
          </w:tcPr>
          <w:p w14:paraId="3FD44508"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764" w:type="dxa"/>
            <w:tcBorders>
              <w:top w:val="double" w:sz="4" w:space="0" w:color="auto"/>
            </w:tcBorders>
            <w:shd w:val="clear" w:color="auto" w:fill="auto"/>
            <w:noWrap/>
            <w:vAlign w:val="center"/>
          </w:tcPr>
          <w:p w14:paraId="4D692CF5"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56EE7FCE"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08" w:type="dxa"/>
            <w:tcBorders>
              <w:top w:val="double" w:sz="4" w:space="0" w:color="auto"/>
            </w:tcBorders>
            <w:shd w:val="clear" w:color="auto" w:fill="auto"/>
            <w:noWrap/>
            <w:vAlign w:val="center"/>
          </w:tcPr>
          <w:p w14:paraId="16A9E2A5"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776" w:type="dxa"/>
            <w:tcBorders>
              <w:top w:val="double" w:sz="4" w:space="0" w:color="auto"/>
            </w:tcBorders>
            <w:shd w:val="clear" w:color="auto" w:fill="auto"/>
            <w:noWrap/>
            <w:vAlign w:val="center"/>
          </w:tcPr>
          <w:p w14:paraId="0E68A17F"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776" w:type="dxa"/>
            <w:tcBorders>
              <w:top w:val="double" w:sz="4" w:space="0" w:color="auto"/>
            </w:tcBorders>
            <w:shd w:val="clear" w:color="auto" w:fill="auto"/>
            <w:noWrap/>
            <w:vAlign w:val="center"/>
          </w:tcPr>
          <w:p w14:paraId="5F083889" w14:textId="77777777" w:rsidR="006935F2" w:rsidRPr="00A7775B" w:rsidRDefault="006935F2" w:rsidP="00C33CEC">
            <w:pPr>
              <w:spacing w:before="0" w:after="0"/>
              <w:jc w:val="center"/>
              <w:rPr>
                <w:rFonts w:ascii="Arial" w:hAnsi="Arial" w:cs="Arial"/>
                <w:color w:val="000000"/>
                <w:sz w:val="16"/>
                <w:szCs w:val="16"/>
                <w:lang w:val="en-AU" w:eastAsia="en-AU"/>
              </w:rPr>
            </w:pPr>
          </w:p>
        </w:tc>
      </w:tr>
      <w:tr w:rsidR="006935F2" w:rsidRPr="00A7775B" w14:paraId="2893BB48" w14:textId="77777777" w:rsidTr="00C33CEC">
        <w:trPr>
          <w:trHeight w:val="225"/>
          <w:jc w:val="center"/>
        </w:trPr>
        <w:tc>
          <w:tcPr>
            <w:tcW w:w="2291" w:type="dxa"/>
            <w:tcBorders>
              <w:left w:val="double" w:sz="6" w:space="0" w:color="auto"/>
              <w:bottom w:val="single" w:sz="4" w:space="0" w:color="BFBFBF"/>
              <w:right w:val="nil"/>
            </w:tcBorders>
            <w:shd w:val="clear" w:color="auto" w:fill="auto"/>
            <w:noWrap/>
            <w:vAlign w:val="center"/>
          </w:tcPr>
          <w:p w14:paraId="64F17F40" w14:textId="77777777" w:rsidR="006935F2" w:rsidRPr="00A7775B" w:rsidRDefault="006935F2" w:rsidP="00E337BE">
            <w:pPr>
              <w:spacing w:before="0" w:after="0"/>
              <w:rPr>
                <w:rFonts w:ascii="Arial" w:hAnsi="Arial" w:cs="Arial"/>
                <w:b/>
                <w:bCs/>
                <w:color w:val="000000"/>
                <w:sz w:val="16"/>
                <w:szCs w:val="16"/>
                <w:lang w:val="en-AU" w:eastAsia="en-AU"/>
              </w:rPr>
            </w:pPr>
          </w:p>
          <w:p w14:paraId="1FABAE77" w14:textId="77777777" w:rsidR="006935F2" w:rsidRPr="00A7775B" w:rsidRDefault="006935F2" w:rsidP="00E337BE">
            <w:pPr>
              <w:spacing w:before="0" w:after="0"/>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By Household Size -</w:t>
            </w:r>
          </w:p>
        </w:tc>
        <w:tc>
          <w:tcPr>
            <w:tcW w:w="808" w:type="dxa"/>
            <w:tcBorders>
              <w:left w:val="single" w:sz="4" w:space="0" w:color="auto"/>
              <w:bottom w:val="single" w:sz="4" w:space="0" w:color="BFBFBF"/>
              <w:right w:val="single" w:sz="4" w:space="0" w:color="BFBFBF"/>
            </w:tcBorders>
            <w:shd w:val="clear" w:color="auto" w:fill="auto"/>
            <w:noWrap/>
            <w:vAlign w:val="center"/>
          </w:tcPr>
          <w:p w14:paraId="1850DA82"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08" w:type="dxa"/>
            <w:tcBorders>
              <w:left w:val="nil"/>
              <w:bottom w:val="single" w:sz="4" w:space="0" w:color="BFBFBF"/>
              <w:right w:val="single" w:sz="4" w:space="0" w:color="BFBFBF"/>
            </w:tcBorders>
            <w:shd w:val="clear" w:color="auto" w:fill="auto"/>
            <w:noWrap/>
            <w:vAlign w:val="center"/>
          </w:tcPr>
          <w:p w14:paraId="70DB6771"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08" w:type="dxa"/>
            <w:tcBorders>
              <w:left w:val="nil"/>
              <w:bottom w:val="single" w:sz="4" w:space="0" w:color="BFBFBF"/>
              <w:right w:val="single" w:sz="4" w:space="0" w:color="BFBFBF"/>
            </w:tcBorders>
            <w:shd w:val="clear" w:color="auto" w:fill="auto"/>
            <w:noWrap/>
            <w:vAlign w:val="center"/>
          </w:tcPr>
          <w:p w14:paraId="2C1C5F6D"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75" w:type="dxa"/>
            <w:tcBorders>
              <w:left w:val="nil"/>
              <w:bottom w:val="single" w:sz="4" w:space="0" w:color="BFBFBF"/>
              <w:right w:val="single" w:sz="4" w:space="0" w:color="BFBFBF"/>
            </w:tcBorders>
            <w:shd w:val="clear" w:color="auto" w:fill="auto"/>
            <w:noWrap/>
            <w:vAlign w:val="center"/>
          </w:tcPr>
          <w:p w14:paraId="5785985C"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75" w:type="dxa"/>
            <w:tcBorders>
              <w:left w:val="nil"/>
              <w:bottom w:val="single" w:sz="4" w:space="0" w:color="BFBFBF"/>
              <w:right w:val="single" w:sz="4" w:space="0" w:color="BFBFBF"/>
            </w:tcBorders>
            <w:shd w:val="clear" w:color="auto" w:fill="auto"/>
            <w:noWrap/>
            <w:vAlign w:val="center"/>
          </w:tcPr>
          <w:p w14:paraId="3B32F15E"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75" w:type="dxa"/>
            <w:tcBorders>
              <w:left w:val="nil"/>
              <w:bottom w:val="single" w:sz="4" w:space="0" w:color="BFBFBF"/>
              <w:right w:val="single" w:sz="4" w:space="0" w:color="auto"/>
            </w:tcBorders>
            <w:shd w:val="clear" w:color="auto" w:fill="auto"/>
            <w:noWrap/>
            <w:vAlign w:val="center"/>
          </w:tcPr>
          <w:p w14:paraId="2C6264DD"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08" w:type="dxa"/>
            <w:tcBorders>
              <w:left w:val="nil"/>
              <w:bottom w:val="single" w:sz="4" w:space="0" w:color="BFBFBF"/>
              <w:right w:val="single" w:sz="4" w:space="0" w:color="BFBFBF"/>
            </w:tcBorders>
            <w:shd w:val="clear" w:color="auto" w:fill="auto"/>
            <w:noWrap/>
            <w:vAlign w:val="center"/>
          </w:tcPr>
          <w:p w14:paraId="55C43139"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75" w:type="dxa"/>
            <w:tcBorders>
              <w:left w:val="nil"/>
              <w:bottom w:val="single" w:sz="4" w:space="0" w:color="BFBFBF"/>
              <w:right w:val="nil"/>
            </w:tcBorders>
            <w:shd w:val="clear" w:color="auto" w:fill="auto"/>
            <w:noWrap/>
            <w:vAlign w:val="center"/>
          </w:tcPr>
          <w:p w14:paraId="62A147B9"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71" w:type="dxa"/>
            <w:tcBorders>
              <w:left w:val="single" w:sz="4" w:space="0" w:color="auto"/>
              <w:bottom w:val="single" w:sz="4" w:space="0" w:color="BFBFBF"/>
              <w:right w:val="single" w:sz="4" w:space="0" w:color="BFBFBF"/>
            </w:tcBorders>
            <w:shd w:val="clear" w:color="auto" w:fill="auto"/>
            <w:noWrap/>
            <w:vAlign w:val="center"/>
          </w:tcPr>
          <w:p w14:paraId="60497340"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84" w:type="dxa"/>
            <w:tcBorders>
              <w:left w:val="nil"/>
              <w:bottom w:val="single" w:sz="4" w:space="0" w:color="BFBFBF"/>
              <w:right w:val="single" w:sz="4" w:space="0" w:color="BFBFBF"/>
            </w:tcBorders>
            <w:shd w:val="clear" w:color="auto" w:fill="auto"/>
            <w:noWrap/>
            <w:vAlign w:val="center"/>
          </w:tcPr>
          <w:p w14:paraId="7CD73F6E"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39" w:type="dxa"/>
            <w:tcBorders>
              <w:left w:val="nil"/>
              <w:bottom w:val="single" w:sz="4" w:space="0" w:color="BFBFBF"/>
              <w:right w:val="single" w:sz="4" w:space="0" w:color="BFBFBF"/>
            </w:tcBorders>
            <w:shd w:val="clear" w:color="auto" w:fill="auto"/>
            <w:noWrap/>
            <w:vAlign w:val="center"/>
          </w:tcPr>
          <w:p w14:paraId="68A94F5A"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675" w:type="dxa"/>
            <w:tcBorders>
              <w:left w:val="nil"/>
              <w:bottom w:val="single" w:sz="4" w:space="0" w:color="BFBFBF"/>
              <w:right w:val="single" w:sz="4" w:space="0" w:color="auto"/>
            </w:tcBorders>
            <w:shd w:val="clear" w:color="auto" w:fill="auto"/>
            <w:noWrap/>
            <w:vAlign w:val="center"/>
          </w:tcPr>
          <w:p w14:paraId="42561B38"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764" w:type="dxa"/>
            <w:tcBorders>
              <w:left w:val="nil"/>
              <w:bottom w:val="single" w:sz="4" w:space="0" w:color="BFBFBF"/>
              <w:right w:val="single" w:sz="4" w:space="0" w:color="BFBFBF"/>
            </w:tcBorders>
            <w:shd w:val="clear" w:color="auto" w:fill="auto"/>
            <w:noWrap/>
            <w:vAlign w:val="center"/>
          </w:tcPr>
          <w:p w14:paraId="7C5EFFEB"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08" w:type="dxa"/>
            <w:tcBorders>
              <w:left w:val="nil"/>
              <w:bottom w:val="single" w:sz="4" w:space="0" w:color="BFBFBF"/>
              <w:right w:val="single" w:sz="4" w:space="0" w:color="BFBFBF"/>
            </w:tcBorders>
            <w:shd w:val="clear" w:color="auto" w:fill="auto"/>
            <w:noWrap/>
            <w:vAlign w:val="center"/>
          </w:tcPr>
          <w:p w14:paraId="638CCCA3"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808" w:type="dxa"/>
            <w:tcBorders>
              <w:left w:val="nil"/>
              <w:bottom w:val="single" w:sz="4" w:space="0" w:color="BFBFBF"/>
              <w:right w:val="single" w:sz="4" w:space="0" w:color="auto"/>
            </w:tcBorders>
            <w:shd w:val="clear" w:color="auto" w:fill="auto"/>
            <w:noWrap/>
            <w:vAlign w:val="center"/>
          </w:tcPr>
          <w:p w14:paraId="2B936335"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776" w:type="dxa"/>
            <w:tcBorders>
              <w:left w:val="nil"/>
              <w:bottom w:val="single" w:sz="4" w:space="0" w:color="BFBFBF"/>
              <w:right w:val="single" w:sz="4" w:space="0" w:color="BFBFBF"/>
            </w:tcBorders>
            <w:shd w:val="clear" w:color="auto" w:fill="auto"/>
            <w:noWrap/>
            <w:vAlign w:val="center"/>
          </w:tcPr>
          <w:p w14:paraId="5051A180" w14:textId="77777777" w:rsidR="006935F2" w:rsidRPr="00A7775B" w:rsidRDefault="006935F2" w:rsidP="00C33CEC">
            <w:pPr>
              <w:spacing w:before="0" w:after="0"/>
              <w:jc w:val="center"/>
              <w:rPr>
                <w:rFonts w:ascii="Arial" w:hAnsi="Arial" w:cs="Arial"/>
                <w:color w:val="000000"/>
                <w:sz w:val="16"/>
                <w:szCs w:val="16"/>
                <w:lang w:val="en-AU" w:eastAsia="en-AU"/>
              </w:rPr>
            </w:pPr>
          </w:p>
        </w:tc>
        <w:tc>
          <w:tcPr>
            <w:tcW w:w="776" w:type="dxa"/>
            <w:tcBorders>
              <w:left w:val="nil"/>
              <w:bottom w:val="single" w:sz="4" w:space="0" w:color="BFBFBF"/>
              <w:right w:val="double" w:sz="6" w:space="0" w:color="auto"/>
            </w:tcBorders>
            <w:shd w:val="clear" w:color="auto" w:fill="auto"/>
            <w:noWrap/>
            <w:vAlign w:val="center"/>
          </w:tcPr>
          <w:p w14:paraId="66AD7CA5" w14:textId="77777777" w:rsidR="006935F2" w:rsidRPr="00A7775B" w:rsidRDefault="006935F2" w:rsidP="00C33CEC">
            <w:pPr>
              <w:spacing w:before="0" w:after="0"/>
              <w:jc w:val="center"/>
              <w:rPr>
                <w:rFonts w:ascii="Arial" w:hAnsi="Arial" w:cs="Arial"/>
                <w:color w:val="000000"/>
                <w:sz w:val="16"/>
                <w:szCs w:val="16"/>
                <w:lang w:val="en-AU" w:eastAsia="en-AU"/>
              </w:rPr>
            </w:pPr>
          </w:p>
        </w:tc>
      </w:tr>
      <w:tr w:rsidR="00F44114" w:rsidRPr="00A7775B" w14:paraId="501FF927"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46847DDE"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1 person</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63DD76C7" w14:textId="05188710"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49%</w:t>
            </w:r>
          </w:p>
        </w:tc>
        <w:tc>
          <w:tcPr>
            <w:tcW w:w="808" w:type="dxa"/>
            <w:tcBorders>
              <w:top w:val="nil"/>
              <w:left w:val="nil"/>
              <w:bottom w:val="single" w:sz="4" w:space="0" w:color="BFBFBF"/>
              <w:right w:val="single" w:sz="4" w:space="0" w:color="BFBFBF"/>
            </w:tcBorders>
            <w:shd w:val="clear" w:color="auto" w:fill="auto"/>
            <w:noWrap/>
            <w:vAlign w:val="center"/>
          </w:tcPr>
          <w:p w14:paraId="422294E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50%</w:t>
            </w:r>
          </w:p>
        </w:tc>
        <w:tc>
          <w:tcPr>
            <w:tcW w:w="808" w:type="dxa"/>
            <w:tcBorders>
              <w:top w:val="nil"/>
              <w:left w:val="nil"/>
              <w:bottom w:val="single" w:sz="4" w:space="0" w:color="BFBFBF"/>
              <w:right w:val="single" w:sz="4" w:space="0" w:color="BFBFBF"/>
            </w:tcBorders>
            <w:shd w:val="clear" w:color="auto" w:fill="auto"/>
            <w:noWrap/>
            <w:vAlign w:val="center"/>
          </w:tcPr>
          <w:p w14:paraId="43B7F96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51%</w:t>
            </w:r>
          </w:p>
        </w:tc>
        <w:tc>
          <w:tcPr>
            <w:tcW w:w="675" w:type="dxa"/>
            <w:tcBorders>
              <w:top w:val="nil"/>
              <w:left w:val="nil"/>
              <w:bottom w:val="single" w:sz="4" w:space="0" w:color="BFBFBF"/>
              <w:right w:val="single" w:sz="4" w:space="0" w:color="BFBFBF"/>
            </w:tcBorders>
            <w:shd w:val="clear" w:color="auto" w:fill="auto"/>
            <w:noWrap/>
            <w:vAlign w:val="center"/>
          </w:tcPr>
          <w:p w14:paraId="03E7ABD4" w14:textId="2B4ABD7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69B79B7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43D3E79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135</w:t>
            </w:r>
          </w:p>
        </w:tc>
        <w:tc>
          <w:tcPr>
            <w:tcW w:w="808" w:type="dxa"/>
            <w:tcBorders>
              <w:top w:val="nil"/>
              <w:left w:val="nil"/>
              <w:bottom w:val="single" w:sz="4" w:space="0" w:color="BFBFBF"/>
              <w:right w:val="single" w:sz="4" w:space="0" w:color="BFBFBF"/>
            </w:tcBorders>
            <w:shd w:val="clear" w:color="auto" w:fill="auto"/>
            <w:noWrap/>
            <w:vAlign w:val="center"/>
          </w:tcPr>
          <w:p w14:paraId="33687102" w14:textId="7BDB0F5B"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49%</w:t>
            </w:r>
          </w:p>
        </w:tc>
        <w:tc>
          <w:tcPr>
            <w:tcW w:w="675" w:type="dxa"/>
            <w:tcBorders>
              <w:top w:val="nil"/>
              <w:left w:val="nil"/>
              <w:bottom w:val="single" w:sz="4" w:space="0" w:color="BFBFBF"/>
              <w:right w:val="nil"/>
            </w:tcBorders>
            <w:shd w:val="clear" w:color="auto" w:fill="auto"/>
            <w:noWrap/>
            <w:vAlign w:val="center"/>
          </w:tcPr>
          <w:p w14:paraId="48C43BCF" w14:textId="13160DE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2B37452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17%</w:t>
            </w:r>
          </w:p>
        </w:tc>
        <w:tc>
          <w:tcPr>
            <w:tcW w:w="684" w:type="dxa"/>
            <w:tcBorders>
              <w:top w:val="nil"/>
              <w:left w:val="nil"/>
              <w:bottom w:val="single" w:sz="4" w:space="0" w:color="BFBFBF"/>
              <w:right w:val="single" w:sz="4" w:space="0" w:color="BFBFBF"/>
            </w:tcBorders>
            <w:shd w:val="clear" w:color="auto" w:fill="auto"/>
            <w:noWrap/>
            <w:vAlign w:val="center"/>
          </w:tcPr>
          <w:p w14:paraId="026396B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62</w:t>
            </w:r>
          </w:p>
        </w:tc>
        <w:tc>
          <w:tcPr>
            <w:tcW w:w="839" w:type="dxa"/>
            <w:tcBorders>
              <w:top w:val="nil"/>
              <w:left w:val="nil"/>
              <w:bottom w:val="single" w:sz="4" w:space="0" w:color="BFBFBF"/>
              <w:right w:val="single" w:sz="4" w:space="0" w:color="BFBFBF"/>
            </w:tcBorders>
            <w:shd w:val="clear" w:color="auto" w:fill="auto"/>
            <w:noWrap/>
            <w:vAlign w:val="center"/>
          </w:tcPr>
          <w:p w14:paraId="4198FBB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w:t>
            </w:r>
          </w:p>
        </w:tc>
        <w:tc>
          <w:tcPr>
            <w:tcW w:w="675" w:type="dxa"/>
            <w:tcBorders>
              <w:top w:val="nil"/>
              <w:left w:val="nil"/>
              <w:bottom w:val="single" w:sz="4" w:space="0" w:color="BFBFBF"/>
              <w:right w:val="single" w:sz="4" w:space="0" w:color="auto"/>
            </w:tcBorders>
            <w:shd w:val="clear" w:color="auto" w:fill="auto"/>
            <w:noWrap/>
            <w:vAlign w:val="center"/>
          </w:tcPr>
          <w:p w14:paraId="24FE49A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63</w:t>
            </w:r>
          </w:p>
        </w:tc>
        <w:tc>
          <w:tcPr>
            <w:tcW w:w="764" w:type="dxa"/>
            <w:tcBorders>
              <w:top w:val="nil"/>
              <w:left w:val="nil"/>
              <w:bottom w:val="single" w:sz="4" w:space="0" w:color="BFBFBF"/>
              <w:right w:val="single" w:sz="4" w:space="0" w:color="BFBFBF"/>
            </w:tcBorders>
            <w:shd w:val="clear" w:color="auto" w:fill="auto"/>
            <w:noWrap/>
            <w:vAlign w:val="center"/>
          </w:tcPr>
          <w:p w14:paraId="4A5D04F4" w14:textId="5C2E307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1,359</w:t>
            </w:r>
          </w:p>
        </w:tc>
        <w:tc>
          <w:tcPr>
            <w:tcW w:w="808" w:type="dxa"/>
            <w:tcBorders>
              <w:top w:val="nil"/>
              <w:left w:val="nil"/>
              <w:bottom w:val="single" w:sz="4" w:space="0" w:color="BFBFBF"/>
              <w:right w:val="single" w:sz="4" w:space="0" w:color="BFBFBF"/>
            </w:tcBorders>
            <w:shd w:val="clear" w:color="auto" w:fill="auto"/>
            <w:noWrap/>
            <w:vAlign w:val="center"/>
          </w:tcPr>
          <w:p w14:paraId="6D93EAB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796</w:t>
            </w:r>
          </w:p>
        </w:tc>
        <w:tc>
          <w:tcPr>
            <w:tcW w:w="808" w:type="dxa"/>
            <w:tcBorders>
              <w:top w:val="nil"/>
              <w:left w:val="nil"/>
              <w:bottom w:val="single" w:sz="4" w:space="0" w:color="BFBFBF"/>
              <w:right w:val="single" w:sz="4" w:space="0" w:color="auto"/>
            </w:tcBorders>
            <w:shd w:val="clear" w:color="auto" w:fill="auto"/>
            <w:noWrap/>
            <w:vAlign w:val="center"/>
          </w:tcPr>
          <w:p w14:paraId="5E9F714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525</w:t>
            </w:r>
          </w:p>
        </w:tc>
        <w:tc>
          <w:tcPr>
            <w:tcW w:w="776" w:type="dxa"/>
            <w:tcBorders>
              <w:top w:val="nil"/>
              <w:left w:val="nil"/>
              <w:bottom w:val="single" w:sz="4" w:space="0" w:color="BFBFBF"/>
              <w:right w:val="single" w:sz="4" w:space="0" w:color="BFBFBF"/>
            </w:tcBorders>
            <w:shd w:val="clear" w:color="auto" w:fill="auto"/>
            <w:noWrap/>
            <w:vAlign w:val="center"/>
          </w:tcPr>
          <w:p w14:paraId="25C976B4" w14:textId="44B840E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70.7%</w:t>
            </w:r>
          </w:p>
        </w:tc>
        <w:tc>
          <w:tcPr>
            <w:tcW w:w="776" w:type="dxa"/>
            <w:tcBorders>
              <w:top w:val="nil"/>
              <w:left w:val="nil"/>
              <w:bottom w:val="single" w:sz="4" w:space="0" w:color="BFBFBF"/>
              <w:right w:val="double" w:sz="6" w:space="0" w:color="auto"/>
            </w:tcBorders>
            <w:shd w:val="clear" w:color="auto" w:fill="auto"/>
            <w:noWrap/>
            <w:vAlign w:val="center"/>
          </w:tcPr>
          <w:p w14:paraId="3CDB9CE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51.6%</w:t>
            </w:r>
          </w:p>
        </w:tc>
      </w:tr>
      <w:tr w:rsidR="00F44114" w:rsidRPr="00A7775B" w14:paraId="44B44560"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75A62AD3"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2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2C5E2CF" w14:textId="013FC7AE"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08" w:type="dxa"/>
            <w:tcBorders>
              <w:top w:val="nil"/>
              <w:left w:val="nil"/>
              <w:bottom w:val="single" w:sz="4" w:space="0" w:color="BFBFBF"/>
              <w:right w:val="single" w:sz="4" w:space="0" w:color="BFBFBF"/>
            </w:tcBorders>
            <w:shd w:val="clear" w:color="auto" w:fill="auto"/>
            <w:noWrap/>
            <w:vAlign w:val="center"/>
          </w:tcPr>
          <w:p w14:paraId="7C9ABFF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43%</w:t>
            </w:r>
          </w:p>
        </w:tc>
        <w:tc>
          <w:tcPr>
            <w:tcW w:w="808" w:type="dxa"/>
            <w:tcBorders>
              <w:top w:val="nil"/>
              <w:left w:val="nil"/>
              <w:bottom w:val="single" w:sz="4" w:space="0" w:color="BFBFBF"/>
              <w:right w:val="single" w:sz="4" w:space="0" w:color="BFBFBF"/>
            </w:tcBorders>
            <w:shd w:val="clear" w:color="auto" w:fill="auto"/>
            <w:noWrap/>
            <w:vAlign w:val="center"/>
          </w:tcPr>
          <w:p w14:paraId="57C268D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37%</w:t>
            </w:r>
          </w:p>
        </w:tc>
        <w:tc>
          <w:tcPr>
            <w:tcW w:w="675" w:type="dxa"/>
            <w:tcBorders>
              <w:top w:val="nil"/>
              <w:left w:val="nil"/>
              <w:bottom w:val="single" w:sz="4" w:space="0" w:color="BFBFBF"/>
              <w:right w:val="single" w:sz="4" w:space="0" w:color="BFBFBF"/>
            </w:tcBorders>
            <w:shd w:val="clear" w:color="auto" w:fill="auto"/>
            <w:noWrap/>
            <w:vAlign w:val="center"/>
          </w:tcPr>
          <w:p w14:paraId="583D5E1E" w14:textId="273FF120"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4550867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3D42FD0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135</w:t>
            </w:r>
          </w:p>
        </w:tc>
        <w:tc>
          <w:tcPr>
            <w:tcW w:w="808" w:type="dxa"/>
            <w:tcBorders>
              <w:top w:val="nil"/>
              <w:left w:val="nil"/>
              <w:bottom w:val="single" w:sz="4" w:space="0" w:color="BFBFBF"/>
              <w:right w:val="single" w:sz="4" w:space="0" w:color="BFBFBF"/>
            </w:tcBorders>
            <w:shd w:val="clear" w:color="auto" w:fill="auto"/>
            <w:noWrap/>
            <w:vAlign w:val="center"/>
          </w:tcPr>
          <w:p w14:paraId="4DF13302" w14:textId="26A3DFD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675" w:type="dxa"/>
            <w:tcBorders>
              <w:top w:val="nil"/>
              <w:left w:val="nil"/>
              <w:bottom w:val="single" w:sz="4" w:space="0" w:color="BFBFBF"/>
              <w:right w:val="nil"/>
            </w:tcBorders>
            <w:shd w:val="clear" w:color="auto" w:fill="auto"/>
            <w:noWrap/>
            <w:vAlign w:val="center"/>
          </w:tcPr>
          <w:p w14:paraId="393EA22D" w14:textId="7B362D9A"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32E0790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14%</w:t>
            </w:r>
          </w:p>
        </w:tc>
        <w:tc>
          <w:tcPr>
            <w:tcW w:w="684" w:type="dxa"/>
            <w:tcBorders>
              <w:top w:val="nil"/>
              <w:left w:val="nil"/>
              <w:bottom w:val="single" w:sz="4" w:space="0" w:color="BFBFBF"/>
              <w:right w:val="single" w:sz="4" w:space="0" w:color="BFBFBF"/>
            </w:tcBorders>
            <w:shd w:val="clear" w:color="auto" w:fill="auto"/>
            <w:noWrap/>
            <w:vAlign w:val="center"/>
          </w:tcPr>
          <w:p w14:paraId="688F015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68</w:t>
            </w:r>
          </w:p>
        </w:tc>
        <w:tc>
          <w:tcPr>
            <w:tcW w:w="839" w:type="dxa"/>
            <w:tcBorders>
              <w:top w:val="nil"/>
              <w:left w:val="nil"/>
              <w:bottom w:val="single" w:sz="4" w:space="0" w:color="BFBFBF"/>
              <w:right w:val="single" w:sz="4" w:space="0" w:color="BFBFBF"/>
            </w:tcBorders>
            <w:shd w:val="clear" w:color="auto" w:fill="auto"/>
            <w:noWrap/>
            <w:vAlign w:val="center"/>
          </w:tcPr>
          <w:p w14:paraId="5133489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w:t>
            </w:r>
          </w:p>
        </w:tc>
        <w:tc>
          <w:tcPr>
            <w:tcW w:w="675" w:type="dxa"/>
            <w:tcBorders>
              <w:top w:val="nil"/>
              <w:left w:val="nil"/>
              <w:bottom w:val="single" w:sz="4" w:space="0" w:color="BFBFBF"/>
              <w:right w:val="single" w:sz="4" w:space="0" w:color="auto"/>
            </w:tcBorders>
            <w:shd w:val="clear" w:color="auto" w:fill="auto"/>
            <w:noWrap/>
            <w:vAlign w:val="center"/>
          </w:tcPr>
          <w:p w14:paraId="377578F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45</w:t>
            </w:r>
          </w:p>
        </w:tc>
        <w:tc>
          <w:tcPr>
            <w:tcW w:w="764" w:type="dxa"/>
            <w:tcBorders>
              <w:top w:val="nil"/>
              <w:left w:val="nil"/>
              <w:bottom w:val="single" w:sz="4" w:space="0" w:color="BFBFBF"/>
              <w:right w:val="single" w:sz="4" w:space="0" w:color="BFBFBF"/>
            </w:tcBorders>
            <w:shd w:val="clear" w:color="auto" w:fill="auto"/>
            <w:noWrap/>
            <w:vAlign w:val="center"/>
          </w:tcPr>
          <w:p w14:paraId="30AF6677" w14:textId="3CC300E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1,585</w:t>
            </w:r>
          </w:p>
        </w:tc>
        <w:tc>
          <w:tcPr>
            <w:tcW w:w="808" w:type="dxa"/>
            <w:tcBorders>
              <w:top w:val="nil"/>
              <w:left w:val="nil"/>
              <w:bottom w:val="single" w:sz="4" w:space="0" w:color="BFBFBF"/>
              <w:right w:val="single" w:sz="4" w:space="0" w:color="BFBFBF"/>
            </w:tcBorders>
            <w:shd w:val="clear" w:color="auto" w:fill="auto"/>
            <w:noWrap/>
            <w:vAlign w:val="center"/>
          </w:tcPr>
          <w:p w14:paraId="53FAB3E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910</w:t>
            </w:r>
          </w:p>
        </w:tc>
        <w:tc>
          <w:tcPr>
            <w:tcW w:w="808" w:type="dxa"/>
            <w:tcBorders>
              <w:top w:val="nil"/>
              <w:left w:val="nil"/>
              <w:bottom w:val="single" w:sz="4" w:space="0" w:color="BFBFBF"/>
              <w:right w:val="single" w:sz="4" w:space="0" w:color="auto"/>
            </w:tcBorders>
            <w:shd w:val="clear" w:color="auto" w:fill="auto"/>
            <w:noWrap/>
            <w:vAlign w:val="center"/>
          </w:tcPr>
          <w:p w14:paraId="53D57CF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649</w:t>
            </w:r>
          </w:p>
        </w:tc>
        <w:tc>
          <w:tcPr>
            <w:tcW w:w="776" w:type="dxa"/>
            <w:tcBorders>
              <w:top w:val="nil"/>
              <w:left w:val="nil"/>
              <w:bottom w:val="single" w:sz="4" w:space="0" w:color="BFBFBF"/>
              <w:right w:val="single" w:sz="4" w:space="0" w:color="BFBFBF"/>
            </w:tcBorders>
            <w:shd w:val="clear" w:color="auto" w:fill="auto"/>
            <w:noWrap/>
            <w:vAlign w:val="center"/>
          </w:tcPr>
          <w:p w14:paraId="4028D359" w14:textId="38405AC9"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74.2%</w:t>
            </w:r>
          </w:p>
        </w:tc>
        <w:tc>
          <w:tcPr>
            <w:tcW w:w="776" w:type="dxa"/>
            <w:tcBorders>
              <w:top w:val="nil"/>
              <w:left w:val="nil"/>
              <w:bottom w:val="single" w:sz="4" w:space="0" w:color="BFBFBF"/>
              <w:right w:val="double" w:sz="6" w:space="0" w:color="auto"/>
            </w:tcBorders>
            <w:shd w:val="clear" w:color="auto" w:fill="auto"/>
            <w:noWrap/>
            <w:vAlign w:val="center"/>
          </w:tcPr>
          <w:p w14:paraId="7940C43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40.2%</w:t>
            </w:r>
          </w:p>
        </w:tc>
      </w:tr>
      <w:tr w:rsidR="00F44114" w:rsidRPr="00A7775B" w14:paraId="5DA6A1CC"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2D65428"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3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03676C09" w14:textId="44ECCF9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33%</w:t>
            </w:r>
          </w:p>
        </w:tc>
        <w:tc>
          <w:tcPr>
            <w:tcW w:w="808" w:type="dxa"/>
            <w:tcBorders>
              <w:top w:val="nil"/>
              <w:left w:val="nil"/>
              <w:bottom w:val="single" w:sz="4" w:space="0" w:color="BFBFBF"/>
              <w:right w:val="single" w:sz="4" w:space="0" w:color="BFBFBF"/>
            </w:tcBorders>
            <w:shd w:val="clear" w:color="auto" w:fill="auto"/>
            <w:noWrap/>
            <w:vAlign w:val="center"/>
          </w:tcPr>
          <w:p w14:paraId="31A83F2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23%</w:t>
            </w:r>
          </w:p>
        </w:tc>
        <w:tc>
          <w:tcPr>
            <w:tcW w:w="808" w:type="dxa"/>
            <w:tcBorders>
              <w:top w:val="nil"/>
              <w:left w:val="nil"/>
              <w:bottom w:val="single" w:sz="4" w:space="0" w:color="BFBFBF"/>
              <w:right w:val="single" w:sz="4" w:space="0" w:color="BFBFBF"/>
            </w:tcBorders>
            <w:shd w:val="clear" w:color="auto" w:fill="auto"/>
            <w:noWrap/>
            <w:vAlign w:val="center"/>
          </w:tcPr>
          <w:p w14:paraId="1E8BA99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22%</w:t>
            </w:r>
          </w:p>
        </w:tc>
        <w:tc>
          <w:tcPr>
            <w:tcW w:w="675" w:type="dxa"/>
            <w:tcBorders>
              <w:top w:val="nil"/>
              <w:left w:val="nil"/>
              <w:bottom w:val="single" w:sz="4" w:space="0" w:color="BFBFBF"/>
              <w:right w:val="single" w:sz="4" w:space="0" w:color="BFBFBF"/>
            </w:tcBorders>
            <w:shd w:val="clear" w:color="auto" w:fill="auto"/>
            <w:noWrap/>
            <w:vAlign w:val="center"/>
          </w:tcPr>
          <w:p w14:paraId="6EF6BBD5" w14:textId="5EFC8C6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0A90C56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166</w:t>
            </w:r>
          </w:p>
        </w:tc>
        <w:tc>
          <w:tcPr>
            <w:tcW w:w="675" w:type="dxa"/>
            <w:tcBorders>
              <w:top w:val="nil"/>
              <w:left w:val="nil"/>
              <w:bottom w:val="single" w:sz="4" w:space="0" w:color="BFBFBF"/>
              <w:right w:val="single" w:sz="4" w:space="0" w:color="auto"/>
            </w:tcBorders>
            <w:shd w:val="clear" w:color="auto" w:fill="auto"/>
            <w:noWrap/>
            <w:vAlign w:val="center"/>
          </w:tcPr>
          <w:p w14:paraId="6EF0DC6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132</w:t>
            </w:r>
          </w:p>
        </w:tc>
        <w:tc>
          <w:tcPr>
            <w:tcW w:w="808" w:type="dxa"/>
            <w:tcBorders>
              <w:top w:val="nil"/>
              <w:left w:val="nil"/>
              <w:bottom w:val="single" w:sz="4" w:space="0" w:color="BFBFBF"/>
              <w:right w:val="single" w:sz="4" w:space="0" w:color="BFBFBF"/>
            </w:tcBorders>
            <w:shd w:val="clear" w:color="auto" w:fill="auto"/>
            <w:noWrap/>
            <w:vAlign w:val="center"/>
          </w:tcPr>
          <w:p w14:paraId="29441DCE" w14:textId="2346CCC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33%</w:t>
            </w:r>
          </w:p>
        </w:tc>
        <w:tc>
          <w:tcPr>
            <w:tcW w:w="675" w:type="dxa"/>
            <w:tcBorders>
              <w:top w:val="nil"/>
              <w:left w:val="nil"/>
              <w:bottom w:val="single" w:sz="4" w:space="0" w:color="BFBFBF"/>
              <w:right w:val="nil"/>
            </w:tcBorders>
            <w:shd w:val="clear" w:color="auto" w:fill="auto"/>
            <w:noWrap/>
            <w:vAlign w:val="center"/>
          </w:tcPr>
          <w:p w14:paraId="35383F47" w14:textId="74EBAFF8"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49E05FA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14%</w:t>
            </w:r>
          </w:p>
        </w:tc>
        <w:tc>
          <w:tcPr>
            <w:tcW w:w="684" w:type="dxa"/>
            <w:tcBorders>
              <w:top w:val="nil"/>
              <w:left w:val="nil"/>
              <w:bottom w:val="single" w:sz="4" w:space="0" w:color="BFBFBF"/>
              <w:right w:val="single" w:sz="4" w:space="0" w:color="BFBFBF"/>
            </w:tcBorders>
            <w:shd w:val="clear" w:color="auto" w:fill="auto"/>
            <w:noWrap/>
            <w:vAlign w:val="center"/>
          </w:tcPr>
          <w:p w14:paraId="3FC29A3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83</w:t>
            </w:r>
          </w:p>
        </w:tc>
        <w:tc>
          <w:tcPr>
            <w:tcW w:w="839" w:type="dxa"/>
            <w:tcBorders>
              <w:top w:val="nil"/>
              <w:left w:val="nil"/>
              <w:bottom w:val="single" w:sz="4" w:space="0" w:color="BFBFBF"/>
              <w:right w:val="single" w:sz="4" w:space="0" w:color="BFBFBF"/>
            </w:tcBorders>
            <w:shd w:val="clear" w:color="auto" w:fill="auto"/>
            <w:noWrap/>
            <w:vAlign w:val="center"/>
          </w:tcPr>
          <w:p w14:paraId="27A2A57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w:t>
            </w:r>
          </w:p>
        </w:tc>
        <w:tc>
          <w:tcPr>
            <w:tcW w:w="675" w:type="dxa"/>
            <w:tcBorders>
              <w:top w:val="nil"/>
              <w:left w:val="nil"/>
              <w:bottom w:val="single" w:sz="4" w:space="0" w:color="BFBFBF"/>
              <w:right w:val="single" w:sz="4" w:space="0" w:color="auto"/>
            </w:tcBorders>
            <w:shd w:val="clear" w:color="auto" w:fill="auto"/>
            <w:noWrap/>
            <w:vAlign w:val="center"/>
          </w:tcPr>
          <w:p w14:paraId="25B39C2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93</w:t>
            </w:r>
          </w:p>
        </w:tc>
        <w:tc>
          <w:tcPr>
            <w:tcW w:w="764" w:type="dxa"/>
            <w:tcBorders>
              <w:top w:val="nil"/>
              <w:left w:val="nil"/>
              <w:bottom w:val="single" w:sz="4" w:space="0" w:color="BFBFBF"/>
              <w:right w:val="single" w:sz="4" w:space="0" w:color="BFBFBF"/>
            </w:tcBorders>
            <w:shd w:val="clear" w:color="auto" w:fill="auto"/>
            <w:noWrap/>
            <w:vAlign w:val="center"/>
          </w:tcPr>
          <w:p w14:paraId="76797128" w14:textId="515BC38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1,641</w:t>
            </w:r>
          </w:p>
        </w:tc>
        <w:tc>
          <w:tcPr>
            <w:tcW w:w="808" w:type="dxa"/>
            <w:tcBorders>
              <w:top w:val="nil"/>
              <w:left w:val="nil"/>
              <w:bottom w:val="single" w:sz="4" w:space="0" w:color="BFBFBF"/>
              <w:right w:val="single" w:sz="4" w:space="0" w:color="BFBFBF"/>
            </w:tcBorders>
            <w:shd w:val="clear" w:color="auto" w:fill="auto"/>
            <w:noWrap/>
            <w:vAlign w:val="center"/>
          </w:tcPr>
          <w:p w14:paraId="2BF6FD3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998</w:t>
            </w:r>
          </w:p>
        </w:tc>
        <w:tc>
          <w:tcPr>
            <w:tcW w:w="808" w:type="dxa"/>
            <w:tcBorders>
              <w:top w:val="nil"/>
              <w:left w:val="nil"/>
              <w:bottom w:val="single" w:sz="4" w:space="0" w:color="BFBFBF"/>
              <w:right w:val="single" w:sz="4" w:space="0" w:color="auto"/>
            </w:tcBorders>
            <w:shd w:val="clear" w:color="auto" w:fill="auto"/>
            <w:noWrap/>
            <w:vAlign w:val="center"/>
          </w:tcPr>
          <w:p w14:paraId="3D5C562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660</w:t>
            </w:r>
          </w:p>
        </w:tc>
        <w:tc>
          <w:tcPr>
            <w:tcW w:w="776" w:type="dxa"/>
            <w:tcBorders>
              <w:top w:val="nil"/>
              <w:left w:val="nil"/>
              <w:bottom w:val="single" w:sz="4" w:space="0" w:color="BFBFBF"/>
              <w:right w:val="single" w:sz="4" w:space="0" w:color="BFBFBF"/>
            </w:tcBorders>
            <w:shd w:val="clear" w:color="auto" w:fill="auto"/>
            <w:noWrap/>
            <w:vAlign w:val="center"/>
          </w:tcPr>
          <w:p w14:paraId="1A613091" w14:textId="2BC6A04A"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64.5%</w:t>
            </w:r>
          </w:p>
        </w:tc>
        <w:tc>
          <w:tcPr>
            <w:tcW w:w="776" w:type="dxa"/>
            <w:tcBorders>
              <w:top w:val="nil"/>
              <w:left w:val="nil"/>
              <w:bottom w:val="single" w:sz="4" w:space="0" w:color="BFBFBF"/>
              <w:right w:val="double" w:sz="6" w:space="0" w:color="auto"/>
            </w:tcBorders>
            <w:shd w:val="clear" w:color="auto" w:fill="auto"/>
            <w:noWrap/>
            <w:vAlign w:val="center"/>
          </w:tcPr>
          <w:p w14:paraId="1D90F8D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51.2%</w:t>
            </w:r>
          </w:p>
        </w:tc>
      </w:tr>
      <w:tr w:rsidR="00F44114" w:rsidRPr="00A7775B" w14:paraId="08FE9E12"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C9A0592"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4 or more persons</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1BD4928D" w14:textId="3AA8A7B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17%</w:t>
            </w:r>
          </w:p>
        </w:tc>
        <w:tc>
          <w:tcPr>
            <w:tcW w:w="808" w:type="dxa"/>
            <w:tcBorders>
              <w:top w:val="nil"/>
              <w:left w:val="nil"/>
              <w:bottom w:val="single" w:sz="4" w:space="0" w:color="BFBFBF"/>
              <w:right w:val="single" w:sz="4" w:space="0" w:color="BFBFBF"/>
            </w:tcBorders>
            <w:shd w:val="clear" w:color="auto" w:fill="auto"/>
            <w:noWrap/>
            <w:vAlign w:val="center"/>
          </w:tcPr>
          <w:p w14:paraId="4506DCE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11%</w:t>
            </w:r>
          </w:p>
        </w:tc>
        <w:tc>
          <w:tcPr>
            <w:tcW w:w="808" w:type="dxa"/>
            <w:tcBorders>
              <w:top w:val="nil"/>
              <w:left w:val="nil"/>
              <w:bottom w:val="single" w:sz="4" w:space="0" w:color="BFBFBF"/>
              <w:right w:val="single" w:sz="4" w:space="0" w:color="BFBFBF"/>
            </w:tcBorders>
            <w:shd w:val="clear" w:color="auto" w:fill="auto"/>
            <w:noWrap/>
            <w:vAlign w:val="center"/>
          </w:tcPr>
          <w:p w14:paraId="33554DC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10%</w:t>
            </w:r>
          </w:p>
        </w:tc>
        <w:tc>
          <w:tcPr>
            <w:tcW w:w="675" w:type="dxa"/>
            <w:tcBorders>
              <w:top w:val="nil"/>
              <w:left w:val="nil"/>
              <w:bottom w:val="single" w:sz="4" w:space="0" w:color="BFBFBF"/>
              <w:right w:val="single" w:sz="4" w:space="0" w:color="BFBFBF"/>
            </w:tcBorders>
            <w:shd w:val="clear" w:color="auto" w:fill="auto"/>
            <w:noWrap/>
            <w:vAlign w:val="center"/>
          </w:tcPr>
          <w:p w14:paraId="6A96A10A" w14:textId="13EA12A8"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202</w:t>
            </w:r>
          </w:p>
        </w:tc>
        <w:tc>
          <w:tcPr>
            <w:tcW w:w="675" w:type="dxa"/>
            <w:tcBorders>
              <w:top w:val="nil"/>
              <w:left w:val="nil"/>
              <w:bottom w:val="single" w:sz="4" w:space="0" w:color="BFBFBF"/>
              <w:right w:val="single" w:sz="4" w:space="0" w:color="BFBFBF"/>
            </w:tcBorders>
            <w:shd w:val="clear" w:color="auto" w:fill="auto"/>
            <w:noWrap/>
            <w:vAlign w:val="center"/>
          </w:tcPr>
          <w:p w14:paraId="2FACE83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1755F2F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138</w:t>
            </w:r>
          </w:p>
        </w:tc>
        <w:tc>
          <w:tcPr>
            <w:tcW w:w="808" w:type="dxa"/>
            <w:tcBorders>
              <w:top w:val="nil"/>
              <w:left w:val="nil"/>
              <w:bottom w:val="single" w:sz="4" w:space="0" w:color="BFBFBF"/>
              <w:right w:val="single" w:sz="4" w:space="0" w:color="BFBFBF"/>
            </w:tcBorders>
            <w:shd w:val="clear" w:color="auto" w:fill="auto"/>
            <w:noWrap/>
            <w:vAlign w:val="center"/>
          </w:tcPr>
          <w:p w14:paraId="57574EF7" w14:textId="499C831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17%</w:t>
            </w:r>
          </w:p>
        </w:tc>
        <w:tc>
          <w:tcPr>
            <w:tcW w:w="675" w:type="dxa"/>
            <w:tcBorders>
              <w:top w:val="nil"/>
              <w:left w:val="nil"/>
              <w:bottom w:val="single" w:sz="4" w:space="0" w:color="BFBFBF"/>
              <w:right w:val="nil"/>
            </w:tcBorders>
            <w:shd w:val="clear" w:color="auto" w:fill="auto"/>
            <w:noWrap/>
            <w:vAlign w:val="center"/>
          </w:tcPr>
          <w:p w14:paraId="4B7D3405" w14:textId="6947BE63"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49</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1D4178F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8%</w:t>
            </w:r>
          </w:p>
        </w:tc>
        <w:tc>
          <w:tcPr>
            <w:tcW w:w="684" w:type="dxa"/>
            <w:tcBorders>
              <w:top w:val="nil"/>
              <w:left w:val="nil"/>
              <w:bottom w:val="single" w:sz="4" w:space="0" w:color="BFBFBF"/>
              <w:right w:val="single" w:sz="4" w:space="0" w:color="BFBFBF"/>
            </w:tcBorders>
            <w:shd w:val="clear" w:color="auto" w:fill="auto"/>
            <w:noWrap/>
            <w:vAlign w:val="center"/>
          </w:tcPr>
          <w:p w14:paraId="73C94FD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58</w:t>
            </w:r>
          </w:p>
        </w:tc>
        <w:tc>
          <w:tcPr>
            <w:tcW w:w="839" w:type="dxa"/>
            <w:tcBorders>
              <w:top w:val="nil"/>
              <w:left w:val="nil"/>
              <w:bottom w:val="single" w:sz="4" w:space="0" w:color="BFBFBF"/>
              <w:right w:val="single" w:sz="4" w:space="0" w:color="BFBFBF"/>
            </w:tcBorders>
            <w:shd w:val="clear" w:color="auto" w:fill="auto"/>
            <w:noWrap/>
            <w:vAlign w:val="center"/>
          </w:tcPr>
          <w:p w14:paraId="0D092EA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w:t>
            </w:r>
          </w:p>
        </w:tc>
        <w:tc>
          <w:tcPr>
            <w:tcW w:w="675" w:type="dxa"/>
            <w:tcBorders>
              <w:top w:val="nil"/>
              <w:left w:val="nil"/>
              <w:bottom w:val="single" w:sz="4" w:space="0" w:color="BFBFBF"/>
              <w:right w:val="single" w:sz="4" w:space="0" w:color="auto"/>
            </w:tcBorders>
            <w:shd w:val="clear" w:color="auto" w:fill="auto"/>
            <w:noWrap/>
            <w:vAlign w:val="center"/>
          </w:tcPr>
          <w:p w14:paraId="3450334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93</w:t>
            </w:r>
          </w:p>
        </w:tc>
        <w:tc>
          <w:tcPr>
            <w:tcW w:w="764" w:type="dxa"/>
            <w:tcBorders>
              <w:top w:val="nil"/>
              <w:left w:val="nil"/>
              <w:bottom w:val="single" w:sz="4" w:space="0" w:color="BFBFBF"/>
              <w:right w:val="single" w:sz="4" w:space="0" w:color="BFBFBF"/>
            </w:tcBorders>
            <w:shd w:val="clear" w:color="auto" w:fill="auto"/>
            <w:noWrap/>
            <w:vAlign w:val="center"/>
          </w:tcPr>
          <w:p w14:paraId="03CB3C5A" w14:textId="720D436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1,758</w:t>
            </w:r>
          </w:p>
        </w:tc>
        <w:tc>
          <w:tcPr>
            <w:tcW w:w="808" w:type="dxa"/>
            <w:tcBorders>
              <w:top w:val="nil"/>
              <w:left w:val="nil"/>
              <w:bottom w:val="single" w:sz="4" w:space="0" w:color="BFBFBF"/>
              <w:right w:val="single" w:sz="4" w:space="0" w:color="BFBFBF"/>
            </w:tcBorders>
            <w:shd w:val="clear" w:color="auto" w:fill="auto"/>
            <w:noWrap/>
            <w:vAlign w:val="center"/>
          </w:tcPr>
          <w:p w14:paraId="26D7063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1,057</w:t>
            </w:r>
          </w:p>
        </w:tc>
        <w:tc>
          <w:tcPr>
            <w:tcW w:w="808" w:type="dxa"/>
            <w:tcBorders>
              <w:top w:val="nil"/>
              <w:left w:val="nil"/>
              <w:bottom w:val="single" w:sz="4" w:space="0" w:color="BFBFBF"/>
              <w:right w:val="single" w:sz="4" w:space="0" w:color="auto"/>
            </w:tcBorders>
            <w:shd w:val="clear" w:color="auto" w:fill="auto"/>
            <w:noWrap/>
            <w:vAlign w:val="center"/>
          </w:tcPr>
          <w:p w14:paraId="2216245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727</w:t>
            </w:r>
          </w:p>
        </w:tc>
        <w:tc>
          <w:tcPr>
            <w:tcW w:w="776" w:type="dxa"/>
            <w:tcBorders>
              <w:top w:val="nil"/>
              <w:left w:val="nil"/>
              <w:bottom w:val="single" w:sz="4" w:space="0" w:color="BFBFBF"/>
              <w:right w:val="single" w:sz="4" w:space="0" w:color="BFBFBF"/>
            </w:tcBorders>
            <w:shd w:val="clear" w:color="auto" w:fill="auto"/>
            <w:noWrap/>
            <w:vAlign w:val="center"/>
          </w:tcPr>
          <w:p w14:paraId="467C74C5" w14:textId="5ED1517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66.3%</w:t>
            </w:r>
          </w:p>
        </w:tc>
        <w:tc>
          <w:tcPr>
            <w:tcW w:w="776" w:type="dxa"/>
            <w:tcBorders>
              <w:top w:val="nil"/>
              <w:left w:val="nil"/>
              <w:bottom w:val="single" w:sz="4" w:space="0" w:color="BFBFBF"/>
              <w:right w:val="double" w:sz="6" w:space="0" w:color="auto"/>
            </w:tcBorders>
            <w:shd w:val="clear" w:color="auto" w:fill="auto"/>
            <w:noWrap/>
            <w:vAlign w:val="center"/>
          </w:tcPr>
          <w:p w14:paraId="2F9883A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45.4%</w:t>
            </w:r>
          </w:p>
        </w:tc>
      </w:tr>
      <w:tr w:rsidR="00F44114" w:rsidRPr="00A7775B" w14:paraId="71A658E7"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2B02BF34" w14:textId="77777777" w:rsidR="006935F2" w:rsidRPr="00A7775B" w:rsidRDefault="006935F2" w:rsidP="00E337BE">
            <w:pPr>
              <w:spacing w:before="0" w:after="0"/>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By Housing Status -</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236DFD3E" w14:textId="07BB65DC"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4D98F4B6" w14:textId="77777777"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7FF0C500" w14:textId="77777777"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BFBFBF"/>
            </w:tcBorders>
            <w:shd w:val="clear" w:color="auto" w:fill="auto"/>
            <w:noWrap/>
            <w:vAlign w:val="center"/>
          </w:tcPr>
          <w:p w14:paraId="52C29DDD" w14:textId="3B3F6F21"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BFBFBF"/>
            </w:tcBorders>
            <w:shd w:val="clear" w:color="auto" w:fill="auto"/>
            <w:noWrap/>
            <w:vAlign w:val="center"/>
          </w:tcPr>
          <w:p w14:paraId="0F2F13B6" w14:textId="77777777"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1C13DA3A" w14:textId="77777777"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40A7A3E2" w14:textId="0B972666"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nil"/>
            </w:tcBorders>
            <w:shd w:val="clear" w:color="auto" w:fill="auto"/>
            <w:noWrap/>
            <w:vAlign w:val="center"/>
          </w:tcPr>
          <w:p w14:paraId="7A46F382" w14:textId="40A8CFA0" w:rsidR="006935F2" w:rsidRPr="00A7775B" w:rsidRDefault="006935F2">
            <w:pPr>
              <w:spacing w:before="0" w:after="0"/>
              <w:jc w:val="center"/>
              <w:rPr>
                <w:rFonts w:ascii="Arial" w:hAnsi="Arial" w:cs="Arial"/>
                <w:color w:val="000000"/>
                <w:sz w:val="16"/>
                <w:szCs w:val="16"/>
                <w:lang w:val="en-AU" w:eastAsia="en-AU"/>
              </w:rPr>
            </w:pP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0EF8BD56" w14:textId="27320C49" w:rsidR="006935F2" w:rsidRPr="00A7775B" w:rsidRDefault="006935F2">
            <w:pPr>
              <w:spacing w:before="0" w:after="0"/>
              <w:jc w:val="center"/>
              <w:rPr>
                <w:rFonts w:ascii="Arial" w:hAnsi="Arial" w:cs="Arial"/>
                <w:color w:val="000000"/>
                <w:sz w:val="16"/>
                <w:szCs w:val="16"/>
                <w:lang w:val="en-AU" w:eastAsia="en-AU"/>
              </w:rPr>
            </w:pPr>
          </w:p>
        </w:tc>
        <w:tc>
          <w:tcPr>
            <w:tcW w:w="684" w:type="dxa"/>
            <w:tcBorders>
              <w:top w:val="nil"/>
              <w:left w:val="nil"/>
              <w:bottom w:val="single" w:sz="4" w:space="0" w:color="BFBFBF"/>
              <w:right w:val="single" w:sz="4" w:space="0" w:color="BFBFBF"/>
            </w:tcBorders>
            <w:shd w:val="clear" w:color="auto" w:fill="auto"/>
            <w:noWrap/>
            <w:vAlign w:val="center"/>
          </w:tcPr>
          <w:p w14:paraId="77845080" w14:textId="460E1A38" w:rsidR="006935F2" w:rsidRPr="00A7775B" w:rsidRDefault="006935F2">
            <w:pPr>
              <w:spacing w:before="0" w:after="0"/>
              <w:jc w:val="center"/>
              <w:rPr>
                <w:rFonts w:ascii="Arial" w:hAnsi="Arial" w:cs="Arial"/>
                <w:color w:val="000000"/>
                <w:sz w:val="16"/>
                <w:szCs w:val="16"/>
                <w:lang w:val="en-AU" w:eastAsia="en-AU"/>
              </w:rPr>
            </w:pPr>
          </w:p>
        </w:tc>
        <w:tc>
          <w:tcPr>
            <w:tcW w:w="839" w:type="dxa"/>
            <w:tcBorders>
              <w:top w:val="nil"/>
              <w:left w:val="nil"/>
              <w:bottom w:val="single" w:sz="4" w:space="0" w:color="BFBFBF"/>
              <w:right w:val="single" w:sz="4" w:space="0" w:color="BFBFBF"/>
            </w:tcBorders>
            <w:shd w:val="clear" w:color="auto" w:fill="auto"/>
            <w:noWrap/>
            <w:vAlign w:val="center"/>
          </w:tcPr>
          <w:p w14:paraId="2A112A8C" w14:textId="77777777" w:rsidR="006935F2" w:rsidRPr="00A7775B" w:rsidRDefault="006935F2">
            <w:pPr>
              <w:spacing w:before="0" w:after="0"/>
              <w:jc w:val="center"/>
              <w:rPr>
                <w:rFonts w:ascii="Arial" w:hAnsi="Arial" w:cs="Arial"/>
                <w:color w:val="000000"/>
                <w:sz w:val="16"/>
                <w:szCs w:val="16"/>
                <w:lang w:val="en-AU" w:eastAsia="en-AU"/>
              </w:rPr>
            </w:pPr>
          </w:p>
        </w:tc>
        <w:tc>
          <w:tcPr>
            <w:tcW w:w="675" w:type="dxa"/>
            <w:tcBorders>
              <w:top w:val="nil"/>
              <w:left w:val="nil"/>
              <w:bottom w:val="single" w:sz="4" w:space="0" w:color="BFBFBF"/>
              <w:right w:val="single" w:sz="4" w:space="0" w:color="auto"/>
            </w:tcBorders>
            <w:shd w:val="clear" w:color="auto" w:fill="auto"/>
            <w:noWrap/>
            <w:vAlign w:val="center"/>
          </w:tcPr>
          <w:p w14:paraId="6F9A1400" w14:textId="77777777" w:rsidR="006935F2" w:rsidRPr="00A7775B" w:rsidRDefault="006935F2">
            <w:pPr>
              <w:spacing w:before="0" w:after="0"/>
              <w:jc w:val="center"/>
              <w:rPr>
                <w:rFonts w:ascii="Arial" w:hAnsi="Arial" w:cs="Arial"/>
                <w:color w:val="000000"/>
                <w:sz w:val="16"/>
                <w:szCs w:val="16"/>
                <w:lang w:val="en-AU" w:eastAsia="en-AU"/>
              </w:rPr>
            </w:pPr>
          </w:p>
        </w:tc>
        <w:tc>
          <w:tcPr>
            <w:tcW w:w="764" w:type="dxa"/>
            <w:tcBorders>
              <w:top w:val="nil"/>
              <w:left w:val="nil"/>
              <w:bottom w:val="single" w:sz="4" w:space="0" w:color="BFBFBF"/>
              <w:right w:val="single" w:sz="4" w:space="0" w:color="BFBFBF"/>
            </w:tcBorders>
            <w:shd w:val="clear" w:color="auto" w:fill="auto"/>
            <w:noWrap/>
            <w:vAlign w:val="center"/>
          </w:tcPr>
          <w:p w14:paraId="04FE275C" w14:textId="2610BE0C"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BFBFBF"/>
            </w:tcBorders>
            <w:shd w:val="clear" w:color="auto" w:fill="auto"/>
            <w:noWrap/>
            <w:vAlign w:val="center"/>
          </w:tcPr>
          <w:p w14:paraId="2538A281" w14:textId="77777777" w:rsidR="006935F2" w:rsidRPr="00A7775B" w:rsidRDefault="006935F2">
            <w:pPr>
              <w:spacing w:before="0" w:after="0"/>
              <w:jc w:val="center"/>
              <w:rPr>
                <w:rFonts w:ascii="Arial" w:hAnsi="Arial" w:cs="Arial"/>
                <w:color w:val="000000"/>
                <w:sz w:val="16"/>
                <w:szCs w:val="16"/>
                <w:lang w:val="en-AU" w:eastAsia="en-AU"/>
              </w:rPr>
            </w:pPr>
          </w:p>
        </w:tc>
        <w:tc>
          <w:tcPr>
            <w:tcW w:w="808" w:type="dxa"/>
            <w:tcBorders>
              <w:top w:val="nil"/>
              <w:left w:val="nil"/>
              <w:bottom w:val="single" w:sz="4" w:space="0" w:color="BFBFBF"/>
              <w:right w:val="single" w:sz="4" w:space="0" w:color="auto"/>
            </w:tcBorders>
            <w:shd w:val="clear" w:color="auto" w:fill="auto"/>
            <w:noWrap/>
            <w:vAlign w:val="center"/>
          </w:tcPr>
          <w:p w14:paraId="08BEFD8B" w14:textId="77777777" w:rsidR="006935F2" w:rsidRPr="00A7775B" w:rsidRDefault="006935F2">
            <w:pPr>
              <w:spacing w:before="0" w:after="0"/>
              <w:jc w:val="center"/>
              <w:rPr>
                <w:rFonts w:ascii="Arial" w:hAnsi="Arial" w:cs="Arial"/>
                <w:color w:val="000000"/>
                <w:sz w:val="16"/>
                <w:szCs w:val="16"/>
                <w:lang w:val="en-AU" w:eastAsia="en-AU"/>
              </w:rPr>
            </w:pPr>
          </w:p>
        </w:tc>
        <w:tc>
          <w:tcPr>
            <w:tcW w:w="776" w:type="dxa"/>
            <w:tcBorders>
              <w:top w:val="nil"/>
              <w:left w:val="nil"/>
              <w:bottom w:val="single" w:sz="4" w:space="0" w:color="BFBFBF"/>
              <w:right w:val="single" w:sz="4" w:space="0" w:color="BFBFBF"/>
            </w:tcBorders>
            <w:shd w:val="clear" w:color="auto" w:fill="auto"/>
            <w:noWrap/>
            <w:vAlign w:val="center"/>
          </w:tcPr>
          <w:p w14:paraId="22116656" w14:textId="6B5794D2" w:rsidR="006935F2" w:rsidRPr="00A7775B" w:rsidRDefault="006935F2">
            <w:pPr>
              <w:spacing w:before="0" w:after="0"/>
              <w:jc w:val="center"/>
              <w:rPr>
                <w:rFonts w:ascii="Arial" w:hAnsi="Arial" w:cs="Arial"/>
                <w:color w:val="000000"/>
                <w:sz w:val="16"/>
                <w:szCs w:val="16"/>
                <w:lang w:val="en-AU" w:eastAsia="en-AU"/>
              </w:rPr>
            </w:pPr>
          </w:p>
        </w:tc>
        <w:tc>
          <w:tcPr>
            <w:tcW w:w="776" w:type="dxa"/>
            <w:tcBorders>
              <w:top w:val="nil"/>
              <w:left w:val="nil"/>
              <w:bottom w:val="single" w:sz="4" w:space="0" w:color="BFBFBF"/>
              <w:right w:val="double" w:sz="6" w:space="0" w:color="auto"/>
            </w:tcBorders>
            <w:shd w:val="clear" w:color="auto" w:fill="auto"/>
            <w:noWrap/>
            <w:vAlign w:val="center"/>
          </w:tcPr>
          <w:p w14:paraId="108FA47F" w14:textId="77777777" w:rsidR="006935F2" w:rsidRPr="00A7775B" w:rsidRDefault="006935F2">
            <w:pPr>
              <w:spacing w:before="0" w:after="0"/>
              <w:jc w:val="center"/>
              <w:rPr>
                <w:rFonts w:ascii="Arial" w:hAnsi="Arial" w:cs="Arial"/>
                <w:color w:val="000000"/>
                <w:sz w:val="16"/>
                <w:szCs w:val="16"/>
                <w:lang w:val="en-AU" w:eastAsia="en-AU"/>
              </w:rPr>
            </w:pPr>
          </w:p>
        </w:tc>
      </w:tr>
      <w:tr w:rsidR="00F44114" w:rsidRPr="00A7775B" w14:paraId="5A0DDC9C"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15AD7BAC"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Owned/paid off</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B6E42BC" w14:textId="4B34957D"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49%</w:t>
            </w:r>
          </w:p>
        </w:tc>
        <w:tc>
          <w:tcPr>
            <w:tcW w:w="808" w:type="dxa"/>
            <w:tcBorders>
              <w:top w:val="nil"/>
              <w:left w:val="nil"/>
              <w:bottom w:val="single" w:sz="4" w:space="0" w:color="BFBFBF"/>
              <w:right w:val="single" w:sz="4" w:space="0" w:color="BFBFBF"/>
            </w:tcBorders>
            <w:shd w:val="clear" w:color="auto" w:fill="auto"/>
            <w:noWrap/>
            <w:vAlign w:val="center"/>
          </w:tcPr>
          <w:p w14:paraId="10030A8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44%</w:t>
            </w:r>
          </w:p>
        </w:tc>
        <w:tc>
          <w:tcPr>
            <w:tcW w:w="808" w:type="dxa"/>
            <w:tcBorders>
              <w:top w:val="nil"/>
              <w:left w:val="nil"/>
              <w:bottom w:val="single" w:sz="4" w:space="0" w:color="BFBFBF"/>
              <w:right w:val="single" w:sz="4" w:space="0" w:color="BFBFBF"/>
            </w:tcBorders>
            <w:shd w:val="clear" w:color="auto" w:fill="auto"/>
            <w:noWrap/>
            <w:vAlign w:val="center"/>
          </w:tcPr>
          <w:p w14:paraId="5FB89E6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40%</w:t>
            </w:r>
          </w:p>
        </w:tc>
        <w:tc>
          <w:tcPr>
            <w:tcW w:w="675" w:type="dxa"/>
            <w:tcBorders>
              <w:top w:val="nil"/>
              <w:left w:val="nil"/>
              <w:bottom w:val="single" w:sz="4" w:space="0" w:color="BFBFBF"/>
              <w:right w:val="single" w:sz="4" w:space="0" w:color="BFBFBF"/>
            </w:tcBorders>
            <w:shd w:val="clear" w:color="auto" w:fill="auto"/>
            <w:noWrap/>
            <w:vAlign w:val="center"/>
          </w:tcPr>
          <w:p w14:paraId="48A1FE28" w14:textId="5A56519D"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09A0207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5F0A709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136</w:t>
            </w:r>
          </w:p>
        </w:tc>
        <w:tc>
          <w:tcPr>
            <w:tcW w:w="808" w:type="dxa"/>
            <w:tcBorders>
              <w:top w:val="nil"/>
              <w:left w:val="nil"/>
              <w:bottom w:val="single" w:sz="4" w:space="0" w:color="BFBFBF"/>
              <w:right w:val="single" w:sz="4" w:space="0" w:color="BFBFBF"/>
            </w:tcBorders>
            <w:shd w:val="clear" w:color="auto" w:fill="auto"/>
            <w:noWrap/>
            <w:vAlign w:val="center"/>
          </w:tcPr>
          <w:p w14:paraId="2E8D1D67" w14:textId="4E1B5C93"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49%</w:t>
            </w:r>
          </w:p>
        </w:tc>
        <w:tc>
          <w:tcPr>
            <w:tcW w:w="675" w:type="dxa"/>
            <w:tcBorders>
              <w:top w:val="nil"/>
              <w:left w:val="nil"/>
              <w:bottom w:val="single" w:sz="4" w:space="0" w:color="BFBFBF"/>
              <w:right w:val="nil"/>
            </w:tcBorders>
            <w:shd w:val="clear" w:color="auto" w:fill="auto"/>
            <w:noWrap/>
            <w:vAlign w:val="center"/>
          </w:tcPr>
          <w:p w14:paraId="76ADD121" w14:textId="4DDFBD1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053CE19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17%</w:t>
            </w:r>
          </w:p>
        </w:tc>
        <w:tc>
          <w:tcPr>
            <w:tcW w:w="684" w:type="dxa"/>
            <w:tcBorders>
              <w:top w:val="nil"/>
              <w:left w:val="nil"/>
              <w:bottom w:val="single" w:sz="4" w:space="0" w:color="BFBFBF"/>
              <w:right w:val="single" w:sz="4" w:space="0" w:color="BFBFBF"/>
            </w:tcBorders>
            <w:shd w:val="clear" w:color="auto" w:fill="auto"/>
            <w:noWrap/>
            <w:vAlign w:val="center"/>
          </w:tcPr>
          <w:p w14:paraId="0BA7286A"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67</w:t>
            </w:r>
          </w:p>
        </w:tc>
        <w:tc>
          <w:tcPr>
            <w:tcW w:w="839" w:type="dxa"/>
            <w:tcBorders>
              <w:top w:val="nil"/>
              <w:left w:val="nil"/>
              <w:bottom w:val="single" w:sz="4" w:space="0" w:color="BFBFBF"/>
              <w:right w:val="single" w:sz="4" w:space="0" w:color="BFBFBF"/>
            </w:tcBorders>
            <w:shd w:val="clear" w:color="auto" w:fill="auto"/>
            <w:noWrap/>
            <w:vAlign w:val="center"/>
          </w:tcPr>
          <w:p w14:paraId="26C613B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w:t>
            </w:r>
          </w:p>
        </w:tc>
        <w:tc>
          <w:tcPr>
            <w:tcW w:w="675" w:type="dxa"/>
            <w:tcBorders>
              <w:top w:val="nil"/>
              <w:left w:val="nil"/>
              <w:bottom w:val="single" w:sz="4" w:space="0" w:color="BFBFBF"/>
              <w:right w:val="single" w:sz="4" w:space="0" w:color="auto"/>
            </w:tcBorders>
            <w:shd w:val="clear" w:color="auto" w:fill="auto"/>
            <w:noWrap/>
            <w:vAlign w:val="center"/>
          </w:tcPr>
          <w:p w14:paraId="17EF4FF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53</w:t>
            </w:r>
          </w:p>
        </w:tc>
        <w:tc>
          <w:tcPr>
            <w:tcW w:w="764" w:type="dxa"/>
            <w:tcBorders>
              <w:top w:val="nil"/>
              <w:left w:val="nil"/>
              <w:bottom w:val="single" w:sz="4" w:space="0" w:color="BFBFBF"/>
              <w:right w:val="single" w:sz="4" w:space="0" w:color="BFBFBF"/>
            </w:tcBorders>
            <w:shd w:val="clear" w:color="auto" w:fill="auto"/>
            <w:noWrap/>
            <w:vAlign w:val="center"/>
          </w:tcPr>
          <w:p w14:paraId="52DA78B6" w14:textId="7F4B1083"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1,576</w:t>
            </w:r>
          </w:p>
        </w:tc>
        <w:tc>
          <w:tcPr>
            <w:tcW w:w="808" w:type="dxa"/>
            <w:tcBorders>
              <w:top w:val="nil"/>
              <w:left w:val="nil"/>
              <w:bottom w:val="single" w:sz="4" w:space="0" w:color="BFBFBF"/>
              <w:right w:val="single" w:sz="4" w:space="0" w:color="BFBFBF"/>
            </w:tcBorders>
            <w:shd w:val="clear" w:color="auto" w:fill="auto"/>
            <w:noWrap/>
            <w:vAlign w:val="center"/>
          </w:tcPr>
          <w:p w14:paraId="2255C5B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935</w:t>
            </w:r>
          </w:p>
        </w:tc>
        <w:tc>
          <w:tcPr>
            <w:tcW w:w="808" w:type="dxa"/>
            <w:tcBorders>
              <w:top w:val="nil"/>
              <w:left w:val="nil"/>
              <w:bottom w:val="single" w:sz="4" w:space="0" w:color="BFBFBF"/>
              <w:right w:val="single" w:sz="4" w:space="0" w:color="auto"/>
            </w:tcBorders>
            <w:shd w:val="clear" w:color="auto" w:fill="auto"/>
            <w:noWrap/>
            <w:vAlign w:val="center"/>
          </w:tcPr>
          <w:p w14:paraId="4F8FEBE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637</w:t>
            </w:r>
          </w:p>
        </w:tc>
        <w:tc>
          <w:tcPr>
            <w:tcW w:w="776" w:type="dxa"/>
            <w:tcBorders>
              <w:top w:val="nil"/>
              <w:left w:val="nil"/>
              <w:bottom w:val="single" w:sz="4" w:space="0" w:color="BFBFBF"/>
              <w:right w:val="single" w:sz="4" w:space="0" w:color="BFBFBF"/>
            </w:tcBorders>
            <w:shd w:val="clear" w:color="auto" w:fill="auto"/>
            <w:noWrap/>
            <w:vAlign w:val="center"/>
          </w:tcPr>
          <w:p w14:paraId="5F58F91E" w14:textId="0DDF01C2"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68.6%</w:t>
            </w:r>
          </w:p>
        </w:tc>
        <w:tc>
          <w:tcPr>
            <w:tcW w:w="776" w:type="dxa"/>
            <w:tcBorders>
              <w:top w:val="nil"/>
              <w:left w:val="nil"/>
              <w:bottom w:val="single" w:sz="4" w:space="0" w:color="BFBFBF"/>
              <w:right w:val="double" w:sz="6" w:space="0" w:color="auto"/>
            </w:tcBorders>
            <w:shd w:val="clear" w:color="auto" w:fill="auto"/>
            <w:noWrap/>
            <w:vAlign w:val="center"/>
          </w:tcPr>
          <w:p w14:paraId="7359E0B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46.8%</w:t>
            </w:r>
          </w:p>
        </w:tc>
      </w:tr>
      <w:tr w:rsidR="00F44114" w:rsidRPr="00A7775B" w14:paraId="0D947DC0"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60D545AE"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Buying/paying off</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70DF0B76" w14:textId="2E454EF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18%</w:t>
            </w:r>
          </w:p>
        </w:tc>
        <w:tc>
          <w:tcPr>
            <w:tcW w:w="808" w:type="dxa"/>
            <w:tcBorders>
              <w:top w:val="nil"/>
              <w:left w:val="nil"/>
              <w:bottom w:val="single" w:sz="4" w:space="0" w:color="BFBFBF"/>
              <w:right w:val="single" w:sz="4" w:space="0" w:color="BFBFBF"/>
            </w:tcBorders>
            <w:shd w:val="clear" w:color="auto" w:fill="auto"/>
            <w:noWrap/>
            <w:vAlign w:val="center"/>
          </w:tcPr>
          <w:p w14:paraId="37C7933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11%</w:t>
            </w:r>
          </w:p>
        </w:tc>
        <w:tc>
          <w:tcPr>
            <w:tcW w:w="808" w:type="dxa"/>
            <w:tcBorders>
              <w:top w:val="nil"/>
              <w:left w:val="nil"/>
              <w:bottom w:val="single" w:sz="4" w:space="0" w:color="BFBFBF"/>
              <w:right w:val="single" w:sz="4" w:space="0" w:color="BFBFBF"/>
            </w:tcBorders>
            <w:shd w:val="clear" w:color="auto" w:fill="auto"/>
            <w:noWrap/>
            <w:vAlign w:val="center"/>
          </w:tcPr>
          <w:p w14:paraId="7E68A89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10%</w:t>
            </w:r>
          </w:p>
        </w:tc>
        <w:tc>
          <w:tcPr>
            <w:tcW w:w="675" w:type="dxa"/>
            <w:tcBorders>
              <w:top w:val="nil"/>
              <w:left w:val="nil"/>
              <w:bottom w:val="single" w:sz="4" w:space="0" w:color="BFBFBF"/>
              <w:right w:val="single" w:sz="4" w:space="0" w:color="BFBFBF"/>
            </w:tcBorders>
            <w:shd w:val="clear" w:color="auto" w:fill="auto"/>
            <w:noWrap/>
            <w:vAlign w:val="center"/>
          </w:tcPr>
          <w:p w14:paraId="10184E06" w14:textId="76A79FFB"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0F75F34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3B01CB7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132</w:t>
            </w:r>
          </w:p>
        </w:tc>
        <w:tc>
          <w:tcPr>
            <w:tcW w:w="808" w:type="dxa"/>
            <w:tcBorders>
              <w:top w:val="nil"/>
              <w:left w:val="nil"/>
              <w:bottom w:val="single" w:sz="4" w:space="0" w:color="BFBFBF"/>
              <w:right w:val="single" w:sz="4" w:space="0" w:color="BFBFBF"/>
            </w:tcBorders>
            <w:shd w:val="clear" w:color="auto" w:fill="auto"/>
            <w:noWrap/>
            <w:vAlign w:val="center"/>
          </w:tcPr>
          <w:p w14:paraId="4EE89A88" w14:textId="29191172"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18%</w:t>
            </w:r>
          </w:p>
        </w:tc>
        <w:tc>
          <w:tcPr>
            <w:tcW w:w="675" w:type="dxa"/>
            <w:tcBorders>
              <w:top w:val="nil"/>
              <w:left w:val="nil"/>
              <w:bottom w:val="single" w:sz="4" w:space="0" w:color="BFBFBF"/>
              <w:right w:val="nil"/>
            </w:tcBorders>
            <w:shd w:val="clear" w:color="auto" w:fill="auto"/>
            <w:noWrap/>
            <w:vAlign w:val="center"/>
          </w:tcPr>
          <w:p w14:paraId="4C7D339D" w14:textId="57420E1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7A31F09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w:t>
            </w:r>
          </w:p>
        </w:tc>
        <w:tc>
          <w:tcPr>
            <w:tcW w:w="684" w:type="dxa"/>
            <w:tcBorders>
              <w:top w:val="nil"/>
              <w:left w:val="nil"/>
              <w:bottom w:val="single" w:sz="4" w:space="0" w:color="BFBFBF"/>
              <w:right w:val="single" w:sz="4" w:space="0" w:color="BFBFBF"/>
            </w:tcBorders>
            <w:shd w:val="clear" w:color="auto" w:fill="auto"/>
            <w:noWrap/>
            <w:vAlign w:val="center"/>
          </w:tcPr>
          <w:p w14:paraId="68E6BF0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69</w:t>
            </w:r>
          </w:p>
        </w:tc>
        <w:tc>
          <w:tcPr>
            <w:tcW w:w="839" w:type="dxa"/>
            <w:tcBorders>
              <w:top w:val="nil"/>
              <w:left w:val="nil"/>
              <w:bottom w:val="single" w:sz="4" w:space="0" w:color="BFBFBF"/>
              <w:right w:val="single" w:sz="4" w:space="0" w:color="BFBFBF"/>
            </w:tcBorders>
            <w:shd w:val="clear" w:color="auto" w:fill="auto"/>
            <w:noWrap/>
            <w:vAlign w:val="center"/>
          </w:tcPr>
          <w:p w14:paraId="773BF736"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w:t>
            </w:r>
          </w:p>
        </w:tc>
        <w:tc>
          <w:tcPr>
            <w:tcW w:w="675" w:type="dxa"/>
            <w:tcBorders>
              <w:top w:val="nil"/>
              <w:left w:val="nil"/>
              <w:bottom w:val="single" w:sz="4" w:space="0" w:color="BFBFBF"/>
              <w:right w:val="single" w:sz="4" w:space="0" w:color="auto"/>
            </w:tcBorders>
            <w:shd w:val="clear" w:color="auto" w:fill="auto"/>
            <w:noWrap/>
            <w:vAlign w:val="center"/>
          </w:tcPr>
          <w:p w14:paraId="5287DA3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108</w:t>
            </w:r>
          </w:p>
        </w:tc>
        <w:tc>
          <w:tcPr>
            <w:tcW w:w="764" w:type="dxa"/>
            <w:tcBorders>
              <w:top w:val="nil"/>
              <w:left w:val="nil"/>
              <w:bottom w:val="single" w:sz="4" w:space="0" w:color="BFBFBF"/>
              <w:right w:val="single" w:sz="4" w:space="0" w:color="BFBFBF"/>
            </w:tcBorders>
            <w:shd w:val="clear" w:color="auto" w:fill="auto"/>
            <w:noWrap/>
            <w:vAlign w:val="center"/>
          </w:tcPr>
          <w:p w14:paraId="40CC274F" w14:textId="1A2CD030"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1,631</w:t>
            </w:r>
          </w:p>
        </w:tc>
        <w:tc>
          <w:tcPr>
            <w:tcW w:w="808" w:type="dxa"/>
            <w:tcBorders>
              <w:top w:val="nil"/>
              <w:left w:val="nil"/>
              <w:bottom w:val="single" w:sz="4" w:space="0" w:color="BFBFBF"/>
              <w:right w:val="single" w:sz="4" w:space="0" w:color="BFBFBF"/>
            </w:tcBorders>
            <w:shd w:val="clear" w:color="auto" w:fill="auto"/>
            <w:noWrap/>
            <w:vAlign w:val="center"/>
          </w:tcPr>
          <w:p w14:paraId="730CD0A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973</w:t>
            </w:r>
          </w:p>
        </w:tc>
        <w:tc>
          <w:tcPr>
            <w:tcW w:w="808" w:type="dxa"/>
            <w:tcBorders>
              <w:top w:val="nil"/>
              <w:left w:val="nil"/>
              <w:bottom w:val="single" w:sz="4" w:space="0" w:color="BFBFBF"/>
              <w:right w:val="single" w:sz="4" w:space="0" w:color="auto"/>
            </w:tcBorders>
            <w:shd w:val="clear" w:color="auto" w:fill="auto"/>
            <w:noWrap/>
            <w:vAlign w:val="center"/>
          </w:tcPr>
          <w:p w14:paraId="4DAE418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681</w:t>
            </w:r>
          </w:p>
        </w:tc>
        <w:tc>
          <w:tcPr>
            <w:tcW w:w="776" w:type="dxa"/>
            <w:tcBorders>
              <w:top w:val="nil"/>
              <w:left w:val="nil"/>
              <w:bottom w:val="single" w:sz="4" w:space="0" w:color="BFBFBF"/>
              <w:right w:val="single" w:sz="4" w:space="0" w:color="BFBFBF"/>
            </w:tcBorders>
            <w:shd w:val="clear" w:color="auto" w:fill="auto"/>
            <w:noWrap/>
            <w:vAlign w:val="center"/>
          </w:tcPr>
          <w:p w14:paraId="3115D428" w14:textId="76C3960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67.6%</w:t>
            </w:r>
          </w:p>
        </w:tc>
        <w:tc>
          <w:tcPr>
            <w:tcW w:w="776" w:type="dxa"/>
            <w:tcBorders>
              <w:top w:val="nil"/>
              <w:left w:val="nil"/>
              <w:bottom w:val="single" w:sz="4" w:space="0" w:color="BFBFBF"/>
              <w:right w:val="double" w:sz="6" w:space="0" w:color="auto"/>
            </w:tcBorders>
            <w:shd w:val="clear" w:color="auto" w:fill="auto"/>
            <w:noWrap/>
            <w:vAlign w:val="center"/>
          </w:tcPr>
          <w:p w14:paraId="2D78C7C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42.9%</w:t>
            </w:r>
          </w:p>
        </w:tc>
      </w:tr>
      <w:tr w:rsidR="00F44114" w:rsidRPr="00A7775B" w14:paraId="6CADA65C"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14A8F689"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Renting – Private</w:t>
            </w:r>
            <w:r w:rsidRPr="00A7775B">
              <w:rPr>
                <w:rFonts w:ascii="Arial" w:hAnsi="Arial" w:cs="Arial"/>
                <w:color w:val="000000"/>
                <w:sz w:val="16"/>
                <w:szCs w:val="16"/>
                <w:vertAlign w:val="superscript"/>
                <w:lang w:val="en-AU" w:eastAsia="en-AU"/>
              </w:rPr>
              <w:t>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310699B2" w14:textId="6F8A5E4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55%</w:t>
            </w:r>
          </w:p>
        </w:tc>
        <w:tc>
          <w:tcPr>
            <w:tcW w:w="808" w:type="dxa"/>
            <w:tcBorders>
              <w:top w:val="nil"/>
              <w:left w:val="nil"/>
              <w:bottom w:val="single" w:sz="4" w:space="0" w:color="BFBFBF"/>
              <w:right w:val="single" w:sz="4" w:space="0" w:color="BFBFBF"/>
            </w:tcBorders>
            <w:shd w:val="clear" w:color="auto" w:fill="auto"/>
            <w:noWrap/>
            <w:vAlign w:val="center"/>
          </w:tcPr>
          <w:p w14:paraId="654316C8"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59CDDDA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38%</w:t>
            </w:r>
          </w:p>
        </w:tc>
        <w:tc>
          <w:tcPr>
            <w:tcW w:w="675" w:type="dxa"/>
            <w:tcBorders>
              <w:top w:val="nil"/>
              <w:left w:val="nil"/>
              <w:bottom w:val="single" w:sz="4" w:space="0" w:color="BFBFBF"/>
              <w:right w:val="single" w:sz="4" w:space="0" w:color="BFBFBF"/>
            </w:tcBorders>
            <w:shd w:val="clear" w:color="auto" w:fill="auto"/>
            <w:noWrap/>
            <w:vAlign w:val="center"/>
          </w:tcPr>
          <w:p w14:paraId="49BE530C" w14:textId="08F13D2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2584D05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7339A9C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135</w:t>
            </w:r>
          </w:p>
        </w:tc>
        <w:tc>
          <w:tcPr>
            <w:tcW w:w="808" w:type="dxa"/>
            <w:tcBorders>
              <w:top w:val="nil"/>
              <w:left w:val="nil"/>
              <w:bottom w:val="single" w:sz="4" w:space="0" w:color="BFBFBF"/>
              <w:right w:val="single" w:sz="4" w:space="0" w:color="BFBFBF"/>
            </w:tcBorders>
            <w:shd w:val="clear" w:color="auto" w:fill="auto"/>
            <w:noWrap/>
            <w:vAlign w:val="center"/>
          </w:tcPr>
          <w:p w14:paraId="0632B054" w14:textId="3267712F"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55%</w:t>
            </w:r>
          </w:p>
        </w:tc>
        <w:tc>
          <w:tcPr>
            <w:tcW w:w="675" w:type="dxa"/>
            <w:tcBorders>
              <w:top w:val="nil"/>
              <w:left w:val="nil"/>
              <w:bottom w:val="single" w:sz="4" w:space="0" w:color="BFBFBF"/>
              <w:right w:val="nil"/>
            </w:tcBorders>
            <w:shd w:val="clear" w:color="auto" w:fill="auto"/>
            <w:noWrap/>
            <w:vAlign w:val="center"/>
          </w:tcPr>
          <w:p w14:paraId="61A33E30" w14:textId="243A22F4"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4E958FB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19%</w:t>
            </w:r>
          </w:p>
        </w:tc>
        <w:tc>
          <w:tcPr>
            <w:tcW w:w="684" w:type="dxa"/>
            <w:tcBorders>
              <w:top w:val="nil"/>
              <w:left w:val="nil"/>
              <w:bottom w:val="single" w:sz="4" w:space="0" w:color="BFBFBF"/>
              <w:right w:val="single" w:sz="4" w:space="0" w:color="BFBFBF"/>
            </w:tcBorders>
            <w:shd w:val="clear" w:color="auto" w:fill="auto"/>
            <w:noWrap/>
            <w:vAlign w:val="center"/>
          </w:tcPr>
          <w:p w14:paraId="5AB6C52E"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25</w:t>
            </w:r>
          </w:p>
        </w:tc>
        <w:tc>
          <w:tcPr>
            <w:tcW w:w="839" w:type="dxa"/>
            <w:tcBorders>
              <w:top w:val="nil"/>
              <w:left w:val="nil"/>
              <w:bottom w:val="single" w:sz="4" w:space="0" w:color="BFBFBF"/>
              <w:right w:val="single" w:sz="4" w:space="0" w:color="BFBFBF"/>
            </w:tcBorders>
            <w:shd w:val="clear" w:color="auto" w:fill="auto"/>
            <w:noWrap/>
            <w:vAlign w:val="center"/>
          </w:tcPr>
          <w:p w14:paraId="30B758EB"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04DAF5B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764" w:type="dxa"/>
            <w:tcBorders>
              <w:top w:val="nil"/>
              <w:left w:val="nil"/>
              <w:bottom w:val="single" w:sz="4" w:space="0" w:color="BFBFBF"/>
              <w:right w:val="single" w:sz="4" w:space="0" w:color="BFBFBF"/>
            </w:tcBorders>
            <w:shd w:val="clear" w:color="auto" w:fill="auto"/>
            <w:noWrap/>
            <w:vAlign w:val="center"/>
          </w:tcPr>
          <w:p w14:paraId="5F11CFEA" w14:textId="376B8D68"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1,223</w:t>
            </w:r>
          </w:p>
        </w:tc>
        <w:tc>
          <w:tcPr>
            <w:tcW w:w="808" w:type="dxa"/>
            <w:tcBorders>
              <w:top w:val="nil"/>
              <w:left w:val="nil"/>
              <w:bottom w:val="single" w:sz="4" w:space="0" w:color="BFBFBF"/>
              <w:right w:val="single" w:sz="4" w:space="0" w:color="BFBFBF"/>
            </w:tcBorders>
            <w:shd w:val="clear" w:color="auto" w:fill="auto"/>
            <w:noWrap/>
            <w:vAlign w:val="center"/>
          </w:tcPr>
          <w:p w14:paraId="49621AB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741</w:t>
            </w:r>
          </w:p>
        </w:tc>
        <w:tc>
          <w:tcPr>
            <w:tcW w:w="808" w:type="dxa"/>
            <w:tcBorders>
              <w:top w:val="nil"/>
              <w:left w:val="nil"/>
              <w:bottom w:val="single" w:sz="4" w:space="0" w:color="BFBFBF"/>
              <w:right w:val="single" w:sz="4" w:space="0" w:color="auto"/>
            </w:tcBorders>
            <w:shd w:val="clear" w:color="auto" w:fill="auto"/>
            <w:noWrap/>
            <w:vAlign w:val="center"/>
          </w:tcPr>
          <w:p w14:paraId="53A724EF"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486</w:t>
            </w:r>
          </w:p>
        </w:tc>
        <w:tc>
          <w:tcPr>
            <w:tcW w:w="776" w:type="dxa"/>
            <w:tcBorders>
              <w:top w:val="nil"/>
              <w:left w:val="nil"/>
              <w:bottom w:val="single" w:sz="4" w:space="0" w:color="BFBFBF"/>
              <w:right w:val="single" w:sz="4" w:space="0" w:color="BFBFBF"/>
            </w:tcBorders>
            <w:shd w:val="clear" w:color="auto" w:fill="auto"/>
            <w:noWrap/>
            <w:vAlign w:val="center"/>
          </w:tcPr>
          <w:p w14:paraId="4E40D1D8" w14:textId="1574467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65.1%</w:t>
            </w:r>
          </w:p>
        </w:tc>
        <w:tc>
          <w:tcPr>
            <w:tcW w:w="776" w:type="dxa"/>
            <w:tcBorders>
              <w:top w:val="nil"/>
              <w:left w:val="nil"/>
              <w:bottom w:val="single" w:sz="4" w:space="0" w:color="BFBFBF"/>
              <w:right w:val="double" w:sz="6" w:space="0" w:color="auto"/>
            </w:tcBorders>
            <w:shd w:val="clear" w:color="auto" w:fill="auto"/>
            <w:noWrap/>
            <w:vAlign w:val="center"/>
          </w:tcPr>
          <w:p w14:paraId="27BF3053"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52.5%</w:t>
            </w:r>
          </w:p>
        </w:tc>
      </w:tr>
      <w:tr w:rsidR="00F44114" w:rsidRPr="00A7775B" w14:paraId="11350046" w14:textId="77777777" w:rsidTr="00EF772B">
        <w:trPr>
          <w:trHeight w:val="225"/>
          <w:jc w:val="center"/>
        </w:trPr>
        <w:tc>
          <w:tcPr>
            <w:tcW w:w="2291" w:type="dxa"/>
            <w:tcBorders>
              <w:top w:val="nil"/>
              <w:left w:val="double" w:sz="6" w:space="0" w:color="auto"/>
              <w:bottom w:val="single" w:sz="4" w:space="0" w:color="BFBFBF"/>
              <w:right w:val="nil"/>
            </w:tcBorders>
            <w:shd w:val="clear" w:color="auto" w:fill="auto"/>
            <w:noWrap/>
            <w:vAlign w:val="center"/>
          </w:tcPr>
          <w:p w14:paraId="5CD3F8D4" w14:textId="77777777" w:rsidR="006935F2" w:rsidRPr="00A7775B" w:rsidRDefault="006935F2" w:rsidP="00E337BE">
            <w:pPr>
              <w:spacing w:before="0" w:after="0"/>
              <w:ind w:firstLineChars="100" w:firstLine="160"/>
              <w:rPr>
                <w:rFonts w:ascii="Arial" w:hAnsi="Arial" w:cs="Arial"/>
                <w:color w:val="000000"/>
                <w:sz w:val="16"/>
                <w:szCs w:val="16"/>
                <w:lang w:val="en-AU" w:eastAsia="en-AU"/>
              </w:rPr>
            </w:pPr>
            <w:r w:rsidRPr="00A7775B">
              <w:rPr>
                <w:rFonts w:ascii="Arial" w:hAnsi="Arial" w:cs="Arial"/>
                <w:color w:val="000000"/>
                <w:sz w:val="16"/>
                <w:szCs w:val="16"/>
                <w:lang w:val="en-AU" w:eastAsia="en-AU"/>
              </w:rPr>
              <w:t>Renting - Public</w:t>
            </w:r>
            <w:r w:rsidRPr="00A7775B">
              <w:rPr>
                <w:rFonts w:ascii="Arial" w:hAnsi="Arial" w:cs="Arial"/>
                <w:color w:val="000000"/>
                <w:sz w:val="16"/>
                <w:szCs w:val="16"/>
                <w:vertAlign w:val="superscript"/>
                <w:lang w:val="en-AU" w:eastAsia="en-AU"/>
              </w:rPr>
              <w:t>1</w:t>
            </w:r>
          </w:p>
        </w:tc>
        <w:tc>
          <w:tcPr>
            <w:tcW w:w="808" w:type="dxa"/>
            <w:tcBorders>
              <w:top w:val="nil"/>
              <w:left w:val="single" w:sz="4" w:space="0" w:color="auto"/>
              <w:bottom w:val="single" w:sz="4" w:space="0" w:color="BFBFBF"/>
              <w:right w:val="single" w:sz="4" w:space="0" w:color="BFBFBF"/>
            </w:tcBorders>
            <w:shd w:val="clear" w:color="auto" w:fill="auto"/>
            <w:noWrap/>
            <w:vAlign w:val="center"/>
          </w:tcPr>
          <w:p w14:paraId="4AFDBBF3" w14:textId="4E227A21"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808" w:type="dxa"/>
            <w:tcBorders>
              <w:top w:val="nil"/>
              <w:left w:val="nil"/>
              <w:bottom w:val="single" w:sz="4" w:space="0" w:color="BFBFBF"/>
              <w:right w:val="single" w:sz="4" w:space="0" w:color="BFBFBF"/>
            </w:tcBorders>
            <w:shd w:val="clear" w:color="auto" w:fill="auto"/>
            <w:noWrap/>
            <w:vAlign w:val="center"/>
          </w:tcPr>
          <w:p w14:paraId="03203871"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57%</w:t>
            </w:r>
          </w:p>
        </w:tc>
        <w:tc>
          <w:tcPr>
            <w:tcW w:w="808" w:type="dxa"/>
            <w:tcBorders>
              <w:top w:val="nil"/>
              <w:left w:val="nil"/>
              <w:bottom w:val="single" w:sz="4" w:space="0" w:color="BFBFBF"/>
              <w:right w:val="single" w:sz="4" w:space="0" w:color="BFBFBF"/>
            </w:tcBorders>
            <w:shd w:val="clear" w:color="auto" w:fill="auto"/>
            <w:noWrap/>
            <w:vAlign w:val="center"/>
          </w:tcPr>
          <w:p w14:paraId="0621EE6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BFBFBF"/>
            </w:tcBorders>
            <w:shd w:val="clear" w:color="auto" w:fill="auto"/>
            <w:noWrap/>
            <w:vAlign w:val="center"/>
          </w:tcPr>
          <w:p w14:paraId="5EC333AB" w14:textId="31E797DC"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203</w:t>
            </w:r>
          </w:p>
        </w:tc>
        <w:tc>
          <w:tcPr>
            <w:tcW w:w="675" w:type="dxa"/>
            <w:tcBorders>
              <w:top w:val="nil"/>
              <w:left w:val="nil"/>
              <w:bottom w:val="single" w:sz="4" w:space="0" w:color="BFBFBF"/>
              <w:right w:val="single" w:sz="4" w:space="0" w:color="BFBFBF"/>
            </w:tcBorders>
            <w:shd w:val="clear" w:color="auto" w:fill="auto"/>
            <w:noWrap/>
            <w:vAlign w:val="center"/>
          </w:tcPr>
          <w:p w14:paraId="01A20095"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168</w:t>
            </w:r>
          </w:p>
        </w:tc>
        <w:tc>
          <w:tcPr>
            <w:tcW w:w="675" w:type="dxa"/>
            <w:tcBorders>
              <w:top w:val="nil"/>
              <w:left w:val="nil"/>
              <w:bottom w:val="single" w:sz="4" w:space="0" w:color="BFBFBF"/>
              <w:right w:val="single" w:sz="4" w:space="0" w:color="auto"/>
            </w:tcBorders>
            <w:shd w:val="clear" w:color="auto" w:fill="auto"/>
            <w:noWrap/>
            <w:vAlign w:val="center"/>
          </w:tcPr>
          <w:p w14:paraId="3EFCF3A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808" w:type="dxa"/>
            <w:tcBorders>
              <w:top w:val="nil"/>
              <w:left w:val="nil"/>
              <w:bottom w:val="single" w:sz="4" w:space="0" w:color="BFBFBF"/>
              <w:right w:val="single" w:sz="4" w:space="0" w:color="BFBFBF"/>
            </w:tcBorders>
            <w:shd w:val="clear" w:color="auto" w:fill="auto"/>
            <w:noWrap/>
            <w:vAlign w:val="center"/>
          </w:tcPr>
          <w:p w14:paraId="091CF963" w14:textId="06C516F6"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100%</w:t>
            </w:r>
          </w:p>
        </w:tc>
        <w:tc>
          <w:tcPr>
            <w:tcW w:w="675" w:type="dxa"/>
            <w:tcBorders>
              <w:top w:val="nil"/>
              <w:left w:val="nil"/>
              <w:bottom w:val="single" w:sz="4" w:space="0" w:color="BFBFBF"/>
              <w:right w:val="nil"/>
            </w:tcBorders>
            <w:shd w:val="clear" w:color="auto" w:fill="auto"/>
            <w:noWrap/>
            <w:vAlign w:val="center"/>
          </w:tcPr>
          <w:p w14:paraId="3797F91F" w14:textId="1553D195"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50</w:t>
            </w:r>
          </w:p>
        </w:tc>
        <w:tc>
          <w:tcPr>
            <w:tcW w:w="871" w:type="dxa"/>
            <w:tcBorders>
              <w:top w:val="nil"/>
              <w:left w:val="single" w:sz="4" w:space="0" w:color="auto"/>
              <w:bottom w:val="single" w:sz="4" w:space="0" w:color="BFBFBF"/>
              <w:right w:val="single" w:sz="4" w:space="0" w:color="BFBFBF"/>
            </w:tcBorders>
            <w:shd w:val="clear" w:color="auto" w:fill="auto"/>
            <w:noWrap/>
            <w:vAlign w:val="center"/>
          </w:tcPr>
          <w:p w14:paraId="5C3CEFE7"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684" w:type="dxa"/>
            <w:tcBorders>
              <w:top w:val="nil"/>
              <w:left w:val="nil"/>
              <w:bottom w:val="single" w:sz="4" w:space="0" w:color="BFBFBF"/>
              <w:right w:val="single" w:sz="4" w:space="0" w:color="BFBFBF"/>
            </w:tcBorders>
            <w:shd w:val="clear" w:color="auto" w:fill="auto"/>
            <w:noWrap/>
            <w:vAlign w:val="center"/>
          </w:tcPr>
          <w:p w14:paraId="28CC625C"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839" w:type="dxa"/>
            <w:tcBorders>
              <w:top w:val="nil"/>
              <w:left w:val="nil"/>
              <w:bottom w:val="single" w:sz="4" w:space="0" w:color="BFBFBF"/>
              <w:right w:val="single" w:sz="4" w:space="0" w:color="BFBFBF"/>
            </w:tcBorders>
            <w:shd w:val="clear" w:color="auto" w:fill="auto"/>
            <w:noWrap/>
            <w:vAlign w:val="center"/>
          </w:tcPr>
          <w:p w14:paraId="43E63D69"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675" w:type="dxa"/>
            <w:tcBorders>
              <w:top w:val="nil"/>
              <w:left w:val="nil"/>
              <w:bottom w:val="single" w:sz="4" w:space="0" w:color="BFBFBF"/>
              <w:right w:val="single" w:sz="4" w:space="0" w:color="auto"/>
            </w:tcBorders>
            <w:shd w:val="clear" w:color="auto" w:fill="auto"/>
            <w:noWrap/>
            <w:vAlign w:val="center"/>
          </w:tcPr>
          <w:p w14:paraId="72CEC4C0"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w:t>
            </w:r>
          </w:p>
        </w:tc>
        <w:tc>
          <w:tcPr>
            <w:tcW w:w="764" w:type="dxa"/>
            <w:tcBorders>
              <w:top w:val="nil"/>
              <w:left w:val="nil"/>
              <w:bottom w:val="single" w:sz="4" w:space="0" w:color="BFBFBF"/>
              <w:right w:val="single" w:sz="4" w:space="0" w:color="BFBFBF"/>
            </w:tcBorders>
            <w:shd w:val="clear" w:color="auto" w:fill="auto"/>
            <w:noWrap/>
            <w:vAlign w:val="center"/>
          </w:tcPr>
          <w:p w14:paraId="015EF144" w14:textId="480B09A0"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1,104</w:t>
            </w:r>
          </w:p>
        </w:tc>
        <w:tc>
          <w:tcPr>
            <w:tcW w:w="808" w:type="dxa"/>
            <w:tcBorders>
              <w:top w:val="nil"/>
              <w:left w:val="nil"/>
              <w:bottom w:val="single" w:sz="4" w:space="0" w:color="BFBFBF"/>
              <w:right w:val="single" w:sz="4" w:space="0" w:color="BFBFBF"/>
            </w:tcBorders>
            <w:shd w:val="clear" w:color="auto" w:fill="auto"/>
            <w:noWrap/>
            <w:vAlign w:val="center"/>
          </w:tcPr>
          <w:p w14:paraId="325A6664"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709</w:t>
            </w:r>
          </w:p>
        </w:tc>
        <w:tc>
          <w:tcPr>
            <w:tcW w:w="808" w:type="dxa"/>
            <w:tcBorders>
              <w:top w:val="nil"/>
              <w:left w:val="nil"/>
              <w:bottom w:val="single" w:sz="4" w:space="0" w:color="BFBFBF"/>
              <w:right w:val="single" w:sz="4" w:space="0" w:color="auto"/>
            </w:tcBorders>
            <w:shd w:val="clear" w:color="auto" w:fill="auto"/>
            <w:noWrap/>
            <w:vAlign w:val="center"/>
          </w:tcPr>
          <w:p w14:paraId="5116D602"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496</w:t>
            </w:r>
          </w:p>
        </w:tc>
        <w:tc>
          <w:tcPr>
            <w:tcW w:w="776" w:type="dxa"/>
            <w:tcBorders>
              <w:top w:val="nil"/>
              <w:left w:val="nil"/>
              <w:bottom w:val="single" w:sz="4" w:space="0" w:color="BFBFBF"/>
              <w:right w:val="single" w:sz="4" w:space="0" w:color="BFBFBF"/>
            </w:tcBorders>
            <w:shd w:val="clear" w:color="auto" w:fill="auto"/>
            <w:noWrap/>
            <w:vAlign w:val="center"/>
          </w:tcPr>
          <w:p w14:paraId="741CDB3C" w14:textId="655A4717" w:rsidR="006935F2" w:rsidRPr="00A7775B" w:rsidRDefault="006935F2">
            <w:pPr>
              <w:spacing w:before="0" w:after="0"/>
              <w:jc w:val="center"/>
              <w:rPr>
                <w:rFonts w:ascii="Arial" w:hAnsi="Arial" w:cs="Arial"/>
                <w:color w:val="000000"/>
                <w:sz w:val="16"/>
                <w:szCs w:val="16"/>
                <w:lang w:val="en-AU" w:eastAsia="en-AU"/>
              </w:rPr>
            </w:pPr>
            <w:r>
              <w:rPr>
                <w:rFonts w:ascii="Arial" w:hAnsi="Arial" w:cs="Arial"/>
                <w:color w:val="000000"/>
                <w:sz w:val="16"/>
                <w:szCs w:val="16"/>
              </w:rPr>
              <w:t>55.7%</w:t>
            </w:r>
          </w:p>
        </w:tc>
        <w:tc>
          <w:tcPr>
            <w:tcW w:w="776" w:type="dxa"/>
            <w:tcBorders>
              <w:top w:val="nil"/>
              <w:left w:val="nil"/>
              <w:bottom w:val="single" w:sz="4" w:space="0" w:color="BFBFBF"/>
              <w:right w:val="double" w:sz="6" w:space="0" w:color="auto"/>
            </w:tcBorders>
            <w:shd w:val="clear" w:color="auto" w:fill="auto"/>
            <w:noWrap/>
            <w:vAlign w:val="center"/>
          </w:tcPr>
          <w:p w14:paraId="1213807D" w14:textId="77777777" w:rsidR="006935F2" w:rsidRPr="00A7775B" w:rsidRDefault="006935F2">
            <w:pPr>
              <w:spacing w:before="0" w:after="0"/>
              <w:jc w:val="center"/>
              <w:rPr>
                <w:rFonts w:ascii="Arial" w:hAnsi="Arial" w:cs="Arial"/>
                <w:color w:val="000000"/>
                <w:sz w:val="16"/>
                <w:szCs w:val="16"/>
                <w:lang w:val="en-AU" w:eastAsia="en-AU"/>
              </w:rPr>
            </w:pPr>
            <w:r w:rsidRPr="00A7775B">
              <w:rPr>
                <w:rFonts w:ascii="Arial" w:hAnsi="Arial" w:cs="Arial"/>
                <w:color w:val="000000"/>
                <w:sz w:val="16"/>
                <w:szCs w:val="16"/>
                <w:lang w:val="en-AU" w:eastAsia="en-AU"/>
              </w:rPr>
              <w:t>42.9%</w:t>
            </w:r>
          </w:p>
        </w:tc>
      </w:tr>
      <w:tr w:rsidR="006935F2" w:rsidRPr="00A7775B" w14:paraId="183ECE0A" w14:textId="77777777" w:rsidTr="009748AD">
        <w:trPr>
          <w:trHeight w:val="240"/>
          <w:jc w:val="center"/>
        </w:trPr>
        <w:tc>
          <w:tcPr>
            <w:tcW w:w="2291" w:type="dxa"/>
            <w:tcBorders>
              <w:top w:val="nil"/>
              <w:left w:val="double" w:sz="6" w:space="0" w:color="auto"/>
              <w:bottom w:val="double" w:sz="6" w:space="0" w:color="auto"/>
              <w:right w:val="nil"/>
            </w:tcBorders>
            <w:shd w:val="clear" w:color="auto" w:fill="auto"/>
            <w:noWrap/>
            <w:vAlign w:val="center"/>
          </w:tcPr>
          <w:p w14:paraId="39582E22" w14:textId="77777777" w:rsidR="006935F2" w:rsidRPr="00A7775B" w:rsidRDefault="006935F2" w:rsidP="00E337BE">
            <w:pPr>
              <w:spacing w:before="0" w:after="0"/>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Total Households</w:t>
            </w:r>
          </w:p>
        </w:tc>
        <w:tc>
          <w:tcPr>
            <w:tcW w:w="808" w:type="dxa"/>
            <w:tcBorders>
              <w:top w:val="nil"/>
              <w:left w:val="single" w:sz="4" w:space="0" w:color="auto"/>
              <w:bottom w:val="double" w:sz="6" w:space="0" w:color="auto"/>
              <w:right w:val="single" w:sz="4" w:space="0" w:color="BFBFBF"/>
            </w:tcBorders>
            <w:shd w:val="clear" w:color="auto" w:fill="auto"/>
            <w:noWrap/>
            <w:vAlign w:val="center"/>
          </w:tcPr>
          <w:p w14:paraId="06EEAABE" w14:textId="69DA6950" w:rsidR="006935F2" w:rsidRPr="00A7775B" w:rsidRDefault="006935F2">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38%</w:t>
            </w:r>
          </w:p>
        </w:tc>
        <w:tc>
          <w:tcPr>
            <w:tcW w:w="808" w:type="dxa"/>
            <w:tcBorders>
              <w:top w:val="nil"/>
              <w:left w:val="nil"/>
              <w:bottom w:val="double" w:sz="6" w:space="0" w:color="auto"/>
              <w:right w:val="single" w:sz="4" w:space="0" w:color="BFBFBF"/>
            </w:tcBorders>
            <w:shd w:val="clear" w:color="auto" w:fill="auto"/>
            <w:noWrap/>
            <w:vAlign w:val="center"/>
          </w:tcPr>
          <w:p w14:paraId="0D18ED14" w14:textId="77777777" w:rsidR="006935F2" w:rsidRPr="00A7775B" w:rsidRDefault="006935F2">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31%</w:t>
            </w:r>
          </w:p>
        </w:tc>
        <w:tc>
          <w:tcPr>
            <w:tcW w:w="808" w:type="dxa"/>
            <w:tcBorders>
              <w:top w:val="nil"/>
              <w:left w:val="nil"/>
              <w:bottom w:val="double" w:sz="6" w:space="0" w:color="auto"/>
              <w:right w:val="single" w:sz="4" w:space="0" w:color="BFBFBF"/>
            </w:tcBorders>
            <w:shd w:val="clear" w:color="auto" w:fill="auto"/>
            <w:noWrap/>
            <w:vAlign w:val="center"/>
          </w:tcPr>
          <w:p w14:paraId="104BD8A2" w14:textId="77777777" w:rsidR="006935F2" w:rsidRPr="00A7775B" w:rsidRDefault="006935F2">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29%</w:t>
            </w:r>
          </w:p>
        </w:tc>
        <w:tc>
          <w:tcPr>
            <w:tcW w:w="675" w:type="dxa"/>
            <w:tcBorders>
              <w:top w:val="nil"/>
              <w:left w:val="nil"/>
              <w:bottom w:val="double" w:sz="6" w:space="0" w:color="auto"/>
              <w:right w:val="single" w:sz="4" w:space="0" w:color="BFBFBF"/>
            </w:tcBorders>
            <w:shd w:val="clear" w:color="auto" w:fill="auto"/>
            <w:noWrap/>
            <w:vAlign w:val="center"/>
          </w:tcPr>
          <w:p w14:paraId="48C27373" w14:textId="18FD73D6" w:rsidR="006935F2" w:rsidRPr="00A7775B" w:rsidRDefault="006935F2">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203</w:t>
            </w:r>
          </w:p>
        </w:tc>
        <w:tc>
          <w:tcPr>
            <w:tcW w:w="675" w:type="dxa"/>
            <w:tcBorders>
              <w:top w:val="nil"/>
              <w:left w:val="nil"/>
              <w:bottom w:val="double" w:sz="6" w:space="0" w:color="auto"/>
              <w:right w:val="single" w:sz="4" w:space="0" w:color="BFBFBF"/>
            </w:tcBorders>
            <w:shd w:val="clear" w:color="auto" w:fill="auto"/>
            <w:noWrap/>
            <w:vAlign w:val="center"/>
          </w:tcPr>
          <w:p w14:paraId="66D3F03F" w14:textId="77777777" w:rsidR="006935F2" w:rsidRPr="00A7775B" w:rsidRDefault="006935F2">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168</w:t>
            </w:r>
          </w:p>
        </w:tc>
        <w:tc>
          <w:tcPr>
            <w:tcW w:w="675" w:type="dxa"/>
            <w:tcBorders>
              <w:top w:val="nil"/>
              <w:left w:val="nil"/>
              <w:bottom w:val="double" w:sz="6" w:space="0" w:color="auto"/>
              <w:right w:val="single" w:sz="4" w:space="0" w:color="auto"/>
            </w:tcBorders>
            <w:shd w:val="clear" w:color="auto" w:fill="auto"/>
            <w:noWrap/>
            <w:vAlign w:val="center"/>
          </w:tcPr>
          <w:p w14:paraId="6BB4892F" w14:textId="77777777" w:rsidR="006935F2" w:rsidRPr="00A7775B" w:rsidRDefault="006935F2">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135</w:t>
            </w:r>
          </w:p>
        </w:tc>
        <w:tc>
          <w:tcPr>
            <w:tcW w:w="808" w:type="dxa"/>
            <w:tcBorders>
              <w:top w:val="nil"/>
              <w:left w:val="nil"/>
              <w:bottom w:val="double" w:sz="6" w:space="0" w:color="auto"/>
              <w:right w:val="single" w:sz="4" w:space="0" w:color="BFBFBF"/>
            </w:tcBorders>
            <w:shd w:val="clear" w:color="auto" w:fill="auto"/>
            <w:noWrap/>
            <w:vAlign w:val="center"/>
          </w:tcPr>
          <w:p w14:paraId="07FFCA49" w14:textId="387C960F" w:rsidR="006935F2" w:rsidRPr="00A7775B" w:rsidRDefault="006935F2">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38%</w:t>
            </w:r>
          </w:p>
        </w:tc>
        <w:tc>
          <w:tcPr>
            <w:tcW w:w="675" w:type="dxa"/>
            <w:tcBorders>
              <w:top w:val="nil"/>
              <w:left w:val="nil"/>
              <w:bottom w:val="double" w:sz="6" w:space="0" w:color="auto"/>
              <w:right w:val="nil"/>
            </w:tcBorders>
            <w:shd w:val="clear" w:color="auto" w:fill="auto"/>
            <w:noWrap/>
            <w:vAlign w:val="center"/>
          </w:tcPr>
          <w:p w14:paraId="7B000FE2" w14:textId="6C106118" w:rsidR="006935F2" w:rsidRPr="00A7775B" w:rsidRDefault="006935F2">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50</w:t>
            </w:r>
          </w:p>
        </w:tc>
        <w:tc>
          <w:tcPr>
            <w:tcW w:w="871" w:type="dxa"/>
            <w:tcBorders>
              <w:top w:val="nil"/>
              <w:left w:val="single" w:sz="4" w:space="0" w:color="auto"/>
              <w:bottom w:val="double" w:sz="6" w:space="0" w:color="auto"/>
              <w:right w:val="single" w:sz="4" w:space="0" w:color="BFBFBF"/>
            </w:tcBorders>
            <w:shd w:val="clear" w:color="auto" w:fill="auto"/>
            <w:noWrap/>
            <w:vAlign w:val="center"/>
          </w:tcPr>
          <w:p w14:paraId="4C6E483D" w14:textId="77777777" w:rsidR="006935F2" w:rsidRPr="00A7775B" w:rsidRDefault="006935F2">
            <w:pPr>
              <w:spacing w:before="0" w:after="0"/>
              <w:jc w:val="center"/>
              <w:rPr>
                <w:rFonts w:ascii="Arial" w:hAnsi="Arial" w:cs="Arial"/>
                <w:b/>
                <w:color w:val="000000"/>
                <w:sz w:val="16"/>
                <w:szCs w:val="16"/>
                <w:lang w:val="en-AU" w:eastAsia="en-AU"/>
              </w:rPr>
            </w:pPr>
            <w:r w:rsidRPr="00A7775B">
              <w:rPr>
                <w:rFonts w:ascii="Arial" w:hAnsi="Arial" w:cs="Arial"/>
                <w:b/>
                <w:color w:val="000000"/>
                <w:sz w:val="16"/>
                <w:szCs w:val="16"/>
                <w:lang w:val="en-AU" w:eastAsia="en-AU"/>
              </w:rPr>
              <w:t>13%</w:t>
            </w:r>
          </w:p>
        </w:tc>
        <w:tc>
          <w:tcPr>
            <w:tcW w:w="684" w:type="dxa"/>
            <w:tcBorders>
              <w:top w:val="nil"/>
              <w:left w:val="nil"/>
              <w:bottom w:val="double" w:sz="6" w:space="0" w:color="auto"/>
              <w:right w:val="single" w:sz="4" w:space="0" w:color="BFBFBF"/>
            </w:tcBorders>
            <w:shd w:val="clear" w:color="auto" w:fill="auto"/>
            <w:noWrap/>
            <w:vAlign w:val="center"/>
          </w:tcPr>
          <w:p w14:paraId="3DD61ECE" w14:textId="77777777" w:rsidR="006935F2" w:rsidRPr="00A7775B" w:rsidRDefault="006935F2">
            <w:pPr>
              <w:spacing w:before="0" w:after="0"/>
              <w:jc w:val="center"/>
              <w:rPr>
                <w:rFonts w:ascii="Arial" w:hAnsi="Arial" w:cs="Arial"/>
                <w:b/>
                <w:color w:val="000000"/>
                <w:sz w:val="16"/>
                <w:szCs w:val="16"/>
                <w:lang w:val="en-AU" w:eastAsia="en-AU"/>
              </w:rPr>
            </w:pPr>
            <w:r w:rsidRPr="00A7775B">
              <w:rPr>
                <w:rFonts w:ascii="Arial" w:hAnsi="Arial" w:cs="Arial"/>
                <w:b/>
                <w:color w:val="000000"/>
                <w:sz w:val="16"/>
                <w:szCs w:val="16"/>
                <w:lang w:val="en-AU" w:eastAsia="en-AU"/>
              </w:rPr>
              <w:t>67</w:t>
            </w:r>
          </w:p>
        </w:tc>
        <w:tc>
          <w:tcPr>
            <w:tcW w:w="839" w:type="dxa"/>
            <w:tcBorders>
              <w:top w:val="nil"/>
              <w:left w:val="nil"/>
              <w:bottom w:val="double" w:sz="6" w:space="0" w:color="auto"/>
              <w:right w:val="single" w:sz="4" w:space="0" w:color="BFBFBF"/>
            </w:tcBorders>
            <w:shd w:val="clear" w:color="auto" w:fill="auto"/>
            <w:noWrap/>
            <w:vAlign w:val="center"/>
          </w:tcPr>
          <w:p w14:paraId="5A68AC16" w14:textId="77777777" w:rsidR="006935F2" w:rsidRPr="00A7775B" w:rsidRDefault="006935F2">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9%</w:t>
            </w:r>
          </w:p>
        </w:tc>
        <w:tc>
          <w:tcPr>
            <w:tcW w:w="675" w:type="dxa"/>
            <w:tcBorders>
              <w:top w:val="nil"/>
              <w:left w:val="nil"/>
              <w:bottom w:val="double" w:sz="6" w:space="0" w:color="auto"/>
              <w:right w:val="single" w:sz="4" w:space="0" w:color="auto"/>
            </w:tcBorders>
            <w:shd w:val="clear" w:color="auto" w:fill="auto"/>
            <w:noWrap/>
            <w:vAlign w:val="center"/>
          </w:tcPr>
          <w:p w14:paraId="7C9EAD5E" w14:textId="77777777" w:rsidR="006935F2" w:rsidRPr="00A7775B" w:rsidRDefault="006935F2">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61</w:t>
            </w:r>
          </w:p>
        </w:tc>
        <w:tc>
          <w:tcPr>
            <w:tcW w:w="764" w:type="dxa"/>
            <w:tcBorders>
              <w:top w:val="nil"/>
              <w:left w:val="nil"/>
              <w:bottom w:val="double" w:sz="6" w:space="0" w:color="auto"/>
              <w:right w:val="single" w:sz="4" w:space="0" w:color="BFBFBF"/>
            </w:tcBorders>
            <w:shd w:val="clear" w:color="auto" w:fill="auto"/>
            <w:noWrap/>
            <w:vAlign w:val="center"/>
          </w:tcPr>
          <w:p w14:paraId="6E6DE622" w14:textId="5E897280" w:rsidR="006935F2" w:rsidRPr="00A7775B" w:rsidRDefault="006935F2">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1,593</w:t>
            </w:r>
          </w:p>
        </w:tc>
        <w:tc>
          <w:tcPr>
            <w:tcW w:w="808" w:type="dxa"/>
            <w:tcBorders>
              <w:top w:val="nil"/>
              <w:left w:val="nil"/>
              <w:bottom w:val="double" w:sz="6" w:space="0" w:color="auto"/>
              <w:right w:val="single" w:sz="4" w:space="0" w:color="BFBFBF"/>
            </w:tcBorders>
            <w:shd w:val="clear" w:color="auto" w:fill="auto"/>
            <w:noWrap/>
            <w:vAlign w:val="center"/>
          </w:tcPr>
          <w:p w14:paraId="09229147" w14:textId="77777777" w:rsidR="006935F2" w:rsidRPr="00A7775B" w:rsidRDefault="006935F2">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948</w:t>
            </w:r>
          </w:p>
        </w:tc>
        <w:tc>
          <w:tcPr>
            <w:tcW w:w="808" w:type="dxa"/>
            <w:tcBorders>
              <w:top w:val="nil"/>
              <w:left w:val="nil"/>
              <w:bottom w:val="double" w:sz="6" w:space="0" w:color="auto"/>
              <w:right w:val="single" w:sz="4" w:space="0" w:color="auto"/>
            </w:tcBorders>
            <w:shd w:val="clear" w:color="auto" w:fill="auto"/>
            <w:noWrap/>
            <w:vAlign w:val="center"/>
          </w:tcPr>
          <w:p w14:paraId="0E2C0C11" w14:textId="77777777" w:rsidR="006935F2" w:rsidRPr="00A7775B" w:rsidRDefault="006935F2">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652</w:t>
            </w:r>
          </w:p>
        </w:tc>
        <w:tc>
          <w:tcPr>
            <w:tcW w:w="776" w:type="dxa"/>
            <w:tcBorders>
              <w:top w:val="nil"/>
              <w:left w:val="nil"/>
              <w:bottom w:val="double" w:sz="6" w:space="0" w:color="auto"/>
              <w:right w:val="single" w:sz="4" w:space="0" w:color="BFBFBF"/>
            </w:tcBorders>
            <w:shd w:val="clear" w:color="auto" w:fill="auto"/>
            <w:noWrap/>
            <w:vAlign w:val="center"/>
          </w:tcPr>
          <w:p w14:paraId="4AD78F4A" w14:textId="124C2008" w:rsidR="006935F2" w:rsidRPr="00A7775B" w:rsidRDefault="006935F2">
            <w:pPr>
              <w:spacing w:before="0" w:after="0"/>
              <w:jc w:val="center"/>
              <w:rPr>
                <w:rFonts w:ascii="Arial" w:hAnsi="Arial" w:cs="Arial"/>
                <w:b/>
                <w:color w:val="000000"/>
                <w:sz w:val="16"/>
                <w:szCs w:val="16"/>
                <w:lang w:val="en-AU" w:eastAsia="en-AU"/>
              </w:rPr>
            </w:pPr>
            <w:r>
              <w:rPr>
                <w:rFonts w:ascii="Arial" w:hAnsi="Arial" w:cs="Arial"/>
                <w:b/>
                <w:bCs/>
                <w:color w:val="000000"/>
                <w:sz w:val="16"/>
                <w:szCs w:val="16"/>
              </w:rPr>
              <w:t>68.0%</w:t>
            </w:r>
          </w:p>
        </w:tc>
        <w:tc>
          <w:tcPr>
            <w:tcW w:w="776" w:type="dxa"/>
            <w:tcBorders>
              <w:top w:val="nil"/>
              <w:left w:val="nil"/>
              <w:bottom w:val="double" w:sz="6" w:space="0" w:color="auto"/>
              <w:right w:val="double" w:sz="6" w:space="0" w:color="auto"/>
            </w:tcBorders>
            <w:shd w:val="clear" w:color="auto" w:fill="auto"/>
            <w:noWrap/>
            <w:vAlign w:val="center"/>
          </w:tcPr>
          <w:p w14:paraId="4AA0DCAE" w14:textId="77777777" w:rsidR="006935F2" w:rsidRPr="00A7775B" w:rsidRDefault="006935F2">
            <w:pPr>
              <w:spacing w:before="0" w:after="0"/>
              <w:jc w:val="center"/>
              <w:rPr>
                <w:rFonts w:ascii="Arial" w:hAnsi="Arial" w:cs="Arial"/>
                <w:b/>
                <w:bCs/>
                <w:color w:val="000000"/>
                <w:sz w:val="16"/>
                <w:szCs w:val="16"/>
                <w:lang w:val="en-AU" w:eastAsia="en-AU"/>
              </w:rPr>
            </w:pPr>
            <w:r w:rsidRPr="00A7775B">
              <w:rPr>
                <w:rFonts w:ascii="Arial" w:hAnsi="Arial" w:cs="Arial"/>
                <w:b/>
                <w:bCs/>
                <w:color w:val="000000"/>
                <w:sz w:val="16"/>
                <w:szCs w:val="16"/>
                <w:lang w:val="en-AU" w:eastAsia="en-AU"/>
              </w:rPr>
              <w:t>45.4%</w:t>
            </w:r>
          </w:p>
        </w:tc>
      </w:tr>
    </w:tbl>
    <w:p w14:paraId="3C730C68" w14:textId="77777777" w:rsidR="0039042D" w:rsidRPr="00A7775B" w:rsidRDefault="0039042D" w:rsidP="00D109F7">
      <w:pPr>
        <w:tabs>
          <w:tab w:val="left" w:pos="284"/>
          <w:tab w:val="left" w:pos="5387"/>
        </w:tabs>
        <w:spacing w:after="0"/>
        <w:ind w:left="284" w:hanging="284"/>
        <w:jc w:val="both"/>
        <w:rPr>
          <w:sz w:val="20"/>
          <w:lang w:val="en-AU"/>
        </w:rPr>
      </w:pPr>
    </w:p>
    <w:p w14:paraId="24AFC328" w14:textId="77777777" w:rsidR="007738BC" w:rsidRPr="00A7775B" w:rsidRDefault="007738BC" w:rsidP="007738BC">
      <w:pPr>
        <w:rPr>
          <w:sz w:val="16"/>
          <w:szCs w:val="16"/>
        </w:rPr>
      </w:pPr>
      <w:r w:rsidRPr="00A7775B">
        <w:rPr>
          <w:sz w:val="20"/>
        </w:rPr>
        <w:t>1.</w:t>
      </w:r>
      <w:r w:rsidRPr="00A7775B">
        <w:rPr>
          <w:b/>
          <w:lang w:val="en-AU"/>
        </w:rPr>
        <w:t xml:space="preserve"> </w:t>
      </w:r>
      <w:r w:rsidRPr="00A7775B">
        <w:rPr>
          <w:sz w:val="20"/>
          <w:lang w:val="en-AU"/>
        </w:rPr>
        <w:t>Very small sample size. The percentages showing for renters in the council rates tables are based to a tiny group of respondents who indicated they both rented and paid council rates.  This may indicate misunderstanding of the question, or changed circumstances, and should be interpreted with care.</w:t>
      </w:r>
    </w:p>
    <w:p w14:paraId="05DE930D" w14:textId="77777777" w:rsidR="00E337BE" w:rsidRPr="00A7775B" w:rsidRDefault="007738BC" w:rsidP="00D12409">
      <w:pPr>
        <w:spacing w:after="0"/>
        <w:jc w:val="both"/>
        <w:rPr>
          <w:sz w:val="20"/>
          <w:lang w:val="en-AU"/>
        </w:rPr>
      </w:pPr>
      <w:r w:rsidRPr="00A7775B">
        <w:rPr>
          <w:sz w:val="20"/>
          <w:lang w:val="en-AU"/>
        </w:rPr>
        <w:t xml:space="preserve">2. </w:t>
      </w:r>
      <w:r w:rsidR="00E337BE" w:rsidRPr="00A7775B">
        <w:rPr>
          <w:sz w:val="20"/>
          <w:lang w:val="en-AU"/>
        </w:rPr>
        <w:t xml:space="preserve">Whilst the person who pays the bills for the household may not hold a concession card, another person in the household may do so.  </w:t>
      </w:r>
    </w:p>
    <w:p w14:paraId="46BC1212" w14:textId="77777777" w:rsidR="00E337BE" w:rsidRPr="00A7775B" w:rsidRDefault="00E337BE" w:rsidP="00E337BE">
      <w:pPr>
        <w:spacing w:after="0"/>
        <w:jc w:val="both"/>
        <w:rPr>
          <w:sz w:val="20"/>
          <w:lang w:val="en-AU"/>
        </w:rPr>
      </w:pPr>
    </w:p>
    <w:p w14:paraId="380E06CB" w14:textId="77777777" w:rsidR="00E02C75" w:rsidRPr="00E337BE" w:rsidRDefault="00E337BE" w:rsidP="00E337BE">
      <w:pPr>
        <w:pStyle w:val="Heading1"/>
      </w:pPr>
      <w:r w:rsidRPr="00A7775B">
        <w:rPr>
          <w:lang w:val="en-AU"/>
        </w:rPr>
        <w:br w:type="page"/>
      </w:r>
      <w:bookmarkStart w:id="209" w:name="_Toc439198332"/>
      <w:bookmarkStart w:id="210" w:name="_Toc445571709"/>
      <w:r w:rsidR="00E02C75" w:rsidRPr="00E337BE">
        <w:lastRenderedPageBreak/>
        <w:t>KNOWLEDGE AND TAKE UP OF CONCESSIONS</w:t>
      </w:r>
      <w:bookmarkEnd w:id="209"/>
      <w:bookmarkEnd w:id="210"/>
    </w:p>
    <w:p w14:paraId="0D2773D0" w14:textId="77777777" w:rsidR="00095E0F" w:rsidRPr="00212261" w:rsidRDefault="00095E0F" w:rsidP="009748AD">
      <w:pPr>
        <w:pStyle w:val="Para"/>
        <w:spacing w:before="240" w:after="240"/>
        <w:rPr>
          <w:lang w:val="en-AU"/>
        </w:rPr>
      </w:pPr>
      <w:r>
        <w:rPr>
          <w:lang w:val="en-AU"/>
        </w:rPr>
        <w:t>NB. This section is based on respondent survey data.</w:t>
      </w:r>
    </w:p>
    <w:p w14:paraId="3D92B2C7" w14:textId="77777777" w:rsidR="00133DFA" w:rsidRPr="00212261" w:rsidRDefault="00273BBB" w:rsidP="009748AD">
      <w:pPr>
        <w:pStyle w:val="Heading2"/>
        <w:spacing w:before="360"/>
        <w:ind w:left="578" w:hanging="578"/>
        <w:rPr>
          <w:caps/>
          <w:lang w:val="en-AU"/>
        </w:rPr>
      </w:pPr>
      <w:bookmarkStart w:id="211" w:name="_Toc439198333"/>
      <w:bookmarkStart w:id="212" w:name="_Toc445571710"/>
      <w:r>
        <w:rPr>
          <w:lang w:val="en-AU"/>
        </w:rPr>
        <w:t xml:space="preserve">REPORTED </w:t>
      </w:r>
      <w:r w:rsidR="00133DFA" w:rsidRPr="00212261">
        <w:rPr>
          <w:caps/>
          <w:lang w:val="en-AU"/>
        </w:rPr>
        <w:t>Incidence of Claiming Concessions</w:t>
      </w:r>
      <w:bookmarkEnd w:id="211"/>
      <w:bookmarkEnd w:id="212"/>
    </w:p>
    <w:p w14:paraId="3FE14952" w14:textId="77777777" w:rsidR="00133DFA" w:rsidRPr="00212261" w:rsidRDefault="00133DFA" w:rsidP="00133DFA">
      <w:pPr>
        <w:pStyle w:val="Para"/>
        <w:rPr>
          <w:lang w:val="en-AU"/>
        </w:rPr>
      </w:pPr>
    </w:p>
    <w:p w14:paraId="40C69E23" w14:textId="77777777" w:rsidR="00133DFA" w:rsidRPr="000B2893" w:rsidRDefault="00544F42" w:rsidP="00133DFA">
      <w:pPr>
        <w:pStyle w:val="Para"/>
        <w:rPr>
          <w:lang w:val="en-AU"/>
        </w:rPr>
      </w:pPr>
      <w:r w:rsidRPr="000B2893">
        <w:rPr>
          <w:lang w:val="en-AU"/>
        </w:rPr>
        <w:t>Overall, the r</w:t>
      </w:r>
      <w:r w:rsidR="00273BBB" w:rsidRPr="000B2893">
        <w:rPr>
          <w:lang w:val="en-AU"/>
        </w:rPr>
        <w:t>eported i</w:t>
      </w:r>
      <w:r w:rsidR="00133DFA" w:rsidRPr="000B2893">
        <w:rPr>
          <w:lang w:val="en-AU"/>
        </w:rPr>
        <w:t xml:space="preserve">ncidence of claiming concessions for utility bills has </w:t>
      </w:r>
      <w:r w:rsidRPr="000B2893">
        <w:rPr>
          <w:lang w:val="en-AU"/>
        </w:rPr>
        <w:t>trended upwards since 1996</w:t>
      </w:r>
      <w:r w:rsidR="00CC4909" w:rsidRPr="000B2893">
        <w:rPr>
          <w:lang w:val="en-AU"/>
        </w:rPr>
        <w:t xml:space="preserve"> (see Table 7.1.1 overleaf)</w:t>
      </w:r>
      <w:r w:rsidRPr="000B2893">
        <w:rPr>
          <w:lang w:val="en-AU"/>
        </w:rPr>
        <w:t>.</w:t>
      </w:r>
      <w:r w:rsidR="00133DFA" w:rsidRPr="000B2893">
        <w:rPr>
          <w:lang w:val="en-AU"/>
        </w:rPr>
        <w:t xml:space="preserve">  </w:t>
      </w:r>
      <w:r w:rsidRPr="000B2893">
        <w:rPr>
          <w:lang w:val="en-AU"/>
        </w:rPr>
        <w:t>In 2014, one-third (36%)</w:t>
      </w:r>
      <w:r w:rsidR="00133DFA" w:rsidRPr="000B2893">
        <w:rPr>
          <w:lang w:val="en-AU"/>
        </w:rPr>
        <w:t xml:space="preserve"> of households claimed concessions on gas bills (</w:t>
      </w:r>
      <w:r w:rsidR="00F34CA3" w:rsidRPr="000B2893">
        <w:rPr>
          <w:lang w:val="en-AU"/>
        </w:rPr>
        <w:t xml:space="preserve">compared with </w:t>
      </w:r>
      <w:r w:rsidR="00133DFA" w:rsidRPr="000B2893">
        <w:rPr>
          <w:lang w:val="en-AU"/>
        </w:rPr>
        <w:t xml:space="preserve">34% in 2007; 32% in 2001; 33% in 1996), </w:t>
      </w:r>
      <w:r w:rsidRPr="000B2893">
        <w:rPr>
          <w:lang w:val="en-AU"/>
        </w:rPr>
        <w:t>4</w:t>
      </w:r>
      <w:r w:rsidR="000B2893" w:rsidRPr="000B2893">
        <w:rPr>
          <w:lang w:val="en-AU"/>
        </w:rPr>
        <w:t>2</w:t>
      </w:r>
      <w:r w:rsidRPr="000B2893">
        <w:rPr>
          <w:lang w:val="en-AU"/>
        </w:rPr>
        <w:t xml:space="preserve">% claimed concessions on </w:t>
      </w:r>
      <w:r w:rsidR="00133DFA" w:rsidRPr="000B2893">
        <w:rPr>
          <w:lang w:val="en-AU"/>
        </w:rPr>
        <w:t>electricity bills (</w:t>
      </w:r>
      <w:r w:rsidR="00F34CA3" w:rsidRPr="000B2893">
        <w:rPr>
          <w:lang w:val="en-AU"/>
        </w:rPr>
        <w:t xml:space="preserve">compared with </w:t>
      </w:r>
      <w:r w:rsidR="00133DFA" w:rsidRPr="000B2893">
        <w:rPr>
          <w:lang w:val="en-AU"/>
        </w:rPr>
        <w:t>38%</w:t>
      </w:r>
      <w:r w:rsidR="00F34CA3" w:rsidRPr="000B2893">
        <w:rPr>
          <w:lang w:val="en-AU"/>
        </w:rPr>
        <w:t xml:space="preserve"> in 2007</w:t>
      </w:r>
      <w:r w:rsidR="00133DFA" w:rsidRPr="000B2893">
        <w:rPr>
          <w:lang w:val="en-AU"/>
        </w:rPr>
        <w:t>; 35%</w:t>
      </w:r>
      <w:r w:rsidR="00F34CA3" w:rsidRPr="000B2893">
        <w:rPr>
          <w:lang w:val="en-AU"/>
        </w:rPr>
        <w:t xml:space="preserve"> in 2001</w:t>
      </w:r>
      <w:r w:rsidR="00133DFA" w:rsidRPr="000B2893">
        <w:rPr>
          <w:lang w:val="en-AU"/>
        </w:rPr>
        <w:t>; 38%</w:t>
      </w:r>
      <w:r w:rsidR="00F34CA3" w:rsidRPr="000B2893">
        <w:rPr>
          <w:lang w:val="en-AU"/>
        </w:rPr>
        <w:t xml:space="preserve"> in 1996</w:t>
      </w:r>
      <w:r w:rsidR="00133DFA" w:rsidRPr="000B2893">
        <w:rPr>
          <w:lang w:val="en-AU"/>
        </w:rPr>
        <w:t xml:space="preserve">) </w:t>
      </w:r>
      <w:r w:rsidRPr="000B2893">
        <w:rPr>
          <w:lang w:val="en-AU"/>
        </w:rPr>
        <w:t>and 3</w:t>
      </w:r>
      <w:r w:rsidR="000B2893" w:rsidRPr="000B2893">
        <w:rPr>
          <w:lang w:val="en-AU"/>
        </w:rPr>
        <w:t>7</w:t>
      </w:r>
      <w:r w:rsidRPr="000B2893">
        <w:rPr>
          <w:lang w:val="en-AU"/>
        </w:rPr>
        <w:t xml:space="preserve">% claimed concessions on </w:t>
      </w:r>
      <w:r w:rsidR="00133DFA" w:rsidRPr="000B2893">
        <w:rPr>
          <w:lang w:val="en-AU"/>
        </w:rPr>
        <w:t>water bills (</w:t>
      </w:r>
      <w:r w:rsidR="00F34CA3" w:rsidRPr="000B2893">
        <w:rPr>
          <w:lang w:val="en-AU"/>
        </w:rPr>
        <w:t xml:space="preserve">compared with </w:t>
      </w:r>
      <w:r w:rsidR="00133DFA" w:rsidRPr="000B2893">
        <w:rPr>
          <w:lang w:val="en-AU"/>
        </w:rPr>
        <w:t>34%</w:t>
      </w:r>
      <w:r w:rsidR="00F34CA3" w:rsidRPr="000B2893">
        <w:rPr>
          <w:lang w:val="en-AU"/>
        </w:rPr>
        <w:t xml:space="preserve"> in 2007</w:t>
      </w:r>
      <w:r w:rsidR="00133DFA" w:rsidRPr="000B2893">
        <w:rPr>
          <w:lang w:val="en-AU"/>
        </w:rPr>
        <w:t>; 31%</w:t>
      </w:r>
      <w:r w:rsidR="00F34CA3" w:rsidRPr="000B2893">
        <w:rPr>
          <w:lang w:val="en-AU"/>
        </w:rPr>
        <w:t xml:space="preserve"> in 2001</w:t>
      </w:r>
      <w:r w:rsidR="00133DFA" w:rsidRPr="000B2893">
        <w:rPr>
          <w:lang w:val="en-AU"/>
        </w:rPr>
        <w:t>; 30%</w:t>
      </w:r>
      <w:r w:rsidR="00F34CA3" w:rsidRPr="000B2893">
        <w:rPr>
          <w:lang w:val="en-AU"/>
        </w:rPr>
        <w:t xml:space="preserve"> in 1996</w:t>
      </w:r>
      <w:r w:rsidR="00133DFA" w:rsidRPr="000B2893">
        <w:rPr>
          <w:lang w:val="en-AU"/>
        </w:rPr>
        <w:t xml:space="preserve">).  </w:t>
      </w:r>
    </w:p>
    <w:p w14:paraId="1EAD8C45" w14:textId="77777777" w:rsidR="00133DFA" w:rsidRPr="00245A3A" w:rsidRDefault="00133DFA" w:rsidP="00133DFA">
      <w:pPr>
        <w:pStyle w:val="Para"/>
        <w:rPr>
          <w:highlight w:val="yellow"/>
          <w:lang w:val="en-AU"/>
        </w:rPr>
      </w:pPr>
    </w:p>
    <w:p w14:paraId="02EAE798" w14:textId="77777777" w:rsidR="00133DFA" w:rsidRPr="004A3E94" w:rsidRDefault="00133DFA" w:rsidP="00133DFA">
      <w:pPr>
        <w:pStyle w:val="Para"/>
        <w:rPr>
          <w:lang w:val="en-AU"/>
        </w:rPr>
      </w:pPr>
      <w:r w:rsidRPr="004A3E94">
        <w:rPr>
          <w:lang w:val="en-AU"/>
        </w:rPr>
        <w:t xml:space="preserve">More than a quarter </w:t>
      </w:r>
      <w:r w:rsidR="009D2B53" w:rsidRPr="004A3E94">
        <w:rPr>
          <w:lang w:val="en-AU"/>
        </w:rPr>
        <w:t>(2</w:t>
      </w:r>
      <w:r w:rsidR="004A3E94" w:rsidRPr="004A3E94">
        <w:rPr>
          <w:lang w:val="en-AU"/>
        </w:rPr>
        <w:t>6</w:t>
      </w:r>
      <w:r w:rsidR="009D2B53" w:rsidRPr="004A3E94">
        <w:rPr>
          <w:lang w:val="en-AU"/>
        </w:rPr>
        <w:t xml:space="preserve">%) </w:t>
      </w:r>
      <w:r w:rsidRPr="004A3E94">
        <w:rPr>
          <w:lang w:val="en-AU"/>
        </w:rPr>
        <w:t>of households claimed they receive concessions on their Council rate bills in 20</w:t>
      </w:r>
      <w:r w:rsidR="009D2B53" w:rsidRPr="004A3E94">
        <w:rPr>
          <w:lang w:val="en-AU"/>
        </w:rPr>
        <w:t>14, which was similar to 2007</w:t>
      </w:r>
      <w:r w:rsidRPr="004A3E94">
        <w:rPr>
          <w:lang w:val="en-AU"/>
        </w:rPr>
        <w:t xml:space="preserve"> (2</w:t>
      </w:r>
      <w:r w:rsidR="009D2B53" w:rsidRPr="004A3E94">
        <w:rPr>
          <w:lang w:val="en-AU"/>
        </w:rPr>
        <w:t>8</w:t>
      </w:r>
      <w:r w:rsidRPr="004A3E94">
        <w:rPr>
          <w:lang w:val="en-AU"/>
        </w:rPr>
        <w:t xml:space="preserve">%), </w:t>
      </w:r>
      <w:r w:rsidR="009D2B53" w:rsidRPr="004A3E94">
        <w:rPr>
          <w:lang w:val="en-AU"/>
        </w:rPr>
        <w:t xml:space="preserve">but higher than the </w:t>
      </w:r>
      <w:r w:rsidRPr="004A3E94">
        <w:rPr>
          <w:lang w:val="en-AU"/>
        </w:rPr>
        <w:t xml:space="preserve">23% </w:t>
      </w:r>
      <w:r w:rsidR="009D2B53" w:rsidRPr="004A3E94">
        <w:rPr>
          <w:lang w:val="en-AU"/>
        </w:rPr>
        <w:t>recorded in 2</w:t>
      </w:r>
      <w:r w:rsidRPr="004A3E94">
        <w:rPr>
          <w:lang w:val="en-AU"/>
        </w:rPr>
        <w:t>001.  However, this result should be considered in the light that not all households pa</w:t>
      </w:r>
      <w:r w:rsidR="001405B3" w:rsidRPr="004A3E94">
        <w:rPr>
          <w:lang w:val="en-AU"/>
        </w:rPr>
        <w:t>y</w:t>
      </w:r>
      <w:r w:rsidRPr="004A3E94">
        <w:rPr>
          <w:lang w:val="en-AU"/>
        </w:rPr>
        <w:t xml:space="preserve"> Council rates.  Furthermore, not all concession card holders </w:t>
      </w:r>
      <w:r w:rsidR="008C611E" w:rsidRPr="004A3E94">
        <w:rPr>
          <w:lang w:val="en-AU"/>
        </w:rPr>
        <w:t xml:space="preserve">(e.g. Health Care Card holders) </w:t>
      </w:r>
      <w:r w:rsidR="001405B3" w:rsidRPr="004A3E94">
        <w:rPr>
          <w:lang w:val="en-AU"/>
        </w:rPr>
        <w:t>a</w:t>
      </w:r>
      <w:r w:rsidRPr="004A3E94">
        <w:rPr>
          <w:lang w:val="en-AU"/>
        </w:rPr>
        <w:t xml:space="preserve">re eligible for </w:t>
      </w:r>
      <w:r w:rsidR="001405B3" w:rsidRPr="004A3E94">
        <w:rPr>
          <w:lang w:val="en-AU"/>
        </w:rPr>
        <w:t>D</w:t>
      </w:r>
      <w:r w:rsidR="00C33CEC" w:rsidRPr="004A3E94">
        <w:rPr>
          <w:lang w:val="en-AU"/>
        </w:rPr>
        <w:t>H</w:t>
      </w:r>
      <w:r w:rsidR="001405B3" w:rsidRPr="004A3E94">
        <w:rPr>
          <w:lang w:val="en-AU"/>
        </w:rPr>
        <w:t>HS concessions</w:t>
      </w:r>
      <w:r w:rsidRPr="004A3E94">
        <w:rPr>
          <w:lang w:val="en-AU"/>
        </w:rPr>
        <w:t xml:space="preserve"> on their Council rates</w:t>
      </w:r>
      <w:r w:rsidR="00C33CEC" w:rsidRPr="004A3E94">
        <w:rPr>
          <w:lang w:val="en-AU"/>
        </w:rPr>
        <w:t>,</w:t>
      </w:r>
      <w:r w:rsidRPr="004A3E94">
        <w:rPr>
          <w:lang w:val="en-AU"/>
        </w:rPr>
        <w:t xml:space="preserve"> which would also explain the lower proportion of concession card holders claiming </w:t>
      </w:r>
      <w:r w:rsidR="001405B3" w:rsidRPr="004A3E94">
        <w:rPr>
          <w:lang w:val="en-AU"/>
        </w:rPr>
        <w:t>D</w:t>
      </w:r>
      <w:r w:rsidR="00C33CEC" w:rsidRPr="004A3E94">
        <w:rPr>
          <w:lang w:val="en-AU"/>
        </w:rPr>
        <w:t>H</w:t>
      </w:r>
      <w:r w:rsidR="001405B3" w:rsidRPr="004A3E94">
        <w:rPr>
          <w:lang w:val="en-AU"/>
        </w:rPr>
        <w:t xml:space="preserve">HS </w:t>
      </w:r>
      <w:r w:rsidRPr="004A3E94">
        <w:rPr>
          <w:lang w:val="en-AU"/>
        </w:rPr>
        <w:t>concessions on their Council rates.</w:t>
      </w:r>
    </w:p>
    <w:p w14:paraId="08C3725C" w14:textId="77777777" w:rsidR="00133DFA" w:rsidRPr="004A3E94" w:rsidRDefault="00133DFA" w:rsidP="00133DFA">
      <w:pPr>
        <w:pStyle w:val="Para"/>
        <w:rPr>
          <w:lang w:val="en-AU"/>
        </w:rPr>
      </w:pPr>
    </w:p>
    <w:p w14:paraId="4D06F97B" w14:textId="77777777" w:rsidR="00133DFA" w:rsidRPr="004A3E94" w:rsidRDefault="009D2B53" w:rsidP="00133DFA">
      <w:pPr>
        <w:pStyle w:val="Para"/>
        <w:rPr>
          <w:lang w:val="en-AU"/>
        </w:rPr>
      </w:pPr>
      <w:r w:rsidRPr="004A3E94">
        <w:rPr>
          <w:lang w:val="en-AU"/>
        </w:rPr>
        <w:t>As would be expected, concession households were far more likely than non-concession households to claim concessions on the</w:t>
      </w:r>
      <w:r w:rsidR="00926974" w:rsidRPr="004A3E94">
        <w:rPr>
          <w:lang w:val="en-AU"/>
        </w:rPr>
        <w:t>ir</w:t>
      </w:r>
      <w:r w:rsidRPr="004A3E94">
        <w:rPr>
          <w:lang w:val="en-AU"/>
        </w:rPr>
        <w:t xml:space="preserve"> bills.</w:t>
      </w:r>
    </w:p>
    <w:p w14:paraId="1F9DCE26" w14:textId="77777777" w:rsidR="009D2B53" w:rsidRPr="004A3E94" w:rsidRDefault="009D2B53" w:rsidP="00133DFA">
      <w:pPr>
        <w:pStyle w:val="Para"/>
        <w:rPr>
          <w:lang w:val="en-AU"/>
        </w:rPr>
      </w:pPr>
    </w:p>
    <w:p w14:paraId="03FA56A2" w14:textId="77777777" w:rsidR="009D2B53" w:rsidRPr="004A3E94" w:rsidRDefault="009D2B53" w:rsidP="00133DFA">
      <w:pPr>
        <w:pStyle w:val="Para"/>
        <w:rPr>
          <w:lang w:val="en-AU"/>
        </w:rPr>
      </w:pPr>
      <w:r w:rsidRPr="004A3E94">
        <w:rPr>
          <w:lang w:val="en-AU"/>
        </w:rPr>
        <w:t xml:space="preserve">In line with previous surveys, </w:t>
      </w:r>
      <w:r w:rsidR="008C611E" w:rsidRPr="004A3E94">
        <w:rPr>
          <w:lang w:val="en-AU"/>
        </w:rPr>
        <w:t xml:space="preserve">the incidence of </w:t>
      </w:r>
      <w:r w:rsidRPr="004A3E94">
        <w:rPr>
          <w:lang w:val="en-AU"/>
        </w:rPr>
        <w:t>claim</w:t>
      </w:r>
      <w:r w:rsidR="008C611E" w:rsidRPr="004A3E94">
        <w:rPr>
          <w:lang w:val="en-AU"/>
        </w:rPr>
        <w:t>ing</w:t>
      </w:r>
      <w:r w:rsidRPr="004A3E94">
        <w:rPr>
          <w:lang w:val="en-AU"/>
        </w:rPr>
        <w:t xml:space="preserve"> a concession typically declined with household size.  The main exception was for council rates, where 3</w:t>
      </w:r>
      <w:r w:rsidR="004A3E94" w:rsidRPr="004A3E94">
        <w:rPr>
          <w:lang w:val="en-AU"/>
        </w:rPr>
        <w:t>1</w:t>
      </w:r>
      <w:r w:rsidRPr="004A3E94">
        <w:rPr>
          <w:lang w:val="en-AU"/>
        </w:rPr>
        <w:t>% of single person households claimed a concession, compared with 3</w:t>
      </w:r>
      <w:r w:rsidR="004A3E94" w:rsidRPr="004A3E94">
        <w:rPr>
          <w:lang w:val="en-AU"/>
        </w:rPr>
        <w:t>8</w:t>
      </w:r>
      <w:r w:rsidRPr="004A3E94">
        <w:rPr>
          <w:lang w:val="en-AU"/>
        </w:rPr>
        <w:t>% of households containing t</w:t>
      </w:r>
      <w:r w:rsidR="00FB2023" w:rsidRPr="004A3E94">
        <w:rPr>
          <w:lang w:val="en-AU"/>
        </w:rPr>
        <w:t>w</w:t>
      </w:r>
      <w:r w:rsidRPr="004A3E94">
        <w:rPr>
          <w:lang w:val="en-AU"/>
        </w:rPr>
        <w:t>o people.</w:t>
      </w:r>
    </w:p>
    <w:p w14:paraId="35DA3BA0" w14:textId="77777777" w:rsidR="009D2B53" w:rsidRPr="004A3E94" w:rsidRDefault="009D2B53" w:rsidP="00133DFA">
      <w:pPr>
        <w:pStyle w:val="Para"/>
        <w:rPr>
          <w:lang w:val="en-AU"/>
        </w:rPr>
      </w:pPr>
    </w:p>
    <w:p w14:paraId="102E3A80" w14:textId="77777777" w:rsidR="009D2B53" w:rsidRPr="004A3E94" w:rsidRDefault="009D2B53" w:rsidP="00133DFA">
      <w:pPr>
        <w:pStyle w:val="Para"/>
        <w:rPr>
          <w:lang w:val="en-AU"/>
        </w:rPr>
      </w:pPr>
      <w:r w:rsidRPr="004A3E94">
        <w:rPr>
          <w:lang w:val="en-AU"/>
        </w:rPr>
        <w:t>Public renters were far more likely than private renters or home owners/buyers to claim a concession on their gas, electricity or water bill.  As would be expected, home owners/buyers (3</w:t>
      </w:r>
      <w:r w:rsidR="004A3E94" w:rsidRPr="004A3E94">
        <w:rPr>
          <w:lang w:val="en-AU"/>
        </w:rPr>
        <w:t>3</w:t>
      </w:r>
      <w:r w:rsidRPr="004A3E94">
        <w:rPr>
          <w:lang w:val="en-AU"/>
        </w:rPr>
        <w:t>%) were far more likely than private renters (1%) or public renters (2%) to claim a concession on their council rates</w:t>
      </w:r>
    </w:p>
    <w:p w14:paraId="5886FE04" w14:textId="5ECAE64F" w:rsidR="00133DFA" w:rsidRPr="000B2893" w:rsidRDefault="00133DFA" w:rsidP="00133DFA">
      <w:pPr>
        <w:pStyle w:val="Para"/>
        <w:pBdr>
          <w:top w:val="double" w:sz="4" w:space="1" w:color="auto"/>
          <w:left w:val="double" w:sz="4" w:space="4" w:color="auto"/>
          <w:bottom w:val="double" w:sz="4" w:space="1" w:color="auto"/>
          <w:right w:val="double" w:sz="4" w:space="4" w:color="auto"/>
        </w:pBdr>
        <w:shd w:val="pct10" w:color="auto" w:fill="auto"/>
        <w:rPr>
          <w:lang w:val="en-AU"/>
        </w:rPr>
      </w:pPr>
      <w:r w:rsidRPr="000B2893">
        <w:rPr>
          <w:lang w:val="en-AU"/>
        </w:rPr>
        <w:lastRenderedPageBreak/>
        <w:t xml:space="preserve">Please note that whilst other members of the household may hold concessions cards, these persons were not defined as being the person responsible for payment of the household bills.  Therefore in some instances a </w:t>
      </w:r>
      <w:r w:rsidR="00143675">
        <w:rPr>
          <w:lang w:val="en-AU"/>
        </w:rPr>
        <w:t>n</w:t>
      </w:r>
      <w:r w:rsidRPr="000B2893">
        <w:rPr>
          <w:lang w:val="en-AU"/>
        </w:rPr>
        <w:t xml:space="preserve">on-concession household may in fact receive concessions on some bills because another member </w:t>
      </w:r>
      <w:r w:rsidR="00072B63" w:rsidRPr="000B2893">
        <w:rPr>
          <w:lang w:val="en-AU"/>
        </w:rPr>
        <w:t>in their</w:t>
      </w:r>
      <w:r w:rsidRPr="000B2893">
        <w:rPr>
          <w:lang w:val="en-AU"/>
        </w:rPr>
        <w:t xml:space="preserve"> household may hold a concession card. </w:t>
      </w:r>
    </w:p>
    <w:p w14:paraId="4DCBBE29" w14:textId="77777777" w:rsidR="00133DFA" w:rsidRPr="00245A3A" w:rsidRDefault="00133DFA" w:rsidP="00133DFA">
      <w:pPr>
        <w:pStyle w:val="Para"/>
        <w:rPr>
          <w:highlight w:val="yellow"/>
          <w:lang w:val="en-AU"/>
        </w:rPr>
      </w:pPr>
    </w:p>
    <w:p w14:paraId="1C4B1B84" w14:textId="77777777" w:rsidR="00133DFA" w:rsidRPr="00245A3A" w:rsidRDefault="00133DFA" w:rsidP="00133DFA">
      <w:pPr>
        <w:pStyle w:val="Para"/>
        <w:spacing w:line="240" w:lineRule="auto"/>
        <w:rPr>
          <w:highlight w:val="yellow"/>
          <w:lang w:val="en-AU"/>
        </w:rPr>
      </w:pPr>
    </w:p>
    <w:p w14:paraId="086B4AA8" w14:textId="34458249" w:rsidR="00133DFA" w:rsidRPr="000B2893" w:rsidRDefault="00133DFA" w:rsidP="006364BB">
      <w:pPr>
        <w:pStyle w:val="Para"/>
        <w:spacing w:after="120"/>
        <w:jc w:val="center"/>
        <w:outlineLvl w:val="0"/>
        <w:rPr>
          <w:b/>
          <w:u w:val="single"/>
          <w:lang w:val="en-AU"/>
        </w:rPr>
      </w:pPr>
      <w:r w:rsidRPr="000B2893">
        <w:rPr>
          <w:b/>
          <w:lang w:val="en-AU"/>
        </w:rPr>
        <w:t xml:space="preserve">Table </w:t>
      </w:r>
      <w:r w:rsidR="001A2002" w:rsidRPr="000B2893">
        <w:rPr>
          <w:b/>
          <w:lang w:val="en-AU"/>
        </w:rPr>
        <w:t>7</w:t>
      </w:r>
      <w:r w:rsidRPr="000B2893">
        <w:rPr>
          <w:b/>
          <w:lang w:val="en-AU"/>
        </w:rPr>
        <w:t>.</w:t>
      </w:r>
      <w:r w:rsidR="00CC4909" w:rsidRPr="000B2893">
        <w:rPr>
          <w:b/>
          <w:lang w:val="en-AU"/>
        </w:rPr>
        <w:t>1</w:t>
      </w:r>
      <w:r w:rsidRPr="000B2893">
        <w:rPr>
          <w:b/>
          <w:lang w:val="en-AU"/>
        </w:rPr>
        <w:t xml:space="preserve">.1: </w:t>
      </w:r>
      <w:r w:rsidR="00273BBB" w:rsidRPr="000B2893">
        <w:rPr>
          <w:b/>
          <w:u w:val="single"/>
          <w:lang w:val="en-AU"/>
        </w:rPr>
        <w:t xml:space="preserve">Reported </w:t>
      </w:r>
      <w:r w:rsidRPr="000B2893">
        <w:rPr>
          <w:b/>
          <w:u w:val="single"/>
          <w:lang w:val="en-AU"/>
        </w:rPr>
        <w:t>Incidence of Claiming Concessions by Year</w:t>
      </w:r>
    </w:p>
    <w:tbl>
      <w:tblPr>
        <w:tblW w:w="12378" w:type="dxa"/>
        <w:jc w:val="center"/>
        <w:tblLook w:val="04A0" w:firstRow="1" w:lastRow="0" w:firstColumn="1" w:lastColumn="0" w:noHBand="0" w:noVBand="1"/>
      </w:tblPr>
      <w:tblGrid>
        <w:gridCol w:w="2433"/>
        <w:gridCol w:w="663"/>
        <w:gridCol w:w="663"/>
        <w:gridCol w:w="663"/>
        <w:gridCol w:w="663"/>
        <w:gridCol w:w="663"/>
        <w:gridCol w:w="663"/>
        <w:gridCol w:w="663"/>
        <w:gridCol w:w="663"/>
        <w:gridCol w:w="663"/>
        <w:gridCol w:w="663"/>
        <w:gridCol w:w="663"/>
        <w:gridCol w:w="663"/>
        <w:gridCol w:w="663"/>
        <w:gridCol w:w="663"/>
        <w:gridCol w:w="663"/>
      </w:tblGrid>
      <w:tr w:rsidR="00544F42" w:rsidRPr="000B2893" w14:paraId="6F2AED73" w14:textId="77777777" w:rsidTr="006364BB">
        <w:trPr>
          <w:trHeight w:val="315"/>
          <w:tblHeader/>
          <w:jc w:val="center"/>
        </w:trPr>
        <w:tc>
          <w:tcPr>
            <w:tcW w:w="2433" w:type="dxa"/>
            <w:vMerge w:val="restart"/>
            <w:tcBorders>
              <w:top w:val="double" w:sz="6" w:space="0" w:color="auto"/>
              <w:left w:val="double" w:sz="6" w:space="0" w:color="auto"/>
              <w:bottom w:val="single" w:sz="4" w:space="0" w:color="D9D9D9"/>
              <w:right w:val="nil"/>
            </w:tcBorders>
            <w:shd w:val="clear" w:color="auto" w:fill="auto"/>
            <w:noWrap/>
            <w:vAlign w:val="center"/>
          </w:tcPr>
          <w:p w14:paraId="171BCF3F" w14:textId="77777777" w:rsidR="00544F42" w:rsidRPr="000B2893" w:rsidRDefault="00544F42" w:rsidP="00544F42">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Sub-groups</w:t>
            </w:r>
          </w:p>
        </w:tc>
        <w:tc>
          <w:tcPr>
            <w:tcW w:w="2652" w:type="dxa"/>
            <w:gridSpan w:val="4"/>
            <w:tcBorders>
              <w:top w:val="double" w:sz="6" w:space="0" w:color="auto"/>
              <w:left w:val="single" w:sz="4" w:space="0" w:color="auto"/>
              <w:bottom w:val="nil"/>
              <w:right w:val="single" w:sz="4" w:space="0" w:color="000000"/>
            </w:tcBorders>
            <w:shd w:val="clear" w:color="auto" w:fill="auto"/>
            <w:noWrap/>
            <w:vAlign w:val="bottom"/>
          </w:tcPr>
          <w:p w14:paraId="20EA70EA"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For Gas</w:t>
            </w:r>
          </w:p>
        </w:tc>
        <w:tc>
          <w:tcPr>
            <w:tcW w:w="2652" w:type="dxa"/>
            <w:gridSpan w:val="4"/>
            <w:tcBorders>
              <w:top w:val="double" w:sz="6" w:space="0" w:color="auto"/>
              <w:left w:val="nil"/>
              <w:bottom w:val="nil"/>
              <w:right w:val="single" w:sz="4" w:space="0" w:color="D9D9D9"/>
            </w:tcBorders>
            <w:shd w:val="clear" w:color="auto" w:fill="auto"/>
            <w:noWrap/>
            <w:vAlign w:val="bottom"/>
          </w:tcPr>
          <w:p w14:paraId="5CFA905B"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For Electricity</w:t>
            </w:r>
          </w:p>
        </w:tc>
        <w:tc>
          <w:tcPr>
            <w:tcW w:w="2652" w:type="dxa"/>
            <w:gridSpan w:val="4"/>
            <w:tcBorders>
              <w:top w:val="double" w:sz="6" w:space="0" w:color="auto"/>
              <w:left w:val="single" w:sz="4" w:space="0" w:color="auto"/>
              <w:bottom w:val="nil"/>
              <w:right w:val="single" w:sz="4" w:space="0" w:color="000000"/>
            </w:tcBorders>
            <w:shd w:val="clear" w:color="auto" w:fill="auto"/>
            <w:noWrap/>
            <w:vAlign w:val="bottom"/>
          </w:tcPr>
          <w:p w14:paraId="1380DA9D"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For Water</w:t>
            </w:r>
          </w:p>
        </w:tc>
        <w:tc>
          <w:tcPr>
            <w:tcW w:w="1989" w:type="dxa"/>
            <w:gridSpan w:val="3"/>
            <w:tcBorders>
              <w:top w:val="double" w:sz="6" w:space="0" w:color="auto"/>
              <w:left w:val="nil"/>
              <w:bottom w:val="nil"/>
              <w:right w:val="double" w:sz="6" w:space="0" w:color="000000"/>
            </w:tcBorders>
            <w:shd w:val="clear" w:color="auto" w:fill="auto"/>
            <w:noWrap/>
            <w:vAlign w:val="bottom"/>
          </w:tcPr>
          <w:p w14:paraId="514F6D8F"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For Council Rates</w:t>
            </w:r>
          </w:p>
        </w:tc>
      </w:tr>
      <w:tr w:rsidR="00544F42" w:rsidRPr="000B2893" w14:paraId="733B3AB2" w14:textId="77777777" w:rsidTr="006364BB">
        <w:trPr>
          <w:trHeight w:val="300"/>
          <w:tblHeader/>
          <w:jc w:val="center"/>
        </w:trPr>
        <w:tc>
          <w:tcPr>
            <w:tcW w:w="2433" w:type="dxa"/>
            <w:vMerge/>
            <w:tcBorders>
              <w:top w:val="double" w:sz="6" w:space="0" w:color="auto"/>
              <w:left w:val="double" w:sz="6" w:space="0" w:color="auto"/>
              <w:bottom w:val="single" w:sz="4" w:space="0" w:color="D9D9D9"/>
              <w:right w:val="nil"/>
            </w:tcBorders>
            <w:vAlign w:val="center"/>
          </w:tcPr>
          <w:p w14:paraId="5CE44132" w14:textId="77777777" w:rsidR="00544F42" w:rsidRPr="000B2893" w:rsidRDefault="00544F42" w:rsidP="00544F42">
            <w:pPr>
              <w:spacing w:before="0" w:after="0"/>
              <w:rPr>
                <w:rFonts w:ascii="Arial" w:hAnsi="Arial" w:cs="Arial"/>
                <w:b/>
                <w:bCs/>
                <w:color w:val="000000"/>
                <w:sz w:val="16"/>
                <w:szCs w:val="16"/>
                <w:lang w:val="en-AU" w:eastAsia="en-AU"/>
              </w:rPr>
            </w:pPr>
          </w:p>
        </w:tc>
        <w:tc>
          <w:tcPr>
            <w:tcW w:w="663" w:type="dxa"/>
            <w:tcBorders>
              <w:top w:val="single" w:sz="4" w:space="0" w:color="auto"/>
              <w:left w:val="single" w:sz="4" w:space="0" w:color="auto"/>
              <w:bottom w:val="single" w:sz="4" w:space="0" w:color="auto"/>
              <w:right w:val="single" w:sz="4" w:space="0" w:color="D9D9D9"/>
            </w:tcBorders>
            <w:shd w:val="clear" w:color="auto" w:fill="auto"/>
            <w:vAlign w:val="bottom"/>
          </w:tcPr>
          <w:p w14:paraId="3BA61513"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2014</w:t>
            </w:r>
          </w:p>
        </w:tc>
        <w:tc>
          <w:tcPr>
            <w:tcW w:w="663" w:type="dxa"/>
            <w:tcBorders>
              <w:top w:val="single" w:sz="4" w:space="0" w:color="auto"/>
              <w:left w:val="nil"/>
              <w:bottom w:val="single" w:sz="4" w:space="0" w:color="auto"/>
              <w:right w:val="single" w:sz="4" w:space="0" w:color="D9D9D9"/>
            </w:tcBorders>
            <w:shd w:val="clear" w:color="auto" w:fill="auto"/>
            <w:vAlign w:val="bottom"/>
          </w:tcPr>
          <w:p w14:paraId="6D8341AE"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2007</w:t>
            </w:r>
          </w:p>
        </w:tc>
        <w:tc>
          <w:tcPr>
            <w:tcW w:w="663" w:type="dxa"/>
            <w:tcBorders>
              <w:top w:val="single" w:sz="4" w:space="0" w:color="auto"/>
              <w:left w:val="nil"/>
              <w:bottom w:val="single" w:sz="4" w:space="0" w:color="auto"/>
              <w:right w:val="single" w:sz="4" w:space="0" w:color="D9D9D9"/>
            </w:tcBorders>
            <w:shd w:val="clear" w:color="auto" w:fill="auto"/>
            <w:vAlign w:val="bottom"/>
          </w:tcPr>
          <w:p w14:paraId="5F7BB0DC"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2001</w:t>
            </w:r>
          </w:p>
        </w:tc>
        <w:tc>
          <w:tcPr>
            <w:tcW w:w="663" w:type="dxa"/>
            <w:tcBorders>
              <w:top w:val="single" w:sz="4" w:space="0" w:color="auto"/>
              <w:left w:val="nil"/>
              <w:bottom w:val="single" w:sz="4" w:space="0" w:color="auto"/>
              <w:right w:val="single" w:sz="4" w:space="0" w:color="auto"/>
            </w:tcBorders>
            <w:shd w:val="clear" w:color="auto" w:fill="auto"/>
            <w:vAlign w:val="bottom"/>
          </w:tcPr>
          <w:p w14:paraId="273CE37B"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1996</w:t>
            </w:r>
          </w:p>
        </w:tc>
        <w:tc>
          <w:tcPr>
            <w:tcW w:w="663" w:type="dxa"/>
            <w:tcBorders>
              <w:top w:val="single" w:sz="4" w:space="0" w:color="auto"/>
              <w:left w:val="nil"/>
              <w:bottom w:val="single" w:sz="4" w:space="0" w:color="auto"/>
              <w:right w:val="single" w:sz="4" w:space="0" w:color="D9D9D9"/>
            </w:tcBorders>
            <w:shd w:val="clear" w:color="auto" w:fill="auto"/>
            <w:vAlign w:val="bottom"/>
          </w:tcPr>
          <w:p w14:paraId="65EFAD50"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2014</w:t>
            </w:r>
          </w:p>
        </w:tc>
        <w:tc>
          <w:tcPr>
            <w:tcW w:w="663" w:type="dxa"/>
            <w:tcBorders>
              <w:top w:val="single" w:sz="4" w:space="0" w:color="auto"/>
              <w:left w:val="nil"/>
              <w:bottom w:val="single" w:sz="4" w:space="0" w:color="auto"/>
              <w:right w:val="single" w:sz="4" w:space="0" w:color="D9D9D9"/>
            </w:tcBorders>
            <w:shd w:val="clear" w:color="auto" w:fill="auto"/>
            <w:vAlign w:val="bottom"/>
          </w:tcPr>
          <w:p w14:paraId="36D8C8C7"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2007</w:t>
            </w:r>
          </w:p>
        </w:tc>
        <w:tc>
          <w:tcPr>
            <w:tcW w:w="663" w:type="dxa"/>
            <w:tcBorders>
              <w:top w:val="single" w:sz="4" w:space="0" w:color="auto"/>
              <w:left w:val="nil"/>
              <w:bottom w:val="single" w:sz="4" w:space="0" w:color="auto"/>
              <w:right w:val="single" w:sz="4" w:space="0" w:color="D9D9D9"/>
            </w:tcBorders>
            <w:shd w:val="clear" w:color="auto" w:fill="auto"/>
            <w:vAlign w:val="bottom"/>
          </w:tcPr>
          <w:p w14:paraId="359B57A8"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2001</w:t>
            </w:r>
          </w:p>
        </w:tc>
        <w:tc>
          <w:tcPr>
            <w:tcW w:w="663" w:type="dxa"/>
            <w:tcBorders>
              <w:top w:val="single" w:sz="4" w:space="0" w:color="auto"/>
              <w:left w:val="nil"/>
              <w:bottom w:val="single" w:sz="4" w:space="0" w:color="auto"/>
              <w:right w:val="single" w:sz="4" w:space="0" w:color="auto"/>
            </w:tcBorders>
            <w:shd w:val="clear" w:color="auto" w:fill="auto"/>
            <w:vAlign w:val="bottom"/>
          </w:tcPr>
          <w:p w14:paraId="237E87F2"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1996</w:t>
            </w:r>
          </w:p>
        </w:tc>
        <w:tc>
          <w:tcPr>
            <w:tcW w:w="663" w:type="dxa"/>
            <w:tcBorders>
              <w:top w:val="single" w:sz="4" w:space="0" w:color="auto"/>
              <w:left w:val="nil"/>
              <w:bottom w:val="single" w:sz="4" w:space="0" w:color="auto"/>
              <w:right w:val="single" w:sz="4" w:space="0" w:color="D9D9D9"/>
            </w:tcBorders>
            <w:shd w:val="clear" w:color="auto" w:fill="auto"/>
            <w:vAlign w:val="bottom"/>
          </w:tcPr>
          <w:p w14:paraId="4832266E"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2014</w:t>
            </w:r>
          </w:p>
        </w:tc>
        <w:tc>
          <w:tcPr>
            <w:tcW w:w="663" w:type="dxa"/>
            <w:tcBorders>
              <w:top w:val="single" w:sz="4" w:space="0" w:color="auto"/>
              <w:left w:val="nil"/>
              <w:bottom w:val="single" w:sz="4" w:space="0" w:color="auto"/>
              <w:right w:val="single" w:sz="4" w:space="0" w:color="D9D9D9"/>
            </w:tcBorders>
            <w:shd w:val="clear" w:color="auto" w:fill="auto"/>
            <w:vAlign w:val="bottom"/>
          </w:tcPr>
          <w:p w14:paraId="46F929CB"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2007</w:t>
            </w:r>
          </w:p>
        </w:tc>
        <w:tc>
          <w:tcPr>
            <w:tcW w:w="663" w:type="dxa"/>
            <w:tcBorders>
              <w:top w:val="single" w:sz="4" w:space="0" w:color="auto"/>
              <w:left w:val="nil"/>
              <w:bottom w:val="single" w:sz="4" w:space="0" w:color="auto"/>
              <w:right w:val="single" w:sz="4" w:space="0" w:color="D9D9D9"/>
            </w:tcBorders>
            <w:shd w:val="clear" w:color="auto" w:fill="auto"/>
            <w:vAlign w:val="bottom"/>
          </w:tcPr>
          <w:p w14:paraId="5FC536CC"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2001</w:t>
            </w:r>
          </w:p>
        </w:tc>
        <w:tc>
          <w:tcPr>
            <w:tcW w:w="663" w:type="dxa"/>
            <w:tcBorders>
              <w:top w:val="single" w:sz="4" w:space="0" w:color="auto"/>
              <w:left w:val="nil"/>
              <w:bottom w:val="single" w:sz="4" w:space="0" w:color="auto"/>
              <w:right w:val="single" w:sz="4" w:space="0" w:color="auto"/>
            </w:tcBorders>
            <w:shd w:val="clear" w:color="auto" w:fill="auto"/>
            <w:vAlign w:val="bottom"/>
          </w:tcPr>
          <w:p w14:paraId="2BD41916"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1996</w:t>
            </w:r>
          </w:p>
        </w:tc>
        <w:tc>
          <w:tcPr>
            <w:tcW w:w="663" w:type="dxa"/>
            <w:tcBorders>
              <w:top w:val="single" w:sz="4" w:space="0" w:color="auto"/>
              <w:left w:val="nil"/>
              <w:bottom w:val="single" w:sz="4" w:space="0" w:color="auto"/>
              <w:right w:val="single" w:sz="4" w:space="0" w:color="D9D9D9"/>
            </w:tcBorders>
            <w:shd w:val="clear" w:color="auto" w:fill="auto"/>
            <w:vAlign w:val="bottom"/>
          </w:tcPr>
          <w:p w14:paraId="02D326D4"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2014</w:t>
            </w:r>
          </w:p>
        </w:tc>
        <w:tc>
          <w:tcPr>
            <w:tcW w:w="663" w:type="dxa"/>
            <w:tcBorders>
              <w:top w:val="single" w:sz="4" w:space="0" w:color="auto"/>
              <w:left w:val="nil"/>
              <w:bottom w:val="single" w:sz="4" w:space="0" w:color="auto"/>
              <w:right w:val="single" w:sz="4" w:space="0" w:color="D9D9D9"/>
            </w:tcBorders>
            <w:shd w:val="clear" w:color="auto" w:fill="auto"/>
            <w:vAlign w:val="bottom"/>
          </w:tcPr>
          <w:p w14:paraId="79855194"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2007</w:t>
            </w:r>
          </w:p>
        </w:tc>
        <w:tc>
          <w:tcPr>
            <w:tcW w:w="663" w:type="dxa"/>
            <w:tcBorders>
              <w:top w:val="single" w:sz="4" w:space="0" w:color="auto"/>
              <w:left w:val="nil"/>
              <w:bottom w:val="single" w:sz="4" w:space="0" w:color="auto"/>
              <w:right w:val="double" w:sz="6" w:space="0" w:color="auto"/>
            </w:tcBorders>
            <w:shd w:val="clear" w:color="auto" w:fill="auto"/>
            <w:vAlign w:val="bottom"/>
          </w:tcPr>
          <w:p w14:paraId="0A978E50" w14:textId="77777777" w:rsidR="00544F42" w:rsidRPr="00D92C64" w:rsidRDefault="00544F42" w:rsidP="00544F42">
            <w:pPr>
              <w:spacing w:before="0" w:after="0"/>
              <w:jc w:val="center"/>
              <w:rPr>
                <w:rFonts w:ascii="Arial" w:hAnsi="Arial" w:cs="Arial"/>
                <w:b/>
                <w:bCs/>
                <w:color w:val="000000"/>
                <w:sz w:val="18"/>
                <w:szCs w:val="18"/>
                <w:lang w:val="en-AU" w:eastAsia="en-AU"/>
              </w:rPr>
            </w:pPr>
            <w:r w:rsidRPr="00D92C64">
              <w:rPr>
                <w:rFonts w:ascii="Arial" w:hAnsi="Arial" w:cs="Arial"/>
                <w:b/>
                <w:bCs/>
                <w:color w:val="000000"/>
                <w:sz w:val="18"/>
                <w:szCs w:val="18"/>
                <w:lang w:val="en-AU" w:eastAsia="en-AU"/>
              </w:rPr>
              <w:t>2001</w:t>
            </w:r>
          </w:p>
        </w:tc>
      </w:tr>
      <w:tr w:rsidR="00544F42" w:rsidRPr="000B2893" w14:paraId="392E8D23" w14:textId="77777777" w:rsidTr="006364BB">
        <w:trPr>
          <w:trHeight w:val="300"/>
          <w:jc w:val="center"/>
        </w:trPr>
        <w:tc>
          <w:tcPr>
            <w:tcW w:w="2433" w:type="dxa"/>
            <w:tcBorders>
              <w:top w:val="single" w:sz="4" w:space="0" w:color="auto"/>
              <w:left w:val="double" w:sz="6" w:space="0" w:color="auto"/>
              <w:bottom w:val="single" w:sz="4" w:space="0" w:color="D9D9D9"/>
              <w:right w:val="nil"/>
            </w:tcBorders>
            <w:shd w:val="clear" w:color="auto" w:fill="auto"/>
            <w:noWrap/>
            <w:vAlign w:val="center"/>
          </w:tcPr>
          <w:p w14:paraId="4247C23D" w14:textId="77777777" w:rsidR="00544F42" w:rsidRPr="000B2893" w:rsidRDefault="00544F42" w:rsidP="00544F42">
            <w:pPr>
              <w:spacing w:before="0" w:after="0"/>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By Region -</w:t>
            </w:r>
          </w:p>
        </w:tc>
        <w:tc>
          <w:tcPr>
            <w:tcW w:w="663" w:type="dxa"/>
            <w:tcBorders>
              <w:top w:val="nil"/>
              <w:left w:val="single" w:sz="4" w:space="0" w:color="auto"/>
              <w:bottom w:val="single" w:sz="4" w:space="0" w:color="D9D9D9"/>
              <w:right w:val="single" w:sz="4" w:space="0" w:color="D9D9D9"/>
            </w:tcBorders>
            <w:shd w:val="clear" w:color="auto" w:fill="auto"/>
            <w:noWrap/>
            <w:vAlign w:val="bottom"/>
          </w:tcPr>
          <w:p w14:paraId="55F37680"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single" w:sz="4" w:space="0" w:color="D9D9D9"/>
            </w:tcBorders>
            <w:shd w:val="clear" w:color="auto" w:fill="auto"/>
            <w:noWrap/>
            <w:vAlign w:val="bottom"/>
          </w:tcPr>
          <w:p w14:paraId="7815EC41"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single" w:sz="4" w:space="0" w:color="D9D9D9"/>
            </w:tcBorders>
            <w:shd w:val="clear" w:color="auto" w:fill="auto"/>
            <w:noWrap/>
            <w:vAlign w:val="bottom"/>
          </w:tcPr>
          <w:p w14:paraId="7C157F0F"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single" w:sz="4" w:space="0" w:color="auto"/>
            </w:tcBorders>
            <w:shd w:val="clear" w:color="auto" w:fill="auto"/>
            <w:noWrap/>
            <w:vAlign w:val="bottom"/>
          </w:tcPr>
          <w:p w14:paraId="5FB84F9E"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single" w:sz="4" w:space="0" w:color="D9D9D9"/>
            </w:tcBorders>
            <w:shd w:val="clear" w:color="auto" w:fill="auto"/>
            <w:noWrap/>
            <w:vAlign w:val="bottom"/>
          </w:tcPr>
          <w:p w14:paraId="3CD35344"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single" w:sz="4" w:space="0" w:color="D9D9D9"/>
            </w:tcBorders>
            <w:shd w:val="clear" w:color="auto" w:fill="auto"/>
            <w:noWrap/>
            <w:vAlign w:val="bottom"/>
          </w:tcPr>
          <w:p w14:paraId="122E1CA4"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single" w:sz="4" w:space="0" w:color="D9D9D9"/>
            </w:tcBorders>
            <w:shd w:val="clear" w:color="auto" w:fill="auto"/>
            <w:noWrap/>
            <w:vAlign w:val="bottom"/>
          </w:tcPr>
          <w:p w14:paraId="0E0D7741"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nil"/>
            </w:tcBorders>
            <w:shd w:val="clear" w:color="auto" w:fill="auto"/>
            <w:noWrap/>
            <w:vAlign w:val="bottom"/>
          </w:tcPr>
          <w:p w14:paraId="35A4AA84"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single" w:sz="4" w:space="0" w:color="auto"/>
              <w:bottom w:val="single" w:sz="4" w:space="0" w:color="D9D9D9"/>
              <w:right w:val="single" w:sz="4" w:space="0" w:color="D9D9D9"/>
            </w:tcBorders>
            <w:shd w:val="clear" w:color="auto" w:fill="auto"/>
            <w:noWrap/>
            <w:vAlign w:val="bottom"/>
          </w:tcPr>
          <w:p w14:paraId="092E62BF"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single" w:sz="4" w:space="0" w:color="D9D9D9"/>
            </w:tcBorders>
            <w:shd w:val="clear" w:color="auto" w:fill="auto"/>
            <w:noWrap/>
            <w:vAlign w:val="bottom"/>
          </w:tcPr>
          <w:p w14:paraId="538EF63A"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single" w:sz="4" w:space="0" w:color="D9D9D9"/>
            </w:tcBorders>
            <w:shd w:val="clear" w:color="auto" w:fill="auto"/>
            <w:noWrap/>
            <w:vAlign w:val="bottom"/>
          </w:tcPr>
          <w:p w14:paraId="2E88FBCB"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single" w:sz="4" w:space="0" w:color="auto"/>
            </w:tcBorders>
            <w:shd w:val="clear" w:color="auto" w:fill="auto"/>
            <w:noWrap/>
            <w:vAlign w:val="bottom"/>
          </w:tcPr>
          <w:p w14:paraId="583063BA"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single" w:sz="4" w:space="0" w:color="D9D9D9"/>
            </w:tcBorders>
            <w:shd w:val="clear" w:color="auto" w:fill="auto"/>
            <w:noWrap/>
            <w:vAlign w:val="bottom"/>
          </w:tcPr>
          <w:p w14:paraId="536EAD43"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single" w:sz="4" w:space="0" w:color="D9D9D9"/>
            </w:tcBorders>
            <w:shd w:val="clear" w:color="auto" w:fill="auto"/>
            <w:noWrap/>
            <w:vAlign w:val="bottom"/>
          </w:tcPr>
          <w:p w14:paraId="57F9C33F"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c>
          <w:tcPr>
            <w:tcW w:w="663" w:type="dxa"/>
            <w:tcBorders>
              <w:top w:val="nil"/>
              <w:left w:val="nil"/>
              <w:bottom w:val="single" w:sz="4" w:space="0" w:color="D9D9D9"/>
              <w:right w:val="double" w:sz="6" w:space="0" w:color="auto"/>
            </w:tcBorders>
            <w:shd w:val="clear" w:color="auto" w:fill="auto"/>
            <w:noWrap/>
            <w:vAlign w:val="bottom"/>
          </w:tcPr>
          <w:p w14:paraId="23C434E9" w14:textId="77777777" w:rsidR="00544F42" w:rsidRPr="000B2893" w:rsidRDefault="00544F42" w:rsidP="00544F42">
            <w:pPr>
              <w:spacing w:before="0" w:after="0"/>
              <w:jc w:val="center"/>
              <w:rPr>
                <w:rFonts w:ascii="Calibri" w:hAnsi="Calibri" w:cs="Calibri"/>
                <w:color w:val="000000"/>
                <w:sz w:val="22"/>
                <w:szCs w:val="22"/>
                <w:lang w:val="en-AU" w:eastAsia="en-AU"/>
              </w:rPr>
            </w:pPr>
            <w:r w:rsidRPr="000B2893">
              <w:rPr>
                <w:rFonts w:ascii="Calibri" w:hAnsi="Calibri" w:cs="Calibri"/>
                <w:color w:val="000000"/>
                <w:sz w:val="22"/>
                <w:szCs w:val="22"/>
                <w:lang w:val="en-AU" w:eastAsia="en-AU"/>
              </w:rPr>
              <w:t> </w:t>
            </w:r>
          </w:p>
        </w:tc>
      </w:tr>
      <w:tr w:rsidR="000B2893" w:rsidRPr="000B2893" w14:paraId="746CB21E"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49E93DEC"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smartTag w:uri="urn:schemas-microsoft-com:office:smarttags" w:element="City">
              <w:smartTag w:uri="urn:schemas-microsoft-com:office:smarttags" w:element="place">
                <w:r w:rsidRPr="000B2893">
                  <w:rPr>
                    <w:rFonts w:ascii="Arial" w:hAnsi="Arial" w:cs="Arial"/>
                    <w:color w:val="000000"/>
                    <w:sz w:val="16"/>
                    <w:szCs w:val="16"/>
                    <w:lang w:val="en-AU" w:eastAsia="en-AU"/>
                  </w:rPr>
                  <w:t>Melbourne</w:t>
                </w:r>
              </w:smartTag>
            </w:smartTag>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13F96825"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36%</w:t>
            </w:r>
          </w:p>
        </w:tc>
        <w:tc>
          <w:tcPr>
            <w:tcW w:w="663" w:type="dxa"/>
            <w:tcBorders>
              <w:top w:val="nil"/>
              <w:left w:val="nil"/>
              <w:bottom w:val="single" w:sz="4" w:space="0" w:color="D9D9D9"/>
              <w:right w:val="single" w:sz="4" w:space="0" w:color="D9D9D9"/>
            </w:tcBorders>
            <w:shd w:val="clear" w:color="auto" w:fill="auto"/>
            <w:noWrap/>
            <w:vAlign w:val="center"/>
          </w:tcPr>
          <w:p w14:paraId="621D0C0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33%</w:t>
            </w:r>
          </w:p>
        </w:tc>
        <w:tc>
          <w:tcPr>
            <w:tcW w:w="663" w:type="dxa"/>
            <w:tcBorders>
              <w:top w:val="nil"/>
              <w:left w:val="nil"/>
              <w:bottom w:val="single" w:sz="4" w:space="0" w:color="D9D9D9"/>
              <w:right w:val="single" w:sz="4" w:space="0" w:color="D9D9D9"/>
            </w:tcBorders>
            <w:shd w:val="clear" w:color="auto" w:fill="auto"/>
            <w:noWrap/>
            <w:vAlign w:val="center"/>
          </w:tcPr>
          <w:p w14:paraId="0F62AE4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27%</w:t>
            </w:r>
          </w:p>
        </w:tc>
        <w:tc>
          <w:tcPr>
            <w:tcW w:w="663" w:type="dxa"/>
            <w:tcBorders>
              <w:top w:val="nil"/>
              <w:left w:val="nil"/>
              <w:bottom w:val="single" w:sz="4" w:space="0" w:color="D9D9D9"/>
              <w:right w:val="single" w:sz="4" w:space="0" w:color="auto"/>
            </w:tcBorders>
            <w:shd w:val="clear" w:color="auto" w:fill="auto"/>
            <w:noWrap/>
            <w:vAlign w:val="center"/>
          </w:tcPr>
          <w:p w14:paraId="57C39AF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30%</w:t>
            </w:r>
          </w:p>
        </w:tc>
        <w:tc>
          <w:tcPr>
            <w:tcW w:w="663" w:type="dxa"/>
            <w:tcBorders>
              <w:top w:val="nil"/>
              <w:left w:val="nil"/>
              <w:bottom w:val="nil"/>
              <w:right w:val="nil"/>
            </w:tcBorders>
            <w:shd w:val="clear" w:color="auto" w:fill="auto"/>
            <w:noWrap/>
            <w:vAlign w:val="center"/>
          </w:tcPr>
          <w:p w14:paraId="061C43FB"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40%</w:t>
            </w:r>
          </w:p>
        </w:tc>
        <w:tc>
          <w:tcPr>
            <w:tcW w:w="663" w:type="dxa"/>
            <w:tcBorders>
              <w:top w:val="nil"/>
              <w:left w:val="single" w:sz="4" w:space="0" w:color="D9D9D9"/>
              <w:bottom w:val="single" w:sz="4" w:space="0" w:color="D9D9D9"/>
              <w:right w:val="single" w:sz="4" w:space="0" w:color="D9D9D9"/>
            </w:tcBorders>
            <w:shd w:val="clear" w:color="auto" w:fill="auto"/>
            <w:noWrap/>
            <w:vAlign w:val="center"/>
          </w:tcPr>
          <w:p w14:paraId="0568B6A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35%</w:t>
            </w:r>
          </w:p>
        </w:tc>
        <w:tc>
          <w:tcPr>
            <w:tcW w:w="663" w:type="dxa"/>
            <w:tcBorders>
              <w:top w:val="nil"/>
              <w:left w:val="nil"/>
              <w:bottom w:val="single" w:sz="4" w:space="0" w:color="D9D9D9"/>
              <w:right w:val="single" w:sz="4" w:space="0" w:color="D9D9D9"/>
            </w:tcBorders>
            <w:shd w:val="clear" w:color="auto" w:fill="auto"/>
            <w:noWrap/>
            <w:vAlign w:val="center"/>
          </w:tcPr>
          <w:p w14:paraId="1D33B63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30%</w:t>
            </w:r>
          </w:p>
        </w:tc>
        <w:tc>
          <w:tcPr>
            <w:tcW w:w="663" w:type="dxa"/>
            <w:tcBorders>
              <w:top w:val="nil"/>
              <w:left w:val="nil"/>
              <w:bottom w:val="single" w:sz="4" w:space="0" w:color="D9D9D9"/>
              <w:right w:val="nil"/>
            </w:tcBorders>
            <w:shd w:val="clear" w:color="auto" w:fill="auto"/>
            <w:noWrap/>
            <w:vAlign w:val="center"/>
          </w:tcPr>
          <w:p w14:paraId="63E1AFB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35%</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641E3274"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37%</w:t>
            </w:r>
          </w:p>
        </w:tc>
        <w:tc>
          <w:tcPr>
            <w:tcW w:w="663" w:type="dxa"/>
            <w:tcBorders>
              <w:top w:val="nil"/>
              <w:left w:val="nil"/>
              <w:bottom w:val="single" w:sz="4" w:space="0" w:color="D9D9D9"/>
              <w:right w:val="single" w:sz="4" w:space="0" w:color="D9D9D9"/>
            </w:tcBorders>
            <w:shd w:val="clear" w:color="auto" w:fill="auto"/>
            <w:noWrap/>
            <w:vAlign w:val="center"/>
          </w:tcPr>
          <w:p w14:paraId="7582707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31%</w:t>
            </w:r>
          </w:p>
        </w:tc>
        <w:tc>
          <w:tcPr>
            <w:tcW w:w="663" w:type="dxa"/>
            <w:tcBorders>
              <w:top w:val="nil"/>
              <w:left w:val="nil"/>
              <w:bottom w:val="single" w:sz="4" w:space="0" w:color="D9D9D9"/>
              <w:right w:val="single" w:sz="4" w:space="0" w:color="D9D9D9"/>
            </w:tcBorders>
            <w:shd w:val="clear" w:color="auto" w:fill="auto"/>
            <w:noWrap/>
            <w:vAlign w:val="center"/>
          </w:tcPr>
          <w:p w14:paraId="28218DC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26%</w:t>
            </w:r>
          </w:p>
        </w:tc>
        <w:tc>
          <w:tcPr>
            <w:tcW w:w="663" w:type="dxa"/>
            <w:tcBorders>
              <w:top w:val="nil"/>
              <w:left w:val="nil"/>
              <w:bottom w:val="single" w:sz="4" w:space="0" w:color="D9D9D9"/>
              <w:right w:val="single" w:sz="4" w:space="0" w:color="auto"/>
            </w:tcBorders>
            <w:shd w:val="clear" w:color="auto" w:fill="auto"/>
            <w:noWrap/>
            <w:vAlign w:val="center"/>
          </w:tcPr>
          <w:p w14:paraId="2A47D6C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28%</w:t>
            </w:r>
          </w:p>
        </w:tc>
        <w:tc>
          <w:tcPr>
            <w:tcW w:w="663" w:type="dxa"/>
            <w:tcBorders>
              <w:top w:val="nil"/>
              <w:left w:val="nil"/>
              <w:bottom w:val="single" w:sz="4" w:space="0" w:color="D9D9D9"/>
              <w:right w:val="single" w:sz="4" w:space="0" w:color="D9D9D9"/>
            </w:tcBorders>
            <w:shd w:val="clear" w:color="auto" w:fill="auto"/>
            <w:noWrap/>
            <w:vAlign w:val="center"/>
          </w:tcPr>
          <w:p w14:paraId="2107EDA2"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26%</w:t>
            </w:r>
          </w:p>
        </w:tc>
        <w:tc>
          <w:tcPr>
            <w:tcW w:w="663" w:type="dxa"/>
            <w:tcBorders>
              <w:top w:val="nil"/>
              <w:left w:val="nil"/>
              <w:bottom w:val="single" w:sz="4" w:space="0" w:color="D9D9D9"/>
              <w:right w:val="single" w:sz="4" w:space="0" w:color="D9D9D9"/>
            </w:tcBorders>
            <w:shd w:val="clear" w:color="auto" w:fill="auto"/>
            <w:noWrap/>
            <w:vAlign w:val="center"/>
          </w:tcPr>
          <w:p w14:paraId="4834290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25%</w:t>
            </w:r>
          </w:p>
        </w:tc>
        <w:tc>
          <w:tcPr>
            <w:tcW w:w="663" w:type="dxa"/>
            <w:tcBorders>
              <w:top w:val="nil"/>
              <w:left w:val="nil"/>
              <w:bottom w:val="single" w:sz="4" w:space="0" w:color="D9D9D9"/>
              <w:right w:val="double" w:sz="6" w:space="0" w:color="auto"/>
            </w:tcBorders>
            <w:shd w:val="clear" w:color="auto" w:fill="auto"/>
            <w:noWrap/>
            <w:vAlign w:val="center"/>
          </w:tcPr>
          <w:p w14:paraId="1417E9B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19%</w:t>
            </w:r>
          </w:p>
        </w:tc>
      </w:tr>
      <w:tr w:rsidR="000B2893" w:rsidRPr="000B2893" w14:paraId="123A7541"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08FA170C"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Country VIC</w:t>
            </w:r>
            <w:r w:rsidRPr="000B2893">
              <w:rPr>
                <w:rFonts w:ascii="Arial" w:hAnsi="Arial" w:cs="Arial"/>
                <w:color w:val="000000"/>
                <w:sz w:val="16"/>
                <w:szCs w:val="16"/>
                <w:vertAlign w:val="superscript"/>
                <w:lang w:val="en-AU" w:eastAsia="en-AU"/>
              </w:rPr>
              <w:t>1</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7D52DB6E"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33%</w:t>
            </w:r>
          </w:p>
        </w:tc>
        <w:tc>
          <w:tcPr>
            <w:tcW w:w="663" w:type="dxa"/>
            <w:tcBorders>
              <w:top w:val="nil"/>
              <w:left w:val="nil"/>
              <w:bottom w:val="single" w:sz="4" w:space="0" w:color="D9D9D9"/>
              <w:right w:val="single" w:sz="4" w:space="0" w:color="D9D9D9"/>
            </w:tcBorders>
            <w:shd w:val="clear" w:color="auto" w:fill="auto"/>
            <w:noWrap/>
            <w:vAlign w:val="center"/>
          </w:tcPr>
          <w:p w14:paraId="6EB9146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37%</w:t>
            </w:r>
          </w:p>
        </w:tc>
        <w:tc>
          <w:tcPr>
            <w:tcW w:w="663" w:type="dxa"/>
            <w:tcBorders>
              <w:top w:val="nil"/>
              <w:left w:val="nil"/>
              <w:bottom w:val="single" w:sz="4" w:space="0" w:color="D9D9D9"/>
              <w:right w:val="single" w:sz="4" w:space="0" w:color="D9D9D9"/>
            </w:tcBorders>
            <w:shd w:val="clear" w:color="auto" w:fill="auto"/>
            <w:noWrap/>
            <w:vAlign w:val="center"/>
          </w:tcPr>
          <w:p w14:paraId="4D4FAC2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46%</w:t>
            </w:r>
          </w:p>
        </w:tc>
        <w:tc>
          <w:tcPr>
            <w:tcW w:w="663" w:type="dxa"/>
            <w:tcBorders>
              <w:top w:val="nil"/>
              <w:left w:val="nil"/>
              <w:bottom w:val="single" w:sz="4" w:space="0" w:color="D9D9D9"/>
              <w:right w:val="single" w:sz="4" w:space="0" w:color="auto"/>
            </w:tcBorders>
            <w:shd w:val="clear" w:color="auto" w:fill="auto"/>
            <w:noWrap/>
            <w:vAlign w:val="center"/>
          </w:tcPr>
          <w:p w14:paraId="048CF33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nil"/>
              <w:right w:val="nil"/>
            </w:tcBorders>
            <w:shd w:val="clear" w:color="auto" w:fill="auto"/>
            <w:noWrap/>
            <w:vAlign w:val="center"/>
          </w:tcPr>
          <w:p w14:paraId="2E5B8004"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47%</w:t>
            </w:r>
          </w:p>
        </w:tc>
        <w:tc>
          <w:tcPr>
            <w:tcW w:w="663" w:type="dxa"/>
            <w:tcBorders>
              <w:top w:val="nil"/>
              <w:left w:val="single" w:sz="4" w:space="0" w:color="D9D9D9"/>
              <w:bottom w:val="single" w:sz="4" w:space="0" w:color="D9D9D9"/>
              <w:right w:val="single" w:sz="4" w:space="0" w:color="D9D9D9"/>
            </w:tcBorders>
            <w:shd w:val="clear" w:color="auto" w:fill="auto"/>
            <w:noWrap/>
            <w:vAlign w:val="center"/>
          </w:tcPr>
          <w:p w14:paraId="074AD6A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43%</w:t>
            </w:r>
          </w:p>
        </w:tc>
        <w:tc>
          <w:tcPr>
            <w:tcW w:w="663" w:type="dxa"/>
            <w:tcBorders>
              <w:top w:val="nil"/>
              <w:left w:val="nil"/>
              <w:bottom w:val="single" w:sz="4" w:space="0" w:color="D9D9D9"/>
              <w:right w:val="single" w:sz="4" w:space="0" w:color="D9D9D9"/>
            </w:tcBorders>
            <w:shd w:val="clear" w:color="auto" w:fill="auto"/>
            <w:noWrap/>
            <w:vAlign w:val="center"/>
          </w:tcPr>
          <w:p w14:paraId="5D1A475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49%</w:t>
            </w:r>
          </w:p>
        </w:tc>
        <w:tc>
          <w:tcPr>
            <w:tcW w:w="663" w:type="dxa"/>
            <w:tcBorders>
              <w:top w:val="nil"/>
              <w:left w:val="nil"/>
              <w:bottom w:val="single" w:sz="4" w:space="0" w:color="D9D9D9"/>
              <w:right w:val="nil"/>
            </w:tcBorders>
            <w:shd w:val="clear" w:color="auto" w:fill="auto"/>
            <w:noWrap/>
            <w:vAlign w:val="center"/>
          </w:tcPr>
          <w:p w14:paraId="542EEF8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27A7E69C"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39%</w:t>
            </w:r>
          </w:p>
        </w:tc>
        <w:tc>
          <w:tcPr>
            <w:tcW w:w="663" w:type="dxa"/>
            <w:tcBorders>
              <w:top w:val="nil"/>
              <w:left w:val="nil"/>
              <w:bottom w:val="single" w:sz="4" w:space="0" w:color="D9D9D9"/>
              <w:right w:val="single" w:sz="4" w:space="0" w:color="D9D9D9"/>
            </w:tcBorders>
            <w:shd w:val="clear" w:color="auto" w:fill="auto"/>
            <w:noWrap/>
            <w:vAlign w:val="center"/>
          </w:tcPr>
          <w:p w14:paraId="6F46BCF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38%</w:t>
            </w:r>
          </w:p>
        </w:tc>
        <w:tc>
          <w:tcPr>
            <w:tcW w:w="663" w:type="dxa"/>
            <w:tcBorders>
              <w:top w:val="nil"/>
              <w:left w:val="nil"/>
              <w:bottom w:val="single" w:sz="4" w:space="0" w:color="D9D9D9"/>
              <w:right w:val="single" w:sz="4" w:space="0" w:color="D9D9D9"/>
            </w:tcBorders>
            <w:shd w:val="clear" w:color="auto" w:fill="auto"/>
            <w:noWrap/>
            <w:vAlign w:val="center"/>
          </w:tcPr>
          <w:p w14:paraId="07CC6F2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45%</w:t>
            </w:r>
          </w:p>
        </w:tc>
        <w:tc>
          <w:tcPr>
            <w:tcW w:w="663" w:type="dxa"/>
            <w:tcBorders>
              <w:top w:val="nil"/>
              <w:left w:val="nil"/>
              <w:bottom w:val="single" w:sz="4" w:space="0" w:color="D9D9D9"/>
              <w:right w:val="single" w:sz="4" w:space="0" w:color="auto"/>
            </w:tcBorders>
            <w:shd w:val="clear" w:color="auto" w:fill="auto"/>
            <w:noWrap/>
            <w:vAlign w:val="center"/>
          </w:tcPr>
          <w:p w14:paraId="48D1FF9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3B463EEF"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30%</w:t>
            </w:r>
          </w:p>
        </w:tc>
        <w:tc>
          <w:tcPr>
            <w:tcW w:w="663" w:type="dxa"/>
            <w:tcBorders>
              <w:top w:val="nil"/>
              <w:left w:val="nil"/>
              <w:bottom w:val="single" w:sz="4" w:space="0" w:color="D9D9D9"/>
              <w:right w:val="single" w:sz="4" w:space="0" w:color="D9D9D9"/>
            </w:tcBorders>
            <w:shd w:val="clear" w:color="auto" w:fill="auto"/>
            <w:noWrap/>
            <w:vAlign w:val="center"/>
          </w:tcPr>
          <w:p w14:paraId="10E927D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34%</w:t>
            </w:r>
          </w:p>
        </w:tc>
        <w:tc>
          <w:tcPr>
            <w:tcW w:w="663" w:type="dxa"/>
            <w:tcBorders>
              <w:top w:val="nil"/>
              <w:left w:val="nil"/>
              <w:bottom w:val="single" w:sz="4" w:space="0" w:color="D9D9D9"/>
              <w:right w:val="double" w:sz="6" w:space="0" w:color="auto"/>
            </w:tcBorders>
            <w:shd w:val="clear" w:color="auto" w:fill="auto"/>
            <w:noWrap/>
            <w:vAlign w:val="center"/>
          </w:tcPr>
          <w:p w14:paraId="5BA98AB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34%</w:t>
            </w:r>
          </w:p>
        </w:tc>
      </w:tr>
      <w:tr w:rsidR="000B2893" w:rsidRPr="000B2893" w14:paraId="148EB383"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67B106FE" w14:textId="2EA5AAF3" w:rsidR="000B2893" w:rsidRPr="000B2893" w:rsidRDefault="00BC6314" w:rsidP="00544F42">
            <w:pPr>
              <w:spacing w:before="0" w:after="0"/>
              <w:ind w:firstLineChars="100" w:firstLine="160"/>
              <w:rPr>
                <w:rFonts w:ascii="Arial" w:hAnsi="Arial" w:cs="Arial"/>
                <w:color w:val="000000"/>
                <w:sz w:val="16"/>
                <w:szCs w:val="16"/>
                <w:lang w:val="en-AU" w:eastAsia="en-AU"/>
              </w:rPr>
            </w:pPr>
            <w:r>
              <w:rPr>
                <w:rFonts w:ascii="Arial" w:hAnsi="Arial" w:cs="Arial"/>
                <w:color w:val="000000"/>
                <w:sz w:val="16"/>
                <w:szCs w:val="16"/>
                <w:lang w:val="en-AU" w:eastAsia="en-AU"/>
              </w:rPr>
              <w:t>LPG Household</w:t>
            </w:r>
            <w:r w:rsidR="000B2893" w:rsidRPr="000B2893">
              <w:rPr>
                <w:rFonts w:ascii="Arial" w:hAnsi="Arial" w:cs="Arial"/>
                <w:color w:val="000000"/>
                <w:sz w:val="16"/>
                <w:szCs w:val="16"/>
                <w:lang w:val="en-AU" w:eastAsia="en-AU"/>
              </w:rPr>
              <w:t>s</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D6629F3"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w:t>
            </w:r>
          </w:p>
        </w:tc>
        <w:tc>
          <w:tcPr>
            <w:tcW w:w="663" w:type="dxa"/>
            <w:tcBorders>
              <w:top w:val="nil"/>
              <w:left w:val="nil"/>
              <w:bottom w:val="single" w:sz="4" w:space="0" w:color="D9D9D9"/>
              <w:right w:val="single" w:sz="4" w:space="0" w:color="D9D9D9"/>
            </w:tcBorders>
            <w:shd w:val="clear" w:color="auto" w:fill="auto"/>
            <w:noWrap/>
            <w:vAlign w:val="center"/>
          </w:tcPr>
          <w:p w14:paraId="2364036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33%</w:t>
            </w:r>
          </w:p>
        </w:tc>
        <w:tc>
          <w:tcPr>
            <w:tcW w:w="663" w:type="dxa"/>
            <w:tcBorders>
              <w:top w:val="nil"/>
              <w:left w:val="nil"/>
              <w:bottom w:val="single" w:sz="4" w:space="0" w:color="D9D9D9"/>
              <w:right w:val="single" w:sz="4" w:space="0" w:color="D9D9D9"/>
            </w:tcBorders>
            <w:shd w:val="clear" w:color="auto" w:fill="auto"/>
            <w:noWrap/>
            <w:vAlign w:val="center"/>
          </w:tcPr>
          <w:p w14:paraId="4EE4569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28DBEC6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nil"/>
              <w:right w:val="nil"/>
            </w:tcBorders>
            <w:shd w:val="clear" w:color="auto" w:fill="auto"/>
            <w:noWrap/>
            <w:vAlign w:val="center"/>
          </w:tcPr>
          <w:p w14:paraId="1809E333"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46%</w:t>
            </w:r>
          </w:p>
        </w:tc>
        <w:tc>
          <w:tcPr>
            <w:tcW w:w="663" w:type="dxa"/>
            <w:tcBorders>
              <w:top w:val="nil"/>
              <w:left w:val="single" w:sz="4" w:space="0" w:color="D9D9D9"/>
              <w:bottom w:val="single" w:sz="4" w:space="0" w:color="D9D9D9"/>
              <w:right w:val="single" w:sz="4" w:space="0" w:color="D9D9D9"/>
            </w:tcBorders>
            <w:shd w:val="clear" w:color="auto" w:fill="auto"/>
            <w:noWrap/>
            <w:vAlign w:val="center"/>
          </w:tcPr>
          <w:p w14:paraId="4E5DC79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58%</w:t>
            </w:r>
          </w:p>
        </w:tc>
        <w:tc>
          <w:tcPr>
            <w:tcW w:w="663" w:type="dxa"/>
            <w:tcBorders>
              <w:top w:val="nil"/>
              <w:left w:val="nil"/>
              <w:bottom w:val="single" w:sz="4" w:space="0" w:color="D9D9D9"/>
              <w:right w:val="single" w:sz="4" w:space="0" w:color="D9D9D9"/>
            </w:tcBorders>
            <w:shd w:val="clear" w:color="auto" w:fill="auto"/>
            <w:noWrap/>
            <w:vAlign w:val="center"/>
          </w:tcPr>
          <w:p w14:paraId="7EBE97D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70D3DE7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B0B0AB3"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24%</w:t>
            </w:r>
          </w:p>
        </w:tc>
        <w:tc>
          <w:tcPr>
            <w:tcW w:w="663" w:type="dxa"/>
            <w:tcBorders>
              <w:top w:val="nil"/>
              <w:left w:val="nil"/>
              <w:bottom w:val="single" w:sz="4" w:space="0" w:color="D9D9D9"/>
              <w:right w:val="single" w:sz="4" w:space="0" w:color="D9D9D9"/>
            </w:tcBorders>
            <w:shd w:val="clear" w:color="auto" w:fill="auto"/>
            <w:noWrap/>
            <w:vAlign w:val="center"/>
          </w:tcPr>
          <w:p w14:paraId="41A62BC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55%</w:t>
            </w:r>
          </w:p>
        </w:tc>
        <w:tc>
          <w:tcPr>
            <w:tcW w:w="663" w:type="dxa"/>
            <w:tcBorders>
              <w:top w:val="nil"/>
              <w:left w:val="nil"/>
              <w:bottom w:val="single" w:sz="4" w:space="0" w:color="D9D9D9"/>
              <w:right w:val="single" w:sz="4" w:space="0" w:color="D9D9D9"/>
            </w:tcBorders>
            <w:shd w:val="clear" w:color="auto" w:fill="auto"/>
            <w:noWrap/>
            <w:vAlign w:val="center"/>
          </w:tcPr>
          <w:p w14:paraId="1EEB28D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3E8ACA5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6D81970A"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29%</w:t>
            </w:r>
          </w:p>
        </w:tc>
        <w:tc>
          <w:tcPr>
            <w:tcW w:w="663" w:type="dxa"/>
            <w:tcBorders>
              <w:top w:val="nil"/>
              <w:left w:val="nil"/>
              <w:bottom w:val="single" w:sz="4" w:space="0" w:color="D9D9D9"/>
              <w:right w:val="single" w:sz="4" w:space="0" w:color="D9D9D9"/>
            </w:tcBorders>
            <w:shd w:val="clear" w:color="auto" w:fill="auto"/>
            <w:noWrap/>
            <w:vAlign w:val="center"/>
          </w:tcPr>
          <w:p w14:paraId="1F8C4B4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47%</w:t>
            </w:r>
          </w:p>
        </w:tc>
        <w:tc>
          <w:tcPr>
            <w:tcW w:w="663" w:type="dxa"/>
            <w:tcBorders>
              <w:top w:val="nil"/>
              <w:left w:val="nil"/>
              <w:bottom w:val="single" w:sz="4" w:space="0" w:color="D9D9D9"/>
              <w:right w:val="double" w:sz="6" w:space="0" w:color="auto"/>
            </w:tcBorders>
            <w:shd w:val="clear" w:color="auto" w:fill="auto"/>
            <w:noWrap/>
            <w:vAlign w:val="center"/>
          </w:tcPr>
          <w:p w14:paraId="642FB06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4BECE44D"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4189717F" w14:textId="77777777" w:rsidR="000B2893" w:rsidRPr="000B2893" w:rsidRDefault="000B2893" w:rsidP="00544F42">
            <w:pPr>
              <w:spacing w:before="0" w:after="0"/>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 xml:space="preserve">By DHHS Area - </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50D3E4DC"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6BFFAFF3" w14:textId="19F51A8D"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4B0DE9EC" w14:textId="6B085A07"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auto"/>
            </w:tcBorders>
            <w:shd w:val="clear" w:color="auto" w:fill="auto"/>
            <w:noWrap/>
            <w:vAlign w:val="center"/>
          </w:tcPr>
          <w:p w14:paraId="6FD3EB42" w14:textId="3A72B155"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single" w:sz="4" w:space="0" w:color="D9D9D9"/>
              <w:left w:val="nil"/>
              <w:bottom w:val="single" w:sz="4" w:space="0" w:color="D9D9D9"/>
              <w:right w:val="single" w:sz="4" w:space="0" w:color="D9D9D9"/>
            </w:tcBorders>
            <w:shd w:val="clear" w:color="auto" w:fill="auto"/>
            <w:noWrap/>
            <w:vAlign w:val="center"/>
          </w:tcPr>
          <w:p w14:paraId="2FF52BBA"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6B9B5602" w14:textId="5D09EE35"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413F89F4" w14:textId="61044969"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nil"/>
            </w:tcBorders>
            <w:shd w:val="clear" w:color="auto" w:fill="auto"/>
            <w:noWrap/>
            <w:vAlign w:val="center"/>
          </w:tcPr>
          <w:p w14:paraId="3D9C3FF7" w14:textId="7C811908"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2E4EB6E8"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1CCBA365" w14:textId="7FAA4A94"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4B482D9C" w14:textId="42FC0793"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auto"/>
            </w:tcBorders>
            <w:shd w:val="clear" w:color="auto" w:fill="auto"/>
            <w:noWrap/>
            <w:vAlign w:val="center"/>
          </w:tcPr>
          <w:p w14:paraId="2B0AA44C" w14:textId="59BB7D53"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524DBD4B"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0B63BD3E" w14:textId="08C3BAB6"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double" w:sz="6" w:space="0" w:color="auto"/>
            </w:tcBorders>
            <w:shd w:val="clear" w:color="auto" w:fill="auto"/>
            <w:noWrap/>
            <w:vAlign w:val="center"/>
          </w:tcPr>
          <w:p w14:paraId="0C5FA295" w14:textId="57DE9EA0" w:rsidR="000B2893" w:rsidRPr="000B2893" w:rsidRDefault="000B2893">
            <w:pPr>
              <w:spacing w:before="0" w:after="0"/>
              <w:jc w:val="center"/>
              <w:rPr>
                <w:rFonts w:ascii="Arial" w:hAnsi="Arial" w:cs="Arial"/>
                <w:color w:val="000000"/>
                <w:sz w:val="16"/>
                <w:szCs w:val="16"/>
                <w:lang w:val="en-AU" w:eastAsia="en-AU"/>
              </w:rPr>
            </w:pPr>
          </w:p>
        </w:tc>
      </w:tr>
      <w:tr w:rsidR="000B2893" w:rsidRPr="000B2893" w14:paraId="3F0BE6EC"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59FF4453"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Hume Moreland</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30ED02A3"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48%</w:t>
            </w:r>
          </w:p>
        </w:tc>
        <w:tc>
          <w:tcPr>
            <w:tcW w:w="663" w:type="dxa"/>
            <w:tcBorders>
              <w:top w:val="nil"/>
              <w:left w:val="nil"/>
              <w:bottom w:val="single" w:sz="4" w:space="0" w:color="D9D9D9"/>
              <w:right w:val="single" w:sz="4" w:space="0" w:color="D9D9D9"/>
            </w:tcBorders>
            <w:shd w:val="clear" w:color="auto" w:fill="auto"/>
            <w:noWrap/>
            <w:vAlign w:val="center"/>
          </w:tcPr>
          <w:p w14:paraId="0F8B02E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62FC248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7E120E2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15B505F2"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48%</w:t>
            </w:r>
          </w:p>
        </w:tc>
        <w:tc>
          <w:tcPr>
            <w:tcW w:w="663" w:type="dxa"/>
            <w:tcBorders>
              <w:top w:val="nil"/>
              <w:left w:val="nil"/>
              <w:bottom w:val="single" w:sz="4" w:space="0" w:color="D9D9D9"/>
              <w:right w:val="single" w:sz="4" w:space="0" w:color="D9D9D9"/>
            </w:tcBorders>
            <w:shd w:val="clear" w:color="auto" w:fill="auto"/>
            <w:noWrap/>
            <w:vAlign w:val="center"/>
          </w:tcPr>
          <w:p w14:paraId="5CB1D56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2D559F8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48D4B05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227EC8D6"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49%</w:t>
            </w:r>
          </w:p>
        </w:tc>
        <w:tc>
          <w:tcPr>
            <w:tcW w:w="663" w:type="dxa"/>
            <w:tcBorders>
              <w:top w:val="nil"/>
              <w:left w:val="nil"/>
              <w:bottom w:val="single" w:sz="4" w:space="0" w:color="D9D9D9"/>
              <w:right w:val="single" w:sz="4" w:space="0" w:color="D9D9D9"/>
            </w:tcBorders>
            <w:shd w:val="clear" w:color="auto" w:fill="auto"/>
            <w:noWrap/>
            <w:vAlign w:val="center"/>
          </w:tcPr>
          <w:p w14:paraId="74EB868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A95634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200F74E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C04023C"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34%</w:t>
            </w:r>
          </w:p>
        </w:tc>
        <w:tc>
          <w:tcPr>
            <w:tcW w:w="663" w:type="dxa"/>
            <w:tcBorders>
              <w:top w:val="nil"/>
              <w:left w:val="nil"/>
              <w:bottom w:val="single" w:sz="4" w:space="0" w:color="D9D9D9"/>
              <w:right w:val="single" w:sz="4" w:space="0" w:color="D9D9D9"/>
            </w:tcBorders>
            <w:shd w:val="clear" w:color="auto" w:fill="auto"/>
            <w:noWrap/>
            <w:vAlign w:val="center"/>
          </w:tcPr>
          <w:p w14:paraId="10D65C2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0A99883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5AE67157"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46A6BB02"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North Eastern Melbourne</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5611C50"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40%</w:t>
            </w:r>
          </w:p>
        </w:tc>
        <w:tc>
          <w:tcPr>
            <w:tcW w:w="663" w:type="dxa"/>
            <w:tcBorders>
              <w:top w:val="nil"/>
              <w:left w:val="nil"/>
              <w:bottom w:val="single" w:sz="4" w:space="0" w:color="D9D9D9"/>
              <w:right w:val="single" w:sz="4" w:space="0" w:color="D9D9D9"/>
            </w:tcBorders>
            <w:shd w:val="clear" w:color="auto" w:fill="auto"/>
            <w:noWrap/>
            <w:vAlign w:val="center"/>
          </w:tcPr>
          <w:p w14:paraId="7987E1B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6CEAC2E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054321C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B72D83B"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44%</w:t>
            </w:r>
          </w:p>
        </w:tc>
        <w:tc>
          <w:tcPr>
            <w:tcW w:w="663" w:type="dxa"/>
            <w:tcBorders>
              <w:top w:val="nil"/>
              <w:left w:val="nil"/>
              <w:bottom w:val="single" w:sz="4" w:space="0" w:color="D9D9D9"/>
              <w:right w:val="single" w:sz="4" w:space="0" w:color="D9D9D9"/>
            </w:tcBorders>
            <w:shd w:val="clear" w:color="auto" w:fill="auto"/>
            <w:noWrap/>
            <w:vAlign w:val="center"/>
          </w:tcPr>
          <w:p w14:paraId="7FDE379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B073B8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2F8463C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4F4445A"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39%</w:t>
            </w:r>
          </w:p>
        </w:tc>
        <w:tc>
          <w:tcPr>
            <w:tcW w:w="663" w:type="dxa"/>
            <w:tcBorders>
              <w:top w:val="nil"/>
              <w:left w:val="nil"/>
              <w:bottom w:val="single" w:sz="4" w:space="0" w:color="D9D9D9"/>
              <w:right w:val="single" w:sz="4" w:space="0" w:color="D9D9D9"/>
            </w:tcBorders>
            <w:shd w:val="clear" w:color="auto" w:fill="auto"/>
            <w:noWrap/>
            <w:vAlign w:val="center"/>
          </w:tcPr>
          <w:p w14:paraId="29EEE49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4CC57CE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4F54AAC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E27F1AC"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22%</w:t>
            </w:r>
          </w:p>
        </w:tc>
        <w:tc>
          <w:tcPr>
            <w:tcW w:w="663" w:type="dxa"/>
            <w:tcBorders>
              <w:top w:val="nil"/>
              <w:left w:val="nil"/>
              <w:bottom w:val="single" w:sz="4" w:space="0" w:color="D9D9D9"/>
              <w:right w:val="single" w:sz="4" w:space="0" w:color="D9D9D9"/>
            </w:tcBorders>
            <w:shd w:val="clear" w:color="auto" w:fill="auto"/>
            <w:noWrap/>
            <w:vAlign w:val="center"/>
          </w:tcPr>
          <w:p w14:paraId="5D6F56D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1363134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51B8B1CD"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5596F072"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 xml:space="preserve">Outer </w:t>
            </w:r>
            <w:smartTag w:uri="urn:schemas-microsoft-com:office:smarttags" w:element="place">
              <w:r w:rsidRPr="000B2893">
                <w:rPr>
                  <w:rFonts w:ascii="Arial" w:hAnsi="Arial" w:cs="Arial"/>
                  <w:color w:val="000000"/>
                  <w:sz w:val="16"/>
                  <w:szCs w:val="16"/>
                  <w:lang w:val="en-AU" w:eastAsia="en-AU"/>
                </w:rPr>
                <w:t>Eastern Melbourne</w:t>
              </w:r>
            </w:smartTag>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1A931717"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42%</w:t>
            </w:r>
          </w:p>
        </w:tc>
        <w:tc>
          <w:tcPr>
            <w:tcW w:w="663" w:type="dxa"/>
            <w:tcBorders>
              <w:top w:val="nil"/>
              <w:left w:val="nil"/>
              <w:bottom w:val="single" w:sz="4" w:space="0" w:color="D9D9D9"/>
              <w:right w:val="single" w:sz="4" w:space="0" w:color="D9D9D9"/>
            </w:tcBorders>
            <w:shd w:val="clear" w:color="auto" w:fill="auto"/>
            <w:noWrap/>
            <w:vAlign w:val="center"/>
          </w:tcPr>
          <w:p w14:paraId="17E9806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3EEFDD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328C79C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5228469E"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47%</w:t>
            </w:r>
          </w:p>
        </w:tc>
        <w:tc>
          <w:tcPr>
            <w:tcW w:w="663" w:type="dxa"/>
            <w:tcBorders>
              <w:top w:val="nil"/>
              <w:left w:val="nil"/>
              <w:bottom w:val="single" w:sz="4" w:space="0" w:color="D9D9D9"/>
              <w:right w:val="single" w:sz="4" w:space="0" w:color="D9D9D9"/>
            </w:tcBorders>
            <w:shd w:val="clear" w:color="auto" w:fill="auto"/>
            <w:noWrap/>
            <w:vAlign w:val="center"/>
          </w:tcPr>
          <w:p w14:paraId="6E2A033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5CCB7EA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05C67C6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2A9F2395"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41%</w:t>
            </w:r>
          </w:p>
        </w:tc>
        <w:tc>
          <w:tcPr>
            <w:tcW w:w="663" w:type="dxa"/>
            <w:tcBorders>
              <w:top w:val="nil"/>
              <w:left w:val="nil"/>
              <w:bottom w:val="single" w:sz="4" w:space="0" w:color="D9D9D9"/>
              <w:right w:val="single" w:sz="4" w:space="0" w:color="D9D9D9"/>
            </w:tcBorders>
            <w:shd w:val="clear" w:color="auto" w:fill="auto"/>
            <w:noWrap/>
            <w:vAlign w:val="center"/>
          </w:tcPr>
          <w:p w14:paraId="3624CC6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3CC1FA2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78A7BF7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5668B1EF"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31%</w:t>
            </w:r>
          </w:p>
        </w:tc>
        <w:tc>
          <w:tcPr>
            <w:tcW w:w="663" w:type="dxa"/>
            <w:tcBorders>
              <w:top w:val="nil"/>
              <w:left w:val="nil"/>
              <w:bottom w:val="single" w:sz="4" w:space="0" w:color="D9D9D9"/>
              <w:right w:val="single" w:sz="4" w:space="0" w:color="D9D9D9"/>
            </w:tcBorders>
            <w:shd w:val="clear" w:color="auto" w:fill="auto"/>
            <w:noWrap/>
            <w:vAlign w:val="center"/>
          </w:tcPr>
          <w:p w14:paraId="097F142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6B34554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67C6CA06"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3589EF0C"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 xml:space="preserve">Inner </w:t>
            </w:r>
            <w:smartTag w:uri="urn:schemas-microsoft-com:office:smarttags" w:element="place">
              <w:r w:rsidRPr="000B2893">
                <w:rPr>
                  <w:rFonts w:ascii="Arial" w:hAnsi="Arial" w:cs="Arial"/>
                  <w:color w:val="000000"/>
                  <w:sz w:val="16"/>
                  <w:szCs w:val="16"/>
                  <w:lang w:val="en-AU" w:eastAsia="en-AU"/>
                </w:rPr>
                <w:t>Eastern Melbourne</w:t>
              </w:r>
            </w:smartTag>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7A47694"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33%</w:t>
            </w:r>
          </w:p>
        </w:tc>
        <w:tc>
          <w:tcPr>
            <w:tcW w:w="663" w:type="dxa"/>
            <w:tcBorders>
              <w:top w:val="nil"/>
              <w:left w:val="nil"/>
              <w:bottom w:val="single" w:sz="4" w:space="0" w:color="D9D9D9"/>
              <w:right w:val="single" w:sz="4" w:space="0" w:color="D9D9D9"/>
            </w:tcBorders>
            <w:shd w:val="clear" w:color="auto" w:fill="auto"/>
            <w:noWrap/>
            <w:vAlign w:val="center"/>
          </w:tcPr>
          <w:p w14:paraId="4B65CFB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1BDEE2B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50AD7A8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2A41546C"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36%</w:t>
            </w:r>
          </w:p>
        </w:tc>
        <w:tc>
          <w:tcPr>
            <w:tcW w:w="663" w:type="dxa"/>
            <w:tcBorders>
              <w:top w:val="nil"/>
              <w:left w:val="nil"/>
              <w:bottom w:val="single" w:sz="4" w:space="0" w:color="D9D9D9"/>
              <w:right w:val="single" w:sz="4" w:space="0" w:color="D9D9D9"/>
            </w:tcBorders>
            <w:shd w:val="clear" w:color="auto" w:fill="auto"/>
            <w:noWrap/>
            <w:vAlign w:val="center"/>
          </w:tcPr>
          <w:p w14:paraId="2750777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550508D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3D30374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7DC59A92"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29%</w:t>
            </w:r>
          </w:p>
        </w:tc>
        <w:tc>
          <w:tcPr>
            <w:tcW w:w="663" w:type="dxa"/>
            <w:tcBorders>
              <w:top w:val="nil"/>
              <w:left w:val="nil"/>
              <w:bottom w:val="single" w:sz="4" w:space="0" w:color="D9D9D9"/>
              <w:right w:val="single" w:sz="4" w:space="0" w:color="D9D9D9"/>
            </w:tcBorders>
            <w:shd w:val="clear" w:color="auto" w:fill="auto"/>
            <w:noWrap/>
            <w:vAlign w:val="center"/>
          </w:tcPr>
          <w:p w14:paraId="20C7D5F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2D673E9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6CD9F27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0387D01"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24%</w:t>
            </w:r>
          </w:p>
        </w:tc>
        <w:tc>
          <w:tcPr>
            <w:tcW w:w="663" w:type="dxa"/>
            <w:tcBorders>
              <w:top w:val="nil"/>
              <w:left w:val="nil"/>
              <w:bottom w:val="single" w:sz="4" w:space="0" w:color="D9D9D9"/>
              <w:right w:val="single" w:sz="4" w:space="0" w:color="D9D9D9"/>
            </w:tcBorders>
            <w:shd w:val="clear" w:color="auto" w:fill="auto"/>
            <w:noWrap/>
            <w:vAlign w:val="center"/>
          </w:tcPr>
          <w:p w14:paraId="12204FE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7CA52D4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10035C79"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5041344D"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smartTag w:uri="urn:schemas-microsoft-com:office:smarttags" w:element="place">
              <w:r w:rsidRPr="000B2893">
                <w:rPr>
                  <w:rFonts w:ascii="Arial" w:hAnsi="Arial" w:cs="Arial"/>
                  <w:color w:val="000000"/>
                  <w:sz w:val="16"/>
                  <w:szCs w:val="16"/>
                  <w:lang w:val="en-AU" w:eastAsia="en-AU"/>
                </w:rPr>
                <w:t>Southern Melbourne</w:t>
              </w:r>
            </w:smartTag>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70804BEE"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40%</w:t>
            </w:r>
          </w:p>
        </w:tc>
        <w:tc>
          <w:tcPr>
            <w:tcW w:w="663" w:type="dxa"/>
            <w:tcBorders>
              <w:top w:val="nil"/>
              <w:left w:val="nil"/>
              <w:bottom w:val="single" w:sz="4" w:space="0" w:color="D9D9D9"/>
              <w:right w:val="single" w:sz="4" w:space="0" w:color="D9D9D9"/>
            </w:tcBorders>
            <w:shd w:val="clear" w:color="auto" w:fill="auto"/>
            <w:noWrap/>
            <w:vAlign w:val="center"/>
          </w:tcPr>
          <w:p w14:paraId="04EDE12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34E23F4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66A13DA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52C84EB2"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43%</w:t>
            </w:r>
          </w:p>
        </w:tc>
        <w:tc>
          <w:tcPr>
            <w:tcW w:w="663" w:type="dxa"/>
            <w:tcBorders>
              <w:top w:val="nil"/>
              <w:left w:val="nil"/>
              <w:bottom w:val="single" w:sz="4" w:space="0" w:color="D9D9D9"/>
              <w:right w:val="single" w:sz="4" w:space="0" w:color="D9D9D9"/>
            </w:tcBorders>
            <w:shd w:val="clear" w:color="auto" w:fill="auto"/>
            <w:noWrap/>
            <w:vAlign w:val="center"/>
          </w:tcPr>
          <w:p w14:paraId="697FE09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69D92B6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4B63AB2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49A98D46"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42%</w:t>
            </w:r>
          </w:p>
        </w:tc>
        <w:tc>
          <w:tcPr>
            <w:tcW w:w="663" w:type="dxa"/>
            <w:tcBorders>
              <w:top w:val="nil"/>
              <w:left w:val="nil"/>
              <w:bottom w:val="single" w:sz="4" w:space="0" w:color="D9D9D9"/>
              <w:right w:val="single" w:sz="4" w:space="0" w:color="D9D9D9"/>
            </w:tcBorders>
            <w:shd w:val="clear" w:color="auto" w:fill="auto"/>
            <w:noWrap/>
            <w:vAlign w:val="center"/>
          </w:tcPr>
          <w:p w14:paraId="089D805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1D50344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28F2A95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05739C3"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29%</w:t>
            </w:r>
          </w:p>
        </w:tc>
        <w:tc>
          <w:tcPr>
            <w:tcW w:w="663" w:type="dxa"/>
            <w:tcBorders>
              <w:top w:val="nil"/>
              <w:left w:val="nil"/>
              <w:bottom w:val="single" w:sz="4" w:space="0" w:color="D9D9D9"/>
              <w:right w:val="single" w:sz="4" w:space="0" w:color="D9D9D9"/>
            </w:tcBorders>
            <w:shd w:val="clear" w:color="auto" w:fill="auto"/>
            <w:noWrap/>
            <w:vAlign w:val="center"/>
          </w:tcPr>
          <w:p w14:paraId="2D4FA86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63FD85D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24E6ADC8"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6BFF549D"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Bayside</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3D5DEFE4"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36%</w:t>
            </w:r>
          </w:p>
        </w:tc>
        <w:tc>
          <w:tcPr>
            <w:tcW w:w="663" w:type="dxa"/>
            <w:tcBorders>
              <w:top w:val="nil"/>
              <w:left w:val="nil"/>
              <w:bottom w:val="single" w:sz="4" w:space="0" w:color="D9D9D9"/>
              <w:right w:val="single" w:sz="4" w:space="0" w:color="D9D9D9"/>
            </w:tcBorders>
            <w:shd w:val="clear" w:color="auto" w:fill="auto"/>
            <w:noWrap/>
            <w:vAlign w:val="center"/>
          </w:tcPr>
          <w:p w14:paraId="57C8C42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4C1B2E6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49D0959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62069538"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39%</w:t>
            </w:r>
          </w:p>
        </w:tc>
        <w:tc>
          <w:tcPr>
            <w:tcW w:w="663" w:type="dxa"/>
            <w:tcBorders>
              <w:top w:val="nil"/>
              <w:left w:val="nil"/>
              <w:bottom w:val="single" w:sz="4" w:space="0" w:color="D9D9D9"/>
              <w:right w:val="single" w:sz="4" w:space="0" w:color="D9D9D9"/>
            </w:tcBorders>
            <w:shd w:val="clear" w:color="auto" w:fill="auto"/>
            <w:noWrap/>
            <w:vAlign w:val="center"/>
          </w:tcPr>
          <w:p w14:paraId="3197725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1A0B3EA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3C6EDFC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48C036E"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34%</w:t>
            </w:r>
          </w:p>
        </w:tc>
        <w:tc>
          <w:tcPr>
            <w:tcW w:w="663" w:type="dxa"/>
            <w:tcBorders>
              <w:top w:val="nil"/>
              <w:left w:val="nil"/>
              <w:bottom w:val="single" w:sz="4" w:space="0" w:color="D9D9D9"/>
              <w:right w:val="single" w:sz="4" w:space="0" w:color="D9D9D9"/>
            </w:tcBorders>
            <w:shd w:val="clear" w:color="auto" w:fill="auto"/>
            <w:noWrap/>
            <w:vAlign w:val="center"/>
          </w:tcPr>
          <w:p w14:paraId="0A6C4B8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79A7F9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7D1CAB5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4FE769A6"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25%</w:t>
            </w:r>
          </w:p>
        </w:tc>
        <w:tc>
          <w:tcPr>
            <w:tcW w:w="663" w:type="dxa"/>
            <w:tcBorders>
              <w:top w:val="nil"/>
              <w:left w:val="nil"/>
              <w:bottom w:val="single" w:sz="4" w:space="0" w:color="D9D9D9"/>
              <w:right w:val="single" w:sz="4" w:space="0" w:color="D9D9D9"/>
            </w:tcBorders>
            <w:shd w:val="clear" w:color="auto" w:fill="auto"/>
            <w:noWrap/>
            <w:vAlign w:val="center"/>
          </w:tcPr>
          <w:p w14:paraId="7BCCF52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00E67A1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70799EF5"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40A59AF0"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smartTag w:uri="urn:schemas-microsoft-com:office:smarttags" w:element="place">
              <w:r w:rsidRPr="000B2893">
                <w:rPr>
                  <w:rFonts w:ascii="Arial" w:hAnsi="Arial" w:cs="Arial"/>
                  <w:color w:val="000000"/>
                  <w:sz w:val="16"/>
                  <w:szCs w:val="16"/>
                  <w:lang w:val="en-AU" w:eastAsia="en-AU"/>
                </w:rPr>
                <w:t>Western Melbourne</w:t>
              </w:r>
            </w:smartTag>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2C35C0E5"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26%</w:t>
            </w:r>
          </w:p>
        </w:tc>
        <w:tc>
          <w:tcPr>
            <w:tcW w:w="663" w:type="dxa"/>
            <w:tcBorders>
              <w:top w:val="nil"/>
              <w:left w:val="nil"/>
              <w:bottom w:val="single" w:sz="4" w:space="0" w:color="D9D9D9"/>
              <w:right w:val="single" w:sz="4" w:space="0" w:color="D9D9D9"/>
            </w:tcBorders>
            <w:shd w:val="clear" w:color="auto" w:fill="auto"/>
            <w:noWrap/>
            <w:vAlign w:val="center"/>
          </w:tcPr>
          <w:p w14:paraId="2535C8F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1B6A7E6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5F80C9E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6ACE867F"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31%</w:t>
            </w:r>
          </w:p>
        </w:tc>
        <w:tc>
          <w:tcPr>
            <w:tcW w:w="663" w:type="dxa"/>
            <w:tcBorders>
              <w:top w:val="nil"/>
              <w:left w:val="nil"/>
              <w:bottom w:val="single" w:sz="4" w:space="0" w:color="D9D9D9"/>
              <w:right w:val="single" w:sz="4" w:space="0" w:color="D9D9D9"/>
            </w:tcBorders>
            <w:shd w:val="clear" w:color="auto" w:fill="auto"/>
            <w:noWrap/>
            <w:vAlign w:val="center"/>
          </w:tcPr>
          <w:p w14:paraId="100A9F5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28F80F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5653F5B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6E07950D"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29%</w:t>
            </w:r>
          </w:p>
        </w:tc>
        <w:tc>
          <w:tcPr>
            <w:tcW w:w="663" w:type="dxa"/>
            <w:tcBorders>
              <w:top w:val="nil"/>
              <w:left w:val="nil"/>
              <w:bottom w:val="single" w:sz="4" w:space="0" w:color="D9D9D9"/>
              <w:right w:val="single" w:sz="4" w:space="0" w:color="D9D9D9"/>
            </w:tcBorders>
            <w:shd w:val="clear" w:color="auto" w:fill="auto"/>
            <w:noWrap/>
            <w:vAlign w:val="center"/>
          </w:tcPr>
          <w:p w14:paraId="33EDFD7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4C20E3A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24C9F3A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2943449"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19%</w:t>
            </w:r>
          </w:p>
        </w:tc>
        <w:tc>
          <w:tcPr>
            <w:tcW w:w="663" w:type="dxa"/>
            <w:tcBorders>
              <w:top w:val="nil"/>
              <w:left w:val="nil"/>
              <w:bottom w:val="single" w:sz="4" w:space="0" w:color="D9D9D9"/>
              <w:right w:val="single" w:sz="4" w:space="0" w:color="D9D9D9"/>
            </w:tcBorders>
            <w:shd w:val="clear" w:color="auto" w:fill="auto"/>
            <w:noWrap/>
            <w:vAlign w:val="center"/>
          </w:tcPr>
          <w:p w14:paraId="3AA6DBB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2E46E2D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5D438664"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04D40E13"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Brimbank Melton</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562CA620"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33%</w:t>
            </w:r>
          </w:p>
        </w:tc>
        <w:tc>
          <w:tcPr>
            <w:tcW w:w="663" w:type="dxa"/>
            <w:tcBorders>
              <w:top w:val="nil"/>
              <w:left w:val="nil"/>
              <w:bottom w:val="single" w:sz="4" w:space="0" w:color="D9D9D9"/>
              <w:right w:val="single" w:sz="4" w:space="0" w:color="D9D9D9"/>
            </w:tcBorders>
            <w:shd w:val="clear" w:color="auto" w:fill="auto"/>
            <w:noWrap/>
            <w:vAlign w:val="center"/>
          </w:tcPr>
          <w:p w14:paraId="09EDEE7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7E1569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6AC2D9A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5023F757"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43%</w:t>
            </w:r>
          </w:p>
        </w:tc>
        <w:tc>
          <w:tcPr>
            <w:tcW w:w="663" w:type="dxa"/>
            <w:tcBorders>
              <w:top w:val="nil"/>
              <w:left w:val="nil"/>
              <w:bottom w:val="single" w:sz="4" w:space="0" w:color="D9D9D9"/>
              <w:right w:val="single" w:sz="4" w:space="0" w:color="D9D9D9"/>
            </w:tcBorders>
            <w:shd w:val="clear" w:color="auto" w:fill="auto"/>
            <w:noWrap/>
            <w:vAlign w:val="center"/>
          </w:tcPr>
          <w:p w14:paraId="0ED4962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C903B7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1445348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3DFC9D52"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43%</w:t>
            </w:r>
          </w:p>
        </w:tc>
        <w:tc>
          <w:tcPr>
            <w:tcW w:w="663" w:type="dxa"/>
            <w:tcBorders>
              <w:top w:val="nil"/>
              <w:left w:val="nil"/>
              <w:bottom w:val="single" w:sz="4" w:space="0" w:color="D9D9D9"/>
              <w:right w:val="single" w:sz="4" w:space="0" w:color="D9D9D9"/>
            </w:tcBorders>
            <w:shd w:val="clear" w:color="auto" w:fill="auto"/>
            <w:noWrap/>
            <w:vAlign w:val="center"/>
          </w:tcPr>
          <w:p w14:paraId="1F2C25D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BB359E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2A8DD03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1D7A6072"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29%</w:t>
            </w:r>
          </w:p>
        </w:tc>
        <w:tc>
          <w:tcPr>
            <w:tcW w:w="663" w:type="dxa"/>
            <w:tcBorders>
              <w:top w:val="nil"/>
              <w:left w:val="nil"/>
              <w:bottom w:val="single" w:sz="4" w:space="0" w:color="D9D9D9"/>
              <w:right w:val="single" w:sz="4" w:space="0" w:color="D9D9D9"/>
            </w:tcBorders>
            <w:shd w:val="clear" w:color="auto" w:fill="auto"/>
            <w:noWrap/>
            <w:vAlign w:val="center"/>
          </w:tcPr>
          <w:p w14:paraId="7AD2B64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00A88D5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16777BAB"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02879C39"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Mallee</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2780F93F"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10%</w:t>
            </w:r>
          </w:p>
        </w:tc>
        <w:tc>
          <w:tcPr>
            <w:tcW w:w="663" w:type="dxa"/>
            <w:tcBorders>
              <w:top w:val="nil"/>
              <w:left w:val="nil"/>
              <w:bottom w:val="single" w:sz="4" w:space="0" w:color="D9D9D9"/>
              <w:right w:val="single" w:sz="4" w:space="0" w:color="D9D9D9"/>
            </w:tcBorders>
            <w:shd w:val="clear" w:color="auto" w:fill="auto"/>
            <w:noWrap/>
            <w:vAlign w:val="center"/>
          </w:tcPr>
          <w:p w14:paraId="19E6A4C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404B59C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25C0F79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6E67DAB"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45%</w:t>
            </w:r>
          </w:p>
        </w:tc>
        <w:tc>
          <w:tcPr>
            <w:tcW w:w="663" w:type="dxa"/>
            <w:tcBorders>
              <w:top w:val="nil"/>
              <w:left w:val="nil"/>
              <w:bottom w:val="single" w:sz="4" w:space="0" w:color="D9D9D9"/>
              <w:right w:val="single" w:sz="4" w:space="0" w:color="D9D9D9"/>
            </w:tcBorders>
            <w:shd w:val="clear" w:color="auto" w:fill="auto"/>
            <w:noWrap/>
            <w:vAlign w:val="center"/>
          </w:tcPr>
          <w:p w14:paraId="036FFCF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A483C4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403EA5D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3E6C64B2"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36%</w:t>
            </w:r>
          </w:p>
        </w:tc>
        <w:tc>
          <w:tcPr>
            <w:tcW w:w="663" w:type="dxa"/>
            <w:tcBorders>
              <w:top w:val="nil"/>
              <w:left w:val="nil"/>
              <w:bottom w:val="single" w:sz="4" w:space="0" w:color="D9D9D9"/>
              <w:right w:val="single" w:sz="4" w:space="0" w:color="D9D9D9"/>
            </w:tcBorders>
            <w:shd w:val="clear" w:color="auto" w:fill="auto"/>
            <w:noWrap/>
            <w:vAlign w:val="center"/>
          </w:tcPr>
          <w:p w14:paraId="5F5FE0B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C3CEDC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487BAE1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4BD248F3"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22%</w:t>
            </w:r>
          </w:p>
        </w:tc>
        <w:tc>
          <w:tcPr>
            <w:tcW w:w="663" w:type="dxa"/>
            <w:tcBorders>
              <w:top w:val="nil"/>
              <w:left w:val="nil"/>
              <w:bottom w:val="single" w:sz="4" w:space="0" w:color="D9D9D9"/>
              <w:right w:val="single" w:sz="4" w:space="0" w:color="D9D9D9"/>
            </w:tcBorders>
            <w:shd w:val="clear" w:color="auto" w:fill="auto"/>
            <w:noWrap/>
            <w:vAlign w:val="center"/>
          </w:tcPr>
          <w:p w14:paraId="5D456CA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4B65ABA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0AFD4CE5"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00CFF99C"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Loddon</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45A788C6"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32%</w:t>
            </w:r>
          </w:p>
        </w:tc>
        <w:tc>
          <w:tcPr>
            <w:tcW w:w="663" w:type="dxa"/>
            <w:tcBorders>
              <w:top w:val="nil"/>
              <w:left w:val="nil"/>
              <w:bottom w:val="single" w:sz="4" w:space="0" w:color="D9D9D9"/>
              <w:right w:val="single" w:sz="4" w:space="0" w:color="D9D9D9"/>
            </w:tcBorders>
            <w:shd w:val="clear" w:color="auto" w:fill="auto"/>
            <w:noWrap/>
            <w:vAlign w:val="center"/>
          </w:tcPr>
          <w:p w14:paraId="4736E92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209A43B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5924D48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4FAA525"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47%</w:t>
            </w:r>
          </w:p>
        </w:tc>
        <w:tc>
          <w:tcPr>
            <w:tcW w:w="663" w:type="dxa"/>
            <w:tcBorders>
              <w:top w:val="nil"/>
              <w:left w:val="nil"/>
              <w:bottom w:val="single" w:sz="4" w:space="0" w:color="D9D9D9"/>
              <w:right w:val="single" w:sz="4" w:space="0" w:color="D9D9D9"/>
            </w:tcBorders>
            <w:shd w:val="clear" w:color="auto" w:fill="auto"/>
            <w:noWrap/>
            <w:vAlign w:val="center"/>
          </w:tcPr>
          <w:p w14:paraId="4E9E75A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301543C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3AD6835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527943BF"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33%</w:t>
            </w:r>
          </w:p>
        </w:tc>
        <w:tc>
          <w:tcPr>
            <w:tcW w:w="663" w:type="dxa"/>
            <w:tcBorders>
              <w:top w:val="nil"/>
              <w:left w:val="nil"/>
              <w:bottom w:val="single" w:sz="4" w:space="0" w:color="D9D9D9"/>
              <w:right w:val="single" w:sz="4" w:space="0" w:color="D9D9D9"/>
            </w:tcBorders>
            <w:shd w:val="clear" w:color="auto" w:fill="auto"/>
            <w:noWrap/>
            <w:vAlign w:val="center"/>
          </w:tcPr>
          <w:p w14:paraId="1128D77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66DFE63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368EFBC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265F0067"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34%</w:t>
            </w:r>
          </w:p>
        </w:tc>
        <w:tc>
          <w:tcPr>
            <w:tcW w:w="663" w:type="dxa"/>
            <w:tcBorders>
              <w:top w:val="nil"/>
              <w:left w:val="nil"/>
              <w:bottom w:val="single" w:sz="4" w:space="0" w:color="D9D9D9"/>
              <w:right w:val="single" w:sz="4" w:space="0" w:color="D9D9D9"/>
            </w:tcBorders>
            <w:shd w:val="clear" w:color="auto" w:fill="auto"/>
            <w:noWrap/>
            <w:vAlign w:val="center"/>
          </w:tcPr>
          <w:p w14:paraId="259F3ED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693AAC9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587597E9" w14:textId="77777777" w:rsidTr="009748AD">
        <w:trPr>
          <w:trHeight w:val="300"/>
          <w:jc w:val="center"/>
        </w:trPr>
        <w:tc>
          <w:tcPr>
            <w:tcW w:w="2433" w:type="dxa"/>
            <w:tcBorders>
              <w:top w:val="single" w:sz="4" w:space="0" w:color="D9D9D9"/>
              <w:left w:val="double" w:sz="6" w:space="0" w:color="auto"/>
              <w:bottom w:val="double" w:sz="4" w:space="0" w:color="auto"/>
              <w:right w:val="nil"/>
            </w:tcBorders>
            <w:shd w:val="clear" w:color="auto" w:fill="auto"/>
            <w:noWrap/>
            <w:vAlign w:val="bottom"/>
          </w:tcPr>
          <w:p w14:paraId="327BADB5"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 xml:space="preserve">Ovens </w:t>
            </w:r>
            <w:smartTag w:uri="urn:schemas-microsoft-com:office:smarttags" w:element="City">
              <w:smartTag w:uri="urn:schemas-microsoft-com:office:smarttags" w:element="place">
                <w:r w:rsidRPr="000B2893">
                  <w:rPr>
                    <w:rFonts w:ascii="Arial" w:hAnsi="Arial" w:cs="Arial"/>
                    <w:color w:val="000000"/>
                    <w:sz w:val="16"/>
                    <w:szCs w:val="16"/>
                    <w:lang w:val="en-AU" w:eastAsia="en-AU"/>
                  </w:rPr>
                  <w:t>Murray</w:t>
                </w:r>
              </w:smartTag>
            </w:smartTag>
          </w:p>
        </w:tc>
        <w:tc>
          <w:tcPr>
            <w:tcW w:w="663" w:type="dxa"/>
            <w:tcBorders>
              <w:top w:val="single" w:sz="4" w:space="0" w:color="D9D9D9"/>
              <w:left w:val="single" w:sz="4" w:space="0" w:color="auto"/>
              <w:bottom w:val="double" w:sz="4" w:space="0" w:color="auto"/>
              <w:right w:val="single" w:sz="4" w:space="0" w:color="D9D9D9"/>
            </w:tcBorders>
            <w:shd w:val="clear" w:color="auto" w:fill="auto"/>
            <w:noWrap/>
            <w:vAlign w:val="center"/>
          </w:tcPr>
          <w:p w14:paraId="4DC3BB4A"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33%</w:t>
            </w:r>
          </w:p>
        </w:tc>
        <w:tc>
          <w:tcPr>
            <w:tcW w:w="663" w:type="dxa"/>
            <w:tcBorders>
              <w:top w:val="single" w:sz="4" w:space="0" w:color="D9D9D9"/>
              <w:left w:val="nil"/>
              <w:bottom w:val="double" w:sz="4" w:space="0" w:color="auto"/>
              <w:right w:val="single" w:sz="4" w:space="0" w:color="D9D9D9"/>
            </w:tcBorders>
            <w:shd w:val="clear" w:color="auto" w:fill="auto"/>
            <w:noWrap/>
            <w:vAlign w:val="center"/>
          </w:tcPr>
          <w:p w14:paraId="68F4EB1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single" w:sz="4" w:space="0" w:color="D9D9D9"/>
              <w:left w:val="nil"/>
              <w:bottom w:val="double" w:sz="4" w:space="0" w:color="auto"/>
              <w:right w:val="single" w:sz="4" w:space="0" w:color="D9D9D9"/>
            </w:tcBorders>
            <w:shd w:val="clear" w:color="auto" w:fill="auto"/>
            <w:noWrap/>
            <w:vAlign w:val="center"/>
          </w:tcPr>
          <w:p w14:paraId="16EC7A3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single" w:sz="4" w:space="0" w:color="D9D9D9"/>
              <w:left w:val="nil"/>
              <w:bottom w:val="double" w:sz="4" w:space="0" w:color="auto"/>
              <w:right w:val="single" w:sz="4" w:space="0" w:color="auto"/>
            </w:tcBorders>
            <w:shd w:val="clear" w:color="auto" w:fill="auto"/>
            <w:noWrap/>
            <w:vAlign w:val="center"/>
          </w:tcPr>
          <w:p w14:paraId="0919A98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single" w:sz="4" w:space="0" w:color="D9D9D9"/>
              <w:left w:val="nil"/>
              <w:bottom w:val="double" w:sz="4" w:space="0" w:color="auto"/>
              <w:right w:val="single" w:sz="4" w:space="0" w:color="D9D9D9"/>
            </w:tcBorders>
            <w:shd w:val="clear" w:color="auto" w:fill="auto"/>
            <w:noWrap/>
            <w:vAlign w:val="center"/>
          </w:tcPr>
          <w:p w14:paraId="3888C109"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44%</w:t>
            </w:r>
          </w:p>
        </w:tc>
        <w:tc>
          <w:tcPr>
            <w:tcW w:w="663" w:type="dxa"/>
            <w:tcBorders>
              <w:top w:val="single" w:sz="4" w:space="0" w:color="D9D9D9"/>
              <w:left w:val="nil"/>
              <w:bottom w:val="double" w:sz="4" w:space="0" w:color="auto"/>
              <w:right w:val="single" w:sz="4" w:space="0" w:color="D9D9D9"/>
            </w:tcBorders>
            <w:shd w:val="clear" w:color="auto" w:fill="auto"/>
            <w:noWrap/>
            <w:vAlign w:val="center"/>
          </w:tcPr>
          <w:p w14:paraId="716243D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single" w:sz="4" w:space="0" w:color="D9D9D9"/>
              <w:left w:val="nil"/>
              <w:bottom w:val="double" w:sz="4" w:space="0" w:color="auto"/>
              <w:right w:val="single" w:sz="4" w:space="0" w:color="D9D9D9"/>
            </w:tcBorders>
            <w:shd w:val="clear" w:color="auto" w:fill="auto"/>
            <w:noWrap/>
            <w:vAlign w:val="center"/>
          </w:tcPr>
          <w:p w14:paraId="61D0A90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single" w:sz="4" w:space="0" w:color="D9D9D9"/>
              <w:left w:val="nil"/>
              <w:bottom w:val="double" w:sz="4" w:space="0" w:color="auto"/>
              <w:right w:val="nil"/>
            </w:tcBorders>
            <w:shd w:val="clear" w:color="auto" w:fill="auto"/>
            <w:noWrap/>
            <w:vAlign w:val="center"/>
          </w:tcPr>
          <w:p w14:paraId="1CF248F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single" w:sz="4" w:space="0" w:color="D9D9D9"/>
              <w:left w:val="single" w:sz="4" w:space="0" w:color="auto"/>
              <w:bottom w:val="double" w:sz="4" w:space="0" w:color="auto"/>
              <w:right w:val="single" w:sz="4" w:space="0" w:color="D9D9D9"/>
            </w:tcBorders>
            <w:shd w:val="clear" w:color="auto" w:fill="auto"/>
            <w:noWrap/>
            <w:vAlign w:val="center"/>
          </w:tcPr>
          <w:p w14:paraId="15E50AA3"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43%</w:t>
            </w:r>
          </w:p>
        </w:tc>
        <w:tc>
          <w:tcPr>
            <w:tcW w:w="663" w:type="dxa"/>
            <w:tcBorders>
              <w:top w:val="single" w:sz="4" w:space="0" w:color="D9D9D9"/>
              <w:left w:val="nil"/>
              <w:bottom w:val="double" w:sz="4" w:space="0" w:color="auto"/>
              <w:right w:val="single" w:sz="4" w:space="0" w:color="D9D9D9"/>
            </w:tcBorders>
            <w:shd w:val="clear" w:color="auto" w:fill="auto"/>
            <w:noWrap/>
            <w:vAlign w:val="center"/>
          </w:tcPr>
          <w:p w14:paraId="0ED5D4D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single" w:sz="4" w:space="0" w:color="D9D9D9"/>
              <w:left w:val="nil"/>
              <w:bottom w:val="double" w:sz="4" w:space="0" w:color="auto"/>
              <w:right w:val="single" w:sz="4" w:space="0" w:color="D9D9D9"/>
            </w:tcBorders>
            <w:shd w:val="clear" w:color="auto" w:fill="auto"/>
            <w:noWrap/>
            <w:vAlign w:val="center"/>
          </w:tcPr>
          <w:p w14:paraId="3C5272A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single" w:sz="4" w:space="0" w:color="D9D9D9"/>
              <w:left w:val="nil"/>
              <w:bottom w:val="double" w:sz="4" w:space="0" w:color="auto"/>
              <w:right w:val="single" w:sz="4" w:space="0" w:color="auto"/>
            </w:tcBorders>
            <w:shd w:val="clear" w:color="auto" w:fill="auto"/>
            <w:noWrap/>
            <w:vAlign w:val="center"/>
          </w:tcPr>
          <w:p w14:paraId="4206306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single" w:sz="4" w:space="0" w:color="D9D9D9"/>
              <w:left w:val="nil"/>
              <w:bottom w:val="double" w:sz="4" w:space="0" w:color="auto"/>
              <w:right w:val="single" w:sz="4" w:space="0" w:color="D9D9D9"/>
            </w:tcBorders>
            <w:shd w:val="clear" w:color="auto" w:fill="auto"/>
            <w:noWrap/>
            <w:vAlign w:val="center"/>
          </w:tcPr>
          <w:p w14:paraId="027B2221"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35%</w:t>
            </w:r>
          </w:p>
        </w:tc>
        <w:tc>
          <w:tcPr>
            <w:tcW w:w="663" w:type="dxa"/>
            <w:tcBorders>
              <w:top w:val="single" w:sz="4" w:space="0" w:color="D9D9D9"/>
              <w:left w:val="nil"/>
              <w:bottom w:val="double" w:sz="4" w:space="0" w:color="auto"/>
              <w:right w:val="single" w:sz="4" w:space="0" w:color="D9D9D9"/>
            </w:tcBorders>
            <w:shd w:val="clear" w:color="auto" w:fill="auto"/>
            <w:noWrap/>
            <w:vAlign w:val="center"/>
          </w:tcPr>
          <w:p w14:paraId="48D90F8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single" w:sz="4" w:space="0" w:color="D9D9D9"/>
              <w:left w:val="nil"/>
              <w:bottom w:val="double" w:sz="4" w:space="0" w:color="auto"/>
              <w:right w:val="double" w:sz="6" w:space="0" w:color="auto"/>
            </w:tcBorders>
            <w:shd w:val="clear" w:color="auto" w:fill="auto"/>
            <w:noWrap/>
            <w:vAlign w:val="center"/>
          </w:tcPr>
          <w:p w14:paraId="4A346E3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57108A70" w14:textId="77777777" w:rsidTr="00425948">
        <w:trPr>
          <w:trHeight w:val="300"/>
          <w:jc w:val="center"/>
        </w:trPr>
        <w:tc>
          <w:tcPr>
            <w:tcW w:w="2433" w:type="dxa"/>
            <w:tcBorders>
              <w:top w:val="double" w:sz="4" w:space="0" w:color="auto"/>
            </w:tcBorders>
            <w:shd w:val="clear" w:color="auto" w:fill="auto"/>
            <w:noWrap/>
            <w:vAlign w:val="bottom"/>
          </w:tcPr>
          <w:p w14:paraId="3251B49D"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Continued on next page</w:t>
            </w:r>
          </w:p>
        </w:tc>
        <w:tc>
          <w:tcPr>
            <w:tcW w:w="663" w:type="dxa"/>
            <w:tcBorders>
              <w:top w:val="double" w:sz="4" w:space="0" w:color="auto"/>
            </w:tcBorders>
            <w:shd w:val="clear" w:color="auto" w:fill="auto"/>
            <w:noWrap/>
            <w:vAlign w:val="center"/>
          </w:tcPr>
          <w:p w14:paraId="038AC541"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7DBDF666"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7BA29233"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26CFA524"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06FF1E3D"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0437BA91"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68FD0D30"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4EEFD356"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618B6F78"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3D4037A5"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63A381BE"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12B536D5"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4D0556EE"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60E4C239" w14:textId="77777777" w:rsidR="000B2893" w:rsidRPr="000B2893" w:rsidRDefault="000B2893" w:rsidP="00544F42">
            <w:pPr>
              <w:spacing w:before="0" w:after="0"/>
              <w:jc w:val="center"/>
              <w:rPr>
                <w:rFonts w:ascii="Arial" w:hAnsi="Arial" w:cs="Arial"/>
                <w:color w:val="000000"/>
                <w:sz w:val="16"/>
                <w:szCs w:val="16"/>
                <w:lang w:val="en-AU" w:eastAsia="en-AU"/>
              </w:rPr>
            </w:pPr>
          </w:p>
        </w:tc>
        <w:tc>
          <w:tcPr>
            <w:tcW w:w="663" w:type="dxa"/>
            <w:tcBorders>
              <w:top w:val="double" w:sz="4" w:space="0" w:color="auto"/>
            </w:tcBorders>
            <w:shd w:val="clear" w:color="auto" w:fill="auto"/>
            <w:noWrap/>
            <w:vAlign w:val="center"/>
          </w:tcPr>
          <w:p w14:paraId="42FBF5C6" w14:textId="77777777" w:rsidR="000B2893" w:rsidRPr="000B2893" w:rsidRDefault="000B2893" w:rsidP="00544F42">
            <w:pPr>
              <w:spacing w:before="0" w:after="0"/>
              <w:jc w:val="center"/>
              <w:rPr>
                <w:rFonts w:ascii="Arial" w:hAnsi="Arial" w:cs="Arial"/>
                <w:color w:val="000000"/>
                <w:sz w:val="16"/>
                <w:szCs w:val="16"/>
                <w:lang w:val="en-AU" w:eastAsia="en-AU"/>
              </w:rPr>
            </w:pPr>
          </w:p>
        </w:tc>
      </w:tr>
      <w:tr w:rsidR="000B2893" w:rsidRPr="000B2893" w14:paraId="47C50A17" w14:textId="77777777" w:rsidTr="009748AD">
        <w:trPr>
          <w:trHeight w:val="300"/>
          <w:jc w:val="center"/>
        </w:trPr>
        <w:tc>
          <w:tcPr>
            <w:tcW w:w="2433" w:type="dxa"/>
            <w:tcBorders>
              <w:left w:val="double" w:sz="6" w:space="0" w:color="auto"/>
              <w:bottom w:val="single" w:sz="4" w:space="0" w:color="D9D9D9"/>
              <w:right w:val="nil"/>
            </w:tcBorders>
            <w:shd w:val="clear" w:color="auto" w:fill="auto"/>
            <w:noWrap/>
            <w:vAlign w:val="bottom"/>
          </w:tcPr>
          <w:p w14:paraId="309BDEE7"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lastRenderedPageBreak/>
              <w:t>Goulburn</w:t>
            </w:r>
          </w:p>
        </w:tc>
        <w:tc>
          <w:tcPr>
            <w:tcW w:w="663" w:type="dxa"/>
            <w:tcBorders>
              <w:left w:val="single" w:sz="4" w:space="0" w:color="auto"/>
              <w:bottom w:val="single" w:sz="4" w:space="0" w:color="D9D9D9"/>
              <w:right w:val="single" w:sz="4" w:space="0" w:color="D9D9D9"/>
            </w:tcBorders>
            <w:shd w:val="clear" w:color="auto" w:fill="auto"/>
            <w:noWrap/>
            <w:vAlign w:val="center"/>
          </w:tcPr>
          <w:p w14:paraId="66C31331"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36%</w:t>
            </w:r>
          </w:p>
        </w:tc>
        <w:tc>
          <w:tcPr>
            <w:tcW w:w="663" w:type="dxa"/>
            <w:tcBorders>
              <w:left w:val="nil"/>
              <w:bottom w:val="single" w:sz="4" w:space="0" w:color="D9D9D9"/>
              <w:right w:val="single" w:sz="4" w:space="0" w:color="D9D9D9"/>
            </w:tcBorders>
            <w:shd w:val="clear" w:color="auto" w:fill="auto"/>
            <w:noWrap/>
            <w:vAlign w:val="center"/>
          </w:tcPr>
          <w:p w14:paraId="64C41F6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left w:val="nil"/>
              <w:bottom w:val="single" w:sz="4" w:space="0" w:color="D9D9D9"/>
              <w:right w:val="single" w:sz="4" w:space="0" w:color="D9D9D9"/>
            </w:tcBorders>
            <w:shd w:val="clear" w:color="auto" w:fill="auto"/>
            <w:noWrap/>
            <w:vAlign w:val="center"/>
          </w:tcPr>
          <w:p w14:paraId="52F4D19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left w:val="nil"/>
              <w:bottom w:val="single" w:sz="4" w:space="0" w:color="D9D9D9"/>
              <w:right w:val="single" w:sz="4" w:space="0" w:color="auto"/>
            </w:tcBorders>
            <w:shd w:val="clear" w:color="auto" w:fill="auto"/>
            <w:noWrap/>
            <w:vAlign w:val="center"/>
          </w:tcPr>
          <w:p w14:paraId="151A33C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left w:val="nil"/>
              <w:bottom w:val="single" w:sz="4" w:space="0" w:color="D9D9D9"/>
              <w:right w:val="single" w:sz="4" w:space="0" w:color="D9D9D9"/>
            </w:tcBorders>
            <w:shd w:val="clear" w:color="auto" w:fill="auto"/>
            <w:noWrap/>
            <w:vAlign w:val="center"/>
          </w:tcPr>
          <w:p w14:paraId="2942090E"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42%</w:t>
            </w:r>
          </w:p>
        </w:tc>
        <w:tc>
          <w:tcPr>
            <w:tcW w:w="663" w:type="dxa"/>
            <w:tcBorders>
              <w:left w:val="nil"/>
              <w:bottom w:val="single" w:sz="4" w:space="0" w:color="D9D9D9"/>
              <w:right w:val="single" w:sz="4" w:space="0" w:color="D9D9D9"/>
            </w:tcBorders>
            <w:shd w:val="clear" w:color="auto" w:fill="auto"/>
            <w:noWrap/>
            <w:vAlign w:val="center"/>
          </w:tcPr>
          <w:p w14:paraId="65621FC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left w:val="nil"/>
              <w:bottom w:val="single" w:sz="4" w:space="0" w:color="D9D9D9"/>
              <w:right w:val="single" w:sz="4" w:space="0" w:color="D9D9D9"/>
            </w:tcBorders>
            <w:shd w:val="clear" w:color="auto" w:fill="auto"/>
            <w:noWrap/>
            <w:vAlign w:val="center"/>
          </w:tcPr>
          <w:p w14:paraId="006ABA6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left w:val="nil"/>
              <w:bottom w:val="single" w:sz="4" w:space="0" w:color="D9D9D9"/>
              <w:right w:val="nil"/>
            </w:tcBorders>
            <w:shd w:val="clear" w:color="auto" w:fill="auto"/>
            <w:noWrap/>
            <w:vAlign w:val="center"/>
          </w:tcPr>
          <w:p w14:paraId="197E3E2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left w:val="single" w:sz="4" w:space="0" w:color="auto"/>
              <w:bottom w:val="single" w:sz="4" w:space="0" w:color="D9D9D9"/>
              <w:right w:val="single" w:sz="4" w:space="0" w:color="D9D9D9"/>
            </w:tcBorders>
            <w:shd w:val="clear" w:color="auto" w:fill="auto"/>
            <w:noWrap/>
            <w:vAlign w:val="center"/>
          </w:tcPr>
          <w:p w14:paraId="1B2399F1"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44%</w:t>
            </w:r>
          </w:p>
        </w:tc>
        <w:tc>
          <w:tcPr>
            <w:tcW w:w="663" w:type="dxa"/>
            <w:tcBorders>
              <w:left w:val="nil"/>
              <w:bottom w:val="single" w:sz="4" w:space="0" w:color="D9D9D9"/>
              <w:right w:val="single" w:sz="4" w:space="0" w:color="D9D9D9"/>
            </w:tcBorders>
            <w:shd w:val="clear" w:color="auto" w:fill="auto"/>
            <w:noWrap/>
            <w:vAlign w:val="center"/>
          </w:tcPr>
          <w:p w14:paraId="3FD578D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left w:val="nil"/>
              <w:bottom w:val="single" w:sz="4" w:space="0" w:color="D9D9D9"/>
              <w:right w:val="single" w:sz="4" w:space="0" w:color="D9D9D9"/>
            </w:tcBorders>
            <w:shd w:val="clear" w:color="auto" w:fill="auto"/>
            <w:noWrap/>
            <w:vAlign w:val="center"/>
          </w:tcPr>
          <w:p w14:paraId="7B8ADBB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left w:val="nil"/>
              <w:bottom w:val="single" w:sz="4" w:space="0" w:color="D9D9D9"/>
              <w:right w:val="single" w:sz="4" w:space="0" w:color="auto"/>
            </w:tcBorders>
            <w:shd w:val="clear" w:color="auto" w:fill="auto"/>
            <w:noWrap/>
            <w:vAlign w:val="center"/>
          </w:tcPr>
          <w:p w14:paraId="191ADAD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left w:val="nil"/>
              <w:bottom w:val="single" w:sz="4" w:space="0" w:color="D9D9D9"/>
              <w:right w:val="single" w:sz="4" w:space="0" w:color="D9D9D9"/>
            </w:tcBorders>
            <w:shd w:val="clear" w:color="auto" w:fill="auto"/>
            <w:noWrap/>
            <w:vAlign w:val="center"/>
          </w:tcPr>
          <w:p w14:paraId="364A0CCC"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26%</w:t>
            </w:r>
          </w:p>
        </w:tc>
        <w:tc>
          <w:tcPr>
            <w:tcW w:w="663" w:type="dxa"/>
            <w:tcBorders>
              <w:left w:val="nil"/>
              <w:bottom w:val="single" w:sz="4" w:space="0" w:color="D9D9D9"/>
              <w:right w:val="single" w:sz="4" w:space="0" w:color="D9D9D9"/>
            </w:tcBorders>
            <w:shd w:val="clear" w:color="auto" w:fill="auto"/>
            <w:noWrap/>
            <w:vAlign w:val="center"/>
          </w:tcPr>
          <w:p w14:paraId="51D9CBC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left w:val="nil"/>
              <w:bottom w:val="single" w:sz="4" w:space="0" w:color="D9D9D9"/>
              <w:right w:val="double" w:sz="6" w:space="0" w:color="auto"/>
            </w:tcBorders>
            <w:shd w:val="clear" w:color="auto" w:fill="auto"/>
            <w:noWrap/>
            <w:vAlign w:val="center"/>
          </w:tcPr>
          <w:p w14:paraId="2B6B205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2E9AA574"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6D20F5AF"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Outer Gippsland</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247E38E8"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17%</w:t>
            </w:r>
          </w:p>
        </w:tc>
        <w:tc>
          <w:tcPr>
            <w:tcW w:w="663" w:type="dxa"/>
            <w:tcBorders>
              <w:top w:val="nil"/>
              <w:left w:val="nil"/>
              <w:bottom w:val="single" w:sz="4" w:space="0" w:color="D9D9D9"/>
              <w:right w:val="single" w:sz="4" w:space="0" w:color="D9D9D9"/>
            </w:tcBorders>
            <w:shd w:val="clear" w:color="auto" w:fill="auto"/>
            <w:noWrap/>
            <w:vAlign w:val="center"/>
          </w:tcPr>
          <w:p w14:paraId="1959D95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26F4069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7AADD83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A4BF457"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65%</w:t>
            </w:r>
          </w:p>
        </w:tc>
        <w:tc>
          <w:tcPr>
            <w:tcW w:w="663" w:type="dxa"/>
            <w:tcBorders>
              <w:top w:val="nil"/>
              <w:left w:val="nil"/>
              <w:bottom w:val="single" w:sz="4" w:space="0" w:color="D9D9D9"/>
              <w:right w:val="single" w:sz="4" w:space="0" w:color="D9D9D9"/>
            </w:tcBorders>
            <w:shd w:val="clear" w:color="auto" w:fill="auto"/>
            <w:noWrap/>
            <w:vAlign w:val="center"/>
          </w:tcPr>
          <w:p w14:paraId="4EE9A95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51137B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3092E5D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E87F685"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34%</w:t>
            </w:r>
          </w:p>
        </w:tc>
        <w:tc>
          <w:tcPr>
            <w:tcW w:w="663" w:type="dxa"/>
            <w:tcBorders>
              <w:top w:val="nil"/>
              <w:left w:val="nil"/>
              <w:bottom w:val="single" w:sz="4" w:space="0" w:color="D9D9D9"/>
              <w:right w:val="single" w:sz="4" w:space="0" w:color="D9D9D9"/>
            </w:tcBorders>
            <w:shd w:val="clear" w:color="auto" w:fill="auto"/>
            <w:noWrap/>
            <w:vAlign w:val="center"/>
          </w:tcPr>
          <w:p w14:paraId="1109138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243DDE6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748A0B8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6EE837E4"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44%</w:t>
            </w:r>
          </w:p>
        </w:tc>
        <w:tc>
          <w:tcPr>
            <w:tcW w:w="663" w:type="dxa"/>
            <w:tcBorders>
              <w:top w:val="nil"/>
              <w:left w:val="nil"/>
              <w:bottom w:val="single" w:sz="4" w:space="0" w:color="D9D9D9"/>
              <w:right w:val="single" w:sz="4" w:space="0" w:color="D9D9D9"/>
            </w:tcBorders>
            <w:shd w:val="clear" w:color="auto" w:fill="auto"/>
            <w:noWrap/>
            <w:vAlign w:val="center"/>
          </w:tcPr>
          <w:p w14:paraId="5DB5128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0695744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30E0A727"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7DCA2EED"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Inner Gippsland</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5077277E"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28%</w:t>
            </w:r>
          </w:p>
        </w:tc>
        <w:tc>
          <w:tcPr>
            <w:tcW w:w="663" w:type="dxa"/>
            <w:tcBorders>
              <w:top w:val="nil"/>
              <w:left w:val="nil"/>
              <w:bottom w:val="single" w:sz="4" w:space="0" w:color="D9D9D9"/>
              <w:right w:val="single" w:sz="4" w:space="0" w:color="D9D9D9"/>
            </w:tcBorders>
            <w:shd w:val="clear" w:color="auto" w:fill="auto"/>
            <w:noWrap/>
            <w:vAlign w:val="center"/>
          </w:tcPr>
          <w:p w14:paraId="0632EE1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6AE559C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7BB1E43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28CB904"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45%</w:t>
            </w:r>
          </w:p>
        </w:tc>
        <w:tc>
          <w:tcPr>
            <w:tcW w:w="663" w:type="dxa"/>
            <w:tcBorders>
              <w:top w:val="nil"/>
              <w:left w:val="nil"/>
              <w:bottom w:val="single" w:sz="4" w:space="0" w:color="D9D9D9"/>
              <w:right w:val="single" w:sz="4" w:space="0" w:color="D9D9D9"/>
            </w:tcBorders>
            <w:shd w:val="clear" w:color="auto" w:fill="auto"/>
            <w:noWrap/>
            <w:vAlign w:val="center"/>
          </w:tcPr>
          <w:p w14:paraId="1BA2C0B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4DC82CD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136CC6F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4F1AA90F"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33%</w:t>
            </w:r>
          </w:p>
        </w:tc>
        <w:tc>
          <w:tcPr>
            <w:tcW w:w="663" w:type="dxa"/>
            <w:tcBorders>
              <w:top w:val="nil"/>
              <w:left w:val="nil"/>
              <w:bottom w:val="single" w:sz="4" w:space="0" w:color="D9D9D9"/>
              <w:right w:val="single" w:sz="4" w:space="0" w:color="D9D9D9"/>
            </w:tcBorders>
            <w:shd w:val="clear" w:color="auto" w:fill="auto"/>
            <w:noWrap/>
            <w:vAlign w:val="center"/>
          </w:tcPr>
          <w:p w14:paraId="4CD4736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D5CE14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3F3C5CD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9C215A6"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29%</w:t>
            </w:r>
          </w:p>
        </w:tc>
        <w:tc>
          <w:tcPr>
            <w:tcW w:w="663" w:type="dxa"/>
            <w:tcBorders>
              <w:top w:val="nil"/>
              <w:left w:val="nil"/>
              <w:bottom w:val="single" w:sz="4" w:space="0" w:color="D9D9D9"/>
              <w:right w:val="single" w:sz="4" w:space="0" w:color="D9D9D9"/>
            </w:tcBorders>
            <w:shd w:val="clear" w:color="auto" w:fill="auto"/>
            <w:noWrap/>
            <w:vAlign w:val="center"/>
          </w:tcPr>
          <w:p w14:paraId="75C5329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2933521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3537B8DE"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35794D7F"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Western District</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99EE22C" w14:textId="77777777" w:rsidR="000B2893" w:rsidRPr="000B2893" w:rsidRDefault="000B2893" w:rsidP="009748AD">
            <w:pPr>
              <w:jc w:val="center"/>
              <w:rPr>
                <w:rFonts w:ascii="Arial" w:hAnsi="Arial" w:cs="Arial"/>
                <w:color w:val="FF0000"/>
                <w:sz w:val="16"/>
                <w:szCs w:val="16"/>
              </w:rPr>
            </w:pPr>
            <w:r w:rsidRPr="000B2893">
              <w:rPr>
                <w:rFonts w:ascii="Arial" w:hAnsi="Arial" w:cs="Arial"/>
                <w:sz w:val="16"/>
                <w:szCs w:val="16"/>
              </w:rPr>
              <w:t>56%*</w:t>
            </w:r>
          </w:p>
        </w:tc>
        <w:tc>
          <w:tcPr>
            <w:tcW w:w="663" w:type="dxa"/>
            <w:tcBorders>
              <w:top w:val="nil"/>
              <w:left w:val="nil"/>
              <w:bottom w:val="single" w:sz="4" w:space="0" w:color="D9D9D9"/>
              <w:right w:val="single" w:sz="4" w:space="0" w:color="D9D9D9"/>
            </w:tcBorders>
            <w:shd w:val="clear" w:color="auto" w:fill="auto"/>
            <w:noWrap/>
            <w:vAlign w:val="center"/>
          </w:tcPr>
          <w:p w14:paraId="2F576E1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4826C2A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1206E5F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2DB06E39" w14:textId="77777777" w:rsidR="000B2893" w:rsidRPr="000B2893" w:rsidRDefault="000B2893" w:rsidP="009748AD">
            <w:pPr>
              <w:jc w:val="center"/>
              <w:rPr>
                <w:rFonts w:ascii="Arial" w:hAnsi="Arial" w:cs="Arial"/>
                <w:color w:val="FF0000"/>
                <w:sz w:val="16"/>
                <w:szCs w:val="16"/>
              </w:rPr>
            </w:pPr>
            <w:r w:rsidRPr="000B2893">
              <w:rPr>
                <w:rFonts w:ascii="Arial" w:hAnsi="Arial" w:cs="Arial"/>
                <w:sz w:val="16"/>
                <w:szCs w:val="16"/>
              </w:rPr>
              <w:t>58%*</w:t>
            </w:r>
          </w:p>
        </w:tc>
        <w:tc>
          <w:tcPr>
            <w:tcW w:w="663" w:type="dxa"/>
            <w:tcBorders>
              <w:top w:val="nil"/>
              <w:left w:val="nil"/>
              <w:bottom w:val="single" w:sz="4" w:space="0" w:color="D9D9D9"/>
              <w:right w:val="single" w:sz="4" w:space="0" w:color="D9D9D9"/>
            </w:tcBorders>
            <w:shd w:val="clear" w:color="auto" w:fill="auto"/>
            <w:noWrap/>
            <w:vAlign w:val="center"/>
          </w:tcPr>
          <w:p w14:paraId="64815D7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51EB997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566C228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D75983F" w14:textId="77777777" w:rsidR="000B2893" w:rsidRPr="000B2893" w:rsidRDefault="000B2893" w:rsidP="009748AD">
            <w:pPr>
              <w:jc w:val="center"/>
              <w:rPr>
                <w:rFonts w:ascii="Arial" w:hAnsi="Arial" w:cs="Arial"/>
                <w:color w:val="FF0000"/>
                <w:sz w:val="16"/>
                <w:szCs w:val="16"/>
              </w:rPr>
            </w:pPr>
            <w:r w:rsidRPr="000B2893">
              <w:rPr>
                <w:rFonts w:ascii="Arial" w:hAnsi="Arial" w:cs="Arial"/>
                <w:sz w:val="16"/>
                <w:szCs w:val="16"/>
              </w:rPr>
              <w:t>51%*</w:t>
            </w:r>
          </w:p>
        </w:tc>
        <w:tc>
          <w:tcPr>
            <w:tcW w:w="663" w:type="dxa"/>
            <w:tcBorders>
              <w:top w:val="nil"/>
              <w:left w:val="nil"/>
              <w:bottom w:val="single" w:sz="4" w:space="0" w:color="D9D9D9"/>
              <w:right w:val="single" w:sz="4" w:space="0" w:color="D9D9D9"/>
            </w:tcBorders>
            <w:shd w:val="clear" w:color="auto" w:fill="auto"/>
            <w:noWrap/>
            <w:vAlign w:val="center"/>
          </w:tcPr>
          <w:p w14:paraId="735E5E6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657C9F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70EBE60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24E406C4" w14:textId="77777777" w:rsidR="000B2893" w:rsidRPr="000B2893" w:rsidRDefault="000B2893" w:rsidP="009748AD">
            <w:pPr>
              <w:jc w:val="center"/>
              <w:rPr>
                <w:rFonts w:ascii="Arial" w:hAnsi="Arial" w:cs="Arial"/>
                <w:color w:val="FF0000"/>
                <w:sz w:val="16"/>
                <w:szCs w:val="16"/>
              </w:rPr>
            </w:pPr>
            <w:r w:rsidRPr="000B2893">
              <w:rPr>
                <w:rFonts w:ascii="Arial" w:hAnsi="Arial" w:cs="Arial"/>
                <w:sz w:val="16"/>
                <w:szCs w:val="16"/>
              </w:rPr>
              <w:t>36%*</w:t>
            </w:r>
          </w:p>
        </w:tc>
        <w:tc>
          <w:tcPr>
            <w:tcW w:w="663" w:type="dxa"/>
            <w:tcBorders>
              <w:top w:val="nil"/>
              <w:left w:val="nil"/>
              <w:bottom w:val="single" w:sz="4" w:space="0" w:color="D9D9D9"/>
              <w:right w:val="single" w:sz="4" w:space="0" w:color="D9D9D9"/>
            </w:tcBorders>
            <w:shd w:val="clear" w:color="auto" w:fill="auto"/>
            <w:noWrap/>
            <w:vAlign w:val="center"/>
          </w:tcPr>
          <w:p w14:paraId="5AE4427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01D721C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7DEC74D1"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35BBF3DE"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Barwon</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687669D"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31%</w:t>
            </w:r>
          </w:p>
        </w:tc>
        <w:tc>
          <w:tcPr>
            <w:tcW w:w="663" w:type="dxa"/>
            <w:tcBorders>
              <w:top w:val="nil"/>
              <w:left w:val="nil"/>
              <w:bottom w:val="single" w:sz="4" w:space="0" w:color="D9D9D9"/>
              <w:right w:val="single" w:sz="4" w:space="0" w:color="D9D9D9"/>
            </w:tcBorders>
            <w:shd w:val="clear" w:color="auto" w:fill="auto"/>
            <w:noWrap/>
            <w:vAlign w:val="center"/>
          </w:tcPr>
          <w:p w14:paraId="13785C2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B73B96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719B921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8401348"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41%</w:t>
            </w:r>
          </w:p>
        </w:tc>
        <w:tc>
          <w:tcPr>
            <w:tcW w:w="663" w:type="dxa"/>
            <w:tcBorders>
              <w:top w:val="nil"/>
              <w:left w:val="nil"/>
              <w:bottom w:val="single" w:sz="4" w:space="0" w:color="D9D9D9"/>
              <w:right w:val="single" w:sz="4" w:space="0" w:color="D9D9D9"/>
            </w:tcBorders>
            <w:shd w:val="clear" w:color="auto" w:fill="auto"/>
            <w:noWrap/>
            <w:vAlign w:val="center"/>
          </w:tcPr>
          <w:p w14:paraId="4D30A17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5DAF839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3157E92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1498914E"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36%</w:t>
            </w:r>
          </w:p>
        </w:tc>
        <w:tc>
          <w:tcPr>
            <w:tcW w:w="663" w:type="dxa"/>
            <w:tcBorders>
              <w:top w:val="nil"/>
              <w:left w:val="nil"/>
              <w:bottom w:val="single" w:sz="4" w:space="0" w:color="D9D9D9"/>
              <w:right w:val="single" w:sz="4" w:space="0" w:color="D9D9D9"/>
            </w:tcBorders>
            <w:shd w:val="clear" w:color="auto" w:fill="auto"/>
            <w:noWrap/>
            <w:vAlign w:val="center"/>
          </w:tcPr>
          <w:p w14:paraId="3C0B14C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1029266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15B23C6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71C3AA68"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27%</w:t>
            </w:r>
          </w:p>
        </w:tc>
        <w:tc>
          <w:tcPr>
            <w:tcW w:w="663" w:type="dxa"/>
            <w:tcBorders>
              <w:top w:val="nil"/>
              <w:left w:val="nil"/>
              <w:bottom w:val="single" w:sz="4" w:space="0" w:color="D9D9D9"/>
              <w:right w:val="single" w:sz="4" w:space="0" w:color="D9D9D9"/>
            </w:tcBorders>
            <w:shd w:val="clear" w:color="auto" w:fill="auto"/>
            <w:noWrap/>
            <w:vAlign w:val="center"/>
          </w:tcPr>
          <w:p w14:paraId="7A6D4F1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4E7F1F9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43C567DE"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bottom"/>
          </w:tcPr>
          <w:p w14:paraId="734A6B43"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Central Highlands</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901D491"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40%</w:t>
            </w:r>
          </w:p>
        </w:tc>
        <w:tc>
          <w:tcPr>
            <w:tcW w:w="663" w:type="dxa"/>
            <w:tcBorders>
              <w:top w:val="nil"/>
              <w:left w:val="nil"/>
              <w:bottom w:val="single" w:sz="4" w:space="0" w:color="D9D9D9"/>
              <w:right w:val="single" w:sz="4" w:space="0" w:color="D9D9D9"/>
            </w:tcBorders>
            <w:shd w:val="clear" w:color="auto" w:fill="auto"/>
            <w:noWrap/>
            <w:vAlign w:val="center"/>
          </w:tcPr>
          <w:p w14:paraId="26446F7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2A74987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560B146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021BA711"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47%</w:t>
            </w:r>
          </w:p>
        </w:tc>
        <w:tc>
          <w:tcPr>
            <w:tcW w:w="663" w:type="dxa"/>
            <w:tcBorders>
              <w:top w:val="nil"/>
              <w:left w:val="nil"/>
              <w:bottom w:val="single" w:sz="4" w:space="0" w:color="D9D9D9"/>
              <w:right w:val="single" w:sz="4" w:space="0" w:color="D9D9D9"/>
            </w:tcBorders>
            <w:shd w:val="clear" w:color="auto" w:fill="auto"/>
            <w:noWrap/>
            <w:vAlign w:val="center"/>
          </w:tcPr>
          <w:p w14:paraId="79E4E84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5DAEDE7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nil"/>
            </w:tcBorders>
            <w:shd w:val="clear" w:color="auto" w:fill="auto"/>
            <w:noWrap/>
            <w:vAlign w:val="center"/>
          </w:tcPr>
          <w:p w14:paraId="1899EF9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64889A8A"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43%</w:t>
            </w:r>
          </w:p>
        </w:tc>
        <w:tc>
          <w:tcPr>
            <w:tcW w:w="663" w:type="dxa"/>
            <w:tcBorders>
              <w:top w:val="nil"/>
              <w:left w:val="nil"/>
              <w:bottom w:val="single" w:sz="4" w:space="0" w:color="D9D9D9"/>
              <w:right w:val="single" w:sz="4" w:space="0" w:color="D9D9D9"/>
            </w:tcBorders>
            <w:shd w:val="clear" w:color="auto" w:fill="auto"/>
            <w:noWrap/>
            <w:vAlign w:val="center"/>
          </w:tcPr>
          <w:p w14:paraId="679D8C8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2225F70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auto"/>
            </w:tcBorders>
            <w:shd w:val="clear" w:color="auto" w:fill="auto"/>
            <w:noWrap/>
            <w:vAlign w:val="center"/>
          </w:tcPr>
          <w:p w14:paraId="2583BB4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single" w:sz="4" w:space="0" w:color="D9D9D9"/>
            </w:tcBorders>
            <w:shd w:val="clear" w:color="auto" w:fill="auto"/>
            <w:noWrap/>
            <w:vAlign w:val="center"/>
          </w:tcPr>
          <w:p w14:paraId="49B3D7C0"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24%</w:t>
            </w:r>
          </w:p>
        </w:tc>
        <w:tc>
          <w:tcPr>
            <w:tcW w:w="663" w:type="dxa"/>
            <w:tcBorders>
              <w:top w:val="nil"/>
              <w:left w:val="nil"/>
              <w:bottom w:val="single" w:sz="4" w:space="0" w:color="D9D9D9"/>
              <w:right w:val="single" w:sz="4" w:space="0" w:color="D9D9D9"/>
            </w:tcBorders>
            <w:shd w:val="clear" w:color="auto" w:fill="auto"/>
            <w:noWrap/>
            <w:vAlign w:val="center"/>
          </w:tcPr>
          <w:p w14:paraId="1368B57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c>
          <w:tcPr>
            <w:tcW w:w="663" w:type="dxa"/>
            <w:tcBorders>
              <w:top w:val="nil"/>
              <w:left w:val="nil"/>
              <w:bottom w:val="single" w:sz="4" w:space="0" w:color="D9D9D9"/>
              <w:right w:val="double" w:sz="6" w:space="0" w:color="auto"/>
            </w:tcBorders>
            <w:shd w:val="clear" w:color="auto" w:fill="auto"/>
            <w:noWrap/>
            <w:vAlign w:val="center"/>
          </w:tcPr>
          <w:p w14:paraId="33078D5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n/a</w:t>
            </w:r>
          </w:p>
        </w:tc>
      </w:tr>
      <w:tr w:rsidR="000B2893" w:rsidRPr="000B2893" w14:paraId="0ECBC704"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072E8AC4" w14:textId="77777777" w:rsidR="000B2893" w:rsidRPr="000B2893" w:rsidRDefault="000B2893" w:rsidP="00544F42">
            <w:pPr>
              <w:spacing w:before="0" w:after="0"/>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By Concession Status -</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1F8E2FE3"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2CCFD129" w14:textId="1278370C"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3B97E67D" w14:textId="28E46F73"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auto"/>
            </w:tcBorders>
            <w:shd w:val="clear" w:color="auto" w:fill="auto"/>
            <w:noWrap/>
            <w:vAlign w:val="center"/>
          </w:tcPr>
          <w:p w14:paraId="4D722605" w14:textId="5E944912"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2F297B23"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6565C814" w14:textId="79C41D83"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0CB9835B" w14:textId="73AD32F5"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nil"/>
            </w:tcBorders>
            <w:shd w:val="clear" w:color="auto" w:fill="auto"/>
            <w:noWrap/>
            <w:vAlign w:val="center"/>
          </w:tcPr>
          <w:p w14:paraId="43F0F69A" w14:textId="5688D152"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E3142CC"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12DC3F37" w14:textId="59D31B6B"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2671CFD0" w14:textId="12CFAF8A"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auto"/>
            </w:tcBorders>
            <w:shd w:val="clear" w:color="auto" w:fill="auto"/>
            <w:noWrap/>
            <w:vAlign w:val="center"/>
          </w:tcPr>
          <w:p w14:paraId="773E2631" w14:textId="448E088A"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264C1885"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50555D63" w14:textId="17EA73F2"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double" w:sz="6" w:space="0" w:color="auto"/>
            </w:tcBorders>
            <w:shd w:val="clear" w:color="auto" w:fill="auto"/>
            <w:noWrap/>
            <w:vAlign w:val="center"/>
          </w:tcPr>
          <w:p w14:paraId="75EC8C35" w14:textId="186ECE47" w:rsidR="000B2893" w:rsidRPr="000B2893" w:rsidRDefault="000B2893">
            <w:pPr>
              <w:spacing w:before="0" w:after="0"/>
              <w:jc w:val="center"/>
              <w:rPr>
                <w:rFonts w:ascii="Arial" w:hAnsi="Arial" w:cs="Arial"/>
                <w:color w:val="000000"/>
                <w:sz w:val="16"/>
                <w:szCs w:val="16"/>
                <w:lang w:val="en-AU" w:eastAsia="en-AU"/>
              </w:rPr>
            </w:pPr>
          </w:p>
        </w:tc>
      </w:tr>
      <w:tr w:rsidR="000B2893" w:rsidRPr="000B2893" w14:paraId="701D86E7"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3A9E9E60"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Aged Concession HHs</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722E8C02"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76%</w:t>
            </w:r>
          </w:p>
        </w:tc>
        <w:tc>
          <w:tcPr>
            <w:tcW w:w="663" w:type="dxa"/>
            <w:tcBorders>
              <w:top w:val="nil"/>
              <w:left w:val="nil"/>
              <w:bottom w:val="single" w:sz="4" w:space="0" w:color="D9D9D9"/>
              <w:right w:val="single" w:sz="4" w:space="0" w:color="D9D9D9"/>
            </w:tcBorders>
            <w:shd w:val="clear" w:color="auto" w:fill="auto"/>
            <w:noWrap/>
            <w:vAlign w:val="center"/>
          </w:tcPr>
          <w:p w14:paraId="7EBE1F5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82%</w:t>
            </w:r>
          </w:p>
        </w:tc>
        <w:tc>
          <w:tcPr>
            <w:tcW w:w="663" w:type="dxa"/>
            <w:tcBorders>
              <w:top w:val="nil"/>
              <w:left w:val="nil"/>
              <w:bottom w:val="single" w:sz="4" w:space="0" w:color="D9D9D9"/>
              <w:right w:val="single" w:sz="4" w:space="0" w:color="D9D9D9"/>
            </w:tcBorders>
            <w:shd w:val="clear" w:color="auto" w:fill="auto"/>
            <w:noWrap/>
            <w:vAlign w:val="center"/>
          </w:tcPr>
          <w:p w14:paraId="5EC514C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83%</w:t>
            </w:r>
          </w:p>
        </w:tc>
        <w:tc>
          <w:tcPr>
            <w:tcW w:w="663" w:type="dxa"/>
            <w:tcBorders>
              <w:top w:val="nil"/>
              <w:left w:val="nil"/>
              <w:bottom w:val="single" w:sz="4" w:space="0" w:color="D9D9D9"/>
              <w:right w:val="single" w:sz="4" w:space="0" w:color="auto"/>
            </w:tcBorders>
            <w:shd w:val="clear" w:color="auto" w:fill="auto"/>
            <w:noWrap/>
            <w:vAlign w:val="center"/>
          </w:tcPr>
          <w:p w14:paraId="49BA53A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78%</w:t>
            </w:r>
          </w:p>
        </w:tc>
        <w:tc>
          <w:tcPr>
            <w:tcW w:w="663" w:type="dxa"/>
            <w:tcBorders>
              <w:top w:val="nil"/>
              <w:left w:val="nil"/>
              <w:bottom w:val="single" w:sz="4" w:space="0" w:color="D9D9D9"/>
              <w:right w:val="single" w:sz="4" w:space="0" w:color="D9D9D9"/>
            </w:tcBorders>
            <w:shd w:val="clear" w:color="auto" w:fill="auto"/>
            <w:noWrap/>
            <w:vAlign w:val="center"/>
          </w:tcPr>
          <w:p w14:paraId="0C29280F"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90%</w:t>
            </w:r>
          </w:p>
        </w:tc>
        <w:tc>
          <w:tcPr>
            <w:tcW w:w="663" w:type="dxa"/>
            <w:tcBorders>
              <w:top w:val="nil"/>
              <w:left w:val="nil"/>
              <w:bottom w:val="single" w:sz="4" w:space="0" w:color="D9D9D9"/>
              <w:right w:val="single" w:sz="4" w:space="0" w:color="D9D9D9"/>
            </w:tcBorders>
            <w:shd w:val="clear" w:color="auto" w:fill="auto"/>
            <w:noWrap/>
            <w:vAlign w:val="center"/>
          </w:tcPr>
          <w:p w14:paraId="21F285D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90%</w:t>
            </w:r>
          </w:p>
        </w:tc>
        <w:tc>
          <w:tcPr>
            <w:tcW w:w="663" w:type="dxa"/>
            <w:tcBorders>
              <w:top w:val="nil"/>
              <w:left w:val="nil"/>
              <w:bottom w:val="single" w:sz="4" w:space="0" w:color="D9D9D9"/>
              <w:right w:val="single" w:sz="4" w:space="0" w:color="D9D9D9"/>
            </w:tcBorders>
            <w:shd w:val="clear" w:color="auto" w:fill="auto"/>
            <w:noWrap/>
            <w:vAlign w:val="center"/>
          </w:tcPr>
          <w:p w14:paraId="700654E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91%</w:t>
            </w:r>
          </w:p>
        </w:tc>
        <w:tc>
          <w:tcPr>
            <w:tcW w:w="663" w:type="dxa"/>
            <w:tcBorders>
              <w:top w:val="nil"/>
              <w:left w:val="nil"/>
              <w:bottom w:val="single" w:sz="4" w:space="0" w:color="D9D9D9"/>
              <w:right w:val="nil"/>
            </w:tcBorders>
            <w:shd w:val="clear" w:color="auto" w:fill="auto"/>
            <w:noWrap/>
            <w:vAlign w:val="center"/>
          </w:tcPr>
          <w:p w14:paraId="3DF36DF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91%</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3ECF87E9"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80%</w:t>
            </w:r>
          </w:p>
        </w:tc>
        <w:tc>
          <w:tcPr>
            <w:tcW w:w="663" w:type="dxa"/>
            <w:tcBorders>
              <w:top w:val="nil"/>
              <w:left w:val="nil"/>
              <w:bottom w:val="single" w:sz="4" w:space="0" w:color="D9D9D9"/>
              <w:right w:val="single" w:sz="4" w:space="0" w:color="D9D9D9"/>
            </w:tcBorders>
            <w:shd w:val="clear" w:color="auto" w:fill="auto"/>
            <w:noWrap/>
            <w:vAlign w:val="center"/>
          </w:tcPr>
          <w:p w14:paraId="3A9DB8E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83%</w:t>
            </w:r>
          </w:p>
        </w:tc>
        <w:tc>
          <w:tcPr>
            <w:tcW w:w="663" w:type="dxa"/>
            <w:tcBorders>
              <w:top w:val="nil"/>
              <w:left w:val="nil"/>
              <w:bottom w:val="single" w:sz="4" w:space="0" w:color="D9D9D9"/>
              <w:right w:val="single" w:sz="4" w:space="0" w:color="D9D9D9"/>
            </w:tcBorders>
            <w:shd w:val="clear" w:color="auto" w:fill="auto"/>
            <w:noWrap/>
            <w:vAlign w:val="center"/>
          </w:tcPr>
          <w:p w14:paraId="4FCC60A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83%</w:t>
            </w:r>
          </w:p>
        </w:tc>
        <w:tc>
          <w:tcPr>
            <w:tcW w:w="663" w:type="dxa"/>
            <w:tcBorders>
              <w:top w:val="nil"/>
              <w:left w:val="nil"/>
              <w:bottom w:val="single" w:sz="4" w:space="0" w:color="D9D9D9"/>
              <w:right w:val="single" w:sz="4" w:space="0" w:color="auto"/>
            </w:tcBorders>
            <w:shd w:val="clear" w:color="auto" w:fill="auto"/>
            <w:noWrap/>
            <w:vAlign w:val="center"/>
          </w:tcPr>
          <w:p w14:paraId="6EA4802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78%</w:t>
            </w:r>
          </w:p>
        </w:tc>
        <w:tc>
          <w:tcPr>
            <w:tcW w:w="663" w:type="dxa"/>
            <w:tcBorders>
              <w:top w:val="nil"/>
              <w:left w:val="nil"/>
              <w:bottom w:val="single" w:sz="4" w:space="0" w:color="D9D9D9"/>
              <w:right w:val="single" w:sz="4" w:space="0" w:color="D9D9D9"/>
            </w:tcBorders>
            <w:shd w:val="clear" w:color="auto" w:fill="auto"/>
            <w:noWrap/>
            <w:vAlign w:val="center"/>
          </w:tcPr>
          <w:p w14:paraId="37D4DBFD"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72%</w:t>
            </w:r>
          </w:p>
        </w:tc>
        <w:tc>
          <w:tcPr>
            <w:tcW w:w="663" w:type="dxa"/>
            <w:tcBorders>
              <w:top w:val="nil"/>
              <w:left w:val="nil"/>
              <w:bottom w:val="single" w:sz="4" w:space="0" w:color="D9D9D9"/>
              <w:right w:val="single" w:sz="4" w:space="0" w:color="D9D9D9"/>
            </w:tcBorders>
            <w:shd w:val="clear" w:color="auto" w:fill="auto"/>
            <w:noWrap/>
            <w:vAlign w:val="center"/>
          </w:tcPr>
          <w:p w14:paraId="7C085CF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76%</w:t>
            </w:r>
          </w:p>
        </w:tc>
        <w:tc>
          <w:tcPr>
            <w:tcW w:w="663" w:type="dxa"/>
            <w:tcBorders>
              <w:top w:val="nil"/>
              <w:left w:val="nil"/>
              <w:bottom w:val="single" w:sz="4" w:space="0" w:color="D9D9D9"/>
              <w:right w:val="double" w:sz="6" w:space="0" w:color="auto"/>
            </w:tcBorders>
            <w:shd w:val="clear" w:color="auto" w:fill="auto"/>
            <w:noWrap/>
            <w:vAlign w:val="center"/>
          </w:tcPr>
          <w:p w14:paraId="67E24FD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76%</w:t>
            </w:r>
          </w:p>
        </w:tc>
      </w:tr>
      <w:tr w:rsidR="000B2893" w:rsidRPr="000B2893" w14:paraId="65B99D27"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37CD34AB"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Other Concession HHs</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566A5B90"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71%</w:t>
            </w:r>
          </w:p>
        </w:tc>
        <w:tc>
          <w:tcPr>
            <w:tcW w:w="663" w:type="dxa"/>
            <w:tcBorders>
              <w:top w:val="nil"/>
              <w:left w:val="nil"/>
              <w:bottom w:val="single" w:sz="4" w:space="0" w:color="D9D9D9"/>
              <w:right w:val="single" w:sz="4" w:space="0" w:color="D9D9D9"/>
            </w:tcBorders>
            <w:shd w:val="clear" w:color="auto" w:fill="auto"/>
            <w:noWrap/>
            <w:vAlign w:val="center"/>
          </w:tcPr>
          <w:p w14:paraId="49477C2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73%</w:t>
            </w:r>
          </w:p>
        </w:tc>
        <w:tc>
          <w:tcPr>
            <w:tcW w:w="663" w:type="dxa"/>
            <w:tcBorders>
              <w:top w:val="nil"/>
              <w:left w:val="nil"/>
              <w:bottom w:val="single" w:sz="4" w:space="0" w:color="D9D9D9"/>
              <w:right w:val="single" w:sz="4" w:space="0" w:color="D9D9D9"/>
            </w:tcBorders>
            <w:shd w:val="clear" w:color="auto" w:fill="auto"/>
            <w:noWrap/>
            <w:vAlign w:val="center"/>
          </w:tcPr>
          <w:p w14:paraId="5673B48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77%</w:t>
            </w:r>
          </w:p>
        </w:tc>
        <w:tc>
          <w:tcPr>
            <w:tcW w:w="663" w:type="dxa"/>
            <w:tcBorders>
              <w:top w:val="nil"/>
              <w:left w:val="nil"/>
              <w:bottom w:val="single" w:sz="4" w:space="0" w:color="D9D9D9"/>
              <w:right w:val="single" w:sz="4" w:space="0" w:color="auto"/>
            </w:tcBorders>
            <w:shd w:val="clear" w:color="auto" w:fill="auto"/>
            <w:noWrap/>
            <w:vAlign w:val="center"/>
          </w:tcPr>
          <w:p w14:paraId="2FE13AE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73%</w:t>
            </w:r>
          </w:p>
        </w:tc>
        <w:tc>
          <w:tcPr>
            <w:tcW w:w="663" w:type="dxa"/>
            <w:tcBorders>
              <w:top w:val="nil"/>
              <w:left w:val="nil"/>
              <w:bottom w:val="single" w:sz="4" w:space="0" w:color="D9D9D9"/>
              <w:right w:val="single" w:sz="4" w:space="0" w:color="D9D9D9"/>
            </w:tcBorders>
            <w:shd w:val="clear" w:color="auto" w:fill="auto"/>
            <w:noWrap/>
            <w:vAlign w:val="center"/>
          </w:tcPr>
          <w:p w14:paraId="6E9E12B9"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83%</w:t>
            </w:r>
          </w:p>
        </w:tc>
        <w:tc>
          <w:tcPr>
            <w:tcW w:w="663" w:type="dxa"/>
            <w:tcBorders>
              <w:top w:val="nil"/>
              <w:left w:val="nil"/>
              <w:bottom w:val="single" w:sz="4" w:space="0" w:color="D9D9D9"/>
              <w:right w:val="single" w:sz="4" w:space="0" w:color="D9D9D9"/>
            </w:tcBorders>
            <w:shd w:val="clear" w:color="auto" w:fill="auto"/>
            <w:noWrap/>
            <w:vAlign w:val="center"/>
          </w:tcPr>
          <w:p w14:paraId="41413CB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83%</w:t>
            </w:r>
          </w:p>
        </w:tc>
        <w:tc>
          <w:tcPr>
            <w:tcW w:w="663" w:type="dxa"/>
            <w:tcBorders>
              <w:top w:val="nil"/>
              <w:left w:val="nil"/>
              <w:bottom w:val="single" w:sz="4" w:space="0" w:color="D9D9D9"/>
              <w:right w:val="single" w:sz="4" w:space="0" w:color="D9D9D9"/>
            </w:tcBorders>
            <w:shd w:val="clear" w:color="auto" w:fill="auto"/>
            <w:noWrap/>
            <w:vAlign w:val="center"/>
          </w:tcPr>
          <w:p w14:paraId="7EC4107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82%</w:t>
            </w:r>
          </w:p>
        </w:tc>
        <w:tc>
          <w:tcPr>
            <w:tcW w:w="663" w:type="dxa"/>
            <w:tcBorders>
              <w:top w:val="nil"/>
              <w:left w:val="nil"/>
              <w:bottom w:val="single" w:sz="4" w:space="0" w:color="D9D9D9"/>
              <w:right w:val="nil"/>
            </w:tcBorders>
            <w:shd w:val="clear" w:color="auto" w:fill="auto"/>
            <w:noWrap/>
            <w:vAlign w:val="center"/>
          </w:tcPr>
          <w:p w14:paraId="42B8EEC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82%</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4BAD8689"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76%</w:t>
            </w:r>
          </w:p>
        </w:tc>
        <w:tc>
          <w:tcPr>
            <w:tcW w:w="663" w:type="dxa"/>
            <w:tcBorders>
              <w:top w:val="nil"/>
              <w:left w:val="nil"/>
              <w:bottom w:val="single" w:sz="4" w:space="0" w:color="D9D9D9"/>
              <w:right w:val="single" w:sz="4" w:space="0" w:color="D9D9D9"/>
            </w:tcBorders>
            <w:shd w:val="clear" w:color="auto" w:fill="auto"/>
            <w:noWrap/>
            <w:vAlign w:val="center"/>
          </w:tcPr>
          <w:p w14:paraId="5B0F16B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71%</w:t>
            </w:r>
          </w:p>
        </w:tc>
        <w:tc>
          <w:tcPr>
            <w:tcW w:w="663" w:type="dxa"/>
            <w:tcBorders>
              <w:top w:val="nil"/>
              <w:left w:val="nil"/>
              <w:bottom w:val="single" w:sz="4" w:space="0" w:color="D9D9D9"/>
              <w:right w:val="single" w:sz="4" w:space="0" w:color="D9D9D9"/>
            </w:tcBorders>
            <w:shd w:val="clear" w:color="auto" w:fill="auto"/>
            <w:noWrap/>
            <w:vAlign w:val="center"/>
          </w:tcPr>
          <w:p w14:paraId="6CE7B90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69%</w:t>
            </w:r>
          </w:p>
        </w:tc>
        <w:tc>
          <w:tcPr>
            <w:tcW w:w="663" w:type="dxa"/>
            <w:tcBorders>
              <w:top w:val="nil"/>
              <w:left w:val="nil"/>
              <w:bottom w:val="single" w:sz="4" w:space="0" w:color="D9D9D9"/>
              <w:right w:val="single" w:sz="4" w:space="0" w:color="auto"/>
            </w:tcBorders>
            <w:shd w:val="clear" w:color="auto" w:fill="auto"/>
            <w:noWrap/>
            <w:vAlign w:val="center"/>
          </w:tcPr>
          <w:p w14:paraId="10B345F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57%</w:t>
            </w:r>
          </w:p>
        </w:tc>
        <w:tc>
          <w:tcPr>
            <w:tcW w:w="663" w:type="dxa"/>
            <w:tcBorders>
              <w:top w:val="nil"/>
              <w:left w:val="nil"/>
              <w:bottom w:val="single" w:sz="4" w:space="0" w:color="D9D9D9"/>
              <w:right w:val="single" w:sz="4" w:space="0" w:color="D9D9D9"/>
            </w:tcBorders>
            <w:shd w:val="clear" w:color="auto" w:fill="auto"/>
            <w:noWrap/>
            <w:vAlign w:val="center"/>
          </w:tcPr>
          <w:p w14:paraId="48902CE9"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38%</w:t>
            </w:r>
          </w:p>
        </w:tc>
        <w:tc>
          <w:tcPr>
            <w:tcW w:w="663" w:type="dxa"/>
            <w:tcBorders>
              <w:top w:val="nil"/>
              <w:left w:val="nil"/>
              <w:bottom w:val="single" w:sz="4" w:space="0" w:color="D9D9D9"/>
              <w:right w:val="single" w:sz="4" w:space="0" w:color="D9D9D9"/>
            </w:tcBorders>
            <w:shd w:val="clear" w:color="auto" w:fill="auto"/>
            <w:noWrap/>
            <w:vAlign w:val="center"/>
          </w:tcPr>
          <w:p w14:paraId="5E17BD1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36%</w:t>
            </w:r>
          </w:p>
        </w:tc>
        <w:tc>
          <w:tcPr>
            <w:tcW w:w="663" w:type="dxa"/>
            <w:tcBorders>
              <w:top w:val="nil"/>
              <w:left w:val="nil"/>
              <w:bottom w:val="single" w:sz="4" w:space="0" w:color="D9D9D9"/>
              <w:right w:val="double" w:sz="6" w:space="0" w:color="auto"/>
            </w:tcBorders>
            <w:shd w:val="clear" w:color="auto" w:fill="auto"/>
            <w:noWrap/>
            <w:vAlign w:val="center"/>
          </w:tcPr>
          <w:p w14:paraId="4FBECC8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39%</w:t>
            </w:r>
          </w:p>
        </w:tc>
      </w:tr>
      <w:tr w:rsidR="000B2893" w:rsidRPr="000B2893" w14:paraId="4C6CFD2F"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1CCEC4E6" w14:textId="77777777" w:rsidR="000B2893" w:rsidRPr="000B2893" w:rsidRDefault="000B2893" w:rsidP="00544F42">
            <w:pPr>
              <w:spacing w:before="0" w:after="0"/>
              <w:ind w:firstLineChars="100" w:firstLine="160"/>
              <w:rPr>
                <w:rFonts w:ascii="Arial" w:hAnsi="Arial" w:cs="Arial"/>
                <w:bCs/>
                <w:iCs/>
                <w:color w:val="000000"/>
                <w:sz w:val="16"/>
                <w:szCs w:val="16"/>
                <w:lang w:val="en-AU" w:eastAsia="en-AU"/>
              </w:rPr>
            </w:pPr>
            <w:r w:rsidRPr="000B2893">
              <w:rPr>
                <w:rFonts w:ascii="Arial" w:hAnsi="Arial" w:cs="Arial"/>
                <w:bCs/>
                <w:iCs/>
                <w:color w:val="000000"/>
                <w:sz w:val="16"/>
                <w:szCs w:val="16"/>
                <w:lang w:val="en-AU" w:eastAsia="en-AU"/>
              </w:rPr>
              <w:t>Total Concession HHs</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43647C54"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74%</w:t>
            </w:r>
          </w:p>
        </w:tc>
        <w:tc>
          <w:tcPr>
            <w:tcW w:w="663" w:type="dxa"/>
            <w:tcBorders>
              <w:top w:val="nil"/>
              <w:left w:val="nil"/>
              <w:bottom w:val="single" w:sz="4" w:space="0" w:color="D9D9D9"/>
              <w:right w:val="single" w:sz="4" w:space="0" w:color="D9D9D9"/>
            </w:tcBorders>
            <w:shd w:val="clear" w:color="auto" w:fill="auto"/>
            <w:noWrap/>
            <w:vAlign w:val="center"/>
          </w:tcPr>
          <w:p w14:paraId="0102750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78%</w:t>
            </w:r>
          </w:p>
        </w:tc>
        <w:tc>
          <w:tcPr>
            <w:tcW w:w="663" w:type="dxa"/>
            <w:tcBorders>
              <w:top w:val="nil"/>
              <w:left w:val="nil"/>
              <w:bottom w:val="single" w:sz="4" w:space="0" w:color="D9D9D9"/>
              <w:right w:val="single" w:sz="4" w:space="0" w:color="D9D9D9"/>
            </w:tcBorders>
            <w:shd w:val="clear" w:color="auto" w:fill="auto"/>
            <w:noWrap/>
            <w:vAlign w:val="center"/>
          </w:tcPr>
          <w:p w14:paraId="564FCD6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80%</w:t>
            </w:r>
          </w:p>
        </w:tc>
        <w:tc>
          <w:tcPr>
            <w:tcW w:w="663" w:type="dxa"/>
            <w:tcBorders>
              <w:top w:val="nil"/>
              <w:left w:val="nil"/>
              <w:bottom w:val="single" w:sz="4" w:space="0" w:color="D9D9D9"/>
              <w:right w:val="single" w:sz="4" w:space="0" w:color="auto"/>
            </w:tcBorders>
            <w:shd w:val="clear" w:color="auto" w:fill="auto"/>
            <w:noWrap/>
            <w:vAlign w:val="center"/>
          </w:tcPr>
          <w:p w14:paraId="4E87D60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76%</w:t>
            </w:r>
          </w:p>
        </w:tc>
        <w:tc>
          <w:tcPr>
            <w:tcW w:w="663" w:type="dxa"/>
            <w:tcBorders>
              <w:top w:val="nil"/>
              <w:left w:val="nil"/>
              <w:bottom w:val="single" w:sz="4" w:space="0" w:color="D9D9D9"/>
              <w:right w:val="single" w:sz="4" w:space="0" w:color="D9D9D9"/>
            </w:tcBorders>
            <w:shd w:val="clear" w:color="auto" w:fill="auto"/>
            <w:noWrap/>
            <w:vAlign w:val="center"/>
          </w:tcPr>
          <w:p w14:paraId="4C2B18F8"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87%</w:t>
            </w:r>
          </w:p>
        </w:tc>
        <w:tc>
          <w:tcPr>
            <w:tcW w:w="663" w:type="dxa"/>
            <w:tcBorders>
              <w:top w:val="nil"/>
              <w:left w:val="nil"/>
              <w:bottom w:val="single" w:sz="4" w:space="0" w:color="D9D9D9"/>
              <w:right w:val="single" w:sz="4" w:space="0" w:color="D9D9D9"/>
            </w:tcBorders>
            <w:shd w:val="clear" w:color="auto" w:fill="auto"/>
            <w:noWrap/>
            <w:vAlign w:val="center"/>
          </w:tcPr>
          <w:p w14:paraId="2C69CC0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86%</w:t>
            </w:r>
          </w:p>
        </w:tc>
        <w:tc>
          <w:tcPr>
            <w:tcW w:w="663" w:type="dxa"/>
            <w:tcBorders>
              <w:top w:val="nil"/>
              <w:left w:val="nil"/>
              <w:bottom w:val="single" w:sz="4" w:space="0" w:color="D9D9D9"/>
              <w:right w:val="single" w:sz="4" w:space="0" w:color="D9D9D9"/>
            </w:tcBorders>
            <w:shd w:val="clear" w:color="auto" w:fill="auto"/>
            <w:noWrap/>
            <w:vAlign w:val="center"/>
          </w:tcPr>
          <w:p w14:paraId="71C595B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87%</w:t>
            </w:r>
          </w:p>
        </w:tc>
        <w:tc>
          <w:tcPr>
            <w:tcW w:w="663" w:type="dxa"/>
            <w:tcBorders>
              <w:top w:val="nil"/>
              <w:left w:val="nil"/>
              <w:bottom w:val="single" w:sz="4" w:space="0" w:color="D9D9D9"/>
              <w:right w:val="nil"/>
            </w:tcBorders>
            <w:shd w:val="clear" w:color="auto" w:fill="auto"/>
            <w:noWrap/>
            <w:vAlign w:val="center"/>
          </w:tcPr>
          <w:p w14:paraId="440C7D0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87%</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2E24FADD"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78%</w:t>
            </w:r>
          </w:p>
        </w:tc>
        <w:tc>
          <w:tcPr>
            <w:tcW w:w="663" w:type="dxa"/>
            <w:tcBorders>
              <w:top w:val="nil"/>
              <w:left w:val="nil"/>
              <w:bottom w:val="single" w:sz="4" w:space="0" w:color="D9D9D9"/>
              <w:right w:val="single" w:sz="4" w:space="0" w:color="D9D9D9"/>
            </w:tcBorders>
            <w:shd w:val="clear" w:color="auto" w:fill="auto"/>
            <w:noWrap/>
            <w:vAlign w:val="center"/>
          </w:tcPr>
          <w:p w14:paraId="5BB8C62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77%</w:t>
            </w:r>
          </w:p>
        </w:tc>
        <w:tc>
          <w:tcPr>
            <w:tcW w:w="663" w:type="dxa"/>
            <w:tcBorders>
              <w:top w:val="nil"/>
              <w:left w:val="nil"/>
              <w:bottom w:val="single" w:sz="4" w:space="0" w:color="D9D9D9"/>
              <w:right w:val="single" w:sz="4" w:space="0" w:color="D9D9D9"/>
            </w:tcBorders>
            <w:shd w:val="clear" w:color="auto" w:fill="auto"/>
            <w:noWrap/>
            <w:vAlign w:val="center"/>
          </w:tcPr>
          <w:p w14:paraId="5A96A62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77%</w:t>
            </w:r>
          </w:p>
        </w:tc>
        <w:tc>
          <w:tcPr>
            <w:tcW w:w="663" w:type="dxa"/>
            <w:tcBorders>
              <w:top w:val="nil"/>
              <w:left w:val="nil"/>
              <w:bottom w:val="single" w:sz="4" w:space="0" w:color="D9D9D9"/>
              <w:right w:val="single" w:sz="4" w:space="0" w:color="auto"/>
            </w:tcBorders>
            <w:shd w:val="clear" w:color="auto" w:fill="auto"/>
            <w:noWrap/>
            <w:vAlign w:val="center"/>
          </w:tcPr>
          <w:p w14:paraId="6070F3C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69%</w:t>
            </w:r>
          </w:p>
        </w:tc>
        <w:tc>
          <w:tcPr>
            <w:tcW w:w="663" w:type="dxa"/>
            <w:tcBorders>
              <w:top w:val="nil"/>
              <w:left w:val="nil"/>
              <w:bottom w:val="single" w:sz="4" w:space="0" w:color="D9D9D9"/>
              <w:right w:val="single" w:sz="4" w:space="0" w:color="D9D9D9"/>
            </w:tcBorders>
            <w:shd w:val="clear" w:color="auto" w:fill="auto"/>
            <w:noWrap/>
            <w:vAlign w:val="center"/>
          </w:tcPr>
          <w:p w14:paraId="6845937A"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55%</w:t>
            </w:r>
          </w:p>
        </w:tc>
        <w:tc>
          <w:tcPr>
            <w:tcW w:w="663" w:type="dxa"/>
            <w:tcBorders>
              <w:top w:val="nil"/>
              <w:left w:val="nil"/>
              <w:bottom w:val="single" w:sz="4" w:space="0" w:color="D9D9D9"/>
              <w:right w:val="single" w:sz="4" w:space="0" w:color="D9D9D9"/>
            </w:tcBorders>
            <w:shd w:val="clear" w:color="auto" w:fill="auto"/>
            <w:noWrap/>
            <w:vAlign w:val="center"/>
          </w:tcPr>
          <w:p w14:paraId="50379C4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57%</w:t>
            </w:r>
          </w:p>
        </w:tc>
        <w:tc>
          <w:tcPr>
            <w:tcW w:w="663" w:type="dxa"/>
            <w:tcBorders>
              <w:top w:val="nil"/>
              <w:left w:val="nil"/>
              <w:bottom w:val="single" w:sz="4" w:space="0" w:color="D9D9D9"/>
              <w:right w:val="double" w:sz="6" w:space="0" w:color="auto"/>
            </w:tcBorders>
            <w:shd w:val="clear" w:color="auto" w:fill="auto"/>
            <w:noWrap/>
            <w:vAlign w:val="center"/>
          </w:tcPr>
          <w:p w14:paraId="0072BA9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58%</w:t>
            </w:r>
          </w:p>
        </w:tc>
      </w:tr>
      <w:tr w:rsidR="000B2893" w:rsidRPr="000B2893" w14:paraId="05EA56FF"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0C39D51C" w14:textId="77777777" w:rsidR="000B2893" w:rsidRPr="000B2893" w:rsidRDefault="000B2893" w:rsidP="00544F42">
            <w:pPr>
              <w:spacing w:before="0" w:after="0"/>
              <w:ind w:firstLineChars="100" w:firstLine="160"/>
              <w:rPr>
                <w:rFonts w:ascii="Arial" w:hAnsi="Arial" w:cs="Arial"/>
                <w:bCs/>
                <w:iCs/>
                <w:color w:val="000000"/>
                <w:sz w:val="16"/>
                <w:szCs w:val="16"/>
                <w:lang w:val="en-AU" w:eastAsia="en-AU"/>
              </w:rPr>
            </w:pPr>
            <w:r w:rsidRPr="000B2893">
              <w:rPr>
                <w:rFonts w:ascii="Arial" w:hAnsi="Arial" w:cs="Arial"/>
                <w:bCs/>
                <w:iCs/>
                <w:color w:val="000000"/>
                <w:sz w:val="16"/>
                <w:szCs w:val="16"/>
                <w:lang w:val="en-AU" w:eastAsia="en-AU"/>
              </w:rPr>
              <w:t>Non-Concession HHs</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21B15ABB"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w:t>
            </w:r>
          </w:p>
        </w:tc>
        <w:tc>
          <w:tcPr>
            <w:tcW w:w="663" w:type="dxa"/>
            <w:tcBorders>
              <w:top w:val="nil"/>
              <w:left w:val="nil"/>
              <w:bottom w:val="single" w:sz="4" w:space="0" w:color="D9D9D9"/>
              <w:right w:val="single" w:sz="4" w:space="0" w:color="D9D9D9"/>
            </w:tcBorders>
            <w:shd w:val="clear" w:color="auto" w:fill="auto"/>
            <w:noWrap/>
            <w:vAlign w:val="center"/>
          </w:tcPr>
          <w:p w14:paraId="2BF27D5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w:t>
            </w:r>
          </w:p>
        </w:tc>
        <w:tc>
          <w:tcPr>
            <w:tcW w:w="663" w:type="dxa"/>
            <w:tcBorders>
              <w:top w:val="nil"/>
              <w:left w:val="nil"/>
              <w:bottom w:val="single" w:sz="4" w:space="0" w:color="D9D9D9"/>
              <w:right w:val="single" w:sz="4" w:space="0" w:color="D9D9D9"/>
            </w:tcBorders>
            <w:shd w:val="clear" w:color="auto" w:fill="auto"/>
            <w:noWrap/>
            <w:vAlign w:val="center"/>
          </w:tcPr>
          <w:p w14:paraId="10BE6DE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w:t>
            </w:r>
          </w:p>
        </w:tc>
        <w:tc>
          <w:tcPr>
            <w:tcW w:w="663" w:type="dxa"/>
            <w:tcBorders>
              <w:top w:val="nil"/>
              <w:left w:val="nil"/>
              <w:bottom w:val="single" w:sz="4" w:space="0" w:color="D9D9D9"/>
              <w:right w:val="single" w:sz="4" w:space="0" w:color="auto"/>
            </w:tcBorders>
            <w:shd w:val="clear" w:color="auto" w:fill="auto"/>
            <w:noWrap/>
            <w:vAlign w:val="center"/>
          </w:tcPr>
          <w:p w14:paraId="748B432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w:t>
            </w:r>
          </w:p>
        </w:tc>
        <w:tc>
          <w:tcPr>
            <w:tcW w:w="663" w:type="dxa"/>
            <w:tcBorders>
              <w:top w:val="nil"/>
              <w:left w:val="nil"/>
              <w:bottom w:val="single" w:sz="4" w:space="0" w:color="D9D9D9"/>
              <w:right w:val="single" w:sz="4" w:space="0" w:color="D9D9D9"/>
            </w:tcBorders>
            <w:shd w:val="clear" w:color="auto" w:fill="auto"/>
            <w:noWrap/>
            <w:vAlign w:val="center"/>
          </w:tcPr>
          <w:p w14:paraId="1D9D3D1D"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5%</w:t>
            </w:r>
          </w:p>
        </w:tc>
        <w:tc>
          <w:tcPr>
            <w:tcW w:w="663" w:type="dxa"/>
            <w:tcBorders>
              <w:top w:val="nil"/>
              <w:left w:val="nil"/>
              <w:bottom w:val="single" w:sz="4" w:space="0" w:color="D9D9D9"/>
              <w:right w:val="single" w:sz="4" w:space="0" w:color="D9D9D9"/>
            </w:tcBorders>
            <w:shd w:val="clear" w:color="auto" w:fill="auto"/>
            <w:noWrap/>
            <w:vAlign w:val="center"/>
          </w:tcPr>
          <w:p w14:paraId="343E4FB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w:t>
            </w:r>
          </w:p>
        </w:tc>
        <w:tc>
          <w:tcPr>
            <w:tcW w:w="663" w:type="dxa"/>
            <w:tcBorders>
              <w:top w:val="nil"/>
              <w:left w:val="nil"/>
              <w:bottom w:val="single" w:sz="4" w:space="0" w:color="D9D9D9"/>
              <w:right w:val="single" w:sz="4" w:space="0" w:color="D9D9D9"/>
            </w:tcBorders>
            <w:shd w:val="clear" w:color="auto" w:fill="auto"/>
            <w:noWrap/>
            <w:vAlign w:val="center"/>
          </w:tcPr>
          <w:p w14:paraId="5583D7B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w:t>
            </w:r>
          </w:p>
        </w:tc>
        <w:tc>
          <w:tcPr>
            <w:tcW w:w="663" w:type="dxa"/>
            <w:tcBorders>
              <w:top w:val="nil"/>
              <w:left w:val="nil"/>
              <w:bottom w:val="single" w:sz="4" w:space="0" w:color="D9D9D9"/>
              <w:right w:val="nil"/>
            </w:tcBorders>
            <w:shd w:val="clear" w:color="auto" w:fill="auto"/>
            <w:noWrap/>
            <w:vAlign w:val="center"/>
          </w:tcPr>
          <w:p w14:paraId="3DF7A44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606724D8"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w:t>
            </w:r>
          </w:p>
        </w:tc>
        <w:tc>
          <w:tcPr>
            <w:tcW w:w="663" w:type="dxa"/>
            <w:tcBorders>
              <w:top w:val="nil"/>
              <w:left w:val="nil"/>
              <w:bottom w:val="single" w:sz="4" w:space="0" w:color="D9D9D9"/>
              <w:right w:val="single" w:sz="4" w:space="0" w:color="D9D9D9"/>
            </w:tcBorders>
            <w:shd w:val="clear" w:color="auto" w:fill="auto"/>
            <w:noWrap/>
            <w:vAlign w:val="center"/>
          </w:tcPr>
          <w:p w14:paraId="6FFD4A8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w:t>
            </w:r>
          </w:p>
        </w:tc>
        <w:tc>
          <w:tcPr>
            <w:tcW w:w="663" w:type="dxa"/>
            <w:tcBorders>
              <w:top w:val="nil"/>
              <w:left w:val="nil"/>
              <w:bottom w:val="single" w:sz="4" w:space="0" w:color="D9D9D9"/>
              <w:right w:val="single" w:sz="4" w:space="0" w:color="D9D9D9"/>
            </w:tcBorders>
            <w:shd w:val="clear" w:color="auto" w:fill="auto"/>
            <w:noWrap/>
            <w:vAlign w:val="center"/>
          </w:tcPr>
          <w:p w14:paraId="6320477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w:t>
            </w:r>
          </w:p>
        </w:tc>
        <w:tc>
          <w:tcPr>
            <w:tcW w:w="663" w:type="dxa"/>
            <w:tcBorders>
              <w:top w:val="nil"/>
              <w:left w:val="nil"/>
              <w:bottom w:val="single" w:sz="4" w:space="0" w:color="D9D9D9"/>
              <w:right w:val="single" w:sz="4" w:space="0" w:color="auto"/>
            </w:tcBorders>
            <w:shd w:val="clear" w:color="auto" w:fill="auto"/>
            <w:noWrap/>
            <w:vAlign w:val="center"/>
          </w:tcPr>
          <w:p w14:paraId="6862DCA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w:t>
            </w:r>
          </w:p>
        </w:tc>
        <w:tc>
          <w:tcPr>
            <w:tcW w:w="663" w:type="dxa"/>
            <w:tcBorders>
              <w:top w:val="nil"/>
              <w:left w:val="nil"/>
              <w:bottom w:val="single" w:sz="4" w:space="0" w:color="D9D9D9"/>
              <w:right w:val="single" w:sz="4" w:space="0" w:color="D9D9D9"/>
            </w:tcBorders>
            <w:shd w:val="clear" w:color="auto" w:fill="auto"/>
            <w:noWrap/>
            <w:vAlign w:val="center"/>
          </w:tcPr>
          <w:p w14:paraId="33B8AC05"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w:t>
            </w:r>
          </w:p>
        </w:tc>
        <w:tc>
          <w:tcPr>
            <w:tcW w:w="663" w:type="dxa"/>
            <w:tcBorders>
              <w:top w:val="nil"/>
              <w:left w:val="nil"/>
              <w:bottom w:val="single" w:sz="4" w:space="0" w:color="D9D9D9"/>
              <w:right w:val="single" w:sz="4" w:space="0" w:color="D9D9D9"/>
            </w:tcBorders>
            <w:shd w:val="clear" w:color="auto" w:fill="auto"/>
            <w:noWrap/>
            <w:vAlign w:val="center"/>
          </w:tcPr>
          <w:p w14:paraId="4EAC071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w:t>
            </w:r>
          </w:p>
        </w:tc>
        <w:tc>
          <w:tcPr>
            <w:tcW w:w="663" w:type="dxa"/>
            <w:tcBorders>
              <w:top w:val="nil"/>
              <w:left w:val="nil"/>
              <w:bottom w:val="single" w:sz="4" w:space="0" w:color="D9D9D9"/>
              <w:right w:val="double" w:sz="6" w:space="0" w:color="auto"/>
            </w:tcBorders>
            <w:shd w:val="clear" w:color="auto" w:fill="auto"/>
            <w:noWrap/>
            <w:vAlign w:val="center"/>
          </w:tcPr>
          <w:p w14:paraId="3899F8C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w:t>
            </w:r>
          </w:p>
        </w:tc>
      </w:tr>
      <w:tr w:rsidR="000B2893" w:rsidRPr="000B2893" w14:paraId="386C8E07"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0A18208C" w14:textId="77777777" w:rsidR="000B2893" w:rsidRPr="000B2893" w:rsidRDefault="000B2893" w:rsidP="00544F42">
            <w:pPr>
              <w:spacing w:before="0" w:after="0"/>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By Household Size -</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5AA55F45"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1544ADB0" w14:textId="6DEC3895"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06C807B1" w14:textId="1A438E36"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auto"/>
            </w:tcBorders>
            <w:shd w:val="clear" w:color="auto" w:fill="auto"/>
            <w:noWrap/>
            <w:vAlign w:val="center"/>
          </w:tcPr>
          <w:p w14:paraId="42DBC11B" w14:textId="2CB37E9E"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038BFE4E"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2CA7B37B" w14:textId="7D0D346F"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389D318D" w14:textId="7EA179A3"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nil"/>
            </w:tcBorders>
            <w:shd w:val="clear" w:color="auto" w:fill="auto"/>
            <w:noWrap/>
            <w:vAlign w:val="center"/>
          </w:tcPr>
          <w:p w14:paraId="0182CD16" w14:textId="13C45109"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120276D3"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0395281E" w14:textId="6D65929E"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0C30AD01" w14:textId="6CB6BB1F"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auto"/>
            </w:tcBorders>
            <w:shd w:val="clear" w:color="auto" w:fill="auto"/>
            <w:noWrap/>
            <w:vAlign w:val="center"/>
          </w:tcPr>
          <w:p w14:paraId="4269ADA2" w14:textId="39357A8A"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6B36ECC3"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3525F352" w14:textId="53AAD7B9"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double" w:sz="6" w:space="0" w:color="auto"/>
            </w:tcBorders>
            <w:shd w:val="clear" w:color="auto" w:fill="auto"/>
            <w:noWrap/>
            <w:vAlign w:val="center"/>
          </w:tcPr>
          <w:p w14:paraId="0BF45BA5" w14:textId="5C22BB02" w:rsidR="000B2893" w:rsidRPr="000B2893" w:rsidRDefault="000B2893">
            <w:pPr>
              <w:spacing w:before="0" w:after="0"/>
              <w:jc w:val="center"/>
              <w:rPr>
                <w:rFonts w:ascii="Arial" w:hAnsi="Arial" w:cs="Arial"/>
                <w:color w:val="000000"/>
                <w:sz w:val="16"/>
                <w:szCs w:val="16"/>
                <w:lang w:val="en-AU" w:eastAsia="en-AU"/>
              </w:rPr>
            </w:pPr>
          </w:p>
        </w:tc>
      </w:tr>
      <w:tr w:rsidR="000B2893" w:rsidRPr="000B2893" w14:paraId="61E8A1BB"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37916827"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1 person</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60557031"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48%</w:t>
            </w:r>
          </w:p>
        </w:tc>
        <w:tc>
          <w:tcPr>
            <w:tcW w:w="663" w:type="dxa"/>
            <w:tcBorders>
              <w:top w:val="nil"/>
              <w:left w:val="nil"/>
              <w:bottom w:val="single" w:sz="4" w:space="0" w:color="D9D9D9"/>
              <w:right w:val="single" w:sz="4" w:space="0" w:color="D9D9D9"/>
            </w:tcBorders>
            <w:shd w:val="clear" w:color="auto" w:fill="auto"/>
            <w:noWrap/>
            <w:vAlign w:val="center"/>
          </w:tcPr>
          <w:p w14:paraId="48BDE15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44%</w:t>
            </w:r>
          </w:p>
        </w:tc>
        <w:tc>
          <w:tcPr>
            <w:tcW w:w="663" w:type="dxa"/>
            <w:tcBorders>
              <w:top w:val="nil"/>
              <w:left w:val="nil"/>
              <w:bottom w:val="single" w:sz="4" w:space="0" w:color="D9D9D9"/>
              <w:right w:val="single" w:sz="4" w:space="0" w:color="D9D9D9"/>
            </w:tcBorders>
            <w:shd w:val="clear" w:color="auto" w:fill="auto"/>
            <w:noWrap/>
            <w:vAlign w:val="center"/>
          </w:tcPr>
          <w:p w14:paraId="377AA2C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50%</w:t>
            </w:r>
          </w:p>
        </w:tc>
        <w:tc>
          <w:tcPr>
            <w:tcW w:w="663" w:type="dxa"/>
            <w:tcBorders>
              <w:top w:val="nil"/>
              <w:left w:val="nil"/>
              <w:bottom w:val="single" w:sz="4" w:space="0" w:color="D9D9D9"/>
              <w:right w:val="single" w:sz="4" w:space="0" w:color="auto"/>
            </w:tcBorders>
            <w:shd w:val="clear" w:color="auto" w:fill="auto"/>
            <w:noWrap/>
            <w:vAlign w:val="center"/>
          </w:tcPr>
          <w:p w14:paraId="76C3231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46%</w:t>
            </w:r>
          </w:p>
        </w:tc>
        <w:tc>
          <w:tcPr>
            <w:tcW w:w="663" w:type="dxa"/>
            <w:tcBorders>
              <w:top w:val="nil"/>
              <w:left w:val="nil"/>
              <w:bottom w:val="single" w:sz="4" w:space="0" w:color="D9D9D9"/>
              <w:right w:val="single" w:sz="4" w:space="0" w:color="D9D9D9"/>
            </w:tcBorders>
            <w:shd w:val="clear" w:color="auto" w:fill="auto"/>
            <w:noWrap/>
            <w:vAlign w:val="center"/>
          </w:tcPr>
          <w:p w14:paraId="372582FE"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57%</w:t>
            </w:r>
          </w:p>
        </w:tc>
        <w:tc>
          <w:tcPr>
            <w:tcW w:w="663" w:type="dxa"/>
            <w:tcBorders>
              <w:top w:val="nil"/>
              <w:left w:val="nil"/>
              <w:bottom w:val="single" w:sz="4" w:space="0" w:color="D9D9D9"/>
              <w:right w:val="single" w:sz="4" w:space="0" w:color="D9D9D9"/>
            </w:tcBorders>
            <w:shd w:val="clear" w:color="auto" w:fill="auto"/>
            <w:noWrap/>
            <w:vAlign w:val="center"/>
          </w:tcPr>
          <w:p w14:paraId="351F241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49%</w:t>
            </w:r>
          </w:p>
        </w:tc>
        <w:tc>
          <w:tcPr>
            <w:tcW w:w="663" w:type="dxa"/>
            <w:tcBorders>
              <w:top w:val="nil"/>
              <w:left w:val="nil"/>
              <w:bottom w:val="single" w:sz="4" w:space="0" w:color="D9D9D9"/>
              <w:right w:val="single" w:sz="4" w:space="0" w:color="D9D9D9"/>
            </w:tcBorders>
            <w:shd w:val="clear" w:color="auto" w:fill="auto"/>
            <w:noWrap/>
            <w:vAlign w:val="center"/>
          </w:tcPr>
          <w:p w14:paraId="06B93E3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50%</w:t>
            </w:r>
          </w:p>
        </w:tc>
        <w:tc>
          <w:tcPr>
            <w:tcW w:w="663" w:type="dxa"/>
            <w:tcBorders>
              <w:top w:val="nil"/>
              <w:left w:val="nil"/>
              <w:bottom w:val="single" w:sz="4" w:space="0" w:color="D9D9D9"/>
              <w:right w:val="nil"/>
            </w:tcBorders>
            <w:shd w:val="clear" w:color="auto" w:fill="auto"/>
            <w:noWrap/>
            <w:vAlign w:val="center"/>
          </w:tcPr>
          <w:p w14:paraId="0B9450A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61%</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53E6982A"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49%</w:t>
            </w:r>
          </w:p>
        </w:tc>
        <w:tc>
          <w:tcPr>
            <w:tcW w:w="663" w:type="dxa"/>
            <w:tcBorders>
              <w:top w:val="nil"/>
              <w:left w:val="nil"/>
              <w:bottom w:val="single" w:sz="4" w:space="0" w:color="D9D9D9"/>
              <w:right w:val="single" w:sz="4" w:space="0" w:color="D9D9D9"/>
            </w:tcBorders>
            <w:shd w:val="clear" w:color="auto" w:fill="auto"/>
            <w:noWrap/>
            <w:vAlign w:val="center"/>
          </w:tcPr>
          <w:p w14:paraId="5068755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40%</w:t>
            </w:r>
          </w:p>
        </w:tc>
        <w:tc>
          <w:tcPr>
            <w:tcW w:w="663" w:type="dxa"/>
            <w:tcBorders>
              <w:top w:val="nil"/>
              <w:left w:val="nil"/>
              <w:bottom w:val="single" w:sz="4" w:space="0" w:color="D9D9D9"/>
              <w:right w:val="single" w:sz="4" w:space="0" w:color="D9D9D9"/>
            </w:tcBorders>
            <w:shd w:val="clear" w:color="auto" w:fill="auto"/>
            <w:noWrap/>
            <w:vAlign w:val="center"/>
          </w:tcPr>
          <w:p w14:paraId="526BAFD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47%</w:t>
            </w:r>
          </w:p>
        </w:tc>
        <w:tc>
          <w:tcPr>
            <w:tcW w:w="663" w:type="dxa"/>
            <w:tcBorders>
              <w:top w:val="nil"/>
              <w:left w:val="nil"/>
              <w:bottom w:val="single" w:sz="4" w:space="0" w:color="D9D9D9"/>
              <w:right w:val="single" w:sz="4" w:space="0" w:color="auto"/>
            </w:tcBorders>
            <w:shd w:val="clear" w:color="auto" w:fill="auto"/>
            <w:noWrap/>
            <w:vAlign w:val="center"/>
          </w:tcPr>
          <w:p w14:paraId="08461F1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43%</w:t>
            </w:r>
          </w:p>
        </w:tc>
        <w:tc>
          <w:tcPr>
            <w:tcW w:w="663" w:type="dxa"/>
            <w:tcBorders>
              <w:top w:val="nil"/>
              <w:left w:val="nil"/>
              <w:bottom w:val="single" w:sz="4" w:space="0" w:color="D9D9D9"/>
              <w:right w:val="single" w:sz="4" w:space="0" w:color="D9D9D9"/>
            </w:tcBorders>
            <w:shd w:val="clear" w:color="auto" w:fill="auto"/>
            <w:noWrap/>
            <w:vAlign w:val="center"/>
          </w:tcPr>
          <w:p w14:paraId="052316CA"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31%</w:t>
            </w:r>
          </w:p>
        </w:tc>
        <w:tc>
          <w:tcPr>
            <w:tcW w:w="663" w:type="dxa"/>
            <w:tcBorders>
              <w:top w:val="nil"/>
              <w:left w:val="nil"/>
              <w:bottom w:val="single" w:sz="4" w:space="0" w:color="D9D9D9"/>
              <w:right w:val="single" w:sz="4" w:space="0" w:color="D9D9D9"/>
            </w:tcBorders>
            <w:shd w:val="clear" w:color="auto" w:fill="auto"/>
            <w:noWrap/>
            <w:vAlign w:val="center"/>
          </w:tcPr>
          <w:p w14:paraId="2E2DF2A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35%</w:t>
            </w:r>
          </w:p>
        </w:tc>
        <w:tc>
          <w:tcPr>
            <w:tcW w:w="663" w:type="dxa"/>
            <w:tcBorders>
              <w:top w:val="nil"/>
              <w:left w:val="nil"/>
              <w:bottom w:val="single" w:sz="4" w:space="0" w:color="D9D9D9"/>
              <w:right w:val="double" w:sz="6" w:space="0" w:color="auto"/>
            </w:tcBorders>
            <w:shd w:val="clear" w:color="auto" w:fill="auto"/>
            <w:noWrap/>
            <w:vAlign w:val="center"/>
          </w:tcPr>
          <w:p w14:paraId="33C32ED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38%</w:t>
            </w:r>
          </w:p>
        </w:tc>
      </w:tr>
      <w:tr w:rsidR="000B2893" w:rsidRPr="000B2893" w14:paraId="53822281"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3491628B"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2 persons</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487E3FA5"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43%</w:t>
            </w:r>
          </w:p>
        </w:tc>
        <w:tc>
          <w:tcPr>
            <w:tcW w:w="663" w:type="dxa"/>
            <w:tcBorders>
              <w:top w:val="nil"/>
              <w:left w:val="nil"/>
              <w:bottom w:val="single" w:sz="4" w:space="0" w:color="D9D9D9"/>
              <w:right w:val="single" w:sz="4" w:space="0" w:color="D9D9D9"/>
            </w:tcBorders>
            <w:shd w:val="clear" w:color="auto" w:fill="auto"/>
            <w:noWrap/>
            <w:vAlign w:val="center"/>
          </w:tcPr>
          <w:p w14:paraId="2E5C6BE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40%</w:t>
            </w:r>
          </w:p>
        </w:tc>
        <w:tc>
          <w:tcPr>
            <w:tcW w:w="663" w:type="dxa"/>
            <w:tcBorders>
              <w:top w:val="nil"/>
              <w:left w:val="nil"/>
              <w:bottom w:val="single" w:sz="4" w:space="0" w:color="D9D9D9"/>
              <w:right w:val="single" w:sz="4" w:space="0" w:color="D9D9D9"/>
            </w:tcBorders>
            <w:shd w:val="clear" w:color="auto" w:fill="auto"/>
            <w:noWrap/>
            <w:vAlign w:val="center"/>
          </w:tcPr>
          <w:p w14:paraId="2AA4DB1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36%</w:t>
            </w:r>
          </w:p>
        </w:tc>
        <w:tc>
          <w:tcPr>
            <w:tcW w:w="663" w:type="dxa"/>
            <w:tcBorders>
              <w:top w:val="nil"/>
              <w:left w:val="nil"/>
              <w:bottom w:val="single" w:sz="4" w:space="0" w:color="D9D9D9"/>
              <w:right w:val="single" w:sz="4" w:space="0" w:color="auto"/>
            </w:tcBorders>
            <w:shd w:val="clear" w:color="auto" w:fill="auto"/>
            <w:noWrap/>
            <w:vAlign w:val="center"/>
          </w:tcPr>
          <w:p w14:paraId="11757DC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38%</w:t>
            </w:r>
          </w:p>
        </w:tc>
        <w:tc>
          <w:tcPr>
            <w:tcW w:w="663" w:type="dxa"/>
            <w:tcBorders>
              <w:top w:val="nil"/>
              <w:left w:val="nil"/>
              <w:bottom w:val="single" w:sz="4" w:space="0" w:color="D9D9D9"/>
              <w:right w:val="single" w:sz="4" w:space="0" w:color="D9D9D9"/>
            </w:tcBorders>
            <w:shd w:val="clear" w:color="auto" w:fill="auto"/>
            <w:noWrap/>
            <w:vAlign w:val="center"/>
          </w:tcPr>
          <w:p w14:paraId="6366601A"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51%</w:t>
            </w:r>
          </w:p>
        </w:tc>
        <w:tc>
          <w:tcPr>
            <w:tcW w:w="663" w:type="dxa"/>
            <w:tcBorders>
              <w:top w:val="nil"/>
              <w:left w:val="nil"/>
              <w:bottom w:val="single" w:sz="4" w:space="0" w:color="D9D9D9"/>
              <w:right w:val="single" w:sz="4" w:space="0" w:color="D9D9D9"/>
            </w:tcBorders>
            <w:shd w:val="clear" w:color="auto" w:fill="auto"/>
            <w:noWrap/>
            <w:vAlign w:val="center"/>
          </w:tcPr>
          <w:p w14:paraId="6981C37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44%</w:t>
            </w:r>
          </w:p>
        </w:tc>
        <w:tc>
          <w:tcPr>
            <w:tcW w:w="663" w:type="dxa"/>
            <w:tcBorders>
              <w:top w:val="nil"/>
              <w:left w:val="nil"/>
              <w:bottom w:val="single" w:sz="4" w:space="0" w:color="D9D9D9"/>
              <w:right w:val="single" w:sz="4" w:space="0" w:color="D9D9D9"/>
            </w:tcBorders>
            <w:shd w:val="clear" w:color="auto" w:fill="auto"/>
            <w:noWrap/>
            <w:vAlign w:val="center"/>
          </w:tcPr>
          <w:p w14:paraId="3234E6B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36%</w:t>
            </w:r>
          </w:p>
        </w:tc>
        <w:tc>
          <w:tcPr>
            <w:tcW w:w="663" w:type="dxa"/>
            <w:tcBorders>
              <w:top w:val="nil"/>
              <w:left w:val="nil"/>
              <w:bottom w:val="single" w:sz="4" w:space="0" w:color="D9D9D9"/>
              <w:right w:val="nil"/>
            </w:tcBorders>
            <w:shd w:val="clear" w:color="auto" w:fill="auto"/>
            <w:noWrap/>
            <w:vAlign w:val="center"/>
          </w:tcPr>
          <w:p w14:paraId="32844B6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42%</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184CB1F7"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45%</w:t>
            </w:r>
          </w:p>
        </w:tc>
        <w:tc>
          <w:tcPr>
            <w:tcW w:w="663" w:type="dxa"/>
            <w:tcBorders>
              <w:top w:val="nil"/>
              <w:left w:val="nil"/>
              <w:bottom w:val="single" w:sz="4" w:space="0" w:color="D9D9D9"/>
              <w:right w:val="single" w:sz="4" w:space="0" w:color="D9D9D9"/>
            </w:tcBorders>
            <w:shd w:val="clear" w:color="auto" w:fill="auto"/>
            <w:noWrap/>
            <w:vAlign w:val="center"/>
          </w:tcPr>
          <w:p w14:paraId="51540F8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41%</w:t>
            </w:r>
          </w:p>
        </w:tc>
        <w:tc>
          <w:tcPr>
            <w:tcW w:w="663" w:type="dxa"/>
            <w:tcBorders>
              <w:top w:val="nil"/>
              <w:left w:val="nil"/>
              <w:bottom w:val="single" w:sz="4" w:space="0" w:color="D9D9D9"/>
              <w:right w:val="single" w:sz="4" w:space="0" w:color="D9D9D9"/>
            </w:tcBorders>
            <w:shd w:val="clear" w:color="auto" w:fill="auto"/>
            <w:noWrap/>
            <w:vAlign w:val="center"/>
          </w:tcPr>
          <w:p w14:paraId="20E4436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36%</w:t>
            </w:r>
          </w:p>
        </w:tc>
        <w:tc>
          <w:tcPr>
            <w:tcW w:w="663" w:type="dxa"/>
            <w:tcBorders>
              <w:top w:val="nil"/>
              <w:left w:val="nil"/>
              <w:bottom w:val="single" w:sz="4" w:space="0" w:color="D9D9D9"/>
              <w:right w:val="single" w:sz="4" w:space="0" w:color="auto"/>
            </w:tcBorders>
            <w:shd w:val="clear" w:color="auto" w:fill="auto"/>
            <w:noWrap/>
            <w:vAlign w:val="center"/>
          </w:tcPr>
          <w:p w14:paraId="6FFA70F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35%</w:t>
            </w:r>
          </w:p>
        </w:tc>
        <w:tc>
          <w:tcPr>
            <w:tcW w:w="663" w:type="dxa"/>
            <w:tcBorders>
              <w:top w:val="nil"/>
              <w:left w:val="nil"/>
              <w:bottom w:val="single" w:sz="4" w:space="0" w:color="D9D9D9"/>
              <w:right w:val="single" w:sz="4" w:space="0" w:color="D9D9D9"/>
            </w:tcBorders>
            <w:shd w:val="clear" w:color="auto" w:fill="auto"/>
            <w:noWrap/>
            <w:vAlign w:val="center"/>
          </w:tcPr>
          <w:p w14:paraId="75CD0740"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38%</w:t>
            </w:r>
          </w:p>
        </w:tc>
        <w:tc>
          <w:tcPr>
            <w:tcW w:w="663" w:type="dxa"/>
            <w:tcBorders>
              <w:top w:val="nil"/>
              <w:left w:val="nil"/>
              <w:bottom w:val="single" w:sz="4" w:space="0" w:color="D9D9D9"/>
              <w:right w:val="single" w:sz="4" w:space="0" w:color="D9D9D9"/>
            </w:tcBorders>
            <w:shd w:val="clear" w:color="auto" w:fill="auto"/>
            <w:noWrap/>
            <w:vAlign w:val="center"/>
          </w:tcPr>
          <w:p w14:paraId="559C19C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34%</w:t>
            </w:r>
          </w:p>
        </w:tc>
        <w:tc>
          <w:tcPr>
            <w:tcW w:w="663" w:type="dxa"/>
            <w:tcBorders>
              <w:top w:val="nil"/>
              <w:left w:val="nil"/>
              <w:bottom w:val="single" w:sz="4" w:space="0" w:color="D9D9D9"/>
              <w:right w:val="double" w:sz="6" w:space="0" w:color="auto"/>
            </w:tcBorders>
            <w:shd w:val="clear" w:color="auto" w:fill="auto"/>
            <w:noWrap/>
            <w:vAlign w:val="center"/>
          </w:tcPr>
          <w:p w14:paraId="60951CE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29%</w:t>
            </w:r>
          </w:p>
        </w:tc>
      </w:tr>
      <w:tr w:rsidR="000B2893" w:rsidRPr="000B2893" w14:paraId="7C7F84F1"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42729A3C"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3 persons</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4193D4CD"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30%</w:t>
            </w:r>
          </w:p>
        </w:tc>
        <w:tc>
          <w:tcPr>
            <w:tcW w:w="663" w:type="dxa"/>
            <w:tcBorders>
              <w:top w:val="nil"/>
              <w:left w:val="nil"/>
              <w:bottom w:val="single" w:sz="4" w:space="0" w:color="D9D9D9"/>
              <w:right w:val="single" w:sz="4" w:space="0" w:color="D9D9D9"/>
            </w:tcBorders>
            <w:shd w:val="clear" w:color="auto" w:fill="auto"/>
            <w:noWrap/>
            <w:vAlign w:val="center"/>
          </w:tcPr>
          <w:p w14:paraId="5F57909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24%</w:t>
            </w:r>
          </w:p>
        </w:tc>
        <w:tc>
          <w:tcPr>
            <w:tcW w:w="663" w:type="dxa"/>
            <w:tcBorders>
              <w:top w:val="nil"/>
              <w:left w:val="nil"/>
              <w:bottom w:val="single" w:sz="4" w:space="0" w:color="D9D9D9"/>
              <w:right w:val="single" w:sz="4" w:space="0" w:color="D9D9D9"/>
            </w:tcBorders>
            <w:shd w:val="clear" w:color="auto" w:fill="auto"/>
            <w:noWrap/>
            <w:vAlign w:val="center"/>
          </w:tcPr>
          <w:p w14:paraId="3D53D69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26%</w:t>
            </w:r>
          </w:p>
        </w:tc>
        <w:tc>
          <w:tcPr>
            <w:tcW w:w="663" w:type="dxa"/>
            <w:tcBorders>
              <w:top w:val="nil"/>
              <w:left w:val="nil"/>
              <w:bottom w:val="single" w:sz="4" w:space="0" w:color="D9D9D9"/>
              <w:right w:val="single" w:sz="4" w:space="0" w:color="auto"/>
            </w:tcBorders>
            <w:shd w:val="clear" w:color="auto" w:fill="auto"/>
            <w:noWrap/>
            <w:vAlign w:val="center"/>
          </w:tcPr>
          <w:p w14:paraId="545B31F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30%</w:t>
            </w:r>
          </w:p>
        </w:tc>
        <w:tc>
          <w:tcPr>
            <w:tcW w:w="663" w:type="dxa"/>
            <w:tcBorders>
              <w:top w:val="nil"/>
              <w:left w:val="nil"/>
              <w:bottom w:val="single" w:sz="4" w:space="0" w:color="D9D9D9"/>
              <w:right w:val="single" w:sz="4" w:space="0" w:color="D9D9D9"/>
            </w:tcBorders>
            <w:shd w:val="clear" w:color="auto" w:fill="auto"/>
            <w:noWrap/>
            <w:vAlign w:val="center"/>
          </w:tcPr>
          <w:p w14:paraId="4999DBC1"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37%</w:t>
            </w:r>
          </w:p>
        </w:tc>
        <w:tc>
          <w:tcPr>
            <w:tcW w:w="663" w:type="dxa"/>
            <w:tcBorders>
              <w:top w:val="nil"/>
              <w:left w:val="nil"/>
              <w:bottom w:val="single" w:sz="4" w:space="0" w:color="D9D9D9"/>
              <w:right w:val="single" w:sz="4" w:space="0" w:color="D9D9D9"/>
            </w:tcBorders>
            <w:shd w:val="clear" w:color="auto" w:fill="auto"/>
            <w:noWrap/>
            <w:vAlign w:val="center"/>
          </w:tcPr>
          <w:p w14:paraId="2E9045F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28%</w:t>
            </w:r>
          </w:p>
        </w:tc>
        <w:tc>
          <w:tcPr>
            <w:tcW w:w="663" w:type="dxa"/>
            <w:tcBorders>
              <w:top w:val="nil"/>
              <w:left w:val="nil"/>
              <w:bottom w:val="single" w:sz="4" w:space="0" w:color="D9D9D9"/>
              <w:right w:val="single" w:sz="4" w:space="0" w:color="D9D9D9"/>
            </w:tcBorders>
            <w:shd w:val="clear" w:color="auto" w:fill="auto"/>
            <w:noWrap/>
            <w:vAlign w:val="center"/>
          </w:tcPr>
          <w:p w14:paraId="6FD9002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26%</w:t>
            </w:r>
          </w:p>
        </w:tc>
        <w:tc>
          <w:tcPr>
            <w:tcW w:w="663" w:type="dxa"/>
            <w:tcBorders>
              <w:top w:val="nil"/>
              <w:left w:val="nil"/>
              <w:bottom w:val="single" w:sz="4" w:space="0" w:color="D9D9D9"/>
              <w:right w:val="nil"/>
            </w:tcBorders>
            <w:shd w:val="clear" w:color="auto" w:fill="auto"/>
            <w:noWrap/>
            <w:vAlign w:val="center"/>
          </w:tcPr>
          <w:p w14:paraId="72E8AA5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32%</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62DADBE3"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32%</w:t>
            </w:r>
          </w:p>
        </w:tc>
        <w:tc>
          <w:tcPr>
            <w:tcW w:w="663" w:type="dxa"/>
            <w:tcBorders>
              <w:top w:val="nil"/>
              <w:left w:val="nil"/>
              <w:bottom w:val="single" w:sz="4" w:space="0" w:color="D9D9D9"/>
              <w:right w:val="single" w:sz="4" w:space="0" w:color="D9D9D9"/>
            </w:tcBorders>
            <w:shd w:val="clear" w:color="auto" w:fill="auto"/>
            <w:noWrap/>
            <w:vAlign w:val="center"/>
          </w:tcPr>
          <w:p w14:paraId="0132740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25%</w:t>
            </w:r>
          </w:p>
        </w:tc>
        <w:tc>
          <w:tcPr>
            <w:tcW w:w="663" w:type="dxa"/>
            <w:tcBorders>
              <w:top w:val="nil"/>
              <w:left w:val="nil"/>
              <w:bottom w:val="single" w:sz="4" w:space="0" w:color="D9D9D9"/>
              <w:right w:val="single" w:sz="4" w:space="0" w:color="D9D9D9"/>
            </w:tcBorders>
            <w:shd w:val="clear" w:color="auto" w:fill="auto"/>
            <w:noWrap/>
            <w:vAlign w:val="center"/>
          </w:tcPr>
          <w:p w14:paraId="079ACF5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24%</w:t>
            </w:r>
          </w:p>
        </w:tc>
        <w:tc>
          <w:tcPr>
            <w:tcW w:w="663" w:type="dxa"/>
            <w:tcBorders>
              <w:top w:val="nil"/>
              <w:left w:val="nil"/>
              <w:bottom w:val="single" w:sz="4" w:space="0" w:color="D9D9D9"/>
              <w:right w:val="single" w:sz="4" w:space="0" w:color="auto"/>
            </w:tcBorders>
            <w:shd w:val="clear" w:color="auto" w:fill="auto"/>
            <w:noWrap/>
            <w:vAlign w:val="center"/>
          </w:tcPr>
          <w:p w14:paraId="59122F4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27%</w:t>
            </w:r>
          </w:p>
        </w:tc>
        <w:tc>
          <w:tcPr>
            <w:tcW w:w="663" w:type="dxa"/>
            <w:tcBorders>
              <w:top w:val="nil"/>
              <w:left w:val="nil"/>
              <w:bottom w:val="single" w:sz="4" w:space="0" w:color="D9D9D9"/>
              <w:right w:val="single" w:sz="4" w:space="0" w:color="D9D9D9"/>
            </w:tcBorders>
            <w:shd w:val="clear" w:color="auto" w:fill="auto"/>
            <w:noWrap/>
            <w:vAlign w:val="center"/>
          </w:tcPr>
          <w:p w14:paraId="29AC8BE0"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23%</w:t>
            </w:r>
          </w:p>
        </w:tc>
        <w:tc>
          <w:tcPr>
            <w:tcW w:w="663" w:type="dxa"/>
            <w:tcBorders>
              <w:top w:val="nil"/>
              <w:left w:val="nil"/>
              <w:bottom w:val="single" w:sz="4" w:space="0" w:color="D9D9D9"/>
              <w:right w:val="single" w:sz="4" w:space="0" w:color="D9D9D9"/>
            </w:tcBorders>
            <w:shd w:val="clear" w:color="auto" w:fill="auto"/>
            <w:noWrap/>
            <w:vAlign w:val="center"/>
          </w:tcPr>
          <w:p w14:paraId="5B7EE0B2"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23%</w:t>
            </w:r>
          </w:p>
        </w:tc>
        <w:tc>
          <w:tcPr>
            <w:tcW w:w="663" w:type="dxa"/>
            <w:tcBorders>
              <w:top w:val="nil"/>
              <w:left w:val="nil"/>
              <w:bottom w:val="single" w:sz="4" w:space="0" w:color="D9D9D9"/>
              <w:right w:val="double" w:sz="6" w:space="0" w:color="auto"/>
            </w:tcBorders>
            <w:shd w:val="clear" w:color="auto" w:fill="auto"/>
            <w:noWrap/>
            <w:vAlign w:val="center"/>
          </w:tcPr>
          <w:p w14:paraId="2D7F021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18%</w:t>
            </w:r>
          </w:p>
        </w:tc>
      </w:tr>
      <w:tr w:rsidR="000B2893" w:rsidRPr="000B2893" w14:paraId="68A7BF4E"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431BFCEC"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4 or more persons</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23C2CED1"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19%</w:t>
            </w:r>
          </w:p>
        </w:tc>
        <w:tc>
          <w:tcPr>
            <w:tcW w:w="663" w:type="dxa"/>
            <w:tcBorders>
              <w:top w:val="nil"/>
              <w:left w:val="nil"/>
              <w:bottom w:val="single" w:sz="4" w:space="0" w:color="D9D9D9"/>
              <w:right w:val="single" w:sz="4" w:space="0" w:color="D9D9D9"/>
            </w:tcBorders>
            <w:shd w:val="clear" w:color="auto" w:fill="auto"/>
            <w:noWrap/>
            <w:vAlign w:val="center"/>
          </w:tcPr>
          <w:p w14:paraId="0384DCA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24%</w:t>
            </w:r>
          </w:p>
        </w:tc>
        <w:tc>
          <w:tcPr>
            <w:tcW w:w="663" w:type="dxa"/>
            <w:tcBorders>
              <w:top w:val="nil"/>
              <w:left w:val="nil"/>
              <w:bottom w:val="single" w:sz="4" w:space="0" w:color="D9D9D9"/>
              <w:right w:val="single" w:sz="4" w:space="0" w:color="D9D9D9"/>
            </w:tcBorders>
            <w:shd w:val="clear" w:color="auto" w:fill="auto"/>
            <w:noWrap/>
            <w:vAlign w:val="center"/>
          </w:tcPr>
          <w:p w14:paraId="1B12ADE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20%</w:t>
            </w:r>
          </w:p>
        </w:tc>
        <w:tc>
          <w:tcPr>
            <w:tcW w:w="663" w:type="dxa"/>
            <w:tcBorders>
              <w:top w:val="nil"/>
              <w:left w:val="nil"/>
              <w:bottom w:val="single" w:sz="4" w:space="0" w:color="D9D9D9"/>
              <w:right w:val="single" w:sz="4" w:space="0" w:color="auto"/>
            </w:tcBorders>
            <w:shd w:val="clear" w:color="auto" w:fill="auto"/>
            <w:noWrap/>
            <w:vAlign w:val="center"/>
          </w:tcPr>
          <w:p w14:paraId="36A5E3E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22%</w:t>
            </w:r>
          </w:p>
        </w:tc>
        <w:tc>
          <w:tcPr>
            <w:tcW w:w="663" w:type="dxa"/>
            <w:tcBorders>
              <w:top w:val="nil"/>
              <w:left w:val="nil"/>
              <w:bottom w:val="single" w:sz="4" w:space="0" w:color="D9D9D9"/>
              <w:right w:val="single" w:sz="4" w:space="0" w:color="D9D9D9"/>
            </w:tcBorders>
            <w:shd w:val="clear" w:color="auto" w:fill="auto"/>
            <w:noWrap/>
            <w:vAlign w:val="center"/>
          </w:tcPr>
          <w:p w14:paraId="15245010"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20%</w:t>
            </w:r>
          </w:p>
        </w:tc>
        <w:tc>
          <w:tcPr>
            <w:tcW w:w="663" w:type="dxa"/>
            <w:tcBorders>
              <w:top w:val="nil"/>
              <w:left w:val="nil"/>
              <w:bottom w:val="single" w:sz="4" w:space="0" w:color="D9D9D9"/>
              <w:right w:val="single" w:sz="4" w:space="0" w:color="D9D9D9"/>
            </w:tcBorders>
            <w:shd w:val="clear" w:color="auto" w:fill="auto"/>
            <w:noWrap/>
            <w:vAlign w:val="center"/>
          </w:tcPr>
          <w:p w14:paraId="2D202C1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26%</w:t>
            </w:r>
          </w:p>
        </w:tc>
        <w:tc>
          <w:tcPr>
            <w:tcW w:w="663" w:type="dxa"/>
            <w:tcBorders>
              <w:top w:val="nil"/>
              <w:left w:val="nil"/>
              <w:bottom w:val="single" w:sz="4" w:space="0" w:color="D9D9D9"/>
              <w:right w:val="single" w:sz="4" w:space="0" w:color="D9D9D9"/>
            </w:tcBorders>
            <w:shd w:val="clear" w:color="auto" w:fill="auto"/>
            <w:noWrap/>
            <w:vAlign w:val="center"/>
          </w:tcPr>
          <w:p w14:paraId="464728C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20%</w:t>
            </w:r>
          </w:p>
        </w:tc>
        <w:tc>
          <w:tcPr>
            <w:tcW w:w="663" w:type="dxa"/>
            <w:tcBorders>
              <w:top w:val="nil"/>
              <w:left w:val="nil"/>
              <w:bottom w:val="single" w:sz="4" w:space="0" w:color="D9D9D9"/>
              <w:right w:val="nil"/>
            </w:tcBorders>
            <w:shd w:val="clear" w:color="auto" w:fill="auto"/>
            <w:noWrap/>
            <w:vAlign w:val="center"/>
          </w:tcPr>
          <w:p w14:paraId="32F3E7E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22%</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5215718C"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19%</w:t>
            </w:r>
          </w:p>
        </w:tc>
        <w:tc>
          <w:tcPr>
            <w:tcW w:w="663" w:type="dxa"/>
            <w:tcBorders>
              <w:top w:val="nil"/>
              <w:left w:val="nil"/>
              <w:bottom w:val="single" w:sz="4" w:space="0" w:color="D9D9D9"/>
              <w:right w:val="single" w:sz="4" w:space="0" w:color="D9D9D9"/>
            </w:tcBorders>
            <w:shd w:val="clear" w:color="auto" w:fill="auto"/>
            <w:noWrap/>
            <w:vAlign w:val="center"/>
          </w:tcPr>
          <w:p w14:paraId="1BB1EAC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24%</w:t>
            </w:r>
          </w:p>
        </w:tc>
        <w:tc>
          <w:tcPr>
            <w:tcW w:w="663" w:type="dxa"/>
            <w:tcBorders>
              <w:top w:val="nil"/>
              <w:left w:val="nil"/>
              <w:bottom w:val="single" w:sz="4" w:space="0" w:color="D9D9D9"/>
              <w:right w:val="single" w:sz="4" w:space="0" w:color="D9D9D9"/>
            </w:tcBorders>
            <w:shd w:val="clear" w:color="auto" w:fill="auto"/>
            <w:noWrap/>
            <w:vAlign w:val="center"/>
          </w:tcPr>
          <w:p w14:paraId="1388320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19%</w:t>
            </w:r>
          </w:p>
        </w:tc>
        <w:tc>
          <w:tcPr>
            <w:tcW w:w="663" w:type="dxa"/>
            <w:tcBorders>
              <w:top w:val="nil"/>
              <w:left w:val="nil"/>
              <w:bottom w:val="single" w:sz="4" w:space="0" w:color="D9D9D9"/>
              <w:right w:val="single" w:sz="4" w:space="0" w:color="auto"/>
            </w:tcBorders>
            <w:shd w:val="clear" w:color="auto" w:fill="auto"/>
            <w:noWrap/>
            <w:vAlign w:val="center"/>
          </w:tcPr>
          <w:p w14:paraId="6AF4F62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19%</w:t>
            </w:r>
          </w:p>
        </w:tc>
        <w:tc>
          <w:tcPr>
            <w:tcW w:w="663" w:type="dxa"/>
            <w:tcBorders>
              <w:top w:val="nil"/>
              <w:left w:val="nil"/>
              <w:bottom w:val="single" w:sz="4" w:space="0" w:color="D9D9D9"/>
              <w:right w:val="single" w:sz="4" w:space="0" w:color="D9D9D9"/>
            </w:tcBorders>
            <w:shd w:val="clear" w:color="auto" w:fill="auto"/>
            <w:noWrap/>
            <w:vAlign w:val="center"/>
          </w:tcPr>
          <w:p w14:paraId="529564A1"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11%</w:t>
            </w:r>
          </w:p>
        </w:tc>
        <w:tc>
          <w:tcPr>
            <w:tcW w:w="663" w:type="dxa"/>
            <w:tcBorders>
              <w:top w:val="nil"/>
              <w:left w:val="nil"/>
              <w:bottom w:val="single" w:sz="4" w:space="0" w:color="D9D9D9"/>
              <w:right w:val="single" w:sz="4" w:space="0" w:color="D9D9D9"/>
            </w:tcBorders>
            <w:shd w:val="clear" w:color="auto" w:fill="auto"/>
            <w:noWrap/>
            <w:vAlign w:val="center"/>
          </w:tcPr>
          <w:p w14:paraId="4842628F"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16%</w:t>
            </w:r>
          </w:p>
        </w:tc>
        <w:tc>
          <w:tcPr>
            <w:tcW w:w="663" w:type="dxa"/>
            <w:tcBorders>
              <w:top w:val="nil"/>
              <w:left w:val="nil"/>
              <w:bottom w:val="single" w:sz="4" w:space="0" w:color="D9D9D9"/>
              <w:right w:val="double" w:sz="6" w:space="0" w:color="auto"/>
            </w:tcBorders>
            <w:shd w:val="clear" w:color="auto" w:fill="auto"/>
            <w:noWrap/>
            <w:vAlign w:val="center"/>
          </w:tcPr>
          <w:p w14:paraId="35CBDB45"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9%</w:t>
            </w:r>
          </w:p>
        </w:tc>
      </w:tr>
      <w:tr w:rsidR="000B2893" w:rsidRPr="000B2893" w14:paraId="153DC446"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0662F9FE" w14:textId="77777777" w:rsidR="000B2893" w:rsidRPr="000B2893" w:rsidRDefault="000B2893" w:rsidP="00544F42">
            <w:pPr>
              <w:spacing w:before="0" w:after="0"/>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By Housing Status -</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1E1D32E8"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6136B982" w14:textId="3B6D1DA9"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0B779828" w14:textId="64179F61"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auto"/>
            </w:tcBorders>
            <w:shd w:val="clear" w:color="auto" w:fill="auto"/>
            <w:noWrap/>
            <w:vAlign w:val="center"/>
          </w:tcPr>
          <w:p w14:paraId="0614E78A" w14:textId="794A34E9"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6B0344AA"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776E1C0D" w14:textId="2EDCC555"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563706F2" w14:textId="668B1CED"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nil"/>
            </w:tcBorders>
            <w:shd w:val="clear" w:color="auto" w:fill="auto"/>
            <w:noWrap/>
            <w:vAlign w:val="center"/>
          </w:tcPr>
          <w:p w14:paraId="1812653B" w14:textId="01E1A225"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14C250D1"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7DA3273B" w14:textId="48160416"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7725034F" w14:textId="0FA7A500"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auto"/>
            </w:tcBorders>
            <w:shd w:val="clear" w:color="auto" w:fill="auto"/>
            <w:noWrap/>
            <w:vAlign w:val="center"/>
          </w:tcPr>
          <w:p w14:paraId="61FCD7B9" w14:textId="2D71B5C9"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single" w:sz="4" w:space="0" w:color="D9D9D9"/>
            </w:tcBorders>
            <w:shd w:val="clear" w:color="auto" w:fill="auto"/>
            <w:noWrap/>
            <w:vAlign w:val="center"/>
          </w:tcPr>
          <w:p w14:paraId="3BECAEF2" w14:textId="77777777" w:rsidR="000B2893" w:rsidRPr="000B2893" w:rsidRDefault="000B2893" w:rsidP="009748AD">
            <w:pPr>
              <w:jc w:val="center"/>
              <w:rPr>
                <w:rFonts w:ascii="Arial" w:hAnsi="Arial" w:cs="Arial"/>
                <w:sz w:val="16"/>
                <w:szCs w:val="16"/>
              </w:rPr>
            </w:pPr>
          </w:p>
        </w:tc>
        <w:tc>
          <w:tcPr>
            <w:tcW w:w="663" w:type="dxa"/>
            <w:tcBorders>
              <w:top w:val="nil"/>
              <w:left w:val="nil"/>
              <w:bottom w:val="single" w:sz="4" w:space="0" w:color="D9D9D9"/>
              <w:right w:val="single" w:sz="4" w:space="0" w:color="D9D9D9"/>
            </w:tcBorders>
            <w:shd w:val="clear" w:color="auto" w:fill="auto"/>
            <w:noWrap/>
            <w:vAlign w:val="center"/>
          </w:tcPr>
          <w:p w14:paraId="0200527C" w14:textId="7E57B01D" w:rsidR="000B2893" w:rsidRPr="000B2893" w:rsidRDefault="000B2893">
            <w:pPr>
              <w:spacing w:before="0" w:after="0"/>
              <w:jc w:val="center"/>
              <w:rPr>
                <w:rFonts w:ascii="Arial" w:hAnsi="Arial" w:cs="Arial"/>
                <w:color w:val="000000"/>
                <w:sz w:val="16"/>
                <w:szCs w:val="16"/>
                <w:lang w:val="en-AU" w:eastAsia="en-AU"/>
              </w:rPr>
            </w:pPr>
          </w:p>
        </w:tc>
        <w:tc>
          <w:tcPr>
            <w:tcW w:w="663" w:type="dxa"/>
            <w:tcBorders>
              <w:top w:val="nil"/>
              <w:left w:val="nil"/>
              <w:bottom w:val="single" w:sz="4" w:space="0" w:color="D9D9D9"/>
              <w:right w:val="double" w:sz="6" w:space="0" w:color="auto"/>
            </w:tcBorders>
            <w:shd w:val="clear" w:color="auto" w:fill="auto"/>
            <w:noWrap/>
            <w:vAlign w:val="center"/>
          </w:tcPr>
          <w:p w14:paraId="616906FB" w14:textId="050C4F69" w:rsidR="000B2893" w:rsidRPr="000B2893" w:rsidRDefault="000B2893">
            <w:pPr>
              <w:spacing w:before="0" w:after="0"/>
              <w:jc w:val="center"/>
              <w:rPr>
                <w:rFonts w:ascii="Arial" w:hAnsi="Arial" w:cs="Arial"/>
                <w:color w:val="000000"/>
                <w:sz w:val="16"/>
                <w:szCs w:val="16"/>
                <w:lang w:val="en-AU" w:eastAsia="en-AU"/>
              </w:rPr>
            </w:pPr>
          </w:p>
        </w:tc>
      </w:tr>
      <w:tr w:rsidR="000B2893" w:rsidRPr="000B2893" w14:paraId="100D875A"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7D9F69EC"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Owning/buying</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67AF8149"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32%</w:t>
            </w:r>
          </w:p>
        </w:tc>
        <w:tc>
          <w:tcPr>
            <w:tcW w:w="663" w:type="dxa"/>
            <w:tcBorders>
              <w:top w:val="nil"/>
              <w:left w:val="nil"/>
              <w:bottom w:val="single" w:sz="4" w:space="0" w:color="D9D9D9"/>
              <w:right w:val="single" w:sz="4" w:space="0" w:color="D9D9D9"/>
            </w:tcBorders>
            <w:shd w:val="clear" w:color="auto" w:fill="auto"/>
            <w:noWrap/>
            <w:vAlign w:val="center"/>
          </w:tcPr>
          <w:p w14:paraId="52FFC5C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32%</w:t>
            </w:r>
          </w:p>
        </w:tc>
        <w:tc>
          <w:tcPr>
            <w:tcW w:w="663" w:type="dxa"/>
            <w:tcBorders>
              <w:top w:val="nil"/>
              <w:left w:val="nil"/>
              <w:bottom w:val="single" w:sz="4" w:space="0" w:color="D9D9D9"/>
              <w:right w:val="single" w:sz="4" w:space="0" w:color="D9D9D9"/>
            </w:tcBorders>
            <w:shd w:val="clear" w:color="auto" w:fill="auto"/>
            <w:noWrap/>
            <w:vAlign w:val="center"/>
          </w:tcPr>
          <w:p w14:paraId="3953519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30%</w:t>
            </w:r>
          </w:p>
        </w:tc>
        <w:tc>
          <w:tcPr>
            <w:tcW w:w="663" w:type="dxa"/>
            <w:tcBorders>
              <w:top w:val="nil"/>
              <w:left w:val="nil"/>
              <w:bottom w:val="single" w:sz="4" w:space="0" w:color="D9D9D9"/>
              <w:right w:val="single" w:sz="4" w:space="0" w:color="auto"/>
            </w:tcBorders>
            <w:shd w:val="clear" w:color="auto" w:fill="auto"/>
            <w:noWrap/>
            <w:vAlign w:val="center"/>
          </w:tcPr>
          <w:p w14:paraId="4C6DCFB8"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31%</w:t>
            </w:r>
          </w:p>
        </w:tc>
        <w:tc>
          <w:tcPr>
            <w:tcW w:w="663" w:type="dxa"/>
            <w:tcBorders>
              <w:top w:val="nil"/>
              <w:left w:val="nil"/>
              <w:bottom w:val="single" w:sz="4" w:space="0" w:color="D9D9D9"/>
              <w:right w:val="single" w:sz="4" w:space="0" w:color="D9D9D9"/>
            </w:tcBorders>
            <w:shd w:val="clear" w:color="auto" w:fill="auto"/>
            <w:noWrap/>
            <w:vAlign w:val="center"/>
          </w:tcPr>
          <w:p w14:paraId="2BC692B9"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38%</w:t>
            </w:r>
          </w:p>
        </w:tc>
        <w:tc>
          <w:tcPr>
            <w:tcW w:w="663" w:type="dxa"/>
            <w:tcBorders>
              <w:top w:val="nil"/>
              <w:left w:val="nil"/>
              <w:bottom w:val="single" w:sz="4" w:space="0" w:color="D9D9D9"/>
              <w:right w:val="single" w:sz="4" w:space="0" w:color="D9D9D9"/>
            </w:tcBorders>
            <w:shd w:val="clear" w:color="auto" w:fill="auto"/>
            <w:noWrap/>
            <w:vAlign w:val="center"/>
          </w:tcPr>
          <w:p w14:paraId="7BF7849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35%</w:t>
            </w:r>
          </w:p>
        </w:tc>
        <w:tc>
          <w:tcPr>
            <w:tcW w:w="663" w:type="dxa"/>
            <w:tcBorders>
              <w:top w:val="nil"/>
              <w:left w:val="nil"/>
              <w:bottom w:val="single" w:sz="4" w:space="0" w:color="D9D9D9"/>
              <w:right w:val="single" w:sz="4" w:space="0" w:color="D9D9D9"/>
            </w:tcBorders>
            <w:shd w:val="clear" w:color="auto" w:fill="auto"/>
            <w:noWrap/>
            <w:vAlign w:val="center"/>
          </w:tcPr>
          <w:p w14:paraId="61A7913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30%</w:t>
            </w:r>
          </w:p>
        </w:tc>
        <w:tc>
          <w:tcPr>
            <w:tcW w:w="663" w:type="dxa"/>
            <w:tcBorders>
              <w:top w:val="nil"/>
              <w:left w:val="nil"/>
              <w:bottom w:val="single" w:sz="4" w:space="0" w:color="D9D9D9"/>
              <w:right w:val="nil"/>
            </w:tcBorders>
            <w:shd w:val="clear" w:color="auto" w:fill="auto"/>
            <w:noWrap/>
            <w:vAlign w:val="center"/>
          </w:tcPr>
          <w:p w14:paraId="7479DEF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33%</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026A8ABD"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36%</w:t>
            </w:r>
          </w:p>
        </w:tc>
        <w:tc>
          <w:tcPr>
            <w:tcW w:w="663" w:type="dxa"/>
            <w:tcBorders>
              <w:top w:val="nil"/>
              <w:left w:val="nil"/>
              <w:bottom w:val="single" w:sz="4" w:space="0" w:color="D9D9D9"/>
              <w:right w:val="single" w:sz="4" w:space="0" w:color="D9D9D9"/>
            </w:tcBorders>
            <w:shd w:val="clear" w:color="auto" w:fill="auto"/>
            <w:noWrap/>
            <w:vAlign w:val="center"/>
          </w:tcPr>
          <w:p w14:paraId="4C59175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34%</w:t>
            </w:r>
          </w:p>
        </w:tc>
        <w:tc>
          <w:tcPr>
            <w:tcW w:w="663" w:type="dxa"/>
            <w:tcBorders>
              <w:top w:val="nil"/>
              <w:left w:val="nil"/>
              <w:bottom w:val="single" w:sz="4" w:space="0" w:color="D9D9D9"/>
              <w:right w:val="single" w:sz="4" w:space="0" w:color="D9D9D9"/>
            </w:tcBorders>
            <w:shd w:val="clear" w:color="auto" w:fill="auto"/>
            <w:noWrap/>
            <w:vAlign w:val="center"/>
          </w:tcPr>
          <w:p w14:paraId="10E1B55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32%</w:t>
            </w:r>
          </w:p>
        </w:tc>
        <w:tc>
          <w:tcPr>
            <w:tcW w:w="663" w:type="dxa"/>
            <w:tcBorders>
              <w:top w:val="nil"/>
              <w:left w:val="nil"/>
              <w:bottom w:val="single" w:sz="4" w:space="0" w:color="D9D9D9"/>
              <w:right w:val="single" w:sz="4" w:space="0" w:color="auto"/>
            </w:tcBorders>
            <w:shd w:val="clear" w:color="auto" w:fill="auto"/>
            <w:noWrap/>
            <w:vAlign w:val="center"/>
          </w:tcPr>
          <w:p w14:paraId="3DF756D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32%</w:t>
            </w:r>
          </w:p>
        </w:tc>
        <w:tc>
          <w:tcPr>
            <w:tcW w:w="663" w:type="dxa"/>
            <w:tcBorders>
              <w:top w:val="nil"/>
              <w:left w:val="nil"/>
              <w:bottom w:val="single" w:sz="4" w:space="0" w:color="D9D9D9"/>
              <w:right w:val="single" w:sz="4" w:space="0" w:color="D9D9D9"/>
            </w:tcBorders>
            <w:shd w:val="clear" w:color="auto" w:fill="auto"/>
            <w:noWrap/>
            <w:vAlign w:val="center"/>
          </w:tcPr>
          <w:p w14:paraId="54CBA729"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33%</w:t>
            </w:r>
          </w:p>
        </w:tc>
        <w:tc>
          <w:tcPr>
            <w:tcW w:w="663" w:type="dxa"/>
            <w:tcBorders>
              <w:top w:val="nil"/>
              <w:left w:val="nil"/>
              <w:bottom w:val="single" w:sz="4" w:space="0" w:color="D9D9D9"/>
              <w:right w:val="single" w:sz="4" w:space="0" w:color="D9D9D9"/>
            </w:tcBorders>
            <w:shd w:val="clear" w:color="auto" w:fill="auto"/>
            <w:noWrap/>
            <w:vAlign w:val="center"/>
          </w:tcPr>
          <w:p w14:paraId="23D8B20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35%</w:t>
            </w:r>
          </w:p>
        </w:tc>
        <w:tc>
          <w:tcPr>
            <w:tcW w:w="663" w:type="dxa"/>
            <w:tcBorders>
              <w:top w:val="nil"/>
              <w:left w:val="nil"/>
              <w:bottom w:val="single" w:sz="4" w:space="0" w:color="D9D9D9"/>
              <w:right w:val="double" w:sz="6" w:space="0" w:color="auto"/>
            </w:tcBorders>
            <w:shd w:val="clear" w:color="auto" w:fill="auto"/>
            <w:noWrap/>
            <w:vAlign w:val="center"/>
          </w:tcPr>
          <w:p w14:paraId="4B33749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29%</w:t>
            </w:r>
          </w:p>
        </w:tc>
      </w:tr>
      <w:tr w:rsidR="000B2893" w:rsidRPr="000B2893" w14:paraId="3E89CEAB"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720E32C7"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Renting – Private</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25BEE725"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38%</w:t>
            </w:r>
          </w:p>
        </w:tc>
        <w:tc>
          <w:tcPr>
            <w:tcW w:w="663" w:type="dxa"/>
            <w:tcBorders>
              <w:top w:val="nil"/>
              <w:left w:val="nil"/>
              <w:bottom w:val="single" w:sz="4" w:space="0" w:color="D9D9D9"/>
              <w:right w:val="single" w:sz="4" w:space="0" w:color="D9D9D9"/>
            </w:tcBorders>
            <w:shd w:val="clear" w:color="auto" w:fill="auto"/>
            <w:noWrap/>
            <w:vAlign w:val="center"/>
          </w:tcPr>
          <w:p w14:paraId="27B62AD1"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32%</w:t>
            </w:r>
          </w:p>
        </w:tc>
        <w:tc>
          <w:tcPr>
            <w:tcW w:w="663" w:type="dxa"/>
            <w:tcBorders>
              <w:top w:val="nil"/>
              <w:left w:val="nil"/>
              <w:bottom w:val="single" w:sz="4" w:space="0" w:color="D9D9D9"/>
              <w:right w:val="single" w:sz="4" w:space="0" w:color="D9D9D9"/>
            </w:tcBorders>
            <w:shd w:val="clear" w:color="auto" w:fill="auto"/>
            <w:noWrap/>
            <w:vAlign w:val="center"/>
          </w:tcPr>
          <w:p w14:paraId="12956C7E"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30%</w:t>
            </w:r>
          </w:p>
        </w:tc>
        <w:tc>
          <w:tcPr>
            <w:tcW w:w="663" w:type="dxa"/>
            <w:tcBorders>
              <w:top w:val="nil"/>
              <w:left w:val="nil"/>
              <w:bottom w:val="single" w:sz="4" w:space="0" w:color="D9D9D9"/>
              <w:right w:val="single" w:sz="4" w:space="0" w:color="auto"/>
            </w:tcBorders>
            <w:shd w:val="clear" w:color="auto" w:fill="auto"/>
            <w:noWrap/>
            <w:vAlign w:val="center"/>
          </w:tcPr>
          <w:p w14:paraId="096FEC1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32%</w:t>
            </w:r>
          </w:p>
        </w:tc>
        <w:tc>
          <w:tcPr>
            <w:tcW w:w="663" w:type="dxa"/>
            <w:tcBorders>
              <w:top w:val="nil"/>
              <w:left w:val="nil"/>
              <w:bottom w:val="single" w:sz="4" w:space="0" w:color="D9D9D9"/>
              <w:right w:val="single" w:sz="4" w:space="0" w:color="D9D9D9"/>
            </w:tcBorders>
            <w:shd w:val="clear" w:color="auto" w:fill="auto"/>
            <w:noWrap/>
            <w:vAlign w:val="center"/>
          </w:tcPr>
          <w:p w14:paraId="25C067A0"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49%</w:t>
            </w:r>
          </w:p>
        </w:tc>
        <w:tc>
          <w:tcPr>
            <w:tcW w:w="663" w:type="dxa"/>
            <w:tcBorders>
              <w:top w:val="nil"/>
              <w:left w:val="nil"/>
              <w:bottom w:val="single" w:sz="4" w:space="0" w:color="D9D9D9"/>
              <w:right w:val="single" w:sz="4" w:space="0" w:color="D9D9D9"/>
            </w:tcBorders>
            <w:shd w:val="clear" w:color="auto" w:fill="auto"/>
            <w:noWrap/>
            <w:vAlign w:val="center"/>
          </w:tcPr>
          <w:p w14:paraId="61542CF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38%</w:t>
            </w:r>
          </w:p>
        </w:tc>
        <w:tc>
          <w:tcPr>
            <w:tcW w:w="663" w:type="dxa"/>
            <w:tcBorders>
              <w:top w:val="nil"/>
              <w:left w:val="nil"/>
              <w:bottom w:val="single" w:sz="4" w:space="0" w:color="D9D9D9"/>
              <w:right w:val="single" w:sz="4" w:space="0" w:color="D9D9D9"/>
            </w:tcBorders>
            <w:shd w:val="clear" w:color="auto" w:fill="auto"/>
            <w:noWrap/>
            <w:vAlign w:val="center"/>
          </w:tcPr>
          <w:p w14:paraId="754E7A7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30%</w:t>
            </w:r>
          </w:p>
        </w:tc>
        <w:tc>
          <w:tcPr>
            <w:tcW w:w="663" w:type="dxa"/>
            <w:tcBorders>
              <w:top w:val="nil"/>
              <w:left w:val="nil"/>
              <w:bottom w:val="single" w:sz="4" w:space="0" w:color="D9D9D9"/>
              <w:right w:val="nil"/>
            </w:tcBorders>
            <w:shd w:val="clear" w:color="auto" w:fill="auto"/>
            <w:noWrap/>
            <w:vAlign w:val="center"/>
          </w:tcPr>
          <w:p w14:paraId="5EBC120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39%</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700D3DD5"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34%</w:t>
            </w:r>
          </w:p>
        </w:tc>
        <w:tc>
          <w:tcPr>
            <w:tcW w:w="663" w:type="dxa"/>
            <w:tcBorders>
              <w:top w:val="nil"/>
              <w:left w:val="nil"/>
              <w:bottom w:val="single" w:sz="4" w:space="0" w:color="D9D9D9"/>
              <w:right w:val="single" w:sz="4" w:space="0" w:color="D9D9D9"/>
            </w:tcBorders>
            <w:shd w:val="clear" w:color="auto" w:fill="auto"/>
            <w:noWrap/>
            <w:vAlign w:val="center"/>
          </w:tcPr>
          <w:p w14:paraId="470A0EA9"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27%</w:t>
            </w:r>
          </w:p>
        </w:tc>
        <w:tc>
          <w:tcPr>
            <w:tcW w:w="663" w:type="dxa"/>
            <w:tcBorders>
              <w:top w:val="nil"/>
              <w:left w:val="nil"/>
              <w:bottom w:val="single" w:sz="4" w:space="0" w:color="D9D9D9"/>
              <w:right w:val="single" w:sz="4" w:space="0" w:color="D9D9D9"/>
            </w:tcBorders>
            <w:shd w:val="clear" w:color="auto" w:fill="auto"/>
            <w:noWrap/>
            <w:vAlign w:val="center"/>
          </w:tcPr>
          <w:p w14:paraId="67E1540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21%</w:t>
            </w:r>
          </w:p>
        </w:tc>
        <w:tc>
          <w:tcPr>
            <w:tcW w:w="663" w:type="dxa"/>
            <w:tcBorders>
              <w:top w:val="nil"/>
              <w:left w:val="nil"/>
              <w:bottom w:val="single" w:sz="4" w:space="0" w:color="D9D9D9"/>
              <w:right w:val="single" w:sz="4" w:space="0" w:color="auto"/>
            </w:tcBorders>
            <w:shd w:val="clear" w:color="auto" w:fill="auto"/>
            <w:noWrap/>
            <w:vAlign w:val="center"/>
          </w:tcPr>
          <w:p w14:paraId="4A61098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20%</w:t>
            </w:r>
          </w:p>
        </w:tc>
        <w:tc>
          <w:tcPr>
            <w:tcW w:w="663" w:type="dxa"/>
            <w:tcBorders>
              <w:top w:val="nil"/>
              <w:left w:val="nil"/>
              <w:bottom w:val="single" w:sz="4" w:space="0" w:color="D9D9D9"/>
              <w:right w:val="single" w:sz="4" w:space="0" w:color="D9D9D9"/>
            </w:tcBorders>
            <w:shd w:val="clear" w:color="auto" w:fill="auto"/>
            <w:noWrap/>
            <w:vAlign w:val="center"/>
          </w:tcPr>
          <w:p w14:paraId="07B64A7F"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1%</w:t>
            </w:r>
          </w:p>
        </w:tc>
        <w:tc>
          <w:tcPr>
            <w:tcW w:w="663" w:type="dxa"/>
            <w:tcBorders>
              <w:top w:val="nil"/>
              <w:left w:val="nil"/>
              <w:bottom w:val="single" w:sz="4" w:space="0" w:color="D9D9D9"/>
              <w:right w:val="single" w:sz="4" w:space="0" w:color="D9D9D9"/>
            </w:tcBorders>
            <w:shd w:val="clear" w:color="auto" w:fill="auto"/>
            <w:noWrap/>
            <w:vAlign w:val="center"/>
          </w:tcPr>
          <w:p w14:paraId="77549930"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1%</w:t>
            </w:r>
          </w:p>
        </w:tc>
        <w:tc>
          <w:tcPr>
            <w:tcW w:w="663" w:type="dxa"/>
            <w:tcBorders>
              <w:top w:val="nil"/>
              <w:left w:val="nil"/>
              <w:bottom w:val="single" w:sz="4" w:space="0" w:color="D9D9D9"/>
              <w:right w:val="double" w:sz="6" w:space="0" w:color="auto"/>
            </w:tcBorders>
            <w:shd w:val="clear" w:color="auto" w:fill="auto"/>
            <w:noWrap/>
            <w:vAlign w:val="center"/>
          </w:tcPr>
          <w:p w14:paraId="0385C957"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1%</w:t>
            </w:r>
          </w:p>
        </w:tc>
      </w:tr>
      <w:tr w:rsidR="000B2893" w:rsidRPr="000B2893" w14:paraId="2C9F2F45" w14:textId="77777777" w:rsidTr="009748AD">
        <w:trPr>
          <w:trHeight w:val="300"/>
          <w:jc w:val="center"/>
        </w:trPr>
        <w:tc>
          <w:tcPr>
            <w:tcW w:w="2433" w:type="dxa"/>
            <w:tcBorders>
              <w:top w:val="nil"/>
              <w:left w:val="double" w:sz="6" w:space="0" w:color="auto"/>
              <w:bottom w:val="single" w:sz="4" w:space="0" w:color="D9D9D9"/>
              <w:right w:val="nil"/>
            </w:tcBorders>
            <w:shd w:val="clear" w:color="auto" w:fill="auto"/>
            <w:noWrap/>
            <w:vAlign w:val="center"/>
          </w:tcPr>
          <w:p w14:paraId="47CA5B93" w14:textId="77777777" w:rsidR="000B2893" w:rsidRPr="000B2893" w:rsidRDefault="000B2893" w:rsidP="00544F42">
            <w:pPr>
              <w:spacing w:before="0" w:after="0"/>
              <w:ind w:firstLineChars="100" w:firstLine="160"/>
              <w:rPr>
                <w:rFonts w:ascii="Arial" w:hAnsi="Arial" w:cs="Arial"/>
                <w:color w:val="000000"/>
                <w:sz w:val="16"/>
                <w:szCs w:val="16"/>
                <w:lang w:val="en-AU" w:eastAsia="en-AU"/>
              </w:rPr>
            </w:pPr>
            <w:r w:rsidRPr="000B2893">
              <w:rPr>
                <w:rFonts w:ascii="Arial" w:hAnsi="Arial" w:cs="Arial"/>
                <w:color w:val="000000"/>
                <w:sz w:val="16"/>
                <w:szCs w:val="16"/>
                <w:lang w:val="en-AU" w:eastAsia="en-AU"/>
              </w:rPr>
              <w:t>Renting – Public</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3927EDFF"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76%</w:t>
            </w:r>
          </w:p>
        </w:tc>
        <w:tc>
          <w:tcPr>
            <w:tcW w:w="663" w:type="dxa"/>
            <w:tcBorders>
              <w:top w:val="nil"/>
              <w:left w:val="nil"/>
              <w:bottom w:val="single" w:sz="4" w:space="0" w:color="D9D9D9"/>
              <w:right w:val="single" w:sz="4" w:space="0" w:color="D9D9D9"/>
            </w:tcBorders>
            <w:shd w:val="clear" w:color="auto" w:fill="auto"/>
            <w:noWrap/>
            <w:vAlign w:val="center"/>
          </w:tcPr>
          <w:p w14:paraId="4BE2101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73%</w:t>
            </w:r>
          </w:p>
        </w:tc>
        <w:tc>
          <w:tcPr>
            <w:tcW w:w="663" w:type="dxa"/>
            <w:tcBorders>
              <w:top w:val="nil"/>
              <w:left w:val="nil"/>
              <w:bottom w:val="single" w:sz="4" w:space="0" w:color="D9D9D9"/>
              <w:right w:val="single" w:sz="4" w:space="0" w:color="D9D9D9"/>
            </w:tcBorders>
            <w:shd w:val="clear" w:color="auto" w:fill="auto"/>
            <w:noWrap/>
            <w:vAlign w:val="center"/>
          </w:tcPr>
          <w:p w14:paraId="3A8F8AD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73%</w:t>
            </w:r>
          </w:p>
        </w:tc>
        <w:tc>
          <w:tcPr>
            <w:tcW w:w="663" w:type="dxa"/>
            <w:tcBorders>
              <w:top w:val="nil"/>
              <w:left w:val="nil"/>
              <w:bottom w:val="single" w:sz="4" w:space="0" w:color="D9D9D9"/>
              <w:right w:val="single" w:sz="4" w:space="0" w:color="auto"/>
            </w:tcBorders>
            <w:shd w:val="clear" w:color="auto" w:fill="auto"/>
            <w:noWrap/>
            <w:vAlign w:val="center"/>
          </w:tcPr>
          <w:p w14:paraId="2FCDF6BB"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52%</w:t>
            </w:r>
          </w:p>
        </w:tc>
        <w:tc>
          <w:tcPr>
            <w:tcW w:w="663" w:type="dxa"/>
            <w:tcBorders>
              <w:top w:val="nil"/>
              <w:left w:val="nil"/>
              <w:bottom w:val="single" w:sz="4" w:space="0" w:color="D9D9D9"/>
              <w:right w:val="single" w:sz="4" w:space="0" w:color="D9D9D9"/>
            </w:tcBorders>
            <w:shd w:val="clear" w:color="auto" w:fill="auto"/>
            <w:noWrap/>
            <w:vAlign w:val="center"/>
          </w:tcPr>
          <w:p w14:paraId="0B7F2640"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82%</w:t>
            </w:r>
          </w:p>
        </w:tc>
        <w:tc>
          <w:tcPr>
            <w:tcW w:w="663" w:type="dxa"/>
            <w:tcBorders>
              <w:top w:val="nil"/>
              <w:left w:val="nil"/>
              <w:bottom w:val="single" w:sz="4" w:space="0" w:color="D9D9D9"/>
              <w:right w:val="single" w:sz="4" w:space="0" w:color="D9D9D9"/>
            </w:tcBorders>
            <w:shd w:val="clear" w:color="auto" w:fill="auto"/>
            <w:noWrap/>
            <w:vAlign w:val="center"/>
          </w:tcPr>
          <w:p w14:paraId="27EB0F36"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83%</w:t>
            </w:r>
          </w:p>
        </w:tc>
        <w:tc>
          <w:tcPr>
            <w:tcW w:w="663" w:type="dxa"/>
            <w:tcBorders>
              <w:top w:val="nil"/>
              <w:left w:val="nil"/>
              <w:bottom w:val="single" w:sz="4" w:space="0" w:color="D9D9D9"/>
              <w:right w:val="single" w:sz="4" w:space="0" w:color="D9D9D9"/>
            </w:tcBorders>
            <w:shd w:val="clear" w:color="auto" w:fill="auto"/>
            <w:noWrap/>
            <w:vAlign w:val="center"/>
          </w:tcPr>
          <w:p w14:paraId="7FB359AA"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73%</w:t>
            </w:r>
          </w:p>
        </w:tc>
        <w:tc>
          <w:tcPr>
            <w:tcW w:w="663" w:type="dxa"/>
            <w:tcBorders>
              <w:top w:val="nil"/>
              <w:left w:val="nil"/>
              <w:bottom w:val="single" w:sz="4" w:space="0" w:color="D9D9D9"/>
              <w:right w:val="nil"/>
            </w:tcBorders>
            <w:shd w:val="clear" w:color="auto" w:fill="auto"/>
            <w:noWrap/>
            <w:vAlign w:val="center"/>
          </w:tcPr>
          <w:p w14:paraId="1E83C0C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72%</w:t>
            </w:r>
          </w:p>
        </w:tc>
        <w:tc>
          <w:tcPr>
            <w:tcW w:w="663" w:type="dxa"/>
            <w:tcBorders>
              <w:top w:val="nil"/>
              <w:left w:val="single" w:sz="4" w:space="0" w:color="auto"/>
              <w:bottom w:val="single" w:sz="4" w:space="0" w:color="D9D9D9"/>
              <w:right w:val="single" w:sz="4" w:space="0" w:color="D9D9D9"/>
            </w:tcBorders>
            <w:shd w:val="clear" w:color="auto" w:fill="auto"/>
            <w:noWrap/>
            <w:vAlign w:val="center"/>
          </w:tcPr>
          <w:p w14:paraId="3F883DA2"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65%</w:t>
            </w:r>
          </w:p>
        </w:tc>
        <w:tc>
          <w:tcPr>
            <w:tcW w:w="663" w:type="dxa"/>
            <w:tcBorders>
              <w:top w:val="nil"/>
              <w:left w:val="nil"/>
              <w:bottom w:val="single" w:sz="4" w:space="0" w:color="D9D9D9"/>
              <w:right w:val="single" w:sz="4" w:space="0" w:color="D9D9D9"/>
            </w:tcBorders>
            <w:shd w:val="clear" w:color="auto" w:fill="auto"/>
            <w:noWrap/>
            <w:vAlign w:val="center"/>
          </w:tcPr>
          <w:p w14:paraId="68B13C6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60%</w:t>
            </w:r>
          </w:p>
        </w:tc>
        <w:tc>
          <w:tcPr>
            <w:tcW w:w="663" w:type="dxa"/>
            <w:tcBorders>
              <w:top w:val="nil"/>
              <w:left w:val="nil"/>
              <w:bottom w:val="single" w:sz="4" w:space="0" w:color="D9D9D9"/>
              <w:right w:val="single" w:sz="4" w:space="0" w:color="D9D9D9"/>
            </w:tcBorders>
            <w:shd w:val="clear" w:color="auto" w:fill="auto"/>
            <w:noWrap/>
            <w:vAlign w:val="center"/>
          </w:tcPr>
          <w:p w14:paraId="726813DC"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50%</w:t>
            </w:r>
          </w:p>
        </w:tc>
        <w:tc>
          <w:tcPr>
            <w:tcW w:w="663" w:type="dxa"/>
            <w:tcBorders>
              <w:top w:val="nil"/>
              <w:left w:val="nil"/>
              <w:bottom w:val="single" w:sz="4" w:space="0" w:color="D9D9D9"/>
              <w:right w:val="single" w:sz="4" w:space="0" w:color="auto"/>
            </w:tcBorders>
            <w:shd w:val="clear" w:color="auto" w:fill="auto"/>
            <w:noWrap/>
            <w:vAlign w:val="center"/>
          </w:tcPr>
          <w:p w14:paraId="1DCEDF34"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29%</w:t>
            </w:r>
          </w:p>
        </w:tc>
        <w:tc>
          <w:tcPr>
            <w:tcW w:w="663" w:type="dxa"/>
            <w:tcBorders>
              <w:top w:val="nil"/>
              <w:left w:val="nil"/>
              <w:bottom w:val="single" w:sz="4" w:space="0" w:color="D9D9D9"/>
              <w:right w:val="single" w:sz="4" w:space="0" w:color="D9D9D9"/>
            </w:tcBorders>
            <w:shd w:val="clear" w:color="auto" w:fill="auto"/>
            <w:noWrap/>
            <w:vAlign w:val="center"/>
          </w:tcPr>
          <w:p w14:paraId="2455802B" w14:textId="77777777" w:rsidR="000B2893" w:rsidRPr="000B2893" w:rsidRDefault="000B2893" w:rsidP="009748AD">
            <w:pPr>
              <w:jc w:val="center"/>
              <w:rPr>
                <w:rFonts w:ascii="Arial" w:hAnsi="Arial" w:cs="Arial"/>
                <w:sz w:val="16"/>
                <w:szCs w:val="16"/>
              </w:rPr>
            </w:pPr>
            <w:r w:rsidRPr="000B2893">
              <w:rPr>
                <w:rFonts w:ascii="Arial" w:hAnsi="Arial" w:cs="Arial"/>
                <w:sz w:val="16"/>
                <w:szCs w:val="16"/>
              </w:rPr>
              <w:t>2%</w:t>
            </w:r>
          </w:p>
        </w:tc>
        <w:tc>
          <w:tcPr>
            <w:tcW w:w="663" w:type="dxa"/>
            <w:tcBorders>
              <w:top w:val="nil"/>
              <w:left w:val="nil"/>
              <w:bottom w:val="single" w:sz="4" w:space="0" w:color="D9D9D9"/>
              <w:right w:val="single" w:sz="4" w:space="0" w:color="D9D9D9"/>
            </w:tcBorders>
            <w:shd w:val="clear" w:color="auto" w:fill="auto"/>
            <w:noWrap/>
            <w:vAlign w:val="center"/>
          </w:tcPr>
          <w:p w14:paraId="7F22C6E3"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1%</w:t>
            </w:r>
          </w:p>
        </w:tc>
        <w:tc>
          <w:tcPr>
            <w:tcW w:w="663" w:type="dxa"/>
            <w:tcBorders>
              <w:top w:val="nil"/>
              <w:left w:val="nil"/>
              <w:bottom w:val="single" w:sz="4" w:space="0" w:color="D9D9D9"/>
              <w:right w:val="double" w:sz="6" w:space="0" w:color="auto"/>
            </w:tcBorders>
            <w:shd w:val="clear" w:color="auto" w:fill="auto"/>
            <w:noWrap/>
            <w:vAlign w:val="center"/>
          </w:tcPr>
          <w:p w14:paraId="7434E76D" w14:textId="77777777" w:rsidR="000B2893" w:rsidRPr="000B2893" w:rsidRDefault="000B2893">
            <w:pPr>
              <w:spacing w:before="0" w:after="0"/>
              <w:jc w:val="center"/>
              <w:rPr>
                <w:rFonts w:ascii="Arial" w:hAnsi="Arial" w:cs="Arial"/>
                <w:color w:val="000000"/>
                <w:sz w:val="16"/>
                <w:szCs w:val="16"/>
                <w:lang w:val="en-AU" w:eastAsia="en-AU"/>
              </w:rPr>
            </w:pPr>
            <w:r w:rsidRPr="000B2893">
              <w:rPr>
                <w:rFonts w:ascii="Arial" w:hAnsi="Arial" w:cs="Arial"/>
                <w:color w:val="000000"/>
                <w:sz w:val="16"/>
                <w:szCs w:val="16"/>
                <w:lang w:val="en-AU" w:eastAsia="en-AU"/>
              </w:rPr>
              <w:t>-</w:t>
            </w:r>
          </w:p>
        </w:tc>
      </w:tr>
      <w:tr w:rsidR="000B2893" w:rsidRPr="000B2893" w14:paraId="69843DFF" w14:textId="77777777" w:rsidTr="009748AD">
        <w:trPr>
          <w:trHeight w:val="315"/>
          <w:jc w:val="center"/>
        </w:trPr>
        <w:tc>
          <w:tcPr>
            <w:tcW w:w="2433" w:type="dxa"/>
            <w:tcBorders>
              <w:top w:val="nil"/>
              <w:left w:val="double" w:sz="6" w:space="0" w:color="auto"/>
              <w:bottom w:val="double" w:sz="6" w:space="0" w:color="auto"/>
              <w:right w:val="nil"/>
            </w:tcBorders>
            <w:shd w:val="clear" w:color="auto" w:fill="auto"/>
            <w:noWrap/>
            <w:vAlign w:val="center"/>
          </w:tcPr>
          <w:p w14:paraId="71E5287B" w14:textId="77777777" w:rsidR="000B2893" w:rsidRPr="000B2893" w:rsidRDefault="000B2893" w:rsidP="00544F42">
            <w:pPr>
              <w:spacing w:before="0" w:after="0"/>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Total Households</w:t>
            </w:r>
          </w:p>
        </w:tc>
        <w:tc>
          <w:tcPr>
            <w:tcW w:w="663" w:type="dxa"/>
            <w:tcBorders>
              <w:top w:val="nil"/>
              <w:left w:val="single" w:sz="4" w:space="0" w:color="auto"/>
              <w:bottom w:val="double" w:sz="6" w:space="0" w:color="auto"/>
              <w:right w:val="single" w:sz="4" w:space="0" w:color="D9D9D9"/>
            </w:tcBorders>
            <w:shd w:val="clear" w:color="auto" w:fill="auto"/>
            <w:noWrap/>
            <w:vAlign w:val="center"/>
          </w:tcPr>
          <w:p w14:paraId="7F4EDC48"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36%</w:t>
            </w:r>
          </w:p>
        </w:tc>
        <w:tc>
          <w:tcPr>
            <w:tcW w:w="663" w:type="dxa"/>
            <w:tcBorders>
              <w:top w:val="nil"/>
              <w:left w:val="nil"/>
              <w:bottom w:val="double" w:sz="6" w:space="0" w:color="auto"/>
              <w:right w:val="single" w:sz="4" w:space="0" w:color="D9D9D9"/>
            </w:tcBorders>
            <w:shd w:val="clear" w:color="auto" w:fill="auto"/>
            <w:noWrap/>
            <w:vAlign w:val="center"/>
          </w:tcPr>
          <w:p w14:paraId="0F65C20D"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34%</w:t>
            </w:r>
          </w:p>
        </w:tc>
        <w:tc>
          <w:tcPr>
            <w:tcW w:w="663" w:type="dxa"/>
            <w:tcBorders>
              <w:top w:val="nil"/>
              <w:left w:val="nil"/>
              <w:bottom w:val="double" w:sz="6" w:space="0" w:color="auto"/>
              <w:right w:val="single" w:sz="4" w:space="0" w:color="D9D9D9"/>
            </w:tcBorders>
            <w:shd w:val="clear" w:color="auto" w:fill="auto"/>
            <w:noWrap/>
            <w:vAlign w:val="center"/>
          </w:tcPr>
          <w:p w14:paraId="4DD224FE"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32%</w:t>
            </w:r>
          </w:p>
        </w:tc>
        <w:tc>
          <w:tcPr>
            <w:tcW w:w="663" w:type="dxa"/>
            <w:tcBorders>
              <w:top w:val="nil"/>
              <w:left w:val="nil"/>
              <w:bottom w:val="double" w:sz="6" w:space="0" w:color="auto"/>
              <w:right w:val="single" w:sz="4" w:space="0" w:color="auto"/>
            </w:tcBorders>
            <w:shd w:val="clear" w:color="auto" w:fill="auto"/>
            <w:noWrap/>
            <w:vAlign w:val="center"/>
          </w:tcPr>
          <w:p w14:paraId="11E20DED"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33%</w:t>
            </w:r>
          </w:p>
        </w:tc>
        <w:tc>
          <w:tcPr>
            <w:tcW w:w="663" w:type="dxa"/>
            <w:tcBorders>
              <w:top w:val="nil"/>
              <w:left w:val="nil"/>
              <w:bottom w:val="double" w:sz="6" w:space="0" w:color="auto"/>
              <w:right w:val="single" w:sz="4" w:space="0" w:color="D9D9D9"/>
            </w:tcBorders>
            <w:shd w:val="clear" w:color="auto" w:fill="auto"/>
            <w:noWrap/>
            <w:vAlign w:val="center"/>
          </w:tcPr>
          <w:p w14:paraId="283CF4EC"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42%</w:t>
            </w:r>
          </w:p>
        </w:tc>
        <w:tc>
          <w:tcPr>
            <w:tcW w:w="663" w:type="dxa"/>
            <w:tcBorders>
              <w:top w:val="nil"/>
              <w:left w:val="nil"/>
              <w:bottom w:val="double" w:sz="6" w:space="0" w:color="auto"/>
              <w:right w:val="single" w:sz="4" w:space="0" w:color="D9D9D9"/>
            </w:tcBorders>
            <w:shd w:val="clear" w:color="auto" w:fill="auto"/>
            <w:noWrap/>
            <w:vAlign w:val="center"/>
          </w:tcPr>
          <w:p w14:paraId="458CC193"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38%</w:t>
            </w:r>
          </w:p>
        </w:tc>
        <w:tc>
          <w:tcPr>
            <w:tcW w:w="663" w:type="dxa"/>
            <w:tcBorders>
              <w:top w:val="nil"/>
              <w:left w:val="nil"/>
              <w:bottom w:val="double" w:sz="6" w:space="0" w:color="auto"/>
              <w:right w:val="single" w:sz="4" w:space="0" w:color="D9D9D9"/>
            </w:tcBorders>
            <w:shd w:val="clear" w:color="auto" w:fill="auto"/>
            <w:noWrap/>
            <w:vAlign w:val="center"/>
          </w:tcPr>
          <w:p w14:paraId="43EAF4F3"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35%</w:t>
            </w:r>
          </w:p>
        </w:tc>
        <w:tc>
          <w:tcPr>
            <w:tcW w:w="663" w:type="dxa"/>
            <w:tcBorders>
              <w:top w:val="nil"/>
              <w:left w:val="nil"/>
              <w:bottom w:val="double" w:sz="6" w:space="0" w:color="auto"/>
              <w:right w:val="nil"/>
            </w:tcBorders>
            <w:shd w:val="clear" w:color="auto" w:fill="auto"/>
            <w:noWrap/>
            <w:vAlign w:val="center"/>
          </w:tcPr>
          <w:p w14:paraId="27C3F23C"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38%</w:t>
            </w:r>
          </w:p>
        </w:tc>
        <w:tc>
          <w:tcPr>
            <w:tcW w:w="663" w:type="dxa"/>
            <w:tcBorders>
              <w:top w:val="nil"/>
              <w:left w:val="single" w:sz="4" w:space="0" w:color="auto"/>
              <w:bottom w:val="double" w:sz="6" w:space="0" w:color="auto"/>
              <w:right w:val="single" w:sz="4" w:space="0" w:color="D9D9D9"/>
            </w:tcBorders>
            <w:shd w:val="clear" w:color="auto" w:fill="auto"/>
            <w:noWrap/>
            <w:vAlign w:val="center"/>
          </w:tcPr>
          <w:p w14:paraId="2330A71D"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37%</w:t>
            </w:r>
          </w:p>
        </w:tc>
        <w:tc>
          <w:tcPr>
            <w:tcW w:w="663" w:type="dxa"/>
            <w:tcBorders>
              <w:top w:val="nil"/>
              <w:left w:val="nil"/>
              <w:bottom w:val="double" w:sz="6" w:space="0" w:color="auto"/>
              <w:right w:val="single" w:sz="4" w:space="0" w:color="D9D9D9"/>
            </w:tcBorders>
            <w:shd w:val="clear" w:color="auto" w:fill="auto"/>
            <w:noWrap/>
            <w:vAlign w:val="center"/>
          </w:tcPr>
          <w:p w14:paraId="1C87C9AC"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34%</w:t>
            </w:r>
          </w:p>
        </w:tc>
        <w:tc>
          <w:tcPr>
            <w:tcW w:w="663" w:type="dxa"/>
            <w:tcBorders>
              <w:top w:val="nil"/>
              <w:left w:val="nil"/>
              <w:bottom w:val="double" w:sz="6" w:space="0" w:color="auto"/>
              <w:right w:val="single" w:sz="4" w:space="0" w:color="D9D9D9"/>
            </w:tcBorders>
            <w:shd w:val="clear" w:color="auto" w:fill="auto"/>
            <w:noWrap/>
            <w:vAlign w:val="center"/>
          </w:tcPr>
          <w:p w14:paraId="20507F90"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31%</w:t>
            </w:r>
          </w:p>
        </w:tc>
        <w:tc>
          <w:tcPr>
            <w:tcW w:w="663" w:type="dxa"/>
            <w:tcBorders>
              <w:top w:val="nil"/>
              <w:left w:val="nil"/>
              <w:bottom w:val="double" w:sz="6" w:space="0" w:color="auto"/>
              <w:right w:val="single" w:sz="4" w:space="0" w:color="auto"/>
            </w:tcBorders>
            <w:shd w:val="clear" w:color="auto" w:fill="auto"/>
            <w:noWrap/>
            <w:vAlign w:val="center"/>
          </w:tcPr>
          <w:p w14:paraId="4B3A7401"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30%</w:t>
            </w:r>
          </w:p>
        </w:tc>
        <w:tc>
          <w:tcPr>
            <w:tcW w:w="663" w:type="dxa"/>
            <w:tcBorders>
              <w:top w:val="nil"/>
              <w:left w:val="nil"/>
              <w:bottom w:val="double" w:sz="6" w:space="0" w:color="auto"/>
              <w:right w:val="single" w:sz="4" w:space="0" w:color="D9D9D9"/>
            </w:tcBorders>
            <w:shd w:val="clear" w:color="auto" w:fill="auto"/>
            <w:noWrap/>
            <w:vAlign w:val="center"/>
          </w:tcPr>
          <w:p w14:paraId="1C812926"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27%</w:t>
            </w:r>
          </w:p>
        </w:tc>
        <w:tc>
          <w:tcPr>
            <w:tcW w:w="663" w:type="dxa"/>
            <w:tcBorders>
              <w:top w:val="nil"/>
              <w:left w:val="nil"/>
              <w:bottom w:val="double" w:sz="6" w:space="0" w:color="auto"/>
              <w:right w:val="single" w:sz="4" w:space="0" w:color="D9D9D9"/>
            </w:tcBorders>
            <w:shd w:val="clear" w:color="auto" w:fill="auto"/>
            <w:noWrap/>
            <w:vAlign w:val="center"/>
          </w:tcPr>
          <w:p w14:paraId="22146807"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28%</w:t>
            </w:r>
          </w:p>
        </w:tc>
        <w:tc>
          <w:tcPr>
            <w:tcW w:w="663" w:type="dxa"/>
            <w:tcBorders>
              <w:top w:val="nil"/>
              <w:left w:val="nil"/>
              <w:bottom w:val="double" w:sz="6" w:space="0" w:color="auto"/>
              <w:right w:val="double" w:sz="6" w:space="0" w:color="auto"/>
            </w:tcBorders>
            <w:shd w:val="clear" w:color="auto" w:fill="auto"/>
            <w:noWrap/>
            <w:vAlign w:val="center"/>
          </w:tcPr>
          <w:p w14:paraId="03E7AA7D" w14:textId="77777777" w:rsidR="000B2893" w:rsidRPr="000B2893" w:rsidRDefault="000B2893">
            <w:pPr>
              <w:spacing w:before="0" w:after="0"/>
              <w:jc w:val="center"/>
              <w:rPr>
                <w:rFonts w:ascii="Arial" w:hAnsi="Arial" w:cs="Arial"/>
                <w:b/>
                <w:bCs/>
                <w:color w:val="000000"/>
                <w:sz w:val="16"/>
                <w:szCs w:val="16"/>
                <w:lang w:val="en-AU" w:eastAsia="en-AU"/>
              </w:rPr>
            </w:pPr>
            <w:r w:rsidRPr="000B2893">
              <w:rPr>
                <w:rFonts w:ascii="Arial" w:hAnsi="Arial" w:cs="Arial"/>
                <w:b/>
                <w:bCs/>
                <w:color w:val="000000"/>
                <w:sz w:val="16"/>
                <w:szCs w:val="16"/>
                <w:lang w:val="en-AU" w:eastAsia="en-AU"/>
              </w:rPr>
              <w:t>23%</w:t>
            </w:r>
          </w:p>
        </w:tc>
      </w:tr>
    </w:tbl>
    <w:p w14:paraId="114B4F82" w14:textId="77777777" w:rsidR="00544F42" w:rsidRPr="000B2893" w:rsidRDefault="00544F42" w:rsidP="00425948">
      <w:pPr>
        <w:pStyle w:val="Para"/>
        <w:spacing w:line="280" w:lineRule="exact"/>
        <w:ind w:left="1440"/>
        <w:rPr>
          <w:sz w:val="20"/>
          <w:lang w:val="en-AU"/>
        </w:rPr>
      </w:pPr>
      <w:r w:rsidRPr="000B2893">
        <w:rPr>
          <w:sz w:val="20"/>
          <w:lang w:val="en-AU"/>
        </w:rPr>
        <w:t>Base: Total respondents, 2014 (n=1,861); 2007 (n=2,061); 2001 (n=2,006); 1996 (n=2,000)</w:t>
      </w:r>
    </w:p>
    <w:p w14:paraId="1135E8F9" w14:textId="77777777" w:rsidR="00544F42" w:rsidRPr="000B2893" w:rsidRDefault="00544F42" w:rsidP="00425948">
      <w:pPr>
        <w:pStyle w:val="Para"/>
        <w:spacing w:line="280" w:lineRule="exact"/>
        <w:ind w:left="1440"/>
        <w:rPr>
          <w:sz w:val="20"/>
          <w:lang w:val="en-AU"/>
        </w:rPr>
      </w:pPr>
      <w:r w:rsidRPr="000B2893">
        <w:rPr>
          <w:sz w:val="20"/>
          <w:lang w:val="en-AU"/>
        </w:rPr>
        <w:t>* Small sample size</w:t>
      </w:r>
    </w:p>
    <w:p w14:paraId="5C375B84" w14:textId="77777777" w:rsidR="00133DFA" w:rsidRPr="00245A3A" w:rsidRDefault="00226F15" w:rsidP="004A3E94">
      <w:pPr>
        <w:pStyle w:val="Para"/>
        <w:spacing w:line="280" w:lineRule="exact"/>
        <w:ind w:left="1440"/>
        <w:rPr>
          <w:highlight w:val="yellow"/>
          <w:lang w:val="en-AU"/>
        </w:rPr>
      </w:pPr>
      <w:r w:rsidRPr="000B2893">
        <w:rPr>
          <w:sz w:val="20"/>
          <w:lang w:val="en-AU"/>
        </w:rPr>
        <w:t>1. 2007 and 2001 totals for Country VIC are not directly comparable as they included just 4 regional cities and a small sample of LPG areas.</w:t>
      </w:r>
    </w:p>
    <w:p w14:paraId="52BEC698" w14:textId="77777777" w:rsidR="007A2C2F" w:rsidRPr="004A3E94" w:rsidRDefault="00926974" w:rsidP="00133DFA">
      <w:pPr>
        <w:pStyle w:val="Para"/>
        <w:rPr>
          <w:lang w:val="en-AU"/>
        </w:rPr>
      </w:pPr>
      <w:r w:rsidRPr="00245A3A">
        <w:rPr>
          <w:highlight w:val="yellow"/>
          <w:lang w:val="en-AU"/>
        </w:rPr>
        <w:br w:type="page"/>
      </w:r>
      <w:r w:rsidR="00A0706D" w:rsidRPr="004A3E94">
        <w:rPr>
          <w:lang w:val="en-AU"/>
        </w:rPr>
        <w:lastRenderedPageBreak/>
        <w:t>Keeping in mind the time differences</w:t>
      </w:r>
      <w:r w:rsidR="00133DFA" w:rsidRPr="004A3E94">
        <w:rPr>
          <w:lang w:val="en-AU"/>
        </w:rPr>
        <w:t xml:space="preserve">, analysis </w:t>
      </w:r>
      <w:r w:rsidR="00A0706D" w:rsidRPr="004A3E94">
        <w:rPr>
          <w:lang w:val="en-AU"/>
        </w:rPr>
        <w:t>has been undertaken of</w:t>
      </w:r>
      <w:r w:rsidR="00133DFA" w:rsidRPr="004A3E94">
        <w:rPr>
          <w:lang w:val="en-AU"/>
        </w:rPr>
        <w:t xml:space="preserve"> those </w:t>
      </w:r>
      <w:r w:rsidR="00A0706D" w:rsidRPr="004A3E94">
        <w:rPr>
          <w:lang w:val="en-AU"/>
        </w:rPr>
        <w:t>reporting receiving</w:t>
      </w:r>
      <w:r w:rsidR="00133DFA" w:rsidRPr="004A3E94">
        <w:rPr>
          <w:lang w:val="en-AU"/>
        </w:rPr>
        <w:t xml:space="preserve"> concessions in </w:t>
      </w:r>
      <w:r w:rsidR="00A0706D" w:rsidRPr="004A3E94">
        <w:rPr>
          <w:lang w:val="en-AU"/>
        </w:rPr>
        <w:t xml:space="preserve">the telephone survey </w:t>
      </w:r>
      <w:r w:rsidR="00133DFA" w:rsidRPr="004A3E94">
        <w:rPr>
          <w:lang w:val="en-AU"/>
        </w:rPr>
        <w:t>by those that actually did receive a concession on their bill in 20</w:t>
      </w:r>
      <w:r w:rsidR="00E831A3" w:rsidRPr="004A3E94">
        <w:rPr>
          <w:lang w:val="en-AU"/>
        </w:rPr>
        <w:t>14</w:t>
      </w:r>
      <w:r w:rsidR="00133DFA" w:rsidRPr="004A3E94">
        <w:rPr>
          <w:lang w:val="en-AU"/>
        </w:rPr>
        <w:t xml:space="preserve"> (for gas</w:t>
      </w:r>
      <w:r w:rsidR="00226F15" w:rsidRPr="004A3E94">
        <w:rPr>
          <w:lang w:val="en-AU"/>
        </w:rPr>
        <w:t>,</w:t>
      </w:r>
      <w:r w:rsidR="00133DFA" w:rsidRPr="004A3E94">
        <w:rPr>
          <w:lang w:val="en-AU"/>
        </w:rPr>
        <w:t xml:space="preserve"> electricity and water bills) and </w:t>
      </w:r>
      <w:r w:rsidR="00691EAE" w:rsidRPr="004A3E94">
        <w:rPr>
          <w:lang w:val="en-AU"/>
        </w:rPr>
        <w:t>20</w:t>
      </w:r>
      <w:r w:rsidR="00E831A3" w:rsidRPr="004A3E94">
        <w:rPr>
          <w:lang w:val="en-AU"/>
        </w:rPr>
        <w:t>13/14</w:t>
      </w:r>
      <w:r w:rsidR="00133DFA" w:rsidRPr="004A3E94">
        <w:rPr>
          <w:lang w:val="en-AU"/>
        </w:rPr>
        <w:t xml:space="preserve"> (for council rate bills) </w:t>
      </w:r>
      <w:r w:rsidR="00A0706D" w:rsidRPr="004A3E94">
        <w:rPr>
          <w:lang w:val="en-AU"/>
        </w:rPr>
        <w:t>as indicated by the supplier data received</w:t>
      </w:r>
      <w:r w:rsidR="0007508A" w:rsidRPr="004A3E94">
        <w:rPr>
          <w:lang w:val="en-AU"/>
        </w:rPr>
        <w:t xml:space="preserve"> (see Table 7.1.2 overleaf)</w:t>
      </w:r>
      <w:r w:rsidR="00133DFA" w:rsidRPr="004A3E94">
        <w:rPr>
          <w:lang w:val="en-AU"/>
        </w:rPr>
        <w:t xml:space="preserve">. </w:t>
      </w:r>
    </w:p>
    <w:p w14:paraId="7BD5A7C8" w14:textId="77777777" w:rsidR="007A2C2F" w:rsidRPr="00245A3A" w:rsidRDefault="007A2C2F" w:rsidP="00133DFA">
      <w:pPr>
        <w:pStyle w:val="Para"/>
        <w:rPr>
          <w:highlight w:val="yellow"/>
          <w:lang w:val="en-AU"/>
        </w:rPr>
      </w:pPr>
    </w:p>
    <w:p w14:paraId="4E929971" w14:textId="77777777" w:rsidR="007A2C2F" w:rsidRPr="00970088" w:rsidRDefault="00E831A3" w:rsidP="00133DFA">
      <w:pPr>
        <w:pStyle w:val="Para"/>
        <w:rPr>
          <w:lang w:val="en-AU"/>
        </w:rPr>
      </w:pPr>
      <w:r w:rsidRPr="004A3E94">
        <w:rPr>
          <w:lang w:val="en-AU"/>
        </w:rPr>
        <w:t>Discrepancies between those claiming to have received a concession and those that actually did receive a concession were substantially less prevalent than in the 2007 survey</w:t>
      </w:r>
      <w:r w:rsidRPr="00970088">
        <w:rPr>
          <w:lang w:val="en-AU"/>
        </w:rPr>
        <w:t xml:space="preserve">.  In 2014, 97% of those </w:t>
      </w:r>
      <w:r w:rsidR="00A0706D" w:rsidRPr="00970088">
        <w:rPr>
          <w:lang w:val="en-AU"/>
        </w:rPr>
        <w:t>reporting receiving</w:t>
      </w:r>
      <w:r w:rsidRPr="00970088">
        <w:rPr>
          <w:lang w:val="en-AU"/>
        </w:rPr>
        <w:t xml:space="preserve"> a concession on their water bill actually received this concession (compared with 82% in 2007)</w:t>
      </w:r>
      <w:r w:rsidR="00864017" w:rsidRPr="00970088">
        <w:rPr>
          <w:lang w:val="en-AU"/>
        </w:rPr>
        <w:t xml:space="preserve">.  For council rates the proportion </w:t>
      </w:r>
      <w:r w:rsidR="00A0706D" w:rsidRPr="00970088">
        <w:rPr>
          <w:lang w:val="en-AU"/>
        </w:rPr>
        <w:t>‘</w:t>
      </w:r>
      <w:r w:rsidR="00864017" w:rsidRPr="00970088">
        <w:rPr>
          <w:lang w:val="en-AU"/>
        </w:rPr>
        <w:t>correctly</w:t>
      </w:r>
      <w:r w:rsidR="00A0706D" w:rsidRPr="00970088">
        <w:rPr>
          <w:lang w:val="en-AU"/>
        </w:rPr>
        <w:t>’</w:t>
      </w:r>
      <w:r w:rsidR="00864017" w:rsidRPr="00970088">
        <w:rPr>
          <w:lang w:val="en-AU"/>
        </w:rPr>
        <w:t xml:space="preserve"> </w:t>
      </w:r>
      <w:r w:rsidR="00A0706D" w:rsidRPr="00970088">
        <w:rPr>
          <w:lang w:val="en-AU"/>
        </w:rPr>
        <w:t>reporting receiving</w:t>
      </w:r>
      <w:r w:rsidR="00864017" w:rsidRPr="00970088">
        <w:rPr>
          <w:lang w:val="en-AU"/>
        </w:rPr>
        <w:t xml:space="preserve"> a concession was 9</w:t>
      </w:r>
      <w:r w:rsidR="00970088" w:rsidRPr="00970088">
        <w:rPr>
          <w:lang w:val="en-AU"/>
        </w:rPr>
        <w:t>4</w:t>
      </w:r>
      <w:r w:rsidR="00864017" w:rsidRPr="00970088">
        <w:rPr>
          <w:lang w:val="en-AU"/>
        </w:rPr>
        <w:t xml:space="preserve">% (76% in 2007), for electricity 90% (78% in 2007) and gas 88% (58% in 2007).   </w:t>
      </w:r>
    </w:p>
    <w:p w14:paraId="69157291" w14:textId="77777777" w:rsidR="007A2C2F" w:rsidRPr="00245A3A" w:rsidRDefault="007A2C2F" w:rsidP="00133DFA">
      <w:pPr>
        <w:pStyle w:val="Para"/>
        <w:rPr>
          <w:highlight w:val="yellow"/>
          <w:lang w:val="en-AU"/>
        </w:rPr>
      </w:pPr>
    </w:p>
    <w:p w14:paraId="76D921CE" w14:textId="77777777" w:rsidR="00864017" w:rsidRPr="00970088" w:rsidRDefault="00864017" w:rsidP="00133DFA">
      <w:pPr>
        <w:pStyle w:val="Para"/>
        <w:rPr>
          <w:lang w:val="en-AU"/>
        </w:rPr>
      </w:pPr>
      <w:r w:rsidRPr="00970088">
        <w:rPr>
          <w:lang w:val="en-AU"/>
        </w:rPr>
        <w:t xml:space="preserve">The proportion of respondents </w:t>
      </w:r>
      <w:r w:rsidR="00A0706D" w:rsidRPr="00970088">
        <w:rPr>
          <w:lang w:val="en-AU"/>
        </w:rPr>
        <w:t>‘</w:t>
      </w:r>
      <w:r w:rsidRPr="00970088">
        <w:rPr>
          <w:lang w:val="en-AU"/>
        </w:rPr>
        <w:t xml:space="preserve">incorrectly </w:t>
      </w:r>
      <w:r w:rsidR="00A0706D" w:rsidRPr="00970088">
        <w:rPr>
          <w:lang w:val="en-AU"/>
        </w:rPr>
        <w:t>reporting’</w:t>
      </w:r>
      <w:r w:rsidRPr="00970088">
        <w:rPr>
          <w:lang w:val="en-AU"/>
        </w:rPr>
        <w:t xml:space="preserve"> that a concession </w:t>
      </w:r>
      <w:r w:rsidRPr="00970088">
        <w:rPr>
          <w:u w:val="single"/>
          <w:lang w:val="en-AU"/>
        </w:rPr>
        <w:t>was not</w:t>
      </w:r>
      <w:r w:rsidRPr="00970088">
        <w:rPr>
          <w:lang w:val="en-AU"/>
        </w:rPr>
        <w:t xml:space="preserve"> claimed reduced for electricity (9%, compared with 13% in 2007) and </w:t>
      </w:r>
      <w:r w:rsidR="000C35F2" w:rsidRPr="00970088">
        <w:rPr>
          <w:lang w:val="en-AU"/>
        </w:rPr>
        <w:t xml:space="preserve">water (6%, compared with 20% in 2007), remained steady for gas (9% in both years) and increased in </w:t>
      </w:r>
      <w:r w:rsidR="00AC77D3" w:rsidRPr="00970088">
        <w:rPr>
          <w:lang w:val="en-AU"/>
        </w:rPr>
        <w:t>relation</w:t>
      </w:r>
      <w:r w:rsidR="000C35F2" w:rsidRPr="00970088">
        <w:rPr>
          <w:lang w:val="en-AU"/>
        </w:rPr>
        <w:t xml:space="preserve"> to council rates (8%, compared with 5% in 2007.</w:t>
      </w:r>
    </w:p>
    <w:p w14:paraId="02F2C2B7" w14:textId="77777777" w:rsidR="007A2C2F" w:rsidRPr="00245A3A" w:rsidRDefault="007A2C2F" w:rsidP="00133DFA">
      <w:pPr>
        <w:pStyle w:val="Para"/>
        <w:rPr>
          <w:highlight w:val="yellow"/>
          <w:lang w:val="en-AU"/>
        </w:rPr>
      </w:pPr>
    </w:p>
    <w:p w14:paraId="3624A918" w14:textId="77777777" w:rsidR="007A2C2F" w:rsidRPr="00970088" w:rsidRDefault="000C35F2" w:rsidP="00133DFA">
      <w:pPr>
        <w:pStyle w:val="Para"/>
        <w:rPr>
          <w:lang w:val="en-AU"/>
        </w:rPr>
      </w:pPr>
      <w:r w:rsidRPr="00970088">
        <w:rPr>
          <w:lang w:val="en-AU"/>
        </w:rPr>
        <w:t>R</w:t>
      </w:r>
      <w:r w:rsidR="007A2C2F" w:rsidRPr="00970088">
        <w:rPr>
          <w:lang w:val="en-AU"/>
        </w:rPr>
        <w:t xml:space="preserve">espondents who </w:t>
      </w:r>
      <w:r w:rsidR="00A0706D" w:rsidRPr="00970088">
        <w:rPr>
          <w:lang w:val="en-AU"/>
        </w:rPr>
        <w:t xml:space="preserve">in the telephone survey </w:t>
      </w:r>
      <w:r w:rsidR="007A2C2F" w:rsidRPr="00970088">
        <w:rPr>
          <w:lang w:val="en-AU"/>
        </w:rPr>
        <w:t>were unable to say whether or not they received a particular concession</w:t>
      </w:r>
      <w:r w:rsidRPr="00970088">
        <w:rPr>
          <w:lang w:val="en-AU"/>
        </w:rPr>
        <w:t xml:space="preserve"> </w:t>
      </w:r>
      <w:r w:rsidR="00A0706D" w:rsidRPr="00970088">
        <w:rPr>
          <w:lang w:val="en-AU"/>
        </w:rPr>
        <w:t>were generally shown by the supplier data to be</w:t>
      </w:r>
      <w:r w:rsidRPr="00970088">
        <w:rPr>
          <w:lang w:val="en-AU"/>
        </w:rPr>
        <w:t xml:space="preserve"> actually receiving the concession (Electricity – </w:t>
      </w:r>
      <w:r w:rsidR="00970088" w:rsidRPr="00970088">
        <w:rPr>
          <w:lang w:val="en-AU"/>
        </w:rPr>
        <w:t>71</w:t>
      </w:r>
      <w:r w:rsidRPr="00970088">
        <w:rPr>
          <w:lang w:val="en-AU"/>
        </w:rPr>
        <w:t>%; Gas – 7</w:t>
      </w:r>
      <w:r w:rsidR="00970088" w:rsidRPr="00970088">
        <w:rPr>
          <w:lang w:val="en-AU"/>
        </w:rPr>
        <w:t>8</w:t>
      </w:r>
      <w:r w:rsidRPr="00970088">
        <w:rPr>
          <w:lang w:val="en-AU"/>
        </w:rPr>
        <w:t xml:space="preserve">%; </w:t>
      </w:r>
      <w:r w:rsidR="003825B2" w:rsidRPr="00970088">
        <w:rPr>
          <w:lang w:val="en-AU"/>
        </w:rPr>
        <w:t xml:space="preserve">Water </w:t>
      </w:r>
      <w:r w:rsidRPr="00970088">
        <w:rPr>
          <w:lang w:val="en-AU"/>
        </w:rPr>
        <w:t>– 6</w:t>
      </w:r>
      <w:r w:rsidR="00970088" w:rsidRPr="00970088">
        <w:rPr>
          <w:lang w:val="en-AU"/>
        </w:rPr>
        <w:t>6</w:t>
      </w:r>
      <w:r w:rsidRPr="00970088">
        <w:rPr>
          <w:lang w:val="en-AU"/>
        </w:rPr>
        <w:t>%; Council – 73%.).</w:t>
      </w:r>
    </w:p>
    <w:p w14:paraId="3777C38E" w14:textId="77777777" w:rsidR="00072B63" w:rsidRPr="00245A3A" w:rsidRDefault="00072B63" w:rsidP="00133DFA">
      <w:pPr>
        <w:pStyle w:val="Para"/>
        <w:rPr>
          <w:highlight w:val="yellow"/>
          <w:lang w:val="en-AU"/>
        </w:rPr>
      </w:pPr>
    </w:p>
    <w:p w14:paraId="0895F428" w14:textId="77777777" w:rsidR="00133DFA" w:rsidRPr="004A3E94" w:rsidRDefault="00072B63" w:rsidP="00133DFA">
      <w:pPr>
        <w:pStyle w:val="Para"/>
        <w:rPr>
          <w:lang w:val="en-AU"/>
        </w:rPr>
      </w:pPr>
      <w:r w:rsidRPr="004A3E94">
        <w:rPr>
          <w:lang w:val="en-AU"/>
        </w:rPr>
        <w:t>It should also be noted that for energy and water bills, a household can be entitled to a D</w:t>
      </w:r>
      <w:r w:rsidR="00A0706D" w:rsidRPr="004A3E94">
        <w:rPr>
          <w:lang w:val="en-AU"/>
        </w:rPr>
        <w:t>H</w:t>
      </w:r>
      <w:r w:rsidRPr="004A3E94">
        <w:rPr>
          <w:lang w:val="en-AU"/>
        </w:rPr>
        <w:t>HS concession on one or more of the bills they pay within a 12 month period and not be entitled to a D</w:t>
      </w:r>
      <w:r w:rsidR="00A0706D" w:rsidRPr="004A3E94">
        <w:rPr>
          <w:lang w:val="en-AU"/>
        </w:rPr>
        <w:t>H</w:t>
      </w:r>
      <w:r w:rsidRPr="004A3E94">
        <w:rPr>
          <w:lang w:val="en-AU"/>
        </w:rPr>
        <w:t>HS concession on the rest of the bills they pay in the same period.  In terms of billing data, a respondent receiving a D</w:t>
      </w:r>
      <w:r w:rsidR="00A0706D" w:rsidRPr="004A3E94">
        <w:rPr>
          <w:lang w:val="en-AU"/>
        </w:rPr>
        <w:t>H</w:t>
      </w:r>
      <w:r w:rsidRPr="004A3E94">
        <w:rPr>
          <w:lang w:val="en-AU"/>
        </w:rPr>
        <w:t xml:space="preserve">HS </w:t>
      </w:r>
      <w:r w:rsidR="00BB77E4" w:rsidRPr="004A3E94">
        <w:rPr>
          <w:lang w:val="en-AU"/>
        </w:rPr>
        <w:t>concession</w:t>
      </w:r>
      <w:r w:rsidRPr="004A3E94">
        <w:rPr>
          <w:lang w:val="en-AU"/>
        </w:rPr>
        <w:t xml:space="preserve"> on just one bill in a 12 month period would be classified as receiving a D</w:t>
      </w:r>
      <w:r w:rsidR="00A0706D" w:rsidRPr="004A3E94">
        <w:rPr>
          <w:lang w:val="en-AU"/>
        </w:rPr>
        <w:t>H</w:t>
      </w:r>
      <w:r w:rsidRPr="004A3E94">
        <w:rPr>
          <w:lang w:val="en-AU"/>
        </w:rPr>
        <w:t>HS concession.  Therefore, it is possible that discrep</w:t>
      </w:r>
      <w:r w:rsidR="00D63D23" w:rsidRPr="004A3E94">
        <w:rPr>
          <w:lang w:val="en-AU"/>
        </w:rPr>
        <w:t>a</w:t>
      </w:r>
      <w:r w:rsidRPr="004A3E94">
        <w:rPr>
          <w:lang w:val="en-AU"/>
        </w:rPr>
        <w:t xml:space="preserve">ncies can occur when comparing respondent survey information with supplier provided billing information.  </w:t>
      </w:r>
    </w:p>
    <w:p w14:paraId="7BC466A3" w14:textId="69A3F765" w:rsidR="00133DFA" w:rsidRPr="00970088" w:rsidRDefault="00E831A3" w:rsidP="00425948">
      <w:pPr>
        <w:pStyle w:val="Para"/>
        <w:spacing w:after="120"/>
        <w:jc w:val="center"/>
        <w:outlineLvl w:val="0"/>
        <w:rPr>
          <w:b/>
          <w:u w:val="single"/>
          <w:lang w:val="en-AU"/>
        </w:rPr>
      </w:pPr>
      <w:r w:rsidRPr="00245A3A">
        <w:rPr>
          <w:b/>
          <w:highlight w:val="yellow"/>
          <w:lang w:val="en-AU"/>
        </w:rPr>
        <w:br w:type="page"/>
      </w:r>
      <w:r w:rsidR="00133DFA" w:rsidRPr="00970088">
        <w:rPr>
          <w:b/>
          <w:lang w:val="en-AU"/>
        </w:rPr>
        <w:lastRenderedPageBreak/>
        <w:t xml:space="preserve">Table </w:t>
      </w:r>
      <w:r w:rsidR="001A2002" w:rsidRPr="00970088">
        <w:rPr>
          <w:b/>
          <w:lang w:val="en-AU"/>
        </w:rPr>
        <w:t>7</w:t>
      </w:r>
      <w:r w:rsidR="00133DFA" w:rsidRPr="00970088">
        <w:rPr>
          <w:b/>
          <w:lang w:val="en-AU"/>
        </w:rPr>
        <w:t>.</w:t>
      </w:r>
      <w:r w:rsidR="00CC4909" w:rsidRPr="00970088">
        <w:rPr>
          <w:b/>
          <w:lang w:val="en-AU"/>
        </w:rPr>
        <w:t>1</w:t>
      </w:r>
      <w:r w:rsidR="00133DFA" w:rsidRPr="00970088">
        <w:rPr>
          <w:b/>
          <w:lang w:val="en-AU"/>
        </w:rPr>
        <w:t xml:space="preserve">.2: </w:t>
      </w:r>
      <w:r w:rsidR="00B53C06" w:rsidRPr="00970088">
        <w:rPr>
          <w:b/>
          <w:u w:val="single"/>
          <w:lang w:val="en-AU"/>
        </w:rPr>
        <w:t>Comparison of Claimed D</w:t>
      </w:r>
      <w:r w:rsidR="00A0706D" w:rsidRPr="00970088">
        <w:rPr>
          <w:b/>
          <w:u w:val="single"/>
          <w:lang w:val="en-AU"/>
        </w:rPr>
        <w:t>H</w:t>
      </w:r>
      <w:r w:rsidR="00B53C06" w:rsidRPr="00970088">
        <w:rPr>
          <w:b/>
          <w:u w:val="single"/>
          <w:lang w:val="en-AU"/>
        </w:rPr>
        <w:t>HS Concession Receipt with Actual D</w:t>
      </w:r>
      <w:r w:rsidR="00A0706D" w:rsidRPr="00970088">
        <w:rPr>
          <w:b/>
          <w:u w:val="single"/>
          <w:lang w:val="en-AU"/>
        </w:rPr>
        <w:t>H</w:t>
      </w:r>
      <w:r w:rsidR="00B53C06" w:rsidRPr="00970088">
        <w:rPr>
          <w:b/>
          <w:u w:val="single"/>
          <w:lang w:val="en-AU"/>
        </w:rPr>
        <w:t>HS Concession Receipt</w:t>
      </w:r>
    </w:p>
    <w:tbl>
      <w:tblPr>
        <w:tblW w:w="13472" w:type="dxa"/>
        <w:jc w:val="center"/>
        <w:tblLook w:val="0000" w:firstRow="0" w:lastRow="0" w:firstColumn="0" w:lastColumn="0" w:noHBand="0" w:noVBand="0"/>
      </w:tblPr>
      <w:tblGrid>
        <w:gridCol w:w="2291"/>
        <w:gridCol w:w="1123"/>
        <w:gridCol w:w="1123"/>
        <w:gridCol w:w="1060"/>
        <w:gridCol w:w="1123"/>
        <w:gridCol w:w="1123"/>
        <w:gridCol w:w="1140"/>
        <w:gridCol w:w="1123"/>
        <w:gridCol w:w="1120"/>
        <w:gridCol w:w="1123"/>
        <w:gridCol w:w="1123"/>
      </w:tblGrid>
      <w:tr w:rsidR="004E3676" w:rsidRPr="00970088" w14:paraId="5AF4183F" w14:textId="77777777" w:rsidTr="00425948">
        <w:trPr>
          <w:trHeight w:val="240"/>
          <w:jc w:val="center"/>
        </w:trPr>
        <w:tc>
          <w:tcPr>
            <w:tcW w:w="2291" w:type="dxa"/>
            <w:vMerge w:val="restart"/>
            <w:tcBorders>
              <w:top w:val="double" w:sz="6" w:space="0" w:color="auto"/>
              <w:left w:val="double" w:sz="6" w:space="0" w:color="auto"/>
              <w:bottom w:val="single" w:sz="4" w:space="0" w:color="969696"/>
              <w:right w:val="nil"/>
            </w:tcBorders>
            <w:shd w:val="clear" w:color="auto" w:fill="auto"/>
            <w:vAlign w:val="center"/>
          </w:tcPr>
          <w:p w14:paraId="38A27FB0" w14:textId="77777777" w:rsidR="004E3676" w:rsidRPr="00970088" w:rsidRDefault="00C33CEC" w:rsidP="004E3676">
            <w:pPr>
              <w:spacing w:before="0" w:after="0"/>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Bill-payer</w:t>
            </w:r>
            <w:r w:rsidR="004E3676" w:rsidRPr="00970088">
              <w:rPr>
                <w:rFonts w:ascii="Arial" w:hAnsi="Arial" w:cs="Arial"/>
                <w:b/>
                <w:bCs/>
                <w:color w:val="000000"/>
                <w:sz w:val="16"/>
                <w:szCs w:val="16"/>
                <w:lang w:val="en-AU" w:eastAsia="en-AU"/>
              </w:rPr>
              <w:t>s</w:t>
            </w:r>
            <w:r w:rsidR="004E3676" w:rsidRPr="00970088">
              <w:rPr>
                <w:rFonts w:ascii="Arial" w:hAnsi="Arial" w:cs="Arial"/>
                <w:b/>
                <w:bCs/>
                <w:color w:val="000000"/>
                <w:sz w:val="16"/>
                <w:szCs w:val="16"/>
                <w:vertAlign w:val="superscript"/>
                <w:lang w:val="en-AU" w:eastAsia="en-AU"/>
              </w:rPr>
              <w:t>1</w:t>
            </w:r>
          </w:p>
        </w:tc>
        <w:tc>
          <w:tcPr>
            <w:tcW w:w="5552" w:type="dxa"/>
            <w:gridSpan w:val="5"/>
            <w:tcBorders>
              <w:top w:val="double" w:sz="6" w:space="0" w:color="auto"/>
              <w:left w:val="single" w:sz="4" w:space="0" w:color="auto"/>
              <w:bottom w:val="single" w:sz="4" w:space="0" w:color="969696"/>
              <w:right w:val="single" w:sz="4" w:space="0" w:color="000000"/>
            </w:tcBorders>
            <w:shd w:val="clear" w:color="auto" w:fill="auto"/>
            <w:noWrap/>
            <w:vAlign w:val="center"/>
          </w:tcPr>
          <w:p w14:paraId="276BFD6A" w14:textId="77777777" w:rsidR="004B2028" w:rsidRPr="004B2028" w:rsidRDefault="004B2028" w:rsidP="004E3676">
            <w:pPr>
              <w:spacing w:before="0" w:after="0"/>
              <w:jc w:val="center"/>
              <w:rPr>
                <w:rFonts w:ascii="Arial" w:hAnsi="Arial" w:cs="Arial"/>
                <w:b/>
                <w:bCs/>
                <w:color w:val="000000"/>
                <w:sz w:val="18"/>
                <w:szCs w:val="18"/>
                <w:lang w:val="en-AU" w:eastAsia="en-AU"/>
              </w:rPr>
            </w:pPr>
          </w:p>
          <w:p w14:paraId="4D09622C" w14:textId="77777777" w:rsidR="004E3676" w:rsidRPr="004B2028" w:rsidRDefault="004E3676" w:rsidP="004E3676">
            <w:pPr>
              <w:spacing w:before="0" w:after="0"/>
              <w:jc w:val="center"/>
              <w:rPr>
                <w:rFonts w:ascii="Arial" w:hAnsi="Arial" w:cs="Arial"/>
                <w:b/>
                <w:bCs/>
                <w:color w:val="000000"/>
                <w:sz w:val="18"/>
                <w:szCs w:val="18"/>
                <w:lang w:val="en-AU" w:eastAsia="en-AU"/>
              </w:rPr>
            </w:pPr>
            <w:r w:rsidRPr="004B2028">
              <w:rPr>
                <w:rFonts w:ascii="Arial" w:hAnsi="Arial" w:cs="Arial"/>
                <w:b/>
                <w:bCs/>
                <w:color w:val="000000"/>
                <w:sz w:val="18"/>
                <w:szCs w:val="18"/>
                <w:lang w:val="en-AU" w:eastAsia="en-AU"/>
              </w:rPr>
              <w:t xml:space="preserve">Electricity </w:t>
            </w:r>
            <w:r w:rsidR="00C33CEC" w:rsidRPr="004B2028">
              <w:rPr>
                <w:rFonts w:ascii="Arial" w:hAnsi="Arial" w:cs="Arial"/>
                <w:b/>
                <w:bCs/>
                <w:color w:val="000000"/>
                <w:sz w:val="18"/>
                <w:szCs w:val="18"/>
                <w:lang w:val="en-AU" w:eastAsia="en-AU"/>
              </w:rPr>
              <w:t>bill-payer</w:t>
            </w:r>
            <w:r w:rsidRPr="004B2028">
              <w:rPr>
                <w:rFonts w:ascii="Arial" w:hAnsi="Arial" w:cs="Arial"/>
                <w:b/>
                <w:bCs/>
                <w:color w:val="000000"/>
                <w:sz w:val="18"/>
                <w:szCs w:val="18"/>
                <w:lang w:val="en-AU" w:eastAsia="en-AU"/>
              </w:rPr>
              <w:t>s</w:t>
            </w:r>
          </w:p>
        </w:tc>
        <w:tc>
          <w:tcPr>
            <w:tcW w:w="5629" w:type="dxa"/>
            <w:gridSpan w:val="5"/>
            <w:tcBorders>
              <w:top w:val="double" w:sz="6" w:space="0" w:color="auto"/>
              <w:left w:val="nil"/>
              <w:bottom w:val="single" w:sz="4" w:space="0" w:color="969696"/>
              <w:right w:val="double" w:sz="6" w:space="0" w:color="000000"/>
            </w:tcBorders>
            <w:shd w:val="clear" w:color="auto" w:fill="auto"/>
            <w:noWrap/>
            <w:vAlign w:val="center"/>
          </w:tcPr>
          <w:p w14:paraId="74E58400" w14:textId="77777777" w:rsidR="004B2028" w:rsidRPr="004B2028" w:rsidRDefault="004B2028" w:rsidP="004E3676">
            <w:pPr>
              <w:spacing w:before="0" w:after="0"/>
              <w:jc w:val="center"/>
              <w:rPr>
                <w:rFonts w:ascii="Arial" w:hAnsi="Arial" w:cs="Arial"/>
                <w:b/>
                <w:bCs/>
                <w:color w:val="000000"/>
                <w:sz w:val="18"/>
                <w:szCs w:val="18"/>
                <w:lang w:val="en-AU" w:eastAsia="en-AU"/>
              </w:rPr>
            </w:pPr>
          </w:p>
          <w:p w14:paraId="7C0806A6" w14:textId="77777777" w:rsidR="004E3676" w:rsidRPr="004B2028" w:rsidRDefault="004E3676" w:rsidP="004E3676">
            <w:pPr>
              <w:spacing w:before="0" w:after="0"/>
              <w:jc w:val="center"/>
              <w:rPr>
                <w:rFonts w:ascii="Arial" w:hAnsi="Arial" w:cs="Arial"/>
                <w:b/>
                <w:bCs/>
                <w:color w:val="000000"/>
                <w:sz w:val="18"/>
                <w:szCs w:val="18"/>
                <w:lang w:val="en-AU" w:eastAsia="en-AU"/>
              </w:rPr>
            </w:pPr>
            <w:r w:rsidRPr="004B2028">
              <w:rPr>
                <w:rFonts w:ascii="Arial" w:hAnsi="Arial" w:cs="Arial"/>
                <w:b/>
                <w:bCs/>
                <w:color w:val="000000"/>
                <w:sz w:val="18"/>
                <w:szCs w:val="18"/>
                <w:lang w:val="en-AU" w:eastAsia="en-AU"/>
              </w:rPr>
              <w:t xml:space="preserve">Gas </w:t>
            </w:r>
            <w:r w:rsidR="00C33CEC" w:rsidRPr="004B2028">
              <w:rPr>
                <w:rFonts w:ascii="Arial" w:hAnsi="Arial" w:cs="Arial"/>
                <w:b/>
                <w:bCs/>
                <w:color w:val="000000"/>
                <w:sz w:val="18"/>
                <w:szCs w:val="18"/>
                <w:lang w:val="en-AU" w:eastAsia="en-AU"/>
              </w:rPr>
              <w:t>bill-payer</w:t>
            </w:r>
            <w:r w:rsidRPr="004B2028">
              <w:rPr>
                <w:rFonts w:ascii="Arial" w:hAnsi="Arial" w:cs="Arial"/>
                <w:b/>
                <w:bCs/>
                <w:color w:val="000000"/>
                <w:sz w:val="18"/>
                <w:szCs w:val="18"/>
                <w:lang w:val="en-AU" w:eastAsia="en-AU"/>
              </w:rPr>
              <w:t>s</w:t>
            </w:r>
          </w:p>
        </w:tc>
      </w:tr>
      <w:tr w:rsidR="004E3676" w:rsidRPr="00970088" w14:paraId="43F1A9AB" w14:textId="77777777" w:rsidTr="00425948">
        <w:trPr>
          <w:trHeight w:val="225"/>
          <w:jc w:val="center"/>
        </w:trPr>
        <w:tc>
          <w:tcPr>
            <w:tcW w:w="2291" w:type="dxa"/>
            <w:vMerge/>
            <w:tcBorders>
              <w:top w:val="double" w:sz="6" w:space="0" w:color="auto"/>
              <w:left w:val="double" w:sz="6" w:space="0" w:color="auto"/>
              <w:bottom w:val="single" w:sz="4" w:space="0" w:color="969696"/>
              <w:right w:val="nil"/>
            </w:tcBorders>
            <w:vAlign w:val="center"/>
          </w:tcPr>
          <w:p w14:paraId="61531229" w14:textId="77777777" w:rsidR="004E3676" w:rsidRPr="00970088" w:rsidRDefault="004E3676" w:rsidP="004E3676">
            <w:pPr>
              <w:spacing w:before="0" w:after="0"/>
              <w:rPr>
                <w:rFonts w:ascii="Arial" w:hAnsi="Arial" w:cs="Arial"/>
                <w:b/>
                <w:bCs/>
                <w:color w:val="000000"/>
                <w:sz w:val="16"/>
                <w:szCs w:val="16"/>
                <w:lang w:val="en-AU" w:eastAsia="en-AU"/>
              </w:rPr>
            </w:pPr>
          </w:p>
        </w:tc>
        <w:tc>
          <w:tcPr>
            <w:tcW w:w="3306" w:type="dxa"/>
            <w:gridSpan w:val="3"/>
            <w:tcBorders>
              <w:top w:val="single" w:sz="4" w:space="0" w:color="969696"/>
              <w:left w:val="single" w:sz="4" w:space="0" w:color="auto"/>
              <w:bottom w:val="single" w:sz="4" w:space="0" w:color="969696"/>
              <w:right w:val="single" w:sz="4" w:space="0" w:color="969696"/>
            </w:tcBorders>
            <w:shd w:val="clear" w:color="auto" w:fill="auto"/>
            <w:noWrap/>
            <w:vAlign w:val="bottom"/>
          </w:tcPr>
          <w:p w14:paraId="4AEC909A"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2014</w:t>
            </w:r>
          </w:p>
        </w:tc>
        <w:tc>
          <w:tcPr>
            <w:tcW w:w="2246" w:type="dxa"/>
            <w:gridSpan w:val="2"/>
            <w:tcBorders>
              <w:top w:val="single" w:sz="4" w:space="0" w:color="969696"/>
              <w:left w:val="nil"/>
              <w:bottom w:val="single" w:sz="4" w:space="0" w:color="969696"/>
              <w:right w:val="single" w:sz="4" w:space="0" w:color="000000"/>
            </w:tcBorders>
            <w:shd w:val="clear" w:color="auto" w:fill="auto"/>
            <w:noWrap/>
            <w:vAlign w:val="center"/>
          </w:tcPr>
          <w:p w14:paraId="70743863"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2007</w:t>
            </w:r>
          </w:p>
        </w:tc>
        <w:tc>
          <w:tcPr>
            <w:tcW w:w="3383" w:type="dxa"/>
            <w:gridSpan w:val="3"/>
            <w:tcBorders>
              <w:top w:val="single" w:sz="4" w:space="0" w:color="969696"/>
              <w:left w:val="nil"/>
              <w:bottom w:val="single" w:sz="4" w:space="0" w:color="969696"/>
              <w:right w:val="single" w:sz="4" w:space="0" w:color="969696"/>
            </w:tcBorders>
            <w:shd w:val="clear" w:color="auto" w:fill="auto"/>
            <w:noWrap/>
            <w:vAlign w:val="bottom"/>
          </w:tcPr>
          <w:p w14:paraId="35A42301"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2014</w:t>
            </w:r>
          </w:p>
        </w:tc>
        <w:tc>
          <w:tcPr>
            <w:tcW w:w="2246" w:type="dxa"/>
            <w:gridSpan w:val="2"/>
            <w:tcBorders>
              <w:top w:val="single" w:sz="4" w:space="0" w:color="969696"/>
              <w:left w:val="nil"/>
              <w:bottom w:val="single" w:sz="4" w:space="0" w:color="969696"/>
              <w:right w:val="double" w:sz="6" w:space="0" w:color="000000"/>
            </w:tcBorders>
            <w:shd w:val="clear" w:color="auto" w:fill="auto"/>
            <w:noWrap/>
            <w:vAlign w:val="center"/>
          </w:tcPr>
          <w:p w14:paraId="74DFACB6"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2007</w:t>
            </w:r>
          </w:p>
        </w:tc>
      </w:tr>
      <w:tr w:rsidR="004E3676" w:rsidRPr="00970088" w14:paraId="6C0D3540" w14:textId="77777777" w:rsidTr="00425948">
        <w:trPr>
          <w:trHeight w:val="225"/>
          <w:jc w:val="center"/>
        </w:trPr>
        <w:tc>
          <w:tcPr>
            <w:tcW w:w="2291" w:type="dxa"/>
            <w:vMerge/>
            <w:tcBorders>
              <w:top w:val="double" w:sz="6" w:space="0" w:color="auto"/>
              <w:left w:val="double" w:sz="6" w:space="0" w:color="auto"/>
              <w:bottom w:val="single" w:sz="4" w:space="0" w:color="969696"/>
              <w:right w:val="nil"/>
            </w:tcBorders>
            <w:vAlign w:val="center"/>
          </w:tcPr>
          <w:p w14:paraId="2906E029" w14:textId="77777777" w:rsidR="004E3676" w:rsidRPr="00970088" w:rsidRDefault="004E3676" w:rsidP="004E3676">
            <w:pPr>
              <w:spacing w:before="0" w:after="0"/>
              <w:rPr>
                <w:rFonts w:ascii="Arial" w:hAnsi="Arial" w:cs="Arial"/>
                <w:b/>
                <w:bCs/>
                <w:color w:val="000000"/>
                <w:sz w:val="16"/>
                <w:szCs w:val="16"/>
                <w:lang w:val="en-AU" w:eastAsia="en-AU"/>
              </w:rPr>
            </w:pPr>
          </w:p>
        </w:tc>
        <w:tc>
          <w:tcPr>
            <w:tcW w:w="3306" w:type="dxa"/>
            <w:gridSpan w:val="3"/>
            <w:tcBorders>
              <w:top w:val="single" w:sz="4" w:space="0" w:color="969696"/>
              <w:left w:val="single" w:sz="4" w:space="0" w:color="auto"/>
              <w:bottom w:val="single" w:sz="4" w:space="0" w:color="969696"/>
              <w:right w:val="single" w:sz="4" w:space="0" w:color="969696"/>
            </w:tcBorders>
            <w:shd w:val="clear" w:color="auto" w:fill="auto"/>
            <w:noWrap/>
            <w:vAlign w:val="center"/>
          </w:tcPr>
          <w:p w14:paraId="07D252F9"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n= 1,777</w:t>
            </w:r>
          </w:p>
        </w:tc>
        <w:tc>
          <w:tcPr>
            <w:tcW w:w="2246" w:type="dxa"/>
            <w:gridSpan w:val="2"/>
            <w:tcBorders>
              <w:top w:val="single" w:sz="4" w:space="0" w:color="969696"/>
              <w:left w:val="nil"/>
              <w:bottom w:val="single" w:sz="4" w:space="0" w:color="969696"/>
              <w:right w:val="single" w:sz="4" w:space="0" w:color="000000"/>
            </w:tcBorders>
            <w:shd w:val="clear" w:color="auto" w:fill="auto"/>
            <w:noWrap/>
            <w:vAlign w:val="center"/>
          </w:tcPr>
          <w:p w14:paraId="2AC5D846"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n=2,060</w:t>
            </w:r>
          </w:p>
        </w:tc>
        <w:tc>
          <w:tcPr>
            <w:tcW w:w="3383" w:type="dxa"/>
            <w:gridSpan w:val="3"/>
            <w:tcBorders>
              <w:top w:val="single" w:sz="4" w:space="0" w:color="969696"/>
              <w:left w:val="nil"/>
              <w:bottom w:val="single" w:sz="4" w:space="0" w:color="969696"/>
              <w:right w:val="single" w:sz="4" w:space="0" w:color="969696"/>
            </w:tcBorders>
            <w:shd w:val="clear" w:color="auto" w:fill="auto"/>
            <w:noWrap/>
            <w:vAlign w:val="center"/>
          </w:tcPr>
          <w:p w14:paraId="0306C9A7"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n=1,529</w:t>
            </w:r>
          </w:p>
        </w:tc>
        <w:tc>
          <w:tcPr>
            <w:tcW w:w="2246" w:type="dxa"/>
            <w:gridSpan w:val="2"/>
            <w:tcBorders>
              <w:top w:val="single" w:sz="4" w:space="0" w:color="969696"/>
              <w:left w:val="nil"/>
              <w:bottom w:val="single" w:sz="4" w:space="0" w:color="969696"/>
              <w:right w:val="double" w:sz="6" w:space="0" w:color="000000"/>
            </w:tcBorders>
            <w:shd w:val="clear" w:color="auto" w:fill="auto"/>
            <w:noWrap/>
            <w:vAlign w:val="center"/>
          </w:tcPr>
          <w:p w14:paraId="3672C570"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n=1,735</w:t>
            </w:r>
          </w:p>
        </w:tc>
      </w:tr>
      <w:tr w:rsidR="004E3676" w:rsidRPr="00970088" w14:paraId="1743ADF7" w14:textId="77777777" w:rsidTr="00425948">
        <w:trPr>
          <w:trHeight w:val="1125"/>
          <w:jc w:val="center"/>
        </w:trPr>
        <w:tc>
          <w:tcPr>
            <w:tcW w:w="2291" w:type="dxa"/>
            <w:vMerge/>
            <w:tcBorders>
              <w:top w:val="double" w:sz="6" w:space="0" w:color="auto"/>
              <w:left w:val="double" w:sz="6" w:space="0" w:color="auto"/>
              <w:bottom w:val="single" w:sz="4" w:space="0" w:color="969696"/>
              <w:right w:val="nil"/>
            </w:tcBorders>
            <w:vAlign w:val="center"/>
          </w:tcPr>
          <w:p w14:paraId="51C0C7BE" w14:textId="77777777" w:rsidR="004E3676" w:rsidRPr="00970088" w:rsidRDefault="004E3676" w:rsidP="004E3676">
            <w:pPr>
              <w:spacing w:before="0" w:after="0"/>
              <w:rPr>
                <w:rFonts w:ascii="Arial" w:hAnsi="Arial" w:cs="Arial"/>
                <w:b/>
                <w:bCs/>
                <w:color w:val="000000"/>
                <w:sz w:val="16"/>
                <w:szCs w:val="16"/>
                <w:lang w:val="en-AU" w:eastAsia="en-AU"/>
              </w:rPr>
            </w:pPr>
          </w:p>
        </w:tc>
        <w:tc>
          <w:tcPr>
            <w:tcW w:w="1123" w:type="dxa"/>
            <w:tcBorders>
              <w:top w:val="nil"/>
              <w:left w:val="single" w:sz="4" w:space="0" w:color="auto"/>
              <w:bottom w:val="single" w:sz="4" w:space="0" w:color="969696"/>
              <w:right w:val="single" w:sz="4" w:space="0" w:color="969696"/>
            </w:tcBorders>
            <w:shd w:val="clear" w:color="auto" w:fill="auto"/>
            <w:vAlign w:val="center"/>
          </w:tcPr>
          <w:p w14:paraId="6BBBA8A6"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Received Concession</w:t>
            </w:r>
          </w:p>
        </w:tc>
        <w:tc>
          <w:tcPr>
            <w:tcW w:w="1123" w:type="dxa"/>
            <w:tcBorders>
              <w:top w:val="nil"/>
              <w:left w:val="nil"/>
              <w:bottom w:val="single" w:sz="4" w:space="0" w:color="969696"/>
              <w:right w:val="single" w:sz="4" w:space="0" w:color="969696"/>
            </w:tcBorders>
            <w:shd w:val="clear" w:color="auto" w:fill="auto"/>
            <w:vAlign w:val="center"/>
          </w:tcPr>
          <w:p w14:paraId="1941E656"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Did Not Receive Concession</w:t>
            </w:r>
          </w:p>
        </w:tc>
        <w:tc>
          <w:tcPr>
            <w:tcW w:w="1060" w:type="dxa"/>
            <w:tcBorders>
              <w:top w:val="nil"/>
              <w:left w:val="nil"/>
              <w:bottom w:val="single" w:sz="4" w:space="0" w:color="969696"/>
              <w:right w:val="single" w:sz="4" w:space="0" w:color="969696"/>
            </w:tcBorders>
            <w:shd w:val="clear" w:color="auto" w:fill="auto"/>
            <w:vAlign w:val="center"/>
          </w:tcPr>
          <w:p w14:paraId="102E38CD"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Can't say/</w:t>
            </w:r>
            <w:r w:rsidRPr="00970088">
              <w:rPr>
                <w:rFonts w:ascii="Arial" w:hAnsi="Arial" w:cs="Arial"/>
                <w:b/>
                <w:bCs/>
                <w:color w:val="000000"/>
                <w:sz w:val="16"/>
                <w:szCs w:val="16"/>
                <w:lang w:val="en-AU" w:eastAsia="en-AU"/>
              </w:rPr>
              <w:br/>
              <w:t>Refused</w:t>
            </w:r>
          </w:p>
        </w:tc>
        <w:tc>
          <w:tcPr>
            <w:tcW w:w="1123" w:type="dxa"/>
            <w:tcBorders>
              <w:top w:val="nil"/>
              <w:left w:val="nil"/>
              <w:bottom w:val="single" w:sz="4" w:space="0" w:color="969696"/>
              <w:right w:val="single" w:sz="4" w:space="0" w:color="969696"/>
            </w:tcBorders>
            <w:shd w:val="clear" w:color="auto" w:fill="auto"/>
            <w:vAlign w:val="center"/>
          </w:tcPr>
          <w:p w14:paraId="5845D5DB"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Received Concession</w:t>
            </w:r>
          </w:p>
        </w:tc>
        <w:tc>
          <w:tcPr>
            <w:tcW w:w="1123" w:type="dxa"/>
            <w:tcBorders>
              <w:top w:val="nil"/>
              <w:left w:val="nil"/>
              <w:bottom w:val="single" w:sz="4" w:space="0" w:color="969696"/>
              <w:right w:val="single" w:sz="4" w:space="0" w:color="auto"/>
            </w:tcBorders>
            <w:shd w:val="clear" w:color="auto" w:fill="auto"/>
            <w:vAlign w:val="center"/>
          </w:tcPr>
          <w:p w14:paraId="0A2A140B"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Did Not Receive Concession</w:t>
            </w:r>
          </w:p>
        </w:tc>
        <w:tc>
          <w:tcPr>
            <w:tcW w:w="1140" w:type="dxa"/>
            <w:tcBorders>
              <w:top w:val="nil"/>
              <w:left w:val="nil"/>
              <w:bottom w:val="single" w:sz="4" w:space="0" w:color="969696"/>
              <w:right w:val="single" w:sz="4" w:space="0" w:color="969696"/>
            </w:tcBorders>
            <w:shd w:val="clear" w:color="auto" w:fill="auto"/>
            <w:vAlign w:val="center"/>
          </w:tcPr>
          <w:p w14:paraId="0B4FA98A"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Received Concession</w:t>
            </w:r>
          </w:p>
        </w:tc>
        <w:tc>
          <w:tcPr>
            <w:tcW w:w="1123" w:type="dxa"/>
            <w:tcBorders>
              <w:top w:val="nil"/>
              <w:left w:val="nil"/>
              <w:bottom w:val="single" w:sz="4" w:space="0" w:color="969696"/>
              <w:right w:val="single" w:sz="4" w:space="0" w:color="969696"/>
            </w:tcBorders>
            <w:shd w:val="clear" w:color="auto" w:fill="auto"/>
            <w:vAlign w:val="center"/>
          </w:tcPr>
          <w:p w14:paraId="0A27C7D0"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Did Not Receive Concession</w:t>
            </w:r>
          </w:p>
        </w:tc>
        <w:tc>
          <w:tcPr>
            <w:tcW w:w="1120" w:type="dxa"/>
            <w:tcBorders>
              <w:top w:val="nil"/>
              <w:left w:val="nil"/>
              <w:bottom w:val="single" w:sz="4" w:space="0" w:color="969696"/>
              <w:right w:val="single" w:sz="4" w:space="0" w:color="969696"/>
            </w:tcBorders>
            <w:shd w:val="clear" w:color="auto" w:fill="auto"/>
            <w:vAlign w:val="center"/>
          </w:tcPr>
          <w:p w14:paraId="33291E47"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Can't say/</w:t>
            </w:r>
            <w:r w:rsidRPr="00970088">
              <w:rPr>
                <w:rFonts w:ascii="Arial" w:hAnsi="Arial" w:cs="Arial"/>
                <w:b/>
                <w:bCs/>
                <w:color w:val="000000"/>
                <w:sz w:val="16"/>
                <w:szCs w:val="16"/>
                <w:lang w:val="en-AU" w:eastAsia="en-AU"/>
              </w:rPr>
              <w:br/>
              <w:t>Refused</w:t>
            </w:r>
          </w:p>
        </w:tc>
        <w:tc>
          <w:tcPr>
            <w:tcW w:w="1123" w:type="dxa"/>
            <w:tcBorders>
              <w:top w:val="nil"/>
              <w:left w:val="nil"/>
              <w:bottom w:val="single" w:sz="4" w:space="0" w:color="969696"/>
              <w:right w:val="single" w:sz="4" w:space="0" w:color="969696"/>
            </w:tcBorders>
            <w:shd w:val="clear" w:color="auto" w:fill="auto"/>
            <w:vAlign w:val="center"/>
          </w:tcPr>
          <w:p w14:paraId="4B7B479C"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Received Concession</w:t>
            </w:r>
          </w:p>
        </w:tc>
        <w:tc>
          <w:tcPr>
            <w:tcW w:w="1123" w:type="dxa"/>
            <w:tcBorders>
              <w:top w:val="nil"/>
              <w:left w:val="nil"/>
              <w:bottom w:val="single" w:sz="4" w:space="0" w:color="969696"/>
              <w:right w:val="double" w:sz="6" w:space="0" w:color="auto"/>
            </w:tcBorders>
            <w:shd w:val="clear" w:color="auto" w:fill="auto"/>
            <w:vAlign w:val="center"/>
          </w:tcPr>
          <w:p w14:paraId="5376FFE4"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Did Not Receive Concession</w:t>
            </w:r>
          </w:p>
        </w:tc>
      </w:tr>
      <w:tr w:rsidR="004E3676" w:rsidRPr="00970088" w14:paraId="38FB053B" w14:textId="77777777" w:rsidTr="00425948">
        <w:trPr>
          <w:trHeight w:val="225"/>
          <w:jc w:val="center"/>
        </w:trPr>
        <w:tc>
          <w:tcPr>
            <w:tcW w:w="2291" w:type="dxa"/>
            <w:tcBorders>
              <w:top w:val="nil"/>
              <w:left w:val="double" w:sz="6" w:space="0" w:color="auto"/>
              <w:bottom w:val="single" w:sz="4" w:space="0" w:color="969696"/>
              <w:right w:val="nil"/>
            </w:tcBorders>
            <w:shd w:val="clear" w:color="auto" w:fill="auto"/>
            <w:noWrap/>
            <w:vAlign w:val="center"/>
          </w:tcPr>
          <w:p w14:paraId="1A7591EF" w14:textId="77777777" w:rsidR="004E3676" w:rsidRPr="00970088" w:rsidRDefault="004E3676" w:rsidP="004E3676">
            <w:pPr>
              <w:spacing w:before="0" w:after="0"/>
              <w:rPr>
                <w:rFonts w:ascii="Arial" w:hAnsi="Arial" w:cs="Arial"/>
                <w:color w:val="000000"/>
                <w:sz w:val="16"/>
                <w:szCs w:val="16"/>
                <w:lang w:val="en-AU" w:eastAsia="en-AU"/>
              </w:rPr>
            </w:pPr>
            <w:r w:rsidRPr="00970088">
              <w:rPr>
                <w:rFonts w:ascii="Arial" w:hAnsi="Arial" w:cs="Arial"/>
                <w:color w:val="000000"/>
                <w:sz w:val="16"/>
                <w:szCs w:val="16"/>
                <w:lang w:val="en-AU" w:eastAsia="en-AU"/>
              </w:rPr>
              <w:t>Received concession</w:t>
            </w:r>
          </w:p>
        </w:tc>
        <w:tc>
          <w:tcPr>
            <w:tcW w:w="1123" w:type="dxa"/>
            <w:tcBorders>
              <w:top w:val="nil"/>
              <w:left w:val="single" w:sz="4" w:space="0" w:color="auto"/>
              <w:bottom w:val="single" w:sz="4" w:space="0" w:color="969696"/>
              <w:right w:val="single" w:sz="4" w:space="0" w:color="969696"/>
            </w:tcBorders>
            <w:shd w:val="clear" w:color="auto" w:fill="auto"/>
            <w:noWrap/>
            <w:vAlign w:val="center"/>
          </w:tcPr>
          <w:p w14:paraId="2B6C2FF4"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90%</w:t>
            </w:r>
          </w:p>
        </w:tc>
        <w:tc>
          <w:tcPr>
            <w:tcW w:w="1123" w:type="dxa"/>
            <w:tcBorders>
              <w:top w:val="nil"/>
              <w:left w:val="nil"/>
              <w:bottom w:val="single" w:sz="4" w:space="0" w:color="969696"/>
              <w:right w:val="single" w:sz="4" w:space="0" w:color="969696"/>
            </w:tcBorders>
            <w:shd w:val="clear" w:color="auto" w:fill="auto"/>
            <w:noWrap/>
            <w:vAlign w:val="center"/>
          </w:tcPr>
          <w:p w14:paraId="70786AF8"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w:t>
            </w:r>
          </w:p>
        </w:tc>
        <w:tc>
          <w:tcPr>
            <w:tcW w:w="1060" w:type="dxa"/>
            <w:tcBorders>
              <w:top w:val="nil"/>
              <w:left w:val="nil"/>
              <w:bottom w:val="single" w:sz="4" w:space="0" w:color="969696"/>
              <w:right w:val="single" w:sz="4" w:space="0" w:color="969696"/>
            </w:tcBorders>
            <w:shd w:val="clear" w:color="auto" w:fill="auto"/>
            <w:noWrap/>
            <w:vAlign w:val="center"/>
          </w:tcPr>
          <w:p w14:paraId="56ACA94C" w14:textId="77777777" w:rsidR="004E3676" w:rsidRPr="00970088" w:rsidRDefault="00970088"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71</w:t>
            </w:r>
            <w:r w:rsidR="004E3676" w:rsidRPr="00970088">
              <w:rPr>
                <w:rFonts w:ascii="Arial" w:hAnsi="Arial" w:cs="Arial"/>
                <w:color w:val="000000"/>
                <w:sz w:val="16"/>
                <w:szCs w:val="16"/>
                <w:lang w:val="en-AU" w:eastAsia="en-AU"/>
              </w:rPr>
              <w:t>%</w:t>
            </w:r>
          </w:p>
        </w:tc>
        <w:tc>
          <w:tcPr>
            <w:tcW w:w="1123" w:type="dxa"/>
            <w:tcBorders>
              <w:top w:val="nil"/>
              <w:left w:val="nil"/>
              <w:bottom w:val="single" w:sz="4" w:space="0" w:color="969696"/>
              <w:right w:val="single" w:sz="4" w:space="0" w:color="969696"/>
            </w:tcBorders>
            <w:shd w:val="clear" w:color="auto" w:fill="auto"/>
            <w:noWrap/>
            <w:vAlign w:val="center"/>
          </w:tcPr>
          <w:p w14:paraId="38E7B688"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78%</w:t>
            </w:r>
          </w:p>
        </w:tc>
        <w:tc>
          <w:tcPr>
            <w:tcW w:w="1123" w:type="dxa"/>
            <w:tcBorders>
              <w:top w:val="nil"/>
              <w:left w:val="nil"/>
              <w:bottom w:val="single" w:sz="4" w:space="0" w:color="969696"/>
              <w:right w:val="single" w:sz="4" w:space="0" w:color="auto"/>
            </w:tcBorders>
            <w:shd w:val="clear" w:color="auto" w:fill="auto"/>
            <w:noWrap/>
            <w:vAlign w:val="center"/>
          </w:tcPr>
          <w:p w14:paraId="2C5244CB"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13%</w:t>
            </w:r>
          </w:p>
        </w:tc>
        <w:tc>
          <w:tcPr>
            <w:tcW w:w="1140" w:type="dxa"/>
            <w:tcBorders>
              <w:top w:val="nil"/>
              <w:left w:val="nil"/>
              <w:bottom w:val="single" w:sz="4" w:space="0" w:color="969696"/>
              <w:right w:val="single" w:sz="4" w:space="0" w:color="969696"/>
            </w:tcBorders>
            <w:shd w:val="clear" w:color="auto" w:fill="auto"/>
            <w:noWrap/>
            <w:vAlign w:val="center"/>
          </w:tcPr>
          <w:p w14:paraId="6B25DADD"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88%</w:t>
            </w:r>
          </w:p>
        </w:tc>
        <w:tc>
          <w:tcPr>
            <w:tcW w:w="1123" w:type="dxa"/>
            <w:tcBorders>
              <w:top w:val="nil"/>
              <w:left w:val="nil"/>
              <w:bottom w:val="single" w:sz="4" w:space="0" w:color="969696"/>
              <w:right w:val="single" w:sz="4" w:space="0" w:color="969696"/>
            </w:tcBorders>
            <w:shd w:val="clear" w:color="auto" w:fill="auto"/>
            <w:noWrap/>
            <w:vAlign w:val="center"/>
          </w:tcPr>
          <w:p w14:paraId="264A3631"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w:t>
            </w:r>
          </w:p>
        </w:tc>
        <w:tc>
          <w:tcPr>
            <w:tcW w:w="1120" w:type="dxa"/>
            <w:tcBorders>
              <w:top w:val="nil"/>
              <w:left w:val="nil"/>
              <w:bottom w:val="single" w:sz="4" w:space="0" w:color="969696"/>
              <w:right w:val="single" w:sz="4" w:space="0" w:color="969696"/>
            </w:tcBorders>
            <w:shd w:val="clear" w:color="auto" w:fill="auto"/>
            <w:noWrap/>
            <w:vAlign w:val="center"/>
          </w:tcPr>
          <w:p w14:paraId="080DAA7B" w14:textId="77777777" w:rsidR="004E3676" w:rsidRPr="00970088" w:rsidRDefault="004E3676" w:rsidP="00970088">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7</w:t>
            </w:r>
            <w:r w:rsidR="00970088" w:rsidRPr="00970088">
              <w:rPr>
                <w:rFonts w:ascii="Arial" w:hAnsi="Arial" w:cs="Arial"/>
                <w:color w:val="000000"/>
                <w:sz w:val="16"/>
                <w:szCs w:val="16"/>
                <w:lang w:val="en-AU" w:eastAsia="en-AU"/>
              </w:rPr>
              <w:t>8</w:t>
            </w:r>
            <w:r w:rsidRPr="00970088">
              <w:rPr>
                <w:rFonts w:ascii="Arial" w:hAnsi="Arial" w:cs="Arial"/>
                <w:color w:val="000000"/>
                <w:sz w:val="16"/>
                <w:szCs w:val="16"/>
                <w:lang w:val="en-AU" w:eastAsia="en-AU"/>
              </w:rPr>
              <w:t>%</w:t>
            </w:r>
          </w:p>
        </w:tc>
        <w:tc>
          <w:tcPr>
            <w:tcW w:w="1123" w:type="dxa"/>
            <w:tcBorders>
              <w:top w:val="nil"/>
              <w:left w:val="nil"/>
              <w:bottom w:val="single" w:sz="4" w:space="0" w:color="969696"/>
              <w:right w:val="single" w:sz="4" w:space="0" w:color="969696"/>
            </w:tcBorders>
            <w:shd w:val="clear" w:color="auto" w:fill="auto"/>
            <w:noWrap/>
            <w:vAlign w:val="center"/>
          </w:tcPr>
          <w:p w14:paraId="0F51D866"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58%</w:t>
            </w:r>
          </w:p>
        </w:tc>
        <w:tc>
          <w:tcPr>
            <w:tcW w:w="1123" w:type="dxa"/>
            <w:tcBorders>
              <w:top w:val="nil"/>
              <w:left w:val="nil"/>
              <w:bottom w:val="single" w:sz="4" w:space="0" w:color="969696"/>
              <w:right w:val="double" w:sz="6" w:space="0" w:color="auto"/>
            </w:tcBorders>
            <w:shd w:val="clear" w:color="auto" w:fill="auto"/>
            <w:noWrap/>
            <w:vAlign w:val="center"/>
          </w:tcPr>
          <w:p w14:paraId="51E77EDF"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w:t>
            </w:r>
          </w:p>
        </w:tc>
      </w:tr>
      <w:tr w:rsidR="004E3676" w:rsidRPr="00970088" w14:paraId="5B6C2831" w14:textId="77777777" w:rsidTr="00425948">
        <w:trPr>
          <w:trHeight w:val="225"/>
          <w:jc w:val="center"/>
        </w:trPr>
        <w:tc>
          <w:tcPr>
            <w:tcW w:w="2291" w:type="dxa"/>
            <w:tcBorders>
              <w:top w:val="nil"/>
              <w:left w:val="double" w:sz="6" w:space="0" w:color="auto"/>
              <w:bottom w:val="nil"/>
              <w:right w:val="nil"/>
            </w:tcBorders>
            <w:shd w:val="clear" w:color="auto" w:fill="auto"/>
            <w:noWrap/>
            <w:vAlign w:val="center"/>
          </w:tcPr>
          <w:p w14:paraId="11048892" w14:textId="77777777" w:rsidR="004E3676" w:rsidRPr="00970088" w:rsidRDefault="004E3676" w:rsidP="004E3676">
            <w:pPr>
              <w:spacing w:before="0" w:after="0"/>
              <w:rPr>
                <w:rFonts w:ascii="Arial" w:hAnsi="Arial" w:cs="Arial"/>
                <w:color w:val="000000"/>
                <w:sz w:val="16"/>
                <w:szCs w:val="16"/>
                <w:lang w:val="en-AU" w:eastAsia="en-AU"/>
              </w:rPr>
            </w:pPr>
            <w:r w:rsidRPr="00970088">
              <w:rPr>
                <w:rFonts w:ascii="Arial" w:hAnsi="Arial" w:cs="Arial"/>
                <w:color w:val="000000"/>
                <w:sz w:val="16"/>
                <w:szCs w:val="16"/>
                <w:lang w:val="en-AU" w:eastAsia="en-AU"/>
              </w:rPr>
              <w:t>Did not receive concession</w:t>
            </w:r>
          </w:p>
        </w:tc>
        <w:tc>
          <w:tcPr>
            <w:tcW w:w="1123" w:type="dxa"/>
            <w:tcBorders>
              <w:top w:val="nil"/>
              <w:left w:val="single" w:sz="4" w:space="0" w:color="auto"/>
              <w:bottom w:val="nil"/>
              <w:right w:val="single" w:sz="4" w:space="0" w:color="969696"/>
            </w:tcBorders>
            <w:shd w:val="clear" w:color="auto" w:fill="auto"/>
            <w:noWrap/>
            <w:vAlign w:val="center"/>
          </w:tcPr>
          <w:p w14:paraId="75F7FE3C"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10%</w:t>
            </w:r>
          </w:p>
        </w:tc>
        <w:tc>
          <w:tcPr>
            <w:tcW w:w="1123" w:type="dxa"/>
            <w:tcBorders>
              <w:top w:val="nil"/>
              <w:left w:val="nil"/>
              <w:bottom w:val="nil"/>
              <w:right w:val="single" w:sz="4" w:space="0" w:color="969696"/>
            </w:tcBorders>
            <w:shd w:val="clear" w:color="auto" w:fill="auto"/>
            <w:noWrap/>
            <w:vAlign w:val="center"/>
          </w:tcPr>
          <w:p w14:paraId="45E142A7"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91%</w:t>
            </w:r>
          </w:p>
        </w:tc>
        <w:tc>
          <w:tcPr>
            <w:tcW w:w="1060" w:type="dxa"/>
            <w:tcBorders>
              <w:top w:val="nil"/>
              <w:left w:val="nil"/>
              <w:bottom w:val="nil"/>
              <w:right w:val="single" w:sz="4" w:space="0" w:color="969696"/>
            </w:tcBorders>
            <w:shd w:val="clear" w:color="auto" w:fill="auto"/>
            <w:noWrap/>
            <w:vAlign w:val="center"/>
          </w:tcPr>
          <w:p w14:paraId="6DC6C812" w14:textId="77777777" w:rsidR="004E3676" w:rsidRPr="00970088" w:rsidRDefault="00970088"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29</w:t>
            </w:r>
            <w:r w:rsidR="004E3676" w:rsidRPr="00970088">
              <w:rPr>
                <w:rFonts w:ascii="Arial" w:hAnsi="Arial" w:cs="Arial"/>
                <w:color w:val="000000"/>
                <w:sz w:val="16"/>
                <w:szCs w:val="16"/>
                <w:lang w:val="en-AU" w:eastAsia="en-AU"/>
              </w:rPr>
              <w:t>%</w:t>
            </w:r>
          </w:p>
        </w:tc>
        <w:tc>
          <w:tcPr>
            <w:tcW w:w="1123" w:type="dxa"/>
            <w:tcBorders>
              <w:top w:val="nil"/>
              <w:left w:val="nil"/>
              <w:bottom w:val="nil"/>
              <w:right w:val="single" w:sz="4" w:space="0" w:color="969696"/>
            </w:tcBorders>
            <w:shd w:val="clear" w:color="auto" w:fill="auto"/>
            <w:noWrap/>
            <w:vAlign w:val="center"/>
          </w:tcPr>
          <w:p w14:paraId="7DF65EB6"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22%</w:t>
            </w:r>
          </w:p>
        </w:tc>
        <w:tc>
          <w:tcPr>
            <w:tcW w:w="1123" w:type="dxa"/>
            <w:tcBorders>
              <w:top w:val="nil"/>
              <w:left w:val="nil"/>
              <w:bottom w:val="nil"/>
              <w:right w:val="single" w:sz="4" w:space="0" w:color="auto"/>
            </w:tcBorders>
            <w:shd w:val="clear" w:color="auto" w:fill="auto"/>
            <w:noWrap/>
            <w:vAlign w:val="center"/>
          </w:tcPr>
          <w:p w14:paraId="6F9C55D7"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87%</w:t>
            </w:r>
          </w:p>
        </w:tc>
        <w:tc>
          <w:tcPr>
            <w:tcW w:w="1140" w:type="dxa"/>
            <w:tcBorders>
              <w:top w:val="nil"/>
              <w:left w:val="nil"/>
              <w:bottom w:val="nil"/>
              <w:right w:val="single" w:sz="4" w:space="0" w:color="969696"/>
            </w:tcBorders>
            <w:shd w:val="clear" w:color="auto" w:fill="auto"/>
            <w:noWrap/>
            <w:vAlign w:val="center"/>
          </w:tcPr>
          <w:p w14:paraId="5B95FE55"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12%</w:t>
            </w:r>
          </w:p>
        </w:tc>
        <w:tc>
          <w:tcPr>
            <w:tcW w:w="1123" w:type="dxa"/>
            <w:tcBorders>
              <w:top w:val="nil"/>
              <w:left w:val="nil"/>
              <w:bottom w:val="nil"/>
              <w:right w:val="single" w:sz="4" w:space="0" w:color="969696"/>
            </w:tcBorders>
            <w:shd w:val="clear" w:color="auto" w:fill="auto"/>
            <w:noWrap/>
            <w:vAlign w:val="center"/>
          </w:tcPr>
          <w:p w14:paraId="244AEC01"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91%</w:t>
            </w:r>
          </w:p>
        </w:tc>
        <w:tc>
          <w:tcPr>
            <w:tcW w:w="1120" w:type="dxa"/>
            <w:tcBorders>
              <w:top w:val="nil"/>
              <w:left w:val="nil"/>
              <w:bottom w:val="nil"/>
              <w:right w:val="single" w:sz="4" w:space="0" w:color="969696"/>
            </w:tcBorders>
            <w:shd w:val="clear" w:color="auto" w:fill="auto"/>
            <w:noWrap/>
            <w:vAlign w:val="center"/>
          </w:tcPr>
          <w:p w14:paraId="694CB622" w14:textId="77777777" w:rsidR="004E3676" w:rsidRPr="00970088" w:rsidRDefault="004E3676" w:rsidP="00970088">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2</w:t>
            </w:r>
            <w:r w:rsidR="00970088" w:rsidRPr="00970088">
              <w:rPr>
                <w:rFonts w:ascii="Arial" w:hAnsi="Arial" w:cs="Arial"/>
                <w:color w:val="000000"/>
                <w:sz w:val="16"/>
                <w:szCs w:val="16"/>
                <w:lang w:val="en-AU" w:eastAsia="en-AU"/>
              </w:rPr>
              <w:t>2</w:t>
            </w:r>
            <w:r w:rsidRPr="00970088">
              <w:rPr>
                <w:rFonts w:ascii="Arial" w:hAnsi="Arial" w:cs="Arial"/>
                <w:color w:val="000000"/>
                <w:sz w:val="16"/>
                <w:szCs w:val="16"/>
                <w:lang w:val="en-AU" w:eastAsia="en-AU"/>
              </w:rPr>
              <w:t>%</w:t>
            </w:r>
          </w:p>
        </w:tc>
        <w:tc>
          <w:tcPr>
            <w:tcW w:w="1123" w:type="dxa"/>
            <w:tcBorders>
              <w:top w:val="nil"/>
              <w:left w:val="nil"/>
              <w:bottom w:val="nil"/>
              <w:right w:val="single" w:sz="4" w:space="0" w:color="969696"/>
            </w:tcBorders>
            <w:shd w:val="clear" w:color="auto" w:fill="auto"/>
            <w:noWrap/>
            <w:vAlign w:val="center"/>
          </w:tcPr>
          <w:p w14:paraId="3EF4130A"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42%</w:t>
            </w:r>
          </w:p>
        </w:tc>
        <w:tc>
          <w:tcPr>
            <w:tcW w:w="1123" w:type="dxa"/>
            <w:tcBorders>
              <w:top w:val="nil"/>
              <w:left w:val="nil"/>
              <w:bottom w:val="nil"/>
              <w:right w:val="double" w:sz="6" w:space="0" w:color="auto"/>
            </w:tcBorders>
            <w:shd w:val="clear" w:color="auto" w:fill="auto"/>
            <w:noWrap/>
            <w:vAlign w:val="center"/>
          </w:tcPr>
          <w:p w14:paraId="348B348F"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91%</w:t>
            </w:r>
          </w:p>
        </w:tc>
      </w:tr>
      <w:tr w:rsidR="004E3676" w:rsidRPr="00970088" w14:paraId="5959F2E6" w14:textId="77777777" w:rsidTr="00425948">
        <w:trPr>
          <w:trHeight w:val="225"/>
          <w:jc w:val="center"/>
        </w:trPr>
        <w:tc>
          <w:tcPr>
            <w:tcW w:w="2291" w:type="dxa"/>
            <w:vMerge w:val="restart"/>
            <w:tcBorders>
              <w:top w:val="single" w:sz="4" w:space="0" w:color="auto"/>
              <w:left w:val="double" w:sz="6" w:space="0" w:color="auto"/>
              <w:bottom w:val="single" w:sz="4" w:space="0" w:color="969696"/>
              <w:right w:val="nil"/>
            </w:tcBorders>
            <w:shd w:val="clear" w:color="auto" w:fill="auto"/>
            <w:vAlign w:val="center"/>
          </w:tcPr>
          <w:p w14:paraId="5F4EBC43" w14:textId="77777777" w:rsidR="004E3676" w:rsidRPr="00970088" w:rsidRDefault="00C33CEC" w:rsidP="004E3676">
            <w:pPr>
              <w:spacing w:before="0" w:after="0"/>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Bill-payer</w:t>
            </w:r>
            <w:r w:rsidR="004E3676" w:rsidRPr="00970088">
              <w:rPr>
                <w:rFonts w:ascii="Arial" w:hAnsi="Arial" w:cs="Arial"/>
                <w:b/>
                <w:bCs/>
                <w:color w:val="000000"/>
                <w:sz w:val="16"/>
                <w:szCs w:val="16"/>
                <w:lang w:val="en-AU" w:eastAsia="en-AU"/>
              </w:rPr>
              <w:t>s</w:t>
            </w:r>
            <w:r w:rsidR="004E3676" w:rsidRPr="00970088">
              <w:rPr>
                <w:rFonts w:ascii="Arial" w:hAnsi="Arial" w:cs="Arial"/>
                <w:b/>
                <w:bCs/>
                <w:color w:val="000000"/>
                <w:sz w:val="16"/>
                <w:szCs w:val="16"/>
                <w:vertAlign w:val="superscript"/>
                <w:lang w:val="en-AU" w:eastAsia="en-AU"/>
              </w:rPr>
              <w:t>1</w:t>
            </w:r>
          </w:p>
        </w:tc>
        <w:tc>
          <w:tcPr>
            <w:tcW w:w="5552" w:type="dxa"/>
            <w:gridSpan w:val="5"/>
            <w:tcBorders>
              <w:top w:val="single" w:sz="4" w:space="0" w:color="auto"/>
              <w:left w:val="single" w:sz="4" w:space="0" w:color="auto"/>
              <w:bottom w:val="single" w:sz="4" w:space="0" w:color="969696"/>
              <w:right w:val="single" w:sz="4" w:space="0" w:color="000000"/>
            </w:tcBorders>
            <w:shd w:val="clear" w:color="auto" w:fill="auto"/>
            <w:noWrap/>
            <w:vAlign w:val="center"/>
          </w:tcPr>
          <w:p w14:paraId="0100973C" w14:textId="77777777" w:rsidR="004B2028" w:rsidRPr="004B2028" w:rsidRDefault="004B2028" w:rsidP="004E3676">
            <w:pPr>
              <w:spacing w:before="0" w:after="0"/>
              <w:jc w:val="center"/>
              <w:rPr>
                <w:rFonts w:ascii="Arial" w:hAnsi="Arial" w:cs="Arial"/>
                <w:b/>
                <w:bCs/>
                <w:color w:val="000000"/>
                <w:sz w:val="18"/>
                <w:szCs w:val="18"/>
                <w:lang w:val="en-AU" w:eastAsia="en-AU"/>
              </w:rPr>
            </w:pPr>
          </w:p>
          <w:p w14:paraId="0BC2F005" w14:textId="77777777" w:rsidR="004B2028" w:rsidRPr="004B2028" w:rsidRDefault="004B2028" w:rsidP="004E3676">
            <w:pPr>
              <w:spacing w:before="0" w:after="0"/>
              <w:jc w:val="center"/>
              <w:rPr>
                <w:rFonts w:ascii="Arial" w:hAnsi="Arial" w:cs="Arial"/>
                <w:b/>
                <w:bCs/>
                <w:color w:val="000000"/>
                <w:sz w:val="18"/>
                <w:szCs w:val="18"/>
                <w:lang w:val="en-AU" w:eastAsia="en-AU"/>
              </w:rPr>
            </w:pPr>
          </w:p>
          <w:p w14:paraId="6A9935B9" w14:textId="77777777" w:rsidR="004E3676" w:rsidRPr="004B2028" w:rsidRDefault="004E3676" w:rsidP="004E3676">
            <w:pPr>
              <w:spacing w:before="0" w:after="0"/>
              <w:jc w:val="center"/>
              <w:rPr>
                <w:rFonts w:ascii="Arial" w:hAnsi="Arial" w:cs="Arial"/>
                <w:b/>
                <w:bCs/>
                <w:color w:val="000000"/>
                <w:sz w:val="18"/>
                <w:szCs w:val="18"/>
                <w:lang w:val="en-AU" w:eastAsia="en-AU"/>
              </w:rPr>
            </w:pPr>
            <w:r w:rsidRPr="004B2028">
              <w:rPr>
                <w:rFonts w:ascii="Arial" w:hAnsi="Arial" w:cs="Arial"/>
                <w:b/>
                <w:bCs/>
                <w:color w:val="000000"/>
                <w:sz w:val="18"/>
                <w:szCs w:val="18"/>
                <w:lang w:val="en-AU" w:eastAsia="en-AU"/>
              </w:rPr>
              <w:t xml:space="preserve">Water </w:t>
            </w:r>
            <w:r w:rsidR="00C33CEC" w:rsidRPr="004B2028">
              <w:rPr>
                <w:rFonts w:ascii="Arial" w:hAnsi="Arial" w:cs="Arial"/>
                <w:b/>
                <w:bCs/>
                <w:color w:val="000000"/>
                <w:sz w:val="18"/>
                <w:szCs w:val="18"/>
                <w:lang w:val="en-AU" w:eastAsia="en-AU"/>
              </w:rPr>
              <w:t>bill-payer</w:t>
            </w:r>
            <w:r w:rsidRPr="004B2028">
              <w:rPr>
                <w:rFonts w:ascii="Arial" w:hAnsi="Arial" w:cs="Arial"/>
                <w:b/>
                <w:bCs/>
                <w:color w:val="000000"/>
                <w:sz w:val="18"/>
                <w:szCs w:val="18"/>
                <w:lang w:val="en-AU" w:eastAsia="en-AU"/>
              </w:rPr>
              <w:t>s</w:t>
            </w:r>
          </w:p>
        </w:tc>
        <w:tc>
          <w:tcPr>
            <w:tcW w:w="5629" w:type="dxa"/>
            <w:gridSpan w:val="5"/>
            <w:tcBorders>
              <w:top w:val="single" w:sz="4" w:space="0" w:color="auto"/>
              <w:left w:val="nil"/>
              <w:bottom w:val="single" w:sz="4" w:space="0" w:color="969696"/>
              <w:right w:val="double" w:sz="6" w:space="0" w:color="000000"/>
            </w:tcBorders>
            <w:shd w:val="clear" w:color="auto" w:fill="auto"/>
            <w:noWrap/>
            <w:vAlign w:val="center"/>
          </w:tcPr>
          <w:p w14:paraId="0EB6896E" w14:textId="77777777" w:rsidR="004B2028" w:rsidRPr="004B2028" w:rsidRDefault="004B2028" w:rsidP="004E3676">
            <w:pPr>
              <w:spacing w:before="0" w:after="0"/>
              <w:jc w:val="center"/>
              <w:rPr>
                <w:rFonts w:ascii="Arial" w:hAnsi="Arial" w:cs="Arial"/>
                <w:b/>
                <w:bCs/>
                <w:color w:val="000000"/>
                <w:sz w:val="18"/>
                <w:szCs w:val="18"/>
                <w:lang w:val="en-AU" w:eastAsia="en-AU"/>
              </w:rPr>
            </w:pPr>
          </w:p>
          <w:p w14:paraId="507EB17E" w14:textId="77777777" w:rsidR="004B2028" w:rsidRPr="004B2028" w:rsidRDefault="004B2028" w:rsidP="004E3676">
            <w:pPr>
              <w:spacing w:before="0" w:after="0"/>
              <w:jc w:val="center"/>
              <w:rPr>
                <w:rFonts w:ascii="Arial" w:hAnsi="Arial" w:cs="Arial"/>
                <w:b/>
                <w:bCs/>
                <w:color w:val="000000"/>
                <w:sz w:val="18"/>
                <w:szCs w:val="18"/>
                <w:lang w:val="en-AU" w:eastAsia="en-AU"/>
              </w:rPr>
            </w:pPr>
          </w:p>
          <w:p w14:paraId="12AEDCD1" w14:textId="77777777" w:rsidR="004E3676" w:rsidRPr="004B2028" w:rsidRDefault="004E3676" w:rsidP="004E3676">
            <w:pPr>
              <w:spacing w:before="0" w:after="0"/>
              <w:jc w:val="center"/>
              <w:rPr>
                <w:rFonts w:ascii="Arial" w:hAnsi="Arial" w:cs="Arial"/>
                <w:b/>
                <w:bCs/>
                <w:color w:val="000000"/>
                <w:sz w:val="18"/>
                <w:szCs w:val="18"/>
                <w:lang w:val="en-AU" w:eastAsia="en-AU"/>
              </w:rPr>
            </w:pPr>
            <w:r w:rsidRPr="004B2028">
              <w:rPr>
                <w:rFonts w:ascii="Arial" w:hAnsi="Arial" w:cs="Arial"/>
                <w:b/>
                <w:bCs/>
                <w:color w:val="000000"/>
                <w:sz w:val="18"/>
                <w:szCs w:val="18"/>
                <w:lang w:val="en-AU" w:eastAsia="en-AU"/>
              </w:rPr>
              <w:t xml:space="preserve">Council rate </w:t>
            </w:r>
            <w:r w:rsidR="00C33CEC" w:rsidRPr="004B2028">
              <w:rPr>
                <w:rFonts w:ascii="Arial" w:hAnsi="Arial" w:cs="Arial"/>
                <w:b/>
                <w:bCs/>
                <w:color w:val="000000"/>
                <w:sz w:val="18"/>
                <w:szCs w:val="18"/>
                <w:lang w:val="en-AU" w:eastAsia="en-AU"/>
              </w:rPr>
              <w:t>bill-payer</w:t>
            </w:r>
            <w:r w:rsidRPr="004B2028">
              <w:rPr>
                <w:rFonts w:ascii="Arial" w:hAnsi="Arial" w:cs="Arial"/>
                <w:b/>
                <w:bCs/>
                <w:color w:val="000000"/>
                <w:sz w:val="18"/>
                <w:szCs w:val="18"/>
                <w:lang w:val="en-AU" w:eastAsia="en-AU"/>
              </w:rPr>
              <w:t>s</w:t>
            </w:r>
          </w:p>
        </w:tc>
      </w:tr>
      <w:tr w:rsidR="004B2028" w:rsidRPr="00970088" w14:paraId="062A1DD7" w14:textId="77777777" w:rsidTr="00D92C64">
        <w:trPr>
          <w:trHeight w:val="225"/>
          <w:jc w:val="center"/>
        </w:trPr>
        <w:tc>
          <w:tcPr>
            <w:tcW w:w="2291" w:type="dxa"/>
            <w:vMerge/>
            <w:tcBorders>
              <w:top w:val="single" w:sz="4" w:space="0" w:color="auto"/>
              <w:left w:val="double" w:sz="6" w:space="0" w:color="auto"/>
              <w:bottom w:val="single" w:sz="4" w:space="0" w:color="969696"/>
              <w:right w:val="nil"/>
            </w:tcBorders>
            <w:vAlign w:val="center"/>
          </w:tcPr>
          <w:p w14:paraId="6AC84B80" w14:textId="77777777" w:rsidR="004B2028" w:rsidRPr="00970088" w:rsidRDefault="004B2028" w:rsidP="004E3676">
            <w:pPr>
              <w:spacing w:before="0" w:after="0"/>
              <w:rPr>
                <w:rFonts w:ascii="Arial" w:hAnsi="Arial" w:cs="Arial"/>
                <w:b/>
                <w:bCs/>
                <w:color w:val="000000"/>
                <w:sz w:val="16"/>
                <w:szCs w:val="16"/>
                <w:lang w:val="en-AU" w:eastAsia="en-AU"/>
              </w:rPr>
            </w:pPr>
          </w:p>
        </w:tc>
        <w:tc>
          <w:tcPr>
            <w:tcW w:w="3306" w:type="dxa"/>
            <w:gridSpan w:val="3"/>
            <w:tcBorders>
              <w:top w:val="single" w:sz="4" w:space="0" w:color="969696"/>
              <w:left w:val="single" w:sz="4" w:space="0" w:color="auto"/>
              <w:bottom w:val="single" w:sz="4" w:space="0" w:color="969696"/>
              <w:right w:val="single" w:sz="4" w:space="0" w:color="969696"/>
            </w:tcBorders>
            <w:shd w:val="clear" w:color="auto" w:fill="auto"/>
            <w:noWrap/>
            <w:vAlign w:val="center"/>
          </w:tcPr>
          <w:p w14:paraId="2105678F" w14:textId="77777777" w:rsidR="004B2028" w:rsidRPr="00970088" w:rsidRDefault="004B2028" w:rsidP="00D92C64">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2014</w:t>
            </w:r>
          </w:p>
        </w:tc>
        <w:tc>
          <w:tcPr>
            <w:tcW w:w="2246" w:type="dxa"/>
            <w:gridSpan w:val="2"/>
            <w:tcBorders>
              <w:top w:val="single" w:sz="4" w:space="0" w:color="969696"/>
              <w:left w:val="nil"/>
              <w:bottom w:val="single" w:sz="4" w:space="0" w:color="969696"/>
              <w:right w:val="single" w:sz="4" w:space="0" w:color="000000"/>
            </w:tcBorders>
            <w:shd w:val="clear" w:color="auto" w:fill="auto"/>
            <w:noWrap/>
            <w:vAlign w:val="center"/>
          </w:tcPr>
          <w:p w14:paraId="6762AEBD" w14:textId="77777777" w:rsidR="004B2028" w:rsidRPr="00970088" w:rsidRDefault="004B2028" w:rsidP="00D92C64">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2007</w:t>
            </w:r>
          </w:p>
        </w:tc>
        <w:tc>
          <w:tcPr>
            <w:tcW w:w="3383" w:type="dxa"/>
            <w:gridSpan w:val="3"/>
            <w:tcBorders>
              <w:top w:val="single" w:sz="4" w:space="0" w:color="969696"/>
              <w:left w:val="nil"/>
              <w:bottom w:val="single" w:sz="4" w:space="0" w:color="969696"/>
              <w:right w:val="single" w:sz="4" w:space="0" w:color="969696"/>
            </w:tcBorders>
            <w:shd w:val="clear" w:color="auto" w:fill="auto"/>
            <w:noWrap/>
            <w:vAlign w:val="center"/>
          </w:tcPr>
          <w:p w14:paraId="4FD6880A" w14:textId="77777777" w:rsidR="004B2028" w:rsidRPr="00970088" w:rsidRDefault="004B2028" w:rsidP="00D92C64">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2014</w:t>
            </w:r>
          </w:p>
        </w:tc>
        <w:tc>
          <w:tcPr>
            <w:tcW w:w="2246" w:type="dxa"/>
            <w:gridSpan w:val="2"/>
            <w:tcBorders>
              <w:top w:val="nil"/>
              <w:left w:val="nil"/>
              <w:bottom w:val="single" w:sz="4" w:space="0" w:color="969696"/>
              <w:right w:val="double" w:sz="6" w:space="0" w:color="auto"/>
            </w:tcBorders>
            <w:shd w:val="clear" w:color="auto" w:fill="auto"/>
            <w:noWrap/>
            <w:vAlign w:val="center"/>
          </w:tcPr>
          <w:p w14:paraId="192D9E99" w14:textId="3A52FFB8" w:rsidR="004B2028" w:rsidRPr="00970088" w:rsidRDefault="004B2028" w:rsidP="00D92C64">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2007</w:t>
            </w:r>
          </w:p>
        </w:tc>
      </w:tr>
      <w:tr w:rsidR="004B2028" w:rsidRPr="00970088" w14:paraId="64ADBB42" w14:textId="77777777" w:rsidTr="00D92C64">
        <w:trPr>
          <w:trHeight w:val="225"/>
          <w:jc w:val="center"/>
        </w:trPr>
        <w:tc>
          <w:tcPr>
            <w:tcW w:w="2291" w:type="dxa"/>
            <w:vMerge/>
            <w:tcBorders>
              <w:top w:val="single" w:sz="4" w:space="0" w:color="auto"/>
              <w:left w:val="double" w:sz="6" w:space="0" w:color="auto"/>
              <w:bottom w:val="single" w:sz="4" w:space="0" w:color="969696"/>
              <w:right w:val="nil"/>
            </w:tcBorders>
            <w:vAlign w:val="center"/>
          </w:tcPr>
          <w:p w14:paraId="18C774CF" w14:textId="77777777" w:rsidR="004B2028" w:rsidRPr="00970088" w:rsidRDefault="004B2028" w:rsidP="004E3676">
            <w:pPr>
              <w:spacing w:before="0" w:after="0"/>
              <w:rPr>
                <w:rFonts w:ascii="Arial" w:hAnsi="Arial" w:cs="Arial"/>
                <w:b/>
                <w:bCs/>
                <w:color w:val="000000"/>
                <w:sz w:val="16"/>
                <w:szCs w:val="16"/>
                <w:lang w:val="en-AU" w:eastAsia="en-AU"/>
              </w:rPr>
            </w:pPr>
          </w:p>
        </w:tc>
        <w:tc>
          <w:tcPr>
            <w:tcW w:w="3306" w:type="dxa"/>
            <w:gridSpan w:val="3"/>
            <w:tcBorders>
              <w:top w:val="single" w:sz="4" w:space="0" w:color="969696"/>
              <w:left w:val="single" w:sz="4" w:space="0" w:color="auto"/>
              <w:bottom w:val="single" w:sz="4" w:space="0" w:color="969696"/>
              <w:right w:val="single" w:sz="4" w:space="0" w:color="969696"/>
            </w:tcBorders>
            <w:shd w:val="clear" w:color="auto" w:fill="auto"/>
            <w:noWrap/>
            <w:vAlign w:val="center"/>
          </w:tcPr>
          <w:p w14:paraId="36D8E96A" w14:textId="77777777" w:rsidR="004B2028" w:rsidRPr="00970088" w:rsidRDefault="004B2028" w:rsidP="00D92C64">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n=1,681</w:t>
            </w:r>
          </w:p>
        </w:tc>
        <w:tc>
          <w:tcPr>
            <w:tcW w:w="2246" w:type="dxa"/>
            <w:gridSpan w:val="2"/>
            <w:tcBorders>
              <w:top w:val="single" w:sz="4" w:space="0" w:color="969696"/>
              <w:left w:val="nil"/>
              <w:bottom w:val="single" w:sz="4" w:space="0" w:color="969696"/>
              <w:right w:val="single" w:sz="4" w:space="0" w:color="000000"/>
            </w:tcBorders>
            <w:shd w:val="clear" w:color="auto" w:fill="auto"/>
            <w:noWrap/>
            <w:vAlign w:val="center"/>
          </w:tcPr>
          <w:p w14:paraId="3A7F5489" w14:textId="77777777" w:rsidR="004B2028" w:rsidRPr="00970088" w:rsidRDefault="004B2028" w:rsidP="00D92C64">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n=1,897</w:t>
            </w:r>
          </w:p>
        </w:tc>
        <w:tc>
          <w:tcPr>
            <w:tcW w:w="3383" w:type="dxa"/>
            <w:gridSpan w:val="3"/>
            <w:tcBorders>
              <w:top w:val="single" w:sz="4" w:space="0" w:color="969696"/>
              <w:left w:val="nil"/>
              <w:bottom w:val="single" w:sz="4" w:space="0" w:color="969696"/>
              <w:right w:val="single" w:sz="4" w:space="0" w:color="969696"/>
            </w:tcBorders>
            <w:shd w:val="clear" w:color="auto" w:fill="auto"/>
            <w:noWrap/>
            <w:vAlign w:val="center"/>
          </w:tcPr>
          <w:p w14:paraId="41DADB1E" w14:textId="77777777" w:rsidR="004B2028" w:rsidRPr="00970088" w:rsidRDefault="004B2028" w:rsidP="00D92C64">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n=1,547</w:t>
            </w:r>
          </w:p>
        </w:tc>
        <w:tc>
          <w:tcPr>
            <w:tcW w:w="2246" w:type="dxa"/>
            <w:gridSpan w:val="2"/>
            <w:tcBorders>
              <w:top w:val="nil"/>
              <w:left w:val="nil"/>
              <w:bottom w:val="single" w:sz="4" w:space="0" w:color="969696"/>
              <w:right w:val="double" w:sz="6" w:space="0" w:color="auto"/>
            </w:tcBorders>
            <w:shd w:val="clear" w:color="auto" w:fill="auto"/>
            <w:noWrap/>
            <w:vAlign w:val="center"/>
          </w:tcPr>
          <w:p w14:paraId="331917AB" w14:textId="1D291109" w:rsidR="004B2028" w:rsidRPr="00970088" w:rsidRDefault="004B2028" w:rsidP="00D92C64">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n=1,579</w:t>
            </w:r>
          </w:p>
        </w:tc>
      </w:tr>
      <w:tr w:rsidR="004E3676" w:rsidRPr="00970088" w14:paraId="64B1A030" w14:textId="77777777" w:rsidTr="00425948">
        <w:trPr>
          <w:trHeight w:val="1125"/>
          <w:jc w:val="center"/>
        </w:trPr>
        <w:tc>
          <w:tcPr>
            <w:tcW w:w="2291" w:type="dxa"/>
            <w:vMerge/>
            <w:tcBorders>
              <w:top w:val="single" w:sz="4" w:space="0" w:color="auto"/>
              <w:left w:val="double" w:sz="6" w:space="0" w:color="auto"/>
              <w:bottom w:val="single" w:sz="4" w:space="0" w:color="969696"/>
              <w:right w:val="nil"/>
            </w:tcBorders>
            <w:vAlign w:val="center"/>
          </w:tcPr>
          <w:p w14:paraId="77F5BF65" w14:textId="77777777" w:rsidR="004E3676" w:rsidRPr="00970088" w:rsidRDefault="004E3676" w:rsidP="004E3676">
            <w:pPr>
              <w:spacing w:before="0" w:after="0"/>
              <w:rPr>
                <w:rFonts w:ascii="Arial" w:hAnsi="Arial" w:cs="Arial"/>
                <w:b/>
                <w:bCs/>
                <w:color w:val="000000"/>
                <w:sz w:val="16"/>
                <w:szCs w:val="16"/>
                <w:lang w:val="en-AU" w:eastAsia="en-AU"/>
              </w:rPr>
            </w:pPr>
          </w:p>
        </w:tc>
        <w:tc>
          <w:tcPr>
            <w:tcW w:w="1123" w:type="dxa"/>
            <w:tcBorders>
              <w:top w:val="nil"/>
              <w:left w:val="single" w:sz="4" w:space="0" w:color="auto"/>
              <w:bottom w:val="single" w:sz="4" w:space="0" w:color="969696"/>
              <w:right w:val="single" w:sz="4" w:space="0" w:color="969696"/>
            </w:tcBorders>
            <w:shd w:val="clear" w:color="auto" w:fill="auto"/>
            <w:vAlign w:val="center"/>
          </w:tcPr>
          <w:p w14:paraId="29BC7F87"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Received Concession</w:t>
            </w:r>
          </w:p>
        </w:tc>
        <w:tc>
          <w:tcPr>
            <w:tcW w:w="1123" w:type="dxa"/>
            <w:tcBorders>
              <w:top w:val="nil"/>
              <w:left w:val="nil"/>
              <w:bottom w:val="single" w:sz="4" w:space="0" w:color="969696"/>
              <w:right w:val="single" w:sz="4" w:space="0" w:color="969696"/>
            </w:tcBorders>
            <w:shd w:val="clear" w:color="auto" w:fill="auto"/>
            <w:vAlign w:val="center"/>
          </w:tcPr>
          <w:p w14:paraId="3F751F02"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Did Not Receive Concession</w:t>
            </w:r>
          </w:p>
        </w:tc>
        <w:tc>
          <w:tcPr>
            <w:tcW w:w="1060" w:type="dxa"/>
            <w:tcBorders>
              <w:top w:val="nil"/>
              <w:left w:val="nil"/>
              <w:bottom w:val="single" w:sz="4" w:space="0" w:color="969696"/>
              <w:right w:val="single" w:sz="4" w:space="0" w:color="969696"/>
            </w:tcBorders>
            <w:shd w:val="clear" w:color="auto" w:fill="auto"/>
            <w:vAlign w:val="center"/>
          </w:tcPr>
          <w:p w14:paraId="0B3355B7"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Can't say/</w:t>
            </w:r>
            <w:r w:rsidRPr="00970088">
              <w:rPr>
                <w:rFonts w:ascii="Arial" w:hAnsi="Arial" w:cs="Arial"/>
                <w:b/>
                <w:bCs/>
                <w:color w:val="000000"/>
                <w:sz w:val="16"/>
                <w:szCs w:val="16"/>
                <w:lang w:val="en-AU" w:eastAsia="en-AU"/>
              </w:rPr>
              <w:br/>
              <w:t>Refused</w:t>
            </w:r>
          </w:p>
        </w:tc>
        <w:tc>
          <w:tcPr>
            <w:tcW w:w="1123" w:type="dxa"/>
            <w:tcBorders>
              <w:top w:val="nil"/>
              <w:left w:val="nil"/>
              <w:bottom w:val="single" w:sz="4" w:space="0" w:color="969696"/>
              <w:right w:val="single" w:sz="4" w:space="0" w:color="969696"/>
            </w:tcBorders>
            <w:shd w:val="clear" w:color="auto" w:fill="auto"/>
            <w:vAlign w:val="center"/>
          </w:tcPr>
          <w:p w14:paraId="4B6BF39E"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Received Concession</w:t>
            </w:r>
          </w:p>
        </w:tc>
        <w:tc>
          <w:tcPr>
            <w:tcW w:w="1123" w:type="dxa"/>
            <w:tcBorders>
              <w:top w:val="nil"/>
              <w:left w:val="nil"/>
              <w:bottom w:val="single" w:sz="4" w:space="0" w:color="969696"/>
              <w:right w:val="single" w:sz="4" w:space="0" w:color="auto"/>
            </w:tcBorders>
            <w:shd w:val="clear" w:color="auto" w:fill="auto"/>
            <w:vAlign w:val="center"/>
          </w:tcPr>
          <w:p w14:paraId="076DDFB3"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Did Not Receive Concession</w:t>
            </w:r>
          </w:p>
        </w:tc>
        <w:tc>
          <w:tcPr>
            <w:tcW w:w="1140" w:type="dxa"/>
            <w:tcBorders>
              <w:top w:val="nil"/>
              <w:left w:val="nil"/>
              <w:bottom w:val="single" w:sz="4" w:space="0" w:color="969696"/>
              <w:right w:val="single" w:sz="4" w:space="0" w:color="969696"/>
            </w:tcBorders>
            <w:shd w:val="clear" w:color="auto" w:fill="auto"/>
            <w:vAlign w:val="center"/>
          </w:tcPr>
          <w:p w14:paraId="1D2B8DB4"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Received Concession</w:t>
            </w:r>
          </w:p>
        </w:tc>
        <w:tc>
          <w:tcPr>
            <w:tcW w:w="1123" w:type="dxa"/>
            <w:tcBorders>
              <w:top w:val="nil"/>
              <w:left w:val="nil"/>
              <w:bottom w:val="single" w:sz="4" w:space="0" w:color="969696"/>
              <w:right w:val="single" w:sz="4" w:space="0" w:color="969696"/>
            </w:tcBorders>
            <w:shd w:val="clear" w:color="auto" w:fill="auto"/>
            <w:vAlign w:val="center"/>
          </w:tcPr>
          <w:p w14:paraId="2AE7E44B"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Did Not Receive Concession</w:t>
            </w:r>
          </w:p>
        </w:tc>
        <w:tc>
          <w:tcPr>
            <w:tcW w:w="1120" w:type="dxa"/>
            <w:tcBorders>
              <w:top w:val="nil"/>
              <w:left w:val="nil"/>
              <w:bottom w:val="single" w:sz="4" w:space="0" w:color="969696"/>
              <w:right w:val="single" w:sz="4" w:space="0" w:color="969696"/>
            </w:tcBorders>
            <w:shd w:val="clear" w:color="auto" w:fill="auto"/>
            <w:vAlign w:val="center"/>
          </w:tcPr>
          <w:p w14:paraId="1D2DEA0A"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Can't say/</w:t>
            </w:r>
            <w:r w:rsidRPr="00970088">
              <w:rPr>
                <w:rFonts w:ascii="Arial" w:hAnsi="Arial" w:cs="Arial"/>
                <w:b/>
                <w:bCs/>
                <w:color w:val="000000"/>
                <w:sz w:val="16"/>
                <w:szCs w:val="16"/>
                <w:lang w:val="en-AU" w:eastAsia="en-AU"/>
              </w:rPr>
              <w:br/>
              <w:t>Refused</w:t>
            </w:r>
          </w:p>
        </w:tc>
        <w:tc>
          <w:tcPr>
            <w:tcW w:w="1123" w:type="dxa"/>
            <w:tcBorders>
              <w:top w:val="nil"/>
              <w:left w:val="nil"/>
              <w:bottom w:val="single" w:sz="4" w:space="0" w:color="969696"/>
              <w:right w:val="single" w:sz="4" w:space="0" w:color="969696"/>
            </w:tcBorders>
            <w:shd w:val="clear" w:color="auto" w:fill="auto"/>
            <w:vAlign w:val="center"/>
          </w:tcPr>
          <w:p w14:paraId="05783E7A"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Received Concession</w:t>
            </w:r>
          </w:p>
        </w:tc>
        <w:tc>
          <w:tcPr>
            <w:tcW w:w="1123" w:type="dxa"/>
            <w:tcBorders>
              <w:top w:val="nil"/>
              <w:left w:val="nil"/>
              <w:bottom w:val="single" w:sz="4" w:space="0" w:color="969696"/>
              <w:right w:val="double" w:sz="6" w:space="0" w:color="auto"/>
            </w:tcBorders>
            <w:shd w:val="clear" w:color="auto" w:fill="auto"/>
            <w:vAlign w:val="center"/>
          </w:tcPr>
          <w:p w14:paraId="710194AD" w14:textId="77777777" w:rsidR="004E3676" w:rsidRPr="00970088" w:rsidRDefault="004E3676" w:rsidP="004E3676">
            <w:pPr>
              <w:spacing w:before="0" w:after="0"/>
              <w:jc w:val="center"/>
              <w:rPr>
                <w:rFonts w:ascii="Arial" w:hAnsi="Arial" w:cs="Arial"/>
                <w:b/>
                <w:bCs/>
                <w:color w:val="000000"/>
                <w:sz w:val="16"/>
                <w:szCs w:val="16"/>
                <w:lang w:val="en-AU" w:eastAsia="en-AU"/>
              </w:rPr>
            </w:pPr>
            <w:r w:rsidRPr="00970088">
              <w:rPr>
                <w:rFonts w:ascii="Arial" w:hAnsi="Arial" w:cs="Arial"/>
                <w:b/>
                <w:bCs/>
                <w:color w:val="000000"/>
                <w:sz w:val="16"/>
                <w:szCs w:val="16"/>
                <w:lang w:val="en-AU" w:eastAsia="en-AU"/>
              </w:rPr>
              <w:t>Claimed Did Not Receive Concession</w:t>
            </w:r>
          </w:p>
        </w:tc>
      </w:tr>
      <w:tr w:rsidR="004E3676" w:rsidRPr="00970088" w14:paraId="79650A89" w14:textId="77777777" w:rsidTr="00425948">
        <w:trPr>
          <w:trHeight w:val="225"/>
          <w:jc w:val="center"/>
        </w:trPr>
        <w:tc>
          <w:tcPr>
            <w:tcW w:w="2291" w:type="dxa"/>
            <w:tcBorders>
              <w:top w:val="nil"/>
              <w:left w:val="double" w:sz="6" w:space="0" w:color="auto"/>
              <w:bottom w:val="single" w:sz="4" w:space="0" w:color="969696"/>
              <w:right w:val="nil"/>
            </w:tcBorders>
            <w:shd w:val="clear" w:color="auto" w:fill="auto"/>
            <w:noWrap/>
            <w:vAlign w:val="center"/>
          </w:tcPr>
          <w:p w14:paraId="0D5B4EA5" w14:textId="77777777" w:rsidR="004E3676" w:rsidRPr="00970088" w:rsidRDefault="004E3676" w:rsidP="004E3676">
            <w:pPr>
              <w:spacing w:before="0" w:after="0"/>
              <w:rPr>
                <w:rFonts w:ascii="Arial" w:hAnsi="Arial" w:cs="Arial"/>
                <w:color w:val="000000"/>
                <w:sz w:val="16"/>
                <w:szCs w:val="16"/>
                <w:lang w:val="en-AU" w:eastAsia="en-AU"/>
              </w:rPr>
            </w:pPr>
            <w:r w:rsidRPr="00970088">
              <w:rPr>
                <w:rFonts w:ascii="Arial" w:hAnsi="Arial" w:cs="Arial"/>
                <w:color w:val="000000"/>
                <w:sz w:val="16"/>
                <w:szCs w:val="16"/>
                <w:lang w:val="en-AU" w:eastAsia="en-AU"/>
              </w:rPr>
              <w:t>Received concession</w:t>
            </w:r>
          </w:p>
        </w:tc>
        <w:tc>
          <w:tcPr>
            <w:tcW w:w="1123" w:type="dxa"/>
            <w:tcBorders>
              <w:top w:val="nil"/>
              <w:left w:val="single" w:sz="4" w:space="0" w:color="auto"/>
              <w:bottom w:val="single" w:sz="4" w:space="0" w:color="969696"/>
              <w:right w:val="single" w:sz="4" w:space="0" w:color="969696"/>
            </w:tcBorders>
            <w:shd w:val="clear" w:color="auto" w:fill="auto"/>
            <w:noWrap/>
            <w:vAlign w:val="center"/>
          </w:tcPr>
          <w:p w14:paraId="02E4D76D"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97%</w:t>
            </w:r>
          </w:p>
        </w:tc>
        <w:tc>
          <w:tcPr>
            <w:tcW w:w="1123" w:type="dxa"/>
            <w:tcBorders>
              <w:top w:val="nil"/>
              <w:left w:val="nil"/>
              <w:bottom w:val="single" w:sz="4" w:space="0" w:color="969696"/>
              <w:right w:val="single" w:sz="4" w:space="0" w:color="969696"/>
            </w:tcBorders>
            <w:shd w:val="clear" w:color="auto" w:fill="auto"/>
            <w:noWrap/>
            <w:vAlign w:val="center"/>
          </w:tcPr>
          <w:p w14:paraId="20292F04"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6%</w:t>
            </w:r>
          </w:p>
        </w:tc>
        <w:tc>
          <w:tcPr>
            <w:tcW w:w="1060" w:type="dxa"/>
            <w:tcBorders>
              <w:top w:val="nil"/>
              <w:left w:val="nil"/>
              <w:bottom w:val="single" w:sz="4" w:space="0" w:color="969696"/>
              <w:right w:val="single" w:sz="4" w:space="0" w:color="969696"/>
            </w:tcBorders>
            <w:shd w:val="clear" w:color="auto" w:fill="auto"/>
            <w:noWrap/>
            <w:vAlign w:val="center"/>
          </w:tcPr>
          <w:p w14:paraId="66FD6BB1" w14:textId="77777777" w:rsidR="004E3676" w:rsidRPr="00970088" w:rsidRDefault="00970088"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66</w:t>
            </w:r>
            <w:r w:rsidR="004E3676" w:rsidRPr="00970088">
              <w:rPr>
                <w:rFonts w:ascii="Arial" w:hAnsi="Arial" w:cs="Arial"/>
                <w:color w:val="000000"/>
                <w:sz w:val="16"/>
                <w:szCs w:val="16"/>
                <w:lang w:val="en-AU" w:eastAsia="en-AU"/>
              </w:rPr>
              <w:t>%</w:t>
            </w:r>
          </w:p>
        </w:tc>
        <w:tc>
          <w:tcPr>
            <w:tcW w:w="1123" w:type="dxa"/>
            <w:tcBorders>
              <w:top w:val="nil"/>
              <w:left w:val="nil"/>
              <w:bottom w:val="single" w:sz="4" w:space="0" w:color="969696"/>
              <w:right w:val="single" w:sz="4" w:space="0" w:color="969696"/>
            </w:tcBorders>
            <w:shd w:val="clear" w:color="auto" w:fill="auto"/>
            <w:noWrap/>
            <w:vAlign w:val="center"/>
          </w:tcPr>
          <w:p w14:paraId="231961D5"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82%</w:t>
            </w:r>
          </w:p>
        </w:tc>
        <w:tc>
          <w:tcPr>
            <w:tcW w:w="1123" w:type="dxa"/>
            <w:tcBorders>
              <w:top w:val="nil"/>
              <w:left w:val="nil"/>
              <w:bottom w:val="single" w:sz="4" w:space="0" w:color="969696"/>
              <w:right w:val="single" w:sz="4" w:space="0" w:color="auto"/>
            </w:tcBorders>
            <w:shd w:val="clear" w:color="auto" w:fill="auto"/>
            <w:noWrap/>
            <w:vAlign w:val="center"/>
          </w:tcPr>
          <w:p w14:paraId="1FCAFDE0"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20%</w:t>
            </w:r>
          </w:p>
        </w:tc>
        <w:tc>
          <w:tcPr>
            <w:tcW w:w="1140" w:type="dxa"/>
            <w:tcBorders>
              <w:top w:val="nil"/>
              <w:left w:val="nil"/>
              <w:bottom w:val="single" w:sz="4" w:space="0" w:color="969696"/>
              <w:right w:val="single" w:sz="4" w:space="0" w:color="969696"/>
            </w:tcBorders>
            <w:shd w:val="clear" w:color="auto" w:fill="auto"/>
            <w:noWrap/>
            <w:vAlign w:val="center"/>
          </w:tcPr>
          <w:p w14:paraId="497A3784" w14:textId="77777777" w:rsidR="004E3676" w:rsidRPr="00970088" w:rsidRDefault="004E3676" w:rsidP="00970088">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w:t>
            </w:r>
            <w:r w:rsidR="00970088" w:rsidRPr="00970088">
              <w:rPr>
                <w:rFonts w:ascii="Arial" w:hAnsi="Arial" w:cs="Arial"/>
                <w:color w:val="000000"/>
                <w:sz w:val="16"/>
                <w:szCs w:val="16"/>
                <w:lang w:val="en-AU" w:eastAsia="en-AU"/>
              </w:rPr>
              <w:t>4</w:t>
            </w:r>
            <w:r w:rsidRPr="00970088">
              <w:rPr>
                <w:rFonts w:ascii="Arial" w:hAnsi="Arial" w:cs="Arial"/>
                <w:color w:val="000000"/>
                <w:sz w:val="16"/>
                <w:szCs w:val="16"/>
                <w:lang w:val="en-AU" w:eastAsia="en-AU"/>
              </w:rPr>
              <w:t>%</w:t>
            </w:r>
          </w:p>
        </w:tc>
        <w:tc>
          <w:tcPr>
            <w:tcW w:w="1123" w:type="dxa"/>
            <w:tcBorders>
              <w:top w:val="nil"/>
              <w:left w:val="nil"/>
              <w:bottom w:val="single" w:sz="4" w:space="0" w:color="969696"/>
              <w:right w:val="single" w:sz="4" w:space="0" w:color="969696"/>
            </w:tcBorders>
            <w:shd w:val="clear" w:color="auto" w:fill="auto"/>
            <w:noWrap/>
            <w:vAlign w:val="center"/>
          </w:tcPr>
          <w:p w14:paraId="70B0A52E"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8%</w:t>
            </w:r>
          </w:p>
        </w:tc>
        <w:tc>
          <w:tcPr>
            <w:tcW w:w="1120" w:type="dxa"/>
            <w:tcBorders>
              <w:top w:val="nil"/>
              <w:left w:val="nil"/>
              <w:bottom w:val="single" w:sz="4" w:space="0" w:color="969696"/>
              <w:right w:val="single" w:sz="4" w:space="0" w:color="969696"/>
            </w:tcBorders>
            <w:shd w:val="clear" w:color="auto" w:fill="auto"/>
            <w:noWrap/>
            <w:vAlign w:val="center"/>
          </w:tcPr>
          <w:p w14:paraId="43BDDAEF"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73%</w:t>
            </w:r>
          </w:p>
        </w:tc>
        <w:tc>
          <w:tcPr>
            <w:tcW w:w="1123" w:type="dxa"/>
            <w:tcBorders>
              <w:top w:val="nil"/>
              <w:left w:val="nil"/>
              <w:bottom w:val="single" w:sz="4" w:space="0" w:color="969696"/>
              <w:right w:val="single" w:sz="4" w:space="0" w:color="969696"/>
            </w:tcBorders>
            <w:shd w:val="clear" w:color="auto" w:fill="auto"/>
            <w:noWrap/>
            <w:vAlign w:val="center"/>
          </w:tcPr>
          <w:p w14:paraId="6584DB2A"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76%</w:t>
            </w:r>
          </w:p>
        </w:tc>
        <w:tc>
          <w:tcPr>
            <w:tcW w:w="1123" w:type="dxa"/>
            <w:tcBorders>
              <w:top w:val="nil"/>
              <w:left w:val="nil"/>
              <w:bottom w:val="single" w:sz="4" w:space="0" w:color="969696"/>
              <w:right w:val="double" w:sz="6" w:space="0" w:color="auto"/>
            </w:tcBorders>
            <w:shd w:val="clear" w:color="auto" w:fill="auto"/>
            <w:noWrap/>
            <w:vAlign w:val="center"/>
          </w:tcPr>
          <w:p w14:paraId="34D8BA04"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5%</w:t>
            </w:r>
          </w:p>
        </w:tc>
      </w:tr>
      <w:tr w:rsidR="004E3676" w:rsidRPr="00970088" w14:paraId="6A470F6F" w14:textId="77777777" w:rsidTr="00425948">
        <w:trPr>
          <w:trHeight w:val="240"/>
          <w:jc w:val="center"/>
        </w:trPr>
        <w:tc>
          <w:tcPr>
            <w:tcW w:w="2291" w:type="dxa"/>
            <w:tcBorders>
              <w:top w:val="nil"/>
              <w:left w:val="double" w:sz="6" w:space="0" w:color="auto"/>
              <w:bottom w:val="double" w:sz="6" w:space="0" w:color="auto"/>
              <w:right w:val="nil"/>
            </w:tcBorders>
            <w:shd w:val="clear" w:color="auto" w:fill="auto"/>
            <w:noWrap/>
            <w:vAlign w:val="center"/>
          </w:tcPr>
          <w:p w14:paraId="345216DE" w14:textId="77777777" w:rsidR="004E3676" w:rsidRPr="00970088" w:rsidRDefault="004E3676" w:rsidP="004E3676">
            <w:pPr>
              <w:spacing w:before="0" w:after="0"/>
              <w:rPr>
                <w:rFonts w:ascii="Arial" w:hAnsi="Arial" w:cs="Arial"/>
                <w:color w:val="000000"/>
                <w:sz w:val="16"/>
                <w:szCs w:val="16"/>
                <w:lang w:val="en-AU" w:eastAsia="en-AU"/>
              </w:rPr>
            </w:pPr>
            <w:r w:rsidRPr="00970088">
              <w:rPr>
                <w:rFonts w:ascii="Arial" w:hAnsi="Arial" w:cs="Arial"/>
                <w:color w:val="000000"/>
                <w:sz w:val="16"/>
                <w:szCs w:val="16"/>
                <w:lang w:val="en-AU" w:eastAsia="en-AU"/>
              </w:rPr>
              <w:t>Did not receive concession</w:t>
            </w:r>
          </w:p>
        </w:tc>
        <w:tc>
          <w:tcPr>
            <w:tcW w:w="1123" w:type="dxa"/>
            <w:tcBorders>
              <w:top w:val="nil"/>
              <w:left w:val="single" w:sz="4" w:space="0" w:color="auto"/>
              <w:bottom w:val="double" w:sz="6" w:space="0" w:color="auto"/>
              <w:right w:val="single" w:sz="4" w:space="0" w:color="969696"/>
            </w:tcBorders>
            <w:shd w:val="clear" w:color="auto" w:fill="auto"/>
            <w:noWrap/>
            <w:vAlign w:val="center"/>
          </w:tcPr>
          <w:p w14:paraId="4C44081B"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3%</w:t>
            </w:r>
          </w:p>
        </w:tc>
        <w:tc>
          <w:tcPr>
            <w:tcW w:w="1123" w:type="dxa"/>
            <w:tcBorders>
              <w:top w:val="nil"/>
              <w:left w:val="nil"/>
              <w:bottom w:val="double" w:sz="6" w:space="0" w:color="auto"/>
              <w:right w:val="single" w:sz="4" w:space="0" w:color="969696"/>
            </w:tcBorders>
            <w:shd w:val="clear" w:color="auto" w:fill="auto"/>
            <w:noWrap/>
            <w:vAlign w:val="center"/>
          </w:tcPr>
          <w:p w14:paraId="68F7DC42"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94%</w:t>
            </w:r>
          </w:p>
        </w:tc>
        <w:tc>
          <w:tcPr>
            <w:tcW w:w="1060" w:type="dxa"/>
            <w:tcBorders>
              <w:top w:val="nil"/>
              <w:left w:val="nil"/>
              <w:bottom w:val="double" w:sz="6" w:space="0" w:color="auto"/>
              <w:right w:val="single" w:sz="4" w:space="0" w:color="969696"/>
            </w:tcBorders>
            <w:shd w:val="clear" w:color="auto" w:fill="auto"/>
            <w:noWrap/>
            <w:vAlign w:val="center"/>
          </w:tcPr>
          <w:p w14:paraId="07C9B1C3" w14:textId="77777777" w:rsidR="004E3676" w:rsidRPr="00970088" w:rsidRDefault="004E3676" w:rsidP="00970088">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3</w:t>
            </w:r>
            <w:r w:rsidR="00970088" w:rsidRPr="00970088">
              <w:rPr>
                <w:rFonts w:ascii="Arial" w:hAnsi="Arial" w:cs="Arial"/>
                <w:color w:val="000000"/>
                <w:sz w:val="16"/>
                <w:szCs w:val="16"/>
                <w:lang w:val="en-AU" w:eastAsia="en-AU"/>
              </w:rPr>
              <w:t>4</w:t>
            </w:r>
            <w:r w:rsidRPr="00970088">
              <w:rPr>
                <w:rFonts w:ascii="Arial" w:hAnsi="Arial" w:cs="Arial"/>
                <w:color w:val="000000"/>
                <w:sz w:val="16"/>
                <w:szCs w:val="16"/>
                <w:lang w:val="en-AU" w:eastAsia="en-AU"/>
              </w:rPr>
              <w:t>%</w:t>
            </w:r>
          </w:p>
        </w:tc>
        <w:tc>
          <w:tcPr>
            <w:tcW w:w="1123" w:type="dxa"/>
            <w:tcBorders>
              <w:top w:val="nil"/>
              <w:left w:val="nil"/>
              <w:bottom w:val="double" w:sz="6" w:space="0" w:color="auto"/>
              <w:right w:val="single" w:sz="4" w:space="0" w:color="969696"/>
            </w:tcBorders>
            <w:shd w:val="clear" w:color="auto" w:fill="auto"/>
            <w:noWrap/>
            <w:vAlign w:val="center"/>
          </w:tcPr>
          <w:p w14:paraId="5FB53AE3"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18%</w:t>
            </w:r>
          </w:p>
        </w:tc>
        <w:tc>
          <w:tcPr>
            <w:tcW w:w="1123" w:type="dxa"/>
            <w:tcBorders>
              <w:top w:val="nil"/>
              <w:left w:val="nil"/>
              <w:bottom w:val="double" w:sz="6" w:space="0" w:color="auto"/>
              <w:right w:val="single" w:sz="4" w:space="0" w:color="auto"/>
            </w:tcBorders>
            <w:shd w:val="clear" w:color="auto" w:fill="auto"/>
            <w:noWrap/>
            <w:vAlign w:val="center"/>
          </w:tcPr>
          <w:p w14:paraId="46A10762"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80%</w:t>
            </w:r>
          </w:p>
        </w:tc>
        <w:tc>
          <w:tcPr>
            <w:tcW w:w="1140" w:type="dxa"/>
            <w:tcBorders>
              <w:top w:val="nil"/>
              <w:left w:val="nil"/>
              <w:bottom w:val="double" w:sz="6" w:space="0" w:color="auto"/>
              <w:right w:val="single" w:sz="4" w:space="0" w:color="969696"/>
            </w:tcBorders>
            <w:shd w:val="clear" w:color="auto" w:fill="auto"/>
            <w:noWrap/>
            <w:vAlign w:val="center"/>
          </w:tcPr>
          <w:p w14:paraId="2AA50A2D" w14:textId="77777777" w:rsidR="004E3676" w:rsidRPr="00970088" w:rsidRDefault="00970088" w:rsidP="00970088">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6</w:t>
            </w:r>
            <w:r w:rsidR="004E3676" w:rsidRPr="00970088">
              <w:rPr>
                <w:rFonts w:ascii="Arial" w:hAnsi="Arial" w:cs="Arial"/>
                <w:color w:val="000000"/>
                <w:sz w:val="16"/>
                <w:szCs w:val="16"/>
                <w:lang w:val="en-AU" w:eastAsia="en-AU"/>
              </w:rPr>
              <w:t>%</w:t>
            </w:r>
          </w:p>
        </w:tc>
        <w:tc>
          <w:tcPr>
            <w:tcW w:w="1123" w:type="dxa"/>
            <w:tcBorders>
              <w:top w:val="nil"/>
              <w:left w:val="nil"/>
              <w:bottom w:val="double" w:sz="6" w:space="0" w:color="auto"/>
              <w:right w:val="single" w:sz="4" w:space="0" w:color="969696"/>
            </w:tcBorders>
            <w:shd w:val="clear" w:color="auto" w:fill="auto"/>
            <w:noWrap/>
            <w:vAlign w:val="center"/>
          </w:tcPr>
          <w:p w14:paraId="18843671"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92%</w:t>
            </w:r>
          </w:p>
        </w:tc>
        <w:tc>
          <w:tcPr>
            <w:tcW w:w="1120" w:type="dxa"/>
            <w:tcBorders>
              <w:top w:val="nil"/>
              <w:left w:val="nil"/>
              <w:bottom w:val="double" w:sz="6" w:space="0" w:color="auto"/>
              <w:right w:val="single" w:sz="4" w:space="0" w:color="969696"/>
            </w:tcBorders>
            <w:shd w:val="clear" w:color="auto" w:fill="auto"/>
            <w:noWrap/>
            <w:vAlign w:val="center"/>
          </w:tcPr>
          <w:p w14:paraId="23295B94"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27%</w:t>
            </w:r>
          </w:p>
        </w:tc>
        <w:tc>
          <w:tcPr>
            <w:tcW w:w="1123" w:type="dxa"/>
            <w:tcBorders>
              <w:top w:val="nil"/>
              <w:left w:val="nil"/>
              <w:bottom w:val="double" w:sz="6" w:space="0" w:color="auto"/>
              <w:right w:val="single" w:sz="4" w:space="0" w:color="969696"/>
            </w:tcBorders>
            <w:shd w:val="clear" w:color="auto" w:fill="auto"/>
            <w:noWrap/>
            <w:vAlign w:val="center"/>
          </w:tcPr>
          <w:p w14:paraId="04AAFE08"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24%</w:t>
            </w:r>
          </w:p>
        </w:tc>
        <w:tc>
          <w:tcPr>
            <w:tcW w:w="1123" w:type="dxa"/>
            <w:tcBorders>
              <w:top w:val="nil"/>
              <w:left w:val="nil"/>
              <w:bottom w:val="double" w:sz="6" w:space="0" w:color="auto"/>
              <w:right w:val="double" w:sz="6" w:space="0" w:color="auto"/>
            </w:tcBorders>
            <w:shd w:val="clear" w:color="auto" w:fill="auto"/>
            <w:noWrap/>
            <w:vAlign w:val="center"/>
          </w:tcPr>
          <w:p w14:paraId="2EE03467" w14:textId="77777777" w:rsidR="004E3676" w:rsidRPr="00970088" w:rsidRDefault="004E3676" w:rsidP="004E3676">
            <w:pPr>
              <w:spacing w:before="0" w:after="0"/>
              <w:jc w:val="center"/>
              <w:rPr>
                <w:rFonts w:ascii="Arial" w:hAnsi="Arial" w:cs="Arial"/>
                <w:color w:val="000000"/>
                <w:sz w:val="16"/>
                <w:szCs w:val="16"/>
                <w:lang w:val="en-AU" w:eastAsia="en-AU"/>
              </w:rPr>
            </w:pPr>
            <w:r w:rsidRPr="00970088">
              <w:rPr>
                <w:rFonts w:ascii="Arial" w:hAnsi="Arial" w:cs="Arial"/>
                <w:color w:val="000000"/>
                <w:sz w:val="16"/>
                <w:szCs w:val="16"/>
                <w:lang w:val="en-AU" w:eastAsia="en-AU"/>
              </w:rPr>
              <w:t>95%</w:t>
            </w:r>
          </w:p>
        </w:tc>
      </w:tr>
    </w:tbl>
    <w:p w14:paraId="4328021F" w14:textId="77777777" w:rsidR="004E3676" w:rsidRPr="00970088" w:rsidRDefault="004E3676" w:rsidP="00133DFA">
      <w:pPr>
        <w:pStyle w:val="Para"/>
        <w:spacing w:after="120"/>
        <w:outlineLvl w:val="0"/>
        <w:rPr>
          <w:b/>
          <w:u w:val="single"/>
          <w:lang w:val="en-AU"/>
        </w:rPr>
      </w:pPr>
    </w:p>
    <w:p w14:paraId="70E62F35" w14:textId="77777777" w:rsidR="00673721" w:rsidRPr="00970088" w:rsidRDefault="00673721" w:rsidP="00E02C75">
      <w:pPr>
        <w:pStyle w:val="Para"/>
        <w:rPr>
          <w:lang w:val="en-AU"/>
        </w:rPr>
      </w:pPr>
    </w:p>
    <w:p w14:paraId="49ADFD30" w14:textId="77777777" w:rsidR="000E608D" w:rsidRPr="004A3E94" w:rsidRDefault="00E02C75" w:rsidP="00FD5363">
      <w:pPr>
        <w:pStyle w:val="Heading1"/>
      </w:pPr>
      <w:r w:rsidRPr="00245A3A">
        <w:rPr>
          <w:highlight w:val="yellow"/>
          <w:lang w:val="en-AU"/>
        </w:rPr>
        <w:br w:type="page"/>
      </w:r>
      <w:bookmarkStart w:id="213" w:name="_Toc439198334"/>
      <w:bookmarkStart w:id="214" w:name="_Toc445571711"/>
      <w:r w:rsidR="000E608D" w:rsidRPr="004A3E94">
        <w:lastRenderedPageBreak/>
        <w:t xml:space="preserve">DIFFICULTIES IN MEETING </w:t>
      </w:r>
      <w:r w:rsidR="00F84112" w:rsidRPr="004A3E94">
        <w:t xml:space="preserve">BILL </w:t>
      </w:r>
      <w:r w:rsidR="000E608D" w:rsidRPr="004A3E94">
        <w:t>PAYMENTS</w:t>
      </w:r>
      <w:bookmarkEnd w:id="213"/>
      <w:bookmarkEnd w:id="214"/>
    </w:p>
    <w:p w14:paraId="32D6FADF" w14:textId="77777777" w:rsidR="000E608D" w:rsidRPr="004A3E94" w:rsidRDefault="000E608D" w:rsidP="009748AD">
      <w:pPr>
        <w:pStyle w:val="Heading2"/>
        <w:spacing w:before="360"/>
        <w:ind w:left="578" w:hanging="578"/>
        <w:rPr>
          <w:lang w:val="en-AU"/>
        </w:rPr>
      </w:pPr>
      <w:bookmarkStart w:id="215" w:name="_Toc439198335"/>
      <w:bookmarkStart w:id="216" w:name="_Toc445571712"/>
      <w:r w:rsidRPr="004A3E94">
        <w:rPr>
          <w:lang w:val="en-AU"/>
        </w:rPr>
        <w:t>I</w:t>
      </w:r>
      <w:r w:rsidR="00467831" w:rsidRPr="004A3E94">
        <w:rPr>
          <w:lang w:val="en-AU"/>
        </w:rPr>
        <w:t>NCIDENCE AND FREQUENCY OF DIFFICULTIES MEETING BILL PAYMENTS</w:t>
      </w:r>
      <w:bookmarkEnd w:id="215"/>
      <w:bookmarkEnd w:id="216"/>
    </w:p>
    <w:p w14:paraId="7C630E15" w14:textId="77777777" w:rsidR="00B67F0A" w:rsidRPr="004A3E94" w:rsidRDefault="00B67F0A" w:rsidP="00633A10">
      <w:pPr>
        <w:spacing w:line="340" w:lineRule="exact"/>
        <w:jc w:val="both"/>
        <w:rPr>
          <w:lang w:val="en-AU"/>
        </w:rPr>
      </w:pPr>
    </w:p>
    <w:p w14:paraId="7F2029FF" w14:textId="77777777" w:rsidR="00B67F0A" w:rsidRPr="004A3E94" w:rsidRDefault="00B67F0A" w:rsidP="00B67F0A">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4A3E94">
        <w:rPr>
          <w:lang w:val="en-AU"/>
        </w:rPr>
        <w:t xml:space="preserve">These two questions were modified slightly in 2007.  Instead of asking about ever having difficulties in paying utility or council rate bills, a time period of “in the last 5 years” was specified in 2007 so as to determine the level and frequency of payment difficulties between survey periods.   </w:t>
      </w:r>
      <w:r w:rsidR="00C33CEC" w:rsidRPr="004A3E94">
        <w:rPr>
          <w:lang w:val="en-AU"/>
        </w:rPr>
        <w:t>At the Department’s request, t</w:t>
      </w:r>
      <w:r w:rsidRPr="004A3E94">
        <w:rPr>
          <w:lang w:val="en-AU"/>
        </w:rPr>
        <w:t>he 2014 version of the question reverted to the original format, dropping the reference to the last 5 years.  The different format of the question in 2007 should be kept in mind when comparing results between surveys.</w:t>
      </w:r>
    </w:p>
    <w:p w14:paraId="0FF80AE9" w14:textId="77777777" w:rsidR="00B67F0A" w:rsidRPr="00245A3A" w:rsidRDefault="00B67F0A" w:rsidP="00633A10">
      <w:pPr>
        <w:spacing w:line="340" w:lineRule="exact"/>
        <w:jc w:val="both"/>
        <w:rPr>
          <w:highlight w:val="yellow"/>
          <w:lang w:val="en-AU"/>
        </w:rPr>
      </w:pPr>
    </w:p>
    <w:p w14:paraId="39C73615" w14:textId="370AFE52" w:rsidR="00F84112" w:rsidRDefault="00A12FC9" w:rsidP="00633A10">
      <w:pPr>
        <w:spacing w:line="340" w:lineRule="exact"/>
        <w:jc w:val="both"/>
        <w:rPr>
          <w:lang w:val="en-AU"/>
        </w:rPr>
      </w:pPr>
      <w:r w:rsidRPr="002221CE">
        <w:rPr>
          <w:lang w:val="en-AU"/>
        </w:rPr>
        <w:t xml:space="preserve">The proportion of households </w:t>
      </w:r>
      <w:r w:rsidR="009B7D9A" w:rsidRPr="002221CE">
        <w:rPr>
          <w:lang w:val="en-AU"/>
        </w:rPr>
        <w:t xml:space="preserve">that had </w:t>
      </w:r>
      <w:r w:rsidRPr="002221CE">
        <w:rPr>
          <w:lang w:val="en-AU"/>
        </w:rPr>
        <w:t>experienc</w:t>
      </w:r>
      <w:r w:rsidR="009B7D9A" w:rsidRPr="002221CE">
        <w:rPr>
          <w:lang w:val="en-AU"/>
        </w:rPr>
        <w:t>ed</w:t>
      </w:r>
      <w:r w:rsidRPr="002221CE">
        <w:rPr>
          <w:lang w:val="en-AU"/>
        </w:rPr>
        <w:t xml:space="preserve"> </w:t>
      </w:r>
      <w:r w:rsidR="009B7D9A" w:rsidRPr="002221CE">
        <w:rPr>
          <w:lang w:val="en-AU"/>
        </w:rPr>
        <w:t xml:space="preserve">trouble </w:t>
      </w:r>
      <w:r w:rsidRPr="002221CE">
        <w:rPr>
          <w:lang w:val="en-AU"/>
        </w:rPr>
        <w:t xml:space="preserve">paying electricity, gas and/or water bills </w:t>
      </w:r>
      <w:r w:rsidR="0010134C" w:rsidRPr="002221CE">
        <w:rPr>
          <w:lang w:val="en-AU"/>
        </w:rPr>
        <w:t xml:space="preserve">decreased in 2014 relative to 2007, and reflected a consistent downward trend since the initial survey.  The proportion of households </w:t>
      </w:r>
      <w:r w:rsidR="009B7D9A" w:rsidRPr="002221CE">
        <w:rPr>
          <w:lang w:val="en-AU"/>
        </w:rPr>
        <w:t xml:space="preserve">that had experienced </w:t>
      </w:r>
      <w:r w:rsidR="0010134C" w:rsidRPr="002221CE">
        <w:rPr>
          <w:lang w:val="en-AU"/>
        </w:rPr>
        <w:t xml:space="preserve">trouble paying council rates bills rose marginally in 2014 (to 7% from 6% in 2007), but </w:t>
      </w:r>
      <w:r w:rsidR="00686C10" w:rsidRPr="002221CE">
        <w:rPr>
          <w:lang w:val="en-AU"/>
        </w:rPr>
        <w:t xml:space="preserve">remained lower than the 9% recorded when the question was first asked in 2001.  </w:t>
      </w:r>
      <w:r w:rsidR="00633A10" w:rsidRPr="002221CE">
        <w:rPr>
          <w:lang w:val="en-AU"/>
        </w:rPr>
        <w:t>This is an interesting result, given that utility and council rate bills have been increasing over and above the inflation rate over time.  The trend to</w:t>
      </w:r>
      <w:r w:rsidR="00C26F59" w:rsidRPr="002221CE">
        <w:rPr>
          <w:lang w:val="en-AU"/>
        </w:rPr>
        <w:t>wards</w:t>
      </w:r>
      <w:r w:rsidR="00633A10" w:rsidRPr="002221CE">
        <w:rPr>
          <w:lang w:val="en-AU"/>
        </w:rPr>
        <w:t xml:space="preserve"> pay</w:t>
      </w:r>
      <w:r w:rsidR="00C26F59" w:rsidRPr="002221CE">
        <w:rPr>
          <w:lang w:val="en-AU"/>
        </w:rPr>
        <w:t>ing</w:t>
      </w:r>
      <w:r w:rsidR="00633A10" w:rsidRPr="002221CE">
        <w:rPr>
          <w:lang w:val="en-AU"/>
        </w:rPr>
        <w:t xml:space="preserve"> bills by electronic funds transfer, credit/debit card and direct debit may </w:t>
      </w:r>
      <w:r w:rsidR="00C26F59" w:rsidRPr="002221CE">
        <w:rPr>
          <w:lang w:val="en-AU"/>
        </w:rPr>
        <w:t xml:space="preserve">possibly </w:t>
      </w:r>
      <w:r w:rsidR="00633A10" w:rsidRPr="002221CE">
        <w:rPr>
          <w:lang w:val="en-AU"/>
        </w:rPr>
        <w:t>be allowing households to more readily clear the</w:t>
      </w:r>
      <w:r w:rsidR="00C26F59" w:rsidRPr="002221CE">
        <w:rPr>
          <w:lang w:val="en-AU"/>
        </w:rPr>
        <w:t xml:space="preserve">se sorts of </w:t>
      </w:r>
      <w:r w:rsidR="00633A10" w:rsidRPr="002221CE">
        <w:rPr>
          <w:lang w:val="en-AU"/>
        </w:rPr>
        <w:t>bills.</w:t>
      </w:r>
    </w:p>
    <w:p w14:paraId="38CBF6E6" w14:textId="77777777" w:rsidR="00E62702" w:rsidRPr="002221CE" w:rsidRDefault="00E62702" w:rsidP="00633A10">
      <w:pPr>
        <w:spacing w:line="340" w:lineRule="exact"/>
        <w:jc w:val="both"/>
        <w:rPr>
          <w:lang w:val="en-AU"/>
        </w:rPr>
      </w:pPr>
    </w:p>
    <w:p w14:paraId="2A728844" w14:textId="21EC4C2B" w:rsidR="003920D8" w:rsidRPr="00F1101D" w:rsidRDefault="000E608D">
      <w:pPr>
        <w:pStyle w:val="Heading3"/>
        <w:tabs>
          <w:tab w:val="clear" w:pos="8517"/>
          <w:tab w:val="num" w:pos="851"/>
        </w:tabs>
        <w:ind w:left="720"/>
        <w:rPr>
          <w:lang w:val="en-AU"/>
        </w:rPr>
      </w:pPr>
      <w:bookmarkStart w:id="217" w:name="_Toc439198336"/>
      <w:bookmarkStart w:id="218" w:name="_Toc445571713"/>
      <w:r w:rsidRPr="00F1101D">
        <w:rPr>
          <w:lang w:val="en-AU"/>
        </w:rPr>
        <w:t>Electricity</w:t>
      </w:r>
      <w:bookmarkEnd w:id="217"/>
      <w:r w:rsidR="00E62702">
        <w:rPr>
          <w:lang w:val="en-AU"/>
        </w:rPr>
        <w:t xml:space="preserve"> Payment Difficulties</w:t>
      </w:r>
      <w:bookmarkEnd w:id="218"/>
    </w:p>
    <w:p w14:paraId="06E25ADE" w14:textId="449DEA85" w:rsidR="000E608D" w:rsidRPr="00F1101D" w:rsidRDefault="000E608D" w:rsidP="00633A10">
      <w:pPr>
        <w:spacing w:line="340" w:lineRule="exact"/>
        <w:jc w:val="both"/>
        <w:rPr>
          <w:lang w:val="en-AU"/>
        </w:rPr>
      </w:pPr>
      <w:r w:rsidRPr="00F1101D">
        <w:rPr>
          <w:lang w:val="en-AU"/>
        </w:rPr>
        <w:t>In 20</w:t>
      </w:r>
      <w:r w:rsidR="00830854" w:rsidRPr="00F1101D">
        <w:rPr>
          <w:lang w:val="en-AU"/>
        </w:rPr>
        <w:t>1</w:t>
      </w:r>
      <w:r w:rsidR="00C26F59" w:rsidRPr="00F1101D">
        <w:rPr>
          <w:lang w:val="en-AU"/>
        </w:rPr>
        <w:t>4</w:t>
      </w:r>
      <w:r w:rsidRPr="00F1101D">
        <w:rPr>
          <w:lang w:val="en-AU"/>
        </w:rPr>
        <w:t xml:space="preserve">, </w:t>
      </w:r>
      <w:r w:rsidR="00830854" w:rsidRPr="00F1101D">
        <w:rPr>
          <w:lang w:val="en-AU"/>
        </w:rPr>
        <w:t>11%</w:t>
      </w:r>
      <w:r w:rsidRPr="00F1101D">
        <w:rPr>
          <w:lang w:val="en-AU"/>
        </w:rPr>
        <w:t xml:space="preserve"> of all households that received electricity bills </w:t>
      </w:r>
      <w:r w:rsidR="00894C66" w:rsidRPr="00F1101D">
        <w:rPr>
          <w:lang w:val="en-AU"/>
        </w:rPr>
        <w:t xml:space="preserve">(n=1,849) </w:t>
      </w:r>
      <w:r w:rsidR="0078367C" w:rsidRPr="00F1101D">
        <w:rPr>
          <w:lang w:val="en-AU"/>
        </w:rPr>
        <w:t xml:space="preserve">claimed they </w:t>
      </w:r>
      <w:r w:rsidRPr="00F1101D">
        <w:rPr>
          <w:lang w:val="en-AU"/>
        </w:rPr>
        <w:t xml:space="preserve">had </w:t>
      </w:r>
      <w:r w:rsidR="009B7D9A" w:rsidRPr="00F1101D">
        <w:rPr>
          <w:lang w:val="en-AU"/>
        </w:rPr>
        <w:t xml:space="preserve">experienced </w:t>
      </w:r>
      <w:r w:rsidRPr="00F1101D">
        <w:rPr>
          <w:lang w:val="en-AU"/>
        </w:rPr>
        <w:t>financial problems in paying their electricity bill</w:t>
      </w:r>
      <w:r w:rsidR="00830854" w:rsidRPr="00F1101D">
        <w:rPr>
          <w:lang w:val="en-AU"/>
        </w:rPr>
        <w:t>.</w:t>
      </w:r>
      <w:r w:rsidRPr="00F1101D">
        <w:rPr>
          <w:lang w:val="en-AU"/>
        </w:rPr>
        <w:t xml:space="preserve"> This continued the downward trend</w:t>
      </w:r>
      <w:r w:rsidR="0078367C" w:rsidRPr="00F1101D">
        <w:rPr>
          <w:lang w:val="en-AU"/>
        </w:rPr>
        <w:t xml:space="preserve"> in incidence of payment difficulty since 1996</w:t>
      </w:r>
      <w:r w:rsidRPr="00F1101D">
        <w:rPr>
          <w:lang w:val="en-AU"/>
        </w:rPr>
        <w:t xml:space="preserve"> (</w:t>
      </w:r>
      <w:r w:rsidR="00830854" w:rsidRPr="00F1101D">
        <w:rPr>
          <w:lang w:val="en-AU"/>
        </w:rPr>
        <w:t xml:space="preserve">12% in 2007, </w:t>
      </w:r>
      <w:r w:rsidRPr="00F1101D">
        <w:rPr>
          <w:lang w:val="en-AU"/>
        </w:rPr>
        <w:t xml:space="preserve">14% in 2001, </w:t>
      </w:r>
      <w:r w:rsidR="00390355" w:rsidRPr="00F1101D">
        <w:rPr>
          <w:lang w:val="en-AU"/>
        </w:rPr>
        <w:t>and 16</w:t>
      </w:r>
      <w:r w:rsidRPr="00F1101D">
        <w:rPr>
          <w:lang w:val="en-AU"/>
        </w:rPr>
        <w:t xml:space="preserve">% in 1996). </w:t>
      </w:r>
    </w:p>
    <w:p w14:paraId="34C4B909" w14:textId="77777777" w:rsidR="000E608D" w:rsidRPr="00245A3A" w:rsidRDefault="000E608D" w:rsidP="00633A10">
      <w:pPr>
        <w:pStyle w:val="Para"/>
        <w:rPr>
          <w:highlight w:val="yellow"/>
          <w:lang w:val="en-AU"/>
        </w:rPr>
      </w:pPr>
    </w:p>
    <w:p w14:paraId="79FB658F" w14:textId="72896C74" w:rsidR="007E63A1" w:rsidRPr="00F1101D" w:rsidRDefault="00830854" w:rsidP="007E63A1">
      <w:pPr>
        <w:pStyle w:val="Para"/>
        <w:rPr>
          <w:lang w:val="en-AU"/>
        </w:rPr>
      </w:pPr>
      <w:r w:rsidRPr="00F1101D">
        <w:rPr>
          <w:lang w:val="en-AU"/>
        </w:rPr>
        <w:t xml:space="preserve">Respondents from Melbourne (10%) were less likely than those from country Victoria (13%) to report having </w:t>
      </w:r>
      <w:r w:rsidR="009B7D9A" w:rsidRPr="00F1101D">
        <w:rPr>
          <w:lang w:val="en-AU"/>
        </w:rPr>
        <w:t xml:space="preserve">experienced </w:t>
      </w:r>
      <w:r w:rsidRPr="00F1101D">
        <w:rPr>
          <w:lang w:val="en-AU"/>
        </w:rPr>
        <w:t xml:space="preserve">trouble paying their electricity bill, which is consistent with the results of previous surveys (2007: </w:t>
      </w:r>
      <w:r w:rsidR="000E608D" w:rsidRPr="00F1101D">
        <w:rPr>
          <w:lang w:val="en-AU"/>
        </w:rPr>
        <w:t xml:space="preserve">12% </w:t>
      </w:r>
      <w:r w:rsidRPr="00F1101D">
        <w:rPr>
          <w:lang w:val="en-AU"/>
        </w:rPr>
        <w:t xml:space="preserve">and </w:t>
      </w:r>
      <w:r w:rsidR="000E608D" w:rsidRPr="00F1101D">
        <w:rPr>
          <w:lang w:val="en-AU"/>
        </w:rPr>
        <w:t>13%</w:t>
      </w:r>
      <w:r w:rsidRPr="00F1101D">
        <w:rPr>
          <w:lang w:val="en-AU"/>
        </w:rPr>
        <w:t xml:space="preserve"> respectively; 2001: </w:t>
      </w:r>
      <w:r w:rsidR="000E608D" w:rsidRPr="00F1101D">
        <w:rPr>
          <w:lang w:val="en-AU"/>
        </w:rPr>
        <w:t xml:space="preserve">12% </w:t>
      </w:r>
      <w:r w:rsidRPr="00F1101D">
        <w:rPr>
          <w:lang w:val="en-AU"/>
        </w:rPr>
        <w:t xml:space="preserve">and </w:t>
      </w:r>
      <w:r w:rsidR="000E608D" w:rsidRPr="00F1101D">
        <w:rPr>
          <w:lang w:val="en-AU"/>
        </w:rPr>
        <w:t>17%</w:t>
      </w:r>
      <w:r w:rsidRPr="00F1101D">
        <w:rPr>
          <w:lang w:val="en-AU"/>
        </w:rPr>
        <w:t xml:space="preserve"> respectively; 1</w:t>
      </w:r>
      <w:r w:rsidR="000E608D" w:rsidRPr="00F1101D">
        <w:rPr>
          <w:lang w:val="en-AU"/>
        </w:rPr>
        <w:t>996</w:t>
      </w:r>
      <w:r w:rsidRPr="00F1101D">
        <w:rPr>
          <w:lang w:val="en-AU"/>
        </w:rPr>
        <w:t>:</w:t>
      </w:r>
      <w:r w:rsidR="000E608D" w:rsidRPr="00F1101D">
        <w:rPr>
          <w:lang w:val="en-AU"/>
        </w:rPr>
        <w:t xml:space="preserve"> 16% </w:t>
      </w:r>
      <w:r w:rsidRPr="00F1101D">
        <w:rPr>
          <w:lang w:val="en-AU"/>
        </w:rPr>
        <w:lastRenderedPageBreak/>
        <w:t xml:space="preserve">and </w:t>
      </w:r>
      <w:r w:rsidR="000E608D" w:rsidRPr="00F1101D">
        <w:rPr>
          <w:lang w:val="en-AU"/>
        </w:rPr>
        <w:t>20%</w:t>
      </w:r>
      <w:r w:rsidRPr="00F1101D">
        <w:rPr>
          <w:lang w:val="en-AU"/>
        </w:rPr>
        <w:t xml:space="preserve"> respectively</w:t>
      </w:r>
      <w:r w:rsidR="00C26F59" w:rsidRPr="00F1101D">
        <w:rPr>
          <w:lang w:val="en-AU"/>
        </w:rPr>
        <w:t>)</w:t>
      </w:r>
      <w:r w:rsidR="000E608D" w:rsidRPr="00F1101D">
        <w:rPr>
          <w:lang w:val="en-AU"/>
        </w:rPr>
        <w:t xml:space="preserve">. </w:t>
      </w:r>
      <w:r w:rsidR="007E63A1" w:rsidRPr="00F1101D">
        <w:rPr>
          <w:lang w:val="en-AU"/>
        </w:rPr>
        <w:t xml:space="preserve"> The proportion reporting </w:t>
      </w:r>
      <w:r w:rsidR="009B7D9A" w:rsidRPr="00F1101D">
        <w:rPr>
          <w:lang w:val="en-AU"/>
        </w:rPr>
        <w:t>experiencing trouble</w:t>
      </w:r>
      <w:r w:rsidR="007E63A1" w:rsidRPr="00F1101D">
        <w:rPr>
          <w:lang w:val="en-AU"/>
        </w:rPr>
        <w:t xml:space="preserve"> paying electricity bills varied substantially by DHHS region.  The areas most likely to report </w:t>
      </w:r>
      <w:r w:rsidR="009B7D9A" w:rsidRPr="00F1101D">
        <w:rPr>
          <w:lang w:val="en-AU"/>
        </w:rPr>
        <w:t>having experienced trouble</w:t>
      </w:r>
      <w:r w:rsidR="007E63A1" w:rsidRPr="00F1101D">
        <w:rPr>
          <w:lang w:val="en-AU"/>
        </w:rPr>
        <w:t xml:space="preserve"> were Brimbank Melton (2</w:t>
      </w:r>
      <w:r w:rsidR="00F1101D" w:rsidRPr="00F1101D">
        <w:rPr>
          <w:lang w:val="en-AU"/>
        </w:rPr>
        <w:t>2</w:t>
      </w:r>
      <w:r w:rsidR="007E63A1" w:rsidRPr="00F1101D">
        <w:rPr>
          <w:lang w:val="en-AU"/>
        </w:rPr>
        <w:t xml:space="preserve">%) and Barwon (17%).  In contrast, only 5% of respondents from Inner Eastern Melbourne region had </w:t>
      </w:r>
      <w:r w:rsidR="009B7D9A" w:rsidRPr="00F1101D">
        <w:rPr>
          <w:lang w:val="en-AU"/>
        </w:rPr>
        <w:t xml:space="preserve">experienced trouble </w:t>
      </w:r>
      <w:r w:rsidR="007E63A1" w:rsidRPr="00F1101D">
        <w:rPr>
          <w:lang w:val="en-AU"/>
        </w:rPr>
        <w:t xml:space="preserve">paying their electricity bill. </w:t>
      </w:r>
    </w:p>
    <w:p w14:paraId="3C74103E" w14:textId="77777777" w:rsidR="000E608D" w:rsidRPr="00245A3A" w:rsidRDefault="000E608D" w:rsidP="00633A10">
      <w:pPr>
        <w:pStyle w:val="Para"/>
        <w:rPr>
          <w:highlight w:val="yellow"/>
          <w:lang w:val="en-AU"/>
        </w:rPr>
      </w:pPr>
    </w:p>
    <w:p w14:paraId="4B9FE693" w14:textId="52251142" w:rsidR="000E608D" w:rsidRPr="00F1101D" w:rsidRDefault="00F464ED" w:rsidP="00633A10">
      <w:pPr>
        <w:pStyle w:val="Para"/>
        <w:rPr>
          <w:lang w:val="en-AU"/>
        </w:rPr>
      </w:pPr>
      <w:r w:rsidRPr="00F1101D">
        <w:rPr>
          <w:lang w:val="en-AU"/>
        </w:rPr>
        <w:t xml:space="preserve">Twenty </w:t>
      </w:r>
      <w:r w:rsidR="00F1101D" w:rsidRPr="00F1101D">
        <w:rPr>
          <w:lang w:val="en-AU"/>
        </w:rPr>
        <w:t>five</w:t>
      </w:r>
      <w:r w:rsidRPr="00F1101D">
        <w:rPr>
          <w:lang w:val="en-AU"/>
        </w:rPr>
        <w:t xml:space="preserve"> per cent of o</w:t>
      </w:r>
      <w:r w:rsidR="000E608D" w:rsidRPr="00F1101D">
        <w:rPr>
          <w:lang w:val="en-AU"/>
        </w:rPr>
        <w:t xml:space="preserve">ther concession households </w:t>
      </w:r>
      <w:r w:rsidRPr="00F1101D">
        <w:rPr>
          <w:lang w:val="en-AU"/>
        </w:rPr>
        <w:t xml:space="preserve">reported having </w:t>
      </w:r>
      <w:r w:rsidR="008A7E12" w:rsidRPr="00F1101D">
        <w:rPr>
          <w:lang w:val="en-AU"/>
        </w:rPr>
        <w:t xml:space="preserve">experienced financial </w:t>
      </w:r>
      <w:r w:rsidRPr="00F1101D">
        <w:rPr>
          <w:lang w:val="en-AU"/>
        </w:rPr>
        <w:t xml:space="preserve">problems paying their electricity bill, a much higher proportion than either </w:t>
      </w:r>
      <w:r w:rsidR="00CF338A" w:rsidRPr="00F1101D">
        <w:rPr>
          <w:lang w:val="en-AU"/>
        </w:rPr>
        <w:t xml:space="preserve">aged concession households (6%) </w:t>
      </w:r>
      <w:r w:rsidRPr="00F1101D">
        <w:rPr>
          <w:lang w:val="en-AU"/>
        </w:rPr>
        <w:t xml:space="preserve">or non-concession households (7%).  This pattern was also observed in past surveys: for example, in 2007 30% of other concession households reported </w:t>
      </w:r>
      <w:r w:rsidR="009B7D9A" w:rsidRPr="00F1101D">
        <w:rPr>
          <w:lang w:val="en-AU"/>
        </w:rPr>
        <w:t xml:space="preserve">trouble </w:t>
      </w:r>
      <w:r w:rsidR="008A7E12" w:rsidRPr="00F1101D">
        <w:rPr>
          <w:lang w:val="en-AU"/>
        </w:rPr>
        <w:t>paying the bill,</w:t>
      </w:r>
      <w:r w:rsidR="009B7D9A" w:rsidRPr="00F1101D">
        <w:rPr>
          <w:lang w:val="en-AU"/>
        </w:rPr>
        <w:t xml:space="preserve"> </w:t>
      </w:r>
      <w:r w:rsidRPr="00F1101D">
        <w:rPr>
          <w:lang w:val="en-AU"/>
        </w:rPr>
        <w:t>compared with 5% of aged concession households and 10% of non-concession households.</w:t>
      </w:r>
      <w:r w:rsidR="000E608D" w:rsidRPr="00F1101D">
        <w:rPr>
          <w:lang w:val="en-AU"/>
        </w:rPr>
        <w:t xml:space="preserve"> </w:t>
      </w:r>
    </w:p>
    <w:p w14:paraId="505D7D41" w14:textId="77777777" w:rsidR="000E608D" w:rsidRPr="00F1101D" w:rsidRDefault="000E608D" w:rsidP="00633A10">
      <w:pPr>
        <w:pStyle w:val="Para"/>
        <w:rPr>
          <w:lang w:val="en-AU"/>
        </w:rPr>
      </w:pPr>
    </w:p>
    <w:p w14:paraId="2D9AF703" w14:textId="77777777" w:rsidR="000E608D" w:rsidRPr="00F1101D" w:rsidRDefault="00CF338A" w:rsidP="00633A10">
      <w:pPr>
        <w:pStyle w:val="Para"/>
        <w:rPr>
          <w:lang w:val="en-AU"/>
        </w:rPr>
      </w:pPr>
      <w:r w:rsidRPr="00F1101D">
        <w:rPr>
          <w:lang w:val="en-AU"/>
        </w:rPr>
        <w:t xml:space="preserve">In </w:t>
      </w:r>
      <w:r w:rsidR="000E608D" w:rsidRPr="00F1101D">
        <w:rPr>
          <w:lang w:val="en-AU"/>
        </w:rPr>
        <w:t xml:space="preserve">previous surveys, the incidence of </w:t>
      </w:r>
      <w:r w:rsidR="008A7E12" w:rsidRPr="00F1101D">
        <w:rPr>
          <w:lang w:val="en-AU"/>
        </w:rPr>
        <w:t xml:space="preserve">having experienced </w:t>
      </w:r>
      <w:r w:rsidR="000E608D" w:rsidRPr="00F1101D">
        <w:rPr>
          <w:lang w:val="en-AU"/>
        </w:rPr>
        <w:t>financial problems in paying electricity bills tended to increase with household size (</w:t>
      </w:r>
      <w:r w:rsidRPr="00F1101D">
        <w:rPr>
          <w:lang w:val="en-AU"/>
        </w:rPr>
        <w:t xml:space="preserve">for example, in 2007: </w:t>
      </w:r>
      <w:r w:rsidR="000E608D" w:rsidRPr="00F1101D">
        <w:rPr>
          <w:lang w:val="en-AU"/>
        </w:rPr>
        <w:t xml:space="preserve">10% for 1 person, 9% for 2 people, 14% for 3 people, and 18% for 4 or more people). </w:t>
      </w:r>
      <w:r w:rsidRPr="00F1101D">
        <w:rPr>
          <w:lang w:val="en-AU"/>
        </w:rPr>
        <w:t xml:space="preserve"> This </w:t>
      </w:r>
      <w:r w:rsidR="00F464ED" w:rsidRPr="00F1101D">
        <w:rPr>
          <w:lang w:val="en-AU"/>
        </w:rPr>
        <w:t>pattern</w:t>
      </w:r>
      <w:r w:rsidRPr="00F1101D">
        <w:rPr>
          <w:lang w:val="en-AU"/>
        </w:rPr>
        <w:t xml:space="preserve"> was not particularly evident in 2014, with 12% of single person households reporting trouble paying their electricity bill, compared with 9% of two person, 13% of three person and 1</w:t>
      </w:r>
      <w:r w:rsidR="00F1101D" w:rsidRPr="00F1101D">
        <w:rPr>
          <w:lang w:val="en-AU"/>
        </w:rPr>
        <w:t>1</w:t>
      </w:r>
      <w:r w:rsidRPr="00F1101D">
        <w:rPr>
          <w:lang w:val="en-AU"/>
        </w:rPr>
        <w:t xml:space="preserve">% of four person households. </w:t>
      </w:r>
    </w:p>
    <w:p w14:paraId="2D03041C" w14:textId="77777777" w:rsidR="000E608D" w:rsidRPr="00245A3A" w:rsidRDefault="000E608D" w:rsidP="000E608D">
      <w:pPr>
        <w:pStyle w:val="Para"/>
        <w:rPr>
          <w:highlight w:val="yellow"/>
          <w:lang w:val="en-AU"/>
        </w:rPr>
      </w:pPr>
    </w:p>
    <w:p w14:paraId="67C16DBA" w14:textId="5EA85FA6" w:rsidR="000E608D" w:rsidRPr="00F1101D" w:rsidRDefault="00894C66" w:rsidP="00633A10">
      <w:pPr>
        <w:pStyle w:val="Para"/>
        <w:rPr>
          <w:lang w:val="en-AU"/>
        </w:rPr>
      </w:pPr>
      <w:r w:rsidRPr="00F1101D">
        <w:rPr>
          <w:lang w:val="en-AU"/>
        </w:rPr>
        <w:t>O</w:t>
      </w:r>
      <w:r w:rsidR="000E608D" w:rsidRPr="00F1101D">
        <w:rPr>
          <w:lang w:val="en-AU"/>
        </w:rPr>
        <w:t xml:space="preserve">ne-third </w:t>
      </w:r>
      <w:r w:rsidRPr="00F1101D">
        <w:rPr>
          <w:lang w:val="en-AU"/>
        </w:rPr>
        <w:t>(3</w:t>
      </w:r>
      <w:r w:rsidR="00F1101D" w:rsidRPr="00F1101D">
        <w:rPr>
          <w:lang w:val="en-AU"/>
        </w:rPr>
        <w:t>1</w:t>
      </w:r>
      <w:r w:rsidRPr="00F1101D">
        <w:rPr>
          <w:lang w:val="en-AU"/>
        </w:rPr>
        <w:t xml:space="preserve">%) </w:t>
      </w:r>
      <w:r w:rsidR="000E608D" w:rsidRPr="00F1101D">
        <w:rPr>
          <w:lang w:val="en-AU"/>
        </w:rPr>
        <w:t xml:space="preserve">of households in the public rental sector had experienced </w:t>
      </w:r>
      <w:r w:rsidR="008A7E12" w:rsidRPr="00F1101D">
        <w:rPr>
          <w:lang w:val="en-AU"/>
        </w:rPr>
        <w:t xml:space="preserve">financial </w:t>
      </w:r>
      <w:r w:rsidR="000E608D" w:rsidRPr="00F1101D">
        <w:rPr>
          <w:lang w:val="en-AU"/>
        </w:rPr>
        <w:t>problems paying electricity bills</w:t>
      </w:r>
      <w:r w:rsidR="00601BA8" w:rsidRPr="00F1101D">
        <w:rPr>
          <w:lang w:val="en-AU"/>
        </w:rPr>
        <w:t xml:space="preserve"> (down slightly from 2007: </w:t>
      </w:r>
      <w:r w:rsidR="000E608D" w:rsidRPr="00F1101D">
        <w:rPr>
          <w:lang w:val="en-AU"/>
        </w:rPr>
        <w:t>35%</w:t>
      </w:r>
      <w:r w:rsidR="00601BA8" w:rsidRPr="00F1101D">
        <w:rPr>
          <w:lang w:val="en-AU"/>
        </w:rPr>
        <w:t xml:space="preserve">), with one- quarter (27%) of </w:t>
      </w:r>
      <w:r w:rsidR="000E608D" w:rsidRPr="00F1101D">
        <w:rPr>
          <w:lang w:val="en-AU"/>
        </w:rPr>
        <w:t>those renting privately also having done so (</w:t>
      </w:r>
      <w:r w:rsidR="00601BA8" w:rsidRPr="00F1101D">
        <w:rPr>
          <w:lang w:val="en-AU"/>
        </w:rPr>
        <w:t xml:space="preserve">again, down slightly from 2007: </w:t>
      </w:r>
      <w:r w:rsidR="000E608D" w:rsidRPr="00F1101D">
        <w:rPr>
          <w:lang w:val="en-AU"/>
        </w:rPr>
        <w:t xml:space="preserve">29%). </w:t>
      </w:r>
      <w:r w:rsidR="00601BA8" w:rsidRPr="00F1101D">
        <w:rPr>
          <w:lang w:val="en-AU"/>
        </w:rPr>
        <w:t xml:space="preserve">Only </w:t>
      </w:r>
      <w:r w:rsidR="00F1101D" w:rsidRPr="00F1101D">
        <w:rPr>
          <w:lang w:val="en-AU"/>
        </w:rPr>
        <w:t>7</w:t>
      </w:r>
      <w:r w:rsidR="00601BA8" w:rsidRPr="00F1101D">
        <w:rPr>
          <w:lang w:val="en-AU"/>
        </w:rPr>
        <w:t xml:space="preserve">% </w:t>
      </w:r>
      <w:r w:rsidR="00F464ED" w:rsidRPr="00F1101D">
        <w:rPr>
          <w:lang w:val="en-AU"/>
        </w:rPr>
        <w:t xml:space="preserve">of </w:t>
      </w:r>
      <w:r w:rsidR="000E608D" w:rsidRPr="00F1101D">
        <w:rPr>
          <w:lang w:val="en-AU"/>
        </w:rPr>
        <w:t xml:space="preserve">owner/buyers had experienced financial </w:t>
      </w:r>
      <w:r w:rsidR="008A7E12" w:rsidRPr="00F1101D">
        <w:rPr>
          <w:lang w:val="en-AU"/>
        </w:rPr>
        <w:t xml:space="preserve">trouble </w:t>
      </w:r>
      <w:r w:rsidR="000E608D" w:rsidRPr="00F1101D">
        <w:rPr>
          <w:lang w:val="en-AU"/>
        </w:rPr>
        <w:t>in paying their electricity bills</w:t>
      </w:r>
      <w:r w:rsidR="00601BA8" w:rsidRPr="00F1101D">
        <w:rPr>
          <w:lang w:val="en-AU"/>
        </w:rPr>
        <w:t xml:space="preserve"> (7% in 2007).</w:t>
      </w:r>
    </w:p>
    <w:p w14:paraId="029B6452" w14:textId="77777777" w:rsidR="000E608D" w:rsidRPr="00245A3A" w:rsidRDefault="000E608D" w:rsidP="00633A10">
      <w:pPr>
        <w:pStyle w:val="Para"/>
        <w:rPr>
          <w:highlight w:val="yellow"/>
          <w:lang w:val="en-AU"/>
        </w:rPr>
      </w:pPr>
    </w:p>
    <w:p w14:paraId="1E6458E9" w14:textId="1EAAA78F" w:rsidR="0059683A" w:rsidRDefault="000E608D" w:rsidP="00633A10">
      <w:pPr>
        <w:pStyle w:val="Para"/>
        <w:spacing w:line="340" w:lineRule="atLeast"/>
        <w:rPr>
          <w:lang w:val="en-AU"/>
        </w:rPr>
      </w:pPr>
      <w:r w:rsidRPr="00F1101D">
        <w:rPr>
          <w:lang w:val="en-AU"/>
        </w:rPr>
        <w:t xml:space="preserve">Of households that had ever had </w:t>
      </w:r>
      <w:r w:rsidR="00785A2B" w:rsidRPr="00F1101D">
        <w:rPr>
          <w:lang w:val="en-AU"/>
        </w:rPr>
        <w:t>difficulty</w:t>
      </w:r>
      <w:r w:rsidRPr="00F1101D">
        <w:rPr>
          <w:lang w:val="en-AU"/>
        </w:rPr>
        <w:t xml:space="preserve"> paying their electricity bills</w:t>
      </w:r>
      <w:r w:rsidR="00601BA8" w:rsidRPr="00F1101D">
        <w:rPr>
          <w:lang w:val="en-AU"/>
        </w:rPr>
        <w:t xml:space="preserve"> (n=175)</w:t>
      </w:r>
      <w:r w:rsidRPr="00F1101D">
        <w:rPr>
          <w:lang w:val="en-AU"/>
        </w:rPr>
        <w:t>,</w:t>
      </w:r>
      <w:r w:rsidR="00140665" w:rsidRPr="00F1101D">
        <w:rPr>
          <w:lang w:val="en-AU"/>
        </w:rPr>
        <w:t xml:space="preserve"> 2</w:t>
      </w:r>
      <w:r w:rsidR="00F1101D" w:rsidRPr="00F1101D">
        <w:rPr>
          <w:lang w:val="en-AU"/>
        </w:rPr>
        <w:t>6</w:t>
      </w:r>
      <w:r w:rsidR="00140665" w:rsidRPr="00F1101D">
        <w:rPr>
          <w:lang w:val="en-AU"/>
        </w:rPr>
        <w:t xml:space="preserve">% </w:t>
      </w:r>
      <w:r w:rsidR="00140665" w:rsidRPr="00F1101D">
        <w:rPr>
          <w:i/>
          <w:lang w:val="en-AU"/>
        </w:rPr>
        <w:t>always</w:t>
      </w:r>
      <w:r w:rsidR="00140665" w:rsidRPr="00F1101D">
        <w:rPr>
          <w:lang w:val="en-AU"/>
        </w:rPr>
        <w:t xml:space="preserve"> had difficulty,</w:t>
      </w:r>
      <w:r w:rsidRPr="00F1101D">
        <w:rPr>
          <w:lang w:val="en-AU"/>
        </w:rPr>
        <w:t xml:space="preserve"> </w:t>
      </w:r>
      <w:r w:rsidR="0059683A" w:rsidRPr="00F1101D">
        <w:rPr>
          <w:lang w:val="en-AU"/>
        </w:rPr>
        <w:t xml:space="preserve">42% </w:t>
      </w:r>
      <w:r w:rsidR="0059683A" w:rsidRPr="00F1101D">
        <w:rPr>
          <w:i/>
          <w:lang w:val="en-AU"/>
        </w:rPr>
        <w:t xml:space="preserve">sometimes </w:t>
      </w:r>
      <w:r w:rsidR="0059683A" w:rsidRPr="00F1101D">
        <w:rPr>
          <w:lang w:val="en-AU"/>
        </w:rPr>
        <w:t xml:space="preserve">had difficulty </w:t>
      </w:r>
      <w:r w:rsidR="00140665" w:rsidRPr="00F1101D">
        <w:rPr>
          <w:lang w:val="en-AU"/>
        </w:rPr>
        <w:t>and</w:t>
      </w:r>
      <w:r w:rsidR="0059683A" w:rsidRPr="00F1101D">
        <w:rPr>
          <w:lang w:val="en-AU"/>
        </w:rPr>
        <w:t xml:space="preserve">, 24% </w:t>
      </w:r>
      <w:r w:rsidR="0059683A" w:rsidRPr="00F1101D">
        <w:rPr>
          <w:i/>
          <w:lang w:val="en-AU"/>
        </w:rPr>
        <w:t>hardly ever</w:t>
      </w:r>
      <w:r w:rsidR="0059683A" w:rsidRPr="00F1101D">
        <w:rPr>
          <w:lang w:val="en-AU"/>
        </w:rPr>
        <w:t xml:space="preserve"> had difficulty.  The corresponding proportions in 2007 were </w:t>
      </w:r>
      <w:r w:rsidR="00140665" w:rsidRPr="00F1101D">
        <w:rPr>
          <w:lang w:val="en-AU"/>
        </w:rPr>
        <w:t xml:space="preserve">13%, </w:t>
      </w:r>
      <w:r w:rsidRPr="00F1101D">
        <w:rPr>
          <w:lang w:val="en-AU"/>
        </w:rPr>
        <w:t>61%</w:t>
      </w:r>
      <w:r w:rsidR="0059683A" w:rsidRPr="00F1101D">
        <w:rPr>
          <w:lang w:val="en-AU"/>
        </w:rPr>
        <w:t xml:space="preserve">, </w:t>
      </w:r>
      <w:r w:rsidR="00140665" w:rsidRPr="00F1101D">
        <w:rPr>
          <w:lang w:val="en-AU"/>
        </w:rPr>
        <w:t xml:space="preserve">and </w:t>
      </w:r>
      <w:r w:rsidRPr="00F1101D">
        <w:rPr>
          <w:lang w:val="en-AU"/>
        </w:rPr>
        <w:t>25%</w:t>
      </w:r>
      <w:r w:rsidR="0059683A" w:rsidRPr="00F1101D">
        <w:rPr>
          <w:lang w:val="en-AU"/>
        </w:rPr>
        <w:t xml:space="preserve"> respectively), indicating that while the proportion </w:t>
      </w:r>
      <w:r w:rsidR="00C778C1" w:rsidRPr="00F1101D">
        <w:rPr>
          <w:i/>
          <w:lang w:val="en-AU"/>
        </w:rPr>
        <w:t>sometimes</w:t>
      </w:r>
      <w:r w:rsidR="00C778C1" w:rsidRPr="00F1101D">
        <w:rPr>
          <w:lang w:val="en-AU"/>
        </w:rPr>
        <w:t xml:space="preserve"> or </w:t>
      </w:r>
      <w:r w:rsidR="00C778C1" w:rsidRPr="00F1101D">
        <w:rPr>
          <w:i/>
          <w:lang w:val="en-AU"/>
        </w:rPr>
        <w:t>always</w:t>
      </w:r>
      <w:r w:rsidR="00C778C1" w:rsidRPr="00F1101D">
        <w:rPr>
          <w:lang w:val="en-AU"/>
        </w:rPr>
        <w:t xml:space="preserve"> </w:t>
      </w:r>
      <w:r w:rsidR="00474647" w:rsidRPr="00F1101D">
        <w:rPr>
          <w:lang w:val="en-AU"/>
        </w:rPr>
        <w:t>having difficulty paying is roughly similar</w:t>
      </w:r>
      <w:r w:rsidR="00C778C1" w:rsidRPr="00F1101D">
        <w:rPr>
          <w:lang w:val="en-AU"/>
        </w:rPr>
        <w:t xml:space="preserve"> to 2007</w:t>
      </w:r>
      <w:r w:rsidR="00474647" w:rsidRPr="00F1101D">
        <w:rPr>
          <w:lang w:val="en-AU"/>
        </w:rPr>
        <w:t xml:space="preserve">, </w:t>
      </w:r>
      <w:r w:rsidR="00C778C1" w:rsidRPr="00F1101D">
        <w:rPr>
          <w:lang w:val="en-AU"/>
        </w:rPr>
        <w:t xml:space="preserve">respondents in 2014 were twice as likely to </w:t>
      </w:r>
      <w:r w:rsidR="00C778C1" w:rsidRPr="00F1101D">
        <w:rPr>
          <w:i/>
          <w:lang w:val="en-AU"/>
        </w:rPr>
        <w:t>always</w:t>
      </w:r>
      <w:r w:rsidR="00C778C1" w:rsidRPr="00F1101D">
        <w:rPr>
          <w:lang w:val="en-AU"/>
        </w:rPr>
        <w:t xml:space="preserve"> experience difficulty.</w:t>
      </w:r>
    </w:p>
    <w:p w14:paraId="0AB3A231" w14:textId="77777777" w:rsidR="00C7610E" w:rsidRDefault="00C7610E" w:rsidP="00633A10">
      <w:pPr>
        <w:pStyle w:val="Para"/>
        <w:spacing w:line="340" w:lineRule="atLeast"/>
        <w:rPr>
          <w:lang w:val="en-AU"/>
        </w:rPr>
      </w:pPr>
    </w:p>
    <w:p w14:paraId="2861D71E" w14:textId="264BD89C" w:rsidR="00C7610E" w:rsidRPr="00F1101D" w:rsidRDefault="00C7610E" w:rsidP="00633A10">
      <w:pPr>
        <w:pStyle w:val="Para"/>
        <w:spacing w:line="340" w:lineRule="atLeast"/>
        <w:rPr>
          <w:lang w:val="en-AU"/>
        </w:rPr>
      </w:pPr>
      <w:r>
        <w:rPr>
          <w:lang w:val="en-AU"/>
        </w:rPr>
        <w:t xml:space="preserve">Households that </w:t>
      </w:r>
      <w:r w:rsidRPr="00162EF6">
        <w:rPr>
          <w:i/>
          <w:lang w:val="en-AU"/>
        </w:rPr>
        <w:t>always</w:t>
      </w:r>
      <w:r>
        <w:rPr>
          <w:lang w:val="en-AU"/>
        </w:rPr>
        <w:t xml:space="preserve"> </w:t>
      </w:r>
      <w:r w:rsidR="009E0E43">
        <w:rPr>
          <w:lang w:val="en-AU"/>
        </w:rPr>
        <w:t xml:space="preserve">or </w:t>
      </w:r>
      <w:r w:rsidR="009E0E43" w:rsidRPr="009E0E43">
        <w:rPr>
          <w:i/>
          <w:lang w:val="en-AU"/>
        </w:rPr>
        <w:t>sometimes</w:t>
      </w:r>
      <w:r w:rsidR="009E0E43">
        <w:rPr>
          <w:i/>
          <w:lang w:val="en-AU"/>
        </w:rPr>
        <w:t xml:space="preserve"> </w:t>
      </w:r>
      <w:r>
        <w:rPr>
          <w:lang w:val="en-AU"/>
        </w:rPr>
        <w:t>had difficulty paying their electricity bills used (on average) 4,46</w:t>
      </w:r>
      <w:r w:rsidR="009E0E43">
        <w:rPr>
          <w:lang w:val="en-AU"/>
        </w:rPr>
        <w:t>6</w:t>
      </w:r>
      <w:r>
        <w:rPr>
          <w:lang w:val="en-AU"/>
        </w:rPr>
        <w:t xml:space="preserve"> kW</w:t>
      </w:r>
      <w:r w:rsidR="008C7F43">
        <w:rPr>
          <w:lang w:val="en-AU"/>
        </w:rPr>
        <w:t>h</w:t>
      </w:r>
      <w:r>
        <w:rPr>
          <w:lang w:val="en-AU"/>
        </w:rPr>
        <w:t xml:space="preserve"> per annum, compared with 4,</w:t>
      </w:r>
      <w:r w:rsidR="009E0E43">
        <w:rPr>
          <w:lang w:val="en-AU"/>
        </w:rPr>
        <w:t>440</w:t>
      </w:r>
      <w:r>
        <w:rPr>
          <w:lang w:val="en-AU"/>
        </w:rPr>
        <w:t xml:space="preserve"> kW</w:t>
      </w:r>
      <w:r w:rsidR="008C7F43">
        <w:rPr>
          <w:lang w:val="en-AU"/>
        </w:rPr>
        <w:t>h</w:t>
      </w:r>
      <w:r w:rsidR="008073B1">
        <w:rPr>
          <w:lang w:val="en-AU"/>
        </w:rPr>
        <w:t xml:space="preserve"> </w:t>
      </w:r>
      <w:r w:rsidR="009E0E43">
        <w:rPr>
          <w:lang w:val="en-AU"/>
        </w:rPr>
        <w:t xml:space="preserve">for households that </w:t>
      </w:r>
      <w:r w:rsidR="009E0E43" w:rsidRPr="009E0E43">
        <w:rPr>
          <w:i/>
          <w:lang w:val="en-AU"/>
        </w:rPr>
        <w:t>hardly ever</w:t>
      </w:r>
      <w:r w:rsidR="009E0E43">
        <w:rPr>
          <w:lang w:val="en-AU"/>
        </w:rPr>
        <w:t xml:space="preserve"> or </w:t>
      </w:r>
      <w:r w:rsidR="009E0E43" w:rsidRPr="009E0E43">
        <w:rPr>
          <w:i/>
          <w:lang w:val="en-AU"/>
        </w:rPr>
        <w:t xml:space="preserve">never </w:t>
      </w:r>
      <w:r w:rsidR="009E0E43">
        <w:rPr>
          <w:lang w:val="en-AU"/>
        </w:rPr>
        <w:t>had difficulty paying.</w:t>
      </w:r>
    </w:p>
    <w:p w14:paraId="4C865EE8" w14:textId="77777777" w:rsidR="000E608D" w:rsidRPr="00245A3A" w:rsidRDefault="000E608D" w:rsidP="000E608D">
      <w:pPr>
        <w:pStyle w:val="Para"/>
        <w:rPr>
          <w:highlight w:val="yellow"/>
          <w:lang w:val="en-AU"/>
        </w:rPr>
      </w:pPr>
    </w:p>
    <w:p w14:paraId="59F3CF49" w14:textId="0ED38CD8" w:rsidR="003920D8" w:rsidRPr="00F1101D" w:rsidRDefault="000E608D">
      <w:pPr>
        <w:pStyle w:val="Heading3"/>
        <w:tabs>
          <w:tab w:val="clear" w:pos="8517"/>
          <w:tab w:val="num" w:pos="851"/>
        </w:tabs>
        <w:ind w:left="720"/>
        <w:rPr>
          <w:lang w:val="en-AU"/>
        </w:rPr>
      </w:pPr>
      <w:bookmarkStart w:id="219" w:name="_Toc439198337"/>
      <w:bookmarkStart w:id="220" w:name="_Toc445571714"/>
      <w:r w:rsidRPr="00F1101D">
        <w:rPr>
          <w:lang w:val="en-AU"/>
        </w:rPr>
        <w:t>Gas</w:t>
      </w:r>
      <w:bookmarkEnd w:id="219"/>
      <w:r w:rsidR="00E62702">
        <w:rPr>
          <w:lang w:val="en-AU"/>
        </w:rPr>
        <w:t xml:space="preserve"> Payment Difficulties</w:t>
      </w:r>
      <w:bookmarkEnd w:id="220"/>
    </w:p>
    <w:p w14:paraId="7963F7A9" w14:textId="37525569" w:rsidR="000E608D" w:rsidRPr="00F1101D" w:rsidRDefault="00AA4B26" w:rsidP="000E608D">
      <w:pPr>
        <w:pStyle w:val="Para"/>
        <w:rPr>
          <w:lang w:val="en-AU"/>
        </w:rPr>
      </w:pPr>
      <w:r w:rsidRPr="00F1101D">
        <w:rPr>
          <w:lang w:val="en-AU"/>
        </w:rPr>
        <w:t xml:space="preserve">Nine per cent of </w:t>
      </w:r>
      <w:r w:rsidR="000E608D" w:rsidRPr="00F1101D">
        <w:rPr>
          <w:lang w:val="en-AU"/>
        </w:rPr>
        <w:t xml:space="preserve">households that paid gas bills </w:t>
      </w:r>
      <w:r w:rsidRPr="00F1101D">
        <w:rPr>
          <w:lang w:val="en-AU"/>
        </w:rPr>
        <w:t xml:space="preserve">(n=1,540) </w:t>
      </w:r>
      <w:r w:rsidR="000E608D" w:rsidRPr="00F1101D">
        <w:rPr>
          <w:lang w:val="en-AU"/>
        </w:rPr>
        <w:t xml:space="preserve">had </w:t>
      </w:r>
      <w:r w:rsidR="008A7E12" w:rsidRPr="00F1101D">
        <w:rPr>
          <w:lang w:val="en-AU"/>
        </w:rPr>
        <w:t xml:space="preserve">experienced financial problems </w:t>
      </w:r>
      <w:r w:rsidR="000E608D" w:rsidRPr="00F1101D">
        <w:rPr>
          <w:lang w:val="en-AU"/>
        </w:rPr>
        <w:t>paying them</w:t>
      </w:r>
      <w:r w:rsidR="005347E2" w:rsidRPr="00F1101D">
        <w:rPr>
          <w:lang w:val="en-AU"/>
        </w:rPr>
        <w:t>,</w:t>
      </w:r>
      <w:r w:rsidRPr="00F1101D">
        <w:rPr>
          <w:lang w:val="en-AU"/>
        </w:rPr>
        <w:t xml:space="preserve"> continuing the downward tren</w:t>
      </w:r>
      <w:r w:rsidR="00A12FC9" w:rsidRPr="00F1101D">
        <w:rPr>
          <w:lang w:val="en-AU"/>
        </w:rPr>
        <w:t>d</w:t>
      </w:r>
      <w:r w:rsidRPr="00F1101D">
        <w:rPr>
          <w:lang w:val="en-AU"/>
        </w:rPr>
        <w:t xml:space="preserve"> over the history of the survey (16% in 1996, 12% in 2001, 10% in 2007).</w:t>
      </w:r>
    </w:p>
    <w:p w14:paraId="0B210DED" w14:textId="77777777" w:rsidR="000E608D" w:rsidRPr="00F1101D" w:rsidRDefault="000E608D" w:rsidP="000E608D">
      <w:pPr>
        <w:pStyle w:val="Para"/>
        <w:rPr>
          <w:lang w:val="en-AU"/>
        </w:rPr>
      </w:pPr>
    </w:p>
    <w:p w14:paraId="0E1FF692" w14:textId="5A5DA0C0" w:rsidR="000E608D" w:rsidRPr="00F1101D" w:rsidRDefault="00AA4B26" w:rsidP="000E608D">
      <w:pPr>
        <w:pStyle w:val="Para"/>
        <w:rPr>
          <w:lang w:val="en-AU"/>
        </w:rPr>
      </w:pPr>
      <w:r w:rsidRPr="00F1101D">
        <w:rPr>
          <w:lang w:val="en-AU"/>
        </w:rPr>
        <w:t xml:space="preserve">Respondents from Melbourne (8%) were less likely than those from country Victoria (12%) to report </w:t>
      </w:r>
      <w:r w:rsidR="000E608D" w:rsidRPr="00F1101D">
        <w:rPr>
          <w:lang w:val="en-AU"/>
        </w:rPr>
        <w:t>experienc</w:t>
      </w:r>
      <w:r w:rsidRPr="00F1101D">
        <w:rPr>
          <w:lang w:val="en-AU"/>
        </w:rPr>
        <w:t>ing</w:t>
      </w:r>
      <w:r w:rsidR="000E608D" w:rsidRPr="00F1101D">
        <w:rPr>
          <w:lang w:val="en-AU"/>
        </w:rPr>
        <w:t xml:space="preserve"> financial problems in paying their gas bill</w:t>
      </w:r>
      <w:r w:rsidRPr="00F1101D">
        <w:rPr>
          <w:lang w:val="en-AU"/>
        </w:rPr>
        <w:t xml:space="preserve">, which is consistent with results from previous surveys (2007: </w:t>
      </w:r>
      <w:r w:rsidR="000E608D" w:rsidRPr="00F1101D">
        <w:rPr>
          <w:lang w:val="en-AU"/>
        </w:rPr>
        <w:t xml:space="preserve">10% </w:t>
      </w:r>
      <w:r w:rsidRPr="00F1101D">
        <w:rPr>
          <w:lang w:val="en-AU"/>
        </w:rPr>
        <w:t xml:space="preserve">and </w:t>
      </w:r>
      <w:r w:rsidR="000E608D" w:rsidRPr="00F1101D">
        <w:rPr>
          <w:lang w:val="en-AU"/>
        </w:rPr>
        <w:t>11%</w:t>
      </w:r>
      <w:r w:rsidRPr="00F1101D">
        <w:rPr>
          <w:lang w:val="en-AU"/>
        </w:rPr>
        <w:t xml:space="preserve"> respectively: 2</w:t>
      </w:r>
      <w:r w:rsidR="000E608D" w:rsidRPr="00F1101D">
        <w:rPr>
          <w:lang w:val="en-AU"/>
        </w:rPr>
        <w:t>001</w:t>
      </w:r>
      <w:r w:rsidRPr="00F1101D">
        <w:rPr>
          <w:lang w:val="en-AU"/>
        </w:rPr>
        <w:t xml:space="preserve">: </w:t>
      </w:r>
      <w:r w:rsidR="000E608D" w:rsidRPr="00F1101D">
        <w:rPr>
          <w:lang w:val="en-AU"/>
        </w:rPr>
        <w:t xml:space="preserve">10% </w:t>
      </w:r>
      <w:r w:rsidRPr="00F1101D">
        <w:rPr>
          <w:lang w:val="en-AU"/>
        </w:rPr>
        <w:t xml:space="preserve">and </w:t>
      </w:r>
      <w:r w:rsidR="000E608D" w:rsidRPr="00F1101D">
        <w:rPr>
          <w:lang w:val="en-AU"/>
        </w:rPr>
        <w:t>16%</w:t>
      </w:r>
      <w:r w:rsidRPr="00F1101D">
        <w:rPr>
          <w:lang w:val="en-AU"/>
        </w:rPr>
        <w:t xml:space="preserve"> respectively; </w:t>
      </w:r>
      <w:r w:rsidR="000E608D" w:rsidRPr="00F1101D">
        <w:rPr>
          <w:lang w:val="en-AU"/>
        </w:rPr>
        <w:t>1996</w:t>
      </w:r>
      <w:r w:rsidRPr="00F1101D">
        <w:rPr>
          <w:lang w:val="en-AU"/>
        </w:rPr>
        <w:t>:</w:t>
      </w:r>
      <w:r w:rsidR="000E608D" w:rsidRPr="00F1101D">
        <w:rPr>
          <w:lang w:val="en-AU"/>
        </w:rPr>
        <w:t xml:space="preserve"> 15%</w:t>
      </w:r>
      <w:r w:rsidRPr="00F1101D">
        <w:rPr>
          <w:lang w:val="en-AU"/>
        </w:rPr>
        <w:t xml:space="preserve"> and </w:t>
      </w:r>
      <w:r w:rsidR="000E608D" w:rsidRPr="00F1101D">
        <w:rPr>
          <w:lang w:val="en-AU"/>
        </w:rPr>
        <w:t xml:space="preserve"> 18%</w:t>
      </w:r>
      <w:r w:rsidRPr="00F1101D">
        <w:rPr>
          <w:lang w:val="en-AU"/>
        </w:rPr>
        <w:t xml:space="preserve"> respectively</w:t>
      </w:r>
      <w:r w:rsidR="000E608D" w:rsidRPr="00F1101D">
        <w:rPr>
          <w:lang w:val="en-AU"/>
        </w:rPr>
        <w:t xml:space="preserve">). </w:t>
      </w:r>
      <w:r w:rsidR="002249EB" w:rsidRPr="00F1101D">
        <w:rPr>
          <w:lang w:val="en-AU"/>
        </w:rPr>
        <w:t xml:space="preserve"> The proportion reporting </w:t>
      </w:r>
      <w:r w:rsidR="008A7E12" w:rsidRPr="00F1101D">
        <w:rPr>
          <w:lang w:val="en-AU"/>
        </w:rPr>
        <w:t xml:space="preserve">experiencing trouble </w:t>
      </w:r>
      <w:r w:rsidR="002249EB" w:rsidRPr="00F1101D">
        <w:rPr>
          <w:lang w:val="en-AU"/>
        </w:rPr>
        <w:t xml:space="preserve">paying gas bills varied substantially by DHHS region.  The areas most likely to report </w:t>
      </w:r>
      <w:r w:rsidR="008A7E12" w:rsidRPr="00F1101D">
        <w:rPr>
          <w:lang w:val="en-AU"/>
        </w:rPr>
        <w:t xml:space="preserve">experiencing trouble </w:t>
      </w:r>
      <w:r w:rsidR="002249EB" w:rsidRPr="00F1101D">
        <w:rPr>
          <w:lang w:val="en-AU"/>
        </w:rPr>
        <w:t>were Mallee</w:t>
      </w:r>
      <w:r w:rsidR="002249EB" w:rsidRPr="00F1101D">
        <w:rPr>
          <w:rStyle w:val="CommentReference"/>
          <w:vertAlign w:val="superscript"/>
          <w:lang w:val="en-AU"/>
        </w:rPr>
        <w:footnoteReference w:id="15"/>
      </w:r>
      <w:r w:rsidR="002249EB" w:rsidRPr="00F1101D">
        <w:rPr>
          <w:lang w:val="en-AU"/>
        </w:rPr>
        <w:t xml:space="preserve"> </w:t>
      </w:r>
      <w:r w:rsidR="00F1101D" w:rsidRPr="00F1101D">
        <w:rPr>
          <w:lang w:val="en-AU"/>
        </w:rPr>
        <w:t xml:space="preserve">and </w:t>
      </w:r>
      <w:r w:rsidR="002249EB" w:rsidRPr="00F1101D">
        <w:rPr>
          <w:lang w:val="en-AU"/>
        </w:rPr>
        <w:t>Brimbank Melton (</w:t>
      </w:r>
      <w:r w:rsidR="00F1101D" w:rsidRPr="00F1101D">
        <w:rPr>
          <w:lang w:val="en-AU"/>
        </w:rPr>
        <w:t xml:space="preserve">both </w:t>
      </w:r>
      <w:r w:rsidR="002249EB" w:rsidRPr="00F1101D">
        <w:rPr>
          <w:lang w:val="en-AU"/>
        </w:rPr>
        <w:t>19%) and Central Highlands (18%).  In contrast, only 4% o</w:t>
      </w:r>
      <w:r w:rsidR="008C6833" w:rsidRPr="00F1101D">
        <w:rPr>
          <w:lang w:val="en-AU"/>
        </w:rPr>
        <w:t>f</w:t>
      </w:r>
      <w:r w:rsidR="002249EB" w:rsidRPr="00F1101D">
        <w:rPr>
          <w:lang w:val="en-AU"/>
        </w:rPr>
        <w:t xml:space="preserve"> respondents from Inner </w:t>
      </w:r>
      <w:r w:rsidR="007E63A1" w:rsidRPr="00F1101D">
        <w:rPr>
          <w:lang w:val="en-AU"/>
        </w:rPr>
        <w:t>E</w:t>
      </w:r>
      <w:r w:rsidR="002249EB" w:rsidRPr="00F1101D">
        <w:rPr>
          <w:lang w:val="en-AU"/>
        </w:rPr>
        <w:t xml:space="preserve">astern Melbourne region and 5% from Southern Melbourne had </w:t>
      </w:r>
      <w:r w:rsidR="008A7E12" w:rsidRPr="00F1101D">
        <w:rPr>
          <w:lang w:val="en-AU"/>
        </w:rPr>
        <w:t xml:space="preserve">experienced problems </w:t>
      </w:r>
      <w:r w:rsidR="002249EB" w:rsidRPr="00F1101D">
        <w:rPr>
          <w:lang w:val="en-AU"/>
        </w:rPr>
        <w:t xml:space="preserve">paying their gas bill. </w:t>
      </w:r>
    </w:p>
    <w:p w14:paraId="7B42FEBA" w14:textId="77777777" w:rsidR="000E608D" w:rsidRPr="00245A3A" w:rsidRDefault="000E608D" w:rsidP="000E608D">
      <w:pPr>
        <w:pStyle w:val="Para"/>
        <w:rPr>
          <w:highlight w:val="yellow"/>
          <w:lang w:val="en-AU"/>
        </w:rPr>
      </w:pPr>
    </w:p>
    <w:p w14:paraId="54330E8B" w14:textId="54ECC44F" w:rsidR="0043701C" w:rsidRPr="00F1101D" w:rsidRDefault="002249EB" w:rsidP="0043701C">
      <w:pPr>
        <w:pStyle w:val="Para"/>
        <w:rPr>
          <w:lang w:val="en-AU"/>
        </w:rPr>
      </w:pPr>
      <w:r w:rsidRPr="00F1101D">
        <w:rPr>
          <w:lang w:val="en-AU"/>
        </w:rPr>
        <w:t>As with electricity, and consistent with previous surveys, other concession households (2</w:t>
      </w:r>
      <w:r w:rsidR="00F1101D" w:rsidRPr="00F1101D">
        <w:rPr>
          <w:lang w:val="en-AU"/>
        </w:rPr>
        <w:t>0</w:t>
      </w:r>
      <w:r w:rsidRPr="00F1101D">
        <w:rPr>
          <w:lang w:val="en-AU"/>
        </w:rPr>
        <w:t xml:space="preserve">%) were substantially more likely than non-concession or aged concession households (both 5%) to report </w:t>
      </w:r>
      <w:r w:rsidR="008A7E12" w:rsidRPr="00F1101D">
        <w:rPr>
          <w:lang w:val="en-AU"/>
        </w:rPr>
        <w:t xml:space="preserve">experiencing trouble </w:t>
      </w:r>
      <w:r w:rsidRPr="00F1101D">
        <w:rPr>
          <w:lang w:val="en-AU"/>
        </w:rPr>
        <w:t xml:space="preserve">paying their gas bill.  </w:t>
      </w:r>
      <w:r w:rsidR="0043701C" w:rsidRPr="00F1101D">
        <w:rPr>
          <w:lang w:val="en-AU"/>
        </w:rPr>
        <w:t>In 2007, the proportions for other concession and aged concession respondents were 27% and 3% respectively.</w:t>
      </w:r>
    </w:p>
    <w:p w14:paraId="45C1D6C4" w14:textId="77777777" w:rsidR="00A11F90" w:rsidRPr="00245A3A" w:rsidRDefault="00A11F90" w:rsidP="000E608D">
      <w:pPr>
        <w:pStyle w:val="Para"/>
        <w:rPr>
          <w:highlight w:val="yellow"/>
          <w:lang w:val="en-AU"/>
        </w:rPr>
      </w:pPr>
    </w:p>
    <w:p w14:paraId="3859091A" w14:textId="77777777" w:rsidR="00A11F90" w:rsidRPr="00F1101D" w:rsidRDefault="000E608D" w:rsidP="00A11F90">
      <w:pPr>
        <w:pStyle w:val="Para"/>
        <w:rPr>
          <w:lang w:val="en-AU"/>
        </w:rPr>
      </w:pPr>
      <w:r w:rsidRPr="00F1101D">
        <w:rPr>
          <w:lang w:val="en-AU"/>
        </w:rPr>
        <w:t xml:space="preserve">Like previous surveys, the incidence of </w:t>
      </w:r>
      <w:r w:rsidR="008A7E12" w:rsidRPr="00F1101D">
        <w:rPr>
          <w:lang w:val="en-AU"/>
        </w:rPr>
        <w:t xml:space="preserve">having experienced </w:t>
      </w:r>
      <w:r w:rsidRPr="00F1101D">
        <w:rPr>
          <w:lang w:val="en-AU"/>
        </w:rPr>
        <w:t xml:space="preserve">financial problems in paying </w:t>
      </w:r>
      <w:r w:rsidR="001808C5" w:rsidRPr="00F1101D">
        <w:rPr>
          <w:lang w:val="en-AU"/>
        </w:rPr>
        <w:t>gas</w:t>
      </w:r>
      <w:r w:rsidRPr="00F1101D">
        <w:rPr>
          <w:lang w:val="en-AU"/>
        </w:rPr>
        <w:t xml:space="preserve"> bills tended to increase with household size (9% for 1 person, 7% for 2 people, 1</w:t>
      </w:r>
      <w:r w:rsidR="00A11F90" w:rsidRPr="00F1101D">
        <w:rPr>
          <w:lang w:val="en-AU"/>
        </w:rPr>
        <w:t>0</w:t>
      </w:r>
      <w:r w:rsidRPr="00F1101D">
        <w:rPr>
          <w:lang w:val="en-AU"/>
        </w:rPr>
        <w:t>% for 3 people, and 1</w:t>
      </w:r>
      <w:r w:rsidR="00F1101D" w:rsidRPr="00F1101D">
        <w:rPr>
          <w:lang w:val="en-AU"/>
        </w:rPr>
        <w:t>0</w:t>
      </w:r>
      <w:r w:rsidRPr="00F1101D">
        <w:rPr>
          <w:lang w:val="en-AU"/>
        </w:rPr>
        <w:t>% for 4 or more people).</w:t>
      </w:r>
      <w:r w:rsidR="00A11F90" w:rsidRPr="00F1101D">
        <w:rPr>
          <w:lang w:val="en-AU"/>
        </w:rPr>
        <w:t xml:space="preserve">  The corresponding proportions in 2007 were 9%, 7%, 13% and 15% respectively. </w:t>
      </w:r>
    </w:p>
    <w:p w14:paraId="4ABEF380" w14:textId="77777777" w:rsidR="000E608D" w:rsidRPr="00245A3A" w:rsidRDefault="000E608D" w:rsidP="000E608D">
      <w:pPr>
        <w:pStyle w:val="Para"/>
        <w:rPr>
          <w:highlight w:val="yellow"/>
          <w:lang w:val="en-AU"/>
        </w:rPr>
      </w:pPr>
    </w:p>
    <w:p w14:paraId="1A90532A" w14:textId="41B7AE53" w:rsidR="000E608D" w:rsidRPr="00E0754C" w:rsidRDefault="00100168" w:rsidP="000E608D">
      <w:pPr>
        <w:pStyle w:val="Para"/>
        <w:rPr>
          <w:lang w:val="en-AU"/>
        </w:rPr>
      </w:pPr>
      <w:r w:rsidRPr="00E0754C">
        <w:rPr>
          <w:lang w:val="en-AU"/>
        </w:rPr>
        <w:t>One-quarter (2</w:t>
      </w:r>
      <w:r w:rsidR="00F1101D" w:rsidRPr="00E0754C">
        <w:rPr>
          <w:lang w:val="en-AU"/>
        </w:rPr>
        <w:t>5</w:t>
      </w:r>
      <w:r w:rsidRPr="00E0754C">
        <w:rPr>
          <w:lang w:val="en-AU"/>
        </w:rPr>
        <w:t>%)</w:t>
      </w:r>
      <w:r w:rsidR="000E608D" w:rsidRPr="00E0754C">
        <w:rPr>
          <w:lang w:val="en-AU"/>
        </w:rPr>
        <w:t xml:space="preserve"> of households in the public rental sector had experienced problems paying </w:t>
      </w:r>
      <w:r w:rsidR="001808C5" w:rsidRPr="00E0754C">
        <w:rPr>
          <w:lang w:val="en-AU"/>
        </w:rPr>
        <w:t>gas</w:t>
      </w:r>
      <w:r w:rsidR="000E608D" w:rsidRPr="00E0754C">
        <w:rPr>
          <w:lang w:val="en-AU"/>
        </w:rPr>
        <w:t xml:space="preserve"> bills (</w:t>
      </w:r>
      <w:r w:rsidRPr="00E0754C">
        <w:rPr>
          <w:lang w:val="en-AU"/>
        </w:rPr>
        <w:t xml:space="preserve">down from </w:t>
      </w:r>
      <w:r w:rsidR="000E608D" w:rsidRPr="00E0754C">
        <w:rPr>
          <w:lang w:val="en-AU"/>
        </w:rPr>
        <w:t>36%</w:t>
      </w:r>
      <w:r w:rsidRPr="00E0754C">
        <w:rPr>
          <w:lang w:val="en-AU"/>
        </w:rPr>
        <w:t xml:space="preserve"> in 2007, and compared with 22% in 2001 and 38% in 1996</w:t>
      </w:r>
      <w:r w:rsidR="000E608D" w:rsidRPr="00E0754C">
        <w:rPr>
          <w:lang w:val="en-AU"/>
        </w:rPr>
        <w:t>)</w:t>
      </w:r>
      <w:r w:rsidRPr="00E0754C">
        <w:rPr>
          <w:lang w:val="en-AU"/>
        </w:rPr>
        <w:t xml:space="preserve">.  Nineteen per cent </w:t>
      </w:r>
      <w:r w:rsidR="000E608D" w:rsidRPr="00E0754C">
        <w:rPr>
          <w:lang w:val="en-AU"/>
        </w:rPr>
        <w:t xml:space="preserve">of those renting privately </w:t>
      </w:r>
      <w:r w:rsidRPr="00E0754C">
        <w:rPr>
          <w:lang w:val="en-AU"/>
        </w:rPr>
        <w:t>had experienced problems</w:t>
      </w:r>
      <w:r w:rsidR="000E608D" w:rsidRPr="00E0754C">
        <w:rPr>
          <w:lang w:val="en-AU"/>
        </w:rPr>
        <w:t xml:space="preserve"> (</w:t>
      </w:r>
      <w:r w:rsidRPr="00E0754C">
        <w:rPr>
          <w:lang w:val="en-AU"/>
        </w:rPr>
        <w:t xml:space="preserve">down from </w:t>
      </w:r>
      <w:r w:rsidR="000E608D" w:rsidRPr="00E0754C">
        <w:rPr>
          <w:lang w:val="en-AU"/>
        </w:rPr>
        <w:t>26%</w:t>
      </w:r>
      <w:r w:rsidRPr="00E0754C">
        <w:rPr>
          <w:lang w:val="en-AU"/>
        </w:rPr>
        <w:t xml:space="preserve"> in 2007</w:t>
      </w:r>
      <w:r w:rsidR="000E608D" w:rsidRPr="00E0754C">
        <w:rPr>
          <w:lang w:val="en-AU"/>
        </w:rPr>
        <w:t xml:space="preserve">). </w:t>
      </w:r>
      <w:r w:rsidRPr="00E0754C">
        <w:rPr>
          <w:lang w:val="en-AU"/>
        </w:rPr>
        <w:t xml:space="preserve"> As in 2007, only 6% of </w:t>
      </w:r>
      <w:r w:rsidR="000E608D" w:rsidRPr="00E0754C">
        <w:rPr>
          <w:lang w:val="en-AU"/>
        </w:rPr>
        <w:t xml:space="preserve">owner/buyers had experienced financial </w:t>
      </w:r>
      <w:r w:rsidR="008A7E12" w:rsidRPr="00E0754C">
        <w:rPr>
          <w:lang w:val="en-AU"/>
        </w:rPr>
        <w:t xml:space="preserve">trouble </w:t>
      </w:r>
      <w:r w:rsidR="000E608D" w:rsidRPr="00E0754C">
        <w:rPr>
          <w:lang w:val="en-AU"/>
        </w:rPr>
        <w:t xml:space="preserve">in paying their </w:t>
      </w:r>
      <w:r w:rsidR="001808C5" w:rsidRPr="00E0754C">
        <w:rPr>
          <w:lang w:val="en-AU"/>
        </w:rPr>
        <w:t>gas</w:t>
      </w:r>
      <w:r w:rsidR="000E608D" w:rsidRPr="00E0754C">
        <w:rPr>
          <w:lang w:val="en-AU"/>
        </w:rPr>
        <w:t xml:space="preserve"> bills. </w:t>
      </w:r>
    </w:p>
    <w:p w14:paraId="2DD327AF" w14:textId="77777777" w:rsidR="00100168" w:rsidRPr="00E0754C" w:rsidRDefault="00100168" w:rsidP="000E608D">
      <w:pPr>
        <w:pStyle w:val="Para"/>
        <w:rPr>
          <w:lang w:val="en-AU"/>
        </w:rPr>
      </w:pPr>
    </w:p>
    <w:p w14:paraId="18A62B9C" w14:textId="332CB233" w:rsidR="00100168" w:rsidRPr="00E0754C" w:rsidRDefault="000E608D" w:rsidP="000E608D">
      <w:pPr>
        <w:pStyle w:val="Para"/>
        <w:rPr>
          <w:lang w:val="en-AU"/>
        </w:rPr>
      </w:pPr>
      <w:r w:rsidRPr="00E0754C">
        <w:rPr>
          <w:lang w:val="en-AU"/>
        </w:rPr>
        <w:t xml:space="preserve">Of households that had ever had </w:t>
      </w:r>
      <w:r w:rsidR="00785A2B" w:rsidRPr="00E0754C">
        <w:rPr>
          <w:lang w:val="en-AU"/>
        </w:rPr>
        <w:t>difficulty</w:t>
      </w:r>
      <w:r w:rsidRPr="00E0754C">
        <w:rPr>
          <w:lang w:val="en-AU"/>
        </w:rPr>
        <w:t xml:space="preserve"> paying their </w:t>
      </w:r>
      <w:r w:rsidR="00100168" w:rsidRPr="00E0754C">
        <w:rPr>
          <w:lang w:val="en-AU"/>
        </w:rPr>
        <w:t>gas</w:t>
      </w:r>
      <w:r w:rsidRPr="00E0754C">
        <w:rPr>
          <w:lang w:val="en-AU"/>
        </w:rPr>
        <w:t xml:space="preserve"> bills</w:t>
      </w:r>
      <w:r w:rsidR="00100168" w:rsidRPr="00E0754C">
        <w:rPr>
          <w:lang w:val="en-AU"/>
        </w:rPr>
        <w:t xml:space="preserve"> (n=114)</w:t>
      </w:r>
      <w:r w:rsidRPr="00E0754C">
        <w:rPr>
          <w:lang w:val="en-AU"/>
        </w:rPr>
        <w:t xml:space="preserve">, </w:t>
      </w:r>
      <w:r w:rsidR="00140665" w:rsidRPr="00E0754C">
        <w:rPr>
          <w:lang w:val="en-AU"/>
        </w:rPr>
        <w:t>1</w:t>
      </w:r>
      <w:r w:rsidR="00E0754C" w:rsidRPr="00E0754C">
        <w:rPr>
          <w:lang w:val="en-AU"/>
        </w:rPr>
        <w:t>8</w:t>
      </w:r>
      <w:r w:rsidR="00140665" w:rsidRPr="00E0754C">
        <w:rPr>
          <w:lang w:val="en-AU"/>
        </w:rPr>
        <w:t xml:space="preserve">% </w:t>
      </w:r>
      <w:r w:rsidR="00140665" w:rsidRPr="00E0754C">
        <w:rPr>
          <w:i/>
          <w:lang w:val="en-AU"/>
        </w:rPr>
        <w:t>always</w:t>
      </w:r>
      <w:r w:rsidR="00140665" w:rsidRPr="00E0754C">
        <w:rPr>
          <w:lang w:val="en-AU"/>
        </w:rPr>
        <w:t xml:space="preserve"> had </w:t>
      </w:r>
      <w:r w:rsidR="008A7E12" w:rsidRPr="00E0754C">
        <w:rPr>
          <w:lang w:val="en-AU"/>
        </w:rPr>
        <w:t>difficulty paying</w:t>
      </w:r>
      <w:r w:rsidR="00140665" w:rsidRPr="00E0754C">
        <w:rPr>
          <w:lang w:val="en-AU"/>
        </w:rPr>
        <w:t xml:space="preserve">, </w:t>
      </w:r>
      <w:r w:rsidR="00100168" w:rsidRPr="00E0754C">
        <w:rPr>
          <w:lang w:val="en-AU"/>
        </w:rPr>
        <w:t>4</w:t>
      </w:r>
      <w:r w:rsidR="00E0754C" w:rsidRPr="00E0754C">
        <w:rPr>
          <w:lang w:val="en-AU"/>
        </w:rPr>
        <w:t>0</w:t>
      </w:r>
      <w:r w:rsidR="00100168" w:rsidRPr="00E0754C">
        <w:rPr>
          <w:lang w:val="en-AU"/>
        </w:rPr>
        <w:t xml:space="preserve">% </w:t>
      </w:r>
      <w:r w:rsidR="00100168" w:rsidRPr="00E0754C">
        <w:rPr>
          <w:i/>
          <w:lang w:val="en-AU"/>
        </w:rPr>
        <w:t>sometimes</w:t>
      </w:r>
      <w:r w:rsidR="00100168" w:rsidRPr="00E0754C">
        <w:rPr>
          <w:lang w:val="en-AU"/>
        </w:rPr>
        <w:t xml:space="preserve"> had difficulty</w:t>
      </w:r>
      <w:r w:rsidR="00140665" w:rsidRPr="00E0754C">
        <w:rPr>
          <w:lang w:val="en-AU"/>
        </w:rPr>
        <w:t xml:space="preserve"> and</w:t>
      </w:r>
      <w:r w:rsidR="00100168" w:rsidRPr="00E0754C">
        <w:rPr>
          <w:lang w:val="en-AU"/>
        </w:rPr>
        <w:t xml:space="preserve"> 34% </w:t>
      </w:r>
      <w:r w:rsidR="00100168" w:rsidRPr="00E0754C">
        <w:rPr>
          <w:i/>
          <w:lang w:val="en-AU"/>
        </w:rPr>
        <w:t>hardly ever</w:t>
      </w:r>
      <w:r w:rsidR="00100168" w:rsidRPr="00E0754C">
        <w:rPr>
          <w:lang w:val="en-AU"/>
        </w:rPr>
        <w:t xml:space="preserve"> had </w:t>
      </w:r>
      <w:r w:rsidR="008A7E12" w:rsidRPr="00E0754C">
        <w:rPr>
          <w:lang w:val="en-AU"/>
        </w:rPr>
        <w:t>difficulty</w:t>
      </w:r>
      <w:r w:rsidR="00140665" w:rsidRPr="00E0754C">
        <w:rPr>
          <w:lang w:val="en-AU"/>
        </w:rPr>
        <w:t>.</w:t>
      </w:r>
      <w:r w:rsidR="00100168" w:rsidRPr="00E0754C">
        <w:rPr>
          <w:lang w:val="en-AU"/>
        </w:rPr>
        <w:t xml:space="preserve">  The corresponding proportions in 2007 were </w:t>
      </w:r>
      <w:r w:rsidR="00140665" w:rsidRPr="00E0754C">
        <w:rPr>
          <w:lang w:val="en-AU"/>
        </w:rPr>
        <w:t xml:space="preserve">15%, </w:t>
      </w:r>
      <w:r w:rsidR="00100168" w:rsidRPr="00E0754C">
        <w:rPr>
          <w:lang w:val="en-AU"/>
        </w:rPr>
        <w:t>54%</w:t>
      </w:r>
      <w:r w:rsidR="00140665" w:rsidRPr="00E0754C">
        <w:rPr>
          <w:lang w:val="en-AU"/>
        </w:rPr>
        <w:t xml:space="preserve"> and</w:t>
      </w:r>
      <w:r w:rsidR="00100168" w:rsidRPr="00E0754C">
        <w:rPr>
          <w:lang w:val="en-AU"/>
        </w:rPr>
        <w:t xml:space="preserve"> 30% respectively, and in 2001 the proportions were </w:t>
      </w:r>
      <w:r w:rsidR="00140665" w:rsidRPr="00E0754C">
        <w:rPr>
          <w:lang w:val="en-AU"/>
        </w:rPr>
        <w:t xml:space="preserve">15%, </w:t>
      </w:r>
      <w:r w:rsidR="00100168" w:rsidRPr="00E0754C">
        <w:rPr>
          <w:lang w:val="en-AU"/>
        </w:rPr>
        <w:t>50%</w:t>
      </w:r>
      <w:r w:rsidR="00140665" w:rsidRPr="00E0754C">
        <w:rPr>
          <w:lang w:val="en-AU"/>
        </w:rPr>
        <w:t xml:space="preserve"> and </w:t>
      </w:r>
      <w:r w:rsidR="00100168" w:rsidRPr="00E0754C">
        <w:rPr>
          <w:lang w:val="en-AU"/>
        </w:rPr>
        <w:t>35% respectively.</w:t>
      </w:r>
      <w:r w:rsidR="004B14EA" w:rsidRPr="00E0754C">
        <w:rPr>
          <w:lang w:val="en-AU"/>
        </w:rPr>
        <w:t xml:space="preserve">  </w:t>
      </w:r>
    </w:p>
    <w:p w14:paraId="39E3BAA4" w14:textId="77777777" w:rsidR="00100168" w:rsidRDefault="00100168" w:rsidP="000E608D">
      <w:pPr>
        <w:pStyle w:val="Para"/>
        <w:rPr>
          <w:lang w:val="en-AU"/>
        </w:rPr>
      </w:pPr>
    </w:p>
    <w:p w14:paraId="3BEABC8C" w14:textId="76A8BC7E" w:rsidR="009E0E43" w:rsidRPr="00F1101D" w:rsidRDefault="009E0E43" w:rsidP="009E0E43">
      <w:pPr>
        <w:pStyle w:val="Para"/>
        <w:spacing w:line="340" w:lineRule="atLeast"/>
        <w:rPr>
          <w:lang w:val="en-AU"/>
        </w:rPr>
      </w:pPr>
      <w:r>
        <w:rPr>
          <w:lang w:val="en-AU"/>
        </w:rPr>
        <w:t xml:space="preserve">Households that </w:t>
      </w:r>
      <w:r w:rsidRPr="00162EF6">
        <w:rPr>
          <w:i/>
          <w:lang w:val="en-AU"/>
        </w:rPr>
        <w:t>always</w:t>
      </w:r>
      <w:r>
        <w:rPr>
          <w:lang w:val="en-AU"/>
        </w:rPr>
        <w:t xml:space="preserve"> or </w:t>
      </w:r>
      <w:r w:rsidRPr="009E0E43">
        <w:rPr>
          <w:i/>
          <w:lang w:val="en-AU"/>
        </w:rPr>
        <w:t>sometimes</w:t>
      </w:r>
      <w:r>
        <w:rPr>
          <w:i/>
          <w:lang w:val="en-AU"/>
        </w:rPr>
        <w:t xml:space="preserve"> </w:t>
      </w:r>
      <w:r>
        <w:rPr>
          <w:lang w:val="en-AU"/>
        </w:rPr>
        <w:t xml:space="preserve">had difficulty paying their gas bills used (on average) 54,692 </w:t>
      </w:r>
      <w:r w:rsidR="00DD19AA">
        <w:rPr>
          <w:lang w:val="en-AU"/>
        </w:rPr>
        <w:t>MJ</w:t>
      </w:r>
      <w:r>
        <w:rPr>
          <w:lang w:val="en-AU"/>
        </w:rPr>
        <w:t xml:space="preserve"> per annum, compared with 46,503 </w:t>
      </w:r>
      <w:r w:rsidR="00DD19AA">
        <w:rPr>
          <w:lang w:val="en-AU"/>
        </w:rPr>
        <w:t>MJ</w:t>
      </w:r>
      <w:r>
        <w:rPr>
          <w:lang w:val="en-AU"/>
        </w:rPr>
        <w:t xml:space="preserve"> for households that </w:t>
      </w:r>
      <w:r w:rsidRPr="009E0E43">
        <w:rPr>
          <w:i/>
          <w:lang w:val="en-AU"/>
        </w:rPr>
        <w:t>hardly ever</w:t>
      </w:r>
      <w:r>
        <w:rPr>
          <w:lang w:val="en-AU"/>
        </w:rPr>
        <w:t xml:space="preserve"> or </w:t>
      </w:r>
      <w:r w:rsidRPr="009E0E43">
        <w:rPr>
          <w:i/>
          <w:lang w:val="en-AU"/>
        </w:rPr>
        <w:t xml:space="preserve">never </w:t>
      </w:r>
      <w:r>
        <w:rPr>
          <w:lang w:val="en-AU"/>
        </w:rPr>
        <w:t>had difficulty paying.</w:t>
      </w:r>
    </w:p>
    <w:p w14:paraId="7F37473E" w14:textId="42541B65" w:rsidR="00A32FA3" w:rsidRDefault="00A32FA3">
      <w:pPr>
        <w:spacing w:before="0" w:after="0"/>
        <w:rPr>
          <w:b/>
          <w:lang w:val="en-AU"/>
        </w:rPr>
      </w:pPr>
      <w:bookmarkStart w:id="221" w:name="_Toc439198338"/>
    </w:p>
    <w:p w14:paraId="15B6BFB2" w14:textId="2290D6A9" w:rsidR="003920D8" w:rsidRPr="00E0754C" w:rsidRDefault="000E608D">
      <w:pPr>
        <w:pStyle w:val="Heading3"/>
        <w:tabs>
          <w:tab w:val="clear" w:pos="8517"/>
          <w:tab w:val="num" w:pos="851"/>
        </w:tabs>
        <w:ind w:left="720"/>
        <w:rPr>
          <w:lang w:val="en-AU"/>
        </w:rPr>
      </w:pPr>
      <w:bookmarkStart w:id="222" w:name="_Toc445571715"/>
      <w:r w:rsidRPr="00E0754C">
        <w:rPr>
          <w:lang w:val="en-AU"/>
        </w:rPr>
        <w:t>Water</w:t>
      </w:r>
      <w:bookmarkEnd w:id="221"/>
      <w:r w:rsidR="00E62702">
        <w:rPr>
          <w:lang w:val="en-AU"/>
        </w:rPr>
        <w:t xml:space="preserve"> Payment Difficulties</w:t>
      </w:r>
      <w:bookmarkEnd w:id="222"/>
    </w:p>
    <w:p w14:paraId="4CC543B8" w14:textId="2403CA5F" w:rsidR="000E608D" w:rsidRPr="00DD70A6" w:rsidRDefault="000E608D" w:rsidP="000E608D">
      <w:pPr>
        <w:spacing w:before="0" w:after="0" w:line="340" w:lineRule="exact"/>
        <w:jc w:val="both"/>
        <w:rPr>
          <w:lang w:val="en-AU"/>
        </w:rPr>
      </w:pPr>
      <w:r w:rsidRPr="00DD70A6">
        <w:rPr>
          <w:lang w:val="en-AU"/>
        </w:rPr>
        <w:t>In 20</w:t>
      </w:r>
      <w:r w:rsidR="00F61490" w:rsidRPr="00DD70A6">
        <w:rPr>
          <w:lang w:val="en-AU"/>
        </w:rPr>
        <w:t>14</w:t>
      </w:r>
      <w:r w:rsidRPr="00DD70A6">
        <w:rPr>
          <w:lang w:val="en-AU"/>
        </w:rPr>
        <w:t xml:space="preserve">, </w:t>
      </w:r>
      <w:r w:rsidR="00F61490" w:rsidRPr="00DD70A6">
        <w:rPr>
          <w:lang w:val="en-AU"/>
        </w:rPr>
        <w:t>7</w:t>
      </w:r>
      <w:r w:rsidRPr="00DD70A6">
        <w:rPr>
          <w:lang w:val="en-AU"/>
        </w:rPr>
        <w:t xml:space="preserve">% of all households who received water bills </w:t>
      </w:r>
      <w:r w:rsidR="00F61490" w:rsidRPr="00DD70A6">
        <w:rPr>
          <w:lang w:val="en-AU"/>
        </w:rPr>
        <w:t xml:space="preserve">(n=1,683) </w:t>
      </w:r>
      <w:r w:rsidRPr="00DD70A6">
        <w:rPr>
          <w:lang w:val="en-AU"/>
        </w:rPr>
        <w:t xml:space="preserve">reported that they had experienced </w:t>
      </w:r>
      <w:r w:rsidR="008A7E12" w:rsidRPr="00DD70A6">
        <w:rPr>
          <w:lang w:val="en-AU"/>
        </w:rPr>
        <w:t xml:space="preserve">trouble </w:t>
      </w:r>
      <w:r w:rsidRPr="00DD70A6">
        <w:rPr>
          <w:lang w:val="en-AU"/>
        </w:rPr>
        <w:t xml:space="preserve">paying </w:t>
      </w:r>
      <w:r w:rsidR="001808C5" w:rsidRPr="00DD70A6">
        <w:rPr>
          <w:lang w:val="en-AU"/>
        </w:rPr>
        <w:t>them</w:t>
      </w:r>
      <w:r w:rsidR="00F61490" w:rsidRPr="00DD70A6">
        <w:rPr>
          <w:lang w:val="en-AU"/>
        </w:rPr>
        <w:t>.  This is down from 9% in 2007, and continues the downward trend</w:t>
      </w:r>
      <w:r w:rsidR="00A12FC9" w:rsidRPr="00DD70A6">
        <w:rPr>
          <w:lang w:val="en-AU"/>
        </w:rPr>
        <w:t xml:space="preserve"> over the history of the survey</w:t>
      </w:r>
      <w:r w:rsidR="00F61490" w:rsidRPr="00DD70A6">
        <w:rPr>
          <w:lang w:val="en-AU"/>
        </w:rPr>
        <w:t xml:space="preserve"> (11% in 2001 and 13% in 1996</w:t>
      </w:r>
      <w:r w:rsidR="00A12FC9" w:rsidRPr="00DD70A6">
        <w:rPr>
          <w:lang w:val="en-AU"/>
        </w:rPr>
        <w:t>)</w:t>
      </w:r>
      <w:r w:rsidR="00F61490" w:rsidRPr="00DD70A6">
        <w:rPr>
          <w:lang w:val="en-AU"/>
        </w:rPr>
        <w:t>.</w:t>
      </w:r>
      <w:r w:rsidRPr="00DD70A6">
        <w:rPr>
          <w:lang w:val="en-AU"/>
        </w:rPr>
        <w:t xml:space="preserve"> </w:t>
      </w:r>
    </w:p>
    <w:p w14:paraId="46C3C69B" w14:textId="77777777" w:rsidR="00F61490" w:rsidRPr="00DD70A6" w:rsidRDefault="00F61490" w:rsidP="000E608D">
      <w:pPr>
        <w:spacing w:line="340" w:lineRule="exact"/>
        <w:jc w:val="both"/>
        <w:rPr>
          <w:lang w:val="en-AU"/>
        </w:rPr>
      </w:pPr>
    </w:p>
    <w:p w14:paraId="5FA6FD33" w14:textId="5EC33ECD" w:rsidR="000E608D" w:rsidRPr="00DD70A6" w:rsidRDefault="00F61490" w:rsidP="000E608D">
      <w:pPr>
        <w:spacing w:line="340" w:lineRule="exact"/>
        <w:jc w:val="both"/>
        <w:rPr>
          <w:lang w:val="en-AU"/>
        </w:rPr>
      </w:pPr>
      <w:r w:rsidRPr="00DD70A6">
        <w:rPr>
          <w:lang w:val="en-AU"/>
        </w:rPr>
        <w:t xml:space="preserve">Respondents from Melbourne (6%) were less likely than those from country Victoria (10%) to report </w:t>
      </w:r>
      <w:r w:rsidR="008A7E12" w:rsidRPr="00DD70A6">
        <w:rPr>
          <w:lang w:val="en-AU"/>
        </w:rPr>
        <w:t>having experienced trouble</w:t>
      </w:r>
      <w:r w:rsidRPr="00DD70A6">
        <w:rPr>
          <w:lang w:val="en-AU"/>
        </w:rPr>
        <w:t xml:space="preserve"> paying their water bills.  These results are similar to those of 2007 (</w:t>
      </w:r>
      <w:r w:rsidR="000E608D" w:rsidRPr="00DD70A6">
        <w:rPr>
          <w:lang w:val="en-AU"/>
        </w:rPr>
        <w:t xml:space="preserve">8% </w:t>
      </w:r>
      <w:r w:rsidRPr="00DD70A6">
        <w:rPr>
          <w:lang w:val="en-AU"/>
        </w:rPr>
        <w:t xml:space="preserve">and </w:t>
      </w:r>
      <w:r w:rsidR="000E608D" w:rsidRPr="00DD70A6">
        <w:rPr>
          <w:lang w:val="en-AU"/>
        </w:rPr>
        <w:t>10%)</w:t>
      </w:r>
      <w:r w:rsidRPr="00DD70A6">
        <w:rPr>
          <w:lang w:val="en-AU"/>
        </w:rPr>
        <w:t xml:space="preserve"> and </w:t>
      </w:r>
      <w:r w:rsidR="00D87C4B" w:rsidRPr="00DD70A6">
        <w:rPr>
          <w:lang w:val="en-AU"/>
        </w:rPr>
        <w:t>similar to</w:t>
      </w:r>
      <w:r w:rsidRPr="00DD70A6">
        <w:rPr>
          <w:lang w:val="en-AU"/>
        </w:rPr>
        <w:t xml:space="preserve"> prior surveys.  The DHHS regions with the highest proportion of respondents experiencing </w:t>
      </w:r>
      <w:r w:rsidR="008A7E12" w:rsidRPr="00DD70A6">
        <w:rPr>
          <w:lang w:val="en-AU"/>
        </w:rPr>
        <w:t xml:space="preserve">trouble </w:t>
      </w:r>
      <w:r w:rsidRPr="00DD70A6">
        <w:rPr>
          <w:lang w:val="en-AU"/>
        </w:rPr>
        <w:t>paying water bills were Brimbank Melton (1</w:t>
      </w:r>
      <w:r w:rsidR="00DD70A6" w:rsidRPr="00DD70A6">
        <w:rPr>
          <w:lang w:val="en-AU"/>
        </w:rPr>
        <w:t>7</w:t>
      </w:r>
      <w:r w:rsidRPr="00DD70A6">
        <w:rPr>
          <w:lang w:val="en-AU"/>
        </w:rPr>
        <w:t xml:space="preserve">%) and Inner Gippsland (16%).  In contrast, only 2% of respondents from Inner Eastern Melbourne or Outer Gippsland </w:t>
      </w:r>
      <w:r w:rsidR="008A7E12" w:rsidRPr="00DD70A6">
        <w:rPr>
          <w:lang w:val="en-AU"/>
        </w:rPr>
        <w:t xml:space="preserve">had </w:t>
      </w:r>
      <w:r w:rsidRPr="00DD70A6">
        <w:rPr>
          <w:lang w:val="en-AU"/>
        </w:rPr>
        <w:t xml:space="preserve">experienced such </w:t>
      </w:r>
      <w:r w:rsidR="008A7E12" w:rsidRPr="00DD70A6">
        <w:rPr>
          <w:lang w:val="en-AU"/>
        </w:rPr>
        <w:t>problems</w:t>
      </w:r>
      <w:r w:rsidRPr="00DD70A6">
        <w:rPr>
          <w:lang w:val="en-AU"/>
        </w:rPr>
        <w:t>.</w:t>
      </w:r>
    </w:p>
    <w:p w14:paraId="244C8604" w14:textId="77777777" w:rsidR="00F61490" w:rsidRPr="00245A3A" w:rsidRDefault="00F61490" w:rsidP="000E608D">
      <w:pPr>
        <w:spacing w:line="340" w:lineRule="exact"/>
        <w:jc w:val="both"/>
        <w:rPr>
          <w:highlight w:val="yellow"/>
          <w:lang w:val="en-AU"/>
        </w:rPr>
      </w:pPr>
    </w:p>
    <w:p w14:paraId="26BDFDEE" w14:textId="13C9CD70" w:rsidR="000E608D" w:rsidRPr="00DD70A6" w:rsidRDefault="0043701C" w:rsidP="0064058C">
      <w:pPr>
        <w:spacing w:line="340" w:lineRule="exact"/>
        <w:jc w:val="both"/>
        <w:rPr>
          <w:lang w:val="en-AU"/>
        </w:rPr>
      </w:pPr>
      <w:r w:rsidRPr="00DD70A6">
        <w:rPr>
          <w:lang w:val="en-AU"/>
        </w:rPr>
        <w:t>As with electricity and gas, and consistent with previous surveys, other concession households (1</w:t>
      </w:r>
      <w:r w:rsidR="00DD70A6" w:rsidRPr="00DD70A6">
        <w:rPr>
          <w:lang w:val="en-AU"/>
        </w:rPr>
        <w:t>5</w:t>
      </w:r>
      <w:r w:rsidRPr="00DD70A6">
        <w:rPr>
          <w:lang w:val="en-AU"/>
        </w:rPr>
        <w:t xml:space="preserve">%) were substantially more likely than non-concession (5%) or aged concession households (4%) to report </w:t>
      </w:r>
      <w:r w:rsidR="008A7E12" w:rsidRPr="00DD70A6">
        <w:rPr>
          <w:lang w:val="en-AU"/>
        </w:rPr>
        <w:t xml:space="preserve">having experienced </w:t>
      </w:r>
      <w:r w:rsidR="00BC6314" w:rsidRPr="00DD70A6">
        <w:rPr>
          <w:lang w:val="en-AU"/>
        </w:rPr>
        <w:t>problems paying</w:t>
      </w:r>
      <w:r w:rsidRPr="00DD70A6">
        <w:rPr>
          <w:lang w:val="en-AU"/>
        </w:rPr>
        <w:t xml:space="preserve"> their water bill.  In 2007, the proportions for other concession and aged concession respondents were 22% and 3% respectively (2001: 23% and </w:t>
      </w:r>
      <w:r w:rsidR="000E608D" w:rsidRPr="00DD70A6">
        <w:rPr>
          <w:lang w:val="en-AU"/>
        </w:rPr>
        <w:t>5%</w:t>
      </w:r>
      <w:r w:rsidRPr="00DD70A6">
        <w:rPr>
          <w:lang w:val="en-AU"/>
        </w:rPr>
        <w:t xml:space="preserve"> respectively; </w:t>
      </w:r>
      <w:r w:rsidR="000E608D" w:rsidRPr="00DD70A6">
        <w:rPr>
          <w:lang w:val="en-AU"/>
        </w:rPr>
        <w:t>1996</w:t>
      </w:r>
      <w:r w:rsidRPr="00DD70A6">
        <w:rPr>
          <w:lang w:val="en-AU"/>
        </w:rPr>
        <w:t>:</w:t>
      </w:r>
      <w:r w:rsidR="000E608D" w:rsidRPr="00DD70A6">
        <w:rPr>
          <w:lang w:val="en-AU"/>
        </w:rPr>
        <w:t xml:space="preserve"> 30%</w:t>
      </w:r>
      <w:r w:rsidRPr="00DD70A6">
        <w:rPr>
          <w:lang w:val="en-AU"/>
        </w:rPr>
        <w:t xml:space="preserve"> and </w:t>
      </w:r>
      <w:r w:rsidR="000E608D" w:rsidRPr="00DD70A6">
        <w:rPr>
          <w:lang w:val="en-AU"/>
        </w:rPr>
        <w:t>5%</w:t>
      </w:r>
      <w:r w:rsidRPr="00DD70A6">
        <w:rPr>
          <w:lang w:val="en-AU"/>
        </w:rPr>
        <w:t xml:space="preserve"> respectively</w:t>
      </w:r>
      <w:r w:rsidR="000E608D" w:rsidRPr="00DD70A6">
        <w:rPr>
          <w:lang w:val="en-AU"/>
        </w:rPr>
        <w:t xml:space="preserve">). </w:t>
      </w:r>
      <w:r w:rsidRPr="00DD70A6">
        <w:rPr>
          <w:lang w:val="en-AU"/>
        </w:rPr>
        <w:t xml:space="preserve"> Overall, the trend since 1996 has been a decline in the proportion of non-concession households experiencing trouble paying their water bill, and particularly so since the previous survey in 2007.</w:t>
      </w:r>
    </w:p>
    <w:p w14:paraId="61C348F5" w14:textId="77777777" w:rsidR="000E608D" w:rsidRPr="00245A3A" w:rsidRDefault="000E608D" w:rsidP="000E608D">
      <w:pPr>
        <w:spacing w:line="340" w:lineRule="exact"/>
        <w:jc w:val="both"/>
        <w:rPr>
          <w:highlight w:val="yellow"/>
          <w:lang w:val="en-AU"/>
        </w:rPr>
      </w:pPr>
    </w:p>
    <w:p w14:paraId="1BD2D35F" w14:textId="436D7B69" w:rsidR="00BB0571" w:rsidRPr="00DD70A6" w:rsidRDefault="00BB0571" w:rsidP="0064058C">
      <w:pPr>
        <w:spacing w:line="340" w:lineRule="exact"/>
        <w:jc w:val="both"/>
        <w:rPr>
          <w:lang w:val="en-AU"/>
        </w:rPr>
      </w:pPr>
      <w:r w:rsidRPr="00DD70A6">
        <w:rPr>
          <w:lang w:val="en-AU"/>
        </w:rPr>
        <w:lastRenderedPageBreak/>
        <w:t>In 2007, h</w:t>
      </w:r>
      <w:r w:rsidR="000E608D" w:rsidRPr="00DD70A6">
        <w:rPr>
          <w:lang w:val="en-AU"/>
        </w:rPr>
        <w:t xml:space="preserve">ouseholds with four or more people </w:t>
      </w:r>
      <w:r w:rsidR="00D87C4B" w:rsidRPr="00DD70A6">
        <w:rPr>
          <w:lang w:val="en-AU"/>
        </w:rPr>
        <w:t>had been</w:t>
      </w:r>
      <w:r w:rsidR="000E608D" w:rsidRPr="00DD70A6">
        <w:rPr>
          <w:lang w:val="en-AU"/>
        </w:rPr>
        <w:t xml:space="preserve"> more likely than smaller households to report </w:t>
      </w:r>
      <w:r w:rsidR="008A7E12" w:rsidRPr="00DD70A6">
        <w:rPr>
          <w:lang w:val="en-AU"/>
        </w:rPr>
        <w:t xml:space="preserve"> having experienced trouble </w:t>
      </w:r>
      <w:r w:rsidR="000E608D" w:rsidRPr="00DD70A6">
        <w:rPr>
          <w:lang w:val="en-AU"/>
        </w:rPr>
        <w:t>paying their water bills (15% 4+ person households, 8% 3 person households, 6% 2 person households and 5% one person households).  Similar trends were apparent in both 2001 (15% 4+ person households, 11% 3 person households, 8% 2 person households and 6% one person households) and 1996 (18% 4+ person households, 17% 3 person households, 8% 2 person and single person households).</w:t>
      </w:r>
      <w:r w:rsidRPr="00DD70A6">
        <w:rPr>
          <w:lang w:val="en-AU"/>
        </w:rPr>
        <w:t xml:space="preserve">  This </w:t>
      </w:r>
      <w:r w:rsidR="00D87C4B" w:rsidRPr="00DD70A6">
        <w:rPr>
          <w:lang w:val="en-AU"/>
        </w:rPr>
        <w:t>pattern</w:t>
      </w:r>
      <w:r w:rsidRPr="00DD70A6">
        <w:rPr>
          <w:lang w:val="en-AU"/>
        </w:rPr>
        <w:t xml:space="preserve"> was less evident in 2014, with 6% of single person households reporting </w:t>
      </w:r>
      <w:r w:rsidR="008A7E12" w:rsidRPr="00DD70A6">
        <w:rPr>
          <w:lang w:val="en-AU"/>
        </w:rPr>
        <w:t xml:space="preserve">having experienced </w:t>
      </w:r>
      <w:r w:rsidRPr="00DD70A6">
        <w:rPr>
          <w:lang w:val="en-AU"/>
        </w:rPr>
        <w:t xml:space="preserve">trouble paying their water bill, compared with 5% of two person, 10% of three person and 8% of four person households. </w:t>
      </w:r>
    </w:p>
    <w:p w14:paraId="02039A5D" w14:textId="77777777" w:rsidR="0064058C" w:rsidRPr="00DD70A6" w:rsidRDefault="0064058C" w:rsidP="0064058C">
      <w:pPr>
        <w:spacing w:line="340" w:lineRule="exact"/>
        <w:jc w:val="both"/>
        <w:rPr>
          <w:lang w:val="en-AU"/>
        </w:rPr>
      </w:pPr>
    </w:p>
    <w:p w14:paraId="5F4593C3" w14:textId="5A24450F" w:rsidR="000E608D" w:rsidRPr="00DD70A6" w:rsidRDefault="00BB0571" w:rsidP="0064058C">
      <w:pPr>
        <w:spacing w:line="340" w:lineRule="exact"/>
        <w:jc w:val="both"/>
        <w:rPr>
          <w:lang w:val="en-AU"/>
        </w:rPr>
      </w:pPr>
      <w:r w:rsidRPr="00DD70A6">
        <w:rPr>
          <w:lang w:val="en-AU"/>
        </w:rPr>
        <w:t>In 2014, 1</w:t>
      </w:r>
      <w:r w:rsidR="00DD70A6" w:rsidRPr="00DD70A6">
        <w:rPr>
          <w:lang w:val="en-AU"/>
        </w:rPr>
        <w:t>6</w:t>
      </w:r>
      <w:r w:rsidRPr="00DD70A6">
        <w:rPr>
          <w:lang w:val="en-AU"/>
        </w:rPr>
        <w:t>% of respondents i</w:t>
      </w:r>
      <w:r w:rsidR="000E608D" w:rsidRPr="00DD70A6">
        <w:rPr>
          <w:lang w:val="en-AU"/>
        </w:rPr>
        <w:t xml:space="preserve">n the public rental sector reported </w:t>
      </w:r>
      <w:r w:rsidR="008A7E12" w:rsidRPr="00DD70A6">
        <w:rPr>
          <w:lang w:val="en-AU"/>
        </w:rPr>
        <w:t xml:space="preserve">having experienced </w:t>
      </w:r>
      <w:r w:rsidR="000E608D" w:rsidRPr="00DD70A6">
        <w:rPr>
          <w:lang w:val="en-AU"/>
        </w:rPr>
        <w:t>problems paying their water bills</w:t>
      </w:r>
      <w:r w:rsidRPr="00DD70A6">
        <w:rPr>
          <w:lang w:val="en-AU"/>
        </w:rPr>
        <w:t xml:space="preserve">, down substantially from 35% in 2007.  In contrast to the situation with electricity and gas, this proportion was not substantially more than reported by those in the private rental sector (14%, down from 19% in 2007).  The proportion of owner/buyers </w:t>
      </w:r>
      <w:r w:rsidR="008A7E12" w:rsidRPr="00DD70A6">
        <w:rPr>
          <w:lang w:val="en-AU"/>
        </w:rPr>
        <w:t xml:space="preserve">who had experienced </w:t>
      </w:r>
      <w:r w:rsidRPr="00DD70A6">
        <w:rPr>
          <w:lang w:val="en-AU"/>
        </w:rPr>
        <w:t xml:space="preserve">problems paying their water bill was </w:t>
      </w:r>
      <w:r w:rsidR="00DD70A6" w:rsidRPr="00DD70A6">
        <w:rPr>
          <w:lang w:val="en-AU"/>
        </w:rPr>
        <w:t>5%, compared with 6% in 2007</w:t>
      </w:r>
      <w:r w:rsidRPr="00DD70A6">
        <w:rPr>
          <w:lang w:val="en-AU"/>
        </w:rPr>
        <w:t>.</w:t>
      </w:r>
      <w:r w:rsidR="000E608D" w:rsidRPr="00DD70A6">
        <w:rPr>
          <w:lang w:val="en-AU"/>
        </w:rPr>
        <w:t xml:space="preserve"> </w:t>
      </w:r>
    </w:p>
    <w:p w14:paraId="0B427F9B" w14:textId="77777777" w:rsidR="000E608D" w:rsidRPr="00DD70A6" w:rsidRDefault="000E608D" w:rsidP="000E608D">
      <w:pPr>
        <w:spacing w:line="340" w:lineRule="exact"/>
        <w:jc w:val="both"/>
        <w:rPr>
          <w:lang w:val="en-AU"/>
        </w:rPr>
      </w:pPr>
    </w:p>
    <w:p w14:paraId="112606AC" w14:textId="2FABC1A4" w:rsidR="000E608D" w:rsidRPr="00DD70A6" w:rsidRDefault="00BB0571" w:rsidP="00B12E55">
      <w:pPr>
        <w:spacing w:line="340" w:lineRule="exact"/>
        <w:jc w:val="both"/>
        <w:rPr>
          <w:lang w:val="en-AU"/>
        </w:rPr>
      </w:pPr>
      <w:r w:rsidRPr="00DD70A6">
        <w:rPr>
          <w:lang w:val="en-AU"/>
        </w:rPr>
        <w:t xml:space="preserve">Of households that had ever had difficulty paying their water bills (n=101), </w:t>
      </w:r>
      <w:r w:rsidR="00DD70A6" w:rsidRPr="00DD70A6">
        <w:rPr>
          <w:lang w:val="en-AU"/>
        </w:rPr>
        <w:t xml:space="preserve">21% </w:t>
      </w:r>
      <w:r w:rsidR="00DD70A6" w:rsidRPr="00DD70A6">
        <w:rPr>
          <w:i/>
          <w:lang w:val="en-AU"/>
        </w:rPr>
        <w:t>always</w:t>
      </w:r>
      <w:r w:rsidR="00DD70A6" w:rsidRPr="00DD70A6">
        <w:rPr>
          <w:lang w:val="en-AU"/>
        </w:rPr>
        <w:t xml:space="preserve"> had difficulty paying, </w:t>
      </w:r>
      <w:r w:rsidRPr="00DD70A6">
        <w:rPr>
          <w:lang w:val="en-AU"/>
        </w:rPr>
        <w:t>3</w:t>
      </w:r>
      <w:r w:rsidR="00DD70A6" w:rsidRPr="00DD70A6">
        <w:rPr>
          <w:lang w:val="en-AU"/>
        </w:rPr>
        <w:t>1</w:t>
      </w:r>
      <w:r w:rsidRPr="00DD70A6">
        <w:rPr>
          <w:lang w:val="en-AU"/>
        </w:rPr>
        <w:t xml:space="preserve">% </w:t>
      </w:r>
      <w:r w:rsidRPr="00DD70A6">
        <w:rPr>
          <w:i/>
          <w:lang w:val="en-AU"/>
        </w:rPr>
        <w:t>sometimes</w:t>
      </w:r>
      <w:r w:rsidRPr="00DD70A6">
        <w:rPr>
          <w:lang w:val="en-AU"/>
        </w:rPr>
        <w:t xml:space="preserve"> had difficulty </w:t>
      </w:r>
      <w:r w:rsidR="00DD70A6" w:rsidRPr="00DD70A6">
        <w:rPr>
          <w:lang w:val="en-AU"/>
        </w:rPr>
        <w:t>and</w:t>
      </w:r>
      <w:r w:rsidRPr="00DD70A6">
        <w:rPr>
          <w:lang w:val="en-AU"/>
        </w:rPr>
        <w:t xml:space="preserve"> 38% </w:t>
      </w:r>
      <w:r w:rsidRPr="00DD70A6">
        <w:rPr>
          <w:i/>
          <w:lang w:val="en-AU"/>
        </w:rPr>
        <w:t>hardly ever</w:t>
      </w:r>
      <w:r w:rsidRPr="00DD70A6">
        <w:rPr>
          <w:lang w:val="en-AU"/>
        </w:rPr>
        <w:t xml:space="preserve"> had </w:t>
      </w:r>
      <w:r w:rsidR="008A7E12" w:rsidRPr="00DD70A6">
        <w:rPr>
          <w:lang w:val="en-AU"/>
        </w:rPr>
        <w:t>difficulty</w:t>
      </w:r>
      <w:r w:rsidRPr="00DD70A6">
        <w:rPr>
          <w:lang w:val="en-AU"/>
        </w:rPr>
        <w:t>.  The corresponding proportions in 2007</w:t>
      </w:r>
      <w:r w:rsidR="00B12E55" w:rsidRPr="00DD70A6">
        <w:rPr>
          <w:lang w:val="en-AU"/>
        </w:rPr>
        <w:t xml:space="preserve"> were 58%, 29% and 12% respectively, while in 2001 they were </w:t>
      </w:r>
      <w:r w:rsidR="000E608D" w:rsidRPr="00DD70A6">
        <w:rPr>
          <w:lang w:val="en-AU"/>
        </w:rPr>
        <w:t>49%</w:t>
      </w:r>
      <w:r w:rsidR="00B12E55" w:rsidRPr="00DD70A6">
        <w:rPr>
          <w:lang w:val="en-AU"/>
        </w:rPr>
        <w:t>, 3</w:t>
      </w:r>
      <w:r w:rsidR="000E608D" w:rsidRPr="00DD70A6">
        <w:rPr>
          <w:lang w:val="en-AU"/>
        </w:rPr>
        <w:t xml:space="preserve">6% </w:t>
      </w:r>
      <w:r w:rsidR="00B12E55" w:rsidRPr="00DD70A6">
        <w:rPr>
          <w:lang w:val="en-AU"/>
        </w:rPr>
        <w:t xml:space="preserve">and </w:t>
      </w:r>
      <w:r w:rsidR="000E608D" w:rsidRPr="00DD70A6">
        <w:rPr>
          <w:lang w:val="en-AU"/>
        </w:rPr>
        <w:t xml:space="preserve">15% </w:t>
      </w:r>
      <w:r w:rsidR="00B12E55" w:rsidRPr="00DD70A6">
        <w:rPr>
          <w:lang w:val="en-AU"/>
        </w:rPr>
        <w:t>respectively.</w:t>
      </w:r>
      <w:r w:rsidR="000E608D" w:rsidRPr="00DD70A6">
        <w:rPr>
          <w:lang w:val="en-AU"/>
        </w:rPr>
        <w:t xml:space="preserve">  </w:t>
      </w:r>
      <w:r w:rsidR="00E53C72" w:rsidRPr="00DD70A6">
        <w:rPr>
          <w:lang w:val="en-AU"/>
        </w:rPr>
        <w:t>This suggests that while the proportion experiencing occasional difficulties may be declining, the proportion experiencing regular difficulties is remaining relatively stable.</w:t>
      </w:r>
    </w:p>
    <w:p w14:paraId="7ADAB226" w14:textId="77777777" w:rsidR="000E608D" w:rsidRPr="00DD70A6" w:rsidRDefault="000E608D" w:rsidP="000E608D">
      <w:pPr>
        <w:spacing w:line="340" w:lineRule="exact"/>
        <w:jc w:val="both"/>
        <w:rPr>
          <w:lang w:val="en-AU"/>
        </w:rPr>
      </w:pPr>
    </w:p>
    <w:p w14:paraId="55EF1FF9" w14:textId="6AC13D5A" w:rsidR="009E0E43" w:rsidRPr="00F1101D" w:rsidRDefault="009E0E43" w:rsidP="009E0E43">
      <w:pPr>
        <w:pStyle w:val="Para"/>
        <w:spacing w:line="340" w:lineRule="atLeast"/>
        <w:rPr>
          <w:lang w:val="en-AU"/>
        </w:rPr>
      </w:pPr>
      <w:bookmarkStart w:id="223" w:name="_Toc439198339"/>
      <w:r>
        <w:rPr>
          <w:lang w:val="en-AU"/>
        </w:rPr>
        <w:t xml:space="preserve">Households that </w:t>
      </w:r>
      <w:r w:rsidRPr="00162EF6">
        <w:rPr>
          <w:i/>
          <w:lang w:val="en-AU"/>
        </w:rPr>
        <w:t>always</w:t>
      </w:r>
      <w:r>
        <w:rPr>
          <w:lang w:val="en-AU"/>
        </w:rPr>
        <w:t xml:space="preserve"> or </w:t>
      </w:r>
      <w:r w:rsidRPr="009E0E43">
        <w:rPr>
          <w:i/>
          <w:lang w:val="en-AU"/>
        </w:rPr>
        <w:t>sometimes</w:t>
      </w:r>
      <w:r>
        <w:rPr>
          <w:i/>
          <w:lang w:val="en-AU"/>
        </w:rPr>
        <w:t xml:space="preserve"> </w:t>
      </w:r>
      <w:r>
        <w:rPr>
          <w:lang w:val="en-AU"/>
        </w:rPr>
        <w:t xml:space="preserve">had difficulty paying their water bills used (on average) 194kL per annum, compared with 161kL for households that </w:t>
      </w:r>
      <w:r w:rsidRPr="009E0E43">
        <w:rPr>
          <w:i/>
          <w:lang w:val="en-AU"/>
        </w:rPr>
        <w:t>hardly ever</w:t>
      </w:r>
      <w:r>
        <w:rPr>
          <w:lang w:val="en-AU"/>
        </w:rPr>
        <w:t xml:space="preserve"> or </w:t>
      </w:r>
      <w:r w:rsidRPr="009E0E43">
        <w:rPr>
          <w:i/>
          <w:lang w:val="en-AU"/>
        </w:rPr>
        <w:t xml:space="preserve">never </w:t>
      </w:r>
      <w:r>
        <w:rPr>
          <w:lang w:val="en-AU"/>
        </w:rPr>
        <w:t>had difficulty paying.</w:t>
      </w:r>
    </w:p>
    <w:p w14:paraId="6D754C4D" w14:textId="77777777" w:rsidR="00DD70A6" w:rsidRDefault="00DD70A6">
      <w:pPr>
        <w:spacing w:before="0" w:after="0"/>
        <w:rPr>
          <w:b/>
          <w:lang w:val="en-AU"/>
        </w:rPr>
      </w:pPr>
      <w:r>
        <w:rPr>
          <w:lang w:val="en-AU"/>
        </w:rPr>
        <w:br w:type="page"/>
      </w:r>
    </w:p>
    <w:p w14:paraId="47FD0EB9" w14:textId="2AF9507A" w:rsidR="003920D8" w:rsidRPr="00DD70A6" w:rsidRDefault="000E608D">
      <w:pPr>
        <w:pStyle w:val="Heading3"/>
        <w:tabs>
          <w:tab w:val="clear" w:pos="8517"/>
          <w:tab w:val="num" w:pos="851"/>
        </w:tabs>
        <w:ind w:left="720"/>
        <w:rPr>
          <w:lang w:val="en-AU"/>
        </w:rPr>
      </w:pPr>
      <w:bookmarkStart w:id="224" w:name="_Toc445571716"/>
      <w:r w:rsidRPr="00DD70A6">
        <w:rPr>
          <w:lang w:val="en-AU"/>
        </w:rPr>
        <w:lastRenderedPageBreak/>
        <w:t>Council Rates</w:t>
      </w:r>
      <w:bookmarkEnd w:id="223"/>
      <w:r w:rsidR="00E62702">
        <w:rPr>
          <w:lang w:val="en-AU"/>
        </w:rPr>
        <w:t xml:space="preserve"> Payment Difficulties</w:t>
      </w:r>
      <w:bookmarkEnd w:id="224"/>
    </w:p>
    <w:p w14:paraId="4948072B" w14:textId="0E296B7E" w:rsidR="000E608D" w:rsidRDefault="00A61BDD" w:rsidP="000E608D">
      <w:pPr>
        <w:pStyle w:val="Para"/>
        <w:rPr>
          <w:lang w:val="en-AU"/>
        </w:rPr>
      </w:pPr>
      <w:r w:rsidRPr="00DD70A6">
        <w:rPr>
          <w:lang w:val="en-AU"/>
        </w:rPr>
        <w:t xml:space="preserve">In 2014, 7% of </w:t>
      </w:r>
      <w:r w:rsidR="000E608D" w:rsidRPr="00DD70A6">
        <w:rPr>
          <w:lang w:val="en-AU"/>
        </w:rPr>
        <w:t xml:space="preserve">households who paid council rates </w:t>
      </w:r>
      <w:r w:rsidRPr="00DD70A6">
        <w:rPr>
          <w:lang w:val="en-AU"/>
        </w:rPr>
        <w:t xml:space="preserve">(n=1,547) said they had </w:t>
      </w:r>
      <w:r w:rsidR="008A7E12" w:rsidRPr="00DD70A6">
        <w:rPr>
          <w:lang w:val="en-AU"/>
        </w:rPr>
        <w:t xml:space="preserve">experienced </w:t>
      </w:r>
      <w:r w:rsidRPr="00DD70A6">
        <w:rPr>
          <w:lang w:val="en-AU"/>
        </w:rPr>
        <w:t xml:space="preserve">trouble </w:t>
      </w:r>
      <w:r w:rsidR="000E608D" w:rsidRPr="00DD70A6">
        <w:rPr>
          <w:lang w:val="en-AU"/>
        </w:rPr>
        <w:t>paying th</w:t>
      </w:r>
      <w:r w:rsidRPr="00DD70A6">
        <w:rPr>
          <w:lang w:val="en-AU"/>
        </w:rPr>
        <w:t xml:space="preserve">ese bills (compared with 6% in 2007 and 9% in 2001, with the question not asked in 1996). </w:t>
      </w:r>
    </w:p>
    <w:p w14:paraId="3F2E9173" w14:textId="77777777" w:rsidR="00143675" w:rsidRPr="00245A3A" w:rsidRDefault="00143675" w:rsidP="000E608D">
      <w:pPr>
        <w:pStyle w:val="Para"/>
        <w:rPr>
          <w:highlight w:val="yellow"/>
          <w:lang w:val="en-AU"/>
        </w:rPr>
      </w:pPr>
    </w:p>
    <w:p w14:paraId="6B47E6CB" w14:textId="788EB919" w:rsidR="00A61BDD" w:rsidRPr="00DD70A6" w:rsidRDefault="00A61BDD" w:rsidP="00A61BDD">
      <w:pPr>
        <w:spacing w:line="340" w:lineRule="exact"/>
        <w:jc w:val="both"/>
        <w:rPr>
          <w:lang w:val="en-AU"/>
        </w:rPr>
      </w:pPr>
      <w:smartTag w:uri="urn:schemas-microsoft-com:office:smarttags" w:element="City">
        <w:r w:rsidRPr="00DD70A6">
          <w:rPr>
            <w:lang w:val="en-AU"/>
          </w:rPr>
          <w:t>Melbourne</w:t>
        </w:r>
      </w:smartTag>
      <w:r w:rsidRPr="00DD70A6">
        <w:rPr>
          <w:lang w:val="en-AU"/>
        </w:rPr>
        <w:t xml:space="preserve"> respondents (5%) were only half as likely as those in country </w:t>
      </w:r>
      <w:smartTag w:uri="urn:schemas-microsoft-com:office:smarttags" w:element="State">
        <w:smartTag w:uri="urn:schemas-microsoft-com:office:smarttags" w:element="place">
          <w:r w:rsidRPr="00DD70A6">
            <w:rPr>
              <w:lang w:val="en-AU"/>
            </w:rPr>
            <w:t>Victoria</w:t>
          </w:r>
        </w:smartTag>
      </w:smartTag>
      <w:r w:rsidRPr="00DD70A6">
        <w:rPr>
          <w:lang w:val="en-AU"/>
        </w:rPr>
        <w:t xml:space="preserve"> (11%) to have had trouble paying council bills.  This contrasts with the situation in 2007, where there was no notable difference </w:t>
      </w:r>
      <w:r w:rsidR="0034319A" w:rsidRPr="00DD70A6">
        <w:rPr>
          <w:lang w:val="en-AU"/>
        </w:rPr>
        <w:t xml:space="preserve">between these subgroups </w:t>
      </w:r>
      <w:r w:rsidRPr="00DD70A6">
        <w:rPr>
          <w:lang w:val="en-AU"/>
        </w:rPr>
        <w:t>(Melbourne 6%; country Victoria 7%)</w:t>
      </w:r>
      <w:r w:rsidR="00B5775E" w:rsidRPr="00DD70A6">
        <w:rPr>
          <w:lang w:val="en-AU"/>
        </w:rPr>
        <w:t>;</w:t>
      </w:r>
      <w:r w:rsidR="00E53C72" w:rsidRPr="00DD70A6">
        <w:rPr>
          <w:lang w:val="en-AU"/>
        </w:rPr>
        <w:t xml:space="preserve"> however the limited geographic scope of the country Victoria sample in 2007 </w:t>
      </w:r>
      <w:r w:rsidR="00143675">
        <w:rPr>
          <w:lang w:val="en-AU"/>
        </w:rPr>
        <w:t xml:space="preserve">and </w:t>
      </w:r>
      <w:r w:rsidR="00E53C72" w:rsidRPr="00DD70A6">
        <w:rPr>
          <w:lang w:val="en-AU"/>
        </w:rPr>
        <w:t>other previous surveys may need to be taken into account</w:t>
      </w:r>
      <w:r w:rsidRPr="00DD70A6">
        <w:rPr>
          <w:lang w:val="en-AU"/>
        </w:rPr>
        <w:t>.  Respondents from the DHHS region of Inner Gippsland (2</w:t>
      </w:r>
      <w:r w:rsidR="00DD70A6" w:rsidRPr="00DD70A6">
        <w:rPr>
          <w:lang w:val="en-AU"/>
        </w:rPr>
        <w:t>2</w:t>
      </w:r>
      <w:r w:rsidRPr="00DD70A6">
        <w:rPr>
          <w:lang w:val="en-AU"/>
        </w:rPr>
        <w:t xml:space="preserve">%) were </w:t>
      </w:r>
      <w:r w:rsidR="00DD70A6" w:rsidRPr="00DD70A6">
        <w:rPr>
          <w:lang w:val="en-AU"/>
        </w:rPr>
        <w:t xml:space="preserve">substantially more likely than those from any other </w:t>
      </w:r>
      <w:r w:rsidRPr="00DD70A6">
        <w:rPr>
          <w:lang w:val="en-AU"/>
        </w:rPr>
        <w:t>region to have had trouble paying these bills</w:t>
      </w:r>
      <w:r w:rsidR="0002541A" w:rsidRPr="00DD70A6">
        <w:rPr>
          <w:lang w:val="en-AU"/>
        </w:rPr>
        <w:t xml:space="preserve">, while </w:t>
      </w:r>
      <w:r w:rsidRPr="00DD70A6">
        <w:rPr>
          <w:lang w:val="en-AU"/>
        </w:rPr>
        <w:t xml:space="preserve">only </w:t>
      </w:r>
      <w:r w:rsidR="0002541A" w:rsidRPr="00DD70A6">
        <w:rPr>
          <w:lang w:val="en-AU"/>
        </w:rPr>
        <w:t>1</w:t>
      </w:r>
      <w:r w:rsidRPr="00DD70A6">
        <w:rPr>
          <w:lang w:val="en-AU"/>
        </w:rPr>
        <w:t xml:space="preserve">% of respondents from Inner Eastern Melbourne </w:t>
      </w:r>
      <w:r w:rsidR="0002541A" w:rsidRPr="00DD70A6">
        <w:rPr>
          <w:lang w:val="en-AU"/>
        </w:rPr>
        <w:t>and 2% of respondents from Loddon had experienced such difficulty.</w:t>
      </w:r>
    </w:p>
    <w:p w14:paraId="406DE259" w14:textId="77777777" w:rsidR="00A61BDD" w:rsidRPr="00245A3A" w:rsidRDefault="00A61BDD" w:rsidP="000E608D">
      <w:pPr>
        <w:pStyle w:val="Para"/>
        <w:rPr>
          <w:highlight w:val="yellow"/>
          <w:lang w:val="en-AU"/>
        </w:rPr>
      </w:pPr>
    </w:p>
    <w:p w14:paraId="529139B0" w14:textId="660D8149" w:rsidR="00540E66" w:rsidRPr="00DD70A6" w:rsidRDefault="0034319A" w:rsidP="000E608D">
      <w:pPr>
        <w:pStyle w:val="Para"/>
        <w:rPr>
          <w:lang w:val="en-AU"/>
        </w:rPr>
      </w:pPr>
      <w:r w:rsidRPr="00DD70A6">
        <w:rPr>
          <w:lang w:val="en-AU"/>
        </w:rPr>
        <w:t xml:space="preserve">Consistent with the situation with the various utilities in 2014, other concession households (16%) were much more likely than aged concession or non-concession households (both 5%) to have had trouble paying council rates bills.  </w:t>
      </w:r>
      <w:r w:rsidR="00540E66" w:rsidRPr="00DD70A6">
        <w:rPr>
          <w:lang w:val="en-AU"/>
        </w:rPr>
        <w:t xml:space="preserve">In 2007, the proportion of other concession households that had experienced </w:t>
      </w:r>
      <w:r w:rsidR="007F3D9A" w:rsidRPr="00DD70A6">
        <w:rPr>
          <w:lang w:val="en-AU"/>
        </w:rPr>
        <w:t xml:space="preserve">trouble </w:t>
      </w:r>
      <w:r w:rsidR="00540E66" w:rsidRPr="00DD70A6">
        <w:rPr>
          <w:lang w:val="en-AU"/>
        </w:rPr>
        <w:t>was 13%, compared with 3% of aged concession households (20% and 4% respectively in 2001).</w:t>
      </w:r>
    </w:p>
    <w:p w14:paraId="285EE81C" w14:textId="77777777" w:rsidR="000E608D" w:rsidRPr="00245A3A" w:rsidRDefault="000E608D" w:rsidP="000E608D">
      <w:pPr>
        <w:pStyle w:val="Para"/>
        <w:rPr>
          <w:highlight w:val="yellow"/>
          <w:lang w:val="en-AU"/>
        </w:rPr>
      </w:pPr>
    </w:p>
    <w:p w14:paraId="5BFB4579" w14:textId="77777777" w:rsidR="000E608D" w:rsidRPr="00DD70A6" w:rsidRDefault="00540E66" w:rsidP="000E608D">
      <w:pPr>
        <w:pStyle w:val="Para"/>
        <w:rPr>
          <w:lang w:val="en-AU"/>
        </w:rPr>
      </w:pPr>
      <w:r w:rsidRPr="00DD70A6">
        <w:rPr>
          <w:lang w:val="en-AU"/>
        </w:rPr>
        <w:t xml:space="preserve">Consistent with previous surveys, the propensity of households to have </w:t>
      </w:r>
      <w:r w:rsidR="007F3D9A" w:rsidRPr="00DD70A6">
        <w:rPr>
          <w:lang w:val="en-AU"/>
        </w:rPr>
        <w:t xml:space="preserve">experienced </w:t>
      </w:r>
      <w:r w:rsidRPr="00DD70A6">
        <w:rPr>
          <w:lang w:val="en-AU"/>
        </w:rPr>
        <w:t>trouble paying the council rates bill tended to rise with household size.  In 2014, 8% of four person hous</w:t>
      </w:r>
      <w:r w:rsidR="00E6138C" w:rsidRPr="00DD70A6">
        <w:rPr>
          <w:lang w:val="en-AU"/>
        </w:rPr>
        <w:t>e</w:t>
      </w:r>
      <w:r w:rsidRPr="00DD70A6">
        <w:rPr>
          <w:lang w:val="en-AU"/>
        </w:rPr>
        <w:t xml:space="preserve">holds and 8% of three person households had </w:t>
      </w:r>
      <w:r w:rsidR="007F3D9A" w:rsidRPr="00DD70A6">
        <w:rPr>
          <w:lang w:val="en-AU"/>
        </w:rPr>
        <w:t xml:space="preserve">experienced </w:t>
      </w:r>
      <w:r w:rsidRPr="00DD70A6">
        <w:rPr>
          <w:lang w:val="en-AU"/>
        </w:rPr>
        <w:t>trouble paying these bills, compared with 6% of two person households and 4</w:t>
      </w:r>
      <w:r w:rsidR="00E53C72" w:rsidRPr="00DD70A6">
        <w:rPr>
          <w:lang w:val="en-AU"/>
        </w:rPr>
        <w:t>%</w:t>
      </w:r>
      <w:r w:rsidRPr="00DD70A6">
        <w:rPr>
          <w:lang w:val="en-AU"/>
        </w:rPr>
        <w:t xml:space="preserve"> of single person households.  The corresponding proportions in 2007 were </w:t>
      </w:r>
      <w:r w:rsidR="000E608D" w:rsidRPr="00DD70A6">
        <w:rPr>
          <w:lang w:val="en-AU"/>
        </w:rPr>
        <w:t>11%</w:t>
      </w:r>
      <w:r w:rsidRPr="00DD70A6">
        <w:rPr>
          <w:lang w:val="en-AU"/>
        </w:rPr>
        <w:t xml:space="preserve">, </w:t>
      </w:r>
      <w:r w:rsidR="000E608D" w:rsidRPr="00DD70A6">
        <w:rPr>
          <w:lang w:val="en-AU"/>
        </w:rPr>
        <w:t>5%</w:t>
      </w:r>
      <w:r w:rsidRPr="00DD70A6">
        <w:rPr>
          <w:lang w:val="en-AU"/>
        </w:rPr>
        <w:t xml:space="preserve">, </w:t>
      </w:r>
      <w:r w:rsidR="000E608D" w:rsidRPr="00DD70A6">
        <w:rPr>
          <w:lang w:val="en-AU"/>
        </w:rPr>
        <w:t xml:space="preserve">5% </w:t>
      </w:r>
      <w:r w:rsidRPr="00DD70A6">
        <w:rPr>
          <w:lang w:val="en-AU"/>
        </w:rPr>
        <w:t xml:space="preserve">and </w:t>
      </w:r>
      <w:r w:rsidR="000E608D" w:rsidRPr="00DD70A6">
        <w:rPr>
          <w:lang w:val="en-AU"/>
        </w:rPr>
        <w:t xml:space="preserve">3% </w:t>
      </w:r>
      <w:r w:rsidRPr="00DD70A6">
        <w:rPr>
          <w:lang w:val="en-AU"/>
        </w:rPr>
        <w:t xml:space="preserve">respectively. </w:t>
      </w:r>
      <w:r w:rsidR="000E608D" w:rsidRPr="00DD70A6">
        <w:rPr>
          <w:lang w:val="en-AU"/>
        </w:rPr>
        <w:t xml:space="preserve"> </w:t>
      </w:r>
      <w:r w:rsidR="00E53C72" w:rsidRPr="00DD70A6">
        <w:rPr>
          <w:lang w:val="en-AU"/>
        </w:rPr>
        <w:t>(</w:t>
      </w:r>
      <w:r w:rsidR="000E608D" w:rsidRPr="00DD70A6">
        <w:rPr>
          <w:lang w:val="en-AU"/>
        </w:rPr>
        <w:t>As 9</w:t>
      </w:r>
      <w:r w:rsidRPr="00DD70A6">
        <w:rPr>
          <w:lang w:val="en-AU"/>
        </w:rPr>
        <w:t>9</w:t>
      </w:r>
      <w:r w:rsidR="000E608D" w:rsidRPr="00DD70A6">
        <w:rPr>
          <w:lang w:val="en-AU"/>
        </w:rPr>
        <w:t>% of council rate payers were home owners or buyers, investigation by home ownership status was not conducted.</w:t>
      </w:r>
      <w:r w:rsidR="00E53C72" w:rsidRPr="00DD70A6">
        <w:rPr>
          <w:lang w:val="en-AU"/>
        </w:rPr>
        <w:t>)</w:t>
      </w:r>
      <w:r w:rsidR="000E608D" w:rsidRPr="00DD70A6">
        <w:rPr>
          <w:lang w:val="en-AU"/>
        </w:rPr>
        <w:t xml:space="preserve"> </w:t>
      </w:r>
    </w:p>
    <w:p w14:paraId="51A521DA" w14:textId="77777777" w:rsidR="000E608D" w:rsidRPr="00245A3A" w:rsidRDefault="000E608D" w:rsidP="000E608D">
      <w:pPr>
        <w:pStyle w:val="Para"/>
        <w:rPr>
          <w:highlight w:val="yellow"/>
          <w:lang w:val="en-AU"/>
        </w:rPr>
      </w:pPr>
    </w:p>
    <w:p w14:paraId="47107B71" w14:textId="3F242917" w:rsidR="000E608D" w:rsidRPr="00DD70A6" w:rsidRDefault="000E608D" w:rsidP="000E608D">
      <w:pPr>
        <w:pStyle w:val="Para"/>
        <w:rPr>
          <w:lang w:val="en-AU"/>
        </w:rPr>
      </w:pPr>
      <w:r w:rsidRPr="00DD70A6">
        <w:rPr>
          <w:lang w:val="en-AU"/>
        </w:rPr>
        <w:t xml:space="preserve">Of households that had </w:t>
      </w:r>
      <w:r w:rsidR="007F3D9A" w:rsidRPr="00DD70A6">
        <w:rPr>
          <w:lang w:val="en-AU"/>
        </w:rPr>
        <w:t xml:space="preserve">difficulty </w:t>
      </w:r>
      <w:r w:rsidRPr="00DD70A6">
        <w:rPr>
          <w:lang w:val="en-AU"/>
        </w:rPr>
        <w:t>paying their council rates</w:t>
      </w:r>
      <w:r w:rsidR="00E6138C" w:rsidRPr="00DD70A6">
        <w:rPr>
          <w:lang w:val="en-AU"/>
        </w:rPr>
        <w:t xml:space="preserve"> </w:t>
      </w:r>
      <w:r w:rsidR="00540E66" w:rsidRPr="00DD70A6">
        <w:rPr>
          <w:lang w:val="en-AU"/>
        </w:rPr>
        <w:t>(n=89)</w:t>
      </w:r>
      <w:r w:rsidRPr="00DD70A6">
        <w:rPr>
          <w:lang w:val="en-AU"/>
        </w:rPr>
        <w:t>,</w:t>
      </w:r>
      <w:r w:rsidR="00540E66" w:rsidRPr="00DD70A6">
        <w:rPr>
          <w:lang w:val="en-AU"/>
        </w:rPr>
        <w:t xml:space="preserve"> </w:t>
      </w:r>
      <w:r w:rsidR="00140665" w:rsidRPr="00DD70A6">
        <w:rPr>
          <w:lang w:val="en-AU"/>
        </w:rPr>
        <w:t xml:space="preserve">24% </w:t>
      </w:r>
      <w:r w:rsidR="00140665" w:rsidRPr="00DD70A6">
        <w:rPr>
          <w:i/>
          <w:lang w:val="en-AU"/>
        </w:rPr>
        <w:t>always</w:t>
      </w:r>
      <w:r w:rsidR="00140665" w:rsidRPr="00DD70A6">
        <w:rPr>
          <w:lang w:val="en-AU"/>
        </w:rPr>
        <w:t xml:space="preserve"> had </w:t>
      </w:r>
      <w:r w:rsidR="007F3D9A" w:rsidRPr="00DD70A6">
        <w:rPr>
          <w:lang w:val="en-AU"/>
        </w:rPr>
        <w:t>difficulty</w:t>
      </w:r>
      <w:r w:rsidR="00140665" w:rsidRPr="00DD70A6">
        <w:rPr>
          <w:lang w:val="en-AU"/>
        </w:rPr>
        <w:t xml:space="preserve">, </w:t>
      </w:r>
      <w:r w:rsidR="00540E66" w:rsidRPr="00DD70A6">
        <w:rPr>
          <w:lang w:val="en-AU"/>
        </w:rPr>
        <w:t>3</w:t>
      </w:r>
      <w:r w:rsidR="00DD70A6" w:rsidRPr="00DD70A6">
        <w:rPr>
          <w:lang w:val="en-AU"/>
        </w:rPr>
        <w:t>1</w:t>
      </w:r>
      <w:r w:rsidR="00540E66" w:rsidRPr="00DD70A6">
        <w:rPr>
          <w:lang w:val="en-AU"/>
        </w:rPr>
        <w:t xml:space="preserve">% had </w:t>
      </w:r>
      <w:r w:rsidR="007F3D9A" w:rsidRPr="00DD70A6">
        <w:rPr>
          <w:lang w:val="en-AU"/>
        </w:rPr>
        <w:t>difficulty</w:t>
      </w:r>
      <w:r w:rsidR="00540E66" w:rsidRPr="00DD70A6">
        <w:rPr>
          <w:lang w:val="en-AU"/>
        </w:rPr>
        <w:t xml:space="preserve"> </w:t>
      </w:r>
      <w:r w:rsidR="00540E66" w:rsidRPr="00DD70A6">
        <w:rPr>
          <w:i/>
          <w:lang w:val="en-AU"/>
        </w:rPr>
        <w:t>sometimes</w:t>
      </w:r>
      <w:r w:rsidR="00140665" w:rsidRPr="00DD70A6">
        <w:rPr>
          <w:i/>
          <w:lang w:val="en-AU"/>
        </w:rPr>
        <w:t xml:space="preserve"> </w:t>
      </w:r>
      <w:r w:rsidR="00140665" w:rsidRPr="009748AD">
        <w:rPr>
          <w:lang w:val="en-AU"/>
        </w:rPr>
        <w:t>and</w:t>
      </w:r>
      <w:r w:rsidR="00140665" w:rsidRPr="00DD70A6">
        <w:rPr>
          <w:i/>
          <w:lang w:val="en-AU"/>
        </w:rPr>
        <w:t xml:space="preserve"> </w:t>
      </w:r>
      <w:r w:rsidR="00540E66" w:rsidRPr="00DD70A6">
        <w:rPr>
          <w:lang w:val="en-AU"/>
        </w:rPr>
        <w:t>3</w:t>
      </w:r>
      <w:r w:rsidR="00DD70A6" w:rsidRPr="00DD70A6">
        <w:rPr>
          <w:lang w:val="en-AU"/>
        </w:rPr>
        <w:t>1</w:t>
      </w:r>
      <w:r w:rsidR="00540E66" w:rsidRPr="00DD70A6">
        <w:rPr>
          <w:lang w:val="en-AU"/>
        </w:rPr>
        <w:t xml:space="preserve">% </w:t>
      </w:r>
      <w:r w:rsidR="00540E66" w:rsidRPr="00DD70A6">
        <w:rPr>
          <w:i/>
          <w:lang w:val="en-AU"/>
        </w:rPr>
        <w:t xml:space="preserve">hardly ever </w:t>
      </w:r>
      <w:r w:rsidR="00540E66" w:rsidRPr="00DD70A6">
        <w:rPr>
          <w:lang w:val="en-AU"/>
        </w:rPr>
        <w:t xml:space="preserve">had </w:t>
      </w:r>
      <w:r w:rsidR="007F3D9A" w:rsidRPr="00DD70A6">
        <w:rPr>
          <w:lang w:val="en-AU"/>
        </w:rPr>
        <w:t>difficulty</w:t>
      </w:r>
      <w:r w:rsidR="00540E66" w:rsidRPr="00DD70A6">
        <w:rPr>
          <w:lang w:val="en-AU"/>
        </w:rPr>
        <w:t>.</w:t>
      </w:r>
      <w:r w:rsidR="00E6138C" w:rsidRPr="00DD70A6">
        <w:rPr>
          <w:lang w:val="en-AU"/>
        </w:rPr>
        <w:t xml:space="preserve">  In 2007 the proportions were </w:t>
      </w:r>
      <w:r w:rsidR="00140665" w:rsidRPr="00DD70A6">
        <w:rPr>
          <w:lang w:val="en-AU"/>
        </w:rPr>
        <w:t xml:space="preserve">17% who </w:t>
      </w:r>
      <w:r w:rsidR="00140665" w:rsidRPr="00DD70A6">
        <w:rPr>
          <w:i/>
          <w:lang w:val="en-AU"/>
        </w:rPr>
        <w:t>always</w:t>
      </w:r>
      <w:r w:rsidR="00140665" w:rsidRPr="00DD70A6">
        <w:rPr>
          <w:lang w:val="en-AU"/>
        </w:rPr>
        <w:t xml:space="preserve"> had </w:t>
      </w:r>
      <w:r w:rsidR="007F3D9A" w:rsidRPr="00DD70A6">
        <w:rPr>
          <w:lang w:val="en-AU"/>
        </w:rPr>
        <w:t>difficulty</w:t>
      </w:r>
      <w:r w:rsidR="00140665" w:rsidRPr="00DD70A6">
        <w:rPr>
          <w:lang w:val="en-AU"/>
        </w:rPr>
        <w:t xml:space="preserve">, </w:t>
      </w:r>
      <w:r w:rsidRPr="00DD70A6">
        <w:rPr>
          <w:lang w:val="en-AU"/>
        </w:rPr>
        <w:t xml:space="preserve">58% </w:t>
      </w:r>
      <w:r w:rsidR="00E6138C" w:rsidRPr="00DD70A6">
        <w:rPr>
          <w:lang w:val="en-AU"/>
        </w:rPr>
        <w:t xml:space="preserve">who </w:t>
      </w:r>
      <w:r w:rsidRPr="00DD70A6">
        <w:rPr>
          <w:lang w:val="en-AU"/>
        </w:rPr>
        <w:t xml:space="preserve">had </w:t>
      </w:r>
      <w:r w:rsidR="007F3D9A" w:rsidRPr="00DD70A6">
        <w:rPr>
          <w:lang w:val="en-AU"/>
        </w:rPr>
        <w:t xml:space="preserve">difficulty </w:t>
      </w:r>
      <w:r w:rsidRPr="00DD70A6">
        <w:rPr>
          <w:i/>
          <w:lang w:val="en-AU"/>
        </w:rPr>
        <w:t>sometime</w:t>
      </w:r>
      <w:r w:rsidR="001808C5" w:rsidRPr="00DD70A6">
        <w:rPr>
          <w:i/>
          <w:lang w:val="en-AU"/>
        </w:rPr>
        <w:t>s</w:t>
      </w:r>
      <w:r w:rsidR="00140665" w:rsidRPr="00DD70A6">
        <w:rPr>
          <w:i/>
          <w:lang w:val="en-AU"/>
        </w:rPr>
        <w:t xml:space="preserve"> </w:t>
      </w:r>
      <w:r w:rsidR="00140665" w:rsidRPr="009748AD">
        <w:rPr>
          <w:lang w:val="en-AU"/>
        </w:rPr>
        <w:t>and</w:t>
      </w:r>
      <w:r w:rsidRPr="00DD70A6">
        <w:rPr>
          <w:lang w:val="en-AU"/>
        </w:rPr>
        <w:t xml:space="preserve"> 25%</w:t>
      </w:r>
      <w:r w:rsidR="00140665" w:rsidRPr="00DD70A6">
        <w:rPr>
          <w:lang w:val="en-AU"/>
        </w:rPr>
        <w:t xml:space="preserve"> who</w:t>
      </w:r>
      <w:r w:rsidRPr="00DD70A6">
        <w:rPr>
          <w:lang w:val="en-AU"/>
        </w:rPr>
        <w:t xml:space="preserve"> </w:t>
      </w:r>
      <w:r w:rsidRPr="00DD70A6">
        <w:rPr>
          <w:i/>
          <w:lang w:val="en-AU"/>
        </w:rPr>
        <w:t>hardly ever</w:t>
      </w:r>
      <w:r w:rsidR="00140665" w:rsidRPr="00DD70A6">
        <w:rPr>
          <w:i/>
          <w:lang w:val="en-AU"/>
        </w:rPr>
        <w:t xml:space="preserve"> </w:t>
      </w:r>
      <w:r w:rsidR="00140665" w:rsidRPr="00DD70A6">
        <w:rPr>
          <w:lang w:val="en-AU"/>
        </w:rPr>
        <w:t xml:space="preserve">had </w:t>
      </w:r>
      <w:r w:rsidR="007F3D9A" w:rsidRPr="00DD70A6">
        <w:rPr>
          <w:lang w:val="en-AU"/>
        </w:rPr>
        <w:t>difficulty</w:t>
      </w:r>
      <w:r w:rsidRPr="00DD70A6">
        <w:rPr>
          <w:lang w:val="en-AU"/>
        </w:rPr>
        <w:t>. In 2001, the proportions were</w:t>
      </w:r>
      <w:r w:rsidR="00140665" w:rsidRPr="00DD70A6">
        <w:rPr>
          <w:lang w:val="en-AU"/>
        </w:rPr>
        <w:t xml:space="preserve"> 16%</w:t>
      </w:r>
      <w:r w:rsidR="007F3D9A" w:rsidRPr="00DD70A6">
        <w:rPr>
          <w:lang w:val="en-AU"/>
        </w:rPr>
        <w:t xml:space="preserve">, </w:t>
      </w:r>
      <w:r w:rsidRPr="00DD70A6">
        <w:rPr>
          <w:lang w:val="en-AU"/>
        </w:rPr>
        <w:t xml:space="preserve">47% </w:t>
      </w:r>
      <w:r w:rsidR="00140665" w:rsidRPr="009748AD">
        <w:rPr>
          <w:lang w:val="en-AU"/>
        </w:rPr>
        <w:t>and</w:t>
      </w:r>
      <w:r w:rsidRPr="00DD70A6">
        <w:rPr>
          <w:lang w:val="en-AU"/>
        </w:rPr>
        <w:t xml:space="preserve"> 37% </w:t>
      </w:r>
      <w:r w:rsidR="007F3D9A" w:rsidRPr="00DD70A6">
        <w:rPr>
          <w:lang w:val="en-AU"/>
        </w:rPr>
        <w:t>respectively</w:t>
      </w:r>
      <w:r w:rsidRPr="00DD70A6">
        <w:rPr>
          <w:lang w:val="en-AU"/>
        </w:rPr>
        <w:t>.</w:t>
      </w:r>
      <w:r w:rsidR="00E6138C" w:rsidRPr="00DD70A6">
        <w:rPr>
          <w:lang w:val="en-AU"/>
        </w:rPr>
        <w:t xml:space="preserve">  </w:t>
      </w:r>
    </w:p>
    <w:p w14:paraId="5E5C7052" w14:textId="77777777" w:rsidR="005725D4" w:rsidRPr="00245A3A" w:rsidRDefault="005725D4" w:rsidP="000E608D">
      <w:pPr>
        <w:pStyle w:val="Para"/>
        <w:rPr>
          <w:highlight w:val="yellow"/>
          <w:lang w:val="en-AU"/>
        </w:rPr>
      </w:pPr>
    </w:p>
    <w:p w14:paraId="1B4DE490" w14:textId="77777777" w:rsidR="005725D4" w:rsidRPr="00DD70A6" w:rsidRDefault="00C86598" w:rsidP="000E608D">
      <w:pPr>
        <w:pStyle w:val="Para"/>
        <w:rPr>
          <w:lang w:val="en-AU"/>
        </w:rPr>
      </w:pPr>
      <w:r w:rsidRPr="00DD70A6">
        <w:rPr>
          <w:lang w:val="en-AU"/>
        </w:rPr>
        <w:lastRenderedPageBreak/>
        <w:t xml:space="preserve">An </w:t>
      </w:r>
      <w:r w:rsidR="005725D4" w:rsidRPr="00DD70A6">
        <w:rPr>
          <w:lang w:val="en-AU"/>
        </w:rPr>
        <w:t>analysis was conducted comparing the property value of households that had always or sometimes had difficulty paying their rates bill</w:t>
      </w:r>
      <w:r w:rsidR="008F5EB6" w:rsidRPr="00DD70A6">
        <w:rPr>
          <w:lang w:val="en-AU"/>
        </w:rPr>
        <w:t xml:space="preserve"> (‘Had Difficulty’)</w:t>
      </w:r>
      <w:r w:rsidR="005725D4" w:rsidRPr="00DD70A6">
        <w:rPr>
          <w:lang w:val="en-AU"/>
        </w:rPr>
        <w:t xml:space="preserve"> with those who hardly ever or never had this difficulty</w:t>
      </w:r>
      <w:r w:rsidR="008F5EB6" w:rsidRPr="00DD70A6">
        <w:rPr>
          <w:lang w:val="en-AU"/>
        </w:rPr>
        <w:t xml:space="preserve"> (‘Didn’t Have Difficulty’).  This analysis</w:t>
      </w:r>
      <w:r w:rsidR="005725D4" w:rsidRPr="00DD70A6">
        <w:rPr>
          <w:lang w:val="en-AU"/>
        </w:rPr>
        <w:t xml:space="preserve"> (see table </w:t>
      </w:r>
      <w:r w:rsidR="008F5EB6" w:rsidRPr="00DD70A6">
        <w:rPr>
          <w:lang w:val="en-AU"/>
        </w:rPr>
        <w:t xml:space="preserve">8.1.4) indicated that those who had difficulty paying their rates bill tended to live in houses with lower valuations than those who did not have difficulty paying their rates.  </w:t>
      </w:r>
    </w:p>
    <w:p w14:paraId="16463BEF" w14:textId="77777777" w:rsidR="000E608D" w:rsidRPr="00DD70A6" w:rsidRDefault="000E608D" w:rsidP="000E608D">
      <w:pPr>
        <w:pStyle w:val="Para"/>
        <w:rPr>
          <w:lang w:val="en-AU"/>
        </w:rPr>
      </w:pPr>
    </w:p>
    <w:p w14:paraId="1F760E93" w14:textId="77777777" w:rsidR="008F5EB6" w:rsidRPr="00DD70A6" w:rsidRDefault="008F5EB6" w:rsidP="000E608D">
      <w:pPr>
        <w:pStyle w:val="Para"/>
        <w:rPr>
          <w:lang w:val="en-AU"/>
        </w:rPr>
      </w:pPr>
    </w:p>
    <w:p w14:paraId="0F19F393" w14:textId="77777777" w:rsidR="008B1BA1" w:rsidRPr="00C220D0" w:rsidRDefault="008B1BA1" w:rsidP="00162EF6">
      <w:pPr>
        <w:pStyle w:val="Para"/>
        <w:spacing w:after="120"/>
        <w:jc w:val="center"/>
        <w:outlineLvl w:val="0"/>
        <w:rPr>
          <w:b/>
          <w:u w:val="single"/>
          <w:lang w:val="en-AU"/>
        </w:rPr>
      </w:pPr>
      <w:r w:rsidRPr="00C220D0">
        <w:rPr>
          <w:b/>
          <w:lang w:val="en-AU"/>
        </w:rPr>
        <w:t xml:space="preserve">Table 8.1.4: </w:t>
      </w:r>
      <w:r w:rsidRPr="00C220D0">
        <w:rPr>
          <w:b/>
          <w:u w:val="single"/>
          <w:lang w:val="en-AU"/>
        </w:rPr>
        <w:t>Reported Difficulty in Paying Rates Bills by Property Valuation</w:t>
      </w:r>
    </w:p>
    <w:p w14:paraId="71A1FD88" w14:textId="77777777" w:rsidR="008B1BA1" w:rsidRPr="00C220D0" w:rsidRDefault="008B1BA1" w:rsidP="000E608D">
      <w:pPr>
        <w:pStyle w:val="Para"/>
        <w:rPr>
          <w:lang w:val="en-AU"/>
        </w:rPr>
      </w:pPr>
    </w:p>
    <w:tbl>
      <w:tblPr>
        <w:tblW w:w="7040" w:type="dxa"/>
        <w:jc w:val="center"/>
        <w:tblLook w:val="04A0" w:firstRow="1" w:lastRow="0" w:firstColumn="1" w:lastColumn="0" w:noHBand="0" w:noVBand="1"/>
      </w:tblPr>
      <w:tblGrid>
        <w:gridCol w:w="2540"/>
        <w:gridCol w:w="2380"/>
        <w:gridCol w:w="2120"/>
      </w:tblGrid>
      <w:tr w:rsidR="008F5EB6" w:rsidRPr="00C220D0" w14:paraId="588B72EF" w14:textId="77777777" w:rsidTr="00162EF6">
        <w:trPr>
          <w:trHeight w:val="720"/>
          <w:jc w:val="center"/>
        </w:trPr>
        <w:tc>
          <w:tcPr>
            <w:tcW w:w="2540" w:type="dxa"/>
            <w:tcBorders>
              <w:top w:val="double" w:sz="6" w:space="0" w:color="auto"/>
              <w:left w:val="double" w:sz="6" w:space="0" w:color="auto"/>
              <w:bottom w:val="single" w:sz="4" w:space="0" w:color="auto"/>
              <w:right w:val="single" w:sz="4" w:space="0" w:color="auto"/>
            </w:tcBorders>
            <w:shd w:val="clear" w:color="auto" w:fill="auto"/>
            <w:vAlign w:val="bottom"/>
            <w:hideMark/>
          </w:tcPr>
          <w:p w14:paraId="6E882DE9" w14:textId="77777777" w:rsidR="008F5EB6" w:rsidRPr="00C220D0" w:rsidRDefault="008F5EB6" w:rsidP="008F5EB6">
            <w:pPr>
              <w:spacing w:before="0" w:after="0"/>
              <w:rPr>
                <w:rFonts w:ascii="Arial" w:hAnsi="Arial" w:cs="Arial"/>
                <w:color w:val="000000"/>
                <w:sz w:val="16"/>
                <w:szCs w:val="16"/>
                <w:lang w:val="en-AU" w:eastAsia="en-AU"/>
              </w:rPr>
            </w:pPr>
            <w:r w:rsidRPr="00C220D0">
              <w:rPr>
                <w:rFonts w:ascii="Arial" w:hAnsi="Arial" w:cs="Arial"/>
                <w:color w:val="000000"/>
                <w:sz w:val="16"/>
                <w:szCs w:val="16"/>
                <w:lang w:val="en-AU" w:eastAsia="en-AU"/>
              </w:rPr>
              <w:t> </w:t>
            </w:r>
          </w:p>
        </w:tc>
        <w:tc>
          <w:tcPr>
            <w:tcW w:w="2380" w:type="dxa"/>
            <w:tcBorders>
              <w:top w:val="double" w:sz="6" w:space="0" w:color="auto"/>
              <w:left w:val="nil"/>
              <w:bottom w:val="single" w:sz="4" w:space="0" w:color="auto"/>
              <w:right w:val="single" w:sz="4" w:space="0" w:color="auto"/>
            </w:tcBorders>
            <w:shd w:val="clear" w:color="auto" w:fill="auto"/>
            <w:vAlign w:val="bottom"/>
            <w:hideMark/>
          </w:tcPr>
          <w:p w14:paraId="795625DF" w14:textId="77777777" w:rsidR="008F5EB6" w:rsidRPr="00C220D0" w:rsidRDefault="008F5EB6" w:rsidP="008F5EB6">
            <w:pPr>
              <w:spacing w:before="0" w:after="0"/>
              <w:jc w:val="center"/>
              <w:rPr>
                <w:rFonts w:ascii="Arial" w:hAnsi="Arial" w:cs="Arial"/>
                <w:b/>
                <w:bCs/>
                <w:color w:val="000000"/>
                <w:sz w:val="16"/>
                <w:szCs w:val="16"/>
                <w:lang w:val="en-AU" w:eastAsia="en-AU"/>
              </w:rPr>
            </w:pPr>
            <w:r w:rsidRPr="00C220D0">
              <w:rPr>
                <w:rFonts w:ascii="Arial" w:hAnsi="Arial" w:cs="Arial"/>
                <w:b/>
                <w:bCs/>
                <w:color w:val="000000"/>
                <w:sz w:val="16"/>
                <w:szCs w:val="16"/>
                <w:lang w:val="en-AU" w:eastAsia="en-AU"/>
              </w:rPr>
              <w:t>Had Difficulty Paying Rates</w:t>
            </w:r>
          </w:p>
        </w:tc>
        <w:tc>
          <w:tcPr>
            <w:tcW w:w="2120" w:type="dxa"/>
            <w:tcBorders>
              <w:top w:val="double" w:sz="6" w:space="0" w:color="auto"/>
              <w:left w:val="nil"/>
              <w:bottom w:val="single" w:sz="4" w:space="0" w:color="auto"/>
              <w:right w:val="double" w:sz="6" w:space="0" w:color="auto"/>
            </w:tcBorders>
            <w:shd w:val="clear" w:color="auto" w:fill="auto"/>
            <w:vAlign w:val="bottom"/>
            <w:hideMark/>
          </w:tcPr>
          <w:p w14:paraId="78F7E14E" w14:textId="77777777" w:rsidR="008F5EB6" w:rsidRPr="00C220D0" w:rsidRDefault="008F5EB6" w:rsidP="008F5EB6">
            <w:pPr>
              <w:spacing w:before="0" w:after="0"/>
              <w:jc w:val="center"/>
              <w:rPr>
                <w:rFonts w:ascii="Arial" w:hAnsi="Arial" w:cs="Arial"/>
                <w:b/>
                <w:bCs/>
                <w:color w:val="000000"/>
                <w:sz w:val="16"/>
                <w:szCs w:val="16"/>
                <w:lang w:val="en-AU" w:eastAsia="en-AU"/>
              </w:rPr>
            </w:pPr>
            <w:r w:rsidRPr="00C220D0">
              <w:rPr>
                <w:rFonts w:ascii="Arial" w:hAnsi="Arial" w:cs="Arial"/>
                <w:b/>
                <w:bCs/>
                <w:color w:val="000000"/>
                <w:sz w:val="16"/>
                <w:szCs w:val="16"/>
                <w:lang w:val="en-AU" w:eastAsia="en-AU"/>
              </w:rPr>
              <w:t>Didn't Have Difficulty Paying Rates</w:t>
            </w:r>
          </w:p>
        </w:tc>
      </w:tr>
      <w:tr w:rsidR="008F5EB6" w:rsidRPr="00C220D0" w14:paraId="67F7C927" w14:textId="77777777" w:rsidTr="00162EF6">
        <w:trPr>
          <w:trHeight w:val="600"/>
          <w:jc w:val="center"/>
        </w:trPr>
        <w:tc>
          <w:tcPr>
            <w:tcW w:w="2540" w:type="dxa"/>
            <w:tcBorders>
              <w:top w:val="nil"/>
              <w:left w:val="double" w:sz="6" w:space="0" w:color="auto"/>
              <w:bottom w:val="single" w:sz="4" w:space="0" w:color="auto"/>
              <w:right w:val="single" w:sz="4" w:space="0" w:color="auto"/>
            </w:tcBorders>
            <w:shd w:val="clear" w:color="auto" w:fill="auto"/>
            <w:vAlign w:val="bottom"/>
            <w:hideMark/>
          </w:tcPr>
          <w:p w14:paraId="78C50F91" w14:textId="77777777" w:rsidR="008F5EB6" w:rsidRPr="00C220D0" w:rsidRDefault="008F5EB6" w:rsidP="008F5EB6">
            <w:pPr>
              <w:spacing w:before="0" w:after="0"/>
              <w:rPr>
                <w:rFonts w:ascii="Arial" w:hAnsi="Arial" w:cs="Arial"/>
                <w:b/>
                <w:bCs/>
                <w:color w:val="000000"/>
                <w:sz w:val="16"/>
                <w:szCs w:val="16"/>
                <w:lang w:val="en-AU" w:eastAsia="en-AU"/>
              </w:rPr>
            </w:pPr>
            <w:r w:rsidRPr="00C220D0">
              <w:rPr>
                <w:rFonts w:ascii="Arial" w:hAnsi="Arial" w:cs="Arial"/>
                <w:b/>
                <w:bCs/>
                <w:color w:val="000000"/>
                <w:sz w:val="16"/>
                <w:szCs w:val="16"/>
                <w:lang w:val="en-AU" w:eastAsia="en-AU"/>
              </w:rPr>
              <w:t>Average property valuation (CIV</w:t>
            </w:r>
            <w:r w:rsidR="008831EA" w:rsidRPr="00C220D0">
              <w:rPr>
                <w:rFonts w:ascii="Arial" w:hAnsi="Arial" w:cs="Arial"/>
                <w:b/>
                <w:bCs/>
                <w:color w:val="000000"/>
                <w:sz w:val="16"/>
                <w:szCs w:val="16"/>
                <w:lang w:val="en-AU" w:eastAsia="en-AU"/>
              </w:rPr>
              <w:t xml:space="preserve"> method</w:t>
            </w:r>
            <w:r w:rsidRPr="00C220D0">
              <w:rPr>
                <w:rFonts w:ascii="Arial" w:hAnsi="Arial" w:cs="Arial"/>
                <w:b/>
                <w:bCs/>
                <w:color w:val="000000"/>
                <w:sz w:val="16"/>
                <w:szCs w:val="16"/>
                <w:lang w:val="en-AU" w:eastAsia="en-AU"/>
              </w:rPr>
              <w:t>)</w:t>
            </w:r>
          </w:p>
        </w:tc>
        <w:tc>
          <w:tcPr>
            <w:tcW w:w="2380" w:type="dxa"/>
            <w:tcBorders>
              <w:top w:val="nil"/>
              <w:left w:val="nil"/>
              <w:bottom w:val="single" w:sz="4" w:space="0" w:color="auto"/>
              <w:right w:val="single" w:sz="4" w:space="0" w:color="auto"/>
            </w:tcBorders>
            <w:shd w:val="clear" w:color="auto" w:fill="auto"/>
            <w:noWrap/>
            <w:vAlign w:val="bottom"/>
            <w:hideMark/>
          </w:tcPr>
          <w:p w14:paraId="3AF31839" w14:textId="7D2141A6" w:rsidR="008F5EB6" w:rsidRPr="00C220D0" w:rsidRDefault="008F5EB6" w:rsidP="008F5EB6">
            <w:pPr>
              <w:spacing w:before="0" w:after="0"/>
              <w:jc w:val="center"/>
              <w:rPr>
                <w:rFonts w:ascii="Arial" w:hAnsi="Arial" w:cs="Arial"/>
                <w:color w:val="000000"/>
                <w:sz w:val="16"/>
                <w:szCs w:val="16"/>
                <w:lang w:val="en-AU" w:eastAsia="en-AU"/>
              </w:rPr>
            </w:pPr>
            <w:r w:rsidRPr="00C220D0">
              <w:rPr>
                <w:rFonts w:ascii="Arial" w:hAnsi="Arial" w:cs="Arial"/>
                <w:color w:val="000000"/>
                <w:sz w:val="16"/>
                <w:szCs w:val="16"/>
                <w:lang w:val="en-AU" w:eastAsia="en-AU"/>
              </w:rPr>
              <w:t>$</w:t>
            </w:r>
            <w:r w:rsidR="000B4402">
              <w:rPr>
                <w:rFonts w:ascii="Arial" w:hAnsi="Arial" w:cs="Arial"/>
                <w:color w:val="000000"/>
                <w:sz w:val="16"/>
                <w:szCs w:val="16"/>
                <w:lang w:val="en-AU" w:eastAsia="en-AU"/>
              </w:rPr>
              <w:t>365,714</w:t>
            </w:r>
          </w:p>
          <w:p w14:paraId="1AF527F0" w14:textId="77777777" w:rsidR="008B1BA1" w:rsidRPr="00C220D0" w:rsidRDefault="008B1BA1" w:rsidP="008F5EB6">
            <w:pPr>
              <w:spacing w:before="0" w:after="0"/>
              <w:jc w:val="center"/>
              <w:rPr>
                <w:rFonts w:ascii="Arial" w:hAnsi="Arial" w:cs="Arial"/>
                <w:color w:val="000000"/>
                <w:sz w:val="16"/>
                <w:szCs w:val="16"/>
                <w:lang w:val="en-AU" w:eastAsia="en-AU"/>
              </w:rPr>
            </w:pPr>
            <w:r w:rsidRPr="00C220D0">
              <w:rPr>
                <w:rFonts w:ascii="Arial" w:hAnsi="Arial" w:cs="Arial"/>
                <w:color w:val="000000"/>
                <w:sz w:val="16"/>
                <w:szCs w:val="16"/>
                <w:lang w:val="en-AU" w:eastAsia="en-AU"/>
              </w:rPr>
              <w:t>(n=49)</w:t>
            </w:r>
          </w:p>
        </w:tc>
        <w:tc>
          <w:tcPr>
            <w:tcW w:w="2120" w:type="dxa"/>
            <w:tcBorders>
              <w:top w:val="nil"/>
              <w:left w:val="nil"/>
              <w:bottom w:val="single" w:sz="4" w:space="0" w:color="auto"/>
              <w:right w:val="double" w:sz="6" w:space="0" w:color="auto"/>
            </w:tcBorders>
            <w:shd w:val="clear" w:color="auto" w:fill="auto"/>
            <w:noWrap/>
            <w:vAlign w:val="bottom"/>
            <w:hideMark/>
          </w:tcPr>
          <w:p w14:paraId="4A09E4E0" w14:textId="48CCA0CD" w:rsidR="008F5EB6" w:rsidRPr="00C220D0" w:rsidRDefault="008F5EB6" w:rsidP="008F5EB6">
            <w:pPr>
              <w:spacing w:before="0" w:after="0"/>
              <w:jc w:val="center"/>
              <w:rPr>
                <w:rFonts w:ascii="Arial" w:hAnsi="Arial" w:cs="Arial"/>
                <w:color w:val="000000"/>
                <w:sz w:val="16"/>
                <w:szCs w:val="16"/>
                <w:lang w:val="en-AU" w:eastAsia="en-AU"/>
              </w:rPr>
            </w:pPr>
            <w:r w:rsidRPr="00C220D0">
              <w:rPr>
                <w:rFonts w:ascii="Arial" w:hAnsi="Arial" w:cs="Arial"/>
                <w:color w:val="000000"/>
                <w:sz w:val="16"/>
                <w:szCs w:val="16"/>
                <w:lang w:val="en-AU" w:eastAsia="en-AU"/>
              </w:rPr>
              <w:t>$4</w:t>
            </w:r>
            <w:r w:rsidR="00D51073" w:rsidRPr="00C220D0">
              <w:rPr>
                <w:rFonts w:ascii="Arial" w:hAnsi="Arial" w:cs="Arial"/>
                <w:color w:val="000000"/>
                <w:sz w:val="16"/>
                <w:szCs w:val="16"/>
                <w:lang w:val="en-AU" w:eastAsia="en-AU"/>
              </w:rPr>
              <w:t>92,</w:t>
            </w:r>
            <w:r w:rsidR="009117B0">
              <w:rPr>
                <w:rFonts w:ascii="Arial" w:hAnsi="Arial" w:cs="Arial"/>
                <w:color w:val="000000"/>
                <w:sz w:val="16"/>
                <w:szCs w:val="16"/>
                <w:lang w:val="en-AU" w:eastAsia="en-AU"/>
              </w:rPr>
              <w:t>030</w:t>
            </w:r>
          </w:p>
          <w:p w14:paraId="789E322C" w14:textId="0E81C04C" w:rsidR="008B1BA1" w:rsidRPr="00C220D0" w:rsidRDefault="008B1BA1" w:rsidP="009117B0">
            <w:pPr>
              <w:spacing w:before="0" w:after="0"/>
              <w:jc w:val="center"/>
              <w:rPr>
                <w:rFonts w:ascii="Arial" w:hAnsi="Arial" w:cs="Arial"/>
                <w:color w:val="000000"/>
                <w:sz w:val="16"/>
                <w:szCs w:val="16"/>
                <w:lang w:val="en-AU" w:eastAsia="en-AU"/>
              </w:rPr>
            </w:pPr>
            <w:r w:rsidRPr="00C220D0">
              <w:rPr>
                <w:rFonts w:ascii="Arial" w:hAnsi="Arial" w:cs="Arial"/>
                <w:color w:val="000000"/>
                <w:sz w:val="16"/>
                <w:szCs w:val="16"/>
                <w:lang w:val="en-AU" w:eastAsia="en-AU"/>
              </w:rPr>
              <w:t>(n=1,3</w:t>
            </w:r>
            <w:r w:rsidR="009117B0">
              <w:rPr>
                <w:rFonts w:ascii="Arial" w:hAnsi="Arial" w:cs="Arial"/>
                <w:color w:val="000000"/>
                <w:sz w:val="16"/>
                <w:szCs w:val="16"/>
                <w:lang w:val="en-AU" w:eastAsia="en-AU"/>
              </w:rPr>
              <w:t>16</w:t>
            </w:r>
            <w:r w:rsidRPr="00C220D0">
              <w:rPr>
                <w:rFonts w:ascii="Arial" w:hAnsi="Arial" w:cs="Arial"/>
                <w:color w:val="000000"/>
                <w:sz w:val="16"/>
                <w:szCs w:val="16"/>
                <w:lang w:val="en-AU" w:eastAsia="en-AU"/>
              </w:rPr>
              <w:t>)</w:t>
            </w:r>
          </w:p>
        </w:tc>
      </w:tr>
      <w:tr w:rsidR="008F5EB6" w:rsidRPr="00C220D0" w14:paraId="7A45CD5F" w14:textId="77777777" w:rsidTr="00162EF6">
        <w:trPr>
          <w:trHeight w:val="615"/>
          <w:jc w:val="center"/>
        </w:trPr>
        <w:tc>
          <w:tcPr>
            <w:tcW w:w="2540" w:type="dxa"/>
            <w:tcBorders>
              <w:top w:val="nil"/>
              <w:left w:val="double" w:sz="6" w:space="0" w:color="auto"/>
              <w:bottom w:val="double" w:sz="6" w:space="0" w:color="auto"/>
              <w:right w:val="single" w:sz="4" w:space="0" w:color="auto"/>
            </w:tcBorders>
            <w:shd w:val="clear" w:color="auto" w:fill="auto"/>
            <w:vAlign w:val="bottom"/>
            <w:hideMark/>
          </w:tcPr>
          <w:p w14:paraId="27ECD115" w14:textId="77777777" w:rsidR="008F5EB6" w:rsidRPr="00C220D0" w:rsidRDefault="008F5EB6" w:rsidP="008F5EB6">
            <w:pPr>
              <w:spacing w:before="0" w:after="0"/>
              <w:rPr>
                <w:rFonts w:ascii="Arial" w:hAnsi="Arial" w:cs="Arial"/>
                <w:b/>
                <w:bCs/>
                <w:color w:val="000000"/>
                <w:sz w:val="16"/>
                <w:szCs w:val="16"/>
                <w:lang w:val="en-AU" w:eastAsia="en-AU"/>
              </w:rPr>
            </w:pPr>
            <w:r w:rsidRPr="00C220D0">
              <w:rPr>
                <w:rFonts w:ascii="Arial" w:hAnsi="Arial" w:cs="Arial"/>
                <w:b/>
                <w:bCs/>
                <w:color w:val="000000"/>
                <w:sz w:val="16"/>
                <w:szCs w:val="16"/>
                <w:lang w:val="en-AU" w:eastAsia="en-AU"/>
              </w:rPr>
              <w:t>Average property valuation (NAV</w:t>
            </w:r>
            <w:r w:rsidR="008831EA" w:rsidRPr="00C220D0">
              <w:rPr>
                <w:rFonts w:ascii="Arial" w:hAnsi="Arial" w:cs="Arial"/>
                <w:b/>
                <w:bCs/>
                <w:color w:val="000000"/>
                <w:sz w:val="16"/>
                <w:szCs w:val="16"/>
                <w:lang w:val="en-AU" w:eastAsia="en-AU"/>
              </w:rPr>
              <w:t xml:space="preserve"> method</w:t>
            </w:r>
            <w:r w:rsidRPr="00C220D0">
              <w:rPr>
                <w:rFonts w:ascii="Arial" w:hAnsi="Arial" w:cs="Arial"/>
                <w:b/>
                <w:bCs/>
                <w:color w:val="000000"/>
                <w:sz w:val="16"/>
                <w:szCs w:val="16"/>
                <w:lang w:val="en-AU" w:eastAsia="en-AU"/>
              </w:rPr>
              <w:t>)</w:t>
            </w:r>
          </w:p>
        </w:tc>
        <w:tc>
          <w:tcPr>
            <w:tcW w:w="2380" w:type="dxa"/>
            <w:tcBorders>
              <w:top w:val="nil"/>
              <w:left w:val="nil"/>
              <w:bottom w:val="double" w:sz="6" w:space="0" w:color="auto"/>
              <w:right w:val="single" w:sz="4" w:space="0" w:color="auto"/>
            </w:tcBorders>
            <w:shd w:val="clear" w:color="auto" w:fill="auto"/>
            <w:noWrap/>
            <w:vAlign w:val="bottom"/>
            <w:hideMark/>
          </w:tcPr>
          <w:p w14:paraId="431DEC65" w14:textId="77777777" w:rsidR="008F5EB6" w:rsidRPr="00C220D0" w:rsidRDefault="008F5EB6" w:rsidP="008F5EB6">
            <w:pPr>
              <w:spacing w:before="0" w:after="0"/>
              <w:jc w:val="center"/>
              <w:rPr>
                <w:rFonts w:ascii="Arial" w:hAnsi="Arial" w:cs="Arial"/>
                <w:color w:val="000000"/>
                <w:sz w:val="16"/>
                <w:szCs w:val="16"/>
                <w:lang w:val="en-AU" w:eastAsia="en-AU"/>
              </w:rPr>
            </w:pPr>
            <w:r w:rsidRPr="00C220D0">
              <w:rPr>
                <w:rFonts w:ascii="Arial" w:hAnsi="Arial" w:cs="Arial"/>
                <w:color w:val="000000"/>
                <w:sz w:val="16"/>
                <w:szCs w:val="16"/>
                <w:lang w:val="en-AU" w:eastAsia="en-AU"/>
              </w:rPr>
              <w:t>$1</w:t>
            </w:r>
            <w:r w:rsidR="00D51073" w:rsidRPr="00C220D0">
              <w:rPr>
                <w:rFonts w:ascii="Arial" w:hAnsi="Arial" w:cs="Arial"/>
                <w:color w:val="000000"/>
                <w:sz w:val="16"/>
                <w:szCs w:val="16"/>
                <w:lang w:val="en-AU" w:eastAsia="en-AU"/>
              </w:rPr>
              <w:t>6</w:t>
            </w:r>
            <w:r w:rsidRPr="00C220D0">
              <w:rPr>
                <w:rFonts w:ascii="Arial" w:hAnsi="Arial" w:cs="Arial"/>
                <w:color w:val="000000"/>
                <w:sz w:val="16"/>
                <w:szCs w:val="16"/>
                <w:lang w:val="en-AU" w:eastAsia="en-AU"/>
              </w:rPr>
              <w:t>,</w:t>
            </w:r>
            <w:r w:rsidR="00D51073" w:rsidRPr="00C220D0">
              <w:rPr>
                <w:rFonts w:ascii="Arial" w:hAnsi="Arial" w:cs="Arial"/>
                <w:color w:val="000000"/>
                <w:sz w:val="16"/>
                <w:szCs w:val="16"/>
                <w:lang w:val="en-AU" w:eastAsia="en-AU"/>
              </w:rPr>
              <w:t>976</w:t>
            </w:r>
          </w:p>
          <w:p w14:paraId="6E02A964" w14:textId="77777777" w:rsidR="008B1BA1" w:rsidRPr="00C220D0" w:rsidRDefault="008B1BA1" w:rsidP="008F5EB6">
            <w:pPr>
              <w:spacing w:before="0" w:after="0"/>
              <w:jc w:val="center"/>
              <w:rPr>
                <w:rFonts w:ascii="Arial" w:hAnsi="Arial" w:cs="Arial"/>
                <w:color w:val="000000"/>
                <w:sz w:val="16"/>
                <w:szCs w:val="16"/>
                <w:lang w:val="en-AU" w:eastAsia="en-AU"/>
              </w:rPr>
            </w:pPr>
            <w:r w:rsidRPr="00C220D0">
              <w:rPr>
                <w:rFonts w:ascii="Arial" w:hAnsi="Arial" w:cs="Arial"/>
                <w:color w:val="000000"/>
                <w:sz w:val="16"/>
                <w:szCs w:val="16"/>
                <w:lang w:val="en-AU" w:eastAsia="en-AU"/>
              </w:rPr>
              <w:t>(n=3)</w:t>
            </w:r>
          </w:p>
        </w:tc>
        <w:tc>
          <w:tcPr>
            <w:tcW w:w="2120" w:type="dxa"/>
            <w:tcBorders>
              <w:top w:val="nil"/>
              <w:left w:val="nil"/>
              <w:bottom w:val="double" w:sz="6" w:space="0" w:color="auto"/>
              <w:right w:val="double" w:sz="6" w:space="0" w:color="auto"/>
            </w:tcBorders>
            <w:shd w:val="clear" w:color="auto" w:fill="auto"/>
            <w:noWrap/>
            <w:vAlign w:val="bottom"/>
            <w:hideMark/>
          </w:tcPr>
          <w:p w14:paraId="77296533" w14:textId="77777777" w:rsidR="008F5EB6" w:rsidRPr="00C220D0" w:rsidRDefault="008F5EB6" w:rsidP="008F5EB6">
            <w:pPr>
              <w:spacing w:before="0" w:after="0"/>
              <w:jc w:val="center"/>
              <w:rPr>
                <w:rFonts w:ascii="Arial" w:hAnsi="Arial" w:cs="Arial"/>
                <w:color w:val="000000"/>
                <w:sz w:val="16"/>
                <w:szCs w:val="16"/>
                <w:lang w:val="en-AU" w:eastAsia="en-AU"/>
              </w:rPr>
            </w:pPr>
            <w:r w:rsidRPr="00C220D0">
              <w:rPr>
                <w:rFonts w:ascii="Arial" w:hAnsi="Arial" w:cs="Arial"/>
                <w:color w:val="000000"/>
                <w:sz w:val="16"/>
                <w:szCs w:val="16"/>
                <w:lang w:val="en-AU" w:eastAsia="en-AU"/>
              </w:rPr>
              <w:t>$</w:t>
            </w:r>
            <w:r w:rsidR="00D51073" w:rsidRPr="00C220D0">
              <w:rPr>
                <w:rFonts w:ascii="Arial" w:hAnsi="Arial" w:cs="Arial"/>
                <w:color w:val="000000"/>
                <w:sz w:val="16"/>
                <w:szCs w:val="16"/>
                <w:lang w:val="en-AU" w:eastAsia="en-AU"/>
              </w:rPr>
              <w:t>29,799</w:t>
            </w:r>
          </w:p>
          <w:p w14:paraId="0A1C49BF" w14:textId="77777777" w:rsidR="008B1BA1" w:rsidRPr="00C220D0" w:rsidRDefault="008B1BA1" w:rsidP="008F5EB6">
            <w:pPr>
              <w:spacing w:before="0" w:after="0"/>
              <w:jc w:val="center"/>
              <w:rPr>
                <w:rFonts w:ascii="Arial" w:hAnsi="Arial" w:cs="Arial"/>
                <w:color w:val="000000"/>
                <w:sz w:val="16"/>
                <w:szCs w:val="16"/>
                <w:lang w:val="en-AU" w:eastAsia="en-AU"/>
              </w:rPr>
            </w:pPr>
            <w:r w:rsidRPr="00C220D0">
              <w:rPr>
                <w:rFonts w:ascii="Arial" w:hAnsi="Arial" w:cs="Arial"/>
                <w:color w:val="000000"/>
                <w:sz w:val="16"/>
                <w:szCs w:val="16"/>
                <w:lang w:val="en-AU" w:eastAsia="en-AU"/>
              </w:rPr>
              <w:t>(n=86)</w:t>
            </w:r>
          </w:p>
        </w:tc>
      </w:tr>
    </w:tbl>
    <w:p w14:paraId="62E49D10" w14:textId="77777777" w:rsidR="008F5EB6" w:rsidRPr="009C0990" w:rsidRDefault="008F5EB6" w:rsidP="000E608D">
      <w:pPr>
        <w:pStyle w:val="Para"/>
        <w:rPr>
          <w:highlight w:val="yellow"/>
          <w:lang w:val="en-AU"/>
        </w:rPr>
      </w:pPr>
    </w:p>
    <w:p w14:paraId="776A49D9" w14:textId="77777777" w:rsidR="000E608D" w:rsidRPr="00B836DA" w:rsidRDefault="000E608D" w:rsidP="00467831">
      <w:pPr>
        <w:pStyle w:val="Heading2"/>
        <w:rPr>
          <w:lang w:val="en-AU"/>
        </w:rPr>
      </w:pPr>
      <w:r w:rsidRPr="00245A3A">
        <w:rPr>
          <w:highlight w:val="yellow"/>
          <w:lang w:val="en-AU"/>
        </w:rPr>
        <w:br w:type="page"/>
      </w:r>
      <w:bookmarkStart w:id="225" w:name="_Toc439198340"/>
      <w:bookmarkStart w:id="226" w:name="_Toc445571717"/>
      <w:r w:rsidRPr="00B836DA">
        <w:rPr>
          <w:lang w:val="en-AU"/>
        </w:rPr>
        <w:lastRenderedPageBreak/>
        <w:t>A</w:t>
      </w:r>
      <w:r w:rsidR="00467831" w:rsidRPr="00B836DA">
        <w:rPr>
          <w:lang w:val="en-AU"/>
        </w:rPr>
        <w:t>SSISTANCE WITH MEETING PAYMENTS</w:t>
      </w:r>
      <w:bookmarkEnd w:id="225"/>
      <w:bookmarkEnd w:id="226"/>
    </w:p>
    <w:p w14:paraId="439FFE45" w14:textId="77777777" w:rsidR="000E608D" w:rsidRPr="00B836DA" w:rsidRDefault="000E608D" w:rsidP="000E608D">
      <w:pPr>
        <w:pStyle w:val="Para"/>
        <w:rPr>
          <w:lang w:val="en-AU"/>
        </w:rPr>
      </w:pPr>
    </w:p>
    <w:p w14:paraId="6BEA8165" w14:textId="77777777" w:rsidR="000E608D" w:rsidRPr="00B836DA" w:rsidRDefault="0052431B" w:rsidP="000E608D">
      <w:pPr>
        <w:pStyle w:val="Para"/>
        <w:rPr>
          <w:lang w:val="en-AU"/>
        </w:rPr>
      </w:pPr>
      <w:r w:rsidRPr="00B836DA">
        <w:rPr>
          <w:lang w:val="en-AU"/>
        </w:rPr>
        <w:t xml:space="preserve">There was no clear trend when comparing propensity to ask for and receive assistance from suppliers in 2014 with 2007.  While movements since 2007 were fairly small, respondents were more likely to seek assistance from electricity suppliers or councils, and less likely to do so with gas or water suppliers.  In terms of receiving </w:t>
      </w:r>
      <w:r w:rsidR="00D421A5" w:rsidRPr="00B836DA">
        <w:rPr>
          <w:lang w:val="en-AU"/>
        </w:rPr>
        <w:t xml:space="preserve">assistance </w:t>
      </w:r>
      <w:r w:rsidRPr="00B836DA">
        <w:rPr>
          <w:lang w:val="en-AU"/>
        </w:rPr>
        <w:t>once asked, respondents were more likely than in 2007 to receive assistance from gas suppliers and councils, and less likely to receive assistance from electricity and water suppliers.</w:t>
      </w:r>
      <w:r w:rsidR="000E608D" w:rsidRPr="00B836DA">
        <w:rPr>
          <w:lang w:val="en-AU"/>
        </w:rPr>
        <w:t xml:space="preserve">  Due to small sample sizes, analysis by sub-groups was not possible. </w:t>
      </w:r>
    </w:p>
    <w:p w14:paraId="1E72E1DA" w14:textId="77777777" w:rsidR="00A04B53" w:rsidRPr="00B836DA" w:rsidRDefault="00A04B53" w:rsidP="00A04B53">
      <w:pPr>
        <w:spacing w:line="340" w:lineRule="exact"/>
        <w:jc w:val="both"/>
        <w:rPr>
          <w:lang w:val="en-AU"/>
        </w:rPr>
      </w:pPr>
    </w:p>
    <w:p w14:paraId="384F19E0" w14:textId="77777777" w:rsidR="00A04B53" w:rsidRPr="00B836DA" w:rsidRDefault="00A04B53" w:rsidP="00A04B53">
      <w:pPr>
        <w:pStyle w:val="Para"/>
        <w:pBdr>
          <w:top w:val="double" w:sz="4" w:space="1" w:color="auto"/>
          <w:left w:val="double" w:sz="4" w:space="4" w:color="auto"/>
          <w:bottom w:val="double" w:sz="4" w:space="1" w:color="auto"/>
          <w:right w:val="double" w:sz="4" w:space="4" w:color="auto"/>
        </w:pBdr>
        <w:shd w:val="pct12" w:color="auto" w:fill="FFFFFF"/>
        <w:rPr>
          <w:lang w:val="en-AU"/>
        </w:rPr>
      </w:pPr>
      <w:r w:rsidRPr="00B836DA">
        <w:rPr>
          <w:lang w:val="en-AU"/>
        </w:rPr>
        <w:t xml:space="preserve">The following sections cover </w:t>
      </w:r>
      <w:r w:rsidR="00CC24B1" w:rsidRPr="00B836DA">
        <w:rPr>
          <w:lang w:val="en-AU"/>
        </w:rPr>
        <w:t>questions</w:t>
      </w:r>
      <w:r w:rsidRPr="00B836DA">
        <w:rPr>
          <w:lang w:val="en-AU"/>
        </w:rPr>
        <w:t xml:space="preserve"> to do with how suppliers responded to </w:t>
      </w:r>
      <w:r w:rsidR="00CC24B1" w:rsidRPr="00B836DA">
        <w:rPr>
          <w:lang w:val="en-AU"/>
        </w:rPr>
        <w:t xml:space="preserve">difficulties households had paying their bills.  The numbers </w:t>
      </w:r>
      <w:r w:rsidR="00896429" w:rsidRPr="00B836DA">
        <w:rPr>
          <w:lang w:val="en-AU"/>
        </w:rPr>
        <w:t>of respondents involved are relatively small and trends are not always apparent.  Therefore the results from past surveys are simply presented in text format</w:t>
      </w:r>
      <w:r w:rsidRPr="00B836DA">
        <w:rPr>
          <w:lang w:val="en-AU"/>
        </w:rPr>
        <w:t>.</w:t>
      </w:r>
    </w:p>
    <w:p w14:paraId="4DA06A42" w14:textId="77777777" w:rsidR="000E608D" w:rsidRPr="00245A3A" w:rsidRDefault="000E608D" w:rsidP="009748AD">
      <w:pPr>
        <w:pStyle w:val="Para"/>
        <w:spacing w:before="240"/>
        <w:rPr>
          <w:highlight w:val="yellow"/>
          <w:lang w:val="en-AU"/>
        </w:rPr>
      </w:pPr>
    </w:p>
    <w:p w14:paraId="1E19558C" w14:textId="77777777" w:rsidR="009926AF" w:rsidRPr="00B836DA" w:rsidRDefault="009926AF" w:rsidP="000E608D">
      <w:pPr>
        <w:pStyle w:val="Para"/>
        <w:rPr>
          <w:i/>
          <w:lang w:val="en-AU"/>
        </w:rPr>
      </w:pPr>
      <w:r w:rsidRPr="00B836DA">
        <w:rPr>
          <w:i/>
          <w:lang w:val="en-AU"/>
        </w:rPr>
        <w:t>Electricity</w:t>
      </w:r>
    </w:p>
    <w:p w14:paraId="4CF3A118" w14:textId="69491A90" w:rsidR="000E608D" w:rsidRPr="00B836DA" w:rsidRDefault="00C778C1" w:rsidP="000E608D">
      <w:pPr>
        <w:pStyle w:val="Para"/>
        <w:rPr>
          <w:lang w:val="en-AU"/>
        </w:rPr>
      </w:pPr>
      <w:r w:rsidRPr="00B836DA">
        <w:rPr>
          <w:lang w:val="en-AU"/>
        </w:rPr>
        <w:t>O</w:t>
      </w:r>
      <w:r w:rsidR="000E608D" w:rsidRPr="00B836DA">
        <w:rPr>
          <w:lang w:val="en-AU"/>
        </w:rPr>
        <w:t xml:space="preserve">ne-half </w:t>
      </w:r>
      <w:r w:rsidRPr="00B836DA">
        <w:rPr>
          <w:lang w:val="en-AU"/>
        </w:rPr>
        <w:t xml:space="preserve">(52%) </w:t>
      </w:r>
      <w:r w:rsidR="000E608D" w:rsidRPr="00B836DA">
        <w:rPr>
          <w:lang w:val="en-AU"/>
        </w:rPr>
        <w:t xml:space="preserve">of households that had </w:t>
      </w:r>
      <w:r w:rsidR="00785A2B" w:rsidRPr="00B836DA">
        <w:rPr>
          <w:lang w:val="en-AU"/>
        </w:rPr>
        <w:t>difficulty</w:t>
      </w:r>
      <w:r w:rsidR="000E608D" w:rsidRPr="00B836DA">
        <w:rPr>
          <w:lang w:val="en-AU"/>
        </w:rPr>
        <w:t xml:space="preserve"> paying their electricity bills </w:t>
      </w:r>
      <w:r w:rsidRPr="00B836DA">
        <w:rPr>
          <w:lang w:val="en-AU"/>
        </w:rPr>
        <w:t xml:space="preserve">(n=163) </w:t>
      </w:r>
      <w:r w:rsidR="000E608D" w:rsidRPr="00B836DA">
        <w:rPr>
          <w:lang w:val="en-AU"/>
        </w:rPr>
        <w:t xml:space="preserve">had discussed the problem with their supplier in the last </w:t>
      </w:r>
      <w:r w:rsidR="00682DF7" w:rsidRPr="00B836DA">
        <w:rPr>
          <w:lang w:val="en-AU"/>
        </w:rPr>
        <w:t>12</w:t>
      </w:r>
      <w:r w:rsidR="00682DF7">
        <w:rPr>
          <w:lang w:val="en-AU"/>
        </w:rPr>
        <w:t> </w:t>
      </w:r>
      <w:r w:rsidR="00682DF7" w:rsidRPr="00B836DA">
        <w:rPr>
          <w:lang w:val="en-AU"/>
        </w:rPr>
        <w:t xml:space="preserve">months </w:t>
      </w:r>
      <w:r w:rsidR="000E608D" w:rsidRPr="00B836DA">
        <w:rPr>
          <w:lang w:val="en-AU"/>
        </w:rPr>
        <w:t>(48%</w:t>
      </w:r>
      <w:r w:rsidRPr="00B836DA">
        <w:rPr>
          <w:lang w:val="en-AU"/>
        </w:rPr>
        <w:t xml:space="preserve"> in 2007</w:t>
      </w:r>
      <w:r w:rsidR="000E608D" w:rsidRPr="00B836DA">
        <w:rPr>
          <w:lang w:val="en-AU"/>
        </w:rPr>
        <w:t xml:space="preserve">).  </w:t>
      </w:r>
      <w:r w:rsidRPr="00B836DA">
        <w:rPr>
          <w:lang w:val="en-AU"/>
        </w:rPr>
        <w:t>T</w:t>
      </w:r>
      <w:r w:rsidR="000E608D" w:rsidRPr="00B836DA">
        <w:rPr>
          <w:lang w:val="en-AU"/>
        </w:rPr>
        <w:t xml:space="preserve">hree-quarters </w:t>
      </w:r>
      <w:r w:rsidRPr="00B836DA">
        <w:rPr>
          <w:lang w:val="en-AU"/>
        </w:rPr>
        <w:t>(7</w:t>
      </w:r>
      <w:r w:rsidR="00B836DA" w:rsidRPr="00B836DA">
        <w:rPr>
          <w:lang w:val="en-AU"/>
        </w:rPr>
        <w:t>3</w:t>
      </w:r>
      <w:r w:rsidRPr="00B836DA">
        <w:rPr>
          <w:lang w:val="en-AU"/>
        </w:rPr>
        <w:t xml:space="preserve">%) </w:t>
      </w:r>
      <w:r w:rsidR="000E608D" w:rsidRPr="00B836DA">
        <w:rPr>
          <w:lang w:val="en-AU"/>
        </w:rPr>
        <w:t xml:space="preserve">of the households that asked for </w:t>
      </w:r>
      <w:r w:rsidR="00633A10" w:rsidRPr="00B836DA">
        <w:rPr>
          <w:lang w:val="en-AU"/>
        </w:rPr>
        <w:t>assistance</w:t>
      </w:r>
      <w:r w:rsidR="000E608D" w:rsidRPr="00B836DA">
        <w:rPr>
          <w:lang w:val="en-AU"/>
        </w:rPr>
        <w:t xml:space="preserve"> from the supplier </w:t>
      </w:r>
      <w:r w:rsidRPr="00B836DA">
        <w:rPr>
          <w:lang w:val="en-AU"/>
        </w:rPr>
        <w:t xml:space="preserve">(n=81) </w:t>
      </w:r>
      <w:r w:rsidR="000E608D" w:rsidRPr="00B836DA">
        <w:rPr>
          <w:lang w:val="en-AU"/>
        </w:rPr>
        <w:t>received help</w:t>
      </w:r>
      <w:r w:rsidRPr="00B836DA">
        <w:rPr>
          <w:lang w:val="en-AU"/>
        </w:rPr>
        <w:t xml:space="preserve"> (78% in 2007)</w:t>
      </w:r>
      <w:r w:rsidR="000E608D" w:rsidRPr="00B836DA">
        <w:rPr>
          <w:lang w:val="en-AU"/>
        </w:rPr>
        <w:t xml:space="preserve">.  The form of assistance received by these households </w:t>
      </w:r>
      <w:r w:rsidRPr="00B836DA">
        <w:rPr>
          <w:lang w:val="en-AU"/>
        </w:rPr>
        <w:t xml:space="preserve">(n=58) </w:t>
      </w:r>
      <w:r w:rsidR="000E608D" w:rsidRPr="00B836DA">
        <w:rPr>
          <w:lang w:val="en-AU"/>
        </w:rPr>
        <w:t>included being allowed to pay the bill off in instalments (</w:t>
      </w:r>
      <w:r w:rsidR="00BF1866" w:rsidRPr="00B836DA">
        <w:rPr>
          <w:lang w:val="en-AU"/>
        </w:rPr>
        <w:t xml:space="preserve">60%, compared with </w:t>
      </w:r>
      <w:r w:rsidR="000E608D" w:rsidRPr="00B836DA">
        <w:rPr>
          <w:lang w:val="en-AU"/>
        </w:rPr>
        <w:t>58%</w:t>
      </w:r>
      <w:r w:rsidR="00BF1866" w:rsidRPr="00B836DA">
        <w:rPr>
          <w:lang w:val="en-AU"/>
        </w:rPr>
        <w:t xml:space="preserve"> in 2007</w:t>
      </w:r>
      <w:r w:rsidR="000E608D" w:rsidRPr="00B836DA">
        <w:rPr>
          <w:lang w:val="en-AU"/>
        </w:rPr>
        <w:t>), extension of the due date (</w:t>
      </w:r>
      <w:r w:rsidR="00BF1866" w:rsidRPr="00B836DA">
        <w:rPr>
          <w:lang w:val="en-AU"/>
        </w:rPr>
        <w:t xml:space="preserve">28%, down substantially from </w:t>
      </w:r>
      <w:r w:rsidR="000E608D" w:rsidRPr="00B836DA">
        <w:rPr>
          <w:lang w:val="en-AU"/>
        </w:rPr>
        <w:t>54%</w:t>
      </w:r>
      <w:r w:rsidR="00BF1866" w:rsidRPr="00B836DA">
        <w:rPr>
          <w:lang w:val="en-AU"/>
        </w:rPr>
        <w:t xml:space="preserve"> in 2007</w:t>
      </w:r>
      <w:r w:rsidR="000E608D" w:rsidRPr="00B836DA">
        <w:rPr>
          <w:lang w:val="en-AU"/>
        </w:rPr>
        <w:t>)</w:t>
      </w:r>
      <w:r w:rsidR="00B836DA" w:rsidRPr="00B836DA">
        <w:rPr>
          <w:lang w:val="en-AU"/>
        </w:rPr>
        <w:t xml:space="preserve"> and/or being </w:t>
      </w:r>
      <w:r w:rsidR="000E608D" w:rsidRPr="00B836DA">
        <w:rPr>
          <w:lang w:val="en-AU"/>
        </w:rPr>
        <w:t>provide</w:t>
      </w:r>
      <w:r w:rsidR="000F005C" w:rsidRPr="00B836DA">
        <w:rPr>
          <w:lang w:val="en-AU"/>
        </w:rPr>
        <w:t>d</w:t>
      </w:r>
      <w:r w:rsidR="000E608D" w:rsidRPr="00B836DA">
        <w:rPr>
          <w:lang w:val="en-AU"/>
        </w:rPr>
        <w:t xml:space="preserve"> information about the Utility Relief Grants Scheme (</w:t>
      </w:r>
      <w:r w:rsidR="00BF1866" w:rsidRPr="00B836DA">
        <w:rPr>
          <w:lang w:val="en-AU"/>
        </w:rPr>
        <w:t>1</w:t>
      </w:r>
      <w:r w:rsidR="00B836DA" w:rsidRPr="00B836DA">
        <w:rPr>
          <w:lang w:val="en-AU"/>
        </w:rPr>
        <w:t>3</w:t>
      </w:r>
      <w:r w:rsidR="00BF1866" w:rsidRPr="00B836DA">
        <w:rPr>
          <w:lang w:val="en-AU"/>
        </w:rPr>
        <w:t xml:space="preserve">%, compared with </w:t>
      </w:r>
      <w:r w:rsidR="000E608D" w:rsidRPr="00B836DA">
        <w:rPr>
          <w:lang w:val="en-AU"/>
        </w:rPr>
        <w:t>4%</w:t>
      </w:r>
      <w:r w:rsidR="00BF1866" w:rsidRPr="00B836DA">
        <w:rPr>
          <w:lang w:val="en-AU"/>
        </w:rPr>
        <w:t xml:space="preserve"> in 2007</w:t>
      </w:r>
      <w:r w:rsidR="000E608D" w:rsidRPr="00B836DA">
        <w:rPr>
          <w:lang w:val="en-AU"/>
        </w:rPr>
        <w:t>)</w:t>
      </w:r>
      <w:r w:rsidR="00B836DA" w:rsidRPr="00B836DA">
        <w:rPr>
          <w:lang w:val="en-AU"/>
        </w:rPr>
        <w:t xml:space="preserve">. </w:t>
      </w:r>
      <w:r w:rsidR="000E608D" w:rsidRPr="00B836DA">
        <w:rPr>
          <w:lang w:val="en-AU"/>
        </w:rPr>
        <w:t xml:space="preserve">Respondents could provide multiple responses for this question.   </w:t>
      </w:r>
    </w:p>
    <w:p w14:paraId="3977E944" w14:textId="77777777" w:rsidR="00585042" w:rsidRPr="00B836DA" w:rsidRDefault="00585042" w:rsidP="000E608D">
      <w:pPr>
        <w:pStyle w:val="Para"/>
        <w:rPr>
          <w:lang w:val="en-AU"/>
        </w:rPr>
      </w:pPr>
    </w:p>
    <w:p w14:paraId="2FF1A498" w14:textId="77777777" w:rsidR="00B56DF7" w:rsidRDefault="00B56DF7">
      <w:pPr>
        <w:spacing w:before="0" w:after="0"/>
        <w:rPr>
          <w:lang w:val="en-AU"/>
        </w:rPr>
      </w:pPr>
      <w:r>
        <w:rPr>
          <w:lang w:val="en-AU"/>
        </w:rPr>
        <w:br w:type="page"/>
      </w:r>
    </w:p>
    <w:p w14:paraId="483C9D7C" w14:textId="348D03E5" w:rsidR="00585042" w:rsidRPr="00B836DA" w:rsidRDefault="00585042" w:rsidP="00585042">
      <w:pPr>
        <w:pStyle w:val="Para"/>
        <w:rPr>
          <w:lang w:val="en-AU"/>
        </w:rPr>
      </w:pPr>
      <w:r w:rsidRPr="00B836DA">
        <w:rPr>
          <w:lang w:val="en-AU"/>
        </w:rPr>
        <w:lastRenderedPageBreak/>
        <w:t>In 2001, 38% of households who had difficulty with their electricity bills discussed the problem with their supplier.  The proportion of assistance provided (72%), and the forms of assistance w</w:t>
      </w:r>
      <w:r w:rsidR="00233C12" w:rsidRPr="00B836DA">
        <w:rPr>
          <w:lang w:val="en-AU"/>
        </w:rPr>
        <w:t xml:space="preserve">ere </w:t>
      </w:r>
      <w:r w:rsidRPr="00B836DA">
        <w:rPr>
          <w:lang w:val="en-AU"/>
        </w:rPr>
        <w:t xml:space="preserve">similar to 2007.  In 1996, two thirds (64%) of households that regularly had difficulty paying their electricity bills had discussed the problem with the supplier in the last 12 months.  </w:t>
      </w:r>
      <w:r w:rsidR="00DC412E" w:rsidRPr="00B836DA">
        <w:rPr>
          <w:lang w:val="en-AU"/>
        </w:rPr>
        <w:t>In 1996, m</w:t>
      </w:r>
      <w:r w:rsidRPr="00B836DA">
        <w:rPr>
          <w:lang w:val="en-AU"/>
        </w:rPr>
        <w:t xml:space="preserve">ost (84%) of the households that had discussed the problems said that the supplier had offered assistance.  Of those households </w:t>
      </w:r>
      <w:r w:rsidR="00DC412E" w:rsidRPr="00B836DA">
        <w:rPr>
          <w:lang w:val="en-AU"/>
        </w:rPr>
        <w:t xml:space="preserve">in 1996 </w:t>
      </w:r>
      <w:r w:rsidRPr="00B836DA">
        <w:rPr>
          <w:lang w:val="en-AU"/>
        </w:rPr>
        <w:t xml:space="preserve">that </w:t>
      </w:r>
      <w:r w:rsidR="00DC412E" w:rsidRPr="00B836DA">
        <w:rPr>
          <w:lang w:val="en-AU"/>
        </w:rPr>
        <w:t>had been</w:t>
      </w:r>
      <w:r w:rsidRPr="00B836DA">
        <w:rPr>
          <w:lang w:val="en-AU"/>
        </w:rPr>
        <w:t xml:space="preserve"> offered assistance, half (49%) were allowed to pay the bill off in instalments, 41% were offered an extension on the due date, 4% were given information on </w:t>
      </w:r>
      <w:r w:rsidR="00682DF7">
        <w:rPr>
          <w:lang w:val="en-AU"/>
        </w:rPr>
        <w:t xml:space="preserve"> the </w:t>
      </w:r>
      <w:r w:rsidR="00682DF7" w:rsidRPr="00B836DA">
        <w:rPr>
          <w:lang w:val="en-AU"/>
        </w:rPr>
        <w:t>U</w:t>
      </w:r>
      <w:r w:rsidR="00682DF7">
        <w:rPr>
          <w:lang w:val="en-AU"/>
        </w:rPr>
        <w:t xml:space="preserve">tility </w:t>
      </w:r>
      <w:r w:rsidR="00682DF7" w:rsidRPr="00B836DA">
        <w:rPr>
          <w:lang w:val="en-AU"/>
        </w:rPr>
        <w:t>R</w:t>
      </w:r>
      <w:r w:rsidR="00682DF7">
        <w:rPr>
          <w:lang w:val="en-AU"/>
        </w:rPr>
        <w:t xml:space="preserve">elief </w:t>
      </w:r>
      <w:r w:rsidR="00682DF7" w:rsidRPr="00B836DA">
        <w:rPr>
          <w:lang w:val="en-AU"/>
        </w:rPr>
        <w:t>G</w:t>
      </w:r>
      <w:r w:rsidR="00682DF7">
        <w:rPr>
          <w:lang w:val="en-AU"/>
        </w:rPr>
        <w:t xml:space="preserve">rants </w:t>
      </w:r>
      <w:r w:rsidR="00682DF7" w:rsidRPr="00B836DA">
        <w:rPr>
          <w:lang w:val="en-AU"/>
        </w:rPr>
        <w:t>S</w:t>
      </w:r>
      <w:r w:rsidR="00682DF7">
        <w:rPr>
          <w:lang w:val="en-AU"/>
        </w:rPr>
        <w:t>cheme</w:t>
      </w:r>
      <w:r w:rsidR="00682DF7" w:rsidRPr="00B836DA">
        <w:rPr>
          <w:lang w:val="en-AU"/>
        </w:rPr>
        <w:t xml:space="preserve"> </w:t>
      </w:r>
      <w:r w:rsidRPr="00B836DA">
        <w:rPr>
          <w:lang w:val="en-AU"/>
        </w:rPr>
        <w:t>and the remainder (6%) were given other (unspecified) forms of assistance.</w:t>
      </w:r>
    </w:p>
    <w:p w14:paraId="58727856" w14:textId="77777777" w:rsidR="00585042" w:rsidRPr="00245A3A" w:rsidRDefault="00585042" w:rsidP="000E608D">
      <w:pPr>
        <w:pStyle w:val="Para"/>
        <w:rPr>
          <w:highlight w:val="yellow"/>
          <w:lang w:val="en-AU"/>
        </w:rPr>
      </w:pPr>
    </w:p>
    <w:p w14:paraId="3A7F505D" w14:textId="77777777" w:rsidR="009926AF" w:rsidRPr="00B836DA" w:rsidRDefault="009926AF" w:rsidP="000E608D">
      <w:pPr>
        <w:pStyle w:val="Para"/>
        <w:rPr>
          <w:i/>
          <w:lang w:val="en-AU"/>
        </w:rPr>
      </w:pPr>
      <w:r w:rsidRPr="00B836DA">
        <w:rPr>
          <w:i/>
          <w:lang w:val="en-AU"/>
        </w:rPr>
        <w:t>Gas</w:t>
      </w:r>
    </w:p>
    <w:p w14:paraId="413AC073" w14:textId="77777777" w:rsidR="000E608D" w:rsidRPr="00245A3A" w:rsidRDefault="004B14EA" w:rsidP="000E608D">
      <w:pPr>
        <w:pStyle w:val="Para"/>
        <w:rPr>
          <w:highlight w:val="yellow"/>
          <w:lang w:val="en-AU"/>
        </w:rPr>
      </w:pPr>
      <w:r w:rsidRPr="00B836DA">
        <w:rPr>
          <w:lang w:val="en-AU"/>
        </w:rPr>
        <w:t xml:space="preserve">One-third (34%) </w:t>
      </w:r>
      <w:r w:rsidR="000E608D" w:rsidRPr="00B836DA">
        <w:rPr>
          <w:lang w:val="en-AU"/>
        </w:rPr>
        <w:t>of households that had had difficulty meeting payments for gas bills in 20</w:t>
      </w:r>
      <w:r w:rsidRPr="00B836DA">
        <w:rPr>
          <w:lang w:val="en-AU"/>
        </w:rPr>
        <w:t>14 (n=104)</w:t>
      </w:r>
      <w:r w:rsidR="000E608D" w:rsidRPr="00B836DA">
        <w:rPr>
          <w:lang w:val="en-AU"/>
        </w:rPr>
        <w:t xml:space="preserve"> had discussed the problem with their gas supplier in the last 12 months</w:t>
      </w:r>
      <w:r w:rsidRPr="00B836DA">
        <w:rPr>
          <w:lang w:val="en-AU"/>
        </w:rPr>
        <w:t xml:space="preserve"> (down from 44% in 2007).  Of these (n=36), 78% had received assistance </w:t>
      </w:r>
      <w:r w:rsidR="00B5775E" w:rsidRPr="00B836DA">
        <w:rPr>
          <w:lang w:val="en-AU"/>
        </w:rPr>
        <w:t>from</w:t>
      </w:r>
      <w:r w:rsidRPr="00B836DA">
        <w:rPr>
          <w:lang w:val="en-AU"/>
        </w:rPr>
        <w:t xml:space="preserve"> their supplier (similar to the 75% recorded in 2007).</w:t>
      </w:r>
      <w:r w:rsidR="000E608D" w:rsidRPr="00B836DA">
        <w:rPr>
          <w:lang w:val="en-AU"/>
        </w:rPr>
        <w:t xml:space="preserve"> The form of </w:t>
      </w:r>
      <w:r w:rsidR="00633A10" w:rsidRPr="00B836DA">
        <w:rPr>
          <w:lang w:val="en-AU"/>
        </w:rPr>
        <w:t>assistance</w:t>
      </w:r>
      <w:r w:rsidR="000E608D" w:rsidRPr="00B836DA">
        <w:rPr>
          <w:lang w:val="en-AU"/>
        </w:rPr>
        <w:t xml:space="preserve"> received </w:t>
      </w:r>
      <w:r w:rsidRPr="00B836DA">
        <w:rPr>
          <w:lang w:val="en-AU"/>
        </w:rPr>
        <w:t xml:space="preserve">by these respondents (n=28) </w:t>
      </w:r>
      <w:r w:rsidR="000E608D" w:rsidRPr="00B836DA">
        <w:rPr>
          <w:lang w:val="en-AU"/>
        </w:rPr>
        <w:t xml:space="preserve">included: </w:t>
      </w:r>
      <w:r w:rsidRPr="00B836DA">
        <w:rPr>
          <w:lang w:val="en-AU"/>
        </w:rPr>
        <w:t>allowed to pay off the bill in instalments (6</w:t>
      </w:r>
      <w:r w:rsidR="00B836DA" w:rsidRPr="00B836DA">
        <w:rPr>
          <w:lang w:val="en-AU"/>
        </w:rPr>
        <w:t>8</w:t>
      </w:r>
      <w:r w:rsidRPr="00B836DA">
        <w:rPr>
          <w:lang w:val="en-AU"/>
        </w:rPr>
        <w:t>%, compared with 56% in 2007</w:t>
      </w:r>
      <w:r w:rsidRPr="00B836DA">
        <w:rPr>
          <w:rStyle w:val="CommentReference"/>
          <w:lang w:val="en-AU"/>
        </w:rPr>
        <w:footnoteReference w:id="16"/>
      </w:r>
      <w:r w:rsidRPr="00B836DA">
        <w:rPr>
          <w:lang w:val="en-AU"/>
        </w:rPr>
        <w:t xml:space="preserve">), </w:t>
      </w:r>
      <w:r w:rsidR="000E608D" w:rsidRPr="00B836DA">
        <w:rPr>
          <w:lang w:val="en-AU"/>
        </w:rPr>
        <w:t>an extension of the due date on the relevant bill/s (</w:t>
      </w:r>
      <w:r w:rsidRPr="00B836DA">
        <w:rPr>
          <w:lang w:val="en-AU"/>
        </w:rPr>
        <w:t>2</w:t>
      </w:r>
      <w:r w:rsidR="00B836DA" w:rsidRPr="00B836DA">
        <w:rPr>
          <w:lang w:val="en-AU"/>
        </w:rPr>
        <w:t>2</w:t>
      </w:r>
      <w:r w:rsidRPr="00B836DA">
        <w:rPr>
          <w:lang w:val="en-AU"/>
        </w:rPr>
        <w:t xml:space="preserve">%, compared with </w:t>
      </w:r>
      <w:r w:rsidR="000E608D" w:rsidRPr="00B836DA">
        <w:rPr>
          <w:lang w:val="en-AU"/>
        </w:rPr>
        <w:t>64%</w:t>
      </w:r>
      <w:r w:rsidRPr="00B836DA">
        <w:rPr>
          <w:lang w:val="en-AU"/>
        </w:rPr>
        <w:t xml:space="preserve"> in 2007</w:t>
      </w:r>
      <w:r w:rsidR="000E608D" w:rsidRPr="00B836DA">
        <w:rPr>
          <w:lang w:val="en-AU"/>
        </w:rPr>
        <w:t>)</w:t>
      </w:r>
      <w:r w:rsidRPr="00B836DA">
        <w:rPr>
          <w:lang w:val="en-AU"/>
        </w:rPr>
        <w:t xml:space="preserve"> and provision of </w:t>
      </w:r>
      <w:r w:rsidR="000E608D" w:rsidRPr="00B836DA">
        <w:rPr>
          <w:lang w:val="en-AU"/>
        </w:rPr>
        <w:t>information about the Utility Relief Grants Scheme (</w:t>
      </w:r>
      <w:r w:rsidRPr="00B836DA">
        <w:rPr>
          <w:lang w:val="en-AU"/>
        </w:rPr>
        <w:t xml:space="preserve">6%, compared with </w:t>
      </w:r>
      <w:r w:rsidR="000E608D" w:rsidRPr="00B836DA">
        <w:rPr>
          <w:lang w:val="en-AU"/>
        </w:rPr>
        <w:t>8%</w:t>
      </w:r>
      <w:r w:rsidRPr="00B836DA">
        <w:rPr>
          <w:lang w:val="en-AU"/>
        </w:rPr>
        <w:t xml:space="preserve"> in 2007</w:t>
      </w:r>
      <w:r w:rsidR="000E608D" w:rsidRPr="00B836DA">
        <w:rPr>
          <w:lang w:val="en-AU"/>
        </w:rPr>
        <w:t>)</w:t>
      </w:r>
      <w:r w:rsidRPr="00B836DA">
        <w:rPr>
          <w:lang w:val="en-AU"/>
        </w:rPr>
        <w:t xml:space="preserve">.  </w:t>
      </w:r>
      <w:r w:rsidR="000E608D" w:rsidRPr="00B836DA">
        <w:rPr>
          <w:lang w:val="en-AU"/>
        </w:rPr>
        <w:t>Multiple responses were permitted for this question.</w:t>
      </w:r>
      <w:r w:rsidRPr="00B836DA">
        <w:rPr>
          <w:lang w:val="en-AU"/>
        </w:rPr>
        <w:t xml:space="preserve">  </w:t>
      </w:r>
      <w:r w:rsidR="000E608D" w:rsidRPr="00B836DA">
        <w:rPr>
          <w:lang w:val="en-AU"/>
        </w:rPr>
        <w:t xml:space="preserve">  </w:t>
      </w:r>
    </w:p>
    <w:p w14:paraId="05F5CC41" w14:textId="77777777" w:rsidR="000E608D" w:rsidRPr="00245A3A" w:rsidRDefault="000E608D" w:rsidP="000E608D">
      <w:pPr>
        <w:pStyle w:val="Para"/>
        <w:rPr>
          <w:highlight w:val="yellow"/>
          <w:lang w:val="en-AU"/>
        </w:rPr>
      </w:pPr>
    </w:p>
    <w:p w14:paraId="41A9903C" w14:textId="77777777" w:rsidR="00585042" w:rsidRPr="00B836DA" w:rsidRDefault="00585042" w:rsidP="00585042">
      <w:pPr>
        <w:pStyle w:val="Para"/>
        <w:rPr>
          <w:lang w:val="en-AU"/>
        </w:rPr>
      </w:pPr>
      <w:r w:rsidRPr="00B836DA">
        <w:rPr>
          <w:lang w:val="en-AU"/>
        </w:rPr>
        <w:t xml:space="preserve">In comparison, in 2001 a little over a third (34%) of households that had ever had difficulty meeting payments for gas bills had discussed the problem with the gas supplier in the last 12 months, and 70% of those households received assistance.  The form of assistance received was extension of the due date of the bill (50%), allowed to pay off the bill in instalments (45%), information given about the Utility Relief Grants Scheme (7%) or other unspecified assistance (2%).  In 1996, 58% of households that regularly had difficulties paying their gas bills had spoken to the supplier about them in the last 12 months.  Most (89%) of the households </w:t>
      </w:r>
      <w:r w:rsidR="005007BC" w:rsidRPr="00B836DA">
        <w:rPr>
          <w:lang w:val="en-AU"/>
        </w:rPr>
        <w:t xml:space="preserve">from 1996 </w:t>
      </w:r>
      <w:r w:rsidRPr="00B836DA">
        <w:rPr>
          <w:lang w:val="en-AU"/>
        </w:rPr>
        <w:t xml:space="preserve">that </w:t>
      </w:r>
      <w:r w:rsidR="005007BC" w:rsidRPr="00B836DA">
        <w:rPr>
          <w:lang w:val="en-AU"/>
        </w:rPr>
        <w:t xml:space="preserve">had </w:t>
      </w:r>
      <w:r w:rsidRPr="00B836DA">
        <w:rPr>
          <w:lang w:val="en-AU"/>
        </w:rPr>
        <w:t>discussed their problems were offered assistance.  Of the households offered assistance, half (51%) were allowed to pay the bill off in instalments, 43% were offered an extension on the due date and the remainder were given other (unspecified) forms of assistance (6%).</w:t>
      </w:r>
    </w:p>
    <w:p w14:paraId="210F3799" w14:textId="77777777" w:rsidR="000E608D" w:rsidRPr="008B1886" w:rsidRDefault="000E608D" w:rsidP="000E608D">
      <w:pPr>
        <w:pStyle w:val="Para"/>
        <w:rPr>
          <w:lang w:val="en-AU"/>
        </w:rPr>
      </w:pPr>
    </w:p>
    <w:p w14:paraId="5FD4AE57" w14:textId="77777777" w:rsidR="009926AF" w:rsidRPr="008B1886" w:rsidRDefault="009926AF" w:rsidP="000E608D">
      <w:pPr>
        <w:pStyle w:val="Para"/>
        <w:rPr>
          <w:i/>
          <w:lang w:val="en-AU"/>
        </w:rPr>
      </w:pPr>
      <w:r w:rsidRPr="008B1886">
        <w:rPr>
          <w:i/>
          <w:lang w:val="en-AU"/>
        </w:rPr>
        <w:lastRenderedPageBreak/>
        <w:t>Water</w:t>
      </w:r>
    </w:p>
    <w:p w14:paraId="7D311D90" w14:textId="20DB2C27" w:rsidR="000E608D" w:rsidRPr="008B1886" w:rsidRDefault="00C74F37" w:rsidP="000E608D">
      <w:pPr>
        <w:pStyle w:val="Para"/>
        <w:rPr>
          <w:lang w:val="en-AU"/>
        </w:rPr>
      </w:pPr>
      <w:r w:rsidRPr="008B1886">
        <w:rPr>
          <w:lang w:val="en-AU"/>
        </w:rPr>
        <w:t xml:space="preserve">In 2014, 29% </w:t>
      </w:r>
      <w:r w:rsidR="000E608D" w:rsidRPr="008B1886">
        <w:rPr>
          <w:lang w:val="en-AU"/>
        </w:rPr>
        <w:t xml:space="preserve">of households that had difficulty paying their water bills </w:t>
      </w:r>
      <w:r w:rsidRPr="008B1886">
        <w:rPr>
          <w:lang w:val="en-AU"/>
        </w:rPr>
        <w:t xml:space="preserve">(n=90) </w:t>
      </w:r>
      <w:r w:rsidR="000E608D" w:rsidRPr="008B1886">
        <w:rPr>
          <w:lang w:val="en-AU"/>
        </w:rPr>
        <w:t>had discussed the problem with their water supplier (</w:t>
      </w:r>
      <w:r w:rsidRPr="008B1886">
        <w:rPr>
          <w:lang w:val="en-AU"/>
        </w:rPr>
        <w:t xml:space="preserve">down from </w:t>
      </w:r>
      <w:r w:rsidR="000E608D" w:rsidRPr="008B1886">
        <w:rPr>
          <w:lang w:val="en-AU"/>
        </w:rPr>
        <w:t>36%</w:t>
      </w:r>
      <w:r w:rsidRPr="008B1886">
        <w:rPr>
          <w:lang w:val="en-AU"/>
        </w:rPr>
        <w:t xml:space="preserve"> in 2007</w:t>
      </w:r>
      <w:r w:rsidR="000E608D" w:rsidRPr="008B1886">
        <w:rPr>
          <w:lang w:val="en-AU"/>
        </w:rPr>
        <w:t>)</w:t>
      </w:r>
      <w:r w:rsidRPr="008B1886">
        <w:rPr>
          <w:lang w:val="en-AU"/>
        </w:rPr>
        <w:t>.  Of those that discussed the problem with the supplier (n=30)</w:t>
      </w:r>
      <w:r w:rsidR="000E608D" w:rsidRPr="008B1886">
        <w:rPr>
          <w:lang w:val="en-AU"/>
        </w:rPr>
        <w:t xml:space="preserve">, </w:t>
      </w:r>
      <w:r w:rsidRPr="008B1886">
        <w:rPr>
          <w:lang w:val="en-AU"/>
        </w:rPr>
        <w:t>7</w:t>
      </w:r>
      <w:r w:rsidR="008B1886" w:rsidRPr="008B1886">
        <w:rPr>
          <w:lang w:val="en-AU"/>
        </w:rPr>
        <w:t>6</w:t>
      </w:r>
      <w:r w:rsidRPr="008B1886">
        <w:rPr>
          <w:lang w:val="en-AU"/>
        </w:rPr>
        <w:t xml:space="preserve">% received some </w:t>
      </w:r>
      <w:r w:rsidR="000E608D" w:rsidRPr="008B1886">
        <w:rPr>
          <w:lang w:val="en-AU"/>
        </w:rPr>
        <w:t>sort of assistance from the water supplier</w:t>
      </w:r>
      <w:r w:rsidRPr="008B1886">
        <w:rPr>
          <w:lang w:val="en-AU"/>
        </w:rPr>
        <w:t xml:space="preserve"> which, after allowing for the small sample size involved, is consistent with the 80% recorded in 2007.</w:t>
      </w:r>
      <w:r w:rsidR="000E608D" w:rsidRPr="008B1886">
        <w:rPr>
          <w:lang w:val="en-AU"/>
        </w:rPr>
        <w:t xml:space="preserve"> </w:t>
      </w:r>
      <w:r w:rsidRPr="008B1886">
        <w:rPr>
          <w:lang w:val="en-AU"/>
        </w:rPr>
        <w:t xml:space="preserve"> Of those who received assistance (n=22), this </w:t>
      </w:r>
      <w:r w:rsidR="000E608D" w:rsidRPr="008B1886">
        <w:rPr>
          <w:lang w:val="en-AU"/>
        </w:rPr>
        <w:t xml:space="preserve">assistance took the form of: </w:t>
      </w:r>
      <w:r w:rsidRPr="008B1886">
        <w:rPr>
          <w:lang w:val="en-AU"/>
        </w:rPr>
        <w:t>allowed to pay</w:t>
      </w:r>
      <w:r w:rsidR="008B1886" w:rsidRPr="008B1886">
        <w:rPr>
          <w:lang w:val="en-AU"/>
        </w:rPr>
        <w:t xml:space="preserve"> off the bill in instalments (75</w:t>
      </w:r>
      <w:r w:rsidRPr="008B1886">
        <w:rPr>
          <w:lang w:val="en-AU"/>
        </w:rPr>
        <w:t xml:space="preserve">%, compared with 54% in 2007); </w:t>
      </w:r>
      <w:r w:rsidR="000E608D" w:rsidRPr="008B1886">
        <w:rPr>
          <w:lang w:val="en-AU"/>
        </w:rPr>
        <w:t>extension of the due date of the bill (</w:t>
      </w:r>
      <w:r w:rsidR="008B1886" w:rsidRPr="008B1886">
        <w:rPr>
          <w:lang w:val="en-AU"/>
        </w:rPr>
        <w:t>28</w:t>
      </w:r>
      <w:r w:rsidRPr="008B1886">
        <w:rPr>
          <w:lang w:val="en-AU"/>
        </w:rPr>
        <w:t>%, compared with 62% in 2007</w:t>
      </w:r>
      <w:r w:rsidR="000E608D" w:rsidRPr="008B1886">
        <w:rPr>
          <w:lang w:val="en-AU"/>
        </w:rPr>
        <w:t>)</w:t>
      </w:r>
      <w:r w:rsidRPr="008B1886">
        <w:rPr>
          <w:lang w:val="en-AU"/>
        </w:rPr>
        <w:t xml:space="preserve"> and </w:t>
      </w:r>
      <w:r w:rsidR="000E608D" w:rsidRPr="008B1886">
        <w:rPr>
          <w:lang w:val="en-AU"/>
        </w:rPr>
        <w:t>information about the Utility Relief Grants Scheme (</w:t>
      </w:r>
      <w:r w:rsidRPr="008B1886">
        <w:rPr>
          <w:lang w:val="en-AU"/>
        </w:rPr>
        <w:t xml:space="preserve">1%, compared with </w:t>
      </w:r>
      <w:r w:rsidR="000E608D" w:rsidRPr="008B1886">
        <w:rPr>
          <w:lang w:val="en-AU"/>
        </w:rPr>
        <w:t>8%</w:t>
      </w:r>
      <w:r w:rsidRPr="008B1886">
        <w:rPr>
          <w:lang w:val="en-AU"/>
        </w:rPr>
        <w:t xml:space="preserve"> in 2007</w:t>
      </w:r>
      <w:r w:rsidR="000E608D" w:rsidRPr="008B1886">
        <w:rPr>
          <w:lang w:val="en-AU"/>
        </w:rPr>
        <w:t xml:space="preserve">).  </w:t>
      </w:r>
      <w:r w:rsidR="008605A8" w:rsidRPr="008B1886">
        <w:rPr>
          <w:lang w:val="en-AU"/>
        </w:rPr>
        <w:t xml:space="preserve">Multiple responses were permitted for this question.    </w:t>
      </w:r>
    </w:p>
    <w:p w14:paraId="604814F9" w14:textId="77777777" w:rsidR="000E608D" w:rsidRPr="008B1886" w:rsidRDefault="000E608D" w:rsidP="000E608D">
      <w:pPr>
        <w:pStyle w:val="Para"/>
        <w:rPr>
          <w:lang w:val="en-AU"/>
        </w:rPr>
      </w:pPr>
    </w:p>
    <w:p w14:paraId="48597171" w14:textId="1339A458" w:rsidR="000E608D" w:rsidRPr="008B1886" w:rsidRDefault="000E608D" w:rsidP="000E608D">
      <w:pPr>
        <w:pStyle w:val="Para"/>
        <w:rPr>
          <w:lang w:val="en-AU"/>
        </w:rPr>
      </w:pPr>
      <w:r w:rsidRPr="008B1886">
        <w:rPr>
          <w:lang w:val="en-AU"/>
        </w:rPr>
        <w:t>In 2001</w:t>
      </w:r>
      <w:r w:rsidR="00682DF7">
        <w:rPr>
          <w:lang w:val="en-AU"/>
        </w:rPr>
        <w:t>,</w:t>
      </w:r>
      <w:r w:rsidRPr="008B1886">
        <w:rPr>
          <w:lang w:val="en-AU"/>
        </w:rPr>
        <w:t xml:space="preserve"> 29% of households that had difficulty paying had discussed the problem with the supplier, and </w:t>
      </w:r>
      <w:r w:rsidR="000E7D77" w:rsidRPr="008B1886">
        <w:rPr>
          <w:lang w:val="en-AU"/>
        </w:rPr>
        <w:t>61%</w:t>
      </w:r>
      <w:r w:rsidRPr="008B1886">
        <w:rPr>
          <w:lang w:val="en-AU"/>
        </w:rPr>
        <w:t xml:space="preserve"> of those that asked for </w:t>
      </w:r>
      <w:r w:rsidR="00633A10" w:rsidRPr="008B1886">
        <w:rPr>
          <w:lang w:val="en-AU"/>
        </w:rPr>
        <w:t>assistance</w:t>
      </w:r>
      <w:r w:rsidRPr="008B1886">
        <w:rPr>
          <w:lang w:val="en-AU"/>
        </w:rPr>
        <w:t xml:space="preserve"> received </w:t>
      </w:r>
      <w:r w:rsidR="00633A10" w:rsidRPr="008B1886">
        <w:rPr>
          <w:lang w:val="en-AU"/>
        </w:rPr>
        <w:t>assistance</w:t>
      </w:r>
      <w:r w:rsidRPr="008B1886">
        <w:rPr>
          <w:lang w:val="en-AU"/>
        </w:rPr>
        <w:t xml:space="preserve"> from the water supplier.  In </w:t>
      </w:r>
      <w:r w:rsidR="000E7D77" w:rsidRPr="008B1886">
        <w:rPr>
          <w:lang w:val="en-AU"/>
        </w:rPr>
        <w:t>54% of cases,</w:t>
      </w:r>
      <w:r w:rsidRPr="008B1886">
        <w:rPr>
          <w:lang w:val="en-AU"/>
        </w:rPr>
        <w:t xml:space="preserve"> the </w:t>
      </w:r>
      <w:r w:rsidR="00633A10" w:rsidRPr="008B1886">
        <w:rPr>
          <w:lang w:val="en-AU"/>
        </w:rPr>
        <w:t>assistance</w:t>
      </w:r>
      <w:r w:rsidRPr="008B1886">
        <w:rPr>
          <w:lang w:val="en-AU"/>
        </w:rPr>
        <w:t xml:space="preserve"> was in the form of payment of the bill in instalments.  Other </w:t>
      </w:r>
      <w:r w:rsidR="00633A10" w:rsidRPr="008B1886">
        <w:rPr>
          <w:lang w:val="en-AU"/>
        </w:rPr>
        <w:t>assistance</w:t>
      </w:r>
      <w:r w:rsidRPr="008B1886">
        <w:rPr>
          <w:lang w:val="en-AU"/>
        </w:rPr>
        <w:t xml:space="preserve"> offered to those households was an extension of the due date for the bill (31%), information on </w:t>
      </w:r>
      <w:r w:rsidR="00682DF7">
        <w:rPr>
          <w:lang w:val="en-AU"/>
        </w:rPr>
        <w:t xml:space="preserve">the </w:t>
      </w:r>
      <w:r w:rsidR="00682DF7" w:rsidRPr="008B1886">
        <w:rPr>
          <w:lang w:val="en-AU"/>
        </w:rPr>
        <w:t>U</w:t>
      </w:r>
      <w:r w:rsidR="00682DF7">
        <w:rPr>
          <w:lang w:val="en-AU"/>
        </w:rPr>
        <w:t xml:space="preserve">tility </w:t>
      </w:r>
      <w:r w:rsidR="00682DF7" w:rsidRPr="008B1886">
        <w:rPr>
          <w:lang w:val="en-AU"/>
        </w:rPr>
        <w:t>R</w:t>
      </w:r>
      <w:r w:rsidR="00682DF7">
        <w:rPr>
          <w:lang w:val="en-AU"/>
        </w:rPr>
        <w:t xml:space="preserve">elief </w:t>
      </w:r>
      <w:r w:rsidR="00682DF7" w:rsidRPr="008B1886">
        <w:rPr>
          <w:lang w:val="en-AU"/>
        </w:rPr>
        <w:t>G</w:t>
      </w:r>
      <w:r w:rsidR="00682DF7">
        <w:rPr>
          <w:lang w:val="en-AU"/>
        </w:rPr>
        <w:t xml:space="preserve">rant </w:t>
      </w:r>
      <w:r w:rsidR="00682DF7" w:rsidRPr="008B1886">
        <w:rPr>
          <w:lang w:val="en-AU"/>
        </w:rPr>
        <w:t>S</w:t>
      </w:r>
      <w:r w:rsidR="00682DF7">
        <w:rPr>
          <w:lang w:val="en-AU"/>
        </w:rPr>
        <w:t>cheme</w:t>
      </w:r>
      <w:r w:rsidR="00682DF7" w:rsidRPr="008B1886">
        <w:rPr>
          <w:lang w:val="en-AU"/>
        </w:rPr>
        <w:t xml:space="preserve"> </w:t>
      </w:r>
      <w:r w:rsidRPr="008B1886">
        <w:rPr>
          <w:lang w:val="en-AU"/>
        </w:rPr>
        <w:t xml:space="preserve">(18%) and other unspecified </w:t>
      </w:r>
      <w:r w:rsidR="00633A10" w:rsidRPr="008B1886">
        <w:rPr>
          <w:lang w:val="en-AU"/>
        </w:rPr>
        <w:t>assistance</w:t>
      </w:r>
      <w:r w:rsidRPr="008B1886">
        <w:rPr>
          <w:lang w:val="en-AU"/>
        </w:rPr>
        <w:t xml:space="preserve"> (2%).  </w:t>
      </w:r>
      <w:r w:rsidR="005007BC" w:rsidRPr="008B1886">
        <w:rPr>
          <w:lang w:val="en-AU"/>
        </w:rPr>
        <w:t xml:space="preserve">In 1996, </w:t>
      </w:r>
      <w:r w:rsidRPr="008B1886">
        <w:rPr>
          <w:lang w:val="en-AU"/>
        </w:rPr>
        <w:t>43%</w:t>
      </w:r>
      <w:r w:rsidR="005007BC" w:rsidRPr="008B1886">
        <w:rPr>
          <w:lang w:val="en-AU"/>
        </w:rPr>
        <w:t xml:space="preserve"> of</w:t>
      </w:r>
      <w:r w:rsidRPr="008B1886">
        <w:rPr>
          <w:lang w:val="en-AU"/>
        </w:rPr>
        <w:t xml:space="preserve"> households that regularly had difficulties paying their water bills had discussed the problem with the supplier</w:t>
      </w:r>
      <w:r w:rsidR="005007BC" w:rsidRPr="008B1886">
        <w:rPr>
          <w:lang w:val="en-AU"/>
        </w:rPr>
        <w:t>.  I</w:t>
      </w:r>
      <w:r w:rsidRPr="008B1886">
        <w:rPr>
          <w:lang w:val="en-AU"/>
        </w:rPr>
        <w:t>n 1996</w:t>
      </w:r>
      <w:r w:rsidR="005007BC" w:rsidRPr="008B1886">
        <w:rPr>
          <w:lang w:val="en-AU"/>
        </w:rPr>
        <w:t xml:space="preserve"> m</w:t>
      </w:r>
      <w:r w:rsidRPr="008B1886">
        <w:rPr>
          <w:lang w:val="en-AU"/>
        </w:rPr>
        <w:t xml:space="preserve">ost (81%) of the households that had discussed the problem received </w:t>
      </w:r>
      <w:r w:rsidR="00633A10" w:rsidRPr="008B1886">
        <w:rPr>
          <w:lang w:val="en-AU"/>
        </w:rPr>
        <w:t>assistance</w:t>
      </w:r>
      <w:r w:rsidRPr="008B1886">
        <w:rPr>
          <w:lang w:val="en-AU"/>
        </w:rPr>
        <w:t xml:space="preserve"> from the supplier and of those, 53% were given an extension on the due date of the bill and 43% were allowed to pay the bill off in instalments.</w:t>
      </w:r>
    </w:p>
    <w:p w14:paraId="2A61E5DA" w14:textId="77777777" w:rsidR="003825B2" w:rsidRPr="008B1886" w:rsidRDefault="003825B2" w:rsidP="000E608D">
      <w:pPr>
        <w:pStyle w:val="Para"/>
        <w:rPr>
          <w:lang w:val="en-AU"/>
        </w:rPr>
      </w:pPr>
    </w:p>
    <w:p w14:paraId="08BBA1F5" w14:textId="77777777" w:rsidR="009926AF" w:rsidRPr="008B1886" w:rsidRDefault="009926AF" w:rsidP="000E608D">
      <w:pPr>
        <w:pStyle w:val="Para"/>
        <w:rPr>
          <w:i/>
          <w:lang w:val="en-AU"/>
        </w:rPr>
      </w:pPr>
      <w:r w:rsidRPr="008B1886">
        <w:rPr>
          <w:i/>
          <w:lang w:val="en-AU"/>
        </w:rPr>
        <w:t>Council Rates</w:t>
      </w:r>
    </w:p>
    <w:p w14:paraId="2140EB9A" w14:textId="25628515" w:rsidR="005007BC" w:rsidRPr="008B1886" w:rsidRDefault="000E608D" w:rsidP="000E608D">
      <w:pPr>
        <w:pStyle w:val="Para"/>
        <w:rPr>
          <w:lang w:val="en-AU"/>
        </w:rPr>
      </w:pPr>
      <w:r w:rsidRPr="008B1886">
        <w:rPr>
          <w:lang w:val="en-AU"/>
        </w:rPr>
        <w:t xml:space="preserve">One-third </w:t>
      </w:r>
      <w:r w:rsidR="00BF5347" w:rsidRPr="008B1886">
        <w:rPr>
          <w:lang w:val="en-AU"/>
        </w:rPr>
        <w:t xml:space="preserve">(36%) </w:t>
      </w:r>
      <w:r w:rsidRPr="008B1886">
        <w:rPr>
          <w:lang w:val="en-AU"/>
        </w:rPr>
        <w:t xml:space="preserve">of households that had difficulty in paying their council rates bills </w:t>
      </w:r>
      <w:r w:rsidR="00BF5347" w:rsidRPr="008B1886">
        <w:rPr>
          <w:lang w:val="en-AU"/>
        </w:rPr>
        <w:t xml:space="preserve">(n=79) </w:t>
      </w:r>
      <w:r w:rsidRPr="008B1886">
        <w:rPr>
          <w:lang w:val="en-AU"/>
        </w:rPr>
        <w:t>had discussed their problem with their relevant Council (</w:t>
      </w:r>
      <w:r w:rsidR="00BF5347" w:rsidRPr="008B1886">
        <w:rPr>
          <w:lang w:val="en-AU"/>
        </w:rPr>
        <w:t xml:space="preserve">compared with </w:t>
      </w:r>
      <w:r w:rsidRPr="008B1886">
        <w:rPr>
          <w:lang w:val="en-AU"/>
        </w:rPr>
        <w:t>33%</w:t>
      </w:r>
      <w:r w:rsidR="00BF5347" w:rsidRPr="008B1886">
        <w:rPr>
          <w:lang w:val="en-AU"/>
        </w:rPr>
        <w:t xml:space="preserve"> in 2007</w:t>
      </w:r>
      <w:r w:rsidRPr="008B1886">
        <w:rPr>
          <w:lang w:val="en-AU"/>
        </w:rPr>
        <w:t xml:space="preserve">). </w:t>
      </w:r>
      <w:r w:rsidR="00BF5347" w:rsidRPr="008B1886">
        <w:rPr>
          <w:lang w:val="en-AU"/>
        </w:rPr>
        <w:t xml:space="preserve"> Of those households who had discussed the problem with their council (n=29) t</w:t>
      </w:r>
      <w:r w:rsidRPr="008B1886">
        <w:rPr>
          <w:lang w:val="en-AU"/>
        </w:rPr>
        <w:t xml:space="preserve">wo-thirds </w:t>
      </w:r>
      <w:r w:rsidR="00BF5347" w:rsidRPr="008B1886">
        <w:rPr>
          <w:lang w:val="en-AU"/>
        </w:rPr>
        <w:t xml:space="preserve">(69%) </w:t>
      </w:r>
      <w:r w:rsidRPr="008B1886">
        <w:rPr>
          <w:lang w:val="en-AU"/>
        </w:rPr>
        <w:t xml:space="preserve">received </w:t>
      </w:r>
      <w:r w:rsidR="00633A10" w:rsidRPr="008B1886">
        <w:rPr>
          <w:lang w:val="en-AU"/>
        </w:rPr>
        <w:t>assistance</w:t>
      </w:r>
      <w:r w:rsidRPr="008B1886">
        <w:rPr>
          <w:lang w:val="en-AU"/>
        </w:rPr>
        <w:t xml:space="preserve"> (</w:t>
      </w:r>
      <w:r w:rsidR="00BF5347" w:rsidRPr="008B1886">
        <w:rPr>
          <w:lang w:val="en-AU"/>
        </w:rPr>
        <w:t xml:space="preserve">compared with </w:t>
      </w:r>
      <w:r w:rsidRPr="008B1886">
        <w:rPr>
          <w:lang w:val="en-AU"/>
        </w:rPr>
        <w:t>66%</w:t>
      </w:r>
      <w:r w:rsidR="00BF5347" w:rsidRPr="008B1886">
        <w:rPr>
          <w:lang w:val="en-AU"/>
        </w:rPr>
        <w:t xml:space="preserve"> in 2007</w:t>
      </w:r>
      <w:r w:rsidRPr="008B1886">
        <w:rPr>
          <w:lang w:val="en-AU"/>
        </w:rPr>
        <w:t>)</w:t>
      </w:r>
      <w:r w:rsidR="00BF5347" w:rsidRPr="008B1886">
        <w:rPr>
          <w:lang w:val="en-AU"/>
        </w:rPr>
        <w:t>.  Of those who received assistance (n=21)</w:t>
      </w:r>
      <w:r w:rsidRPr="008B1886">
        <w:rPr>
          <w:lang w:val="en-AU"/>
        </w:rPr>
        <w:t xml:space="preserve">, </w:t>
      </w:r>
      <w:r w:rsidR="00BF5347" w:rsidRPr="008B1886">
        <w:rPr>
          <w:lang w:val="en-AU"/>
        </w:rPr>
        <w:t xml:space="preserve">the type of assistance received was: </w:t>
      </w:r>
      <w:r w:rsidRPr="008B1886">
        <w:rPr>
          <w:lang w:val="en-AU"/>
        </w:rPr>
        <w:t>allowing the payment of the bill in instalments (</w:t>
      </w:r>
      <w:r w:rsidR="00BF5347" w:rsidRPr="008B1886">
        <w:rPr>
          <w:lang w:val="en-AU"/>
        </w:rPr>
        <w:t xml:space="preserve">80%, compared with </w:t>
      </w:r>
      <w:r w:rsidRPr="008B1886">
        <w:rPr>
          <w:lang w:val="en-AU"/>
        </w:rPr>
        <w:t>45%</w:t>
      </w:r>
      <w:r w:rsidR="00BF5347" w:rsidRPr="008B1886">
        <w:rPr>
          <w:lang w:val="en-AU"/>
        </w:rPr>
        <w:t xml:space="preserve"> in 2007</w:t>
      </w:r>
      <w:r w:rsidRPr="008B1886">
        <w:rPr>
          <w:lang w:val="en-AU"/>
        </w:rPr>
        <w:t>)</w:t>
      </w:r>
      <w:r w:rsidR="00BF5347" w:rsidRPr="008B1886">
        <w:rPr>
          <w:lang w:val="en-AU"/>
        </w:rPr>
        <w:t xml:space="preserve"> or </w:t>
      </w:r>
      <w:r w:rsidRPr="008B1886">
        <w:rPr>
          <w:lang w:val="en-AU"/>
        </w:rPr>
        <w:t>an extension of the due date on the bill (</w:t>
      </w:r>
      <w:r w:rsidR="00BF5347" w:rsidRPr="008B1886">
        <w:rPr>
          <w:lang w:val="en-AU"/>
        </w:rPr>
        <w:t xml:space="preserve">35%, compared with </w:t>
      </w:r>
      <w:r w:rsidRPr="008B1886">
        <w:rPr>
          <w:lang w:val="en-AU"/>
        </w:rPr>
        <w:t>43%</w:t>
      </w:r>
      <w:r w:rsidR="00BF5347" w:rsidRPr="008B1886">
        <w:rPr>
          <w:lang w:val="en-AU"/>
        </w:rPr>
        <w:t xml:space="preserve"> in 2007</w:t>
      </w:r>
      <w:r w:rsidRPr="008B1886">
        <w:rPr>
          <w:lang w:val="en-AU"/>
        </w:rPr>
        <w:t>)</w:t>
      </w:r>
      <w:r w:rsidR="00BF5347" w:rsidRPr="008B1886">
        <w:rPr>
          <w:lang w:val="en-AU"/>
        </w:rPr>
        <w:t xml:space="preserve">.  </w:t>
      </w:r>
      <w:r w:rsidRPr="008B1886">
        <w:rPr>
          <w:lang w:val="en-AU"/>
        </w:rPr>
        <w:t xml:space="preserve"> </w:t>
      </w:r>
    </w:p>
    <w:p w14:paraId="529B443E" w14:textId="77777777" w:rsidR="005007BC" w:rsidRPr="008B1886" w:rsidRDefault="005007BC" w:rsidP="000E608D">
      <w:pPr>
        <w:pStyle w:val="Para"/>
        <w:rPr>
          <w:lang w:val="en-AU"/>
        </w:rPr>
      </w:pPr>
    </w:p>
    <w:p w14:paraId="27EAEFAA" w14:textId="77777777" w:rsidR="00B56DF7" w:rsidRDefault="00B56DF7">
      <w:pPr>
        <w:spacing w:before="0" w:after="0"/>
        <w:rPr>
          <w:lang w:val="en-AU"/>
        </w:rPr>
      </w:pPr>
      <w:r>
        <w:rPr>
          <w:lang w:val="en-AU"/>
        </w:rPr>
        <w:br w:type="page"/>
      </w:r>
    </w:p>
    <w:p w14:paraId="2995DB70" w14:textId="4F984A8C" w:rsidR="000E608D" w:rsidRPr="008B1886" w:rsidRDefault="000E608D" w:rsidP="000E608D">
      <w:pPr>
        <w:pStyle w:val="Para"/>
        <w:rPr>
          <w:lang w:val="en-AU"/>
        </w:rPr>
      </w:pPr>
      <w:r w:rsidRPr="008B1886">
        <w:rPr>
          <w:lang w:val="en-AU"/>
        </w:rPr>
        <w:lastRenderedPageBreak/>
        <w:t xml:space="preserve">In 2001, 30% of households that had difficulty paying had discussed the difficulties with the relevant Council.  </w:t>
      </w:r>
      <w:r w:rsidR="00BF5347" w:rsidRPr="008B1886">
        <w:rPr>
          <w:lang w:val="en-AU"/>
        </w:rPr>
        <w:t xml:space="preserve">Half </w:t>
      </w:r>
      <w:r w:rsidRPr="008B1886">
        <w:rPr>
          <w:lang w:val="en-AU"/>
        </w:rPr>
        <w:t xml:space="preserve">(50%) of households that had discussed their problems with local Council received </w:t>
      </w:r>
      <w:r w:rsidR="00633A10" w:rsidRPr="008B1886">
        <w:rPr>
          <w:lang w:val="en-AU"/>
        </w:rPr>
        <w:t>assistance</w:t>
      </w:r>
      <w:r w:rsidRPr="008B1886">
        <w:rPr>
          <w:lang w:val="en-AU"/>
        </w:rPr>
        <w:t xml:space="preserve">.  The assistance received by households that were offered </w:t>
      </w:r>
      <w:r w:rsidR="00633A10" w:rsidRPr="008B1886">
        <w:rPr>
          <w:lang w:val="en-AU"/>
        </w:rPr>
        <w:t>assistance</w:t>
      </w:r>
      <w:r w:rsidRPr="008B1886">
        <w:rPr>
          <w:lang w:val="en-AU"/>
        </w:rPr>
        <w:t xml:space="preserve"> were one or more of the following</w:t>
      </w:r>
      <w:r w:rsidR="00682DF7">
        <w:rPr>
          <w:lang w:val="en-AU"/>
        </w:rPr>
        <w:t>:</w:t>
      </w:r>
      <w:r w:rsidRPr="008B1886">
        <w:rPr>
          <w:lang w:val="en-AU"/>
        </w:rPr>
        <w:t xml:space="preserve"> payment of the bill in instalments (59%), extension of the due date (27%), referral to a financial counsellor (11%) and other unspecified forms of </w:t>
      </w:r>
      <w:r w:rsidR="00633A10" w:rsidRPr="008B1886">
        <w:rPr>
          <w:lang w:val="en-AU"/>
        </w:rPr>
        <w:t>assistance</w:t>
      </w:r>
      <w:r w:rsidRPr="008B1886">
        <w:rPr>
          <w:lang w:val="en-AU"/>
        </w:rPr>
        <w:t xml:space="preserve"> (10%).  This question was not asked in 1996.  </w:t>
      </w:r>
    </w:p>
    <w:p w14:paraId="75101427" w14:textId="77777777" w:rsidR="000E608D" w:rsidRPr="008B1886" w:rsidRDefault="000E608D" w:rsidP="000E608D">
      <w:pPr>
        <w:pStyle w:val="Para"/>
        <w:rPr>
          <w:lang w:val="en-AU"/>
        </w:rPr>
      </w:pPr>
    </w:p>
    <w:p w14:paraId="04E20C6A" w14:textId="77777777" w:rsidR="00211CAB" w:rsidRPr="00245A3A" w:rsidRDefault="00211CAB" w:rsidP="000E608D">
      <w:pPr>
        <w:pStyle w:val="Para"/>
        <w:rPr>
          <w:highlight w:val="yellow"/>
          <w:lang w:val="en-AU"/>
        </w:rPr>
      </w:pPr>
    </w:p>
    <w:p w14:paraId="6F02F5E1" w14:textId="77777777" w:rsidR="00211CAB" w:rsidRPr="008B1886" w:rsidRDefault="00926974" w:rsidP="00467831">
      <w:pPr>
        <w:pStyle w:val="Heading2"/>
        <w:rPr>
          <w:lang w:val="en-AU"/>
        </w:rPr>
      </w:pPr>
      <w:r w:rsidRPr="00245A3A">
        <w:rPr>
          <w:highlight w:val="yellow"/>
          <w:lang w:val="en-AU"/>
        </w:rPr>
        <w:br w:type="page"/>
      </w:r>
      <w:bookmarkStart w:id="227" w:name="_Toc439198341"/>
      <w:bookmarkStart w:id="228" w:name="_Toc445571718"/>
      <w:r w:rsidR="00211CAB" w:rsidRPr="008B1886">
        <w:rPr>
          <w:lang w:val="en-AU"/>
        </w:rPr>
        <w:lastRenderedPageBreak/>
        <w:t>D</w:t>
      </w:r>
      <w:r w:rsidR="00467831" w:rsidRPr="008B1886">
        <w:rPr>
          <w:lang w:val="en-AU"/>
        </w:rPr>
        <w:t>ISCONNECTION AND RECONNECTION</w:t>
      </w:r>
      <w:bookmarkEnd w:id="227"/>
      <w:bookmarkEnd w:id="228"/>
    </w:p>
    <w:p w14:paraId="5F9F9B7E" w14:textId="2070C77C" w:rsidR="00201B08" w:rsidRPr="008B1886" w:rsidRDefault="00201B08" w:rsidP="00201B08">
      <w:pPr>
        <w:pStyle w:val="Para"/>
        <w:rPr>
          <w:lang w:val="en-AU"/>
        </w:rPr>
      </w:pPr>
      <w:r w:rsidRPr="008B1886">
        <w:rPr>
          <w:lang w:val="en-AU"/>
        </w:rPr>
        <w:t xml:space="preserve">Though sample sizes are very small, respondents were less likely than in 2007 to report that services had been disconnected/restricted in the last </w:t>
      </w:r>
      <w:r w:rsidR="00682DF7" w:rsidRPr="008B1886">
        <w:rPr>
          <w:lang w:val="en-AU"/>
        </w:rPr>
        <w:t>12</w:t>
      </w:r>
      <w:r w:rsidR="00682DF7">
        <w:rPr>
          <w:lang w:val="en-AU"/>
        </w:rPr>
        <w:t> </w:t>
      </w:r>
      <w:r w:rsidR="00682DF7" w:rsidRPr="008B1886">
        <w:rPr>
          <w:lang w:val="en-AU"/>
        </w:rPr>
        <w:t xml:space="preserve">months </w:t>
      </w:r>
      <w:r w:rsidRPr="008B1886">
        <w:rPr>
          <w:lang w:val="en-AU"/>
        </w:rPr>
        <w:t xml:space="preserve">due to payment problems and, if so, to have had problems getting the service restored. Analysis by sub-group is not presented in this section due to small sample sizes.  </w:t>
      </w:r>
    </w:p>
    <w:p w14:paraId="091D1A34" w14:textId="77777777" w:rsidR="00201B08" w:rsidRPr="008B1886" w:rsidRDefault="00201B08" w:rsidP="00201B08">
      <w:pPr>
        <w:pStyle w:val="Para"/>
        <w:rPr>
          <w:lang w:val="en-AU"/>
        </w:rPr>
      </w:pPr>
    </w:p>
    <w:p w14:paraId="3C82DFCF" w14:textId="77777777" w:rsidR="009926AF" w:rsidRPr="008B1886" w:rsidRDefault="009926AF" w:rsidP="000E608D">
      <w:pPr>
        <w:pStyle w:val="Para"/>
        <w:rPr>
          <w:i/>
          <w:lang w:val="en-AU"/>
        </w:rPr>
      </w:pPr>
      <w:r w:rsidRPr="008B1886">
        <w:rPr>
          <w:i/>
          <w:lang w:val="en-AU"/>
        </w:rPr>
        <w:t>Electricity</w:t>
      </w:r>
    </w:p>
    <w:p w14:paraId="03D0D468" w14:textId="77777777" w:rsidR="00201B08" w:rsidRPr="008B1886" w:rsidRDefault="00201B08" w:rsidP="000E608D">
      <w:pPr>
        <w:pStyle w:val="Para"/>
      </w:pPr>
      <w:r w:rsidRPr="008B1886">
        <w:t>In 2014, only one respondent that had difficulty paying their electricity bills actually had their electricity disconnected in the last 12 months</w:t>
      </w:r>
      <w:r w:rsidR="008B1886" w:rsidRPr="008B1886">
        <w:t xml:space="preserve"> (representing 0.4</w:t>
      </w:r>
      <w:r w:rsidR="009E1AED" w:rsidRPr="008B1886">
        <w:t>% of households that had ever had difficulty paying the bill and 0.05% of households that received an electricity bill)</w:t>
      </w:r>
      <w:r w:rsidRPr="008B1886">
        <w:t>.  This respondent was unable to say how ma</w:t>
      </w:r>
      <w:r w:rsidR="00B814DF" w:rsidRPr="008B1886">
        <w:t>n</w:t>
      </w:r>
      <w:r w:rsidRPr="008B1886">
        <w:t>y times this had occurred or if there had been trouble restoring the service.</w:t>
      </w:r>
    </w:p>
    <w:p w14:paraId="7D7142D7" w14:textId="77777777" w:rsidR="00201B08" w:rsidRPr="00245A3A" w:rsidRDefault="00201B08" w:rsidP="000E608D">
      <w:pPr>
        <w:pStyle w:val="Para"/>
        <w:rPr>
          <w:highlight w:val="yellow"/>
          <w:lang w:val="en-AU"/>
        </w:rPr>
      </w:pPr>
    </w:p>
    <w:p w14:paraId="7D1E209F" w14:textId="21A1A5BB" w:rsidR="000E608D" w:rsidRPr="008B1886" w:rsidRDefault="00201B08" w:rsidP="000E608D">
      <w:pPr>
        <w:pStyle w:val="Para"/>
        <w:rPr>
          <w:lang w:val="en-AU"/>
        </w:rPr>
      </w:pPr>
      <w:r w:rsidRPr="008B1886">
        <w:rPr>
          <w:lang w:val="en-AU"/>
        </w:rPr>
        <w:t>In 2007, 2%</w:t>
      </w:r>
      <w:r w:rsidR="000E608D" w:rsidRPr="008B1886">
        <w:rPr>
          <w:lang w:val="en-AU"/>
        </w:rPr>
        <w:t xml:space="preserve"> of households that had difficulty paying their electricity bills actually had their electricity disconnected in the last 12 months, which represented 0.2% of households with electricity bills (5 respondents).  Of those, 4 households had the electricity disconnected once in the last </w:t>
      </w:r>
      <w:r w:rsidR="00682DF7" w:rsidRPr="008B1886">
        <w:rPr>
          <w:lang w:val="en-AU"/>
        </w:rPr>
        <w:t>12</w:t>
      </w:r>
      <w:r w:rsidR="00682DF7">
        <w:rPr>
          <w:lang w:val="en-AU"/>
        </w:rPr>
        <w:t> </w:t>
      </w:r>
      <w:r w:rsidR="00682DF7" w:rsidRPr="008B1886">
        <w:rPr>
          <w:lang w:val="en-AU"/>
        </w:rPr>
        <w:t>months</w:t>
      </w:r>
      <w:r w:rsidR="000E608D" w:rsidRPr="008B1886">
        <w:rPr>
          <w:lang w:val="en-AU"/>
        </w:rPr>
        <w:t xml:space="preserve"> and one household had been disconnected three times.  One respondent had difficulties getting the electricity reconnected and that was due to not </w:t>
      </w:r>
      <w:r w:rsidR="00A60411" w:rsidRPr="008B1886">
        <w:rPr>
          <w:lang w:val="en-AU"/>
        </w:rPr>
        <w:t>being able to afford</w:t>
      </w:r>
      <w:r w:rsidR="000E608D" w:rsidRPr="008B1886">
        <w:rPr>
          <w:lang w:val="en-AU"/>
        </w:rPr>
        <w:t xml:space="preserve"> the reconnection fee. </w:t>
      </w:r>
    </w:p>
    <w:p w14:paraId="07D670F8" w14:textId="77777777" w:rsidR="000E608D" w:rsidRPr="008B1886" w:rsidRDefault="000E608D" w:rsidP="000E608D">
      <w:pPr>
        <w:pStyle w:val="Para"/>
        <w:rPr>
          <w:lang w:val="en-AU"/>
        </w:rPr>
      </w:pPr>
    </w:p>
    <w:p w14:paraId="48B8A1A6" w14:textId="77777777" w:rsidR="00A70F6C" w:rsidRPr="008B1886" w:rsidRDefault="000E608D" w:rsidP="000E608D">
      <w:pPr>
        <w:pStyle w:val="Para"/>
        <w:rPr>
          <w:lang w:val="en-AU"/>
        </w:rPr>
      </w:pPr>
      <w:r w:rsidRPr="008B1886">
        <w:rPr>
          <w:lang w:val="en-AU"/>
        </w:rPr>
        <w:t xml:space="preserve">In 2001, 2% of households that had ever had difficulty paying their electricity bills actually had their electricity disconnected in the last 12 months (0.2% of households with electricity bills – 5 respondents).  Of those, 4 households had the electricity disconnected once in the last 12 months and one household had been disconnected four or more times.  One household had problems getting electricity reconnected for a reason other than </w:t>
      </w:r>
      <w:r w:rsidR="00A60411" w:rsidRPr="008B1886">
        <w:rPr>
          <w:lang w:val="en-AU"/>
        </w:rPr>
        <w:t>being able to afford</w:t>
      </w:r>
      <w:r w:rsidRPr="008B1886">
        <w:rPr>
          <w:lang w:val="en-AU"/>
        </w:rPr>
        <w:t xml:space="preserve"> the reconnection fee.  In 1996, a similar proportion of households that had ever had </w:t>
      </w:r>
      <w:r w:rsidR="00785A2B" w:rsidRPr="008B1886">
        <w:rPr>
          <w:lang w:val="en-AU"/>
        </w:rPr>
        <w:t>difficulty</w:t>
      </w:r>
      <w:r w:rsidRPr="008B1886">
        <w:rPr>
          <w:lang w:val="en-AU"/>
        </w:rPr>
        <w:t xml:space="preserve"> paying their electricity bills had actually had the electricity disconnected in the last 12 months (3%</w:t>
      </w:r>
      <w:r w:rsidR="00A60411" w:rsidRPr="008B1886">
        <w:rPr>
          <w:lang w:val="en-AU"/>
        </w:rPr>
        <w:t xml:space="preserve"> - </w:t>
      </w:r>
      <w:r w:rsidRPr="008B1886">
        <w:rPr>
          <w:lang w:val="en-AU"/>
        </w:rPr>
        <w:t xml:space="preserve">0.5% of all households that receive electricity bills).  Of those 12 respondents, 6 had had the electricity disconnected more than once and half of those (3 respondents) had had problems in getting it reconnected.  One of those respondents </w:t>
      </w:r>
      <w:r w:rsidR="00A60411" w:rsidRPr="008B1886">
        <w:rPr>
          <w:lang w:val="en-AU"/>
        </w:rPr>
        <w:t xml:space="preserve">could not afford </w:t>
      </w:r>
      <w:r w:rsidRPr="008B1886">
        <w:rPr>
          <w:lang w:val="en-AU"/>
        </w:rPr>
        <w:t xml:space="preserve">the reconnection fee and the remaining </w:t>
      </w:r>
      <w:r w:rsidR="00A60411" w:rsidRPr="008B1886">
        <w:rPr>
          <w:lang w:val="en-AU"/>
        </w:rPr>
        <w:t>two</w:t>
      </w:r>
      <w:r w:rsidRPr="008B1886">
        <w:rPr>
          <w:lang w:val="en-AU"/>
        </w:rPr>
        <w:t xml:space="preserve"> respondents gave other reasons for having had problems with reconnection.  </w:t>
      </w:r>
    </w:p>
    <w:p w14:paraId="54D964FF" w14:textId="77777777" w:rsidR="002904DD" w:rsidRDefault="009926AF" w:rsidP="000E608D">
      <w:pPr>
        <w:pStyle w:val="Para"/>
        <w:rPr>
          <w:i/>
          <w:lang w:val="en-AU"/>
        </w:rPr>
      </w:pPr>
      <w:r w:rsidRPr="00245A3A">
        <w:rPr>
          <w:i/>
          <w:highlight w:val="yellow"/>
          <w:lang w:val="en-AU"/>
        </w:rPr>
        <w:br w:type="page"/>
      </w:r>
    </w:p>
    <w:p w14:paraId="4B2AA702" w14:textId="77777777" w:rsidR="002904DD" w:rsidRDefault="002904DD" w:rsidP="000E608D">
      <w:pPr>
        <w:pStyle w:val="Para"/>
        <w:rPr>
          <w:i/>
          <w:lang w:val="en-AU"/>
        </w:rPr>
      </w:pPr>
    </w:p>
    <w:p w14:paraId="6E1E490D" w14:textId="33046886" w:rsidR="009926AF" w:rsidRPr="008B1886" w:rsidRDefault="009926AF" w:rsidP="000E608D">
      <w:pPr>
        <w:pStyle w:val="Para"/>
        <w:rPr>
          <w:i/>
          <w:lang w:val="en-AU"/>
        </w:rPr>
      </w:pPr>
      <w:r w:rsidRPr="008B1886">
        <w:rPr>
          <w:i/>
          <w:lang w:val="en-AU"/>
        </w:rPr>
        <w:t>Gas</w:t>
      </w:r>
    </w:p>
    <w:p w14:paraId="1AE55935" w14:textId="77777777" w:rsidR="00201B08" w:rsidRPr="008B1886" w:rsidRDefault="00201B08" w:rsidP="00201B08">
      <w:pPr>
        <w:pStyle w:val="Para"/>
        <w:rPr>
          <w:lang w:val="en-AU"/>
        </w:rPr>
      </w:pPr>
      <w:r w:rsidRPr="008B1886">
        <w:rPr>
          <w:lang w:val="en-AU"/>
        </w:rPr>
        <w:t xml:space="preserve">In 2014, only one </w:t>
      </w:r>
      <w:r w:rsidR="00B814DF" w:rsidRPr="008B1886">
        <w:rPr>
          <w:lang w:val="en-AU"/>
        </w:rPr>
        <w:t>household</w:t>
      </w:r>
      <w:r w:rsidRPr="008B1886">
        <w:rPr>
          <w:lang w:val="en-AU"/>
        </w:rPr>
        <w:t xml:space="preserve"> that had difficulty paying their </w:t>
      </w:r>
      <w:r w:rsidR="00B814DF" w:rsidRPr="008B1886">
        <w:rPr>
          <w:lang w:val="en-AU"/>
        </w:rPr>
        <w:t>gas</w:t>
      </w:r>
      <w:r w:rsidRPr="008B1886">
        <w:rPr>
          <w:lang w:val="en-AU"/>
        </w:rPr>
        <w:t xml:space="preserve"> bills actually had their </w:t>
      </w:r>
      <w:r w:rsidR="00B814DF" w:rsidRPr="008B1886">
        <w:rPr>
          <w:lang w:val="en-AU"/>
        </w:rPr>
        <w:t>gas</w:t>
      </w:r>
      <w:r w:rsidRPr="008B1886">
        <w:rPr>
          <w:lang w:val="en-AU"/>
        </w:rPr>
        <w:t xml:space="preserve"> disconnected in the last 12 months</w:t>
      </w:r>
      <w:r w:rsidR="005439C3" w:rsidRPr="008B1886">
        <w:rPr>
          <w:lang w:val="en-AU"/>
        </w:rPr>
        <w:t xml:space="preserve"> </w:t>
      </w:r>
      <w:r w:rsidR="005439C3" w:rsidRPr="008B1886">
        <w:t xml:space="preserve">(representing </w:t>
      </w:r>
      <w:r w:rsidR="008B1886" w:rsidRPr="008B1886">
        <w:t>1.2</w:t>
      </w:r>
      <w:r w:rsidR="005439C3" w:rsidRPr="008B1886">
        <w:t>% of households that had ever had difficulty paying the bill and 0.0</w:t>
      </w:r>
      <w:r w:rsidR="008B1886" w:rsidRPr="008B1886">
        <w:t>6</w:t>
      </w:r>
      <w:r w:rsidR="005439C3" w:rsidRPr="008B1886">
        <w:t>% of households that received a gas bill)</w:t>
      </w:r>
      <w:r w:rsidRPr="008B1886">
        <w:rPr>
          <w:lang w:val="en-AU"/>
        </w:rPr>
        <w:t xml:space="preserve">.  This </w:t>
      </w:r>
      <w:r w:rsidR="00B814DF" w:rsidRPr="008B1886">
        <w:rPr>
          <w:lang w:val="en-AU"/>
        </w:rPr>
        <w:t>had occurred on one occasion and there had not been any problems getting the service restored.</w:t>
      </w:r>
    </w:p>
    <w:p w14:paraId="6B9C05DE" w14:textId="77777777" w:rsidR="00201B08" w:rsidRPr="008B1886" w:rsidRDefault="00201B08" w:rsidP="000E608D">
      <w:pPr>
        <w:pStyle w:val="Para"/>
        <w:rPr>
          <w:lang w:val="en-AU"/>
        </w:rPr>
      </w:pPr>
    </w:p>
    <w:p w14:paraId="5B99F7A7" w14:textId="77777777" w:rsidR="000E608D" w:rsidRPr="008B1886" w:rsidRDefault="00B814DF" w:rsidP="000E608D">
      <w:pPr>
        <w:pStyle w:val="Para"/>
        <w:rPr>
          <w:lang w:val="en-AU"/>
        </w:rPr>
      </w:pPr>
      <w:r w:rsidRPr="008B1886">
        <w:rPr>
          <w:lang w:val="en-AU"/>
        </w:rPr>
        <w:t>In 2007, 4%</w:t>
      </w:r>
      <w:r w:rsidR="000E608D" w:rsidRPr="008B1886">
        <w:rPr>
          <w:lang w:val="en-AU"/>
        </w:rPr>
        <w:t xml:space="preserve"> of households who had </w:t>
      </w:r>
      <w:r w:rsidR="00785A2B" w:rsidRPr="008B1886">
        <w:rPr>
          <w:lang w:val="en-AU"/>
        </w:rPr>
        <w:t>difficulty</w:t>
      </w:r>
      <w:r w:rsidR="000E608D" w:rsidRPr="008B1886">
        <w:rPr>
          <w:lang w:val="en-AU"/>
        </w:rPr>
        <w:t xml:space="preserve"> paying their gas bill had their gas disconnected in the last 12 months (0.4% of households with gas bills – 5 respondents).  Of those five respondents, four had the gas disconnected once and one had it disconnected three times. Three of the five respondents had difficulties getting the gas reconnected – all of whom </w:t>
      </w:r>
      <w:r w:rsidR="00A60411" w:rsidRPr="008B1886">
        <w:rPr>
          <w:lang w:val="en-AU"/>
        </w:rPr>
        <w:t>could not afford</w:t>
      </w:r>
      <w:r w:rsidR="000E608D" w:rsidRPr="008B1886">
        <w:rPr>
          <w:lang w:val="en-AU"/>
        </w:rPr>
        <w:t xml:space="preserve"> the reconnection fee. </w:t>
      </w:r>
    </w:p>
    <w:p w14:paraId="3CBEB1FC" w14:textId="77777777" w:rsidR="000E608D" w:rsidRPr="008B1886" w:rsidRDefault="000E608D" w:rsidP="000E608D">
      <w:pPr>
        <w:pStyle w:val="Para"/>
        <w:rPr>
          <w:lang w:val="en-AU"/>
        </w:rPr>
      </w:pPr>
    </w:p>
    <w:p w14:paraId="7ABEF519" w14:textId="636BD284" w:rsidR="000E608D" w:rsidRPr="008B1886" w:rsidRDefault="000E608D" w:rsidP="000E608D">
      <w:pPr>
        <w:pStyle w:val="Para"/>
        <w:rPr>
          <w:lang w:val="en-AU"/>
        </w:rPr>
      </w:pPr>
      <w:r w:rsidRPr="008B1886">
        <w:rPr>
          <w:lang w:val="en-AU"/>
        </w:rPr>
        <w:t>In 2001</w:t>
      </w:r>
      <w:r w:rsidR="00682DF7">
        <w:rPr>
          <w:lang w:val="en-AU"/>
        </w:rPr>
        <w:t>,</w:t>
      </w:r>
      <w:r w:rsidRPr="008B1886">
        <w:rPr>
          <w:lang w:val="en-AU"/>
        </w:rPr>
        <w:t xml:space="preserve"> 5% </w:t>
      </w:r>
      <w:r w:rsidR="00682DF7">
        <w:rPr>
          <w:lang w:val="en-AU"/>
        </w:rPr>
        <w:t xml:space="preserve">of households </w:t>
      </w:r>
      <w:r w:rsidRPr="008B1886">
        <w:rPr>
          <w:lang w:val="en-AU"/>
        </w:rPr>
        <w:t xml:space="preserve">who had </w:t>
      </w:r>
      <w:r w:rsidR="00785A2B" w:rsidRPr="008B1886">
        <w:rPr>
          <w:lang w:val="en-AU"/>
        </w:rPr>
        <w:t>difficulty</w:t>
      </w:r>
      <w:r w:rsidRPr="008B1886">
        <w:rPr>
          <w:lang w:val="en-AU"/>
        </w:rPr>
        <w:t xml:space="preserve"> paying their gas bill had their gas disconnected in the last 12 months</w:t>
      </w:r>
      <w:r w:rsidR="00682DF7">
        <w:rPr>
          <w:lang w:val="en-AU"/>
        </w:rPr>
        <w:t xml:space="preserve"> </w:t>
      </w:r>
      <w:r w:rsidR="00682DF7" w:rsidRPr="008B1886">
        <w:rPr>
          <w:lang w:val="en-AU"/>
        </w:rPr>
        <w:t>(0.5% of households with gas bills – 10 respondents)</w:t>
      </w:r>
      <w:r w:rsidRPr="008B1886">
        <w:rPr>
          <w:lang w:val="en-AU"/>
        </w:rPr>
        <w:t xml:space="preserve">.  Of those 10 households, 9 only had their gas disconnected once.  The remaining household had it disconnected </w:t>
      </w:r>
      <w:r w:rsidR="00682DF7">
        <w:rPr>
          <w:lang w:val="en-AU"/>
        </w:rPr>
        <w:t>four</w:t>
      </w:r>
      <w:r w:rsidRPr="008B1886">
        <w:rPr>
          <w:lang w:val="en-AU"/>
        </w:rPr>
        <w:t xml:space="preserve"> or more times.  Three of the 10 households that had gas disconnected had problems getting it reconnected.  One of these households had problems because they </w:t>
      </w:r>
      <w:r w:rsidR="00A60411" w:rsidRPr="008B1886">
        <w:rPr>
          <w:lang w:val="en-AU"/>
        </w:rPr>
        <w:t>could not afford</w:t>
      </w:r>
      <w:r w:rsidRPr="008B1886">
        <w:rPr>
          <w:lang w:val="en-AU"/>
        </w:rPr>
        <w:t xml:space="preserve"> the reconnection fee and the remaining two households gave other reasons for the problems.  In 1996, 3% of households had had their gas disconnected in the last 12 months (0.5% of households that received a gas bill), and all of those households had had the gas disconnected more than once in that time (9 households).  Less than half (4 households) of households that had their gas disconnected had had problems getting it reconnected.  For all of them the reason was that they </w:t>
      </w:r>
      <w:r w:rsidR="00A60411" w:rsidRPr="008B1886">
        <w:rPr>
          <w:lang w:val="en-AU"/>
        </w:rPr>
        <w:t>could not afford</w:t>
      </w:r>
      <w:r w:rsidRPr="008B1886">
        <w:rPr>
          <w:lang w:val="en-AU"/>
        </w:rPr>
        <w:t xml:space="preserve"> the reconnection fee.  </w:t>
      </w:r>
    </w:p>
    <w:p w14:paraId="0ACDB726" w14:textId="77777777" w:rsidR="000E608D" w:rsidRPr="008B1886" w:rsidRDefault="000E608D" w:rsidP="000E608D">
      <w:pPr>
        <w:pStyle w:val="Para"/>
        <w:rPr>
          <w:lang w:val="en-AU"/>
        </w:rPr>
      </w:pPr>
    </w:p>
    <w:p w14:paraId="42FCF0BF" w14:textId="77777777" w:rsidR="00B56DF7" w:rsidRDefault="00B56DF7">
      <w:pPr>
        <w:spacing w:before="0" w:after="0"/>
        <w:rPr>
          <w:i/>
          <w:lang w:val="en-AU"/>
        </w:rPr>
      </w:pPr>
      <w:r>
        <w:rPr>
          <w:i/>
          <w:lang w:val="en-AU"/>
        </w:rPr>
        <w:br w:type="page"/>
      </w:r>
    </w:p>
    <w:p w14:paraId="3E55D8C2" w14:textId="77777777" w:rsidR="002904DD" w:rsidRDefault="002904DD" w:rsidP="000E608D">
      <w:pPr>
        <w:pStyle w:val="Para"/>
        <w:rPr>
          <w:i/>
          <w:lang w:val="en-AU"/>
        </w:rPr>
      </w:pPr>
    </w:p>
    <w:p w14:paraId="10F7D20C" w14:textId="7AF92492" w:rsidR="009926AF" w:rsidRPr="008B1886" w:rsidRDefault="009926AF" w:rsidP="000E608D">
      <w:pPr>
        <w:pStyle w:val="Para"/>
        <w:rPr>
          <w:i/>
          <w:lang w:val="en-AU"/>
        </w:rPr>
      </w:pPr>
      <w:r w:rsidRPr="008B1886">
        <w:rPr>
          <w:i/>
          <w:lang w:val="en-AU"/>
        </w:rPr>
        <w:t>Water</w:t>
      </w:r>
    </w:p>
    <w:p w14:paraId="0E41D467" w14:textId="3A77EE7D" w:rsidR="00B814DF" w:rsidRPr="008B1886" w:rsidRDefault="00B814DF" w:rsidP="000E608D">
      <w:pPr>
        <w:pStyle w:val="Para"/>
        <w:rPr>
          <w:lang w:val="en-AU"/>
        </w:rPr>
      </w:pPr>
      <w:r w:rsidRPr="008B1886">
        <w:rPr>
          <w:lang w:val="en-AU"/>
        </w:rPr>
        <w:t>In 2014 the</w:t>
      </w:r>
      <w:r w:rsidR="00A04B53" w:rsidRPr="008B1886">
        <w:rPr>
          <w:lang w:val="en-AU"/>
        </w:rPr>
        <w:t>re</w:t>
      </w:r>
      <w:r w:rsidRPr="008B1886">
        <w:rPr>
          <w:lang w:val="en-AU"/>
        </w:rPr>
        <w:t xml:space="preserve"> were no instances of households that had difficulty paying their water bills actually having their water service restricted during the last </w:t>
      </w:r>
      <w:r w:rsidR="00682DF7" w:rsidRPr="008B1886">
        <w:rPr>
          <w:lang w:val="en-AU"/>
        </w:rPr>
        <w:t>12</w:t>
      </w:r>
      <w:r w:rsidR="00682DF7">
        <w:rPr>
          <w:lang w:val="en-AU"/>
        </w:rPr>
        <w:t> </w:t>
      </w:r>
      <w:r w:rsidR="00682DF7" w:rsidRPr="008B1886">
        <w:rPr>
          <w:lang w:val="en-AU"/>
        </w:rPr>
        <w:t>months</w:t>
      </w:r>
      <w:r w:rsidR="005007BC" w:rsidRPr="008B1886">
        <w:rPr>
          <w:lang w:val="en-AU"/>
        </w:rPr>
        <w:t>.</w:t>
      </w:r>
    </w:p>
    <w:p w14:paraId="0E7E362F" w14:textId="77777777" w:rsidR="00B814DF" w:rsidRPr="008B1886" w:rsidRDefault="00B814DF" w:rsidP="000E608D">
      <w:pPr>
        <w:pStyle w:val="Para"/>
        <w:rPr>
          <w:lang w:val="en-AU"/>
        </w:rPr>
      </w:pPr>
    </w:p>
    <w:p w14:paraId="1AF1567C" w14:textId="7DC7B5DC" w:rsidR="000E608D" w:rsidRPr="008B1886" w:rsidRDefault="000E608D" w:rsidP="000E608D">
      <w:pPr>
        <w:pStyle w:val="Para"/>
        <w:rPr>
          <w:lang w:val="en-AU"/>
        </w:rPr>
      </w:pPr>
      <w:r w:rsidRPr="008B1886">
        <w:rPr>
          <w:lang w:val="en-AU"/>
        </w:rPr>
        <w:t xml:space="preserve">One </w:t>
      </w:r>
      <w:r w:rsidR="00B942AA">
        <w:rPr>
          <w:lang w:val="en-AU"/>
        </w:rPr>
        <w:t>per cent</w:t>
      </w:r>
      <w:r w:rsidRPr="008B1886">
        <w:rPr>
          <w:lang w:val="en-AU"/>
        </w:rPr>
        <w:t xml:space="preserve"> of households that had ever had problems with water bills had their water restricted in 2007 (two respondents, 0.1% of households with water bills).  One household had their water restricted two times, and the other had it restricted four or more times.  Neither respondent who had their water restricted experienced difficulties having the restrictions lifted.  In 2001, 2% of households that had ever had problems with water bills had their water restricted (0.3% of households with water bills – 5 respondents).  Four households had water restricted once in this time and </w:t>
      </w:r>
      <w:r w:rsidR="00682DF7">
        <w:rPr>
          <w:lang w:val="en-AU"/>
        </w:rPr>
        <w:t>one</w:t>
      </w:r>
      <w:r w:rsidRPr="008B1886">
        <w:rPr>
          <w:lang w:val="en-AU"/>
        </w:rPr>
        <w:t xml:space="preserve"> household had had it restricted </w:t>
      </w:r>
      <w:r w:rsidR="007A34C4">
        <w:rPr>
          <w:lang w:val="en-AU"/>
        </w:rPr>
        <w:t>four</w:t>
      </w:r>
      <w:r w:rsidRPr="008B1886">
        <w:rPr>
          <w:lang w:val="en-AU"/>
        </w:rPr>
        <w:t xml:space="preserve"> or more times.  One respondent had had problems getting the water restored for a reason other than </w:t>
      </w:r>
      <w:r w:rsidR="00A60411" w:rsidRPr="008B1886">
        <w:rPr>
          <w:lang w:val="en-AU"/>
        </w:rPr>
        <w:t>being able to afford</w:t>
      </w:r>
      <w:r w:rsidRPr="008B1886">
        <w:rPr>
          <w:lang w:val="en-AU"/>
        </w:rPr>
        <w:t xml:space="preserve"> the reconnection fee.  In 1996, only one respondent had had the water restricted and it had not happened more than once to that household (0.1% of all households that receive water bills).  </w:t>
      </w:r>
    </w:p>
    <w:p w14:paraId="378F895F" w14:textId="77777777" w:rsidR="00457958" w:rsidRPr="008B1886" w:rsidRDefault="00457958" w:rsidP="000E608D">
      <w:pPr>
        <w:pStyle w:val="Para"/>
        <w:rPr>
          <w:lang w:val="en-AU"/>
        </w:rPr>
      </w:pPr>
    </w:p>
    <w:p w14:paraId="1895CF71" w14:textId="77777777" w:rsidR="009926AF" w:rsidRPr="008B1886" w:rsidRDefault="009926AF" w:rsidP="000E608D">
      <w:pPr>
        <w:pStyle w:val="Para"/>
        <w:rPr>
          <w:i/>
          <w:lang w:val="en-AU"/>
        </w:rPr>
      </w:pPr>
      <w:r w:rsidRPr="008B1886">
        <w:rPr>
          <w:i/>
          <w:lang w:val="en-AU"/>
        </w:rPr>
        <w:t>Council Rates</w:t>
      </w:r>
    </w:p>
    <w:p w14:paraId="4643D1EE" w14:textId="77777777" w:rsidR="00B814DF" w:rsidRPr="008B1886" w:rsidRDefault="00B814DF" w:rsidP="00B814DF">
      <w:pPr>
        <w:pStyle w:val="Para"/>
        <w:rPr>
          <w:lang w:val="en-AU"/>
        </w:rPr>
      </w:pPr>
      <w:r w:rsidRPr="008B1886">
        <w:rPr>
          <w:lang w:val="en-AU"/>
        </w:rPr>
        <w:t>As in 2007, there were no instances in 2014 of households that had difficulty paying their council rates having legal action taken against them by the council during the last 12 months</w:t>
      </w:r>
      <w:r w:rsidR="00A04B53" w:rsidRPr="008B1886">
        <w:rPr>
          <w:lang w:val="en-AU"/>
        </w:rPr>
        <w:t>.</w:t>
      </w:r>
    </w:p>
    <w:p w14:paraId="32D973EC" w14:textId="77777777" w:rsidR="00B814DF" w:rsidRPr="008B1886" w:rsidRDefault="00B814DF" w:rsidP="000E608D">
      <w:pPr>
        <w:pStyle w:val="Para"/>
        <w:rPr>
          <w:i/>
          <w:lang w:val="en-AU"/>
        </w:rPr>
      </w:pPr>
    </w:p>
    <w:p w14:paraId="5B41041E" w14:textId="77777777" w:rsidR="000E608D" w:rsidRPr="008B1886" w:rsidRDefault="000E608D" w:rsidP="000E608D">
      <w:pPr>
        <w:pStyle w:val="Para"/>
        <w:rPr>
          <w:lang w:val="en-AU"/>
        </w:rPr>
      </w:pPr>
      <w:r w:rsidRPr="008B1886">
        <w:rPr>
          <w:lang w:val="en-AU"/>
        </w:rPr>
        <w:t xml:space="preserve">In 2001, 2% of households who had difficulty paying their Council rates had </w:t>
      </w:r>
      <w:r w:rsidR="00A04B53" w:rsidRPr="008B1886">
        <w:rPr>
          <w:lang w:val="en-AU"/>
        </w:rPr>
        <w:t xml:space="preserve">had </w:t>
      </w:r>
      <w:r w:rsidRPr="008B1886">
        <w:rPr>
          <w:lang w:val="en-AU"/>
        </w:rPr>
        <w:t>legal action taken against them (0.2% of households with Council rates – 3 respondents).  These three households had legal action taken against them by the Council only once in the last 12 months.  This question was not asked in 1996.</w:t>
      </w:r>
    </w:p>
    <w:p w14:paraId="6847D580" w14:textId="77777777" w:rsidR="000E608D" w:rsidRPr="008B1886" w:rsidRDefault="000E608D" w:rsidP="000E608D">
      <w:pPr>
        <w:pStyle w:val="Para"/>
        <w:rPr>
          <w:lang w:val="en-AU"/>
        </w:rPr>
      </w:pPr>
    </w:p>
    <w:p w14:paraId="26D69134" w14:textId="77777777" w:rsidR="009926AF" w:rsidRPr="008B1886" w:rsidRDefault="009926AF" w:rsidP="000E608D">
      <w:pPr>
        <w:pStyle w:val="Para"/>
        <w:rPr>
          <w:lang w:val="en-AU"/>
        </w:rPr>
      </w:pPr>
    </w:p>
    <w:p w14:paraId="108D3B7B" w14:textId="77777777" w:rsidR="000E608D" w:rsidRPr="00C92F86" w:rsidRDefault="00926974" w:rsidP="00467831">
      <w:pPr>
        <w:pStyle w:val="Heading2"/>
        <w:rPr>
          <w:lang w:val="en-AU"/>
        </w:rPr>
      </w:pPr>
      <w:r w:rsidRPr="00C92F86">
        <w:rPr>
          <w:lang w:val="en-AU"/>
        </w:rPr>
        <w:br w:type="page"/>
      </w:r>
      <w:r w:rsidR="00467831" w:rsidRPr="00C92F86">
        <w:rPr>
          <w:lang w:val="en-AU"/>
        </w:rPr>
        <w:lastRenderedPageBreak/>
        <w:t xml:space="preserve"> </w:t>
      </w:r>
      <w:bookmarkStart w:id="229" w:name="_Toc439198342"/>
      <w:bookmarkStart w:id="230" w:name="_Toc445571719"/>
      <w:r w:rsidR="00467831" w:rsidRPr="00C92F86">
        <w:rPr>
          <w:lang w:val="en-AU"/>
        </w:rPr>
        <w:t>THE UTILITY RELIEF GRANTS SCHEME</w:t>
      </w:r>
      <w:r w:rsidR="000E608D" w:rsidRPr="00C92F86">
        <w:rPr>
          <w:lang w:val="en-AU"/>
        </w:rPr>
        <w:t xml:space="preserve"> (URGS)</w:t>
      </w:r>
      <w:bookmarkEnd w:id="229"/>
      <w:bookmarkEnd w:id="230"/>
    </w:p>
    <w:p w14:paraId="152F8B05" w14:textId="77777777" w:rsidR="00467831" w:rsidRPr="00C92F86" w:rsidRDefault="00467831" w:rsidP="009748AD">
      <w:pPr>
        <w:pStyle w:val="Heading3"/>
        <w:tabs>
          <w:tab w:val="num" w:pos="1004"/>
        </w:tabs>
        <w:spacing w:before="360"/>
        <w:ind w:left="1004" w:hanging="1004"/>
        <w:rPr>
          <w:lang w:val="en-AU"/>
        </w:rPr>
      </w:pPr>
      <w:bookmarkStart w:id="231" w:name="_Toc439198343"/>
      <w:bookmarkStart w:id="232" w:name="_Toc445571720"/>
      <w:r w:rsidRPr="00C92F86">
        <w:rPr>
          <w:lang w:val="en-AU"/>
        </w:rPr>
        <w:t>Awareness of the Utility Relief Grants Scheme (URGS)</w:t>
      </w:r>
      <w:bookmarkEnd w:id="231"/>
      <w:bookmarkEnd w:id="232"/>
    </w:p>
    <w:p w14:paraId="5E61E008" w14:textId="77777777" w:rsidR="000313B4" w:rsidRPr="00C92F86" w:rsidRDefault="000313B4" w:rsidP="000E608D">
      <w:pPr>
        <w:pStyle w:val="Para"/>
        <w:rPr>
          <w:lang w:val="en-AU"/>
        </w:rPr>
      </w:pPr>
      <w:r w:rsidRPr="00C92F86">
        <w:rPr>
          <w:lang w:val="en-AU"/>
        </w:rPr>
        <w:t xml:space="preserve">In 2014, almost one quarter (23%) of households were aware of the Utility Relief Grants Scheme (URGS), a state Government scheme </w:t>
      </w:r>
      <w:r w:rsidRPr="00C92F86">
        <w:rPr>
          <w:i/>
          <w:lang w:val="en-AU"/>
        </w:rPr>
        <w:t xml:space="preserve">“to assist customers in an emergency situation with payment of electricity, gas or water bills” </w:t>
      </w:r>
      <w:r w:rsidRPr="00C92F86">
        <w:rPr>
          <w:lang w:val="en-AU"/>
        </w:rPr>
        <w:t>(as detailed in the survey question).   This was a</w:t>
      </w:r>
      <w:r w:rsidR="005007BC" w:rsidRPr="00C92F86">
        <w:rPr>
          <w:lang w:val="en-AU"/>
        </w:rPr>
        <w:t>n</w:t>
      </w:r>
      <w:r w:rsidRPr="00C92F86">
        <w:rPr>
          <w:lang w:val="en-AU"/>
        </w:rPr>
        <w:t xml:space="preserve"> increase from the results of previous surveys (17% in 2007, 16% in 2001 and 19% in 1996).</w:t>
      </w:r>
    </w:p>
    <w:p w14:paraId="6BDC68C6" w14:textId="77777777" w:rsidR="000E608D" w:rsidRPr="00245A3A" w:rsidRDefault="000E608D" w:rsidP="000E608D">
      <w:pPr>
        <w:pStyle w:val="Para"/>
        <w:rPr>
          <w:highlight w:val="yellow"/>
          <w:lang w:val="en-AU"/>
        </w:rPr>
      </w:pPr>
    </w:p>
    <w:p w14:paraId="01AC53EB" w14:textId="77777777" w:rsidR="000E608D" w:rsidRPr="00C92F86" w:rsidRDefault="000313B4" w:rsidP="000E608D">
      <w:pPr>
        <w:pStyle w:val="Para"/>
        <w:rPr>
          <w:lang w:val="en-AU"/>
        </w:rPr>
      </w:pPr>
      <w:r w:rsidRPr="00C92F86">
        <w:rPr>
          <w:lang w:val="en-AU"/>
        </w:rPr>
        <w:t>Consistent with previous survey</w:t>
      </w:r>
      <w:r w:rsidR="00974618" w:rsidRPr="00C92F86">
        <w:rPr>
          <w:lang w:val="en-AU"/>
        </w:rPr>
        <w:t>s</w:t>
      </w:r>
      <w:r w:rsidRPr="00C92F86">
        <w:rPr>
          <w:lang w:val="en-AU"/>
        </w:rPr>
        <w:t>, a</w:t>
      </w:r>
      <w:r w:rsidR="000E608D" w:rsidRPr="00C92F86">
        <w:rPr>
          <w:lang w:val="en-AU"/>
        </w:rPr>
        <w:t xml:space="preserve">wareness of </w:t>
      </w:r>
      <w:r w:rsidRPr="00C92F86">
        <w:rPr>
          <w:lang w:val="en-AU"/>
        </w:rPr>
        <w:t xml:space="preserve">the </w:t>
      </w:r>
      <w:r w:rsidR="000E608D" w:rsidRPr="00C92F86">
        <w:rPr>
          <w:lang w:val="en-AU"/>
        </w:rPr>
        <w:t xml:space="preserve">URGS </w:t>
      </w:r>
      <w:r w:rsidRPr="00C92F86">
        <w:rPr>
          <w:lang w:val="en-AU"/>
        </w:rPr>
        <w:t xml:space="preserve">in 2014 was </w:t>
      </w:r>
      <w:r w:rsidR="000E608D" w:rsidRPr="00C92F86">
        <w:rPr>
          <w:lang w:val="en-AU"/>
        </w:rPr>
        <w:t xml:space="preserve">virtually the same amongst both Melbourne and country Victorian households </w:t>
      </w:r>
      <w:r w:rsidRPr="00C92F86">
        <w:rPr>
          <w:lang w:val="en-AU"/>
        </w:rPr>
        <w:t xml:space="preserve">23% and 22% respectively.   The corresponding figures in 2007 were </w:t>
      </w:r>
      <w:r w:rsidR="000E608D" w:rsidRPr="00C92F86">
        <w:rPr>
          <w:lang w:val="en-AU"/>
        </w:rPr>
        <w:t>16% and 19% respectively</w:t>
      </w:r>
      <w:r w:rsidRPr="00C92F86">
        <w:rPr>
          <w:lang w:val="en-AU"/>
        </w:rPr>
        <w:t xml:space="preserve"> (</w:t>
      </w:r>
      <w:r w:rsidR="000E608D" w:rsidRPr="00C92F86">
        <w:rPr>
          <w:lang w:val="en-AU"/>
        </w:rPr>
        <w:t>2001</w:t>
      </w:r>
      <w:r w:rsidRPr="00C92F86">
        <w:rPr>
          <w:lang w:val="en-AU"/>
        </w:rPr>
        <w:t xml:space="preserve">: </w:t>
      </w:r>
      <w:r w:rsidR="000E608D" w:rsidRPr="00C92F86">
        <w:rPr>
          <w:lang w:val="en-AU"/>
        </w:rPr>
        <w:t>15% and 18% respectively, 1996</w:t>
      </w:r>
      <w:r w:rsidRPr="00C92F86">
        <w:rPr>
          <w:lang w:val="en-AU"/>
        </w:rPr>
        <w:t xml:space="preserve">: </w:t>
      </w:r>
      <w:r w:rsidR="000E608D" w:rsidRPr="00C92F86">
        <w:rPr>
          <w:lang w:val="en-AU"/>
        </w:rPr>
        <w:t xml:space="preserve">19% </w:t>
      </w:r>
      <w:r w:rsidRPr="00C92F86">
        <w:rPr>
          <w:lang w:val="en-AU"/>
        </w:rPr>
        <w:t xml:space="preserve">and </w:t>
      </w:r>
      <w:r w:rsidR="000E608D" w:rsidRPr="00C92F86">
        <w:rPr>
          <w:lang w:val="en-AU"/>
        </w:rPr>
        <w:t>20%</w:t>
      </w:r>
      <w:r w:rsidRPr="00C92F86">
        <w:rPr>
          <w:lang w:val="en-AU"/>
        </w:rPr>
        <w:t xml:space="preserve"> respectively).  In 2014, the DHHS regions with the highest level of awareness of the scheme were Outer Gippsland (3</w:t>
      </w:r>
      <w:r w:rsidR="00C92F86" w:rsidRPr="00C92F86">
        <w:rPr>
          <w:lang w:val="en-AU"/>
        </w:rPr>
        <w:t>1</w:t>
      </w:r>
      <w:r w:rsidR="00B5775E" w:rsidRPr="00C92F86">
        <w:rPr>
          <w:lang w:val="en-AU"/>
        </w:rPr>
        <w:t>%)</w:t>
      </w:r>
      <w:r w:rsidRPr="00C92F86">
        <w:rPr>
          <w:lang w:val="en-AU"/>
        </w:rPr>
        <w:t>, Central Highlands and Brimbank Melton (both 30%).  The regions with the lowest level of awareness were Western District</w:t>
      </w:r>
      <w:r w:rsidRPr="00C92F86">
        <w:rPr>
          <w:rStyle w:val="CommentReference"/>
          <w:lang w:val="en-AU"/>
        </w:rPr>
        <w:footnoteReference w:id="17"/>
      </w:r>
      <w:r w:rsidRPr="00C92F86">
        <w:rPr>
          <w:lang w:val="en-AU"/>
        </w:rPr>
        <w:t xml:space="preserve"> (7%) and Ovens Murray (12%)</w:t>
      </w:r>
      <w:r w:rsidR="005007BC" w:rsidRPr="00C92F86">
        <w:rPr>
          <w:lang w:val="en-AU"/>
        </w:rPr>
        <w:t>.</w:t>
      </w:r>
    </w:p>
    <w:p w14:paraId="4B1C05B5" w14:textId="77777777" w:rsidR="000E608D" w:rsidRPr="00245A3A" w:rsidRDefault="000E608D" w:rsidP="000E608D">
      <w:pPr>
        <w:pStyle w:val="Para"/>
        <w:rPr>
          <w:highlight w:val="yellow"/>
          <w:lang w:val="en-AU"/>
        </w:rPr>
      </w:pPr>
    </w:p>
    <w:p w14:paraId="0D13D876" w14:textId="010318C7" w:rsidR="000E608D" w:rsidRPr="00C92F86" w:rsidRDefault="000313B4" w:rsidP="000E608D">
      <w:pPr>
        <w:pStyle w:val="Para"/>
        <w:rPr>
          <w:lang w:val="en-AU"/>
        </w:rPr>
      </w:pPr>
      <w:r w:rsidRPr="00C92F86">
        <w:rPr>
          <w:lang w:val="en-AU"/>
        </w:rPr>
        <w:t>Concession households had greater awareness of the URGS than non-concession households (30% compared with 17%)</w:t>
      </w:r>
      <w:r w:rsidR="00E64368" w:rsidRPr="00C92F86">
        <w:rPr>
          <w:lang w:val="en-AU"/>
        </w:rPr>
        <w:t>.  This was consistent with the results of previous surveys (2007: 22% compared with 1</w:t>
      </w:r>
      <w:r w:rsidR="00FB4554" w:rsidRPr="00C92F86">
        <w:rPr>
          <w:lang w:val="en-AU"/>
        </w:rPr>
        <w:t>3</w:t>
      </w:r>
      <w:r w:rsidR="00E64368" w:rsidRPr="00C92F86">
        <w:rPr>
          <w:lang w:val="en-AU"/>
        </w:rPr>
        <w:t xml:space="preserve">%; 2001: </w:t>
      </w:r>
      <w:r w:rsidRPr="00C92F86">
        <w:rPr>
          <w:lang w:val="en-AU"/>
        </w:rPr>
        <w:t>20% compared with 13%</w:t>
      </w:r>
      <w:r w:rsidR="00E64368" w:rsidRPr="00C92F86">
        <w:rPr>
          <w:lang w:val="en-AU"/>
        </w:rPr>
        <w:t xml:space="preserve">; 1996: </w:t>
      </w:r>
      <w:r w:rsidRPr="00C92F86">
        <w:rPr>
          <w:lang w:val="en-AU"/>
        </w:rPr>
        <w:t>24% compared with 15%</w:t>
      </w:r>
      <w:r w:rsidR="00E64368" w:rsidRPr="00C92F86">
        <w:rPr>
          <w:lang w:val="en-AU"/>
        </w:rPr>
        <w:t>).</w:t>
      </w:r>
      <w:r w:rsidRPr="00C92F86">
        <w:rPr>
          <w:lang w:val="en-AU"/>
        </w:rPr>
        <w:t xml:space="preserve"> </w:t>
      </w:r>
      <w:r w:rsidR="00E64368" w:rsidRPr="00C92F86">
        <w:rPr>
          <w:lang w:val="en-AU"/>
        </w:rPr>
        <w:t xml:space="preserve"> Other concession households were slightly more likely than aged concession households to be aware of the URGS (31% compared with 28%), </w:t>
      </w:r>
      <w:r w:rsidR="00FB4554" w:rsidRPr="00C92F86">
        <w:rPr>
          <w:lang w:val="en-AU"/>
        </w:rPr>
        <w:t>which was also consistent with the results of previous surveys</w:t>
      </w:r>
      <w:r w:rsidR="00E64368" w:rsidRPr="00C92F86">
        <w:rPr>
          <w:lang w:val="en-AU"/>
        </w:rPr>
        <w:t xml:space="preserve"> (2007: </w:t>
      </w:r>
      <w:r w:rsidR="000E608D" w:rsidRPr="00C92F86">
        <w:rPr>
          <w:lang w:val="en-AU"/>
        </w:rPr>
        <w:t>27% compared with 17%</w:t>
      </w:r>
      <w:r w:rsidR="00E64368" w:rsidRPr="00C92F86">
        <w:rPr>
          <w:lang w:val="en-AU"/>
        </w:rPr>
        <w:t xml:space="preserve">; 2001: </w:t>
      </w:r>
      <w:r w:rsidR="000E608D" w:rsidRPr="00C92F86">
        <w:rPr>
          <w:lang w:val="en-AU"/>
        </w:rPr>
        <w:t>21% compared with 19%</w:t>
      </w:r>
      <w:r w:rsidR="00E64368" w:rsidRPr="00C92F86">
        <w:rPr>
          <w:lang w:val="en-AU"/>
        </w:rPr>
        <w:t xml:space="preserve">; 1996: </w:t>
      </w:r>
      <w:r w:rsidR="000E608D" w:rsidRPr="00C92F86">
        <w:rPr>
          <w:lang w:val="en-AU"/>
        </w:rPr>
        <w:t>23% compared with 21% in 1996).</w:t>
      </w:r>
    </w:p>
    <w:p w14:paraId="4D63D9F8" w14:textId="77777777" w:rsidR="000E608D" w:rsidRPr="00245A3A" w:rsidRDefault="000E608D" w:rsidP="000E608D">
      <w:pPr>
        <w:pStyle w:val="Para"/>
        <w:rPr>
          <w:highlight w:val="yellow"/>
          <w:lang w:val="en-AU"/>
        </w:rPr>
      </w:pPr>
    </w:p>
    <w:p w14:paraId="0AADD44A" w14:textId="77777777" w:rsidR="000E608D" w:rsidRPr="00C92F86" w:rsidRDefault="00E64368" w:rsidP="000E608D">
      <w:pPr>
        <w:pStyle w:val="Para"/>
        <w:rPr>
          <w:lang w:val="en-AU"/>
        </w:rPr>
      </w:pPr>
      <w:r w:rsidRPr="00C92F86">
        <w:rPr>
          <w:lang w:val="en-AU"/>
        </w:rPr>
        <w:t xml:space="preserve">A higher proportion of households in the public rental sector were aware of the URGS (51%) than private renters (23%) or home owners/buyers (20%).  Again, this was consistent with the results of previous surveys.  In 2007, 40% of </w:t>
      </w:r>
      <w:r w:rsidR="00253825" w:rsidRPr="00C92F86">
        <w:rPr>
          <w:lang w:val="en-AU"/>
        </w:rPr>
        <w:t xml:space="preserve">public </w:t>
      </w:r>
      <w:r w:rsidRPr="00C92F86">
        <w:rPr>
          <w:lang w:val="en-AU"/>
        </w:rPr>
        <w:t xml:space="preserve">renters were aware of the URGS, compared with 17% of </w:t>
      </w:r>
      <w:r w:rsidR="000E608D" w:rsidRPr="00C92F86">
        <w:rPr>
          <w:lang w:val="en-AU"/>
        </w:rPr>
        <w:t xml:space="preserve">private renters </w:t>
      </w:r>
      <w:r w:rsidRPr="00C92F86">
        <w:rPr>
          <w:lang w:val="en-AU"/>
        </w:rPr>
        <w:t xml:space="preserve">and 15% of </w:t>
      </w:r>
      <w:r w:rsidR="000E608D" w:rsidRPr="00C92F86">
        <w:rPr>
          <w:lang w:val="en-AU"/>
        </w:rPr>
        <w:t>owner/buyers</w:t>
      </w:r>
      <w:r w:rsidRPr="00C92F86">
        <w:rPr>
          <w:lang w:val="en-AU"/>
        </w:rPr>
        <w:t xml:space="preserve">.  In 2001, the corresponding proportions were </w:t>
      </w:r>
      <w:r w:rsidR="000E608D" w:rsidRPr="00C92F86">
        <w:rPr>
          <w:lang w:val="en-AU"/>
        </w:rPr>
        <w:t>29%</w:t>
      </w:r>
      <w:r w:rsidRPr="00C92F86">
        <w:rPr>
          <w:lang w:val="en-AU"/>
        </w:rPr>
        <w:t xml:space="preserve">, </w:t>
      </w:r>
      <w:r w:rsidR="000E608D" w:rsidRPr="00C92F86">
        <w:rPr>
          <w:lang w:val="en-AU"/>
        </w:rPr>
        <w:t>16%</w:t>
      </w:r>
      <w:r w:rsidRPr="00C92F86">
        <w:rPr>
          <w:lang w:val="en-AU"/>
        </w:rPr>
        <w:t xml:space="preserve"> and 17%</w:t>
      </w:r>
      <w:r w:rsidR="00CE6E89" w:rsidRPr="00C92F86">
        <w:rPr>
          <w:lang w:val="en-AU"/>
        </w:rPr>
        <w:t xml:space="preserve"> respectively, a</w:t>
      </w:r>
      <w:r w:rsidRPr="00C92F86">
        <w:rPr>
          <w:lang w:val="en-AU"/>
        </w:rPr>
        <w:t xml:space="preserve">nd in 1996 it was </w:t>
      </w:r>
      <w:r w:rsidR="000E608D" w:rsidRPr="00C92F86">
        <w:rPr>
          <w:lang w:val="en-AU"/>
        </w:rPr>
        <w:t>26%</w:t>
      </w:r>
      <w:r w:rsidR="00CE6E89" w:rsidRPr="00C92F86">
        <w:rPr>
          <w:lang w:val="en-AU"/>
        </w:rPr>
        <w:t>, 16% and 21% respectively</w:t>
      </w:r>
      <w:r w:rsidR="000E608D" w:rsidRPr="00C92F86">
        <w:rPr>
          <w:lang w:val="en-AU"/>
        </w:rPr>
        <w:t xml:space="preserve">.  </w:t>
      </w:r>
    </w:p>
    <w:p w14:paraId="5DABA7CF" w14:textId="0F846DA0" w:rsidR="00E11712" w:rsidRDefault="00E11712">
      <w:pPr>
        <w:pStyle w:val="Heading3"/>
        <w:tabs>
          <w:tab w:val="num" w:pos="851"/>
        </w:tabs>
        <w:ind w:left="851" w:hanging="851"/>
        <w:rPr>
          <w:lang w:val="en-AU"/>
        </w:rPr>
      </w:pPr>
      <w:bookmarkStart w:id="233" w:name="_Toc445571721"/>
      <w:bookmarkStart w:id="234" w:name="_Toc439198344"/>
      <w:r>
        <w:rPr>
          <w:lang w:val="en-AU"/>
        </w:rPr>
        <w:lastRenderedPageBreak/>
        <w:t xml:space="preserve">Advice about </w:t>
      </w:r>
      <w:r w:rsidR="007A34C4">
        <w:rPr>
          <w:lang w:val="en-AU"/>
        </w:rPr>
        <w:t xml:space="preserve">the </w:t>
      </w:r>
      <w:r>
        <w:rPr>
          <w:lang w:val="en-AU"/>
        </w:rPr>
        <w:t>Utility Relief Grants Scheme (URGS)</w:t>
      </w:r>
      <w:bookmarkEnd w:id="233"/>
    </w:p>
    <w:p w14:paraId="1456FA13" w14:textId="6482E493" w:rsidR="00E11712" w:rsidRDefault="00E11712" w:rsidP="00E11712">
      <w:pPr>
        <w:pStyle w:val="Para"/>
        <w:rPr>
          <w:lang w:val="en-AU"/>
        </w:rPr>
      </w:pPr>
      <w:r>
        <w:rPr>
          <w:lang w:val="en-AU"/>
        </w:rPr>
        <w:t xml:space="preserve">Those aware of URGS </w:t>
      </w:r>
      <w:r w:rsidR="005A29ED">
        <w:rPr>
          <w:lang w:val="en-AU"/>
        </w:rPr>
        <w:t xml:space="preserve">(n=446) </w:t>
      </w:r>
      <w:r>
        <w:rPr>
          <w:lang w:val="en-AU"/>
        </w:rPr>
        <w:t xml:space="preserve">were asked if they had received advice about URGS from anywhere or anyone.  </w:t>
      </w:r>
      <w:r w:rsidR="00017971">
        <w:rPr>
          <w:lang w:val="en-AU"/>
        </w:rPr>
        <w:t xml:space="preserve">(All percentages quoted in this section are expressed as a proportion of those aware of URGS.) </w:t>
      </w:r>
      <w:r>
        <w:rPr>
          <w:lang w:val="en-AU"/>
        </w:rPr>
        <w:t xml:space="preserve">Nineteen </w:t>
      </w:r>
      <w:r w:rsidR="00B942AA">
        <w:rPr>
          <w:lang w:val="en-AU"/>
        </w:rPr>
        <w:t>per cent</w:t>
      </w:r>
      <w:r>
        <w:rPr>
          <w:lang w:val="en-AU"/>
        </w:rPr>
        <w:t xml:space="preserve"> of those aware of URGS had received advice about the scheme.  Those in concession households (24%) were almost twice as likely </w:t>
      </w:r>
      <w:r w:rsidR="005A29ED">
        <w:rPr>
          <w:lang w:val="en-AU"/>
        </w:rPr>
        <w:t>as</w:t>
      </w:r>
      <w:r>
        <w:rPr>
          <w:lang w:val="en-AU"/>
        </w:rPr>
        <w:t xml:space="preserve"> those in non-concession households (13%) to have received such advice.  Other concession households (34%) were substantially more likely than aged concession households (14%) to have received advice about the scheme.</w:t>
      </w:r>
    </w:p>
    <w:p w14:paraId="732EE35D" w14:textId="77777777" w:rsidR="00E11712" w:rsidRDefault="00E11712" w:rsidP="00E11712">
      <w:pPr>
        <w:pStyle w:val="Para"/>
        <w:rPr>
          <w:lang w:val="en-AU"/>
        </w:rPr>
      </w:pPr>
    </w:p>
    <w:p w14:paraId="40577023" w14:textId="13226D44" w:rsidR="00E11712" w:rsidRDefault="00E11712" w:rsidP="00E11712">
      <w:pPr>
        <w:pStyle w:val="Para"/>
        <w:rPr>
          <w:lang w:val="en-AU"/>
        </w:rPr>
      </w:pPr>
      <w:r>
        <w:rPr>
          <w:lang w:val="en-AU"/>
        </w:rPr>
        <w:t>Households in country Victoria (24%) were more likely than those in Melbourne (18%) to have received advice about URGS.   Public renters (47%) were more likely than private renters (47%) or home owners/buyers (12%) to have received advice about the scheme.</w:t>
      </w:r>
    </w:p>
    <w:p w14:paraId="2AC6936F" w14:textId="77777777" w:rsidR="00536759" w:rsidRDefault="00536759" w:rsidP="00E11712">
      <w:pPr>
        <w:pStyle w:val="Para"/>
        <w:rPr>
          <w:lang w:val="en-AU"/>
        </w:rPr>
      </w:pPr>
    </w:p>
    <w:p w14:paraId="1F12D8FA" w14:textId="311AA585" w:rsidR="00536759" w:rsidRDefault="00536759" w:rsidP="00E11712">
      <w:pPr>
        <w:pStyle w:val="Para"/>
        <w:rPr>
          <w:lang w:val="en-AU"/>
        </w:rPr>
      </w:pPr>
      <w:r>
        <w:rPr>
          <w:lang w:val="en-AU"/>
        </w:rPr>
        <w:t>The question about having received advice about URGS was not asked in this format in previous surveys, so no comparisons have been made.</w:t>
      </w:r>
    </w:p>
    <w:p w14:paraId="7575B49F" w14:textId="77777777" w:rsidR="00E11712" w:rsidRPr="00E11712" w:rsidRDefault="00E11712" w:rsidP="00E11712">
      <w:pPr>
        <w:pStyle w:val="Para"/>
        <w:rPr>
          <w:lang w:val="en-AU"/>
        </w:rPr>
      </w:pPr>
    </w:p>
    <w:p w14:paraId="61BFAE4E" w14:textId="4F9F61E8" w:rsidR="003920D8" w:rsidRPr="00C92F86" w:rsidRDefault="00FA55D7">
      <w:pPr>
        <w:pStyle w:val="Heading3"/>
        <w:tabs>
          <w:tab w:val="num" w:pos="851"/>
        </w:tabs>
        <w:ind w:left="851" w:hanging="851"/>
        <w:rPr>
          <w:lang w:val="en-AU"/>
        </w:rPr>
      </w:pPr>
      <w:bookmarkStart w:id="235" w:name="_Toc445571722"/>
      <w:r w:rsidRPr="00C92F86">
        <w:rPr>
          <w:lang w:val="en-AU"/>
        </w:rPr>
        <w:t>A</w:t>
      </w:r>
      <w:r w:rsidR="00D22632">
        <w:rPr>
          <w:lang w:val="en-AU"/>
        </w:rPr>
        <w:t xml:space="preserve">ssistance through </w:t>
      </w:r>
      <w:r w:rsidR="000E608D" w:rsidRPr="00C92F86">
        <w:rPr>
          <w:lang w:val="en-AU"/>
        </w:rPr>
        <w:t>Utility Relief Grants Scheme (URGS)</w:t>
      </w:r>
      <w:bookmarkEnd w:id="234"/>
      <w:bookmarkEnd w:id="235"/>
    </w:p>
    <w:p w14:paraId="2CF669F1" w14:textId="2CDFB63C" w:rsidR="00CE6E89" w:rsidRPr="00245A3A" w:rsidRDefault="000E608D" w:rsidP="000E608D">
      <w:pPr>
        <w:pStyle w:val="Para"/>
        <w:rPr>
          <w:highlight w:val="yellow"/>
          <w:lang w:val="en-AU"/>
        </w:rPr>
      </w:pPr>
      <w:r w:rsidRPr="00C92F86">
        <w:rPr>
          <w:lang w:val="en-AU"/>
        </w:rPr>
        <w:t xml:space="preserve">Those aware of URGS </w:t>
      </w:r>
      <w:r w:rsidR="00CE6E89" w:rsidRPr="00C92F86">
        <w:rPr>
          <w:lang w:val="en-AU"/>
        </w:rPr>
        <w:t xml:space="preserve">(n=446) </w:t>
      </w:r>
      <w:r w:rsidRPr="00C92F86">
        <w:rPr>
          <w:lang w:val="en-AU"/>
        </w:rPr>
        <w:t xml:space="preserve">were asked if they had ever </w:t>
      </w:r>
      <w:r w:rsidR="00D22632">
        <w:rPr>
          <w:lang w:val="en-AU"/>
        </w:rPr>
        <w:t>received assistance through</w:t>
      </w:r>
      <w:r w:rsidRPr="00C92F86">
        <w:rPr>
          <w:lang w:val="en-AU"/>
        </w:rPr>
        <w:t xml:space="preserve"> </w:t>
      </w:r>
      <w:r w:rsidR="00017971">
        <w:rPr>
          <w:lang w:val="en-AU"/>
        </w:rPr>
        <w:t xml:space="preserve">the </w:t>
      </w:r>
      <w:r w:rsidRPr="00C92F86">
        <w:rPr>
          <w:lang w:val="en-AU"/>
        </w:rPr>
        <w:t>scheme</w:t>
      </w:r>
      <w:r w:rsidR="00570778" w:rsidRPr="00C92F86">
        <w:rPr>
          <w:lang w:val="en-AU"/>
        </w:rPr>
        <w:t xml:space="preserve"> in relation to </w:t>
      </w:r>
      <w:r w:rsidR="00C37D9F">
        <w:rPr>
          <w:lang w:val="en-AU"/>
        </w:rPr>
        <w:t xml:space="preserve">help pay </w:t>
      </w:r>
      <w:r w:rsidR="00570778" w:rsidRPr="00C92F86">
        <w:rPr>
          <w:lang w:val="en-AU"/>
        </w:rPr>
        <w:t xml:space="preserve">their </w:t>
      </w:r>
      <w:r w:rsidRPr="00C92F86">
        <w:rPr>
          <w:lang w:val="en-AU"/>
        </w:rPr>
        <w:t xml:space="preserve">electricity, gas or water bills. </w:t>
      </w:r>
      <w:r w:rsidR="00017971">
        <w:rPr>
          <w:lang w:val="en-AU"/>
        </w:rPr>
        <w:t>(Again, all percentages quoted in this section are expressed as a proportion of those aware of URGS</w:t>
      </w:r>
      <w:r w:rsidR="000D7760">
        <w:rPr>
          <w:rStyle w:val="FootnoteReference"/>
          <w:lang w:val="en-AU"/>
        </w:rPr>
        <w:footnoteReference w:id="18"/>
      </w:r>
      <w:r w:rsidR="00017971">
        <w:rPr>
          <w:lang w:val="en-AU"/>
        </w:rPr>
        <w:t xml:space="preserve">.) </w:t>
      </w:r>
      <w:r w:rsidR="00D22632">
        <w:rPr>
          <w:lang w:val="en-AU"/>
        </w:rPr>
        <w:t>Sixteen</w:t>
      </w:r>
      <w:r w:rsidR="00D22632" w:rsidRPr="00C92F86">
        <w:rPr>
          <w:lang w:val="en-AU"/>
        </w:rPr>
        <w:t xml:space="preserve"> </w:t>
      </w:r>
      <w:r w:rsidR="00E52C75" w:rsidRPr="00C92F86">
        <w:rPr>
          <w:lang w:val="en-AU"/>
        </w:rPr>
        <w:t>per cent</w:t>
      </w:r>
      <w:r w:rsidR="00CE6E89" w:rsidRPr="00C92F86">
        <w:rPr>
          <w:lang w:val="en-AU"/>
        </w:rPr>
        <w:t xml:space="preserve"> of households </w:t>
      </w:r>
      <w:r w:rsidR="00E52C75" w:rsidRPr="00C92F86">
        <w:rPr>
          <w:lang w:val="en-AU"/>
        </w:rPr>
        <w:t xml:space="preserve">that were aware of the URGS scheme </w:t>
      </w:r>
      <w:r w:rsidR="00CE6E89" w:rsidRPr="00C92F86">
        <w:rPr>
          <w:lang w:val="en-AU"/>
        </w:rPr>
        <w:t xml:space="preserve">had </w:t>
      </w:r>
      <w:r w:rsidR="00FA55D7" w:rsidRPr="00C92F86">
        <w:rPr>
          <w:lang w:val="en-AU"/>
        </w:rPr>
        <w:t xml:space="preserve">received </w:t>
      </w:r>
      <w:r w:rsidR="00D22632">
        <w:rPr>
          <w:lang w:val="en-AU"/>
        </w:rPr>
        <w:t>assistance th</w:t>
      </w:r>
      <w:r w:rsidR="00017971">
        <w:rPr>
          <w:lang w:val="en-AU"/>
        </w:rPr>
        <w:t>r</w:t>
      </w:r>
      <w:r w:rsidR="00D22632">
        <w:rPr>
          <w:lang w:val="en-AU"/>
        </w:rPr>
        <w:t>ough</w:t>
      </w:r>
      <w:r w:rsidR="00FA55D7" w:rsidRPr="00C92F86">
        <w:rPr>
          <w:lang w:val="en-AU"/>
        </w:rPr>
        <w:t xml:space="preserve"> </w:t>
      </w:r>
      <w:r w:rsidR="00570778" w:rsidRPr="00C92F86">
        <w:rPr>
          <w:lang w:val="en-AU"/>
        </w:rPr>
        <w:t xml:space="preserve">the </w:t>
      </w:r>
      <w:r w:rsidR="00CE6E89" w:rsidRPr="00C92F86">
        <w:rPr>
          <w:lang w:val="en-AU"/>
        </w:rPr>
        <w:t xml:space="preserve">URGS, </w:t>
      </w:r>
      <w:r w:rsidR="00D22632">
        <w:rPr>
          <w:lang w:val="en-AU"/>
        </w:rPr>
        <w:t xml:space="preserve">a similar proportion to 2007 (18%) </w:t>
      </w:r>
      <w:r w:rsidR="00CE6E89" w:rsidRPr="00C92F86">
        <w:rPr>
          <w:lang w:val="en-AU"/>
        </w:rPr>
        <w:t xml:space="preserve"> (2001:11%; </w:t>
      </w:r>
      <w:r w:rsidR="00D22632">
        <w:rPr>
          <w:lang w:val="en-AU"/>
        </w:rPr>
        <w:t>1996: 7%</w:t>
      </w:r>
      <w:r w:rsidR="00CE6E89" w:rsidRPr="00C92F86">
        <w:rPr>
          <w:lang w:val="en-AU"/>
        </w:rPr>
        <w:t xml:space="preserve">).   </w:t>
      </w:r>
      <w:r w:rsidR="00D22632">
        <w:rPr>
          <w:lang w:val="en-AU"/>
        </w:rPr>
        <w:t>In 2014, 16% of households in Melbourne had been assisted through the scheme, compared with 17% of households located in country Victoria</w:t>
      </w:r>
      <w:r w:rsidR="00CE6E89" w:rsidRPr="00C92F86">
        <w:rPr>
          <w:lang w:val="en-AU"/>
        </w:rPr>
        <w:t>.</w:t>
      </w:r>
    </w:p>
    <w:p w14:paraId="044B1A12" w14:textId="77777777" w:rsidR="00004F59" w:rsidRPr="00245A3A" w:rsidRDefault="00004F59" w:rsidP="000E608D">
      <w:pPr>
        <w:pStyle w:val="Para"/>
        <w:rPr>
          <w:highlight w:val="yellow"/>
          <w:lang w:val="en-AU"/>
        </w:rPr>
      </w:pPr>
    </w:p>
    <w:p w14:paraId="5033DE02" w14:textId="724BCDFE" w:rsidR="00570778" w:rsidRPr="00C92F86" w:rsidRDefault="00004F59" w:rsidP="000E608D">
      <w:pPr>
        <w:pStyle w:val="Para"/>
        <w:rPr>
          <w:lang w:val="en-AU"/>
        </w:rPr>
      </w:pPr>
      <w:r w:rsidRPr="00C92F86">
        <w:rPr>
          <w:lang w:val="en-AU"/>
        </w:rPr>
        <w:t xml:space="preserve">A considerably higher proportion of concession households aware of the scheme had </w:t>
      </w:r>
      <w:r w:rsidR="00E52C75" w:rsidRPr="00C92F86">
        <w:rPr>
          <w:lang w:val="en-AU"/>
        </w:rPr>
        <w:t xml:space="preserve">ever </w:t>
      </w:r>
      <w:r w:rsidRPr="00C92F86">
        <w:rPr>
          <w:lang w:val="en-AU"/>
        </w:rPr>
        <w:t>received a</w:t>
      </w:r>
      <w:r w:rsidR="00C37D9F">
        <w:rPr>
          <w:lang w:val="en-AU"/>
        </w:rPr>
        <w:t>ssistance through</w:t>
      </w:r>
      <w:r w:rsidR="00FA55D7" w:rsidRPr="00C92F86">
        <w:rPr>
          <w:lang w:val="en-AU"/>
        </w:rPr>
        <w:t xml:space="preserve"> the scheme</w:t>
      </w:r>
      <w:r w:rsidRPr="00C92F86">
        <w:rPr>
          <w:lang w:val="en-AU"/>
        </w:rPr>
        <w:t>, compared with non-concession households</w:t>
      </w:r>
      <w:r w:rsidRPr="009748AD">
        <w:rPr>
          <w:rStyle w:val="CommentReference"/>
          <w:sz w:val="20"/>
          <w:vertAlign w:val="superscript"/>
          <w:lang w:val="en-AU"/>
        </w:rPr>
        <w:footnoteReference w:id="19"/>
      </w:r>
      <w:r w:rsidRPr="00C92F86">
        <w:rPr>
          <w:lang w:val="en-AU"/>
        </w:rPr>
        <w:t xml:space="preserve"> (2</w:t>
      </w:r>
      <w:r w:rsidR="00D22632">
        <w:rPr>
          <w:lang w:val="en-AU"/>
        </w:rPr>
        <w:t>2</w:t>
      </w:r>
      <w:r w:rsidRPr="00C92F86">
        <w:rPr>
          <w:lang w:val="en-AU"/>
        </w:rPr>
        <w:t>% compared with 1</w:t>
      </w:r>
      <w:r w:rsidR="00D22632">
        <w:rPr>
          <w:lang w:val="en-AU"/>
        </w:rPr>
        <w:t>8</w:t>
      </w:r>
      <w:r w:rsidRPr="00C92F86">
        <w:rPr>
          <w:lang w:val="en-AU"/>
        </w:rPr>
        <w:t xml:space="preserve">%), which was </w:t>
      </w:r>
      <w:r w:rsidR="009333D6">
        <w:rPr>
          <w:lang w:val="en-AU"/>
        </w:rPr>
        <w:t xml:space="preserve">broadly </w:t>
      </w:r>
      <w:r w:rsidRPr="00C92F86">
        <w:rPr>
          <w:lang w:val="en-AU"/>
        </w:rPr>
        <w:t>consistent with the result in 2007 (</w:t>
      </w:r>
      <w:r w:rsidR="000E608D" w:rsidRPr="00C92F86">
        <w:rPr>
          <w:lang w:val="en-AU"/>
        </w:rPr>
        <w:t xml:space="preserve">27% compared with 8%). </w:t>
      </w:r>
      <w:r w:rsidR="00570778" w:rsidRPr="00C92F86">
        <w:rPr>
          <w:lang w:val="en-AU"/>
        </w:rPr>
        <w:t xml:space="preserve"> One third (</w:t>
      </w:r>
      <w:r w:rsidR="009333D6" w:rsidRPr="00C92F86">
        <w:rPr>
          <w:lang w:val="en-AU"/>
        </w:rPr>
        <w:t>3</w:t>
      </w:r>
      <w:r w:rsidR="009333D6">
        <w:rPr>
          <w:lang w:val="en-AU"/>
        </w:rPr>
        <w:t>5</w:t>
      </w:r>
      <w:r w:rsidR="00570778" w:rsidRPr="00C92F86">
        <w:rPr>
          <w:lang w:val="en-AU"/>
        </w:rPr>
        <w:t xml:space="preserve">%) </w:t>
      </w:r>
      <w:r w:rsidR="00570778" w:rsidRPr="00C92F86">
        <w:rPr>
          <w:lang w:val="en-AU"/>
        </w:rPr>
        <w:lastRenderedPageBreak/>
        <w:t xml:space="preserve">of other concession households aware of the scheme had </w:t>
      </w:r>
      <w:r w:rsidR="00E52C75" w:rsidRPr="00C92F86">
        <w:rPr>
          <w:lang w:val="en-AU"/>
        </w:rPr>
        <w:t xml:space="preserve">ever </w:t>
      </w:r>
      <w:r w:rsidR="00570778" w:rsidRPr="00C92F86">
        <w:rPr>
          <w:lang w:val="en-AU"/>
        </w:rPr>
        <w:t>received a</w:t>
      </w:r>
      <w:r w:rsidR="00C37D9F">
        <w:rPr>
          <w:lang w:val="en-AU"/>
        </w:rPr>
        <w:t>ssistance through</w:t>
      </w:r>
      <w:r w:rsidR="00FA55D7" w:rsidRPr="00C92F86">
        <w:rPr>
          <w:lang w:val="en-AU"/>
        </w:rPr>
        <w:t xml:space="preserve"> the URGS</w:t>
      </w:r>
      <w:r w:rsidR="00570778" w:rsidRPr="00C92F86">
        <w:rPr>
          <w:lang w:val="en-AU"/>
        </w:rPr>
        <w:t xml:space="preserve">, compared with </w:t>
      </w:r>
      <w:r w:rsidR="009333D6">
        <w:rPr>
          <w:lang w:val="en-AU"/>
        </w:rPr>
        <w:t>8</w:t>
      </w:r>
      <w:r w:rsidR="00570778" w:rsidRPr="00C92F86">
        <w:rPr>
          <w:lang w:val="en-AU"/>
        </w:rPr>
        <w:t>% of aged concession households aware of URGS.  Th</w:t>
      </w:r>
      <w:r w:rsidR="009333D6">
        <w:rPr>
          <w:lang w:val="en-AU"/>
        </w:rPr>
        <w:t>e corresponding figures in 2007 were 41% and 9% respectively, compared with 13% and 5% in 2001 and 13% and 2% in 1996.</w:t>
      </w:r>
    </w:p>
    <w:p w14:paraId="70D8D8C7" w14:textId="77777777" w:rsidR="000E608D" w:rsidRPr="00245A3A" w:rsidRDefault="000E608D" w:rsidP="000E608D">
      <w:pPr>
        <w:pStyle w:val="Para"/>
        <w:rPr>
          <w:highlight w:val="yellow"/>
          <w:lang w:val="en-AU"/>
        </w:rPr>
      </w:pPr>
    </w:p>
    <w:p w14:paraId="4A013344" w14:textId="2BABD173" w:rsidR="000E608D" w:rsidRPr="00212261" w:rsidRDefault="00E11712" w:rsidP="00C67BF5">
      <w:pPr>
        <w:pStyle w:val="Para"/>
        <w:rPr>
          <w:lang w:val="en-AU"/>
        </w:rPr>
      </w:pPr>
      <w:r>
        <w:rPr>
          <w:lang w:val="en-AU"/>
        </w:rPr>
        <w:t>In 2014, o</w:t>
      </w:r>
      <w:r w:rsidR="00570778" w:rsidRPr="00C92F86">
        <w:rPr>
          <w:lang w:val="en-AU"/>
        </w:rPr>
        <w:t>ne-half of public sector renters who were aware of URGS reported</w:t>
      </w:r>
      <w:r w:rsidR="00FA55D7" w:rsidRPr="00C92F86">
        <w:rPr>
          <w:lang w:val="en-AU"/>
        </w:rPr>
        <w:t xml:space="preserve"> </w:t>
      </w:r>
      <w:r w:rsidR="00E52C75" w:rsidRPr="00C92F86">
        <w:rPr>
          <w:lang w:val="en-AU"/>
        </w:rPr>
        <w:t xml:space="preserve">ever </w:t>
      </w:r>
      <w:r w:rsidR="00FA55D7" w:rsidRPr="00C92F86">
        <w:rPr>
          <w:lang w:val="en-AU"/>
        </w:rPr>
        <w:t>receiving a</w:t>
      </w:r>
      <w:r w:rsidR="00C37D9F">
        <w:rPr>
          <w:lang w:val="en-AU"/>
        </w:rPr>
        <w:t>ssistance through</w:t>
      </w:r>
      <w:r w:rsidR="00FA55D7" w:rsidRPr="00C92F86">
        <w:rPr>
          <w:lang w:val="en-AU"/>
        </w:rPr>
        <w:t xml:space="preserve"> the scheme</w:t>
      </w:r>
      <w:r w:rsidR="00570778" w:rsidRPr="00C92F86">
        <w:rPr>
          <w:lang w:val="en-AU"/>
        </w:rPr>
        <w:t xml:space="preserve"> (</w:t>
      </w:r>
      <w:r>
        <w:rPr>
          <w:lang w:val="en-AU"/>
        </w:rPr>
        <w:t>53</w:t>
      </w:r>
      <w:r w:rsidR="00570778" w:rsidRPr="00C92F86">
        <w:rPr>
          <w:lang w:val="en-AU"/>
        </w:rPr>
        <w:t xml:space="preserve">%), as </w:t>
      </w:r>
      <w:r w:rsidR="00986D99" w:rsidRPr="00C92F86">
        <w:rPr>
          <w:lang w:val="en-AU"/>
        </w:rPr>
        <w:t>did</w:t>
      </w:r>
      <w:r w:rsidR="00570778" w:rsidRPr="00C92F86">
        <w:rPr>
          <w:lang w:val="en-AU"/>
        </w:rPr>
        <w:t xml:space="preserve"> </w:t>
      </w:r>
      <w:r>
        <w:rPr>
          <w:lang w:val="en-AU"/>
        </w:rPr>
        <w:t>27</w:t>
      </w:r>
      <w:r w:rsidR="00570778" w:rsidRPr="00C92F86">
        <w:rPr>
          <w:lang w:val="en-AU"/>
        </w:rPr>
        <w:t xml:space="preserve">% of private renters and </w:t>
      </w:r>
      <w:r>
        <w:rPr>
          <w:lang w:val="en-AU"/>
        </w:rPr>
        <w:t>8</w:t>
      </w:r>
      <w:r w:rsidR="00570778" w:rsidRPr="00C92F86">
        <w:rPr>
          <w:lang w:val="en-AU"/>
        </w:rPr>
        <w:t xml:space="preserve">% of home owner/buyers.  These proportions </w:t>
      </w:r>
      <w:r>
        <w:rPr>
          <w:lang w:val="en-AU"/>
        </w:rPr>
        <w:t>were</w:t>
      </w:r>
      <w:r w:rsidR="00570778" w:rsidRPr="00C92F86">
        <w:rPr>
          <w:lang w:val="en-AU"/>
        </w:rPr>
        <w:t xml:space="preserve"> similar to those of 2007</w:t>
      </w:r>
      <w:r w:rsidR="00C67BF5" w:rsidRPr="00C92F86">
        <w:rPr>
          <w:lang w:val="en-AU"/>
        </w:rPr>
        <w:t xml:space="preserve"> (49%, 36% and 9% respectively).</w:t>
      </w:r>
      <w:r w:rsidR="00C67BF5">
        <w:rPr>
          <w:lang w:val="en-AU"/>
        </w:rPr>
        <w:t xml:space="preserve">  </w:t>
      </w:r>
    </w:p>
    <w:p w14:paraId="2B18A3FA" w14:textId="77777777" w:rsidR="00BB011A" w:rsidRPr="00212261" w:rsidRDefault="00BB011A" w:rsidP="000E608D">
      <w:pPr>
        <w:pStyle w:val="Para"/>
        <w:rPr>
          <w:lang w:val="en-AU"/>
        </w:rPr>
      </w:pPr>
    </w:p>
    <w:p w14:paraId="2BDCF0BB" w14:textId="77777777" w:rsidR="00D22632" w:rsidRDefault="00D22632">
      <w:pPr>
        <w:spacing w:before="0" w:after="0"/>
        <w:rPr>
          <w:sz w:val="20"/>
          <w:lang w:val="en-AU"/>
        </w:rPr>
      </w:pPr>
    </w:p>
    <w:p w14:paraId="6B57735A" w14:textId="77777777" w:rsidR="00B8540E" w:rsidRDefault="00B8540E">
      <w:pPr>
        <w:spacing w:before="0" w:after="0"/>
        <w:rPr>
          <w:sz w:val="20"/>
          <w:lang w:val="en-AU"/>
        </w:rPr>
      </w:pPr>
      <w:r>
        <w:rPr>
          <w:sz w:val="20"/>
          <w:lang w:val="en-AU"/>
        </w:rPr>
        <w:br w:type="page"/>
      </w:r>
    </w:p>
    <w:p w14:paraId="14F1331E" w14:textId="14CFFDC1" w:rsidR="00B8540E" w:rsidRDefault="00554F93" w:rsidP="00B8540E">
      <w:pPr>
        <w:pStyle w:val="Heading1"/>
      </w:pPr>
      <w:bookmarkStart w:id="236" w:name="_Toc445571723"/>
      <w:r>
        <w:lastRenderedPageBreak/>
        <w:t>GLOSSARY</w:t>
      </w:r>
      <w:bookmarkEnd w:id="236"/>
    </w:p>
    <w:p w14:paraId="0442BD46" w14:textId="77777777" w:rsidR="00B8540E" w:rsidRDefault="00B8540E" w:rsidP="00B8540E">
      <w:pPr>
        <w:pStyle w:val="Para"/>
      </w:pPr>
    </w:p>
    <w:p w14:paraId="0F63E2D3" w14:textId="77777777" w:rsidR="005A6468" w:rsidRDefault="005A6468" w:rsidP="005A6468">
      <w:pPr>
        <w:pStyle w:val="Para"/>
      </w:pPr>
      <w:r>
        <w:rPr>
          <w:b/>
        </w:rPr>
        <w:t>Aged Pension</w:t>
      </w:r>
      <w:r w:rsidR="00A07A3D">
        <w:rPr>
          <w:b/>
        </w:rPr>
        <w:t>er</w:t>
      </w:r>
      <w:r>
        <w:rPr>
          <w:b/>
        </w:rPr>
        <w:t xml:space="preserve"> Concession Card – </w:t>
      </w:r>
      <w:r w:rsidRPr="005A6468">
        <w:t xml:space="preserve">DHS/Centrelink Pensioner Concession Card </w:t>
      </w:r>
      <w:r>
        <w:t>(</w:t>
      </w:r>
      <w:r w:rsidRPr="005A6468">
        <w:t>aged pensioner</w:t>
      </w:r>
      <w:r>
        <w:t xml:space="preserve">) </w:t>
      </w:r>
      <w:r w:rsidRPr="005A6468">
        <w:rPr>
          <w:u w:val="single"/>
        </w:rPr>
        <w:t>or</w:t>
      </w:r>
      <w:r>
        <w:t xml:space="preserve"> DVA Pensioner Concession Card (aged pensioner)</w:t>
      </w:r>
    </w:p>
    <w:p w14:paraId="06017B91" w14:textId="77777777" w:rsidR="005A6468" w:rsidRDefault="005A6468" w:rsidP="00B8540E">
      <w:pPr>
        <w:pStyle w:val="Para"/>
        <w:rPr>
          <w:b/>
        </w:rPr>
      </w:pPr>
      <w:r>
        <w:rPr>
          <w:b/>
        </w:rPr>
        <w:t xml:space="preserve"> </w:t>
      </w:r>
    </w:p>
    <w:p w14:paraId="01EE2506" w14:textId="7AC6A2B6" w:rsidR="00B8540E" w:rsidRDefault="00B8540E" w:rsidP="00B8540E">
      <w:pPr>
        <w:pStyle w:val="Para"/>
      </w:pPr>
      <w:r w:rsidRPr="00B8540E">
        <w:rPr>
          <w:b/>
        </w:rPr>
        <w:t>Compulsory Instalment</w:t>
      </w:r>
      <w:r>
        <w:t xml:space="preserve"> – </w:t>
      </w:r>
      <w:r w:rsidR="007A34C4">
        <w:t>F</w:t>
      </w:r>
      <w:r>
        <w:t xml:space="preserve">ormal repayment arrangement with supplier, designed to clear </w:t>
      </w:r>
      <w:r w:rsidRPr="00B8540E">
        <w:rPr>
          <w:u w:val="single"/>
        </w:rPr>
        <w:t>arrears</w:t>
      </w:r>
      <w:r>
        <w:t xml:space="preserve">.  Does not include instalment option provided to customers for repayment of </w:t>
      </w:r>
      <w:r w:rsidRPr="00B8540E">
        <w:rPr>
          <w:u w:val="single"/>
        </w:rPr>
        <w:t>current</w:t>
      </w:r>
      <w:r>
        <w:t xml:space="preserve"> charges over an extended period. </w:t>
      </w:r>
    </w:p>
    <w:p w14:paraId="280F0543" w14:textId="77777777" w:rsidR="001C4358" w:rsidRDefault="001C4358" w:rsidP="00B8540E">
      <w:pPr>
        <w:pStyle w:val="Para"/>
      </w:pPr>
    </w:p>
    <w:p w14:paraId="6349AA04" w14:textId="2F30DBFE" w:rsidR="001C4358" w:rsidRDefault="001C4358" w:rsidP="001C4358">
      <w:pPr>
        <w:pStyle w:val="Para"/>
      </w:pPr>
      <w:r w:rsidRPr="00B56DF7">
        <w:rPr>
          <w:b/>
        </w:rPr>
        <w:t>Controlled load electricity charge/consumption</w:t>
      </w:r>
      <w:r w:rsidRPr="00B56DF7">
        <w:t xml:space="preserve"> – </w:t>
      </w:r>
      <w:r w:rsidR="00CC0A88" w:rsidRPr="00B56DF7">
        <w:t>Controlled</w:t>
      </w:r>
      <w:r w:rsidR="00CC0A88" w:rsidRPr="00162EF6">
        <w:t xml:space="preserve"> load charges apply to separately metered electric hot water or slab heating which is measured via a dual element electricity meter or dual element smart meter. These tariffs are usually shown as ‘controlled load’ or ‘dedicated circuit’ tariffs.</w:t>
      </w:r>
    </w:p>
    <w:p w14:paraId="1C0C41A8" w14:textId="77777777" w:rsidR="005A6468" w:rsidRDefault="005A6468" w:rsidP="00B8540E">
      <w:pPr>
        <w:pStyle w:val="Para"/>
      </w:pPr>
    </w:p>
    <w:p w14:paraId="1D3F9A95" w14:textId="77777777" w:rsidR="005A6468" w:rsidRDefault="005A6468" w:rsidP="00B8540E">
      <w:pPr>
        <w:pStyle w:val="Para"/>
      </w:pPr>
      <w:r w:rsidRPr="005A6468">
        <w:rPr>
          <w:b/>
        </w:rPr>
        <w:t>DVA Gold Card</w:t>
      </w:r>
      <w:r>
        <w:t xml:space="preserve"> – DVA Gold Health Card (for all conditions) </w:t>
      </w:r>
      <w:r w:rsidRPr="005A6468">
        <w:rPr>
          <w:u w:val="single"/>
        </w:rPr>
        <w:t>or</w:t>
      </w:r>
      <w:r>
        <w:t xml:space="preserve"> DVA Gold Health Card (for total and permanent incapacitation)</w:t>
      </w:r>
    </w:p>
    <w:p w14:paraId="2C1A03B9" w14:textId="77777777" w:rsidR="005A6468" w:rsidRDefault="005A6468" w:rsidP="00B8540E">
      <w:pPr>
        <w:pStyle w:val="Para"/>
      </w:pPr>
    </w:p>
    <w:p w14:paraId="39AF7F00" w14:textId="77777777" w:rsidR="005A6468" w:rsidRDefault="005A6468" w:rsidP="00B8540E">
      <w:pPr>
        <w:pStyle w:val="Para"/>
      </w:pPr>
      <w:r w:rsidRPr="005A6468">
        <w:rPr>
          <w:b/>
        </w:rPr>
        <w:t>Health Care Card</w:t>
      </w:r>
      <w:r>
        <w:t xml:space="preserve"> – DHS/Centrelink Health Care Card</w:t>
      </w:r>
    </w:p>
    <w:p w14:paraId="1CA8060F" w14:textId="77777777" w:rsidR="005A6468" w:rsidRDefault="005A6468" w:rsidP="00B8540E">
      <w:pPr>
        <w:pStyle w:val="Para"/>
      </w:pPr>
    </w:p>
    <w:p w14:paraId="74FD25DE" w14:textId="77777777" w:rsidR="005A6468" w:rsidRDefault="005A6468" w:rsidP="00B8540E">
      <w:pPr>
        <w:pStyle w:val="Para"/>
      </w:pPr>
      <w:r w:rsidRPr="005A6468">
        <w:rPr>
          <w:b/>
        </w:rPr>
        <w:t xml:space="preserve">Non-Aged </w:t>
      </w:r>
      <w:r w:rsidR="00A07A3D">
        <w:rPr>
          <w:b/>
        </w:rPr>
        <w:t xml:space="preserve">Pensioner </w:t>
      </w:r>
      <w:r w:rsidRPr="005A6468">
        <w:rPr>
          <w:b/>
        </w:rPr>
        <w:t>Concession Card</w:t>
      </w:r>
      <w:r>
        <w:t xml:space="preserve"> - </w:t>
      </w:r>
      <w:r w:rsidRPr="005A6468">
        <w:t xml:space="preserve">DHS/Centrelink Pensioner Concession Card </w:t>
      </w:r>
      <w:r>
        <w:t>(non-</w:t>
      </w:r>
      <w:r w:rsidRPr="005A6468">
        <w:t>aged pensioner</w:t>
      </w:r>
      <w:r>
        <w:t xml:space="preserve">) </w:t>
      </w:r>
      <w:r w:rsidRPr="005A6468">
        <w:rPr>
          <w:u w:val="single"/>
        </w:rPr>
        <w:t>or</w:t>
      </w:r>
      <w:r>
        <w:t xml:space="preserve"> DVA Pensioner Concession Card (non-aged pensioner)</w:t>
      </w:r>
    </w:p>
    <w:p w14:paraId="2EA2AD3C" w14:textId="77777777" w:rsidR="001C4358" w:rsidRDefault="001C4358" w:rsidP="00B8540E">
      <w:pPr>
        <w:pStyle w:val="Para"/>
      </w:pPr>
    </w:p>
    <w:p w14:paraId="31DCACBE" w14:textId="007466AF" w:rsidR="001C4358" w:rsidRDefault="001C4358" w:rsidP="001C4358">
      <w:pPr>
        <w:pStyle w:val="Para"/>
      </w:pPr>
      <w:r w:rsidRPr="00B56DF7">
        <w:rPr>
          <w:b/>
        </w:rPr>
        <w:t>Off-Peak electricity charge/consumption</w:t>
      </w:r>
      <w:r w:rsidRPr="00B56DF7">
        <w:t xml:space="preserve"> – </w:t>
      </w:r>
      <w:r w:rsidR="00CC0A88" w:rsidRPr="00B56DF7">
        <w:t>Off</w:t>
      </w:r>
      <w:r w:rsidR="00CC0A88" w:rsidRPr="00162EF6">
        <w:t>-peak refers to lower, discounted electricity prices during specific times.  Off-peak times are generally when residential homes and businesses use less electricity.  Off-peak times vary depending on location and meter type, but typically are at night and/or weekends.</w:t>
      </w:r>
    </w:p>
    <w:p w14:paraId="79DBB59C" w14:textId="77777777" w:rsidR="00B8540E" w:rsidRPr="00853129" w:rsidRDefault="00B8540E">
      <w:pPr>
        <w:spacing w:before="20" w:after="20"/>
        <w:rPr>
          <w:szCs w:val="24"/>
          <w:lang w:val="en-AU"/>
        </w:rPr>
      </w:pPr>
    </w:p>
    <w:p w14:paraId="7CD31189" w14:textId="315D1023" w:rsidR="00B8540E" w:rsidRPr="003E07CA" w:rsidRDefault="00B8540E">
      <w:pPr>
        <w:spacing w:before="20" w:after="20"/>
        <w:rPr>
          <w:szCs w:val="24"/>
        </w:rPr>
      </w:pPr>
      <w:r w:rsidRPr="00853129">
        <w:rPr>
          <w:b/>
          <w:szCs w:val="24"/>
          <w:lang w:val="en-AU"/>
        </w:rPr>
        <w:lastRenderedPageBreak/>
        <w:t xml:space="preserve">Parks </w:t>
      </w:r>
      <w:r w:rsidR="002904DD">
        <w:rPr>
          <w:b/>
          <w:szCs w:val="24"/>
          <w:lang w:val="en-AU"/>
        </w:rPr>
        <w:t>c</w:t>
      </w:r>
      <w:r w:rsidRPr="00853129">
        <w:rPr>
          <w:b/>
          <w:szCs w:val="24"/>
          <w:lang w:val="en-AU"/>
        </w:rPr>
        <w:t>harge</w:t>
      </w:r>
      <w:r w:rsidRPr="00853129">
        <w:rPr>
          <w:szCs w:val="24"/>
          <w:lang w:val="en-AU"/>
        </w:rPr>
        <w:t xml:space="preserve"> – </w:t>
      </w:r>
      <w:r w:rsidR="000E0AA3" w:rsidRPr="00853129">
        <w:rPr>
          <w:szCs w:val="24"/>
          <w:lang w:val="en-AU"/>
        </w:rPr>
        <w:t xml:space="preserve">Charge applied annually </w:t>
      </w:r>
      <w:r w:rsidRPr="00167222">
        <w:rPr>
          <w:szCs w:val="24"/>
        </w:rPr>
        <w:t>by some (but not all), water suppliers on behalf of t</w:t>
      </w:r>
      <w:r w:rsidR="000E0AA3" w:rsidRPr="00167222">
        <w:rPr>
          <w:szCs w:val="24"/>
        </w:rPr>
        <w:t>h</w:t>
      </w:r>
      <w:r w:rsidRPr="00656199">
        <w:rPr>
          <w:szCs w:val="24"/>
        </w:rPr>
        <w:t xml:space="preserve">e Department of </w:t>
      </w:r>
      <w:r w:rsidR="000E0AA3" w:rsidRPr="00656199">
        <w:rPr>
          <w:szCs w:val="24"/>
        </w:rPr>
        <w:t xml:space="preserve">Environment </w:t>
      </w:r>
      <w:r w:rsidRPr="000457E6">
        <w:rPr>
          <w:szCs w:val="24"/>
        </w:rPr>
        <w:t>Land, Water &amp; Planning,</w:t>
      </w:r>
      <w:r w:rsidRPr="003E07CA">
        <w:rPr>
          <w:szCs w:val="24"/>
        </w:rPr>
        <w:t xml:space="preserve">  Funds raised go to Parks Victoria, Zoos Victoria, the Royal Botanic Gardens and the Shrine of Remembrance for the development, management and maintenance of metropolitan parks, gardens, trails, waterways, and zoos. </w:t>
      </w:r>
    </w:p>
    <w:p w14:paraId="4854BC51" w14:textId="77777777" w:rsidR="001C4358" w:rsidRPr="00705E2B" w:rsidRDefault="001C4358">
      <w:pPr>
        <w:spacing w:before="20" w:after="20"/>
        <w:rPr>
          <w:szCs w:val="24"/>
        </w:rPr>
      </w:pPr>
    </w:p>
    <w:p w14:paraId="75C93987" w14:textId="0C93FF06" w:rsidR="001C4358" w:rsidRPr="009007DD" w:rsidRDefault="001C4358" w:rsidP="001C4358">
      <w:pPr>
        <w:pStyle w:val="Para"/>
        <w:rPr>
          <w:szCs w:val="24"/>
        </w:rPr>
      </w:pPr>
      <w:r w:rsidRPr="009007DD">
        <w:rPr>
          <w:b/>
          <w:szCs w:val="24"/>
        </w:rPr>
        <w:t>Peak electricity charge/consumption</w:t>
      </w:r>
      <w:r w:rsidRPr="009007DD">
        <w:rPr>
          <w:szCs w:val="24"/>
        </w:rPr>
        <w:t xml:space="preserve"> – </w:t>
      </w:r>
      <w:r w:rsidR="00CC0A88" w:rsidRPr="009748AD">
        <w:rPr>
          <w:szCs w:val="24"/>
          <w:shd w:val="clear" w:color="auto" w:fill="FFFFFF"/>
        </w:rPr>
        <w:t>The price of electricity is higher during the 'peak' times, typically on weekday afternoons and evenings, when the demand for electricity is the highest.</w:t>
      </w:r>
    </w:p>
    <w:p w14:paraId="43B0E289" w14:textId="77777777" w:rsidR="001C4358" w:rsidRPr="009007DD" w:rsidRDefault="001C4358" w:rsidP="001C4358">
      <w:pPr>
        <w:pStyle w:val="Para"/>
        <w:rPr>
          <w:szCs w:val="24"/>
        </w:rPr>
      </w:pPr>
    </w:p>
    <w:p w14:paraId="73EF6A39" w14:textId="24AB4C8B" w:rsidR="001C4358" w:rsidRPr="009007DD" w:rsidRDefault="001C4358" w:rsidP="001C4358">
      <w:pPr>
        <w:pStyle w:val="Para"/>
        <w:rPr>
          <w:szCs w:val="24"/>
        </w:rPr>
      </w:pPr>
      <w:r w:rsidRPr="009007DD">
        <w:rPr>
          <w:b/>
          <w:szCs w:val="24"/>
        </w:rPr>
        <w:t>Shoulder electricity charge/consumption</w:t>
      </w:r>
      <w:r w:rsidRPr="009007DD">
        <w:rPr>
          <w:szCs w:val="24"/>
        </w:rPr>
        <w:t xml:space="preserve"> – </w:t>
      </w:r>
      <w:r w:rsidR="00CC0A88" w:rsidRPr="009748AD">
        <w:rPr>
          <w:szCs w:val="24"/>
          <w:shd w:val="clear" w:color="auto" w:fill="FFFFFF"/>
        </w:rPr>
        <w:t>The price of electricity during shoulder periods is lower than the peak rate and higher than the off-peak rate.</w:t>
      </w:r>
    </w:p>
    <w:p w14:paraId="42CAFF59" w14:textId="77777777" w:rsidR="00B8540E" w:rsidRPr="00162EF6" w:rsidRDefault="00B8540E">
      <w:pPr>
        <w:spacing w:before="20" w:after="20"/>
        <w:rPr>
          <w:szCs w:val="24"/>
          <w:lang w:val="en-AU"/>
        </w:rPr>
      </w:pPr>
    </w:p>
    <w:p w14:paraId="66DD9658" w14:textId="5A40D778" w:rsidR="00EA0ACB" w:rsidRPr="00212261" w:rsidRDefault="001C4358" w:rsidP="00B56DF7">
      <w:pPr>
        <w:spacing w:before="20" w:after="20"/>
        <w:rPr>
          <w:sz w:val="56"/>
          <w:lang w:val="en-AU"/>
        </w:rPr>
      </w:pPr>
      <w:r w:rsidRPr="00853129">
        <w:rPr>
          <w:b/>
          <w:szCs w:val="24"/>
          <w:lang w:val="en-AU"/>
        </w:rPr>
        <w:t>Total electricity charge/consumption</w:t>
      </w:r>
      <w:r w:rsidRPr="00853129">
        <w:rPr>
          <w:szCs w:val="24"/>
          <w:lang w:val="en-AU"/>
        </w:rPr>
        <w:t xml:space="preserve"> – </w:t>
      </w:r>
      <w:r w:rsidR="007A34C4">
        <w:rPr>
          <w:szCs w:val="24"/>
          <w:lang w:val="en-AU"/>
        </w:rPr>
        <w:t>S</w:t>
      </w:r>
      <w:r w:rsidRPr="00853129">
        <w:rPr>
          <w:szCs w:val="24"/>
          <w:lang w:val="en-AU"/>
        </w:rPr>
        <w:t>um of (as applicable) general</w:t>
      </w:r>
      <w:r>
        <w:rPr>
          <w:szCs w:val="24"/>
          <w:lang w:val="en-AU"/>
        </w:rPr>
        <w:t>, off-peak, peak, shoulder and controlled load charge/consumption</w:t>
      </w:r>
      <w:r w:rsidR="00B56DF7">
        <w:rPr>
          <w:szCs w:val="24"/>
          <w:lang w:val="en-AU"/>
        </w:rPr>
        <w:t>.</w:t>
      </w:r>
    </w:p>
    <w:sectPr w:rsidR="00EA0ACB" w:rsidRPr="00212261" w:rsidSect="003561A9">
      <w:headerReference w:type="default" r:id="rId33"/>
      <w:footerReference w:type="default" r:id="rId34"/>
      <w:footnotePr>
        <w:numRestart w:val="eachPage"/>
      </w:footnotePr>
      <w:pgSz w:w="16840" w:h="11907" w:orient="landscape" w:code="9"/>
      <w:pgMar w:top="1701" w:right="1418" w:bottom="1418" w:left="851" w:header="851" w:footer="17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D0921" w14:textId="77777777" w:rsidR="00665605" w:rsidRDefault="00665605">
      <w:r>
        <w:separator/>
      </w:r>
    </w:p>
  </w:endnote>
  <w:endnote w:type="continuationSeparator" w:id="0">
    <w:p w14:paraId="07C6C1F6" w14:textId="77777777" w:rsidR="00665605" w:rsidRDefault="0066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6E28" w14:textId="77777777" w:rsidR="00C32523" w:rsidRDefault="00C3252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DDA5" w14:textId="0BD04805" w:rsidR="00665605" w:rsidRDefault="00665605" w:rsidP="00951624">
    <w:pPr>
      <w:pBdr>
        <w:top w:val="single" w:sz="6" w:space="10" w:color="auto"/>
      </w:pBdr>
      <w:tabs>
        <w:tab w:val="center" w:pos="4395"/>
        <w:tab w:val="right" w:pos="14601"/>
      </w:tabs>
      <w:ind w:left="-284"/>
      <w:rPr>
        <w:b/>
        <w:i/>
        <w:sz w:val="20"/>
      </w:rPr>
    </w:pPr>
    <w:r>
      <w:rPr>
        <w:b/>
        <w:i/>
        <w:sz w:val="20"/>
      </w:rPr>
      <w:t>Roy Morgan Research</w:t>
    </w:r>
    <w:r>
      <w:rPr>
        <w:b/>
        <w:i/>
        <w:sz w:val="20"/>
      </w:rPr>
      <w:tab/>
    </w:r>
    <w:r>
      <w:rPr>
        <w:b/>
        <w:i/>
        <w:sz w:val="20"/>
      </w:rPr>
      <w:tab/>
    </w:r>
    <w:r>
      <w:rPr>
        <w:b/>
        <w:i/>
        <w:sz w:val="20"/>
      </w:rPr>
      <w:fldChar w:fldCharType="begin"/>
    </w:r>
    <w:r>
      <w:rPr>
        <w:b/>
        <w:i/>
        <w:sz w:val="20"/>
      </w:rPr>
      <w:instrText xml:space="preserve"> DATE \@ "MMMM, yyyy" \* MERGEFORMAT </w:instrText>
    </w:r>
    <w:r>
      <w:rPr>
        <w:b/>
        <w:i/>
        <w:sz w:val="20"/>
      </w:rPr>
      <w:fldChar w:fldCharType="separate"/>
    </w:r>
    <w:r w:rsidR="00C32523">
      <w:rPr>
        <w:b/>
        <w:i/>
        <w:noProof/>
        <w:sz w:val="20"/>
      </w:rPr>
      <w:t>November, 2021</w:t>
    </w:r>
    <w:r>
      <w:rPr>
        <w:b/>
        <w:i/>
        <w:sz w:val="20"/>
      </w:rPr>
      <w:fldChar w:fldCharType="end"/>
    </w:r>
  </w:p>
  <w:p w14:paraId="10CCCE53" w14:textId="77777777" w:rsidR="00665605" w:rsidRDefault="00665605">
    <w:pPr>
      <w:rPr>
        <w:b/>
        <w: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2831D" w14:textId="77777777" w:rsidR="00665605" w:rsidRDefault="00665605" w:rsidP="002E5A3E">
    <w:pPr>
      <w:pBdr>
        <w:top w:val="single" w:sz="6" w:space="1" w:color="auto"/>
      </w:pBdr>
      <w:tabs>
        <w:tab w:val="right" w:pos="8789"/>
      </w:tabs>
      <w:spacing w:before="0" w:after="0"/>
      <w:ind w:left="-284"/>
      <w:rPr>
        <w:b/>
        <w:i/>
      </w:rPr>
    </w:pPr>
  </w:p>
  <w:p w14:paraId="060CC9FA" w14:textId="6A0B275C" w:rsidR="00665605" w:rsidRDefault="00665605" w:rsidP="002E5A3E">
    <w:pPr>
      <w:pBdr>
        <w:top w:val="single" w:sz="6" w:space="1" w:color="auto"/>
      </w:pBdr>
      <w:tabs>
        <w:tab w:val="center" w:pos="4395"/>
        <w:tab w:val="right" w:pos="14601"/>
      </w:tabs>
      <w:ind w:left="-284"/>
      <w:rPr>
        <w:b/>
        <w:i/>
        <w:sz w:val="20"/>
      </w:rPr>
    </w:pPr>
    <w:r>
      <w:rPr>
        <w:b/>
        <w:i/>
        <w:sz w:val="20"/>
      </w:rPr>
      <w:t>Roy Morgan Research</w:t>
    </w:r>
    <w:r>
      <w:rPr>
        <w:b/>
        <w:i/>
        <w:sz w:val="20"/>
      </w:rPr>
      <w:tab/>
    </w:r>
    <w:r>
      <w:rPr>
        <w:b/>
        <w:i/>
        <w:sz w:val="20"/>
      </w:rPr>
      <w:tab/>
    </w:r>
    <w:r>
      <w:rPr>
        <w:b/>
        <w:i/>
        <w:sz w:val="20"/>
      </w:rPr>
      <w:fldChar w:fldCharType="begin"/>
    </w:r>
    <w:r>
      <w:rPr>
        <w:b/>
        <w:i/>
        <w:sz w:val="20"/>
      </w:rPr>
      <w:instrText xml:space="preserve"> DATE \@ "MMMM, yyyy" \* MERGEFORMAT </w:instrText>
    </w:r>
    <w:r>
      <w:rPr>
        <w:b/>
        <w:i/>
        <w:sz w:val="20"/>
      </w:rPr>
      <w:fldChar w:fldCharType="separate"/>
    </w:r>
    <w:r w:rsidR="00C32523">
      <w:rPr>
        <w:b/>
        <w:i/>
        <w:noProof/>
        <w:sz w:val="20"/>
      </w:rPr>
      <w:t>November, 2021</w:t>
    </w:r>
    <w:r>
      <w:rPr>
        <w:b/>
        <w:i/>
        <w:sz w:val="20"/>
      </w:rPr>
      <w:fldChar w:fldCharType="end"/>
    </w:r>
  </w:p>
  <w:p w14:paraId="33AD3883" w14:textId="77777777" w:rsidR="00665605" w:rsidRDefault="00665605">
    <w:pPr>
      <w:ind w:left="-284"/>
      <w:rPr>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458EA" w14:textId="77777777" w:rsidR="00665605" w:rsidRDefault="00665605">
    <w:pPr>
      <w:pBdr>
        <w:top w:val="single" w:sz="6" w:space="1" w:color="auto"/>
      </w:pBdr>
      <w:spacing w:before="0" w:after="0"/>
      <w:ind w:left="-284"/>
      <w:rPr>
        <w:b/>
        <w:i/>
      </w:rPr>
    </w:pPr>
  </w:p>
  <w:p w14:paraId="0B53E52C" w14:textId="061479E6" w:rsidR="00665605" w:rsidRDefault="00665605">
    <w:pPr>
      <w:pBdr>
        <w:top w:val="single" w:sz="6" w:space="1" w:color="auto"/>
      </w:pBdr>
      <w:tabs>
        <w:tab w:val="center" w:pos="4395"/>
        <w:tab w:val="right" w:pos="8789"/>
      </w:tabs>
      <w:ind w:left="-284"/>
      <w:rPr>
        <w:b/>
        <w:i/>
        <w:sz w:val="20"/>
      </w:rPr>
    </w:pPr>
    <w:r>
      <w:rPr>
        <w:b/>
        <w:i/>
        <w:sz w:val="20"/>
      </w:rPr>
      <w:t>Roy Morgan Research</w:t>
    </w:r>
    <w:r>
      <w:rPr>
        <w:b/>
        <w:i/>
        <w:sz w:val="20"/>
      </w:rPr>
      <w:tab/>
    </w:r>
    <w:r>
      <w:rPr>
        <w:b/>
        <w:i/>
        <w:sz w:val="20"/>
      </w:rPr>
      <w:tab/>
    </w:r>
    <w:r>
      <w:rPr>
        <w:b/>
        <w:i/>
        <w:sz w:val="20"/>
      </w:rPr>
      <w:tab/>
    </w:r>
    <w:r>
      <w:rPr>
        <w:b/>
        <w:i/>
        <w:sz w:val="20"/>
      </w:rPr>
      <w:tab/>
    </w:r>
    <w:r>
      <w:rPr>
        <w:b/>
        <w:i/>
        <w:sz w:val="20"/>
      </w:rPr>
      <w:tab/>
    </w:r>
    <w:r>
      <w:rPr>
        <w:b/>
        <w:i/>
        <w:sz w:val="20"/>
      </w:rPr>
      <w:tab/>
    </w:r>
    <w:r>
      <w:rPr>
        <w:b/>
        <w:i/>
        <w:sz w:val="20"/>
      </w:rPr>
      <w:tab/>
    </w:r>
    <w:r>
      <w:rPr>
        <w:b/>
        <w:i/>
        <w:sz w:val="20"/>
      </w:rPr>
      <w:tab/>
    </w:r>
    <w:r>
      <w:rPr>
        <w:b/>
        <w:i/>
        <w:sz w:val="20"/>
      </w:rPr>
      <w:fldChar w:fldCharType="begin"/>
    </w:r>
    <w:r>
      <w:rPr>
        <w:b/>
        <w:i/>
        <w:sz w:val="20"/>
      </w:rPr>
      <w:instrText xml:space="preserve"> DATE \@ "MMMM, yyyy" \* MERGEFORMAT </w:instrText>
    </w:r>
    <w:r>
      <w:rPr>
        <w:b/>
        <w:i/>
        <w:sz w:val="20"/>
      </w:rPr>
      <w:fldChar w:fldCharType="separate"/>
    </w:r>
    <w:r w:rsidR="00C32523">
      <w:rPr>
        <w:b/>
        <w:i/>
        <w:noProof/>
        <w:sz w:val="20"/>
      </w:rPr>
      <w:t>November, 2021</w:t>
    </w:r>
    <w:r>
      <w:rPr>
        <w:b/>
        <w:i/>
        <w:sz w:val="20"/>
      </w:rPr>
      <w:fldChar w:fldCharType="end"/>
    </w:r>
  </w:p>
  <w:p w14:paraId="2C8B8C7F" w14:textId="77777777" w:rsidR="00665605" w:rsidRDefault="00665605">
    <w:pPr>
      <w:rPr>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C7981" w14:textId="77777777" w:rsidR="00665605" w:rsidRPr="007C2080" w:rsidRDefault="00665605">
    <w:pPr>
      <w:jc w:val="center"/>
      <w:rPr>
        <w:sz w:val="14"/>
        <w:szCs w:val="14"/>
      </w:rPr>
    </w:pPr>
    <w:r w:rsidRPr="007C2080">
      <w:rPr>
        <w:sz w:val="14"/>
        <w:szCs w:val="14"/>
      </w:rPr>
      <w:t xml:space="preserve">Ref: </w:t>
    </w:r>
    <w:r w:rsidRPr="007C2080">
      <w:rPr>
        <w:sz w:val="14"/>
        <w:szCs w:val="14"/>
      </w:rPr>
      <w:fldChar w:fldCharType="begin"/>
    </w:r>
    <w:r w:rsidRPr="007C2080">
      <w:rPr>
        <w:sz w:val="14"/>
        <w:szCs w:val="14"/>
      </w:rPr>
      <w:instrText xml:space="preserve"> FILENAME  \* Lower \p  \* MERGEFORMAT </w:instrText>
    </w:r>
    <w:r w:rsidRPr="007C2080">
      <w:rPr>
        <w:sz w:val="14"/>
        <w:szCs w:val="14"/>
      </w:rPr>
      <w:fldChar w:fldCharType="separate"/>
    </w:r>
    <w:r w:rsidRPr="007C2080">
      <w:rPr>
        <w:noProof/>
        <w:sz w:val="14"/>
        <w:szCs w:val="14"/>
      </w:rPr>
      <w:t>x:\clients\docs\govt\vic\dhs\concessions 2014\outputs\final report\final report\vuchs 2015 final report - final updates with toc - 12 march 2016.docx</w:t>
    </w:r>
    <w:r w:rsidRPr="007C2080">
      <w:rPr>
        <w:noProof/>
        <w:sz w:val="14"/>
        <w:szCs w:val="14"/>
      </w:rPr>
      <w:fldChar w:fldCharType="end"/>
    </w:r>
  </w:p>
  <w:p w14:paraId="1F4E0060" w14:textId="77777777" w:rsidR="00665605" w:rsidRPr="008E06C2" w:rsidRDefault="00665605">
    <w:pPr>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67D42" w14:textId="5C7613E9" w:rsidR="00665605" w:rsidRDefault="00665605" w:rsidP="00F533A7">
    <w:pPr>
      <w:pBdr>
        <w:top w:val="single" w:sz="6" w:space="10" w:color="auto"/>
      </w:pBdr>
      <w:tabs>
        <w:tab w:val="center" w:pos="4395"/>
        <w:tab w:val="right" w:pos="14459"/>
      </w:tabs>
      <w:ind w:left="-284"/>
      <w:rPr>
        <w:b/>
        <w:i/>
        <w:sz w:val="20"/>
      </w:rPr>
    </w:pPr>
    <w:r>
      <w:rPr>
        <w:b/>
        <w:i/>
        <w:sz w:val="20"/>
      </w:rPr>
      <w:t>Roy Morgan Research</w:t>
    </w:r>
    <w:r>
      <w:rPr>
        <w:b/>
        <w:i/>
        <w:sz w:val="20"/>
      </w:rPr>
      <w:tab/>
    </w:r>
    <w:r>
      <w:rPr>
        <w:b/>
        <w:i/>
        <w:sz w:val="20"/>
      </w:rPr>
      <w:tab/>
    </w:r>
    <w:r>
      <w:rPr>
        <w:b/>
        <w:i/>
        <w:sz w:val="20"/>
      </w:rPr>
      <w:fldChar w:fldCharType="begin"/>
    </w:r>
    <w:r>
      <w:rPr>
        <w:b/>
        <w:i/>
        <w:sz w:val="20"/>
      </w:rPr>
      <w:instrText xml:space="preserve"> DATE \@ "MMMM, yyyy" \* MERGEFORMAT </w:instrText>
    </w:r>
    <w:r>
      <w:rPr>
        <w:b/>
        <w:i/>
        <w:sz w:val="20"/>
      </w:rPr>
      <w:fldChar w:fldCharType="separate"/>
    </w:r>
    <w:r w:rsidR="00C32523">
      <w:rPr>
        <w:b/>
        <w:i/>
        <w:noProof/>
        <w:sz w:val="20"/>
      </w:rPr>
      <w:t>November, 2021</w:t>
    </w:r>
    <w:r>
      <w:rPr>
        <w:b/>
        <w:i/>
        <w:sz w:val="20"/>
      </w:rPr>
      <w:fldChar w:fldCharType="end"/>
    </w:r>
  </w:p>
  <w:p w14:paraId="0AA012AA" w14:textId="77777777" w:rsidR="00665605" w:rsidRDefault="00665605">
    <w:pPr>
      <w:rPr>
        <w:b/>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78D9" w14:textId="77777777" w:rsidR="00665605" w:rsidRDefault="00665605">
    <w:pPr>
      <w:pBdr>
        <w:top w:val="single" w:sz="6" w:space="1" w:color="auto"/>
      </w:pBdr>
      <w:spacing w:before="0" w:after="0"/>
      <w:ind w:left="-284"/>
      <w:rPr>
        <w:b/>
        <w:i/>
      </w:rPr>
    </w:pPr>
  </w:p>
  <w:p w14:paraId="03A1FB05" w14:textId="1E30A31A" w:rsidR="00665605" w:rsidRDefault="00665605">
    <w:pPr>
      <w:pBdr>
        <w:top w:val="single" w:sz="6" w:space="1" w:color="auto"/>
      </w:pBdr>
      <w:tabs>
        <w:tab w:val="center" w:pos="4395"/>
        <w:tab w:val="right" w:pos="8789"/>
      </w:tabs>
      <w:ind w:left="-284"/>
      <w:rPr>
        <w:b/>
        <w:i/>
        <w:sz w:val="20"/>
      </w:rPr>
    </w:pPr>
    <w:r>
      <w:rPr>
        <w:b/>
        <w:i/>
        <w:sz w:val="20"/>
      </w:rPr>
      <w:t>Roy Morgan Research</w:t>
    </w:r>
    <w:r>
      <w:rPr>
        <w:b/>
        <w:i/>
        <w:sz w:val="20"/>
      </w:rPr>
      <w:tab/>
    </w:r>
    <w:r>
      <w:rPr>
        <w:b/>
        <w:i/>
        <w:sz w:val="20"/>
      </w:rPr>
      <w:tab/>
    </w:r>
    <w:r>
      <w:rPr>
        <w:b/>
        <w:i/>
        <w:sz w:val="20"/>
      </w:rPr>
      <w:fldChar w:fldCharType="begin"/>
    </w:r>
    <w:r>
      <w:rPr>
        <w:b/>
        <w:i/>
        <w:sz w:val="20"/>
      </w:rPr>
      <w:instrText xml:space="preserve"> DATE \@ "MMMM, yyyy" \* MERGEFORMAT </w:instrText>
    </w:r>
    <w:r>
      <w:rPr>
        <w:b/>
        <w:i/>
        <w:sz w:val="20"/>
      </w:rPr>
      <w:fldChar w:fldCharType="separate"/>
    </w:r>
    <w:r w:rsidR="00C32523">
      <w:rPr>
        <w:b/>
        <w:i/>
        <w:noProof/>
        <w:sz w:val="20"/>
      </w:rPr>
      <w:t>November, 2021</w:t>
    </w:r>
    <w:r>
      <w:rPr>
        <w:b/>
        <w:i/>
        <w:sz w:val="20"/>
      </w:rPr>
      <w:fldChar w:fldCharType="end"/>
    </w:r>
  </w:p>
  <w:p w14:paraId="7827AEA7" w14:textId="77777777" w:rsidR="00665605" w:rsidRDefault="0066560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6826D" w14:textId="77777777" w:rsidR="00665605" w:rsidRDefault="00665605">
    <w:pPr>
      <w:pBdr>
        <w:top w:val="single" w:sz="6" w:space="1" w:color="auto"/>
      </w:pBdr>
      <w:spacing w:before="0" w:after="0"/>
      <w:ind w:left="-284"/>
      <w:rPr>
        <w:b/>
        <w:i/>
      </w:rPr>
    </w:pPr>
  </w:p>
  <w:p w14:paraId="424659C7" w14:textId="43A5FA7D" w:rsidR="00665605" w:rsidRDefault="00665605">
    <w:pPr>
      <w:pBdr>
        <w:top w:val="single" w:sz="6" w:space="1" w:color="auto"/>
      </w:pBdr>
      <w:tabs>
        <w:tab w:val="center" w:pos="4395"/>
        <w:tab w:val="right" w:pos="8789"/>
      </w:tabs>
      <w:ind w:left="-284"/>
      <w:rPr>
        <w:b/>
        <w:i/>
        <w:sz w:val="20"/>
      </w:rPr>
    </w:pPr>
    <w:r>
      <w:rPr>
        <w:b/>
        <w:i/>
        <w:sz w:val="20"/>
      </w:rPr>
      <w:t>Roy Morgan Research</w:t>
    </w:r>
    <w:r>
      <w:rPr>
        <w:b/>
        <w:i/>
        <w:sz w:val="20"/>
      </w:rPr>
      <w:tab/>
    </w:r>
    <w:r>
      <w:rPr>
        <w:b/>
        <w:i/>
        <w:sz w:val="20"/>
      </w:rPr>
      <w:tab/>
    </w:r>
    <w:r>
      <w:rPr>
        <w:b/>
        <w:i/>
        <w:sz w:val="20"/>
      </w:rPr>
      <w:tab/>
    </w:r>
    <w:r>
      <w:rPr>
        <w:b/>
        <w:i/>
        <w:sz w:val="20"/>
      </w:rPr>
      <w:tab/>
    </w:r>
    <w:r>
      <w:rPr>
        <w:b/>
        <w:i/>
        <w:sz w:val="20"/>
      </w:rPr>
      <w:tab/>
    </w:r>
    <w:r>
      <w:rPr>
        <w:b/>
        <w:i/>
        <w:sz w:val="20"/>
      </w:rPr>
      <w:tab/>
    </w:r>
    <w:r>
      <w:rPr>
        <w:b/>
        <w:i/>
        <w:sz w:val="20"/>
      </w:rPr>
      <w:tab/>
    </w:r>
    <w:r>
      <w:rPr>
        <w:b/>
        <w:i/>
        <w:sz w:val="20"/>
      </w:rPr>
      <w:tab/>
    </w:r>
    <w:r>
      <w:rPr>
        <w:b/>
        <w:i/>
        <w:sz w:val="20"/>
      </w:rPr>
      <w:fldChar w:fldCharType="begin"/>
    </w:r>
    <w:r>
      <w:rPr>
        <w:b/>
        <w:i/>
        <w:sz w:val="20"/>
      </w:rPr>
      <w:instrText xml:space="preserve"> DATE \@ "MMMM, yyyy" \* MERGEFORMAT </w:instrText>
    </w:r>
    <w:r>
      <w:rPr>
        <w:b/>
        <w:i/>
        <w:sz w:val="20"/>
      </w:rPr>
      <w:fldChar w:fldCharType="separate"/>
    </w:r>
    <w:r w:rsidR="00C32523">
      <w:rPr>
        <w:b/>
        <w:i/>
        <w:noProof/>
        <w:sz w:val="20"/>
      </w:rPr>
      <w:t>November, 2021</w:t>
    </w:r>
    <w:r>
      <w:rPr>
        <w:b/>
        <w:i/>
        <w:sz w:val="20"/>
      </w:rPr>
      <w:fldChar w:fldCharType="end"/>
    </w:r>
  </w:p>
  <w:p w14:paraId="1FEEFA64" w14:textId="77777777" w:rsidR="00665605" w:rsidRDefault="006656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436AA" w14:textId="40A4C55C" w:rsidR="00665605" w:rsidRDefault="00665605" w:rsidP="00F533A7">
    <w:pPr>
      <w:pBdr>
        <w:top w:val="single" w:sz="6" w:space="10" w:color="auto"/>
      </w:pBdr>
      <w:tabs>
        <w:tab w:val="center" w:pos="4395"/>
        <w:tab w:val="right" w:pos="14601"/>
      </w:tabs>
      <w:ind w:left="-284"/>
      <w:rPr>
        <w:b/>
        <w:i/>
        <w:sz w:val="20"/>
      </w:rPr>
    </w:pPr>
    <w:r>
      <w:rPr>
        <w:b/>
        <w:i/>
        <w:sz w:val="20"/>
      </w:rPr>
      <w:t>Roy Morgan Research</w:t>
    </w:r>
    <w:r>
      <w:rPr>
        <w:b/>
        <w:i/>
        <w:sz w:val="20"/>
      </w:rPr>
      <w:tab/>
    </w:r>
    <w:r>
      <w:rPr>
        <w:b/>
        <w:i/>
        <w:sz w:val="20"/>
      </w:rPr>
      <w:tab/>
    </w:r>
    <w:r>
      <w:rPr>
        <w:b/>
        <w:i/>
        <w:sz w:val="20"/>
      </w:rPr>
      <w:fldChar w:fldCharType="begin"/>
    </w:r>
    <w:r>
      <w:rPr>
        <w:b/>
        <w:i/>
        <w:sz w:val="20"/>
      </w:rPr>
      <w:instrText xml:space="preserve"> DATE \@ "MMMM, yyyy" \* MERGEFORMAT </w:instrText>
    </w:r>
    <w:r>
      <w:rPr>
        <w:b/>
        <w:i/>
        <w:sz w:val="20"/>
      </w:rPr>
      <w:fldChar w:fldCharType="separate"/>
    </w:r>
    <w:r w:rsidR="00C32523">
      <w:rPr>
        <w:b/>
        <w:i/>
        <w:noProof/>
        <w:sz w:val="20"/>
      </w:rPr>
      <w:t>November, 2021</w:t>
    </w:r>
    <w:r>
      <w:rPr>
        <w:b/>
        <w:i/>
        <w:sz w:val="20"/>
      </w:rPr>
      <w:fldChar w:fldCharType="end"/>
    </w:r>
  </w:p>
  <w:p w14:paraId="5961F81D" w14:textId="77777777" w:rsidR="00665605" w:rsidRDefault="00665605">
    <w:pPr>
      <w:rPr>
        <w:b/>
        <w:i/>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A3DA0" w14:textId="7B1D0B2E" w:rsidR="00665605" w:rsidRDefault="00665605" w:rsidP="00F533A7">
    <w:pPr>
      <w:pBdr>
        <w:top w:val="single" w:sz="6" w:space="10" w:color="auto"/>
      </w:pBdr>
      <w:tabs>
        <w:tab w:val="center" w:pos="4395"/>
        <w:tab w:val="right" w:pos="14601"/>
      </w:tabs>
      <w:ind w:left="-284"/>
      <w:rPr>
        <w:b/>
        <w:i/>
        <w:sz w:val="20"/>
      </w:rPr>
    </w:pPr>
    <w:r>
      <w:rPr>
        <w:b/>
        <w:i/>
        <w:sz w:val="20"/>
      </w:rPr>
      <w:t>Roy Morgan Research</w:t>
    </w:r>
    <w:r>
      <w:rPr>
        <w:b/>
        <w:i/>
        <w:sz w:val="20"/>
      </w:rPr>
      <w:tab/>
    </w:r>
    <w:r>
      <w:rPr>
        <w:b/>
        <w:i/>
        <w:sz w:val="20"/>
      </w:rPr>
      <w:tab/>
    </w:r>
    <w:r>
      <w:rPr>
        <w:b/>
        <w:i/>
        <w:sz w:val="20"/>
      </w:rPr>
      <w:fldChar w:fldCharType="begin"/>
    </w:r>
    <w:r>
      <w:rPr>
        <w:b/>
        <w:i/>
        <w:sz w:val="20"/>
      </w:rPr>
      <w:instrText xml:space="preserve"> DATE \@ "MMMM, yyyy" \* MERGEFORMAT </w:instrText>
    </w:r>
    <w:r>
      <w:rPr>
        <w:b/>
        <w:i/>
        <w:sz w:val="20"/>
      </w:rPr>
      <w:fldChar w:fldCharType="separate"/>
    </w:r>
    <w:r w:rsidR="00C32523">
      <w:rPr>
        <w:b/>
        <w:i/>
        <w:noProof/>
        <w:sz w:val="20"/>
      </w:rPr>
      <w:t>November, 2021</w:t>
    </w:r>
    <w:r>
      <w:rPr>
        <w:b/>
        <w:i/>
        <w:sz w:val="20"/>
      </w:rPr>
      <w:fldChar w:fldCharType="end"/>
    </w:r>
  </w:p>
  <w:p w14:paraId="385AFA44" w14:textId="77777777" w:rsidR="00665605" w:rsidRDefault="00665605">
    <w:pPr>
      <w:rPr>
        <w:b/>
        <w:i/>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66CF" w14:textId="27AFF08B" w:rsidR="00665605" w:rsidRDefault="00665605" w:rsidP="00951624">
    <w:pPr>
      <w:pBdr>
        <w:top w:val="single" w:sz="6" w:space="10" w:color="auto"/>
      </w:pBdr>
      <w:tabs>
        <w:tab w:val="center" w:pos="4395"/>
        <w:tab w:val="right" w:pos="14601"/>
      </w:tabs>
      <w:ind w:left="-284"/>
      <w:rPr>
        <w:b/>
        <w:i/>
        <w:sz w:val="20"/>
      </w:rPr>
    </w:pPr>
    <w:r>
      <w:rPr>
        <w:b/>
        <w:i/>
        <w:sz w:val="20"/>
      </w:rPr>
      <w:t>Roy Morgan Research</w:t>
    </w:r>
    <w:r>
      <w:rPr>
        <w:b/>
        <w:i/>
        <w:sz w:val="20"/>
      </w:rPr>
      <w:tab/>
    </w:r>
    <w:r>
      <w:rPr>
        <w:b/>
        <w:i/>
        <w:sz w:val="20"/>
      </w:rPr>
      <w:tab/>
    </w:r>
    <w:r>
      <w:rPr>
        <w:b/>
        <w:i/>
        <w:sz w:val="20"/>
      </w:rPr>
      <w:fldChar w:fldCharType="begin"/>
    </w:r>
    <w:r>
      <w:rPr>
        <w:b/>
        <w:i/>
        <w:sz w:val="20"/>
      </w:rPr>
      <w:instrText xml:space="preserve"> DATE \@ "MMMM, yyyy" \* MERGEFORMAT </w:instrText>
    </w:r>
    <w:r>
      <w:rPr>
        <w:b/>
        <w:i/>
        <w:sz w:val="20"/>
      </w:rPr>
      <w:fldChar w:fldCharType="separate"/>
    </w:r>
    <w:r w:rsidR="00C32523">
      <w:rPr>
        <w:b/>
        <w:i/>
        <w:noProof/>
        <w:sz w:val="20"/>
      </w:rPr>
      <w:t>November, 2021</w:t>
    </w:r>
    <w:r>
      <w:rPr>
        <w:b/>
        <w:i/>
        <w:sz w:val="20"/>
      </w:rPr>
      <w:fldChar w:fldCharType="end"/>
    </w:r>
  </w:p>
  <w:p w14:paraId="09C2D571" w14:textId="77777777" w:rsidR="00665605" w:rsidRDefault="00665605">
    <w:pP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F8544" w14:textId="77777777" w:rsidR="00665605" w:rsidRDefault="00665605">
      <w:r>
        <w:separator/>
      </w:r>
    </w:p>
  </w:footnote>
  <w:footnote w:type="continuationSeparator" w:id="0">
    <w:p w14:paraId="331CAF05" w14:textId="77777777" w:rsidR="00665605" w:rsidRDefault="00665605">
      <w:r>
        <w:continuationSeparator/>
      </w:r>
    </w:p>
  </w:footnote>
  <w:footnote w:id="1">
    <w:p w14:paraId="04E8A652" w14:textId="77777777" w:rsidR="00665605" w:rsidRPr="00DF177F" w:rsidRDefault="00665605" w:rsidP="00F5061A">
      <w:pPr>
        <w:pStyle w:val="FootnoteText"/>
        <w:rPr>
          <w:lang w:val="en-AU"/>
        </w:rPr>
      </w:pPr>
      <w:r>
        <w:rPr>
          <w:rStyle w:val="FootnoteReference"/>
        </w:rPr>
        <w:footnoteRef/>
      </w:r>
      <w:r>
        <w:t xml:space="preserve"> </w:t>
      </w:r>
      <w:r>
        <w:rPr>
          <w:lang w:val="en-AU"/>
        </w:rPr>
        <w:t>Some suppliers did not provide information on payment in full and/or compulsory instalments.  The figures quoted here and in similar sections of this report are based to the number of records for which this data was provided by suppliers.</w:t>
      </w:r>
    </w:p>
  </w:footnote>
  <w:footnote w:id="2">
    <w:p w14:paraId="4C531173" w14:textId="6812C1C3" w:rsidR="00665605" w:rsidRPr="009748AD" w:rsidRDefault="00665605">
      <w:pPr>
        <w:pStyle w:val="FootnoteText"/>
        <w:rPr>
          <w:lang w:val="en-AU"/>
        </w:rPr>
      </w:pPr>
      <w:r>
        <w:rPr>
          <w:rStyle w:val="FootnoteReference"/>
        </w:rPr>
        <w:footnoteRef/>
      </w:r>
      <w:r>
        <w:t xml:space="preserve"> </w:t>
      </w:r>
      <w:r>
        <w:rPr>
          <w:lang w:val="en-AU"/>
        </w:rPr>
        <w:t>For more details and explanation regarding LPG definition, please see Section 1.4 on page 6.</w:t>
      </w:r>
    </w:p>
  </w:footnote>
  <w:footnote w:id="3">
    <w:p w14:paraId="46D11106" w14:textId="5AA43AC9" w:rsidR="00665605" w:rsidRPr="0099218A" w:rsidRDefault="00665605">
      <w:pPr>
        <w:pStyle w:val="FootnoteText"/>
        <w:rPr>
          <w:lang w:val="en-AU"/>
        </w:rPr>
      </w:pPr>
      <w:r>
        <w:rPr>
          <w:rStyle w:val="FootnoteReference"/>
        </w:rPr>
        <w:footnoteRef/>
      </w:r>
      <w:r>
        <w:t xml:space="preserve"> </w:t>
      </w:r>
      <w:r>
        <w:rPr>
          <w:lang w:val="en-AU"/>
        </w:rPr>
        <w:t xml:space="preserve">Includes respondents who stated that the ceiling of their home was completely insulated or partly insulated, or who stated that the ceiling was insulated but were unable to say whether it was completely or partly insulated.   </w:t>
      </w:r>
    </w:p>
  </w:footnote>
  <w:footnote w:id="4">
    <w:p w14:paraId="5D86FA21" w14:textId="0DCB9420" w:rsidR="00665605" w:rsidRPr="00741345" w:rsidRDefault="00665605">
      <w:pPr>
        <w:pStyle w:val="FootnoteText"/>
        <w:rPr>
          <w:lang w:val="en-AU"/>
        </w:rPr>
      </w:pPr>
      <w:r>
        <w:rPr>
          <w:rStyle w:val="FootnoteReference"/>
        </w:rPr>
        <w:footnoteRef/>
      </w:r>
      <w:r>
        <w:t xml:space="preserve"> </w:t>
      </w:r>
      <w:r>
        <w:rPr>
          <w:lang w:val="en-AU"/>
        </w:rPr>
        <w:t xml:space="preserve">NB there may be inconsistencies between the figures reported at Tables 3.4.2 (Employment Status) and 3.4.3 (Income Sources).  The employment status question asked respondents to nominate a </w:t>
      </w:r>
      <w:r w:rsidRPr="00741345">
        <w:rPr>
          <w:u w:val="single"/>
          <w:lang w:val="en-AU"/>
        </w:rPr>
        <w:t xml:space="preserve">single </w:t>
      </w:r>
      <w:r>
        <w:rPr>
          <w:lang w:val="en-AU"/>
        </w:rPr>
        <w:t xml:space="preserve">category that </w:t>
      </w:r>
      <w:r w:rsidRPr="00741345">
        <w:rPr>
          <w:u w:val="single"/>
          <w:lang w:val="en-AU"/>
        </w:rPr>
        <w:t xml:space="preserve">best </w:t>
      </w:r>
      <w:r>
        <w:rPr>
          <w:lang w:val="en-AU"/>
        </w:rPr>
        <w:t xml:space="preserve">described their status, while the income sources question asked about income received from </w:t>
      </w:r>
      <w:r w:rsidRPr="00741345">
        <w:rPr>
          <w:u w:val="single"/>
          <w:lang w:val="en-AU"/>
        </w:rPr>
        <w:t>any</w:t>
      </w:r>
      <w:r>
        <w:rPr>
          <w:lang w:val="en-AU"/>
        </w:rPr>
        <w:t xml:space="preserve"> source.  A respondent could (for example) have selected ‘Home Duties’ as the </w:t>
      </w:r>
      <w:r w:rsidRPr="00741345">
        <w:rPr>
          <w:u w:val="single"/>
          <w:lang w:val="en-AU"/>
        </w:rPr>
        <w:t>best</w:t>
      </w:r>
      <w:r>
        <w:rPr>
          <w:lang w:val="en-AU"/>
        </w:rPr>
        <w:t xml:space="preserve"> description of their employment status, yet still earned some income from employment and disclosed this at the income sources question.    </w:t>
      </w:r>
    </w:p>
  </w:footnote>
  <w:footnote w:id="5">
    <w:p w14:paraId="1E36B3DC" w14:textId="77777777" w:rsidR="00665605" w:rsidRPr="00DF177F" w:rsidRDefault="00665605">
      <w:pPr>
        <w:pStyle w:val="FootnoteText"/>
        <w:rPr>
          <w:lang w:val="en-AU"/>
        </w:rPr>
      </w:pPr>
      <w:r>
        <w:rPr>
          <w:rStyle w:val="FootnoteReference"/>
        </w:rPr>
        <w:footnoteRef/>
      </w:r>
      <w:r>
        <w:t xml:space="preserve"> </w:t>
      </w:r>
      <w:r>
        <w:rPr>
          <w:lang w:val="en-AU"/>
        </w:rPr>
        <w:t>Some suppliers did not provide information on payment in full and/or compulsory instalments.  The figures quoted here and in similar sections of this report are based to the number of records for which this data was provided by suppliers.</w:t>
      </w:r>
    </w:p>
  </w:footnote>
  <w:footnote w:id="6">
    <w:p w14:paraId="339EB9AB" w14:textId="77777777" w:rsidR="00665605" w:rsidRPr="00637400" w:rsidRDefault="00665605">
      <w:pPr>
        <w:pStyle w:val="FootnoteText"/>
        <w:rPr>
          <w:lang w:val="en-AU"/>
        </w:rPr>
      </w:pPr>
      <w:r>
        <w:rPr>
          <w:rStyle w:val="FootnoteReference"/>
        </w:rPr>
        <w:footnoteRef/>
      </w:r>
      <w:r>
        <w:t xml:space="preserve">  </w:t>
      </w:r>
      <w:r w:rsidRPr="00AF4AAC">
        <w:rPr>
          <w:lang w:val="en-AU"/>
        </w:rPr>
        <w:t>Refers to the actual bill paid by households, including any concessions or discounts applied.</w:t>
      </w:r>
    </w:p>
  </w:footnote>
  <w:footnote w:id="7">
    <w:p w14:paraId="6B45982E" w14:textId="17E23CCA" w:rsidR="00665605" w:rsidRPr="00637400" w:rsidRDefault="00665605">
      <w:pPr>
        <w:pStyle w:val="FootnoteText"/>
        <w:rPr>
          <w:lang w:val="en-AU"/>
        </w:rPr>
      </w:pPr>
      <w:r>
        <w:rPr>
          <w:rStyle w:val="FootnoteReference"/>
        </w:rPr>
        <w:footnoteRef/>
      </w:r>
      <w:r>
        <w:t xml:space="preserve">  </w:t>
      </w:r>
      <w:r w:rsidRPr="009553D0">
        <w:rPr>
          <w:lang w:val="en-AU"/>
        </w:rPr>
        <w:t xml:space="preserve">The aggregation of the </w:t>
      </w:r>
      <w:r>
        <w:rPr>
          <w:lang w:val="en-AU"/>
        </w:rPr>
        <w:t>Annual Electricity C</w:t>
      </w:r>
      <w:r w:rsidRPr="009553D0">
        <w:rPr>
          <w:lang w:val="en-AU"/>
        </w:rPr>
        <w:t xml:space="preserve">oncession, </w:t>
      </w:r>
      <w:r>
        <w:rPr>
          <w:lang w:val="en-AU"/>
        </w:rPr>
        <w:t>Controlled Load</w:t>
      </w:r>
      <w:r w:rsidRPr="009553D0">
        <w:rPr>
          <w:lang w:val="en-AU"/>
        </w:rPr>
        <w:t xml:space="preserve"> </w:t>
      </w:r>
      <w:r>
        <w:rPr>
          <w:lang w:val="en-AU"/>
        </w:rPr>
        <w:t>C</w:t>
      </w:r>
      <w:r w:rsidRPr="009553D0">
        <w:rPr>
          <w:lang w:val="en-AU"/>
        </w:rPr>
        <w:t xml:space="preserve">oncession, </w:t>
      </w:r>
      <w:r>
        <w:rPr>
          <w:lang w:val="en-AU"/>
        </w:rPr>
        <w:t>Medical Cooling C</w:t>
      </w:r>
      <w:r w:rsidRPr="009553D0">
        <w:rPr>
          <w:lang w:val="en-AU"/>
        </w:rPr>
        <w:t xml:space="preserve">oncession, </w:t>
      </w:r>
      <w:r>
        <w:rPr>
          <w:lang w:val="en-AU"/>
        </w:rPr>
        <w:t>L</w:t>
      </w:r>
      <w:r w:rsidRPr="009553D0">
        <w:rPr>
          <w:lang w:val="en-AU"/>
        </w:rPr>
        <w:t xml:space="preserve">ife </w:t>
      </w:r>
      <w:r>
        <w:rPr>
          <w:lang w:val="en-AU"/>
        </w:rPr>
        <w:t>S</w:t>
      </w:r>
      <w:r w:rsidRPr="009553D0">
        <w:rPr>
          <w:lang w:val="en-AU"/>
        </w:rPr>
        <w:t xml:space="preserve">upport </w:t>
      </w:r>
      <w:r>
        <w:rPr>
          <w:lang w:val="en-AU"/>
        </w:rPr>
        <w:t>C</w:t>
      </w:r>
      <w:r w:rsidRPr="009553D0">
        <w:rPr>
          <w:lang w:val="en-AU"/>
        </w:rPr>
        <w:t>oncession</w:t>
      </w:r>
      <w:r>
        <w:rPr>
          <w:lang w:val="en-AU"/>
        </w:rPr>
        <w:t xml:space="preserve">, </w:t>
      </w:r>
      <w:r w:rsidRPr="009553D0">
        <w:rPr>
          <w:lang w:val="en-AU"/>
        </w:rPr>
        <w:t xml:space="preserve"> </w:t>
      </w:r>
      <w:r>
        <w:rPr>
          <w:lang w:val="en-AU"/>
        </w:rPr>
        <w:t>S</w:t>
      </w:r>
      <w:r w:rsidRPr="009553D0">
        <w:rPr>
          <w:lang w:val="en-AU"/>
        </w:rPr>
        <w:t xml:space="preserve">ervice to </w:t>
      </w:r>
      <w:r>
        <w:rPr>
          <w:lang w:val="en-AU"/>
        </w:rPr>
        <w:t>P</w:t>
      </w:r>
      <w:r w:rsidRPr="009553D0">
        <w:rPr>
          <w:lang w:val="en-AU"/>
        </w:rPr>
        <w:t xml:space="preserve">roperty </w:t>
      </w:r>
      <w:r>
        <w:rPr>
          <w:lang w:val="en-AU"/>
        </w:rPr>
        <w:t>C</w:t>
      </w:r>
      <w:r w:rsidRPr="009553D0">
        <w:rPr>
          <w:lang w:val="en-AU"/>
        </w:rPr>
        <w:t>oncession</w:t>
      </w:r>
      <w:r>
        <w:rPr>
          <w:lang w:val="en-AU"/>
        </w:rPr>
        <w:t>, Excess Energy Concession and Electricity Transfer Fee Waiver</w:t>
      </w:r>
      <w:r w:rsidRPr="009553D0">
        <w:rPr>
          <w:lang w:val="en-AU"/>
        </w:rPr>
        <w:t>.</w:t>
      </w:r>
    </w:p>
  </w:footnote>
  <w:footnote w:id="8">
    <w:p w14:paraId="67EC0C5A" w14:textId="77777777" w:rsidR="00665605" w:rsidRPr="001642EF" w:rsidRDefault="00665605">
      <w:pPr>
        <w:pStyle w:val="FootnoteText"/>
        <w:rPr>
          <w:lang w:val="en-AU"/>
        </w:rPr>
      </w:pPr>
      <w:r>
        <w:rPr>
          <w:rStyle w:val="FootnoteReference"/>
        </w:rPr>
        <w:footnoteRef/>
      </w:r>
      <w:r>
        <w:t xml:space="preserve">  </w:t>
      </w:r>
      <w:r w:rsidRPr="008E71D8">
        <w:rPr>
          <w:lang w:val="en-AU"/>
        </w:rPr>
        <w:t>So that survey results from respondents could be compared with billing and consumption data obtained for each respondent household provided by energy suppliers, ‘summer’ was</w:t>
      </w:r>
      <w:r w:rsidRPr="008E71D8">
        <w:rPr>
          <w:lang w:val="en-AU"/>
        </w:rPr>
        <w:br/>
        <w:t xml:space="preserve">    classified as being December to April while ‘winter’ was classified as being May to November.</w:t>
      </w:r>
    </w:p>
  </w:footnote>
  <w:footnote w:id="9">
    <w:p w14:paraId="65A2CB69" w14:textId="77777777" w:rsidR="00665605" w:rsidRPr="001642EF" w:rsidRDefault="00665605">
      <w:pPr>
        <w:pStyle w:val="FootnoteText"/>
        <w:rPr>
          <w:lang w:val="en-AU"/>
        </w:rPr>
      </w:pPr>
      <w:r>
        <w:rPr>
          <w:rStyle w:val="FootnoteReference"/>
        </w:rPr>
        <w:footnoteRef/>
      </w:r>
      <w:r>
        <w:t xml:space="preserve"> </w:t>
      </w:r>
      <w:r w:rsidRPr="00F5752D">
        <w:rPr>
          <w:lang w:val="en-AU"/>
        </w:rPr>
        <w:t>Refers to the actual bill paid by households, including any concessions or discounts applied</w:t>
      </w:r>
      <w:r>
        <w:rPr>
          <w:lang w:val="en-AU"/>
        </w:rPr>
        <w:t>.</w:t>
      </w:r>
    </w:p>
  </w:footnote>
  <w:footnote w:id="10">
    <w:p w14:paraId="31625882" w14:textId="77777777" w:rsidR="00665605" w:rsidRPr="008B4D46" w:rsidRDefault="00665605">
      <w:pPr>
        <w:pStyle w:val="FootnoteText"/>
        <w:rPr>
          <w:lang w:val="en-AU"/>
        </w:rPr>
      </w:pPr>
      <w:r>
        <w:rPr>
          <w:rStyle w:val="FootnoteReference"/>
        </w:rPr>
        <w:footnoteRef/>
      </w:r>
      <w:r>
        <w:t xml:space="preserve"> Data for DHS concessions in 2001 was compromised by, among other reasons, data received from Origin Energy indicating that nearly all of their customers received this concession – which could not have been the case.  For this reason, in this report we do not attempt comparisons with data prior to 2007. A more extensive description of these issues is contained in the 2007 study report.</w:t>
      </w:r>
    </w:p>
  </w:footnote>
  <w:footnote w:id="11">
    <w:p w14:paraId="24EA3324" w14:textId="77777777" w:rsidR="00665605" w:rsidRPr="00F431B3" w:rsidRDefault="00665605">
      <w:pPr>
        <w:pStyle w:val="FootnoteText"/>
        <w:rPr>
          <w:lang w:val="en-AU"/>
        </w:rPr>
      </w:pPr>
      <w:r>
        <w:rPr>
          <w:rStyle w:val="FootnoteReference"/>
        </w:rPr>
        <w:footnoteRef/>
      </w:r>
      <w:r>
        <w:t xml:space="preserve"> </w:t>
      </w:r>
      <w:r w:rsidRPr="00602A1E">
        <w:rPr>
          <w:lang w:val="en-AU"/>
        </w:rPr>
        <w:t>Refers to the actual bill paid by households, including any concessions or discounts applied.</w:t>
      </w:r>
    </w:p>
  </w:footnote>
  <w:footnote w:id="12">
    <w:p w14:paraId="47B8C398" w14:textId="26218D4B" w:rsidR="00665605" w:rsidRPr="007859D3" w:rsidRDefault="00665605">
      <w:pPr>
        <w:pStyle w:val="FootnoteText"/>
        <w:rPr>
          <w:lang w:val="en-AU"/>
        </w:rPr>
      </w:pPr>
      <w:r>
        <w:rPr>
          <w:rStyle w:val="FootnoteReference"/>
        </w:rPr>
        <w:footnoteRef/>
      </w:r>
      <w:r>
        <w:t xml:space="preserve"> </w:t>
      </w:r>
      <w:r w:rsidRPr="00CA3174">
        <w:rPr>
          <w:lang w:val="en-AU"/>
        </w:rPr>
        <w:t>As responden</w:t>
      </w:r>
      <w:r>
        <w:rPr>
          <w:lang w:val="en-AU"/>
        </w:rPr>
        <w:t>t survey data was collected in mid-2015 and billing data was collected for the 2014 calendar</w:t>
      </w:r>
      <w:r w:rsidRPr="00CA3174">
        <w:rPr>
          <w:lang w:val="en-AU"/>
        </w:rPr>
        <w:t xml:space="preserve"> year, there is </w:t>
      </w:r>
      <w:r>
        <w:rPr>
          <w:lang w:val="en-AU"/>
        </w:rPr>
        <w:t>a</w:t>
      </w:r>
      <w:r w:rsidRPr="00CA3174">
        <w:rPr>
          <w:lang w:val="en-AU"/>
        </w:rPr>
        <w:t xml:space="preserve"> likelihood that respondent and billing data will </w:t>
      </w:r>
      <w:r>
        <w:rPr>
          <w:lang w:val="en-AU"/>
        </w:rPr>
        <w:t xml:space="preserve">occasionally show </w:t>
      </w:r>
      <w:r w:rsidRPr="00CA3174">
        <w:rPr>
          <w:lang w:val="en-AU"/>
        </w:rPr>
        <w:t>some anomalies in terms of analysis. For example, a household in 20</w:t>
      </w:r>
      <w:r>
        <w:rPr>
          <w:lang w:val="en-AU"/>
        </w:rPr>
        <w:t>15</w:t>
      </w:r>
      <w:r w:rsidRPr="00CA3174">
        <w:rPr>
          <w:lang w:val="en-AU"/>
        </w:rPr>
        <w:t xml:space="preserve"> may have been renting, but not in 20</w:t>
      </w:r>
      <w:r>
        <w:rPr>
          <w:lang w:val="en-AU"/>
        </w:rPr>
        <w:t xml:space="preserve">14 </w:t>
      </w:r>
      <w:r w:rsidRPr="00CA3174">
        <w:rPr>
          <w:lang w:val="en-AU"/>
        </w:rPr>
        <w:t>(although such an occurrence should be rare).</w:t>
      </w:r>
    </w:p>
  </w:footnote>
  <w:footnote w:id="13">
    <w:p w14:paraId="16347E0E" w14:textId="77777777" w:rsidR="00665605" w:rsidRPr="00657C79" w:rsidRDefault="00665605">
      <w:pPr>
        <w:pStyle w:val="FootnoteText"/>
        <w:rPr>
          <w:lang w:val="en-AU"/>
        </w:rPr>
      </w:pPr>
      <w:r>
        <w:rPr>
          <w:rStyle w:val="FootnoteReference"/>
        </w:rPr>
        <w:footnoteRef/>
      </w:r>
      <w:r>
        <w:t xml:space="preserve"> </w:t>
      </w:r>
      <w:r>
        <w:rPr>
          <w:lang w:val="en-AU"/>
        </w:rPr>
        <w:t>Note that for this survey, a household is classified as receiving a DHHS concession if it receives a concession amount on just one of the bills it received in a 12-month period.  As such an over-estimation in the proportion receiving a concession, in comparison with supplier billing data, is possible.</w:t>
      </w:r>
    </w:p>
  </w:footnote>
  <w:footnote w:id="14">
    <w:p w14:paraId="76D49EC6" w14:textId="77777777" w:rsidR="00665605" w:rsidRPr="009B34EF" w:rsidRDefault="00665605">
      <w:pPr>
        <w:pStyle w:val="FootnoteText"/>
        <w:rPr>
          <w:lang w:val="en-AU"/>
        </w:rPr>
      </w:pPr>
      <w:r>
        <w:rPr>
          <w:rStyle w:val="FootnoteReference"/>
        </w:rPr>
        <w:footnoteRef/>
      </w:r>
      <w:r>
        <w:t xml:space="preserve">  </w:t>
      </w:r>
      <w:r w:rsidRPr="00FC4F06">
        <w:rPr>
          <w:lang w:val="en-AU"/>
        </w:rPr>
        <w:t>Refers to the actual bill paid by households, including any concessions or discounts applied.</w:t>
      </w:r>
    </w:p>
  </w:footnote>
  <w:footnote w:id="15">
    <w:p w14:paraId="55DBFAE7" w14:textId="77777777" w:rsidR="00665605" w:rsidRPr="002249EB" w:rsidRDefault="00665605">
      <w:pPr>
        <w:rPr>
          <w:lang w:val="en-AU"/>
        </w:rPr>
      </w:pPr>
      <w:r>
        <w:rPr>
          <w:rStyle w:val="CommentReference"/>
        </w:rPr>
        <w:footnoteRef/>
      </w:r>
      <w:r>
        <w:t xml:space="preserve"> </w:t>
      </w:r>
      <w:r w:rsidRPr="00D87C4B">
        <w:rPr>
          <w:sz w:val="20"/>
        </w:rPr>
        <w:t>S</w:t>
      </w:r>
      <w:r w:rsidRPr="00D87C4B">
        <w:rPr>
          <w:sz w:val="20"/>
          <w:lang w:val="en-AU"/>
        </w:rPr>
        <w:t>mall sample size.  Result should be interpreted with care.</w:t>
      </w:r>
    </w:p>
  </w:footnote>
  <w:footnote w:id="16">
    <w:p w14:paraId="73355C30" w14:textId="77777777" w:rsidR="00665605" w:rsidRPr="004B14EA" w:rsidRDefault="00665605">
      <w:pPr>
        <w:rPr>
          <w:lang w:val="en-AU"/>
        </w:rPr>
      </w:pPr>
      <w:r>
        <w:rPr>
          <w:rStyle w:val="CommentReference"/>
        </w:rPr>
        <w:footnoteRef/>
      </w:r>
      <w:r>
        <w:t xml:space="preserve"> </w:t>
      </w:r>
      <w:r w:rsidRPr="009748AD">
        <w:rPr>
          <w:sz w:val="20"/>
          <w:lang w:val="en-AU"/>
        </w:rPr>
        <w:t>The small sample size involved (n=28) means that comparisons with previous years should be interpreted with caution.</w:t>
      </w:r>
    </w:p>
  </w:footnote>
  <w:footnote w:id="17">
    <w:p w14:paraId="611E8955" w14:textId="77777777" w:rsidR="00665605" w:rsidRPr="000313B4" w:rsidRDefault="00665605">
      <w:pPr>
        <w:rPr>
          <w:lang w:val="en-AU"/>
        </w:rPr>
      </w:pPr>
      <w:r>
        <w:rPr>
          <w:rStyle w:val="CommentReference"/>
        </w:rPr>
        <w:footnoteRef/>
      </w:r>
      <w:r>
        <w:t xml:space="preserve"> </w:t>
      </w:r>
      <w:r w:rsidRPr="0064058C">
        <w:rPr>
          <w:sz w:val="20"/>
          <w:lang w:val="en-AU"/>
        </w:rPr>
        <w:t>Small sample size</w:t>
      </w:r>
    </w:p>
  </w:footnote>
  <w:footnote w:id="18">
    <w:p w14:paraId="16EB7A94" w14:textId="2C4DEE3E" w:rsidR="00665605" w:rsidRPr="009748AD" w:rsidRDefault="00665605">
      <w:pPr>
        <w:pStyle w:val="FootnoteText"/>
        <w:rPr>
          <w:lang w:val="en-AU"/>
        </w:rPr>
      </w:pPr>
      <w:r>
        <w:rPr>
          <w:rStyle w:val="FootnoteReference"/>
        </w:rPr>
        <w:footnoteRef/>
      </w:r>
      <w:r>
        <w:t xml:space="preserve"> </w:t>
      </w:r>
      <w:r>
        <w:rPr>
          <w:lang w:val="en-AU"/>
        </w:rPr>
        <w:t xml:space="preserve">If the proportion that ever received assistance through URGS is expressed as a percentage of </w:t>
      </w:r>
      <w:r w:rsidRPr="009748AD">
        <w:rPr>
          <w:i/>
          <w:lang w:val="en-AU"/>
        </w:rPr>
        <w:t>total</w:t>
      </w:r>
      <w:r>
        <w:rPr>
          <w:lang w:val="en-AU"/>
        </w:rPr>
        <w:t xml:space="preserve"> households, it shows a gradual increase from 1.3% (1996) to 3.7% (2014).  A gradual increase is apparent for aged concession households and non-concession households, while for other concession households, the proportion that have ever received assistance increased substantially between 2001 and 2007 – to 11% - and has remained at approximately that level in 2014.</w:t>
      </w:r>
    </w:p>
  </w:footnote>
  <w:footnote w:id="19">
    <w:p w14:paraId="6B87714C" w14:textId="77777777" w:rsidR="00665605" w:rsidRPr="00E548CE" w:rsidRDefault="00665605" w:rsidP="00004F59">
      <w:pPr>
        <w:rPr>
          <w:sz w:val="20"/>
          <w:lang w:val="en-AU"/>
        </w:rPr>
      </w:pPr>
      <w:r>
        <w:rPr>
          <w:rStyle w:val="CommentReference"/>
        </w:rPr>
        <w:footnoteRef/>
      </w:r>
      <w:r>
        <w:t xml:space="preserve"> </w:t>
      </w:r>
      <w:r w:rsidRPr="00E548CE">
        <w:rPr>
          <w:sz w:val="20"/>
        </w:rPr>
        <w:t>Non-concession households can claim URGS because another household member holds a concession card.</w:t>
      </w:r>
      <w:r>
        <w:rPr>
          <w:sz w:val="20"/>
        </w:rPr>
        <w:t xml:space="preserve"> Households that do not hold a concession card can access URGS if they are registered with their utility company’s hardship program and are part of a low-income household.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1AEA9" w14:textId="77777777" w:rsidR="00665605" w:rsidRDefault="00665605">
    <w:pPr>
      <w:pStyle w:val="Footer"/>
      <w:framePr w:wrap="around" w:vAnchor="text" w:hAnchor="margin" w:xAlign="right" w:y="1"/>
    </w:pPr>
    <w:r>
      <w:fldChar w:fldCharType="begin"/>
    </w:r>
    <w:r>
      <w:instrText xml:space="preserve">PAGE  </w:instrText>
    </w:r>
    <w:r>
      <w:fldChar w:fldCharType="separate"/>
    </w:r>
    <w:r>
      <w:rPr>
        <w:noProof/>
      </w:rPr>
      <w:t>190</w:t>
    </w:r>
    <w:r>
      <w:rPr>
        <w:noProof/>
      </w:rPr>
      <w:fldChar w:fldCharType="end"/>
    </w:r>
  </w:p>
  <w:p w14:paraId="71A6865F" w14:textId="77777777" w:rsidR="00665605" w:rsidRDefault="00665605">
    <w:pPr>
      <w:pStyle w:val="Foot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9C4EF" w14:textId="77777777" w:rsidR="00665605" w:rsidRDefault="00665605" w:rsidP="00A968EC">
    <w:pPr>
      <w:pStyle w:val="Footer"/>
      <w:tabs>
        <w:tab w:val="clear" w:pos="4153"/>
        <w:tab w:val="clear" w:pos="8306"/>
        <w:tab w:val="right" w:pos="14459"/>
      </w:tabs>
      <w:ind w:left="-284" w:right="-1"/>
      <w:rPr>
        <w:b/>
        <w:i/>
        <w:sz w:val="20"/>
      </w:rPr>
    </w:pPr>
    <w:r>
      <w:rPr>
        <w:b/>
        <w:i/>
        <w:sz w:val="29"/>
      </w:rPr>
      <w:t>Victorian Utility Consumption Household Survey 2015</w:t>
    </w:r>
    <w:r>
      <w:rPr>
        <w:b/>
        <w:i/>
        <w:sz w:val="29"/>
      </w:rPr>
      <w:tab/>
    </w:r>
    <w:r>
      <w:rPr>
        <w:b/>
        <w:i/>
        <w:sz w:val="20"/>
      </w:rPr>
      <w:t xml:space="preserve">Page </w:t>
    </w:r>
    <w:r>
      <w:rPr>
        <w:b/>
        <w:i/>
        <w:sz w:val="20"/>
      </w:rPr>
      <w:fldChar w:fldCharType="begin"/>
    </w:r>
    <w:r>
      <w:rPr>
        <w:b/>
        <w:i/>
        <w:sz w:val="20"/>
      </w:rPr>
      <w:instrText xml:space="preserve"> PAGE </w:instrText>
    </w:r>
    <w:r>
      <w:rPr>
        <w:b/>
        <w:i/>
        <w:sz w:val="20"/>
      </w:rPr>
      <w:fldChar w:fldCharType="separate"/>
    </w:r>
    <w:r w:rsidR="003257A2">
      <w:rPr>
        <w:b/>
        <w:i/>
        <w:noProof/>
        <w:sz w:val="20"/>
      </w:rPr>
      <w:t>174</w:t>
    </w:r>
    <w:r>
      <w:rPr>
        <w:b/>
        <w:i/>
        <w:sz w:val="20"/>
      </w:rPr>
      <w:fldChar w:fldCharType="end"/>
    </w:r>
  </w:p>
  <w:p w14:paraId="7694CC4E" w14:textId="77777777" w:rsidR="00665605" w:rsidRDefault="00665605">
    <w:pPr>
      <w:pStyle w:val="Footer"/>
      <w:tabs>
        <w:tab w:val="clear" w:pos="4153"/>
        <w:tab w:val="clear" w:pos="8306"/>
        <w:tab w:val="right" w:pos="8505"/>
      </w:tabs>
      <w:spacing w:before="0" w:after="0"/>
      <w:ind w:left="-284"/>
      <w:rPr>
        <w:b/>
        <w:i/>
      </w:rPr>
    </w:pPr>
  </w:p>
  <w:p w14:paraId="456EB11D" w14:textId="77777777" w:rsidR="00665605" w:rsidRDefault="00665605">
    <w:pPr>
      <w:pStyle w:val="Footer"/>
      <w:pBdr>
        <w:top w:val="single" w:sz="6" w:space="1" w:color="auto"/>
      </w:pBdr>
      <w:tabs>
        <w:tab w:val="clear" w:pos="4153"/>
        <w:tab w:val="clear" w:pos="8306"/>
        <w:tab w:val="right" w:pos="8505"/>
      </w:tabs>
      <w:ind w:left="-284"/>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FC1C8" w14:textId="7C1EE8D5" w:rsidR="00665605" w:rsidRDefault="00665605" w:rsidP="005E4563">
    <w:pPr>
      <w:pStyle w:val="Footer"/>
      <w:tabs>
        <w:tab w:val="clear" w:pos="4153"/>
        <w:tab w:val="clear" w:pos="8306"/>
        <w:tab w:val="center" w:pos="4395"/>
        <w:tab w:val="right" w:pos="14459"/>
      </w:tabs>
      <w:ind w:left="-284" w:right="-1"/>
      <w:rPr>
        <w:b/>
        <w:i/>
        <w:sz w:val="20"/>
      </w:rPr>
    </w:pPr>
    <w:r>
      <w:rPr>
        <w:b/>
        <w:i/>
        <w:sz w:val="29"/>
      </w:rPr>
      <w:t>Victorian Utility Consumption Household Survey 2015</w:t>
    </w:r>
    <w:r>
      <w:rPr>
        <w:b/>
        <w:i/>
        <w:sz w:val="29"/>
      </w:rPr>
      <w:tab/>
    </w:r>
    <w:r>
      <w:rPr>
        <w:b/>
        <w:i/>
        <w:sz w:val="29"/>
      </w:rPr>
      <w:tab/>
    </w:r>
  </w:p>
  <w:p w14:paraId="3139DABE" w14:textId="77777777" w:rsidR="00665605" w:rsidRDefault="00665605">
    <w:pPr>
      <w:pStyle w:val="Footer"/>
      <w:tabs>
        <w:tab w:val="clear" w:pos="4153"/>
        <w:tab w:val="clear" w:pos="8306"/>
        <w:tab w:val="right" w:pos="8505"/>
      </w:tabs>
      <w:spacing w:before="0" w:after="0"/>
      <w:ind w:left="-284"/>
      <w:rPr>
        <w:b/>
        <w:i/>
      </w:rPr>
    </w:pPr>
  </w:p>
  <w:p w14:paraId="138970A3" w14:textId="77777777" w:rsidR="00665605" w:rsidRDefault="00665605">
    <w:pPr>
      <w:pStyle w:val="Footer"/>
      <w:pBdr>
        <w:top w:val="single" w:sz="6" w:space="1" w:color="auto"/>
      </w:pBdr>
      <w:tabs>
        <w:tab w:val="clear" w:pos="4153"/>
        <w:tab w:val="clear" w:pos="8306"/>
        <w:tab w:val="right" w:pos="8505"/>
      </w:tabs>
      <w:ind w:left="-284"/>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2E820" w14:textId="77777777" w:rsidR="00665605" w:rsidRDefault="00665605">
    <w:pPr>
      <w:pStyle w:val="Footer"/>
      <w:tabs>
        <w:tab w:val="clear" w:pos="4153"/>
        <w:tab w:val="clear" w:pos="8306"/>
        <w:tab w:val="center" w:pos="4253"/>
        <w:tab w:val="right" w:pos="850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D0F63" w14:textId="77777777" w:rsidR="00665605" w:rsidRDefault="00665605">
    <w:pPr>
      <w:pStyle w:val="Footer"/>
      <w:rPr>
        <w:b/>
        <w:i/>
        <w:sz w:val="20"/>
      </w:rPr>
    </w:pPr>
    <w:r>
      <w:rPr>
        <w:b/>
        <w:i/>
        <w:sz w:val="29"/>
      </w:rPr>
      <w:t>Victorian Utility Consumption Survey</w:t>
    </w:r>
    <w:r>
      <w:tab/>
    </w:r>
    <w:r>
      <w:tab/>
    </w:r>
  </w:p>
  <w:p w14:paraId="7CB3FF22" w14:textId="77777777" w:rsidR="00665605" w:rsidRDefault="00665605">
    <w:pPr>
      <w:pStyle w:val="Footer"/>
      <w:spacing w:before="0" w:after="0"/>
    </w:pPr>
  </w:p>
  <w:p w14:paraId="204FC812" w14:textId="77777777" w:rsidR="00665605" w:rsidRDefault="00665605">
    <w:pPr>
      <w:pStyle w:val="Footer"/>
      <w:pBdr>
        <w:top w:val="single" w:sz="6"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B98CC" w14:textId="0496FEBF" w:rsidR="00665605" w:rsidRDefault="00665605" w:rsidP="001E6158">
    <w:pPr>
      <w:pStyle w:val="Footer"/>
      <w:tabs>
        <w:tab w:val="clear" w:pos="4153"/>
        <w:tab w:val="clear" w:pos="8306"/>
        <w:tab w:val="center" w:pos="4395"/>
        <w:tab w:val="right" w:pos="14601"/>
      </w:tabs>
      <w:ind w:left="-284" w:right="-1"/>
      <w:rPr>
        <w:i/>
        <w:sz w:val="20"/>
      </w:rPr>
    </w:pPr>
    <w:r>
      <w:rPr>
        <w:b/>
        <w:i/>
        <w:sz w:val="29"/>
      </w:rPr>
      <w:t>Victorian Utility Consumption Household Survey 2015</w:t>
    </w:r>
    <w:r>
      <w:rPr>
        <w:b/>
        <w:i/>
        <w:sz w:val="29"/>
      </w:rPr>
      <w:tab/>
    </w:r>
    <w:r>
      <w:rPr>
        <w:i/>
        <w:sz w:val="20"/>
      </w:rPr>
      <w:t xml:space="preserve">Page </w:t>
    </w:r>
    <w:r>
      <w:rPr>
        <w:i/>
      </w:rPr>
      <w:fldChar w:fldCharType="begin"/>
    </w:r>
    <w:r>
      <w:rPr>
        <w:i/>
      </w:rPr>
      <w:instrText xml:space="preserve"> PAGE </w:instrText>
    </w:r>
    <w:r>
      <w:rPr>
        <w:i/>
      </w:rPr>
      <w:fldChar w:fldCharType="separate"/>
    </w:r>
    <w:r w:rsidR="003257A2">
      <w:rPr>
        <w:i/>
        <w:noProof/>
      </w:rPr>
      <w:t>29</w:t>
    </w:r>
    <w:r>
      <w:rPr>
        <w:i/>
      </w:rPr>
      <w:fldChar w:fldCharType="end"/>
    </w:r>
  </w:p>
  <w:p w14:paraId="0DC19065" w14:textId="77777777" w:rsidR="00665605" w:rsidRDefault="00665605">
    <w:pPr>
      <w:pStyle w:val="Footer"/>
      <w:tabs>
        <w:tab w:val="clear" w:pos="4153"/>
        <w:tab w:val="clear" w:pos="8306"/>
        <w:tab w:val="right" w:pos="8505"/>
      </w:tabs>
      <w:spacing w:before="0" w:after="0"/>
      <w:ind w:left="-284"/>
      <w:rPr>
        <w:b/>
        <w:i/>
      </w:rPr>
    </w:pPr>
  </w:p>
  <w:p w14:paraId="55CD34B4" w14:textId="77777777" w:rsidR="00665605" w:rsidRDefault="00665605">
    <w:pPr>
      <w:pStyle w:val="Footer"/>
      <w:pBdr>
        <w:top w:val="single" w:sz="6" w:space="1" w:color="auto"/>
      </w:pBdr>
      <w:tabs>
        <w:tab w:val="clear" w:pos="4153"/>
        <w:tab w:val="clear" w:pos="8306"/>
        <w:tab w:val="right" w:pos="8505"/>
      </w:tabs>
      <w:ind w:left="-284"/>
      <w:rPr>
        <w:b/>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5069" w14:textId="2FB7AB4C" w:rsidR="00665605" w:rsidRDefault="00665605" w:rsidP="001E6158">
    <w:pPr>
      <w:pStyle w:val="Footer"/>
      <w:tabs>
        <w:tab w:val="clear" w:pos="4153"/>
        <w:tab w:val="clear" w:pos="8306"/>
        <w:tab w:val="center" w:pos="4395"/>
        <w:tab w:val="right" w:pos="14601"/>
      </w:tabs>
      <w:ind w:left="-284" w:right="-1"/>
      <w:rPr>
        <w:i/>
        <w:sz w:val="20"/>
      </w:rPr>
    </w:pPr>
    <w:r>
      <w:rPr>
        <w:b/>
        <w:i/>
        <w:sz w:val="29"/>
      </w:rPr>
      <w:t>Victorian Utility Consumption Household Survey 2015</w:t>
    </w:r>
    <w:r>
      <w:rPr>
        <w:b/>
        <w:i/>
        <w:sz w:val="29"/>
      </w:rPr>
      <w:tab/>
    </w:r>
    <w:r>
      <w:rPr>
        <w:i/>
        <w:sz w:val="20"/>
      </w:rPr>
      <w:t xml:space="preserve">Page </w:t>
    </w:r>
    <w:r w:rsidRPr="001E6158">
      <w:rPr>
        <w:i/>
        <w:szCs w:val="24"/>
      </w:rPr>
      <w:fldChar w:fldCharType="begin"/>
    </w:r>
    <w:r w:rsidRPr="001E6158">
      <w:rPr>
        <w:i/>
        <w:szCs w:val="24"/>
      </w:rPr>
      <w:instrText xml:space="preserve"> PAGE </w:instrText>
    </w:r>
    <w:r w:rsidRPr="001E6158">
      <w:rPr>
        <w:i/>
        <w:szCs w:val="24"/>
      </w:rPr>
      <w:fldChar w:fldCharType="separate"/>
    </w:r>
    <w:r w:rsidR="003257A2">
      <w:rPr>
        <w:i/>
        <w:noProof/>
        <w:szCs w:val="24"/>
      </w:rPr>
      <w:t>83</w:t>
    </w:r>
    <w:r w:rsidRPr="001E6158">
      <w:rPr>
        <w:i/>
        <w:szCs w:val="24"/>
      </w:rPr>
      <w:fldChar w:fldCharType="end"/>
    </w:r>
  </w:p>
  <w:p w14:paraId="0CEC9F05" w14:textId="77777777" w:rsidR="00665605" w:rsidRDefault="00665605">
    <w:pPr>
      <w:pStyle w:val="Footer"/>
      <w:tabs>
        <w:tab w:val="clear" w:pos="4153"/>
        <w:tab w:val="clear" w:pos="8306"/>
        <w:tab w:val="right" w:pos="8505"/>
      </w:tabs>
      <w:spacing w:before="0" w:after="0"/>
      <w:ind w:left="-284"/>
      <w:rPr>
        <w:b/>
        <w:i/>
      </w:rPr>
    </w:pPr>
  </w:p>
  <w:p w14:paraId="6C9D323E" w14:textId="77777777" w:rsidR="00665605" w:rsidRDefault="00665605">
    <w:pPr>
      <w:pStyle w:val="Footer"/>
      <w:pBdr>
        <w:top w:val="single" w:sz="6" w:space="1" w:color="auto"/>
      </w:pBdr>
      <w:tabs>
        <w:tab w:val="clear" w:pos="4153"/>
        <w:tab w:val="clear" w:pos="8306"/>
        <w:tab w:val="right" w:pos="8505"/>
      </w:tabs>
      <w:ind w:left="-284"/>
      <w:rPr>
        <w:b/>
        <w: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E2F7E" w14:textId="7C2491D7" w:rsidR="00665605" w:rsidRDefault="00665605" w:rsidP="001E6158">
    <w:pPr>
      <w:pStyle w:val="Footer"/>
      <w:tabs>
        <w:tab w:val="clear" w:pos="4153"/>
        <w:tab w:val="clear" w:pos="8306"/>
        <w:tab w:val="center" w:pos="4395"/>
        <w:tab w:val="right" w:pos="14601"/>
      </w:tabs>
      <w:ind w:left="-284" w:right="-1"/>
      <w:rPr>
        <w:i/>
        <w:sz w:val="20"/>
      </w:rPr>
    </w:pPr>
    <w:r>
      <w:rPr>
        <w:b/>
        <w:i/>
        <w:sz w:val="29"/>
      </w:rPr>
      <w:t>Victorian Utility Consumption Household Survey 2015</w:t>
    </w:r>
    <w:r>
      <w:rPr>
        <w:b/>
        <w:i/>
        <w:sz w:val="29"/>
      </w:rPr>
      <w:tab/>
    </w:r>
    <w:r>
      <w:rPr>
        <w:i/>
        <w:sz w:val="20"/>
      </w:rPr>
      <w:t xml:space="preserve">Page </w:t>
    </w:r>
    <w:r w:rsidRPr="00DB0DAC">
      <w:rPr>
        <w:i/>
      </w:rPr>
      <w:fldChar w:fldCharType="begin"/>
    </w:r>
    <w:r w:rsidRPr="00DB0DAC">
      <w:rPr>
        <w:i/>
      </w:rPr>
      <w:instrText xml:space="preserve"> PAGE </w:instrText>
    </w:r>
    <w:r w:rsidRPr="00DB0DAC">
      <w:rPr>
        <w:i/>
      </w:rPr>
      <w:fldChar w:fldCharType="separate"/>
    </w:r>
    <w:r w:rsidR="003257A2">
      <w:rPr>
        <w:i/>
        <w:noProof/>
      </w:rPr>
      <w:t>87</w:t>
    </w:r>
    <w:r w:rsidRPr="00DB0DAC">
      <w:rPr>
        <w:i/>
      </w:rPr>
      <w:fldChar w:fldCharType="end"/>
    </w:r>
  </w:p>
  <w:p w14:paraId="05E0BD3C" w14:textId="77777777" w:rsidR="00665605" w:rsidRDefault="00665605">
    <w:pPr>
      <w:pStyle w:val="Footer"/>
      <w:tabs>
        <w:tab w:val="clear" w:pos="4153"/>
        <w:tab w:val="clear" w:pos="8306"/>
        <w:tab w:val="right" w:pos="8505"/>
      </w:tabs>
      <w:spacing w:before="0" w:after="0"/>
      <w:ind w:left="-284"/>
      <w:rPr>
        <w:b/>
        <w:i/>
      </w:rPr>
    </w:pPr>
  </w:p>
  <w:p w14:paraId="19C84CB7" w14:textId="77777777" w:rsidR="00665605" w:rsidRDefault="00665605">
    <w:pPr>
      <w:pStyle w:val="Footer"/>
      <w:pBdr>
        <w:top w:val="single" w:sz="6" w:space="1" w:color="auto"/>
      </w:pBdr>
      <w:tabs>
        <w:tab w:val="clear" w:pos="4153"/>
        <w:tab w:val="clear" w:pos="8306"/>
        <w:tab w:val="right" w:pos="8505"/>
      </w:tabs>
      <w:ind w:left="-284"/>
      <w:rPr>
        <w:b/>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9A1BE" w14:textId="4D43176D" w:rsidR="00665605" w:rsidRDefault="00665605" w:rsidP="001E6158">
    <w:pPr>
      <w:pStyle w:val="Footer"/>
      <w:tabs>
        <w:tab w:val="clear" w:pos="4153"/>
        <w:tab w:val="clear" w:pos="8306"/>
        <w:tab w:val="center" w:pos="4395"/>
        <w:tab w:val="right" w:pos="14601"/>
      </w:tabs>
      <w:ind w:left="-284" w:right="-1"/>
      <w:rPr>
        <w:i/>
        <w:sz w:val="20"/>
      </w:rPr>
    </w:pPr>
    <w:r>
      <w:rPr>
        <w:b/>
        <w:i/>
        <w:sz w:val="29"/>
      </w:rPr>
      <w:t>Victorian Utility Consumption Household Survey 2015</w:t>
    </w:r>
    <w:r>
      <w:rPr>
        <w:b/>
        <w:i/>
        <w:sz w:val="29"/>
      </w:rPr>
      <w:tab/>
    </w:r>
    <w:r>
      <w:rPr>
        <w:i/>
        <w:sz w:val="20"/>
      </w:rPr>
      <w:t xml:space="preserve">Page </w:t>
    </w:r>
    <w:r>
      <w:rPr>
        <w:i/>
        <w:sz w:val="20"/>
      </w:rPr>
      <w:fldChar w:fldCharType="begin"/>
    </w:r>
    <w:r>
      <w:rPr>
        <w:i/>
        <w:sz w:val="20"/>
      </w:rPr>
      <w:instrText xml:space="preserve"> PAGE </w:instrText>
    </w:r>
    <w:r>
      <w:rPr>
        <w:i/>
        <w:sz w:val="20"/>
      </w:rPr>
      <w:fldChar w:fldCharType="separate"/>
    </w:r>
    <w:r w:rsidR="003257A2">
      <w:rPr>
        <w:i/>
        <w:noProof/>
        <w:sz w:val="20"/>
      </w:rPr>
      <w:t>103</w:t>
    </w:r>
    <w:r>
      <w:rPr>
        <w:i/>
        <w:sz w:val="20"/>
      </w:rPr>
      <w:fldChar w:fldCharType="end"/>
    </w:r>
  </w:p>
  <w:p w14:paraId="226EDD20" w14:textId="77777777" w:rsidR="00665605" w:rsidRDefault="00665605">
    <w:pPr>
      <w:pStyle w:val="Footer"/>
      <w:tabs>
        <w:tab w:val="clear" w:pos="4153"/>
        <w:tab w:val="clear" w:pos="8306"/>
        <w:tab w:val="right" w:pos="8505"/>
      </w:tabs>
      <w:spacing w:before="0" w:after="0"/>
      <w:ind w:left="-284"/>
      <w:rPr>
        <w:b/>
        <w:i/>
      </w:rPr>
    </w:pPr>
  </w:p>
  <w:p w14:paraId="1225EC12" w14:textId="77777777" w:rsidR="00665605" w:rsidRDefault="00665605">
    <w:pPr>
      <w:pStyle w:val="Footer"/>
      <w:pBdr>
        <w:top w:val="single" w:sz="6" w:space="1" w:color="auto"/>
      </w:pBdr>
      <w:tabs>
        <w:tab w:val="clear" w:pos="4153"/>
        <w:tab w:val="clear" w:pos="8306"/>
        <w:tab w:val="right" w:pos="8505"/>
      </w:tabs>
      <w:ind w:left="-284"/>
      <w:rPr>
        <w:b/>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2C02B" w14:textId="3A74B1B7" w:rsidR="00665605" w:rsidRDefault="00665605" w:rsidP="001E6158">
    <w:pPr>
      <w:pStyle w:val="Footer"/>
      <w:tabs>
        <w:tab w:val="clear" w:pos="4153"/>
        <w:tab w:val="clear" w:pos="8306"/>
        <w:tab w:val="center" w:pos="4395"/>
        <w:tab w:val="right" w:pos="14601"/>
      </w:tabs>
      <w:ind w:left="-284" w:right="-1"/>
      <w:rPr>
        <w:i/>
        <w:sz w:val="20"/>
      </w:rPr>
    </w:pPr>
    <w:r>
      <w:rPr>
        <w:b/>
        <w:i/>
        <w:sz w:val="29"/>
      </w:rPr>
      <w:t>Victorian Utility Consumption Household Survey 2015</w:t>
    </w:r>
    <w:r>
      <w:rPr>
        <w:b/>
        <w:i/>
        <w:sz w:val="29"/>
      </w:rPr>
      <w:tab/>
    </w:r>
    <w:r>
      <w:rPr>
        <w:i/>
        <w:sz w:val="20"/>
      </w:rPr>
      <w:t xml:space="preserve">Page </w:t>
    </w:r>
    <w:r>
      <w:rPr>
        <w:i/>
        <w:sz w:val="20"/>
      </w:rPr>
      <w:fldChar w:fldCharType="begin"/>
    </w:r>
    <w:r>
      <w:rPr>
        <w:i/>
        <w:sz w:val="20"/>
      </w:rPr>
      <w:instrText xml:space="preserve"> PAGE </w:instrText>
    </w:r>
    <w:r>
      <w:rPr>
        <w:i/>
        <w:sz w:val="20"/>
      </w:rPr>
      <w:fldChar w:fldCharType="separate"/>
    </w:r>
    <w:r w:rsidR="003257A2">
      <w:rPr>
        <w:i/>
        <w:noProof/>
        <w:sz w:val="20"/>
      </w:rPr>
      <w:t>108</w:t>
    </w:r>
    <w:r>
      <w:rPr>
        <w:i/>
        <w:sz w:val="20"/>
      </w:rPr>
      <w:fldChar w:fldCharType="end"/>
    </w:r>
  </w:p>
  <w:p w14:paraId="1882FCED" w14:textId="77777777" w:rsidR="00665605" w:rsidRDefault="00665605">
    <w:pPr>
      <w:pStyle w:val="Footer"/>
      <w:tabs>
        <w:tab w:val="clear" w:pos="4153"/>
        <w:tab w:val="clear" w:pos="8306"/>
        <w:tab w:val="right" w:pos="8505"/>
      </w:tabs>
      <w:spacing w:before="0" w:after="0"/>
      <w:ind w:left="-284"/>
      <w:rPr>
        <w:b/>
        <w:i/>
      </w:rPr>
    </w:pPr>
  </w:p>
  <w:p w14:paraId="742DD8A0" w14:textId="77777777" w:rsidR="00665605" w:rsidRDefault="00665605">
    <w:pPr>
      <w:pStyle w:val="Footer"/>
      <w:pBdr>
        <w:top w:val="single" w:sz="6" w:space="1" w:color="auto"/>
      </w:pBdr>
      <w:tabs>
        <w:tab w:val="clear" w:pos="4153"/>
        <w:tab w:val="clear" w:pos="8306"/>
        <w:tab w:val="right" w:pos="8505"/>
      </w:tabs>
      <w:ind w:left="-284"/>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0FF6CAFE"/>
    <w:lvl w:ilvl="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517"/>
        </w:tabs>
        <w:ind w:left="851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0BB2AE5"/>
    <w:multiLevelType w:val="multilevel"/>
    <w:tmpl w:val="A0D4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D44F7"/>
    <w:multiLevelType w:val="hybridMultilevel"/>
    <w:tmpl w:val="156C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D0C9F"/>
    <w:multiLevelType w:val="singleLevel"/>
    <w:tmpl w:val="2A50A1F0"/>
    <w:lvl w:ilvl="0">
      <w:start w:val="1"/>
      <w:numFmt w:val="bullet"/>
      <w:lvlText w:val=""/>
      <w:lvlJc w:val="left"/>
      <w:pPr>
        <w:tabs>
          <w:tab w:val="num" w:pos="927"/>
        </w:tabs>
        <w:ind w:left="851" w:hanging="284"/>
      </w:pPr>
      <w:rPr>
        <w:rFonts w:ascii="Symbol" w:hAnsi="Symbol" w:hint="default"/>
      </w:rPr>
    </w:lvl>
  </w:abstractNum>
  <w:abstractNum w:abstractNumId="4" w15:restartNumberingAfterBreak="0">
    <w:nsid w:val="17A266C5"/>
    <w:multiLevelType w:val="singleLevel"/>
    <w:tmpl w:val="2A50A1F0"/>
    <w:lvl w:ilvl="0">
      <w:start w:val="1"/>
      <w:numFmt w:val="bullet"/>
      <w:lvlText w:val=""/>
      <w:lvlJc w:val="left"/>
      <w:pPr>
        <w:tabs>
          <w:tab w:val="num" w:pos="927"/>
        </w:tabs>
        <w:ind w:left="851" w:hanging="284"/>
      </w:pPr>
      <w:rPr>
        <w:rFonts w:ascii="Symbol" w:hAnsi="Symbol" w:hint="default"/>
      </w:rPr>
    </w:lvl>
  </w:abstractNum>
  <w:abstractNum w:abstractNumId="5" w15:restartNumberingAfterBreak="0">
    <w:nsid w:val="1B0A01DC"/>
    <w:multiLevelType w:val="hybridMultilevel"/>
    <w:tmpl w:val="8488D186"/>
    <w:lvl w:ilvl="0" w:tplc="DDE8A6F4">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6" w15:restartNumberingAfterBreak="0">
    <w:nsid w:val="1D643C79"/>
    <w:multiLevelType w:val="multilevel"/>
    <w:tmpl w:val="1226A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486D4F"/>
    <w:multiLevelType w:val="hybridMultilevel"/>
    <w:tmpl w:val="91889E2E"/>
    <w:lvl w:ilvl="0" w:tplc="90A45BF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9C776BA"/>
    <w:multiLevelType w:val="multilevel"/>
    <w:tmpl w:val="FB90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32726"/>
    <w:multiLevelType w:val="hybridMultilevel"/>
    <w:tmpl w:val="3D683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9558DE"/>
    <w:multiLevelType w:val="hybridMultilevel"/>
    <w:tmpl w:val="0E3EE4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62A15"/>
    <w:multiLevelType w:val="hybridMultilevel"/>
    <w:tmpl w:val="2E7E1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14C0B"/>
    <w:multiLevelType w:val="hybridMultilevel"/>
    <w:tmpl w:val="2E84F7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C5757"/>
    <w:multiLevelType w:val="hybridMultilevel"/>
    <w:tmpl w:val="C48CEBA8"/>
    <w:lvl w:ilvl="0" w:tplc="C09492C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4D58F5"/>
    <w:multiLevelType w:val="hybridMultilevel"/>
    <w:tmpl w:val="6F42B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7D322E"/>
    <w:multiLevelType w:val="hybridMultilevel"/>
    <w:tmpl w:val="7D361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665F47"/>
    <w:multiLevelType w:val="hybridMultilevel"/>
    <w:tmpl w:val="DAC0A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46E5C"/>
    <w:multiLevelType w:val="multilevel"/>
    <w:tmpl w:val="2CBC7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D7818"/>
    <w:multiLevelType w:val="singleLevel"/>
    <w:tmpl w:val="19844F28"/>
    <w:lvl w:ilvl="0">
      <w:numFmt w:val="bullet"/>
      <w:lvlText w:val="-"/>
      <w:lvlJc w:val="left"/>
      <w:pPr>
        <w:tabs>
          <w:tab w:val="num" w:pos="360"/>
        </w:tabs>
        <w:ind w:left="360" w:hanging="360"/>
      </w:pPr>
      <w:rPr>
        <w:rFonts w:hint="default"/>
      </w:rPr>
    </w:lvl>
  </w:abstractNum>
  <w:abstractNum w:abstractNumId="19" w15:restartNumberingAfterBreak="0">
    <w:nsid w:val="491205EE"/>
    <w:multiLevelType w:val="hybridMultilevel"/>
    <w:tmpl w:val="57DAA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B762D"/>
    <w:multiLevelType w:val="multilevel"/>
    <w:tmpl w:val="CD7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0C1436"/>
    <w:multiLevelType w:val="hybridMultilevel"/>
    <w:tmpl w:val="22FC6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D3143C"/>
    <w:multiLevelType w:val="hybridMultilevel"/>
    <w:tmpl w:val="F9469948"/>
    <w:lvl w:ilvl="0" w:tplc="90A45BF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6A51461"/>
    <w:multiLevelType w:val="hybridMultilevel"/>
    <w:tmpl w:val="0F4E98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F60D21"/>
    <w:multiLevelType w:val="singleLevel"/>
    <w:tmpl w:val="90A45BFC"/>
    <w:lvl w:ilvl="0">
      <w:start w:val="1"/>
      <w:numFmt w:val="decimal"/>
      <w:lvlText w:val="%1."/>
      <w:lvlJc w:val="left"/>
      <w:pPr>
        <w:tabs>
          <w:tab w:val="num" w:pos="360"/>
        </w:tabs>
        <w:ind w:left="360" w:hanging="360"/>
      </w:pPr>
      <w:rPr>
        <w:rFonts w:hint="default"/>
      </w:rPr>
    </w:lvl>
  </w:abstractNum>
  <w:abstractNum w:abstractNumId="25" w15:restartNumberingAfterBreak="0">
    <w:nsid w:val="72033716"/>
    <w:multiLevelType w:val="hybridMultilevel"/>
    <w:tmpl w:val="037E5EB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D360B8"/>
    <w:multiLevelType w:val="multilevel"/>
    <w:tmpl w:val="66C62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0C6BD0"/>
    <w:multiLevelType w:val="hybridMultilevel"/>
    <w:tmpl w:val="BC4C4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
  </w:num>
  <w:num w:numId="4">
    <w:abstractNumId w:val="0"/>
  </w:num>
  <w:num w:numId="5">
    <w:abstractNumId w:val="24"/>
  </w:num>
  <w:num w:numId="6">
    <w:abstractNumId w:val="7"/>
  </w:num>
  <w:num w:numId="7">
    <w:abstractNumId w:val="22"/>
  </w:num>
  <w:num w:numId="8">
    <w:abstractNumId w:val="17"/>
  </w:num>
  <w:num w:numId="9">
    <w:abstractNumId w:val="26"/>
  </w:num>
  <w:num w:numId="10">
    <w:abstractNumId w:val="8"/>
  </w:num>
  <w:num w:numId="11">
    <w:abstractNumId w:val="20"/>
  </w:num>
  <w:num w:numId="12">
    <w:abstractNumId w:val="1"/>
  </w:num>
  <w:num w:numId="13">
    <w:abstractNumId w:val="6"/>
  </w:num>
  <w:num w:numId="14">
    <w:abstractNumId w:val="12"/>
  </w:num>
  <w:num w:numId="15">
    <w:abstractNumId w:val="25"/>
  </w:num>
  <w:num w:numId="16">
    <w:abstractNumId w:val="19"/>
  </w:num>
  <w:num w:numId="17">
    <w:abstractNumId w:val="16"/>
  </w:num>
  <w:num w:numId="18">
    <w:abstractNumId w:val="21"/>
  </w:num>
  <w:num w:numId="19">
    <w:abstractNumId w:val="27"/>
  </w:num>
  <w:num w:numId="20">
    <w:abstractNumId w:val="23"/>
  </w:num>
  <w:num w:numId="21">
    <w:abstractNumId w:val="2"/>
  </w:num>
  <w:num w:numId="22">
    <w:abstractNumId w:val="1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1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9"/>
  </w:num>
  <w:num w:numId="37">
    <w:abstractNumId w:val="15"/>
  </w:num>
  <w:num w:numId="38">
    <w:abstractNumId w:val="0"/>
  </w:num>
  <w:num w:numId="39">
    <w:abstractNumId w:val="0"/>
  </w:num>
  <w:num w:numId="40">
    <w:abstractNumId w:val="0"/>
  </w:num>
  <w:num w:numId="41">
    <w:abstractNumId w:val="11"/>
  </w:num>
  <w:num w:numId="4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7105" fill="f" fillcolor="white" stroke="f">
      <v:fill color="white" on="f"/>
      <v:stroke on="f"/>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ACB"/>
    <w:rsid w:val="00000B4D"/>
    <w:rsid w:val="000015C9"/>
    <w:rsid w:val="00002D92"/>
    <w:rsid w:val="00004F59"/>
    <w:rsid w:val="000102D7"/>
    <w:rsid w:val="00010CC8"/>
    <w:rsid w:val="000128DB"/>
    <w:rsid w:val="0001333E"/>
    <w:rsid w:val="0001692E"/>
    <w:rsid w:val="00017971"/>
    <w:rsid w:val="00022E1D"/>
    <w:rsid w:val="00023677"/>
    <w:rsid w:val="00024A53"/>
    <w:rsid w:val="0002541A"/>
    <w:rsid w:val="0002564C"/>
    <w:rsid w:val="00027B23"/>
    <w:rsid w:val="00027B24"/>
    <w:rsid w:val="000313B4"/>
    <w:rsid w:val="00032C5B"/>
    <w:rsid w:val="00033CDC"/>
    <w:rsid w:val="00035A07"/>
    <w:rsid w:val="00036CB0"/>
    <w:rsid w:val="00040261"/>
    <w:rsid w:val="00040B84"/>
    <w:rsid w:val="00041263"/>
    <w:rsid w:val="00042401"/>
    <w:rsid w:val="00042902"/>
    <w:rsid w:val="000457E6"/>
    <w:rsid w:val="00054798"/>
    <w:rsid w:val="000561BD"/>
    <w:rsid w:val="000573C0"/>
    <w:rsid w:val="000576FD"/>
    <w:rsid w:val="00060E74"/>
    <w:rsid w:val="00063343"/>
    <w:rsid w:val="000637E9"/>
    <w:rsid w:val="000657FB"/>
    <w:rsid w:val="00072B63"/>
    <w:rsid w:val="00072D3A"/>
    <w:rsid w:val="00072FA5"/>
    <w:rsid w:val="00073160"/>
    <w:rsid w:val="0007508A"/>
    <w:rsid w:val="00075B81"/>
    <w:rsid w:val="0007613F"/>
    <w:rsid w:val="00076B32"/>
    <w:rsid w:val="00080699"/>
    <w:rsid w:val="000823E1"/>
    <w:rsid w:val="00083C37"/>
    <w:rsid w:val="000848DE"/>
    <w:rsid w:val="0008518C"/>
    <w:rsid w:val="00086B9C"/>
    <w:rsid w:val="00092130"/>
    <w:rsid w:val="00092B76"/>
    <w:rsid w:val="00094026"/>
    <w:rsid w:val="00095E0F"/>
    <w:rsid w:val="000A0201"/>
    <w:rsid w:val="000A041C"/>
    <w:rsid w:val="000A0CA9"/>
    <w:rsid w:val="000A1DFC"/>
    <w:rsid w:val="000B20BF"/>
    <w:rsid w:val="000B24FE"/>
    <w:rsid w:val="000B2893"/>
    <w:rsid w:val="000B3BFE"/>
    <w:rsid w:val="000B4402"/>
    <w:rsid w:val="000B4F0C"/>
    <w:rsid w:val="000B5BCC"/>
    <w:rsid w:val="000B5F00"/>
    <w:rsid w:val="000B76CF"/>
    <w:rsid w:val="000B7A48"/>
    <w:rsid w:val="000B7B15"/>
    <w:rsid w:val="000C054D"/>
    <w:rsid w:val="000C2489"/>
    <w:rsid w:val="000C35F2"/>
    <w:rsid w:val="000C47FE"/>
    <w:rsid w:val="000C4ECC"/>
    <w:rsid w:val="000D1506"/>
    <w:rsid w:val="000D6DBD"/>
    <w:rsid w:val="000D7760"/>
    <w:rsid w:val="000E08E8"/>
    <w:rsid w:val="000E0A67"/>
    <w:rsid w:val="000E0AA3"/>
    <w:rsid w:val="000E3A4C"/>
    <w:rsid w:val="000E44ED"/>
    <w:rsid w:val="000E4758"/>
    <w:rsid w:val="000E5278"/>
    <w:rsid w:val="000E608D"/>
    <w:rsid w:val="000E727E"/>
    <w:rsid w:val="000E75AB"/>
    <w:rsid w:val="000E7BE9"/>
    <w:rsid w:val="000E7D77"/>
    <w:rsid w:val="000F005C"/>
    <w:rsid w:val="000F02D7"/>
    <w:rsid w:val="000F1421"/>
    <w:rsid w:val="000F1EBE"/>
    <w:rsid w:val="000F3E98"/>
    <w:rsid w:val="000F5405"/>
    <w:rsid w:val="000F55DE"/>
    <w:rsid w:val="000F58D3"/>
    <w:rsid w:val="00100168"/>
    <w:rsid w:val="001002B7"/>
    <w:rsid w:val="0010041A"/>
    <w:rsid w:val="001012D3"/>
    <w:rsid w:val="0010134C"/>
    <w:rsid w:val="001025F8"/>
    <w:rsid w:val="00104894"/>
    <w:rsid w:val="00107765"/>
    <w:rsid w:val="00107EE7"/>
    <w:rsid w:val="00110226"/>
    <w:rsid w:val="00110A5E"/>
    <w:rsid w:val="0011111F"/>
    <w:rsid w:val="00111673"/>
    <w:rsid w:val="00122887"/>
    <w:rsid w:val="00123B98"/>
    <w:rsid w:val="00125162"/>
    <w:rsid w:val="0012623C"/>
    <w:rsid w:val="00127DA3"/>
    <w:rsid w:val="00127FBA"/>
    <w:rsid w:val="00132B69"/>
    <w:rsid w:val="00133DFA"/>
    <w:rsid w:val="001405B3"/>
    <w:rsid w:val="00140665"/>
    <w:rsid w:val="001432D9"/>
    <w:rsid w:val="0014364D"/>
    <w:rsid w:val="00143675"/>
    <w:rsid w:val="00147232"/>
    <w:rsid w:val="00150EDE"/>
    <w:rsid w:val="00151040"/>
    <w:rsid w:val="001515E9"/>
    <w:rsid w:val="00152B38"/>
    <w:rsid w:val="00154117"/>
    <w:rsid w:val="0015782C"/>
    <w:rsid w:val="0015792C"/>
    <w:rsid w:val="00157939"/>
    <w:rsid w:val="0015794E"/>
    <w:rsid w:val="00160961"/>
    <w:rsid w:val="00162840"/>
    <w:rsid w:val="00162EF6"/>
    <w:rsid w:val="001642EF"/>
    <w:rsid w:val="00164551"/>
    <w:rsid w:val="00165328"/>
    <w:rsid w:val="00167222"/>
    <w:rsid w:val="00171A2C"/>
    <w:rsid w:val="001735CD"/>
    <w:rsid w:val="001808C5"/>
    <w:rsid w:val="0018168E"/>
    <w:rsid w:val="0018286C"/>
    <w:rsid w:val="00184A24"/>
    <w:rsid w:val="00184CD0"/>
    <w:rsid w:val="00185D2D"/>
    <w:rsid w:val="001915B7"/>
    <w:rsid w:val="00191BA1"/>
    <w:rsid w:val="00192367"/>
    <w:rsid w:val="00193B4B"/>
    <w:rsid w:val="00194374"/>
    <w:rsid w:val="001A10AD"/>
    <w:rsid w:val="001A1DCD"/>
    <w:rsid w:val="001A2002"/>
    <w:rsid w:val="001A29A3"/>
    <w:rsid w:val="001A2A49"/>
    <w:rsid w:val="001A3582"/>
    <w:rsid w:val="001A3DEE"/>
    <w:rsid w:val="001A473A"/>
    <w:rsid w:val="001A53CA"/>
    <w:rsid w:val="001A7448"/>
    <w:rsid w:val="001B079D"/>
    <w:rsid w:val="001B4678"/>
    <w:rsid w:val="001B76AE"/>
    <w:rsid w:val="001B78A5"/>
    <w:rsid w:val="001C4358"/>
    <w:rsid w:val="001C4B24"/>
    <w:rsid w:val="001C6B8C"/>
    <w:rsid w:val="001C7140"/>
    <w:rsid w:val="001D042C"/>
    <w:rsid w:val="001D1FC2"/>
    <w:rsid w:val="001D2182"/>
    <w:rsid w:val="001D2D12"/>
    <w:rsid w:val="001D3084"/>
    <w:rsid w:val="001D5691"/>
    <w:rsid w:val="001D6437"/>
    <w:rsid w:val="001D7496"/>
    <w:rsid w:val="001E0693"/>
    <w:rsid w:val="001E0EBD"/>
    <w:rsid w:val="001E3FB4"/>
    <w:rsid w:val="001E5669"/>
    <w:rsid w:val="001E6158"/>
    <w:rsid w:val="001E7E08"/>
    <w:rsid w:val="001F2B90"/>
    <w:rsid w:val="001F3E33"/>
    <w:rsid w:val="001F4692"/>
    <w:rsid w:val="001F6211"/>
    <w:rsid w:val="001F7166"/>
    <w:rsid w:val="00201B08"/>
    <w:rsid w:val="002038EE"/>
    <w:rsid w:val="00205454"/>
    <w:rsid w:val="002066C2"/>
    <w:rsid w:val="00210187"/>
    <w:rsid w:val="00211CAB"/>
    <w:rsid w:val="00212261"/>
    <w:rsid w:val="002125DD"/>
    <w:rsid w:val="00213E7B"/>
    <w:rsid w:val="00214D3D"/>
    <w:rsid w:val="00217556"/>
    <w:rsid w:val="002221CE"/>
    <w:rsid w:val="00222324"/>
    <w:rsid w:val="00223CAF"/>
    <w:rsid w:val="002249EB"/>
    <w:rsid w:val="00226F15"/>
    <w:rsid w:val="00230F95"/>
    <w:rsid w:val="00233378"/>
    <w:rsid w:val="00233A24"/>
    <w:rsid w:val="00233C12"/>
    <w:rsid w:val="00234BFE"/>
    <w:rsid w:val="002370A0"/>
    <w:rsid w:val="00237810"/>
    <w:rsid w:val="00237C2D"/>
    <w:rsid w:val="00243D97"/>
    <w:rsid w:val="00245A3A"/>
    <w:rsid w:val="002514E7"/>
    <w:rsid w:val="00251E71"/>
    <w:rsid w:val="00253825"/>
    <w:rsid w:val="00254091"/>
    <w:rsid w:val="002540E9"/>
    <w:rsid w:val="00255B34"/>
    <w:rsid w:val="00255C77"/>
    <w:rsid w:val="00256AC4"/>
    <w:rsid w:val="00260126"/>
    <w:rsid w:val="002611D4"/>
    <w:rsid w:val="002618D8"/>
    <w:rsid w:val="00264701"/>
    <w:rsid w:val="002708CF"/>
    <w:rsid w:val="00272FFD"/>
    <w:rsid w:val="002733E9"/>
    <w:rsid w:val="00273A9D"/>
    <w:rsid w:val="00273BBB"/>
    <w:rsid w:val="00275231"/>
    <w:rsid w:val="00275733"/>
    <w:rsid w:val="00275CE9"/>
    <w:rsid w:val="00277A88"/>
    <w:rsid w:val="00283BDB"/>
    <w:rsid w:val="00285CC3"/>
    <w:rsid w:val="00286A01"/>
    <w:rsid w:val="002904DD"/>
    <w:rsid w:val="002938C1"/>
    <w:rsid w:val="00295848"/>
    <w:rsid w:val="00296570"/>
    <w:rsid w:val="00296917"/>
    <w:rsid w:val="002A01AE"/>
    <w:rsid w:val="002A065C"/>
    <w:rsid w:val="002A1BF8"/>
    <w:rsid w:val="002A2A10"/>
    <w:rsid w:val="002A3E3E"/>
    <w:rsid w:val="002A4B33"/>
    <w:rsid w:val="002A5048"/>
    <w:rsid w:val="002A578D"/>
    <w:rsid w:val="002B0E16"/>
    <w:rsid w:val="002B15C7"/>
    <w:rsid w:val="002B28AA"/>
    <w:rsid w:val="002B6E54"/>
    <w:rsid w:val="002C38BD"/>
    <w:rsid w:val="002C62F2"/>
    <w:rsid w:val="002D10D9"/>
    <w:rsid w:val="002D2F41"/>
    <w:rsid w:val="002D4443"/>
    <w:rsid w:val="002D4616"/>
    <w:rsid w:val="002D4EA2"/>
    <w:rsid w:val="002D6162"/>
    <w:rsid w:val="002D6342"/>
    <w:rsid w:val="002E5A3E"/>
    <w:rsid w:val="002E68EF"/>
    <w:rsid w:val="002E6BE5"/>
    <w:rsid w:val="002E6C71"/>
    <w:rsid w:val="002F117E"/>
    <w:rsid w:val="002F3957"/>
    <w:rsid w:val="002F4176"/>
    <w:rsid w:val="002F604E"/>
    <w:rsid w:val="00301243"/>
    <w:rsid w:val="00302718"/>
    <w:rsid w:val="00302B22"/>
    <w:rsid w:val="00303FCA"/>
    <w:rsid w:val="003045A7"/>
    <w:rsid w:val="00305F17"/>
    <w:rsid w:val="003074F6"/>
    <w:rsid w:val="00311020"/>
    <w:rsid w:val="00311E59"/>
    <w:rsid w:val="0031234C"/>
    <w:rsid w:val="00312EF3"/>
    <w:rsid w:val="00314185"/>
    <w:rsid w:val="003152E2"/>
    <w:rsid w:val="003154F9"/>
    <w:rsid w:val="0031565E"/>
    <w:rsid w:val="003212C1"/>
    <w:rsid w:val="00323A43"/>
    <w:rsid w:val="00323E96"/>
    <w:rsid w:val="00323F33"/>
    <w:rsid w:val="00324356"/>
    <w:rsid w:val="003246F8"/>
    <w:rsid w:val="003257A2"/>
    <w:rsid w:val="00325B9D"/>
    <w:rsid w:val="00325E3B"/>
    <w:rsid w:val="0033261D"/>
    <w:rsid w:val="003328EB"/>
    <w:rsid w:val="00332937"/>
    <w:rsid w:val="003411B6"/>
    <w:rsid w:val="0034319A"/>
    <w:rsid w:val="0034479A"/>
    <w:rsid w:val="003464D0"/>
    <w:rsid w:val="00347232"/>
    <w:rsid w:val="00353CE5"/>
    <w:rsid w:val="00354464"/>
    <w:rsid w:val="0035511D"/>
    <w:rsid w:val="0035571C"/>
    <w:rsid w:val="003561A9"/>
    <w:rsid w:val="0035712B"/>
    <w:rsid w:val="00360019"/>
    <w:rsid w:val="003621B7"/>
    <w:rsid w:val="003638F1"/>
    <w:rsid w:val="00373B0F"/>
    <w:rsid w:val="00373FE9"/>
    <w:rsid w:val="00375FC8"/>
    <w:rsid w:val="003764AB"/>
    <w:rsid w:val="0038020F"/>
    <w:rsid w:val="00380FC7"/>
    <w:rsid w:val="00381029"/>
    <w:rsid w:val="0038147F"/>
    <w:rsid w:val="00381923"/>
    <w:rsid w:val="00382235"/>
    <w:rsid w:val="003825B2"/>
    <w:rsid w:val="003834D9"/>
    <w:rsid w:val="003835AE"/>
    <w:rsid w:val="0038517E"/>
    <w:rsid w:val="00385B0A"/>
    <w:rsid w:val="00386599"/>
    <w:rsid w:val="0038689F"/>
    <w:rsid w:val="0038746C"/>
    <w:rsid w:val="00390355"/>
    <w:rsid w:val="0039042D"/>
    <w:rsid w:val="00391212"/>
    <w:rsid w:val="003920D8"/>
    <w:rsid w:val="003927C4"/>
    <w:rsid w:val="00394C0A"/>
    <w:rsid w:val="003952BA"/>
    <w:rsid w:val="00396BB5"/>
    <w:rsid w:val="00396E3A"/>
    <w:rsid w:val="00396F8D"/>
    <w:rsid w:val="0039748E"/>
    <w:rsid w:val="003A0A25"/>
    <w:rsid w:val="003A12B1"/>
    <w:rsid w:val="003A18A1"/>
    <w:rsid w:val="003A1F53"/>
    <w:rsid w:val="003A358D"/>
    <w:rsid w:val="003A5382"/>
    <w:rsid w:val="003A6E0F"/>
    <w:rsid w:val="003A7125"/>
    <w:rsid w:val="003B0A7F"/>
    <w:rsid w:val="003B2F7D"/>
    <w:rsid w:val="003B3E16"/>
    <w:rsid w:val="003B6523"/>
    <w:rsid w:val="003B68D0"/>
    <w:rsid w:val="003C027B"/>
    <w:rsid w:val="003C11D3"/>
    <w:rsid w:val="003C2167"/>
    <w:rsid w:val="003C241B"/>
    <w:rsid w:val="003C26CB"/>
    <w:rsid w:val="003C28EB"/>
    <w:rsid w:val="003C42CB"/>
    <w:rsid w:val="003C4AA1"/>
    <w:rsid w:val="003C5FD9"/>
    <w:rsid w:val="003D1125"/>
    <w:rsid w:val="003D2AEC"/>
    <w:rsid w:val="003D4329"/>
    <w:rsid w:val="003D4F18"/>
    <w:rsid w:val="003D5EAC"/>
    <w:rsid w:val="003D6D87"/>
    <w:rsid w:val="003D78FE"/>
    <w:rsid w:val="003D7A20"/>
    <w:rsid w:val="003E07CA"/>
    <w:rsid w:val="003E19D8"/>
    <w:rsid w:val="003E2919"/>
    <w:rsid w:val="003E583F"/>
    <w:rsid w:val="003E6DB7"/>
    <w:rsid w:val="003F37F1"/>
    <w:rsid w:val="003F412E"/>
    <w:rsid w:val="003F7E44"/>
    <w:rsid w:val="00401F49"/>
    <w:rsid w:val="00402AAD"/>
    <w:rsid w:val="00404095"/>
    <w:rsid w:val="00405226"/>
    <w:rsid w:val="004056E3"/>
    <w:rsid w:val="00410A79"/>
    <w:rsid w:val="00411341"/>
    <w:rsid w:val="004113B2"/>
    <w:rsid w:val="004132CA"/>
    <w:rsid w:val="00415B2D"/>
    <w:rsid w:val="00416530"/>
    <w:rsid w:val="004219C5"/>
    <w:rsid w:val="00421F7B"/>
    <w:rsid w:val="00424F36"/>
    <w:rsid w:val="00425948"/>
    <w:rsid w:val="00427077"/>
    <w:rsid w:val="0043289D"/>
    <w:rsid w:val="00433D93"/>
    <w:rsid w:val="00434119"/>
    <w:rsid w:val="00436579"/>
    <w:rsid w:val="0043701C"/>
    <w:rsid w:val="004370C4"/>
    <w:rsid w:val="00442686"/>
    <w:rsid w:val="00443457"/>
    <w:rsid w:val="004455FA"/>
    <w:rsid w:val="00447847"/>
    <w:rsid w:val="004500B3"/>
    <w:rsid w:val="00453424"/>
    <w:rsid w:val="00454C4D"/>
    <w:rsid w:val="004574E6"/>
    <w:rsid w:val="00457958"/>
    <w:rsid w:val="00457F46"/>
    <w:rsid w:val="0046172C"/>
    <w:rsid w:val="00465AC1"/>
    <w:rsid w:val="00466111"/>
    <w:rsid w:val="00467831"/>
    <w:rsid w:val="004701E0"/>
    <w:rsid w:val="00472D1B"/>
    <w:rsid w:val="00473AF9"/>
    <w:rsid w:val="00474260"/>
    <w:rsid w:val="00474647"/>
    <w:rsid w:val="004749AA"/>
    <w:rsid w:val="004755F7"/>
    <w:rsid w:val="00475761"/>
    <w:rsid w:val="00476C52"/>
    <w:rsid w:val="004807D2"/>
    <w:rsid w:val="00482A8C"/>
    <w:rsid w:val="00483A1F"/>
    <w:rsid w:val="00485DCA"/>
    <w:rsid w:val="004909F3"/>
    <w:rsid w:val="004911EE"/>
    <w:rsid w:val="00492747"/>
    <w:rsid w:val="00494BA4"/>
    <w:rsid w:val="00496510"/>
    <w:rsid w:val="004A0925"/>
    <w:rsid w:val="004A3015"/>
    <w:rsid w:val="004A3E28"/>
    <w:rsid w:val="004A3E94"/>
    <w:rsid w:val="004A419F"/>
    <w:rsid w:val="004A4BCE"/>
    <w:rsid w:val="004A5442"/>
    <w:rsid w:val="004A580A"/>
    <w:rsid w:val="004B14EA"/>
    <w:rsid w:val="004B2028"/>
    <w:rsid w:val="004B36E7"/>
    <w:rsid w:val="004B52B8"/>
    <w:rsid w:val="004B703E"/>
    <w:rsid w:val="004B7E13"/>
    <w:rsid w:val="004C1370"/>
    <w:rsid w:val="004C4E52"/>
    <w:rsid w:val="004D177A"/>
    <w:rsid w:val="004D41D9"/>
    <w:rsid w:val="004E0E59"/>
    <w:rsid w:val="004E133A"/>
    <w:rsid w:val="004E3676"/>
    <w:rsid w:val="004E36E8"/>
    <w:rsid w:val="004E6095"/>
    <w:rsid w:val="004E7B39"/>
    <w:rsid w:val="004F0718"/>
    <w:rsid w:val="004F3F91"/>
    <w:rsid w:val="004F6D0B"/>
    <w:rsid w:val="005000DE"/>
    <w:rsid w:val="005007BC"/>
    <w:rsid w:val="00501B41"/>
    <w:rsid w:val="00510B50"/>
    <w:rsid w:val="00512223"/>
    <w:rsid w:val="0051346D"/>
    <w:rsid w:val="00513F11"/>
    <w:rsid w:val="0051576C"/>
    <w:rsid w:val="00516459"/>
    <w:rsid w:val="00520CD4"/>
    <w:rsid w:val="005214AE"/>
    <w:rsid w:val="00521DA8"/>
    <w:rsid w:val="005236CA"/>
    <w:rsid w:val="00523CD7"/>
    <w:rsid w:val="0052431B"/>
    <w:rsid w:val="00526318"/>
    <w:rsid w:val="0052701F"/>
    <w:rsid w:val="00531239"/>
    <w:rsid w:val="00532A4E"/>
    <w:rsid w:val="00533539"/>
    <w:rsid w:val="005338DB"/>
    <w:rsid w:val="005347E2"/>
    <w:rsid w:val="005354E4"/>
    <w:rsid w:val="00536759"/>
    <w:rsid w:val="00540E66"/>
    <w:rsid w:val="0054131D"/>
    <w:rsid w:val="005425F8"/>
    <w:rsid w:val="00542EAF"/>
    <w:rsid w:val="005439C3"/>
    <w:rsid w:val="00544E06"/>
    <w:rsid w:val="00544F42"/>
    <w:rsid w:val="00545595"/>
    <w:rsid w:val="0055008C"/>
    <w:rsid w:val="005506E3"/>
    <w:rsid w:val="005508A1"/>
    <w:rsid w:val="005516EF"/>
    <w:rsid w:val="00554F93"/>
    <w:rsid w:val="00556C6D"/>
    <w:rsid w:val="00562A28"/>
    <w:rsid w:val="005630A6"/>
    <w:rsid w:val="00565BAB"/>
    <w:rsid w:val="00566049"/>
    <w:rsid w:val="00566264"/>
    <w:rsid w:val="00566331"/>
    <w:rsid w:val="00567365"/>
    <w:rsid w:val="00567FF3"/>
    <w:rsid w:val="0057035C"/>
    <w:rsid w:val="00570515"/>
    <w:rsid w:val="00570778"/>
    <w:rsid w:val="00571077"/>
    <w:rsid w:val="005725D4"/>
    <w:rsid w:val="0057268F"/>
    <w:rsid w:val="00572C4C"/>
    <w:rsid w:val="00572CB1"/>
    <w:rsid w:val="00574248"/>
    <w:rsid w:val="00580228"/>
    <w:rsid w:val="0058035A"/>
    <w:rsid w:val="00582D85"/>
    <w:rsid w:val="0058365E"/>
    <w:rsid w:val="005847AC"/>
    <w:rsid w:val="00585042"/>
    <w:rsid w:val="005863C9"/>
    <w:rsid w:val="00593D66"/>
    <w:rsid w:val="0059565B"/>
    <w:rsid w:val="0059683A"/>
    <w:rsid w:val="0059723A"/>
    <w:rsid w:val="005A07DC"/>
    <w:rsid w:val="005A0BC0"/>
    <w:rsid w:val="005A1D67"/>
    <w:rsid w:val="005A29ED"/>
    <w:rsid w:val="005A6468"/>
    <w:rsid w:val="005A6A66"/>
    <w:rsid w:val="005A7DD5"/>
    <w:rsid w:val="005B095B"/>
    <w:rsid w:val="005B464F"/>
    <w:rsid w:val="005B5C47"/>
    <w:rsid w:val="005B695A"/>
    <w:rsid w:val="005C0F7A"/>
    <w:rsid w:val="005C1DEB"/>
    <w:rsid w:val="005C4D4D"/>
    <w:rsid w:val="005C65BD"/>
    <w:rsid w:val="005C79D2"/>
    <w:rsid w:val="005D02F1"/>
    <w:rsid w:val="005D2694"/>
    <w:rsid w:val="005D3234"/>
    <w:rsid w:val="005D3F76"/>
    <w:rsid w:val="005D5F06"/>
    <w:rsid w:val="005E2FE4"/>
    <w:rsid w:val="005E4563"/>
    <w:rsid w:val="005E5ECC"/>
    <w:rsid w:val="005E6B81"/>
    <w:rsid w:val="005E7AC7"/>
    <w:rsid w:val="005F0018"/>
    <w:rsid w:val="005F157F"/>
    <w:rsid w:val="005F4B8A"/>
    <w:rsid w:val="005F6B61"/>
    <w:rsid w:val="005F7A7A"/>
    <w:rsid w:val="00600395"/>
    <w:rsid w:val="00601BA8"/>
    <w:rsid w:val="00602A1E"/>
    <w:rsid w:val="00605AF4"/>
    <w:rsid w:val="006105AE"/>
    <w:rsid w:val="006134AD"/>
    <w:rsid w:val="006142BD"/>
    <w:rsid w:val="00615BF5"/>
    <w:rsid w:val="00617793"/>
    <w:rsid w:val="006221CC"/>
    <w:rsid w:val="00622A61"/>
    <w:rsid w:val="00623804"/>
    <w:rsid w:val="00624A69"/>
    <w:rsid w:val="006271AB"/>
    <w:rsid w:val="00627297"/>
    <w:rsid w:val="00627464"/>
    <w:rsid w:val="0062778F"/>
    <w:rsid w:val="006278CD"/>
    <w:rsid w:val="00630B2F"/>
    <w:rsid w:val="006321C3"/>
    <w:rsid w:val="006337E6"/>
    <w:rsid w:val="00633A10"/>
    <w:rsid w:val="006364BB"/>
    <w:rsid w:val="00637400"/>
    <w:rsid w:val="0064058C"/>
    <w:rsid w:val="00640FC4"/>
    <w:rsid w:val="006416ED"/>
    <w:rsid w:val="00642822"/>
    <w:rsid w:val="00642D12"/>
    <w:rsid w:val="00643920"/>
    <w:rsid w:val="0064502F"/>
    <w:rsid w:val="006520D3"/>
    <w:rsid w:val="006529A6"/>
    <w:rsid w:val="0065420B"/>
    <w:rsid w:val="00656199"/>
    <w:rsid w:val="00656911"/>
    <w:rsid w:val="00657C79"/>
    <w:rsid w:val="00657FA0"/>
    <w:rsid w:val="006616D6"/>
    <w:rsid w:val="00663AD2"/>
    <w:rsid w:val="00664F55"/>
    <w:rsid w:val="00665605"/>
    <w:rsid w:val="00666690"/>
    <w:rsid w:val="00673409"/>
    <w:rsid w:val="00673721"/>
    <w:rsid w:val="0067791B"/>
    <w:rsid w:val="00682D1B"/>
    <w:rsid w:val="00682DF7"/>
    <w:rsid w:val="00683AA8"/>
    <w:rsid w:val="00684E32"/>
    <w:rsid w:val="00686C10"/>
    <w:rsid w:val="006878A3"/>
    <w:rsid w:val="00691DC6"/>
    <w:rsid w:val="00691EAE"/>
    <w:rsid w:val="006935F2"/>
    <w:rsid w:val="006947AB"/>
    <w:rsid w:val="00696BC0"/>
    <w:rsid w:val="00697C86"/>
    <w:rsid w:val="006A1549"/>
    <w:rsid w:val="006A1778"/>
    <w:rsid w:val="006A2F82"/>
    <w:rsid w:val="006A428D"/>
    <w:rsid w:val="006A4D26"/>
    <w:rsid w:val="006A62C9"/>
    <w:rsid w:val="006B0A0E"/>
    <w:rsid w:val="006B2A62"/>
    <w:rsid w:val="006B60C8"/>
    <w:rsid w:val="006B622C"/>
    <w:rsid w:val="006B62F0"/>
    <w:rsid w:val="006C0055"/>
    <w:rsid w:val="006C021E"/>
    <w:rsid w:val="006C0C05"/>
    <w:rsid w:val="006C3C5E"/>
    <w:rsid w:val="006C533B"/>
    <w:rsid w:val="006C6B7F"/>
    <w:rsid w:val="006C75CB"/>
    <w:rsid w:val="006C78A4"/>
    <w:rsid w:val="006C7DE1"/>
    <w:rsid w:val="006D0FA0"/>
    <w:rsid w:val="006D48BC"/>
    <w:rsid w:val="006E0BCE"/>
    <w:rsid w:val="006E36B5"/>
    <w:rsid w:val="006E3C09"/>
    <w:rsid w:val="006E497E"/>
    <w:rsid w:val="006E4D05"/>
    <w:rsid w:val="006E609E"/>
    <w:rsid w:val="006E644E"/>
    <w:rsid w:val="006E763E"/>
    <w:rsid w:val="006E7803"/>
    <w:rsid w:val="006F00AC"/>
    <w:rsid w:val="006F2BE2"/>
    <w:rsid w:val="006F64CA"/>
    <w:rsid w:val="006F6665"/>
    <w:rsid w:val="006F6A44"/>
    <w:rsid w:val="006F724A"/>
    <w:rsid w:val="0070127D"/>
    <w:rsid w:val="00702F35"/>
    <w:rsid w:val="00705375"/>
    <w:rsid w:val="00705E2B"/>
    <w:rsid w:val="00712698"/>
    <w:rsid w:val="0071281C"/>
    <w:rsid w:val="0071293B"/>
    <w:rsid w:val="0071504F"/>
    <w:rsid w:val="00715694"/>
    <w:rsid w:val="007201DC"/>
    <w:rsid w:val="0072067D"/>
    <w:rsid w:val="007244BF"/>
    <w:rsid w:val="00724C99"/>
    <w:rsid w:val="00725410"/>
    <w:rsid w:val="007272DE"/>
    <w:rsid w:val="00731A9E"/>
    <w:rsid w:val="0073350F"/>
    <w:rsid w:val="007342DD"/>
    <w:rsid w:val="00736859"/>
    <w:rsid w:val="00736AB2"/>
    <w:rsid w:val="00741345"/>
    <w:rsid w:val="00741356"/>
    <w:rsid w:val="00743264"/>
    <w:rsid w:val="00744C42"/>
    <w:rsid w:val="00744DC0"/>
    <w:rsid w:val="00744FDB"/>
    <w:rsid w:val="0074653B"/>
    <w:rsid w:val="007475B2"/>
    <w:rsid w:val="00756F51"/>
    <w:rsid w:val="00757CB7"/>
    <w:rsid w:val="00761015"/>
    <w:rsid w:val="00761AC4"/>
    <w:rsid w:val="00762AD3"/>
    <w:rsid w:val="007639EE"/>
    <w:rsid w:val="00763D53"/>
    <w:rsid w:val="00763E5C"/>
    <w:rsid w:val="00766017"/>
    <w:rsid w:val="00766B7F"/>
    <w:rsid w:val="00766E7D"/>
    <w:rsid w:val="007679C3"/>
    <w:rsid w:val="0077147A"/>
    <w:rsid w:val="007738BC"/>
    <w:rsid w:val="00775791"/>
    <w:rsid w:val="00780A0B"/>
    <w:rsid w:val="00782F8A"/>
    <w:rsid w:val="0078367C"/>
    <w:rsid w:val="007859D3"/>
    <w:rsid w:val="00785A2B"/>
    <w:rsid w:val="00786A47"/>
    <w:rsid w:val="007911C3"/>
    <w:rsid w:val="0079298A"/>
    <w:rsid w:val="00792D85"/>
    <w:rsid w:val="00796442"/>
    <w:rsid w:val="0079681A"/>
    <w:rsid w:val="00796CAC"/>
    <w:rsid w:val="0079798C"/>
    <w:rsid w:val="007A2C2F"/>
    <w:rsid w:val="007A34C4"/>
    <w:rsid w:val="007B3603"/>
    <w:rsid w:val="007B3EB3"/>
    <w:rsid w:val="007B4148"/>
    <w:rsid w:val="007B5483"/>
    <w:rsid w:val="007B7155"/>
    <w:rsid w:val="007C0620"/>
    <w:rsid w:val="007C0A4A"/>
    <w:rsid w:val="007C0EFF"/>
    <w:rsid w:val="007C2080"/>
    <w:rsid w:val="007C35D6"/>
    <w:rsid w:val="007C3994"/>
    <w:rsid w:val="007C491E"/>
    <w:rsid w:val="007C682A"/>
    <w:rsid w:val="007D2378"/>
    <w:rsid w:val="007D2696"/>
    <w:rsid w:val="007D2CBD"/>
    <w:rsid w:val="007D40E4"/>
    <w:rsid w:val="007D5011"/>
    <w:rsid w:val="007D58AD"/>
    <w:rsid w:val="007D696F"/>
    <w:rsid w:val="007D7974"/>
    <w:rsid w:val="007E0BC5"/>
    <w:rsid w:val="007E223C"/>
    <w:rsid w:val="007E43BD"/>
    <w:rsid w:val="007E63A1"/>
    <w:rsid w:val="007E692B"/>
    <w:rsid w:val="007E6B9E"/>
    <w:rsid w:val="007F1CCE"/>
    <w:rsid w:val="007F2E02"/>
    <w:rsid w:val="007F3D2B"/>
    <w:rsid w:val="007F3D9A"/>
    <w:rsid w:val="007F4805"/>
    <w:rsid w:val="007F57D1"/>
    <w:rsid w:val="007F704F"/>
    <w:rsid w:val="00800ADD"/>
    <w:rsid w:val="00801036"/>
    <w:rsid w:val="00801327"/>
    <w:rsid w:val="0080172E"/>
    <w:rsid w:val="00803445"/>
    <w:rsid w:val="008073B1"/>
    <w:rsid w:val="00812DA8"/>
    <w:rsid w:val="00814182"/>
    <w:rsid w:val="00814E35"/>
    <w:rsid w:val="0081543D"/>
    <w:rsid w:val="008167DC"/>
    <w:rsid w:val="008167F6"/>
    <w:rsid w:val="00817AD3"/>
    <w:rsid w:val="00817E2E"/>
    <w:rsid w:val="008202E5"/>
    <w:rsid w:val="00820FBA"/>
    <w:rsid w:val="00822F38"/>
    <w:rsid w:val="008230C4"/>
    <w:rsid w:val="0082490C"/>
    <w:rsid w:val="008305D7"/>
    <w:rsid w:val="00830854"/>
    <w:rsid w:val="00831C36"/>
    <w:rsid w:val="008345E5"/>
    <w:rsid w:val="008345EB"/>
    <w:rsid w:val="0083466F"/>
    <w:rsid w:val="00840C23"/>
    <w:rsid w:val="00841070"/>
    <w:rsid w:val="00841471"/>
    <w:rsid w:val="00842B5A"/>
    <w:rsid w:val="00843658"/>
    <w:rsid w:val="00845569"/>
    <w:rsid w:val="0084681B"/>
    <w:rsid w:val="0085197A"/>
    <w:rsid w:val="00851B09"/>
    <w:rsid w:val="00853129"/>
    <w:rsid w:val="00855EB0"/>
    <w:rsid w:val="008567B5"/>
    <w:rsid w:val="008575DA"/>
    <w:rsid w:val="008605A8"/>
    <w:rsid w:val="008624BC"/>
    <w:rsid w:val="00864017"/>
    <w:rsid w:val="0086424A"/>
    <w:rsid w:val="008644B9"/>
    <w:rsid w:val="00864AFD"/>
    <w:rsid w:val="00865284"/>
    <w:rsid w:val="008677D3"/>
    <w:rsid w:val="0087223D"/>
    <w:rsid w:val="008724E2"/>
    <w:rsid w:val="0087276A"/>
    <w:rsid w:val="00873CF6"/>
    <w:rsid w:val="008756A4"/>
    <w:rsid w:val="00877FC7"/>
    <w:rsid w:val="008818BD"/>
    <w:rsid w:val="0088198B"/>
    <w:rsid w:val="00882767"/>
    <w:rsid w:val="00882A22"/>
    <w:rsid w:val="008830FA"/>
    <w:rsid w:val="008831EA"/>
    <w:rsid w:val="008851F7"/>
    <w:rsid w:val="00886EDE"/>
    <w:rsid w:val="00887004"/>
    <w:rsid w:val="00890E32"/>
    <w:rsid w:val="00894C66"/>
    <w:rsid w:val="00895DD3"/>
    <w:rsid w:val="00895DE3"/>
    <w:rsid w:val="00895F8A"/>
    <w:rsid w:val="00896429"/>
    <w:rsid w:val="00897C89"/>
    <w:rsid w:val="008A0177"/>
    <w:rsid w:val="008A18E9"/>
    <w:rsid w:val="008A1C90"/>
    <w:rsid w:val="008A1E4C"/>
    <w:rsid w:val="008A3784"/>
    <w:rsid w:val="008A4705"/>
    <w:rsid w:val="008A7031"/>
    <w:rsid w:val="008A7E12"/>
    <w:rsid w:val="008B07ED"/>
    <w:rsid w:val="008B0BDF"/>
    <w:rsid w:val="008B123D"/>
    <w:rsid w:val="008B1886"/>
    <w:rsid w:val="008B1BA1"/>
    <w:rsid w:val="008B397A"/>
    <w:rsid w:val="008B4A45"/>
    <w:rsid w:val="008B4D46"/>
    <w:rsid w:val="008B4F5B"/>
    <w:rsid w:val="008C2099"/>
    <w:rsid w:val="008C257B"/>
    <w:rsid w:val="008C26BD"/>
    <w:rsid w:val="008C280C"/>
    <w:rsid w:val="008C611E"/>
    <w:rsid w:val="008C6833"/>
    <w:rsid w:val="008C7D3F"/>
    <w:rsid w:val="008C7F43"/>
    <w:rsid w:val="008D3F5B"/>
    <w:rsid w:val="008D7DA1"/>
    <w:rsid w:val="008E06C2"/>
    <w:rsid w:val="008E0AC2"/>
    <w:rsid w:val="008E1B78"/>
    <w:rsid w:val="008E222E"/>
    <w:rsid w:val="008E3850"/>
    <w:rsid w:val="008E488C"/>
    <w:rsid w:val="008E492D"/>
    <w:rsid w:val="008E5BA4"/>
    <w:rsid w:val="008E71D8"/>
    <w:rsid w:val="008F03DB"/>
    <w:rsid w:val="008F4C35"/>
    <w:rsid w:val="008F56BA"/>
    <w:rsid w:val="008F5EB6"/>
    <w:rsid w:val="009007DD"/>
    <w:rsid w:val="00907889"/>
    <w:rsid w:val="00910A15"/>
    <w:rsid w:val="00910AB6"/>
    <w:rsid w:val="00910F5A"/>
    <w:rsid w:val="009117B0"/>
    <w:rsid w:val="00911A1A"/>
    <w:rsid w:val="00912E3D"/>
    <w:rsid w:val="0091303E"/>
    <w:rsid w:val="00913D2E"/>
    <w:rsid w:val="00914078"/>
    <w:rsid w:val="009148C2"/>
    <w:rsid w:val="00921546"/>
    <w:rsid w:val="009246D1"/>
    <w:rsid w:val="00924E7A"/>
    <w:rsid w:val="009256AB"/>
    <w:rsid w:val="00926974"/>
    <w:rsid w:val="00926B61"/>
    <w:rsid w:val="009333D6"/>
    <w:rsid w:val="009348F8"/>
    <w:rsid w:val="009360BE"/>
    <w:rsid w:val="00942331"/>
    <w:rsid w:val="00942A79"/>
    <w:rsid w:val="009441A5"/>
    <w:rsid w:val="00944EC0"/>
    <w:rsid w:val="00947B52"/>
    <w:rsid w:val="00950AC9"/>
    <w:rsid w:val="00951624"/>
    <w:rsid w:val="00951C7B"/>
    <w:rsid w:val="00952F0A"/>
    <w:rsid w:val="00953185"/>
    <w:rsid w:val="00954B6A"/>
    <w:rsid w:val="009553D0"/>
    <w:rsid w:val="00955AAD"/>
    <w:rsid w:val="009562BE"/>
    <w:rsid w:val="0095654B"/>
    <w:rsid w:val="0095667A"/>
    <w:rsid w:val="009670BC"/>
    <w:rsid w:val="00970088"/>
    <w:rsid w:val="00970E2F"/>
    <w:rsid w:val="009722EB"/>
    <w:rsid w:val="009724A9"/>
    <w:rsid w:val="00973AFD"/>
    <w:rsid w:val="00974618"/>
    <w:rsid w:val="009748AD"/>
    <w:rsid w:val="00974D85"/>
    <w:rsid w:val="009771F8"/>
    <w:rsid w:val="00986384"/>
    <w:rsid w:val="009869C6"/>
    <w:rsid w:val="00986D99"/>
    <w:rsid w:val="009911A5"/>
    <w:rsid w:val="009915F4"/>
    <w:rsid w:val="0099218A"/>
    <w:rsid w:val="009926AF"/>
    <w:rsid w:val="00994E35"/>
    <w:rsid w:val="009A14B2"/>
    <w:rsid w:val="009A17B5"/>
    <w:rsid w:val="009A235A"/>
    <w:rsid w:val="009A7DAE"/>
    <w:rsid w:val="009B00B7"/>
    <w:rsid w:val="009B0216"/>
    <w:rsid w:val="009B2162"/>
    <w:rsid w:val="009B34EF"/>
    <w:rsid w:val="009B4A3D"/>
    <w:rsid w:val="009B4EAF"/>
    <w:rsid w:val="009B4EB7"/>
    <w:rsid w:val="009B6BB4"/>
    <w:rsid w:val="009B7D9A"/>
    <w:rsid w:val="009C0990"/>
    <w:rsid w:val="009C41DE"/>
    <w:rsid w:val="009C5077"/>
    <w:rsid w:val="009C52FF"/>
    <w:rsid w:val="009C5B29"/>
    <w:rsid w:val="009C5F3A"/>
    <w:rsid w:val="009C7D53"/>
    <w:rsid w:val="009D09BD"/>
    <w:rsid w:val="009D0C8F"/>
    <w:rsid w:val="009D0F24"/>
    <w:rsid w:val="009D21B0"/>
    <w:rsid w:val="009D2B53"/>
    <w:rsid w:val="009D5621"/>
    <w:rsid w:val="009E04CB"/>
    <w:rsid w:val="009E0E43"/>
    <w:rsid w:val="009E1AED"/>
    <w:rsid w:val="009E3A32"/>
    <w:rsid w:val="009E43C8"/>
    <w:rsid w:val="009E45A3"/>
    <w:rsid w:val="009E5010"/>
    <w:rsid w:val="009E6A8A"/>
    <w:rsid w:val="009E7785"/>
    <w:rsid w:val="009F0ABB"/>
    <w:rsid w:val="009F126B"/>
    <w:rsid w:val="009F27ED"/>
    <w:rsid w:val="009F2E43"/>
    <w:rsid w:val="009F4D7B"/>
    <w:rsid w:val="00A03532"/>
    <w:rsid w:val="00A035B2"/>
    <w:rsid w:val="00A035CF"/>
    <w:rsid w:val="00A04B53"/>
    <w:rsid w:val="00A04DCA"/>
    <w:rsid w:val="00A05DDA"/>
    <w:rsid w:val="00A05DFA"/>
    <w:rsid w:val="00A05E05"/>
    <w:rsid w:val="00A06FBB"/>
    <w:rsid w:val="00A0706D"/>
    <w:rsid w:val="00A07A3D"/>
    <w:rsid w:val="00A11DE5"/>
    <w:rsid w:val="00A11F90"/>
    <w:rsid w:val="00A12FC9"/>
    <w:rsid w:val="00A147C7"/>
    <w:rsid w:val="00A15666"/>
    <w:rsid w:val="00A21F55"/>
    <w:rsid w:val="00A22A9C"/>
    <w:rsid w:val="00A252A9"/>
    <w:rsid w:val="00A2578F"/>
    <w:rsid w:val="00A25A6F"/>
    <w:rsid w:val="00A26249"/>
    <w:rsid w:val="00A27A92"/>
    <w:rsid w:val="00A27D28"/>
    <w:rsid w:val="00A32A60"/>
    <w:rsid w:val="00A32FA3"/>
    <w:rsid w:val="00A3398A"/>
    <w:rsid w:val="00A33FCF"/>
    <w:rsid w:val="00A347BF"/>
    <w:rsid w:val="00A366AF"/>
    <w:rsid w:val="00A37FCD"/>
    <w:rsid w:val="00A40AF9"/>
    <w:rsid w:val="00A40B63"/>
    <w:rsid w:val="00A40F94"/>
    <w:rsid w:val="00A41DAB"/>
    <w:rsid w:val="00A4234A"/>
    <w:rsid w:val="00A42DB6"/>
    <w:rsid w:val="00A448FA"/>
    <w:rsid w:val="00A45D2C"/>
    <w:rsid w:val="00A45F2D"/>
    <w:rsid w:val="00A501E0"/>
    <w:rsid w:val="00A51577"/>
    <w:rsid w:val="00A52B0C"/>
    <w:rsid w:val="00A56850"/>
    <w:rsid w:val="00A56952"/>
    <w:rsid w:val="00A56D59"/>
    <w:rsid w:val="00A6026E"/>
    <w:rsid w:val="00A60411"/>
    <w:rsid w:val="00A60B62"/>
    <w:rsid w:val="00A61BDD"/>
    <w:rsid w:val="00A61F32"/>
    <w:rsid w:val="00A636B6"/>
    <w:rsid w:val="00A63CB6"/>
    <w:rsid w:val="00A63F85"/>
    <w:rsid w:val="00A642D5"/>
    <w:rsid w:val="00A64568"/>
    <w:rsid w:val="00A664DD"/>
    <w:rsid w:val="00A667A9"/>
    <w:rsid w:val="00A7084B"/>
    <w:rsid w:val="00A70F6C"/>
    <w:rsid w:val="00A71632"/>
    <w:rsid w:val="00A72543"/>
    <w:rsid w:val="00A72DEE"/>
    <w:rsid w:val="00A761BE"/>
    <w:rsid w:val="00A7775B"/>
    <w:rsid w:val="00A8003B"/>
    <w:rsid w:val="00A80579"/>
    <w:rsid w:val="00A84800"/>
    <w:rsid w:val="00A86AD0"/>
    <w:rsid w:val="00A872AD"/>
    <w:rsid w:val="00A87B83"/>
    <w:rsid w:val="00A920E9"/>
    <w:rsid w:val="00A950EE"/>
    <w:rsid w:val="00A95DF7"/>
    <w:rsid w:val="00A96179"/>
    <w:rsid w:val="00A9668A"/>
    <w:rsid w:val="00A968EC"/>
    <w:rsid w:val="00A972CA"/>
    <w:rsid w:val="00A97B0F"/>
    <w:rsid w:val="00AA013A"/>
    <w:rsid w:val="00AA2965"/>
    <w:rsid w:val="00AA470F"/>
    <w:rsid w:val="00AA4B26"/>
    <w:rsid w:val="00AB06D8"/>
    <w:rsid w:val="00AB13CF"/>
    <w:rsid w:val="00AB1F18"/>
    <w:rsid w:val="00AB2449"/>
    <w:rsid w:val="00AB2672"/>
    <w:rsid w:val="00AB58AA"/>
    <w:rsid w:val="00AB6478"/>
    <w:rsid w:val="00AB64E9"/>
    <w:rsid w:val="00AB7A5A"/>
    <w:rsid w:val="00AC0AF0"/>
    <w:rsid w:val="00AC1255"/>
    <w:rsid w:val="00AC56B5"/>
    <w:rsid w:val="00AC5DE5"/>
    <w:rsid w:val="00AC7423"/>
    <w:rsid w:val="00AC77D3"/>
    <w:rsid w:val="00AD00D3"/>
    <w:rsid w:val="00AD0EA6"/>
    <w:rsid w:val="00AD1470"/>
    <w:rsid w:val="00AD17BA"/>
    <w:rsid w:val="00AD19B0"/>
    <w:rsid w:val="00AD578E"/>
    <w:rsid w:val="00AD63FC"/>
    <w:rsid w:val="00AD7058"/>
    <w:rsid w:val="00AD7870"/>
    <w:rsid w:val="00AD7D78"/>
    <w:rsid w:val="00AE3DB4"/>
    <w:rsid w:val="00AE4D91"/>
    <w:rsid w:val="00AE6445"/>
    <w:rsid w:val="00AE6865"/>
    <w:rsid w:val="00AF0E73"/>
    <w:rsid w:val="00AF1149"/>
    <w:rsid w:val="00AF204F"/>
    <w:rsid w:val="00AF3ACB"/>
    <w:rsid w:val="00AF464E"/>
    <w:rsid w:val="00AF4AAC"/>
    <w:rsid w:val="00AF5671"/>
    <w:rsid w:val="00AF7420"/>
    <w:rsid w:val="00B02554"/>
    <w:rsid w:val="00B06518"/>
    <w:rsid w:val="00B066FF"/>
    <w:rsid w:val="00B0752A"/>
    <w:rsid w:val="00B10DE0"/>
    <w:rsid w:val="00B12442"/>
    <w:rsid w:val="00B12E55"/>
    <w:rsid w:val="00B14ADF"/>
    <w:rsid w:val="00B15FA5"/>
    <w:rsid w:val="00B16465"/>
    <w:rsid w:val="00B16FCD"/>
    <w:rsid w:val="00B205DD"/>
    <w:rsid w:val="00B21E88"/>
    <w:rsid w:val="00B227B8"/>
    <w:rsid w:val="00B22CF8"/>
    <w:rsid w:val="00B23381"/>
    <w:rsid w:val="00B24489"/>
    <w:rsid w:val="00B34180"/>
    <w:rsid w:val="00B34627"/>
    <w:rsid w:val="00B35569"/>
    <w:rsid w:val="00B40CD4"/>
    <w:rsid w:val="00B430FA"/>
    <w:rsid w:val="00B45DF8"/>
    <w:rsid w:val="00B51E1A"/>
    <w:rsid w:val="00B53C06"/>
    <w:rsid w:val="00B53D55"/>
    <w:rsid w:val="00B5412C"/>
    <w:rsid w:val="00B5478E"/>
    <w:rsid w:val="00B54BA5"/>
    <w:rsid w:val="00B564B7"/>
    <w:rsid w:val="00B56DF7"/>
    <w:rsid w:val="00B5775E"/>
    <w:rsid w:val="00B57C17"/>
    <w:rsid w:val="00B6186D"/>
    <w:rsid w:val="00B63143"/>
    <w:rsid w:val="00B634F2"/>
    <w:rsid w:val="00B637A3"/>
    <w:rsid w:val="00B63A0D"/>
    <w:rsid w:val="00B67F0A"/>
    <w:rsid w:val="00B70236"/>
    <w:rsid w:val="00B71923"/>
    <w:rsid w:val="00B7248F"/>
    <w:rsid w:val="00B72CC1"/>
    <w:rsid w:val="00B735DA"/>
    <w:rsid w:val="00B75952"/>
    <w:rsid w:val="00B7616B"/>
    <w:rsid w:val="00B802A6"/>
    <w:rsid w:val="00B814DF"/>
    <w:rsid w:val="00B81551"/>
    <w:rsid w:val="00B82404"/>
    <w:rsid w:val="00B82659"/>
    <w:rsid w:val="00B834AE"/>
    <w:rsid w:val="00B836DA"/>
    <w:rsid w:val="00B8540E"/>
    <w:rsid w:val="00B857E3"/>
    <w:rsid w:val="00B869F1"/>
    <w:rsid w:val="00B9038F"/>
    <w:rsid w:val="00B940CD"/>
    <w:rsid w:val="00B942AA"/>
    <w:rsid w:val="00B9793D"/>
    <w:rsid w:val="00BA051E"/>
    <w:rsid w:val="00BA0A41"/>
    <w:rsid w:val="00BA1AF9"/>
    <w:rsid w:val="00BA2D74"/>
    <w:rsid w:val="00BA33DE"/>
    <w:rsid w:val="00BA3A0A"/>
    <w:rsid w:val="00BA452D"/>
    <w:rsid w:val="00BA4AF0"/>
    <w:rsid w:val="00BA5207"/>
    <w:rsid w:val="00BA7D39"/>
    <w:rsid w:val="00BB011A"/>
    <w:rsid w:val="00BB0571"/>
    <w:rsid w:val="00BB1B8E"/>
    <w:rsid w:val="00BB1D65"/>
    <w:rsid w:val="00BB1E4E"/>
    <w:rsid w:val="00BB403D"/>
    <w:rsid w:val="00BB5D81"/>
    <w:rsid w:val="00BB77E4"/>
    <w:rsid w:val="00BC2231"/>
    <w:rsid w:val="00BC2F7A"/>
    <w:rsid w:val="00BC340D"/>
    <w:rsid w:val="00BC3781"/>
    <w:rsid w:val="00BC3932"/>
    <w:rsid w:val="00BC50E8"/>
    <w:rsid w:val="00BC6314"/>
    <w:rsid w:val="00BC6949"/>
    <w:rsid w:val="00BD2674"/>
    <w:rsid w:val="00BD365E"/>
    <w:rsid w:val="00BD3830"/>
    <w:rsid w:val="00BD3838"/>
    <w:rsid w:val="00BD4050"/>
    <w:rsid w:val="00BD5E8C"/>
    <w:rsid w:val="00BD731A"/>
    <w:rsid w:val="00BD7F52"/>
    <w:rsid w:val="00BE1A06"/>
    <w:rsid w:val="00BE2A24"/>
    <w:rsid w:val="00BE2E6C"/>
    <w:rsid w:val="00BE5D4E"/>
    <w:rsid w:val="00BE66B7"/>
    <w:rsid w:val="00BE672A"/>
    <w:rsid w:val="00BE6F25"/>
    <w:rsid w:val="00BF1866"/>
    <w:rsid w:val="00BF2F10"/>
    <w:rsid w:val="00BF31C7"/>
    <w:rsid w:val="00BF5347"/>
    <w:rsid w:val="00BF6844"/>
    <w:rsid w:val="00BF71EF"/>
    <w:rsid w:val="00C004E2"/>
    <w:rsid w:val="00C024D6"/>
    <w:rsid w:val="00C03777"/>
    <w:rsid w:val="00C03D67"/>
    <w:rsid w:val="00C042BD"/>
    <w:rsid w:val="00C05007"/>
    <w:rsid w:val="00C057D2"/>
    <w:rsid w:val="00C06FBA"/>
    <w:rsid w:val="00C073A8"/>
    <w:rsid w:val="00C1158D"/>
    <w:rsid w:val="00C11A29"/>
    <w:rsid w:val="00C1220D"/>
    <w:rsid w:val="00C20911"/>
    <w:rsid w:val="00C20C55"/>
    <w:rsid w:val="00C212F5"/>
    <w:rsid w:val="00C2145D"/>
    <w:rsid w:val="00C220D0"/>
    <w:rsid w:val="00C23C3E"/>
    <w:rsid w:val="00C23ECC"/>
    <w:rsid w:val="00C26F59"/>
    <w:rsid w:val="00C31A57"/>
    <w:rsid w:val="00C31E1F"/>
    <w:rsid w:val="00C32523"/>
    <w:rsid w:val="00C337B0"/>
    <w:rsid w:val="00C33CEC"/>
    <w:rsid w:val="00C37D9F"/>
    <w:rsid w:val="00C40166"/>
    <w:rsid w:val="00C41447"/>
    <w:rsid w:val="00C45153"/>
    <w:rsid w:val="00C51B70"/>
    <w:rsid w:val="00C52DC6"/>
    <w:rsid w:val="00C52EF6"/>
    <w:rsid w:val="00C56A53"/>
    <w:rsid w:val="00C60A76"/>
    <w:rsid w:val="00C6102F"/>
    <w:rsid w:val="00C641F8"/>
    <w:rsid w:val="00C6439A"/>
    <w:rsid w:val="00C648B1"/>
    <w:rsid w:val="00C65453"/>
    <w:rsid w:val="00C66393"/>
    <w:rsid w:val="00C66BF2"/>
    <w:rsid w:val="00C67BF5"/>
    <w:rsid w:val="00C70DB7"/>
    <w:rsid w:val="00C71043"/>
    <w:rsid w:val="00C71CAD"/>
    <w:rsid w:val="00C7213F"/>
    <w:rsid w:val="00C73B77"/>
    <w:rsid w:val="00C74F37"/>
    <w:rsid w:val="00C7558C"/>
    <w:rsid w:val="00C7610E"/>
    <w:rsid w:val="00C7644A"/>
    <w:rsid w:val="00C76532"/>
    <w:rsid w:val="00C76F63"/>
    <w:rsid w:val="00C778C1"/>
    <w:rsid w:val="00C81057"/>
    <w:rsid w:val="00C81D8B"/>
    <w:rsid w:val="00C834AD"/>
    <w:rsid w:val="00C86598"/>
    <w:rsid w:val="00C90BFA"/>
    <w:rsid w:val="00C928B4"/>
    <w:rsid w:val="00C92EB0"/>
    <w:rsid w:val="00C92F32"/>
    <w:rsid w:val="00C92F86"/>
    <w:rsid w:val="00C94613"/>
    <w:rsid w:val="00C94F79"/>
    <w:rsid w:val="00C96E1F"/>
    <w:rsid w:val="00CA0E15"/>
    <w:rsid w:val="00CA2D70"/>
    <w:rsid w:val="00CA3174"/>
    <w:rsid w:val="00CA417A"/>
    <w:rsid w:val="00CA471A"/>
    <w:rsid w:val="00CB7ECD"/>
    <w:rsid w:val="00CC0A88"/>
    <w:rsid w:val="00CC24B1"/>
    <w:rsid w:val="00CC30C6"/>
    <w:rsid w:val="00CC3623"/>
    <w:rsid w:val="00CC42CD"/>
    <w:rsid w:val="00CC47B2"/>
    <w:rsid w:val="00CC4909"/>
    <w:rsid w:val="00CC5413"/>
    <w:rsid w:val="00CD1CEA"/>
    <w:rsid w:val="00CD3C6C"/>
    <w:rsid w:val="00CD48A8"/>
    <w:rsid w:val="00CD579D"/>
    <w:rsid w:val="00CD6B90"/>
    <w:rsid w:val="00CE3364"/>
    <w:rsid w:val="00CE56F4"/>
    <w:rsid w:val="00CE6DD8"/>
    <w:rsid w:val="00CE6E89"/>
    <w:rsid w:val="00CF1938"/>
    <w:rsid w:val="00CF1FFC"/>
    <w:rsid w:val="00CF338A"/>
    <w:rsid w:val="00CF34FF"/>
    <w:rsid w:val="00CF37CA"/>
    <w:rsid w:val="00CF3DEC"/>
    <w:rsid w:val="00CF42F1"/>
    <w:rsid w:val="00CF520F"/>
    <w:rsid w:val="00CF5EFD"/>
    <w:rsid w:val="00D01F7B"/>
    <w:rsid w:val="00D05ECD"/>
    <w:rsid w:val="00D07C65"/>
    <w:rsid w:val="00D07EF9"/>
    <w:rsid w:val="00D1026E"/>
    <w:rsid w:val="00D109F7"/>
    <w:rsid w:val="00D10D53"/>
    <w:rsid w:val="00D12099"/>
    <w:rsid w:val="00D12409"/>
    <w:rsid w:val="00D14E0F"/>
    <w:rsid w:val="00D20FF0"/>
    <w:rsid w:val="00D22632"/>
    <w:rsid w:val="00D2313D"/>
    <w:rsid w:val="00D2389A"/>
    <w:rsid w:val="00D242CA"/>
    <w:rsid w:val="00D242F5"/>
    <w:rsid w:val="00D25562"/>
    <w:rsid w:val="00D25C92"/>
    <w:rsid w:val="00D30C84"/>
    <w:rsid w:val="00D3243D"/>
    <w:rsid w:val="00D33ECD"/>
    <w:rsid w:val="00D340B4"/>
    <w:rsid w:val="00D3582F"/>
    <w:rsid w:val="00D3669F"/>
    <w:rsid w:val="00D42084"/>
    <w:rsid w:val="00D421A5"/>
    <w:rsid w:val="00D42C29"/>
    <w:rsid w:val="00D435D9"/>
    <w:rsid w:val="00D45A60"/>
    <w:rsid w:val="00D51073"/>
    <w:rsid w:val="00D52A6A"/>
    <w:rsid w:val="00D54A78"/>
    <w:rsid w:val="00D555E3"/>
    <w:rsid w:val="00D6003B"/>
    <w:rsid w:val="00D607A1"/>
    <w:rsid w:val="00D60FA9"/>
    <w:rsid w:val="00D62601"/>
    <w:rsid w:val="00D63156"/>
    <w:rsid w:val="00D63D23"/>
    <w:rsid w:val="00D6428B"/>
    <w:rsid w:val="00D73959"/>
    <w:rsid w:val="00D7450B"/>
    <w:rsid w:val="00D7504F"/>
    <w:rsid w:val="00D77F68"/>
    <w:rsid w:val="00D80146"/>
    <w:rsid w:val="00D80358"/>
    <w:rsid w:val="00D807C2"/>
    <w:rsid w:val="00D823A0"/>
    <w:rsid w:val="00D83D75"/>
    <w:rsid w:val="00D85873"/>
    <w:rsid w:val="00D85F35"/>
    <w:rsid w:val="00D86C0F"/>
    <w:rsid w:val="00D87C4B"/>
    <w:rsid w:val="00D91649"/>
    <w:rsid w:val="00D924ED"/>
    <w:rsid w:val="00D92A50"/>
    <w:rsid w:val="00D92C64"/>
    <w:rsid w:val="00D94827"/>
    <w:rsid w:val="00D95938"/>
    <w:rsid w:val="00D97351"/>
    <w:rsid w:val="00D979EB"/>
    <w:rsid w:val="00DA13DA"/>
    <w:rsid w:val="00DA3B75"/>
    <w:rsid w:val="00DA7705"/>
    <w:rsid w:val="00DA7FBB"/>
    <w:rsid w:val="00DB0DAC"/>
    <w:rsid w:val="00DB0F0F"/>
    <w:rsid w:val="00DB0FD5"/>
    <w:rsid w:val="00DB2833"/>
    <w:rsid w:val="00DB2B89"/>
    <w:rsid w:val="00DB3EA3"/>
    <w:rsid w:val="00DB41CB"/>
    <w:rsid w:val="00DB50C7"/>
    <w:rsid w:val="00DB6762"/>
    <w:rsid w:val="00DB6DAB"/>
    <w:rsid w:val="00DC0BCB"/>
    <w:rsid w:val="00DC412E"/>
    <w:rsid w:val="00DC4639"/>
    <w:rsid w:val="00DC6377"/>
    <w:rsid w:val="00DC6448"/>
    <w:rsid w:val="00DC6675"/>
    <w:rsid w:val="00DC69D6"/>
    <w:rsid w:val="00DC7121"/>
    <w:rsid w:val="00DD0ED3"/>
    <w:rsid w:val="00DD0F36"/>
    <w:rsid w:val="00DD1206"/>
    <w:rsid w:val="00DD19AA"/>
    <w:rsid w:val="00DD2588"/>
    <w:rsid w:val="00DD48FA"/>
    <w:rsid w:val="00DD5370"/>
    <w:rsid w:val="00DD5573"/>
    <w:rsid w:val="00DD55E6"/>
    <w:rsid w:val="00DD70A6"/>
    <w:rsid w:val="00DD72D5"/>
    <w:rsid w:val="00DD755E"/>
    <w:rsid w:val="00DD7925"/>
    <w:rsid w:val="00DD7D6A"/>
    <w:rsid w:val="00DE04C6"/>
    <w:rsid w:val="00DE6352"/>
    <w:rsid w:val="00DF177F"/>
    <w:rsid w:val="00DF241C"/>
    <w:rsid w:val="00DF3770"/>
    <w:rsid w:val="00DF4613"/>
    <w:rsid w:val="00DF5B06"/>
    <w:rsid w:val="00DF6C55"/>
    <w:rsid w:val="00E00243"/>
    <w:rsid w:val="00E02C75"/>
    <w:rsid w:val="00E02CA6"/>
    <w:rsid w:val="00E047E7"/>
    <w:rsid w:val="00E049CA"/>
    <w:rsid w:val="00E06AD8"/>
    <w:rsid w:val="00E0754C"/>
    <w:rsid w:val="00E11521"/>
    <w:rsid w:val="00E11712"/>
    <w:rsid w:val="00E13A46"/>
    <w:rsid w:val="00E14C01"/>
    <w:rsid w:val="00E15E11"/>
    <w:rsid w:val="00E16656"/>
    <w:rsid w:val="00E1683E"/>
    <w:rsid w:val="00E16CD9"/>
    <w:rsid w:val="00E175F2"/>
    <w:rsid w:val="00E17B12"/>
    <w:rsid w:val="00E215B5"/>
    <w:rsid w:val="00E21B8B"/>
    <w:rsid w:val="00E222BA"/>
    <w:rsid w:val="00E23843"/>
    <w:rsid w:val="00E24444"/>
    <w:rsid w:val="00E25881"/>
    <w:rsid w:val="00E26BA2"/>
    <w:rsid w:val="00E30EFB"/>
    <w:rsid w:val="00E337BE"/>
    <w:rsid w:val="00E35D19"/>
    <w:rsid w:val="00E40699"/>
    <w:rsid w:val="00E4365F"/>
    <w:rsid w:val="00E460AE"/>
    <w:rsid w:val="00E52C75"/>
    <w:rsid w:val="00E53C72"/>
    <w:rsid w:val="00E5447C"/>
    <w:rsid w:val="00E548CE"/>
    <w:rsid w:val="00E6138C"/>
    <w:rsid w:val="00E615C8"/>
    <w:rsid w:val="00E62702"/>
    <w:rsid w:val="00E64368"/>
    <w:rsid w:val="00E64895"/>
    <w:rsid w:val="00E668B1"/>
    <w:rsid w:val="00E70E18"/>
    <w:rsid w:val="00E7170A"/>
    <w:rsid w:val="00E71F31"/>
    <w:rsid w:val="00E7535E"/>
    <w:rsid w:val="00E80D80"/>
    <w:rsid w:val="00E82F73"/>
    <w:rsid w:val="00E831A3"/>
    <w:rsid w:val="00E83D6C"/>
    <w:rsid w:val="00E8464E"/>
    <w:rsid w:val="00E855D0"/>
    <w:rsid w:val="00E855F2"/>
    <w:rsid w:val="00E85D67"/>
    <w:rsid w:val="00E85E8E"/>
    <w:rsid w:val="00E86975"/>
    <w:rsid w:val="00E86AA9"/>
    <w:rsid w:val="00E86C0B"/>
    <w:rsid w:val="00E875D5"/>
    <w:rsid w:val="00E904BD"/>
    <w:rsid w:val="00E93106"/>
    <w:rsid w:val="00E9345F"/>
    <w:rsid w:val="00E9489B"/>
    <w:rsid w:val="00E95172"/>
    <w:rsid w:val="00EA09AE"/>
    <w:rsid w:val="00EA0ACB"/>
    <w:rsid w:val="00EA1177"/>
    <w:rsid w:val="00EA1E34"/>
    <w:rsid w:val="00EA52D7"/>
    <w:rsid w:val="00EA539B"/>
    <w:rsid w:val="00EA5994"/>
    <w:rsid w:val="00EB0CF5"/>
    <w:rsid w:val="00EB0DF2"/>
    <w:rsid w:val="00EB124D"/>
    <w:rsid w:val="00EB3602"/>
    <w:rsid w:val="00EB3D0B"/>
    <w:rsid w:val="00EB3F84"/>
    <w:rsid w:val="00EB4C78"/>
    <w:rsid w:val="00EB65A2"/>
    <w:rsid w:val="00EB6870"/>
    <w:rsid w:val="00EB7940"/>
    <w:rsid w:val="00EC0B43"/>
    <w:rsid w:val="00EC1C87"/>
    <w:rsid w:val="00EC20C4"/>
    <w:rsid w:val="00EC58CC"/>
    <w:rsid w:val="00EC6082"/>
    <w:rsid w:val="00EC6AFF"/>
    <w:rsid w:val="00EC7424"/>
    <w:rsid w:val="00ED01F8"/>
    <w:rsid w:val="00ED01FD"/>
    <w:rsid w:val="00ED0FFD"/>
    <w:rsid w:val="00ED16C0"/>
    <w:rsid w:val="00ED4EE1"/>
    <w:rsid w:val="00ED5288"/>
    <w:rsid w:val="00ED7550"/>
    <w:rsid w:val="00EE1429"/>
    <w:rsid w:val="00EE23D1"/>
    <w:rsid w:val="00EE4920"/>
    <w:rsid w:val="00EE4C05"/>
    <w:rsid w:val="00EE592B"/>
    <w:rsid w:val="00EE6466"/>
    <w:rsid w:val="00EE79AE"/>
    <w:rsid w:val="00EF1C96"/>
    <w:rsid w:val="00EF2404"/>
    <w:rsid w:val="00EF2E8A"/>
    <w:rsid w:val="00EF34DE"/>
    <w:rsid w:val="00EF37CB"/>
    <w:rsid w:val="00EF5E10"/>
    <w:rsid w:val="00EF6436"/>
    <w:rsid w:val="00EF6743"/>
    <w:rsid w:val="00EF772B"/>
    <w:rsid w:val="00F03F4A"/>
    <w:rsid w:val="00F05230"/>
    <w:rsid w:val="00F0538E"/>
    <w:rsid w:val="00F05EEF"/>
    <w:rsid w:val="00F06A63"/>
    <w:rsid w:val="00F1101D"/>
    <w:rsid w:val="00F1191E"/>
    <w:rsid w:val="00F1282F"/>
    <w:rsid w:val="00F12BF6"/>
    <w:rsid w:val="00F135DF"/>
    <w:rsid w:val="00F1392C"/>
    <w:rsid w:val="00F13D5E"/>
    <w:rsid w:val="00F15A9B"/>
    <w:rsid w:val="00F16442"/>
    <w:rsid w:val="00F20AE8"/>
    <w:rsid w:val="00F24B5E"/>
    <w:rsid w:val="00F253D1"/>
    <w:rsid w:val="00F318D0"/>
    <w:rsid w:val="00F318E1"/>
    <w:rsid w:val="00F32C0A"/>
    <w:rsid w:val="00F34CA3"/>
    <w:rsid w:val="00F350C3"/>
    <w:rsid w:val="00F3616C"/>
    <w:rsid w:val="00F365FD"/>
    <w:rsid w:val="00F3677A"/>
    <w:rsid w:val="00F378A0"/>
    <w:rsid w:val="00F40290"/>
    <w:rsid w:val="00F4068B"/>
    <w:rsid w:val="00F41CCB"/>
    <w:rsid w:val="00F41DC2"/>
    <w:rsid w:val="00F431B3"/>
    <w:rsid w:val="00F44114"/>
    <w:rsid w:val="00F44E32"/>
    <w:rsid w:val="00F463B9"/>
    <w:rsid w:val="00F464ED"/>
    <w:rsid w:val="00F47395"/>
    <w:rsid w:val="00F47A9C"/>
    <w:rsid w:val="00F5061A"/>
    <w:rsid w:val="00F522DE"/>
    <w:rsid w:val="00F533A7"/>
    <w:rsid w:val="00F5392C"/>
    <w:rsid w:val="00F53FB7"/>
    <w:rsid w:val="00F54AF3"/>
    <w:rsid w:val="00F55E0B"/>
    <w:rsid w:val="00F56330"/>
    <w:rsid w:val="00F56A7B"/>
    <w:rsid w:val="00F56ABA"/>
    <w:rsid w:val="00F5752D"/>
    <w:rsid w:val="00F60232"/>
    <w:rsid w:val="00F60C42"/>
    <w:rsid w:val="00F60D38"/>
    <w:rsid w:val="00F61490"/>
    <w:rsid w:val="00F614A0"/>
    <w:rsid w:val="00F65866"/>
    <w:rsid w:val="00F6611A"/>
    <w:rsid w:val="00F71EA9"/>
    <w:rsid w:val="00F72351"/>
    <w:rsid w:val="00F72378"/>
    <w:rsid w:val="00F75B78"/>
    <w:rsid w:val="00F76BDF"/>
    <w:rsid w:val="00F77388"/>
    <w:rsid w:val="00F80AC3"/>
    <w:rsid w:val="00F84112"/>
    <w:rsid w:val="00F847D9"/>
    <w:rsid w:val="00F848E6"/>
    <w:rsid w:val="00F85114"/>
    <w:rsid w:val="00F86893"/>
    <w:rsid w:val="00F8776E"/>
    <w:rsid w:val="00F908A7"/>
    <w:rsid w:val="00F90FBF"/>
    <w:rsid w:val="00F91A4E"/>
    <w:rsid w:val="00F94E2A"/>
    <w:rsid w:val="00F95FF4"/>
    <w:rsid w:val="00F9751F"/>
    <w:rsid w:val="00F9759F"/>
    <w:rsid w:val="00FA37F4"/>
    <w:rsid w:val="00FA3D43"/>
    <w:rsid w:val="00FA55D7"/>
    <w:rsid w:val="00FA61B4"/>
    <w:rsid w:val="00FB2023"/>
    <w:rsid w:val="00FB4554"/>
    <w:rsid w:val="00FB4973"/>
    <w:rsid w:val="00FB7E34"/>
    <w:rsid w:val="00FC2513"/>
    <w:rsid w:val="00FC4961"/>
    <w:rsid w:val="00FC4F06"/>
    <w:rsid w:val="00FC514A"/>
    <w:rsid w:val="00FC6098"/>
    <w:rsid w:val="00FC640A"/>
    <w:rsid w:val="00FC6BFF"/>
    <w:rsid w:val="00FC7072"/>
    <w:rsid w:val="00FD00E9"/>
    <w:rsid w:val="00FD223B"/>
    <w:rsid w:val="00FD2FA5"/>
    <w:rsid w:val="00FD3889"/>
    <w:rsid w:val="00FD5363"/>
    <w:rsid w:val="00FD6445"/>
    <w:rsid w:val="00FD7AF2"/>
    <w:rsid w:val="00FD7B86"/>
    <w:rsid w:val="00FE0A89"/>
    <w:rsid w:val="00FE1186"/>
    <w:rsid w:val="00FE4D3F"/>
    <w:rsid w:val="00FE5C27"/>
    <w:rsid w:val="00FE5E18"/>
    <w:rsid w:val="00FE6AFA"/>
    <w:rsid w:val="00FF4428"/>
    <w:rsid w:val="00FF5359"/>
    <w:rsid w:val="00FF55D5"/>
    <w:rsid w:val="00FF5C55"/>
    <w:rsid w:val="00FF5CB5"/>
    <w:rsid w:val="00FF6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7105" fill="f" fillcolor="white" stroke="f">
      <v:fill color="white" on="f"/>
      <v:stroke on="f"/>
    </o:shapedefaults>
    <o:shapelayout v:ext="edit">
      <o:idmap v:ext="edit" data="1"/>
    </o:shapelayout>
  </w:shapeDefaults>
  <w:decimalSymbol w:val="."/>
  <w:listSeparator w:val=","/>
  <w14:docId w14:val="2DFE8007"/>
  <w15:docId w15:val="{87A60E83-8E82-4E02-A8CB-02CE5A40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C05"/>
    <w:pPr>
      <w:spacing w:before="60" w:after="60"/>
    </w:pPr>
    <w:rPr>
      <w:sz w:val="24"/>
      <w:lang w:val="en-US" w:eastAsia="ja-JP"/>
    </w:rPr>
  </w:style>
  <w:style w:type="paragraph" w:styleId="Heading1">
    <w:name w:val="heading 1"/>
    <w:basedOn w:val="Normal"/>
    <w:next w:val="Para"/>
    <w:qFormat/>
    <w:rsid w:val="006C0C05"/>
    <w:pPr>
      <w:keepNext/>
      <w:numPr>
        <w:numId w:val="4"/>
      </w:numPr>
      <w:spacing w:before="240" w:after="120"/>
      <w:outlineLvl w:val="0"/>
    </w:pPr>
    <w:rPr>
      <w:b/>
      <w:caps/>
      <w:kern w:val="28"/>
      <w:sz w:val="29"/>
    </w:rPr>
  </w:style>
  <w:style w:type="paragraph" w:styleId="Heading2">
    <w:name w:val="heading 2"/>
    <w:basedOn w:val="Normal"/>
    <w:next w:val="Para"/>
    <w:qFormat/>
    <w:rsid w:val="006C0C05"/>
    <w:pPr>
      <w:keepNext/>
      <w:numPr>
        <w:ilvl w:val="1"/>
        <w:numId w:val="4"/>
      </w:numPr>
      <w:spacing w:before="240" w:after="120"/>
      <w:outlineLvl w:val="1"/>
    </w:pPr>
    <w:rPr>
      <w:b/>
    </w:rPr>
  </w:style>
  <w:style w:type="paragraph" w:styleId="Heading3">
    <w:name w:val="heading 3"/>
    <w:basedOn w:val="Normal"/>
    <w:next w:val="Para"/>
    <w:qFormat/>
    <w:rsid w:val="003F37F1"/>
    <w:pPr>
      <w:numPr>
        <w:ilvl w:val="2"/>
        <w:numId w:val="4"/>
      </w:numPr>
      <w:spacing w:before="240" w:after="120"/>
      <w:outlineLvl w:val="2"/>
    </w:pPr>
    <w:rPr>
      <w:b/>
    </w:rPr>
  </w:style>
  <w:style w:type="paragraph" w:styleId="Heading4">
    <w:name w:val="heading 4"/>
    <w:basedOn w:val="Normal"/>
    <w:next w:val="Normal"/>
    <w:qFormat/>
    <w:rsid w:val="008F56BA"/>
    <w:pPr>
      <w:keepNext/>
      <w:spacing w:before="240" w:after="120"/>
      <w:outlineLvl w:val="3"/>
    </w:pPr>
    <w:rPr>
      <w:b/>
    </w:rPr>
  </w:style>
  <w:style w:type="paragraph" w:styleId="Heading5">
    <w:name w:val="heading 5"/>
    <w:basedOn w:val="Normal"/>
    <w:next w:val="Normal"/>
    <w:qFormat/>
    <w:rsid w:val="006C0C05"/>
    <w:pPr>
      <w:numPr>
        <w:ilvl w:val="4"/>
        <w:numId w:val="4"/>
      </w:numPr>
      <w:spacing w:before="240"/>
      <w:outlineLvl w:val="4"/>
    </w:pPr>
    <w:rPr>
      <w:rFonts w:ascii="Arial" w:hAnsi="Arial"/>
      <w:sz w:val="22"/>
    </w:rPr>
  </w:style>
  <w:style w:type="paragraph" w:styleId="Heading6">
    <w:name w:val="heading 6"/>
    <w:basedOn w:val="Normal"/>
    <w:next w:val="Normal"/>
    <w:qFormat/>
    <w:rsid w:val="006C0C05"/>
    <w:pPr>
      <w:numPr>
        <w:ilvl w:val="5"/>
        <w:numId w:val="4"/>
      </w:numPr>
      <w:spacing w:before="240"/>
      <w:outlineLvl w:val="5"/>
    </w:pPr>
    <w:rPr>
      <w:rFonts w:ascii="Arial" w:hAnsi="Arial"/>
      <w:i/>
      <w:sz w:val="22"/>
    </w:rPr>
  </w:style>
  <w:style w:type="paragraph" w:styleId="Heading7">
    <w:name w:val="heading 7"/>
    <w:basedOn w:val="Normal"/>
    <w:next w:val="Normal"/>
    <w:qFormat/>
    <w:rsid w:val="006C0C05"/>
    <w:pPr>
      <w:numPr>
        <w:ilvl w:val="6"/>
        <w:numId w:val="4"/>
      </w:numPr>
      <w:spacing w:before="240"/>
      <w:outlineLvl w:val="6"/>
    </w:pPr>
    <w:rPr>
      <w:rFonts w:ascii="Arial" w:hAnsi="Arial"/>
      <w:sz w:val="20"/>
    </w:rPr>
  </w:style>
  <w:style w:type="paragraph" w:styleId="Heading8">
    <w:name w:val="heading 8"/>
    <w:basedOn w:val="Normal"/>
    <w:next w:val="Normal"/>
    <w:qFormat/>
    <w:rsid w:val="006C0C05"/>
    <w:pPr>
      <w:numPr>
        <w:ilvl w:val="7"/>
        <w:numId w:val="4"/>
      </w:numPr>
      <w:spacing w:before="240"/>
      <w:outlineLvl w:val="7"/>
    </w:pPr>
    <w:rPr>
      <w:rFonts w:ascii="Arial" w:hAnsi="Arial"/>
      <w:i/>
      <w:sz w:val="20"/>
    </w:rPr>
  </w:style>
  <w:style w:type="paragraph" w:styleId="Heading9">
    <w:name w:val="heading 9"/>
    <w:basedOn w:val="Normal"/>
    <w:next w:val="Normal"/>
    <w:qFormat/>
    <w:rsid w:val="006C0C05"/>
    <w:pPr>
      <w:numPr>
        <w:ilvl w:val="8"/>
        <w:numId w:val="4"/>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rsid w:val="006C0C05"/>
    <w:pPr>
      <w:spacing w:before="0" w:after="0" w:line="340" w:lineRule="exact"/>
      <w:jc w:val="both"/>
    </w:pPr>
  </w:style>
  <w:style w:type="character" w:customStyle="1" w:styleId="ParaChar">
    <w:name w:val="Para Char"/>
    <w:link w:val="Para"/>
    <w:rsid w:val="00F40290"/>
    <w:rPr>
      <w:sz w:val="24"/>
      <w:lang w:val="en-US" w:eastAsia="ja-JP" w:bidi="ar-SA"/>
    </w:rPr>
  </w:style>
  <w:style w:type="paragraph" w:styleId="Header">
    <w:name w:val="header"/>
    <w:basedOn w:val="Normal"/>
    <w:rsid w:val="006C0C05"/>
    <w:pPr>
      <w:tabs>
        <w:tab w:val="center" w:pos="4153"/>
        <w:tab w:val="right" w:pos="8306"/>
      </w:tabs>
    </w:pPr>
  </w:style>
  <w:style w:type="paragraph" w:styleId="Footer">
    <w:name w:val="footer"/>
    <w:basedOn w:val="Normal"/>
    <w:rsid w:val="006C0C05"/>
    <w:pPr>
      <w:tabs>
        <w:tab w:val="center" w:pos="4153"/>
        <w:tab w:val="right" w:pos="8306"/>
      </w:tabs>
    </w:pPr>
  </w:style>
  <w:style w:type="character" w:styleId="PageNumber">
    <w:name w:val="page number"/>
    <w:basedOn w:val="DefaultParagraphFont"/>
    <w:rsid w:val="006C0C05"/>
  </w:style>
  <w:style w:type="paragraph" w:styleId="Signature">
    <w:name w:val="Signature"/>
    <w:basedOn w:val="Normal"/>
    <w:rsid w:val="006C0C05"/>
    <w:pPr>
      <w:ind w:left="4252"/>
    </w:pPr>
  </w:style>
  <w:style w:type="paragraph" w:styleId="TOC2">
    <w:name w:val="toc 2"/>
    <w:basedOn w:val="Heading1"/>
    <w:next w:val="Normal"/>
    <w:uiPriority w:val="39"/>
    <w:qFormat/>
    <w:rsid w:val="008F56BA"/>
    <w:pPr>
      <w:numPr>
        <w:numId w:val="0"/>
      </w:numPr>
      <w:tabs>
        <w:tab w:val="right" w:leader="dot" w:pos="8788"/>
      </w:tabs>
      <w:outlineLvl w:val="9"/>
    </w:pPr>
    <w:rPr>
      <w:smallCaps/>
      <w:sz w:val="24"/>
    </w:rPr>
  </w:style>
  <w:style w:type="paragraph" w:styleId="TOC1">
    <w:name w:val="toc 1"/>
    <w:basedOn w:val="Heading1"/>
    <w:next w:val="Normal"/>
    <w:uiPriority w:val="39"/>
    <w:qFormat/>
    <w:rsid w:val="008F56BA"/>
    <w:pPr>
      <w:numPr>
        <w:numId w:val="0"/>
      </w:numPr>
      <w:tabs>
        <w:tab w:val="right" w:leader="dot" w:pos="8788"/>
      </w:tabs>
      <w:spacing w:after="0"/>
      <w:outlineLvl w:val="9"/>
    </w:pPr>
    <w:rPr>
      <w:caps w:val="0"/>
      <w:sz w:val="24"/>
    </w:rPr>
  </w:style>
  <w:style w:type="paragraph" w:styleId="TOC3">
    <w:name w:val="toc 3"/>
    <w:basedOn w:val="Heading2"/>
    <w:next w:val="Normal"/>
    <w:uiPriority w:val="39"/>
    <w:qFormat/>
    <w:rsid w:val="008F56BA"/>
    <w:pPr>
      <w:numPr>
        <w:ilvl w:val="0"/>
        <w:numId w:val="0"/>
      </w:numPr>
      <w:tabs>
        <w:tab w:val="right" w:leader="dot" w:pos="8788"/>
      </w:tabs>
      <w:spacing w:before="120" w:after="0"/>
      <w:outlineLvl w:val="9"/>
    </w:pPr>
    <w:rPr>
      <w:b w:val="0"/>
    </w:rPr>
  </w:style>
  <w:style w:type="paragraph" w:styleId="TOC4">
    <w:name w:val="toc 4"/>
    <w:basedOn w:val="Heading3"/>
    <w:next w:val="Normal"/>
    <w:uiPriority w:val="39"/>
    <w:rsid w:val="006C0C05"/>
    <w:pPr>
      <w:tabs>
        <w:tab w:val="right" w:leader="dot" w:pos="8788"/>
      </w:tabs>
      <w:spacing w:before="120" w:after="0"/>
      <w:ind w:left="1004" w:hanging="550"/>
      <w:outlineLvl w:val="9"/>
    </w:pPr>
    <w:rPr>
      <w:b w:val="0"/>
    </w:rPr>
  </w:style>
  <w:style w:type="paragraph" w:styleId="TOC5">
    <w:name w:val="toc 5"/>
    <w:basedOn w:val="Normal"/>
    <w:next w:val="Normal"/>
    <w:uiPriority w:val="39"/>
    <w:rsid w:val="006C0C05"/>
    <w:pPr>
      <w:tabs>
        <w:tab w:val="right" w:leader="dot" w:pos="8788"/>
      </w:tabs>
      <w:spacing w:before="120" w:after="0"/>
      <w:ind w:left="1406" w:hanging="726"/>
    </w:pPr>
  </w:style>
  <w:style w:type="paragraph" w:styleId="TOC6">
    <w:name w:val="toc 6"/>
    <w:basedOn w:val="Normal"/>
    <w:next w:val="Normal"/>
    <w:uiPriority w:val="39"/>
    <w:rsid w:val="006C0C05"/>
    <w:pPr>
      <w:tabs>
        <w:tab w:val="right" w:leader="dot" w:pos="8788"/>
      </w:tabs>
      <w:ind w:left="800"/>
    </w:pPr>
    <w:rPr>
      <w:sz w:val="18"/>
    </w:rPr>
  </w:style>
  <w:style w:type="paragraph" w:styleId="TOC7">
    <w:name w:val="toc 7"/>
    <w:basedOn w:val="Normal"/>
    <w:next w:val="Normal"/>
    <w:uiPriority w:val="39"/>
    <w:rsid w:val="006C0C05"/>
    <w:pPr>
      <w:tabs>
        <w:tab w:val="right" w:leader="dot" w:pos="8788"/>
      </w:tabs>
      <w:ind w:left="1000"/>
    </w:pPr>
    <w:rPr>
      <w:sz w:val="18"/>
    </w:rPr>
  </w:style>
  <w:style w:type="paragraph" w:styleId="TOC8">
    <w:name w:val="toc 8"/>
    <w:basedOn w:val="Normal"/>
    <w:next w:val="Normal"/>
    <w:uiPriority w:val="39"/>
    <w:rsid w:val="006C0C05"/>
    <w:pPr>
      <w:tabs>
        <w:tab w:val="right" w:leader="dot" w:pos="8788"/>
      </w:tabs>
      <w:ind w:left="1200"/>
    </w:pPr>
    <w:rPr>
      <w:sz w:val="18"/>
    </w:rPr>
  </w:style>
  <w:style w:type="paragraph" w:styleId="TOC9">
    <w:name w:val="toc 9"/>
    <w:basedOn w:val="Normal"/>
    <w:next w:val="Normal"/>
    <w:uiPriority w:val="39"/>
    <w:rsid w:val="006C0C05"/>
    <w:pPr>
      <w:tabs>
        <w:tab w:val="right" w:leader="dot" w:pos="8788"/>
      </w:tabs>
      <w:ind w:left="1400"/>
    </w:pPr>
    <w:rPr>
      <w:sz w:val="18"/>
    </w:rPr>
  </w:style>
  <w:style w:type="paragraph" w:styleId="Caption">
    <w:name w:val="caption"/>
    <w:basedOn w:val="Normal"/>
    <w:next w:val="Normal"/>
    <w:qFormat/>
    <w:rsid w:val="006C0C05"/>
    <w:pPr>
      <w:spacing w:before="120" w:after="120"/>
    </w:pPr>
    <w:rPr>
      <w:b/>
    </w:rPr>
  </w:style>
  <w:style w:type="paragraph" w:styleId="NormalIndent">
    <w:name w:val="Normal Indent"/>
    <w:basedOn w:val="Normal"/>
    <w:rsid w:val="006C0C05"/>
    <w:pPr>
      <w:ind w:left="720"/>
    </w:pPr>
  </w:style>
  <w:style w:type="paragraph" w:styleId="ListBullet">
    <w:name w:val="List Bullet"/>
    <w:basedOn w:val="Normal"/>
    <w:next w:val="Para"/>
    <w:rsid w:val="006C0C05"/>
    <w:pPr>
      <w:spacing w:before="240" w:after="0" w:line="340" w:lineRule="exact"/>
      <w:ind w:left="851" w:hanging="284"/>
      <w:jc w:val="both"/>
    </w:pPr>
  </w:style>
  <w:style w:type="paragraph" w:customStyle="1" w:styleId="Exec">
    <w:name w:val="Exec"/>
    <w:basedOn w:val="Para"/>
    <w:next w:val="Para"/>
    <w:rsid w:val="006C0C05"/>
    <w:pPr>
      <w:spacing w:before="240" w:after="120" w:line="240" w:lineRule="auto"/>
      <w:ind w:left="-284"/>
    </w:pPr>
    <w:rPr>
      <w:b/>
      <w:sz w:val="28"/>
    </w:rPr>
  </w:style>
  <w:style w:type="paragraph" w:customStyle="1" w:styleId="tbl">
    <w:name w:val="tbl"/>
    <w:basedOn w:val="Normal"/>
    <w:rsid w:val="006C0C05"/>
    <w:pPr>
      <w:tabs>
        <w:tab w:val="left" w:pos="-198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line="288" w:lineRule="auto"/>
    </w:pPr>
    <w:rPr>
      <w:rFonts w:ascii="Bookman Old Style" w:hAnsi="Bookman Old Style"/>
      <w:spacing w:val="-3"/>
      <w:sz w:val="20"/>
      <w:lang w:val="en-AU"/>
    </w:rPr>
  </w:style>
  <w:style w:type="paragraph" w:customStyle="1" w:styleId="tbltitle">
    <w:name w:val="tbltitle"/>
    <w:basedOn w:val="tbl"/>
    <w:next w:val="tbl"/>
    <w:rsid w:val="006C0C05"/>
    <w:pPr>
      <w:keepNext/>
      <w:keepLines/>
      <w:spacing w:before="60" w:after="60"/>
      <w:ind w:left="2127" w:hanging="426"/>
    </w:pPr>
    <w:rPr>
      <w:b/>
      <w:sz w:val="18"/>
    </w:rPr>
  </w:style>
  <w:style w:type="paragraph" w:styleId="FootnoteText">
    <w:name w:val="footnote text"/>
    <w:basedOn w:val="Normal"/>
    <w:semiHidden/>
    <w:rsid w:val="006C0C05"/>
    <w:rPr>
      <w:sz w:val="20"/>
    </w:rPr>
  </w:style>
  <w:style w:type="character" w:styleId="FootnoteReference">
    <w:name w:val="footnote reference"/>
    <w:semiHidden/>
    <w:rsid w:val="006C0C05"/>
    <w:rPr>
      <w:vertAlign w:val="superscript"/>
    </w:rPr>
  </w:style>
  <w:style w:type="character" w:styleId="CommentReference">
    <w:name w:val="annotation reference"/>
    <w:semiHidden/>
    <w:rsid w:val="006C0C05"/>
    <w:rPr>
      <w:sz w:val="16"/>
    </w:rPr>
  </w:style>
  <w:style w:type="paragraph" w:styleId="CommentText">
    <w:name w:val="annotation text"/>
    <w:basedOn w:val="Normal"/>
    <w:link w:val="CommentTextChar"/>
    <w:semiHidden/>
    <w:rsid w:val="006C0C05"/>
    <w:rPr>
      <w:sz w:val="20"/>
    </w:rPr>
  </w:style>
  <w:style w:type="paragraph" w:styleId="BodyTextIndent2">
    <w:name w:val="Body Text Indent 2"/>
    <w:basedOn w:val="Normal"/>
    <w:link w:val="BodyTextIndent2Char"/>
    <w:rsid w:val="006C0C05"/>
    <w:pPr>
      <w:spacing w:before="0" w:after="0"/>
      <w:ind w:left="360"/>
    </w:pPr>
  </w:style>
  <w:style w:type="character" w:customStyle="1" w:styleId="BodyTextIndent2Char">
    <w:name w:val="Body Text Indent 2 Char"/>
    <w:link w:val="BodyTextIndent2"/>
    <w:rsid w:val="00A56D59"/>
    <w:rPr>
      <w:sz w:val="24"/>
      <w:lang w:eastAsia="ja-JP"/>
    </w:rPr>
  </w:style>
  <w:style w:type="paragraph" w:styleId="BodyTextIndent">
    <w:name w:val="Body Text Indent"/>
    <w:basedOn w:val="Normal"/>
    <w:rsid w:val="006C0C05"/>
    <w:pPr>
      <w:spacing w:before="120"/>
      <w:ind w:left="720"/>
    </w:pPr>
  </w:style>
  <w:style w:type="paragraph" w:customStyle="1" w:styleId="i3">
    <w:name w:val="i3"/>
    <w:basedOn w:val="Normal"/>
    <w:rsid w:val="006C0C05"/>
    <w:pPr>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88" w:lineRule="auto"/>
      <w:ind w:left="1701"/>
    </w:pPr>
    <w:rPr>
      <w:rFonts w:ascii="Bookman Old Style" w:hAnsi="Bookman Old Style"/>
      <w:spacing w:val="-3"/>
      <w:sz w:val="22"/>
      <w:lang w:val="en-AU"/>
    </w:rPr>
  </w:style>
  <w:style w:type="paragraph" w:customStyle="1" w:styleId="ind2">
    <w:name w:val="ind2"/>
    <w:rsid w:val="006C0C05"/>
    <w:pPr>
      <w:keepLines/>
      <w:tabs>
        <w:tab w:val="left" w:pos="-1985"/>
      </w:tabs>
      <w:spacing w:before="120" w:after="120"/>
      <w:ind w:left="1418"/>
    </w:pPr>
    <w:rPr>
      <w:sz w:val="24"/>
      <w:lang w:eastAsia="ja-JP"/>
    </w:rPr>
  </w:style>
  <w:style w:type="paragraph" w:styleId="BodyText">
    <w:name w:val="Body Text"/>
    <w:basedOn w:val="Normal"/>
    <w:rsid w:val="006C0C05"/>
    <w:pPr>
      <w:jc w:val="center"/>
    </w:pPr>
    <w:rPr>
      <w:b/>
      <w:sz w:val="44"/>
    </w:rPr>
  </w:style>
  <w:style w:type="paragraph" w:styleId="BodyText2">
    <w:name w:val="Body Text 2"/>
    <w:basedOn w:val="Normal"/>
    <w:rsid w:val="006C0C05"/>
    <w:pPr>
      <w:spacing w:before="0" w:after="0"/>
    </w:pPr>
    <w:rPr>
      <w:lang w:val="en-AU"/>
    </w:rPr>
  </w:style>
  <w:style w:type="paragraph" w:styleId="DocumentMap">
    <w:name w:val="Document Map"/>
    <w:basedOn w:val="Normal"/>
    <w:semiHidden/>
    <w:rsid w:val="006C0C05"/>
    <w:pPr>
      <w:shd w:val="clear" w:color="auto" w:fill="000080"/>
    </w:pPr>
    <w:rPr>
      <w:rFonts w:ascii="Tahoma" w:hAnsi="Tahoma"/>
    </w:rPr>
  </w:style>
  <w:style w:type="paragraph" w:styleId="BodyText3">
    <w:name w:val="Body Text 3"/>
    <w:basedOn w:val="Normal"/>
    <w:rsid w:val="006C0C05"/>
    <w:pPr>
      <w:spacing w:after="0"/>
      <w:jc w:val="center"/>
    </w:pPr>
    <w:rPr>
      <w:b/>
      <w:sz w:val="22"/>
    </w:rPr>
  </w:style>
  <w:style w:type="paragraph" w:styleId="BodyTextIndent3">
    <w:name w:val="Body Text Indent 3"/>
    <w:basedOn w:val="Normal"/>
    <w:rsid w:val="006C0C05"/>
    <w:pPr>
      <w:spacing w:before="0" w:after="0" w:line="340" w:lineRule="exact"/>
      <w:ind w:left="1701"/>
      <w:jc w:val="both"/>
    </w:pPr>
    <w:rPr>
      <w:lang w:val="en-AU"/>
    </w:rPr>
  </w:style>
  <w:style w:type="paragraph" w:styleId="Title">
    <w:name w:val="Title"/>
    <w:basedOn w:val="Normal"/>
    <w:qFormat/>
    <w:rsid w:val="006C0C05"/>
    <w:pPr>
      <w:spacing w:before="0" w:after="0"/>
      <w:jc w:val="center"/>
    </w:pPr>
    <w:rPr>
      <w:rFonts w:ascii="Arial" w:hAnsi="Arial"/>
      <w:sz w:val="56"/>
      <w:lang w:val="en-AU"/>
    </w:rPr>
  </w:style>
  <w:style w:type="paragraph" w:styleId="Subtitle">
    <w:name w:val="Subtitle"/>
    <w:basedOn w:val="Normal"/>
    <w:qFormat/>
    <w:rsid w:val="006C0C05"/>
    <w:pPr>
      <w:tabs>
        <w:tab w:val="left" w:pos="1701"/>
        <w:tab w:val="right" w:leader="dot" w:pos="6946"/>
      </w:tabs>
      <w:spacing w:before="120" w:after="0"/>
    </w:pPr>
    <w:rPr>
      <w:sz w:val="36"/>
    </w:rPr>
  </w:style>
  <w:style w:type="character" w:styleId="EndnoteReference">
    <w:name w:val="endnote reference"/>
    <w:semiHidden/>
    <w:rsid w:val="006C0C05"/>
    <w:rPr>
      <w:vertAlign w:val="superscript"/>
    </w:rPr>
  </w:style>
  <w:style w:type="paragraph" w:styleId="BalloonText">
    <w:name w:val="Balloon Text"/>
    <w:basedOn w:val="Normal"/>
    <w:semiHidden/>
    <w:rsid w:val="00EA0ACB"/>
    <w:rPr>
      <w:rFonts w:ascii="Tahoma" w:hAnsi="Tahoma" w:cs="Tahoma"/>
      <w:sz w:val="16"/>
      <w:szCs w:val="16"/>
    </w:rPr>
  </w:style>
  <w:style w:type="paragraph" w:customStyle="1" w:styleId="showcard">
    <w:name w:val="showcard"/>
    <w:basedOn w:val="Normal"/>
    <w:rsid w:val="006C0C05"/>
    <w:rPr>
      <w:caps/>
      <w:sz w:val="29"/>
    </w:rPr>
  </w:style>
  <w:style w:type="paragraph" w:styleId="CommentSubject">
    <w:name w:val="annotation subject"/>
    <w:basedOn w:val="CommentText"/>
    <w:next w:val="CommentText"/>
    <w:semiHidden/>
    <w:rsid w:val="00F47395"/>
    <w:rPr>
      <w:b/>
      <w:bCs/>
    </w:rPr>
  </w:style>
  <w:style w:type="table" w:styleId="TableGrid">
    <w:name w:val="Table Grid"/>
    <w:basedOn w:val="TableNormal"/>
    <w:rsid w:val="00D6428B"/>
    <w:pPr>
      <w:spacing w:before="60" w:after="6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057D2"/>
    <w:rPr>
      <w:color w:val="0000FF"/>
      <w:u w:val="single"/>
    </w:rPr>
  </w:style>
  <w:style w:type="paragraph" w:customStyle="1" w:styleId="Char">
    <w:name w:val="Char"/>
    <w:basedOn w:val="Normal"/>
    <w:rsid w:val="00402AAD"/>
    <w:pPr>
      <w:spacing w:before="0" w:after="160" w:line="240" w:lineRule="exact"/>
    </w:pPr>
    <w:rPr>
      <w:rFonts w:ascii="Tahoma" w:hAnsi="Tahoma"/>
      <w:sz w:val="20"/>
      <w:lang w:eastAsia="en-US"/>
    </w:rPr>
  </w:style>
  <w:style w:type="character" w:styleId="FollowedHyperlink">
    <w:name w:val="FollowedHyperlink"/>
    <w:uiPriority w:val="99"/>
    <w:unhideWhenUsed/>
    <w:rsid w:val="000C4ECC"/>
    <w:rPr>
      <w:color w:val="800080"/>
      <w:u w:val="single"/>
    </w:rPr>
  </w:style>
  <w:style w:type="character" w:customStyle="1" w:styleId="CommentTextChar">
    <w:name w:val="Comment Text Char"/>
    <w:basedOn w:val="DefaultParagraphFont"/>
    <w:link w:val="CommentText"/>
    <w:semiHidden/>
    <w:rsid w:val="0010041A"/>
    <w:rPr>
      <w:lang w:val="en-US" w:eastAsia="ja-JP"/>
    </w:rPr>
  </w:style>
  <w:style w:type="paragraph" w:styleId="Revision">
    <w:name w:val="Revision"/>
    <w:hidden/>
    <w:uiPriority w:val="99"/>
    <w:semiHidden/>
    <w:rsid w:val="008756A4"/>
    <w:rPr>
      <w:sz w:val="24"/>
      <w:lang w:val="en-US" w:eastAsia="ja-JP"/>
    </w:rPr>
  </w:style>
  <w:style w:type="character" w:customStyle="1" w:styleId="ListParagraphChar">
    <w:name w:val="List Paragraph Char"/>
    <w:basedOn w:val="DefaultParagraphFont"/>
    <w:link w:val="ListParagraph"/>
    <w:uiPriority w:val="34"/>
    <w:locked/>
    <w:rsid w:val="005A6468"/>
    <w:rPr>
      <w:rFonts w:ascii="Calibri" w:hAnsi="Calibri" w:cs="Calibri"/>
      <w:lang w:eastAsia="en-US"/>
    </w:rPr>
  </w:style>
  <w:style w:type="paragraph" w:styleId="ListParagraph">
    <w:name w:val="List Paragraph"/>
    <w:basedOn w:val="Normal"/>
    <w:link w:val="ListParagraphChar"/>
    <w:uiPriority w:val="34"/>
    <w:qFormat/>
    <w:rsid w:val="005A6468"/>
    <w:pPr>
      <w:spacing w:before="0" w:after="0"/>
      <w:ind w:left="720"/>
    </w:pPr>
    <w:rPr>
      <w:rFonts w:ascii="Calibri" w:hAnsi="Calibri" w:cs="Calibri"/>
      <w:sz w:val="20"/>
      <w:lang w:val="en-AU" w:eastAsia="en-US"/>
    </w:rPr>
  </w:style>
  <w:style w:type="paragraph" w:styleId="TOCHeading">
    <w:name w:val="TOC Heading"/>
    <w:basedOn w:val="Heading1"/>
    <w:next w:val="Normal"/>
    <w:uiPriority w:val="39"/>
    <w:semiHidden/>
    <w:unhideWhenUsed/>
    <w:qFormat/>
    <w:rsid w:val="00691DC6"/>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paragraph" w:customStyle="1" w:styleId="DHHSbody">
    <w:name w:val="DHHS body"/>
    <w:qFormat/>
    <w:rsid w:val="007C2080"/>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2296">
      <w:bodyDiv w:val="1"/>
      <w:marLeft w:val="0"/>
      <w:marRight w:val="0"/>
      <w:marTop w:val="0"/>
      <w:marBottom w:val="0"/>
      <w:divBdr>
        <w:top w:val="none" w:sz="0" w:space="0" w:color="auto"/>
        <w:left w:val="none" w:sz="0" w:space="0" w:color="auto"/>
        <w:bottom w:val="none" w:sz="0" w:space="0" w:color="auto"/>
        <w:right w:val="none" w:sz="0" w:space="0" w:color="auto"/>
      </w:divBdr>
    </w:div>
    <w:div w:id="6030641">
      <w:bodyDiv w:val="1"/>
      <w:marLeft w:val="0"/>
      <w:marRight w:val="0"/>
      <w:marTop w:val="0"/>
      <w:marBottom w:val="0"/>
      <w:divBdr>
        <w:top w:val="none" w:sz="0" w:space="0" w:color="auto"/>
        <w:left w:val="none" w:sz="0" w:space="0" w:color="auto"/>
        <w:bottom w:val="none" w:sz="0" w:space="0" w:color="auto"/>
        <w:right w:val="none" w:sz="0" w:space="0" w:color="auto"/>
      </w:divBdr>
    </w:div>
    <w:div w:id="25763925">
      <w:bodyDiv w:val="1"/>
      <w:marLeft w:val="0"/>
      <w:marRight w:val="0"/>
      <w:marTop w:val="0"/>
      <w:marBottom w:val="0"/>
      <w:divBdr>
        <w:top w:val="none" w:sz="0" w:space="0" w:color="auto"/>
        <w:left w:val="none" w:sz="0" w:space="0" w:color="auto"/>
        <w:bottom w:val="none" w:sz="0" w:space="0" w:color="auto"/>
        <w:right w:val="none" w:sz="0" w:space="0" w:color="auto"/>
      </w:divBdr>
    </w:div>
    <w:div w:id="27535320">
      <w:bodyDiv w:val="1"/>
      <w:marLeft w:val="0"/>
      <w:marRight w:val="0"/>
      <w:marTop w:val="0"/>
      <w:marBottom w:val="0"/>
      <w:divBdr>
        <w:top w:val="none" w:sz="0" w:space="0" w:color="auto"/>
        <w:left w:val="none" w:sz="0" w:space="0" w:color="auto"/>
        <w:bottom w:val="none" w:sz="0" w:space="0" w:color="auto"/>
        <w:right w:val="none" w:sz="0" w:space="0" w:color="auto"/>
      </w:divBdr>
    </w:div>
    <w:div w:id="33774012">
      <w:bodyDiv w:val="1"/>
      <w:marLeft w:val="0"/>
      <w:marRight w:val="0"/>
      <w:marTop w:val="0"/>
      <w:marBottom w:val="0"/>
      <w:divBdr>
        <w:top w:val="none" w:sz="0" w:space="0" w:color="auto"/>
        <w:left w:val="none" w:sz="0" w:space="0" w:color="auto"/>
        <w:bottom w:val="none" w:sz="0" w:space="0" w:color="auto"/>
        <w:right w:val="none" w:sz="0" w:space="0" w:color="auto"/>
      </w:divBdr>
    </w:div>
    <w:div w:id="35666210">
      <w:bodyDiv w:val="1"/>
      <w:marLeft w:val="0"/>
      <w:marRight w:val="0"/>
      <w:marTop w:val="0"/>
      <w:marBottom w:val="0"/>
      <w:divBdr>
        <w:top w:val="none" w:sz="0" w:space="0" w:color="auto"/>
        <w:left w:val="none" w:sz="0" w:space="0" w:color="auto"/>
        <w:bottom w:val="none" w:sz="0" w:space="0" w:color="auto"/>
        <w:right w:val="none" w:sz="0" w:space="0" w:color="auto"/>
      </w:divBdr>
    </w:div>
    <w:div w:id="36593231">
      <w:bodyDiv w:val="1"/>
      <w:marLeft w:val="0"/>
      <w:marRight w:val="0"/>
      <w:marTop w:val="0"/>
      <w:marBottom w:val="0"/>
      <w:divBdr>
        <w:top w:val="none" w:sz="0" w:space="0" w:color="auto"/>
        <w:left w:val="none" w:sz="0" w:space="0" w:color="auto"/>
        <w:bottom w:val="none" w:sz="0" w:space="0" w:color="auto"/>
        <w:right w:val="none" w:sz="0" w:space="0" w:color="auto"/>
      </w:divBdr>
    </w:div>
    <w:div w:id="44763799">
      <w:bodyDiv w:val="1"/>
      <w:marLeft w:val="0"/>
      <w:marRight w:val="0"/>
      <w:marTop w:val="0"/>
      <w:marBottom w:val="0"/>
      <w:divBdr>
        <w:top w:val="none" w:sz="0" w:space="0" w:color="auto"/>
        <w:left w:val="none" w:sz="0" w:space="0" w:color="auto"/>
        <w:bottom w:val="none" w:sz="0" w:space="0" w:color="auto"/>
        <w:right w:val="none" w:sz="0" w:space="0" w:color="auto"/>
      </w:divBdr>
    </w:div>
    <w:div w:id="53357742">
      <w:bodyDiv w:val="1"/>
      <w:marLeft w:val="0"/>
      <w:marRight w:val="0"/>
      <w:marTop w:val="0"/>
      <w:marBottom w:val="0"/>
      <w:divBdr>
        <w:top w:val="none" w:sz="0" w:space="0" w:color="auto"/>
        <w:left w:val="none" w:sz="0" w:space="0" w:color="auto"/>
        <w:bottom w:val="none" w:sz="0" w:space="0" w:color="auto"/>
        <w:right w:val="none" w:sz="0" w:space="0" w:color="auto"/>
      </w:divBdr>
    </w:div>
    <w:div w:id="55396094">
      <w:bodyDiv w:val="1"/>
      <w:marLeft w:val="0"/>
      <w:marRight w:val="0"/>
      <w:marTop w:val="0"/>
      <w:marBottom w:val="0"/>
      <w:divBdr>
        <w:top w:val="none" w:sz="0" w:space="0" w:color="auto"/>
        <w:left w:val="none" w:sz="0" w:space="0" w:color="auto"/>
        <w:bottom w:val="none" w:sz="0" w:space="0" w:color="auto"/>
        <w:right w:val="none" w:sz="0" w:space="0" w:color="auto"/>
      </w:divBdr>
    </w:div>
    <w:div w:id="65540466">
      <w:bodyDiv w:val="1"/>
      <w:marLeft w:val="0"/>
      <w:marRight w:val="0"/>
      <w:marTop w:val="0"/>
      <w:marBottom w:val="0"/>
      <w:divBdr>
        <w:top w:val="none" w:sz="0" w:space="0" w:color="auto"/>
        <w:left w:val="none" w:sz="0" w:space="0" w:color="auto"/>
        <w:bottom w:val="none" w:sz="0" w:space="0" w:color="auto"/>
        <w:right w:val="none" w:sz="0" w:space="0" w:color="auto"/>
      </w:divBdr>
    </w:div>
    <w:div w:id="67003182">
      <w:bodyDiv w:val="1"/>
      <w:marLeft w:val="0"/>
      <w:marRight w:val="0"/>
      <w:marTop w:val="0"/>
      <w:marBottom w:val="0"/>
      <w:divBdr>
        <w:top w:val="none" w:sz="0" w:space="0" w:color="auto"/>
        <w:left w:val="none" w:sz="0" w:space="0" w:color="auto"/>
        <w:bottom w:val="none" w:sz="0" w:space="0" w:color="auto"/>
        <w:right w:val="none" w:sz="0" w:space="0" w:color="auto"/>
      </w:divBdr>
    </w:div>
    <w:div w:id="70003460">
      <w:bodyDiv w:val="1"/>
      <w:marLeft w:val="0"/>
      <w:marRight w:val="0"/>
      <w:marTop w:val="0"/>
      <w:marBottom w:val="0"/>
      <w:divBdr>
        <w:top w:val="none" w:sz="0" w:space="0" w:color="auto"/>
        <w:left w:val="none" w:sz="0" w:space="0" w:color="auto"/>
        <w:bottom w:val="none" w:sz="0" w:space="0" w:color="auto"/>
        <w:right w:val="none" w:sz="0" w:space="0" w:color="auto"/>
      </w:divBdr>
    </w:div>
    <w:div w:id="74665730">
      <w:bodyDiv w:val="1"/>
      <w:marLeft w:val="0"/>
      <w:marRight w:val="0"/>
      <w:marTop w:val="0"/>
      <w:marBottom w:val="0"/>
      <w:divBdr>
        <w:top w:val="none" w:sz="0" w:space="0" w:color="auto"/>
        <w:left w:val="none" w:sz="0" w:space="0" w:color="auto"/>
        <w:bottom w:val="none" w:sz="0" w:space="0" w:color="auto"/>
        <w:right w:val="none" w:sz="0" w:space="0" w:color="auto"/>
      </w:divBdr>
    </w:div>
    <w:div w:id="90125889">
      <w:bodyDiv w:val="1"/>
      <w:marLeft w:val="0"/>
      <w:marRight w:val="0"/>
      <w:marTop w:val="0"/>
      <w:marBottom w:val="0"/>
      <w:divBdr>
        <w:top w:val="none" w:sz="0" w:space="0" w:color="auto"/>
        <w:left w:val="none" w:sz="0" w:space="0" w:color="auto"/>
        <w:bottom w:val="none" w:sz="0" w:space="0" w:color="auto"/>
        <w:right w:val="none" w:sz="0" w:space="0" w:color="auto"/>
      </w:divBdr>
    </w:div>
    <w:div w:id="93523076">
      <w:bodyDiv w:val="1"/>
      <w:marLeft w:val="0"/>
      <w:marRight w:val="0"/>
      <w:marTop w:val="0"/>
      <w:marBottom w:val="0"/>
      <w:divBdr>
        <w:top w:val="none" w:sz="0" w:space="0" w:color="auto"/>
        <w:left w:val="none" w:sz="0" w:space="0" w:color="auto"/>
        <w:bottom w:val="none" w:sz="0" w:space="0" w:color="auto"/>
        <w:right w:val="none" w:sz="0" w:space="0" w:color="auto"/>
      </w:divBdr>
    </w:div>
    <w:div w:id="100532226">
      <w:bodyDiv w:val="1"/>
      <w:marLeft w:val="0"/>
      <w:marRight w:val="0"/>
      <w:marTop w:val="0"/>
      <w:marBottom w:val="0"/>
      <w:divBdr>
        <w:top w:val="none" w:sz="0" w:space="0" w:color="auto"/>
        <w:left w:val="none" w:sz="0" w:space="0" w:color="auto"/>
        <w:bottom w:val="none" w:sz="0" w:space="0" w:color="auto"/>
        <w:right w:val="none" w:sz="0" w:space="0" w:color="auto"/>
      </w:divBdr>
    </w:div>
    <w:div w:id="102724217">
      <w:bodyDiv w:val="1"/>
      <w:marLeft w:val="0"/>
      <w:marRight w:val="0"/>
      <w:marTop w:val="0"/>
      <w:marBottom w:val="0"/>
      <w:divBdr>
        <w:top w:val="none" w:sz="0" w:space="0" w:color="auto"/>
        <w:left w:val="none" w:sz="0" w:space="0" w:color="auto"/>
        <w:bottom w:val="none" w:sz="0" w:space="0" w:color="auto"/>
        <w:right w:val="none" w:sz="0" w:space="0" w:color="auto"/>
      </w:divBdr>
    </w:div>
    <w:div w:id="105081287">
      <w:bodyDiv w:val="1"/>
      <w:marLeft w:val="0"/>
      <w:marRight w:val="0"/>
      <w:marTop w:val="0"/>
      <w:marBottom w:val="0"/>
      <w:divBdr>
        <w:top w:val="none" w:sz="0" w:space="0" w:color="auto"/>
        <w:left w:val="none" w:sz="0" w:space="0" w:color="auto"/>
        <w:bottom w:val="none" w:sz="0" w:space="0" w:color="auto"/>
        <w:right w:val="none" w:sz="0" w:space="0" w:color="auto"/>
      </w:divBdr>
    </w:div>
    <w:div w:id="116068762">
      <w:bodyDiv w:val="1"/>
      <w:marLeft w:val="0"/>
      <w:marRight w:val="0"/>
      <w:marTop w:val="0"/>
      <w:marBottom w:val="0"/>
      <w:divBdr>
        <w:top w:val="none" w:sz="0" w:space="0" w:color="auto"/>
        <w:left w:val="none" w:sz="0" w:space="0" w:color="auto"/>
        <w:bottom w:val="none" w:sz="0" w:space="0" w:color="auto"/>
        <w:right w:val="none" w:sz="0" w:space="0" w:color="auto"/>
      </w:divBdr>
    </w:div>
    <w:div w:id="123892783">
      <w:bodyDiv w:val="1"/>
      <w:marLeft w:val="0"/>
      <w:marRight w:val="0"/>
      <w:marTop w:val="0"/>
      <w:marBottom w:val="0"/>
      <w:divBdr>
        <w:top w:val="none" w:sz="0" w:space="0" w:color="auto"/>
        <w:left w:val="none" w:sz="0" w:space="0" w:color="auto"/>
        <w:bottom w:val="none" w:sz="0" w:space="0" w:color="auto"/>
        <w:right w:val="none" w:sz="0" w:space="0" w:color="auto"/>
      </w:divBdr>
    </w:div>
    <w:div w:id="124660574">
      <w:bodyDiv w:val="1"/>
      <w:marLeft w:val="0"/>
      <w:marRight w:val="0"/>
      <w:marTop w:val="0"/>
      <w:marBottom w:val="0"/>
      <w:divBdr>
        <w:top w:val="none" w:sz="0" w:space="0" w:color="auto"/>
        <w:left w:val="none" w:sz="0" w:space="0" w:color="auto"/>
        <w:bottom w:val="none" w:sz="0" w:space="0" w:color="auto"/>
        <w:right w:val="none" w:sz="0" w:space="0" w:color="auto"/>
      </w:divBdr>
    </w:div>
    <w:div w:id="133841032">
      <w:bodyDiv w:val="1"/>
      <w:marLeft w:val="0"/>
      <w:marRight w:val="0"/>
      <w:marTop w:val="0"/>
      <w:marBottom w:val="0"/>
      <w:divBdr>
        <w:top w:val="none" w:sz="0" w:space="0" w:color="auto"/>
        <w:left w:val="none" w:sz="0" w:space="0" w:color="auto"/>
        <w:bottom w:val="none" w:sz="0" w:space="0" w:color="auto"/>
        <w:right w:val="none" w:sz="0" w:space="0" w:color="auto"/>
      </w:divBdr>
    </w:div>
    <w:div w:id="141582134">
      <w:bodyDiv w:val="1"/>
      <w:marLeft w:val="0"/>
      <w:marRight w:val="0"/>
      <w:marTop w:val="0"/>
      <w:marBottom w:val="0"/>
      <w:divBdr>
        <w:top w:val="none" w:sz="0" w:space="0" w:color="auto"/>
        <w:left w:val="none" w:sz="0" w:space="0" w:color="auto"/>
        <w:bottom w:val="none" w:sz="0" w:space="0" w:color="auto"/>
        <w:right w:val="none" w:sz="0" w:space="0" w:color="auto"/>
      </w:divBdr>
    </w:div>
    <w:div w:id="144473794">
      <w:bodyDiv w:val="1"/>
      <w:marLeft w:val="0"/>
      <w:marRight w:val="0"/>
      <w:marTop w:val="0"/>
      <w:marBottom w:val="0"/>
      <w:divBdr>
        <w:top w:val="none" w:sz="0" w:space="0" w:color="auto"/>
        <w:left w:val="none" w:sz="0" w:space="0" w:color="auto"/>
        <w:bottom w:val="none" w:sz="0" w:space="0" w:color="auto"/>
        <w:right w:val="none" w:sz="0" w:space="0" w:color="auto"/>
      </w:divBdr>
    </w:div>
    <w:div w:id="147135114">
      <w:bodyDiv w:val="1"/>
      <w:marLeft w:val="0"/>
      <w:marRight w:val="0"/>
      <w:marTop w:val="0"/>
      <w:marBottom w:val="0"/>
      <w:divBdr>
        <w:top w:val="none" w:sz="0" w:space="0" w:color="auto"/>
        <w:left w:val="none" w:sz="0" w:space="0" w:color="auto"/>
        <w:bottom w:val="none" w:sz="0" w:space="0" w:color="auto"/>
        <w:right w:val="none" w:sz="0" w:space="0" w:color="auto"/>
      </w:divBdr>
    </w:div>
    <w:div w:id="151723485">
      <w:bodyDiv w:val="1"/>
      <w:marLeft w:val="0"/>
      <w:marRight w:val="0"/>
      <w:marTop w:val="0"/>
      <w:marBottom w:val="0"/>
      <w:divBdr>
        <w:top w:val="none" w:sz="0" w:space="0" w:color="auto"/>
        <w:left w:val="none" w:sz="0" w:space="0" w:color="auto"/>
        <w:bottom w:val="none" w:sz="0" w:space="0" w:color="auto"/>
        <w:right w:val="none" w:sz="0" w:space="0" w:color="auto"/>
      </w:divBdr>
    </w:div>
    <w:div w:id="160241500">
      <w:bodyDiv w:val="1"/>
      <w:marLeft w:val="0"/>
      <w:marRight w:val="0"/>
      <w:marTop w:val="0"/>
      <w:marBottom w:val="0"/>
      <w:divBdr>
        <w:top w:val="none" w:sz="0" w:space="0" w:color="auto"/>
        <w:left w:val="none" w:sz="0" w:space="0" w:color="auto"/>
        <w:bottom w:val="none" w:sz="0" w:space="0" w:color="auto"/>
        <w:right w:val="none" w:sz="0" w:space="0" w:color="auto"/>
      </w:divBdr>
    </w:div>
    <w:div w:id="164129360">
      <w:bodyDiv w:val="1"/>
      <w:marLeft w:val="0"/>
      <w:marRight w:val="0"/>
      <w:marTop w:val="0"/>
      <w:marBottom w:val="0"/>
      <w:divBdr>
        <w:top w:val="none" w:sz="0" w:space="0" w:color="auto"/>
        <w:left w:val="none" w:sz="0" w:space="0" w:color="auto"/>
        <w:bottom w:val="none" w:sz="0" w:space="0" w:color="auto"/>
        <w:right w:val="none" w:sz="0" w:space="0" w:color="auto"/>
      </w:divBdr>
    </w:div>
    <w:div w:id="168953467">
      <w:bodyDiv w:val="1"/>
      <w:marLeft w:val="0"/>
      <w:marRight w:val="0"/>
      <w:marTop w:val="0"/>
      <w:marBottom w:val="0"/>
      <w:divBdr>
        <w:top w:val="none" w:sz="0" w:space="0" w:color="auto"/>
        <w:left w:val="none" w:sz="0" w:space="0" w:color="auto"/>
        <w:bottom w:val="none" w:sz="0" w:space="0" w:color="auto"/>
        <w:right w:val="none" w:sz="0" w:space="0" w:color="auto"/>
      </w:divBdr>
    </w:div>
    <w:div w:id="175120675">
      <w:bodyDiv w:val="1"/>
      <w:marLeft w:val="0"/>
      <w:marRight w:val="0"/>
      <w:marTop w:val="0"/>
      <w:marBottom w:val="0"/>
      <w:divBdr>
        <w:top w:val="none" w:sz="0" w:space="0" w:color="auto"/>
        <w:left w:val="none" w:sz="0" w:space="0" w:color="auto"/>
        <w:bottom w:val="none" w:sz="0" w:space="0" w:color="auto"/>
        <w:right w:val="none" w:sz="0" w:space="0" w:color="auto"/>
      </w:divBdr>
    </w:div>
    <w:div w:id="176583453">
      <w:bodyDiv w:val="1"/>
      <w:marLeft w:val="0"/>
      <w:marRight w:val="0"/>
      <w:marTop w:val="0"/>
      <w:marBottom w:val="0"/>
      <w:divBdr>
        <w:top w:val="none" w:sz="0" w:space="0" w:color="auto"/>
        <w:left w:val="none" w:sz="0" w:space="0" w:color="auto"/>
        <w:bottom w:val="none" w:sz="0" w:space="0" w:color="auto"/>
        <w:right w:val="none" w:sz="0" w:space="0" w:color="auto"/>
      </w:divBdr>
    </w:div>
    <w:div w:id="179664710">
      <w:bodyDiv w:val="1"/>
      <w:marLeft w:val="0"/>
      <w:marRight w:val="0"/>
      <w:marTop w:val="0"/>
      <w:marBottom w:val="0"/>
      <w:divBdr>
        <w:top w:val="none" w:sz="0" w:space="0" w:color="auto"/>
        <w:left w:val="none" w:sz="0" w:space="0" w:color="auto"/>
        <w:bottom w:val="none" w:sz="0" w:space="0" w:color="auto"/>
        <w:right w:val="none" w:sz="0" w:space="0" w:color="auto"/>
      </w:divBdr>
    </w:div>
    <w:div w:id="180168915">
      <w:bodyDiv w:val="1"/>
      <w:marLeft w:val="0"/>
      <w:marRight w:val="0"/>
      <w:marTop w:val="0"/>
      <w:marBottom w:val="0"/>
      <w:divBdr>
        <w:top w:val="none" w:sz="0" w:space="0" w:color="auto"/>
        <w:left w:val="none" w:sz="0" w:space="0" w:color="auto"/>
        <w:bottom w:val="none" w:sz="0" w:space="0" w:color="auto"/>
        <w:right w:val="none" w:sz="0" w:space="0" w:color="auto"/>
      </w:divBdr>
    </w:div>
    <w:div w:id="181630851">
      <w:bodyDiv w:val="1"/>
      <w:marLeft w:val="0"/>
      <w:marRight w:val="0"/>
      <w:marTop w:val="0"/>
      <w:marBottom w:val="0"/>
      <w:divBdr>
        <w:top w:val="none" w:sz="0" w:space="0" w:color="auto"/>
        <w:left w:val="none" w:sz="0" w:space="0" w:color="auto"/>
        <w:bottom w:val="none" w:sz="0" w:space="0" w:color="auto"/>
        <w:right w:val="none" w:sz="0" w:space="0" w:color="auto"/>
      </w:divBdr>
    </w:div>
    <w:div w:id="184829142">
      <w:bodyDiv w:val="1"/>
      <w:marLeft w:val="0"/>
      <w:marRight w:val="0"/>
      <w:marTop w:val="0"/>
      <w:marBottom w:val="0"/>
      <w:divBdr>
        <w:top w:val="none" w:sz="0" w:space="0" w:color="auto"/>
        <w:left w:val="none" w:sz="0" w:space="0" w:color="auto"/>
        <w:bottom w:val="none" w:sz="0" w:space="0" w:color="auto"/>
        <w:right w:val="none" w:sz="0" w:space="0" w:color="auto"/>
      </w:divBdr>
    </w:div>
    <w:div w:id="185338104">
      <w:bodyDiv w:val="1"/>
      <w:marLeft w:val="0"/>
      <w:marRight w:val="0"/>
      <w:marTop w:val="0"/>
      <w:marBottom w:val="0"/>
      <w:divBdr>
        <w:top w:val="none" w:sz="0" w:space="0" w:color="auto"/>
        <w:left w:val="none" w:sz="0" w:space="0" w:color="auto"/>
        <w:bottom w:val="none" w:sz="0" w:space="0" w:color="auto"/>
        <w:right w:val="none" w:sz="0" w:space="0" w:color="auto"/>
      </w:divBdr>
    </w:div>
    <w:div w:id="186334924">
      <w:bodyDiv w:val="1"/>
      <w:marLeft w:val="0"/>
      <w:marRight w:val="0"/>
      <w:marTop w:val="0"/>
      <w:marBottom w:val="0"/>
      <w:divBdr>
        <w:top w:val="none" w:sz="0" w:space="0" w:color="auto"/>
        <w:left w:val="none" w:sz="0" w:space="0" w:color="auto"/>
        <w:bottom w:val="none" w:sz="0" w:space="0" w:color="auto"/>
        <w:right w:val="none" w:sz="0" w:space="0" w:color="auto"/>
      </w:divBdr>
    </w:div>
    <w:div w:id="225577612">
      <w:bodyDiv w:val="1"/>
      <w:marLeft w:val="0"/>
      <w:marRight w:val="0"/>
      <w:marTop w:val="0"/>
      <w:marBottom w:val="0"/>
      <w:divBdr>
        <w:top w:val="none" w:sz="0" w:space="0" w:color="auto"/>
        <w:left w:val="none" w:sz="0" w:space="0" w:color="auto"/>
        <w:bottom w:val="none" w:sz="0" w:space="0" w:color="auto"/>
        <w:right w:val="none" w:sz="0" w:space="0" w:color="auto"/>
      </w:divBdr>
    </w:div>
    <w:div w:id="227810726">
      <w:bodyDiv w:val="1"/>
      <w:marLeft w:val="0"/>
      <w:marRight w:val="0"/>
      <w:marTop w:val="0"/>
      <w:marBottom w:val="0"/>
      <w:divBdr>
        <w:top w:val="none" w:sz="0" w:space="0" w:color="auto"/>
        <w:left w:val="none" w:sz="0" w:space="0" w:color="auto"/>
        <w:bottom w:val="none" w:sz="0" w:space="0" w:color="auto"/>
        <w:right w:val="none" w:sz="0" w:space="0" w:color="auto"/>
      </w:divBdr>
    </w:div>
    <w:div w:id="238099607">
      <w:bodyDiv w:val="1"/>
      <w:marLeft w:val="0"/>
      <w:marRight w:val="0"/>
      <w:marTop w:val="0"/>
      <w:marBottom w:val="0"/>
      <w:divBdr>
        <w:top w:val="none" w:sz="0" w:space="0" w:color="auto"/>
        <w:left w:val="none" w:sz="0" w:space="0" w:color="auto"/>
        <w:bottom w:val="none" w:sz="0" w:space="0" w:color="auto"/>
        <w:right w:val="none" w:sz="0" w:space="0" w:color="auto"/>
      </w:divBdr>
    </w:div>
    <w:div w:id="239873183">
      <w:bodyDiv w:val="1"/>
      <w:marLeft w:val="0"/>
      <w:marRight w:val="0"/>
      <w:marTop w:val="0"/>
      <w:marBottom w:val="0"/>
      <w:divBdr>
        <w:top w:val="none" w:sz="0" w:space="0" w:color="auto"/>
        <w:left w:val="none" w:sz="0" w:space="0" w:color="auto"/>
        <w:bottom w:val="none" w:sz="0" w:space="0" w:color="auto"/>
        <w:right w:val="none" w:sz="0" w:space="0" w:color="auto"/>
      </w:divBdr>
    </w:div>
    <w:div w:id="262342357">
      <w:bodyDiv w:val="1"/>
      <w:marLeft w:val="0"/>
      <w:marRight w:val="0"/>
      <w:marTop w:val="0"/>
      <w:marBottom w:val="0"/>
      <w:divBdr>
        <w:top w:val="none" w:sz="0" w:space="0" w:color="auto"/>
        <w:left w:val="none" w:sz="0" w:space="0" w:color="auto"/>
        <w:bottom w:val="none" w:sz="0" w:space="0" w:color="auto"/>
        <w:right w:val="none" w:sz="0" w:space="0" w:color="auto"/>
      </w:divBdr>
    </w:div>
    <w:div w:id="263459399">
      <w:bodyDiv w:val="1"/>
      <w:marLeft w:val="0"/>
      <w:marRight w:val="0"/>
      <w:marTop w:val="0"/>
      <w:marBottom w:val="0"/>
      <w:divBdr>
        <w:top w:val="none" w:sz="0" w:space="0" w:color="auto"/>
        <w:left w:val="none" w:sz="0" w:space="0" w:color="auto"/>
        <w:bottom w:val="none" w:sz="0" w:space="0" w:color="auto"/>
        <w:right w:val="none" w:sz="0" w:space="0" w:color="auto"/>
      </w:divBdr>
    </w:div>
    <w:div w:id="263730981">
      <w:bodyDiv w:val="1"/>
      <w:marLeft w:val="0"/>
      <w:marRight w:val="0"/>
      <w:marTop w:val="0"/>
      <w:marBottom w:val="0"/>
      <w:divBdr>
        <w:top w:val="none" w:sz="0" w:space="0" w:color="auto"/>
        <w:left w:val="none" w:sz="0" w:space="0" w:color="auto"/>
        <w:bottom w:val="none" w:sz="0" w:space="0" w:color="auto"/>
        <w:right w:val="none" w:sz="0" w:space="0" w:color="auto"/>
      </w:divBdr>
    </w:div>
    <w:div w:id="265970371">
      <w:bodyDiv w:val="1"/>
      <w:marLeft w:val="0"/>
      <w:marRight w:val="0"/>
      <w:marTop w:val="0"/>
      <w:marBottom w:val="0"/>
      <w:divBdr>
        <w:top w:val="none" w:sz="0" w:space="0" w:color="auto"/>
        <w:left w:val="none" w:sz="0" w:space="0" w:color="auto"/>
        <w:bottom w:val="none" w:sz="0" w:space="0" w:color="auto"/>
        <w:right w:val="none" w:sz="0" w:space="0" w:color="auto"/>
      </w:divBdr>
    </w:div>
    <w:div w:id="272708397">
      <w:bodyDiv w:val="1"/>
      <w:marLeft w:val="0"/>
      <w:marRight w:val="0"/>
      <w:marTop w:val="0"/>
      <w:marBottom w:val="0"/>
      <w:divBdr>
        <w:top w:val="none" w:sz="0" w:space="0" w:color="auto"/>
        <w:left w:val="none" w:sz="0" w:space="0" w:color="auto"/>
        <w:bottom w:val="none" w:sz="0" w:space="0" w:color="auto"/>
        <w:right w:val="none" w:sz="0" w:space="0" w:color="auto"/>
      </w:divBdr>
    </w:div>
    <w:div w:id="306016371">
      <w:bodyDiv w:val="1"/>
      <w:marLeft w:val="0"/>
      <w:marRight w:val="0"/>
      <w:marTop w:val="0"/>
      <w:marBottom w:val="0"/>
      <w:divBdr>
        <w:top w:val="none" w:sz="0" w:space="0" w:color="auto"/>
        <w:left w:val="none" w:sz="0" w:space="0" w:color="auto"/>
        <w:bottom w:val="none" w:sz="0" w:space="0" w:color="auto"/>
        <w:right w:val="none" w:sz="0" w:space="0" w:color="auto"/>
      </w:divBdr>
    </w:div>
    <w:div w:id="314190822">
      <w:bodyDiv w:val="1"/>
      <w:marLeft w:val="0"/>
      <w:marRight w:val="0"/>
      <w:marTop w:val="0"/>
      <w:marBottom w:val="0"/>
      <w:divBdr>
        <w:top w:val="none" w:sz="0" w:space="0" w:color="auto"/>
        <w:left w:val="none" w:sz="0" w:space="0" w:color="auto"/>
        <w:bottom w:val="none" w:sz="0" w:space="0" w:color="auto"/>
        <w:right w:val="none" w:sz="0" w:space="0" w:color="auto"/>
      </w:divBdr>
    </w:div>
    <w:div w:id="324479420">
      <w:bodyDiv w:val="1"/>
      <w:marLeft w:val="0"/>
      <w:marRight w:val="0"/>
      <w:marTop w:val="0"/>
      <w:marBottom w:val="0"/>
      <w:divBdr>
        <w:top w:val="none" w:sz="0" w:space="0" w:color="auto"/>
        <w:left w:val="none" w:sz="0" w:space="0" w:color="auto"/>
        <w:bottom w:val="none" w:sz="0" w:space="0" w:color="auto"/>
        <w:right w:val="none" w:sz="0" w:space="0" w:color="auto"/>
      </w:divBdr>
    </w:div>
    <w:div w:id="331832269">
      <w:bodyDiv w:val="1"/>
      <w:marLeft w:val="0"/>
      <w:marRight w:val="0"/>
      <w:marTop w:val="0"/>
      <w:marBottom w:val="0"/>
      <w:divBdr>
        <w:top w:val="none" w:sz="0" w:space="0" w:color="auto"/>
        <w:left w:val="none" w:sz="0" w:space="0" w:color="auto"/>
        <w:bottom w:val="none" w:sz="0" w:space="0" w:color="auto"/>
        <w:right w:val="none" w:sz="0" w:space="0" w:color="auto"/>
      </w:divBdr>
    </w:div>
    <w:div w:id="335614992">
      <w:bodyDiv w:val="1"/>
      <w:marLeft w:val="0"/>
      <w:marRight w:val="0"/>
      <w:marTop w:val="0"/>
      <w:marBottom w:val="0"/>
      <w:divBdr>
        <w:top w:val="none" w:sz="0" w:space="0" w:color="auto"/>
        <w:left w:val="none" w:sz="0" w:space="0" w:color="auto"/>
        <w:bottom w:val="none" w:sz="0" w:space="0" w:color="auto"/>
        <w:right w:val="none" w:sz="0" w:space="0" w:color="auto"/>
      </w:divBdr>
    </w:div>
    <w:div w:id="336083551">
      <w:bodyDiv w:val="1"/>
      <w:marLeft w:val="0"/>
      <w:marRight w:val="0"/>
      <w:marTop w:val="0"/>
      <w:marBottom w:val="0"/>
      <w:divBdr>
        <w:top w:val="none" w:sz="0" w:space="0" w:color="auto"/>
        <w:left w:val="none" w:sz="0" w:space="0" w:color="auto"/>
        <w:bottom w:val="none" w:sz="0" w:space="0" w:color="auto"/>
        <w:right w:val="none" w:sz="0" w:space="0" w:color="auto"/>
      </w:divBdr>
    </w:div>
    <w:div w:id="337075415">
      <w:bodyDiv w:val="1"/>
      <w:marLeft w:val="0"/>
      <w:marRight w:val="0"/>
      <w:marTop w:val="0"/>
      <w:marBottom w:val="0"/>
      <w:divBdr>
        <w:top w:val="none" w:sz="0" w:space="0" w:color="auto"/>
        <w:left w:val="none" w:sz="0" w:space="0" w:color="auto"/>
        <w:bottom w:val="none" w:sz="0" w:space="0" w:color="auto"/>
        <w:right w:val="none" w:sz="0" w:space="0" w:color="auto"/>
      </w:divBdr>
    </w:div>
    <w:div w:id="339503386">
      <w:bodyDiv w:val="1"/>
      <w:marLeft w:val="0"/>
      <w:marRight w:val="0"/>
      <w:marTop w:val="0"/>
      <w:marBottom w:val="0"/>
      <w:divBdr>
        <w:top w:val="none" w:sz="0" w:space="0" w:color="auto"/>
        <w:left w:val="none" w:sz="0" w:space="0" w:color="auto"/>
        <w:bottom w:val="none" w:sz="0" w:space="0" w:color="auto"/>
        <w:right w:val="none" w:sz="0" w:space="0" w:color="auto"/>
      </w:divBdr>
    </w:div>
    <w:div w:id="344404573">
      <w:bodyDiv w:val="1"/>
      <w:marLeft w:val="0"/>
      <w:marRight w:val="0"/>
      <w:marTop w:val="0"/>
      <w:marBottom w:val="0"/>
      <w:divBdr>
        <w:top w:val="none" w:sz="0" w:space="0" w:color="auto"/>
        <w:left w:val="none" w:sz="0" w:space="0" w:color="auto"/>
        <w:bottom w:val="none" w:sz="0" w:space="0" w:color="auto"/>
        <w:right w:val="none" w:sz="0" w:space="0" w:color="auto"/>
      </w:divBdr>
    </w:div>
    <w:div w:id="354768376">
      <w:bodyDiv w:val="1"/>
      <w:marLeft w:val="0"/>
      <w:marRight w:val="0"/>
      <w:marTop w:val="0"/>
      <w:marBottom w:val="0"/>
      <w:divBdr>
        <w:top w:val="none" w:sz="0" w:space="0" w:color="auto"/>
        <w:left w:val="none" w:sz="0" w:space="0" w:color="auto"/>
        <w:bottom w:val="none" w:sz="0" w:space="0" w:color="auto"/>
        <w:right w:val="none" w:sz="0" w:space="0" w:color="auto"/>
      </w:divBdr>
    </w:div>
    <w:div w:id="355161984">
      <w:bodyDiv w:val="1"/>
      <w:marLeft w:val="0"/>
      <w:marRight w:val="0"/>
      <w:marTop w:val="0"/>
      <w:marBottom w:val="0"/>
      <w:divBdr>
        <w:top w:val="none" w:sz="0" w:space="0" w:color="auto"/>
        <w:left w:val="none" w:sz="0" w:space="0" w:color="auto"/>
        <w:bottom w:val="none" w:sz="0" w:space="0" w:color="auto"/>
        <w:right w:val="none" w:sz="0" w:space="0" w:color="auto"/>
      </w:divBdr>
    </w:div>
    <w:div w:id="358238081">
      <w:bodyDiv w:val="1"/>
      <w:marLeft w:val="0"/>
      <w:marRight w:val="0"/>
      <w:marTop w:val="0"/>
      <w:marBottom w:val="0"/>
      <w:divBdr>
        <w:top w:val="none" w:sz="0" w:space="0" w:color="auto"/>
        <w:left w:val="none" w:sz="0" w:space="0" w:color="auto"/>
        <w:bottom w:val="none" w:sz="0" w:space="0" w:color="auto"/>
        <w:right w:val="none" w:sz="0" w:space="0" w:color="auto"/>
      </w:divBdr>
    </w:div>
    <w:div w:id="362559826">
      <w:bodyDiv w:val="1"/>
      <w:marLeft w:val="0"/>
      <w:marRight w:val="0"/>
      <w:marTop w:val="0"/>
      <w:marBottom w:val="0"/>
      <w:divBdr>
        <w:top w:val="none" w:sz="0" w:space="0" w:color="auto"/>
        <w:left w:val="none" w:sz="0" w:space="0" w:color="auto"/>
        <w:bottom w:val="none" w:sz="0" w:space="0" w:color="auto"/>
        <w:right w:val="none" w:sz="0" w:space="0" w:color="auto"/>
      </w:divBdr>
    </w:div>
    <w:div w:id="362748421">
      <w:bodyDiv w:val="1"/>
      <w:marLeft w:val="0"/>
      <w:marRight w:val="0"/>
      <w:marTop w:val="0"/>
      <w:marBottom w:val="0"/>
      <w:divBdr>
        <w:top w:val="none" w:sz="0" w:space="0" w:color="auto"/>
        <w:left w:val="none" w:sz="0" w:space="0" w:color="auto"/>
        <w:bottom w:val="none" w:sz="0" w:space="0" w:color="auto"/>
        <w:right w:val="none" w:sz="0" w:space="0" w:color="auto"/>
      </w:divBdr>
    </w:div>
    <w:div w:id="365298498">
      <w:bodyDiv w:val="1"/>
      <w:marLeft w:val="0"/>
      <w:marRight w:val="0"/>
      <w:marTop w:val="0"/>
      <w:marBottom w:val="0"/>
      <w:divBdr>
        <w:top w:val="none" w:sz="0" w:space="0" w:color="auto"/>
        <w:left w:val="none" w:sz="0" w:space="0" w:color="auto"/>
        <w:bottom w:val="none" w:sz="0" w:space="0" w:color="auto"/>
        <w:right w:val="none" w:sz="0" w:space="0" w:color="auto"/>
      </w:divBdr>
    </w:div>
    <w:div w:id="374962565">
      <w:bodyDiv w:val="1"/>
      <w:marLeft w:val="0"/>
      <w:marRight w:val="0"/>
      <w:marTop w:val="0"/>
      <w:marBottom w:val="0"/>
      <w:divBdr>
        <w:top w:val="none" w:sz="0" w:space="0" w:color="auto"/>
        <w:left w:val="none" w:sz="0" w:space="0" w:color="auto"/>
        <w:bottom w:val="none" w:sz="0" w:space="0" w:color="auto"/>
        <w:right w:val="none" w:sz="0" w:space="0" w:color="auto"/>
      </w:divBdr>
    </w:div>
    <w:div w:id="378555042">
      <w:bodyDiv w:val="1"/>
      <w:marLeft w:val="0"/>
      <w:marRight w:val="0"/>
      <w:marTop w:val="0"/>
      <w:marBottom w:val="0"/>
      <w:divBdr>
        <w:top w:val="none" w:sz="0" w:space="0" w:color="auto"/>
        <w:left w:val="none" w:sz="0" w:space="0" w:color="auto"/>
        <w:bottom w:val="none" w:sz="0" w:space="0" w:color="auto"/>
        <w:right w:val="none" w:sz="0" w:space="0" w:color="auto"/>
      </w:divBdr>
    </w:div>
    <w:div w:id="390233613">
      <w:bodyDiv w:val="1"/>
      <w:marLeft w:val="0"/>
      <w:marRight w:val="0"/>
      <w:marTop w:val="0"/>
      <w:marBottom w:val="0"/>
      <w:divBdr>
        <w:top w:val="none" w:sz="0" w:space="0" w:color="auto"/>
        <w:left w:val="none" w:sz="0" w:space="0" w:color="auto"/>
        <w:bottom w:val="none" w:sz="0" w:space="0" w:color="auto"/>
        <w:right w:val="none" w:sz="0" w:space="0" w:color="auto"/>
      </w:divBdr>
    </w:div>
    <w:div w:id="391126671">
      <w:bodyDiv w:val="1"/>
      <w:marLeft w:val="0"/>
      <w:marRight w:val="0"/>
      <w:marTop w:val="0"/>
      <w:marBottom w:val="0"/>
      <w:divBdr>
        <w:top w:val="none" w:sz="0" w:space="0" w:color="auto"/>
        <w:left w:val="none" w:sz="0" w:space="0" w:color="auto"/>
        <w:bottom w:val="none" w:sz="0" w:space="0" w:color="auto"/>
        <w:right w:val="none" w:sz="0" w:space="0" w:color="auto"/>
      </w:divBdr>
    </w:div>
    <w:div w:id="405105415">
      <w:bodyDiv w:val="1"/>
      <w:marLeft w:val="0"/>
      <w:marRight w:val="0"/>
      <w:marTop w:val="0"/>
      <w:marBottom w:val="0"/>
      <w:divBdr>
        <w:top w:val="none" w:sz="0" w:space="0" w:color="auto"/>
        <w:left w:val="none" w:sz="0" w:space="0" w:color="auto"/>
        <w:bottom w:val="none" w:sz="0" w:space="0" w:color="auto"/>
        <w:right w:val="none" w:sz="0" w:space="0" w:color="auto"/>
      </w:divBdr>
    </w:div>
    <w:div w:id="408309290">
      <w:bodyDiv w:val="1"/>
      <w:marLeft w:val="0"/>
      <w:marRight w:val="0"/>
      <w:marTop w:val="0"/>
      <w:marBottom w:val="0"/>
      <w:divBdr>
        <w:top w:val="none" w:sz="0" w:space="0" w:color="auto"/>
        <w:left w:val="none" w:sz="0" w:space="0" w:color="auto"/>
        <w:bottom w:val="none" w:sz="0" w:space="0" w:color="auto"/>
        <w:right w:val="none" w:sz="0" w:space="0" w:color="auto"/>
      </w:divBdr>
    </w:div>
    <w:div w:id="408502762">
      <w:bodyDiv w:val="1"/>
      <w:marLeft w:val="0"/>
      <w:marRight w:val="0"/>
      <w:marTop w:val="0"/>
      <w:marBottom w:val="0"/>
      <w:divBdr>
        <w:top w:val="none" w:sz="0" w:space="0" w:color="auto"/>
        <w:left w:val="none" w:sz="0" w:space="0" w:color="auto"/>
        <w:bottom w:val="none" w:sz="0" w:space="0" w:color="auto"/>
        <w:right w:val="none" w:sz="0" w:space="0" w:color="auto"/>
      </w:divBdr>
    </w:div>
    <w:div w:id="412627098">
      <w:bodyDiv w:val="1"/>
      <w:marLeft w:val="0"/>
      <w:marRight w:val="0"/>
      <w:marTop w:val="0"/>
      <w:marBottom w:val="0"/>
      <w:divBdr>
        <w:top w:val="none" w:sz="0" w:space="0" w:color="auto"/>
        <w:left w:val="none" w:sz="0" w:space="0" w:color="auto"/>
        <w:bottom w:val="none" w:sz="0" w:space="0" w:color="auto"/>
        <w:right w:val="none" w:sz="0" w:space="0" w:color="auto"/>
      </w:divBdr>
    </w:div>
    <w:div w:id="413161184">
      <w:bodyDiv w:val="1"/>
      <w:marLeft w:val="0"/>
      <w:marRight w:val="0"/>
      <w:marTop w:val="0"/>
      <w:marBottom w:val="0"/>
      <w:divBdr>
        <w:top w:val="none" w:sz="0" w:space="0" w:color="auto"/>
        <w:left w:val="none" w:sz="0" w:space="0" w:color="auto"/>
        <w:bottom w:val="none" w:sz="0" w:space="0" w:color="auto"/>
        <w:right w:val="none" w:sz="0" w:space="0" w:color="auto"/>
      </w:divBdr>
    </w:div>
    <w:div w:id="413283771">
      <w:bodyDiv w:val="1"/>
      <w:marLeft w:val="0"/>
      <w:marRight w:val="0"/>
      <w:marTop w:val="0"/>
      <w:marBottom w:val="0"/>
      <w:divBdr>
        <w:top w:val="none" w:sz="0" w:space="0" w:color="auto"/>
        <w:left w:val="none" w:sz="0" w:space="0" w:color="auto"/>
        <w:bottom w:val="none" w:sz="0" w:space="0" w:color="auto"/>
        <w:right w:val="none" w:sz="0" w:space="0" w:color="auto"/>
      </w:divBdr>
    </w:div>
    <w:div w:id="416899634">
      <w:bodyDiv w:val="1"/>
      <w:marLeft w:val="0"/>
      <w:marRight w:val="0"/>
      <w:marTop w:val="0"/>
      <w:marBottom w:val="0"/>
      <w:divBdr>
        <w:top w:val="none" w:sz="0" w:space="0" w:color="auto"/>
        <w:left w:val="none" w:sz="0" w:space="0" w:color="auto"/>
        <w:bottom w:val="none" w:sz="0" w:space="0" w:color="auto"/>
        <w:right w:val="none" w:sz="0" w:space="0" w:color="auto"/>
      </w:divBdr>
    </w:div>
    <w:div w:id="417017319">
      <w:bodyDiv w:val="1"/>
      <w:marLeft w:val="0"/>
      <w:marRight w:val="0"/>
      <w:marTop w:val="0"/>
      <w:marBottom w:val="0"/>
      <w:divBdr>
        <w:top w:val="none" w:sz="0" w:space="0" w:color="auto"/>
        <w:left w:val="none" w:sz="0" w:space="0" w:color="auto"/>
        <w:bottom w:val="none" w:sz="0" w:space="0" w:color="auto"/>
        <w:right w:val="none" w:sz="0" w:space="0" w:color="auto"/>
      </w:divBdr>
    </w:div>
    <w:div w:id="420486963">
      <w:bodyDiv w:val="1"/>
      <w:marLeft w:val="0"/>
      <w:marRight w:val="0"/>
      <w:marTop w:val="0"/>
      <w:marBottom w:val="0"/>
      <w:divBdr>
        <w:top w:val="none" w:sz="0" w:space="0" w:color="auto"/>
        <w:left w:val="none" w:sz="0" w:space="0" w:color="auto"/>
        <w:bottom w:val="none" w:sz="0" w:space="0" w:color="auto"/>
        <w:right w:val="none" w:sz="0" w:space="0" w:color="auto"/>
      </w:divBdr>
    </w:div>
    <w:div w:id="421415896">
      <w:bodyDiv w:val="1"/>
      <w:marLeft w:val="0"/>
      <w:marRight w:val="0"/>
      <w:marTop w:val="0"/>
      <w:marBottom w:val="0"/>
      <w:divBdr>
        <w:top w:val="none" w:sz="0" w:space="0" w:color="auto"/>
        <w:left w:val="none" w:sz="0" w:space="0" w:color="auto"/>
        <w:bottom w:val="none" w:sz="0" w:space="0" w:color="auto"/>
        <w:right w:val="none" w:sz="0" w:space="0" w:color="auto"/>
      </w:divBdr>
    </w:div>
    <w:div w:id="424544143">
      <w:bodyDiv w:val="1"/>
      <w:marLeft w:val="0"/>
      <w:marRight w:val="0"/>
      <w:marTop w:val="0"/>
      <w:marBottom w:val="0"/>
      <w:divBdr>
        <w:top w:val="none" w:sz="0" w:space="0" w:color="auto"/>
        <w:left w:val="none" w:sz="0" w:space="0" w:color="auto"/>
        <w:bottom w:val="none" w:sz="0" w:space="0" w:color="auto"/>
        <w:right w:val="none" w:sz="0" w:space="0" w:color="auto"/>
      </w:divBdr>
    </w:div>
    <w:div w:id="425074630">
      <w:bodyDiv w:val="1"/>
      <w:marLeft w:val="0"/>
      <w:marRight w:val="0"/>
      <w:marTop w:val="0"/>
      <w:marBottom w:val="0"/>
      <w:divBdr>
        <w:top w:val="none" w:sz="0" w:space="0" w:color="auto"/>
        <w:left w:val="none" w:sz="0" w:space="0" w:color="auto"/>
        <w:bottom w:val="none" w:sz="0" w:space="0" w:color="auto"/>
        <w:right w:val="none" w:sz="0" w:space="0" w:color="auto"/>
      </w:divBdr>
    </w:div>
    <w:div w:id="435946824">
      <w:bodyDiv w:val="1"/>
      <w:marLeft w:val="0"/>
      <w:marRight w:val="0"/>
      <w:marTop w:val="0"/>
      <w:marBottom w:val="0"/>
      <w:divBdr>
        <w:top w:val="none" w:sz="0" w:space="0" w:color="auto"/>
        <w:left w:val="none" w:sz="0" w:space="0" w:color="auto"/>
        <w:bottom w:val="none" w:sz="0" w:space="0" w:color="auto"/>
        <w:right w:val="none" w:sz="0" w:space="0" w:color="auto"/>
      </w:divBdr>
    </w:div>
    <w:div w:id="437723963">
      <w:bodyDiv w:val="1"/>
      <w:marLeft w:val="0"/>
      <w:marRight w:val="0"/>
      <w:marTop w:val="0"/>
      <w:marBottom w:val="0"/>
      <w:divBdr>
        <w:top w:val="none" w:sz="0" w:space="0" w:color="auto"/>
        <w:left w:val="none" w:sz="0" w:space="0" w:color="auto"/>
        <w:bottom w:val="none" w:sz="0" w:space="0" w:color="auto"/>
        <w:right w:val="none" w:sz="0" w:space="0" w:color="auto"/>
      </w:divBdr>
    </w:div>
    <w:div w:id="441075896">
      <w:bodyDiv w:val="1"/>
      <w:marLeft w:val="0"/>
      <w:marRight w:val="0"/>
      <w:marTop w:val="0"/>
      <w:marBottom w:val="0"/>
      <w:divBdr>
        <w:top w:val="none" w:sz="0" w:space="0" w:color="auto"/>
        <w:left w:val="none" w:sz="0" w:space="0" w:color="auto"/>
        <w:bottom w:val="none" w:sz="0" w:space="0" w:color="auto"/>
        <w:right w:val="none" w:sz="0" w:space="0" w:color="auto"/>
      </w:divBdr>
    </w:div>
    <w:div w:id="441849948">
      <w:bodyDiv w:val="1"/>
      <w:marLeft w:val="0"/>
      <w:marRight w:val="0"/>
      <w:marTop w:val="0"/>
      <w:marBottom w:val="0"/>
      <w:divBdr>
        <w:top w:val="none" w:sz="0" w:space="0" w:color="auto"/>
        <w:left w:val="none" w:sz="0" w:space="0" w:color="auto"/>
        <w:bottom w:val="none" w:sz="0" w:space="0" w:color="auto"/>
        <w:right w:val="none" w:sz="0" w:space="0" w:color="auto"/>
      </w:divBdr>
    </w:div>
    <w:div w:id="442384009">
      <w:bodyDiv w:val="1"/>
      <w:marLeft w:val="0"/>
      <w:marRight w:val="0"/>
      <w:marTop w:val="0"/>
      <w:marBottom w:val="0"/>
      <w:divBdr>
        <w:top w:val="none" w:sz="0" w:space="0" w:color="auto"/>
        <w:left w:val="none" w:sz="0" w:space="0" w:color="auto"/>
        <w:bottom w:val="none" w:sz="0" w:space="0" w:color="auto"/>
        <w:right w:val="none" w:sz="0" w:space="0" w:color="auto"/>
      </w:divBdr>
    </w:div>
    <w:div w:id="443426804">
      <w:bodyDiv w:val="1"/>
      <w:marLeft w:val="0"/>
      <w:marRight w:val="0"/>
      <w:marTop w:val="0"/>
      <w:marBottom w:val="0"/>
      <w:divBdr>
        <w:top w:val="none" w:sz="0" w:space="0" w:color="auto"/>
        <w:left w:val="none" w:sz="0" w:space="0" w:color="auto"/>
        <w:bottom w:val="none" w:sz="0" w:space="0" w:color="auto"/>
        <w:right w:val="none" w:sz="0" w:space="0" w:color="auto"/>
      </w:divBdr>
    </w:div>
    <w:div w:id="449007807">
      <w:bodyDiv w:val="1"/>
      <w:marLeft w:val="0"/>
      <w:marRight w:val="0"/>
      <w:marTop w:val="0"/>
      <w:marBottom w:val="0"/>
      <w:divBdr>
        <w:top w:val="none" w:sz="0" w:space="0" w:color="auto"/>
        <w:left w:val="none" w:sz="0" w:space="0" w:color="auto"/>
        <w:bottom w:val="none" w:sz="0" w:space="0" w:color="auto"/>
        <w:right w:val="none" w:sz="0" w:space="0" w:color="auto"/>
      </w:divBdr>
    </w:div>
    <w:div w:id="455609223">
      <w:bodyDiv w:val="1"/>
      <w:marLeft w:val="0"/>
      <w:marRight w:val="0"/>
      <w:marTop w:val="0"/>
      <w:marBottom w:val="0"/>
      <w:divBdr>
        <w:top w:val="none" w:sz="0" w:space="0" w:color="auto"/>
        <w:left w:val="none" w:sz="0" w:space="0" w:color="auto"/>
        <w:bottom w:val="none" w:sz="0" w:space="0" w:color="auto"/>
        <w:right w:val="none" w:sz="0" w:space="0" w:color="auto"/>
      </w:divBdr>
    </w:div>
    <w:div w:id="459807484">
      <w:bodyDiv w:val="1"/>
      <w:marLeft w:val="0"/>
      <w:marRight w:val="0"/>
      <w:marTop w:val="0"/>
      <w:marBottom w:val="0"/>
      <w:divBdr>
        <w:top w:val="none" w:sz="0" w:space="0" w:color="auto"/>
        <w:left w:val="none" w:sz="0" w:space="0" w:color="auto"/>
        <w:bottom w:val="none" w:sz="0" w:space="0" w:color="auto"/>
        <w:right w:val="none" w:sz="0" w:space="0" w:color="auto"/>
      </w:divBdr>
    </w:div>
    <w:div w:id="463933263">
      <w:bodyDiv w:val="1"/>
      <w:marLeft w:val="0"/>
      <w:marRight w:val="0"/>
      <w:marTop w:val="0"/>
      <w:marBottom w:val="0"/>
      <w:divBdr>
        <w:top w:val="none" w:sz="0" w:space="0" w:color="auto"/>
        <w:left w:val="none" w:sz="0" w:space="0" w:color="auto"/>
        <w:bottom w:val="none" w:sz="0" w:space="0" w:color="auto"/>
        <w:right w:val="none" w:sz="0" w:space="0" w:color="auto"/>
      </w:divBdr>
    </w:div>
    <w:div w:id="475535829">
      <w:bodyDiv w:val="1"/>
      <w:marLeft w:val="0"/>
      <w:marRight w:val="0"/>
      <w:marTop w:val="0"/>
      <w:marBottom w:val="0"/>
      <w:divBdr>
        <w:top w:val="none" w:sz="0" w:space="0" w:color="auto"/>
        <w:left w:val="none" w:sz="0" w:space="0" w:color="auto"/>
        <w:bottom w:val="none" w:sz="0" w:space="0" w:color="auto"/>
        <w:right w:val="none" w:sz="0" w:space="0" w:color="auto"/>
      </w:divBdr>
    </w:div>
    <w:div w:id="479732665">
      <w:bodyDiv w:val="1"/>
      <w:marLeft w:val="0"/>
      <w:marRight w:val="0"/>
      <w:marTop w:val="0"/>
      <w:marBottom w:val="0"/>
      <w:divBdr>
        <w:top w:val="none" w:sz="0" w:space="0" w:color="auto"/>
        <w:left w:val="none" w:sz="0" w:space="0" w:color="auto"/>
        <w:bottom w:val="none" w:sz="0" w:space="0" w:color="auto"/>
        <w:right w:val="none" w:sz="0" w:space="0" w:color="auto"/>
      </w:divBdr>
    </w:div>
    <w:div w:id="482356188">
      <w:bodyDiv w:val="1"/>
      <w:marLeft w:val="0"/>
      <w:marRight w:val="0"/>
      <w:marTop w:val="0"/>
      <w:marBottom w:val="0"/>
      <w:divBdr>
        <w:top w:val="none" w:sz="0" w:space="0" w:color="auto"/>
        <w:left w:val="none" w:sz="0" w:space="0" w:color="auto"/>
        <w:bottom w:val="none" w:sz="0" w:space="0" w:color="auto"/>
        <w:right w:val="none" w:sz="0" w:space="0" w:color="auto"/>
      </w:divBdr>
    </w:div>
    <w:div w:id="486478888">
      <w:bodyDiv w:val="1"/>
      <w:marLeft w:val="0"/>
      <w:marRight w:val="0"/>
      <w:marTop w:val="0"/>
      <w:marBottom w:val="0"/>
      <w:divBdr>
        <w:top w:val="none" w:sz="0" w:space="0" w:color="auto"/>
        <w:left w:val="none" w:sz="0" w:space="0" w:color="auto"/>
        <w:bottom w:val="none" w:sz="0" w:space="0" w:color="auto"/>
        <w:right w:val="none" w:sz="0" w:space="0" w:color="auto"/>
      </w:divBdr>
    </w:div>
    <w:div w:id="502204523">
      <w:bodyDiv w:val="1"/>
      <w:marLeft w:val="0"/>
      <w:marRight w:val="0"/>
      <w:marTop w:val="0"/>
      <w:marBottom w:val="0"/>
      <w:divBdr>
        <w:top w:val="none" w:sz="0" w:space="0" w:color="auto"/>
        <w:left w:val="none" w:sz="0" w:space="0" w:color="auto"/>
        <w:bottom w:val="none" w:sz="0" w:space="0" w:color="auto"/>
        <w:right w:val="none" w:sz="0" w:space="0" w:color="auto"/>
      </w:divBdr>
    </w:div>
    <w:div w:id="502401778">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
    <w:div w:id="511917554">
      <w:bodyDiv w:val="1"/>
      <w:marLeft w:val="0"/>
      <w:marRight w:val="0"/>
      <w:marTop w:val="0"/>
      <w:marBottom w:val="0"/>
      <w:divBdr>
        <w:top w:val="none" w:sz="0" w:space="0" w:color="auto"/>
        <w:left w:val="none" w:sz="0" w:space="0" w:color="auto"/>
        <w:bottom w:val="none" w:sz="0" w:space="0" w:color="auto"/>
        <w:right w:val="none" w:sz="0" w:space="0" w:color="auto"/>
      </w:divBdr>
    </w:div>
    <w:div w:id="514078361">
      <w:bodyDiv w:val="1"/>
      <w:marLeft w:val="0"/>
      <w:marRight w:val="0"/>
      <w:marTop w:val="0"/>
      <w:marBottom w:val="0"/>
      <w:divBdr>
        <w:top w:val="none" w:sz="0" w:space="0" w:color="auto"/>
        <w:left w:val="none" w:sz="0" w:space="0" w:color="auto"/>
        <w:bottom w:val="none" w:sz="0" w:space="0" w:color="auto"/>
        <w:right w:val="none" w:sz="0" w:space="0" w:color="auto"/>
      </w:divBdr>
    </w:div>
    <w:div w:id="515995372">
      <w:bodyDiv w:val="1"/>
      <w:marLeft w:val="0"/>
      <w:marRight w:val="0"/>
      <w:marTop w:val="0"/>
      <w:marBottom w:val="0"/>
      <w:divBdr>
        <w:top w:val="none" w:sz="0" w:space="0" w:color="auto"/>
        <w:left w:val="none" w:sz="0" w:space="0" w:color="auto"/>
        <w:bottom w:val="none" w:sz="0" w:space="0" w:color="auto"/>
        <w:right w:val="none" w:sz="0" w:space="0" w:color="auto"/>
      </w:divBdr>
    </w:div>
    <w:div w:id="521089830">
      <w:bodyDiv w:val="1"/>
      <w:marLeft w:val="0"/>
      <w:marRight w:val="0"/>
      <w:marTop w:val="0"/>
      <w:marBottom w:val="0"/>
      <w:divBdr>
        <w:top w:val="none" w:sz="0" w:space="0" w:color="auto"/>
        <w:left w:val="none" w:sz="0" w:space="0" w:color="auto"/>
        <w:bottom w:val="none" w:sz="0" w:space="0" w:color="auto"/>
        <w:right w:val="none" w:sz="0" w:space="0" w:color="auto"/>
      </w:divBdr>
    </w:div>
    <w:div w:id="523397457">
      <w:bodyDiv w:val="1"/>
      <w:marLeft w:val="0"/>
      <w:marRight w:val="0"/>
      <w:marTop w:val="0"/>
      <w:marBottom w:val="0"/>
      <w:divBdr>
        <w:top w:val="none" w:sz="0" w:space="0" w:color="auto"/>
        <w:left w:val="none" w:sz="0" w:space="0" w:color="auto"/>
        <w:bottom w:val="none" w:sz="0" w:space="0" w:color="auto"/>
        <w:right w:val="none" w:sz="0" w:space="0" w:color="auto"/>
      </w:divBdr>
    </w:div>
    <w:div w:id="528180222">
      <w:bodyDiv w:val="1"/>
      <w:marLeft w:val="0"/>
      <w:marRight w:val="0"/>
      <w:marTop w:val="0"/>
      <w:marBottom w:val="0"/>
      <w:divBdr>
        <w:top w:val="none" w:sz="0" w:space="0" w:color="auto"/>
        <w:left w:val="none" w:sz="0" w:space="0" w:color="auto"/>
        <w:bottom w:val="none" w:sz="0" w:space="0" w:color="auto"/>
        <w:right w:val="none" w:sz="0" w:space="0" w:color="auto"/>
      </w:divBdr>
    </w:div>
    <w:div w:id="528563737">
      <w:bodyDiv w:val="1"/>
      <w:marLeft w:val="0"/>
      <w:marRight w:val="0"/>
      <w:marTop w:val="0"/>
      <w:marBottom w:val="0"/>
      <w:divBdr>
        <w:top w:val="none" w:sz="0" w:space="0" w:color="auto"/>
        <w:left w:val="none" w:sz="0" w:space="0" w:color="auto"/>
        <w:bottom w:val="none" w:sz="0" w:space="0" w:color="auto"/>
        <w:right w:val="none" w:sz="0" w:space="0" w:color="auto"/>
      </w:divBdr>
    </w:div>
    <w:div w:id="528954560">
      <w:bodyDiv w:val="1"/>
      <w:marLeft w:val="0"/>
      <w:marRight w:val="0"/>
      <w:marTop w:val="0"/>
      <w:marBottom w:val="0"/>
      <w:divBdr>
        <w:top w:val="none" w:sz="0" w:space="0" w:color="auto"/>
        <w:left w:val="none" w:sz="0" w:space="0" w:color="auto"/>
        <w:bottom w:val="none" w:sz="0" w:space="0" w:color="auto"/>
        <w:right w:val="none" w:sz="0" w:space="0" w:color="auto"/>
      </w:divBdr>
    </w:div>
    <w:div w:id="535311080">
      <w:bodyDiv w:val="1"/>
      <w:marLeft w:val="0"/>
      <w:marRight w:val="0"/>
      <w:marTop w:val="0"/>
      <w:marBottom w:val="0"/>
      <w:divBdr>
        <w:top w:val="none" w:sz="0" w:space="0" w:color="auto"/>
        <w:left w:val="none" w:sz="0" w:space="0" w:color="auto"/>
        <w:bottom w:val="none" w:sz="0" w:space="0" w:color="auto"/>
        <w:right w:val="none" w:sz="0" w:space="0" w:color="auto"/>
      </w:divBdr>
    </w:div>
    <w:div w:id="536505306">
      <w:bodyDiv w:val="1"/>
      <w:marLeft w:val="0"/>
      <w:marRight w:val="0"/>
      <w:marTop w:val="0"/>
      <w:marBottom w:val="0"/>
      <w:divBdr>
        <w:top w:val="none" w:sz="0" w:space="0" w:color="auto"/>
        <w:left w:val="none" w:sz="0" w:space="0" w:color="auto"/>
        <w:bottom w:val="none" w:sz="0" w:space="0" w:color="auto"/>
        <w:right w:val="none" w:sz="0" w:space="0" w:color="auto"/>
      </w:divBdr>
    </w:div>
    <w:div w:id="559749826">
      <w:bodyDiv w:val="1"/>
      <w:marLeft w:val="0"/>
      <w:marRight w:val="0"/>
      <w:marTop w:val="0"/>
      <w:marBottom w:val="0"/>
      <w:divBdr>
        <w:top w:val="none" w:sz="0" w:space="0" w:color="auto"/>
        <w:left w:val="none" w:sz="0" w:space="0" w:color="auto"/>
        <w:bottom w:val="none" w:sz="0" w:space="0" w:color="auto"/>
        <w:right w:val="none" w:sz="0" w:space="0" w:color="auto"/>
      </w:divBdr>
    </w:div>
    <w:div w:id="561479264">
      <w:bodyDiv w:val="1"/>
      <w:marLeft w:val="0"/>
      <w:marRight w:val="0"/>
      <w:marTop w:val="0"/>
      <w:marBottom w:val="0"/>
      <w:divBdr>
        <w:top w:val="none" w:sz="0" w:space="0" w:color="auto"/>
        <w:left w:val="none" w:sz="0" w:space="0" w:color="auto"/>
        <w:bottom w:val="none" w:sz="0" w:space="0" w:color="auto"/>
        <w:right w:val="none" w:sz="0" w:space="0" w:color="auto"/>
      </w:divBdr>
    </w:div>
    <w:div w:id="563564596">
      <w:bodyDiv w:val="1"/>
      <w:marLeft w:val="0"/>
      <w:marRight w:val="0"/>
      <w:marTop w:val="0"/>
      <w:marBottom w:val="0"/>
      <w:divBdr>
        <w:top w:val="none" w:sz="0" w:space="0" w:color="auto"/>
        <w:left w:val="none" w:sz="0" w:space="0" w:color="auto"/>
        <w:bottom w:val="none" w:sz="0" w:space="0" w:color="auto"/>
        <w:right w:val="none" w:sz="0" w:space="0" w:color="auto"/>
      </w:divBdr>
    </w:div>
    <w:div w:id="563566073">
      <w:bodyDiv w:val="1"/>
      <w:marLeft w:val="0"/>
      <w:marRight w:val="0"/>
      <w:marTop w:val="0"/>
      <w:marBottom w:val="0"/>
      <w:divBdr>
        <w:top w:val="none" w:sz="0" w:space="0" w:color="auto"/>
        <w:left w:val="none" w:sz="0" w:space="0" w:color="auto"/>
        <w:bottom w:val="none" w:sz="0" w:space="0" w:color="auto"/>
        <w:right w:val="none" w:sz="0" w:space="0" w:color="auto"/>
      </w:divBdr>
    </w:div>
    <w:div w:id="569582465">
      <w:bodyDiv w:val="1"/>
      <w:marLeft w:val="0"/>
      <w:marRight w:val="0"/>
      <w:marTop w:val="0"/>
      <w:marBottom w:val="0"/>
      <w:divBdr>
        <w:top w:val="none" w:sz="0" w:space="0" w:color="auto"/>
        <w:left w:val="none" w:sz="0" w:space="0" w:color="auto"/>
        <w:bottom w:val="none" w:sz="0" w:space="0" w:color="auto"/>
        <w:right w:val="none" w:sz="0" w:space="0" w:color="auto"/>
      </w:divBdr>
    </w:div>
    <w:div w:id="571162654">
      <w:bodyDiv w:val="1"/>
      <w:marLeft w:val="0"/>
      <w:marRight w:val="0"/>
      <w:marTop w:val="0"/>
      <w:marBottom w:val="0"/>
      <w:divBdr>
        <w:top w:val="none" w:sz="0" w:space="0" w:color="auto"/>
        <w:left w:val="none" w:sz="0" w:space="0" w:color="auto"/>
        <w:bottom w:val="none" w:sz="0" w:space="0" w:color="auto"/>
        <w:right w:val="none" w:sz="0" w:space="0" w:color="auto"/>
      </w:divBdr>
    </w:div>
    <w:div w:id="576749460">
      <w:bodyDiv w:val="1"/>
      <w:marLeft w:val="0"/>
      <w:marRight w:val="0"/>
      <w:marTop w:val="0"/>
      <w:marBottom w:val="0"/>
      <w:divBdr>
        <w:top w:val="none" w:sz="0" w:space="0" w:color="auto"/>
        <w:left w:val="none" w:sz="0" w:space="0" w:color="auto"/>
        <w:bottom w:val="none" w:sz="0" w:space="0" w:color="auto"/>
        <w:right w:val="none" w:sz="0" w:space="0" w:color="auto"/>
      </w:divBdr>
    </w:div>
    <w:div w:id="579872557">
      <w:bodyDiv w:val="1"/>
      <w:marLeft w:val="0"/>
      <w:marRight w:val="0"/>
      <w:marTop w:val="0"/>
      <w:marBottom w:val="0"/>
      <w:divBdr>
        <w:top w:val="none" w:sz="0" w:space="0" w:color="auto"/>
        <w:left w:val="none" w:sz="0" w:space="0" w:color="auto"/>
        <w:bottom w:val="none" w:sz="0" w:space="0" w:color="auto"/>
        <w:right w:val="none" w:sz="0" w:space="0" w:color="auto"/>
      </w:divBdr>
    </w:div>
    <w:div w:id="583413647">
      <w:bodyDiv w:val="1"/>
      <w:marLeft w:val="0"/>
      <w:marRight w:val="0"/>
      <w:marTop w:val="0"/>
      <w:marBottom w:val="0"/>
      <w:divBdr>
        <w:top w:val="none" w:sz="0" w:space="0" w:color="auto"/>
        <w:left w:val="none" w:sz="0" w:space="0" w:color="auto"/>
        <w:bottom w:val="none" w:sz="0" w:space="0" w:color="auto"/>
        <w:right w:val="none" w:sz="0" w:space="0" w:color="auto"/>
      </w:divBdr>
    </w:div>
    <w:div w:id="586500363">
      <w:bodyDiv w:val="1"/>
      <w:marLeft w:val="0"/>
      <w:marRight w:val="0"/>
      <w:marTop w:val="0"/>
      <w:marBottom w:val="0"/>
      <w:divBdr>
        <w:top w:val="none" w:sz="0" w:space="0" w:color="auto"/>
        <w:left w:val="none" w:sz="0" w:space="0" w:color="auto"/>
        <w:bottom w:val="none" w:sz="0" w:space="0" w:color="auto"/>
        <w:right w:val="none" w:sz="0" w:space="0" w:color="auto"/>
      </w:divBdr>
    </w:div>
    <w:div w:id="592400088">
      <w:bodyDiv w:val="1"/>
      <w:marLeft w:val="0"/>
      <w:marRight w:val="0"/>
      <w:marTop w:val="0"/>
      <w:marBottom w:val="0"/>
      <w:divBdr>
        <w:top w:val="none" w:sz="0" w:space="0" w:color="auto"/>
        <w:left w:val="none" w:sz="0" w:space="0" w:color="auto"/>
        <w:bottom w:val="none" w:sz="0" w:space="0" w:color="auto"/>
        <w:right w:val="none" w:sz="0" w:space="0" w:color="auto"/>
      </w:divBdr>
    </w:div>
    <w:div w:id="622618489">
      <w:bodyDiv w:val="1"/>
      <w:marLeft w:val="0"/>
      <w:marRight w:val="0"/>
      <w:marTop w:val="0"/>
      <w:marBottom w:val="0"/>
      <w:divBdr>
        <w:top w:val="none" w:sz="0" w:space="0" w:color="auto"/>
        <w:left w:val="none" w:sz="0" w:space="0" w:color="auto"/>
        <w:bottom w:val="none" w:sz="0" w:space="0" w:color="auto"/>
        <w:right w:val="none" w:sz="0" w:space="0" w:color="auto"/>
      </w:divBdr>
    </w:div>
    <w:div w:id="622730584">
      <w:bodyDiv w:val="1"/>
      <w:marLeft w:val="0"/>
      <w:marRight w:val="0"/>
      <w:marTop w:val="0"/>
      <w:marBottom w:val="0"/>
      <w:divBdr>
        <w:top w:val="none" w:sz="0" w:space="0" w:color="auto"/>
        <w:left w:val="none" w:sz="0" w:space="0" w:color="auto"/>
        <w:bottom w:val="none" w:sz="0" w:space="0" w:color="auto"/>
        <w:right w:val="none" w:sz="0" w:space="0" w:color="auto"/>
      </w:divBdr>
    </w:div>
    <w:div w:id="623122925">
      <w:bodyDiv w:val="1"/>
      <w:marLeft w:val="0"/>
      <w:marRight w:val="0"/>
      <w:marTop w:val="0"/>
      <w:marBottom w:val="0"/>
      <w:divBdr>
        <w:top w:val="none" w:sz="0" w:space="0" w:color="auto"/>
        <w:left w:val="none" w:sz="0" w:space="0" w:color="auto"/>
        <w:bottom w:val="none" w:sz="0" w:space="0" w:color="auto"/>
        <w:right w:val="none" w:sz="0" w:space="0" w:color="auto"/>
      </w:divBdr>
    </w:div>
    <w:div w:id="630671630">
      <w:bodyDiv w:val="1"/>
      <w:marLeft w:val="0"/>
      <w:marRight w:val="0"/>
      <w:marTop w:val="0"/>
      <w:marBottom w:val="0"/>
      <w:divBdr>
        <w:top w:val="none" w:sz="0" w:space="0" w:color="auto"/>
        <w:left w:val="none" w:sz="0" w:space="0" w:color="auto"/>
        <w:bottom w:val="none" w:sz="0" w:space="0" w:color="auto"/>
        <w:right w:val="none" w:sz="0" w:space="0" w:color="auto"/>
      </w:divBdr>
    </w:div>
    <w:div w:id="638924119">
      <w:bodyDiv w:val="1"/>
      <w:marLeft w:val="0"/>
      <w:marRight w:val="0"/>
      <w:marTop w:val="0"/>
      <w:marBottom w:val="0"/>
      <w:divBdr>
        <w:top w:val="none" w:sz="0" w:space="0" w:color="auto"/>
        <w:left w:val="none" w:sz="0" w:space="0" w:color="auto"/>
        <w:bottom w:val="none" w:sz="0" w:space="0" w:color="auto"/>
        <w:right w:val="none" w:sz="0" w:space="0" w:color="auto"/>
      </w:divBdr>
    </w:div>
    <w:div w:id="639306103">
      <w:bodyDiv w:val="1"/>
      <w:marLeft w:val="0"/>
      <w:marRight w:val="0"/>
      <w:marTop w:val="0"/>
      <w:marBottom w:val="0"/>
      <w:divBdr>
        <w:top w:val="none" w:sz="0" w:space="0" w:color="auto"/>
        <w:left w:val="none" w:sz="0" w:space="0" w:color="auto"/>
        <w:bottom w:val="none" w:sz="0" w:space="0" w:color="auto"/>
        <w:right w:val="none" w:sz="0" w:space="0" w:color="auto"/>
      </w:divBdr>
    </w:div>
    <w:div w:id="641158485">
      <w:bodyDiv w:val="1"/>
      <w:marLeft w:val="0"/>
      <w:marRight w:val="0"/>
      <w:marTop w:val="0"/>
      <w:marBottom w:val="0"/>
      <w:divBdr>
        <w:top w:val="none" w:sz="0" w:space="0" w:color="auto"/>
        <w:left w:val="none" w:sz="0" w:space="0" w:color="auto"/>
        <w:bottom w:val="none" w:sz="0" w:space="0" w:color="auto"/>
        <w:right w:val="none" w:sz="0" w:space="0" w:color="auto"/>
      </w:divBdr>
    </w:div>
    <w:div w:id="646513250">
      <w:bodyDiv w:val="1"/>
      <w:marLeft w:val="0"/>
      <w:marRight w:val="0"/>
      <w:marTop w:val="0"/>
      <w:marBottom w:val="0"/>
      <w:divBdr>
        <w:top w:val="none" w:sz="0" w:space="0" w:color="auto"/>
        <w:left w:val="none" w:sz="0" w:space="0" w:color="auto"/>
        <w:bottom w:val="none" w:sz="0" w:space="0" w:color="auto"/>
        <w:right w:val="none" w:sz="0" w:space="0" w:color="auto"/>
      </w:divBdr>
    </w:div>
    <w:div w:id="648945175">
      <w:bodyDiv w:val="1"/>
      <w:marLeft w:val="0"/>
      <w:marRight w:val="0"/>
      <w:marTop w:val="0"/>
      <w:marBottom w:val="0"/>
      <w:divBdr>
        <w:top w:val="none" w:sz="0" w:space="0" w:color="auto"/>
        <w:left w:val="none" w:sz="0" w:space="0" w:color="auto"/>
        <w:bottom w:val="none" w:sz="0" w:space="0" w:color="auto"/>
        <w:right w:val="none" w:sz="0" w:space="0" w:color="auto"/>
      </w:divBdr>
    </w:div>
    <w:div w:id="656031337">
      <w:bodyDiv w:val="1"/>
      <w:marLeft w:val="0"/>
      <w:marRight w:val="0"/>
      <w:marTop w:val="0"/>
      <w:marBottom w:val="0"/>
      <w:divBdr>
        <w:top w:val="none" w:sz="0" w:space="0" w:color="auto"/>
        <w:left w:val="none" w:sz="0" w:space="0" w:color="auto"/>
        <w:bottom w:val="none" w:sz="0" w:space="0" w:color="auto"/>
        <w:right w:val="none" w:sz="0" w:space="0" w:color="auto"/>
      </w:divBdr>
    </w:div>
    <w:div w:id="662247929">
      <w:bodyDiv w:val="1"/>
      <w:marLeft w:val="0"/>
      <w:marRight w:val="0"/>
      <w:marTop w:val="0"/>
      <w:marBottom w:val="0"/>
      <w:divBdr>
        <w:top w:val="none" w:sz="0" w:space="0" w:color="auto"/>
        <w:left w:val="none" w:sz="0" w:space="0" w:color="auto"/>
        <w:bottom w:val="none" w:sz="0" w:space="0" w:color="auto"/>
        <w:right w:val="none" w:sz="0" w:space="0" w:color="auto"/>
      </w:divBdr>
    </w:div>
    <w:div w:id="662902185">
      <w:bodyDiv w:val="1"/>
      <w:marLeft w:val="0"/>
      <w:marRight w:val="0"/>
      <w:marTop w:val="0"/>
      <w:marBottom w:val="0"/>
      <w:divBdr>
        <w:top w:val="none" w:sz="0" w:space="0" w:color="auto"/>
        <w:left w:val="none" w:sz="0" w:space="0" w:color="auto"/>
        <w:bottom w:val="none" w:sz="0" w:space="0" w:color="auto"/>
        <w:right w:val="none" w:sz="0" w:space="0" w:color="auto"/>
      </w:divBdr>
    </w:div>
    <w:div w:id="664670564">
      <w:bodyDiv w:val="1"/>
      <w:marLeft w:val="0"/>
      <w:marRight w:val="0"/>
      <w:marTop w:val="0"/>
      <w:marBottom w:val="0"/>
      <w:divBdr>
        <w:top w:val="none" w:sz="0" w:space="0" w:color="auto"/>
        <w:left w:val="none" w:sz="0" w:space="0" w:color="auto"/>
        <w:bottom w:val="none" w:sz="0" w:space="0" w:color="auto"/>
        <w:right w:val="none" w:sz="0" w:space="0" w:color="auto"/>
      </w:divBdr>
    </w:div>
    <w:div w:id="674647557">
      <w:bodyDiv w:val="1"/>
      <w:marLeft w:val="0"/>
      <w:marRight w:val="0"/>
      <w:marTop w:val="0"/>
      <w:marBottom w:val="0"/>
      <w:divBdr>
        <w:top w:val="none" w:sz="0" w:space="0" w:color="auto"/>
        <w:left w:val="none" w:sz="0" w:space="0" w:color="auto"/>
        <w:bottom w:val="none" w:sz="0" w:space="0" w:color="auto"/>
        <w:right w:val="none" w:sz="0" w:space="0" w:color="auto"/>
      </w:divBdr>
    </w:div>
    <w:div w:id="679354144">
      <w:bodyDiv w:val="1"/>
      <w:marLeft w:val="0"/>
      <w:marRight w:val="0"/>
      <w:marTop w:val="0"/>
      <w:marBottom w:val="0"/>
      <w:divBdr>
        <w:top w:val="none" w:sz="0" w:space="0" w:color="auto"/>
        <w:left w:val="none" w:sz="0" w:space="0" w:color="auto"/>
        <w:bottom w:val="none" w:sz="0" w:space="0" w:color="auto"/>
        <w:right w:val="none" w:sz="0" w:space="0" w:color="auto"/>
      </w:divBdr>
    </w:div>
    <w:div w:id="680551536">
      <w:bodyDiv w:val="1"/>
      <w:marLeft w:val="0"/>
      <w:marRight w:val="0"/>
      <w:marTop w:val="0"/>
      <w:marBottom w:val="0"/>
      <w:divBdr>
        <w:top w:val="none" w:sz="0" w:space="0" w:color="auto"/>
        <w:left w:val="none" w:sz="0" w:space="0" w:color="auto"/>
        <w:bottom w:val="none" w:sz="0" w:space="0" w:color="auto"/>
        <w:right w:val="none" w:sz="0" w:space="0" w:color="auto"/>
      </w:divBdr>
    </w:div>
    <w:div w:id="682558906">
      <w:bodyDiv w:val="1"/>
      <w:marLeft w:val="0"/>
      <w:marRight w:val="0"/>
      <w:marTop w:val="0"/>
      <w:marBottom w:val="0"/>
      <w:divBdr>
        <w:top w:val="none" w:sz="0" w:space="0" w:color="auto"/>
        <w:left w:val="none" w:sz="0" w:space="0" w:color="auto"/>
        <w:bottom w:val="none" w:sz="0" w:space="0" w:color="auto"/>
        <w:right w:val="none" w:sz="0" w:space="0" w:color="auto"/>
      </w:divBdr>
    </w:div>
    <w:div w:id="694575366">
      <w:bodyDiv w:val="1"/>
      <w:marLeft w:val="0"/>
      <w:marRight w:val="0"/>
      <w:marTop w:val="0"/>
      <w:marBottom w:val="0"/>
      <w:divBdr>
        <w:top w:val="none" w:sz="0" w:space="0" w:color="auto"/>
        <w:left w:val="none" w:sz="0" w:space="0" w:color="auto"/>
        <w:bottom w:val="none" w:sz="0" w:space="0" w:color="auto"/>
        <w:right w:val="none" w:sz="0" w:space="0" w:color="auto"/>
      </w:divBdr>
    </w:div>
    <w:div w:id="696546355">
      <w:bodyDiv w:val="1"/>
      <w:marLeft w:val="0"/>
      <w:marRight w:val="0"/>
      <w:marTop w:val="0"/>
      <w:marBottom w:val="0"/>
      <w:divBdr>
        <w:top w:val="none" w:sz="0" w:space="0" w:color="auto"/>
        <w:left w:val="none" w:sz="0" w:space="0" w:color="auto"/>
        <w:bottom w:val="none" w:sz="0" w:space="0" w:color="auto"/>
        <w:right w:val="none" w:sz="0" w:space="0" w:color="auto"/>
      </w:divBdr>
    </w:div>
    <w:div w:id="701632240">
      <w:bodyDiv w:val="1"/>
      <w:marLeft w:val="0"/>
      <w:marRight w:val="0"/>
      <w:marTop w:val="0"/>
      <w:marBottom w:val="0"/>
      <w:divBdr>
        <w:top w:val="none" w:sz="0" w:space="0" w:color="auto"/>
        <w:left w:val="none" w:sz="0" w:space="0" w:color="auto"/>
        <w:bottom w:val="none" w:sz="0" w:space="0" w:color="auto"/>
        <w:right w:val="none" w:sz="0" w:space="0" w:color="auto"/>
      </w:divBdr>
    </w:div>
    <w:div w:id="719136990">
      <w:bodyDiv w:val="1"/>
      <w:marLeft w:val="0"/>
      <w:marRight w:val="0"/>
      <w:marTop w:val="0"/>
      <w:marBottom w:val="0"/>
      <w:divBdr>
        <w:top w:val="none" w:sz="0" w:space="0" w:color="auto"/>
        <w:left w:val="none" w:sz="0" w:space="0" w:color="auto"/>
        <w:bottom w:val="none" w:sz="0" w:space="0" w:color="auto"/>
        <w:right w:val="none" w:sz="0" w:space="0" w:color="auto"/>
      </w:divBdr>
    </w:div>
    <w:div w:id="733771642">
      <w:bodyDiv w:val="1"/>
      <w:marLeft w:val="0"/>
      <w:marRight w:val="0"/>
      <w:marTop w:val="0"/>
      <w:marBottom w:val="0"/>
      <w:divBdr>
        <w:top w:val="none" w:sz="0" w:space="0" w:color="auto"/>
        <w:left w:val="none" w:sz="0" w:space="0" w:color="auto"/>
        <w:bottom w:val="none" w:sz="0" w:space="0" w:color="auto"/>
        <w:right w:val="none" w:sz="0" w:space="0" w:color="auto"/>
      </w:divBdr>
    </w:div>
    <w:div w:id="734165029">
      <w:bodyDiv w:val="1"/>
      <w:marLeft w:val="0"/>
      <w:marRight w:val="0"/>
      <w:marTop w:val="0"/>
      <w:marBottom w:val="0"/>
      <w:divBdr>
        <w:top w:val="none" w:sz="0" w:space="0" w:color="auto"/>
        <w:left w:val="none" w:sz="0" w:space="0" w:color="auto"/>
        <w:bottom w:val="none" w:sz="0" w:space="0" w:color="auto"/>
        <w:right w:val="none" w:sz="0" w:space="0" w:color="auto"/>
      </w:divBdr>
    </w:div>
    <w:div w:id="735587101">
      <w:bodyDiv w:val="1"/>
      <w:marLeft w:val="0"/>
      <w:marRight w:val="0"/>
      <w:marTop w:val="0"/>
      <w:marBottom w:val="0"/>
      <w:divBdr>
        <w:top w:val="none" w:sz="0" w:space="0" w:color="auto"/>
        <w:left w:val="none" w:sz="0" w:space="0" w:color="auto"/>
        <w:bottom w:val="none" w:sz="0" w:space="0" w:color="auto"/>
        <w:right w:val="none" w:sz="0" w:space="0" w:color="auto"/>
      </w:divBdr>
    </w:div>
    <w:div w:id="740519994">
      <w:bodyDiv w:val="1"/>
      <w:marLeft w:val="0"/>
      <w:marRight w:val="0"/>
      <w:marTop w:val="0"/>
      <w:marBottom w:val="0"/>
      <w:divBdr>
        <w:top w:val="none" w:sz="0" w:space="0" w:color="auto"/>
        <w:left w:val="none" w:sz="0" w:space="0" w:color="auto"/>
        <w:bottom w:val="none" w:sz="0" w:space="0" w:color="auto"/>
        <w:right w:val="none" w:sz="0" w:space="0" w:color="auto"/>
      </w:divBdr>
    </w:div>
    <w:div w:id="742600903">
      <w:bodyDiv w:val="1"/>
      <w:marLeft w:val="0"/>
      <w:marRight w:val="0"/>
      <w:marTop w:val="0"/>
      <w:marBottom w:val="0"/>
      <w:divBdr>
        <w:top w:val="none" w:sz="0" w:space="0" w:color="auto"/>
        <w:left w:val="none" w:sz="0" w:space="0" w:color="auto"/>
        <w:bottom w:val="none" w:sz="0" w:space="0" w:color="auto"/>
        <w:right w:val="none" w:sz="0" w:space="0" w:color="auto"/>
      </w:divBdr>
    </w:div>
    <w:div w:id="745421169">
      <w:bodyDiv w:val="1"/>
      <w:marLeft w:val="0"/>
      <w:marRight w:val="0"/>
      <w:marTop w:val="0"/>
      <w:marBottom w:val="0"/>
      <w:divBdr>
        <w:top w:val="none" w:sz="0" w:space="0" w:color="auto"/>
        <w:left w:val="none" w:sz="0" w:space="0" w:color="auto"/>
        <w:bottom w:val="none" w:sz="0" w:space="0" w:color="auto"/>
        <w:right w:val="none" w:sz="0" w:space="0" w:color="auto"/>
      </w:divBdr>
    </w:div>
    <w:div w:id="754279891">
      <w:bodyDiv w:val="1"/>
      <w:marLeft w:val="0"/>
      <w:marRight w:val="0"/>
      <w:marTop w:val="0"/>
      <w:marBottom w:val="0"/>
      <w:divBdr>
        <w:top w:val="none" w:sz="0" w:space="0" w:color="auto"/>
        <w:left w:val="none" w:sz="0" w:space="0" w:color="auto"/>
        <w:bottom w:val="none" w:sz="0" w:space="0" w:color="auto"/>
        <w:right w:val="none" w:sz="0" w:space="0" w:color="auto"/>
      </w:divBdr>
    </w:div>
    <w:div w:id="754548702">
      <w:bodyDiv w:val="1"/>
      <w:marLeft w:val="0"/>
      <w:marRight w:val="0"/>
      <w:marTop w:val="0"/>
      <w:marBottom w:val="0"/>
      <w:divBdr>
        <w:top w:val="none" w:sz="0" w:space="0" w:color="auto"/>
        <w:left w:val="none" w:sz="0" w:space="0" w:color="auto"/>
        <w:bottom w:val="none" w:sz="0" w:space="0" w:color="auto"/>
        <w:right w:val="none" w:sz="0" w:space="0" w:color="auto"/>
      </w:divBdr>
    </w:div>
    <w:div w:id="757021467">
      <w:bodyDiv w:val="1"/>
      <w:marLeft w:val="0"/>
      <w:marRight w:val="0"/>
      <w:marTop w:val="0"/>
      <w:marBottom w:val="0"/>
      <w:divBdr>
        <w:top w:val="none" w:sz="0" w:space="0" w:color="auto"/>
        <w:left w:val="none" w:sz="0" w:space="0" w:color="auto"/>
        <w:bottom w:val="none" w:sz="0" w:space="0" w:color="auto"/>
        <w:right w:val="none" w:sz="0" w:space="0" w:color="auto"/>
      </w:divBdr>
    </w:div>
    <w:div w:id="758261184">
      <w:bodyDiv w:val="1"/>
      <w:marLeft w:val="0"/>
      <w:marRight w:val="0"/>
      <w:marTop w:val="0"/>
      <w:marBottom w:val="0"/>
      <w:divBdr>
        <w:top w:val="none" w:sz="0" w:space="0" w:color="auto"/>
        <w:left w:val="none" w:sz="0" w:space="0" w:color="auto"/>
        <w:bottom w:val="none" w:sz="0" w:space="0" w:color="auto"/>
        <w:right w:val="none" w:sz="0" w:space="0" w:color="auto"/>
      </w:divBdr>
    </w:div>
    <w:div w:id="768157077">
      <w:bodyDiv w:val="1"/>
      <w:marLeft w:val="0"/>
      <w:marRight w:val="0"/>
      <w:marTop w:val="0"/>
      <w:marBottom w:val="0"/>
      <w:divBdr>
        <w:top w:val="none" w:sz="0" w:space="0" w:color="auto"/>
        <w:left w:val="none" w:sz="0" w:space="0" w:color="auto"/>
        <w:bottom w:val="none" w:sz="0" w:space="0" w:color="auto"/>
        <w:right w:val="none" w:sz="0" w:space="0" w:color="auto"/>
      </w:divBdr>
    </w:div>
    <w:div w:id="771097983">
      <w:bodyDiv w:val="1"/>
      <w:marLeft w:val="0"/>
      <w:marRight w:val="0"/>
      <w:marTop w:val="0"/>
      <w:marBottom w:val="0"/>
      <w:divBdr>
        <w:top w:val="none" w:sz="0" w:space="0" w:color="auto"/>
        <w:left w:val="none" w:sz="0" w:space="0" w:color="auto"/>
        <w:bottom w:val="none" w:sz="0" w:space="0" w:color="auto"/>
        <w:right w:val="none" w:sz="0" w:space="0" w:color="auto"/>
      </w:divBdr>
    </w:div>
    <w:div w:id="786242862">
      <w:bodyDiv w:val="1"/>
      <w:marLeft w:val="0"/>
      <w:marRight w:val="0"/>
      <w:marTop w:val="0"/>
      <w:marBottom w:val="0"/>
      <w:divBdr>
        <w:top w:val="none" w:sz="0" w:space="0" w:color="auto"/>
        <w:left w:val="none" w:sz="0" w:space="0" w:color="auto"/>
        <w:bottom w:val="none" w:sz="0" w:space="0" w:color="auto"/>
        <w:right w:val="none" w:sz="0" w:space="0" w:color="auto"/>
      </w:divBdr>
    </w:div>
    <w:div w:id="796030170">
      <w:bodyDiv w:val="1"/>
      <w:marLeft w:val="0"/>
      <w:marRight w:val="0"/>
      <w:marTop w:val="0"/>
      <w:marBottom w:val="0"/>
      <w:divBdr>
        <w:top w:val="none" w:sz="0" w:space="0" w:color="auto"/>
        <w:left w:val="none" w:sz="0" w:space="0" w:color="auto"/>
        <w:bottom w:val="none" w:sz="0" w:space="0" w:color="auto"/>
        <w:right w:val="none" w:sz="0" w:space="0" w:color="auto"/>
      </w:divBdr>
    </w:div>
    <w:div w:id="804853587">
      <w:bodyDiv w:val="1"/>
      <w:marLeft w:val="0"/>
      <w:marRight w:val="0"/>
      <w:marTop w:val="0"/>
      <w:marBottom w:val="0"/>
      <w:divBdr>
        <w:top w:val="none" w:sz="0" w:space="0" w:color="auto"/>
        <w:left w:val="none" w:sz="0" w:space="0" w:color="auto"/>
        <w:bottom w:val="none" w:sz="0" w:space="0" w:color="auto"/>
        <w:right w:val="none" w:sz="0" w:space="0" w:color="auto"/>
      </w:divBdr>
    </w:div>
    <w:div w:id="810945088">
      <w:bodyDiv w:val="1"/>
      <w:marLeft w:val="0"/>
      <w:marRight w:val="0"/>
      <w:marTop w:val="0"/>
      <w:marBottom w:val="0"/>
      <w:divBdr>
        <w:top w:val="none" w:sz="0" w:space="0" w:color="auto"/>
        <w:left w:val="none" w:sz="0" w:space="0" w:color="auto"/>
        <w:bottom w:val="none" w:sz="0" w:space="0" w:color="auto"/>
        <w:right w:val="none" w:sz="0" w:space="0" w:color="auto"/>
      </w:divBdr>
    </w:div>
    <w:div w:id="819275744">
      <w:bodyDiv w:val="1"/>
      <w:marLeft w:val="0"/>
      <w:marRight w:val="0"/>
      <w:marTop w:val="0"/>
      <w:marBottom w:val="0"/>
      <w:divBdr>
        <w:top w:val="none" w:sz="0" w:space="0" w:color="auto"/>
        <w:left w:val="none" w:sz="0" w:space="0" w:color="auto"/>
        <w:bottom w:val="none" w:sz="0" w:space="0" w:color="auto"/>
        <w:right w:val="none" w:sz="0" w:space="0" w:color="auto"/>
      </w:divBdr>
    </w:div>
    <w:div w:id="820849631">
      <w:bodyDiv w:val="1"/>
      <w:marLeft w:val="0"/>
      <w:marRight w:val="0"/>
      <w:marTop w:val="0"/>
      <w:marBottom w:val="0"/>
      <w:divBdr>
        <w:top w:val="none" w:sz="0" w:space="0" w:color="auto"/>
        <w:left w:val="none" w:sz="0" w:space="0" w:color="auto"/>
        <w:bottom w:val="none" w:sz="0" w:space="0" w:color="auto"/>
        <w:right w:val="none" w:sz="0" w:space="0" w:color="auto"/>
      </w:divBdr>
    </w:div>
    <w:div w:id="821191030">
      <w:bodyDiv w:val="1"/>
      <w:marLeft w:val="0"/>
      <w:marRight w:val="0"/>
      <w:marTop w:val="0"/>
      <w:marBottom w:val="0"/>
      <w:divBdr>
        <w:top w:val="none" w:sz="0" w:space="0" w:color="auto"/>
        <w:left w:val="none" w:sz="0" w:space="0" w:color="auto"/>
        <w:bottom w:val="none" w:sz="0" w:space="0" w:color="auto"/>
        <w:right w:val="none" w:sz="0" w:space="0" w:color="auto"/>
      </w:divBdr>
    </w:div>
    <w:div w:id="827282107">
      <w:bodyDiv w:val="1"/>
      <w:marLeft w:val="0"/>
      <w:marRight w:val="0"/>
      <w:marTop w:val="0"/>
      <w:marBottom w:val="0"/>
      <w:divBdr>
        <w:top w:val="none" w:sz="0" w:space="0" w:color="auto"/>
        <w:left w:val="none" w:sz="0" w:space="0" w:color="auto"/>
        <w:bottom w:val="none" w:sz="0" w:space="0" w:color="auto"/>
        <w:right w:val="none" w:sz="0" w:space="0" w:color="auto"/>
      </w:divBdr>
    </w:div>
    <w:div w:id="836270531">
      <w:bodyDiv w:val="1"/>
      <w:marLeft w:val="0"/>
      <w:marRight w:val="0"/>
      <w:marTop w:val="0"/>
      <w:marBottom w:val="0"/>
      <w:divBdr>
        <w:top w:val="none" w:sz="0" w:space="0" w:color="auto"/>
        <w:left w:val="none" w:sz="0" w:space="0" w:color="auto"/>
        <w:bottom w:val="none" w:sz="0" w:space="0" w:color="auto"/>
        <w:right w:val="none" w:sz="0" w:space="0" w:color="auto"/>
      </w:divBdr>
    </w:div>
    <w:div w:id="837160989">
      <w:bodyDiv w:val="1"/>
      <w:marLeft w:val="0"/>
      <w:marRight w:val="0"/>
      <w:marTop w:val="0"/>
      <w:marBottom w:val="0"/>
      <w:divBdr>
        <w:top w:val="none" w:sz="0" w:space="0" w:color="auto"/>
        <w:left w:val="none" w:sz="0" w:space="0" w:color="auto"/>
        <w:bottom w:val="none" w:sz="0" w:space="0" w:color="auto"/>
        <w:right w:val="none" w:sz="0" w:space="0" w:color="auto"/>
      </w:divBdr>
    </w:div>
    <w:div w:id="839587943">
      <w:bodyDiv w:val="1"/>
      <w:marLeft w:val="0"/>
      <w:marRight w:val="0"/>
      <w:marTop w:val="0"/>
      <w:marBottom w:val="0"/>
      <w:divBdr>
        <w:top w:val="none" w:sz="0" w:space="0" w:color="auto"/>
        <w:left w:val="none" w:sz="0" w:space="0" w:color="auto"/>
        <w:bottom w:val="none" w:sz="0" w:space="0" w:color="auto"/>
        <w:right w:val="none" w:sz="0" w:space="0" w:color="auto"/>
      </w:divBdr>
    </w:div>
    <w:div w:id="842937796">
      <w:bodyDiv w:val="1"/>
      <w:marLeft w:val="0"/>
      <w:marRight w:val="0"/>
      <w:marTop w:val="0"/>
      <w:marBottom w:val="0"/>
      <w:divBdr>
        <w:top w:val="none" w:sz="0" w:space="0" w:color="auto"/>
        <w:left w:val="none" w:sz="0" w:space="0" w:color="auto"/>
        <w:bottom w:val="none" w:sz="0" w:space="0" w:color="auto"/>
        <w:right w:val="none" w:sz="0" w:space="0" w:color="auto"/>
      </w:divBdr>
    </w:div>
    <w:div w:id="857044111">
      <w:bodyDiv w:val="1"/>
      <w:marLeft w:val="0"/>
      <w:marRight w:val="0"/>
      <w:marTop w:val="0"/>
      <w:marBottom w:val="0"/>
      <w:divBdr>
        <w:top w:val="none" w:sz="0" w:space="0" w:color="auto"/>
        <w:left w:val="none" w:sz="0" w:space="0" w:color="auto"/>
        <w:bottom w:val="none" w:sz="0" w:space="0" w:color="auto"/>
        <w:right w:val="none" w:sz="0" w:space="0" w:color="auto"/>
      </w:divBdr>
    </w:div>
    <w:div w:id="857932505">
      <w:bodyDiv w:val="1"/>
      <w:marLeft w:val="0"/>
      <w:marRight w:val="0"/>
      <w:marTop w:val="0"/>
      <w:marBottom w:val="0"/>
      <w:divBdr>
        <w:top w:val="none" w:sz="0" w:space="0" w:color="auto"/>
        <w:left w:val="none" w:sz="0" w:space="0" w:color="auto"/>
        <w:bottom w:val="none" w:sz="0" w:space="0" w:color="auto"/>
        <w:right w:val="none" w:sz="0" w:space="0" w:color="auto"/>
      </w:divBdr>
    </w:div>
    <w:div w:id="860320099">
      <w:bodyDiv w:val="1"/>
      <w:marLeft w:val="0"/>
      <w:marRight w:val="0"/>
      <w:marTop w:val="0"/>
      <w:marBottom w:val="0"/>
      <w:divBdr>
        <w:top w:val="none" w:sz="0" w:space="0" w:color="auto"/>
        <w:left w:val="none" w:sz="0" w:space="0" w:color="auto"/>
        <w:bottom w:val="none" w:sz="0" w:space="0" w:color="auto"/>
        <w:right w:val="none" w:sz="0" w:space="0" w:color="auto"/>
      </w:divBdr>
    </w:div>
    <w:div w:id="861549070">
      <w:bodyDiv w:val="1"/>
      <w:marLeft w:val="0"/>
      <w:marRight w:val="0"/>
      <w:marTop w:val="0"/>
      <w:marBottom w:val="0"/>
      <w:divBdr>
        <w:top w:val="none" w:sz="0" w:space="0" w:color="auto"/>
        <w:left w:val="none" w:sz="0" w:space="0" w:color="auto"/>
        <w:bottom w:val="none" w:sz="0" w:space="0" w:color="auto"/>
        <w:right w:val="none" w:sz="0" w:space="0" w:color="auto"/>
      </w:divBdr>
    </w:div>
    <w:div w:id="862279599">
      <w:bodyDiv w:val="1"/>
      <w:marLeft w:val="0"/>
      <w:marRight w:val="0"/>
      <w:marTop w:val="0"/>
      <w:marBottom w:val="0"/>
      <w:divBdr>
        <w:top w:val="none" w:sz="0" w:space="0" w:color="auto"/>
        <w:left w:val="none" w:sz="0" w:space="0" w:color="auto"/>
        <w:bottom w:val="none" w:sz="0" w:space="0" w:color="auto"/>
        <w:right w:val="none" w:sz="0" w:space="0" w:color="auto"/>
      </w:divBdr>
    </w:div>
    <w:div w:id="865412063">
      <w:bodyDiv w:val="1"/>
      <w:marLeft w:val="0"/>
      <w:marRight w:val="0"/>
      <w:marTop w:val="0"/>
      <w:marBottom w:val="0"/>
      <w:divBdr>
        <w:top w:val="none" w:sz="0" w:space="0" w:color="auto"/>
        <w:left w:val="none" w:sz="0" w:space="0" w:color="auto"/>
        <w:bottom w:val="none" w:sz="0" w:space="0" w:color="auto"/>
        <w:right w:val="none" w:sz="0" w:space="0" w:color="auto"/>
      </w:divBdr>
    </w:div>
    <w:div w:id="874542739">
      <w:bodyDiv w:val="1"/>
      <w:marLeft w:val="0"/>
      <w:marRight w:val="0"/>
      <w:marTop w:val="0"/>
      <w:marBottom w:val="0"/>
      <w:divBdr>
        <w:top w:val="none" w:sz="0" w:space="0" w:color="auto"/>
        <w:left w:val="none" w:sz="0" w:space="0" w:color="auto"/>
        <w:bottom w:val="none" w:sz="0" w:space="0" w:color="auto"/>
        <w:right w:val="none" w:sz="0" w:space="0" w:color="auto"/>
      </w:divBdr>
    </w:div>
    <w:div w:id="876283807">
      <w:bodyDiv w:val="1"/>
      <w:marLeft w:val="0"/>
      <w:marRight w:val="0"/>
      <w:marTop w:val="0"/>
      <w:marBottom w:val="0"/>
      <w:divBdr>
        <w:top w:val="none" w:sz="0" w:space="0" w:color="auto"/>
        <w:left w:val="none" w:sz="0" w:space="0" w:color="auto"/>
        <w:bottom w:val="none" w:sz="0" w:space="0" w:color="auto"/>
        <w:right w:val="none" w:sz="0" w:space="0" w:color="auto"/>
      </w:divBdr>
    </w:div>
    <w:div w:id="882399478">
      <w:bodyDiv w:val="1"/>
      <w:marLeft w:val="0"/>
      <w:marRight w:val="0"/>
      <w:marTop w:val="0"/>
      <w:marBottom w:val="0"/>
      <w:divBdr>
        <w:top w:val="none" w:sz="0" w:space="0" w:color="auto"/>
        <w:left w:val="none" w:sz="0" w:space="0" w:color="auto"/>
        <w:bottom w:val="none" w:sz="0" w:space="0" w:color="auto"/>
        <w:right w:val="none" w:sz="0" w:space="0" w:color="auto"/>
      </w:divBdr>
    </w:div>
    <w:div w:id="882909198">
      <w:bodyDiv w:val="1"/>
      <w:marLeft w:val="0"/>
      <w:marRight w:val="0"/>
      <w:marTop w:val="0"/>
      <w:marBottom w:val="0"/>
      <w:divBdr>
        <w:top w:val="none" w:sz="0" w:space="0" w:color="auto"/>
        <w:left w:val="none" w:sz="0" w:space="0" w:color="auto"/>
        <w:bottom w:val="none" w:sz="0" w:space="0" w:color="auto"/>
        <w:right w:val="none" w:sz="0" w:space="0" w:color="auto"/>
      </w:divBdr>
    </w:div>
    <w:div w:id="886573755">
      <w:bodyDiv w:val="1"/>
      <w:marLeft w:val="0"/>
      <w:marRight w:val="0"/>
      <w:marTop w:val="0"/>
      <w:marBottom w:val="0"/>
      <w:divBdr>
        <w:top w:val="none" w:sz="0" w:space="0" w:color="auto"/>
        <w:left w:val="none" w:sz="0" w:space="0" w:color="auto"/>
        <w:bottom w:val="none" w:sz="0" w:space="0" w:color="auto"/>
        <w:right w:val="none" w:sz="0" w:space="0" w:color="auto"/>
      </w:divBdr>
    </w:div>
    <w:div w:id="894393252">
      <w:bodyDiv w:val="1"/>
      <w:marLeft w:val="0"/>
      <w:marRight w:val="0"/>
      <w:marTop w:val="0"/>
      <w:marBottom w:val="0"/>
      <w:divBdr>
        <w:top w:val="none" w:sz="0" w:space="0" w:color="auto"/>
        <w:left w:val="none" w:sz="0" w:space="0" w:color="auto"/>
        <w:bottom w:val="none" w:sz="0" w:space="0" w:color="auto"/>
        <w:right w:val="none" w:sz="0" w:space="0" w:color="auto"/>
      </w:divBdr>
    </w:div>
    <w:div w:id="901913063">
      <w:bodyDiv w:val="1"/>
      <w:marLeft w:val="0"/>
      <w:marRight w:val="0"/>
      <w:marTop w:val="0"/>
      <w:marBottom w:val="0"/>
      <w:divBdr>
        <w:top w:val="none" w:sz="0" w:space="0" w:color="auto"/>
        <w:left w:val="none" w:sz="0" w:space="0" w:color="auto"/>
        <w:bottom w:val="none" w:sz="0" w:space="0" w:color="auto"/>
        <w:right w:val="none" w:sz="0" w:space="0" w:color="auto"/>
      </w:divBdr>
    </w:div>
    <w:div w:id="902252271">
      <w:bodyDiv w:val="1"/>
      <w:marLeft w:val="0"/>
      <w:marRight w:val="0"/>
      <w:marTop w:val="0"/>
      <w:marBottom w:val="0"/>
      <w:divBdr>
        <w:top w:val="none" w:sz="0" w:space="0" w:color="auto"/>
        <w:left w:val="none" w:sz="0" w:space="0" w:color="auto"/>
        <w:bottom w:val="none" w:sz="0" w:space="0" w:color="auto"/>
        <w:right w:val="none" w:sz="0" w:space="0" w:color="auto"/>
      </w:divBdr>
    </w:div>
    <w:div w:id="914051433">
      <w:bodyDiv w:val="1"/>
      <w:marLeft w:val="0"/>
      <w:marRight w:val="0"/>
      <w:marTop w:val="0"/>
      <w:marBottom w:val="0"/>
      <w:divBdr>
        <w:top w:val="none" w:sz="0" w:space="0" w:color="auto"/>
        <w:left w:val="none" w:sz="0" w:space="0" w:color="auto"/>
        <w:bottom w:val="none" w:sz="0" w:space="0" w:color="auto"/>
        <w:right w:val="none" w:sz="0" w:space="0" w:color="auto"/>
      </w:divBdr>
    </w:div>
    <w:div w:id="915019131">
      <w:bodyDiv w:val="1"/>
      <w:marLeft w:val="0"/>
      <w:marRight w:val="0"/>
      <w:marTop w:val="0"/>
      <w:marBottom w:val="0"/>
      <w:divBdr>
        <w:top w:val="none" w:sz="0" w:space="0" w:color="auto"/>
        <w:left w:val="none" w:sz="0" w:space="0" w:color="auto"/>
        <w:bottom w:val="none" w:sz="0" w:space="0" w:color="auto"/>
        <w:right w:val="none" w:sz="0" w:space="0" w:color="auto"/>
      </w:divBdr>
    </w:div>
    <w:div w:id="916405293">
      <w:bodyDiv w:val="1"/>
      <w:marLeft w:val="0"/>
      <w:marRight w:val="0"/>
      <w:marTop w:val="0"/>
      <w:marBottom w:val="0"/>
      <w:divBdr>
        <w:top w:val="none" w:sz="0" w:space="0" w:color="auto"/>
        <w:left w:val="none" w:sz="0" w:space="0" w:color="auto"/>
        <w:bottom w:val="none" w:sz="0" w:space="0" w:color="auto"/>
        <w:right w:val="none" w:sz="0" w:space="0" w:color="auto"/>
      </w:divBdr>
    </w:div>
    <w:div w:id="917637923">
      <w:bodyDiv w:val="1"/>
      <w:marLeft w:val="0"/>
      <w:marRight w:val="0"/>
      <w:marTop w:val="0"/>
      <w:marBottom w:val="0"/>
      <w:divBdr>
        <w:top w:val="none" w:sz="0" w:space="0" w:color="auto"/>
        <w:left w:val="none" w:sz="0" w:space="0" w:color="auto"/>
        <w:bottom w:val="none" w:sz="0" w:space="0" w:color="auto"/>
        <w:right w:val="none" w:sz="0" w:space="0" w:color="auto"/>
      </w:divBdr>
    </w:div>
    <w:div w:id="919289964">
      <w:bodyDiv w:val="1"/>
      <w:marLeft w:val="0"/>
      <w:marRight w:val="0"/>
      <w:marTop w:val="0"/>
      <w:marBottom w:val="0"/>
      <w:divBdr>
        <w:top w:val="none" w:sz="0" w:space="0" w:color="auto"/>
        <w:left w:val="none" w:sz="0" w:space="0" w:color="auto"/>
        <w:bottom w:val="none" w:sz="0" w:space="0" w:color="auto"/>
        <w:right w:val="none" w:sz="0" w:space="0" w:color="auto"/>
      </w:divBdr>
    </w:div>
    <w:div w:id="925649756">
      <w:bodyDiv w:val="1"/>
      <w:marLeft w:val="0"/>
      <w:marRight w:val="0"/>
      <w:marTop w:val="0"/>
      <w:marBottom w:val="0"/>
      <w:divBdr>
        <w:top w:val="none" w:sz="0" w:space="0" w:color="auto"/>
        <w:left w:val="none" w:sz="0" w:space="0" w:color="auto"/>
        <w:bottom w:val="none" w:sz="0" w:space="0" w:color="auto"/>
        <w:right w:val="none" w:sz="0" w:space="0" w:color="auto"/>
      </w:divBdr>
    </w:div>
    <w:div w:id="929000865">
      <w:bodyDiv w:val="1"/>
      <w:marLeft w:val="0"/>
      <w:marRight w:val="0"/>
      <w:marTop w:val="0"/>
      <w:marBottom w:val="0"/>
      <w:divBdr>
        <w:top w:val="none" w:sz="0" w:space="0" w:color="auto"/>
        <w:left w:val="none" w:sz="0" w:space="0" w:color="auto"/>
        <w:bottom w:val="none" w:sz="0" w:space="0" w:color="auto"/>
        <w:right w:val="none" w:sz="0" w:space="0" w:color="auto"/>
      </w:divBdr>
    </w:div>
    <w:div w:id="931663328">
      <w:bodyDiv w:val="1"/>
      <w:marLeft w:val="0"/>
      <w:marRight w:val="0"/>
      <w:marTop w:val="0"/>
      <w:marBottom w:val="0"/>
      <w:divBdr>
        <w:top w:val="none" w:sz="0" w:space="0" w:color="auto"/>
        <w:left w:val="none" w:sz="0" w:space="0" w:color="auto"/>
        <w:bottom w:val="none" w:sz="0" w:space="0" w:color="auto"/>
        <w:right w:val="none" w:sz="0" w:space="0" w:color="auto"/>
      </w:divBdr>
    </w:div>
    <w:div w:id="935986012">
      <w:bodyDiv w:val="1"/>
      <w:marLeft w:val="0"/>
      <w:marRight w:val="0"/>
      <w:marTop w:val="0"/>
      <w:marBottom w:val="0"/>
      <w:divBdr>
        <w:top w:val="none" w:sz="0" w:space="0" w:color="auto"/>
        <w:left w:val="none" w:sz="0" w:space="0" w:color="auto"/>
        <w:bottom w:val="none" w:sz="0" w:space="0" w:color="auto"/>
        <w:right w:val="none" w:sz="0" w:space="0" w:color="auto"/>
      </w:divBdr>
    </w:div>
    <w:div w:id="936451579">
      <w:bodyDiv w:val="1"/>
      <w:marLeft w:val="0"/>
      <w:marRight w:val="0"/>
      <w:marTop w:val="0"/>
      <w:marBottom w:val="0"/>
      <w:divBdr>
        <w:top w:val="none" w:sz="0" w:space="0" w:color="auto"/>
        <w:left w:val="none" w:sz="0" w:space="0" w:color="auto"/>
        <w:bottom w:val="none" w:sz="0" w:space="0" w:color="auto"/>
        <w:right w:val="none" w:sz="0" w:space="0" w:color="auto"/>
      </w:divBdr>
    </w:div>
    <w:div w:id="937063391">
      <w:bodyDiv w:val="1"/>
      <w:marLeft w:val="0"/>
      <w:marRight w:val="0"/>
      <w:marTop w:val="0"/>
      <w:marBottom w:val="0"/>
      <w:divBdr>
        <w:top w:val="none" w:sz="0" w:space="0" w:color="auto"/>
        <w:left w:val="none" w:sz="0" w:space="0" w:color="auto"/>
        <w:bottom w:val="none" w:sz="0" w:space="0" w:color="auto"/>
        <w:right w:val="none" w:sz="0" w:space="0" w:color="auto"/>
      </w:divBdr>
    </w:div>
    <w:div w:id="942032513">
      <w:bodyDiv w:val="1"/>
      <w:marLeft w:val="0"/>
      <w:marRight w:val="0"/>
      <w:marTop w:val="0"/>
      <w:marBottom w:val="0"/>
      <w:divBdr>
        <w:top w:val="none" w:sz="0" w:space="0" w:color="auto"/>
        <w:left w:val="none" w:sz="0" w:space="0" w:color="auto"/>
        <w:bottom w:val="none" w:sz="0" w:space="0" w:color="auto"/>
        <w:right w:val="none" w:sz="0" w:space="0" w:color="auto"/>
      </w:divBdr>
    </w:div>
    <w:div w:id="944846551">
      <w:bodyDiv w:val="1"/>
      <w:marLeft w:val="0"/>
      <w:marRight w:val="0"/>
      <w:marTop w:val="0"/>
      <w:marBottom w:val="0"/>
      <w:divBdr>
        <w:top w:val="none" w:sz="0" w:space="0" w:color="auto"/>
        <w:left w:val="none" w:sz="0" w:space="0" w:color="auto"/>
        <w:bottom w:val="none" w:sz="0" w:space="0" w:color="auto"/>
        <w:right w:val="none" w:sz="0" w:space="0" w:color="auto"/>
      </w:divBdr>
    </w:div>
    <w:div w:id="950475593">
      <w:bodyDiv w:val="1"/>
      <w:marLeft w:val="0"/>
      <w:marRight w:val="0"/>
      <w:marTop w:val="0"/>
      <w:marBottom w:val="0"/>
      <w:divBdr>
        <w:top w:val="none" w:sz="0" w:space="0" w:color="auto"/>
        <w:left w:val="none" w:sz="0" w:space="0" w:color="auto"/>
        <w:bottom w:val="none" w:sz="0" w:space="0" w:color="auto"/>
        <w:right w:val="none" w:sz="0" w:space="0" w:color="auto"/>
      </w:divBdr>
    </w:div>
    <w:div w:id="950478646">
      <w:bodyDiv w:val="1"/>
      <w:marLeft w:val="0"/>
      <w:marRight w:val="0"/>
      <w:marTop w:val="0"/>
      <w:marBottom w:val="0"/>
      <w:divBdr>
        <w:top w:val="none" w:sz="0" w:space="0" w:color="auto"/>
        <w:left w:val="none" w:sz="0" w:space="0" w:color="auto"/>
        <w:bottom w:val="none" w:sz="0" w:space="0" w:color="auto"/>
        <w:right w:val="none" w:sz="0" w:space="0" w:color="auto"/>
      </w:divBdr>
    </w:div>
    <w:div w:id="953170710">
      <w:bodyDiv w:val="1"/>
      <w:marLeft w:val="0"/>
      <w:marRight w:val="0"/>
      <w:marTop w:val="0"/>
      <w:marBottom w:val="0"/>
      <w:divBdr>
        <w:top w:val="none" w:sz="0" w:space="0" w:color="auto"/>
        <w:left w:val="none" w:sz="0" w:space="0" w:color="auto"/>
        <w:bottom w:val="none" w:sz="0" w:space="0" w:color="auto"/>
        <w:right w:val="none" w:sz="0" w:space="0" w:color="auto"/>
      </w:divBdr>
    </w:div>
    <w:div w:id="959145893">
      <w:bodyDiv w:val="1"/>
      <w:marLeft w:val="0"/>
      <w:marRight w:val="0"/>
      <w:marTop w:val="0"/>
      <w:marBottom w:val="0"/>
      <w:divBdr>
        <w:top w:val="none" w:sz="0" w:space="0" w:color="auto"/>
        <w:left w:val="none" w:sz="0" w:space="0" w:color="auto"/>
        <w:bottom w:val="none" w:sz="0" w:space="0" w:color="auto"/>
        <w:right w:val="none" w:sz="0" w:space="0" w:color="auto"/>
      </w:divBdr>
    </w:div>
    <w:div w:id="959146483">
      <w:bodyDiv w:val="1"/>
      <w:marLeft w:val="0"/>
      <w:marRight w:val="0"/>
      <w:marTop w:val="0"/>
      <w:marBottom w:val="0"/>
      <w:divBdr>
        <w:top w:val="none" w:sz="0" w:space="0" w:color="auto"/>
        <w:left w:val="none" w:sz="0" w:space="0" w:color="auto"/>
        <w:bottom w:val="none" w:sz="0" w:space="0" w:color="auto"/>
        <w:right w:val="none" w:sz="0" w:space="0" w:color="auto"/>
      </w:divBdr>
    </w:div>
    <w:div w:id="965310429">
      <w:bodyDiv w:val="1"/>
      <w:marLeft w:val="0"/>
      <w:marRight w:val="0"/>
      <w:marTop w:val="0"/>
      <w:marBottom w:val="0"/>
      <w:divBdr>
        <w:top w:val="none" w:sz="0" w:space="0" w:color="auto"/>
        <w:left w:val="none" w:sz="0" w:space="0" w:color="auto"/>
        <w:bottom w:val="none" w:sz="0" w:space="0" w:color="auto"/>
        <w:right w:val="none" w:sz="0" w:space="0" w:color="auto"/>
      </w:divBdr>
    </w:div>
    <w:div w:id="971592240">
      <w:bodyDiv w:val="1"/>
      <w:marLeft w:val="0"/>
      <w:marRight w:val="0"/>
      <w:marTop w:val="0"/>
      <w:marBottom w:val="0"/>
      <w:divBdr>
        <w:top w:val="none" w:sz="0" w:space="0" w:color="auto"/>
        <w:left w:val="none" w:sz="0" w:space="0" w:color="auto"/>
        <w:bottom w:val="none" w:sz="0" w:space="0" w:color="auto"/>
        <w:right w:val="none" w:sz="0" w:space="0" w:color="auto"/>
      </w:divBdr>
    </w:div>
    <w:div w:id="978607461">
      <w:bodyDiv w:val="1"/>
      <w:marLeft w:val="0"/>
      <w:marRight w:val="0"/>
      <w:marTop w:val="0"/>
      <w:marBottom w:val="0"/>
      <w:divBdr>
        <w:top w:val="none" w:sz="0" w:space="0" w:color="auto"/>
        <w:left w:val="none" w:sz="0" w:space="0" w:color="auto"/>
        <w:bottom w:val="none" w:sz="0" w:space="0" w:color="auto"/>
        <w:right w:val="none" w:sz="0" w:space="0" w:color="auto"/>
      </w:divBdr>
    </w:div>
    <w:div w:id="979337175">
      <w:bodyDiv w:val="1"/>
      <w:marLeft w:val="0"/>
      <w:marRight w:val="0"/>
      <w:marTop w:val="0"/>
      <w:marBottom w:val="0"/>
      <w:divBdr>
        <w:top w:val="none" w:sz="0" w:space="0" w:color="auto"/>
        <w:left w:val="none" w:sz="0" w:space="0" w:color="auto"/>
        <w:bottom w:val="none" w:sz="0" w:space="0" w:color="auto"/>
        <w:right w:val="none" w:sz="0" w:space="0" w:color="auto"/>
      </w:divBdr>
    </w:div>
    <w:div w:id="981617269">
      <w:bodyDiv w:val="1"/>
      <w:marLeft w:val="0"/>
      <w:marRight w:val="0"/>
      <w:marTop w:val="0"/>
      <w:marBottom w:val="0"/>
      <w:divBdr>
        <w:top w:val="none" w:sz="0" w:space="0" w:color="auto"/>
        <w:left w:val="none" w:sz="0" w:space="0" w:color="auto"/>
        <w:bottom w:val="none" w:sz="0" w:space="0" w:color="auto"/>
        <w:right w:val="none" w:sz="0" w:space="0" w:color="auto"/>
      </w:divBdr>
    </w:div>
    <w:div w:id="982737588">
      <w:bodyDiv w:val="1"/>
      <w:marLeft w:val="0"/>
      <w:marRight w:val="0"/>
      <w:marTop w:val="0"/>
      <w:marBottom w:val="0"/>
      <w:divBdr>
        <w:top w:val="none" w:sz="0" w:space="0" w:color="auto"/>
        <w:left w:val="none" w:sz="0" w:space="0" w:color="auto"/>
        <w:bottom w:val="none" w:sz="0" w:space="0" w:color="auto"/>
        <w:right w:val="none" w:sz="0" w:space="0" w:color="auto"/>
      </w:divBdr>
    </w:div>
    <w:div w:id="983700298">
      <w:bodyDiv w:val="1"/>
      <w:marLeft w:val="0"/>
      <w:marRight w:val="0"/>
      <w:marTop w:val="0"/>
      <w:marBottom w:val="0"/>
      <w:divBdr>
        <w:top w:val="none" w:sz="0" w:space="0" w:color="auto"/>
        <w:left w:val="none" w:sz="0" w:space="0" w:color="auto"/>
        <w:bottom w:val="none" w:sz="0" w:space="0" w:color="auto"/>
        <w:right w:val="none" w:sz="0" w:space="0" w:color="auto"/>
      </w:divBdr>
    </w:div>
    <w:div w:id="985431010">
      <w:bodyDiv w:val="1"/>
      <w:marLeft w:val="0"/>
      <w:marRight w:val="0"/>
      <w:marTop w:val="0"/>
      <w:marBottom w:val="0"/>
      <w:divBdr>
        <w:top w:val="none" w:sz="0" w:space="0" w:color="auto"/>
        <w:left w:val="none" w:sz="0" w:space="0" w:color="auto"/>
        <w:bottom w:val="none" w:sz="0" w:space="0" w:color="auto"/>
        <w:right w:val="none" w:sz="0" w:space="0" w:color="auto"/>
      </w:divBdr>
    </w:div>
    <w:div w:id="989217163">
      <w:bodyDiv w:val="1"/>
      <w:marLeft w:val="0"/>
      <w:marRight w:val="0"/>
      <w:marTop w:val="0"/>
      <w:marBottom w:val="0"/>
      <w:divBdr>
        <w:top w:val="none" w:sz="0" w:space="0" w:color="auto"/>
        <w:left w:val="none" w:sz="0" w:space="0" w:color="auto"/>
        <w:bottom w:val="none" w:sz="0" w:space="0" w:color="auto"/>
        <w:right w:val="none" w:sz="0" w:space="0" w:color="auto"/>
      </w:divBdr>
    </w:div>
    <w:div w:id="989944784">
      <w:bodyDiv w:val="1"/>
      <w:marLeft w:val="0"/>
      <w:marRight w:val="0"/>
      <w:marTop w:val="0"/>
      <w:marBottom w:val="0"/>
      <w:divBdr>
        <w:top w:val="none" w:sz="0" w:space="0" w:color="auto"/>
        <w:left w:val="none" w:sz="0" w:space="0" w:color="auto"/>
        <w:bottom w:val="none" w:sz="0" w:space="0" w:color="auto"/>
        <w:right w:val="none" w:sz="0" w:space="0" w:color="auto"/>
      </w:divBdr>
    </w:div>
    <w:div w:id="992610160">
      <w:bodyDiv w:val="1"/>
      <w:marLeft w:val="0"/>
      <w:marRight w:val="0"/>
      <w:marTop w:val="0"/>
      <w:marBottom w:val="0"/>
      <w:divBdr>
        <w:top w:val="none" w:sz="0" w:space="0" w:color="auto"/>
        <w:left w:val="none" w:sz="0" w:space="0" w:color="auto"/>
        <w:bottom w:val="none" w:sz="0" w:space="0" w:color="auto"/>
        <w:right w:val="none" w:sz="0" w:space="0" w:color="auto"/>
      </w:divBdr>
    </w:div>
    <w:div w:id="993489441">
      <w:bodyDiv w:val="1"/>
      <w:marLeft w:val="0"/>
      <w:marRight w:val="0"/>
      <w:marTop w:val="0"/>
      <w:marBottom w:val="0"/>
      <w:divBdr>
        <w:top w:val="none" w:sz="0" w:space="0" w:color="auto"/>
        <w:left w:val="none" w:sz="0" w:space="0" w:color="auto"/>
        <w:bottom w:val="none" w:sz="0" w:space="0" w:color="auto"/>
        <w:right w:val="none" w:sz="0" w:space="0" w:color="auto"/>
      </w:divBdr>
    </w:div>
    <w:div w:id="995493309">
      <w:bodyDiv w:val="1"/>
      <w:marLeft w:val="0"/>
      <w:marRight w:val="0"/>
      <w:marTop w:val="0"/>
      <w:marBottom w:val="0"/>
      <w:divBdr>
        <w:top w:val="none" w:sz="0" w:space="0" w:color="auto"/>
        <w:left w:val="none" w:sz="0" w:space="0" w:color="auto"/>
        <w:bottom w:val="none" w:sz="0" w:space="0" w:color="auto"/>
        <w:right w:val="none" w:sz="0" w:space="0" w:color="auto"/>
      </w:divBdr>
    </w:div>
    <w:div w:id="1008021202">
      <w:bodyDiv w:val="1"/>
      <w:marLeft w:val="0"/>
      <w:marRight w:val="0"/>
      <w:marTop w:val="0"/>
      <w:marBottom w:val="0"/>
      <w:divBdr>
        <w:top w:val="none" w:sz="0" w:space="0" w:color="auto"/>
        <w:left w:val="none" w:sz="0" w:space="0" w:color="auto"/>
        <w:bottom w:val="none" w:sz="0" w:space="0" w:color="auto"/>
        <w:right w:val="none" w:sz="0" w:space="0" w:color="auto"/>
      </w:divBdr>
    </w:div>
    <w:div w:id="1012338134">
      <w:bodyDiv w:val="1"/>
      <w:marLeft w:val="0"/>
      <w:marRight w:val="0"/>
      <w:marTop w:val="0"/>
      <w:marBottom w:val="0"/>
      <w:divBdr>
        <w:top w:val="none" w:sz="0" w:space="0" w:color="auto"/>
        <w:left w:val="none" w:sz="0" w:space="0" w:color="auto"/>
        <w:bottom w:val="none" w:sz="0" w:space="0" w:color="auto"/>
        <w:right w:val="none" w:sz="0" w:space="0" w:color="auto"/>
      </w:divBdr>
    </w:div>
    <w:div w:id="1018968545">
      <w:bodyDiv w:val="1"/>
      <w:marLeft w:val="0"/>
      <w:marRight w:val="0"/>
      <w:marTop w:val="0"/>
      <w:marBottom w:val="0"/>
      <w:divBdr>
        <w:top w:val="none" w:sz="0" w:space="0" w:color="auto"/>
        <w:left w:val="none" w:sz="0" w:space="0" w:color="auto"/>
        <w:bottom w:val="none" w:sz="0" w:space="0" w:color="auto"/>
        <w:right w:val="none" w:sz="0" w:space="0" w:color="auto"/>
      </w:divBdr>
    </w:div>
    <w:div w:id="1024672724">
      <w:bodyDiv w:val="1"/>
      <w:marLeft w:val="0"/>
      <w:marRight w:val="0"/>
      <w:marTop w:val="0"/>
      <w:marBottom w:val="0"/>
      <w:divBdr>
        <w:top w:val="none" w:sz="0" w:space="0" w:color="auto"/>
        <w:left w:val="none" w:sz="0" w:space="0" w:color="auto"/>
        <w:bottom w:val="none" w:sz="0" w:space="0" w:color="auto"/>
        <w:right w:val="none" w:sz="0" w:space="0" w:color="auto"/>
      </w:divBdr>
    </w:div>
    <w:div w:id="1030297141">
      <w:bodyDiv w:val="1"/>
      <w:marLeft w:val="0"/>
      <w:marRight w:val="0"/>
      <w:marTop w:val="0"/>
      <w:marBottom w:val="0"/>
      <w:divBdr>
        <w:top w:val="none" w:sz="0" w:space="0" w:color="auto"/>
        <w:left w:val="none" w:sz="0" w:space="0" w:color="auto"/>
        <w:bottom w:val="none" w:sz="0" w:space="0" w:color="auto"/>
        <w:right w:val="none" w:sz="0" w:space="0" w:color="auto"/>
      </w:divBdr>
    </w:div>
    <w:div w:id="1036346771">
      <w:bodyDiv w:val="1"/>
      <w:marLeft w:val="0"/>
      <w:marRight w:val="0"/>
      <w:marTop w:val="0"/>
      <w:marBottom w:val="0"/>
      <w:divBdr>
        <w:top w:val="none" w:sz="0" w:space="0" w:color="auto"/>
        <w:left w:val="none" w:sz="0" w:space="0" w:color="auto"/>
        <w:bottom w:val="none" w:sz="0" w:space="0" w:color="auto"/>
        <w:right w:val="none" w:sz="0" w:space="0" w:color="auto"/>
      </w:divBdr>
    </w:div>
    <w:div w:id="1039167056">
      <w:bodyDiv w:val="1"/>
      <w:marLeft w:val="0"/>
      <w:marRight w:val="0"/>
      <w:marTop w:val="0"/>
      <w:marBottom w:val="0"/>
      <w:divBdr>
        <w:top w:val="none" w:sz="0" w:space="0" w:color="auto"/>
        <w:left w:val="none" w:sz="0" w:space="0" w:color="auto"/>
        <w:bottom w:val="none" w:sz="0" w:space="0" w:color="auto"/>
        <w:right w:val="none" w:sz="0" w:space="0" w:color="auto"/>
      </w:divBdr>
    </w:div>
    <w:div w:id="1039744678">
      <w:bodyDiv w:val="1"/>
      <w:marLeft w:val="0"/>
      <w:marRight w:val="0"/>
      <w:marTop w:val="0"/>
      <w:marBottom w:val="0"/>
      <w:divBdr>
        <w:top w:val="none" w:sz="0" w:space="0" w:color="auto"/>
        <w:left w:val="none" w:sz="0" w:space="0" w:color="auto"/>
        <w:bottom w:val="none" w:sz="0" w:space="0" w:color="auto"/>
        <w:right w:val="none" w:sz="0" w:space="0" w:color="auto"/>
      </w:divBdr>
    </w:div>
    <w:div w:id="1041367461">
      <w:bodyDiv w:val="1"/>
      <w:marLeft w:val="0"/>
      <w:marRight w:val="0"/>
      <w:marTop w:val="0"/>
      <w:marBottom w:val="0"/>
      <w:divBdr>
        <w:top w:val="none" w:sz="0" w:space="0" w:color="auto"/>
        <w:left w:val="none" w:sz="0" w:space="0" w:color="auto"/>
        <w:bottom w:val="none" w:sz="0" w:space="0" w:color="auto"/>
        <w:right w:val="none" w:sz="0" w:space="0" w:color="auto"/>
      </w:divBdr>
    </w:div>
    <w:div w:id="1041783445">
      <w:bodyDiv w:val="1"/>
      <w:marLeft w:val="0"/>
      <w:marRight w:val="0"/>
      <w:marTop w:val="0"/>
      <w:marBottom w:val="0"/>
      <w:divBdr>
        <w:top w:val="none" w:sz="0" w:space="0" w:color="auto"/>
        <w:left w:val="none" w:sz="0" w:space="0" w:color="auto"/>
        <w:bottom w:val="none" w:sz="0" w:space="0" w:color="auto"/>
        <w:right w:val="none" w:sz="0" w:space="0" w:color="auto"/>
      </w:divBdr>
    </w:div>
    <w:div w:id="1045955122">
      <w:bodyDiv w:val="1"/>
      <w:marLeft w:val="0"/>
      <w:marRight w:val="0"/>
      <w:marTop w:val="0"/>
      <w:marBottom w:val="0"/>
      <w:divBdr>
        <w:top w:val="none" w:sz="0" w:space="0" w:color="auto"/>
        <w:left w:val="none" w:sz="0" w:space="0" w:color="auto"/>
        <w:bottom w:val="none" w:sz="0" w:space="0" w:color="auto"/>
        <w:right w:val="none" w:sz="0" w:space="0" w:color="auto"/>
      </w:divBdr>
    </w:div>
    <w:div w:id="1052385182">
      <w:bodyDiv w:val="1"/>
      <w:marLeft w:val="0"/>
      <w:marRight w:val="0"/>
      <w:marTop w:val="0"/>
      <w:marBottom w:val="0"/>
      <w:divBdr>
        <w:top w:val="none" w:sz="0" w:space="0" w:color="auto"/>
        <w:left w:val="none" w:sz="0" w:space="0" w:color="auto"/>
        <w:bottom w:val="none" w:sz="0" w:space="0" w:color="auto"/>
        <w:right w:val="none" w:sz="0" w:space="0" w:color="auto"/>
      </w:divBdr>
    </w:div>
    <w:div w:id="1067386583">
      <w:bodyDiv w:val="1"/>
      <w:marLeft w:val="0"/>
      <w:marRight w:val="0"/>
      <w:marTop w:val="0"/>
      <w:marBottom w:val="0"/>
      <w:divBdr>
        <w:top w:val="none" w:sz="0" w:space="0" w:color="auto"/>
        <w:left w:val="none" w:sz="0" w:space="0" w:color="auto"/>
        <w:bottom w:val="none" w:sz="0" w:space="0" w:color="auto"/>
        <w:right w:val="none" w:sz="0" w:space="0" w:color="auto"/>
      </w:divBdr>
    </w:div>
    <w:div w:id="1071318415">
      <w:bodyDiv w:val="1"/>
      <w:marLeft w:val="0"/>
      <w:marRight w:val="0"/>
      <w:marTop w:val="0"/>
      <w:marBottom w:val="0"/>
      <w:divBdr>
        <w:top w:val="none" w:sz="0" w:space="0" w:color="auto"/>
        <w:left w:val="none" w:sz="0" w:space="0" w:color="auto"/>
        <w:bottom w:val="none" w:sz="0" w:space="0" w:color="auto"/>
        <w:right w:val="none" w:sz="0" w:space="0" w:color="auto"/>
      </w:divBdr>
    </w:div>
    <w:div w:id="1079251989">
      <w:bodyDiv w:val="1"/>
      <w:marLeft w:val="0"/>
      <w:marRight w:val="0"/>
      <w:marTop w:val="0"/>
      <w:marBottom w:val="0"/>
      <w:divBdr>
        <w:top w:val="none" w:sz="0" w:space="0" w:color="auto"/>
        <w:left w:val="none" w:sz="0" w:space="0" w:color="auto"/>
        <w:bottom w:val="none" w:sz="0" w:space="0" w:color="auto"/>
        <w:right w:val="none" w:sz="0" w:space="0" w:color="auto"/>
      </w:divBdr>
    </w:div>
    <w:div w:id="1085417250">
      <w:bodyDiv w:val="1"/>
      <w:marLeft w:val="0"/>
      <w:marRight w:val="0"/>
      <w:marTop w:val="0"/>
      <w:marBottom w:val="0"/>
      <w:divBdr>
        <w:top w:val="none" w:sz="0" w:space="0" w:color="auto"/>
        <w:left w:val="none" w:sz="0" w:space="0" w:color="auto"/>
        <w:bottom w:val="none" w:sz="0" w:space="0" w:color="auto"/>
        <w:right w:val="none" w:sz="0" w:space="0" w:color="auto"/>
      </w:divBdr>
    </w:div>
    <w:div w:id="1104348985">
      <w:bodyDiv w:val="1"/>
      <w:marLeft w:val="0"/>
      <w:marRight w:val="0"/>
      <w:marTop w:val="0"/>
      <w:marBottom w:val="0"/>
      <w:divBdr>
        <w:top w:val="none" w:sz="0" w:space="0" w:color="auto"/>
        <w:left w:val="none" w:sz="0" w:space="0" w:color="auto"/>
        <w:bottom w:val="none" w:sz="0" w:space="0" w:color="auto"/>
        <w:right w:val="none" w:sz="0" w:space="0" w:color="auto"/>
      </w:divBdr>
    </w:div>
    <w:div w:id="1130173978">
      <w:bodyDiv w:val="1"/>
      <w:marLeft w:val="0"/>
      <w:marRight w:val="0"/>
      <w:marTop w:val="0"/>
      <w:marBottom w:val="0"/>
      <w:divBdr>
        <w:top w:val="none" w:sz="0" w:space="0" w:color="auto"/>
        <w:left w:val="none" w:sz="0" w:space="0" w:color="auto"/>
        <w:bottom w:val="none" w:sz="0" w:space="0" w:color="auto"/>
        <w:right w:val="none" w:sz="0" w:space="0" w:color="auto"/>
      </w:divBdr>
    </w:div>
    <w:div w:id="1134058947">
      <w:bodyDiv w:val="1"/>
      <w:marLeft w:val="0"/>
      <w:marRight w:val="0"/>
      <w:marTop w:val="0"/>
      <w:marBottom w:val="0"/>
      <w:divBdr>
        <w:top w:val="none" w:sz="0" w:space="0" w:color="auto"/>
        <w:left w:val="none" w:sz="0" w:space="0" w:color="auto"/>
        <w:bottom w:val="none" w:sz="0" w:space="0" w:color="auto"/>
        <w:right w:val="none" w:sz="0" w:space="0" w:color="auto"/>
      </w:divBdr>
    </w:div>
    <w:div w:id="1135491546">
      <w:bodyDiv w:val="1"/>
      <w:marLeft w:val="0"/>
      <w:marRight w:val="0"/>
      <w:marTop w:val="0"/>
      <w:marBottom w:val="0"/>
      <w:divBdr>
        <w:top w:val="none" w:sz="0" w:space="0" w:color="auto"/>
        <w:left w:val="none" w:sz="0" w:space="0" w:color="auto"/>
        <w:bottom w:val="none" w:sz="0" w:space="0" w:color="auto"/>
        <w:right w:val="none" w:sz="0" w:space="0" w:color="auto"/>
      </w:divBdr>
    </w:div>
    <w:div w:id="1137920096">
      <w:bodyDiv w:val="1"/>
      <w:marLeft w:val="0"/>
      <w:marRight w:val="0"/>
      <w:marTop w:val="0"/>
      <w:marBottom w:val="0"/>
      <w:divBdr>
        <w:top w:val="none" w:sz="0" w:space="0" w:color="auto"/>
        <w:left w:val="none" w:sz="0" w:space="0" w:color="auto"/>
        <w:bottom w:val="none" w:sz="0" w:space="0" w:color="auto"/>
        <w:right w:val="none" w:sz="0" w:space="0" w:color="auto"/>
      </w:divBdr>
    </w:div>
    <w:div w:id="1139106228">
      <w:bodyDiv w:val="1"/>
      <w:marLeft w:val="0"/>
      <w:marRight w:val="0"/>
      <w:marTop w:val="0"/>
      <w:marBottom w:val="0"/>
      <w:divBdr>
        <w:top w:val="none" w:sz="0" w:space="0" w:color="auto"/>
        <w:left w:val="none" w:sz="0" w:space="0" w:color="auto"/>
        <w:bottom w:val="none" w:sz="0" w:space="0" w:color="auto"/>
        <w:right w:val="none" w:sz="0" w:space="0" w:color="auto"/>
      </w:divBdr>
    </w:div>
    <w:div w:id="1141538616">
      <w:bodyDiv w:val="1"/>
      <w:marLeft w:val="0"/>
      <w:marRight w:val="0"/>
      <w:marTop w:val="0"/>
      <w:marBottom w:val="0"/>
      <w:divBdr>
        <w:top w:val="none" w:sz="0" w:space="0" w:color="auto"/>
        <w:left w:val="none" w:sz="0" w:space="0" w:color="auto"/>
        <w:bottom w:val="none" w:sz="0" w:space="0" w:color="auto"/>
        <w:right w:val="none" w:sz="0" w:space="0" w:color="auto"/>
      </w:divBdr>
    </w:div>
    <w:div w:id="1142575703">
      <w:bodyDiv w:val="1"/>
      <w:marLeft w:val="0"/>
      <w:marRight w:val="0"/>
      <w:marTop w:val="0"/>
      <w:marBottom w:val="0"/>
      <w:divBdr>
        <w:top w:val="none" w:sz="0" w:space="0" w:color="auto"/>
        <w:left w:val="none" w:sz="0" w:space="0" w:color="auto"/>
        <w:bottom w:val="none" w:sz="0" w:space="0" w:color="auto"/>
        <w:right w:val="none" w:sz="0" w:space="0" w:color="auto"/>
      </w:divBdr>
    </w:div>
    <w:div w:id="1150560203">
      <w:bodyDiv w:val="1"/>
      <w:marLeft w:val="0"/>
      <w:marRight w:val="0"/>
      <w:marTop w:val="0"/>
      <w:marBottom w:val="0"/>
      <w:divBdr>
        <w:top w:val="none" w:sz="0" w:space="0" w:color="auto"/>
        <w:left w:val="none" w:sz="0" w:space="0" w:color="auto"/>
        <w:bottom w:val="none" w:sz="0" w:space="0" w:color="auto"/>
        <w:right w:val="none" w:sz="0" w:space="0" w:color="auto"/>
      </w:divBdr>
    </w:div>
    <w:div w:id="1151826340">
      <w:bodyDiv w:val="1"/>
      <w:marLeft w:val="0"/>
      <w:marRight w:val="0"/>
      <w:marTop w:val="0"/>
      <w:marBottom w:val="0"/>
      <w:divBdr>
        <w:top w:val="none" w:sz="0" w:space="0" w:color="auto"/>
        <w:left w:val="none" w:sz="0" w:space="0" w:color="auto"/>
        <w:bottom w:val="none" w:sz="0" w:space="0" w:color="auto"/>
        <w:right w:val="none" w:sz="0" w:space="0" w:color="auto"/>
      </w:divBdr>
    </w:div>
    <w:div w:id="1164512896">
      <w:bodyDiv w:val="1"/>
      <w:marLeft w:val="0"/>
      <w:marRight w:val="0"/>
      <w:marTop w:val="0"/>
      <w:marBottom w:val="0"/>
      <w:divBdr>
        <w:top w:val="none" w:sz="0" w:space="0" w:color="auto"/>
        <w:left w:val="none" w:sz="0" w:space="0" w:color="auto"/>
        <w:bottom w:val="none" w:sz="0" w:space="0" w:color="auto"/>
        <w:right w:val="none" w:sz="0" w:space="0" w:color="auto"/>
      </w:divBdr>
    </w:div>
    <w:div w:id="1164853202">
      <w:bodyDiv w:val="1"/>
      <w:marLeft w:val="0"/>
      <w:marRight w:val="0"/>
      <w:marTop w:val="0"/>
      <w:marBottom w:val="0"/>
      <w:divBdr>
        <w:top w:val="none" w:sz="0" w:space="0" w:color="auto"/>
        <w:left w:val="none" w:sz="0" w:space="0" w:color="auto"/>
        <w:bottom w:val="none" w:sz="0" w:space="0" w:color="auto"/>
        <w:right w:val="none" w:sz="0" w:space="0" w:color="auto"/>
      </w:divBdr>
    </w:div>
    <w:div w:id="1165897887">
      <w:bodyDiv w:val="1"/>
      <w:marLeft w:val="0"/>
      <w:marRight w:val="0"/>
      <w:marTop w:val="0"/>
      <w:marBottom w:val="0"/>
      <w:divBdr>
        <w:top w:val="none" w:sz="0" w:space="0" w:color="auto"/>
        <w:left w:val="none" w:sz="0" w:space="0" w:color="auto"/>
        <w:bottom w:val="none" w:sz="0" w:space="0" w:color="auto"/>
        <w:right w:val="none" w:sz="0" w:space="0" w:color="auto"/>
      </w:divBdr>
    </w:div>
    <w:div w:id="1168254831">
      <w:bodyDiv w:val="1"/>
      <w:marLeft w:val="0"/>
      <w:marRight w:val="0"/>
      <w:marTop w:val="0"/>
      <w:marBottom w:val="0"/>
      <w:divBdr>
        <w:top w:val="none" w:sz="0" w:space="0" w:color="auto"/>
        <w:left w:val="none" w:sz="0" w:space="0" w:color="auto"/>
        <w:bottom w:val="none" w:sz="0" w:space="0" w:color="auto"/>
        <w:right w:val="none" w:sz="0" w:space="0" w:color="auto"/>
      </w:divBdr>
    </w:div>
    <w:div w:id="1179270851">
      <w:bodyDiv w:val="1"/>
      <w:marLeft w:val="0"/>
      <w:marRight w:val="0"/>
      <w:marTop w:val="0"/>
      <w:marBottom w:val="0"/>
      <w:divBdr>
        <w:top w:val="none" w:sz="0" w:space="0" w:color="auto"/>
        <w:left w:val="none" w:sz="0" w:space="0" w:color="auto"/>
        <w:bottom w:val="none" w:sz="0" w:space="0" w:color="auto"/>
        <w:right w:val="none" w:sz="0" w:space="0" w:color="auto"/>
      </w:divBdr>
    </w:div>
    <w:div w:id="1183470868">
      <w:bodyDiv w:val="1"/>
      <w:marLeft w:val="0"/>
      <w:marRight w:val="0"/>
      <w:marTop w:val="0"/>
      <w:marBottom w:val="0"/>
      <w:divBdr>
        <w:top w:val="none" w:sz="0" w:space="0" w:color="auto"/>
        <w:left w:val="none" w:sz="0" w:space="0" w:color="auto"/>
        <w:bottom w:val="none" w:sz="0" w:space="0" w:color="auto"/>
        <w:right w:val="none" w:sz="0" w:space="0" w:color="auto"/>
      </w:divBdr>
    </w:div>
    <w:div w:id="1186793047">
      <w:bodyDiv w:val="1"/>
      <w:marLeft w:val="0"/>
      <w:marRight w:val="0"/>
      <w:marTop w:val="0"/>
      <w:marBottom w:val="0"/>
      <w:divBdr>
        <w:top w:val="none" w:sz="0" w:space="0" w:color="auto"/>
        <w:left w:val="none" w:sz="0" w:space="0" w:color="auto"/>
        <w:bottom w:val="none" w:sz="0" w:space="0" w:color="auto"/>
        <w:right w:val="none" w:sz="0" w:space="0" w:color="auto"/>
      </w:divBdr>
    </w:div>
    <w:div w:id="1188325761">
      <w:bodyDiv w:val="1"/>
      <w:marLeft w:val="0"/>
      <w:marRight w:val="0"/>
      <w:marTop w:val="0"/>
      <w:marBottom w:val="0"/>
      <w:divBdr>
        <w:top w:val="none" w:sz="0" w:space="0" w:color="auto"/>
        <w:left w:val="none" w:sz="0" w:space="0" w:color="auto"/>
        <w:bottom w:val="none" w:sz="0" w:space="0" w:color="auto"/>
        <w:right w:val="none" w:sz="0" w:space="0" w:color="auto"/>
      </w:divBdr>
    </w:div>
    <w:div w:id="1189760717">
      <w:bodyDiv w:val="1"/>
      <w:marLeft w:val="0"/>
      <w:marRight w:val="0"/>
      <w:marTop w:val="0"/>
      <w:marBottom w:val="0"/>
      <w:divBdr>
        <w:top w:val="none" w:sz="0" w:space="0" w:color="auto"/>
        <w:left w:val="none" w:sz="0" w:space="0" w:color="auto"/>
        <w:bottom w:val="none" w:sz="0" w:space="0" w:color="auto"/>
        <w:right w:val="none" w:sz="0" w:space="0" w:color="auto"/>
      </w:divBdr>
    </w:div>
    <w:div w:id="1190073402">
      <w:bodyDiv w:val="1"/>
      <w:marLeft w:val="0"/>
      <w:marRight w:val="0"/>
      <w:marTop w:val="0"/>
      <w:marBottom w:val="0"/>
      <w:divBdr>
        <w:top w:val="none" w:sz="0" w:space="0" w:color="auto"/>
        <w:left w:val="none" w:sz="0" w:space="0" w:color="auto"/>
        <w:bottom w:val="none" w:sz="0" w:space="0" w:color="auto"/>
        <w:right w:val="none" w:sz="0" w:space="0" w:color="auto"/>
      </w:divBdr>
    </w:div>
    <w:div w:id="1196431911">
      <w:bodyDiv w:val="1"/>
      <w:marLeft w:val="0"/>
      <w:marRight w:val="0"/>
      <w:marTop w:val="0"/>
      <w:marBottom w:val="0"/>
      <w:divBdr>
        <w:top w:val="none" w:sz="0" w:space="0" w:color="auto"/>
        <w:left w:val="none" w:sz="0" w:space="0" w:color="auto"/>
        <w:bottom w:val="none" w:sz="0" w:space="0" w:color="auto"/>
        <w:right w:val="none" w:sz="0" w:space="0" w:color="auto"/>
      </w:divBdr>
    </w:div>
    <w:div w:id="1198852537">
      <w:bodyDiv w:val="1"/>
      <w:marLeft w:val="0"/>
      <w:marRight w:val="0"/>
      <w:marTop w:val="0"/>
      <w:marBottom w:val="0"/>
      <w:divBdr>
        <w:top w:val="none" w:sz="0" w:space="0" w:color="auto"/>
        <w:left w:val="none" w:sz="0" w:space="0" w:color="auto"/>
        <w:bottom w:val="none" w:sz="0" w:space="0" w:color="auto"/>
        <w:right w:val="none" w:sz="0" w:space="0" w:color="auto"/>
      </w:divBdr>
    </w:div>
    <w:div w:id="1199930736">
      <w:bodyDiv w:val="1"/>
      <w:marLeft w:val="0"/>
      <w:marRight w:val="0"/>
      <w:marTop w:val="0"/>
      <w:marBottom w:val="0"/>
      <w:divBdr>
        <w:top w:val="none" w:sz="0" w:space="0" w:color="auto"/>
        <w:left w:val="none" w:sz="0" w:space="0" w:color="auto"/>
        <w:bottom w:val="none" w:sz="0" w:space="0" w:color="auto"/>
        <w:right w:val="none" w:sz="0" w:space="0" w:color="auto"/>
      </w:divBdr>
    </w:div>
    <w:div w:id="1201897199">
      <w:bodyDiv w:val="1"/>
      <w:marLeft w:val="0"/>
      <w:marRight w:val="0"/>
      <w:marTop w:val="0"/>
      <w:marBottom w:val="0"/>
      <w:divBdr>
        <w:top w:val="none" w:sz="0" w:space="0" w:color="auto"/>
        <w:left w:val="none" w:sz="0" w:space="0" w:color="auto"/>
        <w:bottom w:val="none" w:sz="0" w:space="0" w:color="auto"/>
        <w:right w:val="none" w:sz="0" w:space="0" w:color="auto"/>
      </w:divBdr>
    </w:div>
    <w:div w:id="1212351403">
      <w:bodyDiv w:val="1"/>
      <w:marLeft w:val="0"/>
      <w:marRight w:val="0"/>
      <w:marTop w:val="0"/>
      <w:marBottom w:val="0"/>
      <w:divBdr>
        <w:top w:val="none" w:sz="0" w:space="0" w:color="auto"/>
        <w:left w:val="none" w:sz="0" w:space="0" w:color="auto"/>
        <w:bottom w:val="none" w:sz="0" w:space="0" w:color="auto"/>
        <w:right w:val="none" w:sz="0" w:space="0" w:color="auto"/>
      </w:divBdr>
    </w:div>
    <w:div w:id="1214080943">
      <w:bodyDiv w:val="1"/>
      <w:marLeft w:val="0"/>
      <w:marRight w:val="0"/>
      <w:marTop w:val="0"/>
      <w:marBottom w:val="0"/>
      <w:divBdr>
        <w:top w:val="none" w:sz="0" w:space="0" w:color="auto"/>
        <w:left w:val="none" w:sz="0" w:space="0" w:color="auto"/>
        <w:bottom w:val="none" w:sz="0" w:space="0" w:color="auto"/>
        <w:right w:val="none" w:sz="0" w:space="0" w:color="auto"/>
      </w:divBdr>
    </w:div>
    <w:div w:id="1224558986">
      <w:bodyDiv w:val="1"/>
      <w:marLeft w:val="0"/>
      <w:marRight w:val="0"/>
      <w:marTop w:val="0"/>
      <w:marBottom w:val="0"/>
      <w:divBdr>
        <w:top w:val="none" w:sz="0" w:space="0" w:color="auto"/>
        <w:left w:val="none" w:sz="0" w:space="0" w:color="auto"/>
        <w:bottom w:val="none" w:sz="0" w:space="0" w:color="auto"/>
        <w:right w:val="none" w:sz="0" w:space="0" w:color="auto"/>
      </w:divBdr>
    </w:div>
    <w:div w:id="1234581447">
      <w:bodyDiv w:val="1"/>
      <w:marLeft w:val="0"/>
      <w:marRight w:val="0"/>
      <w:marTop w:val="0"/>
      <w:marBottom w:val="0"/>
      <w:divBdr>
        <w:top w:val="none" w:sz="0" w:space="0" w:color="auto"/>
        <w:left w:val="none" w:sz="0" w:space="0" w:color="auto"/>
        <w:bottom w:val="none" w:sz="0" w:space="0" w:color="auto"/>
        <w:right w:val="none" w:sz="0" w:space="0" w:color="auto"/>
      </w:divBdr>
    </w:div>
    <w:div w:id="1237593434">
      <w:bodyDiv w:val="1"/>
      <w:marLeft w:val="0"/>
      <w:marRight w:val="0"/>
      <w:marTop w:val="0"/>
      <w:marBottom w:val="0"/>
      <w:divBdr>
        <w:top w:val="none" w:sz="0" w:space="0" w:color="auto"/>
        <w:left w:val="none" w:sz="0" w:space="0" w:color="auto"/>
        <w:bottom w:val="none" w:sz="0" w:space="0" w:color="auto"/>
        <w:right w:val="none" w:sz="0" w:space="0" w:color="auto"/>
      </w:divBdr>
    </w:div>
    <w:div w:id="1241211146">
      <w:bodyDiv w:val="1"/>
      <w:marLeft w:val="0"/>
      <w:marRight w:val="0"/>
      <w:marTop w:val="0"/>
      <w:marBottom w:val="0"/>
      <w:divBdr>
        <w:top w:val="none" w:sz="0" w:space="0" w:color="auto"/>
        <w:left w:val="none" w:sz="0" w:space="0" w:color="auto"/>
        <w:bottom w:val="none" w:sz="0" w:space="0" w:color="auto"/>
        <w:right w:val="none" w:sz="0" w:space="0" w:color="auto"/>
      </w:divBdr>
    </w:div>
    <w:div w:id="1244607322">
      <w:bodyDiv w:val="1"/>
      <w:marLeft w:val="0"/>
      <w:marRight w:val="0"/>
      <w:marTop w:val="0"/>
      <w:marBottom w:val="0"/>
      <w:divBdr>
        <w:top w:val="none" w:sz="0" w:space="0" w:color="auto"/>
        <w:left w:val="none" w:sz="0" w:space="0" w:color="auto"/>
        <w:bottom w:val="none" w:sz="0" w:space="0" w:color="auto"/>
        <w:right w:val="none" w:sz="0" w:space="0" w:color="auto"/>
      </w:divBdr>
    </w:div>
    <w:div w:id="1245534619">
      <w:bodyDiv w:val="1"/>
      <w:marLeft w:val="0"/>
      <w:marRight w:val="0"/>
      <w:marTop w:val="0"/>
      <w:marBottom w:val="0"/>
      <w:divBdr>
        <w:top w:val="none" w:sz="0" w:space="0" w:color="auto"/>
        <w:left w:val="none" w:sz="0" w:space="0" w:color="auto"/>
        <w:bottom w:val="none" w:sz="0" w:space="0" w:color="auto"/>
        <w:right w:val="none" w:sz="0" w:space="0" w:color="auto"/>
      </w:divBdr>
    </w:div>
    <w:div w:id="1248080585">
      <w:bodyDiv w:val="1"/>
      <w:marLeft w:val="0"/>
      <w:marRight w:val="0"/>
      <w:marTop w:val="0"/>
      <w:marBottom w:val="0"/>
      <w:divBdr>
        <w:top w:val="none" w:sz="0" w:space="0" w:color="auto"/>
        <w:left w:val="none" w:sz="0" w:space="0" w:color="auto"/>
        <w:bottom w:val="none" w:sz="0" w:space="0" w:color="auto"/>
        <w:right w:val="none" w:sz="0" w:space="0" w:color="auto"/>
      </w:divBdr>
    </w:div>
    <w:div w:id="1255624831">
      <w:bodyDiv w:val="1"/>
      <w:marLeft w:val="0"/>
      <w:marRight w:val="0"/>
      <w:marTop w:val="0"/>
      <w:marBottom w:val="0"/>
      <w:divBdr>
        <w:top w:val="none" w:sz="0" w:space="0" w:color="auto"/>
        <w:left w:val="none" w:sz="0" w:space="0" w:color="auto"/>
        <w:bottom w:val="none" w:sz="0" w:space="0" w:color="auto"/>
        <w:right w:val="none" w:sz="0" w:space="0" w:color="auto"/>
      </w:divBdr>
    </w:div>
    <w:div w:id="1267663996">
      <w:bodyDiv w:val="1"/>
      <w:marLeft w:val="0"/>
      <w:marRight w:val="0"/>
      <w:marTop w:val="0"/>
      <w:marBottom w:val="0"/>
      <w:divBdr>
        <w:top w:val="none" w:sz="0" w:space="0" w:color="auto"/>
        <w:left w:val="none" w:sz="0" w:space="0" w:color="auto"/>
        <w:bottom w:val="none" w:sz="0" w:space="0" w:color="auto"/>
        <w:right w:val="none" w:sz="0" w:space="0" w:color="auto"/>
      </w:divBdr>
    </w:div>
    <w:div w:id="1268392700">
      <w:bodyDiv w:val="1"/>
      <w:marLeft w:val="0"/>
      <w:marRight w:val="0"/>
      <w:marTop w:val="0"/>
      <w:marBottom w:val="0"/>
      <w:divBdr>
        <w:top w:val="none" w:sz="0" w:space="0" w:color="auto"/>
        <w:left w:val="none" w:sz="0" w:space="0" w:color="auto"/>
        <w:bottom w:val="none" w:sz="0" w:space="0" w:color="auto"/>
        <w:right w:val="none" w:sz="0" w:space="0" w:color="auto"/>
      </w:divBdr>
    </w:div>
    <w:div w:id="1269119465">
      <w:bodyDiv w:val="1"/>
      <w:marLeft w:val="0"/>
      <w:marRight w:val="0"/>
      <w:marTop w:val="0"/>
      <w:marBottom w:val="0"/>
      <w:divBdr>
        <w:top w:val="none" w:sz="0" w:space="0" w:color="auto"/>
        <w:left w:val="none" w:sz="0" w:space="0" w:color="auto"/>
        <w:bottom w:val="none" w:sz="0" w:space="0" w:color="auto"/>
        <w:right w:val="none" w:sz="0" w:space="0" w:color="auto"/>
      </w:divBdr>
    </w:div>
    <w:div w:id="1277104313">
      <w:bodyDiv w:val="1"/>
      <w:marLeft w:val="0"/>
      <w:marRight w:val="0"/>
      <w:marTop w:val="0"/>
      <w:marBottom w:val="0"/>
      <w:divBdr>
        <w:top w:val="none" w:sz="0" w:space="0" w:color="auto"/>
        <w:left w:val="none" w:sz="0" w:space="0" w:color="auto"/>
        <w:bottom w:val="none" w:sz="0" w:space="0" w:color="auto"/>
        <w:right w:val="none" w:sz="0" w:space="0" w:color="auto"/>
      </w:divBdr>
    </w:div>
    <w:div w:id="1283924190">
      <w:bodyDiv w:val="1"/>
      <w:marLeft w:val="0"/>
      <w:marRight w:val="0"/>
      <w:marTop w:val="0"/>
      <w:marBottom w:val="0"/>
      <w:divBdr>
        <w:top w:val="none" w:sz="0" w:space="0" w:color="auto"/>
        <w:left w:val="none" w:sz="0" w:space="0" w:color="auto"/>
        <w:bottom w:val="none" w:sz="0" w:space="0" w:color="auto"/>
        <w:right w:val="none" w:sz="0" w:space="0" w:color="auto"/>
      </w:divBdr>
    </w:div>
    <w:div w:id="1295023152">
      <w:bodyDiv w:val="1"/>
      <w:marLeft w:val="0"/>
      <w:marRight w:val="0"/>
      <w:marTop w:val="0"/>
      <w:marBottom w:val="0"/>
      <w:divBdr>
        <w:top w:val="none" w:sz="0" w:space="0" w:color="auto"/>
        <w:left w:val="none" w:sz="0" w:space="0" w:color="auto"/>
        <w:bottom w:val="none" w:sz="0" w:space="0" w:color="auto"/>
        <w:right w:val="none" w:sz="0" w:space="0" w:color="auto"/>
      </w:divBdr>
    </w:div>
    <w:div w:id="1296178110">
      <w:bodyDiv w:val="1"/>
      <w:marLeft w:val="0"/>
      <w:marRight w:val="0"/>
      <w:marTop w:val="0"/>
      <w:marBottom w:val="0"/>
      <w:divBdr>
        <w:top w:val="none" w:sz="0" w:space="0" w:color="auto"/>
        <w:left w:val="none" w:sz="0" w:space="0" w:color="auto"/>
        <w:bottom w:val="none" w:sz="0" w:space="0" w:color="auto"/>
        <w:right w:val="none" w:sz="0" w:space="0" w:color="auto"/>
      </w:divBdr>
    </w:div>
    <w:div w:id="1297681095">
      <w:bodyDiv w:val="1"/>
      <w:marLeft w:val="0"/>
      <w:marRight w:val="0"/>
      <w:marTop w:val="0"/>
      <w:marBottom w:val="0"/>
      <w:divBdr>
        <w:top w:val="none" w:sz="0" w:space="0" w:color="auto"/>
        <w:left w:val="none" w:sz="0" w:space="0" w:color="auto"/>
        <w:bottom w:val="none" w:sz="0" w:space="0" w:color="auto"/>
        <w:right w:val="none" w:sz="0" w:space="0" w:color="auto"/>
      </w:divBdr>
    </w:div>
    <w:div w:id="1301114154">
      <w:bodyDiv w:val="1"/>
      <w:marLeft w:val="0"/>
      <w:marRight w:val="0"/>
      <w:marTop w:val="0"/>
      <w:marBottom w:val="0"/>
      <w:divBdr>
        <w:top w:val="none" w:sz="0" w:space="0" w:color="auto"/>
        <w:left w:val="none" w:sz="0" w:space="0" w:color="auto"/>
        <w:bottom w:val="none" w:sz="0" w:space="0" w:color="auto"/>
        <w:right w:val="none" w:sz="0" w:space="0" w:color="auto"/>
      </w:divBdr>
    </w:div>
    <w:div w:id="1301419573">
      <w:bodyDiv w:val="1"/>
      <w:marLeft w:val="0"/>
      <w:marRight w:val="0"/>
      <w:marTop w:val="0"/>
      <w:marBottom w:val="0"/>
      <w:divBdr>
        <w:top w:val="none" w:sz="0" w:space="0" w:color="auto"/>
        <w:left w:val="none" w:sz="0" w:space="0" w:color="auto"/>
        <w:bottom w:val="none" w:sz="0" w:space="0" w:color="auto"/>
        <w:right w:val="none" w:sz="0" w:space="0" w:color="auto"/>
      </w:divBdr>
    </w:div>
    <w:div w:id="1303969896">
      <w:bodyDiv w:val="1"/>
      <w:marLeft w:val="0"/>
      <w:marRight w:val="0"/>
      <w:marTop w:val="0"/>
      <w:marBottom w:val="0"/>
      <w:divBdr>
        <w:top w:val="none" w:sz="0" w:space="0" w:color="auto"/>
        <w:left w:val="none" w:sz="0" w:space="0" w:color="auto"/>
        <w:bottom w:val="none" w:sz="0" w:space="0" w:color="auto"/>
        <w:right w:val="none" w:sz="0" w:space="0" w:color="auto"/>
      </w:divBdr>
    </w:div>
    <w:div w:id="1305619288">
      <w:bodyDiv w:val="1"/>
      <w:marLeft w:val="0"/>
      <w:marRight w:val="0"/>
      <w:marTop w:val="0"/>
      <w:marBottom w:val="0"/>
      <w:divBdr>
        <w:top w:val="none" w:sz="0" w:space="0" w:color="auto"/>
        <w:left w:val="none" w:sz="0" w:space="0" w:color="auto"/>
        <w:bottom w:val="none" w:sz="0" w:space="0" w:color="auto"/>
        <w:right w:val="none" w:sz="0" w:space="0" w:color="auto"/>
      </w:divBdr>
    </w:div>
    <w:div w:id="1306354625">
      <w:bodyDiv w:val="1"/>
      <w:marLeft w:val="0"/>
      <w:marRight w:val="0"/>
      <w:marTop w:val="0"/>
      <w:marBottom w:val="0"/>
      <w:divBdr>
        <w:top w:val="none" w:sz="0" w:space="0" w:color="auto"/>
        <w:left w:val="none" w:sz="0" w:space="0" w:color="auto"/>
        <w:bottom w:val="none" w:sz="0" w:space="0" w:color="auto"/>
        <w:right w:val="none" w:sz="0" w:space="0" w:color="auto"/>
      </w:divBdr>
    </w:div>
    <w:div w:id="1316642959">
      <w:bodyDiv w:val="1"/>
      <w:marLeft w:val="0"/>
      <w:marRight w:val="0"/>
      <w:marTop w:val="0"/>
      <w:marBottom w:val="0"/>
      <w:divBdr>
        <w:top w:val="none" w:sz="0" w:space="0" w:color="auto"/>
        <w:left w:val="none" w:sz="0" w:space="0" w:color="auto"/>
        <w:bottom w:val="none" w:sz="0" w:space="0" w:color="auto"/>
        <w:right w:val="none" w:sz="0" w:space="0" w:color="auto"/>
      </w:divBdr>
    </w:div>
    <w:div w:id="1327170865">
      <w:bodyDiv w:val="1"/>
      <w:marLeft w:val="0"/>
      <w:marRight w:val="0"/>
      <w:marTop w:val="0"/>
      <w:marBottom w:val="0"/>
      <w:divBdr>
        <w:top w:val="none" w:sz="0" w:space="0" w:color="auto"/>
        <w:left w:val="none" w:sz="0" w:space="0" w:color="auto"/>
        <w:bottom w:val="none" w:sz="0" w:space="0" w:color="auto"/>
        <w:right w:val="none" w:sz="0" w:space="0" w:color="auto"/>
      </w:divBdr>
    </w:div>
    <w:div w:id="1334379837">
      <w:bodyDiv w:val="1"/>
      <w:marLeft w:val="0"/>
      <w:marRight w:val="0"/>
      <w:marTop w:val="0"/>
      <w:marBottom w:val="0"/>
      <w:divBdr>
        <w:top w:val="none" w:sz="0" w:space="0" w:color="auto"/>
        <w:left w:val="none" w:sz="0" w:space="0" w:color="auto"/>
        <w:bottom w:val="none" w:sz="0" w:space="0" w:color="auto"/>
        <w:right w:val="none" w:sz="0" w:space="0" w:color="auto"/>
      </w:divBdr>
    </w:div>
    <w:div w:id="1335257161">
      <w:bodyDiv w:val="1"/>
      <w:marLeft w:val="0"/>
      <w:marRight w:val="0"/>
      <w:marTop w:val="0"/>
      <w:marBottom w:val="0"/>
      <w:divBdr>
        <w:top w:val="none" w:sz="0" w:space="0" w:color="auto"/>
        <w:left w:val="none" w:sz="0" w:space="0" w:color="auto"/>
        <w:bottom w:val="none" w:sz="0" w:space="0" w:color="auto"/>
        <w:right w:val="none" w:sz="0" w:space="0" w:color="auto"/>
      </w:divBdr>
    </w:div>
    <w:div w:id="1337658235">
      <w:bodyDiv w:val="1"/>
      <w:marLeft w:val="0"/>
      <w:marRight w:val="0"/>
      <w:marTop w:val="0"/>
      <w:marBottom w:val="0"/>
      <w:divBdr>
        <w:top w:val="none" w:sz="0" w:space="0" w:color="auto"/>
        <w:left w:val="none" w:sz="0" w:space="0" w:color="auto"/>
        <w:bottom w:val="none" w:sz="0" w:space="0" w:color="auto"/>
        <w:right w:val="none" w:sz="0" w:space="0" w:color="auto"/>
      </w:divBdr>
    </w:div>
    <w:div w:id="1345014016">
      <w:bodyDiv w:val="1"/>
      <w:marLeft w:val="0"/>
      <w:marRight w:val="0"/>
      <w:marTop w:val="0"/>
      <w:marBottom w:val="0"/>
      <w:divBdr>
        <w:top w:val="none" w:sz="0" w:space="0" w:color="auto"/>
        <w:left w:val="none" w:sz="0" w:space="0" w:color="auto"/>
        <w:bottom w:val="none" w:sz="0" w:space="0" w:color="auto"/>
        <w:right w:val="none" w:sz="0" w:space="0" w:color="auto"/>
      </w:divBdr>
    </w:div>
    <w:div w:id="1347050723">
      <w:bodyDiv w:val="1"/>
      <w:marLeft w:val="0"/>
      <w:marRight w:val="0"/>
      <w:marTop w:val="0"/>
      <w:marBottom w:val="0"/>
      <w:divBdr>
        <w:top w:val="none" w:sz="0" w:space="0" w:color="auto"/>
        <w:left w:val="none" w:sz="0" w:space="0" w:color="auto"/>
        <w:bottom w:val="none" w:sz="0" w:space="0" w:color="auto"/>
        <w:right w:val="none" w:sz="0" w:space="0" w:color="auto"/>
      </w:divBdr>
    </w:div>
    <w:div w:id="1347177527">
      <w:bodyDiv w:val="1"/>
      <w:marLeft w:val="0"/>
      <w:marRight w:val="0"/>
      <w:marTop w:val="0"/>
      <w:marBottom w:val="0"/>
      <w:divBdr>
        <w:top w:val="none" w:sz="0" w:space="0" w:color="auto"/>
        <w:left w:val="none" w:sz="0" w:space="0" w:color="auto"/>
        <w:bottom w:val="none" w:sz="0" w:space="0" w:color="auto"/>
        <w:right w:val="none" w:sz="0" w:space="0" w:color="auto"/>
      </w:divBdr>
    </w:div>
    <w:div w:id="1355691850">
      <w:bodyDiv w:val="1"/>
      <w:marLeft w:val="0"/>
      <w:marRight w:val="0"/>
      <w:marTop w:val="0"/>
      <w:marBottom w:val="0"/>
      <w:divBdr>
        <w:top w:val="none" w:sz="0" w:space="0" w:color="auto"/>
        <w:left w:val="none" w:sz="0" w:space="0" w:color="auto"/>
        <w:bottom w:val="none" w:sz="0" w:space="0" w:color="auto"/>
        <w:right w:val="none" w:sz="0" w:space="0" w:color="auto"/>
      </w:divBdr>
    </w:div>
    <w:div w:id="1365443922">
      <w:bodyDiv w:val="1"/>
      <w:marLeft w:val="0"/>
      <w:marRight w:val="0"/>
      <w:marTop w:val="0"/>
      <w:marBottom w:val="0"/>
      <w:divBdr>
        <w:top w:val="none" w:sz="0" w:space="0" w:color="auto"/>
        <w:left w:val="none" w:sz="0" w:space="0" w:color="auto"/>
        <w:bottom w:val="none" w:sz="0" w:space="0" w:color="auto"/>
        <w:right w:val="none" w:sz="0" w:space="0" w:color="auto"/>
      </w:divBdr>
    </w:div>
    <w:div w:id="1366755148">
      <w:bodyDiv w:val="1"/>
      <w:marLeft w:val="0"/>
      <w:marRight w:val="0"/>
      <w:marTop w:val="0"/>
      <w:marBottom w:val="0"/>
      <w:divBdr>
        <w:top w:val="none" w:sz="0" w:space="0" w:color="auto"/>
        <w:left w:val="none" w:sz="0" w:space="0" w:color="auto"/>
        <w:bottom w:val="none" w:sz="0" w:space="0" w:color="auto"/>
        <w:right w:val="none" w:sz="0" w:space="0" w:color="auto"/>
      </w:divBdr>
    </w:div>
    <w:div w:id="1368721705">
      <w:bodyDiv w:val="1"/>
      <w:marLeft w:val="0"/>
      <w:marRight w:val="0"/>
      <w:marTop w:val="0"/>
      <w:marBottom w:val="0"/>
      <w:divBdr>
        <w:top w:val="none" w:sz="0" w:space="0" w:color="auto"/>
        <w:left w:val="none" w:sz="0" w:space="0" w:color="auto"/>
        <w:bottom w:val="none" w:sz="0" w:space="0" w:color="auto"/>
        <w:right w:val="none" w:sz="0" w:space="0" w:color="auto"/>
      </w:divBdr>
    </w:div>
    <w:div w:id="1371414325">
      <w:bodyDiv w:val="1"/>
      <w:marLeft w:val="0"/>
      <w:marRight w:val="0"/>
      <w:marTop w:val="0"/>
      <w:marBottom w:val="0"/>
      <w:divBdr>
        <w:top w:val="none" w:sz="0" w:space="0" w:color="auto"/>
        <w:left w:val="none" w:sz="0" w:space="0" w:color="auto"/>
        <w:bottom w:val="none" w:sz="0" w:space="0" w:color="auto"/>
        <w:right w:val="none" w:sz="0" w:space="0" w:color="auto"/>
      </w:divBdr>
    </w:div>
    <w:div w:id="1376351127">
      <w:bodyDiv w:val="1"/>
      <w:marLeft w:val="0"/>
      <w:marRight w:val="0"/>
      <w:marTop w:val="0"/>
      <w:marBottom w:val="0"/>
      <w:divBdr>
        <w:top w:val="none" w:sz="0" w:space="0" w:color="auto"/>
        <w:left w:val="none" w:sz="0" w:space="0" w:color="auto"/>
        <w:bottom w:val="none" w:sz="0" w:space="0" w:color="auto"/>
        <w:right w:val="none" w:sz="0" w:space="0" w:color="auto"/>
      </w:divBdr>
    </w:div>
    <w:div w:id="1379864911">
      <w:bodyDiv w:val="1"/>
      <w:marLeft w:val="0"/>
      <w:marRight w:val="0"/>
      <w:marTop w:val="0"/>
      <w:marBottom w:val="0"/>
      <w:divBdr>
        <w:top w:val="none" w:sz="0" w:space="0" w:color="auto"/>
        <w:left w:val="none" w:sz="0" w:space="0" w:color="auto"/>
        <w:bottom w:val="none" w:sz="0" w:space="0" w:color="auto"/>
        <w:right w:val="none" w:sz="0" w:space="0" w:color="auto"/>
      </w:divBdr>
    </w:div>
    <w:div w:id="1390348264">
      <w:bodyDiv w:val="1"/>
      <w:marLeft w:val="0"/>
      <w:marRight w:val="0"/>
      <w:marTop w:val="0"/>
      <w:marBottom w:val="0"/>
      <w:divBdr>
        <w:top w:val="none" w:sz="0" w:space="0" w:color="auto"/>
        <w:left w:val="none" w:sz="0" w:space="0" w:color="auto"/>
        <w:bottom w:val="none" w:sz="0" w:space="0" w:color="auto"/>
        <w:right w:val="none" w:sz="0" w:space="0" w:color="auto"/>
      </w:divBdr>
    </w:div>
    <w:div w:id="1393967371">
      <w:bodyDiv w:val="1"/>
      <w:marLeft w:val="0"/>
      <w:marRight w:val="0"/>
      <w:marTop w:val="0"/>
      <w:marBottom w:val="0"/>
      <w:divBdr>
        <w:top w:val="none" w:sz="0" w:space="0" w:color="auto"/>
        <w:left w:val="none" w:sz="0" w:space="0" w:color="auto"/>
        <w:bottom w:val="none" w:sz="0" w:space="0" w:color="auto"/>
        <w:right w:val="none" w:sz="0" w:space="0" w:color="auto"/>
      </w:divBdr>
    </w:div>
    <w:div w:id="1397166354">
      <w:bodyDiv w:val="1"/>
      <w:marLeft w:val="0"/>
      <w:marRight w:val="0"/>
      <w:marTop w:val="0"/>
      <w:marBottom w:val="0"/>
      <w:divBdr>
        <w:top w:val="none" w:sz="0" w:space="0" w:color="auto"/>
        <w:left w:val="none" w:sz="0" w:space="0" w:color="auto"/>
        <w:bottom w:val="none" w:sz="0" w:space="0" w:color="auto"/>
        <w:right w:val="none" w:sz="0" w:space="0" w:color="auto"/>
      </w:divBdr>
    </w:div>
    <w:div w:id="1401751967">
      <w:bodyDiv w:val="1"/>
      <w:marLeft w:val="0"/>
      <w:marRight w:val="0"/>
      <w:marTop w:val="0"/>
      <w:marBottom w:val="0"/>
      <w:divBdr>
        <w:top w:val="none" w:sz="0" w:space="0" w:color="auto"/>
        <w:left w:val="none" w:sz="0" w:space="0" w:color="auto"/>
        <w:bottom w:val="none" w:sz="0" w:space="0" w:color="auto"/>
        <w:right w:val="none" w:sz="0" w:space="0" w:color="auto"/>
      </w:divBdr>
    </w:div>
    <w:div w:id="1401756990">
      <w:bodyDiv w:val="1"/>
      <w:marLeft w:val="0"/>
      <w:marRight w:val="0"/>
      <w:marTop w:val="0"/>
      <w:marBottom w:val="0"/>
      <w:divBdr>
        <w:top w:val="none" w:sz="0" w:space="0" w:color="auto"/>
        <w:left w:val="none" w:sz="0" w:space="0" w:color="auto"/>
        <w:bottom w:val="none" w:sz="0" w:space="0" w:color="auto"/>
        <w:right w:val="none" w:sz="0" w:space="0" w:color="auto"/>
      </w:divBdr>
    </w:div>
    <w:div w:id="1402604191">
      <w:bodyDiv w:val="1"/>
      <w:marLeft w:val="0"/>
      <w:marRight w:val="0"/>
      <w:marTop w:val="0"/>
      <w:marBottom w:val="0"/>
      <w:divBdr>
        <w:top w:val="none" w:sz="0" w:space="0" w:color="auto"/>
        <w:left w:val="none" w:sz="0" w:space="0" w:color="auto"/>
        <w:bottom w:val="none" w:sz="0" w:space="0" w:color="auto"/>
        <w:right w:val="none" w:sz="0" w:space="0" w:color="auto"/>
      </w:divBdr>
    </w:div>
    <w:div w:id="1403289435">
      <w:bodyDiv w:val="1"/>
      <w:marLeft w:val="0"/>
      <w:marRight w:val="0"/>
      <w:marTop w:val="0"/>
      <w:marBottom w:val="0"/>
      <w:divBdr>
        <w:top w:val="none" w:sz="0" w:space="0" w:color="auto"/>
        <w:left w:val="none" w:sz="0" w:space="0" w:color="auto"/>
        <w:bottom w:val="none" w:sz="0" w:space="0" w:color="auto"/>
        <w:right w:val="none" w:sz="0" w:space="0" w:color="auto"/>
      </w:divBdr>
    </w:div>
    <w:div w:id="1404986669">
      <w:bodyDiv w:val="1"/>
      <w:marLeft w:val="0"/>
      <w:marRight w:val="0"/>
      <w:marTop w:val="0"/>
      <w:marBottom w:val="0"/>
      <w:divBdr>
        <w:top w:val="none" w:sz="0" w:space="0" w:color="auto"/>
        <w:left w:val="none" w:sz="0" w:space="0" w:color="auto"/>
        <w:bottom w:val="none" w:sz="0" w:space="0" w:color="auto"/>
        <w:right w:val="none" w:sz="0" w:space="0" w:color="auto"/>
      </w:divBdr>
    </w:div>
    <w:div w:id="1414467375">
      <w:bodyDiv w:val="1"/>
      <w:marLeft w:val="0"/>
      <w:marRight w:val="0"/>
      <w:marTop w:val="0"/>
      <w:marBottom w:val="0"/>
      <w:divBdr>
        <w:top w:val="none" w:sz="0" w:space="0" w:color="auto"/>
        <w:left w:val="none" w:sz="0" w:space="0" w:color="auto"/>
        <w:bottom w:val="none" w:sz="0" w:space="0" w:color="auto"/>
        <w:right w:val="none" w:sz="0" w:space="0" w:color="auto"/>
      </w:divBdr>
    </w:div>
    <w:div w:id="1415936938">
      <w:bodyDiv w:val="1"/>
      <w:marLeft w:val="0"/>
      <w:marRight w:val="0"/>
      <w:marTop w:val="0"/>
      <w:marBottom w:val="0"/>
      <w:divBdr>
        <w:top w:val="none" w:sz="0" w:space="0" w:color="auto"/>
        <w:left w:val="none" w:sz="0" w:space="0" w:color="auto"/>
        <w:bottom w:val="none" w:sz="0" w:space="0" w:color="auto"/>
        <w:right w:val="none" w:sz="0" w:space="0" w:color="auto"/>
      </w:divBdr>
    </w:div>
    <w:div w:id="1421177047">
      <w:bodyDiv w:val="1"/>
      <w:marLeft w:val="0"/>
      <w:marRight w:val="0"/>
      <w:marTop w:val="0"/>
      <w:marBottom w:val="0"/>
      <w:divBdr>
        <w:top w:val="none" w:sz="0" w:space="0" w:color="auto"/>
        <w:left w:val="none" w:sz="0" w:space="0" w:color="auto"/>
        <w:bottom w:val="none" w:sz="0" w:space="0" w:color="auto"/>
        <w:right w:val="none" w:sz="0" w:space="0" w:color="auto"/>
      </w:divBdr>
    </w:div>
    <w:div w:id="1422992413">
      <w:bodyDiv w:val="1"/>
      <w:marLeft w:val="0"/>
      <w:marRight w:val="0"/>
      <w:marTop w:val="0"/>
      <w:marBottom w:val="0"/>
      <w:divBdr>
        <w:top w:val="none" w:sz="0" w:space="0" w:color="auto"/>
        <w:left w:val="none" w:sz="0" w:space="0" w:color="auto"/>
        <w:bottom w:val="none" w:sz="0" w:space="0" w:color="auto"/>
        <w:right w:val="none" w:sz="0" w:space="0" w:color="auto"/>
      </w:divBdr>
    </w:div>
    <w:div w:id="1424254621">
      <w:bodyDiv w:val="1"/>
      <w:marLeft w:val="0"/>
      <w:marRight w:val="0"/>
      <w:marTop w:val="0"/>
      <w:marBottom w:val="0"/>
      <w:divBdr>
        <w:top w:val="none" w:sz="0" w:space="0" w:color="auto"/>
        <w:left w:val="none" w:sz="0" w:space="0" w:color="auto"/>
        <w:bottom w:val="none" w:sz="0" w:space="0" w:color="auto"/>
        <w:right w:val="none" w:sz="0" w:space="0" w:color="auto"/>
      </w:divBdr>
    </w:div>
    <w:div w:id="1427732220">
      <w:bodyDiv w:val="1"/>
      <w:marLeft w:val="0"/>
      <w:marRight w:val="0"/>
      <w:marTop w:val="0"/>
      <w:marBottom w:val="0"/>
      <w:divBdr>
        <w:top w:val="none" w:sz="0" w:space="0" w:color="auto"/>
        <w:left w:val="none" w:sz="0" w:space="0" w:color="auto"/>
        <w:bottom w:val="none" w:sz="0" w:space="0" w:color="auto"/>
        <w:right w:val="none" w:sz="0" w:space="0" w:color="auto"/>
      </w:divBdr>
    </w:div>
    <w:div w:id="1432125228">
      <w:bodyDiv w:val="1"/>
      <w:marLeft w:val="0"/>
      <w:marRight w:val="0"/>
      <w:marTop w:val="0"/>
      <w:marBottom w:val="0"/>
      <w:divBdr>
        <w:top w:val="none" w:sz="0" w:space="0" w:color="auto"/>
        <w:left w:val="none" w:sz="0" w:space="0" w:color="auto"/>
        <w:bottom w:val="none" w:sz="0" w:space="0" w:color="auto"/>
        <w:right w:val="none" w:sz="0" w:space="0" w:color="auto"/>
      </w:divBdr>
    </w:div>
    <w:div w:id="1437405686">
      <w:bodyDiv w:val="1"/>
      <w:marLeft w:val="0"/>
      <w:marRight w:val="0"/>
      <w:marTop w:val="0"/>
      <w:marBottom w:val="0"/>
      <w:divBdr>
        <w:top w:val="none" w:sz="0" w:space="0" w:color="auto"/>
        <w:left w:val="none" w:sz="0" w:space="0" w:color="auto"/>
        <w:bottom w:val="none" w:sz="0" w:space="0" w:color="auto"/>
        <w:right w:val="none" w:sz="0" w:space="0" w:color="auto"/>
      </w:divBdr>
    </w:div>
    <w:div w:id="1444223709">
      <w:bodyDiv w:val="1"/>
      <w:marLeft w:val="0"/>
      <w:marRight w:val="0"/>
      <w:marTop w:val="0"/>
      <w:marBottom w:val="0"/>
      <w:divBdr>
        <w:top w:val="none" w:sz="0" w:space="0" w:color="auto"/>
        <w:left w:val="none" w:sz="0" w:space="0" w:color="auto"/>
        <w:bottom w:val="none" w:sz="0" w:space="0" w:color="auto"/>
        <w:right w:val="none" w:sz="0" w:space="0" w:color="auto"/>
      </w:divBdr>
    </w:div>
    <w:div w:id="1445660122">
      <w:bodyDiv w:val="1"/>
      <w:marLeft w:val="0"/>
      <w:marRight w:val="0"/>
      <w:marTop w:val="0"/>
      <w:marBottom w:val="0"/>
      <w:divBdr>
        <w:top w:val="none" w:sz="0" w:space="0" w:color="auto"/>
        <w:left w:val="none" w:sz="0" w:space="0" w:color="auto"/>
        <w:bottom w:val="none" w:sz="0" w:space="0" w:color="auto"/>
        <w:right w:val="none" w:sz="0" w:space="0" w:color="auto"/>
      </w:divBdr>
    </w:div>
    <w:div w:id="1445733931">
      <w:bodyDiv w:val="1"/>
      <w:marLeft w:val="0"/>
      <w:marRight w:val="0"/>
      <w:marTop w:val="0"/>
      <w:marBottom w:val="0"/>
      <w:divBdr>
        <w:top w:val="none" w:sz="0" w:space="0" w:color="auto"/>
        <w:left w:val="none" w:sz="0" w:space="0" w:color="auto"/>
        <w:bottom w:val="none" w:sz="0" w:space="0" w:color="auto"/>
        <w:right w:val="none" w:sz="0" w:space="0" w:color="auto"/>
      </w:divBdr>
    </w:div>
    <w:div w:id="1446344733">
      <w:bodyDiv w:val="1"/>
      <w:marLeft w:val="0"/>
      <w:marRight w:val="0"/>
      <w:marTop w:val="0"/>
      <w:marBottom w:val="0"/>
      <w:divBdr>
        <w:top w:val="none" w:sz="0" w:space="0" w:color="auto"/>
        <w:left w:val="none" w:sz="0" w:space="0" w:color="auto"/>
        <w:bottom w:val="none" w:sz="0" w:space="0" w:color="auto"/>
        <w:right w:val="none" w:sz="0" w:space="0" w:color="auto"/>
      </w:divBdr>
    </w:div>
    <w:div w:id="1462844612">
      <w:bodyDiv w:val="1"/>
      <w:marLeft w:val="0"/>
      <w:marRight w:val="0"/>
      <w:marTop w:val="0"/>
      <w:marBottom w:val="0"/>
      <w:divBdr>
        <w:top w:val="none" w:sz="0" w:space="0" w:color="auto"/>
        <w:left w:val="none" w:sz="0" w:space="0" w:color="auto"/>
        <w:bottom w:val="none" w:sz="0" w:space="0" w:color="auto"/>
        <w:right w:val="none" w:sz="0" w:space="0" w:color="auto"/>
      </w:divBdr>
    </w:div>
    <w:div w:id="1471047711">
      <w:bodyDiv w:val="1"/>
      <w:marLeft w:val="0"/>
      <w:marRight w:val="0"/>
      <w:marTop w:val="0"/>
      <w:marBottom w:val="0"/>
      <w:divBdr>
        <w:top w:val="none" w:sz="0" w:space="0" w:color="auto"/>
        <w:left w:val="none" w:sz="0" w:space="0" w:color="auto"/>
        <w:bottom w:val="none" w:sz="0" w:space="0" w:color="auto"/>
        <w:right w:val="none" w:sz="0" w:space="0" w:color="auto"/>
      </w:divBdr>
    </w:div>
    <w:div w:id="1471901821">
      <w:bodyDiv w:val="1"/>
      <w:marLeft w:val="0"/>
      <w:marRight w:val="0"/>
      <w:marTop w:val="0"/>
      <w:marBottom w:val="0"/>
      <w:divBdr>
        <w:top w:val="none" w:sz="0" w:space="0" w:color="auto"/>
        <w:left w:val="none" w:sz="0" w:space="0" w:color="auto"/>
        <w:bottom w:val="none" w:sz="0" w:space="0" w:color="auto"/>
        <w:right w:val="none" w:sz="0" w:space="0" w:color="auto"/>
      </w:divBdr>
    </w:div>
    <w:div w:id="1491486867">
      <w:bodyDiv w:val="1"/>
      <w:marLeft w:val="0"/>
      <w:marRight w:val="0"/>
      <w:marTop w:val="0"/>
      <w:marBottom w:val="0"/>
      <w:divBdr>
        <w:top w:val="none" w:sz="0" w:space="0" w:color="auto"/>
        <w:left w:val="none" w:sz="0" w:space="0" w:color="auto"/>
        <w:bottom w:val="none" w:sz="0" w:space="0" w:color="auto"/>
        <w:right w:val="none" w:sz="0" w:space="0" w:color="auto"/>
      </w:divBdr>
    </w:div>
    <w:div w:id="1494026306">
      <w:bodyDiv w:val="1"/>
      <w:marLeft w:val="0"/>
      <w:marRight w:val="0"/>
      <w:marTop w:val="0"/>
      <w:marBottom w:val="0"/>
      <w:divBdr>
        <w:top w:val="none" w:sz="0" w:space="0" w:color="auto"/>
        <w:left w:val="none" w:sz="0" w:space="0" w:color="auto"/>
        <w:bottom w:val="none" w:sz="0" w:space="0" w:color="auto"/>
        <w:right w:val="none" w:sz="0" w:space="0" w:color="auto"/>
      </w:divBdr>
    </w:div>
    <w:div w:id="1511525330">
      <w:bodyDiv w:val="1"/>
      <w:marLeft w:val="0"/>
      <w:marRight w:val="0"/>
      <w:marTop w:val="0"/>
      <w:marBottom w:val="0"/>
      <w:divBdr>
        <w:top w:val="none" w:sz="0" w:space="0" w:color="auto"/>
        <w:left w:val="none" w:sz="0" w:space="0" w:color="auto"/>
        <w:bottom w:val="none" w:sz="0" w:space="0" w:color="auto"/>
        <w:right w:val="none" w:sz="0" w:space="0" w:color="auto"/>
      </w:divBdr>
    </w:div>
    <w:div w:id="1515536592">
      <w:bodyDiv w:val="1"/>
      <w:marLeft w:val="0"/>
      <w:marRight w:val="0"/>
      <w:marTop w:val="0"/>
      <w:marBottom w:val="0"/>
      <w:divBdr>
        <w:top w:val="none" w:sz="0" w:space="0" w:color="auto"/>
        <w:left w:val="none" w:sz="0" w:space="0" w:color="auto"/>
        <w:bottom w:val="none" w:sz="0" w:space="0" w:color="auto"/>
        <w:right w:val="none" w:sz="0" w:space="0" w:color="auto"/>
      </w:divBdr>
    </w:div>
    <w:div w:id="1516453837">
      <w:bodyDiv w:val="1"/>
      <w:marLeft w:val="0"/>
      <w:marRight w:val="0"/>
      <w:marTop w:val="0"/>
      <w:marBottom w:val="0"/>
      <w:divBdr>
        <w:top w:val="none" w:sz="0" w:space="0" w:color="auto"/>
        <w:left w:val="none" w:sz="0" w:space="0" w:color="auto"/>
        <w:bottom w:val="none" w:sz="0" w:space="0" w:color="auto"/>
        <w:right w:val="none" w:sz="0" w:space="0" w:color="auto"/>
      </w:divBdr>
    </w:div>
    <w:div w:id="1517693635">
      <w:bodyDiv w:val="1"/>
      <w:marLeft w:val="0"/>
      <w:marRight w:val="0"/>
      <w:marTop w:val="0"/>
      <w:marBottom w:val="0"/>
      <w:divBdr>
        <w:top w:val="none" w:sz="0" w:space="0" w:color="auto"/>
        <w:left w:val="none" w:sz="0" w:space="0" w:color="auto"/>
        <w:bottom w:val="none" w:sz="0" w:space="0" w:color="auto"/>
        <w:right w:val="none" w:sz="0" w:space="0" w:color="auto"/>
      </w:divBdr>
    </w:div>
    <w:div w:id="1519268889">
      <w:bodyDiv w:val="1"/>
      <w:marLeft w:val="0"/>
      <w:marRight w:val="0"/>
      <w:marTop w:val="0"/>
      <w:marBottom w:val="0"/>
      <w:divBdr>
        <w:top w:val="none" w:sz="0" w:space="0" w:color="auto"/>
        <w:left w:val="none" w:sz="0" w:space="0" w:color="auto"/>
        <w:bottom w:val="none" w:sz="0" w:space="0" w:color="auto"/>
        <w:right w:val="none" w:sz="0" w:space="0" w:color="auto"/>
      </w:divBdr>
    </w:div>
    <w:div w:id="1520587037">
      <w:bodyDiv w:val="1"/>
      <w:marLeft w:val="0"/>
      <w:marRight w:val="0"/>
      <w:marTop w:val="0"/>
      <w:marBottom w:val="0"/>
      <w:divBdr>
        <w:top w:val="none" w:sz="0" w:space="0" w:color="auto"/>
        <w:left w:val="none" w:sz="0" w:space="0" w:color="auto"/>
        <w:bottom w:val="none" w:sz="0" w:space="0" w:color="auto"/>
        <w:right w:val="none" w:sz="0" w:space="0" w:color="auto"/>
      </w:divBdr>
    </w:div>
    <w:div w:id="1522822271">
      <w:bodyDiv w:val="1"/>
      <w:marLeft w:val="0"/>
      <w:marRight w:val="0"/>
      <w:marTop w:val="0"/>
      <w:marBottom w:val="0"/>
      <w:divBdr>
        <w:top w:val="none" w:sz="0" w:space="0" w:color="auto"/>
        <w:left w:val="none" w:sz="0" w:space="0" w:color="auto"/>
        <w:bottom w:val="none" w:sz="0" w:space="0" w:color="auto"/>
        <w:right w:val="none" w:sz="0" w:space="0" w:color="auto"/>
      </w:divBdr>
    </w:div>
    <w:div w:id="1524630979">
      <w:bodyDiv w:val="1"/>
      <w:marLeft w:val="0"/>
      <w:marRight w:val="0"/>
      <w:marTop w:val="0"/>
      <w:marBottom w:val="0"/>
      <w:divBdr>
        <w:top w:val="none" w:sz="0" w:space="0" w:color="auto"/>
        <w:left w:val="none" w:sz="0" w:space="0" w:color="auto"/>
        <w:bottom w:val="none" w:sz="0" w:space="0" w:color="auto"/>
        <w:right w:val="none" w:sz="0" w:space="0" w:color="auto"/>
      </w:divBdr>
    </w:div>
    <w:div w:id="1530604171">
      <w:bodyDiv w:val="1"/>
      <w:marLeft w:val="0"/>
      <w:marRight w:val="0"/>
      <w:marTop w:val="0"/>
      <w:marBottom w:val="0"/>
      <w:divBdr>
        <w:top w:val="none" w:sz="0" w:space="0" w:color="auto"/>
        <w:left w:val="none" w:sz="0" w:space="0" w:color="auto"/>
        <w:bottom w:val="none" w:sz="0" w:space="0" w:color="auto"/>
        <w:right w:val="none" w:sz="0" w:space="0" w:color="auto"/>
      </w:divBdr>
    </w:div>
    <w:div w:id="1534268868">
      <w:bodyDiv w:val="1"/>
      <w:marLeft w:val="0"/>
      <w:marRight w:val="0"/>
      <w:marTop w:val="0"/>
      <w:marBottom w:val="0"/>
      <w:divBdr>
        <w:top w:val="none" w:sz="0" w:space="0" w:color="auto"/>
        <w:left w:val="none" w:sz="0" w:space="0" w:color="auto"/>
        <w:bottom w:val="none" w:sz="0" w:space="0" w:color="auto"/>
        <w:right w:val="none" w:sz="0" w:space="0" w:color="auto"/>
      </w:divBdr>
    </w:div>
    <w:div w:id="1534883728">
      <w:bodyDiv w:val="1"/>
      <w:marLeft w:val="0"/>
      <w:marRight w:val="0"/>
      <w:marTop w:val="0"/>
      <w:marBottom w:val="0"/>
      <w:divBdr>
        <w:top w:val="none" w:sz="0" w:space="0" w:color="auto"/>
        <w:left w:val="none" w:sz="0" w:space="0" w:color="auto"/>
        <w:bottom w:val="none" w:sz="0" w:space="0" w:color="auto"/>
        <w:right w:val="none" w:sz="0" w:space="0" w:color="auto"/>
      </w:divBdr>
    </w:div>
    <w:div w:id="1539855093">
      <w:bodyDiv w:val="1"/>
      <w:marLeft w:val="0"/>
      <w:marRight w:val="0"/>
      <w:marTop w:val="0"/>
      <w:marBottom w:val="0"/>
      <w:divBdr>
        <w:top w:val="none" w:sz="0" w:space="0" w:color="auto"/>
        <w:left w:val="none" w:sz="0" w:space="0" w:color="auto"/>
        <w:bottom w:val="none" w:sz="0" w:space="0" w:color="auto"/>
        <w:right w:val="none" w:sz="0" w:space="0" w:color="auto"/>
      </w:divBdr>
    </w:div>
    <w:div w:id="1549562479">
      <w:bodyDiv w:val="1"/>
      <w:marLeft w:val="0"/>
      <w:marRight w:val="0"/>
      <w:marTop w:val="0"/>
      <w:marBottom w:val="0"/>
      <w:divBdr>
        <w:top w:val="none" w:sz="0" w:space="0" w:color="auto"/>
        <w:left w:val="none" w:sz="0" w:space="0" w:color="auto"/>
        <w:bottom w:val="none" w:sz="0" w:space="0" w:color="auto"/>
        <w:right w:val="none" w:sz="0" w:space="0" w:color="auto"/>
      </w:divBdr>
    </w:div>
    <w:div w:id="1549755406">
      <w:bodyDiv w:val="1"/>
      <w:marLeft w:val="0"/>
      <w:marRight w:val="0"/>
      <w:marTop w:val="0"/>
      <w:marBottom w:val="0"/>
      <w:divBdr>
        <w:top w:val="none" w:sz="0" w:space="0" w:color="auto"/>
        <w:left w:val="none" w:sz="0" w:space="0" w:color="auto"/>
        <w:bottom w:val="none" w:sz="0" w:space="0" w:color="auto"/>
        <w:right w:val="none" w:sz="0" w:space="0" w:color="auto"/>
      </w:divBdr>
    </w:div>
    <w:div w:id="1554006082">
      <w:bodyDiv w:val="1"/>
      <w:marLeft w:val="0"/>
      <w:marRight w:val="0"/>
      <w:marTop w:val="0"/>
      <w:marBottom w:val="0"/>
      <w:divBdr>
        <w:top w:val="none" w:sz="0" w:space="0" w:color="auto"/>
        <w:left w:val="none" w:sz="0" w:space="0" w:color="auto"/>
        <w:bottom w:val="none" w:sz="0" w:space="0" w:color="auto"/>
        <w:right w:val="none" w:sz="0" w:space="0" w:color="auto"/>
      </w:divBdr>
    </w:div>
    <w:div w:id="1558927960">
      <w:bodyDiv w:val="1"/>
      <w:marLeft w:val="0"/>
      <w:marRight w:val="0"/>
      <w:marTop w:val="0"/>
      <w:marBottom w:val="0"/>
      <w:divBdr>
        <w:top w:val="none" w:sz="0" w:space="0" w:color="auto"/>
        <w:left w:val="none" w:sz="0" w:space="0" w:color="auto"/>
        <w:bottom w:val="none" w:sz="0" w:space="0" w:color="auto"/>
        <w:right w:val="none" w:sz="0" w:space="0" w:color="auto"/>
      </w:divBdr>
    </w:div>
    <w:div w:id="1559626857">
      <w:bodyDiv w:val="1"/>
      <w:marLeft w:val="0"/>
      <w:marRight w:val="0"/>
      <w:marTop w:val="0"/>
      <w:marBottom w:val="0"/>
      <w:divBdr>
        <w:top w:val="none" w:sz="0" w:space="0" w:color="auto"/>
        <w:left w:val="none" w:sz="0" w:space="0" w:color="auto"/>
        <w:bottom w:val="none" w:sz="0" w:space="0" w:color="auto"/>
        <w:right w:val="none" w:sz="0" w:space="0" w:color="auto"/>
      </w:divBdr>
    </w:div>
    <w:div w:id="1581713721">
      <w:bodyDiv w:val="1"/>
      <w:marLeft w:val="0"/>
      <w:marRight w:val="0"/>
      <w:marTop w:val="0"/>
      <w:marBottom w:val="0"/>
      <w:divBdr>
        <w:top w:val="none" w:sz="0" w:space="0" w:color="auto"/>
        <w:left w:val="none" w:sz="0" w:space="0" w:color="auto"/>
        <w:bottom w:val="none" w:sz="0" w:space="0" w:color="auto"/>
        <w:right w:val="none" w:sz="0" w:space="0" w:color="auto"/>
      </w:divBdr>
    </w:div>
    <w:div w:id="1587962500">
      <w:bodyDiv w:val="1"/>
      <w:marLeft w:val="0"/>
      <w:marRight w:val="0"/>
      <w:marTop w:val="0"/>
      <w:marBottom w:val="0"/>
      <w:divBdr>
        <w:top w:val="none" w:sz="0" w:space="0" w:color="auto"/>
        <w:left w:val="none" w:sz="0" w:space="0" w:color="auto"/>
        <w:bottom w:val="none" w:sz="0" w:space="0" w:color="auto"/>
        <w:right w:val="none" w:sz="0" w:space="0" w:color="auto"/>
      </w:divBdr>
    </w:div>
    <w:div w:id="1588925031">
      <w:bodyDiv w:val="1"/>
      <w:marLeft w:val="0"/>
      <w:marRight w:val="0"/>
      <w:marTop w:val="0"/>
      <w:marBottom w:val="0"/>
      <w:divBdr>
        <w:top w:val="none" w:sz="0" w:space="0" w:color="auto"/>
        <w:left w:val="none" w:sz="0" w:space="0" w:color="auto"/>
        <w:bottom w:val="none" w:sz="0" w:space="0" w:color="auto"/>
        <w:right w:val="none" w:sz="0" w:space="0" w:color="auto"/>
      </w:divBdr>
    </w:div>
    <w:div w:id="1590427802">
      <w:bodyDiv w:val="1"/>
      <w:marLeft w:val="0"/>
      <w:marRight w:val="0"/>
      <w:marTop w:val="0"/>
      <w:marBottom w:val="0"/>
      <w:divBdr>
        <w:top w:val="none" w:sz="0" w:space="0" w:color="auto"/>
        <w:left w:val="none" w:sz="0" w:space="0" w:color="auto"/>
        <w:bottom w:val="none" w:sz="0" w:space="0" w:color="auto"/>
        <w:right w:val="none" w:sz="0" w:space="0" w:color="auto"/>
      </w:divBdr>
    </w:div>
    <w:div w:id="1590850456">
      <w:bodyDiv w:val="1"/>
      <w:marLeft w:val="0"/>
      <w:marRight w:val="0"/>
      <w:marTop w:val="0"/>
      <w:marBottom w:val="0"/>
      <w:divBdr>
        <w:top w:val="none" w:sz="0" w:space="0" w:color="auto"/>
        <w:left w:val="none" w:sz="0" w:space="0" w:color="auto"/>
        <w:bottom w:val="none" w:sz="0" w:space="0" w:color="auto"/>
        <w:right w:val="none" w:sz="0" w:space="0" w:color="auto"/>
      </w:divBdr>
    </w:div>
    <w:div w:id="1591623387">
      <w:bodyDiv w:val="1"/>
      <w:marLeft w:val="0"/>
      <w:marRight w:val="0"/>
      <w:marTop w:val="0"/>
      <w:marBottom w:val="0"/>
      <w:divBdr>
        <w:top w:val="none" w:sz="0" w:space="0" w:color="auto"/>
        <w:left w:val="none" w:sz="0" w:space="0" w:color="auto"/>
        <w:bottom w:val="none" w:sz="0" w:space="0" w:color="auto"/>
        <w:right w:val="none" w:sz="0" w:space="0" w:color="auto"/>
      </w:divBdr>
    </w:div>
    <w:div w:id="1594319223">
      <w:bodyDiv w:val="1"/>
      <w:marLeft w:val="0"/>
      <w:marRight w:val="0"/>
      <w:marTop w:val="0"/>
      <w:marBottom w:val="0"/>
      <w:divBdr>
        <w:top w:val="none" w:sz="0" w:space="0" w:color="auto"/>
        <w:left w:val="none" w:sz="0" w:space="0" w:color="auto"/>
        <w:bottom w:val="none" w:sz="0" w:space="0" w:color="auto"/>
        <w:right w:val="none" w:sz="0" w:space="0" w:color="auto"/>
      </w:divBdr>
    </w:div>
    <w:div w:id="1609006299">
      <w:bodyDiv w:val="1"/>
      <w:marLeft w:val="0"/>
      <w:marRight w:val="0"/>
      <w:marTop w:val="0"/>
      <w:marBottom w:val="0"/>
      <w:divBdr>
        <w:top w:val="none" w:sz="0" w:space="0" w:color="auto"/>
        <w:left w:val="none" w:sz="0" w:space="0" w:color="auto"/>
        <w:bottom w:val="none" w:sz="0" w:space="0" w:color="auto"/>
        <w:right w:val="none" w:sz="0" w:space="0" w:color="auto"/>
      </w:divBdr>
    </w:div>
    <w:div w:id="1612204691">
      <w:bodyDiv w:val="1"/>
      <w:marLeft w:val="0"/>
      <w:marRight w:val="0"/>
      <w:marTop w:val="0"/>
      <w:marBottom w:val="0"/>
      <w:divBdr>
        <w:top w:val="none" w:sz="0" w:space="0" w:color="auto"/>
        <w:left w:val="none" w:sz="0" w:space="0" w:color="auto"/>
        <w:bottom w:val="none" w:sz="0" w:space="0" w:color="auto"/>
        <w:right w:val="none" w:sz="0" w:space="0" w:color="auto"/>
      </w:divBdr>
    </w:div>
    <w:div w:id="1617323458">
      <w:bodyDiv w:val="1"/>
      <w:marLeft w:val="0"/>
      <w:marRight w:val="0"/>
      <w:marTop w:val="0"/>
      <w:marBottom w:val="0"/>
      <w:divBdr>
        <w:top w:val="none" w:sz="0" w:space="0" w:color="auto"/>
        <w:left w:val="none" w:sz="0" w:space="0" w:color="auto"/>
        <w:bottom w:val="none" w:sz="0" w:space="0" w:color="auto"/>
        <w:right w:val="none" w:sz="0" w:space="0" w:color="auto"/>
      </w:divBdr>
    </w:div>
    <w:div w:id="1623460864">
      <w:bodyDiv w:val="1"/>
      <w:marLeft w:val="0"/>
      <w:marRight w:val="0"/>
      <w:marTop w:val="0"/>
      <w:marBottom w:val="0"/>
      <w:divBdr>
        <w:top w:val="none" w:sz="0" w:space="0" w:color="auto"/>
        <w:left w:val="none" w:sz="0" w:space="0" w:color="auto"/>
        <w:bottom w:val="none" w:sz="0" w:space="0" w:color="auto"/>
        <w:right w:val="none" w:sz="0" w:space="0" w:color="auto"/>
      </w:divBdr>
    </w:div>
    <w:div w:id="1632785873">
      <w:bodyDiv w:val="1"/>
      <w:marLeft w:val="0"/>
      <w:marRight w:val="0"/>
      <w:marTop w:val="0"/>
      <w:marBottom w:val="0"/>
      <w:divBdr>
        <w:top w:val="none" w:sz="0" w:space="0" w:color="auto"/>
        <w:left w:val="none" w:sz="0" w:space="0" w:color="auto"/>
        <w:bottom w:val="none" w:sz="0" w:space="0" w:color="auto"/>
        <w:right w:val="none" w:sz="0" w:space="0" w:color="auto"/>
      </w:divBdr>
    </w:div>
    <w:div w:id="1632788932">
      <w:bodyDiv w:val="1"/>
      <w:marLeft w:val="0"/>
      <w:marRight w:val="0"/>
      <w:marTop w:val="0"/>
      <w:marBottom w:val="0"/>
      <w:divBdr>
        <w:top w:val="none" w:sz="0" w:space="0" w:color="auto"/>
        <w:left w:val="none" w:sz="0" w:space="0" w:color="auto"/>
        <w:bottom w:val="none" w:sz="0" w:space="0" w:color="auto"/>
        <w:right w:val="none" w:sz="0" w:space="0" w:color="auto"/>
      </w:divBdr>
    </w:div>
    <w:div w:id="1640846309">
      <w:bodyDiv w:val="1"/>
      <w:marLeft w:val="0"/>
      <w:marRight w:val="0"/>
      <w:marTop w:val="0"/>
      <w:marBottom w:val="0"/>
      <w:divBdr>
        <w:top w:val="none" w:sz="0" w:space="0" w:color="auto"/>
        <w:left w:val="none" w:sz="0" w:space="0" w:color="auto"/>
        <w:bottom w:val="none" w:sz="0" w:space="0" w:color="auto"/>
        <w:right w:val="none" w:sz="0" w:space="0" w:color="auto"/>
      </w:divBdr>
    </w:div>
    <w:div w:id="1642612205">
      <w:bodyDiv w:val="1"/>
      <w:marLeft w:val="0"/>
      <w:marRight w:val="0"/>
      <w:marTop w:val="0"/>
      <w:marBottom w:val="0"/>
      <w:divBdr>
        <w:top w:val="none" w:sz="0" w:space="0" w:color="auto"/>
        <w:left w:val="none" w:sz="0" w:space="0" w:color="auto"/>
        <w:bottom w:val="none" w:sz="0" w:space="0" w:color="auto"/>
        <w:right w:val="none" w:sz="0" w:space="0" w:color="auto"/>
      </w:divBdr>
    </w:div>
    <w:div w:id="1647275811">
      <w:bodyDiv w:val="1"/>
      <w:marLeft w:val="0"/>
      <w:marRight w:val="0"/>
      <w:marTop w:val="0"/>
      <w:marBottom w:val="0"/>
      <w:divBdr>
        <w:top w:val="none" w:sz="0" w:space="0" w:color="auto"/>
        <w:left w:val="none" w:sz="0" w:space="0" w:color="auto"/>
        <w:bottom w:val="none" w:sz="0" w:space="0" w:color="auto"/>
        <w:right w:val="none" w:sz="0" w:space="0" w:color="auto"/>
      </w:divBdr>
    </w:div>
    <w:div w:id="1648511010">
      <w:bodyDiv w:val="1"/>
      <w:marLeft w:val="0"/>
      <w:marRight w:val="0"/>
      <w:marTop w:val="0"/>
      <w:marBottom w:val="0"/>
      <w:divBdr>
        <w:top w:val="none" w:sz="0" w:space="0" w:color="auto"/>
        <w:left w:val="none" w:sz="0" w:space="0" w:color="auto"/>
        <w:bottom w:val="none" w:sz="0" w:space="0" w:color="auto"/>
        <w:right w:val="none" w:sz="0" w:space="0" w:color="auto"/>
      </w:divBdr>
    </w:div>
    <w:div w:id="1650596399">
      <w:bodyDiv w:val="1"/>
      <w:marLeft w:val="0"/>
      <w:marRight w:val="0"/>
      <w:marTop w:val="0"/>
      <w:marBottom w:val="0"/>
      <w:divBdr>
        <w:top w:val="none" w:sz="0" w:space="0" w:color="auto"/>
        <w:left w:val="none" w:sz="0" w:space="0" w:color="auto"/>
        <w:bottom w:val="none" w:sz="0" w:space="0" w:color="auto"/>
        <w:right w:val="none" w:sz="0" w:space="0" w:color="auto"/>
      </w:divBdr>
    </w:div>
    <w:div w:id="1654674690">
      <w:bodyDiv w:val="1"/>
      <w:marLeft w:val="0"/>
      <w:marRight w:val="0"/>
      <w:marTop w:val="0"/>
      <w:marBottom w:val="0"/>
      <w:divBdr>
        <w:top w:val="none" w:sz="0" w:space="0" w:color="auto"/>
        <w:left w:val="none" w:sz="0" w:space="0" w:color="auto"/>
        <w:bottom w:val="none" w:sz="0" w:space="0" w:color="auto"/>
        <w:right w:val="none" w:sz="0" w:space="0" w:color="auto"/>
      </w:divBdr>
    </w:div>
    <w:div w:id="1659114170">
      <w:bodyDiv w:val="1"/>
      <w:marLeft w:val="0"/>
      <w:marRight w:val="0"/>
      <w:marTop w:val="0"/>
      <w:marBottom w:val="0"/>
      <w:divBdr>
        <w:top w:val="none" w:sz="0" w:space="0" w:color="auto"/>
        <w:left w:val="none" w:sz="0" w:space="0" w:color="auto"/>
        <w:bottom w:val="none" w:sz="0" w:space="0" w:color="auto"/>
        <w:right w:val="none" w:sz="0" w:space="0" w:color="auto"/>
      </w:divBdr>
    </w:div>
    <w:div w:id="1666474341">
      <w:bodyDiv w:val="1"/>
      <w:marLeft w:val="0"/>
      <w:marRight w:val="0"/>
      <w:marTop w:val="0"/>
      <w:marBottom w:val="0"/>
      <w:divBdr>
        <w:top w:val="none" w:sz="0" w:space="0" w:color="auto"/>
        <w:left w:val="none" w:sz="0" w:space="0" w:color="auto"/>
        <w:bottom w:val="none" w:sz="0" w:space="0" w:color="auto"/>
        <w:right w:val="none" w:sz="0" w:space="0" w:color="auto"/>
      </w:divBdr>
    </w:div>
    <w:div w:id="1671373723">
      <w:bodyDiv w:val="1"/>
      <w:marLeft w:val="0"/>
      <w:marRight w:val="0"/>
      <w:marTop w:val="0"/>
      <w:marBottom w:val="0"/>
      <w:divBdr>
        <w:top w:val="none" w:sz="0" w:space="0" w:color="auto"/>
        <w:left w:val="none" w:sz="0" w:space="0" w:color="auto"/>
        <w:bottom w:val="none" w:sz="0" w:space="0" w:color="auto"/>
        <w:right w:val="none" w:sz="0" w:space="0" w:color="auto"/>
      </w:divBdr>
    </w:div>
    <w:div w:id="1674212798">
      <w:bodyDiv w:val="1"/>
      <w:marLeft w:val="0"/>
      <w:marRight w:val="0"/>
      <w:marTop w:val="0"/>
      <w:marBottom w:val="0"/>
      <w:divBdr>
        <w:top w:val="none" w:sz="0" w:space="0" w:color="auto"/>
        <w:left w:val="none" w:sz="0" w:space="0" w:color="auto"/>
        <w:bottom w:val="none" w:sz="0" w:space="0" w:color="auto"/>
        <w:right w:val="none" w:sz="0" w:space="0" w:color="auto"/>
      </w:divBdr>
    </w:div>
    <w:div w:id="1680086524">
      <w:bodyDiv w:val="1"/>
      <w:marLeft w:val="0"/>
      <w:marRight w:val="0"/>
      <w:marTop w:val="0"/>
      <w:marBottom w:val="0"/>
      <w:divBdr>
        <w:top w:val="none" w:sz="0" w:space="0" w:color="auto"/>
        <w:left w:val="none" w:sz="0" w:space="0" w:color="auto"/>
        <w:bottom w:val="none" w:sz="0" w:space="0" w:color="auto"/>
        <w:right w:val="none" w:sz="0" w:space="0" w:color="auto"/>
      </w:divBdr>
    </w:div>
    <w:div w:id="1682316591">
      <w:bodyDiv w:val="1"/>
      <w:marLeft w:val="0"/>
      <w:marRight w:val="0"/>
      <w:marTop w:val="0"/>
      <w:marBottom w:val="0"/>
      <w:divBdr>
        <w:top w:val="none" w:sz="0" w:space="0" w:color="auto"/>
        <w:left w:val="none" w:sz="0" w:space="0" w:color="auto"/>
        <w:bottom w:val="none" w:sz="0" w:space="0" w:color="auto"/>
        <w:right w:val="none" w:sz="0" w:space="0" w:color="auto"/>
      </w:divBdr>
    </w:div>
    <w:div w:id="1686051697">
      <w:bodyDiv w:val="1"/>
      <w:marLeft w:val="0"/>
      <w:marRight w:val="0"/>
      <w:marTop w:val="0"/>
      <w:marBottom w:val="0"/>
      <w:divBdr>
        <w:top w:val="none" w:sz="0" w:space="0" w:color="auto"/>
        <w:left w:val="none" w:sz="0" w:space="0" w:color="auto"/>
        <w:bottom w:val="none" w:sz="0" w:space="0" w:color="auto"/>
        <w:right w:val="none" w:sz="0" w:space="0" w:color="auto"/>
      </w:divBdr>
    </w:div>
    <w:div w:id="1686512217">
      <w:bodyDiv w:val="1"/>
      <w:marLeft w:val="0"/>
      <w:marRight w:val="0"/>
      <w:marTop w:val="0"/>
      <w:marBottom w:val="0"/>
      <w:divBdr>
        <w:top w:val="none" w:sz="0" w:space="0" w:color="auto"/>
        <w:left w:val="none" w:sz="0" w:space="0" w:color="auto"/>
        <w:bottom w:val="none" w:sz="0" w:space="0" w:color="auto"/>
        <w:right w:val="none" w:sz="0" w:space="0" w:color="auto"/>
      </w:divBdr>
    </w:div>
    <w:div w:id="1689408861">
      <w:bodyDiv w:val="1"/>
      <w:marLeft w:val="0"/>
      <w:marRight w:val="0"/>
      <w:marTop w:val="0"/>
      <w:marBottom w:val="0"/>
      <w:divBdr>
        <w:top w:val="none" w:sz="0" w:space="0" w:color="auto"/>
        <w:left w:val="none" w:sz="0" w:space="0" w:color="auto"/>
        <w:bottom w:val="none" w:sz="0" w:space="0" w:color="auto"/>
        <w:right w:val="none" w:sz="0" w:space="0" w:color="auto"/>
      </w:divBdr>
    </w:div>
    <w:div w:id="1690911267">
      <w:bodyDiv w:val="1"/>
      <w:marLeft w:val="0"/>
      <w:marRight w:val="0"/>
      <w:marTop w:val="0"/>
      <w:marBottom w:val="0"/>
      <w:divBdr>
        <w:top w:val="none" w:sz="0" w:space="0" w:color="auto"/>
        <w:left w:val="none" w:sz="0" w:space="0" w:color="auto"/>
        <w:bottom w:val="none" w:sz="0" w:space="0" w:color="auto"/>
        <w:right w:val="none" w:sz="0" w:space="0" w:color="auto"/>
      </w:divBdr>
    </w:div>
    <w:div w:id="1693604656">
      <w:bodyDiv w:val="1"/>
      <w:marLeft w:val="0"/>
      <w:marRight w:val="0"/>
      <w:marTop w:val="0"/>
      <w:marBottom w:val="0"/>
      <w:divBdr>
        <w:top w:val="none" w:sz="0" w:space="0" w:color="auto"/>
        <w:left w:val="none" w:sz="0" w:space="0" w:color="auto"/>
        <w:bottom w:val="none" w:sz="0" w:space="0" w:color="auto"/>
        <w:right w:val="none" w:sz="0" w:space="0" w:color="auto"/>
      </w:divBdr>
    </w:div>
    <w:div w:id="1701933389">
      <w:bodyDiv w:val="1"/>
      <w:marLeft w:val="0"/>
      <w:marRight w:val="0"/>
      <w:marTop w:val="0"/>
      <w:marBottom w:val="0"/>
      <w:divBdr>
        <w:top w:val="none" w:sz="0" w:space="0" w:color="auto"/>
        <w:left w:val="none" w:sz="0" w:space="0" w:color="auto"/>
        <w:bottom w:val="none" w:sz="0" w:space="0" w:color="auto"/>
        <w:right w:val="none" w:sz="0" w:space="0" w:color="auto"/>
      </w:divBdr>
    </w:div>
    <w:div w:id="1702851881">
      <w:bodyDiv w:val="1"/>
      <w:marLeft w:val="0"/>
      <w:marRight w:val="0"/>
      <w:marTop w:val="0"/>
      <w:marBottom w:val="0"/>
      <w:divBdr>
        <w:top w:val="none" w:sz="0" w:space="0" w:color="auto"/>
        <w:left w:val="none" w:sz="0" w:space="0" w:color="auto"/>
        <w:bottom w:val="none" w:sz="0" w:space="0" w:color="auto"/>
        <w:right w:val="none" w:sz="0" w:space="0" w:color="auto"/>
      </w:divBdr>
    </w:div>
    <w:div w:id="1729572731">
      <w:bodyDiv w:val="1"/>
      <w:marLeft w:val="0"/>
      <w:marRight w:val="0"/>
      <w:marTop w:val="0"/>
      <w:marBottom w:val="0"/>
      <w:divBdr>
        <w:top w:val="none" w:sz="0" w:space="0" w:color="auto"/>
        <w:left w:val="none" w:sz="0" w:space="0" w:color="auto"/>
        <w:bottom w:val="none" w:sz="0" w:space="0" w:color="auto"/>
        <w:right w:val="none" w:sz="0" w:space="0" w:color="auto"/>
      </w:divBdr>
    </w:div>
    <w:div w:id="1732145683">
      <w:bodyDiv w:val="1"/>
      <w:marLeft w:val="0"/>
      <w:marRight w:val="0"/>
      <w:marTop w:val="0"/>
      <w:marBottom w:val="0"/>
      <w:divBdr>
        <w:top w:val="none" w:sz="0" w:space="0" w:color="auto"/>
        <w:left w:val="none" w:sz="0" w:space="0" w:color="auto"/>
        <w:bottom w:val="none" w:sz="0" w:space="0" w:color="auto"/>
        <w:right w:val="none" w:sz="0" w:space="0" w:color="auto"/>
      </w:divBdr>
    </w:div>
    <w:div w:id="1734699374">
      <w:bodyDiv w:val="1"/>
      <w:marLeft w:val="0"/>
      <w:marRight w:val="0"/>
      <w:marTop w:val="0"/>
      <w:marBottom w:val="0"/>
      <w:divBdr>
        <w:top w:val="none" w:sz="0" w:space="0" w:color="auto"/>
        <w:left w:val="none" w:sz="0" w:space="0" w:color="auto"/>
        <w:bottom w:val="none" w:sz="0" w:space="0" w:color="auto"/>
        <w:right w:val="none" w:sz="0" w:space="0" w:color="auto"/>
      </w:divBdr>
    </w:div>
    <w:div w:id="1737125015">
      <w:bodyDiv w:val="1"/>
      <w:marLeft w:val="0"/>
      <w:marRight w:val="0"/>
      <w:marTop w:val="0"/>
      <w:marBottom w:val="0"/>
      <w:divBdr>
        <w:top w:val="none" w:sz="0" w:space="0" w:color="auto"/>
        <w:left w:val="none" w:sz="0" w:space="0" w:color="auto"/>
        <w:bottom w:val="none" w:sz="0" w:space="0" w:color="auto"/>
        <w:right w:val="none" w:sz="0" w:space="0" w:color="auto"/>
      </w:divBdr>
    </w:div>
    <w:div w:id="1743328972">
      <w:bodyDiv w:val="1"/>
      <w:marLeft w:val="0"/>
      <w:marRight w:val="0"/>
      <w:marTop w:val="0"/>
      <w:marBottom w:val="0"/>
      <w:divBdr>
        <w:top w:val="none" w:sz="0" w:space="0" w:color="auto"/>
        <w:left w:val="none" w:sz="0" w:space="0" w:color="auto"/>
        <w:bottom w:val="none" w:sz="0" w:space="0" w:color="auto"/>
        <w:right w:val="none" w:sz="0" w:space="0" w:color="auto"/>
      </w:divBdr>
    </w:div>
    <w:div w:id="1749957415">
      <w:bodyDiv w:val="1"/>
      <w:marLeft w:val="0"/>
      <w:marRight w:val="0"/>
      <w:marTop w:val="0"/>
      <w:marBottom w:val="0"/>
      <w:divBdr>
        <w:top w:val="none" w:sz="0" w:space="0" w:color="auto"/>
        <w:left w:val="none" w:sz="0" w:space="0" w:color="auto"/>
        <w:bottom w:val="none" w:sz="0" w:space="0" w:color="auto"/>
        <w:right w:val="none" w:sz="0" w:space="0" w:color="auto"/>
      </w:divBdr>
    </w:div>
    <w:div w:id="1751997716">
      <w:bodyDiv w:val="1"/>
      <w:marLeft w:val="0"/>
      <w:marRight w:val="0"/>
      <w:marTop w:val="0"/>
      <w:marBottom w:val="0"/>
      <w:divBdr>
        <w:top w:val="none" w:sz="0" w:space="0" w:color="auto"/>
        <w:left w:val="none" w:sz="0" w:space="0" w:color="auto"/>
        <w:bottom w:val="none" w:sz="0" w:space="0" w:color="auto"/>
        <w:right w:val="none" w:sz="0" w:space="0" w:color="auto"/>
      </w:divBdr>
    </w:div>
    <w:div w:id="1759790028">
      <w:bodyDiv w:val="1"/>
      <w:marLeft w:val="0"/>
      <w:marRight w:val="0"/>
      <w:marTop w:val="0"/>
      <w:marBottom w:val="0"/>
      <w:divBdr>
        <w:top w:val="none" w:sz="0" w:space="0" w:color="auto"/>
        <w:left w:val="none" w:sz="0" w:space="0" w:color="auto"/>
        <w:bottom w:val="none" w:sz="0" w:space="0" w:color="auto"/>
        <w:right w:val="none" w:sz="0" w:space="0" w:color="auto"/>
      </w:divBdr>
    </w:div>
    <w:div w:id="1761024546">
      <w:bodyDiv w:val="1"/>
      <w:marLeft w:val="0"/>
      <w:marRight w:val="0"/>
      <w:marTop w:val="0"/>
      <w:marBottom w:val="0"/>
      <w:divBdr>
        <w:top w:val="none" w:sz="0" w:space="0" w:color="auto"/>
        <w:left w:val="none" w:sz="0" w:space="0" w:color="auto"/>
        <w:bottom w:val="none" w:sz="0" w:space="0" w:color="auto"/>
        <w:right w:val="none" w:sz="0" w:space="0" w:color="auto"/>
      </w:divBdr>
    </w:div>
    <w:div w:id="1763985000">
      <w:bodyDiv w:val="1"/>
      <w:marLeft w:val="0"/>
      <w:marRight w:val="0"/>
      <w:marTop w:val="0"/>
      <w:marBottom w:val="0"/>
      <w:divBdr>
        <w:top w:val="none" w:sz="0" w:space="0" w:color="auto"/>
        <w:left w:val="none" w:sz="0" w:space="0" w:color="auto"/>
        <w:bottom w:val="none" w:sz="0" w:space="0" w:color="auto"/>
        <w:right w:val="none" w:sz="0" w:space="0" w:color="auto"/>
      </w:divBdr>
    </w:div>
    <w:div w:id="1768304981">
      <w:bodyDiv w:val="1"/>
      <w:marLeft w:val="0"/>
      <w:marRight w:val="0"/>
      <w:marTop w:val="0"/>
      <w:marBottom w:val="0"/>
      <w:divBdr>
        <w:top w:val="none" w:sz="0" w:space="0" w:color="auto"/>
        <w:left w:val="none" w:sz="0" w:space="0" w:color="auto"/>
        <w:bottom w:val="none" w:sz="0" w:space="0" w:color="auto"/>
        <w:right w:val="none" w:sz="0" w:space="0" w:color="auto"/>
      </w:divBdr>
    </w:div>
    <w:div w:id="1772774752">
      <w:bodyDiv w:val="1"/>
      <w:marLeft w:val="0"/>
      <w:marRight w:val="0"/>
      <w:marTop w:val="0"/>
      <w:marBottom w:val="0"/>
      <w:divBdr>
        <w:top w:val="none" w:sz="0" w:space="0" w:color="auto"/>
        <w:left w:val="none" w:sz="0" w:space="0" w:color="auto"/>
        <w:bottom w:val="none" w:sz="0" w:space="0" w:color="auto"/>
        <w:right w:val="none" w:sz="0" w:space="0" w:color="auto"/>
      </w:divBdr>
    </w:div>
    <w:div w:id="1775250438">
      <w:bodyDiv w:val="1"/>
      <w:marLeft w:val="0"/>
      <w:marRight w:val="0"/>
      <w:marTop w:val="0"/>
      <w:marBottom w:val="0"/>
      <w:divBdr>
        <w:top w:val="none" w:sz="0" w:space="0" w:color="auto"/>
        <w:left w:val="none" w:sz="0" w:space="0" w:color="auto"/>
        <w:bottom w:val="none" w:sz="0" w:space="0" w:color="auto"/>
        <w:right w:val="none" w:sz="0" w:space="0" w:color="auto"/>
      </w:divBdr>
    </w:div>
    <w:div w:id="1777214458">
      <w:bodyDiv w:val="1"/>
      <w:marLeft w:val="0"/>
      <w:marRight w:val="0"/>
      <w:marTop w:val="0"/>
      <w:marBottom w:val="0"/>
      <w:divBdr>
        <w:top w:val="none" w:sz="0" w:space="0" w:color="auto"/>
        <w:left w:val="none" w:sz="0" w:space="0" w:color="auto"/>
        <w:bottom w:val="none" w:sz="0" w:space="0" w:color="auto"/>
        <w:right w:val="none" w:sz="0" w:space="0" w:color="auto"/>
      </w:divBdr>
    </w:div>
    <w:div w:id="1781290785">
      <w:bodyDiv w:val="1"/>
      <w:marLeft w:val="0"/>
      <w:marRight w:val="0"/>
      <w:marTop w:val="0"/>
      <w:marBottom w:val="0"/>
      <w:divBdr>
        <w:top w:val="none" w:sz="0" w:space="0" w:color="auto"/>
        <w:left w:val="none" w:sz="0" w:space="0" w:color="auto"/>
        <w:bottom w:val="none" w:sz="0" w:space="0" w:color="auto"/>
        <w:right w:val="none" w:sz="0" w:space="0" w:color="auto"/>
      </w:divBdr>
    </w:div>
    <w:div w:id="1781602158">
      <w:bodyDiv w:val="1"/>
      <w:marLeft w:val="0"/>
      <w:marRight w:val="0"/>
      <w:marTop w:val="0"/>
      <w:marBottom w:val="0"/>
      <w:divBdr>
        <w:top w:val="none" w:sz="0" w:space="0" w:color="auto"/>
        <w:left w:val="none" w:sz="0" w:space="0" w:color="auto"/>
        <w:bottom w:val="none" w:sz="0" w:space="0" w:color="auto"/>
        <w:right w:val="none" w:sz="0" w:space="0" w:color="auto"/>
      </w:divBdr>
    </w:div>
    <w:div w:id="1785805354">
      <w:bodyDiv w:val="1"/>
      <w:marLeft w:val="0"/>
      <w:marRight w:val="0"/>
      <w:marTop w:val="0"/>
      <w:marBottom w:val="0"/>
      <w:divBdr>
        <w:top w:val="none" w:sz="0" w:space="0" w:color="auto"/>
        <w:left w:val="none" w:sz="0" w:space="0" w:color="auto"/>
        <w:bottom w:val="none" w:sz="0" w:space="0" w:color="auto"/>
        <w:right w:val="none" w:sz="0" w:space="0" w:color="auto"/>
      </w:divBdr>
    </w:div>
    <w:div w:id="1792165188">
      <w:bodyDiv w:val="1"/>
      <w:marLeft w:val="0"/>
      <w:marRight w:val="0"/>
      <w:marTop w:val="0"/>
      <w:marBottom w:val="0"/>
      <w:divBdr>
        <w:top w:val="none" w:sz="0" w:space="0" w:color="auto"/>
        <w:left w:val="none" w:sz="0" w:space="0" w:color="auto"/>
        <w:bottom w:val="none" w:sz="0" w:space="0" w:color="auto"/>
        <w:right w:val="none" w:sz="0" w:space="0" w:color="auto"/>
      </w:divBdr>
    </w:div>
    <w:div w:id="1800417779">
      <w:bodyDiv w:val="1"/>
      <w:marLeft w:val="0"/>
      <w:marRight w:val="0"/>
      <w:marTop w:val="0"/>
      <w:marBottom w:val="0"/>
      <w:divBdr>
        <w:top w:val="none" w:sz="0" w:space="0" w:color="auto"/>
        <w:left w:val="none" w:sz="0" w:space="0" w:color="auto"/>
        <w:bottom w:val="none" w:sz="0" w:space="0" w:color="auto"/>
        <w:right w:val="none" w:sz="0" w:space="0" w:color="auto"/>
      </w:divBdr>
    </w:div>
    <w:div w:id="1808745408">
      <w:bodyDiv w:val="1"/>
      <w:marLeft w:val="0"/>
      <w:marRight w:val="0"/>
      <w:marTop w:val="0"/>
      <w:marBottom w:val="0"/>
      <w:divBdr>
        <w:top w:val="none" w:sz="0" w:space="0" w:color="auto"/>
        <w:left w:val="none" w:sz="0" w:space="0" w:color="auto"/>
        <w:bottom w:val="none" w:sz="0" w:space="0" w:color="auto"/>
        <w:right w:val="none" w:sz="0" w:space="0" w:color="auto"/>
      </w:divBdr>
    </w:div>
    <w:div w:id="1815827456">
      <w:bodyDiv w:val="1"/>
      <w:marLeft w:val="0"/>
      <w:marRight w:val="0"/>
      <w:marTop w:val="0"/>
      <w:marBottom w:val="0"/>
      <w:divBdr>
        <w:top w:val="none" w:sz="0" w:space="0" w:color="auto"/>
        <w:left w:val="none" w:sz="0" w:space="0" w:color="auto"/>
        <w:bottom w:val="none" w:sz="0" w:space="0" w:color="auto"/>
        <w:right w:val="none" w:sz="0" w:space="0" w:color="auto"/>
      </w:divBdr>
    </w:div>
    <w:div w:id="1817868834">
      <w:bodyDiv w:val="1"/>
      <w:marLeft w:val="0"/>
      <w:marRight w:val="0"/>
      <w:marTop w:val="0"/>
      <w:marBottom w:val="0"/>
      <w:divBdr>
        <w:top w:val="none" w:sz="0" w:space="0" w:color="auto"/>
        <w:left w:val="none" w:sz="0" w:space="0" w:color="auto"/>
        <w:bottom w:val="none" w:sz="0" w:space="0" w:color="auto"/>
        <w:right w:val="none" w:sz="0" w:space="0" w:color="auto"/>
      </w:divBdr>
    </w:div>
    <w:div w:id="1820268110">
      <w:bodyDiv w:val="1"/>
      <w:marLeft w:val="0"/>
      <w:marRight w:val="0"/>
      <w:marTop w:val="0"/>
      <w:marBottom w:val="0"/>
      <w:divBdr>
        <w:top w:val="none" w:sz="0" w:space="0" w:color="auto"/>
        <w:left w:val="none" w:sz="0" w:space="0" w:color="auto"/>
        <w:bottom w:val="none" w:sz="0" w:space="0" w:color="auto"/>
        <w:right w:val="none" w:sz="0" w:space="0" w:color="auto"/>
      </w:divBdr>
    </w:div>
    <w:div w:id="1824538308">
      <w:bodyDiv w:val="1"/>
      <w:marLeft w:val="0"/>
      <w:marRight w:val="0"/>
      <w:marTop w:val="0"/>
      <w:marBottom w:val="0"/>
      <w:divBdr>
        <w:top w:val="none" w:sz="0" w:space="0" w:color="auto"/>
        <w:left w:val="none" w:sz="0" w:space="0" w:color="auto"/>
        <w:bottom w:val="none" w:sz="0" w:space="0" w:color="auto"/>
        <w:right w:val="none" w:sz="0" w:space="0" w:color="auto"/>
      </w:divBdr>
    </w:div>
    <w:div w:id="1835797866">
      <w:bodyDiv w:val="1"/>
      <w:marLeft w:val="0"/>
      <w:marRight w:val="0"/>
      <w:marTop w:val="0"/>
      <w:marBottom w:val="0"/>
      <w:divBdr>
        <w:top w:val="none" w:sz="0" w:space="0" w:color="auto"/>
        <w:left w:val="none" w:sz="0" w:space="0" w:color="auto"/>
        <w:bottom w:val="none" w:sz="0" w:space="0" w:color="auto"/>
        <w:right w:val="none" w:sz="0" w:space="0" w:color="auto"/>
      </w:divBdr>
    </w:div>
    <w:div w:id="1843929621">
      <w:bodyDiv w:val="1"/>
      <w:marLeft w:val="0"/>
      <w:marRight w:val="0"/>
      <w:marTop w:val="0"/>
      <w:marBottom w:val="0"/>
      <w:divBdr>
        <w:top w:val="none" w:sz="0" w:space="0" w:color="auto"/>
        <w:left w:val="none" w:sz="0" w:space="0" w:color="auto"/>
        <w:bottom w:val="none" w:sz="0" w:space="0" w:color="auto"/>
        <w:right w:val="none" w:sz="0" w:space="0" w:color="auto"/>
      </w:divBdr>
    </w:div>
    <w:div w:id="1847089784">
      <w:bodyDiv w:val="1"/>
      <w:marLeft w:val="0"/>
      <w:marRight w:val="0"/>
      <w:marTop w:val="0"/>
      <w:marBottom w:val="0"/>
      <w:divBdr>
        <w:top w:val="none" w:sz="0" w:space="0" w:color="auto"/>
        <w:left w:val="none" w:sz="0" w:space="0" w:color="auto"/>
        <w:bottom w:val="none" w:sz="0" w:space="0" w:color="auto"/>
        <w:right w:val="none" w:sz="0" w:space="0" w:color="auto"/>
      </w:divBdr>
    </w:div>
    <w:div w:id="1847212091">
      <w:bodyDiv w:val="1"/>
      <w:marLeft w:val="0"/>
      <w:marRight w:val="0"/>
      <w:marTop w:val="0"/>
      <w:marBottom w:val="0"/>
      <w:divBdr>
        <w:top w:val="none" w:sz="0" w:space="0" w:color="auto"/>
        <w:left w:val="none" w:sz="0" w:space="0" w:color="auto"/>
        <w:bottom w:val="none" w:sz="0" w:space="0" w:color="auto"/>
        <w:right w:val="none" w:sz="0" w:space="0" w:color="auto"/>
      </w:divBdr>
    </w:div>
    <w:div w:id="1849981340">
      <w:bodyDiv w:val="1"/>
      <w:marLeft w:val="0"/>
      <w:marRight w:val="0"/>
      <w:marTop w:val="0"/>
      <w:marBottom w:val="0"/>
      <w:divBdr>
        <w:top w:val="none" w:sz="0" w:space="0" w:color="auto"/>
        <w:left w:val="none" w:sz="0" w:space="0" w:color="auto"/>
        <w:bottom w:val="none" w:sz="0" w:space="0" w:color="auto"/>
        <w:right w:val="none" w:sz="0" w:space="0" w:color="auto"/>
      </w:divBdr>
    </w:div>
    <w:div w:id="1854755782">
      <w:bodyDiv w:val="1"/>
      <w:marLeft w:val="0"/>
      <w:marRight w:val="0"/>
      <w:marTop w:val="0"/>
      <w:marBottom w:val="0"/>
      <w:divBdr>
        <w:top w:val="none" w:sz="0" w:space="0" w:color="auto"/>
        <w:left w:val="none" w:sz="0" w:space="0" w:color="auto"/>
        <w:bottom w:val="none" w:sz="0" w:space="0" w:color="auto"/>
        <w:right w:val="none" w:sz="0" w:space="0" w:color="auto"/>
      </w:divBdr>
    </w:div>
    <w:div w:id="1854875044">
      <w:bodyDiv w:val="1"/>
      <w:marLeft w:val="0"/>
      <w:marRight w:val="0"/>
      <w:marTop w:val="0"/>
      <w:marBottom w:val="0"/>
      <w:divBdr>
        <w:top w:val="none" w:sz="0" w:space="0" w:color="auto"/>
        <w:left w:val="none" w:sz="0" w:space="0" w:color="auto"/>
        <w:bottom w:val="none" w:sz="0" w:space="0" w:color="auto"/>
        <w:right w:val="none" w:sz="0" w:space="0" w:color="auto"/>
      </w:divBdr>
    </w:div>
    <w:div w:id="1857160213">
      <w:bodyDiv w:val="1"/>
      <w:marLeft w:val="0"/>
      <w:marRight w:val="0"/>
      <w:marTop w:val="0"/>
      <w:marBottom w:val="0"/>
      <w:divBdr>
        <w:top w:val="none" w:sz="0" w:space="0" w:color="auto"/>
        <w:left w:val="none" w:sz="0" w:space="0" w:color="auto"/>
        <w:bottom w:val="none" w:sz="0" w:space="0" w:color="auto"/>
        <w:right w:val="none" w:sz="0" w:space="0" w:color="auto"/>
      </w:divBdr>
    </w:div>
    <w:div w:id="1875846347">
      <w:bodyDiv w:val="1"/>
      <w:marLeft w:val="0"/>
      <w:marRight w:val="0"/>
      <w:marTop w:val="0"/>
      <w:marBottom w:val="0"/>
      <w:divBdr>
        <w:top w:val="none" w:sz="0" w:space="0" w:color="auto"/>
        <w:left w:val="none" w:sz="0" w:space="0" w:color="auto"/>
        <w:bottom w:val="none" w:sz="0" w:space="0" w:color="auto"/>
        <w:right w:val="none" w:sz="0" w:space="0" w:color="auto"/>
      </w:divBdr>
    </w:div>
    <w:div w:id="1879124435">
      <w:bodyDiv w:val="1"/>
      <w:marLeft w:val="0"/>
      <w:marRight w:val="0"/>
      <w:marTop w:val="0"/>
      <w:marBottom w:val="0"/>
      <w:divBdr>
        <w:top w:val="none" w:sz="0" w:space="0" w:color="auto"/>
        <w:left w:val="none" w:sz="0" w:space="0" w:color="auto"/>
        <w:bottom w:val="none" w:sz="0" w:space="0" w:color="auto"/>
        <w:right w:val="none" w:sz="0" w:space="0" w:color="auto"/>
      </w:divBdr>
    </w:div>
    <w:div w:id="1879582661">
      <w:bodyDiv w:val="1"/>
      <w:marLeft w:val="0"/>
      <w:marRight w:val="0"/>
      <w:marTop w:val="0"/>
      <w:marBottom w:val="0"/>
      <w:divBdr>
        <w:top w:val="none" w:sz="0" w:space="0" w:color="auto"/>
        <w:left w:val="none" w:sz="0" w:space="0" w:color="auto"/>
        <w:bottom w:val="none" w:sz="0" w:space="0" w:color="auto"/>
        <w:right w:val="none" w:sz="0" w:space="0" w:color="auto"/>
      </w:divBdr>
    </w:div>
    <w:div w:id="1882593295">
      <w:bodyDiv w:val="1"/>
      <w:marLeft w:val="0"/>
      <w:marRight w:val="0"/>
      <w:marTop w:val="0"/>
      <w:marBottom w:val="0"/>
      <w:divBdr>
        <w:top w:val="none" w:sz="0" w:space="0" w:color="auto"/>
        <w:left w:val="none" w:sz="0" w:space="0" w:color="auto"/>
        <w:bottom w:val="none" w:sz="0" w:space="0" w:color="auto"/>
        <w:right w:val="none" w:sz="0" w:space="0" w:color="auto"/>
      </w:divBdr>
    </w:div>
    <w:div w:id="1883663684">
      <w:bodyDiv w:val="1"/>
      <w:marLeft w:val="0"/>
      <w:marRight w:val="0"/>
      <w:marTop w:val="0"/>
      <w:marBottom w:val="0"/>
      <w:divBdr>
        <w:top w:val="none" w:sz="0" w:space="0" w:color="auto"/>
        <w:left w:val="none" w:sz="0" w:space="0" w:color="auto"/>
        <w:bottom w:val="none" w:sz="0" w:space="0" w:color="auto"/>
        <w:right w:val="none" w:sz="0" w:space="0" w:color="auto"/>
      </w:divBdr>
    </w:div>
    <w:div w:id="1888107893">
      <w:bodyDiv w:val="1"/>
      <w:marLeft w:val="0"/>
      <w:marRight w:val="0"/>
      <w:marTop w:val="0"/>
      <w:marBottom w:val="0"/>
      <w:divBdr>
        <w:top w:val="none" w:sz="0" w:space="0" w:color="auto"/>
        <w:left w:val="none" w:sz="0" w:space="0" w:color="auto"/>
        <w:bottom w:val="none" w:sz="0" w:space="0" w:color="auto"/>
        <w:right w:val="none" w:sz="0" w:space="0" w:color="auto"/>
      </w:divBdr>
    </w:div>
    <w:div w:id="1892619342">
      <w:bodyDiv w:val="1"/>
      <w:marLeft w:val="0"/>
      <w:marRight w:val="0"/>
      <w:marTop w:val="0"/>
      <w:marBottom w:val="0"/>
      <w:divBdr>
        <w:top w:val="none" w:sz="0" w:space="0" w:color="auto"/>
        <w:left w:val="none" w:sz="0" w:space="0" w:color="auto"/>
        <w:bottom w:val="none" w:sz="0" w:space="0" w:color="auto"/>
        <w:right w:val="none" w:sz="0" w:space="0" w:color="auto"/>
      </w:divBdr>
    </w:div>
    <w:div w:id="1899395220">
      <w:bodyDiv w:val="1"/>
      <w:marLeft w:val="0"/>
      <w:marRight w:val="0"/>
      <w:marTop w:val="0"/>
      <w:marBottom w:val="0"/>
      <w:divBdr>
        <w:top w:val="none" w:sz="0" w:space="0" w:color="auto"/>
        <w:left w:val="none" w:sz="0" w:space="0" w:color="auto"/>
        <w:bottom w:val="none" w:sz="0" w:space="0" w:color="auto"/>
        <w:right w:val="none" w:sz="0" w:space="0" w:color="auto"/>
      </w:divBdr>
    </w:div>
    <w:div w:id="1911690056">
      <w:bodyDiv w:val="1"/>
      <w:marLeft w:val="0"/>
      <w:marRight w:val="0"/>
      <w:marTop w:val="0"/>
      <w:marBottom w:val="0"/>
      <w:divBdr>
        <w:top w:val="none" w:sz="0" w:space="0" w:color="auto"/>
        <w:left w:val="none" w:sz="0" w:space="0" w:color="auto"/>
        <w:bottom w:val="none" w:sz="0" w:space="0" w:color="auto"/>
        <w:right w:val="none" w:sz="0" w:space="0" w:color="auto"/>
      </w:divBdr>
    </w:div>
    <w:div w:id="1915629831">
      <w:bodyDiv w:val="1"/>
      <w:marLeft w:val="0"/>
      <w:marRight w:val="0"/>
      <w:marTop w:val="0"/>
      <w:marBottom w:val="0"/>
      <w:divBdr>
        <w:top w:val="none" w:sz="0" w:space="0" w:color="auto"/>
        <w:left w:val="none" w:sz="0" w:space="0" w:color="auto"/>
        <w:bottom w:val="none" w:sz="0" w:space="0" w:color="auto"/>
        <w:right w:val="none" w:sz="0" w:space="0" w:color="auto"/>
      </w:divBdr>
    </w:div>
    <w:div w:id="1919557753">
      <w:bodyDiv w:val="1"/>
      <w:marLeft w:val="0"/>
      <w:marRight w:val="0"/>
      <w:marTop w:val="0"/>
      <w:marBottom w:val="0"/>
      <w:divBdr>
        <w:top w:val="none" w:sz="0" w:space="0" w:color="auto"/>
        <w:left w:val="none" w:sz="0" w:space="0" w:color="auto"/>
        <w:bottom w:val="none" w:sz="0" w:space="0" w:color="auto"/>
        <w:right w:val="none" w:sz="0" w:space="0" w:color="auto"/>
      </w:divBdr>
    </w:div>
    <w:div w:id="1920171057">
      <w:bodyDiv w:val="1"/>
      <w:marLeft w:val="0"/>
      <w:marRight w:val="0"/>
      <w:marTop w:val="0"/>
      <w:marBottom w:val="0"/>
      <w:divBdr>
        <w:top w:val="none" w:sz="0" w:space="0" w:color="auto"/>
        <w:left w:val="none" w:sz="0" w:space="0" w:color="auto"/>
        <w:bottom w:val="none" w:sz="0" w:space="0" w:color="auto"/>
        <w:right w:val="none" w:sz="0" w:space="0" w:color="auto"/>
      </w:divBdr>
    </w:div>
    <w:div w:id="1925527361">
      <w:bodyDiv w:val="1"/>
      <w:marLeft w:val="0"/>
      <w:marRight w:val="0"/>
      <w:marTop w:val="0"/>
      <w:marBottom w:val="0"/>
      <w:divBdr>
        <w:top w:val="none" w:sz="0" w:space="0" w:color="auto"/>
        <w:left w:val="none" w:sz="0" w:space="0" w:color="auto"/>
        <w:bottom w:val="none" w:sz="0" w:space="0" w:color="auto"/>
        <w:right w:val="none" w:sz="0" w:space="0" w:color="auto"/>
      </w:divBdr>
    </w:div>
    <w:div w:id="1925600197">
      <w:bodyDiv w:val="1"/>
      <w:marLeft w:val="0"/>
      <w:marRight w:val="0"/>
      <w:marTop w:val="0"/>
      <w:marBottom w:val="0"/>
      <w:divBdr>
        <w:top w:val="none" w:sz="0" w:space="0" w:color="auto"/>
        <w:left w:val="none" w:sz="0" w:space="0" w:color="auto"/>
        <w:bottom w:val="none" w:sz="0" w:space="0" w:color="auto"/>
        <w:right w:val="none" w:sz="0" w:space="0" w:color="auto"/>
      </w:divBdr>
    </w:div>
    <w:div w:id="1927421942">
      <w:bodyDiv w:val="1"/>
      <w:marLeft w:val="0"/>
      <w:marRight w:val="0"/>
      <w:marTop w:val="0"/>
      <w:marBottom w:val="0"/>
      <w:divBdr>
        <w:top w:val="none" w:sz="0" w:space="0" w:color="auto"/>
        <w:left w:val="none" w:sz="0" w:space="0" w:color="auto"/>
        <w:bottom w:val="none" w:sz="0" w:space="0" w:color="auto"/>
        <w:right w:val="none" w:sz="0" w:space="0" w:color="auto"/>
      </w:divBdr>
    </w:div>
    <w:div w:id="1927685923">
      <w:bodyDiv w:val="1"/>
      <w:marLeft w:val="0"/>
      <w:marRight w:val="0"/>
      <w:marTop w:val="0"/>
      <w:marBottom w:val="0"/>
      <w:divBdr>
        <w:top w:val="none" w:sz="0" w:space="0" w:color="auto"/>
        <w:left w:val="none" w:sz="0" w:space="0" w:color="auto"/>
        <w:bottom w:val="none" w:sz="0" w:space="0" w:color="auto"/>
        <w:right w:val="none" w:sz="0" w:space="0" w:color="auto"/>
      </w:divBdr>
    </w:div>
    <w:div w:id="1929383133">
      <w:bodyDiv w:val="1"/>
      <w:marLeft w:val="0"/>
      <w:marRight w:val="0"/>
      <w:marTop w:val="0"/>
      <w:marBottom w:val="0"/>
      <w:divBdr>
        <w:top w:val="none" w:sz="0" w:space="0" w:color="auto"/>
        <w:left w:val="none" w:sz="0" w:space="0" w:color="auto"/>
        <w:bottom w:val="none" w:sz="0" w:space="0" w:color="auto"/>
        <w:right w:val="none" w:sz="0" w:space="0" w:color="auto"/>
      </w:divBdr>
    </w:div>
    <w:div w:id="1933128648">
      <w:bodyDiv w:val="1"/>
      <w:marLeft w:val="0"/>
      <w:marRight w:val="0"/>
      <w:marTop w:val="0"/>
      <w:marBottom w:val="0"/>
      <w:divBdr>
        <w:top w:val="none" w:sz="0" w:space="0" w:color="auto"/>
        <w:left w:val="none" w:sz="0" w:space="0" w:color="auto"/>
        <w:bottom w:val="none" w:sz="0" w:space="0" w:color="auto"/>
        <w:right w:val="none" w:sz="0" w:space="0" w:color="auto"/>
      </w:divBdr>
    </w:div>
    <w:div w:id="1941646613">
      <w:bodyDiv w:val="1"/>
      <w:marLeft w:val="0"/>
      <w:marRight w:val="0"/>
      <w:marTop w:val="0"/>
      <w:marBottom w:val="0"/>
      <w:divBdr>
        <w:top w:val="none" w:sz="0" w:space="0" w:color="auto"/>
        <w:left w:val="none" w:sz="0" w:space="0" w:color="auto"/>
        <w:bottom w:val="none" w:sz="0" w:space="0" w:color="auto"/>
        <w:right w:val="none" w:sz="0" w:space="0" w:color="auto"/>
      </w:divBdr>
    </w:div>
    <w:div w:id="1947344444">
      <w:bodyDiv w:val="1"/>
      <w:marLeft w:val="0"/>
      <w:marRight w:val="0"/>
      <w:marTop w:val="0"/>
      <w:marBottom w:val="0"/>
      <w:divBdr>
        <w:top w:val="none" w:sz="0" w:space="0" w:color="auto"/>
        <w:left w:val="none" w:sz="0" w:space="0" w:color="auto"/>
        <w:bottom w:val="none" w:sz="0" w:space="0" w:color="auto"/>
        <w:right w:val="none" w:sz="0" w:space="0" w:color="auto"/>
      </w:divBdr>
    </w:div>
    <w:div w:id="1954551325">
      <w:bodyDiv w:val="1"/>
      <w:marLeft w:val="0"/>
      <w:marRight w:val="0"/>
      <w:marTop w:val="0"/>
      <w:marBottom w:val="0"/>
      <w:divBdr>
        <w:top w:val="none" w:sz="0" w:space="0" w:color="auto"/>
        <w:left w:val="none" w:sz="0" w:space="0" w:color="auto"/>
        <w:bottom w:val="none" w:sz="0" w:space="0" w:color="auto"/>
        <w:right w:val="none" w:sz="0" w:space="0" w:color="auto"/>
      </w:divBdr>
    </w:div>
    <w:div w:id="1959484592">
      <w:bodyDiv w:val="1"/>
      <w:marLeft w:val="0"/>
      <w:marRight w:val="0"/>
      <w:marTop w:val="0"/>
      <w:marBottom w:val="0"/>
      <w:divBdr>
        <w:top w:val="none" w:sz="0" w:space="0" w:color="auto"/>
        <w:left w:val="none" w:sz="0" w:space="0" w:color="auto"/>
        <w:bottom w:val="none" w:sz="0" w:space="0" w:color="auto"/>
        <w:right w:val="none" w:sz="0" w:space="0" w:color="auto"/>
      </w:divBdr>
    </w:div>
    <w:div w:id="1959945801">
      <w:bodyDiv w:val="1"/>
      <w:marLeft w:val="0"/>
      <w:marRight w:val="0"/>
      <w:marTop w:val="0"/>
      <w:marBottom w:val="0"/>
      <w:divBdr>
        <w:top w:val="none" w:sz="0" w:space="0" w:color="auto"/>
        <w:left w:val="none" w:sz="0" w:space="0" w:color="auto"/>
        <w:bottom w:val="none" w:sz="0" w:space="0" w:color="auto"/>
        <w:right w:val="none" w:sz="0" w:space="0" w:color="auto"/>
      </w:divBdr>
    </w:div>
    <w:div w:id="1961108116">
      <w:bodyDiv w:val="1"/>
      <w:marLeft w:val="0"/>
      <w:marRight w:val="0"/>
      <w:marTop w:val="0"/>
      <w:marBottom w:val="0"/>
      <w:divBdr>
        <w:top w:val="none" w:sz="0" w:space="0" w:color="auto"/>
        <w:left w:val="none" w:sz="0" w:space="0" w:color="auto"/>
        <w:bottom w:val="none" w:sz="0" w:space="0" w:color="auto"/>
        <w:right w:val="none" w:sz="0" w:space="0" w:color="auto"/>
      </w:divBdr>
    </w:div>
    <w:div w:id="1961256734">
      <w:bodyDiv w:val="1"/>
      <w:marLeft w:val="0"/>
      <w:marRight w:val="0"/>
      <w:marTop w:val="0"/>
      <w:marBottom w:val="0"/>
      <w:divBdr>
        <w:top w:val="none" w:sz="0" w:space="0" w:color="auto"/>
        <w:left w:val="none" w:sz="0" w:space="0" w:color="auto"/>
        <w:bottom w:val="none" w:sz="0" w:space="0" w:color="auto"/>
        <w:right w:val="none" w:sz="0" w:space="0" w:color="auto"/>
      </w:divBdr>
    </w:div>
    <w:div w:id="1971012718">
      <w:bodyDiv w:val="1"/>
      <w:marLeft w:val="0"/>
      <w:marRight w:val="0"/>
      <w:marTop w:val="0"/>
      <w:marBottom w:val="0"/>
      <w:divBdr>
        <w:top w:val="none" w:sz="0" w:space="0" w:color="auto"/>
        <w:left w:val="none" w:sz="0" w:space="0" w:color="auto"/>
        <w:bottom w:val="none" w:sz="0" w:space="0" w:color="auto"/>
        <w:right w:val="none" w:sz="0" w:space="0" w:color="auto"/>
      </w:divBdr>
    </w:div>
    <w:div w:id="1971473250">
      <w:bodyDiv w:val="1"/>
      <w:marLeft w:val="0"/>
      <w:marRight w:val="0"/>
      <w:marTop w:val="0"/>
      <w:marBottom w:val="0"/>
      <w:divBdr>
        <w:top w:val="none" w:sz="0" w:space="0" w:color="auto"/>
        <w:left w:val="none" w:sz="0" w:space="0" w:color="auto"/>
        <w:bottom w:val="none" w:sz="0" w:space="0" w:color="auto"/>
        <w:right w:val="none" w:sz="0" w:space="0" w:color="auto"/>
      </w:divBdr>
    </w:div>
    <w:div w:id="1972512780">
      <w:bodyDiv w:val="1"/>
      <w:marLeft w:val="0"/>
      <w:marRight w:val="0"/>
      <w:marTop w:val="0"/>
      <w:marBottom w:val="0"/>
      <w:divBdr>
        <w:top w:val="none" w:sz="0" w:space="0" w:color="auto"/>
        <w:left w:val="none" w:sz="0" w:space="0" w:color="auto"/>
        <w:bottom w:val="none" w:sz="0" w:space="0" w:color="auto"/>
        <w:right w:val="none" w:sz="0" w:space="0" w:color="auto"/>
      </w:divBdr>
    </w:div>
    <w:div w:id="1974290683">
      <w:bodyDiv w:val="1"/>
      <w:marLeft w:val="0"/>
      <w:marRight w:val="0"/>
      <w:marTop w:val="0"/>
      <w:marBottom w:val="0"/>
      <w:divBdr>
        <w:top w:val="none" w:sz="0" w:space="0" w:color="auto"/>
        <w:left w:val="none" w:sz="0" w:space="0" w:color="auto"/>
        <w:bottom w:val="none" w:sz="0" w:space="0" w:color="auto"/>
        <w:right w:val="none" w:sz="0" w:space="0" w:color="auto"/>
      </w:divBdr>
    </w:div>
    <w:div w:id="1976332988">
      <w:bodyDiv w:val="1"/>
      <w:marLeft w:val="0"/>
      <w:marRight w:val="0"/>
      <w:marTop w:val="0"/>
      <w:marBottom w:val="0"/>
      <w:divBdr>
        <w:top w:val="none" w:sz="0" w:space="0" w:color="auto"/>
        <w:left w:val="none" w:sz="0" w:space="0" w:color="auto"/>
        <w:bottom w:val="none" w:sz="0" w:space="0" w:color="auto"/>
        <w:right w:val="none" w:sz="0" w:space="0" w:color="auto"/>
      </w:divBdr>
    </w:div>
    <w:div w:id="1978294733">
      <w:bodyDiv w:val="1"/>
      <w:marLeft w:val="0"/>
      <w:marRight w:val="0"/>
      <w:marTop w:val="0"/>
      <w:marBottom w:val="0"/>
      <w:divBdr>
        <w:top w:val="none" w:sz="0" w:space="0" w:color="auto"/>
        <w:left w:val="none" w:sz="0" w:space="0" w:color="auto"/>
        <w:bottom w:val="none" w:sz="0" w:space="0" w:color="auto"/>
        <w:right w:val="none" w:sz="0" w:space="0" w:color="auto"/>
      </w:divBdr>
    </w:div>
    <w:div w:id="1981499434">
      <w:bodyDiv w:val="1"/>
      <w:marLeft w:val="0"/>
      <w:marRight w:val="0"/>
      <w:marTop w:val="0"/>
      <w:marBottom w:val="0"/>
      <w:divBdr>
        <w:top w:val="none" w:sz="0" w:space="0" w:color="auto"/>
        <w:left w:val="none" w:sz="0" w:space="0" w:color="auto"/>
        <w:bottom w:val="none" w:sz="0" w:space="0" w:color="auto"/>
        <w:right w:val="none" w:sz="0" w:space="0" w:color="auto"/>
      </w:divBdr>
    </w:div>
    <w:div w:id="1990668275">
      <w:bodyDiv w:val="1"/>
      <w:marLeft w:val="0"/>
      <w:marRight w:val="0"/>
      <w:marTop w:val="0"/>
      <w:marBottom w:val="0"/>
      <w:divBdr>
        <w:top w:val="none" w:sz="0" w:space="0" w:color="auto"/>
        <w:left w:val="none" w:sz="0" w:space="0" w:color="auto"/>
        <w:bottom w:val="none" w:sz="0" w:space="0" w:color="auto"/>
        <w:right w:val="none" w:sz="0" w:space="0" w:color="auto"/>
      </w:divBdr>
    </w:div>
    <w:div w:id="1993630484">
      <w:bodyDiv w:val="1"/>
      <w:marLeft w:val="0"/>
      <w:marRight w:val="0"/>
      <w:marTop w:val="0"/>
      <w:marBottom w:val="0"/>
      <w:divBdr>
        <w:top w:val="none" w:sz="0" w:space="0" w:color="auto"/>
        <w:left w:val="none" w:sz="0" w:space="0" w:color="auto"/>
        <w:bottom w:val="none" w:sz="0" w:space="0" w:color="auto"/>
        <w:right w:val="none" w:sz="0" w:space="0" w:color="auto"/>
      </w:divBdr>
    </w:div>
    <w:div w:id="2008702782">
      <w:bodyDiv w:val="1"/>
      <w:marLeft w:val="0"/>
      <w:marRight w:val="0"/>
      <w:marTop w:val="0"/>
      <w:marBottom w:val="0"/>
      <w:divBdr>
        <w:top w:val="none" w:sz="0" w:space="0" w:color="auto"/>
        <w:left w:val="none" w:sz="0" w:space="0" w:color="auto"/>
        <w:bottom w:val="none" w:sz="0" w:space="0" w:color="auto"/>
        <w:right w:val="none" w:sz="0" w:space="0" w:color="auto"/>
      </w:divBdr>
    </w:div>
    <w:div w:id="2011564867">
      <w:bodyDiv w:val="1"/>
      <w:marLeft w:val="0"/>
      <w:marRight w:val="0"/>
      <w:marTop w:val="0"/>
      <w:marBottom w:val="0"/>
      <w:divBdr>
        <w:top w:val="none" w:sz="0" w:space="0" w:color="auto"/>
        <w:left w:val="none" w:sz="0" w:space="0" w:color="auto"/>
        <w:bottom w:val="none" w:sz="0" w:space="0" w:color="auto"/>
        <w:right w:val="none" w:sz="0" w:space="0" w:color="auto"/>
      </w:divBdr>
    </w:div>
    <w:div w:id="2013407314">
      <w:bodyDiv w:val="1"/>
      <w:marLeft w:val="0"/>
      <w:marRight w:val="0"/>
      <w:marTop w:val="0"/>
      <w:marBottom w:val="0"/>
      <w:divBdr>
        <w:top w:val="none" w:sz="0" w:space="0" w:color="auto"/>
        <w:left w:val="none" w:sz="0" w:space="0" w:color="auto"/>
        <w:bottom w:val="none" w:sz="0" w:space="0" w:color="auto"/>
        <w:right w:val="none" w:sz="0" w:space="0" w:color="auto"/>
      </w:divBdr>
    </w:div>
    <w:div w:id="2016181610">
      <w:bodyDiv w:val="1"/>
      <w:marLeft w:val="0"/>
      <w:marRight w:val="0"/>
      <w:marTop w:val="0"/>
      <w:marBottom w:val="0"/>
      <w:divBdr>
        <w:top w:val="none" w:sz="0" w:space="0" w:color="auto"/>
        <w:left w:val="none" w:sz="0" w:space="0" w:color="auto"/>
        <w:bottom w:val="none" w:sz="0" w:space="0" w:color="auto"/>
        <w:right w:val="none" w:sz="0" w:space="0" w:color="auto"/>
      </w:divBdr>
    </w:div>
    <w:div w:id="2019379981">
      <w:bodyDiv w:val="1"/>
      <w:marLeft w:val="0"/>
      <w:marRight w:val="0"/>
      <w:marTop w:val="0"/>
      <w:marBottom w:val="0"/>
      <w:divBdr>
        <w:top w:val="none" w:sz="0" w:space="0" w:color="auto"/>
        <w:left w:val="none" w:sz="0" w:space="0" w:color="auto"/>
        <w:bottom w:val="none" w:sz="0" w:space="0" w:color="auto"/>
        <w:right w:val="none" w:sz="0" w:space="0" w:color="auto"/>
      </w:divBdr>
    </w:div>
    <w:div w:id="2020504784">
      <w:bodyDiv w:val="1"/>
      <w:marLeft w:val="0"/>
      <w:marRight w:val="0"/>
      <w:marTop w:val="0"/>
      <w:marBottom w:val="0"/>
      <w:divBdr>
        <w:top w:val="none" w:sz="0" w:space="0" w:color="auto"/>
        <w:left w:val="none" w:sz="0" w:space="0" w:color="auto"/>
        <w:bottom w:val="none" w:sz="0" w:space="0" w:color="auto"/>
        <w:right w:val="none" w:sz="0" w:space="0" w:color="auto"/>
      </w:divBdr>
    </w:div>
    <w:div w:id="2023124902">
      <w:bodyDiv w:val="1"/>
      <w:marLeft w:val="0"/>
      <w:marRight w:val="0"/>
      <w:marTop w:val="0"/>
      <w:marBottom w:val="0"/>
      <w:divBdr>
        <w:top w:val="none" w:sz="0" w:space="0" w:color="auto"/>
        <w:left w:val="none" w:sz="0" w:space="0" w:color="auto"/>
        <w:bottom w:val="none" w:sz="0" w:space="0" w:color="auto"/>
        <w:right w:val="none" w:sz="0" w:space="0" w:color="auto"/>
      </w:divBdr>
    </w:div>
    <w:div w:id="2028555274">
      <w:bodyDiv w:val="1"/>
      <w:marLeft w:val="0"/>
      <w:marRight w:val="0"/>
      <w:marTop w:val="0"/>
      <w:marBottom w:val="0"/>
      <w:divBdr>
        <w:top w:val="none" w:sz="0" w:space="0" w:color="auto"/>
        <w:left w:val="none" w:sz="0" w:space="0" w:color="auto"/>
        <w:bottom w:val="none" w:sz="0" w:space="0" w:color="auto"/>
        <w:right w:val="none" w:sz="0" w:space="0" w:color="auto"/>
      </w:divBdr>
    </w:div>
    <w:div w:id="2033189965">
      <w:bodyDiv w:val="1"/>
      <w:marLeft w:val="0"/>
      <w:marRight w:val="0"/>
      <w:marTop w:val="0"/>
      <w:marBottom w:val="0"/>
      <w:divBdr>
        <w:top w:val="none" w:sz="0" w:space="0" w:color="auto"/>
        <w:left w:val="none" w:sz="0" w:space="0" w:color="auto"/>
        <w:bottom w:val="none" w:sz="0" w:space="0" w:color="auto"/>
        <w:right w:val="none" w:sz="0" w:space="0" w:color="auto"/>
      </w:divBdr>
    </w:div>
    <w:div w:id="2038775192">
      <w:bodyDiv w:val="1"/>
      <w:marLeft w:val="0"/>
      <w:marRight w:val="0"/>
      <w:marTop w:val="0"/>
      <w:marBottom w:val="0"/>
      <w:divBdr>
        <w:top w:val="none" w:sz="0" w:space="0" w:color="auto"/>
        <w:left w:val="none" w:sz="0" w:space="0" w:color="auto"/>
        <w:bottom w:val="none" w:sz="0" w:space="0" w:color="auto"/>
        <w:right w:val="none" w:sz="0" w:space="0" w:color="auto"/>
      </w:divBdr>
    </w:div>
    <w:div w:id="2046363651">
      <w:bodyDiv w:val="1"/>
      <w:marLeft w:val="0"/>
      <w:marRight w:val="0"/>
      <w:marTop w:val="0"/>
      <w:marBottom w:val="0"/>
      <w:divBdr>
        <w:top w:val="none" w:sz="0" w:space="0" w:color="auto"/>
        <w:left w:val="none" w:sz="0" w:space="0" w:color="auto"/>
        <w:bottom w:val="none" w:sz="0" w:space="0" w:color="auto"/>
        <w:right w:val="none" w:sz="0" w:space="0" w:color="auto"/>
      </w:divBdr>
    </w:div>
    <w:div w:id="2059282907">
      <w:bodyDiv w:val="1"/>
      <w:marLeft w:val="0"/>
      <w:marRight w:val="0"/>
      <w:marTop w:val="0"/>
      <w:marBottom w:val="0"/>
      <w:divBdr>
        <w:top w:val="none" w:sz="0" w:space="0" w:color="auto"/>
        <w:left w:val="none" w:sz="0" w:space="0" w:color="auto"/>
        <w:bottom w:val="none" w:sz="0" w:space="0" w:color="auto"/>
        <w:right w:val="none" w:sz="0" w:space="0" w:color="auto"/>
      </w:divBdr>
    </w:div>
    <w:div w:id="2079859238">
      <w:bodyDiv w:val="1"/>
      <w:marLeft w:val="0"/>
      <w:marRight w:val="0"/>
      <w:marTop w:val="0"/>
      <w:marBottom w:val="0"/>
      <w:divBdr>
        <w:top w:val="none" w:sz="0" w:space="0" w:color="auto"/>
        <w:left w:val="none" w:sz="0" w:space="0" w:color="auto"/>
        <w:bottom w:val="none" w:sz="0" w:space="0" w:color="auto"/>
        <w:right w:val="none" w:sz="0" w:space="0" w:color="auto"/>
      </w:divBdr>
    </w:div>
    <w:div w:id="2083209598">
      <w:bodyDiv w:val="1"/>
      <w:marLeft w:val="0"/>
      <w:marRight w:val="0"/>
      <w:marTop w:val="0"/>
      <w:marBottom w:val="0"/>
      <w:divBdr>
        <w:top w:val="none" w:sz="0" w:space="0" w:color="auto"/>
        <w:left w:val="none" w:sz="0" w:space="0" w:color="auto"/>
        <w:bottom w:val="none" w:sz="0" w:space="0" w:color="auto"/>
        <w:right w:val="none" w:sz="0" w:space="0" w:color="auto"/>
      </w:divBdr>
    </w:div>
    <w:div w:id="2084831784">
      <w:bodyDiv w:val="1"/>
      <w:marLeft w:val="0"/>
      <w:marRight w:val="0"/>
      <w:marTop w:val="0"/>
      <w:marBottom w:val="0"/>
      <w:divBdr>
        <w:top w:val="none" w:sz="0" w:space="0" w:color="auto"/>
        <w:left w:val="none" w:sz="0" w:space="0" w:color="auto"/>
        <w:bottom w:val="none" w:sz="0" w:space="0" w:color="auto"/>
        <w:right w:val="none" w:sz="0" w:space="0" w:color="auto"/>
      </w:divBdr>
    </w:div>
    <w:div w:id="2094473247">
      <w:bodyDiv w:val="1"/>
      <w:marLeft w:val="0"/>
      <w:marRight w:val="0"/>
      <w:marTop w:val="0"/>
      <w:marBottom w:val="0"/>
      <w:divBdr>
        <w:top w:val="none" w:sz="0" w:space="0" w:color="auto"/>
        <w:left w:val="none" w:sz="0" w:space="0" w:color="auto"/>
        <w:bottom w:val="none" w:sz="0" w:space="0" w:color="auto"/>
        <w:right w:val="none" w:sz="0" w:space="0" w:color="auto"/>
      </w:divBdr>
    </w:div>
    <w:div w:id="2100756741">
      <w:bodyDiv w:val="1"/>
      <w:marLeft w:val="0"/>
      <w:marRight w:val="0"/>
      <w:marTop w:val="0"/>
      <w:marBottom w:val="0"/>
      <w:divBdr>
        <w:top w:val="none" w:sz="0" w:space="0" w:color="auto"/>
        <w:left w:val="none" w:sz="0" w:space="0" w:color="auto"/>
        <w:bottom w:val="none" w:sz="0" w:space="0" w:color="auto"/>
        <w:right w:val="none" w:sz="0" w:space="0" w:color="auto"/>
      </w:divBdr>
    </w:div>
    <w:div w:id="2108503960">
      <w:bodyDiv w:val="1"/>
      <w:marLeft w:val="0"/>
      <w:marRight w:val="0"/>
      <w:marTop w:val="0"/>
      <w:marBottom w:val="0"/>
      <w:divBdr>
        <w:top w:val="none" w:sz="0" w:space="0" w:color="auto"/>
        <w:left w:val="none" w:sz="0" w:space="0" w:color="auto"/>
        <w:bottom w:val="none" w:sz="0" w:space="0" w:color="auto"/>
        <w:right w:val="none" w:sz="0" w:space="0" w:color="auto"/>
      </w:divBdr>
    </w:div>
    <w:div w:id="2122646047">
      <w:bodyDiv w:val="1"/>
      <w:marLeft w:val="0"/>
      <w:marRight w:val="0"/>
      <w:marTop w:val="0"/>
      <w:marBottom w:val="0"/>
      <w:divBdr>
        <w:top w:val="none" w:sz="0" w:space="0" w:color="auto"/>
        <w:left w:val="none" w:sz="0" w:space="0" w:color="auto"/>
        <w:bottom w:val="none" w:sz="0" w:space="0" w:color="auto"/>
        <w:right w:val="none" w:sz="0" w:space="0" w:color="auto"/>
      </w:divBdr>
    </w:div>
    <w:div w:id="2139713771">
      <w:bodyDiv w:val="1"/>
      <w:marLeft w:val="0"/>
      <w:marRight w:val="0"/>
      <w:marTop w:val="0"/>
      <w:marBottom w:val="0"/>
      <w:divBdr>
        <w:top w:val="none" w:sz="0" w:space="0" w:color="auto"/>
        <w:left w:val="none" w:sz="0" w:space="0" w:color="auto"/>
        <w:bottom w:val="none" w:sz="0" w:space="0" w:color="auto"/>
        <w:right w:val="none" w:sz="0" w:space="0" w:color="auto"/>
      </w:divBdr>
    </w:div>
    <w:div w:id="2142456096">
      <w:bodyDiv w:val="1"/>
      <w:marLeft w:val="0"/>
      <w:marRight w:val="0"/>
      <w:marTop w:val="0"/>
      <w:marBottom w:val="0"/>
      <w:divBdr>
        <w:top w:val="none" w:sz="0" w:space="0" w:color="auto"/>
        <w:left w:val="none" w:sz="0" w:space="0" w:color="auto"/>
        <w:bottom w:val="none" w:sz="0" w:space="0" w:color="auto"/>
        <w:right w:val="none" w:sz="0" w:space="0" w:color="auto"/>
      </w:divBdr>
    </w:div>
    <w:div w:id="2143957533">
      <w:bodyDiv w:val="1"/>
      <w:marLeft w:val="0"/>
      <w:marRight w:val="0"/>
      <w:marTop w:val="0"/>
      <w:marBottom w:val="0"/>
      <w:divBdr>
        <w:top w:val="none" w:sz="0" w:space="0" w:color="auto"/>
        <w:left w:val="none" w:sz="0" w:space="0" w:color="auto"/>
        <w:bottom w:val="none" w:sz="0" w:space="0" w:color="auto"/>
        <w:right w:val="none" w:sz="0" w:space="0" w:color="auto"/>
      </w:divBdr>
    </w:div>
    <w:div w:id="21470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reativecommons.org/licenses/by/4.0/legalcode"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off97sr2\msoffice\template\rmrc97\Report\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CC69C-02D4-4F3F-B74E-1F581E20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TotalTime>
  <Pages>197</Pages>
  <Words>48999</Words>
  <Characters>279297</Characters>
  <Application>Microsoft Office Word</Application>
  <DocSecurity>0</DocSecurity>
  <Lines>2327</Lines>
  <Paragraphs>655</Paragraphs>
  <ScaleCrop>false</ScaleCrop>
  <HeadingPairs>
    <vt:vector size="2" baseType="variant">
      <vt:variant>
        <vt:lpstr>Title</vt:lpstr>
      </vt:variant>
      <vt:variant>
        <vt:i4>1</vt:i4>
      </vt:variant>
    </vt:vector>
  </HeadingPairs>
  <TitlesOfParts>
    <vt:vector size="1" baseType="lpstr">
      <vt:lpstr>VUCHS 2015 Final Report - revised September 2016</vt:lpstr>
    </vt:vector>
  </TitlesOfParts>
  <Company>Roy Morgan Research</Company>
  <LinksUpToDate>false</LinksUpToDate>
  <CharactersWithSpaces>327641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VUCHS 2015 Final Report - revised September 2016</dc:title>
  <dc:subject>Final Report - 2015 Victorian Utility consumption Household Survey</dc:subject>
  <dc:creator>Department of Health and Human Services</dc:creator>
  <cp:keywords>Concessions energy consumption utility report research</cp:keywords>
  <cp:lastModifiedBy>Janet Westwood (DFFH)</cp:lastModifiedBy>
  <cp:revision>2</cp:revision>
  <cp:lastPrinted>2016-03-12T08:17:00Z</cp:lastPrinted>
  <dcterms:created xsi:type="dcterms:W3CDTF">2021-11-17T22:15:00Z</dcterms:created>
  <dcterms:modified xsi:type="dcterms:W3CDTF">2021-11-17T22:15:00Z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2021-11-17T22:15:11Z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4f17a058-6116-47e5-b138-131f13397f17</vt:lpwstr>
  </property>
  <property fmtid="{D5CDD505-2E9C-101B-9397-08002B2CF9AE}" pid="8" name="MSIP_Label_efdf5488-3066-4b6c-8fea-9472b8a1f34c_ContentBits">
    <vt:lpwstr>0</vt:lpwstr>
  </property>
</Properties>
</file>